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6B8D9D" w14:textId="77777777" w:rsidR="000D0EFB" w:rsidRPr="00514076" w:rsidRDefault="000D0EFB" w:rsidP="000D0EFB">
      <w:pPr>
        <w:pStyle w:val="Title"/>
        <w:rPr>
          <w:color w:val="000000" w:themeColor="text1"/>
        </w:rPr>
      </w:pPr>
      <w:bookmarkStart w:id="0" w:name="_GoBack"/>
      <w:bookmarkEnd w:id="0"/>
      <w:r w:rsidRPr="00514076">
        <w:rPr>
          <w:color w:val="000000" w:themeColor="text1"/>
        </w:rPr>
        <w:t xml:space="preserve">Health Insurance Marketplace </w:t>
      </w:r>
      <w:r w:rsidR="00F923D4">
        <w:rPr>
          <w:color w:val="000000" w:themeColor="text1"/>
        </w:rPr>
        <w:t>Consumer Experience</w:t>
      </w:r>
      <w:r w:rsidRPr="00514076">
        <w:rPr>
          <w:color w:val="000000" w:themeColor="text1"/>
        </w:rPr>
        <w:t xml:space="preserve"> Surveys</w:t>
      </w:r>
      <w:r w:rsidR="00F923D4">
        <w:rPr>
          <w:color w:val="000000" w:themeColor="text1"/>
        </w:rPr>
        <w:t>: Enrollee Satisfaction Survey and Marketplace Survey</w:t>
      </w:r>
      <w:r w:rsidRPr="00514076">
        <w:rPr>
          <w:color w:val="000000" w:themeColor="text1"/>
        </w:rPr>
        <w:t xml:space="preserve"> </w:t>
      </w:r>
    </w:p>
    <w:p w14:paraId="796B8D9E" w14:textId="77777777" w:rsidR="000D0EFB" w:rsidRDefault="001E78AE" w:rsidP="001E78AE">
      <w:pPr>
        <w:pStyle w:val="TitleCover2"/>
      </w:pPr>
      <w:r>
        <w:t>Supporting Statement—Part B</w:t>
      </w:r>
      <w:r>
        <w:br/>
        <w:t>Collections of Information Employing Statistical Methods</w:t>
      </w:r>
    </w:p>
    <w:p w14:paraId="796B8D9F" w14:textId="76BCBD85" w:rsidR="000D0EFB" w:rsidRPr="002E6E23" w:rsidRDefault="006341E4" w:rsidP="000D0EFB">
      <w:pPr>
        <w:pStyle w:val="TitleCover2"/>
      </w:pPr>
      <w:r>
        <w:t>December 1</w:t>
      </w:r>
      <w:r w:rsidR="008669C2">
        <w:t>6</w:t>
      </w:r>
      <w:r w:rsidR="0014491A">
        <w:t>, 2014</w:t>
      </w:r>
    </w:p>
    <w:p w14:paraId="796B8DA0" w14:textId="77777777" w:rsidR="000D0EFB" w:rsidRPr="002E6E23" w:rsidRDefault="000D0EFB" w:rsidP="000D0EFB">
      <w:pPr>
        <w:pStyle w:val="TitleCover2"/>
      </w:pPr>
      <w:r w:rsidRPr="002E6E23">
        <w:t xml:space="preserve">Centers for Medicare </w:t>
      </w:r>
      <w:r w:rsidR="00C87C4B">
        <w:t>&amp;</w:t>
      </w:r>
      <w:r w:rsidR="00C87C4B" w:rsidRPr="002E6E23">
        <w:t xml:space="preserve"> </w:t>
      </w:r>
      <w:r w:rsidRPr="002E6E23">
        <w:t>Medicaid Services</w:t>
      </w:r>
    </w:p>
    <w:p w14:paraId="796B8DA1" w14:textId="77777777" w:rsidR="000D0EFB" w:rsidRDefault="000D0EFB" w:rsidP="000D0EFB">
      <w:pPr>
        <w:jc w:val="center"/>
        <w:sectPr w:rsidR="000D0EFB" w:rsidSect="00D543A7">
          <w:headerReference w:type="default" r:id="rId13"/>
          <w:footerReference w:type="default" r:id="rId14"/>
          <w:endnotePr>
            <w:numFmt w:val="decimal"/>
          </w:endnotePr>
          <w:pgSz w:w="12240" w:h="15840" w:code="1"/>
          <w:pgMar w:top="1440" w:right="1526" w:bottom="1440" w:left="1440" w:header="720" w:footer="720" w:gutter="0"/>
          <w:pgNumType w:fmt="lowerRoman" w:start="1"/>
          <w:cols w:space="720"/>
          <w:noEndnote/>
          <w:titlePg/>
          <w:docGrid w:linePitch="272"/>
        </w:sectPr>
      </w:pPr>
    </w:p>
    <w:p w14:paraId="796B8DA2" w14:textId="77777777" w:rsidR="00311EF9" w:rsidRPr="00A5606F" w:rsidRDefault="00311EF9" w:rsidP="00883F00">
      <w:pPr>
        <w:pStyle w:val="ContentsTitleNOTOC"/>
        <w:spacing w:after="240"/>
      </w:pPr>
      <w:r w:rsidRPr="00A5606F">
        <w:lastRenderedPageBreak/>
        <w:t>TABLE OF CONTENTS</w:t>
      </w:r>
    </w:p>
    <w:p w14:paraId="796B8DA3" w14:textId="77777777" w:rsidR="00311EF9" w:rsidRPr="00A5606F" w:rsidRDefault="00311EF9" w:rsidP="00514076">
      <w:pPr>
        <w:pStyle w:val="ContentsSubtitle"/>
      </w:pPr>
      <w:r w:rsidRPr="00A5606F">
        <w:t>Section</w:t>
      </w:r>
      <w:r w:rsidRPr="00A5606F">
        <w:tab/>
        <w:t>Page</w:t>
      </w:r>
    </w:p>
    <w:p w14:paraId="393A8A7B" w14:textId="77777777" w:rsidR="00A1158C" w:rsidRDefault="00883F00">
      <w:pPr>
        <w:pStyle w:val="TOC1"/>
        <w:rPr>
          <w:rFonts w:asciiTheme="minorHAnsi" w:eastAsiaTheme="minorEastAsia" w:hAnsiTheme="minorHAnsi" w:cstheme="minorBidi"/>
          <w:b w:val="0"/>
          <w:bCs w:val="0"/>
          <w:noProof/>
          <w:sz w:val="22"/>
          <w:szCs w:val="22"/>
        </w:rPr>
      </w:pPr>
      <w:r>
        <w:rPr>
          <w:caps/>
        </w:rPr>
        <w:fldChar w:fldCharType="begin"/>
      </w:r>
      <w:r>
        <w:rPr>
          <w:caps/>
        </w:rPr>
        <w:instrText xml:space="preserve"> TOC \o "2-3" \h \z \t "Heading 1,1" </w:instrText>
      </w:r>
      <w:r>
        <w:rPr>
          <w:caps/>
        </w:rPr>
        <w:fldChar w:fldCharType="separate"/>
      </w:r>
      <w:hyperlink w:anchor="_Toc396204798" w:history="1">
        <w:r w:rsidR="00A1158C" w:rsidRPr="00557D56">
          <w:rPr>
            <w:rStyle w:val="Hyperlink"/>
            <w:noProof/>
          </w:rPr>
          <w:t>1.</w:t>
        </w:r>
        <w:r w:rsidR="00A1158C">
          <w:rPr>
            <w:rFonts w:asciiTheme="minorHAnsi" w:eastAsiaTheme="minorEastAsia" w:hAnsiTheme="minorHAnsi" w:cstheme="minorBidi"/>
            <w:b w:val="0"/>
            <w:bCs w:val="0"/>
            <w:noProof/>
            <w:sz w:val="22"/>
            <w:szCs w:val="22"/>
          </w:rPr>
          <w:tab/>
        </w:r>
        <w:r w:rsidR="00A1158C" w:rsidRPr="00557D56">
          <w:rPr>
            <w:rStyle w:val="Hyperlink"/>
            <w:noProof/>
          </w:rPr>
          <w:t>Potential Respondent Universe and Sampling Methods</w:t>
        </w:r>
        <w:r w:rsidR="00A1158C">
          <w:rPr>
            <w:noProof/>
            <w:webHidden/>
          </w:rPr>
          <w:tab/>
        </w:r>
        <w:r w:rsidR="00A1158C">
          <w:rPr>
            <w:noProof/>
            <w:webHidden/>
          </w:rPr>
          <w:fldChar w:fldCharType="begin"/>
        </w:r>
        <w:r w:rsidR="00A1158C">
          <w:rPr>
            <w:noProof/>
            <w:webHidden/>
          </w:rPr>
          <w:instrText xml:space="preserve"> PAGEREF _Toc396204798 \h </w:instrText>
        </w:r>
        <w:r w:rsidR="00A1158C">
          <w:rPr>
            <w:noProof/>
            <w:webHidden/>
          </w:rPr>
        </w:r>
        <w:r w:rsidR="00A1158C">
          <w:rPr>
            <w:noProof/>
            <w:webHidden/>
          </w:rPr>
          <w:fldChar w:fldCharType="separate"/>
        </w:r>
        <w:r w:rsidR="00A1158C">
          <w:rPr>
            <w:noProof/>
            <w:webHidden/>
          </w:rPr>
          <w:t>2</w:t>
        </w:r>
        <w:r w:rsidR="00A1158C">
          <w:rPr>
            <w:noProof/>
            <w:webHidden/>
          </w:rPr>
          <w:fldChar w:fldCharType="end"/>
        </w:r>
      </w:hyperlink>
    </w:p>
    <w:p w14:paraId="15DF7551" w14:textId="77777777" w:rsidR="00A1158C" w:rsidRDefault="003A3A16">
      <w:pPr>
        <w:pStyle w:val="TOC2"/>
        <w:rPr>
          <w:rFonts w:asciiTheme="minorHAnsi" w:eastAsiaTheme="minorEastAsia" w:hAnsiTheme="minorHAnsi" w:cstheme="minorBidi"/>
          <w:noProof/>
          <w:sz w:val="22"/>
          <w:szCs w:val="22"/>
        </w:rPr>
      </w:pPr>
      <w:hyperlink w:anchor="_Toc396204799" w:history="1">
        <w:r w:rsidR="00A1158C" w:rsidRPr="00557D56">
          <w:rPr>
            <w:rStyle w:val="Hyperlink"/>
            <w:noProof/>
          </w:rPr>
          <w:t>1.1</w:t>
        </w:r>
        <w:r w:rsidR="00A1158C">
          <w:rPr>
            <w:rFonts w:asciiTheme="minorHAnsi" w:eastAsiaTheme="minorEastAsia" w:hAnsiTheme="minorHAnsi" w:cstheme="minorBidi"/>
            <w:noProof/>
            <w:sz w:val="22"/>
            <w:szCs w:val="22"/>
          </w:rPr>
          <w:tab/>
        </w:r>
        <w:r w:rsidR="00A1158C" w:rsidRPr="00557D56">
          <w:rPr>
            <w:rStyle w:val="Hyperlink"/>
            <w:noProof/>
          </w:rPr>
          <w:t>Marketplace Survey</w:t>
        </w:r>
        <w:r w:rsidR="00A1158C">
          <w:rPr>
            <w:noProof/>
            <w:webHidden/>
          </w:rPr>
          <w:tab/>
        </w:r>
        <w:r w:rsidR="00A1158C">
          <w:rPr>
            <w:noProof/>
            <w:webHidden/>
          </w:rPr>
          <w:fldChar w:fldCharType="begin"/>
        </w:r>
        <w:r w:rsidR="00A1158C">
          <w:rPr>
            <w:noProof/>
            <w:webHidden/>
          </w:rPr>
          <w:instrText xml:space="preserve"> PAGEREF _Toc396204799 \h </w:instrText>
        </w:r>
        <w:r w:rsidR="00A1158C">
          <w:rPr>
            <w:noProof/>
            <w:webHidden/>
          </w:rPr>
        </w:r>
        <w:r w:rsidR="00A1158C">
          <w:rPr>
            <w:noProof/>
            <w:webHidden/>
          </w:rPr>
          <w:fldChar w:fldCharType="separate"/>
        </w:r>
        <w:r w:rsidR="00A1158C">
          <w:rPr>
            <w:noProof/>
            <w:webHidden/>
          </w:rPr>
          <w:t>3</w:t>
        </w:r>
        <w:r w:rsidR="00A1158C">
          <w:rPr>
            <w:noProof/>
            <w:webHidden/>
          </w:rPr>
          <w:fldChar w:fldCharType="end"/>
        </w:r>
      </w:hyperlink>
    </w:p>
    <w:p w14:paraId="38A455BB" w14:textId="77777777" w:rsidR="00A1158C" w:rsidRDefault="003A3A16">
      <w:pPr>
        <w:pStyle w:val="TOC3"/>
        <w:tabs>
          <w:tab w:val="left" w:pos="1540"/>
        </w:tabs>
        <w:rPr>
          <w:rFonts w:asciiTheme="minorHAnsi" w:eastAsiaTheme="minorEastAsia" w:hAnsiTheme="minorHAnsi" w:cstheme="minorBidi"/>
          <w:noProof/>
          <w:sz w:val="22"/>
          <w:szCs w:val="22"/>
        </w:rPr>
      </w:pPr>
      <w:hyperlink w:anchor="_Toc396204800" w:history="1">
        <w:r w:rsidR="00A1158C" w:rsidRPr="00557D56">
          <w:rPr>
            <w:rStyle w:val="Hyperlink"/>
            <w:noProof/>
          </w:rPr>
          <w:t>1.1.1</w:t>
        </w:r>
        <w:r w:rsidR="00A1158C">
          <w:rPr>
            <w:rFonts w:asciiTheme="minorHAnsi" w:eastAsiaTheme="minorEastAsia" w:hAnsiTheme="minorHAnsi" w:cstheme="minorBidi"/>
            <w:noProof/>
            <w:sz w:val="22"/>
            <w:szCs w:val="22"/>
          </w:rPr>
          <w:tab/>
        </w:r>
        <w:r w:rsidR="00A1158C" w:rsidRPr="00557D56">
          <w:rPr>
            <w:rStyle w:val="Hyperlink"/>
            <w:noProof/>
          </w:rPr>
          <w:t>Respondent Universe</w:t>
        </w:r>
        <w:r w:rsidR="00A1158C">
          <w:rPr>
            <w:noProof/>
            <w:webHidden/>
          </w:rPr>
          <w:tab/>
        </w:r>
        <w:r w:rsidR="00A1158C">
          <w:rPr>
            <w:noProof/>
            <w:webHidden/>
          </w:rPr>
          <w:fldChar w:fldCharType="begin"/>
        </w:r>
        <w:r w:rsidR="00A1158C">
          <w:rPr>
            <w:noProof/>
            <w:webHidden/>
          </w:rPr>
          <w:instrText xml:space="preserve"> PAGEREF _Toc396204800 \h </w:instrText>
        </w:r>
        <w:r w:rsidR="00A1158C">
          <w:rPr>
            <w:noProof/>
            <w:webHidden/>
          </w:rPr>
        </w:r>
        <w:r w:rsidR="00A1158C">
          <w:rPr>
            <w:noProof/>
            <w:webHidden/>
          </w:rPr>
          <w:fldChar w:fldCharType="separate"/>
        </w:r>
        <w:r w:rsidR="00A1158C">
          <w:rPr>
            <w:noProof/>
            <w:webHidden/>
          </w:rPr>
          <w:t>3</w:t>
        </w:r>
        <w:r w:rsidR="00A1158C">
          <w:rPr>
            <w:noProof/>
            <w:webHidden/>
          </w:rPr>
          <w:fldChar w:fldCharType="end"/>
        </w:r>
      </w:hyperlink>
    </w:p>
    <w:p w14:paraId="1379AE58" w14:textId="77777777" w:rsidR="00A1158C" w:rsidRDefault="003A3A16">
      <w:pPr>
        <w:pStyle w:val="TOC3"/>
        <w:tabs>
          <w:tab w:val="left" w:pos="1540"/>
        </w:tabs>
        <w:rPr>
          <w:rFonts w:asciiTheme="minorHAnsi" w:eastAsiaTheme="minorEastAsia" w:hAnsiTheme="minorHAnsi" w:cstheme="minorBidi"/>
          <w:noProof/>
          <w:sz w:val="22"/>
          <w:szCs w:val="22"/>
        </w:rPr>
      </w:pPr>
      <w:hyperlink w:anchor="_Toc396204801" w:history="1">
        <w:r w:rsidR="00A1158C" w:rsidRPr="00557D56">
          <w:rPr>
            <w:rStyle w:val="Hyperlink"/>
            <w:noProof/>
          </w:rPr>
          <w:t>1.1.2</w:t>
        </w:r>
        <w:r w:rsidR="00A1158C">
          <w:rPr>
            <w:rFonts w:asciiTheme="minorHAnsi" w:eastAsiaTheme="minorEastAsia" w:hAnsiTheme="minorHAnsi" w:cstheme="minorBidi"/>
            <w:noProof/>
            <w:sz w:val="22"/>
            <w:szCs w:val="22"/>
          </w:rPr>
          <w:tab/>
        </w:r>
        <w:r w:rsidR="00A1158C" w:rsidRPr="00557D56">
          <w:rPr>
            <w:rStyle w:val="Hyperlink"/>
            <w:noProof/>
          </w:rPr>
          <w:t>Sample Size Calculations</w:t>
        </w:r>
        <w:r w:rsidR="00A1158C">
          <w:rPr>
            <w:noProof/>
            <w:webHidden/>
          </w:rPr>
          <w:tab/>
        </w:r>
        <w:r w:rsidR="00A1158C">
          <w:rPr>
            <w:noProof/>
            <w:webHidden/>
          </w:rPr>
          <w:fldChar w:fldCharType="begin"/>
        </w:r>
        <w:r w:rsidR="00A1158C">
          <w:rPr>
            <w:noProof/>
            <w:webHidden/>
          </w:rPr>
          <w:instrText xml:space="preserve"> PAGEREF _Toc396204801 \h </w:instrText>
        </w:r>
        <w:r w:rsidR="00A1158C">
          <w:rPr>
            <w:noProof/>
            <w:webHidden/>
          </w:rPr>
        </w:r>
        <w:r w:rsidR="00A1158C">
          <w:rPr>
            <w:noProof/>
            <w:webHidden/>
          </w:rPr>
          <w:fldChar w:fldCharType="separate"/>
        </w:r>
        <w:r w:rsidR="00A1158C">
          <w:rPr>
            <w:noProof/>
            <w:webHidden/>
          </w:rPr>
          <w:t>5</w:t>
        </w:r>
        <w:r w:rsidR="00A1158C">
          <w:rPr>
            <w:noProof/>
            <w:webHidden/>
          </w:rPr>
          <w:fldChar w:fldCharType="end"/>
        </w:r>
      </w:hyperlink>
    </w:p>
    <w:p w14:paraId="3E221D6B" w14:textId="77777777" w:rsidR="00A1158C" w:rsidRDefault="003A3A16">
      <w:pPr>
        <w:pStyle w:val="TOC3"/>
        <w:tabs>
          <w:tab w:val="left" w:pos="1540"/>
        </w:tabs>
        <w:rPr>
          <w:rFonts w:asciiTheme="minorHAnsi" w:eastAsiaTheme="minorEastAsia" w:hAnsiTheme="minorHAnsi" w:cstheme="minorBidi"/>
          <w:noProof/>
          <w:sz w:val="22"/>
          <w:szCs w:val="22"/>
        </w:rPr>
      </w:pPr>
      <w:hyperlink w:anchor="_Toc396204802" w:history="1">
        <w:r w:rsidR="00A1158C" w:rsidRPr="00557D56">
          <w:rPr>
            <w:rStyle w:val="Hyperlink"/>
            <w:noProof/>
          </w:rPr>
          <w:t>1.1.3</w:t>
        </w:r>
        <w:r w:rsidR="00A1158C">
          <w:rPr>
            <w:rFonts w:asciiTheme="minorHAnsi" w:eastAsiaTheme="minorEastAsia" w:hAnsiTheme="minorHAnsi" w:cstheme="minorBidi"/>
            <w:noProof/>
            <w:sz w:val="22"/>
            <w:szCs w:val="22"/>
          </w:rPr>
          <w:tab/>
        </w:r>
        <w:r w:rsidR="00A1158C" w:rsidRPr="00557D56">
          <w:rPr>
            <w:rStyle w:val="Hyperlink"/>
            <w:noProof/>
          </w:rPr>
          <w:t>Marketplace Survey Sampling Methods</w:t>
        </w:r>
        <w:r w:rsidR="00A1158C">
          <w:rPr>
            <w:noProof/>
            <w:webHidden/>
          </w:rPr>
          <w:tab/>
        </w:r>
        <w:r w:rsidR="00A1158C">
          <w:rPr>
            <w:noProof/>
            <w:webHidden/>
          </w:rPr>
          <w:fldChar w:fldCharType="begin"/>
        </w:r>
        <w:r w:rsidR="00A1158C">
          <w:rPr>
            <w:noProof/>
            <w:webHidden/>
          </w:rPr>
          <w:instrText xml:space="preserve"> PAGEREF _Toc396204802 \h </w:instrText>
        </w:r>
        <w:r w:rsidR="00A1158C">
          <w:rPr>
            <w:noProof/>
            <w:webHidden/>
          </w:rPr>
        </w:r>
        <w:r w:rsidR="00A1158C">
          <w:rPr>
            <w:noProof/>
            <w:webHidden/>
          </w:rPr>
          <w:fldChar w:fldCharType="separate"/>
        </w:r>
        <w:r w:rsidR="00A1158C">
          <w:rPr>
            <w:noProof/>
            <w:webHidden/>
          </w:rPr>
          <w:t>15</w:t>
        </w:r>
        <w:r w:rsidR="00A1158C">
          <w:rPr>
            <w:noProof/>
            <w:webHidden/>
          </w:rPr>
          <w:fldChar w:fldCharType="end"/>
        </w:r>
      </w:hyperlink>
    </w:p>
    <w:p w14:paraId="3DCF553B" w14:textId="77777777" w:rsidR="00A1158C" w:rsidRDefault="003A3A16">
      <w:pPr>
        <w:pStyle w:val="TOC2"/>
        <w:rPr>
          <w:rFonts w:asciiTheme="minorHAnsi" w:eastAsiaTheme="minorEastAsia" w:hAnsiTheme="minorHAnsi" w:cstheme="minorBidi"/>
          <w:noProof/>
          <w:sz w:val="22"/>
          <w:szCs w:val="22"/>
        </w:rPr>
      </w:pPr>
      <w:hyperlink w:anchor="_Toc396204803" w:history="1">
        <w:r w:rsidR="00A1158C" w:rsidRPr="00557D56">
          <w:rPr>
            <w:rStyle w:val="Hyperlink"/>
            <w:noProof/>
          </w:rPr>
          <w:t>1.2</w:t>
        </w:r>
        <w:r w:rsidR="00A1158C">
          <w:rPr>
            <w:rFonts w:asciiTheme="minorHAnsi" w:eastAsiaTheme="minorEastAsia" w:hAnsiTheme="minorHAnsi" w:cstheme="minorBidi"/>
            <w:noProof/>
            <w:sz w:val="22"/>
            <w:szCs w:val="22"/>
          </w:rPr>
          <w:tab/>
        </w:r>
        <w:r w:rsidR="00A1158C" w:rsidRPr="00557D56">
          <w:rPr>
            <w:rStyle w:val="Hyperlink"/>
            <w:noProof/>
          </w:rPr>
          <w:t>QHP Enrollee Survey</w:t>
        </w:r>
        <w:r w:rsidR="00A1158C">
          <w:rPr>
            <w:noProof/>
            <w:webHidden/>
          </w:rPr>
          <w:tab/>
        </w:r>
        <w:r w:rsidR="00A1158C">
          <w:rPr>
            <w:noProof/>
            <w:webHidden/>
          </w:rPr>
          <w:fldChar w:fldCharType="begin"/>
        </w:r>
        <w:r w:rsidR="00A1158C">
          <w:rPr>
            <w:noProof/>
            <w:webHidden/>
          </w:rPr>
          <w:instrText xml:space="preserve"> PAGEREF _Toc396204803 \h </w:instrText>
        </w:r>
        <w:r w:rsidR="00A1158C">
          <w:rPr>
            <w:noProof/>
            <w:webHidden/>
          </w:rPr>
        </w:r>
        <w:r w:rsidR="00A1158C">
          <w:rPr>
            <w:noProof/>
            <w:webHidden/>
          </w:rPr>
          <w:fldChar w:fldCharType="separate"/>
        </w:r>
        <w:r w:rsidR="00A1158C">
          <w:rPr>
            <w:noProof/>
            <w:webHidden/>
          </w:rPr>
          <w:t>16</w:t>
        </w:r>
        <w:r w:rsidR="00A1158C">
          <w:rPr>
            <w:noProof/>
            <w:webHidden/>
          </w:rPr>
          <w:fldChar w:fldCharType="end"/>
        </w:r>
      </w:hyperlink>
    </w:p>
    <w:p w14:paraId="56059D96" w14:textId="77777777" w:rsidR="00A1158C" w:rsidRDefault="003A3A16">
      <w:pPr>
        <w:pStyle w:val="TOC3"/>
        <w:tabs>
          <w:tab w:val="left" w:pos="1540"/>
        </w:tabs>
        <w:rPr>
          <w:rFonts w:asciiTheme="minorHAnsi" w:eastAsiaTheme="minorEastAsia" w:hAnsiTheme="minorHAnsi" w:cstheme="minorBidi"/>
          <w:noProof/>
          <w:sz w:val="22"/>
          <w:szCs w:val="22"/>
        </w:rPr>
      </w:pPr>
      <w:hyperlink w:anchor="_Toc396204804" w:history="1">
        <w:r w:rsidR="00A1158C" w:rsidRPr="00557D56">
          <w:rPr>
            <w:rStyle w:val="Hyperlink"/>
            <w:noProof/>
          </w:rPr>
          <w:t>1.2.1</w:t>
        </w:r>
        <w:r w:rsidR="00A1158C">
          <w:rPr>
            <w:rFonts w:asciiTheme="minorHAnsi" w:eastAsiaTheme="minorEastAsia" w:hAnsiTheme="minorHAnsi" w:cstheme="minorBidi"/>
            <w:noProof/>
            <w:sz w:val="22"/>
            <w:szCs w:val="22"/>
          </w:rPr>
          <w:tab/>
        </w:r>
        <w:r w:rsidR="00A1158C" w:rsidRPr="00557D56">
          <w:rPr>
            <w:rStyle w:val="Hyperlink"/>
            <w:noProof/>
          </w:rPr>
          <w:t>Respondent Universe</w:t>
        </w:r>
        <w:r w:rsidR="00A1158C">
          <w:rPr>
            <w:noProof/>
            <w:webHidden/>
          </w:rPr>
          <w:tab/>
        </w:r>
        <w:r w:rsidR="00A1158C">
          <w:rPr>
            <w:noProof/>
            <w:webHidden/>
          </w:rPr>
          <w:fldChar w:fldCharType="begin"/>
        </w:r>
        <w:r w:rsidR="00A1158C">
          <w:rPr>
            <w:noProof/>
            <w:webHidden/>
          </w:rPr>
          <w:instrText xml:space="preserve"> PAGEREF _Toc396204804 \h </w:instrText>
        </w:r>
        <w:r w:rsidR="00A1158C">
          <w:rPr>
            <w:noProof/>
            <w:webHidden/>
          </w:rPr>
        </w:r>
        <w:r w:rsidR="00A1158C">
          <w:rPr>
            <w:noProof/>
            <w:webHidden/>
          </w:rPr>
          <w:fldChar w:fldCharType="separate"/>
        </w:r>
        <w:r w:rsidR="00A1158C">
          <w:rPr>
            <w:noProof/>
            <w:webHidden/>
          </w:rPr>
          <w:t>16</w:t>
        </w:r>
        <w:r w:rsidR="00A1158C">
          <w:rPr>
            <w:noProof/>
            <w:webHidden/>
          </w:rPr>
          <w:fldChar w:fldCharType="end"/>
        </w:r>
      </w:hyperlink>
    </w:p>
    <w:p w14:paraId="307B6593" w14:textId="77777777" w:rsidR="00A1158C" w:rsidRDefault="003A3A16">
      <w:pPr>
        <w:pStyle w:val="TOC3"/>
        <w:tabs>
          <w:tab w:val="left" w:pos="1540"/>
        </w:tabs>
        <w:rPr>
          <w:rFonts w:asciiTheme="minorHAnsi" w:eastAsiaTheme="minorEastAsia" w:hAnsiTheme="minorHAnsi" w:cstheme="minorBidi"/>
          <w:noProof/>
          <w:sz w:val="22"/>
          <w:szCs w:val="22"/>
        </w:rPr>
      </w:pPr>
      <w:hyperlink w:anchor="_Toc396204805" w:history="1">
        <w:r w:rsidR="00A1158C" w:rsidRPr="00557D56">
          <w:rPr>
            <w:rStyle w:val="Hyperlink"/>
            <w:noProof/>
          </w:rPr>
          <w:t xml:space="preserve">1.2.2 </w:t>
        </w:r>
        <w:r w:rsidR="00A1158C">
          <w:rPr>
            <w:rFonts w:asciiTheme="minorHAnsi" w:eastAsiaTheme="minorEastAsia" w:hAnsiTheme="minorHAnsi" w:cstheme="minorBidi"/>
            <w:noProof/>
            <w:sz w:val="22"/>
            <w:szCs w:val="22"/>
          </w:rPr>
          <w:tab/>
        </w:r>
        <w:r w:rsidR="00A1158C" w:rsidRPr="00557D56">
          <w:rPr>
            <w:rStyle w:val="Hyperlink"/>
            <w:noProof/>
          </w:rPr>
          <w:t>Sample Size Calculations</w:t>
        </w:r>
        <w:r w:rsidR="00A1158C">
          <w:rPr>
            <w:noProof/>
            <w:webHidden/>
          </w:rPr>
          <w:tab/>
        </w:r>
        <w:r w:rsidR="00A1158C">
          <w:rPr>
            <w:noProof/>
            <w:webHidden/>
          </w:rPr>
          <w:fldChar w:fldCharType="begin"/>
        </w:r>
        <w:r w:rsidR="00A1158C">
          <w:rPr>
            <w:noProof/>
            <w:webHidden/>
          </w:rPr>
          <w:instrText xml:space="preserve"> PAGEREF _Toc396204805 \h </w:instrText>
        </w:r>
        <w:r w:rsidR="00A1158C">
          <w:rPr>
            <w:noProof/>
            <w:webHidden/>
          </w:rPr>
        </w:r>
        <w:r w:rsidR="00A1158C">
          <w:rPr>
            <w:noProof/>
            <w:webHidden/>
          </w:rPr>
          <w:fldChar w:fldCharType="separate"/>
        </w:r>
        <w:r w:rsidR="00A1158C">
          <w:rPr>
            <w:noProof/>
            <w:webHidden/>
          </w:rPr>
          <w:t>17</w:t>
        </w:r>
        <w:r w:rsidR="00A1158C">
          <w:rPr>
            <w:noProof/>
            <w:webHidden/>
          </w:rPr>
          <w:fldChar w:fldCharType="end"/>
        </w:r>
      </w:hyperlink>
    </w:p>
    <w:p w14:paraId="08F48954" w14:textId="77777777" w:rsidR="00A1158C" w:rsidRDefault="003A3A16">
      <w:pPr>
        <w:pStyle w:val="TOC3"/>
        <w:tabs>
          <w:tab w:val="left" w:pos="1540"/>
        </w:tabs>
        <w:rPr>
          <w:rFonts w:asciiTheme="minorHAnsi" w:eastAsiaTheme="minorEastAsia" w:hAnsiTheme="minorHAnsi" w:cstheme="minorBidi"/>
          <w:noProof/>
          <w:sz w:val="22"/>
          <w:szCs w:val="22"/>
        </w:rPr>
      </w:pPr>
      <w:hyperlink w:anchor="_Toc396204806" w:history="1">
        <w:r w:rsidR="00A1158C" w:rsidRPr="00557D56">
          <w:rPr>
            <w:rStyle w:val="Hyperlink"/>
            <w:noProof/>
          </w:rPr>
          <w:t>1.2.3</w:t>
        </w:r>
        <w:r w:rsidR="00A1158C">
          <w:rPr>
            <w:rFonts w:asciiTheme="minorHAnsi" w:eastAsiaTheme="minorEastAsia" w:hAnsiTheme="minorHAnsi" w:cstheme="minorBidi"/>
            <w:noProof/>
            <w:sz w:val="22"/>
            <w:szCs w:val="22"/>
          </w:rPr>
          <w:tab/>
        </w:r>
        <w:r w:rsidR="00A1158C" w:rsidRPr="00557D56">
          <w:rPr>
            <w:rStyle w:val="Hyperlink"/>
            <w:noProof/>
          </w:rPr>
          <w:t>QHP Enrollee Survey Sampling Methods</w:t>
        </w:r>
        <w:r w:rsidR="00A1158C">
          <w:rPr>
            <w:noProof/>
            <w:webHidden/>
          </w:rPr>
          <w:tab/>
        </w:r>
        <w:r w:rsidR="00A1158C">
          <w:rPr>
            <w:noProof/>
            <w:webHidden/>
          </w:rPr>
          <w:fldChar w:fldCharType="begin"/>
        </w:r>
        <w:r w:rsidR="00A1158C">
          <w:rPr>
            <w:noProof/>
            <w:webHidden/>
          </w:rPr>
          <w:instrText xml:space="preserve"> PAGEREF _Toc396204806 \h </w:instrText>
        </w:r>
        <w:r w:rsidR="00A1158C">
          <w:rPr>
            <w:noProof/>
            <w:webHidden/>
          </w:rPr>
        </w:r>
        <w:r w:rsidR="00A1158C">
          <w:rPr>
            <w:noProof/>
            <w:webHidden/>
          </w:rPr>
          <w:fldChar w:fldCharType="separate"/>
        </w:r>
        <w:r w:rsidR="00A1158C">
          <w:rPr>
            <w:noProof/>
            <w:webHidden/>
          </w:rPr>
          <w:t>20</w:t>
        </w:r>
        <w:r w:rsidR="00A1158C">
          <w:rPr>
            <w:noProof/>
            <w:webHidden/>
          </w:rPr>
          <w:fldChar w:fldCharType="end"/>
        </w:r>
      </w:hyperlink>
    </w:p>
    <w:p w14:paraId="28451596" w14:textId="77777777" w:rsidR="00A1158C" w:rsidRDefault="003A3A16">
      <w:pPr>
        <w:pStyle w:val="TOC1"/>
        <w:rPr>
          <w:rFonts w:asciiTheme="minorHAnsi" w:eastAsiaTheme="minorEastAsia" w:hAnsiTheme="minorHAnsi" w:cstheme="minorBidi"/>
          <w:b w:val="0"/>
          <w:bCs w:val="0"/>
          <w:noProof/>
          <w:sz w:val="22"/>
          <w:szCs w:val="22"/>
        </w:rPr>
      </w:pPr>
      <w:hyperlink w:anchor="_Toc396204807" w:history="1">
        <w:r w:rsidR="00A1158C" w:rsidRPr="00557D56">
          <w:rPr>
            <w:rStyle w:val="Hyperlink"/>
            <w:noProof/>
          </w:rPr>
          <w:t>2.</w:t>
        </w:r>
        <w:r w:rsidR="00A1158C">
          <w:rPr>
            <w:rFonts w:asciiTheme="minorHAnsi" w:eastAsiaTheme="minorEastAsia" w:hAnsiTheme="minorHAnsi" w:cstheme="minorBidi"/>
            <w:b w:val="0"/>
            <w:bCs w:val="0"/>
            <w:noProof/>
            <w:sz w:val="22"/>
            <w:szCs w:val="22"/>
          </w:rPr>
          <w:tab/>
        </w:r>
        <w:r w:rsidR="00A1158C" w:rsidRPr="00557D56">
          <w:rPr>
            <w:rStyle w:val="Hyperlink"/>
            <w:noProof/>
          </w:rPr>
          <w:t>Information Collection Procedures</w:t>
        </w:r>
        <w:r w:rsidR="00A1158C">
          <w:rPr>
            <w:noProof/>
            <w:webHidden/>
          </w:rPr>
          <w:tab/>
        </w:r>
        <w:r w:rsidR="00A1158C">
          <w:rPr>
            <w:noProof/>
            <w:webHidden/>
          </w:rPr>
          <w:fldChar w:fldCharType="begin"/>
        </w:r>
        <w:r w:rsidR="00A1158C">
          <w:rPr>
            <w:noProof/>
            <w:webHidden/>
          </w:rPr>
          <w:instrText xml:space="preserve"> PAGEREF _Toc396204807 \h </w:instrText>
        </w:r>
        <w:r w:rsidR="00A1158C">
          <w:rPr>
            <w:noProof/>
            <w:webHidden/>
          </w:rPr>
        </w:r>
        <w:r w:rsidR="00A1158C">
          <w:rPr>
            <w:noProof/>
            <w:webHidden/>
          </w:rPr>
          <w:fldChar w:fldCharType="separate"/>
        </w:r>
        <w:r w:rsidR="00A1158C">
          <w:rPr>
            <w:noProof/>
            <w:webHidden/>
          </w:rPr>
          <w:t>23</w:t>
        </w:r>
        <w:r w:rsidR="00A1158C">
          <w:rPr>
            <w:noProof/>
            <w:webHidden/>
          </w:rPr>
          <w:fldChar w:fldCharType="end"/>
        </w:r>
      </w:hyperlink>
    </w:p>
    <w:p w14:paraId="7D59EC90" w14:textId="77777777" w:rsidR="00A1158C" w:rsidRDefault="003A3A16">
      <w:pPr>
        <w:pStyle w:val="TOC1"/>
        <w:rPr>
          <w:rFonts w:asciiTheme="minorHAnsi" w:eastAsiaTheme="minorEastAsia" w:hAnsiTheme="minorHAnsi" w:cstheme="minorBidi"/>
          <w:b w:val="0"/>
          <w:bCs w:val="0"/>
          <w:noProof/>
          <w:sz w:val="22"/>
          <w:szCs w:val="22"/>
        </w:rPr>
      </w:pPr>
      <w:hyperlink w:anchor="_Toc396204808" w:history="1">
        <w:r w:rsidR="00A1158C" w:rsidRPr="00557D56">
          <w:rPr>
            <w:rStyle w:val="Hyperlink"/>
            <w:noProof/>
          </w:rPr>
          <w:t>3.</w:t>
        </w:r>
        <w:r w:rsidR="00A1158C">
          <w:rPr>
            <w:rFonts w:asciiTheme="minorHAnsi" w:eastAsiaTheme="minorEastAsia" w:hAnsiTheme="minorHAnsi" w:cstheme="minorBidi"/>
            <w:b w:val="0"/>
            <w:bCs w:val="0"/>
            <w:noProof/>
            <w:sz w:val="22"/>
            <w:szCs w:val="22"/>
          </w:rPr>
          <w:tab/>
        </w:r>
        <w:r w:rsidR="00A1158C" w:rsidRPr="00557D56">
          <w:rPr>
            <w:rStyle w:val="Hyperlink"/>
            <w:noProof/>
          </w:rPr>
          <w:t>Methods to Maximize Response Rates and Address Non-Response Bias</w:t>
        </w:r>
        <w:r w:rsidR="00A1158C">
          <w:rPr>
            <w:noProof/>
            <w:webHidden/>
          </w:rPr>
          <w:tab/>
        </w:r>
        <w:r w:rsidR="00A1158C">
          <w:rPr>
            <w:noProof/>
            <w:webHidden/>
          </w:rPr>
          <w:fldChar w:fldCharType="begin"/>
        </w:r>
        <w:r w:rsidR="00A1158C">
          <w:rPr>
            <w:noProof/>
            <w:webHidden/>
          </w:rPr>
          <w:instrText xml:space="preserve"> PAGEREF _Toc396204808 \h </w:instrText>
        </w:r>
        <w:r w:rsidR="00A1158C">
          <w:rPr>
            <w:noProof/>
            <w:webHidden/>
          </w:rPr>
        </w:r>
        <w:r w:rsidR="00A1158C">
          <w:rPr>
            <w:noProof/>
            <w:webHidden/>
          </w:rPr>
          <w:fldChar w:fldCharType="separate"/>
        </w:r>
        <w:r w:rsidR="00A1158C">
          <w:rPr>
            <w:noProof/>
            <w:webHidden/>
          </w:rPr>
          <w:t>24</w:t>
        </w:r>
        <w:r w:rsidR="00A1158C">
          <w:rPr>
            <w:noProof/>
            <w:webHidden/>
          </w:rPr>
          <w:fldChar w:fldCharType="end"/>
        </w:r>
      </w:hyperlink>
    </w:p>
    <w:p w14:paraId="7DD53EAE" w14:textId="77777777" w:rsidR="00A1158C" w:rsidRDefault="003A3A16">
      <w:pPr>
        <w:pStyle w:val="TOC1"/>
        <w:rPr>
          <w:rFonts w:asciiTheme="minorHAnsi" w:eastAsiaTheme="minorEastAsia" w:hAnsiTheme="minorHAnsi" w:cstheme="minorBidi"/>
          <w:b w:val="0"/>
          <w:bCs w:val="0"/>
          <w:noProof/>
          <w:sz w:val="22"/>
          <w:szCs w:val="22"/>
        </w:rPr>
      </w:pPr>
      <w:hyperlink w:anchor="_Toc396204809" w:history="1">
        <w:r w:rsidR="00A1158C" w:rsidRPr="00557D56">
          <w:rPr>
            <w:rStyle w:val="Hyperlink"/>
            <w:noProof/>
          </w:rPr>
          <w:t>4.</w:t>
        </w:r>
        <w:r w:rsidR="00A1158C">
          <w:rPr>
            <w:rFonts w:asciiTheme="minorHAnsi" w:eastAsiaTheme="minorEastAsia" w:hAnsiTheme="minorHAnsi" w:cstheme="minorBidi"/>
            <w:b w:val="0"/>
            <w:bCs w:val="0"/>
            <w:noProof/>
            <w:sz w:val="22"/>
            <w:szCs w:val="22"/>
          </w:rPr>
          <w:tab/>
        </w:r>
        <w:r w:rsidR="00A1158C" w:rsidRPr="00557D56">
          <w:rPr>
            <w:rStyle w:val="Hyperlink"/>
            <w:noProof/>
          </w:rPr>
          <w:t>Tests of Procedures</w:t>
        </w:r>
        <w:r w:rsidR="00A1158C">
          <w:rPr>
            <w:noProof/>
            <w:webHidden/>
          </w:rPr>
          <w:tab/>
        </w:r>
        <w:r w:rsidR="00A1158C">
          <w:rPr>
            <w:noProof/>
            <w:webHidden/>
          </w:rPr>
          <w:fldChar w:fldCharType="begin"/>
        </w:r>
        <w:r w:rsidR="00A1158C">
          <w:rPr>
            <w:noProof/>
            <w:webHidden/>
          </w:rPr>
          <w:instrText xml:space="preserve"> PAGEREF _Toc396204809 \h </w:instrText>
        </w:r>
        <w:r w:rsidR="00A1158C">
          <w:rPr>
            <w:noProof/>
            <w:webHidden/>
          </w:rPr>
        </w:r>
        <w:r w:rsidR="00A1158C">
          <w:rPr>
            <w:noProof/>
            <w:webHidden/>
          </w:rPr>
          <w:fldChar w:fldCharType="separate"/>
        </w:r>
        <w:r w:rsidR="00A1158C">
          <w:rPr>
            <w:noProof/>
            <w:webHidden/>
          </w:rPr>
          <w:t>26</w:t>
        </w:r>
        <w:r w:rsidR="00A1158C">
          <w:rPr>
            <w:noProof/>
            <w:webHidden/>
          </w:rPr>
          <w:fldChar w:fldCharType="end"/>
        </w:r>
      </w:hyperlink>
    </w:p>
    <w:p w14:paraId="78D2887A" w14:textId="77777777" w:rsidR="00A1158C" w:rsidRDefault="003A3A16">
      <w:pPr>
        <w:pStyle w:val="TOC1"/>
        <w:rPr>
          <w:rFonts w:asciiTheme="minorHAnsi" w:eastAsiaTheme="minorEastAsia" w:hAnsiTheme="minorHAnsi" w:cstheme="minorBidi"/>
          <w:b w:val="0"/>
          <w:bCs w:val="0"/>
          <w:noProof/>
          <w:sz w:val="22"/>
          <w:szCs w:val="22"/>
        </w:rPr>
      </w:pPr>
      <w:hyperlink w:anchor="_Toc396204810" w:history="1">
        <w:r w:rsidR="00A1158C" w:rsidRPr="00557D56">
          <w:rPr>
            <w:rStyle w:val="Hyperlink"/>
            <w:noProof/>
          </w:rPr>
          <w:t>5.</w:t>
        </w:r>
        <w:r w:rsidR="00A1158C">
          <w:rPr>
            <w:rFonts w:asciiTheme="minorHAnsi" w:eastAsiaTheme="minorEastAsia" w:hAnsiTheme="minorHAnsi" w:cstheme="minorBidi"/>
            <w:b w:val="0"/>
            <w:bCs w:val="0"/>
            <w:noProof/>
            <w:sz w:val="22"/>
            <w:szCs w:val="22"/>
          </w:rPr>
          <w:tab/>
        </w:r>
        <w:r w:rsidR="00A1158C" w:rsidRPr="00557D56">
          <w:rPr>
            <w:rStyle w:val="Hyperlink"/>
            <w:noProof/>
          </w:rPr>
          <w:t>Statistical Consultants</w:t>
        </w:r>
        <w:r w:rsidR="00A1158C">
          <w:rPr>
            <w:noProof/>
            <w:webHidden/>
          </w:rPr>
          <w:tab/>
        </w:r>
        <w:r w:rsidR="00A1158C">
          <w:rPr>
            <w:noProof/>
            <w:webHidden/>
          </w:rPr>
          <w:fldChar w:fldCharType="begin"/>
        </w:r>
        <w:r w:rsidR="00A1158C">
          <w:rPr>
            <w:noProof/>
            <w:webHidden/>
          </w:rPr>
          <w:instrText xml:space="preserve"> PAGEREF _Toc396204810 \h </w:instrText>
        </w:r>
        <w:r w:rsidR="00A1158C">
          <w:rPr>
            <w:noProof/>
            <w:webHidden/>
          </w:rPr>
        </w:r>
        <w:r w:rsidR="00A1158C">
          <w:rPr>
            <w:noProof/>
            <w:webHidden/>
          </w:rPr>
          <w:fldChar w:fldCharType="separate"/>
        </w:r>
        <w:r w:rsidR="00A1158C">
          <w:rPr>
            <w:noProof/>
            <w:webHidden/>
          </w:rPr>
          <w:t>27</w:t>
        </w:r>
        <w:r w:rsidR="00A1158C">
          <w:rPr>
            <w:noProof/>
            <w:webHidden/>
          </w:rPr>
          <w:fldChar w:fldCharType="end"/>
        </w:r>
      </w:hyperlink>
    </w:p>
    <w:p w14:paraId="796B8DBE" w14:textId="77777777" w:rsidR="00311EF9" w:rsidRDefault="00883F00" w:rsidP="000D0EFB">
      <w:pPr>
        <w:pStyle w:val="TOC2"/>
      </w:pPr>
      <w:r>
        <w:rPr>
          <w:caps/>
        </w:rPr>
        <w:fldChar w:fldCharType="end"/>
      </w:r>
    </w:p>
    <w:p w14:paraId="796B8DBF" w14:textId="77777777" w:rsidR="00311EF9" w:rsidRDefault="00311EF9" w:rsidP="00311EF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sectPr w:rsidR="00311EF9" w:rsidSect="00AA1D08">
          <w:headerReference w:type="default" r:id="rId15"/>
          <w:footerReference w:type="default" r:id="rId16"/>
          <w:headerReference w:type="first" r:id="rId17"/>
          <w:footerReference w:type="first" r:id="rId18"/>
          <w:endnotePr>
            <w:numFmt w:val="decimal"/>
          </w:endnotePr>
          <w:pgSz w:w="12240" w:h="15840" w:code="1"/>
          <w:pgMar w:top="1440" w:right="1440" w:bottom="1440" w:left="1440" w:header="720" w:footer="720" w:gutter="0"/>
          <w:pgNumType w:fmt="lowerRoman" w:start="1"/>
          <w:cols w:space="720"/>
          <w:noEndnote/>
          <w:titlePg/>
          <w:docGrid w:linePitch="272"/>
        </w:sectPr>
      </w:pPr>
    </w:p>
    <w:p w14:paraId="796B8DC0" w14:textId="77777777" w:rsidR="00101D3E" w:rsidRPr="00101D3E" w:rsidRDefault="00101D3E" w:rsidP="00101D3E">
      <w:pPr>
        <w:pStyle w:val="Heading1"/>
      </w:pPr>
      <w:bookmarkStart w:id="1" w:name="_Toc375154517"/>
      <w:bookmarkStart w:id="2" w:name="_Toc396204798"/>
      <w:r w:rsidRPr="00101D3E">
        <w:lastRenderedPageBreak/>
        <w:t>1.</w:t>
      </w:r>
      <w:r w:rsidRPr="00101D3E">
        <w:tab/>
        <w:t>Potential Respondent Universe and Sampling Methods</w:t>
      </w:r>
      <w:bookmarkEnd w:id="1"/>
      <w:bookmarkEnd w:id="2"/>
    </w:p>
    <w:p w14:paraId="796B8DC1" w14:textId="77777777" w:rsidR="00101D3E" w:rsidRDefault="00101D3E" w:rsidP="00101D3E">
      <w:pPr>
        <w:pStyle w:val="PBodyText"/>
      </w:pPr>
      <w:r>
        <w:t>This supporting statement includes information in support of:</w:t>
      </w:r>
    </w:p>
    <w:p w14:paraId="796B8DC2" w14:textId="198EB8BC" w:rsidR="006A31B4" w:rsidRDefault="001D3336" w:rsidP="00101D3E">
      <w:pPr>
        <w:pStyle w:val="PBullet"/>
      </w:pPr>
      <w:r>
        <w:t xml:space="preserve">A </w:t>
      </w:r>
      <w:r w:rsidR="00425862">
        <w:t xml:space="preserve">Health Insurance </w:t>
      </w:r>
      <w:r w:rsidR="006A31B4">
        <w:t>Marketplace</w:t>
      </w:r>
      <w:r w:rsidR="0016113E">
        <w:t xml:space="preserve"> (HIM)</w:t>
      </w:r>
      <w:r w:rsidR="00425862">
        <w:t xml:space="preserve"> </w:t>
      </w:r>
      <w:r w:rsidR="006A31B4">
        <w:t>Survey</w:t>
      </w:r>
      <w:r w:rsidR="00425862">
        <w:t xml:space="preserve"> (</w:t>
      </w:r>
      <w:r w:rsidR="00D20E83">
        <w:t>“</w:t>
      </w:r>
      <w:r w:rsidR="00425862">
        <w:t>Marketplace Survey</w:t>
      </w:r>
      <w:r w:rsidR="00D20E83">
        <w:t>”</w:t>
      </w:r>
      <w:r w:rsidR="00425862">
        <w:t>)</w:t>
      </w:r>
    </w:p>
    <w:p w14:paraId="796B8DC3" w14:textId="636AA163" w:rsidR="006A31B4" w:rsidRDefault="001D3336" w:rsidP="00101D3E">
      <w:pPr>
        <w:pStyle w:val="PBullet"/>
      </w:pPr>
      <w:r>
        <w:t xml:space="preserve">A </w:t>
      </w:r>
      <w:r w:rsidR="006A31B4">
        <w:t>Q</w:t>
      </w:r>
      <w:r w:rsidR="00425862">
        <w:t xml:space="preserve">ualified Health Plan Enrollee Experience </w:t>
      </w:r>
      <w:r w:rsidR="006A31B4">
        <w:t>Survey</w:t>
      </w:r>
      <w:r w:rsidR="00425862">
        <w:t xml:space="preserve"> (</w:t>
      </w:r>
      <w:r w:rsidR="00D20E83">
        <w:t>“</w:t>
      </w:r>
      <w:r w:rsidR="00425862">
        <w:t>QHP Enrollee Survey</w:t>
      </w:r>
      <w:r w:rsidR="00D20E83">
        <w:t>”</w:t>
      </w:r>
      <w:r w:rsidR="00425862">
        <w:t>)</w:t>
      </w:r>
    </w:p>
    <w:p w14:paraId="796B8DC4" w14:textId="77777777" w:rsidR="00A948AB" w:rsidRDefault="0014491A" w:rsidP="0014491A">
      <w:pPr>
        <w:pStyle w:val="PBodyText"/>
      </w:pPr>
      <w:r w:rsidRPr="00101D3E">
        <w:t xml:space="preserve">A </w:t>
      </w:r>
      <w:r>
        <w:t>description of the surveys and the testing goals related to each survey are provided in Part A of this submission</w:t>
      </w:r>
      <w:r w:rsidR="00A948AB">
        <w:t>. Testing goals that directly impact the sample size estimates are summarized in Section</w:t>
      </w:r>
      <w:r w:rsidR="00AB65D5">
        <w:t>s</w:t>
      </w:r>
      <w:r w:rsidR="00A948AB">
        <w:t xml:space="preserve"> 1.1.2 </w:t>
      </w:r>
      <w:r w:rsidR="00AB65D5">
        <w:t xml:space="preserve">(for the Marketplace Survey) and 1.2.2 (for the QHP Enrollee Survey) </w:t>
      </w:r>
      <w:r w:rsidR="00A948AB">
        <w:t>of this document</w:t>
      </w:r>
      <w:r>
        <w:t xml:space="preserve">. </w:t>
      </w:r>
    </w:p>
    <w:p w14:paraId="796B8DC5" w14:textId="77777777" w:rsidR="0014491A" w:rsidRDefault="0014491A" w:rsidP="0014491A">
      <w:pPr>
        <w:pStyle w:val="PBodyText"/>
      </w:pPr>
      <w:r>
        <w:t xml:space="preserve">Both surveys will be administered in four </w:t>
      </w:r>
      <w:r w:rsidR="005B077B">
        <w:t xml:space="preserve">annual </w:t>
      </w:r>
      <w:r>
        <w:t>rounds</w:t>
      </w:r>
      <w:r w:rsidR="005B077B">
        <w:t>; one survey each year in 2014, 2015, 2016, and 2017</w:t>
      </w:r>
      <w:r>
        <w:t xml:space="preserve">. </w:t>
      </w:r>
      <w:r w:rsidR="00AB65D5">
        <w:t xml:space="preserve">The first two of these rounds </w:t>
      </w:r>
      <w:r w:rsidR="005B077B">
        <w:t xml:space="preserve">(2014 and 2015) </w:t>
      </w:r>
      <w:r w:rsidR="00AB65D5">
        <w:t>are described in this submission</w:t>
      </w:r>
      <w:r>
        <w:t>:</w:t>
      </w:r>
    </w:p>
    <w:p w14:paraId="796B8DC6" w14:textId="43183D33" w:rsidR="0014491A" w:rsidRDefault="0014491A" w:rsidP="00BE7E0C">
      <w:pPr>
        <w:pStyle w:val="PBodyText"/>
        <w:numPr>
          <w:ilvl w:val="0"/>
          <w:numId w:val="33"/>
        </w:numPr>
      </w:pPr>
      <w:r>
        <w:t xml:space="preserve">A </w:t>
      </w:r>
      <w:r w:rsidR="009D46D8">
        <w:rPr>
          <w:b/>
        </w:rPr>
        <w:t>psychometric test</w:t>
      </w:r>
      <w:r>
        <w:t xml:space="preserve"> of each survey in 2014 using a single survey vendor. The goal of </w:t>
      </w:r>
      <w:r w:rsidR="00627F8A">
        <w:t xml:space="preserve">each </w:t>
      </w:r>
      <w:r w:rsidR="009D46D8">
        <w:t>psychometric test</w:t>
      </w:r>
      <w:r w:rsidR="00627F8A">
        <w:t xml:space="preserve"> </w:t>
      </w:r>
      <w:r>
        <w:t>is to evaluate the reliability and validity of each survey. This goal includes assessing the measurement properties of the instrument</w:t>
      </w:r>
      <w:r w:rsidR="00A948AB">
        <w:t>, individual survey items, and reporting composites. It also includes t</w:t>
      </w:r>
      <w:r>
        <w:t>esting the equivalence of the</w:t>
      </w:r>
      <w:r w:rsidR="00A948AB">
        <w:t>se</w:t>
      </w:r>
      <w:r>
        <w:t xml:space="preserve"> measurement properties across language and mode of administration.</w:t>
      </w:r>
      <w:r w:rsidR="00A948AB">
        <w:t xml:space="preserve"> </w:t>
      </w:r>
      <w:r w:rsidR="0006216A">
        <w:t>Because t</w:t>
      </w:r>
      <w:r w:rsidR="0006216A" w:rsidRPr="0006216A">
        <w:t>he QHP Enrollee Survey includes CAHPS 5.</w:t>
      </w:r>
      <w:r w:rsidR="0006216A">
        <w:t>0 Health Plan Survey core items and</w:t>
      </w:r>
      <w:r w:rsidR="0006216A" w:rsidRPr="0006216A">
        <w:t xml:space="preserve"> some CAHPS supplemental items </w:t>
      </w:r>
      <w:r w:rsidR="0006216A">
        <w:t>sets, another goal for the QHP survey will be to determine the</w:t>
      </w:r>
      <w:r w:rsidR="0006216A" w:rsidRPr="0006216A">
        <w:t xml:space="preserve"> extent to which the measurement properties of the existing CAHPS items hold for the QHP population, which will </w:t>
      </w:r>
      <w:r w:rsidR="001D3336">
        <w:t>include</w:t>
      </w:r>
      <w:r w:rsidR="0006216A" w:rsidRPr="0006216A">
        <w:t xml:space="preserve"> persons who have been previously uninsured. </w:t>
      </w:r>
      <w:r w:rsidR="00A948AB">
        <w:t xml:space="preserve">Results of </w:t>
      </w:r>
      <w:r w:rsidR="009D46D8">
        <w:t>psychometric test</w:t>
      </w:r>
      <w:r w:rsidR="00A948AB">
        <w:t>ing will inform revisions to both surveys, including shortening the survey instruments and reducing respondent burden.</w:t>
      </w:r>
    </w:p>
    <w:p w14:paraId="796B8DC7" w14:textId="394B2E3D" w:rsidR="0014491A" w:rsidRDefault="0014491A" w:rsidP="0014491A">
      <w:pPr>
        <w:pStyle w:val="PBodyText"/>
        <w:numPr>
          <w:ilvl w:val="0"/>
          <w:numId w:val="33"/>
        </w:numPr>
      </w:pPr>
      <w:r>
        <w:t>A</w:t>
      </w:r>
      <w:r w:rsidR="0061551F">
        <w:t xml:space="preserve"> </w:t>
      </w:r>
      <w:r w:rsidR="00A61E25" w:rsidRPr="00A8214B">
        <w:rPr>
          <w:b/>
        </w:rPr>
        <w:t>beta test</w:t>
      </w:r>
      <w:r w:rsidR="008665A7">
        <w:t xml:space="preserve"> </w:t>
      </w:r>
      <w:r>
        <w:t>of the revised survey in</w:t>
      </w:r>
      <w:r w:rsidR="00A61E25">
        <w:t xml:space="preserve"> 2015.</w:t>
      </w:r>
      <w:r>
        <w:t xml:space="preserve"> The </w:t>
      </w:r>
      <w:r w:rsidR="00F907EC">
        <w:t>main</w:t>
      </w:r>
      <w:r>
        <w:t xml:space="preserve"> goal</w:t>
      </w:r>
      <w:r w:rsidR="00F907EC">
        <w:t>s</w:t>
      </w:r>
      <w:r>
        <w:t xml:space="preserve"> for the Marketplace Survey beta test </w:t>
      </w:r>
      <w:r w:rsidR="00F907EC">
        <w:t>are 1)</w:t>
      </w:r>
      <w:r>
        <w:t xml:space="preserve"> to </w:t>
      </w:r>
      <w:r w:rsidR="00F907EC">
        <w:t>produce assessment scores in each Marketplace for composites, global ratings, and individual report items from the tested and revised Marketplace survey</w:t>
      </w:r>
      <w:r w:rsidR="008936CB">
        <w:t xml:space="preserve"> and use these scores to</w:t>
      </w:r>
      <w:r w:rsidR="00F907EC">
        <w:t xml:space="preserve"> </w:t>
      </w:r>
      <w:r w:rsidR="0089556C">
        <w:t xml:space="preserve">provide </w:t>
      </w:r>
      <w:r w:rsidR="00922051">
        <w:t xml:space="preserve">initial </w:t>
      </w:r>
      <w:r w:rsidR="0089556C">
        <w:t xml:space="preserve">feedback to states, and </w:t>
      </w:r>
      <w:r w:rsidR="008936CB">
        <w:t>2</w:t>
      </w:r>
      <w:r w:rsidR="0089556C">
        <w:t xml:space="preserve">) </w:t>
      </w:r>
      <w:r w:rsidR="00F907EC">
        <w:t xml:space="preserve">to </w:t>
      </w:r>
      <w:r w:rsidR="008665A7">
        <w:t xml:space="preserve">the extent feasible (given sample size limitations), </w:t>
      </w:r>
      <w:r w:rsidR="00F907EC">
        <w:t xml:space="preserve">conduct subgroup analyses to determine if disparities in consumer experiences by race, ethnicity, income, and disability exist within </w:t>
      </w:r>
      <w:r w:rsidR="00F907EC" w:rsidRPr="00B37BD3">
        <w:rPr>
          <w:i/>
        </w:rPr>
        <w:t>each</w:t>
      </w:r>
      <w:r w:rsidR="00F907EC">
        <w:t xml:space="preserve"> Marketplace to help CMS meet its regulatory oversight requirements. A secondary goal is to </w:t>
      </w:r>
      <w:r w:rsidR="0089556C">
        <w:t xml:space="preserve">rerun the the psychometrics to confirm </w:t>
      </w:r>
      <w:r>
        <w:t>the psychometric properties of the revised instrument</w:t>
      </w:r>
      <w:r w:rsidR="00285D4F">
        <w:t xml:space="preserve"> on a larger, </w:t>
      </w:r>
      <w:r w:rsidR="0089556C">
        <w:t xml:space="preserve">state-based </w:t>
      </w:r>
      <w:r w:rsidR="00285D4F">
        <w:t>sample</w:t>
      </w:r>
      <w:r>
        <w:t xml:space="preserve">. </w:t>
      </w:r>
      <w:r w:rsidR="00A948AB">
        <w:t xml:space="preserve">The goals </w:t>
      </w:r>
      <w:r>
        <w:t xml:space="preserve">for the QHP Enrollee Survey beta test, which will involve data collection by multiple survey vendors hired by the issuers in each State, </w:t>
      </w:r>
      <w:r w:rsidR="00A948AB">
        <w:t>are</w:t>
      </w:r>
      <w:r>
        <w:t xml:space="preserve"> to test the vendor system (this is explained in more detail in Part A)</w:t>
      </w:r>
      <w:r w:rsidR="009F0519">
        <w:t xml:space="preserve">, </w:t>
      </w:r>
      <w:r w:rsidR="00A948AB">
        <w:t>verify the psychometric properties of the revised QHP instrument</w:t>
      </w:r>
      <w:r w:rsidR="00285D4F">
        <w:t xml:space="preserve"> on a larger, national sample</w:t>
      </w:r>
      <w:r w:rsidR="009F0519">
        <w:t>, and pro</w:t>
      </w:r>
      <w:r w:rsidR="0089556C">
        <w:t xml:space="preserve">vide </w:t>
      </w:r>
      <w:r w:rsidR="00CA3507">
        <w:t xml:space="preserve">initial </w:t>
      </w:r>
      <w:r w:rsidR="0089556C">
        <w:t xml:space="preserve">feedback to QHPs </w:t>
      </w:r>
      <w:r w:rsidR="00CA3507">
        <w:t xml:space="preserve">regarding the data collection, submission and calculation processes </w:t>
      </w:r>
      <w:r w:rsidR="0089556C">
        <w:t>before public reporting begins in 2016</w:t>
      </w:r>
      <w:r>
        <w:t xml:space="preserve">. </w:t>
      </w:r>
    </w:p>
    <w:p w14:paraId="796B8DC8" w14:textId="649C76BD" w:rsidR="00AB65D5" w:rsidRDefault="00891F92" w:rsidP="0014491A">
      <w:pPr>
        <w:pStyle w:val="PBodyText"/>
      </w:pPr>
      <w:r>
        <w:t xml:space="preserve">As of December 2014, the psychometric test phase of the Marketplace survey is close to completion and the data collection period for the psychometric test of the QHP Enrollee survey has closed. The beta test round of the QHP Enrollee Survey has been approved, CMS has begun providing materials to approved survey vendors, and survey vendor training is underway. </w:t>
      </w:r>
      <w:r w:rsidR="00AB65D5">
        <w:t xml:space="preserve">CMS is </w:t>
      </w:r>
      <w:r>
        <w:t xml:space="preserve">now </w:t>
      </w:r>
      <w:r w:rsidR="00AB65D5">
        <w:t xml:space="preserve">seeking </w:t>
      </w:r>
      <w:r w:rsidR="009D55AB">
        <w:t>expedited</w:t>
      </w:r>
      <w:r w:rsidR="00285D4F">
        <w:t xml:space="preserve"> </w:t>
      </w:r>
      <w:r w:rsidR="00AB65D5">
        <w:t xml:space="preserve">clearance for the </w:t>
      </w:r>
      <w:r w:rsidR="00832A39">
        <w:t xml:space="preserve">beta </w:t>
      </w:r>
      <w:r w:rsidR="009D46D8">
        <w:t>test</w:t>
      </w:r>
      <w:r w:rsidR="00AB65D5">
        <w:t xml:space="preserve"> round</w:t>
      </w:r>
      <w:r w:rsidR="00832A39">
        <w:t xml:space="preserve"> of the</w:t>
      </w:r>
      <w:r w:rsidR="00285D4F">
        <w:t xml:space="preserve"> </w:t>
      </w:r>
      <w:r>
        <w:t>Marketplace survey</w:t>
      </w:r>
      <w:r w:rsidR="00285D4F">
        <w:t xml:space="preserve">. </w:t>
      </w:r>
      <w:r w:rsidR="00832A39" w:rsidRPr="00832A39">
        <w:t xml:space="preserve">We request </w:t>
      </w:r>
      <w:r w:rsidR="00832A39" w:rsidRPr="00832A39">
        <w:lastRenderedPageBreak/>
        <w:t xml:space="preserve">approval </w:t>
      </w:r>
      <w:r w:rsidR="003877B2">
        <w:t>as soon as possible</w:t>
      </w:r>
      <w:r w:rsidR="00832A39" w:rsidRPr="00832A39">
        <w:t xml:space="preserve"> </w:t>
      </w:r>
      <w:r>
        <w:t xml:space="preserve">because sampling for the Marketplace Survey beta test is set to begin in </w:t>
      </w:r>
      <w:r w:rsidR="009D55AB">
        <w:t>mid-</w:t>
      </w:r>
      <w:r>
        <w:t>February 2015 and data collection about one month later</w:t>
      </w:r>
      <w:r w:rsidR="00832A39" w:rsidRPr="00832A39">
        <w:t>.</w:t>
      </w:r>
    </w:p>
    <w:p w14:paraId="0082238A" w14:textId="319C4EB0" w:rsidR="00050261" w:rsidRDefault="001D3336" w:rsidP="0014491A">
      <w:pPr>
        <w:pStyle w:val="PBodyText"/>
      </w:pPr>
      <w:r>
        <w:t>R</w:t>
      </w:r>
      <w:r w:rsidR="00A948AB">
        <w:t>obust</w:t>
      </w:r>
      <w:r w:rsidR="0014491A">
        <w:t xml:space="preserve"> results from the psychometric analysis </w:t>
      </w:r>
      <w:r w:rsidR="00A948AB">
        <w:t>are</w:t>
      </w:r>
      <w:r w:rsidR="0014491A">
        <w:t xml:space="preserve"> obtained by captur</w:t>
      </w:r>
      <w:r w:rsidR="00A948AB">
        <w:t>ing, to the greatest extent possible,</w:t>
      </w:r>
      <w:r w:rsidR="0014491A">
        <w:t xml:space="preserve"> the full range of experiences</w:t>
      </w:r>
      <w:r w:rsidR="00A948AB">
        <w:t xml:space="preserve"> and</w:t>
      </w:r>
      <w:r w:rsidR="0014491A">
        <w:t xml:space="preserve"> response patterns in the population. For this reason, the construction of the sampling frame and the sampling methods </w:t>
      </w:r>
      <w:r w:rsidR="005B4659">
        <w:t xml:space="preserve">for the psychometric tests were </w:t>
      </w:r>
      <w:r w:rsidR="0014491A">
        <w:t>designed to capture this full range of experiences of the populations within each State</w:t>
      </w:r>
      <w:r w:rsidR="00A948AB">
        <w:t xml:space="preserve"> or QHP</w:t>
      </w:r>
      <w:r w:rsidR="0014491A">
        <w:t>.</w:t>
      </w:r>
      <w:r w:rsidR="00627F8A">
        <w:t xml:space="preserve"> </w:t>
      </w:r>
      <w:r>
        <w:t>In addition, there</w:t>
      </w:r>
      <w:r w:rsidR="003E209C">
        <w:t xml:space="preserve"> are other considerations related to reliability and validity that guide the sampl</w:t>
      </w:r>
      <w:r w:rsidR="009D4C9A">
        <w:t>e size estimates and sampl</w:t>
      </w:r>
      <w:r w:rsidR="003E209C">
        <w:t>ing methods, and these considerations are described in the sections that follow.</w:t>
      </w:r>
      <w:r w:rsidR="0014491A">
        <w:t xml:space="preserve"> </w:t>
      </w:r>
      <w:r w:rsidR="00546FED">
        <w:t xml:space="preserve">The psychometric test component of this information collection is not designed to provide state-level  or QHP-level estimates; only the aggregate results of this analysis will be discussed or disseminated. The second component of this information collection (in 2015) includes a provision for </w:t>
      </w:r>
      <w:r w:rsidR="00CA3507">
        <w:t xml:space="preserve">initial </w:t>
      </w:r>
      <w:r w:rsidR="00546FED">
        <w:t xml:space="preserve">feedback to States and QHPs, subject to the limitations associated with response rates (including non-response bias analyses) and data quality findings. </w:t>
      </w:r>
    </w:p>
    <w:p w14:paraId="796B8DCA" w14:textId="10690748" w:rsidR="004A60F6" w:rsidRDefault="008F1500" w:rsidP="0014491A">
      <w:pPr>
        <w:pStyle w:val="PBodyText"/>
      </w:pPr>
      <w:r>
        <w:t xml:space="preserve">In the following sections, we first address the Marketplace Survey, then the </w:t>
      </w:r>
      <w:r w:rsidR="003877B2">
        <w:t xml:space="preserve">QHP Enrollee Survey. For each survey, we </w:t>
      </w:r>
      <w:r>
        <w:t xml:space="preserve">describe </w:t>
      </w:r>
      <w:r w:rsidR="004A60F6">
        <w:t xml:space="preserve">the respondent universe, sample size calculations, and sampling methods separately for the </w:t>
      </w:r>
      <w:r w:rsidR="009D46D8">
        <w:t>psychometric test</w:t>
      </w:r>
      <w:r w:rsidR="004A60F6">
        <w:t xml:space="preserve"> and the beta test.</w:t>
      </w:r>
    </w:p>
    <w:p w14:paraId="796B8DCB" w14:textId="77777777" w:rsidR="00101D3E" w:rsidRDefault="00101D3E" w:rsidP="00F523A8">
      <w:pPr>
        <w:pStyle w:val="Heading2"/>
        <w:numPr>
          <w:ilvl w:val="1"/>
          <w:numId w:val="50"/>
        </w:numPr>
        <w:spacing w:before="0"/>
      </w:pPr>
      <w:bookmarkStart w:id="3" w:name="_Toc376454270"/>
      <w:bookmarkStart w:id="4" w:name="_Toc376454372"/>
      <w:bookmarkStart w:id="5" w:name="_Toc376688920"/>
      <w:bookmarkStart w:id="6" w:name="_Toc376689026"/>
      <w:bookmarkStart w:id="7" w:name="_Toc376768458"/>
      <w:bookmarkStart w:id="8" w:name="_Toc377030684"/>
      <w:bookmarkStart w:id="9" w:name="_Toc376454271"/>
      <w:bookmarkStart w:id="10" w:name="_Toc376454373"/>
      <w:bookmarkStart w:id="11" w:name="_Toc376688921"/>
      <w:bookmarkStart w:id="12" w:name="_Toc376689027"/>
      <w:bookmarkStart w:id="13" w:name="_Toc376768459"/>
      <w:bookmarkStart w:id="14" w:name="_Toc377030685"/>
      <w:bookmarkStart w:id="15" w:name="_Toc376454272"/>
      <w:bookmarkStart w:id="16" w:name="_Toc376454374"/>
      <w:bookmarkStart w:id="17" w:name="_Toc376688922"/>
      <w:bookmarkStart w:id="18" w:name="_Toc376689028"/>
      <w:bookmarkStart w:id="19" w:name="_Toc376768460"/>
      <w:bookmarkStart w:id="20" w:name="_Toc377030686"/>
      <w:bookmarkStart w:id="21" w:name="_Toc376454273"/>
      <w:bookmarkStart w:id="22" w:name="_Toc376454375"/>
      <w:bookmarkStart w:id="23" w:name="_Toc376688923"/>
      <w:bookmarkStart w:id="24" w:name="_Toc376689029"/>
      <w:bookmarkStart w:id="25" w:name="_Toc376768461"/>
      <w:bookmarkStart w:id="26" w:name="_Toc377030687"/>
      <w:bookmarkStart w:id="27" w:name="_Toc376454274"/>
      <w:bookmarkStart w:id="28" w:name="_Toc376454376"/>
      <w:bookmarkStart w:id="29" w:name="_Toc376688924"/>
      <w:bookmarkStart w:id="30" w:name="_Toc376689030"/>
      <w:bookmarkStart w:id="31" w:name="_Toc376768462"/>
      <w:bookmarkStart w:id="32" w:name="_Toc377030688"/>
      <w:bookmarkStart w:id="33" w:name="_Toc376454275"/>
      <w:bookmarkStart w:id="34" w:name="_Toc376454377"/>
      <w:bookmarkStart w:id="35" w:name="_Toc376688925"/>
      <w:bookmarkStart w:id="36" w:name="_Toc376689031"/>
      <w:bookmarkStart w:id="37" w:name="_Toc376768463"/>
      <w:bookmarkStart w:id="38" w:name="_Toc377030689"/>
      <w:bookmarkStart w:id="39" w:name="_Toc376454276"/>
      <w:bookmarkStart w:id="40" w:name="_Toc376454378"/>
      <w:bookmarkStart w:id="41" w:name="_Toc376688926"/>
      <w:bookmarkStart w:id="42" w:name="_Toc376689032"/>
      <w:bookmarkStart w:id="43" w:name="_Toc376768464"/>
      <w:bookmarkStart w:id="44" w:name="_Toc377030690"/>
      <w:bookmarkStart w:id="45" w:name="_Toc376454277"/>
      <w:bookmarkStart w:id="46" w:name="_Toc376454379"/>
      <w:bookmarkStart w:id="47" w:name="_Toc376688927"/>
      <w:bookmarkStart w:id="48" w:name="_Toc376689033"/>
      <w:bookmarkStart w:id="49" w:name="_Toc376768465"/>
      <w:bookmarkStart w:id="50" w:name="_Toc377030691"/>
      <w:bookmarkStart w:id="51" w:name="_Toc376454278"/>
      <w:bookmarkStart w:id="52" w:name="_Toc376454380"/>
      <w:bookmarkStart w:id="53" w:name="_Toc376688928"/>
      <w:bookmarkStart w:id="54" w:name="_Toc376689034"/>
      <w:bookmarkStart w:id="55" w:name="_Toc376768466"/>
      <w:bookmarkStart w:id="56" w:name="_Toc377030692"/>
      <w:bookmarkStart w:id="57" w:name="_Toc376454279"/>
      <w:bookmarkStart w:id="58" w:name="_Toc376454381"/>
      <w:bookmarkStart w:id="59" w:name="_Toc376688929"/>
      <w:bookmarkStart w:id="60" w:name="_Toc376689035"/>
      <w:bookmarkStart w:id="61" w:name="_Toc376768467"/>
      <w:bookmarkStart w:id="62" w:name="_Toc377030693"/>
      <w:bookmarkStart w:id="63" w:name="_Toc376454280"/>
      <w:bookmarkStart w:id="64" w:name="_Toc376454382"/>
      <w:bookmarkStart w:id="65" w:name="_Toc376688930"/>
      <w:bookmarkStart w:id="66" w:name="_Toc376689036"/>
      <w:bookmarkStart w:id="67" w:name="_Toc376768468"/>
      <w:bookmarkStart w:id="68" w:name="_Toc377030694"/>
      <w:bookmarkStart w:id="69" w:name="_Toc376454284"/>
      <w:bookmarkStart w:id="70" w:name="_Toc376454386"/>
      <w:bookmarkStart w:id="71" w:name="_Toc376688934"/>
      <w:bookmarkStart w:id="72" w:name="_Toc376689040"/>
      <w:bookmarkStart w:id="73" w:name="_Toc376768472"/>
      <w:bookmarkStart w:id="74" w:name="_Toc377030698"/>
      <w:bookmarkStart w:id="75" w:name="_Toc376454288"/>
      <w:bookmarkStart w:id="76" w:name="_Toc376454390"/>
      <w:bookmarkStart w:id="77" w:name="_Toc376688938"/>
      <w:bookmarkStart w:id="78" w:name="_Toc376689044"/>
      <w:bookmarkStart w:id="79" w:name="_Toc376768476"/>
      <w:bookmarkStart w:id="80" w:name="_Toc377030702"/>
      <w:bookmarkStart w:id="81" w:name="_Toc375154519"/>
      <w:bookmarkStart w:id="82" w:name="_Toc396204799"/>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t>Marketplace Survey</w:t>
      </w:r>
      <w:bookmarkEnd w:id="81"/>
      <w:bookmarkEnd w:id="82"/>
    </w:p>
    <w:p w14:paraId="796B8DCC" w14:textId="33DFE897" w:rsidR="00CD776E" w:rsidRDefault="00CD776E" w:rsidP="006E4C37">
      <w:pPr>
        <w:pStyle w:val="Heading3"/>
        <w:numPr>
          <w:ilvl w:val="2"/>
          <w:numId w:val="50"/>
        </w:numPr>
      </w:pPr>
      <w:bookmarkStart w:id="83" w:name="_Toc376689009"/>
      <w:bookmarkStart w:id="84" w:name="_Toc376689115"/>
      <w:bookmarkStart w:id="85" w:name="_Toc376768547"/>
      <w:bookmarkStart w:id="86" w:name="_Toc377030773"/>
      <w:bookmarkStart w:id="87" w:name="_Toc396204800"/>
      <w:bookmarkEnd w:id="83"/>
      <w:bookmarkEnd w:id="84"/>
      <w:bookmarkEnd w:id="85"/>
      <w:bookmarkEnd w:id="86"/>
      <w:r>
        <w:t>Respondent Universe</w:t>
      </w:r>
      <w:bookmarkEnd w:id="87"/>
      <w:r w:rsidR="008F1500">
        <w:t>, Study Population, and Sampling Frame</w:t>
      </w:r>
    </w:p>
    <w:p w14:paraId="7DD6ED85" w14:textId="53C872A4" w:rsidR="00CF0270" w:rsidRDefault="002A4A17" w:rsidP="00CF0270">
      <w:pPr>
        <w:pStyle w:val="PBodyText"/>
        <w:spacing w:after="120"/>
        <w:rPr>
          <w:rFonts w:cs="Times New Roman"/>
        </w:rPr>
      </w:pPr>
      <w:r>
        <w:rPr>
          <w:rFonts w:cs="Times New Roman"/>
        </w:rPr>
        <w:t xml:space="preserve">The </w:t>
      </w:r>
      <w:r w:rsidRPr="00A8214B">
        <w:rPr>
          <w:rFonts w:cs="Times New Roman"/>
          <w:i/>
        </w:rPr>
        <w:t>respondent universe</w:t>
      </w:r>
      <w:r>
        <w:rPr>
          <w:rFonts w:cs="Times New Roman"/>
        </w:rPr>
        <w:t xml:space="preserve"> is the theoretical population to which findings apply. </w:t>
      </w:r>
      <w:r w:rsidR="00CF0270">
        <w:rPr>
          <w:rFonts w:cs="Times New Roman"/>
        </w:rPr>
        <w:t>For the Marketplace Survey, the respondent universe include</w:t>
      </w:r>
      <w:r w:rsidR="00B476EA">
        <w:rPr>
          <w:rFonts w:cs="Times New Roman"/>
        </w:rPr>
        <w:t>s</w:t>
      </w:r>
      <w:r w:rsidR="00CF0270">
        <w:rPr>
          <w:rFonts w:cs="Times New Roman"/>
        </w:rPr>
        <w:t xml:space="preserve"> </w:t>
      </w:r>
      <w:r w:rsidR="00CF0270" w:rsidRPr="003D0F77">
        <w:rPr>
          <w:rFonts w:cs="Times New Roman"/>
        </w:rPr>
        <w:t xml:space="preserve">any </w:t>
      </w:r>
      <w:r w:rsidR="00CF0270">
        <w:rPr>
          <w:rFonts w:cs="Times New Roman"/>
        </w:rPr>
        <w:t>adult (age 18+) eligible for health insurance coverage offered through the Health Insurance Marketplaces, including those eligible for Medicaid coverage.</w:t>
      </w:r>
    </w:p>
    <w:p w14:paraId="768F19EC" w14:textId="2AE2272A" w:rsidR="00CF0270" w:rsidRDefault="002A4A17" w:rsidP="00CF0270">
      <w:pPr>
        <w:spacing w:after="120"/>
      </w:pPr>
      <w:r>
        <w:rPr>
          <w:rFonts w:cs="Times New Roman"/>
        </w:rPr>
        <w:t xml:space="preserve">The </w:t>
      </w:r>
      <w:r w:rsidRPr="00A8214B">
        <w:rPr>
          <w:rFonts w:cs="Times New Roman"/>
          <w:i/>
        </w:rPr>
        <w:t>study population</w:t>
      </w:r>
      <w:r>
        <w:rPr>
          <w:rFonts w:cs="Times New Roman"/>
        </w:rPr>
        <w:t xml:space="preserve"> </w:t>
      </w:r>
      <w:r w:rsidR="008F1500">
        <w:rPr>
          <w:rFonts w:cs="Times New Roman"/>
        </w:rPr>
        <w:t>consists of individuals</w:t>
      </w:r>
      <w:r>
        <w:rPr>
          <w:rFonts w:cs="Times New Roman"/>
        </w:rPr>
        <w:t xml:space="preserve"> to </w:t>
      </w:r>
      <w:r w:rsidR="008F1500">
        <w:rPr>
          <w:rFonts w:cs="Times New Roman"/>
        </w:rPr>
        <w:t>whom it is possible to</w:t>
      </w:r>
      <w:r>
        <w:rPr>
          <w:rFonts w:cs="Times New Roman"/>
        </w:rPr>
        <w:t xml:space="preserve"> gain access</w:t>
      </w:r>
      <w:r w:rsidR="00CF0270">
        <w:rPr>
          <w:rFonts w:cs="Times New Roman"/>
        </w:rPr>
        <w:t xml:space="preserve">. </w:t>
      </w:r>
      <w:r w:rsidR="00B476EA">
        <w:rPr>
          <w:rFonts w:cs="Times New Roman"/>
        </w:rPr>
        <w:t>For the Marketplace Survey, t</w:t>
      </w:r>
      <w:r w:rsidR="00CF0270">
        <w:rPr>
          <w:rFonts w:cs="Times New Roman"/>
        </w:rPr>
        <w:t>he study population co</w:t>
      </w:r>
      <w:r w:rsidR="00B476EA">
        <w:rPr>
          <w:rFonts w:cs="Times New Roman"/>
        </w:rPr>
        <w:t>nsists of</w:t>
      </w:r>
      <w:r w:rsidR="00CF0270">
        <w:rPr>
          <w:rFonts w:cs="Times New Roman"/>
        </w:rPr>
        <w:t xml:space="preserve"> consumers who interact</w:t>
      </w:r>
      <w:r w:rsidR="00B476EA">
        <w:rPr>
          <w:rFonts w:cs="Times New Roman"/>
        </w:rPr>
        <w:t>ed</w:t>
      </w:r>
      <w:r w:rsidR="00CF0270">
        <w:rPr>
          <w:rFonts w:cs="Times New Roman"/>
        </w:rPr>
        <w:t xml:space="preserve"> with the Marketplaces within a specified time frame. This definition includes any adult who </w:t>
      </w:r>
      <w:r w:rsidR="00CF0270" w:rsidRPr="003D0F77">
        <w:rPr>
          <w:rFonts w:cs="Times New Roman"/>
        </w:rPr>
        <w:t>ha</w:t>
      </w:r>
      <w:r w:rsidR="00CF0270">
        <w:rPr>
          <w:rFonts w:cs="Times New Roman"/>
        </w:rPr>
        <w:t>s</w:t>
      </w:r>
      <w:r w:rsidR="00CF0270" w:rsidRPr="003D0F77">
        <w:rPr>
          <w:rFonts w:cs="Times New Roman"/>
        </w:rPr>
        <w:t xml:space="preserve"> </w:t>
      </w:r>
      <w:r w:rsidR="00CF0270">
        <w:rPr>
          <w:rFonts w:cs="Times New Roman"/>
        </w:rPr>
        <w:t>at a minimum provided</w:t>
      </w:r>
      <w:r w:rsidR="00CF0270" w:rsidRPr="003D0F77">
        <w:rPr>
          <w:rFonts w:cs="Times New Roman"/>
        </w:rPr>
        <w:t xml:space="preserve"> their contact information, regardless of how far they </w:t>
      </w:r>
      <w:r w:rsidR="00CF0270">
        <w:rPr>
          <w:rFonts w:cs="Times New Roman"/>
        </w:rPr>
        <w:t>have gotten</w:t>
      </w:r>
      <w:r w:rsidR="00CF0270" w:rsidRPr="003D0F77">
        <w:rPr>
          <w:rFonts w:cs="Times New Roman"/>
        </w:rPr>
        <w:t xml:space="preserve"> in the application and enrollment process.</w:t>
      </w:r>
      <w:r w:rsidR="00CF0270">
        <w:rPr>
          <w:rFonts w:cs="Times New Roman"/>
        </w:rPr>
        <w:t xml:space="preserve"> </w:t>
      </w:r>
      <w:r w:rsidR="00CF0270">
        <w:t>This definition</w:t>
      </w:r>
      <w:r w:rsidR="00CF0270">
        <w:rPr>
          <w:rFonts w:cs="Times New Roman"/>
        </w:rPr>
        <w:t xml:space="preserve"> </w:t>
      </w:r>
      <w:r w:rsidR="00B476EA">
        <w:rPr>
          <w:rFonts w:cs="Times New Roman"/>
        </w:rPr>
        <w:t xml:space="preserve">also </w:t>
      </w:r>
      <w:r w:rsidR="00CF0270">
        <w:rPr>
          <w:rFonts w:cs="Times New Roman"/>
        </w:rPr>
        <w:t xml:space="preserve">includes consumers who enter their information </w:t>
      </w:r>
      <w:r w:rsidR="00CF0270" w:rsidRPr="003D0F77">
        <w:rPr>
          <w:rFonts w:cs="Times New Roman"/>
        </w:rPr>
        <w:t>themsel</w:t>
      </w:r>
      <w:r w:rsidR="00CF0270">
        <w:rPr>
          <w:rFonts w:cs="Times New Roman"/>
        </w:rPr>
        <w:t>ves through the website, submit</w:t>
      </w:r>
      <w:r w:rsidR="00CF0270" w:rsidRPr="003D0F77">
        <w:rPr>
          <w:rFonts w:cs="Times New Roman"/>
        </w:rPr>
        <w:t xml:space="preserve"> a paper application, or </w:t>
      </w:r>
      <w:r w:rsidR="00CF0270">
        <w:rPr>
          <w:rFonts w:cs="Times New Roman"/>
        </w:rPr>
        <w:t>have</w:t>
      </w:r>
      <w:r w:rsidR="00CF0270" w:rsidRPr="003D0F77">
        <w:rPr>
          <w:rFonts w:cs="Times New Roman"/>
        </w:rPr>
        <w:t xml:space="preserve"> the information entered for them by a telephone or in-person assistor.</w:t>
      </w:r>
      <w:r w:rsidR="00CF0270" w:rsidRPr="003D0F77">
        <w:rPr>
          <w:rFonts w:cs="Times New Roman"/>
          <w:vertAlign w:val="superscript"/>
        </w:rPr>
        <w:t xml:space="preserve"> </w:t>
      </w:r>
      <w:r w:rsidR="00CF0270" w:rsidRPr="003D0F77">
        <w:rPr>
          <w:rFonts w:cs="Times New Roman"/>
          <w:vertAlign w:val="superscript"/>
        </w:rPr>
        <w:footnoteReference w:id="2"/>
      </w:r>
      <w:r w:rsidR="00CF0270">
        <w:t xml:space="preserve"> </w:t>
      </w:r>
    </w:p>
    <w:p w14:paraId="796B8DD1" w14:textId="2A92C790" w:rsidR="004A60F6" w:rsidRDefault="00DE204C" w:rsidP="00F523A8">
      <w:pPr>
        <w:spacing w:after="120"/>
        <w:rPr>
          <w:rFonts w:cs="Times New Roman"/>
        </w:rPr>
      </w:pPr>
      <w:r>
        <w:rPr>
          <w:rFonts w:cs="Times New Roman"/>
        </w:rPr>
        <w:t>Individuals in the study population</w:t>
      </w:r>
      <w:r w:rsidR="00FA6CEE">
        <w:rPr>
          <w:rFonts w:cs="Times New Roman"/>
        </w:rPr>
        <w:t xml:space="preserve"> are classified </w:t>
      </w:r>
      <w:r>
        <w:rPr>
          <w:rFonts w:cs="Times New Roman"/>
        </w:rPr>
        <w:t xml:space="preserve">as one of </w:t>
      </w:r>
      <w:r w:rsidR="004A60F6">
        <w:rPr>
          <w:rFonts w:cs="Times New Roman"/>
        </w:rPr>
        <w:t xml:space="preserve">four types </w:t>
      </w:r>
      <w:r w:rsidR="004A60F6" w:rsidRPr="003D0F77">
        <w:rPr>
          <w:rFonts w:cs="Times New Roman"/>
        </w:rPr>
        <w:t>of Marketplace consumers: (1) effectuated QHP enrollees</w:t>
      </w:r>
      <w:r w:rsidR="004A60F6">
        <w:rPr>
          <w:rFonts w:cs="Times New Roman"/>
        </w:rPr>
        <w:t xml:space="preserve"> (those who have enrolled in a QHP and paid their first premium)</w:t>
      </w:r>
      <w:r w:rsidR="004A60F6" w:rsidRPr="003D0F77">
        <w:rPr>
          <w:rFonts w:cs="Times New Roman"/>
        </w:rPr>
        <w:t xml:space="preserve">, (2) QHP enrollees who have not yet paid their premium (enrolled but not effectuated), (3) those who </w:t>
      </w:r>
      <w:r w:rsidR="004A60F6">
        <w:rPr>
          <w:rFonts w:cs="Times New Roman"/>
        </w:rPr>
        <w:t xml:space="preserve">have </w:t>
      </w:r>
      <w:r w:rsidR="004A60F6" w:rsidRPr="003D0F77">
        <w:rPr>
          <w:rFonts w:cs="Times New Roman"/>
        </w:rPr>
        <w:t xml:space="preserve">accessed </w:t>
      </w:r>
      <w:r w:rsidR="004A60F6">
        <w:rPr>
          <w:rFonts w:cs="Times New Roman"/>
        </w:rPr>
        <w:t>a Marketplace</w:t>
      </w:r>
      <w:r w:rsidR="009D4C9A">
        <w:rPr>
          <w:rFonts w:cs="Times New Roman"/>
        </w:rPr>
        <w:t xml:space="preserve">, </w:t>
      </w:r>
      <w:r w:rsidR="004A60F6" w:rsidRPr="003D0F77">
        <w:rPr>
          <w:rFonts w:cs="Times New Roman"/>
        </w:rPr>
        <w:t>completed</w:t>
      </w:r>
      <w:r w:rsidR="004A60F6">
        <w:rPr>
          <w:rFonts w:cs="Times New Roman"/>
        </w:rPr>
        <w:t xml:space="preserve"> and submitted</w:t>
      </w:r>
      <w:r w:rsidR="004A60F6" w:rsidRPr="003D0F77">
        <w:rPr>
          <w:rFonts w:cs="Times New Roman"/>
        </w:rPr>
        <w:t xml:space="preserve"> </w:t>
      </w:r>
      <w:r w:rsidR="004A60F6">
        <w:rPr>
          <w:rFonts w:cs="Times New Roman"/>
        </w:rPr>
        <w:t>an</w:t>
      </w:r>
      <w:r w:rsidR="004A60F6" w:rsidRPr="003D0F77">
        <w:rPr>
          <w:rFonts w:cs="Times New Roman"/>
        </w:rPr>
        <w:t xml:space="preserve"> application</w:t>
      </w:r>
      <w:r w:rsidR="009D4C9A">
        <w:rPr>
          <w:rFonts w:cs="Times New Roman"/>
        </w:rPr>
        <w:t>,</w:t>
      </w:r>
      <w:r w:rsidR="004A60F6" w:rsidRPr="003D0F77">
        <w:rPr>
          <w:rFonts w:cs="Times New Roman"/>
        </w:rPr>
        <w:t xml:space="preserve"> but </w:t>
      </w:r>
      <w:r w:rsidR="009D4C9A">
        <w:rPr>
          <w:rFonts w:cs="Times New Roman"/>
        </w:rPr>
        <w:t>have</w:t>
      </w:r>
      <w:r w:rsidR="004A60F6">
        <w:rPr>
          <w:rFonts w:cs="Times New Roman"/>
        </w:rPr>
        <w:t xml:space="preserve"> </w:t>
      </w:r>
      <w:r w:rsidR="004A60F6" w:rsidRPr="003D0F77">
        <w:rPr>
          <w:rFonts w:cs="Times New Roman"/>
        </w:rPr>
        <w:t>not enroll</w:t>
      </w:r>
      <w:r w:rsidR="00FA183C">
        <w:rPr>
          <w:rFonts w:cs="Times New Roman"/>
        </w:rPr>
        <w:t>ed</w:t>
      </w:r>
      <w:r w:rsidR="004A60F6" w:rsidRPr="003D0F77">
        <w:rPr>
          <w:rFonts w:cs="Times New Roman"/>
        </w:rPr>
        <w:t xml:space="preserve"> in a QHP, and (4) those who </w:t>
      </w:r>
      <w:r w:rsidR="004A60F6">
        <w:rPr>
          <w:rFonts w:cs="Times New Roman"/>
        </w:rPr>
        <w:t xml:space="preserve">have </w:t>
      </w:r>
      <w:r w:rsidR="004A60F6" w:rsidRPr="003D0F77">
        <w:rPr>
          <w:rFonts w:cs="Times New Roman"/>
        </w:rPr>
        <w:t xml:space="preserve">accessed </w:t>
      </w:r>
      <w:r w:rsidR="004A60F6">
        <w:rPr>
          <w:rFonts w:cs="Times New Roman"/>
        </w:rPr>
        <w:t xml:space="preserve">a Marketplace </w:t>
      </w:r>
      <w:r w:rsidR="004A60F6" w:rsidRPr="003D0F77">
        <w:rPr>
          <w:rFonts w:cs="Times New Roman"/>
        </w:rPr>
        <w:t xml:space="preserve">and entered contact information, but who </w:t>
      </w:r>
      <w:r w:rsidR="009D4C9A">
        <w:rPr>
          <w:rFonts w:cs="Times New Roman"/>
        </w:rPr>
        <w:t>have</w:t>
      </w:r>
      <w:r w:rsidR="004A60F6">
        <w:rPr>
          <w:rFonts w:cs="Times New Roman"/>
        </w:rPr>
        <w:t xml:space="preserve"> not yet complete</w:t>
      </w:r>
      <w:r w:rsidR="00FA183C">
        <w:rPr>
          <w:rFonts w:cs="Times New Roman"/>
        </w:rPr>
        <w:t>d</w:t>
      </w:r>
      <w:r w:rsidR="004A60F6" w:rsidRPr="003D0F77">
        <w:rPr>
          <w:rFonts w:cs="Times New Roman"/>
        </w:rPr>
        <w:t xml:space="preserve"> </w:t>
      </w:r>
      <w:r w:rsidR="001D3336">
        <w:rPr>
          <w:rFonts w:cs="Times New Roman"/>
        </w:rPr>
        <w:t>the</w:t>
      </w:r>
      <w:r w:rsidR="004A60F6" w:rsidRPr="003D0F77">
        <w:rPr>
          <w:rFonts w:cs="Times New Roman"/>
        </w:rPr>
        <w:t xml:space="preserve"> application </w:t>
      </w:r>
      <w:r w:rsidR="001D3336">
        <w:rPr>
          <w:rFonts w:cs="Times New Roman"/>
        </w:rPr>
        <w:t>and thus have not yet</w:t>
      </w:r>
      <w:r w:rsidR="004A60F6" w:rsidRPr="003D0F77">
        <w:rPr>
          <w:rFonts w:cs="Times New Roman"/>
        </w:rPr>
        <w:t xml:space="preserve"> </w:t>
      </w:r>
      <w:r w:rsidR="008936CB">
        <w:rPr>
          <w:rFonts w:cs="Times New Roman"/>
        </w:rPr>
        <w:t xml:space="preserve">selected and </w:t>
      </w:r>
      <w:r w:rsidR="004A60F6" w:rsidRPr="003D0F77">
        <w:rPr>
          <w:rFonts w:cs="Times New Roman"/>
        </w:rPr>
        <w:t>enroll</w:t>
      </w:r>
      <w:r w:rsidR="009D4C9A">
        <w:rPr>
          <w:rFonts w:cs="Times New Roman"/>
        </w:rPr>
        <w:t>ed</w:t>
      </w:r>
      <w:r w:rsidR="004A60F6" w:rsidRPr="003D0F77">
        <w:rPr>
          <w:rFonts w:cs="Times New Roman"/>
        </w:rPr>
        <w:t xml:space="preserve"> in a QHP. </w:t>
      </w:r>
    </w:p>
    <w:p w14:paraId="796B8DD2" w14:textId="77777777" w:rsidR="00FA6CEE" w:rsidRDefault="00FA6CEE" w:rsidP="00FA6CEE">
      <w:pPr>
        <w:spacing w:after="200"/>
      </w:pPr>
      <w:r>
        <w:rPr>
          <w:rFonts w:cs="Times New Roman"/>
        </w:rPr>
        <w:lastRenderedPageBreak/>
        <w:t>Due to limited resources and the time required for translation of the survey materials, t</w:t>
      </w:r>
      <w:r>
        <w:t xml:space="preserve">he study population is also limited to those who </w:t>
      </w:r>
      <w:r w:rsidR="002255EA">
        <w:t xml:space="preserve">prefer to </w:t>
      </w:r>
      <w:r>
        <w:t xml:space="preserve">speak and read in one or more of three languages: English, Chinese, and Spanish. </w:t>
      </w:r>
    </w:p>
    <w:p w14:paraId="796B8DD3" w14:textId="77777777" w:rsidR="004A60F6" w:rsidRDefault="00AF67D4" w:rsidP="004A60F6">
      <w:pPr>
        <w:pStyle w:val="PBodyText"/>
      </w:pPr>
      <w:r>
        <w:t>All</w:t>
      </w:r>
      <w:r w:rsidR="009D4C9A">
        <w:t xml:space="preserve"> 50 States and the District of Columbia</w:t>
      </w:r>
      <w:r w:rsidR="004A60F6">
        <w:t xml:space="preserve"> </w:t>
      </w:r>
      <w:r>
        <w:t>(D.C.)</w:t>
      </w:r>
      <w:r>
        <w:rPr>
          <w:rStyle w:val="FootnoteReference"/>
        </w:rPr>
        <w:footnoteReference w:id="3"/>
      </w:r>
      <w:r>
        <w:t xml:space="preserve"> </w:t>
      </w:r>
      <w:r w:rsidR="004A60F6">
        <w:t xml:space="preserve">are classified in one of two groups based on how their </w:t>
      </w:r>
      <w:r w:rsidR="00FA183C">
        <w:t>Marketplaces</w:t>
      </w:r>
      <w:r w:rsidR="004A60F6">
        <w:t xml:space="preserve"> are organized: </w:t>
      </w:r>
    </w:p>
    <w:p w14:paraId="796B8DD4" w14:textId="703A83C5" w:rsidR="004A60F6" w:rsidRDefault="004A60F6" w:rsidP="004A60F6">
      <w:pPr>
        <w:pStyle w:val="PBullet"/>
        <w:numPr>
          <w:ilvl w:val="0"/>
          <w:numId w:val="8"/>
        </w:numPr>
      </w:pPr>
      <w:r>
        <w:t xml:space="preserve">State-based Marketplaces (SBMs)—include 15 States </w:t>
      </w:r>
      <w:r w:rsidR="00FA183C">
        <w:t xml:space="preserve">(including </w:t>
      </w:r>
      <w:r>
        <w:t>D.C.</w:t>
      </w:r>
      <w:r w:rsidR="002B52F1">
        <w:t>)</w:t>
      </w:r>
      <w:r>
        <w:t>, all of which are currently running their own State-specific exchange web site</w:t>
      </w:r>
      <w:r w:rsidR="009D4C9A">
        <w:t>s</w:t>
      </w:r>
      <w:r>
        <w:t xml:space="preserve"> for enrollment.</w:t>
      </w:r>
      <w:r w:rsidR="008665A7" w:rsidRPr="008665A7">
        <w:rPr>
          <w:rFonts w:cs="Times New Roman"/>
        </w:rPr>
        <w:t xml:space="preserve"> </w:t>
      </w:r>
      <w:r w:rsidR="008665A7">
        <w:rPr>
          <w:rFonts w:cs="Times New Roman"/>
        </w:rPr>
        <w:t>Eventually, the SBMs will transmit their individual-level application and enrollment data to CMS.</w:t>
      </w:r>
    </w:p>
    <w:p w14:paraId="796B8DD5" w14:textId="203B62B7" w:rsidR="004A60F6" w:rsidRDefault="004A60F6" w:rsidP="004A60F6">
      <w:pPr>
        <w:pStyle w:val="PBullet"/>
        <w:numPr>
          <w:ilvl w:val="0"/>
          <w:numId w:val="8"/>
        </w:numPr>
      </w:pPr>
      <w:r>
        <w:t>Federally-facilitated Marketplace (FFM)—includes the remaining 36 States where enrollment operates through the federal government’s web site, Healthcare.gov.</w:t>
      </w:r>
      <w:r w:rsidR="005362B1">
        <w:t xml:space="preserve"> </w:t>
      </w:r>
      <w:r w:rsidR="00DE204C">
        <w:t>Although</w:t>
      </w:r>
      <w:r w:rsidR="005362B1">
        <w:t xml:space="preserve"> enrollment in these 36 States operates through a single website, the FFM comprise</w:t>
      </w:r>
      <w:r w:rsidR="00FA183C">
        <w:t>s</w:t>
      </w:r>
      <w:r w:rsidR="005362B1">
        <w:t xml:space="preserve"> 36 distinct </w:t>
      </w:r>
      <w:r w:rsidR="004103D4">
        <w:t>markets</w:t>
      </w:r>
      <w:r w:rsidR="005362B1">
        <w:t xml:space="preserve">, since the </w:t>
      </w:r>
      <w:r w:rsidR="008835C7">
        <w:t xml:space="preserve">issuers and their associated </w:t>
      </w:r>
      <w:r w:rsidR="005362B1">
        <w:t>set</w:t>
      </w:r>
      <w:r w:rsidR="008835C7">
        <w:t>s</w:t>
      </w:r>
      <w:r w:rsidR="005362B1">
        <w:t xml:space="preserve"> of plan offerings </w:t>
      </w:r>
      <w:r w:rsidR="008835C7">
        <w:t>are</w:t>
      </w:r>
      <w:r w:rsidR="005362B1">
        <w:t xml:space="preserve"> unique in each State</w:t>
      </w:r>
      <w:r w:rsidR="008936CB">
        <w:t>, and in-person assistance will vary by state</w:t>
      </w:r>
      <w:r w:rsidR="005362B1">
        <w:t>.</w:t>
      </w:r>
      <w:r w:rsidR="006341E4">
        <w:t xml:space="preserve"> For purposes of the Marketplace Survey, we consider State Partnership Marketplaces (SPMs) and Supported State Based Marketplaces (SSBMs) to be a part of the FFM because both u</w:t>
      </w:r>
      <w:r w:rsidR="00DE204C">
        <w:t>se</w:t>
      </w:r>
      <w:r w:rsidR="006341E4">
        <w:t xml:space="preserve"> the FFM for enrollment and eligibility functions. </w:t>
      </w:r>
    </w:p>
    <w:p w14:paraId="796B8DD7" w14:textId="2146C367" w:rsidR="002747C5" w:rsidRPr="00B476EA" w:rsidRDefault="00B476EA" w:rsidP="00A8214B">
      <w:pPr>
        <w:pStyle w:val="PBullet"/>
        <w:numPr>
          <w:ilvl w:val="0"/>
          <w:numId w:val="0"/>
        </w:numPr>
      </w:pPr>
      <w:r>
        <w:t xml:space="preserve">The </w:t>
      </w:r>
      <w:r w:rsidRPr="00A8214B">
        <w:rPr>
          <w:i/>
        </w:rPr>
        <w:t>sampling frame</w:t>
      </w:r>
      <w:r>
        <w:t xml:space="preserve"> is the </w:t>
      </w:r>
      <w:r>
        <w:rPr>
          <w:rFonts w:ascii="Arial" w:hAnsi="Arial" w:cs="Arial"/>
          <w:color w:val="222222"/>
          <w:shd w:val="clear" w:color="auto" w:fill="FFFFFF"/>
        </w:rPr>
        <w:t>l</w:t>
      </w:r>
      <w:r w:rsidRPr="008F1500">
        <w:t>ist of individuals from which the study sample is taken.</w:t>
      </w:r>
      <w:r>
        <w:t xml:space="preserve"> </w:t>
      </w:r>
      <w:r w:rsidR="00DE204C">
        <w:t xml:space="preserve">For the Marketplace Survey, </w:t>
      </w:r>
      <w:r>
        <w:t xml:space="preserve">list-based sampling frames </w:t>
      </w:r>
      <w:r w:rsidR="00DE204C">
        <w:t xml:space="preserve">were </w:t>
      </w:r>
      <w:r>
        <w:t xml:space="preserve">obtained from CMS databases. </w:t>
      </w:r>
      <w:r w:rsidR="00AB35FB">
        <w:rPr>
          <w:rFonts w:cs="Times New Roman"/>
        </w:rPr>
        <w:t>The sampling frame</w:t>
      </w:r>
      <w:r w:rsidR="00DE204C">
        <w:rPr>
          <w:rFonts w:cs="Times New Roman"/>
        </w:rPr>
        <w:t>s</w:t>
      </w:r>
      <w:r w:rsidR="00AB35FB">
        <w:rPr>
          <w:rFonts w:cs="Times New Roman"/>
        </w:rPr>
        <w:t xml:space="preserve"> include</w:t>
      </w:r>
      <w:r w:rsidR="00DE204C">
        <w:rPr>
          <w:rFonts w:cs="Times New Roman"/>
        </w:rPr>
        <w:t>d</w:t>
      </w:r>
      <w:r w:rsidR="002747C5">
        <w:rPr>
          <w:rFonts w:cs="Times New Roman"/>
        </w:rPr>
        <w:t xml:space="preserve"> </w:t>
      </w:r>
      <w:r w:rsidR="00F727CB">
        <w:rPr>
          <w:rFonts w:cs="Times New Roman"/>
        </w:rPr>
        <w:t xml:space="preserve">all available records </w:t>
      </w:r>
      <w:r w:rsidR="00284719">
        <w:rPr>
          <w:rFonts w:cs="Times New Roman"/>
        </w:rPr>
        <w:t xml:space="preserve">for </w:t>
      </w:r>
      <w:r w:rsidR="005C4926">
        <w:rPr>
          <w:rFonts w:cs="Times New Roman"/>
        </w:rPr>
        <w:t xml:space="preserve">the </w:t>
      </w:r>
      <w:r w:rsidR="002747C5" w:rsidRPr="00A244CF">
        <w:rPr>
          <w:rFonts w:cs="Times New Roman"/>
        </w:rPr>
        <w:t xml:space="preserve">four distinct </w:t>
      </w:r>
      <w:r w:rsidR="002747C5">
        <w:rPr>
          <w:rFonts w:cs="Times New Roman"/>
        </w:rPr>
        <w:t xml:space="preserve">groups of </w:t>
      </w:r>
      <w:r w:rsidR="00EE65BD">
        <w:rPr>
          <w:rFonts w:cs="Times New Roman"/>
        </w:rPr>
        <w:t xml:space="preserve">eligible </w:t>
      </w:r>
      <w:r w:rsidR="002747C5">
        <w:rPr>
          <w:rFonts w:cs="Times New Roman"/>
        </w:rPr>
        <w:t>consumers</w:t>
      </w:r>
      <w:r w:rsidR="00EE65BD">
        <w:rPr>
          <w:rFonts w:cs="Times New Roman"/>
        </w:rPr>
        <w:t xml:space="preserve">. </w:t>
      </w:r>
      <w:r w:rsidR="00754548">
        <w:rPr>
          <w:rFonts w:cs="Times New Roman"/>
        </w:rPr>
        <w:t>As described above, t</w:t>
      </w:r>
      <w:r w:rsidR="00EE65BD">
        <w:rPr>
          <w:rFonts w:cs="Times New Roman"/>
        </w:rPr>
        <w:t>hese four groups are</w:t>
      </w:r>
      <w:r w:rsidR="005C4926">
        <w:rPr>
          <w:rFonts w:cs="Times New Roman"/>
        </w:rPr>
        <w:t xml:space="preserve"> defined by their applicant status</w:t>
      </w:r>
      <w:r w:rsidR="002747C5" w:rsidRPr="00A244CF">
        <w:rPr>
          <w:rFonts w:cs="Times New Roman"/>
        </w:rPr>
        <w:t xml:space="preserve">: </w:t>
      </w:r>
    </w:p>
    <w:p w14:paraId="796B8DD8" w14:textId="77777777" w:rsidR="00284719" w:rsidRPr="00A244CF" w:rsidRDefault="00284719" w:rsidP="00F523A8">
      <w:pPr>
        <w:numPr>
          <w:ilvl w:val="0"/>
          <w:numId w:val="54"/>
        </w:numPr>
        <w:spacing w:after="120"/>
        <w:rPr>
          <w:rFonts w:cs="Times New Roman"/>
        </w:rPr>
      </w:pPr>
      <w:r w:rsidRPr="00A244CF">
        <w:rPr>
          <w:rFonts w:cs="Times New Roman"/>
        </w:rPr>
        <w:t xml:space="preserve">Potential applicant (PA) – </w:t>
      </w:r>
      <w:r>
        <w:rPr>
          <w:rFonts w:cs="Times New Roman"/>
        </w:rPr>
        <w:t xml:space="preserve">consumers who have completed </w:t>
      </w:r>
      <w:r w:rsidRPr="00A244CF">
        <w:rPr>
          <w:rFonts w:cs="Times New Roman"/>
        </w:rPr>
        <w:t xml:space="preserve">any step prior to submitting an application, after providing contact information, </w:t>
      </w:r>
    </w:p>
    <w:p w14:paraId="796B8DD9" w14:textId="77777777" w:rsidR="00284719" w:rsidRPr="00A244CF" w:rsidRDefault="00284719" w:rsidP="00F523A8">
      <w:pPr>
        <w:numPr>
          <w:ilvl w:val="0"/>
          <w:numId w:val="54"/>
        </w:numPr>
        <w:spacing w:after="120"/>
        <w:rPr>
          <w:rFonts w:cs="Times New Roman"/>
        </w:rPr>
      </w:pPr>
      <w:r w:rsidRPr="00A244CF">
        <w:rPr>
          <w:rFonts w:cs="Times New Roman"/>
        </w:rPr>
        <w:t xml:space="preserve">Potential enrollee (PE) – </w:t>
      </w:r>
      <w:r>
        <w:rPr>
          <w:rFonts w:cs="Times New Roman"/>
        </w:rPr>
        <w:t xml:space="preserve">consumers who have </w:t>
      </w:r>
      <w:r w:rsidRPr="00A244CF">
        <w:rPr>
          <w:rFonts w:cs="Times New Roman"/>
        </w:rPr>
        <w:t>successfully completed an</w:t>
      </w:r>
      <w:r>
        <w:rPr>
          <w:rFonts w:cs="Times New Roman"/>
        </w:rPr>
        <w:t>d submitted an</w:t>
      </w:r>
      <w:r w:rsidRPr="00A244CF">
        <w:rPr>
          <w:rFonts w:cs="Times New Roman"/>
        </w:rPr>
        <w:t xml:space="preserve"> application</w:t>
      </w:r>
      <w:r w:rsidR="005844E0">
        <w:rPr>
          <w:rFonts w:cs="Times New Roman"/>
        </w:rPr>
        <w:t xml:space="preserve"> that includes their family size and income information</w:t>
      </w:r>
      <w:r w:rsidRPr="00A244CF">
        <w:rPr>
          <w:rFonts w:cs="Times New Roman"/>
        </w:rPr>
        <w:t>,</w:t>
      </w:r>
    </w:p>
    <w:p w14:paraId="796B8DDA" w14:textId="77777777" w:rsidR="00284719" w:rsidRPr="00A244CF" w:rsidRDefault="00284719" w:rsidP="00F523A8">
      <w:pPr>
        <w:numPr>
          <w:ilvl w:val="0"/>
          <w:numId w:val="54"/>
        </w:numPr>
        <w:spacing w:after="120"/>
        <w:rPr>
          <w:rFonts w:cs="Times New Roman"/>
        </w:rPr>
      </w:pPr>
      <w:r w:rsidRPr="00A244CF">
        <w:rPr>
          <w:rFonts w:cs="Times New Roman"/>
        </w:rPr>
        <w:t xml:space="preserve">Enrollee (E) – </w:t>
      </w:r>
      <w:r>
        <w:rPr>
          <w:rFonts w:cs="Times New Roman"/>
        </w:rPr>
        <w:t>consumers</w:t>
      </w:r>
      <w:r w:rsidRPr="00A244CF">
        <w:rPr>
          <w:rFonts w:cs="Times New Roman"/>
        </w:rPr>
        <w:t xml:space="preserve"> who have selected a </w:t>
      </w:r>
      <w:r>
        <w:rPr>
          <w:rFonts w:cs="Times New Roman"/>
        </w:rPr>
        <w:t>QHP from their Marketplace</w:t>
      </w:r>
      <w:r w:rsidRPr="00A244CF">
        <w:rPr>
          <w:rFonts w:cs="Times New Roman"/>
        </w:rPr>
        <w:t xml:space="preserve">, and </w:t>
      </w:r>
    </w:p>
    <w:p w14:paraId="796B8DDB" w14:textId="77777777" w:rsidR="00284719" w:rsidRPr="00A244CF" w:rsidRDefault="00284719" w:rsidP="00F523A8">
      <w:pPr>
        <w:numPr>
          <w:ilvl w:val="0"/>
          <w:numId w:val="54"/>
        </w:numPr>
        <w:spacing w:after="120"/>
        <w:rPr>
          <w:rFonts w:cs="Times New Roman"/>
        </w:rPr>
      </w:pPr>
      <w:r w:rsidRPr="00A244CF">
        <w:rPr>
          <w:rFonts w:cs="Times New Roman"/>
        </w:rPr>
        <w:t xml:space="preserve">Effectuated enrollee (EE) – </w:t>
      </w:r>
      <w:r>
        <w:rPr>
          <w:rFonts w:cs="Times New Roman"/>
        </w:rPr>
        <w:t>QHP enrollees who</w:t>
      </w:r>
      <w:r w:rsidRPr="00A244CF">
        <w:rPr>
          <w:rFonts w:cs="Times New Roman"/>
        </w:rPr>
        <w:t xml:space="preserve"> have made their first premium payment to the </w:t>
      </w:r>
      <w:r w:rsidR="005844E0">
        <w:rPr>
          <w:rFonts w:cs="Times New Roman"/>
        </w:rPr>
        <w:t>selected QHP issuer</w:t>
      </w:r>
      <w:r w:rsidRPr="00A244CF">
        <w:rPr>
          <w:rFonts w:cs="Times New Roman"/>
        </w:rPr>
        <w:t>.</w:t>
      </w:r>
    </w:p>
    <w:p w14:paraId="2D569524" w14:textId="561D4AC0" w:rsidR="008665A7" w:rsidRDefault="008665A7" w:rsidP="00F523A8">
      <w:pPr>
        <w:pStyle w:val="Heading4"/>
        <w:spacing w:after="120"/>
      </w:pPr>
      <w:r>
        <w:t>1.1.1.1 Psychometric Test</w:t>
      </w:r>
    </w:p>
    <w:p w14:paraId="17875502" w14:textId="4B261D2F" w:rsidR="008665A7" w:rsidRDefault="008665A7" w:rsidP="008665A7">
      <w:pPr>
        <w:spacing w:after="200"/>
        <w:rPr>
          <w:rFonts w:cs="Times New Roman"/>
        </w:rPr>
      </w:pPr>
      <w:r>
        <w:rPr>
          <w:rFonts w:cs="Times New Roman"/>
        </w:rPr>
        <w:t>The psychometric test component only include</w:t>
      </w:r>
      <w:r w:rsidR="00335BE7">
        <w:rPr>
          <w:rFonts w:cs="Times New Roman"/>
        </w:rPr>
        <w:t>d</w:t>
      </w:r>
      <w:r>
        <w:rPr>
          <w:rFonts w:cs="Times New Roman"/>
        </w:rPr>
        <w:t xml:space="preserve"> participants in the 36 FFM states. CMS construct</w:t>
      </w:r>
      <w:r w:rsidR="00335BE7">
        <w:rPr>
          <w:rFonts w:cs="Times New Roman"/>
        </w:rPr>
        <w:t>ed</w:t>
      </w:r>
      <w:r>
        <w:rPr>
          <w:rFonts w:cs="Times New Roman"/>
        </w:rPr>
        <w:t xml:space="preserve"> a sampling frame for the 2014 psychometric test using the administrative data from the 36 FFM states contained in the databases in which application and enrollment information </w:t>
      </w:r>
      <w:r w:rsidR="00392189">
        <w:rPr>
          <w:rFonts w:cs="Times New Roman"/>
        </w:rPr>
        <w:t xml:space="preserve">is </w:t>
      </w:r>
      <w:r>
        <w:rPr>
          <w:rFonts w:cs="Times New Roman"/>
        </w:rPr>
        <w:t>stored.</w:t>
      </w:r>
      <w:r w:rsidRPr="009B19D0">
        <w:rPr>
          <w:rFonts w:cs="Times New Roman"/>
        </w:rPr>
        <w:t xml:space="preserve"> </w:t>
      </w:r>
      <w:r w:rsidR="0073257D">
        <w:rPr>
          <w:rFonts w:cs="Times New Roman"/>
        </w:rPr>
        <w:t xml:space="preserve"> The frame include</w:t>
      </w:r>
      <w:r w:rsidR="00392189">
        <w:rPr>
          <w:rFonts w:cs="Times New Roman"/>
        </w:rPr>
        <w:t>d</w:t>
      </w:r>
      <w:r w:rsidR="0073257D">
        <w:rPr>
          <w:rFonts w:cs="Times New Roman"/>
        </w:rPr>
        <w:t xml:space="preserve"> </w:t>
      </w:r>
      <w:r w:rsidR="00BB0D9D">
        <w:rPr>
          <w:rFonts w:cs="Times New Roman"/>
        </w:rPr>
        <w:t>individuals</w:t>
      </w:r>
      <w:r w:rsidR="0073257D">
        <w:rPr>
          <w:rFonts w:cs="Times New Roman"/>
        </w:rPr>
        <w:t xml:space="preserve"> who provided contact information at any point from October 1, 2013 to </w:t>
      </w:r>
      <w:r w:rsidR="000D725B">
        <w:rPr>
          <w:rFonts w:cs="Times New Roman"/>
        </w:rPr>
        <w:t>March 30</w:t>
      </w:r>
      <w:r w:rsidR="0073257D">
        <w:rPr>
          <w:rFonts w:cs="Times New Roman"/>
        </w:rPr>
        <w:t>, 2014.</w:t>
      </w:r>
    </w:p>
    <w:p w14:paraId="796B8DFB" w14:textId="103A7ACE" w:rsidR="00284719" w:rsidRDefault="00284719" w:rsidP="00F523A8">
      <w:pPr>
        <w:pStyle w:val="Heading4"/>
        <w:spacing w:after="120"/>
      </w:pPr>
      <w:r>
        <w:t>1.1.1.2 Beta Test</w:t>
      </w:r>
      <w:r w:rsidR="006337A5">
        <w:t xml:space="preserve"> Phase</w:t>
      </w:r>
    </w:p>
    <w:p w14:paraId="7E558340" w14:textId="7891E433" w:rsidR="009A21C3" w:rsidRDefault="00FA6CEE" w:rsidP="00F523A8">
      <w:pPr>
        <w:pStyle w:val="PBodyText"/>
        <w:spacing w:after="120"/>
        <w:rPr>
          <w:rFonts w:cs="Times New Roman"/>
        </w:rPr>
      </w:pPr>
      <w:r>
        <w:rPr>
          <w:rFonts w:cs="Times New Roman"/>
        </w:rPr>
        <w:t xml:space="preserve">The study population is </w:t>
      </w:r>
      <w:r w:rsidR="003D182F">
        <w:rPr>
          <w:rFonts w:cs="Times New Roman"/>
        </w:rPr>
        <w:t>the same</w:t>
      </w:r>
      <w:r w:rsidR="008665A7">
        <w:rPr>
          <w:rFonts w:cs="Times New Roman"/>
        </w:rPr>
        <w:t xml:space="preserve"> as for the psychometric test component</w:t>
      </w:r>
      <w:r w:rsidR="00ED75AF">
        <w:rPr>
          <w:rFonts w:cs="Times New Roman"/>
        </w:rPr>
        <w:t xml:space="preserve">, with the exception of the time frame: </w:t>
      </w:r>
      <w:r w:rsidR="00ED75AF" w:rsidRPr="003D0F77">
        <w:rPr>
          <w:rFonts w:cs="Times New Roman"/>
        </w:rPr>
        <w:t xml:space="preserve">any </w:t>
      </w:r>
      <w:r w:rsidR="00ED75AF">
        <w:rPr>
          <w:rFonts w:cs="Times New Roman"/>
        </w:rPr>
        <w:t xml:space="preserve">adult (age 18+) who, at any point from </w:t>
      </w:r>
      <w:r w:rsidR="006341E4">
        <w:rPr>
          <w:rFonts w:cs="Times New Roman"/>
        </w:rPr>
        <w:t>November</w:t>
      </w:r>
      <w:r w:rsidR="00521A81">
        <w:rPr>
          <w:rFonts w:cs="Times New Roman"/>
        </w:rPr>
        <w:t xml:space="preserve"> </w:t>
      </w:r>
      <w:r w:rsidR="00ED75AF">
        <w:rPr>
          <w:rFonts w:cs="Times New Roman"/>
        </w:rPr>
        <w:t>1</w:t>
      </w:r>
      <w:r w:rsidR="006341E4">
        <w:rPr>
          <w:rFonts w:cs="Times New Roman"/>
        </w:rPr>
        <w:t>5</w:t>
      </w:r>
      <w:r w:rsidR="00ED75AF">
        <w:rPr>
          <w:rFonts w:cs="Times New Roman"/>
        </w:rPr>
        <w:t xml:space="preserve">, 2014 to </w:t>
      </w:r>
      <w:r w:rsidR="00521A81">
        <w:rPr>
          <w:rFonts w:cs="Times New Roman"/>
        </w:rPr>
        <w:t>February 15</w:t>
      </w:r>
      <w:r w:rsidR="00ED75AF">
        <w:rPr>
          <w:rFonts w:cs="Times New Roman"/>
        </w:rPr>
        <w:t xml:space="preserve">, </w:t>
      </w:r>
      <w:r w:rsidR="00521A81">
        <w:rPr>
          <w:rFonts w:cs="Times New Roman"/>
        </w:rPr>
        <w:lastRenderedPageBreak/>
        <w:t>2015</w:t>
      </w:r>
      <w:r w:rsidR="00ED75AF">
        <w:rPr>
          <w:rFonts w:cs="Times New Roman"/>
        </w:rPr>
        <w:t xml:space="preserve">, </w:t>
      </w:r>
      <w:r w:rsidR="00ED75AF" w:rsidRPr="003D0F77">
        <w:rPr>
          <w:rFonts w:cs="Times New Roman"/>
        </w:rPr>
        <w:t>ha</w:t>
      </w:r>
      <w:r w:rsidR="00ED75AF">
        <w:rPr>
          <w:rFonts w:cs="Times New Roman"/>
        </w:rPr>
        <w:t>s</w:t>
      </w:r>
      <w:r w:rsidR="00ED75AF" w:rsidRPr="003D0F77">
        <w:rPr>
          <w:rFonts w:cs="Times New Roman"/>
        </w:rPr>
        <w:t xml:space="preserve"> </w:t>
      </w:r>
      <w:r w:rsidR="00ED75AF">
        <w:rPr>
          <w:rFonts w:cs="Times New Roman"/>
        </w:rPr>
        <w:t>at a minimum provided</w:t>
      </w:r>
      <w:r w:rsidR="00ED75AF" w:rsidRPr="003D0F77">
        <w:rPr>
          <w:rFonts w:cs="Times New Roman"/>
        </w:rPr>
        <w:t xml:space="preserve"> their contact information, regardless of how far they </w:t>
      </w:r>
      <w:r w:rsidR="00ED75AF">
        <w:rPr>
          <w:rFonts w:cs="Times New Roman"/>
        </w:rPr>
        <w:t>have gotten</w:t>
      </w:r>
      <w:r w:rsidR="00ED75AF" w:rsidRPr="003D0F77">
        <w:rPr>
          <w:rFonts w:cs="Times New Roman"/>
        </w:rPr>
        <w:t xml:space="preserve"> in the application and enrollment process.</w:t>
      </w:r>
      <w:r w:rsidR="00ED75AF">
        <w:rPr>
          <w:rFonts w:cs="Times New Roman"/>
        </w:rPr>
        <w:t xml:space="preserve"> </w:t>
      </w:r>
    </w:p>
    <w:p w14:paraId="796B8DFC" w14:textId="09F031A9" w:rsidR="00ED75AF" w:rsidRDefault="005506B3" w:rsidP="00F523A8">
      <w:pPr>
        <w:pStyle w:val="PBodyText"/>
        <w:spacing w:after="120"/>
        <w:rPr>
          <w:rFonts w:cs="Times New Roman"/>
        </w:rPr>
      </w:pPr>
      <w:r>
        <w:rPr>
          <w:rFonts w:cs="Times New Roman"/>
        </w:rPr>
        <w:t xml:space="preserve">In the time between sampling activities for the </w:t>
      </w:r>
      <w:r w:rsidR="009D46D8">
        <w:rPr>
          <w:rFonts w:cs="Times New Roman"/>
        </w:rPr>
        <w:t>psychometric test</w:t>
      </w:r>
      <w:r>
        <w:rPr>
          <w:rFonts w:cs="Times New Roman"/>
        </w:rPr>
        <w:t xml:space="preserve"> and the beta test, </w:t>
      </w:r>
      <w:r w:rsidR="00ED75AF">
        <w:rPr>
          <w:rFonts w:cs="Times New Roman"/>
        </w:rPr>
        <w:t>CMS work</w:t>
      </w:r>
      <w:r w:rsidR="00392189">
        <w:rPr>
          <w:rFonts w:cs="Times New Roman"/>
        </w:rPr>
        <w:t>ed</w:t>
      </w:r>
      <w:r w:rsidR="00ED75AF">
        <w:rPr>
          <w:rFonts w:cs="Times New Roman"/>
        </w:rPr>
        <w:t xml:space="preserve"> with its contractors to try to resolve</w:t>
      </w:r>
      <w:r w:rsidR="003A226D">
        <w:rPr>
          <w:rFonts w:cs="Times New Roman"/>
        </w:rPr>
        <w:t xml:space="preserve"> the </w:t>
      </w:r>
      <w:r>
        <w:rPr>
          <w:rFonts w:cs="Times New Roman"/>
        </w:rPr>
        <w:t xml:space="preserve">sampling frame </w:t>
      </w:r>
      <w:r w:rsidR="003A226D">
        <w:rPr>
          <w:rFonts w:cs="Times New Roman"/>
        </w:rPr>
        <w:t xml:space="preserve">limitations associated with </w:t>
      </w:r>
      <w:r w:rsidR="009A21C3">
        <w:rPr>
          <w:rFonts w:cs="Times New Roman"/>
        </w:rPr>
        <w:t>State Based Marketplaces</w:t>
      </w:r>
      <w:r w:rsidR="003A226D">
        <w:rPr>
          <w:rFonts w:cs="Times New Roman"/>
        </w:rPr>
        <w:t>.</w:t>
      </w:r>
      <w:r w:rsidR="009A21C3">
        <w:rPr>
          <w:rFonts w:cs="Times New Roman"/>
        </w:rPr>
        <w:t xml:space="preserve">  During this time, CMS determined that participation in the 2015 beta test would be optional and CMS </w:t>
      </w:r>
      <w:r w:rsidR="00392189">
        <w:rPr>
          <w:rFonts w:cs="Times New Roman"/>
        </w:rPr>
        <w:t>and</w:t>
      </w:r>
      <w:r w:rsidR="009A21C3">
        <w:rPr>
          <w:rFonts w:cs="Times New Roman"/>
        </w:rPr>
        <w:t xml:space="preserve"> its contracotrs worked with the 14 states that planned to operate a SBM for the 2014</w:t>
      </w:r>
      <w:r w:rsidR="009D55AB">
        <w:rPr>
          <w:rFonts w:cs="Times New Roman"/>
        </w:rPr>
        <w:t>–</w:t>
      </w:r>
      <w:r w:rsidR="009A21C3">
        <w:rPr>
          <w:rFonts w:cs="Times New Roman"/>
        </w:rPr>
        <w:t>2015 Open Enrollment Period</w:t>
      </w:r>
      <w:r w:rsidR="008C140F">
        <w:rPr>
          <w:rFonts w:cs="Times New Roman"/>
        </w:rPr>
        <w:t xml:space="preserve"> to determine whether SBMs were </w:t>
      </w:r>
      <w:r w:rsidR="00174215">
        <w:rPr>
          <w:rFonts w:cs="Times New Roman"/>
        </w:rPr>
        <w:t>interested in participating</w:t>
      </w:r>
      <w:r w:rsidR="008C140F">
        <w:rPr>
          <w:rFonts w:cs="Times New Roman"/>
        </w:rPr>
        <w:t xml:space="preserve"> in the beta test</w:t>
      </w:r>
      <w:r w:rsidR="009A21C3">
        <w:rPr>
          <w:rFonts w:cs="Times New Roman"/>
        </w:rPr>
        <w:t xml:space="preserve">. Through these efforts, seven SBM states </w:t>
      </w:r>
      <w:r w:rsidR="009A21C3" w:rsidRPr="00D94F0D">
        <w:rPr>
          <w:rFonts w:cs="Times New Roman"/>
        </w:rPr>
        <w:t>(CA, CT, HI, KY, MN, RI, WA) have indicated that they will voluntarily participate in the beta test</w:t>
      </w:r>
      <w:r w:rsidR="008C140F">
        <w:rPr>
          <w:rFonts w:cs="Times New Roman"/>
        </w:rPr>
        <w:t>. In total, the Marketplace Survey beta test will be conducted in 44 states, including the 37 states u</w:t>
      </w:r>
      <w:r w:rsidR="00392189">
        <w:rPr>
          <w:rFonts w:cs="Times New Roman"/>
        </w:rPr>
        <w:t>sing</w:t>
      </w:r>
      <w:r w:rsidR="008C140F">
        <w:rPr>
          <w:rFonts w:cs="Times New Roman"/>
        </w:rPr>
        <w:t xml:space="preserve"> the FFM and the 7 </w:t>
      </w:r>
      <w:r w:rsidR="00392189">
        <w:rPr>
          <w:rFonts w:cs="Times New Roman"/>
        </w:rPr>
        <w:t xml:space="preserve">SBM </w:t>
      </w:r>
      <w:r w:rsidR="008C140F">
        <w:rPr>
          <w:rFonts w:cs="Times New Roman"/>
        </w:rPr>
        <w:t xml:space="preserve">states who have agreed to participate.  </w:t>
      </w:r>
    </w:p>
    <w:p w14:paraId="796B8DFD" w14:textId="77777777" w:rsidR="00101D3E" w:rsidRDefault="00101D3E" w:rsidP="006E4C37">
      <w:pPr>
        <w:pStyle w:val="Heading3"/>
      </w:pPr>
      <w:bookmarkStart w:id="88" w:name="_Toc375154522"/>
      <w:bookmarkStart w:id="89" w:name="_Toc396204801"/>
      <w:r>
        <w:t>1.1</w:t>
      </w:r>
      <w:r w:rsidR="002B52F1">
        <w:t>.</w:t>
      </w:r>
      <w:r w:rsidR="00887DE6">
        <w:t>2</w:t>
      </w:r>
      <w:r w:rsidR="00096197">
        <w:tab/>
      </w:r>
      <w:bookmarkEnd w:id="88"/>
      <w:r w:rsidR="00887DE6">
        <w:t>Sample Size Calculations</w:t>
      </w:r>
      <w:bookmarkEnd w:id="89"/>
    </w:p>
    <w:p w14:paraId="796B8DFE" w14:textId="77777777" w:rsidR="0098465D" w:rsidRDefault="0098465D" w:rsidP="00F523A8">
      <w:pPr>
        <w:pStyle w:val="PBodyText"/>
        <w:spacing w:after="120"/>
      </w:pPr>
      <w:r>
        <w:t>Sample size is calculated first by determining the minimum number of completed responses need</w:t>
      </w:r>
      <w:r w:rsidR="003A226D">
        <w:t>ed</w:t>
      </w:r>
      <w:r>
        <w:t xml:space="preserve"> to meet the goals of the data collection, and second</w:t>
      </w:r>
      <w:r w:rsidR="003A226D">
        <w:t xml:space="preserve"> by</w:t>
      </w:r>
      <w:r>
        <w:t xml:space="preserve"> inflating that number by a large enough factor to account for</w:t>
      </w:r>
      <w:r w:rsidR="00284719">
        <w:t xml:space="preserve"> the estimated rate of </w:t>
      </w:r>
      <w:r>
        <w:t xml:space="preserve">survey non-response. </w:t>
      </w:r>
    </w:p>
    <w:p w14:paraId="796B8DFF" w14:textId="77777777" w:rsidR="0098465D" w:rsidRDefault="0098465D" w:rsidP="00F523A8">
      <w:pPr>
        <w:pStyle w:val="PBodyText"/>
        <w:spacing w:after="120"/>
      </w:pPr>
      <w:r>
        <w:t xml:space="preserve">We will follow American Association for Public Opinion Research (AAPOR) guidelines in calculating </w:t>
      </w:r>
      <w:r w:rsidR="002B52F1">
        <w:t>response</w:t>
      </w:r>
      <w:r>
        <w:t xml:space="preserve"> rates. The response rate is the result of dividing the number of completed interviews/questionnaires by the number of eligible respondents who were selected to participate. Potential respondents fall into the following categories: </w:t>
      </w:r>
    </w:p>
    <w:p w14:paraId="796B8E00" w14:textId="77777777" w:rsidR="0098465D" w:rsidRDefault="0098465D" w:rsidP="00F71359">
      <w:pPr>
        <w:pStyle w:val="PBodyText"/>
        <w:numPr>
          <w:ilvl w:val="0"/>
          <w:numId w:val="53"/>
        </w:numPr>
      </w:pPr>
      <w:r>
        <w:t>Eligible and interview completed (c).</w:t>
      </w:r>
    </w:p>
    <w:p w14:paraId="796B8E01" w14:textId="77777777" w:rsidR="0098465D" w:rsidRDefault="0098465D" w:rsidP="00F71359">
      <w:pPr>
        <w:pStyle w:val="PBodyText"/>
        <w:numPr>
          <w:ilvl w:val="0"/>
          <w:numId w:val="53"/>
        </w:numPr>
      </w:pPr>
      <w:r>
        <w:t xml:space="preserve">Eligible and not interviewed (e). </w:t>
      </w:r>
    </w:p>
    <w:p w14:paraId="796B8E02" w14:textId="77777777" w:rsidR="0098465D" w:rsidRDefault="0098465D" w:rsidP="00F71359">
      <w:pPr>
        <w:pStyle w:val="PBodyText"/>
        <w:numPr>
          <w:ilvl w:val="0"/>
          <w:numId w:val="53"/>
        </w:numPr>
      </w:pPr>
      <w:r>
        <w:t>Ineligible (e.g., out of scope</w:t>
      </w:r>
      <w:r w:rsidR="006373A0">
        <w:t>; only potential respondents who have explicitly indicated ineligibility are included here</w:t>
      </w:r>
      <w:r>
        <w:t xml:space="preserve">) (i). </w:t>
      </w:r>
    </w:p>
    <w:p w14:paraId="796B8E03" w14:textId="77777777" w:rsidR="0098465D" w:rsidRDefault="0098465D" w:rsidP="00F71359">
      <w:pPr>
        <w:pStyle w:val="PBodyText"/>
        <w:numPr>
          <w:ilvl w:val="0"/>
          <w:numId w:val="53"/>
        </w:numPr>
      </w:pPr>
      <w:r>
        <w:t xml:space="preserve">Unable to determine eligibility (u). </w:t>
      </w:r>
    </w:p>
    <w:p w14:paraId="0DC34A38" w14:textId="6506C46C" w:rsidR="00BB0D9D" w:rsidRDefault="00F71359" w:rsidP="00FC30A4">
      <w:pPr>
        <w:pStyle w:val="PBodyText"/>
      </w:pPr>
      <w:r w:rsidRPr="00FC30A4">
        <w:t>According to AAPOR guidelines, the total number of participants selected to be surveyed (n) is the sum of eligible and completed (c), eligible and not interviewed (e), ineligible (i), and unable to determine eligibility (u). That is n = c + e + i + u. By design, our survey sampling frames will only include eligible individuals, with eligibility determined using administrative data from CMS databases. However, among those with unknown eligibility (u), there is likely to be a small proportion (x) who may in fact be ineligible. This proportion</w:t>
      </w:r>
      <w:r w:rsidR="00BB0D9D">
        <w:t xml:space="preserve"> (u)</w:t>
      </w:r>
      <w:r w:rsidRPr="00FC30A4">
        <w:t xml:space="preserve"> will be estimated using the following formula: </w:t>
      </w:r>
    </w:p>
    <w:p w14:paraId="299A0394" w14:textId="1E8B8AA5" w:rsidR="00BB0D9D" w:rsidRPr="009B5BEC" w:rsidRDefault="00F848A9" w:rsidP="00FC30A4">
      <w:pPr>
        <w:pStyle w:val="PBodyText"/>
      </w:pPr>
      <m:oMathPara>
        <m:oMath>
          <m:r>
            <m:rPr>
              <m:sty m:val="p"/>
            </m:rPr>
            <w:rPr>
              <w:rFonts w:ascii="Cambria Math" w:hAnsi="Cambria Math"/>
            </w:rPr>
            <m:t>x=</m:t>
          </m:r>
          <m:f>
            <m:fPr>
              <m:ctrlPr>
                <w:rPr>
                  <w:rFonts w:ascii="Cambria Math" w:hAnsi="Cambria Math"/>
                </w:rPr>
              </m:ctrlPr>
            </m:fPr>
            <m:num>
              <m:r>
                <m:rPr>
                  <m:sty m:val="p"/>
                </m:rPr>
                <w:rPr>
                  <w:rFonts w:ascii="Cambria Math" w:hAnsi="Cambria Math"/>
                </w:rPr>
                <m:t>c+e</m:t>
              </m:r>
            </m:num>
            <m:den>
              <m:r>
                <m:rPr>
                  <m:sty m:val="p"/>
                </m:rPr>
                <w:rPr>
                  <w:rFonts w:ascii="Cambria Math" w:hAnsi="Cambria Math"/>
                </w:rPr>
                <m:t>c+e+i</m:t>
              </m:r>
            </m:den>
          </m:f>
        </m:oMath>
      </m:oMathPara>
    </w:p>
    <w:p w14:paraId="796B8E04" w14:textId="1802F8D9" w:rsidR="00F71359" w:rsidRDefault="00F71359" w:rsidP="00FC30A4">
      <w:pPr>
        <w:pStyle w:val="PBodyText"/>
      </w:pPr>
      <w:r w:rsidRPr="00FC30A4">
        <w:t xml:space="preserve">The response rate will then be calculated as:  </w:t>
      </w:r>
    </w:p>
    <w:p w14:paraId="4EC25D01" w14:textId="48D3F67C" w:rsidR="00BB0D9D" w:rsidRPr="009B5BEC" w:rsidRDefault="009B5BEC" w:rsidP="00FC30A4">
      <w:pPr>
        <w:pStyle w:val="PBodyText"/>
      </w:pPr>
      <m:oMathPara>
        <m:oMath>
          <m:r>
            <m:rPr>
              <m:sty m:val="p"/>
            </m:rPr>
            <w:rPr>
              <w:rFonts w:ascii="Cambria Math" w:hAnsi="Cambria Math"/>
            </w:rPr>
            <m:t xml:space="preserve">Response Rate (RR)= </m:t>
          </m:r>
          <m:f>
            <m:fPr>
              <m:ctrlPr>
                <w:rPr>
                  <w:rFonts w:ascii="Cambria Math" w:hAnsi="Cambria Math"/>
                </w:rPr>
              </m:ctrlPr>
            </m:fPr>
            <m:num>
              <m:r>
                <m:rPr>
                  <m:sty m:val="p"/>
                </m:rPr>
                <w:rPr>
                  <w:rFonts w:ascii="Cambria Math" w:hAnsi="Cambria Math"/>
                </w:rPr>
                <m:t>c</m:t>
              </m:r>
            </m:num>
            <m:den>
              <m:r>
                <m:rPr>
                  <m:sty m:val="p"/>
                </m:rPr>
                <w:rPr>
                  <w:rFonts w:ascii="Cambria Math" w:hAnsi="Cambria Math"/>
                </w:rPr>
                <m:t>c+e+(x*u)</m:t>
              </m:r>
            </m:den>
          </m:f>
        </m:oMath>
      </m:oMathPara>
    </w:p>
    <w:p w14:paraId="796B8E06" w14:textId="77777777" w:rsidR="009520FB" w:rsidRDefault="009520FB" w:rsidP="009520FB">
      <w:pPr>
        <w:pStyle w:val="PBodyText"/>
      </w:pPr>
      <w:r>
        <w:t xml:space="preserve">In the above formula, the denominator includes all original survey units that were identified as being eligible, including units with pending responses with no data received, post office returns </w:t>
      </w:r>
      <w:r>
        <w:lastRenderedPageBreak/>
        <w:t xml:space="preserve">because of “undeliverable as addressed,” and any new eligible units added to the survey. The denominator will not include units deemed out-of-scope, or duplicates. </w:t>
      </w:r>
    </w:p>
    <w:p w14:paraId="796B8E07" w14:textId="4E553BCB" w:rsidR="004209B0" w:rsidRDefault="0098465D" w:rsidP="0098465D">
      <w:pPr>
        <w:pStyle w:val="PBodyText"/>
      </w:pPr>
      <w:r>
        <w:t xml:space="preserve">Sometimes only partial interviews </w:t>
      </w:r>
      <w:r w:rsidR="004209B0">
        <w:t>will be</w:t>
      </w:r>
      <w:r>
        <w:t xml:space="preserve"> obtained due to a respondent’s breaking off an interview or completing only part of a mailed questionnaire. </w:t>
      </w:r>
      <w:r w:rsidR="004209B0">
        <w:t>For the proposed data collections, CMS will follow the CAHPS standard</w:t>
      </w:r>
      <w:r w:rsidR="003A226D">
        <w:t xml:space="preserve">: </w:t>
      </w:r>
      <w:r w:rsidR="004209B0">
        <w:t>a questionnaire will be considered complete if responses are available for 50% or more of a selected list of key survey items</w:t>
      </w:r>
      <w:r w:rsidR="00174215">
        <w:rPr>
          <w:rFonts w:cs="Times New Roman"/>
        </w:rPr>
        <w:t>—</w:t>
      </w:r>
      <w:r w:rsidR="004209B0">
        <w:t>the items that all respondents are eligible to answer.</w:t>
      </w:r>
    </w:p>
    <w:p w14:paraId="72D379C9" w14:textId="5E55AE3B" w:rsidR="00101960" w:rsidRPr="00A8214B" w:rsidRDefault="00D2483D" w:rsidP="00714E0C">
      <w:pPr>
        <w:pStyle w:val="PBodyText"/>
        <w:rPr>
          <w:i/>
        </w:rPr>
      </w:pPr>
      <w:r w:rsidRPr="00A8214B">
        <w:rPr>
          <w:i/>
        </w:rPr>
        <w:t>Response Rate</w:t>
      </w:r>
      <w:r w:rsidR="00101960" w:rsidRPr="00101960">
        <w:rPr>
          <w:i/>
        </w:rPr>
        <w:t xml:space="preserve"> Estimate</w:t>
      </w:r>
      <w:r w:rsidR="00101960">
        <w:rPr>
          <w:i/>
        </w:rPr>
        <w:t>s</w:t>
      </w:r>
      <w:r w:rsidRPr="00A8214B">
        <w:rPr>
          <w:i/>
        </w:rPr>
        <w:t xml:space="preserve"> </w:t>
      </w:r>
    </w:p>
    <w:p w14:paraId="6AC5076E" w14:textId="0E814DFF" w:rsidR="008C140F" w:rsidRDefault="00101D3E" w:rsidP="00714E0C">
      <w:pPr>
        <w:pStyle w:val="PBodyText"/>
      </w:pPr>
      <w:r>
        <w:t xml:space="preserve">Total required sample size is a function of the </w:t>
      </w:r>
      <w:r w:rsidR="0073257D">
        <w:t xml:space="preserve">purpose of a given component of this study and the </w:t>
      </w:r>
      <w:r>
        <w:t xml:space="preserve">desired number of completes divided by the estimated overall response rate calculated as described above. Historically, response rates for CAHPS surveys span a fairly wide range. The 2012 Commercial </w:t>
      </w:r>
      <w:r w:rsidR="005362B1">
        <w:t xml:space="preserve">Health Plan </w:t>
      </w:r>
      <w:r>
        <w:t xml:space="preserve">CAHPS response rates are approximately 30% and Medicaid CAHPS response rates are approximately 27%. In the recent </w:t>
      </w:r>
      <w:r w:rsidR="009D46D8">
        <w:t>psychometric test</w:t>
      </w:r>
      <w:r>
        <w:t xml:space="preserve"> of the CAHPS survey for Cancer Care, </w:t>
      </w:r>
      <w:r w:rsidR="003E4E12">
        <w:t>the</w:t>
      </w:r>
      <w:r>
        <w:t xml:space="preserve"> response rate </w:t>
      </w:r>
      <w:r w:rsidR="003E4E12">
        <w:t xml:space="preserve">was </w:t>
      </w:r>
      <w:r>
        <w:t xml:space="preserve">48%; for the Dental CAHPS </w:t>
      </w:r>
      <w:r w:rsidR="009D46D8">
        <w:t>psychometric test</w:t>
      </w:r>
      <w:r>
        <w:t xml:space="preserve"> and early implementation, response rates ranged from as low as 40% to as high as 70% in some population segments. Based on experience with </w:t>
      </w:r>
      <w:r w:rsidR="009D46D8">
        <w:t>psychometric test</w:t>
      </w:r>
      <w:r>
        <w:t xml:space="preserve">s of several different CAHPS instruments, </w:t>
      </w:r>
      <w:r w:rsidR="00E63964">
        <w:t xml:space="preserve">and in light of the relatively low response rates obtained with the Medicaid population (which is similar to the Marketplace population) and with the Commercial Health Plan CAHPS survey (which is similar to our QHP Enrollee survey), </w:t>
      </w:r>
      <w:r w:rsidR="003E4E12">
        <w:t>CMS assume</w:t>
      </w:r>
      <w:r w:rsidR="00BE4F5E">
        <w:t>d</w:t>
      </w:r>
      <w:r w:rsidR="003E4E12">
        <w:t xml:space="preserve"> </w:t>
      </w:r>
      <w:r w:rsidR="00BE4F5E">
        <w:t xml:space="preserve">that </w:t>
      </w:r>
      <w:r w:rsidR="003E4E12">
        <w:t xml:space="preserve">the </w:t>
      </w:r>
      <w:r>
        <w:t>overall response rate</w:t>
      </w:r>
      <w:r w:rsidR="003E4E12">
        <w:t xml:space="preserve"> </w:t>
      </w:r>
      <w:r w:rsidR="007D2493">
        <w:t>for both surveys</w:t>
      </w:r>
      <w:r w:rsidR="009F3040">
        <w:t xml:space="preserve"> </w:t>
      </w:r>
      <w:r w:rsidR="00BE4F5E">
        <w:t xml:space="preserve">would </w:t>
      </w:r>
      <w:r w:rsidR="003E4E12">
        <w:t xml:space="preserve">be </w:t>
      </w:r>
      <w:r w:rsidR="00625CD0">
        <w:t>3</w:t>
      </w:r>
      <w:r w:rsidR="003E4E12">
        <w:t>0</w:t>
      </w:r>
      <w:r w:rsidR="00754548">
        <w:t xml:space="preserve">%. </w:t>
      </w:r>
      <w:r w:rsidR="009F3040">
        <w:t>Observed response rates from the psychometric test varied by both mode and language.</w:t>
      </w:r>
    </w:p>
    <w:p w14:paraId="3BA70AFA" w14:textId="6A3D63FC" w:rsidR="008B1572" w:rsidRDefault="00782BF3" w:rsidP="001A53FC">
      <w:pPr>
        <w:pStyle w:val="PBodyText"/>
        <w:rPr>
          <w:rFonts w:cs="Times New Roman"/>
        </w:rPr>
      </w:pPr>
      <w:r>
        <w:rPr>
          <w:rFonts w:cs="Times New Roman"/>
        </w:rPr>
        <w:t>For the psychometric test, t</w:t>
      </w:r>
      <w:r w:rsidR="00AC1C7B">
        <w:rPr>
          <w:rFonts w:cs="Times New Roman"/>
        </w:rPr>
        <w:t>he</w:t>
      </w:r>
      <w:r w:rsidR="00B009DF">
        <w:rPr>
          <w:rFonts w:cs="Times New Roman"/>
        </w:rPr>
        <w:t xml:space="preserve"> Spanish and Chinese versions of the survey </w:t>
      </w:r>
      <w:r w:rsidR="00032024">
        <w:rPr>
          <w:rFonts w:cs="Times New Roman"/>
        </w:rPr>
        <w:t>were conducted</w:t>
      </w:r>
      <w:r w:rsidR="00B009DF">
        <w:rPr>
          <w:rFonts w:cs="Times New Roman"/>
        </w:rPr>
        <w:t xml:space="preserve"> via </w:t>
      </w:r>
      <w:r w:rsidR="002B52F1">
        <w:rPr>
          <w:rFonts w:cs="Times New Roman"/>
        </w:rPr>
        <w:t>mail</w:t>
      </w:r>
      <w:r w:rsidR="00032024">
        <w:rPr>
          <w:rFonts w:cs="Times New Roman"/>
        </w:rPr>
        <w:t xml:space="preserve"> only</w:t>
      </w:r>
      <w:r w:rsidR="00CF2623">
        <w:rPr>
          <w:rFonts w:cs="Times New Roman"/>
        </w:rPr>
        <w:t>. This decision was made</w:t>
      </w:r>
      <w:r w:rsidR="00AC1C7B">
        <w:rPr>
          <w:rFonts w:cs="Times New Roman"/>
        </w:rPr>
        <w:t xml:space="preserve"> because the small Chinese and Spanish samples proposed </w:t>
      </w:r>
      <w:r w:rsidR="00032024">
        <w:rPr>
          <w:rFonts w:cs="Times New Roman"/>
        </w:rPr>
        <w:t xml:space="preserve">did </w:t>
      </w:r>
      <w:r w:rsidR="00AC1C7B">
        <w:rPr>
          <w:rFonts w:cs="Times New Roman"/>
        </w:rPr>
        <w:t>not justify the expense of developing Chinese and Spanish versions of the CATI and Internet programs</w:t>
      </w:r>
      <w:r w:rsidR="00B009DF">
        <w:rPr>
          <w:rFonts w:cs="Times New Roman"/>
        </w:rPr>
        <w:t xml:space="preserve">. </w:t>
      </w:r>
      <w:r w:rsidR="00032024">
        <w:rPr>
          <w:rFonts w:cs="Times New Roman"/>
        </w:rPr>
        <w:t>We hypothesized that t</w:t>
      </w:r>
      <w:r w:rsidR="00B009DF">
        <w:rPr>
          <w:rFonts w:cs="Times New Roman"/>
        </w:rPr>
        <w:t xml:space="preserve">he lack of a phone option for individuals who prefer Spanish and Chinese </w:t>
      </w:r>
      <w:r w:rsidR="007D2493">
        <w:rPr>
          <w:rFonts w:cs="Times New Roman"/>
        </w:rPr>
        <w:t xml:space="preserve">might </w:t>
      </w:r>
      <w:r w:rsidR="00B009DF">
        <w:rPr>
          <w:rFonts w:cs="Times New Roman"/>
        </w:rPr>
        <w:t xml:space="preserve">reduce the likelihood that those individuals </w:t>
      </w:r>
      <w:r w:rsidR="00032024">
        <w:rPr>
          <w:rFonts w:cs="Times New Roman"/>
        </w:rPr>
        <w:t xml:space="preserve">would </w:t>
      </w:r>
      <w:r w:rsidR="00B009DF">
        <w:rPr>
          <w:rFonts w:cs="Times New Roman"/>
        </w:rPr>
        <w:t>respond to or complete the survey</w:t>
      </w:r>
      <w:r w:rsidR="008B1572">
        <w:rPr>
          <w:rFonts w:cs="Times New Roman"/>
        </w:rPr>
        <w:t xml:space="preserve">. Observed response rates in the psychometric test were indeed lower for consumers with a Spanish language preference, but </w:t>
      </w:r>
      <w:r w:rsidR="009F3040">
        <w:rPr>
          <w:rFonts w:cs="Times New Roman"/>
        </w:rPr>
        <w:t xml:space="preserve">they were </w:t>
      </w:r>
      <w:r w:rsidR="008B1572">
        <w:rPr>
          <w:rFonts w:cs="Times New Roman"/>
        </w:rPr>
        <w:t>higher for those with a Chinese language preference.</w:t>
      </w:r>
    </w:p>
    <w:p w14:paraId="45CD2CF4" w14:textId="17EFB52A" w:rsidR="00032024" w:rsidRDefault="008B1572" w:rsidP="00FF58F8">
      <w:pPr>
        <w:spacing w:after="200"/>
      </w:pPr>
      <w:r>
        <w:rPr>
          <w:rFonts w:cs="Times New Roman"/>
        </w:rPr>
        <w:t xml:space="preserve">Another problem with using a mail-only mode with non-English consumers is the potential bias stemming from </w:t>
      </w:r>
      <w:r w:rsidR="00B009DF">
        <w:rPr>
          <w:rFonts w:cs="Times New Roman"/>
        </w:rPr>
        <w:t>situations where non-English speakers have lower literacy</w:t>
      </w:r>
      <w:r w:rsidR="00032024">
        <w:rPr>
          <w:rFonts w:cs="Times New Roman"/>
        </w:rPr>
        <w:t>. We reasoned that</w:t>
      </w:r>
      <w:r w:rsidR="00B009DF">
        <w:rPr>
          <w:rFonts w:cs="Times New Roman"/>
        </w:rPr>
        <w:t xml:space="preserve"> such individuals </w:t>
      </w:r>
      <w:r w:rsidR="00AE0200">
        <w:rPr>
          <w:rFonts w:cs="Times New Roman"/>
        </w:rPr>
        <w:t>would be better</w:t>
      </w:r>
      <w:r w:rsidR="00B009DF">
        <w:rPr>
          <w:rFonts w:cs="Times New Roman"/>
        </w:rPr>
        <w:t xml:space="preserve"> able to complete a phone survey </w:t>
      </w:r>
      <w:r>
        <w:rPr>
          <w:rFonts w:cs="Times New Roman"/>
        </w:rPr>
        <w:t xml:space="preserve">compared to </w:t>
      </w:r>
      <w:r w:rsidR="00B009DF">
        <w:rPr>
          <w:rFonts w:cs="Times New Roman"/>
        </w:rPr>
        <w:t xml:space="preserve">a mail or web survey. </w:t>
      </w:r>
      <w:r>
        <w:rPr>
          <w:rFonts w:cs="Times New Roman"/>
        </w:rPr>
        <w:t>Thus, l</w:t>
      </w:r>
      <w:r w:rsidR="00032024">
        <w:rPr>
          <w:rFonts w:cs="Times New Roman"/>
        </w:rPr>
        <w:t>imiting data collection to the mail mode only might</w:t>
      </w:r>
      <w:r w:rsidR="00B009DF">
        <w:rPr>
          <w:rFonts w:cs="Times New Roman"/>
        </w:rPr>
        <w:t xml:space="preserve"> </w:t>
      </w:r>
      <w:r w:rsidR="00FA563C">
        <w:rPr>
          <w:rFonts w:cs="Times New Roman"/>
        </w:rPr>
        <w:t xml:space="preserve">have excluded </w:t>
      </w:r>
      <w:r w:rsidR="00B009DF">
        <w:rPr>
          <w:rFonts w:cs="Times New Roman"/>
        </w:rPr>
        <w:t xml:space="preserve">some of the </w:t>
      </w:r>
      <w:r w:rsidR="00032024">
        <w:rPr>
          <w:rFonts w:cs="Times New Roman"/>
        </w:rPr>
        <w:t xml:space="preserve">more </w:t>
      </w:r>
      <w:r w:rsidR="00B009DF">
        <w:rPr>
          <w:rFonts w:cs="Times New Roman"/>
        </w:rPr>
        <w:t xml:space="preserve">vulnerable populations from the </w:t>
      </w:r>
      <w:r w:rsidR="009D46D8">
        <w:rPr>
          <w:rFonts w:cs="Times New Roman"/>
        </w:rPr>
        <w:t>psychometric test</w:t>
      </w:r>
      <w:r w:rsidR="00B009DF">
        <w:rPr>
          <w:rFonts w:cs="Times New Roman"/>
        </w:rPr>
        <w:t xml:space="preserve"> data collection – non-English speakers who have trouble reading or writing</w:t>
      </w:r>
      <w:r w:rsidR="00032024">
        <w:rPr>
          <w:rFonts w:cs="Times New Roman"/>
        </w:rPr>
        <w:t>, even</w:t>
      </w:r>
      <w:r w:rsidR="00B009DF">
        <w:rPr>
          <w:rFonts w:cs="Times New Roman"/>
        </w:rPr>
        <w:t xml:space="preserve"> in their native language.</w:t>
      </w:r>
      <w:r w:rsidR="00032024" w:rsidRPr="00032024">
        <w:rPr>
          <w:rFonts w:cs="Times New Roman"/>
        </w:rPr>
        <w:t xml:space="preserve"> </w:t>
      </w:r>
      <w:r w:rsidR="00AE0200">
        <w:rPr>
          <w:rFonts w:cs="Times New Roman"/>
        </w:rPr>
        <w:t>For the beta test, all sampled consumers will be surveyed using the mail with phone follow-up mode</w:t>
      </w:r>
      <w:r w:rsidR="007A21C8">
        <w:rPr>
          <w:rFonts w:cs="Times New Roman"/>
        </w:rPr>
        <w:t xml:space="preserve"> and thus we can compare phone responders to mail responders to help determine if phone responders in Chinese and Spanish differ from mail responders in those languages</w:t>
      </w:r>
      <w:r w:rsidR="00AE0200">
        <w:rPr>
          <w:rFonts w:cs="Times New Roman"/>
        </w:rPr>
        <w:t>.</w:t>
      </w:r>
    </w:p>
    <w:p w14:paraId="6CF73291" w14:textId="77777777" w:rsidR="00101960" w:rsidRDefault="008B1572" w:rsidP="00B009DF">
      <w:pPr>
        <w:spacing w:after="200"/>
      </w:pPr>
      <w:r>
        <w:t>For the beta test, t</w:t>
      </w:r>
      <w:r w:rsidR="00233896">
        <w:t>he response rate assumption</w:t>
      </w:r>
      <w:r w:rsidR="00101960">
        <w:t xml:space="preserve">s have </w:t>
      </w:r>
      <w:r w:rsidR="00233896">
        <w:t>been modified based on the results from the psychometric testing phase. Response rates achieved during the psychometric testing of the Marketplace Survey</w:t>
      </w:r>
      <w:r w:rsidR="00032024">
        <w:t xml:space="preserve"> </w:t>
      </w:r>
      <w:r w:rsidR="00101960">
        <w:t xml:space="preserve">were around 24% on average, but, as mentioned above, </w:t>
      </w:r>
      <w:r w:rsidR="00233896">
        <w:t xml:space="preserve">varied by both mode and language. </w:t>
      </w:r>
      <w:r w:rsidR="007A21C8">
        <w:t xml:space="preserve">Mail with phone follow-up </w:t>
      </w:r>
      <w:r w:rsidR="00233896">
        <w:t>obtained the best response rate (32%)</w:t>
      </w:r>
      <w:r w:rsidR="007A21C8">
        <w:t xml:space="preserve">, which is why </w:t>
      </w:r>
      <w:r w:rsidR="007A21C8">
        <w:lastRenderedPageBreak/>
        <w:t xml:space="preserve">CMS will be using that mode with </w:t>
      </w:r>
      <w:r w:rsidR="00233896">
        <w:t xml:space="preserve">all three languages during the beta test. </w:t>
      </w:r>
      <w:r w:rsidR="00032024">
        <w:t>Since</w:t>
      </w:r>
      <w:r>
        <w:t>, in the psychometric test,</w:t>
      </w:r>
      <w:r w:rsidR="00032024">
        <w:t xml:space="preserve"> this mode included o</w:t>
      </w:r>
      <w:r w:rsidR="00233896">
        <w:t xml:space="preserve">nly those </w:t>
      </w:r>
      <w:r w:rsidR="00032024">
        <w:t>consumers</w:t>
      </w:r>
      <w:r w:rsidR="00233896">
        <w:t xml:space="preserve"> in the E</w:t>
      </w:r>
      <w:r w:rsidR="00032024">
        <w:t>nglish sample, we do not know at this time what response rates will be achieved using this mode among the consumers with a Chines</w:t>
      </w:r>
      <w:r w:rsidR="0002449A">
        <w:t>e</w:t>
      </w:r>
      <w:r w:rsidR="00032024">
        <w:t xml:space="preserve"> or Spanish language preference.</w:t>
      </w:r>
      <w:r w:rsidR="00233896">
        <w:t xml:space="preserve"> </w:t>
      </w:r>
    </w:p>
    <w:p w14:paraId="22B98397" w14:textId="04CC9879" w:rsidR="00782BF3" w:rsidRPr="0064143D" w:rsidRDefault="00782BF3" w:rsidP="00B009DF">
      <w:pPr>
        <w:spacing w:after="200"/>
        <w:rPr>
          <w:rFonts w:cs="Times New Roman"/>
        </w:rPr>
      </w:pPr>
      <w:r>
        <w:rPr>
          <w:rFonts w:cs="Times New Roman"/>
        </w:rPr>
        <w:t xml:space="preserve">During the psychometric test, the </w:t>
      </w:r>
      <w:r w:rsidR="0002449A">
        <w:rPr>
          <w:rFonts w:cs="Times New Roman"/>
        </w:rPr>
        <w:t xml:space="preserve">response rates for the </w:t>
      </w:r>
      <w:r>
        <w:rPr>
          <w:rFonts w:cs="Times New Roman"/>
        </w:rPr>
        <w:t>Chinese</w:t>
      </w:r>
      <w:r w:rsidR="0002449A">
        <w:rPr>
          <w:rFonts w:cs="Times New Roman"/>
        </w:rPr>
        <w:t xml:space="preserve">, English, and Spanish samples were </w:t>
      </w:r>
      <w:r>
        <w:rPr>
          <w:rFonts w:cs="Times New Roman"/>
        </w:rPr>
        <w:t>36 percent</w:t>
      </w:r>
      <w:r w:rsidR="0002449A">
        <w:rPr>
          <w:rFonts w:cs="Times New Roman"/>
        </w:rPr>
        <w:t xml:space="preserve">, </w:t>
      </w:r>
      <w:r>
        <w:rPr>
          <w:rFonts w:cs="Times New Roman"/>
        </w:rPr>
        <w:t xml:space="preserve">32 percent, and 25 percent </w:t>
      </w:r>
      <w:r w:rsidR="0002449A">
        <w:rPr>
          <w:rFonts w:cs="Times New Roman"/>
        </w:rPr>
        <w:t xml:space="preserve">respectively. The use of a data collection method that includes phone follow-up may increase the response rates for </w:t>
      </w:r>
      <w:r w:rsidR="008B1572">
        <w:rPr>
          <w:rFonts w:cs="Times New Roman"/>
        </w:rPr>
        <w:t>the Spanish and Chinese consumers</w:t>
      </w:r>
      <w:r w:rsidR="0002449A">
        <w:rPr>
          <w:rFonts w:cs="Times New Roman"/>
        </w:rPr>
        <w:t xml:space="preserve">. Among the English language sample, the response rate for the mail-only mode was only 20%, and thus the phone follow-up </w:t>
      </w:r>
      <w:r w:rsidR="008B1572">
        <w:rPr>
          <w:rFonts w:cs="Times New Roman"/>
        </w:rPr>
        <w:t>appears to produce</w:t>
      </w:r>
      <w:r w:rsidR="0002449A">
        <w:rPr>
          <w:rFonts w:cs="Times New Roman"/>
        </w:rPr>
        <w:t xml:space="preserve"> a 12 percentage point increase in the response rate</w:t>
      </w:r>
      <w:r w:rsidR="00FA563C">
        <w:rPr>
          <w:rFonts w:cs="Times New Roman"/>
        </w:rPr>
        <w:t xml:space="preserve"> (an increase of 60%). Comparable increases among the Chinese and Spanish samples </w:t>
      </w:r>
      <w:r w:rsidR="00101960">
        <w:rPr>
          <w:rFonts w:cs="Times New Roman"/>
        </w:rPr>
        <w:t xml:space="preserve">during the beta test </w:t>
      </w:r>
      <w:r w:rsidR="00FA563C">
        <w:rPr>
          <w:rFonts w:cs="Times New Roman"/>
        </w:rPr>
        <w:t>would result in response rates of 57 percent and 40 percent respectively</w:t>
      </w:r>
      <w:r w:rsidR="00101960">
        <w:rPr>
          <w:rFonts w:cs="Times New Roman"/>
        </w:rPr>
        <w:t>; however, i</w:t>
      </w:r>
      <w:r w:rsidR="00FA563C">
        <w:rPr>
          <w:rFonts w:cs="Times New Roman"/>
        </w:rPr>
        <w:t>t is unlikely that actual response rates will be this high</w:t>
      </w:r>
      <w:r w:rsidR="00101960">
        <w:rPr>
          <w:rFonts w:cs="Times New Roman"/>
        </w:rPr>
        <w:t xml:space="preserve">. Thus, </w:t>
      </w:r>
      <w:r w:rsidR="00FA563C">
        <w:rPr>
          <w:rFonts w:cs="Times New Roman"/>
        </w:rPr>
        <w:t>for the beta test, we will use the response rates</w:t>
      </w:r>
      <w:r w:rsidR="00101960">
        <w:rPr>
          <w:rFonts w:cs="Times New Roman"/>
        </w:rPr>
        <w:t xml:space="preserve"> observed from the psychometric test data collection in the beta test </w:t>
      </w:r>
      <w:r w:rsidR="00FA563C">
        <w:rPr>
          <w:rFonts w:cs="Times New Roman"/>
        </w:rPr>
        <w:t xml:space="preserve">sample size calculations. </w:t>
      </w:r>
      <w:r>
        <w:rPr>
          <w:rFonts w:cs="Times New Roman"/>
        </w:rPr>
        <w:t>After the beta test, additional analyses will be conducted to determine whether any additional changes are needed to the data collection methods for future versions of this survey.</w:t>
      </w:r>
    </w:p>
    <w:p w14:paraId="796B8E0A" w14:textId="1DE0DAD2" w:rsidR="00887DE6" w:rsidRPr="00096197" w:rsidRDefault="00887DE6" w:rsidP="00887DE6">
      <w:pPr>
        <w:pStyle w:val="Heading4"/>
        <w:spacing w:after="120"/>
      </w:pPr>
      <w:r w:rsidRPr="00096197">
        <w:t>1.</w:t>
      </w:r>
      <w:r>
        <w:t>1.2.1</w:t>
      </w:r>
      <w:r w:rsidRPr="00096197">
        <w:tab/>
      </w:r>
      <w:r w:rsidR="00795494">
        <w:t xml:space="preserve">Marketplace </w:t>
      </w:r>
      <w:r w:rsidR="008936CB">
        <w:t xml:space="preserve">Psychometric </w:t>
      </w:r>
      <w:r w:rsidR="009D46D8">
        <w:t>Test</w:t>
      </w:r>
      <w:r w:rsidR="00DC2D0F">
        <w:t xml:space="preserve"> Sample Size Estimates</w:t>
      </w:r>
    </w:p>
    <w:p w14:paraId="796B8E0B" w14:textId="582962EB" w:rsidR="0080353F" w:rsidRDefault="000E0A34" w:rsidP="00714E0C">
      <w:pPr>
        <w:pStyle w:val="PBodyText"/>
      </w:pPr>
      <w:r>
        <w:t>Our s</w:t>
      </w:r>
      <w:r w:rsidR="0080353F">
        <w:t xml:space="preserve">ample size estimates </w:t>
      </w:r>
      <w:r w:rsidR="00212920">
        <w:t xml:space="preserve">for the </w:t>
      </w:r>
      <w:r w:rsidR="002B52F1">
        <w:t>Marketplace</w:t>
      </w:r>
      <w:r>
        <w:t xml:space="preserve"> Survey </w:t>
      </w:r>
      <w:r w:rsidR="009D46D8">
        <w:t>psychometric test</w:t>
      </w:r>
      <w:r w:rsidR="00212920">
        <w:t xml:space="preserve"> reflect</w:t>
      </w:r>
      <w:r w:rsidR="0030550A">
        <w:t>ed</w:t>
      </w:r>
      <w:r w:rsidR="00212920">
        <w:t xml:space="preserve"> the sample sizes necessary for </w:t>
      </w:r>
      <w:r>
        <w:t xml:space="preserve">fully </w:t>
      </w:r>
      <w:r w:rsidR="0080353F">
        <w:t>evaluating reliability and validity</w:t>
      </w:r>
      <w:r>
        <w:t xml:space="preserve"> of the instrument</w:t>
      </w:r>
      <w:r w:rsidR="0080353F">
        <w:t xml:space="preserve">. </w:t>
      </w:r>
    </w:p>
    <w:p w14:paraId="796B8E0C" w14:textId="38021347" w:rsidR="0080353F" w:rsidRDefault="0080353F" w:rsidP="0080353F">
      <w:pPr>
        <w:spacing w:after="120"/>
        <w:rPr>
          <w:rFonts w:cs="Times New Roman"/>
          <w:szCs w:val="24"/>
        </w:rPr>
      </w:pPr>
      <w:r>
        <w:rPr>
          <w:rFonts w:cs="Times New Roman"/>
          <w:szCs w:val="24"/>
        </w:rPr>
        <w:t>Reliability testing include</w:t>
      </w:r>
      <w:r w:rsidR="00EE719A">
        <w:rPr>
          <w:rFonts w:cs="Times New Roman"/>
          <w:szCs w:val="24"/>
        </w:rPr>
        <w:t>d</w:t>
      </w:r>
      <w:r>
        <w:rPr>
          <w:rFonts w:cs="Times New Roman"/>
          <w:szCs w:val="24"/>
        </w:rPr>
        <w:t xml:space="preserve"> the evaluation of:</w:t>
      </w:r>
    </w:p>
    <w:p w14:paraId="796B8E0D" w14:textId="77777777" w:rsidR="0080353F" w:rsidRDefault="0080353F" w:rsidP="0080353F">
      <w:pPr>
        <w:pStyle w:val="ListParagraph"/>
        <w:numPr>
          <w:ilvl w:val="0"/>
          <w:numId w:val="55"/>
        </w:numPr>
        <w:spacing w:after="120"/>
        <w:rPr>
          <w:rFonts w:ascii="Times New Roman" w:hAnsi="Times New Roman" w:cs="Times New Roman"/>
          <w:sz w:val="24"/>
          <w:szCs w:val="24"/>
        </w:rPr>
      </w:pPr>
      <w:r>
        <w:rPr>
          <w:rFonts w:ascii="Times New Roman" w:hAnsi="Times New Roman" w:cs="Times New Roman"/>
          <w:sz w:val="24"/>
          <w:szCs w:val="24"/>
        </w:rPr>
        <w:t>I</w:t>
      </w:r>
      <w:r w:rsidRPr="00E03825">
        <w:rPr>
          <w:rFonts w:ascii="Times New Roman" w:hAnsi="Times New Roman" w:cs="Times New Roman"/>
          <w:sz w:val="24"/>
          <w:szCs w:val="24"/>
        </w:rPr>
        <w:t xml:space="preserve">nternal consistency reliability </w:t>
      </w:r>
      <w:r w:rsidR="00D06AEA">
        <w:rPr>
          <w:rFonts w:ascii="Times New Roman" w:hAnsi="Times New Roman" w:cs="Times New Roman"/>
          <w:sz w:val="24"/>
          <w:szCs w:val="24"/>
        </w:rPr>
        <w:t xml:space="preserve">(ICR) </w:t>
      </w:r>
      <w:r w:rsidR="000E0A34">
        <w:rPr>
          <w:rFonts w:ascii="Times New Roman" w:hAnsi="Times New Roman" w:cs="Times New Roman"/>
          <w:sz w:val="24"/>
          <w:szCs w:val="24"/>
        </w:rPr>
        <w:t xml:space="preserve">of proposed composites </w:t>
      </w:r>
      <w:r w:rsidRPr="00E03825">
        <w:rPr>
          <w:rFonts w:ascii="Times New Roman" w:hAnsi="Times New Roman" w:cs="Times New Roman"/>
          <w:sz w:val="24"/>
          <w:szCs w:val="24"/>
        </w:rPr>
        <w:t>(as indicated by Cronbach’s alp</w:t>
      </w:r>
      <w:r>
        <w:rPr>
          <w:rFonts w:ascii="Times New Roman" w:hAnsi="Times New Roman" w:cs="Times New Roman"/>
          <w:sz w:val="24"/>
          <w:szCs w:val="24"/>
        </w:rPr>
        <w:t>ha)</w:t>
      </w:r>
    </w:p>
    <w:p w14:paraId="796B8E0E" w14:textId="77777777" w:rsidR="00F94FBF" w:rsidRDefault="00F94FBF" w:rsidP="00F94FBF">
      <w:pPr>
        <w:pStyle w:val="ListParagraph"/>
        <w:numPr>
          <w:ilvl w:val="0"/>
          <w:numId w:val="55"/>
        </w:numPr>
        <w:spacing w:after="120"/>
        <w:rPr>
          <w:rFonts w:ascii="Times New Roman" w:hAnsi="Times New Roman" w:cs="Times New Roman"/>
          <w:sz w:val="24"/>
          <w:szCs w:val="24"/>
        </w:rPr>
      </w:pPr>
      <w:r>
        <w:rPr>
          <w:rFonts w:ascii="Times New Roman" w:hAnsi="Times New Roman" w:cs="Times New Roman"/>
          <w:sz w:val="24"/>
          <w:szCs w:val="24"/>
        </w:rPr>
        <w:t>E</w:t>
      </w:r>
      <w:r w:rsidRPr="00E03825">
        <w:rPr>
          <w:rFonts w:ascii="Times New Roman" w:hAnsi="Times New Roman" w:cs="Times New Roman"/>
          <w:sz w:val="24"/>
          <w:szCs w:val="24"/>
        </w:rPr>
        <w:t>quivalence reliability, which tests the consist</w:t>
      </w:r>
      <w:r>
        <w:rPr>
          <w:rFonts w:ascii="Times New Roman" w:hAnsi="Times New Roman" w:cs="Times New Roman"/>
          <w:sz w:val="24"/>
          <w:szCs w:val="24"/>
        </w:rPr>
        <w:t>ency of measures across mode and language</w:t>
      </w:r>
    </w:p>
    <w:p w14:paraId="796B8E0F" w14:textId="262EAD34" w:rsidR="0080353F" w:rsidRDefault="0080353F" w:rsidP="0080353F">
      <w:pPr>
        <w:pStyle w:val="ListParagraph"/>
        <w:numPr>
          <w:ilvl w:val="0"/>
          <w:numId w:val="55"/>
        </w:numPr>
        <w:spacing w:after="120"/>
        <w:rPr>
          <w:rFonts w:ascii="Times New Roman" w:hAnsi="Times New Roman" w:cs="Times New Roman"/>
          <w:sz w:val="24"/>
          <w:szCs w:val="24"/>
        </w:rPr>
      </w:pPr>
      <w:r>
        <w:rPr>
          <w:rFonts w:ascii="Times New Roman" w:hAnsi="Times New Roman" w:cs="Times New Roman"/>
          <w:sz w:val="24"/>
          <w:szCs w:val="24"/>
        </w:rPr>
        <w:t>U</w:t>
      </w:r>
      <w:r w:rsidRPr="00E03825">
        <w:rPr>
          <w:rFonts w:ascii="Times New Roman" w:hAnsi="Times New Roman" w:cs="Times New Roman"/>
          <w:sz w:val="24"/>
          <w:szCs w:val="24"/>
        </w:rPr>
        <w:t>nit-level</w:t>
      </w:r>
      <w:r w:rsidR="00212920">
        <w:rPr>
          <w:rFonts w:ascii="Times New Roman" w:hAnsi="Times New Roman" w:cs="Times New Roman"/>
          <w:sz w:val="24"/>
          <w:szCs w:val="24"/>
        </w:rPr>
        <w:t xml:space="preserve"> </w:t>
      </w:r>
      <w:r w:rsidRPr="00E03825">
        <w:rPr>
          <w:rFonts w:ascii="Times New Roman" w:hAnsi="Times New Roman" w:cs="Times New Roman"/>
          <w:sz w:val="24"/>
          <w:szCs w:val="24"/>
        </w:rPr>
        <w:t xml:space="preserve">reliability, which tests the extent to which a measure score differentiates signal (i.e., differences in </w:t>
      </w:r>
      <w:r w:rsidR="001F2AA9">
        <w:rPr>
          <w:rFonts w:ascii="Times New Roman" w:hAnsi="Times New Roman" w:cs="Times New Roman"/>
          <w:sz w:val="24"/>
          <w:szCs w:val="24"/>
        </w:rPr>
        <w:t>scores</w:t>
      </w:r>
      <w:r w:rsidR="001F2AA9" w:rsidRPr="00E03825">
        <w:rPr>
          <w:rFonts w:ascii="Times New Roman" w:hAnsi="Times New Roman" w:cs="Times New Roman"/>
          <w:sz w:val="24"/>
          <w:szCs w:val="24"/>
        </w:rPr>
        <w:t xml:space="preserve"> </w:t>
      </w:r>
      <w:r w:rsidRPr="00E03825">
        <w:rPr>
          <w:rFonts w:ascii="Times New Roman" w:hAnsi="Times New Roman" w:cs="Times New Roman"/>
          <w:sz w:val="24"/>
          <w:szCs w:val="24"/>
        </w:rPr>
        <w:t xml:space="preserve">across reporting entities, such as </w:t>
      </w:r>
      <w:r w:rsidR="00927FF0">
        <w:rPr>
          <w:rFonts w:ascii="Times New Roman" w:hAnsi="Times New Roman" w:cs="Times New Roman"/>
          <w:sz w:val="24"/>
          <w:szCs w:val="24"/>
        </w:rPr>
        <w:t>Marketplaces</w:t>
      </w:r>
      <w:r w:rsidRPr="00E03825">
        <w:rPr>
          <w:rFonts w:ascii="Times New Roman" w:hAnsi="Times New Roman" w:cs="Times New Roman"/>
          <w:sz w:val="24"/>
          <w:szCs w:val="24"/>
        </w:rPr>
        <w:t xml:space="preserve"> or QHPs) from noise (i.e., random measurement error)</w:t>
      </w:r>
      <w:r w:rsidR="00830626">
        <w:rPr>
          <w:rFonts w:ascii="Times New Roman" w:hAnsi="Times New Roman" w:cs="Times New Roman"/>
          <w:sz w:val="24"/>
          <w:szCs w:val="24"/>
        </w:rPr>
        <w:t>; also referred to as inter-unit reliability (IUR)</w:t>
      </w:r>
    </w:p>
    <w:p w14:paraId="796B8E10" w14:textId="6C85F43F" w:rsidR="0080353F" w:rsidRDefault="0080353F" w:rsidP="0080353F">
      <w:pPr>
        <w:spacing w:after="120"/>
        <w:rPr>
          <w:rFonts w:cs="Times New Roman"/>
          <w:szCs w:val="24"/>
        </w:rPr>
      </w:pPr>
      <w:r>
        <w:rPr>
          <w:rFonts w:cs="Times New Roman"/>
          <w:szCs w:val="24"/>
        </w:rPr>
        <w:t>Face validity (</w:t>
      </w:r>
      <w:r w:rsidR="00927FF0">
        <w:rPr>
          <w:rFonts w:cs="Times New Roman"/>
          <w:szCs w:val="24"/>
        </w:rPr>
        <w:t>the survey</w:t>
      </w:r>
      <w:r>
        <w:rPr>
          <w:rFonts w:cs="Times New Roman"/>
          <w:szCs w:val="24"/>
        </w:rPr>
        <w:t xml:space="preserve"> questions are representative of the concepts they are supposed to reflect) </w:t>
      </w:r>
      <w:r w:rsidR="00EE719A">
        <w:rPr>
          <w:rFonts w:cs="Times New Roman"/>
          <w:szCs w:val="24"/>
        </w:rPr>
        <w:t>was</w:t>
      </w:r>
      <w:r w:rsidR="00212920">
        <w:rPr>
          <w:rFonts w:cs="Times New Roman"/>
          <w:szCs w:val="24"/>
        </w:rPr>
        <w:t xml:space="preserve"> </w:t>
      </w:r>
      <w:r>
        <w:rPr>
          <w:rFonts w:cs="Times New Roman"/>
          <w:szCs w:val="24"/>
        </w:rPr>
        <w:t>established via the formative research</w:t>
      </w:r>
      <w:r w:rsidR="007A6DB6">
        <w:rPr>
          <w:rFonts w:cs="Times New Roman"/>
          <w:szCs w:val="24"/>
        </w:rPr>
        <w:t>—</w:t>
      </w:r>
      <w:r w:rsidR="000E0A34">
        <w:rPr>
          <w:rFonts w:cs="Times New Roman"/>
          <w:szCs w:val="24"/>
        </w:rPr>
        <w:t xml:space="preserve">the </w:t>
      </w:r>
      <w:r>
        <w:rPr>
          <w:rFonts w:cs="Times New Roman"/>
          <w:szCs w:val="24"/>
        </w:rPr>
        <w:t xml:space="preserve">review of existing instruments, focus groups, input from </w:t>
      </w:r>
      <w:r w:rsidR="00927FF0">
        <w:rPr>
          <w:rFonts w:cs="Times New Roman"/>
          <w:szCs w:val="24"/>
        </w:rPr>
        <w:t>a technical expert panel</w:t>
      </w:r>
      <w:r>
        <w:rPr>
          <w:rFonts w:cs="Times New Roman"/>
          <w:szCs w:val="24"/>
        </w:rPr>
        <w:t xml:space="preserve"> and other stakeholders, and the cognitive testing</w:t>
      </w:r>
      <w:r w:rsidR="00212920">
        <w:rPr>
          <w:rFonts w:cs="Times New Roman"/>
          <w:szCs w:val="24"/>
        </w:rPr>
        <w:t xml:space="preserve"> (described in Section 4 below)</w:t>
      </w:r>
      <w:r>
        <w:rPr>
          <w:rFonts w:cs="Times New Roman"/>
          <w:szCs w:val="24"/>
        </w:rPr>
        <w:t xml:space="preserve">. </w:t>
      </w:r>
    </w:p>
    <w:p w14:paraId="796B8E11" w14:textId="6C3CD150" w:rsidR="0080353F" w:rsidRDefault="0080353F" w:rsidP="00BF28CF">
      <w:pPr>
        <w:spacing w:after="120"/>
        <w:rPr>
          <w:rFonts w:cs="Times New Roman"/>
          <w:szCs w:val="24"/>
        </w:rPr>
      </w:pPr>
      <w:r w:rsidRPr="00DC13B0">
        <w:rPr>
          <w:rFonts w:cs="Times New Roman"/>
          <w:szCs w:val="24"/>
        </w:rPr>
        <w:t xml:space="preserve">Construct validity </w:t>
      </w:r>
      <w:r w:rsidR="00EE719A">
        <w:rPr>
          <w:rFonts w:cs="Times New Roman"/>
          <w:szCs w:val="24"/>
        </w:rPr>
        <w:t>was</w:t>
      </w:r>
      <w:r w:rsidRPr="00DC13B0">
        <w:rPr>
          <w:rFonts w:cs="Times New Roman"/>
          <w:szCs w:val="24"/>
        </w:rPr>
        <w:t xml:space="preserve"> assessed using </w:t>
      </w:r>
      <w:r>
        <w:rPr>
          <w:rFonts w:cs="Times New Roman"/>
          <w:szCs w:val="24"/>
        </w:rPr>
        <w:t>confirmatory factor analysis (CFA) and multi-trait analysis</w:t>
      </w:r>
      <w:r w:rsidRPr="00DC13B0">
        <w:rPr>
          <w:rFonts w:cs="Times New Roman"/>
          <w:szCs w:val="24"/>
        </w:rPr>
        <w:t>.</w:t>
      </w:r>
      <w:r>
        <w:rPr>
          <w:rFonts w:cs="Times New Roman"/>
          <w:szCs w:val="24"/>
        </w:rPr>
        <w:t xml:space="preserve"> The CFA </w:t>
      </w:r>
      <w:r w:rsidR="002E7BE2">
        <w:rPr>
          <w:rFonts w:cs="Times New Roman"/>
          <w:szCs w:val="24"/>
        </w:rPr>
        <w:t xml:space="preserve">tested </w:t>
      </w:r>
      <w:r w:rsidR="00F94FBF">
        <w:rPr>
          <w:rFonts w:cs="Times New Roman"/>
          <w:szCs w:val="24"/>
        </w:rPr>
        <w:t xml:space="preserve">the fit of the data to the factor structure, </w:t>
      </w:r>
      <w:r w:rsidR="002E7BE2">
        <w:rPr>
          <w:rFonts w:cs="Times New Roman"/>
          <w:szCs w:val="24"/>
        </w:rPr>
        <w:t xml:space="preserve">generated </w:t>
      </w:r>
      <w:r>
        <w:rPr>
          <w:rFonts w:cs="Times New Roman"/>
          <w:szCs w:val="24"/>
        </w:rPr>
        <w:t>factor loadings</w:t>
      </w:r>
      <w:r w:rsidR="00F94FBF">
        <w:rPr>
          <w:rFonts w:cs="Times New Roman"/>
          <w:szCs w:val="24"/>
        </w:rPr>
        <w:t>,</w:t>
      </w:r>
      <w:r>
        <w:rPr>
          <w:rFonts w:cs="Times New Roman"/>
          <w:szCs w:val="24"/>
        </w:rPr>
        <w:t xml:space="preserve"> and </w:t>
      </w:r>
      <w:r w:rsidR="002E7BE2">
        <w:rPr>
          <w:rFonts w:cs="Times New Roman"/>
          <w:szCs w:val="24"/>
        </w:rPr>
        <w:t xml:space="preserve">performed </w:t>
      </w:r>
      <w:r>
        <w:rPr>
          <w:rFonts w:cs="Times New Roman"/>
          <w:szCs w:val="24"/>
        </w:rPr>
        <w:t xml:space="preserve">statistical tests of those loadings. The multi-trait analysis </w:t>
      </w:r>
      <w:r w:rsidR="002E7BE2">
        <w:rPr>
          <w:rFonts w:cs="Times New Roman"/>
          <w:szCs w:val="24"/>
        </w:rPr>
        <w:t>compared</w:t>
      </w:r>
      <w:r w:rsidR="002E7BE2" w:rsidRPr="00DC13B0">
        <w:rPr>
          <w:rFonts w:cs="Times New Roman"/>
          <w:szCs w:val="24"/>
        </w:rPr>
        <w:t xml:space="preserve"> </w:t>
      </w:r>
      <w:r w:rsidRPr="00DC13B0">
        <w:rPr>
          <w:rFonts w:cs="Times New Roman"/>
          <w:szCs w:val="24"/>
        </w:rPr>
        <w:t>the correlations of</w:t>
      </w:r>
      <w:r w:rsidR="007A6DB6">
        <w:rPr>
          <w:rFonts w:cs="Times New Roman"/>
          <w:szCs w:val="24"/>
        </w:rPr>
        <w:t xml:space="preserve"> </w:t>
      </w:r>
      <w:r w:rsidRPr="00DC13B0">
        <w:rPr>
          <w:rFonts w:cs="Times New Roman"/>
          <w:szCs w:val="24"/>
        </w:rPr>
        <w:t>items with their composite total (correcting for overlap</w:t>
      </w:r>
      <w:r w:rsidRPr="005D6152">
        <w:rPr>
          <w:rFonts w:cs="Times New Roman"/>
          <w:szCs w:val="24"/>
          <w:vertAlign w:val="superscript"/>
        </w:rPr>
        <w:footnoteReference w:id="4"/>
      </w:r>
      <w:r w:rsidRPr="00DC13B0">
        <w:rPr>
          <w:rFonts w:cs="Times New Roman"/>
          <w:szCs w:val="24"/>
        </w:rPr>
        <w:t xml:space="preserve">) to the correlations of </w:t>
      </w:r>
      <w:r>
        <w:rPr>
          <w:rFonts w:cs="Times New Roman"/>
          <w:szCs w:val="24"/>
        </w:rPr>
        <w:t xml:space="preserve">those </w:t>
      </w:r>
      <w:r w:rsidRPr="00DC13B0">
        <w:rPr>
          <w:rFonts w:cs="Times New Roman"/>
          <w:szCs w:val="24"/>
        </w:rPr>
        <w:t>items with competing composites</w:t>
      </w:r>
      <w:r w:rsidR="00212920">
        <w:rPr>
          <w:rFonts w:cs="Times New Roman"/>
          <w:szCs w:val="24"/>
        </w:rPr>
        <w:t xml:space="preserve">, </w:t>
      </w:r>
      <w:r w:rsidR="00CF2623">
        <w:rPr>
          <w:rFonts w:cs="Times New Roman"/>
          <w:szCs w:val="24"/>
        </w:rPr>
        <w:t>and</w:t>
      </w:r>
      <w:r w:rsidR="00212920">
        <w:rPr>
          <w:rFonts w:cs="Times New Roman"/>
          <w:szCs w:val="24"/>
        </w:rPr>
        <w:t xml:space="preserve"> </w:t>
      </w:r>
      <w:r w:rsidR="0030550A">
        <w:rPr>
          <w:rFonts w:cs="Times New Roman"/>
          <w:szCs w:val="24"/>
        </w:rPr>
        <w:t>estimates an indicator (scaling success) of</w:t>
      </w:r>
      <w:r w:rsidR="00212920">
        <w:rPr>
          <w:rFonts w:cs="Times New Roman"/>
          <w:szCs w:val="24"/>
        </w:rPr>
        <w:t xml:space="preserve"> discriminant validity</w:t>
      </w:r>
      <w:r w:rsidRPr="00DC13B0">
        <w:rPr>
          <w:rFonts w:cs="Times New Roman"/>
          <w:szCs w:val="24"/>
        </w:rPr>
        <w:t>.</w:t>
      </w:r>
    </w:p>
    <w:p w14:paraId="796B8E12" w14:textId="0245E44E" w:rsidR="008221F9" w:rsidRPr="00744F96" w:rsidRDefault="008221F9" w:rsidP="008221F9">
      <w:pPr>
        <w:spacing w:after="120"/>
        <w:rPr>
          <w:rFonts w:cs="Times New Roman"/>
          <w:szCs w:val="24"/>
        </w:rPr>
      </w:pPr>
      <w:r w:rsidRPr="00744F96">
        <w:rPr>
          <w:rFonts w:cs="Times New Roman"/>
        </w:rPr>
        <w:lastRenderedPageBreak/>
        <w:t xml:space="preserve">In CAHPS, there are two statistics used to assess </w:t>
      </w:r>
      <w:r w:rsidR="00470891">
        <w:rPr>
          <w:rFonts w:cs="Times New Roman"/>
        </w:rPr>
        <w:t>unit-level reliability</w:t>
      </w:r>
      <w:r w:rsidRPr="00744F96">
        <w:rPr>
          <w:rFonts w:cs="Times New Roman"/>
        </w:rPr>
        <w:t>.</w:t>
      </w:r>
      <w:r w:rsidRPr="00744F96">
        <w:rPr>
          <w:rStyle w:val="FootnoteReference"/>
          <w:rFonts w:cs="Times New Roman"/>
        </w:rPr>
        <w:footnoteReference w:id="5"/>
      </w:r>
      <w:r w:rsidRPr="00744F96">
        <w:rPr>
          <w:rFonts w:cs="Times New Roman"/>
        </w:rPr>
        <w:t xml:space="preserve"> One is a measure of IUR based on the F-statistic from an analysis of variance (ANOVA). The IUR is equal to </w:t>
      </w:r>
      <w:r w:rsidR="008858CB">
        <w:rPr>
          <w:rFonts w:cs="Times New Roman"/>
        </w:rPr>
        <w:t>(</w:t>
      </w:r>
      <w:r w:rsidRPr="00744F96">
        <w:rPr>
          <w:rFonts w:cs="Times New Roman"/>
        </w:rPr>
        <w:t>F-1</w:t>
      </w:r>
      <w:r w:rsidR="008858CB">
        <w:rPr>
          <w:rFonts w:cs="Times New Roman"/>
        </w:rPr>
        <w:t>)</w:t>
      </w:r>
      <w:r w:rsidRPr="00744F96">
        <w:rPr>
          <w:rFonts w:cs="Times New Roman"/>
        </w:rPr>
        <w:t>/F, which is a summary measure of the between-unit variance minus the within-unit variance over the between-unit variance.</w:t>
      </w:r>
      <w:r w:rsidRPr="00744F96">
        <w:rPr>
          <w:rFonts w:cs="Times New Roman"/>
          <w:vertAlign w:val="superscript"/>
        </w:rPr>
        <w:footnoteReference w:id="6"/>
      </w:r>
      <w:r w:rsidRPr="00744F96">
        <w:rPr>
          <w:rFonts w:cs="Times New Roman"/>
        </w:rPr>
        <w:t xml:space="preserve"> The other measure is the intra-class correlation (ICC), which is also calculated using statistics produced by an ANOVA. The ICC in this context is the between-unit variance minus the within-unit variance over the total variance adjusted for the average number of respondents per reporting unit.</w:t>
      </w:r>
      <w:r w:rsidRPr="00744F96">
        <w:rPr>
          <w:rFonts w:cs="Times New Roman"/>
          <w:vertAlign w:val="superscript"/>
        </w:rPr>
        <w:footnoteReference w:id="7"/>
      </w:r>
      <w:r w:rsidRPr="00744F96">
        <w:rPr>
          <w:rFonts w:cs="Times New Roman"/>
        </w:rPr>
        <w:t xml:space="preserve"> The IUR provides the reliability based on the sample size associated with the data, while the ICC indicates the reliability of a measure for a single respondent. The reliability coefficient can take any value from 0.0 to 1.0, where 1.0 signifies a measure for which every respondent reports an experience identical to every other respondent evaluating the same unit.</w:t>
      </w:r>
      <w:r w:rsidRPr="00744F96">
        <w:rPr>
          <w:rFonts w:cs="Times New Roman"/>
          <w:szCs w:val="24"/>
        </w:rPr>
        <w:t xml:space="preserve"> Scales with reliability coefficients above 0.70 provide adequate precision for use in statistical analysis of unit-level comparisons,</w:t>
      </w:r>
      <w:r w:rsidRPr="00744F96">
        <w:rPr>
          <w:rFonts w:cs="Times New Roman"/>
          <w:szCs w:val="24"/>
          <w:vertAlign w:val="superscript"/>
        </w:rPr>
        <w:footnoteReference w:id="8"/>
      </w:r>
      <w:r w:rsidRPr="00744F96">
        <w:rPr>
          <w:rFonts w:cs="Times New Roman"/>
          <w:szCs w:val="24"/>
        </w:rPr>
        <w:t xml:space="preserve"> though it has been argued that measures with reliability coefficients of at least 0.90 are optimal.</w:t>
      </w:r>
      <w:r w:rsidRPr="00744F96">
        <w:rPr>
          <w:rFonts w:cs="Times New Roman"/>
          <w:szCs w:val="24"/>
          <w:vertAlign w:val="superscript"/>
        </w:rPr>
        <w:footnoteReference w:id="9"/>
      </w:r>
    </w:p>
    <w:p w14:paraId="796B8E13" w14:textId="0A161909" w:rsidR="008221F9" w:rsidRPr="008221F9" w:rsidRDefault="008221F9" w:rsidP="008221F9">
      <w:pPr>
        <w:spacing w:after="120"/>
        <w:rPr>
          <w:rFonts w:cs="Times New Roman"/>
          <w:szCs w:val="24"/>
        </w:rPr>
      </w:pPr>
      <w:r w:rsidRPr="008221F9">
        <w:rPr>
          <w:rFonts w:cs="Times New Roman"/>
        </w:rPr>
        <w:t xml:space="preserve">Since unit-level reliability is partly a function of sample size, the </w:t>
      </w:r>
      <w:r>
        <w:rPr>
          <w:rFonts w:cs="Times New Roman"/>
        </w:rPr>
        <w:t>IUR</w:t>
      </w:r>
      <w:r w:rsidRPr="008221F9">
        <w:rPr>
          <w:rFonts w:cs="Times New Roman"/>
        </w:rPr>
        <w:t xml:space="preserve"> allows </w:t>
      </w:r>
      <w:r>
        <w:rPr>
          <w:rFonts w:cs="Times New Roman"/>
        </w:rPr>
        <w:t>for the</w:t>
      </w:r>
      <w:r w:rsidRPr="008221F9">
        <w:rPr>
          <w:rFonts w:cs="Times New Roman"/>
        </w:rPr>
        <w:t xml:space="preserve"> calculation of the number of respondents needed per reporting unit to obtain a particular level of reliability (similar to a power analysis)</w:t>
      </w:r>
      <w:r>
        <w:rPr>
          <w:rFonts w:cs="Times New Roman"/>
        </w:rPr>
        <w:t xml:space="preserve"> in </w:t>
      </w:r>
      <w:r w:rsidRPr="00744F96">
        <w:rPr>
          <w:rFonts w:cs="Times New Roman"/>
          <w:i/>
        </w:rPr>
        <w:t>future</w:t>
      </w:r>
      <w:r>
        <w:rPr>
          <w:rFonts w:cs="Times New Roman"/>
        </w:rPr>
        <w:t xml:space="preserve"> data collections</w:t>
      </w:r>
      <w:r w:rsidRPr="008221F9">
        <w:rPr>
          <w:rFonts w:cs="Times New Roman"/>
        </w:rPr>
        <w:t xml:space="preserve">, </w:t>
      </w:r>
      <w:r w:rsidRPr="008221F9">
        <w:t>and thus it is especially important with respect to</w:t>
      </w:r>
      <w:r w:rsidR="00E63323">
        <w:t xml:space="preserve"> future</w:t>
      </w:r>
      <w:r w:rsidRPr="008221F9">
        <w:t xml:space="preserve"> respondent burden.</w:t>
      </w:r>
      <w:r w:rsidRPr="008221F9">
        <w:rPr>
          <w:rStyle w:val="FootnoteReference"/>
        </w:rPr>
        <w:footnoteReference w:id="10"/>
      </w:r>
      <w:r w:rsidRPr="002C1632">
        <w:t xml:space="preserve"> </w:t>
      </w:r>
      <w:r w:rsidRPr="008221F9">
        <w:rPr>
          <w:rFonts w:cs="Times New Roman"/>
          <w:szCs w:val="24"/>
        </w:rPr>
        <w:t xml:space="preserve">For the </w:t>
      </w:r>
      <w:r w:rsidR="009D46D8">
        <w:rPr>
          <w:rFonts w:cs="Times New Roman"/>
          <w:szCs w:val="24"/>
        </w:rPr>
        <w:t>psychometric test</w:t>
      </w:r>
      <w:r w:rsidRPr="008221F9">
        <w:rPr>
          <w:rFonts w:cs="Times New Roman"/>
          <w:szCs w:val="24"/>
        </w:rPr>
        <w:t xml:space="preserve">, it </w:t>
      </w:r>
      <w:r w:rsidR="00592AA3">
        <w:rPr>
          <w:rFonts w:cs="Times New Roman"/>
          <w:szCs w:val="24"/>
        </w:rPr>
        <w:t>wa</w:t>
      </w:r>
      <w:r w:rsidRPr="008221F9">
        <w:rPr>
          <w:rFonts w:cs="Times New Roman"/>
          <w:szCs w:val="24"/>
        </w:rPr>
        <w:t xml:space="preserve">s not necessary to obtain </w:t>
      </w:r>
      <w:r>
        <w:rPr>
          <w:rFonts w:cs="Times New Roman"/>
          <w:szCs w:val="24"/>
        </w:rPr>
        <w:t xml:space="preserve">an IUR </w:t>
      </w:r>
      <w:r w:rsidR="00470891">
        <w:rPr>
          <w:rFonts w:cs="Times New Roman"/>
          <w:szCs w:val="24"/>
        </w:rPr>
        <w:t>of at least 0.70</w:t>
      </w:r>
      <w:r w:rsidRPr="008221F9">
        <w:rPr>
          <w:rFonts w:cs="Times New Roman"/>
          <w:szCs w:val="24"/>
        </w:rPr>
        <w:t xml:space="preserve"> for the final recommended measures. However, to be useful for making sample size recommendations for future rounds of data collection, past experience demonstrates that it is best to have data from all accountable units when the universe of accountable units is finite (as with </w:t>
      </w:r>
      <w:r>
        <w:rPr>
          <w:rFonts w:cs="Times New Roman"/>
          <w:szCs w:val="24"/>
        </w:rPr>
        <w:t>the FFM states</w:t>
      </w:r>
      <w:r w:rsidRPr="008221F9">
        <w:rPr>
          <w:rFonts w:cs="Times New Roman"/>
          <w:szCs w:val="24"/>
        </w:rPr>
        <w:t xml:space="preserve">); where the universe of accountable units is theoretically not finite (as with QHPs), it is best to have data from at least 30 accountable units selected across the full range of unit performance (i.e., from the poorest performing units to the best performing units). </w:t>
      </w:r>
    </w:p>
    <w:p w14:paraId="796B8E15" w14:textId="68E8A1E6" w:rsidR="00743E6A" w:rsidRDefault="00EF2C51" w:rsidP="00743E6A">
      <w:pPr>
        <w:pStyle w:val="PBodyText"/>
      </w:pPr>
      <w:r>
        <w:t xml:space="preserve">Our sample size recommendations </w:t>
      </w:r>
      <w:r w:rsidR="0030550A">
        <w:t xml:space="preserve">were </w:t>
      </w:r>
      <w:r>
        <w:t xml:space="preserve">based on </w:t>
      </w:r>
      <w:r w:rsidR="00D94A6B">
        <w:t>our</w:t>
      </w:r>
      <w:r>
        <w:t xml:space="preserve"> </w:t>
      </w:r>
      <w:r w:rsidR="00D06AEA">
        <w:t xml:space="preserve">estimate of </w:t>
      </w:r>
      <w:r w:rsidR="00743E6A">
        <w:t xml:space="preserve">the minimum number of responses </w:t>
      </w:r>
      <w:r w:rsidR="00721800">
        <w:t xml:space="preserve">per equivalence group (i.e., mode and language groups) </w:t>
      </w:r>
      <w:r w:rsidR="00743E6A">
        <w:t>needed at the national level to conduct the psychometric analyses described above</w:t>
      </w:r>
      <w:r w:rsidR="00D94A6B">
        <w:t>. This estimate is described in more detail immediately below</w:t>
      </w:r>
      <w:r w:rsidR="00D06AEA">
        <w:t xml:space="preserve">. In order to </w:t>
      </w:r>
      <w:r w:rsidR="00743E6A">
        <w:t>evaluate unit-level reliability</w:t>
      </w:r>
      <w:r w:rsidR="00D06AEA">
        <w:t>, which requires that we have a consistent number of completed surveys from each state, we propose distributing the total national sample evenly across the 36 states in the FFM</w:t>
      </w:r>
      <w:r w:rsidR="00743E6A">
        <w:t>.</w:t>
      </w:r>
      <w:r w:rsidR="00D94A6B">
        <w:t xml:space="preserve"> This strategy is </w:t>
      </w:r>
      <w:r w:rsidR="0030550A">
        <w:t xml:space="preserve">presented </w:t>
      </w:r>
      <w:r w:rsidR="00D94A6B">
        <w:t xml:space="preserve">in more detail </w:t>
      </w:r>
      <w:r w:rsidR="00D94A6B">
        <w:lastRenderedPageBreak/>
        <w:t xml:space="preserve">in Section 1.1.3.1, which describes our proposed sampling methods for the Marketplace survey </w:t>
      </w:r>
      <w:r w:rsidR="009D46D8">
        <w:t>psychometric test</w:t>
      </w:r>
      <w:r w:rsidR="00D94A6B">
        <w:t>.</w:t>
      </w:r>
      <w:r w:rsidR="00721800">
        <w:t xml:space="preserve"> </w:t>
      </w:r>
      <w:r w:rsidR="00743E6A">
        <w:t xml:space="preserve"> </w:t>
      </w:r>
    </w:p>
    <w:p w14:paraId="796B8E17" w14:textId="77777777" w:rsidR="00743E6A" w:rsidRPr="00BF28CF" w:rsidRDefault="00743E6A" w:rsidP="00743E6A">
      <w:pPr>
        <w:pStyle w:val="PBodyText"/>
        <w:rPr>
          <w:i/>
        </w:rPr>
      </w:pPr>
      <w:r w:rsidRPr="00BF28CF">
        <w:rPr>
          <w:i/>
        </w:rPr>
        <w:t>Sample</w:t>
      </w:r>
      <w:r w:rsidR="00D06AEA">
        <w:rPr>
          <w:i/>
        </w:rPr>
        <w:t xml:space="preserve"> Size</w:t>
      </w:r>
    </w:p>
    <w:p w14:paraId="796B8E18" w14:textId="31E60993" w:rsidR="00743E6A" w:rsidRDefault="00743E6A" w:rsidP="00743E6A">
      <w:pPr>
        <w:pStyle w:val="PBodyText"/>
      </w:pPr>
      <w:r>
        <w:t>Factor analyses, multi-trait analyses, and the estimates of equivalence and internal consistency reliability</w:t>
      </w:r>
      <w:r w:rsidR="00304BCE">
        <w:t xml:space="preserve"> </w:t>
      </w:r>
      <w:r w:rsidR="005F1AFF">
        <w:t>were</w:t>
      </w:r>
      <w:r>
        <w:t xml:space="preserve"> conducted separately for each survey administration mode using all complete responses from eligible sample members across the whole </w:t>
      </w:r>
      <w:r w:rsidR="0030550A">
        <w:t>FFM</w:t>
      </w:r>
      <w:r>
        <w:t xml:space="preserve">. </w:t>
      </w:r>
      <w:r w:rsidR="0030550A">
        <w:t>The g</w:t>
      </w:r>
      <w:r>
        <w:t xml:space="preserve">eneralizability of results from psychometric </w:t>
      </w:r>
      <w:r w:rsidR="0030550A">
        <w:t>analyses depends on capturing t</w:t>
      </w:r>
      <w:r>
        <w:t xml:space="preserve">he full range of </w:t>
      </w:r>
      <w:r w:rsidR="0030550A">
        <w:t xml:space="preserve">covariance among consumer </w:t>
      </w:r>
      <w:r>
        <w:t xml:space="preserve">experiencesin the population. Standard psychometric practice is to obtain a </w:t>
      </w:r>
      <w:r>
        <w:rPr>
          <w:i/>
        </w:rPr>
        <w:t>minimum</w:t>
      </w:r>
      <w:r>
        <w:t xml:space="preserve"> of 10 </w:t>
      </w:r>
      <w:r>
        <w:rPr>
          <w:i/>
        </w:rPr>
        <w:t>complete responses</w:t>
      </w:r>
      <w:r>
        <w:t xml:space="preserve"> for each assessment item used in the psychometric analysis (</w:t>
      </w:r>
      <w:r w:rsidR="005F1AFF">
        <w:t>including</w:t>
      </w:r>
      <w:r>
        <w:t xml:space="preserve"> substantive questions combined into composites, but not screeners, ‘About You’ items, or questions designed to determine survey eligibility).</w:t>
      </w:r>
      <w:r w:rsidRPr="006469B7">
        <w:t xml:space="preserve"> </w:t>
      </w:r>
      <w:r>
        <w:t>This recommendation is grounded in sound measurement theory</w:t>
      </w:r>
      <w:r>
        <w:rPr>
          <w:rStyle w:val="FootnoteReference"/>
        </w:rPr>
        <w:footnoteReference w:id="11"/>
      </w:r>
      <w:r>
        <w:t xml:space="preserve"> and practice in the statistical analysis of multivariate data (including factor analyses).</w:t>
      </w:r>
      <w:r>
        <w:rPr>
          <w:rStyle w:val="FootnoteReference"/>
        </w:rPr>
        <w:footnoteReference w:id="12"/>
      </w:r>
      <w:r>
        <w:t xml:space="preserve"> </w:t>
      </w:r>
    </w:p>
    <w:p w14:paraId="796B8E19" w14:textId="76BE993A" w:rsidR="003E1FED" w:rsidRDefault="005F1AFF" w:rsidP="00744F96">
      <w:pPr>
        <w:pStyle w:val="PBodyText"/>
        <w:ind w:right="-144"/>
        <w:rPr>
          <w:rFonts w:cs="Times New Roman"/>
          <w:szCs w:val="24"/>
        </w:rPr>
      </w:pPr>
      <w:r>
        <w:t>The</w:t>
      </w:r>
      <w:r w:rsidR="00743E6A">
        <w:t xml:space="preserve"> Marketplace survey </w:t>
      </w:r>
      <w:r>
        <w:t xml:space="preserve">included </w:t>
      </w:r>
      <w:r w:rsidR="00743E6A">
        <w:t>30</w:t>
      </w:r>
      <w:r w:rsidR="00743E6A" w:rsidRPr="00D466CB">
        <w:t xml:space="preserve"> assessment items, which translates into a </w:t>
      </w:r>
      <w:r w:rsidR="00743E6A" w:rsidRPr="00D466CB">
        <w:rPr>
          <w:i/>
        </w:rPr>
        <w:t>minimum</w:t>
      </w:r>
      <w:r w:rsidR="00743E6A" w:rsidRPr="00D466CB">
        <w:t xml:space="preserve"> of </w:t>
      </w:r>
      <w:r w:rsidR="00743E6A">
        <w:t>300</w:t>
      </w:r>
      <w:r w:rsidR="00743E6A" w:rsidRPr="00D466CB">
        <w:t xml:space="preserve"> completed surveys nationwid</w:t>
      </w:r>
      <w:r w:rsidR="00743E6A">
        <w:t>e</w:t>
      </w:r>
      <w:r w:rsidR="00804563">
        <w:t xml:space="preserve"> if </w:t>
      </w:r>
      <w:r w:rsidR="00743E6A">
        <w:t>each completed survey contain</w:t>
      </w:r>
      <w:r w:rsidR="00804563">
        <w:t>ed</w:t>
      </w:r>
      <w:r w:rsidR="00743E6A">
        <w:t xml:space="preserve"> a non-missing response for each substantive item. However, </w:t>
      </w:r>
      <w:r w:rsidR="00722BBF">
        <w:t xml:space="preserve">we expected </w:t>
      </w:r>
      <w:r w:rsidR="00743E6A">
        <w:t xml:space="preserve">that </w:t>
      </w:r>
      <w:r w:rsidR="00743E6A">
        <w:rPr>
          <w:i/>
        </w:rPr>
        <w:t>some</w:t>
      </w:r>
      <w:r w:rsidR="00743E6A">
        <w:t xml:space="preserve"> substantive items </w:t>
      </w:r>
      <w:r w:rsidR="00722BBF">
        <w:t xml:space="preserve">would </w:t>
      </w:r>
      <w:r w:rsidR="00743E6A">
        <w:t xml:space="preserve">be legitimately skipped by respondents to whom the subject matter of the item </w:t>
      </w:r>
      <w:r w:rsidR="00722BBF">
        <w:t xml:space="preserve">did </w:t>
      </w:r>
      <w:r w:rsidR="00743E6A">
        <w:t>not apply</w:t>
      </w:r>
      <w:r w:rsidR="00722BBF">
        <w:t>; therefore,</w:t>
      </w:r>
      <w:r w:rsidR="00743E6A">
        <w:t xml:space="preserve"> this number need</w:t>
      </w:r>
      <w:r>
        <w:t>ed</w:t>
      </w:r>
      <w:r w:rsidR="00743E6A">
        <w:t xml:space="preserve"> to be larger. In addition, </w:t>
      </w:r>
      <w:r w:rsidR="00722BBF">
        <w:t xml:space="preserve">we expected that </w:t>
      </w:r>
      <w:r w:rsidR="00743E6A">
        <w:t xml:space="preserve">some completed surveys </w:t>
      </w:r>
      <w:r w:rsidR="00722BBF">
        <w:t>would have</w:t>
      </w:r>
      <w:r w:rsidR="00743E6A">
        <w:t xml:space="preserve"> some degree of item non-response (when a respondent skips an item that he/she should have answered). Thus, </w:t>
      </w:r>
      <w:r w:rsidR="00304BCE">
        <w:t xml:space="preserve">we </w:t>
      </w:r>
      <w:r w:rsidR="00804563">
        <w:t xml:space="preserve">proposed a target </w:t>
      </w:r>
      <w:r w:rsidR="00743E6A">
        <w:t>of 15 complete responses</w:t>
      </w:r>
      <w:r w:rsidR="00804563">
        <w:t xml:space="preserve"> at minimum</w:t>
      </w:r>
      <w:r w:rsidR="00743E6A">
        <w:t xml:space="preserve"> for each assessment item. This </w:t>
      </w:r>
      <w:r w:rsidR="00722BBF">
        <w:t xml:space="preserve">translated </w:t>
      </w:r>
      <w:r w:rsidR="00743E6A">
        <w:t xml:space="preserve">into a minimum number of completes of 450 (15*30) per group if psychometric analyses conducted separately for each group. For surveys conducted in English, there </w:t>
      </w:r>
      <w:r>
        <w:t xml:space="preserve">were </w:t>
      </w:r>
      <w:r w:rsidR="00743E6A">
        <w:t>five mode experiment groups (telephone-only, mail with telephone follow-up, mail-only with 1st class mail follow-up, mail-only with FedEx follow-up mailing, and web-only), and thus we need</w:t>
      </w:r>
      <w:r>
        <w:t>ed</w:t>
      </w:r>
      <w:r w:rsidR="00743E6A">
        <w:t xml:space="preserve"> a minimum of 2,250 completed surveys to conduct psychometric testing for each</w:t>
      </w:r>
      <w:r w:rsidR="00D06AEA">
        <w:t xml:space="preserve"> of the five</w:t>
      </w:r>
      <w:r w:rsidR="00743E6A">
        <w:t xml:space="preserve"> mode</w:t>
      </w:r>
      <w:r w:rsidR="00D06AEA">
        <w:t>s</w:t>
      </w:r>
      <w:r w:rsidR="00743E6A">
        <w:t xml:space="preserve">. In addition, we </w:t>
      </w:r>
      <w:r>
        <w:t xml:space="preserve">aimed for </w:t>
      </w:r>
      <w:r w:rsidR="00743E6A">
        <w:t>450 completed surveys each for both the Spanish and Chinese surveys to conduct psychometric analyses separately for each language</w:t>
      </w:r>
      <w:r w:rsidR="00E63323">
        <w:t xml:space="preserve"> (only one administration mode </w:t>
      </w:r>
      <w:r>
        <w:t xml:space="preserve">was </w:t>
      </w:r>
      <w:r w:rsidR="00E63323">
        <w:t>planned for Sp</w:t>
      </w:r>
      <w:r w:rsidR="0030550A">
        <w:t>a</w:t>
      </w:r>
      <w:r w:rsidR="00E63323">
        <w:t>nish and Chinese)</w:t>
      </w:r>
      <w:r w:rsidR="00743E6A">
        <w:t>.</w:t>
      </w:r>
      <w:r w:rsidR="003E1FED">
        <w:t xml:space="preserve"> </w:t>
      </w:r>
      <w:r w:rsidR="00722BBF">
        <w:t xml:space="preserve">We expected that this </w:t>
      </w:r>
      <w:r w:rsidR="003E1FED">
        <w:t>approach would result in a</w:t>
      </w:r>
      <w:r w:rsidR="003E1FED">
        <w:rPr>
          <w:rFonts w:cs="Times New Roman"/>
          <w:szCs w:val="24"/>
        </w:rPr>
        <w:t>n overall total of 3,150 completed surveys</w:t>
      </w:r>
      <w:r w:rsidR="00E63323">
        <w:rPr>
          <w:rFonts w:cs="Times New Roman"/>
          <w:szCs w:val="24"/>
        </w:rPr>
        <w:t xml:space="preserve"> (2,250 in English, 450 in Spanish, and 450 in Chinese)</w:t>
      </w:r>
      <w:r w:rsidR="003E1FED">
        <w:rPr>
          <w:rFonts w:cs="Times New Roman"/>
          <w:szCs w:val="24"/>
        </w:rPr>
        <w:t xml:space="preserve">. </w:t>
      </w:r>
    </w:p>
    <w:p w14:paraId="3C04DD5B" w14:textId="65971EE2" w:rsidR="0061551F" w:rsidRDefault="003E1FED" w:rsidP="003E1FED">
      <w:pPr>
        <w:rPr>
          <w:rFonts w:cs="Times New Roman"/>
          <w:szCs w:val="24"/>
        </w:rPr>
      </w:pPr>
      <w:r>
        <w:t xml:space="preserve">Exhibit B1 shows the </w:t>
      </w:r>
      <w:r w:rsidR="00722BBF">
        <w:t xml:space="preserve">expected </w:t>
      </w:r>
      <w:r>
        <w:t>distribution of the English language completes across the five experimental mode design groups, plus the required number in Chinese and Spanish.</w:t>
      </w:r>
      <w:r w:rsidRPr="00F94FBF">
        <w:rPr>
          <w:rFonts w:cs="Times New Roman"/>
          <w:szCs w:val="24"/>
        </w:rPr>
        <w:t xml:space="preserve"> </w:t>
      </w:r>
    </w:p>
    <w:p w14:paraId="7D224F5C" w14:textId="77777777" w:rsidR="0061551F" w:rsidRDefault="0061551F" w:rsidP="003E1FED">
      <w:pPr>
        <w:rPr>
          <w:rFonts w:cs="Times New Roman"/>
          <w:szCs w:val="24"/>
        </w:rPr>
      </w:pPr>
    </w:p>
    <w:p w14:paraId="361D1DAF" w14:textId="3AF8D1D1" w:rsidR="00DA77B6" w:rsidRDefault="00FF0575" w:rsidP="00050261">
      <w:pPr>
        <w:pStyle w:val="PBodyText"/>
        <w:rPr>
          <w:rFonts w:cs="Times New Roman"/>
          <w:szCs w:val="24"/>
        </w:rPr>
      </w:pPr>
      <w:r>
        <w:rPr>
          <w:rFonts w:cs="Times New Roman"/>
          <w:szCs w:val="24"/>
        </w:rPr>
        <w:t>Equal numbers of con</w:t>
      </w:r>
      <w:r w:rsidR="003E1FED">
        <w:rPr>
          <w:rFonts w:cs="Times New Roman"/>
          <w:szCs w:val="24"/>
        </w:rPr>
        <w:t>sumers</w:t>
      </w:r>
      <w:r w:rsidR="00E63323">
        <w:rPr>
          <w:rFonts w:cs="Times New Roman"/>
          <w:szCs w:val="24"/>
        </w:rPr>
        <w:t xml:space="preserve"> who indicate</w:t>
      </w:r>
      <w:r w:rsidR="00722BBF">
        <w:rPr>
          <w:rFonts w:cs="Times New Roman"/>
          <w:szCs w:val="24"/>
        </w:rPr>
        <w:t>d</w:t>
      </w:r>
      <w:r w:rsidR="00E63323">
        <w:rPr>
          <w:rFonts w:cs="Times New Roman"/>
          <w:szCs w:val="24"/>
        </w:rPr>
        <w:t xml:space="preserve"> that English </w:t>
      </w:r>
      <w:r w:rsidR="00722BBF">
        <w:rPr>
          <w:rFonts w:cs="Times New Roman"/>
          <w:szCs w:val="24"/>
        </w:rPr>
        <w:t>wa</w:t>
      </w:r>
      <w:r w:rsidR="00E63323">
        <w:rPr>
          <w:rFonts w:cs="Times New Roman"/>
          <w:szCs w:val="24"/>
        </w:rPr>
        <w:t xml:space="preserve">s their preferred language </w:t>
      </w:r>
      <w:r w:rsidR="00722BBF">
        <w:rPr>
          <w:rFonts w:cs="Times New Roman"/>
          <w:szCs w:val="24"/>
        </w:rPr>
        <w:t>were</w:t>
      </w:r>
      <w:r w:rsidR="00E63323">
        <w:rPr>
          <w:rFonts w:cs="Times New Roman"/>
          <w:szCs w:val="24"/>
        </w:rPr>
        <w:t xml:space="preserve"> </w:t>
      </w:r>
      <w:r>
        <w:rPr>
          <w:rFonts w:cs="Times New Roman"/>
          <w:szCs w:val="24"/>
        </w:rPr>
        <w:t xml:space="preserve">randomly </w:t>
      </w:r>
      <w:r w:rsidR="00E63323">
        <w:rPr>
          <w:rFonts w:cs="Times New Roman"/>
          <w:szCs w:val="24"/>
        </w:rPr>
        <w:t>sampled</w:t>
      </w:r>
      <w:r>
        <w:rPr>
          <w:rFonts w:cs="Times New Roman"/>
          <w:szCs w:val="24"/>
        </w:rPr>
        <w:t xml:space="preserve"> within </w:t>
      </w:r>
      <w:r w:rsidR="00E63323">
        <w:rPr>
          <w:rFonts w:cs="Times New Roman"/>
          <w:szCs w:val="24"/>
        </w:rPr>
        <w:t xml:space="preserve">each </w:t>
      </w:r>
      <w:r>
        <w:rPr>
          <w:rFonts w:cs="Times New Roman"/>
          <w:szCs w:val="24"/>
        </w:rPr>
        <w:t>State and then</w:t>
      </w:r>
      <w:r w:rsidR="00E63323">
        <w:rPr>
          <w:rFonts w:cs="Times New Roman"/>
          <w:szCs w:val="24"/>
        </w:rPr>
        <w:t xml:space="preserve"> </w:t>
      </w:r>
      <w:r w:rsidR="003E1FED">
        <w:rPr>
          <w:rFonts w:cs="Times New Roman"/>
          <w:szCs w:val="24"/>
        </w:rPr>
        <w:t xml:space="preserve">randomly assigned across the five mode groups so as to obtain 450 completed surveys in each of the five experimental groups. </w:t>
      </w:r>
    </w:p>
    <w:p w14:paraId="796B8E62" w14:textId="77777777" w:rsidR="00092676" w:rsidRDefault="00092676" w:rsidP="006222B9">
      <w:pPr>
        <w:pStyle w:val="PExhibitTitle"/>
      </w:pPr>
    </w:p>
    <w:p w14:paraId="796B8E63" w14:textId="15C5D4B1" w:rsidR="006222B9" w:rsidRPr="00C47A8D" w:rsidRDefault="006222B9" w:rsidP="00F71359">
      <w:pPr>
        <w:pStyle w:val="PTableTitle"/>
      </w:pPr>
      <w:r w:rsidRPr="00852F79">
        <w:t xml:space="preserve">Exhibit </w:t>
      </w:r>
      <w:r w:rsidR="00047EC0">
        <w:t>B</w:t>
      </w:r>
      <w:r w:rsidR="00D94A6B">
        <w:t>1</w:t>
      </w:r>
      <w:r w:rsidRPr="00852F79">
        <w:t xml:space="preserve">. </w:t>
      </w:r>
      <w:r w:rsidR="008500A6">
        <w:t xml:space="preserve">Sample Sizes and Completed Survey Counts for the Marketplace </w:t>
      </w:r>
      <w:r w:rsidR="006C7164">
        <w:t>Psychometric</w:t>
      </w:r>
      <w:r w:rsidR="008500A6">
        <w:t xml:space="preserve"> Test</w:t>
      </w:r>
    </w:p>
    <w:tbl>
      <w:tblPr>
        <w:tblStyle w:val="AIRTable"/>
        <w:tblW w:w="5066" w:type="pct"/>
        <w:tblInd w:w="-108" w:type="dxa"/>
        <w:tblLayout w:type="fixed"/>
        <w:tblLook w:val="04A0" w:firstRow="1" w:lastRow="0" w:firstColumn="1" w:lastColumn="0" w:noHBand="0" w:noVBand="1"/>
        <w:tblCaption w:val="Sample Sizes and Completed Survey Counts for the Marketplace Psychometric Test"/>
        <w:tblDescription w:val="Presentation of mode, target number of completed surveys, and total number to sample"/>
      </w:tblPr>
      <w:tblGrid>
        <w:gridCol w:w="4680"/>
        <w:gridCol w:w="2494"/>
        <w:gridCol w:w="2455"/>
      </w:tblGrid>
      <w:tr w:rsidR="00904C81" w:rsidRPr="001F7C4B" w14:paraId="796B8E67" w14:textId="77777777" w:rsidTr="00892926">
        <w:trPr>
          <w:cnfStyle w:val="100000000000" w:firstRow="1" w:lastRow="0" w:firstColumn="0" w:lastColumn="0" w:oddVBand="0" w:evenVBand="0" w:oddHBand="0" w:evenHBand="0" w:firstRowFirstColumn="0" w:firstRowLastColumn="0" w:lastRowFirstColumn="0" w:lastRowLastColumn="0"/>
          <w:trHeight w:val="546"/>
          <w:tblHeader/>
        </w:trPr>
        <w:tc>
          <w:tcPr>
            <w:tcW w:w="2430" w:type="pct"/>
            <w:noWrap/>
            <w:vAlign w:val="bottom"/>
            <w:hideMark/>
          </w:tcPr>
          <w:p w14:paraId="796B8E64" w14:textId="77777777" w:rsidR="00904C81" w:rsidRPr="001F7C4B" w:rsidRDefault="00904C81" w:rsidP="00525BB9">
            <w:pPr>
              <w:pStyle w:val="PTableHeading"/>
            </w:pPr>
            <w:r>
              <w:t>Mode</w:t>
            </w:r>
            <w:r>
              <w:rPr>
                <w:rFonts w:ascii="Calibri" w:hAnsi="Calibri" w:cs="Calibri"/>
              </w:rPr>
              <w:t>†</w:t>
            </w:r>
          </w:p>
        </w:tc>
        <w:tc>
          <w:tcPr>
            <w:tcW w:w="1295" w:type="pct"/>
            <w:vAlign w:val="bottom"/>
          </w:tcPr>
          <w:p w14:paraId="796B8E65" w14:textId="77777777" w:rsidR="00904C81" w:rsidRDefault="00904C81" w:rsidP="00D94A6B">
            <w:pPr>
              <w:pStyle w:val="PTableHeading"/>
            </w:pPr>
            <w:r>
              <w:t>Target Number of</w:t>
            </w:r>
            <w:r w:rsidRPr="001F7C4B">
              <w:t xml:space="preserve"> </w:t>
            </w:r>
            <w:r>
              <w:t xml:space="preserve">Completed Surveys </w:t>
            </w:r>
          </w:p>
        </w:tc>
        <w:tc>
          <w:tcPr>
            <w:tcW w:w="1275" w:type="pct"/>
            <w:vAlign w:val="bottom"/>
          </w:tcPr>
          <w:p w14:paraId="796B8E66" w14:textId="77777777" w:rsidR="00904C81" w:rsidDel="00047EC0" w:rsidRDefault="00904C81" w:rsidP="00DA5C3E">
            <w:pPr>
              <w:pStyle w:val="PTableHeading"/>
            </w:pPr>
            <w:r>
              <w:t xml:space="preserve">Total Number </w:t>
            </w:r>
            <w:r w:rsidR="00D94A6B">
              <w:t xml:space="preserve">to </w:t>
            </w:r>
            <w:r>
              <w:t>Sampl</w:t>
            </w:r>
            <w:r w:rsidR="00D94A6B">
              <w:t>e</w:t>
            </w:r>
          </w:p>
        </w:tc>
      </w:tr>
      <w:tr w:rsidR="00DA77B6" w:rsidRPr="00C4473C" w14:paraId="796B8E6B" w14:textId="77777777" w:rsidTr="0075476D">
        <w:tc>
          <w:tcPr>
            <w:tcW w:w="2430" w:type="pct"/>
            <w:noWrap/>
            <w:hideMark/>
          </w:tcPr>
          <w:p w14:paraId="796B8E68" w14:textId="77777777" w:rsidR="00DA77B6" w:rsidRPr="00940EF7" w:rsidRDefault="00DA77B6" w:rsidP="00322390">
            <w:pPr>
              <w:pStyle w:val="PTableText"/>
            </w:pPr>
            <w:r w:rsidRPr="00940EF7">
              <w:t>Exp 1.</w:t>
            </w:r>
            <w:r>
              <w:t xml:space="preserve"> P</w:t>
            </w:r>
            <w:r w:rsidRPr="00940EF7">
              <w:t>hone only</w:t>
            </w:r>
          </w:p>
        </w:tc>
        <w:tc>
          <w:tcPr>
            <w:tcW w:w="1295" w:type="pct"/>
          </w:tcPr>
          <w:p w14:paraId="796B8E69" w14:textId="617D469E" w:rsidR="00DA77B6" w:rsidRDefault="00DA77B6" w:rsidP="00DA5C3E">
            <w:pPr>
              <w:pStyle w:val="PTableText"/>
              <w:ind w:right="864"/>
              <w:jc w:val="right"/>
            </w:pPr>
            <w:r>
              <w:t>450</w:t>
            </w:r>
          </w:p>
        </w:tc>
        <w:tc>
          <w:tcPr>
            <w:tcW w:w="1275" w:type="pct"/>
          </w:tcPr>
          <w:p w14:paraId="796B8E6A" w14:textId="721594D6" w:rsidR="00DA77B6" w:rsidRDefault="00DA77B6" w:rsidP="00DA5C3E">
            <w:pPr>
              <w:pStyle w:val="PTableText"/>
              <w:ind w:right="864"/>
              <w:jc w:val="right"/>
            </w:pPr>
            <w:r>
              <w:t>1,500</w:t>
            </w:r>
          </w:p>
        </w:tc>
      </w:tr>
      <w:tr w:rsidR="00DA77B6" w:rsidRPr="00C4473C" w14:paraId="796B8E6F" w14:textId="77777777" w:rsidTr="0075476D">
        <w:tc>
          <w:tcPr>
            <w:tcW w:w="2430" w:type="pct"/>
            <w:noWrap/>
            <w:hideMark/>
          </w:tcPr>
          <w:p w14:paraId="796B8E6C" w14:textId="77777777" w:rsidR="00DA77B6" w:rsidRPr="00940EF7" w:rsidRDefault="00DA77B6" w:rsidP="00322390">
            <w:pPr>
              <w:pStyle w:val="PTableText"/>
            </w:pPr>
            <w:r w:rsidRPr="00940EF7">
              <w:t>Exp 2.</w:t>
            </w:r>
            <w:r>
              <w:t xml:space="preserve"> M</w:t>
            </w:r>
            <w:r w:rsidRPr="00940EF7">
              <w:t>ail with phone</w:t>
            </w:r>
          </w:p>
        </w:tc>
        <w:tc>
          <w:tcPr>
            <w:tcW w:w="1295" w:type="pct"/>
          </w:tcPr>
          <w:p w14:paraId="796B8E6D" w14:textId="5A14E069" w:rsidR="00DA77B6" w:rsidRDefault="00DA77B6" w:rsidP="00DA5C3E">
            <w:pPr>
              <w:pStyle w:val="PTableText"/>
              <w:ind w:right="864"/>
              <w:jc w:val="right"/>
            </w:pPr>
            <w:r>
              <w:t>450</w:t>
            </w:r>
          </w:p>
        </w:tc>
        <w:tc>
          <w:tcPr>
            <w:tcW w:w="1275" w:type="pct"/>
          </w:tcPr>
          <w:p w14:paraId="796B8E6E" w14:textId="40FBC490" w:rsidR="00DA77B6" w:rsidRDefault="00DA77B6" w:rsidP="00DA5C3E">
            <w:pPr>
              <w:pStyle w:val="PTableText"/>
              <w:ind w:right="864"/>
              <w:jc w:val="right"/>
            </w:pPr>
            <w:r>
              <w:t>1,500</w:t>
            </w:r>
          </w:p>
        </w:tc>
      </w:tr>
      <w:tr w:rsidR="00DA77B6" w:rsidRPr="00C4473C" w14:paraId="796B8E73" w14:textId="77777777" w:rsidTr="0075476D">
        <w:tc>
          <w:tcPr>
            <w:tcW w:w="2430" w:type="pct"/>
            <w:noWrap/>
            <w:hideMark/>
          </w:tcPr>
          <w:p w14:paraId="796B8E70" w14:textId="77777777" w:rsidR="00DA77B6" w:rsidRPr="00940EF7" w:rsidRDefault="00DA77B6" w:rsidP="00B15514">
            <w:pPr>
              <w:pStyle w:val="PTableText"/>
            </w:pPr>
            <w:r w:rsidRPr="00940EF7">
              <w:t>Exp 3.</w:t>
            </w:r>
            <w:r>
              <w:t xml:space="preserve"> M</w:t>
            </w:r>
            <w:r w:rsidRPr="00940EF7">
              <w:t xml:space="preserve">ail only with </w:t>
            </w:r>
            <w:r>
              <w:t xml:space="preserve">third </w:t>
            </w:r>
            <w:r w:rsidRPr="00940EF7">
              <w:t>survey mailed Fed Ex</w:t>
            </w:r>
          </w:p>
        </w:tc>
        <w:tc>
          <w:tcPr>
            <w:tcW w:w="1295" w:type="pct"/>
          </w:tcPr>
          <w:p w14:paraId="796B8E71" w14:textId="5B3352E7" w:rsidR="00DA77B6" w:rsidRDefault="00DA77B6" w:rsidP="00DA5C3E">
            <w:pPr>
              <w:pStyle w:val="PTableText"/>
              <w:ind w:right="864"/>
              <w:jc w:val="right"/>
            </w:pPr>
            <w:r>
              <w:t>450</w:t>
            </w:r>
          </w:p>
        </w:tc>
        <w:tc>
          <w:tcPr>
            <w:tcW w:w="1275" w:type="pct"/>
          </w:tcPr>
          <w:p w14:paraId="796B8E72" w14:textId="15B094AB" w:rsidR="00DA77B6" w:rsidRDefault="00DA77B6" w:rsidP="00DA5C3E">
            <w:pPr>
              <w:pStyle w:val="PTableText"/>
              <w:ind w:right="864"/>
              <w:jc w:val="right"/>
            </w:pPr>
            <w:r>
              <w:t>1,500</w:t>
            </w:r>
          </w:p>
        </w:tc>
      </w:tr>
      <w:tr w:rsidR="00DA77B6" w:rsidRPr="00C4473C" w14:paraId="796B8E77" w14:textId="77777777" w:rsidTr="0075476D">
        <w:tc>
          <w:tcPr>
            <w:tcW w:w="2430" w:type="pct"/>
            <w:noWrap/>
          </w:tcPr>
          <w:p w14:paraId="796B8E74" w14:textId="77777777" w:rsidR="00DA77B6" w:rsidRPr="00656AB4" w:rsidRDefault="00DA77B6" w:rsidP="00322390">
            <w:pPr>
              <w:pStyle w:val="PTableText"/>
            </w:pPr>
            <w:r w:rsidRPr="00656AB4">
              <w:t>Exp</w:t>
            </w:r>
            <w:r>
              <w:t xml:space="preserve"> </w:t>
            </w:r>
            <w:r w:rsidRPr="00656AB4">
              <w:t>4</w:t>
            </w:r>
            <w:r>
              <w:t>a.</w:t>
            </w:r>
            <w:r w:rsidRPr="00656AB4">
              <w:t xml:space="preserve"> Web only</w:t>
            </w:r>
            <w:r>
              <w:t xml:space="preserve"> – email and pre-notification letter</w:t>
            </w:r>
          </w:p>
        </w:tc>
        <w:tc>
          <w:tcPr>
            <w:tcW w:w="1295" w:type="pct"/>
          </w:tcPr>
          <w:p w14:paraId="796B8E75" w14:textId="665750D5" w:rsidR="00DA77B6" w:rsidRDefault="00DA77B6" w:rsidP="00DA5C3E">
            <w:pPr>
              <w:pStyle w:val="PTableText"/>
              <w:ind w:right="864"/>
              <w:jc w:val="right"/>
            </w:pPr>
            <w:r>
              <w:t>225</w:t>
            </w:r>
          </w:p>
        </w:tc>
        <w:tc>
          <w:tcPr>
            <w:tcW w:w="1275" w:type="pct"/>
          </w:tcPr>
          <w:p w14:paraId="796B8E76" w14:textId="32441B1F" w:rsidR="00DA77B6" w:rsidRDefault="00DA77B6" w:rsidP="00DA5C3E">
            <w:pPr>
              <w:pStyle w:val="PTableText"/>
              <w:ind w:right="864"/>
              <w:jc w:val="right"/>
            </w:pPr>
            <w:r>
              <w:t>750</w:t>
            </w:r>
          </w:p>
        </w:tc>
      </w:tr>
      <w:tr w:rsidR="00DA77B6" w:rsidRPr="00C4473C" w14:paraId="796B8E7B" w14:textId="77777777" w:rsidTr="0075476D">
        <w:tc>
          <w:tcPr>
            <w:tcW w:w="2430" w:type="pct"/>
            <w:noWrap/>
          </w:tcPr>
          <w:p w14:paraId="796B8E78" w14:textId="77777777" w:rsidR="00DA77B6" w:rsidRPr="00656AB4" w:rsidRDefault="00DA77B6" w:rsidP="00322390">
            <w:pPr>
              <w:pStyle w:val="PTableText"/>
            </w:pPr>
            <w:r>
              <w:t>Exp 4b. Web only – email only</w:t>
            </w:r>
          </w:p>
        </w:tc>
        <w:tc>
          <w:tcPr>
            <w:tcW w:w="1295" w:type="pct"/>
          </w:tcPr>
          <w:p w14:paraId="796B8E79" w14:textId="108D63EE" w:rsidR="00DA77B6" w:rsidRDefault="00DA77B6" w:rsidP="00DA5C3E">
            <w:pPr>
              <w:pStyle w:val="PTableText"/>
              <w:ind w:right="864"/>
              <w:jc w:val="right"/>
            </w:pPr>
            <w:r>
              <w:t>225</w:t>
            </w:r>
          </w:p>
        </w:tc>
        <w:tc>
          <w:tcPr>
            <w:tcW w:w="1275" w:type="pct"/>
          </w:tcPr>
          <w:p w14:paraId="796B8E7A" w14:textId="79D1342C" w:rsidR="00DA77B6" w:rsidRDefault="00DA77B6" w:rsidP="00DA5C3E">
            <w:pPr>
              <w:pStyle w:val="PTableText"/>
              <w:ind w:right="864"/>
              <w:jc w:val="right"/>
            </w:pPr>
            <w:r>
              <w:t>750</w:t>
            </w:r>
          </w:p>
        </w:tc>
      </w:tr>
      <w:tr w:rsidR="00DA77B6" w:rsidRPr="00C4473C" w14:paraId="796B8E7F" w14:textId="77777777" w:rsidTr="0075476D">
        <w:tc>
          <w:tcPr>
            <w:tcW w:w="2430" w:type="pct"/>
            <w:noWrap/>
            <w:hideMark/>
          </w:tcPr>
          <w:p w14:paraId="796B8E7C" w14:textId="77777777" w:rsidR="00DA77B6" w:rsidRPr="00940EF7" w:rsidRDefault="00DA77B6" w:rsidP="00525BB9">
            <w:pPr>
              <w:pStyle w:val="PTableText"/>
            </w:pPr>
            <w:r>
              <w:t xml:space="preserve">Exp 5. </w:t>
            </w:r>
            <w:r w:rsidRPr="00940EF7">
              <w:t xml:space="preserve">Mail only </w:t>
            </w:r>
          </w:p>
        </w:tc>
        <w:tc>
          <w:tcPr>
            <w:tcW w:w="1295" w:type="pct"/>
          </w:tcPr>
          <w:p w14:paraId="796B8E7D" w14:textId="08372B8E" w:rsidR="00DA77B6" w:rsidRDefault="00DA77B6" w:rsidP="00DA5C3E">
            <w:pPr>
              <w:pStyle w:val="PTableText"/>
              <w:ind w:right="864"/>
              <w:jc w:val="right"/>
            </w:pPr>
            <w:r>
              <w:t>450</w:t>
            </w:r>
          </w:p>
        </w:tc>
        <w:tc>
          <w:tcPr>
            <w:tcW w:w="1275" w:type="pct"/>
          </w:tcPr>
          <w:p w14:paraId="796B8E7E" w14:textId="69CB79DD" w:rsidR="00DA77B6" w:rsidRDefault="00DA77B6" w:rsidP="00DA5C3E">
            <w:pPr>
              <w:pStyle w:val="PTableText"/>
              <w:ind w:right="864"/>
              <w:jc w:val="right"/>
            </w:pPr>
            <w:r>
              <w:t>1,500</w:t>
            </w:r>
          </w:p>
        </w:tc>
      </w:tr>
      <w:tr w:rsidR="00DA77B6" w:rsidRPr="00C4473C" w14:paraId="796B8E83" w14:textId="77777777" w:rsidTr="0075476D">
        <w:trPr>
          <w:trHeight w:val="267"/>
        </w:trPr>
        <w:tc>
          <w:tcPr>
            <w:tcW w:w="2430" w:type="pct"/>
            <w:noWrap/>
            <w:vAlign w:val="center"/>
            <w:hideMark/>
          </w:tcPr>
          <w:p w14:paraId="796B8E80" w14:textId="77777777" w:rsidR="00DA77B6" w:rsidRPr="00AE71D3" w:rsidRDefault="00DA77B6" w:rsidP="00744F96">
            <w:pPr>
              <w:pStyle w:val="PTableText"/>
              <w:tabs>
                <w:tab w:val="left" w:pos="1620"/>
                <w:tab w:val="left" w:pos="5400"/>
              </w:tabs>
              <w:suppressAutoHyphens/>
              <w:autoSpaceDE w:val="0"/>
              <w:autoSpaceDN w:val="0"/>
              <w:adjustRightInd w:val="0"/>
              <w:ind w:left="1627" w:hanging="1627"/>
              <w:jc w:val="right"/>
              <w:textAlignment w:val="center"/>
              <w:rPr>
                <w:rFonts w:eastAsia="Calibri"/>
                <w:b/>
                <w:color w:val="000000"/>
                <w:sz w:val="24"/>
                <w:szCs w:val="24"/>
              </w:rPr>
            </w:pPr>
            <w:r w:rsidRPr="00F7186D">
              <w:rPr>
                <w:b/>
                <w:szCs w:val="20"/>
              </w:rPr>
              <w:t>Total</w:t>
            </w:r>
            <w:r>
              <w:rPr>
                <w:b/>
                <w:szCs w:val="20"/>
              </w:rPr>
              <w:t xml:space="preserve"> English</w:t>
            </w:r>
          </w:p>
        </w:tc>
        <w:tc>
          <w:tcPr>
            <w:tcW w:w="1295" w:type="pct"/>
            <w:vAlign w:val="center"/>
          </w:tcPr>
          <w:p w14:paraId="796B8E81" w14:textId="5F5E949E" w:rsidR="00DA77B6" w:rsidRDefault="00DA77B6" w:rsidP="00DA5C3E">
            <w:pPr>
              <w:pStyle w:val="PTableText"/>
              <w:ind w:right="864"/>
              <w:jc w:val="right"/>
              <w:rPr>
                <w:b/>
              </w:rPr>
            </w:pPr>
            <w:r>
              <w:rPr>
                <w:b/>
              </w:rPr>
              <w:t>2,250</w:t>
            </w:r>
          </w:p>
        </w:tc>
        <w:tc>
          <w:tcPr>
            <w:tcW w:w="1275" w:type="pct"/>
          </w:tcPr>
          <w:p w14:paraId="796B8E82" w14:textId="2D95664E" w:rsidR="00DA77B6" w:rsidDel="00FB3C3B" w:rsidRDefault="00DA77B6" w:rsidP="00DA5C3E">
            <w:pPr>
              <w:pStyle w:val="PTableText"/>
              <w:ind w:right="864"/>
              <w:jc w:val="right"/>
              <w:rPr>
                <w:b/>
              </w:rPr>
            </w:pPr>
            <w:r>
              <w:rPr>
                <w:b/>
              </w:rPr>
              <w:t>7,500</w:t>
            </w:r>
          </w:p>
        </w:tc>
      </w:tr>
      <w:tr w:rsidR="00DA77B6" w:rsidRPr="00C4473C" w14:paraId="796B8E87" w14:textId="77777777" w:rsidTr="0075476D">
        <w:trPr>
          <w:trHeight w:val="267"/>
        </w:trPr>
        <w:tc>
          <w:tcPr>
            <w:tcW w:w="2430" w:type="pct"/>
            <w:noWrap/>
          </w:tcPr>
          <w:p w14:paraId="796B8E84" w14:textId="77777777" w:rsidR="00DA77B6" w:rsidRDefault="00DA77B6" w:rsidP="00FB2EF7">
            <w:pPr>
              <w:pStyle w:val="PTableText"/>
              <w:tabs>
                <w:tab w:val="left" w:pos="1620"/>
                <w:tab w:val="left" w:pos="5400"/>
              </w:tabs>
              <w:suppressAutoHyphens/>
              <w:autoSpaceDE w:val="0"/>
              <w:autoSpaceDN w:val="0"/>
              <w:adjustRightInd w:val="0"/>
              <w:ind w:left="1627" w:hanging="1627"/>
              <w:textAlignment w:val="center"/>
              <w:rPr>
                <w:b/>
              </w:rPr>
            </w:pPr>
            <w:r>
              <w:rPr>
                <w:b/>
              </w:rPr>
              <w:t>Non-English</w:t>
            </w:r>
          </w:p>
        </w:tc>
        <w:tc>
          <w:tcPr>
            <w:tcW w:w="1295" w:type="pct"/>
            <w:vAlign w:val="center"/>
          </w:tcPr>
          <w:p w14:paraId="796B8E85" w14:textId="77777777" w:rsidR="00DA77B6" w:rsidRDefault="00DA77B6" w:rsidP="00DA5C3E">
            <w:pPr>
              <w:pStyle w:val="PTableText"/>
              <w:ind w:right="864"/>
              <w:jc w:val="right"/>
              <w:rPr>
                <w:b/>
              </w:rPr>
            </w:pPr>
          </w:p>
        </w:tc>
        <w:tc>
          <w:tcPr>
            <w:tcW w:w="1275" w:type="pct"/>
          </w:tcPr>
          <w:p w14:paraId="796B8E86" w14:textId="3E0EF31E" w:rsidR="00DA77B6" w:rsidRDefault="00DA77B6" w:rsidP="00DA5C3E">
            <w:pPr>
              <w:pStyle w:val="PTableText"/>
              <w:ind w:right="864"/>
              <w:jc w:val="right"/>
              <w:rPr>
                <w:b/>
              </w:rPr>
            </w:pPr>
          </w:p>
        </w:tc>
      </w:tr>
      <w:tr w:rsidR="00DA77B6" w:rsidRPr="00D94A6B" w14:paraId="796B8E8B" w14:textId="77777777" w:rsidTr="0075476D">
        <w:trPr>
          <w:trHeight w:val="267"/>
        </w:trPr>
        <w:tc>
          <w:tcPr>
            <w:tcW w:w="2430" w:type="pct"/>
            <w:noWrap/>
            <w:vAlign w:val="center"/>
          </w:tcPr>
          <w:p w14:paraId="796B8E88" w14:textId="77777777" w:rsidR="00DA77B6" w:rsidRPr="00D94A6B" w:rsidRDefault="00DA77B6" w:rsidP="00D94A6B">
            <w:pPr>
              <w:pStyle w:val="PTableText"/>
              <w:tabs>
                <w:tab w:val="left" w:pos="1620"/>
                <w:tab w:val="left" w:pos="5400"/>
              </w:tabs>
              <w:suppressAutoHyphens/>
              <w:autoSpaceDE w:val="0"/>
              <w:autoSpaceDN w:val="0"/>
              <w:adjustRightInd w:val="0"/>
              <w:ind w:left="1627" w:hanging="1627"/>
              <w:textAlignment w:val="center"/>
            </w:pPr>
            <w:r w:rsidRPr="00D94A6B">
              <w:t xml:space="preserve">   Spanish</w:t>
            </w:r>
            <w:r>
              <w:t xml:space="preserve"> (mail only)</w:t>
            </w:r>
          </w:p>
        </w:tc>
        <w:tc>
          <w:tcPr>
            <w:tcW w:w="1295" w:type="pct"/>
            <w:vAlign w:val="center"/>
          </w:tcPr>
          <w:p w14:paraId="796B8E89" w14:textId="77777777" w:rsidR="00DA77B6" w:rsidRPr="00D94A6B" w:rsidRDefault="00DA77B6" w:rsidP="00D94A6B">
            <w:pPr>
              <w:pStyle w:val="PTableText"/>
              <w:tabs>
                <w:tab w:val="left" w:pos="1620"/>
                <w:tab w:val="left" w:pos="5400"/>
              </w:tabs>
              <w:suppressAutoHyphens/>
              <w:autoSpaceDE w:val="0"/>
              <w:autoSpaceDN w:val="0"/>
              <w:adjustRightInd w:val="0"/>
              <w:ind w:left="1627" w:hanging="1627"/>
              <w:jc w:val="center"/>
              <w:textAlignment w:val="center"/>
            </w:pPr>
            <w:r w:rsidRPr="00D94A6B">
              <w:t>450</w:t>
            </w:r>
          </w:p>
        </w:tc>
        <w:tc>
          <w:tcPr>
            <w:tcW w:w="1275" w:type="pct"/>
          </w:tcPr>
          <w:p w14:paraId="796B8E8A" w14:textId="5E91ABF3" w:rsidR="00DA77B6" w:rsidRPr="00D94A6B" w:rsidRDefault="00DA77B6" w:rsidP="00FA186A">
            <w:pPr>
              <w:pStyle w:val="PTableText"/>
              <w:tabs>
                <w:tab w:val="left" w:pos="1620"/>
                <w:tab w:val="left" w:pos="5400"/>
              </w:tabs>
              <w:suppressAutoHyphens/>
              <w:autoSpaceDE w:val="0"/>
              <w:autoSpaceDN w:val="0"/>
              <w:adjustRightInd w:val="0"/>
              <w:ind w:left="1627" w:hanging="1627"/>
              <w:jc w:val="center"/>
              <w:textAlignment w:val="center"/>
            </w:pPr>
            <w:r w:rsidRPr="00D94A6B">
              <w:t>1,</w:t>
            </w:r>
            <w:r>
              <w:t>500</w:t>
            </w:r>
          </w:p>
        </w:tc>
      </w:tr>
      <w:tr w:rsidR="00DA77B6" w:rsidRPr="00D94A6B" w14:paraId="796B8E8F" w14:textId="77777777" w:rsidTr="0075476D">
        <w:trPr>
          <w:trHeight w:val="267"/>
        </w:trPr>
        <w:tc>
          <w:tcPr>
            <w:tcW w:w="2430" w:type="pct"/>
            <w:noWrap/>
            <w:vAlign w:val="center"/>
          </w:tcPr>
          <w:p w14:paraId="796B8E8C" w14:textId="77777777" w:rsidR="00DA77B6" w:rsidRPr="00D94A6B" w:rsidRDefault="00DA77B6" w:rsidP="00D94A6B">
            <w:pPr>
              <w:pStyle w:val="PTableText"/>
              <w:tabs>
                <w:tab w:val="left" w:pos="1620"/>
                <w:tab w:val="left" w:pos="5400"/>
              </w:tabs>
              <w:suppressAutoHyphens/>
              <w:autoSpaceDE w:val="0"/>
              <w:autoSpaceDN w:val="0"/>
              <w:adjustRightInd w:val="0"/>
              <w:ind w:left="1627" w:hanging="1627"/>
              <w:textAlignment w:val="center"/>
            </w:pPr>
            <w:r w:rsidRPr="00D94A6B">
              <w:t xml:space="preserve">   Chinese</w:t>
            </w:r>
            <w:r>
              <w:t xml:space="preserve"> (mail only)</w:t>
            </w:r>
          </w:p>
        </w:tc>
        <w:tc>
          <w:tcPr>
            <w:tcW w:w="1295" w:type="pct"/>
            <w:vAlign w:val="center"/>
          </w:tcPr>
          <w:p w14:paraId="796B8E8D" w14:textId="77777777" w:rsidR="00DA77B6" w:rsidRPr="00D94A6B" w:rsidRDefault="00DA77B6" w:rsidP="00D94A6B">
            <w:pPr>
              <w:pStyle w:val="PTableText"/>
              <w:tabs>
                <w:tab w:val="left" w:pos="1620"/>
                <w:tab w:val="left" w:pos="5400"/>
              </w:tabs>
              <w:suppressAutoHyphens/>
              <w:autoSpaceDE w:val="0"/>
              <w:autoSpaceDN w:val="0"/>
              <w:adjustRightInd w:val="0"/>
              <w:ind w:left="1627" w:hanging="1627"/>
              <w:jc w:val="center"/>
              <w:textAlignment w:val="center"/>
            </w:pPr>
            <w:r w:rsidRPr="00D94A6B">
              <w:t>450</w:t>
            </w:r>
          </w:p>
        </w:tc>
        <w:tc>
          <w:tcPr>
            <w:tcW w:w="1275" w:type="pct"/>
          </w:tcPr>
          <w:p w14:paraId="796B8E8E" w14:textId="157E7241" w:rsidR="00DA77B6" w:rsidRPr="00D94A6B" w:rsidRDefault="00DA77B6" w:rsidP="00FA186A">
            <w:pPr>
              <w:pStyle w:val="PTableText"/>
              <w:tabs>
                <w:tab w:val="left" w:pos="1620"/>
                <w:tab w:val="left" w:pos="5400"/>
              </w:tabs>
              <w:suppressAutoHyphens/>
              <w:autoSpaceDE w:val="0"/>
              <w:autoSpaceDN w:val="0"/>
              <w:adjustRightInd w:val="0"/>
              <w:ind w:left="1627" w:hanging="1627"/>
              <w:jc w:val="center"/>
              <w:textAlignment w:val="center"/>
            </w:pPr>
            <w:r w:rsidRPr="00D94A6B">
              <w:t>1,</w:t>
            </w:r>
            <w:r>
              <w:t>500</w:t>
            </w:r>
          </w:p>
        </w:tc>
      </w:tr>
      <w:tr w:rsidR="00DA77B6" w:rsidRPr="00C4473C" w14:paraId="796B8E93" w14:textId="77777777" w:rsidTr="00892926">
        <w:trPr>
          <w:trHeight w:val="267"/>
        </w:trPr>
        <w:tc>
          <w:tcPr>
            <w:tcW w:w="2430" w:type="pct"/>
            <w:tcBorders>
              <w:bottom w:val="single" w:sz="4" w:space="0" w:color="002C5F"/>
            </w:tcBorders>
            <w:noWrap/>
            <w:vAlign w:val="center"/>
          </w:tcPr>
          <w:p w14:paraId="796B8E90" w14:textId="77777777" w:rsidR="00DA77B6" w:rsidRPr="00F7186D" w:rsidRDefault="00DA77B6" w:rsidP="00744F96">
            <w:pPr>
              <w:pStyle w:val="PTableText"/>
              <w:tabs>
                <w:tab w:val="left" w:pos="1620"/>
                <w:tab w:val="left" w:pos="5400"/>
              </w:tabs>
              <w:suppressAutoHyphens/>
              <w:autoSpaceDE w:val="0"/>
              <w:autoSpaceDN w:val="0"/>
              <w:adjustRightInd w:val="0"/>
              <w:ind w:left="1627" w:hanging="1627"/>
              <w:jc w:val="right"/>
              <w:textAlignment w:val="center"/>
              <w:rPr>
                <w:rFonts w:eastAsia="Calibri"/>
                <w:b/>
                <w:color w:val="000000"/>
                <w:sz w:val="24"/>
                <w:szCs w:val="24"/>
              </w:rPr>
            </w:pPr>
            <w:r>
              <w:rPr>
                <w:b/>
              </w:rPr>
              <w:t>Overall Total</w:t>
            </w:r>
          </w:p>
        </w:tc>
        <w:tc>
          <w:tcPr>
            <w:tcW w:w="1295" w:type="pct"/>
            <w:tcBorders>
              <w:bottom w:val="single" w:sz="4" w:space="0" w:color="002C5F"/>
            </w:tcBorders>
            <w:vAlign w:val="center"/>
          </w:tcPr>
          <w:p w14:paraId="796B8E91" w14:textId="77777777" w:rsidR="00DA77B6" w:rsidRDefault="00DA77B6" w:rsidP="00DA5C3E">
            <w:pPr>
              <w:pStyle w:val="PTableText"/>
              <w:ind w:right="864"/>
              <w:jc w:val="right"/>
              <w:rPr>
                <w:b/>
              </w:rPr>
            </w:pPr>
            <w:r>
              <w:rPr>
                <w:b/>
              </w:rPr>
              <w:t>3,150</w:t>
            </w:r>
          </w:p>
        </w:tc>
        <w:tc>
          <w:tcPr>
            <w:tcW w:w="1275" w:type="pct"/>
            <w:tcBorders>
              <w:bottom w:val="single" w:sz="4" w:space="0" w:color="002C5F"/>
            </w:tcBorders>
          </w:tcPr>
          <w:p w14:paraId="796B8E92" w14:textId="2EF1ED73" w:rsidR="00DA77B6" w:rsidRDefault="00DA77B6" w:rsidP="00E63964">
            <w:pPr>
              <w:pStyle w:val="PTableText"/>
              <w:ind w:right="864"/>
              <w:jc w:val="right"/>
              <w:rPr>
                <w:b/>
              </w:rPr>
            </w:pPr>
            <w:r>
              <w:rPr>
                <w:b/>
              </w:rPr>
              <w:t>10,500</w:t>
            </w:r>
          </w:p>
        </w:tc>
      </w:tr>
      <w:tr w:rsidR="00540F46" w14:paraId="796B8E95" w14:textId="77777777" w:rsidTr="00892926">
        <w:trPr>
          <w:cantSplit/>
          <w:trHeight w:val="960"/>
        </w:trPr>
        <w:tc>
          <w:tcPr>
            <w:tcW w:w="2430" w:type="pct"/>
            <w:tcBorders>
              <w:left w:val="nil"/>
              <w:bottom w:val="nil"/>
              <w:right w:val="nil"/>
            </w:tcBorders>
          </w:tcPr>
          <w:p w14:paraId="610B2950" w14:textId="77777777" w:rsidR="00540F46" w:rsidRDefault="00540F46" w:rsidP="00030635">
            <w:pPr>
              <w:pStyle w:val="PTableSource"/>
            </w:pPr>
            <w:r>
              <w:rPr>
                <w:rFonts w:ascii="Calibri" w:hAnsi="Calibri" w:cs="Calibri"/>
              </w:rPr>
              <w:t>†</w:t>
            </w:r>
            <w:r>
              <w:t xml:space="preserve"> Mode experiments will be conducted in English only. All modes other than the mail-only mode (Exp. 5) will be available only to respondents whose language preference is English.</w:t>
            </w:r>
          </w:p>
        </w:tc>
        <w:tc>
          <w:tcPr>
            <w:tcW w:w="1295" w:type="pct"/>
            <w:tcBorders>
              <w:left w:val="nil"/>
              <w:bottom w:val="nil"/>
              <w:right w:val="nil"/>
            </w:tcBorders>
          </w:tcPr>
          <w:p w14:paraId="043CDEE6" w14:textId="77777777" w:rsidR="00540F46" w:rsidRDefault="00540F46" w:rsidP="00030635">
            <w:pPr>
              <w:pStyle w:val="PTableSource"/>
            </w:pPr>
          </w:p>
        </w:tc>
        <w:tc>
          <w:tcPr>
            <w:tcW w:w="1275" w:type="pct"/>
            <w:tcBorders>
              <w:left w:val="nil"/>
              <w:bottom w:val="nil"/>
              <w:right w:val="nil"/>
            </w:tcBorders>
          </w:tcPr>
          <w:p w14:paraId="796B8E94" w14:textId="39B49D81" w:rsidR="00540F46" w:rsidRDefault="00540F46" w:rsidP="00030635">
            <w:pPr>
              <w:pStyle w:val="PTableSource"/>
            </w:pPr>
          </w:p>
        </w:tc>
      </w:tr>
    </w:tbl>
    <w:p w14:paraId="796B8E96" w14:textId="77777777" w:rsidR="001E32A1" w:rsidRDefault="001E32A1" w:rsidP="00F71359">
      <w:pPr>
        <w:pStyle w:val="PBodyText"/>
      </w:pPr>
    </w:p>
    <w:p w14:paraId="796B8E97" w14:textId="77777777" w:rsidR="005A2BA0" w:rsidRPr="00F71359" w:rsidRDefault="005A2BA0" w:rsidP="00F71359">
      <w:pPr>
        <w:pStyle w:val="PBodyText"/>
        <w:rPr>
          <w:i/>
        </w:rPr>
      </w:pPr>
      <w:r w:rsidRPr="00F71359">
        <w:rPr>
          <w:i/>
        </w:rPr>
        <w:t>Limitations</w:t>
      </w:r>
    </w:p>
    <w:p w14:paraId="5299B347" w14:textId="76960834" w:rsidR="0061551F" w:rsidRDefault="0061551F" w:rsidP="00F71359">
      <w:pPr>
        <w:pStyle w:val="PBodyText"/>
      </w:pPr>
      <w:r>
        <w:t xml:space="preserve">The psychometric test component of this information collection </w:t>
      </w:r>
      <w:r w:rsidR="00722BBF">
        <w:t>was</w:t>
      </w:r>
      <w:r>
        <w:t xml:space="preserve"> not designed to provide state-level estimates.  </w:t>
      </w:r>
    </w:p>
    <w:p w14:paraId="796B8E98" w14:textId="2B227A90" w:rsidR="005A2BA0" w:rsidRPr="005A2BA0" w:rsidRDefault="005A2BA0" w:rsidP="00F71359">
      <w:pPr>
        <w:pStyle w:val="PBodyText"/>
      </w:pPr>
      <w:r>
        <w:t xml:space="preserve">CMS </w:t>
      </w:r>
      <w:r w:rsidR="00722BBF">
        <w:t>was not</w:t>
      </w:r>
      <w:r>
        <w:t xml:space="preserve"> able to evaluate psychometric properties of the instrument among </w:t>
      </w:r>
      <w:r w:rsidR="0081695E">
        <w:t>the 15 SBMs</w:t>
      </w:r>
      <w:r>
        <w:t>.</w:t>
      </w:r>
      <w:r w:rsidR="005D1682">
        <w:t xml:space="preserve"> </w:t>
      </w:r>
      <w:r w:rsidR="0081695E">
        <w:t xml:space="preserve">While this is a serious weakness, it </w:t>
      </w:r>
      <w:r w:rsidR="0030550A">
        <w:t xml:space="preserve">was </w:t>
      </w:r>
      <w:r w:rsidR="0081695E">
        <w:t xml:space="preserve">unavoidable </w:t>
      </w:r>
      <w:r w:rsidR="0030550A">
        <w:t>during the psychometric test phase</w:t>
      </w:r>
      <w:r w:rsidR="0081695E">
        <w:t>.</w:t>
      </w:r>
    </w:p>
    <w:p w14:paraId="796B8E99" w14:textId="0B71F8D4" w:rsidR="001E32A1" w:rsidRDefault="001E32A1" w:rsidP="001E32A1">
      <w:pPr>
        <w:pStyle w:val="Heading4"/>
        <w:spacing w:after="120"/>
      </w:pPr>
      <w:r w:rsidRPr="00096197">
        <w:t>1.</w:t>
      </w:r>
      <w:r>
        <w:t>1.2.2</w:t>
      </w:r>
      <w:r w:rsidRPr="00096197">
        <w:tab/>
      </w:r>
      <w:r w:rsidR="00795494">
        <w:t xml:space="preserve">Marketplace </w:t>
      </w:r>
      <w:r w:rsidR="0073257D">
        <w:t xml:space="preserve">and </w:t>
      </w:r>
      <w:r>
        <w:t>Beta Test</w:t>
      </w:r>
      <w:r w:rsidR="00DC2D0F">
        <w:t xml:space="preserve"> </w:t>
      </w:r>
      <w:r w:rsidR="006337A5">
        <w:t xml:space="preserve">Phase </w:t>
      </w:r>
      <w:r w:rsidR="00DC2D0F">
        <w:t>Sample Size Estimates</w:t>
      </w:r>
    </w:p>
    <w:p w14:paraId="796B8E9A" w14:textId="6ECD02B1" w:rsidR="00F9478A" w:rsidRDefault="0061551F" w:rsidP="00ED69CC">
      <w:pPr>
        <w:pStyle w:val="PBodyText"/>
      </w:pPr>
      <w:r>
        <w:t xml:space="preserve">This </w:t>
      </w:r>
      <w:r w:rsidR="002D4A14">
        <w:t>component</w:t>
      </w:r>
      <w:r>
        <w:t xml:space="preserve"> of the implementation </w:t>
      </w:r>
      <w:r w:rsidR="00B43133">
        <w:t xml:space="preserve">will </w:t>
      </w:r>
      <w:r>
        <w:t xml:space="preserve">involve the initial fielding of the </w:t>
      </w:r>
      <w:r w:rsidR="00F14435">
        <w:t xml:space="preserve">revised survey in 44 states, including the 37 states that utilize the FFM for enrollment and eligibility </w:t>
      </w:r>
      <w:r w:rsidR="00101960">
        <w:t>along with</w:t>
      </w:r>
      <w:r w:rsidR="00F14435">
        <w:t xml:space="preserve"> 7 SBMs that have voluntarily agreed to participate</w:t>
      </w:r>
      <w:r w:rsidR="00101960">
        <w:t xml:space="preserve"> in the beta test</w:t>
      </w:r>
      <w:r>
        <w:t xml:space="preserve">. </w:t>
      </w:r>
    </w:p>
    <w:p w14:paraId="796B8E9B" w14:textId="15B07740" w:rsidR="00AE5275" w:rsidRDefault="005D1682" w:rsidP="00ED69CC">
      <w:pPr>
        <w:pStyle w:val="PBodyText"/>
      </w:pPr>
      <w:r>
        <w:t>As described above, t</w:t>
      </w:r>
      <w:r w:rsidR="00AE5275">
        <w:t xml:space="preserve">o have a sufficient number of responses for </w:t>
      </w:r>
      <w:r w:rsidR="00AE5275" w:rsidRPr="00F523A8">
        <w:rPr>
          <w:i/>
        </w:rPr>
        <w:t>analysis</w:t>
      </w:r>
      <w:r w:rsidR="00AE5275">
        <w:t xml:space="preserve"> and </w:t>
      </w:r>
      <w:r w:rsidR="00AE5275" w:rsidRPr="00F523A8">
        <w:rPr>
          <w:i/>
        </w:rPr>
        <w:t>reporting</w:t>
      </w:r>
      <w:r w:rsidR="00AE5275">
        <w:t xml:space="preserve"> </w:t>
      </w:r>
      <w:r w:rsidR="00915ACC">
        <w:t>based on</w:t>
      </w:r>
      <w:r w:rsidR="00ED69CC">
        <w:t xml:space="preserve"> surveys where respondents may interact with a number of different individuals</w:t>
      </w:r>
      <w:r w:rsidR="00AE5275">
        <w:t xml:space="preserve"> or systems</w:t>
      </w:r>
      <w:r w:rsidR="00ED69CC">
        <w:t>, such as with a health plan</w:t>
      </w:r>
      <w:r w:rsidR="00431038">
        <w:t xml:space="preserve"> or a clinician group</w:t>
      </w:r>
      <w:r w:rsidR="00ED69CC">
        <w:t xml:space="preserve">, CAHPS </w:t>
      </w:r>
      <w:r w:rsidR="00AE5275">
        <w:t xml:space="preserve">generally </w:t>
      </w:r>
      <w:r w:rsidR="00ED69CC">
        <w:t>recommends obtaining completed questionna</w:t>
      </w:r>
      <w:r w:rsidR="00AE5275">
        <w:t>ires from 300</w:t>
      </w:r>
      <w:r w:rsidR="00ED69CC">
        <w:t xml:space="preserve"> respondents per reporting entity.</w:t>
      </w:r>
      <w:r w:rsidR="00AE5275">
        <w:rPr>
          <w:rStyle w:val="FootnoteReference"/>
        </w:rPr>
        <w:footnoteReference w:id="13"/>
      </w:r>
      <w:r w:rsidR="00ED69CC">
        <w:t xml:space="preserve"> </w:t>
      </w:r>
      <w:r w:rsidR="001D476E">
        <w:t xml:space="preserve">These estimates are based on </w:t>
      </w:r>
      <w:r w:rsidR="001D476E">
        <w:lastRenderedPageBreak/>
        <w:t xml:space="preserve">analyses conducted </w:t>
      </w:r>
      <w:r w:rsidR="00431038">
        <w:t xml:space="preserve">on existing CAHPS data </w:t>
      </w:r>
      <w:r w:rsidR="001D476E">
        <w:t xml:space="preserve">to determine the number of completed responses needed to provide power sufficient to </w:t>
      </w:r>
      <w:r w:rsidR="00AE5275">
        <w:t xml:space="preserve">detect differences between one reporting entity (e.g., a health plan) and the mean of all other reporting </w:t>
      </w:r>
      <w:r w:rsidR="002B52F1">
        <w:t>entities</w:t>
      </w:r>
      <w:r w:rsidR="00AE5275">
        <w:t xml:space="preserve"> in a given sample.</w:t>
      </w:r>
      <w:r w:rsidR="002441EB">
        <w:t xml:space="preserve"> These differences are the basis of the standard CAHPS “star rating</w:t>
      </w:r>
      <w:r w:rsidR="007747B7">
        <w:t>,” which identifies reporting entities as being below average, average, or above average.</w:t>
      </w:r>
      <w:r w:rsidR="00AE5275">
        <w:t xml:space="preserve"> </w:t>
      </w:r>
    </w:p>
    <w:p w14:paraId="796B8E9C" w14:textId="249D6F6F" w:rsidR="00ED69CC" w:rsidRDefault="00ED69CC" w:rsidP="00ED69CC">
      <w:pPr>
        <w:pStyle w:val="PBodyText"/>
      </w:pPr>
      <w:r>
        <w:t>We have assumed that interactions with a Marketplace or a QHP will be analogous to</w:t>
      </w:r>
      <w:r w:rsidR="00787FA6">
        <w:t xml:space="preserve"> this heterogeneous experience, which implies that 300 completed responses per Marketplace would be sufficient for </w:t>
      </w:r>
      <w:r w:rsidR="00C539AF">
        <w:t xml:space="preserve">standard CAHPS </w:t>
      </w:r>
      <w:r w:rsidR="00787FA6">
        <w:t>analysis and reporting</w:t>
      </w:r>
      <w:r w:rsidR="00C539AF">
        <w:t xml:space="preserve"> activities</w:t>
      </w:r>
      <w:r w:rsidR="00787FA6">
        <w:t>. However</w:t>
      </w:r>
      <w:r>
        <w:t>, regulatory oversight requires CMS to determine if disparities</w:t>
      </w:r>
      <w:r w:rsidR="001761E8">
        <w:t xml:space="preserve"> in </w:t>
      </w:r>
      <w:r w:rsidR="00C539AF">
        <w:t xml:space="preserve">consumer </w:t>
      </w:r>
      <w:r w:rsidR="001761E8">
        <w:t>experiences</w:t>
      </w:r>
      <w:r>
        <w:t xml:space="preserve"> by race, ethnicity, income, and disability exist </w:t>
      </w:r>
      <w:r w:rsidRPr="00892926">
        <w:rPr>
          <w:i/>
        </w:rPr>
        <w:t>within</w:t>
      </w:r>
      <w:r>
        <w:t xml:space="preserve"> </w:t>
      </w:r>
      <w:r w:rsidRPr="00892926">
        <w:t>each</w:t>
      </w:r>
      <w:r>
        <w:t xml:space="preserve"> </w:t>
      </w:r>
      <w:r w:rsidR="00F14435">
        <w:t>state</w:t>
      </w:r>
      <w:r>
        <w:t xml:space="preserve">. </w:t>
      </w:r>
      <w:r w:rsidR="00B43133">
        <w:t>Such s</w:t>
      </w:r>
      <w:r w:rsidR="0033253D">
        <w:t xml:space="preserve">ubgroup analyses would involve, for example, comparing the experiences of a small group in a given State, such as Hispanics, to a large group in that State, such as non-Hispanics. </w:t>
      </w:r>
      <w:r w:rsidR="006464F2">
        <w:t xml:space="preserve">Additionally, under the Americans with Disabilites Act, CMS is required to ensure that individuals with a disability have equal access to government services and the Marketplace Survey provides an opportunity for CMS to ensure that it is fufilling this requirement within the Health Insurance Marketplaces. </w:t>
      </w:r>
      <w:r w:rsidR="00C539AF">
        <w:t xml:space="preserve">To meet </w:t>
      </w:r>
      <w:r w:rsidR="006464F2">
        <w:t xml:space="preserve">these </w:t>
      </w:r>
      <w:r w:rsidR="00C539AF">
        <w:t>oversight requirement</w:t>
      </w:r>
      <w:r w:rsidR="006464F2">
        <w:t>s</w:t>
      </w:r>
      <w:r w:rsidR="00C539AF">
        <w:t>, a greater</w:t>
      </w:r>
      <w:r>
        <w:t xml:space="preserve"> number of complete</w:t>
      </w:r>
      <w:r w:rsidR="00C539AF">
        <w:t xml:space="preserve"> responses </w:t>
      </w:r>
      <w:r w:rsidR="007A6DB6">
        <w:t>are</w:t>
      </w:r>
      <w:r w:rsidR="00C539AF">
        <w:t xml:space="preserve"> needed </w:t>
      </w:r>
      <w:r w:rsidR="00431038">
        <w:t xml:space="preserve">from </w:t>
      </w:r>
      <w:r>
        <w:t xml:space="preserve">each Marketplace. </w:t>
      </w:r>
    </w:p>
    <w:p w14:paraId="796B8E9D" w14:textId="1E1A8B6E" w:rsidR="003B1CDF" w:rsidRDefault="0054491C" w:rsidP="0071404B">
      <w:pPr>
        <w:pStyle w:val="PBodyText"/>
      </w:pPr>
      <w:r>
        <w:t>To accommodate this objective in</w:t>
      </w:r>
      <w:r w:rsidR="00ED69CC">
        <w:t xml:space="preserve"> the beta </w:t>
      </w:r>
      <w:r w:rsidR="001D476E">
        <w:t>test</w:t>
      </w:r>
      <w:r>
        <w:t>,</w:t>
      </w:r>
      <w:r w:rsidR="001D476E">
        <w:t xml:space="preserve"> </w:t>
      </w:r>
      <w:r w:rsidR="00431038">
        <w:t>CMS proposes</w:t>
      </w:r>
      <w:r w:rsidR="00787FA6">
        <w:t xml:space="preserve"> </w:t>
      </w:r>
      <w:r w:rsidR="00431038">
        <w:t>sampling</w:t>
      </w:r>
      <w:r w:rsidR="00ED69CC">
        <w:t xml:space="preserve"> to obtain </w:t>
      </w:r>
      <w:r w:rsidR="00ED69CC" w:rsidRPr="00D543A7">
        <w:t xml:space="preserve">1,200 </w:t>
      </w:r>
      <w:r w:rsidR="00754416">
        <w:t>completed surveys</w:t>
      </w:r>
      <w:r w:rsidR="00ED69CC" w:rsidRPr="00D543A7">
        <w:t xml:space="preserve"> in each </w:t>
      </w:r>
      <w:r w:rsidR="00BD79AD">
        <w:t>state</w:t>
      </w:r>
      <w:r w:rsidR="00ED69CC" w:rsidRPr="00D543A7">
        <w:t xml:space="preserve">. </w:t>
      </w:r>
      <w:r w:rsidR="00BA38F4">
        <w:t xml:space="preserve">Our analyses of the psychometric test data show that, at the low end, the prevalence of most of the subgroups of interest to CMS is between 1 percent and 9 percent in most, but not all, states. </w:t>
      </w:r>
      <w:r w:rsidR="00754416" w:rsidRPr="00754416">
        <w:t>Our analyses show that 1,200 completed surveys would enable CMS to detect subgroup disparities with corresponding effect sizes ranging from high-medium to low-medium (effect sizes between 0.63 and 0.32) for any subgroup comprising between 2</w:t>
      </w:r>
      <w:r w:rsidR="00AB3893">
        <w:t xml:space="preserve"> percent</w:t>
      </w:r>
      <w:r w:rsidR="00754416" w:rsidRPr="00754416">
        <w:t xml:space="preserve"> (n ≈ 20) and 7</w:t>
      </w:r>
      <w:r w:rsidR="00AB3893">
        <w:t xml:space="preserve"> percent</w:t>
      </w:r>
      <w:r w:rsidR="00754416" w:rsidRPr="00754416">
        <w:t xml:space="preserve"> (n ≈ 80) of a given state’s Marketplace Survey-eligible population.</w:t>
      </w:r>
    </w:p>
    <w:p w14:paraId="4E603A6E" w14:textId="3170C4E8" w:rsidR="00AB3893" w:rsidRDefault="00AB3893" w:rsidP="0071404B">
      <w:pPr>
        <w:pStyle w:val="PBodyText"/>
        <w:rPr>
          <w:szCs w:val="24"/>
        </w:rPr>
      </w:pPr>
      <w:r>
        <w:t>B</w:t>
      </w:r>
      <w:r w:rsidRPr="00AB3893">
        <w:t xml:space="preserve">ased on the psychometric test results </w:t>
      </w:r>
      <w:r>
        <w:t>we</w:t>
      </w:r>
      <w:r w:rsidRPr="00AB3893">
        <w:t xml:space="preserve"> found higher response rates for Chinese (36%) and Spanish (25%) compared to English</w:t>
      </w:r>
      <w:r w:rsidR="00B43133">
        <w:t xml:space="preserve"> (20%) when using the same mail-only </w:t>
      </w:r>
      <w:r w:rsidRPr="00AB3893">
        <w:t>mode. Our survey vendor, Ipsos, has found similar results for other health surveys.</w:t>
      </w:r>
      <w:r>
        <w:t xml:space="preserve"> </w:t>
      </w:r>
      <w:r w:rsidR="003B1CDF">
        <w:t>For th</w:t>
      </w:r>
      <w:r w:rsidR="002D4A14">
        <w:t>is component</w:t>
      </w:r>
      <w:r w:rsidR="003B1CDF">
        <w:t>, CMS</w:t>
      </w:r>
      <w:r w:rsidR="00D55174">
        <w:rPr>
          <w:szCs w:val="24"/>
        </w:rPr>
        <w:t xml:space="preserve"> </w:t>
      </w:r>
      <w:r w:rsidR="003B1CDF" w:rsidRPr="009B50A3">
        <w:rPr>
          <w:szCs w:val="24"/>
        </w:rPr>
        <w:t xml:space="preserve">will not </w:t>
      </w:r>
      <w:r>
        <w:rPr>
          <w:szCs w:val="24"/>
        </w:rPr>
        <w:t xml:space="preserve">sample based on language, </w:t>
      </w:r>
      <w:r w:rsidR="00AC1C7B" w:rsidRPr="0071404B">
        <w:rPr>
          <w:szCs w:val="24"/>
        </w:rPr>
        <w:t xml:space="preserve"> but</w:t>
      </w:r>
      <w:r w:rsidR="003B1CDF" w:rsidRPr="003F5896">
        <w:rPr>
          <w:szCs w:val="24"/>
        </w:rPr>
        <w:t xml:space="preserve"> will administer</w:t>
      </w:r>
      <w:r w:rsidR="003B1CDF" w:rsidRPr="009B50A3">
        <w:rPr>
          <w:szCs w:val="24"/>
        </w:rPr>
        <w:t xml:space="preserve"> Spanish and </w:t>
      </w:r>
      <w:r w:rsidR="003B1CDF">
        <w:rPr>
          <w:szCs w:val="24"/>
        </w:rPr>
        <w:t>Chinese</w:t>
      </w:r>
      <w:r w:rsidR="003B1CDF" w:rsidRPr="009B50A3" w:rsidDel="0094457D">
        <w:rPr>
          <w:szCs w:val="24"/>
        </w:rPr>
        <w:t xml:space="preserve"> </w:t>
      </w:r>
      <w:r w:rsidR="003B1CDF">
        <w:rPr>
          <w:szCs w:val="24"/>
        </w:rPr>
        <w:t>versions</w:t>
      </w:r>
      <w:r w:rsidR="003B1CDF" w:rsidRPr="009B50A3">
        <w:rPr>
          <w:szCs w:val="24"/>
        </w:rPr>
        <w:t xml:space="preserve"> to </w:t>
      </w:r>
      <w:r>
        <w:rPr>
          <w:szCs w:val="24"/>
        </w:rPr>
        <w:t>sampled consumers who indicated a Spanish or Chinese language preference on their marketplace applications. If no preference is given, the sampled person will be part of the English sample</w:t>
      </w:r>
      <w:r w:rsidR="00B43133">
        <w:rPr>
          <w:szCs w:val="24"/>
        </w:rPr>
        <w:t>, If language preference is indicated as some other language, the person will be excluded from the frame</w:t>
      </w:r>
      <w:r w:rsidR="003B1CDF" w:rsidRPr="009B50A3">
        <w:rPr>
          <w:szCs w:val="24"/>
        </w:rPr>
        <w:t>.</w:t>
      </w:r>
      <w:r>
        <w:rPr>
          <w:szCs w:val="24"/>
        </w:rPr>
        <w:t xml:space="preserve"> </w:t>
      </w:r>
    </w:p>
    <w:p w14:paraId="796B8E9E" w14:textId="19BDAA03" w:rsidR="00DD29E2" w:rsidRDefault="00AB3893" w:rsidP="0071404B">
      <w:pPr>
        <w:pStyle w:val="PBodyText"/>
      </w:pPr>
      <w:r w:rsidRPr="00D94F0D">
        <w:rPr>
          <w:rFonts w:cs="Times New Roman"/>
          <w:szCs w:val="24"/>
        </w:rPr>
        <w:t xml:space="preserve">Data from the psychometric test indicate that, for the 36 FFM states included in the psychometric test, consumers with a Spanish language preference comprise around 5% of the total survey-eligible population in those states, while consumers with a Chinese language preference comprise around 0.20% of the total survey-eligible population. </w:t>
      </w:r>
      <w:r w:rsidR="00197D66">
        <w:rPr>
          <w:szCs w:val="24"/>
        </w:rPr>
        <w:t xml:space="preserve">Exhibit B2 shows the sample sizes and anticipated number of completes by language for the 44 beta test states </w:t>
      </w:r>
      <w:r w:rsidR="00197D66">
        <w:rPr>
          <w:i/>
          <w:szCs w:val="24"/>
        </w:rPr>
        <w:t>on average</w:t>
      </w:r>
      <w:r w:rsidR="00197D66">
        <w:rPr>
          <w:szCs w:val="24"/>
        </w:rPr>
        <w:t xml:space="preserve">. </w:t>
      </w:r>
      <w:r w:rsidR="00BA38F4">
        <w:lastRenderedPageBreak/>
        <w:t xml:space="preserve">This approach will yield a total sample of </w:t>
      </w:r>
      <w:r w:rsidR="00BA38F4" w:rsidRPr="00394CB9">
        <w:t>167,273</w:t>
      </w:r>
      <w:r w:rsidR="00BA38F4" w:rsidRPr="00171185">
        <w:t xml:space="preserve"> </w:t>
      </w:r>
      <w:r w:rsidR="00BA38F4">
        <w:t xml:space="preserve">consumers resulting in a total of 52,800 completed surveys nationwide. </w:t>
      </w:r>
    </w:p>
    <w:p w14:paraId="796B8E9F" w14:textId="1C2FE8DE" w:rsidR="000107C3" w:rsidRPr="00C47A8D" w:rsidRDefault="000107C3" w:rsidP="000107C3">
      <w:pPr>
        <w:pStyle w:val="PTableTitle"/>
      </w:pPr>
      <w:r w:rsidRPr="00852F79">
        <w:t xml:space="preserve">Exhibit </w:t>
      </w:r>
      <w:r w:rsidR="0052683B">
        <w:t>B2</w:t>
      </w:r>
      <w:r w:rsidRPr="00852F79">
        <w:t xml:space="preserve">. </w:t>
      </w:r>
      <w:r>
        <w:t>Distribution of Marketplace Surveys by Language</w:t>
      </w:r>
      <w:r w:rsidR="002D4A14">
        <w:t xml:space="preserve"> for Beta Test Component</w:t>
      </w:r>
    </w:p>
    <w:p w14:paraId="435FC6FE" w14:textId="2F4DAB01" w:rsidR="00197D66" w:rsidRPr="00EC601A" w:rsidRDefault="00197D66" w:rsidP="00197D66">
      <w:pPr>
        <w:rPr>
          <w:rFonts w:ascii="Arial" w:hAnsi="Arial" w:cs="Arial"/>
          <w:b/>
          <w:bCs/>
          <w:sz w:val="20"/>
          <w:szCs w:val="20"/>
        </w:rPr>
      </w:pPr>
    </w:p>
    <w:tbl>
      <w:tblPr>
        <w:tblStyle w:val="LightList-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istribution of Marketplace Surveys by Language for Beta Test Component"/>
        <w:tblDescription w:val="Exhibit B2 shows the sample sizes and anticipated number of completes by language for the 44 beta test states on average. This approach will yield a total sample of 167,273 consumers resulting in a total of 52,800 completed surveys nationwide. "/>
      </w:tblPr>
      <w:tblGrid>
        <w:gridCol w:w="2565"/>
        <w:gridCol w:w="1753"/>
        <w:gridCol w:w="1752"/>
        <w:gridCol w:w="1752"/>
        <w:gridCol w:w="1754"/>
      </w:tblGrid>
      <w:tr w:rsidR="00197D66" w:rsidRPr="00EC601A" w14:paraId="3F6CF714" w14:textId="77777777" w:rsidTr="00C76274">
        <w:trPr>
          <w:cnfStyle w:val="100000000000" w:firstRow="1" w:lastRow="0" w:firstColumn="0" w:lastColumn="0" w:oddVBand="0" w:evenVBand="0" w:oddHBand="0" w:evenHBand="0" w:firstRowFirstColumn="0" w:firstRowLastColumn="0" w:lastRowFirstColumn="0" w:lastRowLastColumn="0"/>
          <w:trHeight w:val="645"/>
          <w:tblHeader/>
        </w:trPr>
        <w:tc>
          <w:tcPr>
            <w:cnfStyle w:val="001000000000" w:firstRow="0" w:lastRow="0" w:firstColumn="1" w:lastColumn="0" w:oddVBand="0" w:evenVBand="0" w:oddHBand="0" w:evenHBand="0" w:firstRowFirstColumn="0" w:firstRowLastColumn="0" w:lastRowFirstColumn="0" w:lastRowLastColumn="0"/>
            <w:tcW w:w="1339" w:type="pct"/>
            <w:shd w:val="clear" w:color="auto" w:fill="1F497D" w:themeFill="text2"/>
            <w:noWrap/>
            <w:vAlign w:val="center"/>
          </w:tcPr>
          <w:p w14:paraId="4C61CF1F" w14:textId="77777777" w:rsidR="00197D66" w:rsidRPr="00DD1843" w:rsidRDefault="00197D66" w:rsidP="00D20E83">
            <w:pPr>
              <w:rPr>
                <w:rFonts w:ascii="Arial Narrow" w:eastAsia="Times New Roman" w:hAnsi="Arial Narrow" w:cs="Arial"/>
                <w:bCs w:val="0"/>
                <w:sz w:val="20"/>
                <w:szCs w:val="20"/>
              </w:rPr>
            </w:pPr>
            <w:r w:rsidRPr="00DD1843">
              <w:rPr>
                <w:rFonts w:ascii="Arial Narrow" w:eastAsia="Times New Roman" w:hAnsi="Arial Narrow" w:cs="Arial"/>
                <w:bCs w:val="0"/>
                <w:sz w:val="20"/>
                <w:szCs w:val="20"/>
              </w:rPr>
              <w:t>Inputs</w:t>
            </w:r>
          </w:p>
        </w:tc>
        <w:tc>
          <w:tcPr>
            <w:tcW w:w="915" w:type="pct"/>
            <w:shd w:val="clear" w:color="auto" w:fill="1F497D" w:themeFill="text2"/>
            <w:vAlign w:val="center"/>
          </w:tcPr>
          <w:p w14:paraId="5F53B1B9" w14:textId="77777777" w:rsidR="00197D66" w:rsidRPr="00EC601A" w:rsidRDefault="00197D66" w:rsidP="00D20E83">
            <w:pP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sz w:val="20"/>
                <w:szCs w:val="20"/>
              </w:rPr>
            </w:pPr>
            <w:r w:rsidRPr="00EC601A">
              <w:rPr>
                <w:rFonts w:ascii="Arial Narrow" w:eastAsia="Times New Roman" w:hAnsi="Arial Narrow" w:cs="Arial"/>
                <w:sz w:val="20"/>
                <w:szCs w:val="20"/>
              </w:rPr>
              <w:t>Overall</w:t>
            </w:r>
          </w:p>
        </w:tc>
        <w:tc>
          <w:tcPr>
            <w:tcW w:w="915" w:type="pct"/>
            <w:shd w:val="clear" w:color="auto" w:fill="1F497D" w:themeFill="text2"/>
            <w:vAlign w:val="center"/>
          </w:tcPr>
          <w:p w14:paraId="28D601C4" w14:textId="77777777" w:rsidR="00197D66" w:rsidRPr="00EC601A" w:rsidRDefault="00197D66" w:rsidP="00D20E83">
            <w:pP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sz w:val="20"/>
                <w:szCs w:val="20"/>
              </w:rPr>
            </w:pPr>
            <w:r w:rsidRPr="00EC601A">
              <w:rPr>
                <w:rFonts w:ascii="Arial Narrow" w:eastAsia="Times New Roman" w:hAnsi="Arial Narrow" w:cs="Arial"/>
                <w:sz w:val="20"/>
                <w:szCs w:val="20"/>
              </w:rPr>
              <w:t>English</w:t>
            </w:r>
          </w:p>
        </w:tc>
        <w:tc>
          <w:tcPr>
            <w:tcW w:w="915" w:type="pct"/>
            <w:shd w:val="clear" w:color="auto" w:fill="1F497D" w:themeFill="text2"/>
            <w:vAlign w:val="center"/>
          </w:tcPr>
          <w:p w14:paraId="350E83D6" w14:textId="77777777" w:rsidR="00197D66" w:rsidRPr="00EC601A" w:rsidRDefault="00197D66" w:rsidP="00D20E83">
            <w:pP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sz w:val="20"/>
                <w:szCs w:val="20"/>
              </w:rPr>
            </w:pPr>
            <w:r w:rsidRPr="00EC601A">
              <w:rPr>
                <w:rFonts w:ascii="Arial Narrow" w:eastAsia="Times New Roman" w:hAnsi="Arial Narrow" w:cs="Arial"/>
                <w:sz w:val="20"/>
                <w:szCs w:val="20"/>
              </w:rPr>
              <w:t>Spanish</w:t>
            </w:r>
          </w:p>
        </w:tc>
        <w:tc>
          <w:tcPr>
            <w:tcW w:w="916" w:type="pct"/>
            <w:shd w:val="clear" w:color="auto" w:fill="1F497D" w:themeFill="text2"/>
            <w:vAlign w:val="center"/>
          </w:tcPr>
          <w:p w14:paraId="08E47519" w14:textId="77777777" w:rsidR="00197D66" w:rsidRPr="00EC601A" w:rsidRDefault="00197D66" w:rsidP="00D20E83">
            <w:pP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sz w:val="20"/>
                <w:szCs w:val="20"/>
              </w:rPr>
            </w:pPr>
            <w:r w:rsidRPr="00EC601A">
              <w:rPr>
                <w:rFonts w:ascii="Arial Narrow" w:eastAsia="Times New Roman" w:hAnsi="Arial Narrow" w:cs="Arial"/>
                <w:sz w:val="20"/>
                <w:szCs w:val="20"/>
              </w:rPr>
              <w:t>Chinese</w:t>
            </w:r>
          </w:p>
        </w:tc>
      </w:tr>
      <w:tr w:rsidR="00197D66" w:rsidRPr="00EC601A" w14:paraId="79754877" w14:textId="77777777" w:rsidTr="00C7627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39" w:type="pct"/>
            <w:noWrap/>
            <w:vAlign w:val="center"/>
            <w:hideMark/>
          </w:tcPr>
          <w:p w14:paraId="524FA08B" w14:textId="77777777" w:rsidR="00197D66" w:rsidRPr="00EC601A" w:rsidRDefault="00197D66" w:rsidP="00D20E83">
            <w:pPr>
              <w:rPr>
                <w:rFonts w:ascii="Arial Narrow" w:eastAsia="Times New Roman" w:hAnsi="Arial Narrow" w:cs="Arial"/>
                <w:bCs w:val="0"/>
                <w:color w:val="000000"/>
                <w:sz w:val="20"/>
                <w:szCs w:val="20"/>
              </w:rPr>
            </w:pPr>
            <w:r w:rsidRPr="00EC601A">
              <w:rPr>
                <w:rFonts w:ascii="Arial Narrow" w:eastAsia="Times New Roman" w:hAnsi="Arial Narrow" w:cs="Arial"/>
                <w:bCs w:val="0"/>
                <w:color w:val="000000"/>
                <w:sz w:val="20"/>
                <w:szCs w:val="20"/>
              </w:rPr>
              <w:t>Share of population</w:t>
            </w:r>
          </w:p>
        </w:tc>
        <w:tc>
          <w:tcPr>
            <w:tcW w:w="915" w:type="pct"/>
            <w:noWrap/>
            <w:vAlign w:val="center"/>
            <w:hideMark/>
          </w:tcPr>
          <w:p w14:paraId="53CECC03" w14:textId="77777777" w:rsidR="00197D66" w:rsidRPr="00EC601A" w:rsidRDefault="00197D66" w:rsidP="00D20E83">
            <w:pPr>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rPr>
            </w:pPr>
            <w:r w:rsidRPr="00EC601A">
              <w:rPr>
                <w:rFonts w:ascii="Arial Narrow" w:eastAsia="Times New Roman" w:hAnsi="Arial Narrow" w:cs="Arial"/>
                <w:color w:val="000000"/>
                <w:sz w:val="20"/>
                <w:szCs w:val="20"/>
              </w:rPr>
              <w:t>100%</w:t>
            </w:r>
          </w:p>
        </w:tc>
        <w:tc>
          <w:tcPr>
            <w:tcW w:w="915" w:type="pct"/>
            <w:noWrap/>
            <w:vAlign w:val="center"/>
            <w:hideMark/>
          </w:tcPr>
          <w:p w14:paraId="3F756EEC" w14:textId="77777777" w:rsidR="00197D66" w:rsidRPr="00EC601A" w:rsidRDefault="00197D66" w:rsidP="00D20E83">
            <w:pPr>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rPr>
            </w:pPr>
            <w:r w:rsidRPr="00EC601A">
              <w:rPr>
                <w:rFonts w:ascii="Arial Narrow" w:eastAsia="Times New Roman" w:hAnsi="Arial Narrow" w:cs="Arial"/>
                <w:color w:val="000000"/>
                <w:sz w:val="20"/>
                <w:szCs w:val="20"/>
              </w:rPr>
              <w:t>95%</w:t>
            </w:r>
          </w:p>
        </w:tc>
        <w:tc>
          <w:tcPr>
            <w:tcW w:w="915" w:type="pct"/>
            <w:noWrap/>
            <w:vAlign w:val="center"/>
            <w:hideMark/>
          </w:tcPr>
          <w:p w14:paraId="172D39CA" w14:textId="77777777" w:rsidR="00197D66" w:rsidRPr="00EC601A" w:rsidRDefault="00197D66" w:rsidP="00D20E83">
            <w:pPr>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rPr>
            </w:pPr>
            <w:r w:rsidRPr="00EC601A">
              <w:rPr>
                <w:rFonts w:ascii="Arial Narrow" w:eastAsia="Times New Roman" w:hAnsi="Arial Narrow" w:cs="Arial"/>
                <w:color w:val="000000"/>
                <w:sz w:val="20"/>
                <w:szCs w:val="20"/>
              </w:rPr>
              <w:t>5%</w:t>
            </w:r>
          </w:p>
        </w:tc>
        <w:tc>
          <w:tcPr>
            <w:tcW w:w="916" w:type="pct"/>
            <w:noWrap/>
            <w:vAlign w:val="center"/>
            <w:hideMark/>
          </w:tcPr>
          <w:p w14:paraId="3D0EBCFF" w14:textId="77777777" w:rsidR="00197D66" w:rsidRPr="00EC601A" w:rsidRDefault="00197D66" w:rsidP="00D20E83">
            <w:pPr>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rPr>
            </w:pPr>
            <w:r w:rsidRPr="00EC601A">
              <w:rPr>
                <w:rFonts w:ascii="Arial Narrow" w:eastAsia="Times New Roman" w:hAnsi="Arial Narrow" w:cs="Arial"/>
                <w:color w:val="000000"/>
                <w:sz w:val="20"/>
                <w:szCs w:val="20"/>
              </w:rPr>
              <w:t>0.20%</w:t>
            </w:r>
          </w:p>
        </w:tc>
      </w:tr>
      <w:tr w:rsidR="00197D66" w:rsidRPr="00EC601A" w14:paraId="4ECA9E4A" w14:textId="77777777" w:rsidTr="00C76274">
        <w:trPr>
          <w:trHeight w:val="300"/>
        </w:trPr>
        <w:tc>
          <w:tcPr>
            <w:cnfStyle w:val="001000000000" w:firstRow="0" w:lastRow="0" w:firstColumn="1" w:lastColumn="0" w:oddVBand="0" w:evenVBand="0" w:oddHBand="0" w:evenHBand="0" w:firstRowFirstColumn="0" w:firstRowLastColumn="0" w:lastRowFirstColumn="0" w:lastRowLastColumn="0"/>
            <w:tcW w:w="1339" w:type="pct"/>
            <w:noWrap/>
            <w:vAlign w:val="center"/>
            <w:hideMark/>
          </w:tcPr>
          <w:p w14:paraId="236A0886" w14:textId="77777777" w:rsidR="00197D66" w:rsidRPr="00EC601A" w:rsidRDefault="00197D66" w:rsidP="00D20E83">
            <w:pPr>
              <w:rPr>
                <w:rFonts w:ascii="Arial Narrow" w:eastAsia="Times New Roman" w:hAnsi="Arial Narrow" w:cs="Arial"/>
                <w:bCs w:val="0"/>
                <w:color w:val="000000"/>
                <w:sz w:val="20"/>
                <w:szCs w:val="20"/>
              </w:rPr>
            </w:pPr>
            <w:r w:rsidRPr="00EC601A">
              <w:rPr>
                <w:rFonts w:ascii="Arial Narrow" w:eastAsia="Times New Roman" w:hAnsi="Arial Narrow" w:cs="Arial"/>
                <w:bCs w:val="0"/>
                <w:color w:val="000000"/>
                <w:sz w:val="20"/>
                <w:szCs w:val="20"/>
              </w:rPr>
              <w:t>Estimated RR</w:t>
            </w:r>
          </w:p>
        </w:tc>
        <w:tc>
          <w:tcPr>
            <w:tcW w:w="915" w:type="pct"/>
            <w:noWrap/>
            <w:vAlign w:val="center"/>
            <w:hideMark/>
          </w:tcPr>
          <w:p w14:paraId="35D5C9EF" w14:textId="77777777" w:rsidR="00197D66" w:rsidRPr="00EC601A" w:rsidRDefault="00197D66" w:rsidP="00D20E83">
            <w:pPr>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rPr>
            </w:pPr>
            <w:r w:rsidRPr="00EC601A">
              <w:rPr>
                <w:rFonts w:ascii="Arial Narrow" w:eastAsia="Times New Roman" w:hAnsi="Arial Narrow" w:cs="Arial"/>
                <w:color w:val="000000"/>
                <w:sz w:val="20"/>
                <w:szCs w:val="20"/>
              </w:rPr>
              <w:t>3</w:t>
            </w:r>
            <w:r>
              <w:rPr>
                <w:rFonts w:ascii="Arial Narrow" w:eastAsia="Times New Roman" w:hAnsi="Arial Narrow" w:cs="Arial"/>
                <w:color w:val="000000"/>
                <w:sz w:val="20"/>
                <w:szCs w:val="20"/>
              </w:rPr>
              <w:t>1.57</w:t>
            </w:r>
            <w:r w:rsidRPr="00EC601A">
              <w:rPr>
                <w:rFonts w:ascii="Arial Narrow" w:eastAsia="Times New Roman" w:hAnsi="Arial Narrow" w:cs="Arial"/>
                <w:color w:val="000000"/>
                <w:sz w:val="20"/>
                <w:szCs w:val="20"/>
              </w:rPr>
              <w:t>%</w:t>
            </w:r>
          </w:p>
        </w:tc>
        <w:tc>
          <w:tcPr>
            <w:tcW w:w="915" w:type="pct"/>
            <w:noWrap/>
            <w:vAlign w:val="center"/>
            <w:hideMark/>
          </w:tcPr>
          <w:p w14:paraId="65B093B7" w14:textId="77777777" w:rsidR="00197D66" w:rsidRPr="00EC601A" w:rsidRDefault="00197D66" w:rsidP="00D20E83">
            <w:pPr>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rPr>
            </w:pPr>
            <w:r w:rsidRPr="00EC601A">
              <w:rPr>
                <w:rFonts w:ascii="Arial Narrow" w:eastAsia="Times New Roman" w:hAnsi="Arial Narrow" w:cs="Arial"/>
                <w:color w:val="000000"/>
                <w:sz w:val="20"/>
                <w:szCs w:val="20"/>
              </w:rPr>
              <w:t>32</w:t>
            </w:r>
            <w:r>
              <w:rPr>
                <w:rFonts w:ascii="Arial Narrow" w:eastAsia="Times New Roman" w:hAnsi="Arial Narrow" w:cs="Arial"/>
                <w:color w:val="000000"/>
                <w:sz w:val="20"/>
                <w:szCs w:val="20"/>
              </w:rPr>
              <w:t>.00</w:t>
            </w:r>
            <w:r w:rsidRPr="00EC601A">
              <w:rPr>
                <w:rFonts w:ascii="Arial Narrow" w:eastAsia="Times New Roman" w:hAnsi="Arial Narrow" w:cs="Arial"/>
                <w:color w:val="000000"/>
                <w:sz w:val="20"/>
                <w:szCs w:val="20"/>
              </w:rPr>
              <w:t>%</w:t>
            </w:r>
          </w:p>
        </w:tc>
        <w:tc>
          <w:tcPr>
            <w:tcW w:w="915" w:type="pct"/>
            <w:noWrap/>
            <w:vAlign w:val="center"/>
            <w:hideMark/>
          </w:tcPr>
          <w:p w14:paraId="421FAEAB" w14:textId="77777777" w:rsidR="00197D66" w:rsidRPr="00EC601A" w:rsidRDefault="00197D66" w:rsidP="00D20E83">
            <w:pPr>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rPr>
            </w:pPr>
            <w:r w:rsidRPr="00EC601A">
              <w:rPr>
                <w:rFonts w:ascii="Arial Narrow" w:eastAsia="Times New Roman" w:hAnsi="Arial Narrow" w:cs="Arial"/>
                <w:color w:val="000000"/>
                <w:sz w:val="20"/>
                <w:szCs w:val="20"/>
              </w:rPr>
              <w:t>25</w:t>
            </w:r>
            <w:r>
              <w:rPr>
                <w:rFonts w:ascii="Arial Narrow" w:eastAsia="Times New Roman" w:hAnsi="Arial Narrow" w:cs="Arial"/>
                <w:color w:val="000000"/>
                <w:sz w:val="20"/>
                <w:szCs w:val="20"/>
              </w:rPr>
              <w:t>.00</w:t>
            </w:r>
            <w:r w:rsidRPr="00EC601A">
              <w:rPr>
                <w:rFonts w:ascii="Arial Narrow" w:eastAsia="Times New Roman" w:hAnsi="Arial Narrow" w:cs="Arial"/>
                <w:color w:val="000000"/>
                <w:sz w:val="20"/>
                <w:szCs w:val="20"/>
              </w:rPr>
              <w:t>%</w:t>
            </w:r>
          </w:p>
        </w:tc>
        <w:tc>
          <w:tcPr>
            <w:tcW w:w="916" w:type="pct"/>
            <w:noWrap/>
            <w:vAlign w:val="center"/>
            <w:hideMark/>
          </w:tcPr>
          <w:p w14:paraId="547CB222" w14:textId="77777777" w:rsidR="00197D66" w:rsidRPr="00EC601A" w:rsidRDefault="00197D66" w:rsidP="00D20E83">
            <w:pPr>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rPr>
            </w:pPr>
            <w:r w:rsidRPr="00EC601A">
              <w:rPr>
                <w:rFonts w:ascii="Arial Narrow" w:eastAsia="Times New Roman" w:hAnsi="Arial Narrow" w:cs="Arial"/>
                <w:color w:val="000000"/>
                <w:sz w:val="20"/>
                <w:szCs w:val="20"/>
              </w:rPr>
              <w:t>36</w:t>
            </w:r>
            <w:r>
              <w:rPr>
                <w:rFonts w:ascii="Arial Narrow" w:eastAsia="Times New Roman" w:hAnsi="Arial Narrow" w:cs="Arial"/>
                <w:color w:val="000000"/>
                <w:sz w:val="20"/>
                <w:szCs w:val="20"/>
              </w:rPr>
              <w:t>.00</w:t>
            </w:r>
            <w:r w:rsidRPr="00EC601A">
              <w:rPr>
                <w:rFonts w:ascii="Arial Narrow" w:eastAsia="Times New Roman" w:hAnsi="Arial Narrow" w:cs="Arial"/>
                <w:color w:val="000000"/>
                <w:sz w:val="20"/>
                <w:szCs w:val="20"/>
              </w:rPr>
              <w:t>%</w:t>
            </w:r>
          </w:p>
        </w:tc>
      </w:tr>
      <w:tr w:rsidR="00197D66" w:rsidRPr="00EC601A" w14:paraId="243E1D5C" w14:textId="77777777" w:rsidTr="00C76274">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1339" w:type="pct"/>
            <w:noWrap/>
            <w:vAlign w:val="center"/>
            <w:hideMark/>
          </w:tcPr>
          <w:p w14:paraId="4E2751DA" w14:textId="77777777" w:rsidR="00197D66" w:rsidRPr="00EC601A" w:rsidRDefault="00197D66" w:rsidP="00D20E83">
            <w:pPr>
              <w:rPr>
                <w:rFonts w:ascii="Arial Narrow" w:eastAsia="Times New Roman" w:hAnsi="Arial Narrow" w:cs="Arial"/>
                <w:bCs w:val="0"/>
                <w:color w:val="000000"/>
                <w:sz w:val="20"/>
                <w:szCs w:val="20"/>
              </w:rPr>
            </w:pPr>
            <w:r w:rsidRPr="00EC601A">
              <w:rPr>
                <w:rFonts w:ascii="Arial Narrow" w:eastAsia="Times New Roman" w:hAnsi="Arial Narrow" w:cs="Arial"/>
                <w:bCs w:val="0"/>
                <w:color w:val="000000"/>
                <w:sz w:val="20"/>
                <w:szCs w:val="20"/>
              </w:rPr>
              <w:t>Number sampled</w:t>
            </w:r>
          </w:p>
        </w:tc>
        <w:tc>
          <w:tcPr>
            <w:tcW w:w="915" w:type="pct"/>
            <w:noWrap/>
            <w:vAlign w:val="center"/>
            <w:hideMark/>
          </w:tcPr>
          <w:p w14:paraId="557BF149" w14:textId="77777777" w:rsidR="00197D66" w:rsidRPr="00EC601A" w:rsidRDefault="00197D66" w:rsidP="00D20E83">
            <w:pPr>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rPr>
            </w:pPr>
            <w:r>
              <w:rPr>
                <w:rFonts w:ascii="Arial Narrow" w:eastAsia="Times New Roman" w:hAnsi="Arial Narrow" w:cs="Arial"/>
                <w:color w:val="000000"/>
                <w:sz w:val="20"/>
                <w:szCs w:val="20"/>
              </w:rPr>
              <w:t>167,273</w:t>
            </w:r>
            <w:r w:rsidRPr="00EC601A">
              <w:rPr>
                <w:rFonts w:ascii="Arial Narrow" w:eastAsia="Times New Roman" w:hAnsi="Arial Narrow" w:cs="Arial"/>
                <w:color w:val="000000"/>
                <w:sz w:val="20"/>
                <w:szCs w:val="20"/>
              </w:rPr>
              <w:t xml:space="preserve"> </w:t>
            </w:r>
          </w:p>
        </w:tc>
        <w:tc>
          <w:tcPr>
            <w:tcW w:w="915" w:type="pct"/>
            <w:noWrap/>
            <w:vAlign w:val="center"/>
            <w:hideMark/>
          </w:tcPr>
          <w:p w14:paraId="0EE4563D" w14:textId="77777777" w:rsidR="00197D66" w:rsidRPr="00EC601A" w:rsidRDefault="00197D66" w:rsidP="00D20E83">
            <w:pPr>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rPr>
            </w:pPr>
            <w:r>
              <w:rPr>
                <w:rFonts w:ascii="Arial Narrow" w:eastAsia="Times New Roman" w:hAnsi="Arial Narrow" w:cs="Arial"/>
                <w:color w:val="000000"/>
                <w:sz w:val="20"/>
                <w:szCs w:val="20"/>
              </w:rPr>
              <w:t>156,420</w:t>
            </w:r>
          </w:p>
        </w:tc>
        <w:tc>
          <w:tcPr>
            <w:tcW w:w="915" w:type="pct"/>
            <w:noWrap/>
            <w:vAlign w:val="center"/>
            <w:hideMark/>
          </w:tcPr>
          <w:p w14:paraId="68CD1808" w14:textId="77777777" w:rsidR="00197D66" w:rsidRPr="00EC601A" w:rsidRDefault="00197D66" w:rsidP="00D20E83">
            <w:pPr>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rPr>
            </w:pPr>
            <w:r>
              <w:rPr>
                <w:rFonts w:ascii="Arial Narrow" w:eastAsia="Times New Roman" w:hAnsi="Arial Narrow" w:cs="Arial"/>
                <w:color w:val="000000"/>
                <w:sz w:val="20"/>
                <w:szCs w:val="20"/>
              </w:rPr>
              <w:t>10,560</w:t>
            </w:r>
          </w:p>
        </w:tc>
        <w:tc>
          <w:tcPr>
            <w:tcW w:w="916" w:type="pct"/>
            <w:noWrap/>
            <w:vAlign w:val="center"/>
            <w:hideMark/>
          </w:tcPr>
          <w:p w14:paraId="1F1FDBC0" w14:textId="77777777" w:rsidR="00197D66" w:rsidRPr="00EC601A" w:rsidRDefault="00197D66" w:rsidP="00D20E83">
            <w:pPr>
              <w:jc w:val="right"/>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Arial"/>
                <w:color w:val="000000"/>
                <w:sz w:val="20"/>
                <w:szCs w:val="20"/>
              </w:rPr>
            </w:pPr>
            <w:r>
              <w:rPr>
                <w:rFonts w:ascii="Arial Narrow" w:eastAsia="Times New Roman" w:hAnsi="Arial Narrow" w:cs="Arial"/>
                <w:color w:val="000000"/>
                <w:sz w:val="20"/>
                <w:szCs w:val="20"/>
              </w:rPr>
              <w:t>293</w:t>
            </w:r>
          </w:p>
        </w:tc>
      </w:tr>
      <w:tr w:rsidR="00197D66" w:rsidRPr="00EC601A" w14:paraId="32DAF1AC" w14:textId="77777777" w:rsidTr="00C76274">
        <w:trPr>
          <w:trHeight w:val="300"/>
        </w:trPr>
        <w:tc>
          <w:tcPr>
            <w:cnfStyle w:val="001000000000" w:firstRow="0" w:lastRow="0" w:firstColumn="1" w:lastColumn="0" w:oddVBand="0" w:evenVBand="0" w:oddHBand="0" w:evenHBand="0" w:firstRowFirstColumn="0" w:firstRowLastColumn="0" w:lastRowFirstColumn="0" w:lastRowLastColumn="0"/>
            <w:tcW w:w="1339" w:type="pct"/>
            <w:noWrap/>
            <w:vAlign w:val="center"/>
            <w:hideMark/>
          </w:tcPr>
          <w:p w14:paraId="7DF90645" w14:textId="77777777" w:rsidR="00197D66" w:rsidRPr="00EC601A" w:rsidRDefault="00197D66" w:rsidP="00D20E83">
            <w:pPr>
              <w:rPr>
                <w:rFonts w:ascii="Arial Narrow" w:eastAsia="Times New Roman" w:hAnsi="Arial Narrow" w:cs="Arial"/>
                <w:bCs w:val="0"/>
                <w:color w:val="000000"/>
                <w:sz w:val="20"/>
                <w:szCs w:val="20"/>
              </w:rPr>
            </w:pPr>
            <w:r w:rsidRPr="00EC601A">
              <w:rPr>
                <w:rFonts w:ascii="Arial Narrow" w:eastAsia="Times New Roman" w:hAnsi="Arial Narrow" w:cs="Arial"/>
                <w:bCs w:val="0"/>
                <w:color w:val="000000"/>
                <w:sz w:val="20"/>
                <w:szCs w:val="20"/>
              </w:rPr>
              <w:t>Number completes</w:t>
            </w:r>
          </w:p>
        </w:tc>
        <w:tc>
          <w:tcPr>
            <w:tcW w:w="915" w:type="pct"/>
            <w:noWrap/>
            <w:vAlign w:val="center"/>
            <w:hideMark/>
          </w:tcPr>
          <w:p w14:paraId="55727994" w14:textId="77777777" w:rsidR="00197D66" w:rsidRPr="00EC601A" w:rsidRDefault="00197D66" w:rsidP="00D20E83">
            <w:pPr>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rPr>
            </w:pPr>
            <w:r>
              <w:rPr>
                <w:rFonts w:ascii="Arial Narrow" w:eastAsia="Times New Roman" w:hAnsi="Arial Narrow" w:cs="Arial"/>
                <w:color w:val="000000"/>
                <w:sz w:val="20"/>
                <w:szCs w:val="20"/>
              </w:rPr>
              <w:t>52,800</w:t>
            </w:r>
          </w:p>
        </w:tc>
        <w:tc>
          <w:tcPr>
            <w:tcW w:w="915" w:type="pct"/>
            <w:noWrap/>
            <w:vAlign w:val="center"/>
            <w:hideMark/>
          </w:tcPr>
          <w:p w14:paraId="23AF0DFD" w14:textId="77777777" w:rsidR="00197D66" w:rsidRPr="00EC601A" w:rsidRDefault="00197D66" w:rsidP="00D20E83">
            <w:pPr>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rPr>
            </w:pPr>
            <w:r>
              <w:rPr>
                <w:rFonts w:ascii="Arial Narrow" w:eastAsia="Times New Roman" w:hAnsi="Arial Narrow" w:cs="Arial"/>
                <w:color w:val="000000"/>
                <w:sz w:val="20"/>
                <w:szCs w:val="20"/>
              </w:rPr>
              <w:t>50,054</w:t>
            </w:r>
          </w:p>
        </w:tc>
        <w:tc>
          <w:tcPr>
            <w:tcW w:w="915" w:type="pct"/>
            <w:noWrap/>
            <w:vAlign w:val="center"/>
            <w:hideMark/>
          </w:tcPr>
          <w:p w14:paraId="0DB879FB" w14:textId="77777777" w:rsidR="00197D66" w:rsidRPr="00EC601A" w:rsidRDefault="00197D66" w:rsidP="00D20E83">
            <w:pPr>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rPr>
            </w:pPr>
            <w:r>
              <w:rPr>
                <w:rFonts w:ascii="Arial Narrow" w:eastAsia="Times New Roman" w:hAnsi="Arial Narrow" w:cs="Arial"/>
                <w:color w:val="000000"/>
                <w:sz w:val="20"/>
                <w:szCs w:val="20"/>
              </w:rPr>
              <w:t>2,640</w:t>
            </w:r>
          </w:p>
        </w:tc>
        <w:tc>
          <w:tcPr>
            <w:tcW w:w="916" w:type="pct"/>
            <w:noWrap/>
            <w:vAlign w:val="center"/>
            <w:hideMark/>
          </w:tcPr>
          <w:p w14:paraId="792C4834" w14:textId="77777777" w:rsidR="00197D66" w:rsidRPr="00EC601A" w:rsidRDefault="00197D66" w:rsidP="00D20E83">
            <w:pPr>
              <w:jc w:val="right"/>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Arial"/>
                <w:color w:val="000000"/>
                <w:sz w:val="20"/>
                <w:szCs w:val="20"/>
              </w:rPr>
            </w:pPr>
            <w:r>
              <w:rPr>
                <w:rFonts w:ascii="Arial Narrow" w:eastAsia="Times New Roman" w:hAnsi="Arial Narrow" w:cs="Arial"/>
                <w:color w:val="000000"/>
                <w:sz w:val="20"/>
                <w:szCs w:val="20"/>
              </w:rPr>
              <w:t>106</w:t>
            </w:r>
          </w:p>
        </w:tc>
      </w:tr>
    </w:tbl>
    <w:p w14:paraId="796B8EAF" w14:textId="77777777" w:rsidR="00DD29E2" w:rsidRDefault="00DD29E2" w:rsidP="00BA3182">
      <w:pPr>
        <w:pStyle w:val="PBodyText"/>
      </w:pPr>
    </w:p>
    <w:p w14:paraId="44641A1A" w14:textId="7E4C324D" w:rsidR="00BA38F4" w:rsidRDefault="00BA38F4" w:rsidP="00BA38F4">
      <w:pPr>
        <w:pStyle w:val="PBodyText"/>
        <w:rPr>
          <w:szCs w:val="24"/>
        </w:rPr>
      </w:pPr>
      <w:r w:rsidRPr="00D94F0D">
        <w:rPr>
          <w:rFonts w:cs="Times New Roman"/>
          <w:szCs w:val="24"/>
        </w:rPr>
        <w:t xml:space="preserve">These estimates, however, are based on a pool of states that exclude those states currently expected to be in our beta test—such as CA, HI, </w:t>
      </w:r>
      <w:r>
        <w:rPr>
          <w:rFonts w:cs="Times New Roman"/>
          <w:szCs w:val="24"/>
        </w:rPr>
        <w:t>and WA</w:t>
      </w:r>
      <w:r w:rsidRPr="00D94F0D">
        <w:rPr>
          <w:rFonts w:cs="Times New Roman"/>
          <w:szCs w:val="24"/>
        </w:rPr>
        <w:t>—where the proportion of consumers with a preference for Chinese may be much higher than we have observed in the pool of FFM states. The same can be said for Spanish with respect to CA, and perhaps other SBM states as well.</w:t>
      </w:r>
      <w:r>
        <w:rPr>
          <w:szCs w:val="24"/>
        </w:rPr>
        <w:t xml:space="preserve"> When the beta test sampling frame is constructed, CMS will update, if necessary, the population share estimates shown in Exhibit B2.</w:t>
      </w:r>
    </w:p>
    <w:p w14:paraId="3DD0ECD3" w14:textId="77777777" w:rsidR="00BA38F4" w:rsidRDefault="00BA38F4" w:rsidP="00BA38F4">
      <w:pPr>
        <w:spacing w:after="120"/>
        <w:rPr>
          <w:bCs/>
          <w:i/>
          <w:szCs w:val="24"/>
        </w:rPr>
      </w:pPr>
      <w:r w:rsidRPr="00E46397">
        <w:rPr>
          <w:bCs/>
          <w:i/>
          <w:szCs w:val="24"/>
        </w:rPr>
        <w:t xml:space="preserve">Number of Chinese and Spanish Surveys Needed for Psychometrics. </w:t>
      </w:r>
    </w:p>
    <w:p w14:paraId="2AEB0A63" w14:textId="6AF3694B" w:rsidR="00D2488F" w:rsidRPr="00D94F0D" w:rsidRDefault="00D2488F" w:rsidP="00D2488F">
      <w:pPr>
        <w:spacing w:after="120"/>
        <w:rPr>
          <w:rFonts w:cs="Times New Roman"/>
          <w:szCs w:val="24"/>
        </w:rPr>
      </w:pPr>
      <w:r w:rsidRPr="00D94F0D">
        <w:rPr>
          <w:rFonts w:cs="Times New Roman"/>
          <w:szCs w:val="24"/>
        </w:rPr>
        <w:t>Due to a lower than expected survey response rate (RR) among the Spanish language segment of the sample (we had assumed 30% but the actual RR was 25%), combined with low item-level RR for some sections of the survey, CMS was not able to obtain enough completed surveys in Spanish (n=318) and Chinese (n=540) during the psychometric test to fully evaluate the equivalence of measurement properties across language for the full set of composites. Even the higher survey response rate among Chinese was not enough to counter-balance the low item-level response rates to some survey questions. Our sample size estimates for the psychometric test were based on an assumption that item-level response rates would average around 67% (see section 1.1.2.1); in practice, item-level response rates across all languages were as low as 28% on average for some items.</w:t>
      </w:r>
      <w:r w:rsidRPr="00D94F0D">
        <w:rPr>
          <w:rStyle w:val="FootnoteReference"/>
          <w:rFonts w:cs="Times New Roman"/>
          <w:szCs w:val="24"/>
        </w:rPr>
        <w:footnoteReference w:id="14"/>
      </w:r>
      <w:r w:rsidRPr="00D94F0D">
        <w:rPr>
          <w:rFonts w:cs="Times New Roman"/>
          <w:szCs w:val="24"/>
        </w:rPr>
        <w:t xml:space="preserve"> </w:t>
      </w:r>
    </w:p>
    <w:p w14:paraId="512B498F" w14:textId="2EC596AB" w:rsidR="00D2488F" w:rsidRDefault="00D2488F" w:rsidP="00D2488F">
      <w:pPr>
        <w:spacing w:after="120"/>
        <w:rPr>
          <w:rFonts w:cs="Times New Roman"/>
          <w:szCs w:val="24"/>
        </w:rPr>
      </w:pPr>
      <w:r w:rsidRPr="00D94F0D">
        <w:rPr>
          <w:rFonts w:cs="Times New Roman"/>
          <w:szCs w:val="24"/>
        </w:rPr>
        <w:t>This rate varied substantially by language. For example, for the ‘Seeking Information In-Person’ section of the survey, the item-level response rates were approximately 20%, 50%, and 3</w:t>
      </w:r>
      <w:r w:rsidR="00432D59">
        <w:rPr>
          <w:rFonts w:cs="Times New Roman"/>
          <w:szCs w:val="24"/>
        </w:rPr>
        <w:t>3</w:t>
      </w:r>
      <w:r w:rsidRPr="00D94F0D">
        <w:rPr>
          <w:rFonts w:cs="Times New Roman"/>
          <w:szCs w:val="24"/>
        </w:rPr>
        <w:t xml:space="preserve">% for English, Spanish, and Chinese respectively, which corresponds to a weighted average of 28% across all three languages (English respondents make up the majority of respondents, so their </w:t>
      </w:r>
      <w:r w:rsidRPr="00D94F0D">
        <w:rPr>
          <w:rFonts w:cs="Times New Roman"/>
          <w:szCs w:val="24"/>
        </w:rPr>
        <w:lastRenderedPageBreak/>
        <w:t>item-level response rate contributes disproportionately to the average). Thus, even though we had obtained 540 surveys completed in Chinese, only around 170 of those consumers responded to each of the questions about seeking information in-person (q37 to q45 on the psychometric test version of the survey).</w:t>
      </w:r>
    </w:p>
    <w:p w14:paraId="0A49ED8F" w14:textId="3DABC81E" w:rsidR="00D2488F" w:rsidRDefault="00D2488F" w:rsidP="00D2488F">
      <w:pPr>
        <w:spacing w:after="120"/>
        <w:rPr>
          <w:rFonts w:cs="Times New Roman"/>
          <w:szCs w:val="24"/>
        </w:rPr>
      </w:pPr>
      <w:r w:rsidRPr="00101960">
        <w:rPr>
          <w:rFonts w:cs="Times New Roman"/>
          <w:szCs w:val="24"/>
        </w:rPr>
        <w:t>The beta test version of</w:t>
      </w:r>
      <w:r w:rsidRPr="00D94F0D">
        <w:rPr>
          <w:rFonts w:cs="Times New Roman"/>
          <w:szCs w:val="24"/>
        </w:rPr>
        <w:t xml:space="preserve"> the survey has 26 assessment items. We would thus need 260 completed surveys (10 per item) to conduct the analysis of the equivalence of measurement properties across the three languages. However, since composite-level and item-level response rates are all lower than 100%, we need to inflate the number of completed survey enough to ensure 260 completes for the items with the lowest response rate. As described above, the ‘Seeking Info In-Person’ items yielded an overall response rate of 28%, though the Chinese respondents had a slightly higher rate of 33%. Applying this item-level response rate to the minimum number needed (260), we would need approximately 788</w:t>
      </w:r>
      <w:r>
        <w:rPr>
          <w:rFonts w:cs="Times New Roman"/>
          <w:szCs w:val="24"/>
        </w:rPr>
        <w:t xml:space="preserve"> completed surveys each in Spanish and </w:t>
      </w:r>
      <w:r w:rsidRPr="00D94F0D">
        <w:rPr>
          <w:rFonts w:cs="Times New Roman"/>
          <w:szCs w:val="24"/>
        </w:rPr>
        <w:t xml:space="preserve">Chinese to conduct this analysis (260/0.33 = 787.9). </w:t>
      </w:r>
    </w:p>
    <w:p w14:paraId="168C7C3A" w14:textId="606E0341" w:rsidR="00D2488F" w:rsidRDefault="00D2488F" w:rsidP="000C15BE">
      <w:pPr>
        <w:spacing w:after="120"/>
        <w:rPr>
          <w:rFonts w:cs="Times New Roman"/>
          <w:szCs w:val="24"/>
        </w:rPr>
      </w:pPr>
      <w:r>
        <w:rPr>
          <w:rFonts w:cs="Times New Roman"/>
          <w:szCs w:val="24"/>
        </w:rPr>
        <w:t>As shown in Exhibit B2, the beta test sampling design will produce a sufficient number of Spanish-language completes (n = 2,640) to conduct the remaining psychometric analyses. However, this design will not produce the 788 Chinese completes needed for this work, and thus consumers with a Chinese langage preference will need to be oversampled</w:t>
      </w:r>
      <w:r w:rsidR="00432D59">
        <w:rPr>
          <w:rFonts w:cs="Times New Roman"/>
          <w:szCs w:val="24"/>
        </w:rPr>
        <w:t>. The oversampling approach is described below in Section 1.1.3.2.</w:t>
      </w:r>
    </w:p>
    <w:p w14:paraId="796B8EB0" w14:textId="01994168" w:rsidR="00DC2D0F" w:rsidRDefault="00432D59" w:rsidP="00197D66">
      <w:pPr>
        <w:pStyle w:val="PBodyText"/>
      </w:pPr>
      <w:r>
        <w:t xml:space="preserve">As described in this section, </w:t>
      </w:r>
      <w:r w:rsidR="00431038">
        <w:t>CMS has</w:t>
      </w:r>
      <w:r w:rsidR="00554219">
        <w:t xml:space="preserve"> determined the sample size based on CAHPS recommendations related to the ranking of entities and incorporating the specific demands of oversight</w:t>
      </w:r>
      <w:r w:rsidR="00252D33">
        <w:t xml:space="preserve"> and</w:t>
      </w:r>
      <w:r w:rsidR="00554219">
        <w:t xml:space="preserve"> QI outlined above</w:t>
      </w:r>
      <w:r w:rsidR="00D55174">
        <w:t>. Thus,</w:t>
      </w:r>
      <w:r w:rsidR="00DC2D0F">
        <w:t xml:space="preserve"> </w:t>
      </w:r>
      <w:r w:rsidR="00431038">
        <w:t>the sections below</w:t>
      </w:r>
      <w:r w:rsidR="00DC2D0F">
        <w:t>:</w:t>
      </w:r>
      <w:r w:rsidR="00554219">
        <w:t xml:space="preserve"> </w:t>
      </w:r>
    </w:p>
    <w:p w14:paraId="796B8EB1" w14:textId="77777777" w:rsidR="00554219" w:rsidRDefault="00DC2D0F" w:rsidP="00BA3182">
      <w:pPr>
        <w:pStyle w:val="PBodyText"/>
        <w:numPr>
          <w:ilvl w:val="0"/>
          <w:numId w:val="56"/>
        </w:numPr>
      </w:pPr>
      <w:r>
        <w:t>D</w:t>
      </w:r>
      <w:r w:rsidR="00554219">
        <w:t xml:space="preserve">escribe the </w:t>
      </w:r>
      <w:r>
        <w:t>precision of point estimates associated with various sample sizes</w:t>
      </w:r>
      <w:r w:rsidR="00431038">
        <w:t>, and</w:t>
      </w:r>
    </w:p>
    <w:p w14:paraId="796B8EB2" w14:textId="750553D4" w:rsidR="00DC2D0F" w:rsidRDefault="00DC2D0F" w:rsidP="00BA3182">
      <w:pPr>
        <w:pStyle w:val="PBodyText"/>
        <w:numPr>
          <w:ilvl w:val="0"/>
          <w:numId w:val="56"/>
        </w:numPr>
      </w:pPr>
      <w:r>
        <w:t xml:space="preserve">Describe, in the context of detecting differences between a single </w:t>
      </w:r>
      <w:r w:rsidR="00D55174">
        <w:t>State</w:t>
      </w:r>
      <w:r>
        <w:t xml:space="preserve"> and the mean of all </w:t>
      </w:r>
      <w:r w:rsidR="00D2483D">
        <w:t xml:space="preserve">44 </w:t>
      </w:r>
      <w:r w:rsidR="00D55174">
        <w:t>States</w:t>
      </w:r>
      <w:r w:rsidR="007747B7">
        <w:t xml:space="preserve"> (i.e., assigning star ratings)</w:t>
      </w:r>
      <w:r>
        <w:t xml:space="preserve">, the effect sizes associated with various sample sizes. </w:t>
      </w:r>
    </w:p>
    <w:p w14:paraId="796B8EB3" w14:textId="77777777" w:rsidR="00101D3E" w:rsidRDefault="00101D3E" w:rsidP="00714E0C">
      <w:pPr>
        <w:pStyle w:val="Heading5"/>
      </w:pPr>
      <w:r>
        <w:t>1.1.</w:t>
      </w:r>
      <w:r w:rsidR="001E32A1">
        <w:t>2.2.1</w:t>
      </w:r>
      <w:r w:rsidR="00714E0C">
        <w:tab/>
      </w:r>
      <w:r>
        <w:t>Precision of Point Estimates</w:t>
      </w:r>
    </w:p>
    <w:p w14:paraId="796B8EB4" w14:textId="77777777" w:rsidR="00101D3E" w:rsidRDefault="00D55174" w:rsidP="00714E0C">
      <w:pPr>
        <w:pStyle w:val="PBodyText"/>
      </w:pPr>
      <w:r>
        <w:t>State</w:t>
      </w:r>
      <w:r w:rsidR="00101D3E">
        <w:t xml:space="preserve">-level and national-level estimates both rely on the precision of point estimates for the survey measures (composites, overall ratings, and single item measures). Precision is defined in terms of the margin of error, which is also known as the “half-width” of the confidence interval (typically a 95% confidence interval). The margin of error for a 95% confidence interval (CI) is equal to the standard error of the point estimate multiplied by 1.96 (the margin of error for a 68% CI would be equal to one standard error; the margin of error for a 99% CI would be equal to 2.58 standard errors). Thus, the margin of error is used to construct the CI around the point estimate and describes the range within which we can be confident the true score lies. </w:t>
      </w:r>
    </w:p>
    <w:p w14:paraId="796B8EB5" w14:textId="1D7B0B06" w:rsidR="00101D3E" w:rsidRDefault="00101D3E" w:rsidP="00714E0C">
      <w:pPr>
        <w:pStyle w:val="PBodyText"/>
      </w:pPr>
      <w:r>
        <w:t xml:space="preserve">We estimated confidence interval precision using PROC POWER in SAS. This approach is analogous to a traditional power analysis, with the margin of error (“CI Half-Width” in SAS) taking the place of </w:t>
      </w:r>
      <w:r>
        <w:rPr>
          <w:i/>
        </w:rPr>
        <w:t>effect size</w:t>
      </w:r>
      <w:r>
        <w:t xml:space="preserve"> and the half-width probability (“Prob (Width)” in SAS) taking the place of </w:t>
      </w:r>
      <w:r>
        <w:rPr>
          <w:i/>
        </w:rPr>
        <w:t>power</w:t>
      </w:r>
      <w:r>
        <w:t xml:space="preserve">. Using estimates of a range of variances and standard errors observed from some existing CAHPS surveys (e.g., the </w:t>
      </w:r>
      <w:r w:rsidR="009D46D8">
        <w:t>psychometric test</w:t>
      </w:r>
      <w:r>
        <w:t xml:space="preserve"> of the draft CAHPS survey for Cancer Care, the NCQA National Distribution of 2009 Adult Medicaid CAHPS Plan-Level Results, and the 2013 Medicare Part C Report Card results) as inputs, we estimated the sample sizes associated with different levels of precision. Note that </w:t>
      </w:r>
      <w:r w:rsidR="00431038">
        <w:t>CMS has</w:t>
      </w:r>
      <w:r>
        <w:t xml:space="preserve"> decided on a target number of completes</w:t>
      </w:r>
      <w:r w:rsidR="00744FA9">
        <w:t xml:space="preserve"> </w:t>
      </w:r>
      <w:r w:rsidR="00744FA9">
        <w:lastRenderedPageBreak/>
        <w:t xml:space="preserve">based on standard CAHPS recommendations </w:t>
      </w:r>
      <w:r w:rsidR="00431038">
        <w:t xml:space="preserve">in combination with </w:t>
      </w:r>
      <w:r w:rsidR="00744FA9">
        <w:t xml:space="preserve">the oversight requirements for </w:t>
      </w:r>
      <w:r w:rsidR="00EA3DC0">
        <w:t xml:space="preserve">scoring small subgroups in each </w:t>
      </w:r>
      <w:r w:rsidR="00D55174">
        <w:t>State</w:t>
      </w:r>
      <w:r>
        <w:t xml:space="preserve">. Thus, this analysis is designed to illustrate the level of precision that can be obtained </w:t>
      </w:r>
      <w:r w:rsidR="00431038">
        <w:t xml:space="preserve">with those samples </w:t>
      </w:r>
      <w:r>
        <w:t xml:space="preserve">under several scenarios. </w:t>
      </w:r>
    </w:p>
    <w:p w14:paraId="796B8EB6" w14:textId="77777777" w:rsidR="00101D3E" w:rsidRDefault="00101D3E" w:rsidP="00714E0C">
      <w:pPr>
        <w:pStyle w:val="PBodyText"/>
      </w:pPr>
      <w:r>
        <w:t xml:space="preserve">We used a conditional probability approach (that is, the probability of achieving the desired precision is calculated conditionally given that the true mean is captured by the interval), which is a more conservative approach than the unconditional probability approach. To anchor the margins of error and variance estimates (expressed as standard deviations) to a meaningful CAHPS scale, we have transformed observed scores for the three different types of measures from the existing CAHPS results mentioned above into a 100-pt scale. This </w:t>
      </w:r>
      <w:r w:rsidR="00431038">
        <w:t>transformation expresses</w:t>
      </w:r>
      <w:r>
        <w:t xml:space="preserve"> the inputs to the power analysis in a scale that is comparable across different types of measures. </w:t>
      </w:r>
    </w:p>
    <w:p w14:paraId="796B8EB7" w14:textId="77777777" w:rsidR="00101D3E" w:rsidRDefault="00101D3E" w:rsidP="0067323B">
      <w:pPr>
        <w:pStyle w:val="PBodyText"/>
        <w:spacing w:after="120"/>
      </w:pPr>
      <w:r>
        <w:t>To express measures on a 100-pt scale, composites and single item measures are transformed from their original 3-pt or 4-pt scales using a simple linear transformation based on expressing the observed score as a percentage of the distance from the floor to the ceiling of a scale:</w:t>
      </w:r>
    </w:p>
    <w:p w14:paraId="796B8EB8" w14:textId="77777777" w:rsidR="00101D3E" w:rsidRDefault="00101D3E" w:rsidP="0067323B">
      <w:pPr>
        <w:pStyle w:val="PBodyText"/>
      </w:pPr>
      <m:oMathPara>
        <m:oMath>
          <m:r>
            <w:rPr>
              <w:rFonts w:ascii="Cambria Math" w:hAnsi="Cambria Math"/>
            </w:rPr>
            <m:t>100×(observed score-scale floor)/range</m:t>
          </m:r>
        </m:oMath>
      </m:oMathPara>
    </w:p>
    <w:p w14:paraId="796B8EB9" w14:textId="77777777" w:rsidR="00101D3E" w:rsidRDefault="00101D3E" w:rsidP="0067323B">
      <w:pPr>
        <w:pStyle w:val="PBodyText"/>
        <w:spacing w:after="120"/>
      </w:pPr>
      <w:r>
        <w:t>For a 4-pt CAHPS scale (1=never, 2=sometimes, 3=usually, 4=always) with a mean of 3.5, the transformation would look like this, for example:</w:t>
      </w:r>
    </w:p>
    <w:p w14:paraId="796B8EBA" w14:textId="77777777" w:rsidR="00101D3E" w:rsidRDefault="003A3A16" w:rsidP="0067323B">
      <w:pPr>
        <w:pStyle w:val="PBodyText"/>
        <w:spacing w:after="120"/>
      </w:pPr>
      <m:oMathPara>
        <m:oMath>
          <m:f>
            <m:fPr>
              <m:ctrlPr>
                <w:rPr>
                  <w:rFonts w:ascii="Cambria Math" w:hAnsi="Cambria Math"/>
                  <w:i/>
                </w:rPr>
              </m:ctrlPr>
            </m:fPr>
            <m:num>
              <m:r>
                <w:rPr>
                  <w:rFonts w:ascii="Cambria Math" w:hAnsi="Cambria Math"/>
                </w:rPr>
                <m:t>3.5-1</m:t>
              </m:r>
            </m:num>
            <m:den>
              <m:r>
                <w:rPr>
                  <w:rFonts w:ascii="Cambria Math" w:hAnsi="Cambria Math"/>
                </w:rPr>
                <m:t>3</m:t>
              </m:r>
            </m:den>
          </m:f>
          <m:r>
            <w:rPr>
              <w:rFonts w:ascii="Cambria Math" w:hAnsi="Cambria Math"/>
            </w:rPr>
            <m:t>×100=83.3</m:t>
          </m:r>
        </m:oMath>
      </m:oMathPara>
    </w:p>
    <w:p w14:paraId="796B8EBB" w14:textId="77777777" w:rsidR="00101D3E" w:rsidRDefault="00101D3E" w:rsidP="00E01559">
      <w:pPr>
        <w:pStyle w:val="PBodyText"/>
      </w:pPr>
      <w:r>
        <w:t xml:space="preserve">Dichotomous scales where 0=no and 1=yes are simply multiplied by 100 (e.g., if 72% of respondents answer ‘yes’ to the item, the transformed score is 72). Overall ratings, which range from 0 to 10, are simply multiplied by 10 (e.g., a </w:t>
      </w:r>
      <w:r w:rsidR="00431038">
        <w:t xml:space="preserve">mean of </w:t>
      </w:r>
      <w:r>
        <w:t xml:space="preserve">9.3 becomes 93). </w:t>
      </w:r>
    </w:p>
    <w:p w14:paraId="796B8EBC" w14:textId="77777777" w:rsidR="00101D3E" w:rsidRDefault="00101D3E" w:rsidP="0067323B">
      <w:pPr>
        <w:pStyle w:val="PBodyText"/>
        <w:ind w:right="-144"/>
      </w:pPr>
      <w:r>
        <w:t xml:space="preserve">As an example of the proposed approach, consider </w:t>
      </w:r>
      <w:r w:rsidR="00431038">
        <w:t>a sample size estimation</w:t>
      </w:r>
      <w:r>
        <w:t xml:space="preserve"> assuming a goal of having a half-width probability (power) of 0.80, an alpha of 0.05, and a half-width (margin of error) no greater than 3 points.  With these parameters, </w:t>
      </w:r>
      <w:r w:rsidR="00032167">
        <w:t xml:space="preserve">the power analysis </w:t>
      </w:r>
      <w:r w:rsidR="00D55174">
        <w:t>is</w:t>
      </w:r>
      <w:r>
        <w:t xml:space="preserve"> estimating the number of completes needed to </w:t>
      </w:r>
      <w:r w:rsidR="00032167">
        <w:t>have an</w:t>
      </w:r>
      <w:r>
        <w:t xml:space="preserve"> 80% chance of obtaining a 95% CI with +/- 3 point margin of error. To put this example in more concrete terms, </w:t>
      </w:r>
      <w:r w:rsidR="00032167">
        <w:t xml:space="preserve">with an observed </w:t>
      </w:r>
      <w:r>
        <w:t xml:space="preserve">score of 83.3 from a sample size calculated using the above inputs, there would be a 95% chance that the true score in the population would be between 80.3 and 86.3, and only a 5% chance that it would be outside of that range. </w:t>
      </w:r>
    </w:p>
    <w:p w14:paraId="796B8EBD" w14:textId="5FE4A303" w:rsidR="00101D3E" w:rsidRDefault="00D30389" w:rsidP="00E01559">
      <w:pPr>
        <w:pStyle w:val="PBodyText"/>
      </w:pPr>
      <w:r>
        <w:t>Exhibit B3</w:t>
      </w:r>
      <w:r w:rsidR="00722178">
        <w:t xml:space="preserve"> </w:t>
      </w:r>
      <w:r w:rsidR="00101D3E">
        <w:t>displays the number of complete</w:t>
      </w:r>
      <w:r w:rsidR="00032167">
        <w:t>d survey</w:t>
      </w:r>
      <w:r w:rsidR="00101D3E">
        <w:t xml:space="preserve">s associated with some different combinations of half-widths (margins of error) and population variances (expressed as standard deviations). This </w:t>
      </w:r>
      <w:r w:rsidR="009A1813">
        <w:t>exhibit</w:t>
      </w:r>
      <w:r w:rsidR="00101D3E">
        <w:t xml:space="preserve"> </w:t>
      </w:r>
      <w:r w:rsidR="00032167">
        <w:t>illustrates</w:t>
      </w:r>
      <w:r w:rsidR="00101D3E">
        <w:t xml:space="preserve"> the impact of sample size on precision and</w:t>
      </w:r>
      <w:r w:rsidR="00D55174">
        <w:t>,</w:t>
      </w:r>
      <w:r w:rsidR="00101D3E">
        <w:t xml:space="preserve"> thus</w:t>
      </w:r>
      <w:r w:rsidR="00D55174">
        <w:t>,</w:t>
      </w:r>
      <w:r w:rsidR="00101D3E">
        <w:t xml:space="preserve"> indicate</w:t>
      </w:r>
      <w:r w:rsidR="00D55174">
        <w:t>s</w:t>
      </w:r>
      <w:r w:rsidR="00101D3E">
        <w:t xml:space="preserve"> </w:t>
      </w:r>
      <w:r w:rsidR="00D55174">
        <w:t>the</w:t>
      </w:r>
      <w:r w:rsidR="00101D3E">
        <w:t xml:space="preserve"> level of precision </w:t>
      </w:r>
      <w:r w:rsidR="00D55174">
        <w:t xml:space="preserve">that </w:t>
      </w:r>
      <w:r w:rsidR="00032167">
        <w:t>might be obtained</w:t>
      </w:r>
      <w:r w:rsidR="00101D3E">
        <w:t xml:space="preserve"> with the sample sizes proposed</w:t>
      </w:r>
      <w:r w:rsidR="00032167">
        <w:t xml:space="preserve"> for the Marketplace beta test</w:t>
      </w:r>
      <w:r w:rsidR="00101D3E">
        <w:t>. Observed standard deviations from several of the CAHPS sources consulted ranged from approximately 2 to 28 points for measures on a 100-point scale. Observed standard errors ranged from around 0.30 to 3.2, which represent margins of error of approximately 0.60 to 6.3 points (on a 100-pt scale) for a 95% CI.</w:t>
      </w:r>
    </w:p>
    <w:p w14:paraId="796B8EC0" w14:textId="4A1B8297" w:rsidR="00101D3E" w:rsidRPr="001A1E57" w:rsidRDefault="00D30389" w:rsidP="001A1E57">
      <w:pPr>
        <w:pStyle w:val="PTableTitle"/>
      </w:pPr>
      <w:r>
        <w:lastRenderedPageBreak/>
        <w:t>Exhibit B3</w:t>
      </w:r>
      <w:r w:rsidR="00101D3E" w:rsidRPr="001A1E57">
        <w:t>. Precision Associated with Different Sample Sizes and Variances</w:t>
      </w:r>
      <w:r w:rsidR="001A1E57">
        <w:rPr>
          <w:rFonts w:ascii="Calibri" w:hAnsi="Calibri" w:cs="Calibri"/>
        </w:rPr>
        <w:t>†</w:t>
      </w:r>
    </w:p>
    <w:tbl>
      <w:tblPr>
        <w:tblStyle w:val="AIRTable"/>
        <w:tblW w:w="5000" w:type="pct"/>
        <w:tblInd w:w="0" w:type="dxa"/>
        <w:tblCellMar>
          <w:top w:w="14" w:type="dxa"/>
          <w:bottom w:w="14" w:type="dxa"/>
        </w:tblCellMar>
        <w:tblLook w:val="04A0" w:firstRow="1" w:lastRow="0" w:firstColumn="1" w:lastColumn="0" w:noHBand="0" w:noVBand="1"/>
        <w:tblCaption w:val="Precision Associated with Different Sample Sizes and Variances"/>
        <w:tblDescription w:val="This table presents Sample Size Estimates Needed per State for 80% Half-Width Probability and a 95% Confidence Interval for a CAHPS Measure on a 100-Point Scale.&#10;"/>
      </w:tblPr>
      <w:tblGrid>
        <w:gridCol w:w="2253"/>
        <w:gridCol w:w="1172"/>
        <w:gridCol w:w="1217"/>
        <w:gridCol w:w="1217"/>
        <w:gridCol w:w="1217"/>
        <w:gridCol w:w="1217"/>
        <w:gridCol w:w="1211"/>
      </w:tblGrid>
      <w:tr w:rsidR="001A1E57" w:rsidRPr="00D30389" w14:paraId="796B8ECD" w14:textId="77777777" w:rsidTr="00D30389">
        <w:trPr>
          <w:cnfStyle w:val="100000000000" w:firstRow="1" w:lastRow="0" w:firstColumn="0" w:lastColumn="0" w:oddVBand="0" w:evenVBand="0" w:oddHBand="0" w:evenHBand="0" w:firstRowFirstColumn="0" w:firstRowLastColumn="0" w:lastRowFirstColumn="0" w:lastRowLastColumn="0"/>
          <w:trHeight w:val="243"/>
          <w:tblHeader/>
        </w:trPr>
        <w:tc>
          <w:tcPr>
            <w:tcW w:w="1186" w:type="pct"/>
            <w:tcBorders>
              <w:top w:val="single" w:sz="4" w:space="0" w:color="FFFFFF" w:themeColor="background1"/>
              <w:left w:val="single" w:sz="4" w:space="0" w:color="FFFFFF" w:themeColor="background1"/>
              <w:bottom w:val="single" w:sz="4" w:space="0" w:color="FFFFFF" w:themeColor="background1"/>
            </w:tcBorders>
            <w:hideMark/>
          </w:tcPr>
          <w:p w14:paraId="796B8EC6" w14:textId="37EEA1D8" w:rsidR="00E01559" w:rsidRPr="00D30389" w:rsidRDefault="001A1E57" w:rsidP="00E01559">
            <w:pPr>
              <w:pStyle w:val="PTableHeading"/>
              <w:rPr>
                <w:rFonts w:ascii="Arial Narrow" w:hAnsi="Arial Narrow"/>
                <w:sz w:val="22"/>
              </w:rPr>
            </w:pPr>
            <w:r w:rsidRPr="00D30389">
              <w:rPr>
                <w:rFonts w:ascii="Arial Narrow" w:hAnsi="Arial Narrow"/>
                <w:sz w:val="22"/>
              </w:rPr>
              <w:t>Margin of Error</w:t>
            </w:r>
          </w:p>
        </w:tc>
        <w:tc>
          <w:tcPr>
            <w:tcW w:w="617" w:type="pct"/>
            <w:tcBorders>
              <w:top w:val="single" w:sz="4" w:space="0" w:color="FFFFFF" w:themeColor="background1"/>
              <w:bottom w:val="single" w:sz="4" w:space="0" w:color="FFFFFF" w:themeColor="background1"/>
            </w:tcBorders>
            <w:noWrap/>
            <w:hideMark/>
          </w:tcPr>
          <w:p w14:paraId="796B8EC7" w14:textId="289E8B22" w:rsidR="00E01559" w:rsidRPr="00D30389" w:rsidRDefault="001A1E57" w:rsidP="001A1E57">
            <w:pPr>
              <w:pStyle w:val="PTableHeading"/>
              <w:rPr>
                <w:rFonts w:ascii="Arial Narrow" w:hAnsi="Arial Narrow"/>
                <w:sz w:val="22"/>
              </w:rPr>
            </w:pPr>
            <w:r w:rsidRPr="00D30389">
              <w:rPr>
                <w:rFonts w:ascii="Arial Narrow" w:hAnsi="Arial Narrow"/>
                <w:sz w:val="22"/>
              </w:rPr>
              <w:t>Std=</w:t>
            </w:r>
            <w:r w:rsidR="00E01559" w:rsidRPr="00D30389">
              <w:rPr>
                <w:rFonts w:ascii="Arial Narrow" w:hAnsi="Arial Narrow"/>
                <w:sz w:val="22"/>
              </w:rPr>
              <w:t>5</w:t>
            </w:r>
            <w:r w:rsidRPr="00D30389">
              <w:rPr>
                <w:rFonts w:ascii="Arial Narrow" w:hAnsi="Arial Narrow"/>
                <w:sz w:val="22"/>
              </w:rPr>
              <w:t>*</w:t>
            </w:r>
          </w:p>
        </w:tc>
        <w:tc>
          <w:tcPr>
            <w:tcW w:w="640" w:type="pct"/>
            <w:tcBorders>
              <w:top w:val="single" w:sz="4" w:space="0" w:color="FFFFFF" w:themeColor="background1"/>
              <w:bottom w:val="single" w:sz="4" w:space="0" w:color="FFFFFF" w:themeColor="background1"/>
            </w:tcBorders>
            <w:noWrap/>
            <w:hideMark/>
          </w:tcPr>
          <w:p w14:paraId="796B8EC8" w14:textId="229D0C40" w:rsidR="00E01559" w:rsidRPr="00D30389" w:rsidRDefault="001A1E57" w:rsidP="00E01559">
            <w:pPr>
              <w:pStyle w:val="PTableHeading"/>
              <w:rPr>
                <w:rFonts w:ascii="Arial Narrow" w:hAnsi="Arial Narrow"/>
                <w:sz w:val="22"/>
              </w:rPr>
            </w:pPr>
            <w:r w:rsidRPr="00D30389">
              <w:rPr>
                <w:rFonts w:ascii="Arial Narrow" w:hAnsi="Arial Narrow"/>
                <w:sz w:val="22"/>
              </w:rPr>
              <w:t>Std=</w:t>
            </w:r>
            <w:r w:rsidR="00E01559" w:rsidRPr="00D30389">
              <w:rPr>
                <w:rFonts w:ascii="Arial Narrow" w:hAnsi="Arial Narrow"/>
                <w:sz w:val="22"/>
              </w:rPr>
              <w:t>10</w:t>
            </w:r>
          </w:p>
        </w:tc>
        <w:tc>
          <w:tcPr>
            <w:tcW w:w="640" w:type="pct"/>
            <w:tcBorders>
              <w:top w:val="single" w:sz="4" w:space="0" w:color="FFFFFF" w:themeColor="background1"/>
              <w:bottom w:val="single" w:sz="4" w:space="0" w:color="FFFFFF" w:themeColor="background1"/>
            </w:tcBorders>
            <w:noWrap/>
            <w:hideMark/>
          </w:tcPr>
          <w:p w14:paraId="796B8EC9" w14:textId="17EE34C3" w:rsidR="00E01559" w:rsidRPr="00D30389" w:rsidRDefault="001A1E57" w:rsidP="00E01559">
            <w:pPr>
              <w:pStyle w:val="PTableHeading"/>
              <w:rPr>
                <w:rFonts w:ascii="Arial Narrow" w:hAnsi="Arial Narrow"/>
                <w:sz w:val="22"/>
              </w:rPr>
            </w:pPr>
            <w:r w:rsidRPr="00D30389">
              <w:rPr>
                <w:rFonts w:ascii="Arial Narrow" w:hAnsi="Arial Narrow"/>
                <w:sz w:val="22"/>
              </w:rPr>
              <w:t>Std=15</w:t>
            </w:r>
          </w:p>
        </w:tc>
        <w:tc>
          <w:tcPr>
            <w:tcW w:w="640" w:type="pct"/>
            <w:tcBorders>
              <w:top w:val="single" w:sz="4" w:space="0" w:color="FFFFFF" w:themeColor="background1"/>
              <w:bottom w:val="single" w:sz="4" w:space="0" w:color="FFFFFF" w:themeColor="background1"/>
            </w:tcBorders>
            <w:noWrap/>
            <w:hideMark/>
          </w:tcPr>
          <w:p w14:paraId="796B8ECA" w14:textId="286ADF4E" w:rsidR="00E01559" w:rsidRPr="00D30389" w:rsidRDefault="001A1E57" w:rsidP="00E01559">
            <w:pPr>
              <w:pStyle w:val="PTableHeading"/>
              <w:rPr>
                <w:rFonts w:ascii="Arial Narrow" w:hAnsi="Arial Narrow"/>
                <w:sz w:val="22"/>
              </w:rPr>
            </w:pPr>
            <w:r w:rsidRPr="00D30389">
              <w:rPr>
                <w:rFonts w:ascii="Arial Narrow" w:hAnsi="Arial Narrow"/>
                <w:sz w:val="22"/>
              </w:rPr>
              <w:t>Std=20</w:t>
            </w:r>
          </w:p>
        </w:tc>
        <w:tc>
          <w:tcPr>
            <w:tcW w:w="640" w:type="pct"/>
            <w:tcBorders>
              <w:top w:val="single" w:sz="4" w:space="0" w:color="FFFFFF" w:themeColor="background1"/>
              <w:bottom w:val="single" w:sz="4" w:space="0" w:color="FFFFFF" w:themeColor="background1"/>
            </w:tcBorders>
            <w:noWrap/>
            <w:hideMark/>
          </w:tcPr>
          <w:p w14:paraId="796B8ECB" w14:textId="27056B3C" w:rsidR="00E01559" w:rsidRPr="00D30389" w:rsidRDefault="001A1E57" w:rsidP="00E01559">
            <w:pPr>
              <w:pStyle w:val="PTableHeading"/>
              <w:rPr>
                <w:rFonts w:ascii="Arial Narrow" w:hAnsi="Arial Narrow"/>
                <w:sz w:val="22"/>
              </w:rPr>
            </w:pPr>
            <w:r w:rsidRPr="00D30389">
              <w:rPr>
                <w:rFonts w:ascii="Arial Narrow" w:hAnsi="Arial Narrow"/>
                <w:sz w:val="22"/>
              </w:rPr>
              <w:t>Std=25</w:t>
            </w:r>
          </w:p>
        </w:tc>
        <w:tc>
          <w:tcPr>
            <w:tcW w:w="640" w:type="pct"/>
            <w:tcBorders>
              <w:top w:val="single" w:sz="4" w:space="0" w:color="FFFFFF" w:themeColor="background1"/>
              <w:bottom w:val="single" w:sz="4" w:space="0" w:color="FFFFFF" w:themeColor="background1"/>
              <w:right w:val="single" w:sz="4" w:space="0" w:color="FFFFFF" w:themeColor="background1"/>
            </w:tcBorders>
            <w:hideMark/>
          </w:tcPr>
          <w:p w14:paraId="796B8ECC" w14:textId="15EFA39B" w:rsidR="00E01559" w:rsidRPr="00D30389" w:rsidRDefault="001A1E57" w:rsidP="00E01559">
            <w:pPr>
              <w:pStyle w:val="PTableHeading"/>
              <w:rPr>
                <w:rFonts w:ascii="Arial Narrow" w:hAnsi="Arial Narrow"/>
                <w:sz w:val="22"/>
              </w:rPr>
            </w:pPr>
            <w:r w:rsidRPr="00D30389">
              <w:rPr>
                <w:rFonts w:ascii="Arial Narrow" w:hAnsi="Arial Narrow"/>
                <w:sz w:val="22"/>
              </w:rPr>
              <w:t>Std=30</w:t>
            </w:r>
          </w:p>
        </w:tc>
      </w:tr>
      <w:tr w:rsidR="001A1E57" w:rsidRPr="00D30389" w14:paraId="796B8ED5" w14:textId="77777777" w:rsidTr="00D30389">
        <w:trPr>
          <w:trHeight w:val="300"/>
        </w:trPr>
        <w:tc>
          <w:tcPr>
            <w:tcW w:w="1186" w:type="pct"/>
            <w:tcBorders>
              <w:top w:val="single" w:sz="4" w:space="0" w:color="FFFFFF" w:themeColor="background1"/>
            </w:tcBorders>
            <w:noWrap/>
            <w:hideMark/>
          </w:tcPr>
          <w:p w14:paraId="796B8ECE" w14:textId="77777777" w:rsidR="00101D3E" w:rsidRPr="00D30389" w:rsidRDefault="00101D3E" w:rsidP="00E01559">
            <w:pPr>
              <w:pStyle w:val="PTableText"/>
              <w:jc w:val="center"/>
              <w:rPr>
                <w:rFonts w:ascii="Arial Narrow" w:hAnsi="Arial Narrow"/>
                <w:sz w:val="22"/>
              </w:rPr>
            </w:pPr>
            <w:r w:rsidRPr="00D30389">
              <w:rPr>
                <w:rFonts w:ascii="Arial Narrow" w:hAnsi="Arial Narrow"/>
                <w:sz w:val="22"/>
              </w:rPr>
              <w:t>1</w:t>
            </w:r>
          </w:p>
        </w:tc>
        <w:tc>
          <w:tcPr>
            <w:tcW w:w="617" w:type="pct"/>
            <w:tcBorders>
              <w:top w:val="single" w:sz="4" w:space="0" w:color="FFFFFF" w:themeColor="background1"/>
            </w:tcBorders>
            <w:shd w:val="clear" w:color="auto" w:fill="FFFFFF" w:themeFill="background1"/>
            <w:noWrap/>
            <w:hideMark/>
          </w:tcPr>
          <w:p w14:paraId="796B8ECF" w14:textId="77777777" w:rsidR="00101D3E" w:rsidRPr="00D30389" w:rsidRDefault="00101D3E" w:rsidP="00E01559">
            <w:pPr>
              <w:pStyle w:val="PTableText"/>
              <w:jc w:val="right"/>
              <w:rPr>
                <w:rFonts w:ascii="Arial Narrow" w:hAnsi="Arial Narrow"/>
                <w:sz w:val="22"/>
              </w:rPr>
            </w:pPr>
            <w:r w:rsidRPr="00D30389">
              <w:rPr>
                <w:rFonts w:ascii="Arial Narrow" w:hAnsi="Arial Narrow"/>
                <w:sz w:val="22"/>
              </w:rPr>
              <w:t>110</w:t>
            </w:r>
          </w:p>
        </w:tc>
        <w:tc>
          <w:tcPr>
            <w:tcW w:w="640" w:type="pct"/>
            <w:tcBorders>
              <w:top w:val="single" w:sz="4" w:space="0" w:color="FFFFFF" w:themeColor="background1"/>
            </w:tcBorders>
            <w:shd w:val="clear" w:color="auto" w:fill="FFFFFF" w:themeFill="background1"/>
            <w:noWrap/>
            <w:hideMark/>
          </w:tcPr>
          <w:p w14:paraId="796B8ED0" w14:textId="77777777" w:rsidR="00101D3E" w:rsidRPr="00D30389" w:rsidRDefault="00101D3E" w:rsidP="00E01559">
            <w:pPr>
              <w:pStyle w:val="PTableText"/>
              <w:jc w:val="right"/>
              <w:rPr>
                <w:rFonts w:ascii="Arial Narrow" w:hAnsi="Arial Narrow"/>
                <w:sz w:val="22"/>
              </w:rPr>
            </w:pPr>
            <w:r w:rsidRPr="00D30389">
              <w:rPr>
                <w:rFonts w:ascii="Arial Narrow" w:hAnsi="Arial Narrow"/>
                <w:sz w:val="22"/>
              </w:rPr>
              <w:t>410</w:t>
            </w:r>
          </w:p>
        </w:tc>
        <w:tc>
          <w:tcPr>
            <w:tcW w:w="640" w:type="pct"/>
            <w:tcBorders>
              <w:top w:val="single" w:sz="4" w:space="0" w:color="FFFFFF" w:themeColor="background1"/>
            </w:tcBorders>
            <w:shd w:val="clear" w:color="auto" w:fill="FFFFFF" w:themeFill="background1"/>
            <w:noWrap/>
            <w:hideMark/>
          </w:tcPr>
          <w:p w14:paraId="796B8ED1" w14:textId="77777777" w:rsidR="00101D3E" w:rsidRPr="00D30389" w:rsidRDefault="00101D3E" w:rsidP="00E01559">
            <w:pPr>
              <w:pStyle w:val="PTableText"/>
              <w:jc w:val="right"/>
              <w:rPr>
                <w:rFonts w:ascii="Arial Narrow" w:hAnsi="Arial Narrow"/>
                <w:sz w:val="22"/>
              </w:rPr>
            </w:pPr>
            <w:r w:rsidRPr="00D30389">
              <w:rPr>
                <w:rFonts w:ascii="Arial Narrow" w:hAnsi="Arial Narrow"/>
                <w:sz w:val="22"/>
              </w:rPr>
              <w:t>902</w:t>
            </w:r>
          </w:p>
        </w:tc>
        <w:tc>
          <w:tcPr>
            <w:tcW w:w="640" w:type="pct"/>
            <w:tcBorders>
              <w:top w:val="single" w:sz="4" w:space="0" w:color="FFFFFF" w:themeColor="background1"/>
            </w:tcBorders>
            <w:shd w:val="clear" w:color="auto" w:fill="FFFFFF" w:themeFill="background1"/>
            <w:noWrap/>
            <w:hideMark/>
          </w:tcPr>
          <w:p w14:paraId="796B8ED2" w14:textId="77777777" w:rsidR="00101D3E" w:rsidRPr="00D30389" w:rsidRDefault="00101D3E" w:rsidP="00E01559">
            <w:pPr>
              <w:pStyle w:val="PTableText"/>
              <w:jc w:val="right"/>
              <w:rPr>
                <w:rFonts w:ascii="Arial Narrow" w:hAnsi="Arial Narrow"/>
                <w:sz w:val="22"/>
              </w:rPr>
            </w:pPr>
            <w:r w:rsidRPr="00D30389">
              <w:rPr>
                <w:rFonts w:ascii="Arial Narrow" w:hAnsi="Arial Narrow"/>
                <w:sz w:val="22"/>
              </w:rPr>
              <w:t>1</w:t>
            </w:r>
            <w:r w:rsidR="00032167" w:rsidRPr="00D30389">
              <w:rPr>
                <w:rFonts w:ascii="Arial Narrow" w:hAnsi="Arial Narrow"/>
                <w:sz w:val="22"/>
              </w:rPr>
              <w:t>,</w:t>
            </w:r>
            <w:r w:rsidRPr="00D30389">
              <w:rPr>
                <w:rFonts w:ascii="Arial Narrow" w:hAnsi="Arial Narrow"/>
                <w:sz w:val="22"/>
              </w:rPr>
              <w:t>585</w:t>
            </w:r>
          </w:p>
        </w:tc>
        <w:tc>
          <w:tcPr>
            <w:tcW w:w="640" w:type="pct"/>
            <w:tcBorders>
              <w:top w:val="single" w:sz="4" w:space="0" w:color="FFFFFF" w:themeColor="background1"/>
            </w:tcBorders>
            <w:shd w:val="clear" w:color="auto" w:fill="FFFFFF" w:themeFill="background1"/>
            <w:noWrap/>
            <w:hideMark/>
          </w:tcPr>
          <w:p w14:paraId="796B8ED3" w14:textId="77777777" w:rsidR="00101D3E" w:rsidRPr="00D30389" w:rsidRDefault="00101D3E" w:rsidP="00E01559">
            <w:pPr>
              <w:pStyle w:val="PTableText"/>
              <w:jc w:val="right"/>
              <w:rPr>
                <w:rFonts w:ascii="Arial Narrow" w:hAnsi="Arial Narrow"/>
                <w:sz w:val="22"/>
              </w:rPr>
            </w:pPr>
            <w:r w:rsidRPr="00D30389">
              <w:rPr>
                <w:rFonts w:ascii="Arial Narrow" w:hAnsi="Arial Narrow"/>
                <w:sz w:val="22"/>
              </w:rPr>
              <w:t>2</w:t>
            </w:r>
            <w:r w:rsidR="00032167" w:rsidRPr="00D30389">
              <w:rPr>
                <w:rFonts w:ascii="Arial Narrow" w:hAnsi="Arial Narrow"/>
                <w:sz w:val="22"/>
              </w:rPr>
              <w:t>,</w:t>
            </w:r>
            <w:r w:rsidRPr="00D30389">
              <w:rPr>
                <w:rFonts w:ascii="Arial Narrow" w:hAnsi="Arial Narrow"/>
                <w:sz w:val="22"/>
              </w:rPr>
              <w:t>461</w:t>
            </w:r>
          </w:p>
        </w:tc>
        <w:tc>
          <w:tcPr>
            <w:tcW w:w="640" w:type="pct"/>
            <w:tcBorders>
              <w:top w:val="single" w:sz="4" w:space="0" w:color="FFFFFF" w:themeColor="background1"/>
            </w:tcBorders>
            <w:shd w:val="clear" w:color="auto" w:fill="FFFFFF" w:themeFill="background1"/>
            <w:hideMark/>
          </w:tcPr>
          <w:p w14:paraId="796B8ED4" w14:textId="77777777" w:rsidR="00101D3E" w:rsidRPr="00D30389" w:rsidRDefault="00101D3E" w:rsidP="00E01559">
            <w:pPr>
              <w:pStyle w:val="PTableText"/>
              <w:jc w:val="right"/>
              <w:rPr>
                <w:rFonts w:ascii="Arial Narrow" w:hAnsi="Arial Narrow"/>
                <w:sz w:val="22"/>
              </w:rPr>
            </w:pPr>
            <w:r w:rsidRPr="00D30389">
              <w:rPr>
                <w:rFonts w:ascii="Arial Narrow" w:hAnsi="Arial Narrow"/>
                <w:sz w:val="22"/>
              </w:rPr>
              <w:t>3</w:t>
            </w:r>
            <w:r w:rsidR="00032167" w:rsidRPr="00D30389">
              <w:rPr>
                <w:rFonts w:ascii="Arial Narrow" w:hAnsi="Arial Narrow"/>
                <w:sz w:val="22"/>
              </w:rPr>
              <w:t>,</w:t>
            </w:r>
            <w:r w:rsidRPr="00D30389">
              <w:rPr>
                <w:rFonts w:ascii="Arial Narrow" w:hAnsi="Arial Narrow"/>
                <w:sz w:val="22"/>
              </w:rPr>
              <w:t>530</w:t>
            </w:r>
          </w:p>
        </w:tc>
      </w:tr>
      <w:tr w:rsidR="001A1E57" w:rsidRPr="00D30389" w14:paraId="796B8EDD" w14:textId="77777777" w:rsidTr="00D30389">
        <w:trPr>
          <w:trHeight w:val="300"/>
        </w:trPr>
        <w:tc>
          <w:tcPr>
            <w:tcW w:w="1186" w:type="pct"/>
            <w:noWrap/>
            <w:hideMark/>
          </w:tcPr>
          <w:p w14:paraId="796B8ED6" w14:textId="77777777" w:rsidR="00101D3E" w:rsidRPr="00D30389" w:rsidRDefault="00101D3E" w:rsidP="00E01559">
            <w:pPr>
              <w:pStyle w:val="PTableText"/>
              <w:jc w:val="center"/>
              <w:rPr>
                <w:rFonts w:ascii="Arial Narrow" w:hAnsi="Arial Narrow"/>
                <w:sz w:val="22"/>
              </w:rPr>
            </w:pPr>
            <w:r w:rsidRPr="00D30389">
              <w:rPr>
                <w:rFonts w:ascii="Arial Narrow" w:hAnsi="Arial Narrow"/>
                <w:sz w:val="22"/>
              </w:rPr>
              <w:t>2</w:t>
            </w:r>
          </w:p>
        </w:tc>
        <w:tc>
          <w:tcPr>
            <w:tcW w:w="617" w:type="pct"/>
            <w:shd w:val="clear" w:color="auto" w:fill="FFFFFF" w:themeFill="background1"/>
            <w:noWrap/>
            <w:hideMark/>
          </w:tcPr>
          <w:p w14:paraId="796B8ED7" w14:textId="77777777" w:rsidR="00101D3E" w:rsidRPr="00D30389" w:rsidRDefault="00101D3E" w:rsidP="00E01559">
            <w:pPr>
              <w:pStyle w:val="PTableText"/>
              <w:jc w:val="right"/>
              <w:rPr>
                <w:rFonts w:ascii="Arial Narrow" w:hAnsi="Arial Narrow"/>
                <w:sz w:val="22"/>
              </w:rPr>
            </w:pPr>
            <w:r w:rsidRPr="00D30389">
              <w:rPr>
                <w:rFonts w:ascii="Arial Narrow" w:hAnsi="Arial Narrow"/>
                <w:sz w:val="22"/>
              </w:rPr>
              <w:t>32</w:t>
            </w:r>
          </w:p>
        </w:tc>
        <w:tc>
          <w:tcPr>
            <w:tcW w:w="640" w:type="pct"/>
            <w:shd w:val="clear" w:color="auto" w:fill="FFFFFF" w:themeFill="background1"/>
            <w:noWrap/>
            <w:hideMark/>
          </w:tcPr>
          <w:p w14:paraId="796B8ED8" w14:textId="77777777" w:rsidR="00101D3E" w:rsidRPr="00D30389" w:rsidRDefault="00101D3E" w:rsidP="00E01559">
            <w:pPr>
              <w:pStyle w:val="PTableText"/>
              <w:jc w:val="right"/>
              <w:rPr>
                <w:rFonts w:ascii="Arial Narrow" w:hAnsi="Arial Narrow"/>
                <w:sz w:val="22"/>
              </w:rPr>
            </w:pPr>
            <w:r w:rsidRPr="00D30389">
              <w:rPr>
                <w:rFonts w:ascii="Arial Narrow" w:hAnsi="Arial Narrow"/>
                <w:sz w:val="22"/>
              </w:rPr>
              <w:t>110</w:t>
            </w:r>
          </w:p>
        </w:tc>
        <w:tc>
          <w:tcPr>
            <w:tcW w:w="640" w:type="pct"/>
            <w:shd w:val="clear" w:color="auto" w:fill="FFFFFF" w:themeFill="background1"/>
            <w:noWrap/>
            <w:hideMark/>
          </w:tcPr>
          <w:p w14:paraId="796B8ED9" w14:textId="77777777" w:rsidR="00101D3E" w:rsidRPr="00D30389" w:rsidRDefault="00101D3E" w:rsidP="00E01559">
            <w:pPr>
              <w:pStyle w:val="PTableText"/>
              <w:jc w:val="right"/>
              <w:rPr>
                <w:rFonts w:ascii="Arial Narrow" w:hAnsi="Arial Narrow"/>
                <w:sz w:val="22"/>
              </w:rPr>
            </w:pPr>
            <w:r w:rsidRPr="00D30389">
              <w:rPr>
                <w:rFonts w:ascii="Arial Narrow" w:hAnsi="Arial Narrow"/>
                <w:sz w:val="22"/>
              </w:rPr>
              <w:t>236</w:t>
            </w:r>
          </w:p>
        </w:tc>
        <w:tc>
          <w:tcPr>
            <w:tcW w:w="640" w:type="pct"/>
            <w:shd w:val="clear" w:color="auto" w:fill="FFFFFF" w:themeFill="background1"/>
            <w:noWrap/>
            <w:hideMark/>
          </w:tcPr>
          <w:p w14:paraId="796B8EDA" w14:textId="77777777" w:rsidR="00101D3E" w:rsidRPr="00D30389" w:rsidRDefault="00101D3E" w:rsidP="00E01559">
            <w:pPr>
              <w:pStyle w:val="PTableText"/>
              <w:jc w:val="right"/>
              <w:rPr>
                <w:rFonts w:ascii="Arial Narrow" w:hAnsi="Arial Narrow"/>
                <w:sz w:val="22"/>
              </w:rPr>
            </w:pPr>
            <w:r w:rsidRPr="00D30389">
              <w:rPr>
                <w:rFonts w:ascii="Arial Narrow" w:hAnsi="Arial Narrow"/>
                <w:sz w:val="22"/>
              </w:rPr>
              <w:t>410</w:t>
            </w:r>
          </w:p>
        </w:tc>
        <w:tc>
          <w:tcPr>
            <w:tcW w:w="640" w:type="pct"/>
            <w:shd w:val="clear" w:color="auto" w:fill="FFFFFF" w:themeFill="background1"/>
            <w:noWrap/>
            <w:hideMark/>
          </w:tcPr>
          <w:p w14:paraId="796B8EDB" w14:textId="77777777" w:rsidR="00101D3E" w:rsidRPr="00D30389" w:rsidRDefault="00101D3E" w:rsidP="00E01559">
            <w:pPr>
              <w:pStyle w:val="PTableText"/>
              <w:jc w:val="right"/>
              <w:rPr>
                <w:rFonts w:ascii="Arial Narrow" w:hAnsi="Arial Narrow"/>
                <w:sz w:val="22"/>
              </w:rPr>
            </w:pPr>
            <w:r w:rsidRPr="00D30389">
              <w:rPr>
                <w:rFonts w:ascii="Arial Narrow" w:hAnsi="Arial Narrow"/>
                <w:sz w:val="22"/>
              </w:rPr>
              <w:t>632</w:t>
            </w:r>
          </w:p>
        </w:tc>
        <w:tc>
          <w:tcPr>
            <w:tcW w:w="640" w:type="pct"/>
            <w:shd w:val="clear" w:color="auto" w:fill="E5B8B7" w:themeFill="accent2" w:themeFillTint="66"/>
            <w:hideMark/>
          </w:tcPr>
          <w:p w14:paraId="796B8EDC" w14:textId="77777777" w:rsidR="00101D3E" w:rsidRPr="00D30389" w:rsidRDefault="00101D3E" w:rsidP="00E01559">
            <w:pPr>
              <w:pStyle w:val="PTableText"/>
              <w:jc w:val="right"/>
              <w:rPr>
                <w:rFonts w:ascii="Arial Narrow" w:hAnsi="Arial Narrow"/>
                <w:sz w:val="22"/>
              </w:rPr>
            </w:pPr>
            <w:r w:rsidRPr="00D30389">
              <w:rPr>
                <w:rFonts w:ascii="Arial Narrow" w:hAnsi="Arial Narrow"/>
                <w:sz w:val="22"/>
              </w:rPr>
              <w:t>902</w:t>
            </w:r>
          </w:p>
        </w:tc>
      </w:tr>
      <w:tr w:rsidR="001A1E57" w:rsidRPr="00D30389" w14:paraId="796B8EE5" w14:textId="77777777" w:rsidTr="00D30389">
        <w:trPr>
          <w:trHeight w:val="300"/>
        </w:trPr>
        <w:tc>
          <w:tcPr>
            <w:tcW w:w="1186" w:type="pct"/>
            <w:noWrap/>
            <w:hideMark/>
          </w:tcPr>
          <w:p w14:paraId="796B8EDE" w14:textId="77777777" w:rsidR="00101D3E" w:rsidRPr="00D30389" w:rsidRDefault="00101D3E" w:rsidP="00E01559">
            <w:pPr>
              <w:pStyle w:val="PTableText"/>
              <w:jc w:val="center"/>
              <w:rPr>
                <w:rFonts w:ascii="Arial Narrow" w:hAnsi="Arial Narrow"/>
                <w:sz w:val="22"/>
              </w:rPr>
            </w:pPr>
            <w:r w:rsidRPr="00D30389">
              <w:rPr>
                <w:rFonts w:ascii="Arial Narrow" w:hAnsi="Arial Narrow"/>
                <w:sz w:val="22"/>
              </w:rPr>
              <w:t>3</w:t>
            </w:r>
          </w:p>
        </w:tc>
        <w:tc>
          <w:tcPr>
            <w:tcW w:w="617" w:type="pct"/>
            <w:shd w:val="clear" w:color="auto" w:fill="FFFFFF" w:themeFill="background1"/>
            <w:noWrap/>
            <w:hideMark/>
          </w:tcPr>
          <w:p w14:paraId="796B8EDF" w14:textId="77777777" w:rsidR="00101D3E" w:rsidRPr="00D30389" w:rsidRDefault="00101D3E" w:rsidP="00E01559">
            <w:pPr>
              <w:pStyle w:val="PTableText"/>
              <w:jc w:val="right"/>
              <w:rPr>
                <w:rFonts w:ascii="Arial Narrow" w:hAnsi="Arial Narrow"/>
                <w:sz w:val="22"/>
              </w:rPr>
            </w:pPr>
            <w:r w:rsidRPr="00D30389">
              <w:rPr>
                <w:rFonts w:ascii="Arial Narrow" w:hAnsi="Arial Narrow"/>
                <w:sz w:val="22"/>
              </w:rPr>
              <w:t>17</w:t>
            </w:r>
          </w:p>
        </w:tc>
        <w:tc>
          <w:tcPr>
            <w:tcW w:w="640" w:type="pct"/>
            <w:shd w:val="clear" w:color="auto" w:fill="FFFFFF" w:themeFill="background1"/>
            <w:noWrap/>
            <w:hideMark/>
          </w:tcPr>
          <w:p w14:paraId="796B8EE0" w14:textId="77777777" w:rsidR="00101D3E" w:rsidRPr="00D30389" w:rsidRDefault="00101D3E" w:rsidP="00E01559">
            <w:pPr>
              <w:pStyle w:val="PTableText"/>
              <w:jc w:val="right"/>
              <w:rPr>
                <w:rFonts w:ascii="Arial Narrow" w:hAnsi="Arial Narrow"/>
                <w:sz w:val="22"/>
              </w:rPr>
            </w:pPr>
            <w:r w:rsidRPr="00D30389">
              <w:rPr>
                <w:rFonts w:ascii="Arial Narrow" w:hAnsi="Arial Narrow"/>
                <w:sz w:val="22"/>
              </w:rPr>
              <w:t>53</w:t>
            </w:r>
          </w:p>
        </w:tc>
        <w:tc>
          <w:tcPr>
            <w:tcW w:w="640" w:type="pct"/>
            <w:shd w:val="clear" w:color="auto" w:fill="FFFFFF" w:themeFill="background1"/>
            <w:noWrap/>
            <w:hideMark/>
          </w:tcPr>
          <w:p w14:paraId="796B8EE1" w14:textId="77777777" w:rsidR="00101D3E" w:rsidRPr="00D30389" w:rsidRDefault="00101D3E" w:rsidP="00E01559">
            <w:pPr>
              <w:pStyle w:val="PTableText"/>
              <w:jc w:val="right"/>
              <w:rPr>
                <w:rFonts w:ascii="Arial Narrow" w:hAnsi="Arial Narrow"/>
                <w:sz w:val="22"/>
              </w:rPr>
            </w:pPr>
            <w:r w:rsidRPr="00D30389">
              <w:rPr>
                <w:rFonts w:ascii="Arial Narrow" w:hAnsi="Arial Narrow"/>
                <w:sz w:val="22"/>
              </w:rPr>
              <w:t>110</w:t>
            </w:r>
          </w:p>
        </w:tc>
        <w:tc>
          <w:tcPr>
            <w:tcW w:w="640" w:type="pct"/>
            <w:shd w:val="clear" w:color="auto" w:fill="FFFFFF" w:themeFill="background1"/>
            <w:noWrap/>
            <w:hideMark/>
          </w:tcPr>
          <w:p w14:paraId="796B8EE2" w14:textId="77777777" w:rsidR="00101D3E" w:rsidRPr="00D30389" w:rsidRDefault="00101D3E" w:rsidP="00E01559">
            <w:pPr>
              <w:pStyle w:val="PTableText"/>
              <w:jc w:val="right"/>
              <w:rPr>
                <w:rFonts w:ascii="Arial Narrow" w:hAnsi="Arial Narrow"/>
                <w:sz w:val="22"/>
              </w:rPr>
            </w:pPr>
            <w:r w:rsidRPr="00D30389">
              <w:rPr>
                <w:rFonts w:ascii="Arial Narrow" w:hAnsi="Arial Narrow"/>
                <w:sz w:val="22"/>
              </w:rPr>
              <w:t>189</w:t>
            </w:r>
          </w:p>
        </w:tc>
        <w:tc>
          <w:tcPr>
            <w:tcW w:w="640" w:type="pct"/>
            <w:shd w:val="clear" w:color="auto" w:fill="B8CCE4" w:themeFill="accent1" w:themeFillTint="66"/>
            <w:noWrap/>
            <w:hideMark/>
          </w:tcPr>
          <w:p w14:paraId="796B8EE3" w14:textId="77777777" w:rsidR="00101D3E" w:rsidRPr="00D30389" w:rsidRDefault="00101D3E" w:rsidP="00E01559">
            <w:pPr>
              <w:pStyle w:val="PTableText"/>
              <w:jc w:val="right"/>
              <w:rPr>
                <w:rFonts w:ascii="Arial Narrow" w:hAnsi="Arial Narrow"/>
                <w:sz w:val="22"/>
              </w:rPr>
            </w:pPr>
            <w:r w:rsidRPr="00D30389">
              <w:rPr>
                <w:rFonts w:ascii="Arial Narrow" w:hAnsi="Arial Narrow"/>
                <w:sz w:val="22"/>
              </w:rPr>
              <w:t>288</w:t>
            </w:r>
          </w:p>
        </w:tc>
        <w:tc>
          <w:tcPr>
            <w:tcW w:w="640" w:type="pct"/>
            <w:shd w:val="clear" w:color="auto" w:fill="FFFFFF" w:themeFill="background1"/>
            <w:hideMark/>
          </w:tcPr>
          <w:p w14:paraId="796B8EE4" w14:textId="77777777" w:rsidR="00101D3E" w:rsidRPr="00D30389" w:rsidRDefault="00101D3E" w:rsidP="00E01559">
            <w:pPr>
              <w:pStyle w:val="PTableText"/>
              <w:jc w:val="right"/>
              <w:rPr>
                <w:rFonts w:ascii="Arial Narrow" w:hAnsi="Arial Narrow"/>
                <w:sz w:val="22"/>
              </w:rPr>
            </w:pPr>
            <w:r w:rsidRPr="00D30389">
              <w:rPr>
                <w:rFonts w:ascii="Arial Narrow" w:hAnsi="Arial Narrow"/>
                <w:sz w:val="22"/>
              </w:rPr>
              <w:t>410</w:t>
            </w:r>
          </w:p>
        </w:tc>
      </w:tr>
      <w:tr w:rsidR="001A1E57" w:rsidRPr="00D30389" w14:paraId="796B8EED" w14:textId="77777777" w:rsidTr="00D30389">
        <w:trPr>
          <w:trHeight w:val="300"/>
        </w:trPr>
        <w:tc>
          <w:tcPr>
            <w:tcW w:w="1186" w:type="pct"/>
            <w:noWrap/>
            <w:hideMark/>
          </w:tcPr>
          <w:p w14:paraId="796B8EE6" w14:textId="77777777" w:rsidR="00101D3E" w:rsidRPr="00D30389" w:rsidRDefault="00101D3E" w:rsidP="00E01559">
            <w:pPr>
              <w:pStyle w:val="PTableText"/>
              <w:jc w:val="center"/>
              <w:rPr>
                <w:rFonts w:ascii="Arial Narrow" w:hAnsi="Arial Narrow"/>
                <w:sz w:val="22"/>
              </w:rPr>
            </w:pPr>
            <w:r w:rsidRPr="00D30389">
              <w:rPr>
                <w:rFonts w:ascii="Arial Narrow" w:hAnsi="Arial Narrow"/>
                <w:sz w:val="22"/>
              </w:rPr>
              <w:t>4</w:t>
            </w:r>
          </w:p>
        </w:tc>
        <w:tc>
          <w:tcPr>
            <w:tcW w:w="617" w:type="pct"/>
            <w:shd w:val="clear" w:color="auto" w:fill="FFFFFF" w:themeFill="background1"/>
            <w:noWrap/>
            <w:hideMark/>
          </w:tcPr>
          <w:p w14:paraId="796B8EE7" w14:textId="77777777" w:rsidR="00101D3E" w:rsidRPr="00D30389" w:rsidRDefault="00101D3E" w:rsidP="00E01559">
            <w:pPr>
              <w:pStyle w:val="PTableText"/>
              <w:jc w:val="right"/>
              <w:rPr>
                <w:rFonts w:ascii="Arial Narrow" w:hAnsi="Arial Narrow"/>
                <w:sz w:val="22"/>
              </w:rPr>
            </w:pPr>
            <w:r w:rsidRPr="00D30389">
              <w:rPr>
                <w:rFonts w:ascii="Arial Narrow" w:hAnsi="Arial Narrow"/>
                <w:sz w:val="22"/>
              </w:rPr>
              <w:t>11</w:t>
            </w:r>
          </w:p>
        </w:tc>
        <w:tc>
          <w:tcPr>
            <w:tcW w:w="640" w:type="pct"/>
            <w:shd w:val="clear" w:color="auto" w:fill="FFFFFF" w:themeFill="background1"/>
            <w:noWrap/>
            <w:hideMark/>
          </w:tcPr>
          <w:p w14:paraId="796B8EE8" w14:textId="77777777" w:rsidR="00101D3E" w:rsidRPr="00D30389" w:rsidRDefault="00101D3E" w:rsidP="00E01559">
            <w:pPr>
              <w:pStyle w:val="PTableText"/>
              <w:jc w:val="right"/>
              <w:rPr>
                <w:rFonts w:ascii="Arial Narrow" w:hAnsi="Arial Narrow"/>
                <w:sz w:val="22"/>
              </w:rPr>
            </w:pPr>
            <w:r w:rsidRPr="00D30389">
              <w:rPr>
                <w:rFonts w:ascii="Arial Narrow" w:hAnsi="Arial Narrow"/>
                <w:sz w:val="22"/>
              </w:rPr>
              <w:t>32</w:t>
            </w:r>
          </w:p>
        </w:tc>
        <w:tc>
          <w:tcPr>
            <w:tcW w:w="640" w:type="pct"/>
            <w:shd w:val="clear" w:color="auto" w:fill="FFFFFF" w:themeFill="background1"/>
            <w:noWrap/>
            <w:hideMark/>
          </w:tcPr>
          <w:p w14:paraId="796B8EE9" w14:textId="77777777" w:rsidR="00101D3E" w:rsidRPr="00D30389" w:rsidRDefault="00101D3E" w:rsidP="00E01559">
            <w:pPr>
              <w:pStyle w:val="PTableText"/>
              <w:jc w:val="right"/>
              <w:rPr>
                <w:rFonts w:ascii="Arial Narrow" w:hAnsi="Arial Narrow"/>
                <w:sz w:val="22"/>
              </w:rPr>
            </w:pPr>
            <w:r w:rsidRPr="00D30389">
              <w:rPr>
                <w:rFonts w:ascii="Arial Narrow" w:hAnsi="Arial Narrow"/>
                <w:sz w:val="22"/>
              </w:rPr>
              <w:t>65</w:t>
            </w:r>
          </w:p>
        </w:tc>
        <w:tc>
          <w:tcPr>
            <w:tcW w:w="640" w:type="pct"/>
            <w:shd w:val="clear" w:color="auto" w:fill="FFFFFF" w:themeFill="background1"/>
            <w:noWrap/>
            <w:hideMark/>
          </w:tcPr>
          <w:p w14:paraId="796B8EEA" w14:textId="77777777" w:rsidR="00101D3E" w:rsidRPr="00D30389" w:rsidRDefault="00101D3E" w:rsidP="00E01559">
            <w:pPr>
              <w:pStyle w:val="PTableText"/>
              <w:jc w:val="right"/>
              <w:rPr>
                <w:rFonts w:ascii="Arial Narrow" w:hAnsi="Arial Narrow"/>
                <w:sz w:val="22"/>
              </w:rPr>
            </w:pPr>
            <w:r w:rsidRPr="00D30389">
              <w:rPr>
                <w:rFonts w:ascii="Arial Narrow" w:hAnsi="Arial Narrow"/>
                <w:sz w:val="22"/>
              </w:rPr>
              <w:t>110</w:t>
            </w:r>
          </w:p>
        </w:tc>
        <w:tc>
          <w:tcPr>
            <w:tcW w:w="640" w:type="pct"/>
            <w:shd w:val="clear" w:color="auto" w:fill="FFFFFF" w:themeFill="background1"/>
            <w:noWrap/>
            <w:hideMark/>
          </w:tcPr>
          <w:p w14:paraId="796B8EEB" w14:textId="77777777" w:rsidR="00101D3E" w:rsidRPr="00D30389" w:rsidRDefault="00101D3E" w:rsidP="00E01559">
            <w:pPr>
              <w:pStyle w:val="PTableText"/>
              <w:jc w:val="right"/>
              <w:rPr>
                <w:rFonts w:ascii="Arial Narrow" w:hAnsi="Arial Narrow"/>
                <w:sz w:val="22"/>
              </w:rPr>
            </w:pPr>
            <w:r w:rsidRPr="00D30389">
              <w:rPr>
                <w:rFonts w:ascii="Arial Narrow" w:hAnsi="Arial Narrow"/>
                <w:sz w:val="22"/>
              </w:rPr>
              <w:t>167</w:t>
            </w:r>
          </w:p>
        </w:tc>
        <w:tc>
          <w:tcPr>
            <w:tcW w:w="640" w:type="pct"/>
            <w:shd w:val="clear" w:color="auto" w:fill="FFFFFF" w:themeFill="background1"/>
            <w:hideMark/>
          </w:tcPr>
          <w:p w14:paraId="796B8EEC" w14:textId="77777777" w:rsidR="00101D3E" w:rsidRPr="00D30389" w:rsidRDefault="00101D3E" w:rsidP="00E01559">
            <w:pPr>
              <w:pStyle w:val="PTableText"/>
              <w:jc w:val="right"/>
              <w:rPr>
                <w:rFonts w:ascii="Arial Narrow" w:hAnsi="Arial Narrow"/>
                <w:sz w:val="22"/>
              </w:rPr>
            </w:pPr>
            <w:r w:rsidRPr="00D30389">
              <w:rPr>
                <w:rFonts w:ascii="Arial Narrow" w:hAnsi="Arial Narrow"/>
                <w:sz w:val="22"/>
              </w:rPr>
              <w:t>236</w:t>
            </w:r>
          </w:p>
        </w:tc>
      </w:tr>
      <w:tr w:rsidR="001A1E57" w:rsidRPr="00D30389" w14:paraId="796B8EF5" w14:textId="77777777" w:rsidTr="00D30389">
        <w:trPr>
          <w:trHeight w:val="300"/>
        </w:trPr>
        <w:tc>
          <w:tcPr>
            <w:tcW w:w="1186" w:type="pct"/>
            <w:noWrap/>
            <w:hideMark/>
          </w:tcPr>
          <w:p w14:paraId="796B8EEE" w14:textId="77777777" w:rsidR="00101D3E" w:rsidRPr="00D30389" w:rsidRDefault="00101D3E" w:rsidP="00E01559">
            <w:pPr>
              <w:pStyle w:val="PTableText"/>
              <w:jc w:val="center"/>
              <w:rPr>
                <w:rFonts w:ascii="Arial Narrow" w:hAnsi="Arial Narrow"/>
                <w:sz w:val="22"/>
              </w:rPr>
            </w:pPr>
            <w:r w:rsidRPr="00D30389">
              <w:rPr>
                <w:rFonts w:ascii="Arial Narrow" w:hAnsi="Arial Narrow"/>
                <w:sz w:val="22"/>
              </w:rPr>
              <w:t>5</w:t>
            </w:r>
          </w:p>
        </w:tc>
        <w:tc>
          <w:tcPr>
            <w:tcW w:w="617" w:type="pct"/>
            <w:shd w:val="clear" w:color="auto" w:fill="FFFFFF" w:themeFill="background1"/>
            <w:noWrap/>
            <w:hideMark/>
          </w:tcPr>
          <w:p w14:paraId="796B8EEF" w14:textId="77777777" w:rsidR="00101D3E" w:rsidRPr="00D30389" w:rsidRDefault="00101D3E" w:rsidP="00E01559">
            <w:pPr>
              <w:pStyle w:val="PTableText"/>
              <w:jc w:val="right"/>
              <w:rPr>
                <w:rFonts w:ascii="Arial Narrow" w:hAnsi="Arial Narrow"/>
                <w:sz w:val="22"/>
              </w:rPr>
            </w:pPr>
            <w:r w:rsidRPr="00D30389">
              <w:rPr>
                <w:rFonts w:ascii="Arial Narrow" w:hAnsi="Arial Narrow"/>
                <w:sz w:val="22"/>
              </w:rPr>
              <w:t>8</w:t>
            </w:r>
          </w:p>
        </w:tc>
        <w:tc>
          <w:tcPr>
            <w:tcW w:w="640" w:type="pct"/>
            <w:shd w:val="clear" w:color="auto" w:fill="FFFFFF" w:themeFill="background1"/>
            <w:noWrap/>
            <w:hideMark/>
          </w:tcPr>
          <w:p w14:paraId="796B8EF0" w14:textId="77777777" w:rsidR="00101D3E" w:rsidRPr="00D30389" w:rsidRDefault="00101D3E" w:rsidP="00E01559">
            <w:pPr>
              <w:pStyle w:val="PTableText"/>
              <w:jc w:val="right"/>
              <w:rPr>
                <w:rFonts w:ascii="Arial Narrow" w:hAnsi="Arial Narrow"/>
                <w:sz w:val="22"/>
              </w:rPr>
            </w:pPr>
            <w:r w:rsidRPr="00D30389">
              <w:rPr>
                <w:rFonts w:ascii="Arial Narrow" w:hAnsi="Arial Narrow"/>
                <w:sz w:val="22"/>
              </w:rPr>
              <w:t>22</w:t>
            </w:r>
          </w:p>
        </w:tc>
        <w:tc>
          <w:tcPr>
            <w:tcW w:w="640" w:type="pct"/>
            <w:shd w:val="clear" w:color="auto" w:fill="FFFFFF" w:themeFill="background1"/>
            <w:noWrap/>
            <w:hideMark/>
          </w:tcPr>
          <w:p w14:paraId="796B8EF1" w14:textId="77777777" w:rsidR="00101D3E" w:rsidRPr="00D30389" w:rsidRDefault="00101D3E" w:rsidP="00E01559">
            <w:pPr>
              <w:pStyle w:val="PTableText"/>
              <w:jc w:val="right"/>
              <w:rPr>
                <w:rFonts w:ascii="Arial Narrow" w:hAnsi="Arial Narrow"/>
                <w:sz w:val="22"/>
              </w:rPr>
            </w:pPr>
            <w:r w:rsidRPr="00D30389">
              <w:rPr>
                <w:rFonts w:ascii="Arial Narrow" w:hAnsi="Arial Narrow"/>
                <w:sz w:val="22"/>
              </w:rPr>
              <w:t>44</w:t>
            </w:r>
          </w:p>
        </w:tc>
        <w:tc>
          <w:tcPr>
            <w:tcW w:w="640" w:type="pct"/>
            <w:shd w:val="clear" w:color="auto" w:fill="FFFFFF" w:themeFill="background1"/>
            <w:noWrap/>
            <w:hideMark/>
          </w:tcPr>
          <w:p w14:paraId="796B8EF2" w14:textId="77777777" w:rsidR="00101D3E" w:rsidRPr="00D30389" w:rsidRDefault="00101D3E" w:rsidP="00E01559">
            <w:pPr>
              <w:pStyle w:val="PTableText"/>
              <w:jc w:val="right"/>
              <w:rPr>
                <w:rFonts w:ascii="Arial Narrow" w:hAnsi="Arial Narrow"/>
                <w:sz w:val="22"/>
              </w:rPr>
            </w:pPr>
            <w:r w:rsidRPr="00D30389">
              <w:rPr>
                <w:rFonts w:ascii="Arial Narrow" w:hAnsi="Arial Narrow"/>
                <w:sz w:val="22"/>
              </w:rPr>
              <w:t>73</w:t>
            </w:r>
          </w:p>
        </w:tc>
        <w:tc>
          <w:tcPr>
            <w:tcW w:w="640" w:type="pct"/>
            <w:shd w:val="clear" w:color="auto" w:fill="FFFFFF" w:themeFill="background1"/>
            <w:noWrap/>
            <w:hideMark/>
          </w:tcPr>
          <w:p w14:paraId="796B8EF3" w14:textId="77777777" w:rsidR="00101D3E" w:rsidRPr="00D30389" w:rsidRDefault="00101D3E" w:rsidP="00E01559">
            <w:pPr>
              <w:pStyle w:val="PTableText"/>
              <w:jc w:val="right"/>
              <w:rPr>
                <w:rFonts w:ascii="Arial Narrow" w:hAnsi="Arial Narrow"/>
                <w:sz w:val="22"/>
              </w:rPr>
            </w:pPr>
            <w:r w:rsidRPr="00D30389">
              <w:rPr>
                <w:rFonts w:ascii="Arial Narrow" w:hAnsi="Arial Narrow"/>
                <w:sz w:val="22"/>
              </w:rPr>
              <w:t>110</w:t>
            </w:r>
          </w:p>
        </w:tc>
        <w:tc>
          <w:tcPr>
            <w:tcW w:w="640" w:type="pct"/>
            <w:shd w:val="clear" w:color="auto" w:fill="FFFFFF" w:themeFill="background1"/>
            <w:hideMark/>
          </w:tcPr>
          <w:p w14:paraId="796B8EF4" w14:textId="77777777" w:rsidR="00101D3E" w:rsidRPr="00D30389" w:rsidRDefault="00101D3E" w:rsidP="00E01559">
            <w:pPr>
              <w:pStyle w:val="PTableText"/>
              <w:jc w:val="right"/>
              <w:rPr>
                <w:rFonts w:ascii="Arial Narrow" w:hAnsi="Arial Narrow"/>
                <w:sz w:val="22"/>
              </w:rPr>
            </w:pPr>
            <w:r w:rsidRPr="00D30389">
              <w:rPr>
                <w:rFonts w:ascii="Arial Narrow" w:hAnsi="Arial Narrow"/>
                <w:sz w:val="22"/>
              </w:rPr>
              <w:t>155</w:t>
            </w:r>
          </w:p>
        </w:tc>
      </w:tr>
      <w:tr w:rsidR="001A1E57" w:rsidRPr="00D30389" w14:paraId="796B8EFD" w14:textId="77777777" w:rsidTr="00D30389">
        <w:trPr>
          <w:trHeight w:val="300"/>
        </w:trPr>
        <w:tc>
          <w:tcPr>
            <w:tcW w:w="1186" w:type="pct"/>
            <w:noWrap/>
            <w:hideMark/>
          </w:tcPr>
          <w:p w14:paraId="796B8EF6" w14:textId="77777777" w:rsidR="00101D3E" w:rsidRPr="00D30389" w:rsidRDefault="00101D3E" w:rsidP="00E01559">
            <w:pPr>
              <w:pStyle w:val="PTableText"/>
              <w:jc w:val="center"/>
              <w:rPr>
                <w:rFonts w:ascii="Arial Narrow" w:hAnsi="Arial Narrow"/>
                <w:sz w:val="22"/>
              </w:rPr>
            </w:pPr>
            <w:r w:rsidRPr="00D30389">
              <w:rPr>
                <w:rFonts w:ascii="Arial Narrow" w:hAnsi="Arial Narrow"/>
                <w:sz w:val="22"/>
              </w:rPr>
              <w:t>6</w:t>
            </w:r>
          </w:p>
        </w:tc>
        <w:tc>
          <w:tcPr>
            <w:tcW w:w="617" w:type="pct"/>
            <w:shd w:val="clear" w:color="auto" w:fill="FFFFFF" w:themeFill="background1"/>
            <w:noWrap/>
            <w:hideMark/>
          </w:tcPr>
          <w:p w14:paraId="796B8EF7" w14:textId="77777777" w:rsidR="00101D3E" w:rsidRPr="00D30389" w:rsidRDefault="00101D3E" w:rsidP="00E01559">
            <w:pPr>
              <w:pStyle w:val="PTableText"/>
              <w:jc w:val="right"/>
              <w:rPr>
                <w:rFonts w:ascii="Arial Narrow" w:hAnsi="Arial Narrow"/>
                <w:sz w:val="22"/>
              </w:rPr>
            </w:pPr>
            <w:r w:rsidRPr="00D30389">
              <w:rPr>
                <w:rFonts w:ascii="Arial Narrow" w:hAnsi="Arial Narrow"/>
                <w:sz w:val="22"/>
              </w:rPr>
              <w:t>7</w:t>
            </w:r>
          </w:p>
        </w:tc>
        <w:tc>
          <w:tcPr>
            <w:tcW w:w="640" w:type="pct"/>
            <w:shd w:val="clear" w:color="auto" w:fill="FFFFFF" w:themeFill="background1"/>
            <w:noWrap/>
            <w:hideMark/>
          </w:tcPr>
          <w:p w14:paraId="796B8EF8" w14:textId="77777777" w:rsidR="00101D3E" w:rsidRPr="00D30389" w:rsidRDefault="00101D3E" w:rsidP="00E01559">
            <w:pPr>
              <w:pStyle w:val="PTableText"/>
              <w:jc w:val="right"/>
              <w:rPr>
                <w:rFonts w:ascii="Arial Narrow" w:hAnsi="Arial Narrow"/>
                <w:sz w:val="22"/>
              </w:rPr>
            </w:pPr>
            <w:r w:rsidRPr="00D30389">
              <w:rPr>
                <w:rFonts w:ascii="Arial Narrow" w:hAnsi="Arial Narrow"/>
                <w:sz w:val="22"/>
              </w:rPr>
              <w:t>17</w:t>
            </w:r>
          </w:p>
        </w:tc>
        <w:tc>
          <w:tcPr>
            <w:tcW w:w="640" w:type="pct"/>
            <w:shd w:val="clear" w:color="auto" w:fill="FFFFFF" w:themeFill="background1"/>
            <w:noWrap/>
            <w:hideMark/>
          </w:tcPr>
          <w:p w14:paraId="796B8EF9" w14:textId="77777777" w:rsidR="00101D3E" w:rsidRPr="00D30389" w:rsidRDefault="00101D3E" w:rsidP="00E01559">
            <w:pPr>
              <w:pStyle w:val="PTableText"/>
              <w:jc w:val="right"/>
              <w:rPr>
                <w:rFonts w:ascii="Arial Narrow" w:hAnsi="Arial Narrow"/>
                <w:sz w:val="22"/>
              </w:rPr>
            </w:pPr>
            <w:r w:rsidRPr="00D30389">
              <w:rPr>
                <w:rFonts w:ascii="Arial Narrow" w:hAnsi="Arial Narrow"/>
                <w:sz w:val="22"/>
              </w:rPr>
              <w:t>32</w:t>
            </w:r>
          </w:p>
        </w:tc>
        <w:tc>
          <w:tcPr>
            <w:tcW w:w="640" w:type="pct"/>
            <w:shd w:val="clear" w:color="auto" w:fill="FFFFFF" w:themeFill="background1"/>
            <w:noWrap/>
            <w:hideMark/>
          </w:tcPr>
          <w:p w14:paraId="796B8EFA" w14:textId="77777777" w:rsidR="00101D3E" w:rsidRPr="00D30389" w:rsidRDefault="00101D3E" w:rsidP="00E01559">
            <w:pPr>
              <w:pStyle w:val="PTableText"/>
              <w:jc w:val="right"/>
              <w:rPr>
                <w:rFonts w:ascii="Arial Narrow" w:hAnsi="Arial Narrow"/>
                <w:sz w:val="22"/>
              </w:rPr>
            </w:pPr>
            <w:r w:rsidRPr="00D30389">
              <w:rPr>
                <w:rFonts w:ascii="Arial Narrow" w:hAnsi="Arial Narrow"/>
                <w:sz w:val="22"/>
              </w:rPr>
              <w:t>53</w:t>
            </w:r>
          </w:p>
        </w:tc>
        <w:tc>
          <w:tcPr>
            <w:tcW w:w="640" w:type="pct"/>
            <w:shd w:val="clear" w:color="auto" w:fill="FFFFFF" w:themeFill="background1"/>
            <w:noWrap/>
            <w:hideMark/>
          </w:tcPr>
          <w:p w14:paraId="796B8EFB" w14:textId="77777777" w:rsidR="00101D3E" w:rsidRPr="00D30389" w:rsidRDefault="00101D3E" w:rsidP="00E01559">
            <w:pPr>
              <w:pStyle w:val="PTableText"/>
              <w:jc w:val="right"/>
              <w:rPr>
                <w:rFonts w:ascii="Arial Narrow" w:hAnsi="Arial Narrow"/>
                <w:sz w:val="22"/>
              </w:rPr>
            </w:pPr>
            <w:r w:rsidRPr="00D30389">
              <w:rPr>
                <w:rFonts w:ascii="Arial Narrow" w:hAnsi="Arial Narrow"/>
                <w:sz w:val="22"/>
              </w:rPr>
              <w:t>73</w:t>
            </w:r>
          </w:p>
        </w:tc>
        <w:tc>
          <w:tcPr>
            <w:tcW w:w="640" w:type="pct"/>
            <w:shd w:val="clear" w:color="auto" w:fill="FFFFFF" w:themeFill="background1"/>
            <w:hideMark/>
          </w:tcPr>
          <w:p w14:paraId="796B8EFC" w14:textId="77777777" w:rsidR="00101D3E" w:rsidRPr="00D30389" w:rsidRDefault="00101D3E" w:rsidP="00E01559">
            <w:pPr>
              <w:pStyle w:val="PTableText"/>
              <w:jc w:val="right"/>
              <w:rPr>
                <w:rFonts w:ascii="Arial Narrow" w:hAnsi="Arial Narrow"/>
                <w:sz w:val="22"/>
              </w:rPr>
            </w:pPr>
            <w:r w:rsidRPr="00D30389">
              <w:rPr>
                <w:rFonts w:ascii="Arial Narrow" w:hAnsi="Arial Narrow"/>
                <w:sz w:val="22"/>
              </w:rPr>
              <w:t>110</w:t>
            </w:r>
          </w:p>
        </w:tc>
      </w:tr>
    </w:tbl>
    <w:p w14:paraId="4D07CECC" w14:textId="2B1EF17F" w:rsidR="001A1E57" w:rsidRDefault="001A1E57" w:rsidP="00C76274">
      <w:pPr>
        <w:pStyle w:val="PTableSource"/>
        <w:ind w:left="0" w:right="1440" w:firstLine="0"/>
      </w:pPr>
      <w:r>
        <w:rPr>
          <w:rFonts w:ascii="Calibri" w:hAnsi="Calibri" w:cs="Calibri"/>
        </w:rPr>
        <w:t>†</w:t>
      </w:r>
      <w:r>
        <w:t xml:space="preserve"> </w:t>
      </w:r>
      <w:r w:rsidR="00383116">
        <w:t>Assumes an</w:t>
      </w:r>
      <w:r>
        <w:t xml:space="preserve"> 80% half-width probability and a 95% confidence interval for a CAHPS measure scored on a 100-point scale</w:t>
      </w:r>
      <w:r w:rsidR="00383116">
        <w:t xml:space="preserve">. </w:t>
      </w:r>
    </w:p>
    <w:p w14:paraId="61B21198" w14:textId="09DDA62E" w:rsidR="001A1E57" w:rsidRDefault="001A1E57" w:rsidP="00C76274">
      <w:pPr>
        <w:pStyle w:val="PTableSource"/>
        <w:ind w:left="0" w:right="1440" w:firstLine="0"/>
      </w:pPr>
      <w:r w:rsidRPr="001A1E57">
        <w:t>*</w:t>
      </w:r>
      <w:r>
        <w:t xml:space="preserve"> Std = standard deviation</w:t>
      </w:r>
    </w:p>
    <w:p w14:paraId="796B8EFF" w14:textId="7DCB7475" w:rsidR="00CD6E8B" w:rsidRDefault="00101D3E" w:rsidP="0067323B">
      <w:pPr>
        <w:pStyle w:val="PBodyText"/>
        <w:spacing w:after="180"/>
      </w:pPr>
      <w:r>
        <w:t>As an illustration, assuming a standard deviation of 25 for an observed mean of 82, we would expect that, in a series of 100 independent random samples of at least 288 individuals</w:t>
      </w:r>
      <w:r w:rsidR="00032167">
        <w:t xml:space="preserve"> (see blue </w:t>
      </w:r>
      <w:r w:rsidR="002B52F1">
        <w:t>highlighted</w:t>
      </w:r>
      <w:r w:rsidR="00032167">
        <w:t xml:space="preserve"> cell in Exhibit </w:t>
      </w:r>
      <w:r w:rsidR="0052683B">
        <w:t>B</w:t>
      </w:r>
      <w:r w:rsidR="00A5632A">
        <w:t>3</w:t>
      </w:r>
      <w:r w:rsidR="00032167">
        <w:t>)</w:t>
      </w:r>
      <w:r>
        <w:t xml:space="preserve"> drawn from the same population, the true population score would fall between 79 and 85 (82 +/- 3) in 95 of those samples. For smaller variances, the precision gets better with smaller samples (e.g., with a sample size of 300 and a standard deviation of around 8 points, the margin of error would be +/- 1 point).  For a sample size of at least 1,000, the margin of error would be no more than 2 points, assuming the standard deviation were no greater than 30.</w:t>
      </w:r>
      <w:r w:rsidR="002D4FA0">
        <w:t xml:space="preserve"> </w:t>
      </w:r>
      <w:r w:rsidR="0042012E">
        <w:rPr>
          <w:rFonts w:cs="Times New Roman"/>
        </w:rPr>
        <w:t>Simple t-tests of the difference in scores of handful of survey measures by several subgroup variables show that the standard deviations for the differences across subgroup categories ranges from around 20 to 35 (for measures scored on a 100 point scale), though very few are over 30.</w:t>
      </w:r>
    </w:p>
    <w:p w14:paraId="796B8F00" w14:textId="013FB5C7" w:rsidR="00101D3E" w:rsidRDefault="00CD6E8B" w:rsidP="0067323B">
      <w:pPr>
        <w:pStyle w:val="PBodyText"/>
        <w:spacing w:after="180"/>
      </w:pPr>
      <w:r>
        <w:t xml:space="preserve">Given the proposed 1,200 completed surveys per </w:t>
      </w:r>
      <w:r w:rsidR="00B06BDF">
        <w:t>State</w:t>
      </w:r>
      <w:r>
        <w:t>, eve</w:t>
      </w:r>
      <w:r w:rsidR="00B06BDF">
        <w:t>n</w:t>
      </w:r>
      <w:r>
        <w:t xml:space="preserve"> i</w:t>
      </w:r>
      <w:r w:rsidR="002D4FA0">
        <w:t xml:space="preserve">f the population standard deviation </w:t>
      </w:r>
      <w:r>
        <w:t xml:space="preserve">was as high as </w:t>
      </w:r>
      <w:r w:rsidR="002D4FA0">
        <w:t xml:space="preserve">30, the margin of error for </w:t>
      </w:r>
      <w:r w:rsidR="00B06BDF">
        <w:t>State</w:t>
      </w:r>
      <w:r>
        <w:t>-level</w:t>
      </w:r>
      <w:r w:rsidR="002D4FA0">
        <w:t xml:space="preserve"> estimates would be </w:t>
      </w:r>
      <w:r>
        <w:t>around</w:t>
      </w:r>
      <w:r w:rsidR="00EF2D4A">
        <w:t xml:space="preserve"> +/- 2</w:t>
      </w:r>
      <w:r>
        <w:t xml:space="preserve"> (see the red shaded cell in Exhibit </w:t>
      </w:r>
      <w:r w:rsidR="0052683B">
        <w:t>B3</w:t>
      </w:r>
      <w:r>
        <w:t>)</w:t>
      </w:r>
      <w:r w:rsidR="002D4FA0">
        <w:t xml:space="preserve">. </w:t>
      </w:r>
    </w:p>
    <w:p w14:paraId="796B8F01" w14:textId="77777777" w:rsidR="00101D3E" w:rsidRDefault="001E32A1" w:rsidP="00E01559">
      <w:pPr>
        <w:pStyle w:val="Heading5"/>
      </w:pPr>
      <w:r>
        <w:t>1.1.2.2.2</w:t>
      </w:r>
      <w:r w:rsidR="00E01559">
        <w:tab/>
      </w:r>
      <w:r w:rsidR="00101D3E">
        <w:t>Assigning Star Ratings and Ranking Marketplaces</w:t>
      </w:r>
      <w:r w:rsidR="00B06BDF">
        <w:t xml:space="preserve"> and States</w:t>
      </w:r>
    </w:p>
    <w:p w14:paraId="796B8F02" w14:textId="5A13B292" w:rsidR="00101D3E" w:rsidRDefault="00101D3E" w:rsidP="0067323B">
      <w:pPr>
        <w:pStyle w:val="PBodyText"/>
        <w:spacing w:after="180"/>
      </w:pPr>
      <w:r>
        <w:t xml:space="preserve">As described above, one of the objectives of the </w:t>
      </w:r>
      <w:r w:rsidR="009B0031">
        <w:t>full national implementation of the survey</w:t>
      </w:r>
      <w:r>
        <w:t xml:space="preserve"> is to </w:t>
      </w:r>
      <w:r w:rsidR="00CD6E8B">
        <w:t>assign star ratings to</w:t>
      </w:r>
      <w:r>
        <w:t xml:space="preserve"> </w:t>
      </w:r>
      <w:r w:rsidR="000E08DA">
        <w:t>states</w:t>
      </w:r>
      <w:r w:rsidR="00B06BDF">
        <w:t xml:space="preserve"> </w:t>
      </w:r>
      <w:r>
        <w:t xml:space="preserve">based on their performance scores (on items, composites, and global ratings) relative to the average performance across all </w:t>
      </w:r>
      <w:r w:rsidR="000E08DA">
        <w:t>s</w:t>
      </w:r>
      <w:r w:rsidR="00B06BDF">
        <w:t>tates</w:t>
      </w:r>
      <w:r>
        <w:t xml:space="preserve">. If a global F-test indicates that scores vary across </w:t>
      </w:r>
      <w:r w:rsidR="000E08DA">
        <w:t>s</w:t>
      </w:r>
      <w:r w:rsidR="00B06BDF">
        <w:t>tates</w:t>
      </w:r>
      <w:r w:rsidR="00BD4495">
        <w:t xml:space="preserve"> within the Federal Marketplace</w:t>
      </w:r>
      <w:r>
        <w:t xml:space="preserve">, the </w:t>
      </w:r>
      <w:r w:rsidR="00CD6E8B">
        <w:t xml:space="preserve">star rating </w:t>
      </w:r>
      <w:r>
        <w:t xml:space="preserve">is then done using a </w:t>
      </w:r>
      <w:r w:rsidRPr="00AA1D08">
        <w:rPr>
          <w:i/>
        </w:rPr>
        <w:t>t</w:t>
      </w:r>
      <w:r>
        <w:t xml:space="preserve">-test of the difference between each </w:t>
      </w:r>
      <w:r w:rsidR="000E08DA">
        <w:t>s</w:t>
      </w:r>
      <w:r w:rsidR="00B06BDF">
        <w:t>tate</w:t>
      </w:r>
      <w:r>
        <w:t xml:space="preserve"> and the overall mean </w:t>
      </w:r>
      <w:r w:rsidR="00AE1F8F">
        <w:t xml:space="preserve">of all </w:t>
      </w:r>
      <w:r w:rsidR="000E08DA">
        <w:t>s</w:t>
      </w:r>
      <w:r w:rsidR="00B06BDF">
        <w:t>tates</w:t>
      </w:r>
      <w:r>
        <w:t>.</w:t>
      </w:r>
      <w:r w:rsidR="00BD4495">
        <w:t xml:space="preserve"> The discussion below shows that the utility of the scoring system depends on the number of completes.  </w:t>
      </w:r>
      <w:r w:rsidR="00BB0D9D">
        <w:t xml:space="preserve">In Section 3.2, </w:t>
      </w:r>
      <w:r w:rsidR="00BD4495">
        <w:t xml:space="preserve">we discuss </w:t>
      </w:r>
      <w:r w:rsidR="00BB0D9D">
        <w:t xml:space="preserve">methods to evaluate </w:t>
      </w:r>
      <w:r w:rsidR="00BD4495">
        <w:t xml:space="preserve">the </w:t>
      </w:r>
      <w:r w:rsidR="00331DE7">
        <w:t>possible</w:t>
      </w:r>
      <w:r w:rsidR="00BD4495">
        <w:t xml:space="preserve"> impact of the potential non-response bias. </w:t>
      </w:r>
    </w:p>
    <w:p w14:paraId="796B8F03" w14:textId="256D1D21" w:rsidR="00101D3E" w:rsidRDefault="00101D3E" w:rsidP="0067323B">
      <w:pPr>
        <w:pStyle w:val="PBodyText"/>
        <w:spacing w:after="180"/>
      </w:pPr>
      <w:r>
        <w:t xml:space="preserve">Using variances observed from previous CAHPS </w:t>
      </w:r>
      <w:r w:rsidR="009D46D8">
        <w:t>psychometric test</w:t>
      </w:r>
      <w:r>
        <w:t xml:space="preserve">s, </w:t>
      </w:r>
      <w:r w:rsidR="00C653D0">
        <w:t>CMS</w:t>
      </w:r>
      <w:r>
        <w:t xml:space="preserve"> conducted a power analysis based on a two</w:t>
      </w:r>
      <w:r w:rsidR="00B06BDF">
        <w:t>-</w:t>
      </w:r>
      <w:r>
        <w:t xml:space="preserve">sample </w:t>
      </w:r>
      <w:r w:rsidRPr="00AA1D08">
        <w:rPr>
          <w:i/>
        </w:rPr>
        <w:t>t</w:t>
      </w:r>
      <w:r>
        <w:t>-test comparing the mean score on a composite (on a 100-pt scale) from one entity to the pooled mean on that composite from all entities, using a range of variances. The power analysis assumes a balanced design (same number sampled from every entity) and equal variances (single entity variance =  pooled variance).</w:t>
      </w:r>
      <w:r>
        <w:rPr>
          <w:vertAlign w:val="superscript"/>
        </w:rPr>
        <w:footnoteReference w:id="15"/>
      </w:r>
    </w:p>
    <w:p w14:paraId="796B8F04" w14:textId="77777777" w:rsidR="0067323B" w:rsidRDefault="0067323B">
      <w:pPr>
        <w:rPr>
          <w:rFonts w:ascii="Arial" w:hAnsi="Arial"/>
          <w:b/>
          <w:bCs/>
          <w:sz w:val="20"/>
          <w:szCs w:val="24"/>
        </w:rPr>
      </w:pPr>
    </w:p>
    <w:p w14:paraId="796B8F05" w14:textId="1C6DC0E9" w:rsidR="00101D3E" w:rsidRDefault="009A1813" w:rsidP="00E01559">
      <w:pPr>
        <w:pStyle w:val="PTableTitle"/>
      </w:pPr>
      <w:r>
        <w:t>Exhibit</w:t>
      </w:r>
      <w:r w:rsidR="00101D3E">
        <w:t xml:space="preserve"> </w:t>
      </w:r>
      <w:r w:rsidR="008A4041">
        <w:t>B</w:t>
      </w:r>
      <w:r w:rsidR="00D30389">
        <w:t>4</w:t>
      </w:r>
      <w:r w:rsidR="00101D3E">
        <w:t xml:space="preserve">. Relationship between Sample Size, Variance, and Effect Sizes for </w:t>
      </w:r>
      <w:r w:rsidR="00CD6E8B">
        <w:t>Star Rating of Marketplaces</w:t>
      </w:r>
      <w:r w:rsidR="00CD6E8B">
        <w:rPr>
          <w:rFonts w:ascii="Calibri" w:hAnsi="Calibri" w:cs="Calibri"/>
        </w:rPr>
        <w:t>†</w:t>
      </w:r>
      <w:r w:rsidR="00101D3E">
        <w:t xml:space="preserve"> </w:t>
      </w:r>
    </w:p>
    <w:tbl>
      <w:tblPr>
        <w:tblStyle w:val="AIRTable"/>
        <w:tblW w:w="9360" w:type="dxa"/>
        <w:tblLook w:val="04A0" w:firstRow="1" w:lastRow="0" w:firstColumn="1" w:lastColumn="0" w:noHBand="0" w:noVBand="1"/>
        <w:tblCaption w:val="Exhibit B5. Relationship between Sample Size, Variance, and Effect Sizes for Star Rating of Marketplaces† "/>
        <w:tblDescription w:val="Exhibit B5 shows mean differences between a single State and the mean of all States that could be detected with a range of completed survey counts per State, given variances (the Root Mean Square Error) of 15 and 25.  Note that when the variance is larger, the mean differences have to be bigger to yield effect sizes of the same magnitude. "/>
      </w:tblPr>
      <w:tblGrid>
        <w:gridCol w:w="4454"/>
        <w:gridCol w:w="1694"/>
        <w:gridCol w:w="759"/>
        <w:gridCol w:w="1694"/>
        <w:gridCol w:w="759"/>
      </w:tblGrid>
      <w:tr w:rsidR="00540F46" w:rsidRPr="00D30389" w14:paraId="796B8F09" w14:textId="77777777" w:rsidTr="00C76274">
        <w:trPr>
          <w:cnfStyle w:val="100000000000" w:firstRow="1" w:lastRow="0" w:firstColumn="0" w:lastColumn="0" w:oddVBand="0" w:evenVBand="0" w:oddHBand="0" w:evenHBand="0" w:firstRowFirstColumn="0" w:firstRowLastColumn="0" w:lastRowFirstColumn="0" w:lastRowLastColumn="0"/>
          <w:tblHeader/>
        </w:trPr>
        <w:tc>
          <w:tcPr>
            <w:tcW w:w="4454" w:type="dxa"/>
            <w:vAlign w:val="bottom"/>
            <w:hideMark/>
          </w:tcPr>
          <w:p w14:paraId="796B8F06" w14:textId="335F59D9" w:rsidR="00540F46" w:rsidRPr="00D30389" w:rsidRDefault="00540F46" w:rsidP="00C76274">
            <w:pPr>
              <w:pStyle w:val="PTableHeading"/>
              <w:rPr>
                <w:rFonts w:ascii="Arial Narrow" w:eastAsia="Calibri" w:hAnsi="Arial Narrow"/>
                <w:sz w:val="22"/>
              </w:rPr>
            </w:pPr>
            <w:r w:rsidRPr="00D30389">
              <w:rPr>
                <w:rFonts w:ascii="Arial Narrow" w:hAnsi="Arial Narrow"/>
                <w:sz w:val="22"/>
              </w:rPr>
              <w:t xml:space="preserve">Number of Completes per State </w:t>
            </w:r>
          </w:p>
        </w:tc>
        <w:tc>
          <w:tcPr>
            <w:tcW w:w="1694" w:type="dxa"/>
            <w:tcBorders>
              <w:bottom w:val="single" w:sz="4" w:space="0" w:color="FFFFFF" w:themeColor="background1"/>
              <w:right w:val="single" w:sz="4" w:space="0" w:color="auto"/>
            </w:tcBorders>
            <w:noWrap/>
            <w:vAlign w:val="center"/>
            <w:hideMark/>
          </w:tcPr>
          <w:p w14:paraId="7E85400B" w14:textId="6C069E77" w:rsidR="00540F46" w:rsidRPr="00D30389" w:rsidRDefault="00540F46" w:rsidP="00C76274">
            <w:pPr>
              <w:pStyle w:val="PTableHeading"/>
              <w:jc w:val="right"/>
              <w:rPr>
                <w:rFonts w:ascii="Arial Narrow" w:hAnsi="Arial Narrow"/>
                <w:sz w:val="22"/>
              </w:rPr>
            </w:pPr>
            <w:r w:rsidRPr="00D30389">
              <w:rPr>
                <w:rFonts w:ascii="Arial Narrow" w:hAnsi="Arial Narrow"/>
                <w:sz w:val="22"/>
              </w:rPr>
              <w:t xml:space="preserve">Variance </w:t>
            </w:r>
          </w:p>
        </w:tc>
        <w:tc>
          <w:tcPr>
            <w:tcW w:w="759" w:type="dxa"/>
            <w:tcBorders>
              <w:left w:val="single" w:sz="4" w:space="0" w:color="auto"/>
              <w:bottom w:val="single" w:sz="4" w:space="0" w:color="FFFFFF" w:themeColor="background1"/>
            </w:tcBorders>
            <w:vAlign w:val="center"/>
          </w:tcPr>
          <w:p w14:paraId="796B8F07" w14:textId="439087B5" w:rsidR="00540F46" w:rsidRPr="00D30389" w:rsidRDefault="00540F46" w:rsidP="00C76274">
            <w:pPr>
              <w:pStyle w:val="PTableHeading"/>
              <w:jc w:val="left"/>
              <w:rPr>
                <w:rFonts w:ascii="Arial Narrow" w:hAnsi="Arial Narrow"/>
                <w:sz w:val="22"/>
              </w:rPr>
            </w:pPr>
            <w:r w:rsidRPr="00D30389">
              <w:rPr>
                <w:rFonts w:ascii="Arial Narrow" w:hAnsi="Arial Narrow"/>
                <w:sz w:val="22"/>
              </w:rPr>
              <w:t>of 15</w:t>
            </w:r>
          </w:p>
        </w:tc>
        <w:tc>
          <w:tcPr>
            <w:tcW w:w="1694" w:type="dxa"/>
            <w:tcBorders>
              <w:bottom w:val="single" w:sz="4" w:space="0" w:color="FFFFFF" w:themeColor="background1"/>
              <w:right w:val="single" w:sz="4" w:space="0" w:color="auto"/>
            </w:tcBorders>
            <w:noWrap/>
            <w:vAlign w:val="center"/>
            <w:hideMark/>
          </w:tcPr>
          <w:p w14:paraId="64EBC13C" w14:textId="54FA23C1" w:rsidR="00540F46" w:rsidRPr="00D30389" w:rsidRDefault="00540F46" w:rsidP="00C76274">
            <w:pPr>
              <w:pStyle w:val="PTableHeading"/>
              <w:jc w:val="right"/>
              <w:rPr>
                <w:rFonts w:ascii="Arial Narrow" w:hAnsi="Arial Narrow"/>
                <w:sz w:val="22"/>
              </w:rPr>
            </w:pPr>
            <w:r w:rsidRPr="00D30389">
              <w:rPr>
                <w:rFonts w:ascii="Arial Narrow" w:hAnsi="Arial Narrow"/>
                <w:sz w:val="22"/>
              </w:rPr>
              <w:t xml:space="preserve">Variance </w:t>
            </w:r>
          </w:p>
        </w:tc>
        <w:tc>
          <w:tcPr>
            <w:tcW w:w="759" w:type="dxa"/>
            <w:tcBorders>
              <w:left w:val="single" w:sz="4" w:space="0" w:color="auto"/>
              <w:bottom w:val="single" w:sz="4" w:space="0" w:color="FFFFFF" w:themeColor="background1"/>
            </w:tcBorders>
            <w:vAlign w:val="center"/>
          </w:tcPr>
          <w:p w14:paraId="796B8F08" w14:textId="2C944FB8" w:rsidR="00540F46" w:rsidRPr="00D30389" w:rsidRDefault="00540F46" w:rsidP="00C76274">
            <w:pPr>
              <w:pStyle w:val="PTableHeading"/>
              <w:jc w:val="left"/>
              <w:rPr>
                <w:rFonts w:ascii="Arial Narrow" w:hAnsi="Arial Narrow"/>
                <w:sz w:val="22"/>
              </w:rPr>
            </w:pPr>
            <w:r w:rsidRPr="00D30389">
              <w:rPr>
                <w:rFonts w:ascii="Arial Narrow" w:hAnsi="Arial Narrow"/>
                <w:sz w:val="22"/>
              </w:rPr>
              <w:t>of 25</w:t>
            </w:r>
          </w:p>
        </w:tc>
      </w:tr>
      <w:tr w:rsidR="00540F46" w:rsidRPr="00D30389" w14:paraId="796B8F0F" w14:textId="77777777" w:rsidTr="0067323B">
        <w:trPr>
          <w:cnfStyle w:val="100000000000" w:firstRow="1" w:lastRow="0" w:firstColumn="0" w:lastColumn="0" w:oddVBand="0" w:evenVBand="0" w:oddHBand="0" w:evenHBand="0" w:firstRowFirstColumn="0" w:firstRowLastColumn="0" w:lastRowFirstColumn="0" w:lastRowLastColumn="0"/>
          <w:tblHeader/>
        </w:trPr>
        <w:tc>
          <w:tcPr>
            <w:tcW w:w="4454" w:type="dxa"/>
            <w:noWrap/>
            <w:vAlign w:val="bottom"/>
            <w:hideMark/>
          </w:tcPr>
          <w:p w14:paraId="796B8F0A" w14:textId="414E6892" w:rsidR="00540F46" w:rsidRPr="00D30389" w:rsidRDefault="00540F46" w:rsidP="00E01559">
            <w:pPr>
              <w:pStyle w:val="PTableHeading"/>
              <w:rPr>
                <w:rFonts w:ascii="Arial Narrow" w:hAnsi="Arial Narrow"/>
                <w:sz w:val="22"/>
              </w:rPr>
            </w:pPr>
            <w:r w:rsidRPr="00D30389">
              <w:rPr>
                <w:rFonts w:ascii="Arial Narrow" w:hAnsi="Arial Narrow"/>
                <w:sz w:val="22"/>
              </w:rPr>
              <w:t>(Assuming 51 States)</w:t>
            </w:r>
          </w:p>
        </w:tc>
        <w:tc>
          <w:tcPr>
            <w:tcW w:w="1694" w:type="dxa"/>
            <w:tcBorders>
              <w:top w:val="single" w:sz="4" w:space="0" w:color="FFFFFF" w:themeColor="background1"/>
            </w:tcBorders>
            <w:noWrap/>
            <w:vAlign w:val="bottom"/>
            <w:hideMark/>
          </w:tcPr>
          <w:p w14:paraId="796B8F0B" w14:textId="77777777" w:rsidR="00540F46" w:rsidRPr="00D30389" w:rsidRDefault="00540F46" w:rsidP="00E01559">
            <w:pPr>
              <w:pStyle w:val="PTableHeading"/>
              <w:rPr>
                <w:rFonts w:ascii="Arial Narrow" w:hAnsi="Arial Narrow"/>
                <w:sz w:val="22"/>
              </w:rPr>
            </w:pPr>
            <w:r w:rsidRPr="00D30389">
              <w:rPr>
                <w:rFonts w:ascii="Arial Narrow" w:hAnsi="Arial Narrow"/>
                <w:sz w:val="22"/>
              </w:rPr>
              <w:t>Mean Diff</w:t>
            </w:r>
          </w:p>
        </w:tc>
        <w:tc>
          <w:tcPr>
            <w:tcW w:w="759" w:type="dxa"/>
            <w:tcBorders>
              <w:top w:val="single" w:sz="4" w:space="0" w:color="FFFFFF" w:themeColor="background1"/>
            </w:tcBorders>
            <w:noWrap/>
            <w:vAlign w:val="bottom"/>
            <w:hideMark/>
          </w:tcPr>
          <w:p w14:paraId="796B8F0C" w14:textId="77777777" w:rsidR="00540F46" w:rsidRPr="00D30389" w:rsidRDefault="00540F46" w:rsidP="00E01559">
            <w:pPr>
              <w:pStyle w:val="PTableHeading"/>
              <w:rPr>
                <w:rFonts w:ascii="Arial Narrow" w:hAnsi="Arial Narrow"/>
                <w:sz w:val="22"/>
              </w:rPr>
            </w:pPr>
            <w:r w:rsidRPr="00D30389">
              <w:rPr>
                <w:rFonts w:ascii="Arial Narrow" w:hAnsi="Arial Narrow"/>
                <w:sz w:val="22"/>
              </w:rPr>
              <w:t>ES</w:t>
            </w:r>
          </w:p>
        </w:tc>
        <w:tc>
          <w:tcPr>
            <w:tcW w:w="1694" w:type="dxa"/>
            <w:tcBorders>
              <w:top w:val="single" w:sz="4" w:space="0" w:color="FFFFFF" w:themeColor="background1"/>
            </w:tcBorders>
            <w:noWrap/>
            <w:vAlign w:val="bottom"/>
            <w:hideMark/>
          </w:tcPr>
          <w:p w14:paraId="796B8F0D" w14:textId="77777777" w:rsidR="00540F46" w:rsidRPr="00D30389" w:rsidRDefault="00540F46" w:rsidP="00E01559">
            <w:pPr>
              <w:pStyle w:val="PTableHeading"/>
              <w:rPr>
                <w:rFonts w:ascii="Arial Narrow" w:hAnsi="Arial Narrow"/>
                <w:sz w:val="22"/>
              </w:rPr>
            </w:pPr>
            <w:r w:rsidRPr="00D30389">
              <w:rPr>
                <w:rFonts w:ascii="Arial Narrow" w:hAnsi="Arial Narrow"/>
                <w:sz w:val="22"/>
              </w:rPr>
              <w:t>Mean Diff</w:t>
            </w:r>
          </w:p>
        </w:tc>
        <w:tc>
          <w:tcPr>
            <w:tcW w:w="759" w:type="dxa"/>
            <w:tcBorders>
              <w:top w:val="single" w:sz="4" w:space="0" w:color="FFFFFF" w:themeColor="background1"/>
            </w:tcBorders>
            <w:noWrap/>
            <w:vAlign w:val="bottom"/>
            <w:hideMark/>
          </w:tcPr>
          <w:p w14:paraId="796B8F0E" w14:textId="77777777" w:rsidR="00540F46" w:rsidRPr="00D30389" w:rsidRDefault="00540F46" w:rsidP="00E01559">
            <w:pPr>
              <w:pStyle w:val="PTableHeading"/>
              <w:rPr>
                <w:rFonts w:ascii="Arial Narrow" w:hAnsi="Arial Narrow"/>
                <w:sz w:val="22"/>
              </w:rPr>
            </w:pPr>
            <w:r w:rsidRPr="00D30389">
              <w:rPr>
                <w:rFonts w:ascii="Arial Narrow" w:hAnsi="Arial Narrow"/>
                <w:sz w:val="22"/>
              </w:rPr>
              <w:t>ES</w:t>
            </w:r>
          </w:p>
        </w:tc>
      </w:tr>
      <w:tr w:rsidR="00101D3E" w:rsidRPr="00D30389" w14:paraId="796B8F15" w14:textId="77777777" w:rsidTr="0067323B">
        <w:tc>
          <w:tcPr>
            <w:tcW w:w="4454" w:type="dxa"/>
            <w:noWrap/>
            <w:hideMark/>
          </w:tcPr>
          <w:p w14:paraId="796B8F10" w14:textId="77777777" w:rsidR="00101D3E" w:rsidRPr="00D30389" w:rsidRDefault="00101D3E" w:rsidP="00E01559">
            <w:pPr>
              <w:pStyle w:val="PTableText"/>
              <w:jc w:val="center"/>
              <w:rPr>
                <w:rFonts w:ascii="Arial Narrow" w:hAnsi="Arial Narrow"/>
                <w:sz w:val="22"/>
              </w:rPr>
            </w:pPr>
            <w:r w:rsidRPr="00D30389">
              <w:rPr>
                <w:rFonts w:ascii="Arial Narrow" w:hAnsi="Arial Narrow"/>
                <w:sz w:val="22"/>
              </w:rPr>
              <w:t>20</w:t>
            </w:r>
          </w:p>
        </w:tc>
        <w:tc>
          <w:tcPr>
            <w:tcW w:w="1694" w:type="dxa"/>
            <w:noWrap/>
            <w:hideMark/>
          </w:tcPr>
          <w:p w14:paraId="796B8F11" w14:textId="77777777" w:rsidR="00101D3E" w:rsidRPr="00D30389" w:rsidRDefault="00101D3E" w:rsidP="00E01559">
            <w:pPr>
              <w:pStyle w:val="PTableText"/>
              <w:jc w:val="center"/>
              <w:rPr>
                <w:rFonts w:ascii="Arial Narrow" w:hAnsi="Arial Narrow"/>
                <w:sz w:val="22"/>
              </w:rPr>
            </w:pPr>
            <w:r w:rsidRPr="00D30389">
              <w:rPr>
                <w:rFonts w:ascii="Arial Narrow" w:hAnsi="Arial Narrow"/>
                <w:sz w:val="22"/>
              </w:rPr>
              <w:t>9.5</w:t>
            </w:r>
          </w:p>
        </w:tc>
        <w:tc>
          <w:tcPr>
            <w:tcW w:w="759" w:type="dxa"/>
            <w:noWrap/>
            <w:hideMark/>
          </w:tcPr>
          <w:p w14:paraId="796B8F12" w14:textId="77777777" w:rsidR="00101D3E" w:rsidRPr="00D30389" w:rsidRDefault="00101D3E" w:rsidP="00E01559">
            <w:pPr>
              <w:pStyle w:val="PTableText"/>
              <w:jc w:val="center"/>
              <w:rPr>
                <w:rFonts w:ascii="Arial Narrow" w:hAnsi="Arial Narrow"/>
                <w:sz w:val="22"/>
              </w:rPr>
            </w:pPr>
            <w:r w:rsidRPr="00D30389">
              <w:rPr>
                <w:rFonts w:ascii="Arial Narrow" w:hAnsi="Arial Narrow"/>
                <w:sz w:val="22"/>
              </w:rPr>
              <w:t>0.63</w:t>
            </w:r>
          </w:p>
        </w:tc>
        <w:tc>
          <w:tcPr>
            <w:tcW w:w="1694" w:type="dxa"/>
            <w:noWrap/>
            <w:hideMark/>
          </w:tcPr>
          <w:p w14:paraId="796B8F13" w14:textId="77777777" w:rsidR="00101D3E" w:rsidRPr="00D30389" w:rsidRDefault="00101D3E" w:rsidP="00E01559">
            <w:pPr>
              <w:pStyle w:val="PTableText"/>
              <w:jc w:val="center"/>
              <w:rPr>
                <w:rFonts w:ascii="Arial Narrow" w:hAnsi="Arial Narrow"/>
                <w:sz w:val="22"/>
              </w:rPr>
            </w:pPr>
            <w:r w:rsidRPr="00D30389">
              <w:rPr>
                <w:rFonts w:ascii="Arial Narrow" w:hAnsi="Arial Narrow"/>
                <w:sz w:val="22"/>
              </w:rPr>
              <w:t>15.8</w:t>
            </w:r>
          </w:p>
        </w:tc>
        <w:tc>
          <w:tcPr>
            <w:tcW w:w="759" w:type="dxa"/>
            <w:noWrap/>
            <w:hideMark/>
          </w:tcPr>
          <w:p w14:paraId="796B8F14" w14:textId="77777777" w:rsidR="00101D3E" w:rsidRPr="00D30389" w:rsidRDefault="00101D3E" w:rsidP="00E01559">
            <w:pPr>
              <w:pStyle w:val="PTableText"/>
              <w:jc w:val="center"/>
              <w:rPr>
                <w:rFonts w:ascii="Arial Narrow" w:hAnsi="Arial Narrow"/>
                <w:sz w:val="22"/>
              </w:rPr>
            </w:pPr>
            <w:r w:rsidRPr="00D30389">
              <w:rPr>
                <w:rFonts w:ascii="Arial Narrow" w:hAnsi="Arial Narrow"/>
                <w:sz w:val="22"/>
              </w:rPr>
              <w:t>0.63</w:t>
            </w:r>
          </w:p>
        </w:tc>
      </w:tr>
      <w:tr w:rsidR="00101D3E" w:rsidRPr="00D30389" w14:paraId="796B8F1B" w14:textId="77777777" w:rsidTr="0067323B">
        <w:tc>
          <w:tcPr>
            <w:tcW w:w="4454" w:type="dxa"/>
            <w:noWrap/>
            <w:hideMark/>
          </w:tcPr>
          <w:p w14:paraId="796B8F16" w14:textId="77777777" w:rsidR="00101D3E" w:rsidRPr="00D30389" w:rsidRDefault="00101D3E" w:rsidP="00E01559">
            <w:pPr>
              <w:pStyle w:val="PTableText"/>
              <w:jc w:val="center"/>
              <w:rPr>
                <w:rFonts w:ascii="Arial Narrow" w:hAnsi="Arial Narrow"/>
                <w:sz w:val="22"/>
              </w:rPr>
            </w:pPr>
            <w:r w:rsidRPr="00D30389">
              <w:rPr>
                <w:rFonts w:ascii="Arial Narrow" w:hAnsi="Arial Narrow"/>
                <w:sz w:val="22"/>
              </w:rPr>
              <w:t>50</w:t>
            </w:r>
          </w:p>
        </w:tc>
        <w:tc>
          <w:tcPr>
            <w:tcW w:w="1694" w:type="dxa"/>
            <w:noWrap/>
            <w:hideMark/>
          </w:tcPr>
          <w:p w14:paraId="796B8F17" w14:textId="77777777" w:rsidR="00101D3E" w:rsidRPr="00D30389" w:rsidRDefault="00101D3E" w:rsidP="00E01559">
            <w:pPr>
              <w:pStyle w:val="PTableText"/>
              <w:jc w:val="center"/>
              <w:rPr>
                <w:rFonts w:ascii="Arial Narrow" w:hAnsi="Arial Narrow"/>
                <w:sz w:val="22"/>
              </w:rPr>
            </w:pPr>
            <w:r w:rsidRPr="00D30389">
              <w:rPr>
                <w:rFonts w:ascii="Arial Narrow" w:hAnsi="Arial Narrow"/>
                <w:sz w:val="22"/>
              </w:rPr>
              <w:t>6.0</w:t>
            </w:r>
          </w:p>
        </w:tc>
        <w:tc>
          <w:tcPr>
            <w:tcW w:w="759" w:type="dxa"/>
            <w:noWrap/>
            <w:hideMark/>
          </w:tcPr>
          <w:p w14:paraId="796B8F18" w14:textId="77777777" w:rsidR="00101D3E" w:rsidRPr="00D30389" w:rsidRDefault="00101D3E" w:rsidP="00E01559">
            <w:pPr>
              <w:pStyle w:val="PTableText"/>
              <w:jc w:val="center"/>
              <w:rPr>
                <w:rFonts w:ascii="Arial Narrow" w:hAnsi="Arial Narrow"/>
                <w:sz w:val="22"/>
              </w:rPr>
            </w:pPr>
            <w:r w:rsidRPr="00D30389">
              <w:rPr>
                <w:rFonts w:ascii="Arial Narrow" w:hAnsi="Arial Narrow"/>
                <w:sz w:val="22"/>
              </w:rPr>
              <w:t>0.40</w:t>
            </w:r>
          </w:p>
        </w:tc>
        <w:tc>
          <w:tcPr>
            <w:tcW w:w="1694" w:type="dxa"/>
            <w:noWrap/>
            <w:hideMark/>
          </w:tcPr>
          <w:p w14:paraId="796B8F19" w14:textId="77777777" w:rsidR="00101D3E" w:rsidRPr="00D30389" w:rsidRDefault="00101D3E" w:rsidP="00E01559">
            <w:pPr>
              <w:pStyle w:val="PTableText"/>
              <w:jc w:val="center"/>
              <w:rPr>
                <w:rFonts w:ascii="Arial Narrow" w:hAnsi="Arial Narrow"/>
                <w:sz w:val="22"/>
              </w:rPr>
            </w:pPr>
            <w:r w:rsidRPr="00D30389">
              <w:rPr>
                <w:rFonts w:ascii="Arial Narrow" w:hAnsi="Arial Narrow"/>
                <w:sz w:val="22"/>
              </w:rPr>
              <w:t>10.0</w:t>
            </w:r>
          </w:p>
        </w:tc>
        <w:tc>
          <w:tcPr>
            <w:tcW w:w="759" w:type="dxa"/>
            <w:noWrap/>
            <w:hideMark/>
          </w:tcPr>
          <w:p w14:paraId="796B8F1A" w14:textId="77777777" w:rsidR="00101D3E" w:rsidRPr="00D30389" w:rsidRDefault="00101D3E" w:rsidP="00E01559">
            <w:pPr>
              <w:pStyle w:val="PTableText"/>
              <w:jc w:val="center"/>
              <w:rPr>
                <w:rFonts w:ascii="Arial Narrow" w:hAnsi="Arial Narrow"/>
                <w:sz w:val="22"/>
              </w:rPr>
            </w:pPr>
            <w:r w:rsidRPr="00D30389">
              <w:rPr>
                <w:rFonts w:ascii="Arial Narrow" w:hAnsi="Arial Narrow"/>
                <w:sz w:val="22"/>
              </w:rPr>
              <w:t>0.40</w:t>
            </w:r>
          </w:p>
        </w:tc>
      </w:tr>
      <w:tr w:rsidR="00101D3E" w:rsidRPr="00D30389" w14:paraId="796B8F21" w14:textId="77777777" w:rsidTr="0067323B">
        <w:tc>
          <w:tcPr>
            <w:tcW w:w="4454" w:type="dxa"/>
            <w:noWrap/>
            <w:hideMark/>
          </w:tcPr>
          <w:p w14:paraId="796B8F1C" w14:textId="77777777" w:rsidR="00101D3E" w:rsidRPr="00D30389" w:rsidRDefault="00101D3E" w:rsidP="00E01559">
            <w:pPr>
              <w:pStyle w:val="PTableText"/>
              <w:jc w:val="center"/>
              <w:rPr>
                <w:rFonts w:ascii="Arial Narrow" w:hAnsi="Arial Narrow"/>
                <w:sz w:val="22"/>
              </w:rPr>
            </w:pPr>
            <w:r w:rsidRPr="00D30389">
              <w:rPr>
                <w:rFonts w:ascii="Arial Narrow" w:hAnsi="Arial Narrow"/>
                <w:sz w:val="22"/>
              </w:rPr>
              <w:t>100</w:t>
            </w:r>
          </w:p>
        </w:tc>
        <w:tc>
          <w:tcPr>
            <w:tcW w:w="1694" w:type="dxa"/>
            <w:noWrap/>
            <w:hideMark/>
          </w:tcPr>
          <w:p w14:paraId="796B8F1D" w14:textId="77777777" w:rsidR="00101D3E" w:rsidRPr="00D30389" w:rsidRDefault="00101D3E" w:rsidP="00E01559">
            <w:pPr>
              <w:pStyle w:val="PTableText"/>
              <w:jc w:val="center"/>
              <w:rPr>
                <w:rFonts w:ascii="Arial Narrow" w:hAnsi="Arial Narrow"/>
                <w:sz w:val="22"/>
              </w:rPr>
            </w:pPr>
            <w:r w:rsidRPr="00D30389">
              <w:rPr>
                <w:rFonts w:ascii="Arial Narrow" w:hAnsi="Arial Narrow"/>
                <w:sz w:val="22"/>
              </w:rPr>
              <w:t>4.2</w:t>
            </w:r>
          </w:p>
        </w:tc>
        <w:tc>
          <w:tcPr>
            <w:tcW w:w="759" w:type="dxa"/>
            <w:noWrap/>
            <w:hideMark/>
          </w:tcPr>
          <w:p w14:paraId="796B8F1E" w14:textId="77777777" w:rsidR="00101D3E" w:rsidRPr="00D30389" w:rsidRDefault="00101D3E" w:rsidP="00E01559">
            <w:pPr>
              <w:pStyle w:val="PTableText"/>
              <w:jc w:val="center"/>
              <w:rPr>
                <w:rFonts w:ascii="Arial Narrow" w:hAnsi="Arial Narrow"/>
                <w:sz w:val="22"/>
              </w:rPr>
            </w:pPr>
            <w:r w:rsidRPr="00D30389">
              <w:rPr>
                <w:rFonts w:ascii="Arial Narrow" w:hAnsi="Arial Narrow"/>
                <w:sz w:val="22"/>
              </w:rPr>
              <w:t>0.28</w:t>
            </w:r>
          </w:p>
        </w:tc>
        <w:tc>
          <w:tcPr>
            <w:tcW w:w="1694" w:type="dxa"/>
            <w:noWrap/>
            <w:hideMark/>
          </w:tcPr>
          <w:p w14:paraId="796B8F1F" w14:textId="77777777" w:rsidR="00101D3E" w:rsidRPr="00D30389" w:rsidRDefault="00101D3E" w:rsidP="00E01559">
            <w:pPr>
              <w:pStyle w:val="PTableText"/>
              <w:jc w:val="center"/>
              <w:rPr>
                <w:rFonts w:ascii="Arial Narrow" w:hAnsi="Arial Narrow"/>
                <w:sz w:val="22"/>
              </w:rPr>
            </w:pPr>
            <w:r w:rsidRPr="00D30389">
              <w:rPr>
                <w:rFonts w:ascii="Arial Narrow" w:hAnsi="Arial Narrow"/>
                <w:sz w:val="22"/>
              </w:rPr>
              <w:t>7.1</w:t>
            </w:r>
          </w:p>
        </w:tc>
        <w:tc>
          <w:tcPr>
            <w:tcW w:w="759" w:type="dxa"/>
            <w:noWrap/>
            <w:hideMark/>
          </w:tcPr>
          <w:p w14:paraId="796B8F20" w14:textId="77777777" w:rsidR="00101D3E" w:rsidRPr="00D30389" w:rsidRDefault="00101D3E" w:rsidP="00E01559">
            <w:pPr>
              <w:pStyle w:val="PTableText"/>
              <w:jc w:val="center"/>
              <w:rPr>
                <w:rFonts w:ascii="Arial Narrow" w:hAnsi="Arial Narrow"/>
                <w:sz w:val="22"/>
              </w:rPr>
            </w:pPr>
            <w:r w:rsidRPr="00D30389">
              <w:rPr>
                <w:rFonts w:ascii="Arial Narrow" w:hAnsi="Arial Narrow"/>
                <w:sz w:val="22"/>
              </w:rPr>
              <w:t>0.28</w:t>
            </w:r>
          </w:p>
        </w:tc>
      </w:tr>
      <w:tr w:rsidR="00101D3E" w:rsidRPr="00D30389" w14:paraId="796B8F27" w14:textId="77777777" w:rsidTr="0067323B">
        <w:tc>
          <w:tcPr>
            <w:tcW w:w="4454" w:type="dxa"/>
            <w:noWrap/>
            <w:hideMark/>
          </w:tcPr>
          <w:p w14:paraId="796B8F22" w14:textId="77777777" w:rsidR="00101D3E" w:rsidRPr="00D30389" w:rsidRDefault="00101D3E" w:rsidP="00E01559">
            <w:pPr>
              <w:pStyle w:val="PTableText"/>
              <w:jc w:val="center"/>
              <w:rPr>
                <w:rFonts w:ascii="Arial Narrow" w:hAnsi="Arial Narrow"/>
                <w:sz w:val="22"/>
              </w:rPr>
            </w:pPr>
            <w:r w:rsidRPr="00D30389">
              <w:rPr>
                <w:rFonts w:ascii="Arial Narrow" w:hAnsi="Arial Narrow"/>
                <w:sz w:val="22"/>
              </w:rPr>
              <w:t>150</w:t>
            </w:r>
          </w:p>
        </w:tc>
        <w:tc>
          <w:tcPr>
            <w:tcW w:w="1694" w:type="dxa"/>
            <w:noWrap/>
            <w:hideMark/>
          </w:tcPr>
          <w:p w14:paraId="796B8F23" w14:textId="77777777" w:rsidR="00101D3E" w:rsidRPr="00D30389" w:rsidRDefault="00101D3E" w:rsidP="00E01559">
            <w:pPr>
              <w:pStyle w:val="PTableText"/>
              <w:jc w:val="center"/>
              <w:rPr>
                <w:rFonts w:ascii="Arial Narrow" w:hAnsi="Arial Narrow"/>
                <w:sz w:val="22"/>
              </w:rPr>
            </w:pPr>
            <w:r w:rsidRPr="00D30389">
              <w:rPr>
                <w:rFonts w:ascii="Arial Narrow" w:hAnsi="Arial Narrow"/>
                <w:sz w:val="22"/>
              </w:rPr>
              <w:t>3.5</w:t>
            </w:r>
          </w:p>
        </w:tc>
        <w:tc>
          <w:tcPr>
            <w:tcW w:w="759" w:type="dxa"/>
            <w:noWrap/>
            <w:hideMark/>
          </w:tcPr>
          <w:p w14:paraId="796B8F24" w14:textId="77777777" w:rsidR="00101D3E" w:rsidRPr="00D30389" w:rsidRDefault="00101D3E" w:rsidP="00E01559">
            <w:pPr>
              <w:pStyle w:val="PTableText"/>
              <w:jc w:val="center"/>
              <w:rPr>
                <w:rFonts w:ascii="Arial Narrow" w:hAnsi="Arial Narrow"/>
                <w:sz w:val="22"/>
              </w:rPr>
            </w:pPr>
            <w:r w:rsidRPr="00D30389">
              <w:rPr>
                <w:rFonts w:ascii="Arial Narrow" w:hAnsi="Arial Narrow"/>
                <w:sz w:val="22"/>
              </w:rPr>
              <w:t>0.23</w:t>
            </w:r>
          </w:p>
        </w:tc>
        <w:tc>
          <w:tcPr>
            <w:tcW w:w="1694" w:type="dxa"/>
            <w:noWrap/>
            <w:hideMark/>
          </w:tcPr>
          <w:p w14:paraId="796B8F25" w14:textId="77777777" w:rsidR="00101D3E" w:rsidRPr="00D30389" w:rsidRDefault="00101D3E" w:rsidP="00E01559">
            <w:pPr>
              <w:pStyle w:val="PTableText"/>
              <w:jc w:val="center"/>
              <w:rPr>
                <w:rFonts w:ascii="Arial Narrow" w:hAnsi="Arial Narrow"/>
                <w:sz w:val="22"/>
              </w:rPr>
            </w:pPr>
            <w:r w:rsidRPr="00D30389">
              <w:rPr>
                <w:rFonts w:ascii="Arial Narrow" w:hAnsi="Arial Narrow"/>
                <w:sz w:val="22"/>
              </w:rPr>
              <w:t>5.8</w:t>
            </w:r>
          </w:p>
        </w:tc>
        <w:tc>
          <w:tcPr>
            <w:tcW w:w="759" w:type="dxa"/>
            <w:noWrap/>
            <w:hideMark/>
          </w:tcPr>
          <w:p w14:paraId="796B8F26" w14:textId="77777777" w:rsidR="00101D3E" w:rsidRPr="00D30389" w:rsidRDefault="00101D3E" w:rsidP="00E01559">
            <w:pPr>
              <w:pStyle w:val="PTableText"/>
              <w:jc w:val="center"/>
              <w:rPr>
                <w:rFonts w:ascii="Arial Narrow" w:hAnsi="Arial Narrow"/>
                <w:sz w:val="22"/>
              </w:rPr>
            </w:pPr>
            <w:r w:rsidRPr="00D30389">
              <w:rPr>
                <w:rFonts w:ascii="Arial Narrow" w:hAnsi="Arial Narrow"/>
                <w:sz w:val="22"/>
              </w:rPr>
              <w:t>0.23</w:t>
            </w:r>
          </w:p>
        </w:tc>
      </w:tr>
      <w:tr w:rsidR="00101D3E" w:rsidRPr="00D30389" w14:paraId="796B8F2D" w14:textId="77777777" w:rsidTr="0067323B">
        <w:tc>
          <w:tcPr>
            <w:tcW w:w="4454" w:type="dxa"/>
            <w:noWrap/>
            <w:hideMark/>
          </w:tcPr>
          <w:p w14:paraId="796B8F28" w14:textId="77777777" w:rsidR="00101D3E" w:rsidRPr="00D30389" w:rsidRDefault="00101D3E" w:rsidP="00E01559">
            <w:pPr>
              <w:pStyle w:val="PTableText"/>
              <w:jc w:val="center"/>
              <w:rPr>
                <w:rFonts w:ascii="Arial Narrow" w:hAnsi="Arial Narrow"/>
                <w:sz w:val="22"/>
              </w:rPr>
            </w:pPr>
            <w:r w:rsidRPr="00D30389">
              <w:rPr>
                <w:rFonts w:ascii="Arial Narrow" w:hAnsi="Arial Narrow"/>
                <w:sz w:val="22"/>
              </w:rPr>
              <w:t>200</w:t>
            </w:r>
          </w:p>
        </w:tc>
        <w:tc>
          <w:tcPr>
            <w:tcW w:w="1694" w:type="dxa"/>
            <w:noWrap/>
            <w:hideMark/>
          </w:tcPr>
          <w:p w14:paraId="796B8F29" w14:textId="77777777" w:rsidR="00101D3E" w:rsidRPr="00D30389" w:rsidRDefault="00101D3E" w:rsidP="00E01559">
            <w:pPr>
              <w:pStyle w:val="PTableText"/>
              <w:jc w:val="center"/>
              <w:rPr>
                <w:rFonts w:ascii="Arial Narrow" w:hAnsi="Arial Narrow"/>
                <w:sz w:val="22"/>
              </w:rPr>
            </w:pPr>
            <w:r w:rsidRPr="00D30389">
              <w:rPr>
                <w:rFonts w:ascii="Arial Narrow" w:hAnsi="Arial Narrow"/>
                <w:sz w:val="22"/>
              </w:rPr>
              <w:t>3.0</w:t>
            </w:r>
          </w:p>
        </w:tc>
        <w:tc>
          <w:tcPr>
            <w:tcW w:w="759" w:type="dxa"/>
            <w:noWrap/>
            <w:hideMark/>
          </w:tcPr>
          <w:p w14:paraId="796B8F2A" w14:textId="77777777" w:rsidR="00101D3E" w:rsidRPr="00D30389" w:rsidRDefault="00101D3E" w:rsidP="00E01559">
            <w:pPr>
              <w:pStyle w:val="PTableText"/>
              <w:jc w:val="center"/>
              <w:rPr>
                <w:rFonts w:ascii="Arial Narrow" w:hAnsi="Arial Narrow"/>
                <w:sz w:val="22"/>
              </w:rPr>
            </w:pPr>
            <w:r w:rsidRPr="00D30389">
              <w:rPr>
                <w:rFonts w:ascii="Arial Narrow" w:hAnsi="Arial Narrow"/>
                <w:sz w:val="22"/>
              </w:rPr>
              <w:t>0.20</w:t>
            </w:r>
          </w:p>
        </w:tc>
        <w:tc>
          <w:tcPr>
            <w:tcW w:w="1694" w:type="dxa"/>
            <w:noWrap/>
            <w:hideMark/>
          </w:tcPr>
          <w:p w14:paraId="796B8F2B" w14:textId="77777777" w:rsidR="00101D3E" w:rsidRPr="00D30389" w:rsidRDefault="00101D3E" w:rsidP="00E01559">
            <w:pPr>
              <w:pStyle w:val="PTableText"/>
              <w:jc w:val="center"/>
              <w:rPr>
                <w:rFonts w:ascii="Arial Narrow" w:hAnsi="Arial Narrow"/>
                <w:sz w:val="22"/>
              </w:rPr>
            </w:pPr>
            <w:r w:rsidRPr="00D30389">
              <w:rPr>
                <w:rFonts w:ascii="Arial Narrow" w:hAnsi="Arial Narrow"/>
                <w:sz w:val="22"/>
              </w:rPr>
              <w:t>5.0</w:t>
            </w:r>
          </w:p>
        </w:tc>
        <w:tc>
          <w:tcPr>
            <w:tcW w:w="759" w:type="dxa"/>
            <w:noWrap/>
            <w:hideMark/>
          </w:tcPr>
          <w:p w14:paraId="796B8F2C" w14:textId="77777777" w:rsidR="00101D3E" w:rsidRPr="00D30389" w:rsidRDefault="00101D3E" w:rsidP="00E01559">
            <w:pPr>
              <w:pStyle w:val="PTableText"/>
              <w:jc w:val="center"/>
              <w:rPr>
                <w:rFonts w:ascii="Arial Narrow" w:hAnsi="Arial Narrow"/>
                <w:sz w:val="22"/>
              </w:rPr>
            </w:pPr>
            <w:r w:rsidRPr="00D30389">
              <w:rPr>
                <w:rFonts w:ascii="Arial Narrow" w:hAnsi="Arial Narrow"/>
                <w:sz w:val="22"/>
              </w:rPr>
              <w:t>0.20</w:t>
            </w:r>
          </w:p>
        </w:tc>
      </w:tr>
      <w:tr w:rsidR="00101D3E" w:rsidRPr="00D30389" w14:paraId="796B8F33" w14:textId="77777777" w:rsidTr="0067323B">
        <w:tc>
          <w:tcPr>
            <w:tcW w:w="4454" w:type="dxa"/>
            <w:noWrap/>
            <w:hideMark/>
          </w:tcPr>
          <w:p w14:paraId="796B8F2E" w14:textId="77777777" w:rsidR="00101D3E" w:rsidRPr="00D30389" w:rsidRDefault="00101D3E" w:rsidP="00E01559">
            <w:pPr>
              <w:pStyle w:val="PTableText"/>
              <w:jc w:val="center"/>
              <w:rPr>
                <w:rFonts w:ascii="Arial Narrow" w:hAnsi="Arial Narrow"/>
                <w:sz w:val="22"/>
              </w:rPr>
            </w:pPr>
            <w:r w:rsidRPr="00D30389">
              <w:rPr>
                <w:rFonts w:ascii="Arial Narrow" w:hAnsi="Arial Narrow"/>
                <w:sz w:val="22"/>
              </w:rPr>
              <w:t>300</w:t>
            </w:r>
          </w:p>
        </w:tc>
        <w:tc>
          <w:tcPr>
            <w:tcW w:w="1694" w:type="dxa"/>
            <w:noWrap/>
            <w:hideMark/>
          </w:tcPr>
          <w:p w14:paraId="796B8F2F" w14:textId="77777777" w:rsidR="00101D3E" w:rsidRPr="00D30389" w:rsidRDefault="00101D3E" w:rsidP="00E01559">
            <w:pPr>
              <w:pStyle w:val="PTableText"/>
              <w:jc w:val="center"/>
              <w:rPr>
                <w:rFonts w:ascii="Arial Narrow" w:hAnsi="Arial Narrow"/>
                <w:sz w:val="22"/>
              </w:rPr>
            </w:pPr>
            <w:r w:rsidRPr="00D30389">
              <w:rPr>
                <w:rFonts w:ascii="Arial Narrow" w:hAnsi="Arial Narrow"/>
                <w:sz w:val="22"/>
              </w:rPr>
              <w:t>2.5</w:t>
            </w:r>
          </w:p>
        </w:tc>
        <w:tc>
          <w:tcPr>
            <w:tcW w:w="759" w:type="dxa"/>
            <w:noWrap/>
            <w:hideMark/>
          </w:tcPr>
          <w:p w14:paraId="796B8F30" w14:textId="77777777" w:rsidR="00101D3E" w:rsidRPr="00D30389" w:rsidRDefault="00101D3E" w:rsidP="00E01559">
            <w:pPr>
              <w:pStyle w:val="PTableText"/>
              <w:jc w:val="center"/>
              <w:rPr>
                <w:rFonts w:ascii="Arial Narrow" w:hAnsi="Arial Narrow"/>
                <w:sz w:val="22"/>
              </w:rPr>
            </w:pPr>
            <w:r w:rsidRPr="00D30389">
              <w:rPr>
                <w:rFonts w:ascii="Arial Narrow" w:hAnsi="Arial Narrow"/>
                <w:sz w:val="22"/>
              </w:rPr>
              <w:t>0.16</w:t>
            </w:r>
          </w:p>
        </w:tc>
        <w:tc>
          <w:tcPr>
            <w:tcW w:w="1694" w:type="dxa"/>
            <w:noWrap/>
            <w:hideMark/>
          </w:tcPr>
          <w:p w14:paraId="796B8F31" w14:textId="77777777" w:rsidR="00101D3E" w:rsidRPr="00D30389" w:rsidRDefault="00101D3E" w:rsidP="00E01559">
            <w:pPr>
              <w:pStyle w:val="PTableText"/>
              <w:jc w:val="center"/>
              <w:rPr>
                <w:rFonts w:ascii="Arial Narrow" w:hAnsi="Arial Narrow"/>
                <w:sz w:val="22"/>
              </w:rPr>
            </w:pPr>
            <w:r w:rsidRPr="00D30389">
              <w:rPr>
                <w:rFonts w:ascii="Arial Narrow" w:hAnsi="Arial Narrow"/>
                <w:sz w:val="22"/>
              </w:rPr>
              <w:t>4.1</w:t>
            </w:r>
          </w:p>
        </w:tc>
        <w:tc>
          <w:tcPr>
            <w:tcW w:w="759" w:type="dxa"/>
            <w:noWrap/>
            <w:hideMark/>
          </w:tcPr>
          <w:p w14:paraId="796B8F32" w14:textId="77777777" w:rsidR="00101D3E" w:rsidRPr="00D30389" w:rsidRDefault="00101D3E" w:rsidP="00E01559">
            <w:pPr>
              <w:pStyle w:val="PTableText"/>
              <w:jc w:val="center"/>
              <w:rPr>
                <w:rFonts w:ascii="Arial Narrow" w:hAnsi="Arial Narrow"/>
                <w:sz w:val="22"/>
              </w:rPr>
            </w:pPr>
            <w:r w:rsidRPr="00D30389">
              <w:rPr>
                <w:rFonts w:ascii="Arial Narrow" w:hAnsi="Arial Narrow"/>
                <w:sz w:val="22"/>
              </w:rPr>
              <w:t>0.16</w:t>
            </w:r>
          </w:p>
        </w:tc>
      </w:tr>
      <w:tr w:rsidR="00101D3E" w:rsidRPr="00D30389" w14:paraId="796B8F39" w14:textId="77777777" w:rsidTr="0067323B">
        <w:tc>
          <w:tcPr>
            <w:tcW w:w="4454" w:type="dxa"/>
            <w:noWrap/>
            <w:hideMark/>
          </w:tcPr>
          <w:p w14:paraId="796B8F34" w14:textId="77777777" w:rsidR="00101D3E" w:rsidRPr="00D30389" w:rsidRDefault="00101D3E" w:rsidP="00E01559">
            <w:pPr>
              <w:pStyle w:val="PTableText"/>
              <w:jc w:val="center"/>
              <w:rPr>
                <w:rFonts w:ascii="Arial Narrow" w:hAnsi="Arial Narrow"/>
                <w:sz w:val="22"/>
              </w:rPr>
            </w:pPr>
            <w:r w:rsidRPr="00D30389">
              <w:rPr>
                <w:rFonts w:ascii="Arial Narrow" w:hAnsi="Arial Narrow"/>
                <w:sz w:val="22"/>
              </w:rPr>
              <w:t>500</w:t>
            </w:r>
          </w:p>
        </w:tc>
        <w:tc>
          <w:tcPr>
            <w:tcW w:w="1694" w:type="dxa"/>
            <w:noWrap/>
            <w:hideMark/>
          </w:tcPr>
          <w:p w14:paraId="796B8F35" w14:textId="77777777" w:rsidR="00101D3E" w:rsidRPr="00D30389" w:rsidRDefault="00101D3E" w:rsidP="00E01559">
            <w:pPr>
              <w:pStyle w:val="PTableText"/>
              <w:jc w:val="center"/>
              <w:rPr>
                <w:rFonts w:ascii="Arial Narrow" w:hAnsi="Arial Narrow"/>
                <w:sz w:val="22"/>
              </w:rPr>
            </w:pPr>
            <w:r w:rsidRPr="00D30389">
              <w:rPr>
                <w:rFonts w:ascii="Arial Narrow" w:hAnsi="Arial Narrow"/>
                <w:sz w:val="22"/>
              </w:rPr>
              <w:t>1.9</w:t>
            </w:r>
          </w:p>
        </w:tc>
        <w:tc>
          <w:tcPr>
            <w:tcW w:w="759" w:type="dxa"/>
            <w:noWrap/>
            <w:hideMark/>
          </w:tcPr>
          <w:p w14:paraId="796B8F36" w14:textId="77777777" w:rsidR="00101D3E" w:rsidRPr="00D30389" w:rsidRDefault="00101D3E" w:rsidP="00E01559">
            <w:pPr>
              <w:pStyle w:val="PTableText"/>
              <w:jc w:val="center"/>
              <w:rPr>
                <w:rFonts w:ascii="Arial Narrow" w:hAnsi="Arial Narrow"/>
                <w:sz w:val="22"/>
              </w:rPr>
            </w:pPr>
            <w:r w:rsidRPr="00D30389">
              <w:rPr>
                <w:rFonts w:ascii="Arial Narrow" w:hAnsi="Arial Narrow"/>
                <w:sz w:val="22"/>
              </w:rPr>
              <w:t>0.13</w:t>
            </w:r>
          </w:p>
        </w:tc>
        <w:tc>
          <w:tcPr>
            <w:tcW w:w="1694" w:type="dxa"/>
            <w:noWrap/>
            <w:hideMark/>
          </w:tcPr>
          <w:p w14:paraId="796B8F37" w14:textId="77777777" w:rsidR="00101D3E" w:rsidRPr="00D30389" w:rsidRDefault="00101D3E" w:rsidP="00E01559">
            <w:pPr>
              <w:pStyle w:val="PTableText"/>
              <w:jc w:val="center"/>
              <w:rPr>
                <w:rFonts w:ascii="Arial Narrow" w:hAnsi="Arial Narrow"/>
                <w:sz w:val="22"/>
              </w:rPr>
            </w:pPr>
            <w:r w:rsidRPr="00D30389">
              <w:rPr>
                <w:rFonts w:ascii="Arial Narrow" w:hAnsi="Arial Narrow"/>
                <w:sz w:val="22"/>
              </w:rPr>
              <w:t>3.2</w:t>
            </w:r>
          </w:p>
        </w:tc>
        <w:tc>
          <w:tcPr>
            <w:tcW w:w="759" w:type="dxa"/>
            <w:noWrap/>
            <w:hideMark/>
          </w:tcPr>
          <w:p w14:paraId="796B8F38" w14:textId="77777777" w:rsidR="00101D3E" w:rsidRPr="00D30389" w:rsidRDefault="00101D3E" w:rsidP="00E01559">
            <w:pPr>
              <w:pStyle w:val="PTableText"/>
              <w:jc w:val="center"/>
              <w:rPr>
                <w:rFonts w:ascii="Arial Narrow" w:hAnsi="Arial Narrow"/>
                <w:sz w:val="22"/>
              </w:rPr>
            </w:pPr>
            <w:r w:rsidRPr="00D30389">
              <w:rPr>
                <w:rFonts w:ascii="Arial Narrow" w:hAnsi="Arial Narrow"/>
                <w:sz w:val="22"/>
              </w:rPr>
              <w:t>0.13</w:t>
            </w:r>
          </w:p>
        </w:tc>
      </w:tr>
      <w:tr w:rsidR="00101D3E" w:rsidRPr="00D30389" w14:paraId="796B8F3F" w14:textId="77777777" w:rsidTr="0067323B">
        <w:tc>
          <w:tcPr>
            <w:tcW w:w="4454" w:type="dxa"/>
            <w:noWrap/>
            <w:hideMark/>
          </w:tcPr>
          <w:p w14:paraId="796B8F3A" w14:textId="77777777" w:rsidR="00101D3E" w:rsidRPr="00D30389" w:rsidRDefault="00101D3E" w:rsidP="00920667">
            <w:pPr>
              <w:pStyle w:val="PTableText"/>
              <w:jc w:val="center"/>
              <w:rPr>
                <w:rFonts w:ascii="Arial Narrow" w:hAnsi="Arial Narrow"/>
                <w:sz w:val="22"/>
              </w:rPr>
            </w:pPr>
            <w:r w:rsidRPr="00D30389">
              <w:rPr>
                <w:rFonts w:ascii="Arial Narrow" w:hAnsi="Arial Narrow"/>
                <w:sz w:val="22"/>
              </w:rPr>
              <w:t xml:space="preserve">1,200 </w:t>
            </w:r>
          </w:p>
        </w:tc>
        <w:tc>
          <w:tcPr>
            <w:tcW w:w="1694" w:type="dxa"/>
            <w:noWrap/>
            <w:hideMark/>
          </w:tcPr>
          <w:p w14:paraId="796B8F3B" w14:textId="77777777" w:rsidR="00101D3E" w:rsidRPr="00D30389" w:rsidRDefault="00101D3E" w:rsidP="00E01559">
            <w:pPr>
              <w:pStyle w:val="PTableText"/>
              <w:jc w:val="center"/>
              <w:rPr>
                <w:rFonts w:ascii="Arial Narrow" w:hAnsi="Arial Narrow"/>
                <w:sz w:val="22"/>
              </w:rPr>
            </w:pPr>
            <w:r w:rsidRPr="00D30389">
              <w:rPr>
                <w:rFonts w:ascii="Arial Narrow" w:hAnsi="Arial Narrow"/>
                <w:sz w:val="22"/>
              </w:rPr>
              <w:t>1.2</w:t>
            </w:r>
          </w:p>
        </w:tc>
        <w:tc>
          <w:tcPr>
            <w:tcW w:w="759" w:type="dxa"/>
            <w:noWrap/>
            <w:hideMark/>
          </w:tcPr>
          <w:p w14:paraId="796B8F3C" w14:textId="77777777" w:rsidR="00101D3E" w:rsidRPr="00D30389" w:rsidRDefault="00101D3E" w:rsidP="00E01559">
            <w:pPr>
              <w:pStyle w:val="PTableText"/>
              <w:jc w:val="center"/>
              <w:rPr>
                <w:rFonts w:ascii="Arial Narrow" w:hAnsi="Arial Narrow"/>
                <w:sz w:val="22"/>
              </w:rPr>
            </w:pPr>
            <w:r w:rsidRPr="00D30389">
              <w:rPr>
                <w:rFonts w:ascii="Arial Narrow" w:hAnsi="Arial Narrow"/>
                <w:sz w:val="22"/>
              </w:rPr>
              <w:t>0.08</w:t>
            </w:r>
          </w:p>
        </w:tc>
        <w:tc>
          <w:tcPr>
            <w:tcW w:w="1694" w:type="dxa"/>
            <w:noWrap/>
            <w:hideMark/>
          </w:tcPr>
          <w:p w14:paraId="796B8F3D" w14:textId="77777777" w:rsidR="00101D3E" w:rsidRPr="00D30389" w:rsidRDefault="00101D3E" w:rsidP="00E01559">
            <w:pPr>
              <w:pStyle w:val="PTableText"/>
              <w:jc w:val="center"/>
              <w:rPr>
                <w:rFonts w:ascii="Arial Narrow" w:hAnsi="Arial Narrow"/>
                <w:sz w:val="22"/>
              </w:rPr>
            </w:pPr>
            <w:r w:rsidRPr="00D30389">
              <w:rPr>
                <w:rFonts w:ascii="Arial Narrow" w:hAnsi="Arial Narrow"/>
                <w:sz w:val="22"/>
              </w:rPr>
              <w:t>2.1</w:t>
            </w:r>
          </w:p>
        </w:tc>
        <w:tc>
          <w:tcPr>
            <w:tcW w:w="759" w:type="dxa"/>
            <w:noWrap/>
            <w:hideMark/>
          </w:tcPr>
          <w:p w14:paraId="796B8F3E" w14:textId="77777777" w:rsidR="00101D3E" w:rsidRPr="00D30389" w:rsidRDefault="00101D3E" w:rsidP="00E01559">
            <w:pPr>
              <w:pStyle w:val="PTableText"/>
              <w:jc w:val="center"/>
              <w:rPr>
                <w:rFonts w:ascii="Arial Narrow" w:hAnsi="Arial Narrow"/>
                <w:sz w:val="22"/>
              </w:rPr>
            </w:pPr>
            <w:r w:rsidRPr="00D30389">
              <w:rPr>
                <w:rFonts w:ascii="Arial Narrow" w:hAnsi="Arial Narrow"/>
                <w:sz w:val="22"/>
              </w:rPr>
              <w:t>0.08</w:t>
            </w:r>
          </w:p>
        </w:tc>
      </w:tr>
    </w:tbl>
    <w:p w14:paraId="796B8F40" w14:textId="77777777" w:rsidR="00101D3E" w:rsidRDefault="00CD6E8B" w:rsidP="00E01559">
      <w:pPr>
        <w:pStyle w:val="PTableSource"/>
      </w:pPr>
      <w:r>
        <w:rPr>
          <w:rFonts w:ascii="Calibri" w:hAnsi="Calibri" w:cs="Calibri"/>
        </w:rPr>
        <w:t>†</w:t>
      </w:r>
      <w:r>
        <w:t xml:space="preserve"> A</w:t>
      </w:r>
      <w:r w:rsidRPr="00CD6E8B">
        <w:t>ssumes a balanced design (same number sampled from every entity) and equal variances (single entity variance =  pooled variance)</w:t>
      </w:r>
      <w:r>
        <w:t xml:space="preserve">. </w:t>
      </w:r>
      <w:r w:rsidR="00101D3E">
        <w:t xml:space="preserve">ES = effect size; Mean Diff = difference in means between a single </w:t>
      </w:r>
      <w:r w:rsidR="00B06BDF">
        <w:t>State</w:t>
      </w:r>
      <w:r w:rsidR="00101D3E">
        <w:t xml:space="preserve"> and the mean of all </w:t>
      </w:r>
      <w:r w:rsidR="00B06BDF">
        <w:t>State</w:t>
      </w:r>
      <w:r w:rsidR="00101D3E">
        <w:t>s</w:t>
      </w:r>
    </w:p>
    <w:p w14:paraId="796B8F41" w14:textId="398E6D42" w:rsidR="00101D3E" w:rsidRDefault="009A1813" w:rsidP="00E015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120" w:line="23" w:lineRule="atLeast"/>
      </w:pPr>
      <w:r>
        <w:t>Exhibit</w:t>
      </w:r>
      <w:r w:rsidR="00101D3E">
        <w:t xml:space="preserve"> </w:t>
      </w:r>
      <w:r w:rsidR="008A4041">
        <w:t>B</w:t>
      </w:r>
      <w:r w:rsidR="00D30389">
        <w:t>4</w:t>
      </w:r>
      <w:r w:rsidR="008A4041">
        <w:t xml:space="preserve"> </w:t>
      </w:r>
      <w:r w:rsidR="00101D3E">
        <w:t xml:space="preserve">shows mean differences between a single </w:t>
      </w:r>
      <w:r w:rsidR="00B06BDF">
        <w:t>State</w:t>
      </w:r>
      <w:r w:rsidR="00101D3E">
        <w:t xml:space="preserve"> and the mean of all </w:t>
      </w:r>
      <w:r w:rsidR="00B06BDF">
        <w:t>States</w:t>
      </w:r>
      <w:r w:rsidR="00101D3E">
        <w:t xml:space="preserve"> that could be detected with </w:t>
      </w:r>
      <w:r w:rsidR="00CD6E8B">
        <w:t>a range of completed survey counts</w:t>
      </w:r>
      <w:r w:rsidR="00101D3E">
        <w:t xml:space="preserve"> per </w:t>
      </w:r>
      <w:r w:rsidR="00B06BDF">
        <w:t>State</w:t>
      </w:r>
      <w:r w:rsidR="00101D3E">
        <w:t>, given variances (the Root Mean Square Error) of 15 and 25</w:t>
      </w:r>
      <w:r w:rsidR="000E08DA">
        <w:t>.</w:t>
      </w:r>
      <w:r w:rsidR="00101D3E">
        <w:rPr>
          <w:vertAlign w:val="superscript"/>
        </w:rPr>
        <w:footnoteReference w:id="16"/>
      </w:r>
      <w:r w:rsidR="00101D3E">
        <w:t xml:space="preserve"> Note that when the variance is larger, the mean differences have to be bigger to yield effect sizes of the same magnitude. </w:t>
      </w:r>
    </w:p>
    <w:p w14:paraId="796B8F42" w14:textId="77777777" w:rsidR="00101D3E" w:rsidRDefault="00101D3E" w:rsidP="000D0E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3" w:lineRule="atLeast"/>
      </w:pPr>
      <w:r>
        <w:t xml:space="preserve">As shown, with 300 completes per </w:t>
      </w:r>
      <w:r w:rsidR="00B06BDF">
        <w:t>State</w:t>
      </w:r>
      <w:r w:rsidR="0049501C">
        <w:t>-specific subgroup</w:t>
      </w:r>
      <w:r>
        <w:t xml:space="preserve"> and a variance of 15 points, we would have 80% power (with an alpha of 0.05) to detect a difference of 2.5 points between a single exchange and the overall mean of exchange scores (e.g., 87.5 versus 90). With a wider variance of 25 points, we could detect a difference of just over 4 points (e.g., 68 versus 72). The effect sizes associated with these differences (0.16) are relatively small, and thus a sample size of 300 per </w:t>
      </w:r>
      <w:r w:rsidR="00B06BDF">
        <w:t>State</w:t>
      </w:r>
      <w:r w:rsidR="0049501C">
        <w:t>-specific subgroup</w:t>
      </w:r>
      <w:r>
        <w:t xml:space="preserve"> should be more than sufficient to detect any differences in performance large enough to be relevant. In fact, small effect sizes (0.28) could still be detected with as few as 100 completes per unit. </w:t>
      </w:r>
    </w:p>
    <w:p w14:paraId="796B8F43" w14:textId="5D099AF7" w:rsidR="00101D3E" w:rsidRDefault="00101D3E" w:rsidP="000D0E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3" w:lineRule="atLeast"/>
      </w:pPr>
      <w:r>
        <w:t xml:space="preserve">Moderate effect sizes could be detected with 50 completes per unit (a bit less than the approximate minimum number of completes we could expect in </w:t>
      </w:r>
      <w:r w:rsidR="0049501C">
        <w:t>each</w:t>
      </w:r>
      <w:r>
        <w:t xml:space="preserve"> </w:t>
      </w:r>
      <w:r w:rsidR="000E08DA">
        <w:t xml:space="preserve">state </w:t>
      </w:r>
      <w:r>
        <w:t>for race</w:t>
      </w:r>
      <w:r w:rsidR="0049501C">
        <w:t>, ethnicity, or issuer subgroups</w:t>
      </w:r>
      <w:r>
        <w:t xml:space="preserve"> comprising at least 5% of a </w:t>
      </w:r>
      <w:r w:rsidR="00ED69CC">
        <w:t>Marketplace</w:t>
      </w:r>
      <w:r>
        <w:t xml:space="preserve">’s population). With 1,200 completes per </w:t>
      </w:r>
      <w:r w:rsidR="00223B0E">
        <w:t>State</w:t>
      </w:r>
      <w:r>
        <w:t xml:space="preserve">, mean differences as small as 1.2 to 2.1 points could be detected, assuming variances of 15 or 25 respectively (effect sizes of 0.08, which are very small). </w:t>
      </w:r>
    </w:p>
    <w:p w14:paraId="796B8F45" w14:textId="77777777" w:rsidR="00101D3E" w:rsidRDefault="00101D3E" w:rsidP="00F523A8">
      <w:pPr>
        <w:pStyle w:val="Heading3"/>
      </w:pPr>
      <w:bookmarkStart w:id="90" w:name="_Toc396204802"/>
      <w:r>
        <w:lastRenderedPageBreak/>
        <w:t>1.1.</w:t>
      </w:r>
      <w:r w:rsidR="003307CD">
        <w:t>3</w:t>
      </w:r>
      <w:r w:rsidR="00A639DF">
        <w:tab/>
      </w:r>
      <w:r w:rsidR="00795494">
        <w:t xml:space="preserve">Marketplace </w:t>
      </w:r>
      <w:r w:rsidR="00593758">
        <w:t xml:space="preserve">Survey </w:t>
      </w:r>
      <w:r w:rsidR="00EC616C">
        <w:t>Sampling Methods</w:t>
      </w:r>
      <w:bookmarkEnd w:id="90"/>
    </w:p>
    <w:p w14:paraId="796B8F46" w14:textId="43ECD554" w:rsidR="00EC616C" w:rsidRDefault="00EC616C" w:rsidP="00EC616C">
      <w:pPr>
        <w:pStyle w:val="Heading4"/>
      </w:pPr>
      <w:r>
        <w:t xml:space="preserve">1.1.3.1 </w:t>
      </w:r>
      <w:r w:rsidR="00D97C50">
        <w:t xml:space="preserve">Psychometric </w:t>
      </w:r>
      <w:r>
        <w:t>Test</w:t>
      </w:r>
    </w:p>
    <w:p w14:paraId="796B8F47" w14:textId="6E747296" w:rsidR="00E73CA0" w:rsidRDefault="00E73CA0" w:rsidP="00E73CA0">
      <w:pPr>
        <w:pStyle w:val="PBodyText"/>
      </w:pPr>
      <w:r>
        <w:t xml:space="preserve">For the English surveys, CMS </w:t>
      </w:r>
      <w:r w:rsidR="00147B7E">
        <w:t>drew</w:t>
      </w:r>
      <w:r>
        <w:t xml:space="preserve"> a stratified random sample from the sampling frame described above in Section 1.1.1.1; each of the </w:t>
      </w:r>
      <w:r w:rsidR="000E0B9F">
        <w:t xml:space="preserve">36 FFM </w:t>
      </w:r>
      <w:r w:rsidR="00FE6A15">
        <w:t>states comprised</w:t>
      </w:r>
      <w:r w:rsidR="00D66EBF">
        <w:t xml:space="preserve"> </w:t>
      </w:r>
      <w:r w:rsidR="00D97C50">
        <w:t>a</w:t>
      </w:r>
      <w:r>
        <w:t xml:space="preserve"> stratum. A total of </w:t>
      </w:r>
      <w:r w:rsidR="00A9620D">
        <w:t>208</w:t>
      </w:r>
      <w:r w:rsidR="000E0B9F">
        <w:t xml:space="preserve"> English-language </w:t>
      </w:r>
      <w:r>
        <w:t xml:space="preserve">consumers </w:t>
      </w:r>
      <w:r w:rsidR="00147B7E">
        <w:t>were</w:t>
      </w:r>
      <w:r>
        <w:t xml:space="preserve"> drawn from each </w:t>
      </w:r>
      <w:r w:rsidR="000E0B9F">
        <w:t xml:space="preserve">FFM </w:t>
      </w:r>
      <w:r w:rsidR="00FE6A15">
        <w:t>state</w:t>
      </w:r>
      <w:r w:rsidR="001C2075">
        <w:t xml:space="preserve">, for a total sample of </w:t>
      </w:r>
      <w:r w:rsidR="00A9620D">
        <w:t>7,500</w:t>
      </w:r>
      <w:r w:rsidR="001C2075">
        <w:t>.</w:t>
      </w:r>
      <w:r>
        <w:t xml:space="preserve"> </w:t>
      </w:r>
      <w:r w:rsidR="001C2075">
        <w:t xml:space="preserve">From this sample, </w:t>
      </w:r>
      <w:r w:rsidR="00D97C50">
        <w:t>equal numbers of</w:t>
      </w:r>
      <w:r w:rsidR="003661B1">
        <w:t xml:space="preserve"> individuals </w:t>
      </w:r>
      <w:r w:rsidR="00147B7E">
        <w:t>were</w:t>
      </w:r>
      <w:r w:rsidR="003661B1">
        <w:t xml:space="preserve"> randomly assigned </w:t>
      </w:r>
      <w:r w:rsidR="000E0B9F">
        <w:t>to each of the five mode groups</w:t>
      </w:r>
      <w:r w:rsidR="00D97C50">
        <w:t xml:space="preserve"> (1,</w:t>
      </w:r>
      <w:r w:rsidR="00A9620D">
        <w:t>500</w:t>
      </w:r>
      <w:r w:rsidR="00D97C50">
        <w:t xml:space="preserve"> each)</w:t>
      </w:r>
      <w:r w:rsidR="000E0B9F">
        <w:t>. We expect</w:t>
      </w:r>
      <w:r w:rsidR="00147B7E">
        <w:t>ed</w:t>
      </w:r>
      <w:r w:rsidR="000E0B9F">
        <w:t xml:space="preserve"> this strategy </w:t>
      </w:r>
      <w:r w:rsidR="00147B7E">
        <w:t xml:space="preserve">to </w:t>
      </w:r>
      <w:r w:rsidR="000E0B9F">
        <w:t>produce</w:t>
      </w:r>
      <w:r w:rsidR="003661B1">
        <w:t xml:space="preserve"> </w:t>
      </w:r>
      <w:r w:rsidR="000E0B9F">
        <w:t xml:space="preserve">450 </w:t>
      </w:r>
      <w:r w:rsidR="003661B1">
        <w:t xml:space="preserve">completed surveys in each of the </w:t>
      </w:r>
      <w:r w:rsidR="000E0B9F">
        <w:t xml:space="preserve">five </w:t>
      </w:r>
      <w:r w:rsidR="003661B1">
        <w:t>modes</w:t>
      </w:r>
      <w:r w:rsidR="001C2075">
        <w:t xml:space="preserve">, yielding a total of </w:t>
      </w:r>
      <w:r w:rsidR="000E0B9F">
        <w:t xml:space="preserve">2,250 </w:t>
      </w:r>
      <w:r w:rsidR="001C2075">
        <w:t xml:space="preserve">completed </w:t>
      </w:r>
      <w:r w:rsidR="000E0B9F">
        <w:t xml:space="preserve">English-language </w:t>
      </w:r>
      <w:r w:rsidR="001C2075">
        <w:t>surveys</w:t>
      </w:r>
      <w:r w:rsidR="003661B1">
        <w:t>.</w:t>
      </w:r>
      <w:r w:rsidR="009E4BF4">
        <w:t xml:space="preserve"> </w:t>
      </w:r>
      <w:r>
        <w:t xml:space="preserve">The web-only group </w:t>
      </w:r>
      <w:r w:rsidR="00FE6A15">
        <w:t>was</w:t>
      </w:r>
      <w:r w:rsidR="00147B7E">
        <w:t xml:space="preserve"> </w:t>
      </w:r>
      <w:r>
        <w:t>randomly distributed such that half</w:t>
      </w:r>
      <w:r w:rsidR="003661B1">
        <w:t xml:space="preserve"> </w:t>
      </w:r>
      <w:r w:rsidR="000E0B9F">
        <w:t>of the sample of 1,</w:t>
      </w:r>
      <w:r w:rsidR="00A9620D">
        <w:t>500</w:t>
      </w:r>
      <w:r w:rsidR="000E0B9F">
        <w:t xml:space="preserve"> </w:t>
      </w:r>
      <w:r w:rsidR="003661B1">
        <w:t>(n=</w:t>
      </w:r>
      <w:r w:rsidR="00A9620D">
        <w:t>750</w:t>
      </w:r>
      <w:r w:rsidR="003661B1">
        <w:t>)</w:t>
      </w:r>
      <w:r>
        <w:t xml:space="preserve"> receive</w:t>
      </w:r>
      <w:r w:rsidR="00147B7E">
        <w:t>d</w:t>
      </w:r>
      <w:r>
        <w:t xml:space="preserve"> </w:t>
      </w:r>
      <w:r w:rsidRPr="00FB2EF7">
        <w:rPr>
          <w:i/>
        </w:rPr>
        <w:t>both</w:t>
      </w:r>
      <w:r>
        <w:t xml:space="preserve"> an email and a pre-notification letter while the other half</w:t>
      </w:r>
      <w:r w:rsidR="003661B1">
        <w:t xml:space="preserve"> (n=</w:t>
      </w:r>
      <w:r w:rsidR="00A9620D">
        <w:t>750</w:t>
      </w:r>
      <w:r w:rsidR="003661B1">
        <w:t>)</w:t>
      </w:r>
      <w:r>
        <w:t xml:space="preserve"> receive</w:t>
      </w:r>
      <w:r w:rsidR="00147B7E">
        <w:t>d</w:t>
      </w:r>
      <w:r>
        <w:t xml:space="preserve"> only an email</w:t>
      </w:r>
      <w:r w:rsidR="000E0B9F">
        <w:t xml:space="preserve">; </w:t>
      </w:r>
      <w:r w:rsidR="00147B7E">
        <w:t xml:space="preserve">we expected that </w:t>
      </w:r>
      <w:r w:rsidR="000E0B9F">
        <w:t xml:space="preserve">this strategy </w:t>
      </w:r>
      <w:r w:rsidR="00147B7E">
        <w:t xml:space="preserve">would </w:t>
      </w:r>
      <w:r w:rsidR="000E0B9F">
        <w:t>produce 225</w:t>
      </w:r>
      <w:r w:rsidR="003661B1">
        <w:t xml:space="preserve"> completed surveys in each of the web-only groups</w:t>
      </w:r>
      <w:r>
        <w:t>.</w:t>
      </w:r>
      <w:r w:rsidR="001C2075" w:rsidRPr="001C2075">
        <w:t xml:space="preserve"> </w:t>
      </w:r>
      <w:r w:rsidR="000E0B9F">
        <w:t>See Exhibit B1 for details of the sample distributions. We expect</w:t>
      </w:r>
      <w:r w:rsidR="00147B7E">
        <w:t>ed</w:t>
      </w:r>
      <w:r w:rsidR="000E0B9F">
        <w:t xml:space="preserve"> this sampling approach to yield approximately 62 completed surveys in each of the 36 FFM states.</w:t>
      </w:r>
    </w:p>
    <w:p w14:paraId="796B8F48" w14:textId="2B51061A" w:rsidR="000449E9" w:rsidRDefault="000449E9" w:rsidP="000449E9">
      <w:pPr>
        <w:pStyle w:val="PBodyText"/>
      </w:pPr>
      <w:r>
        <w:t xml:space="preserve">For the Spanish and Chinese samples, </w:t>
      </w:r>
      <w:r w:rsidR="00B009DF">
        <w:t>CMS</w:t>
      </w:r>
      <w:r>
        <w:t xml:space="preserve">  use</w:t>
      </w:r>
      <w:r w:rsidR="00147B7E">
        <w:t>d</w:t>
      </w:r>
      <w:r>
        <w:t xml:space="preserve"> a systematic random sampling design to yield a sample proportional to the relative size of each group in </w:t>
      </w:r>
      <w:r w:rsidR="003661B1">
        <w:t xml:space="preserve">the 36 </w:t>
      </w:r>
      <w:r w:rsidR="00B009DF">
        <w:t>States that are part of the FFM</w:t>
      </w:r>
      <w:r>
        <w:t xml:space="preserve">. In this design the sampling ratio (k) for each of two sample draws (one for Spanish and one for Chinese) </w:t>
      </w:r>
      <w:r w:rsidR="00147B7E">
        <w:t xml:space="preserve">was </w:t>
      </w:r>
      <w:r>
        <w:t>equal to N/</w:t>
      </w:r>
      <w:r w:rsidR="00B542D6">
        <w:t>1,</w:t>
      </w:r>
      <w:r w:rsidR="00A9620D">
        <w:t>500</w:t>
      </w:r>
      <w:r>
        <w:t xml:space="preserve">, where N is the number of eligible individuals in the </w:t>
      </w:r>
      <w:r w:rsidR="00B009DF">
        <w:t xml:space="preserve">FFM portion of the </w:t>
      </w:r>
      <w:r>
        <w:t xml:space="preserve">sampling frame who indicated their respective language preference in their Marketplace applications, summed across all </w:t>
      </w:r>
      <w:r w:rsidR="00B009DF">
        <w:t>36</w:t>
      </w:r>
      <w:r>
        <w:t xml:space="preserve"> </w:t>
      </w:r>
      <w:r w:rsidR="00B009DF">
        <w:t>FFM States</w:t>
      </w:r>
      <w:r>
        <w:t>. We then sort</w:t>
      </w:r>
      <w:r w:rsidR="00147B7E">
        <w:t>ed</w:t>
      </w:r>
      <w:r>
        <w:t xml:space="preserve"> each sampling frame (one for each language) by </w:t>
      </w:r>
      <w:r w:rsidR="00B009DF">
        <w:t>State</w:t>
      </w:r>
      <w:r>
        <w:t xml:space="preserve"> </w:t>
      </w:r>
      <w:r w:rsidR="00D97C50">
        <w:t>and a random number; then</w:t>
      </w:r>
      <w:r>
        <w:t xml:space="preserve">, using a random starting point, </w:t>
      </w:r>
      <w:r w:rsidR="00147B7E">
        <w:t xml:space="preserve">we drew </w:t>
      </w:r>
      <w:r>
        <w:t xml:space="preserve">a systematic random sample (with implicit stratification by </w:t>
      </w:r>
      <w:r w:rsidR="00B009DF">
        <w:t>S</w:t>
      </w:r>
      <w:r>
        <w:t>tate) by selecting every k</w:t>
      </w:r>
      <w:r>
        <w:rPr>
          <w:i/>
        </w:rPr>
        <w:t>th</w:t>
      </w:r>
      <w:r>
        <w:t xml:space="preserve"> unit from the frame</w:t>
      </w:r>
      <w:r w:rsidR="00B542D6">
        <w:t>, yielding a total sample size of 1,</w:t>
      </w:r>
      <w:r w:rsidR="00A9620D">
        <w:t>500</w:t>
      </w:r>
      <w:r w:rsidR="00B542D6">
        <w:t xml:space="preserve"> for each of the two language groups</w:t>
      </w:r>
      <w:r>
        <w:t xml:space="preserve">. </w:t>
      </w:r>
      <w:r w:rsidR="00B009DF">
        <w:t xml:space="preserve">As described in Section 1.1.2, </w:t>
      </w:r>
      <w:r w:rsidR="00147B7E">
        <w:t xml:space="preserve">we expected </w:t>
      </w:r>
      <w:r w:rsidR="00B009DF">
        <w:t>the lack of a phone option for non-English speakers m</w:t>
      </w:r>
      <w:r w:rsidR="00147B7E">
        <w:t>ight</w:t>
      </w:r>
      <w:r w:rsidR="00B009DF">
        <w:t xml:space="preserve"> negatively impact the response rates fro</w:t>
      </w:r>
      <w:r w:rsidR="003A6D86">
        <w:t xml:space="preserve">m these two populations. While the ideal </w:t>
      </w:r>
      <w:r w:rsidR="00147B7E">
        <w:t xml:space="preserve">would be </w:t>
      </w:r>
      <w:r w:rsidR="003A6D86">
        <w:t xml:space="preserve">for these </w:t>
      </w:r>
      <w:r w:rsidR="00B009DF">
        <w:t xml:space="preserve">two samples to yield </w:t>
      </w:r>
      <w:r w:rsidR="00B542D6">
        <w:t xml:space="preserve">450 </w:t>
      </w:r>
      <w:r w:rsidR="003A6D86">
        <w:t xml:space="preserve">completed surveys each </w:t>
      </w:r>
      <w:r w:rsidR="00B542D6">
        <w:t>in Chinese and Spanish</w:t>
      </w:r>
      <w:r w:rsidR="003A6D86">
        <w:t xml:space="preserve">, CMS </w:t>
      </w:r>
      <w:r w:rsidR="00147B7E">
        <w:t>expected</w:t>
      </w:r>
      <w:r w:rsidR="003A6D86">
        <w:t xml:space="preserve"> that the actual number of completes </w:t>
      </w:r>
      <w:r w:rsidR="00147B7E">
        <w:t xml:space="preserve">might </w:t>
      </w:r>
      <w:r w:rsidR="003A6D86">
        <w:t>be lower</w:t>
      </w:r>
      <w:r w:rsidR="00B009DF">
        <w:t>.</w:t>
      </w:r>
      <w:r w:rsidR="003A6D86" w:rsidRPr="003A6D86">
        <w:rPr>
          <w:rFonts w:cs="Times New Roman"/>
        </w:rPr>
        <w:t xml:space="preserve"> </w:t>
      </w:r>
      <w:r w:rsidR="003A6D86">
        <w:rPr>
          <w:rFonts w:cs="Times New Roman"/>
        </w:rPr>
        <w:t xml:space="preserve">To address this, CMS </w:t>
      </w:r>
      <w:r w:rsidR="00147B7E">
        <w:rPr>
          <w:rFonts w:cs="Times New Roman"/>
        </w:rPr>
        <w:t>tested</w:t>
      </w:r>
      <w:r w:rsidR="003A6D86">
        <w:rPr>
          <w:rFonts w:cs="Times New Roman"/>
        </w:rPr>
        <w:t xml:space="preserve"> </w:t>
      </w:r>
      <w:r w:rsidR="00147B7E">
        <w:rPr>
          <w:rFonts w:cs="Times New Roman"/>
        </w:rPr>
        <w:t>whether</w:t>
      </w:r>
      <w:r w:rsidR="003A6D86">
        <w:rPr>
          <w:rFonts w:cs="Times New Roman"/>
        </w:rPr>
        <w:t xml:space="preserve"> response rates </w:t>
      </w:r>
      <w:r w:rsidR="00147B7E">
        <w:rPr>
          <w:rFonts w:cs="Times New Roman"/>
        </w:rPr>
        <w:t xml:space="preserve">varied </w:t>
      </w:r>
      <w:r w:rsidR="003A6D86">
        <w:rPr>
          <w:rFonts w:cs="Times New Roman"/>
        </w:rPr>
        <w:t xml:space="preserve">significantly by race, ethnicity, and language among consumers for whom these variables </w:t>
      </w:r>
      <w:r w:rsidR="00147B7E">
        <w:rPr>
          <w:rFonts w:cs="Times New Roman"/>
        </w:rPr>
        <w:t xml:space="preserve">were </w:t>
      </w:r>
      <w:r w:rsidR="003A6D86">
        <w:rPr>
          <w:rFonts w:cs="Times New Roman"/>
        </w:rPr>
        <w:t>available in the sampling frame.</w:t>
      </w:r>
    </w:p>
    <w:p w14:paraId="796B8F49" w14:textId="5E63E9E9" w:rsidR="00EC616C" w:rsidRDefault="00EC616C" w:rsidP="00EC616C">
      <w:pPr>
        <w:pStyle w:val="Heading4"/>
      </w:pPr>
      <w:r>
        <w:t>1.1.3.2 Beta Test</w:t>
      </w:r>
      <w:r w:rsidR="00D8197F">
        <w:t xml:space="preserve"> Component</w:t>
      </w:r>
    </w:p>
    <w:p w14:paraId="6A535EF3" w14:textId="79C9E420" w:rsidR="00D2488F" w:rsidRDefault="000518F4" w:rsidP="00D2488F">
      <w:pPr>
        <w:spacing w:after="120"/>
        <w:rPr>
          <w:szCs w:val="24"/>
        </w:rPr>
      </w:pPr>
      <w:r>
        <w:t xml:space="preserve">For the English </w:t>
      </w:r>
      <w:r w:rsidR="00970DB3">
        <w:t xml:space="preserve">and Spanish </w:t>
      </w:r>
      <w:r>
        <w:t xml:space="preserve">surveys, we will draw a </w:t>
      </w:r>
      <w:r w:rsidR="0042012E">
        <w:t xml:space="preserve">stratified </w:t>
      </w:r>
      <w:r>
        <w:t xml:space="preserve">random sample from </w:t>
      </w:r>
      <w:r w:rsidR="0042012E">
        <w:t xml:space="preserve">each state in </w:t>
      </w:r>
      <w:r>
        <w:t xml:space="preserve">the sampling frame described above in Section 1.1.1.1; each of the </w:t>
      </w:r>
      <w:r w:rsidR="0064210E">
        <w:t>44 participating s</w:t>
      </w:r>
      <w:r w:rsidR="00CE00F1">
        <w:t>tates</w:t>
      </w:r>
      <w:r>
        <w:t xml:space="preserve"> will comprise its own stratum. </w:t>
      </w:r>
      <w:r w:rsidRPr="007D2493">
        <w:t xml:space="preserve">Samples </w:t>
      </w:r>
      <w:r w:rsidR="002263EF" w:rsidRPr="00C76274">
        <w:t xml:space="preserve">averaging </w:t>
      </w:r>
      <w:r w:rsidR="00117095" w:rsidRPr="00C76274">
        <w:t>around</w:t>
      </w:r>
      <w:r w:rsidR="00970DB3" w:rsidRPr="00C76274">
        <w:t xml:space="preserve"> 3,</w:t>
      </w:r>
      <w:r w:rsidR="002263EF" w:rsidRPr="00C76274">
        <w:t>80</w:t>
      </w:r>
      <w:r w:rsidR="00117095" w:rsidRPr="00C76274">
        <w:t>0</w:t>
      </w:r>
      <w:r w:rsidR="00D2488F">
        <w:t xml:space="preserve"> </w:t>
      </w:r>
      <w:r w:rsidRPr="00AE0200">
        <w:t>will be drawn from each strata</w:t>
      </w:r>
      <w:r w:rsidRPr="00A97139">
        <w:t xml:space="preserve"> to yield 1,200 completed surveys from each of the </w:t>
      </w:r>
      <w:r w:rsidR="00970DB3" w:rsidRPr="00A97139">
        <w:t xml:space="preserve">44 </w:t>
      </w:r>
      <w:r w:rsidR="00CE00F1" w:rsidRPr="00A97139">
        <w:t>States</w:t>
      </w:r>
      <w:r w:rsidRPr="00A97139">
        <w:t>.</w:t>
      </w:r>
      <w:r w:rsidR="00F709BD">
        <w:t xml:space="preserve"> </w:t>
      </w:r>
      <w:r w:rsidR="00D2488F">
        <w:rPr>
          <w:szCs w:val="24"/>
        </w:rPr>
        <w:t xml:space="preserve">Because our observed response rates (which are used in estimating sample sizes needed) vary by language, and the proportion of consumers with a Spanish or Chinese language preference varies by state, sample sizes will need to vary by state in the actual beta test. Rather than trying to make those estimates separately for each state now, </w:t>
      </w:r>
      <w:r w:rsidR="00D30389">
        <w:rPr>
          <w:szCs w:val="24"/>
        </w:rPr>
        <w:t>Exhibit B5</w:t>
      </w:r>
      <w:r w:rsidR="00D2488F">
        <w:rPr>
          <w:szCs w:val="24"/>
        </w:rPr>
        <w:t xml:space="preserve"> illustrates this effect for states representing a range of language distributions, as well as for two scenarios </w:t>
      </w:r>
      <w:r w:rsidR="004B41B8">
        <w:rPr>
          <w:szCs w:val="24"/>
        </w:rPr>
        <w:t>associated with</w:t>
      </w:r>
      <w:r w:rsidR="00D2488F">
        <w:rPr>
          <w:szCs w:val="24"/>
        </w:rPr>
        <w:t xml:space="preserve"> estimated maximums for both Spanish and Chinese. As can be seen, because of their lower response rate, as the share of consumers with a Spanish language preference increases, the sample size also must increase.</w:t>
      </w:r>
      <w:r w:rsidR="00C804AB">
        <w:rPr>
          <w:szCs w:val="24"/>
        </w:rPr>
        <w:t xml:space="preserve"> Once the beta test sampling frame construction is complete, CMS will calculate the specific sample sizes needed for each state following the logic shown in </w:t>
      </w:r>
      <w:r w:rsidR="00D30389">
        <w:rPr>
          <w:szCs w:val="24"/>
        </w:rPr>
        <w:t>Exhibit B5</w:t>
      </w:r>
      <w:r w:rsidR="00C804AB">
        <w:rPr>
          <w:szCs w:val="24"/>
        </w:rPr>
        <w:t>.</w:t>
      </w:r>
    </w:p>
    <w:p w14:paraId="213F1F08" w14:textId="77777777" w:rsidR="00797029" w:rsidRPr="00E46397" w:rsidRDefault="00797029" w:rsidP="00D2488F">
      <w:pPr>
        <w:spacing w:after="120"/>
        <w:rPr>
          <w:rFonts w:cs="Times New Roman"/>
          <w:szCs w:val="24"/>
        </w:rPr>
      </w:pPr>
    </w:p>
    <w:p w14:paraId="1B6E9188" w14:textId="5BB78F8B" w:rsidR="00D2488F" w:rsidRPr="00C47A8D" w:rsidRDefault="00D30389" w:rsidP="00D2488F">
      <w:pPr>
        <w:pStyle w:val="PTableTitle"/>
      </w:pPr>
      <w:r>
        <w:lastRenderedPageBreak/>
        <w:t>Exhibit B5</w:t>
      </w:r>
      <w:r w:rsidR="00D2488F" w:rsidRPr="00852F79">
        <w:t xml:space="preserve">. </w:t>
      </w:r>
      <w:r w:rsidR="00D2488F">
        <w:t>Sample Sizes by State based on Language Variation for Beta Test Component</w:t>
      </w:r>
    </w:p>
    <w:tbl>
      <w:tblPr>
        <w:tblStyle w:val="LightList-Accent1"/>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ample Sizes by State based on Language Variation for Beta Test Component"/>
        <w:tblDescription w:val="Exhibit B3 illustrates this effect for states representing a range of language distributions, as well as for two scenarios associated with estimated maximums for both Spanish and Chinese. As can be seen, because of their lower response rate, as the share of consumers with a Spanish language preference increases, the sample size also must increase. Once the beta test sampling frame construction is complete, CMS will calculate the specific sample sizes needed for each state following the logic shown in Exhibit B3."/>
      </w:tblPr>
      <w:tblGrid>
        <w:gridCol w:w="2268"/>
        <w:gridCol w:w="1029"/>
        <w:gridCol w:w="1137"/>
        <w:gridCol w:w="1297"/>
        <w:gridCol w:w="1214"/>
        <w:gridCol w:w="1310"/>
        <w:gridCol w:w="1310"/>
      </w:tblGrid>
      <w:tr w:rsidR="00D2488F" w:rsidRPr="00E46397" w14:paraId="35B93DDC" w14:textId="77777777" w:rsidTr="00C76274">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268" w:type="dxa"/>
            <w:shd w:val="clear" w:color="auto" w:fill="1F497D" w:themeFill="text2"/>
            <w:noWrap/>
            <w:hideMark/>
          </w:tcPr>
          <w:p w14:paraId="7BD1CE8B" w14:textId="77777777" w:rsidR="00D2488F" w:rsidRPr="00E46397" w:rsidRDefault="00D2488F" w:rsidP="00D20E83">
            <w:pPr>
              <w:jc w:val="center"/>
              <w:rPr>
                <w:rFonts w:ascii="Arial Narrow" w:eastAsia="Times New Roman" w:hAnsi="Arial Narrow" w:cs="Arial"/>
                <w:bCs w:val="0"/>
                <w:sz w:val="20"/>
                <w:szCs w:val="20"/>
              </w:rPr>
            </w:pPr>
            <w:r w:rsidRPr="00E46397">
              <w:rPr>
                <w:rFonts w:ascii="Arial Narrow" w:eastAsia="Times New Roman" w:hAnsi="Arial Narrow" w:cs="Arial"/>
                <w:bCs w:val="0"/>
                <w:sz w:val="20"/>
                <w:szCs w:val="20"/>
              </w:rPr>
              <w:t>State</w:t>
            </w:r>
          </w:p>
        </w:tc>
        <w:tc>
          <w:tcPr>
            <w:tcW w:w="1029" w:type="dxa"/>
            <w:shd w:val="clear" w:color="auto" w:fill="1F497D" w:themeFill="text2"/>
            <w:hideMark/>
          </w:tcPr>
          <w:p w14:paraId="3AED96EB" w14:textId="77777777" w:rsidR="00D2488F" w:rsidRPr="00E46397" w:rsidRDefault="00D2488F" w:rsidP="00D20E83">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bCs w:val="0"/>
                <w:sz w:val="20"/>
                <w:szCs w:val="20"/>
              </w:rPr>
            </w:pPr>
            <w:r w:rsidRPr="00E46397">
              <w:rPr>
                <w:rFonts w:ascii="Arial Narrow" w:eastAsia="Times New Roman" w:hAnsi="Arial Narrow" w:cs="Arial"/>
                <w:bCs w:val="0"/>
                <w:sz w:val="20"/>
                <w:szCs w:val="20"/>
              </w:rPr>
              <w:t>ME</w:t>
            </w:r>
          </w:p>
        </w:tc>
        <w:tc>
          <w:tcPr>
            <w:tcW w:w="1137" w:type="dxa"/>
            <w:shd w:val="clear" w:color="auto" w:fill="1F497D" w:themeFill="text2"/>
            <w:hideMark/>
          </w:tcPr>
          <w:p w14:paraId="47C388EA" w14:textId="77777777" w:rsidR="00D2488F" w:rsidRPr="00E46397" w:rsidRDefault="00D2488F" w:rsidP="00D20E83">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bCs w:val="0"/>
                <w:sz w:val="20"/>
                <w:szCs w:val="20"/>
              </w:rPr>
            </w:pPr>
            <w:r w:rsidRPr="00E46397">
              <w:rPr>
                <w:rFonts w:ascii="Arial Narrow" w:eastAsia="Times New Roman" w:hAnsi="Arial Narrow" w:cs="Arial"/>
                <w:bCs w:val="0"/>
                <w:sz w:val="20"/>
                <w:szCs w:val="20"/>
              </w:rPr>
              <w:t>FL</w:t>
            </w:r>
          </w:p>
        </w:tc>
        <w:tc>
          <w:tcPr>
            <w:tcW w:w="1297" w:type="dxa"/>
            <w:shd w:val="clear" w:color="auto" w:fill="1F497D" w:themeFill="text2"/>
            <w:hideMark/>
          </w:tcPr>
          <w:p w14:paraId="33686727" w14:textId="77777777" w:rsidR="00D2488F" w:rsidRPr="00E46397" w:rsidRDefault="00D2488F" w:rsidP="00D20E83">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bCs w:val="0"/>
                <w:sz w:val="20"/>
                <w:szCs w:val="20"/>
              </w:rPr>
            </w:pPr>
            <w:r w:rsidRPr="00E46397">
              <w:rPr>
                <w:rFonts w:ascii="Arial Narrow" w:eastAsia="Times New Roman" w:hAnsi="Arial Narrow" w:cs="Arial"/>
                <w:bCs w:val="0"/>
                <w:sz w:val="20"/>
                <w:szCs w:val="20"/>
              </w:rPr>
              <w:t>LA</w:t>
            </w:r>
          </w:p>
        </w:tc>
        <w:tc>
          <w:tcPr>
            <w:tcW w:w="1214" w:type="dxa"/>
            <w:shd w:val="clear" w:color="auto" w:fill="1F497D" w:themeFill="text2"/>
            <w:hideMark/>
          </w:tcPr>
          <w:p w14:paraId="474A1D75" w14:textId="77777777" w:rsidR="00D2488F" w:rsidRPr="00E46397" w:rsidRDefault="00D2488F" w:rsidP="00D20E83">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bCs w:val="0"/>
                <w:sz w:val="20"/>
                <w:szCs w:val="20"/>
              </w:rPr>
            </w:pPr>
            <w:r w:rsidRPr="00E46397">
              <w:rPr>
                <w:rFonts w:ascii="Arial Narrow" w:eastAsia="Times New Roman" w:hAnsi="Arial Narrow" w:cs="Arial"/>
                <w:bCs w:val="0"/>
                <w:sz w:val="20"/>
                <w:szCs w:val="20"/>
              </w:rPr>
              <w:t>PA</w:t>
            </w:r>
          </w:p>
        </w:tc>
        <w:tc>
          <w:tcPr>
            <w:tcW w:w="1310" w:type="dxa"/>
            <w:shd w:val="clear" w:color="auto" w:fill="1F497D" w:themeFill="text2"/>
            <w:hideMark/>
          </w:tcPr>
          <w:p w14:paraId="0158E6A0" w14:textId="77777777" w:rsidR="00D2488F" w:rsidRPr="00E46397" w:rsidRDefault="00D2488F" w:rsidP="00D20E83">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bCs w:val="0"/>
                <w:sz w:val="20"/>
                <w:szCs w:val="20"/>
              </w:rPr>
            </w:pPr>
            <w:r w:rsidRPr="00E46397">
              <w:rPr>
                <w:rFonts w:ascii="Arial Narrow" w:eastAsia="Times New Roman" w:hAnsi="Arial Narrow" w:cs="Arial"/>
                <w:bCs w:val="0"/>
                <w:sz w:val="20"/>
                <w:szCs w:val="20"/>
              </w:rPr>
              <w:t>Max Sp</w:t>
            </w:r>
            <w:r>
              <w:rPr>
                <w:rFonts w:ascii="Arial Narrow" w:eastAsia="Times New Roman" w:hAnsi="Arial Narrow" w:cs="Arial"/>
                <w:bCs w:val="0"/>
                <w:sz w:val="20"/>
                <w:szCs w:val="20"/>
              </w:rPr>
              <w:t>anish</w:t>
            </w:r>
          </w:p>
        </w:tc>
        <w:tc>
          <w:tcPr>
            <w:tcW w:w="1310" w:type="dxa"/>
            <w:shd w:val="clear" w:color="auto" w:fill="1F497D" w:themeFill="text2"/>
            <w:hideMark/>
          </w:tcPr>
          <w:p w14:paraId="4A9448CA" w14:textId="77777777" w:rsidR="00D2488F" w:rsidRPr="00E46397" w:rsidRDefault="00D2488F" w:rsidP="00D20E83">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Arial"/>
                <w:bCs w:val="0"/>
                <w:sz w:val="20"/>
                <w:szCs w:val="20"/>
              </w:rPr>
            </w:pPr>
            <w:r>
              <w:rPr>
                <w:rFonts w:ascii="Arial Narrow" w:eastAsia="Times New Roman" w:hAnsi="Arial Narrow" w:cs="Arial"/>
                <w:bCs w:val="0"/>
                <w:sz w:val="20"/>
                <w:szCs w:val="20"/>
              </w:rPr>
              <w:t>Max Chinese</w:t>
            </w:r>
          </w:p>
        </w:tc>
      </w:tr>
      <w:tr w:rsidR="00D2488F" w:rsidRPr="00E46397" w14:paraId="2C7BCBC8" w14:textId="77777777" w:rsidTr="00D20E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noWrap/>
            <w:vAlign w:val="center"/>
            <w:hideMark/>
          </w:tcPr>
          <w:p w14:paraId="1E86E303" w14:textId="77777777" w:rsidR="00D2488F" w:rsidRPr="00E46397" w:rsidRDefault="00D2488F" w:rsidP="00D20E83">
            <w:pPr>
              <w:rPr>
                <w:rFonts w:ascii="Arial Narrow" w:hAnsi="Arial Narrow" w:cs="Calibri"/>
                <w:color w:val="000000"/>
                <w:sz w:val="20"/>
                <w:szCs w:val="20"/>
              </w:rPr>
            </w:pPr>
            <w:r w:rsidRPr="00E46397">
              <w:rPr>
                <w:rFonts w:ascii="Arial Narrow" w:hAnsi="Arial Narrow" w:cs="Calibri"/>
                <w:color w:val="000000"/>
                <w:sz w:val="20"/>
                <w:szCs w:val="20"/>
              </w:rPr>
              <w:t>English Share</w:t>
            </w:r>
            <w:r>
              <w:rPr>
                <w:rFonts w:ascii="Arial Narrow" w:hAnsi="Arial Narrow" w:cs="Calibri"/>
                <w:color w:val="000000"/>
                <w:sz w:val="20"/>
                <w:szCs w:val="20"/>
              </w:rPr>
              <w:t xml:space="preserve"> (RR = 32%)</w:t>
            </w:r>
          </w:p>
        </w:tc>
        <w:tc>
          <w:tcPr>
            <w:tcW w:w="1029" w:type="dxa"/>
            <w:vAlign w:val="center"/>
            <w:hideMark/>
          </w:tcPr>
          <w:p w14:paraId="37BFA582" w14:textId="77777777" w:rsidR="00D2488F" w:rsidRPr="00E46397" w:rsidRDefault="00D2488F" w:rsidP="00D20E83">
            <w:pPr>
              <w:jc w:val="right"/>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20"/>
                <w:szCs w:val="20"/>
              </w:rPr>
            </w:pPr>
            <w:r w:rsidRPr="00E46397">
              <w:rPr>
                <w:rFonts w:ascii="Arial Narrow" w:hAnsi="Arial Narrow" w:cs="Calibri"/>
                <w:color w:val="000000"/>
                <w:sz w:val="20"/>
                <w:szCs w:val="20"/>
              </w:rPr>
              <w:t>100.0%</w:t>
            </w:r>
          </w:p>
        </w:tc>
        <w:tc>
          <w:tcPr>
            <w:tcW w:w="1137" w:type="dxa"/>
            <w:vAlign w:val="center"/>
            <w:hideMark/>
          </w:tcPr>
          <w:p w14:paraId="4E3D47A3" w14:textId="77777777" w:rsidR="00D2488F" w:rsidRPr="00E46397" w:rsidRDefault="00D2488F" w:rsidP="00D20E83">
            <w:pPr>
              <w:jc w:val="right"/>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20"/>
                <w:szCs w:val="20"/>
              </w:rPr>
            </w:pPr>
            <w:r w:rsidRPr="00E46397">
              <w:rPr>
                <w:rFonts w:ascii="Arial Narrow" w:hAnsi="Arial Narrow" w:cs="Calibri"/>
                <w:color w:val="000000"/>
                <w:sz w:val="20"/>
                <w:szCs w:val="20"/>
              </w:rPr>
              <w:t>86.0%</w:t>
            </w:r>
          </w:p>
        </w:tc>
        <w:tc>
          <w:tcPr>
            <w:tcW w:w="1297" w:type="dxa"/>
            <w:vAlign w:val="center"/>
            <w:hideMark/>
          </w:tcPr>
          <w:p w14:paraId="1FF22922" w14:textId="77777777" w:rsidR="00D2488F" w:rsidRPr="00E46397" w:rsidRDefault="00D2488F" w:rsidP="00D20E83">
            <w:pPr>
              <w:jc w:val="right"/>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20"/>
                <w:szCs w:val="20"/>
              </w:rPr>
            </w:pPr>
            <w:r w:rsidRPr="00E46397">
              <w:rPr>
                <w:rFonts w:ascii="Arial Narrow" w:hAnsi="Arial Narrow" w:cs="Calibri"/>
                <w:color w:val="000000"/>
                <w:sz w:val="20"/>
                <w:szCs w:val="20"/>
              </w:rPr>
              <w:t>99.5%</w:t>
            </w:r>
          </w:p>
        </w:tc>
        <w:tc>
          <w:tcPr>
            <w:tcW w:w="1214" w:type="dxa"/>
            <w:vAlign w:val="center"/>
            <w:hideMark/>
          </w:tcPr>
          <w:p w14:paraId="2820CCED" w14:textId="77777777" w:rsidR="00D2488F" w:rsidRPr="00E46397" w:rsidRDefault="00D2488F" w:rsidP="00D20E83">
            <w:pPr>
              <w:jc w:val="right"/>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20"/>
                <w:szCs w:val="20"/>
              </w:rPr>
            </w:pPr>
            <w:r w:rsidRPr="00E46397">
              <w:rPr>
                <w:rFonts w:ascii="Arial Narrow" w:hAnsi="Arial Narrow" w:cs="Calibri"/>
                <w:color w:val="000000"/>
                <w:sz w:val="20"/>
                <w:szCs w:val="20"/>
              </w:rPr>
              <w:t>98.0%</w:t>
            </w:r>
          </w:p>
        </w:tc>
        <w:tc>
          <w:tcPr>
            <w:tcW w:w="1310" w:type="dxa"/>
            <w:vAlign w:val="center"/>
            <w:hideMark/>
          </w:tcPr>
          <w:p w14:paraId="0D627632" w14:textId="77777777" w:rsidR="00D2488F" w:rsidRPr="00E46397" w:rsidRDefault="00D2488F" w:rsidP="00D20E83">
            <w:pPr>
              <w:jc w:val="right"/>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20"/>
                <w:szCs w:val="20"/>
              </w:rPr>
            </w:pPr>
            <w:r w:rsidRPr="00E46397">
              <w:rPr>
                <w:rFonts w:ascii="Arial Narrow" w:hAnsi="Arial Narrow" w:cs="Calibri"/>
                <w:color w:val="000000"/>
                <w:sz w:val="20"/>
                <w:szCs w:val="20"/>
              </w:rPr>
              <w:t>64.5%</w:t>
            </w:r>
          </w:p>
        </w:tc>
        <w:tc>
          <w:tcPr>
            <w:tcW w:w="1310" w:type="dxa"/>
            <w:vAlign w:val="center"/>
            <w:hideMark/>
          </w:tcPr>
          <w:p w14:paraId="155D0454" w14:textId="77777777" w:rsidR="00D2488F" w:rsidRPr="00E46397" w:rsidRDefault="00D2488F" w:rsidP="00D20E83">
            <w:pPr>
              <w:jc w:val="right"/>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20"/>
                <w:szCs w:val="20"/>
              </w:rPr>
            </w:pPr>
            <w:r w:rsidRPr="00E46397">
              <w:rPr>
                <w:rFonts w:ascii="Arial Narrow" w:hAnsi="Arial Narrow" w:cs="Calibri"/>
                <w:color w:val="000000"/>
                <w:sz w:val="20"/>
                <w:szCs w:val="20"/>
              </w:rPr>
              <w:t>85.0%</w:t>
            </w:r>
          </w:p>
        </w:tc>
      </w:tr>
      <w:tr w:rsidR="00D2488F" w:rsidRPr="00E46397" w14:paraId="223EBBF8" w14:textId="77777777" w:rsidTr="00D20E83">
        <w:trPr>
          <w:trHeight w:val="300"/>
        </w:trPr>
        <w:tc>
          <w:tcPr>
            <w:cnfStyle w:val="001000000000" w:firstRow="0" w:lastRow="0" w:firstColumn="1" w:lastColumn="0" w:oddVBand="0" w:evenVBand="0" w:oddHBand="0" w:evenHBand="0" w:firstRowFirstColumn="0" w:firstRowLastColumn="0" w:lastRowFirstColumn="0" w:lastRowLastColumn="0"/>
            <w:tcW w:w="2268" w:type="dxa"/>
            <w:noWrap/>
            <w:vAlign w:val="center"/>
            <w:hideMark/>
          </w:tcPr>
          <w:p w14:paraId="24457327" w14:textId="77777777" w:rsidR="00D2488F" w:rsidRPr="00E46397" w:rsidRDefault="00D2488F" w:rsidP="00D20E83">
            <w:pPr>
              <w:rPr>
                <w:rFonts w:ascii="Arial Narrow" w:hAnsi="Arial Narrow" w:cs="Calibri"/>
                <w:color w:val="000000"/>
                <w:sz w:val="20"/>
                <w:szCs w:val="20"/>
              </w:rPr>
            </w:pPr>
            <w:r w:rsidRPr="00E46397">
              <w:rPr>
                <w:rFonts w:ascii="Arial Narrow" w:hAnsi="Arial Narrow" w:cs="Calibri"/>
                <w:color w:val="000000"/>
                <w:sz w:val="20"/>
                <w:szCs w:val="20"/>
              </w:rPr>
              <w:t>Spanish Share</w:t>
            </w:r>
            <w:r>
              <w:rPr>
                <w:rFonts w:ascii="Arial Narrow" w:hAnsi="Arial Narrow" w:cs="Calibri"/>
                <w:color w:val="000000"/>
                <w:sz w:val="20"/>
                <w:szCs w:val="20"/>
              </w:rPr>
              <w:t xml:space="preserve"> (RR = 25%)</w:t>
            </w:r>
          </w:p>
        </w:tc>
        <w:tc>
          <w:tcPr>
            <w:tcW w:w="1029" w:type="dxa"/>
            <w:vAlign w:val="center"/>
            <w:hideMark/>
          </w:tcPr>
          <w:p w14:paraId="175F5B30" w14:textId="77777777" w:rsidR="00D2488F" w:rsidRPr="00E46397" w:rsidRDefault="00D2488F" w:rsidP="00D20E83">
            <w:pPr>
              <w:jc w:val="right"/>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20"/>
                <w:szCs w:val="20"/>
              </w:rPr>
            </w:pPr>
            <w:r w:rsidRPr="00E46397">
              <w:rPr>
                <w:rFonts w:ascii="Arial Narrow" w:hAnsi="Arial Narrow" w:cs="Calibri"/>
                <w:color w:val="000000"/>
                <w:sz w:val="20"/>
                <w:szCs w:val="20"/>
              </w:rPr>
              <w:t>0.0%</w:t>
            </w:r>
          </w:p>
        </w:tc>
        <w:tc>
          <w:tcPr>
            <w:tcW w:w="1137" w:type="dxa"/>
            <w:vAlign w:val="center"/>
            <w:hideMark/>
          </w:tcPr>
          <w:p w14:paraId="403A06DF" w14:textId="77777777" w:rsidR="00D2488F" w:rsidRPr="00E46397" w:rsidRDefault="00D2488F" w:rsidP="00D20E83">
            <w:pPr>
              <w:jc w:val="right"/>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20"/>
                <w:szCs w:val="20"/>
              </w:rPr>
            </w:pPr>
            <w:r w:rsidRPr="00E46397">
              <w:rPr>
                <w:rFonts w:ascii="Arial Narrow" w:hAnsi="Arial Narrow" w:cs="Calibri"/>
                <w:color w:val="000000"/>
                <w:sz w:val="20"/>
                <w:szCs w:val="20"/>
              </w:rPr>
              <w:t>14.0%</w:t>
            </w:r>
          </w:p>
        </w:tc>
        <w:tc>
          <w:tcPr>
            <w:tcW w:w="1297" w:type="dxa"/>
            <w:vAlign w:val="center"/>
            <w:hideMark/>
          </w:tcPr>
          <w:p w14:paraId="0D2668F7" w14:textId="77777777" w:rsidR="00D2488F" w:rsidRPr="00E46397" w:rsidRDefault="00D2488F" w:rsidP="00D20E83">
            <w:pPr>
              <w:jc w:val="right"/>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20"/>
                <w:szCs w:val="20"/>
              </w:rPr>
            </w:pPr>
            <w:r w:rsidRPr="00E46397">
              <w:rPr>
                <w:rFonts w:ascii="Arial Narrow" w:hAnsi="Arial Narrow" w:cs="Calibri"/>
                <w:color w:val="000000"/>
                <w:sz w:val="20"/>
                <w:szCs w:val="20"/>
              </w:rPr>
              <w:t>0.4%</w:t>
            </w:r>
          </w:p>
        </w:tc>
        <w:tc>
          <w:tcPr>
            <w:tcW w:w="1214" w:type="dxa"/>
            <w:vAlign w:val="center"/>
            <w:hideMark/>
          </w:tcPr>
          <w:p w14:paraId="159577F1" w14:textId="77777777" w:rsidR="00D2488F" w:rsidRPr="00E46397" w:rsidRDefault="00D2488F" w:rsidP="00D20E83">
            <w:pPr>
              <w:jc w:val="right"/>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20"/>
                <w:szCs w:val="20"/>
              </w:rPr>
            </w:pPr>
            <w:r w:rsidRPr="00E46397">
              <w:rPr>
                <w:rFonts w:ascii="Arial Narrow" w:hAnsi="Arial Narrow" w:cs="Calibri"/>
                <w:color w:val="000000"/>
                <w:sz w:val="20"/>
                <w:szCs w:val="20"/>
              </w:rPr>
              <w:t>1.5%</w:t>
            </w:r>
          </w:p>
        </w:tc>
        <w:tc>
          <w:tcPr>
            <w:tcW w:w="1310" w:type="dxa"/>
            <w:vAlign w:val="center"/>
            <w:hideMark/>
          </w:tcPr>
          <w:p w14:paraId="22271279" w14:textId="77777777" w:rsidR="00D2488F" w:rsidRPr="00E46397" w:rsidRDefault="00D2488F" w:rsidP="00D20E83">
            <w:pPr>
              <w:jc w:val="right"/>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20"/>
                <w:szCs w:val="20"/>
              </w:rPr>
            </w:pPr>
            <w:r w:rsidRPr="00E46397">
              <w:rPr>
                <w:rFonts w:ascii="Arial Narrow" w:hAnsi="Arial Narrow" w:cs="Calibri"/>
                <w:color w:val="000000"/>
                <w:sz w:val="20"/>
                <w:szCs w:val="20"/>
              </w:rPr>
              <w:t>35.0%</w:t>
            </w:r>
          </w:p>
        </w:tc>
        <w:tc>
          <w:tcPr>
            <w:tcW w:w="1310" w:type="dxa"/>
            <w:vAlign w:val="center"/>
            <w:hideMark/>
          </w:tcPr>
          <w:p w14:paraId="4FFC6F18" w14:textId="77777777" w:rsidR="00D2488F" w:rsidRPr="00E46397" w:rsidRDefault="00D2488F" w:rsidP="00D20E83">
            <w:pPr>
              <w:jc w:val="right"/>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20"/>
                <w:szCs w:val="20"/>
              </w:rPr>
            </w:pPr>
            <w:r w:rsidRPr="00E46397">
              <w:rPr>
                <w:rFonts w:ascii="Arial Narrow" w:hAnsi="Arial Narrow" w:cs="Calibri"/>
                <w:color w:val="000000"/>
                <w:sz w:val="20"/>
                <w:szCs w:val="20"/>
              </w:rPr>
              <w:t>12.0%</w:t>
            </w:r>
          </w:p>
        </w:tc>
      </w:tr>
      <w:tr w:rsidR="00D2488F" w:rsidRPr="00E46397" w14:paraId="42C61570" w14:textId="77777777" w:rsidTr="00D20E83">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2268" w:type="dxa"/>
            <w:noWrap/>
            <w:vAlign w:val="center"/>
            <w:hideMark/>
          </w:tcPr>
          <w:p w14:paraId="5BBDE12C" w14:textId="77777777" w:rsidR="00D2488F" w:rsidRPr="00E46397" w:rsidRDefault="00D2488F" w:rsidP="00D20E83">
            <w:pPr>
              <w:rPr>
                <w:rFonts w:ascii="Arial Narrow" w:hAnsi="Arial Narrow" w:cs="Calibri"/>
                <w:color w:val="000000"/>
                <w:sz w:val="20"/>
                <w:szCs w:val="20"/>
              </w:rPr>
            </w:pPr>
            <w:r w:rsidRPr="00E46397">
              <w:rPr>
                <w:rFonts w:ascii="Arial Narrow" w:hAnsi="Arial Narrow" w:cs="Calibri"/>
                <w:color w:val="000000"/>
                <w:sz w:val="20"/>
                <w:szCs w:val="20"/>
              </w:rPr>
              <w:t>Chinese Share</w:t>
            </w:r>
            <w:r>
              <w:rPr>
                <w:rFonts w:ascii="Arial Narrow" w:hAnsi="Arial Narrow" w:cs="Calibri"/>
                <w:color w:val="000000"/>
                <w:sz w:val="20"/>
                <w:szCs w:val="20"/>
              </w:rPr>
              <w:t xml:space="preserve"> (RR = 36%)</w:t>
            </w:r>
          </w:p>
        </w:tc>
        <w:tc>
          <w:tcPr>
            <w:tcW w:w="1029" w:type="dxa"/>
            <w:vAlign w:val="center"/>
            <w:hideMark/>
          </w:tcPr>
          <w:p w14:paraId="1E744B26" w14:textId="77777777" w:rsidR="00D2488F" w:rsidRPr="00E46397" w:rsidRDefault="00D2488F" w:rsidP="00D20E83">
            <w:pPr>
              <w:jc w:val="right"/>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20"/>
                <w:szCs w:val="20"/>
              </w:rPr>
            </w:pPr>
            <w:r w:rsidRPr="00E46397">
              <w:rPr>
                <w:rFonts w:ascii="Arial Narrow" w:hAnsi="Arial Narrow" w:cs="Calibri"/>
                <w:color w:val="000000"/>
                <w:sz w:val="20"/>
                <w:szCs w:val="20"/>
              </w:rPr>
              <w:t>0.0%</w:t>
            </w:r>
          </w:p>
        </w:tc>
        <w:tc>
          <w:tcPr>
            <w:tcW w:w="1137" w:type="dxa"/>
            <w:vAlign w:val="center"/>
            <w:hideMark/>
          </w:tcPr>
          <w:p w14:paraId="6E73B570" w14:textId="77777777" w:rsidR="00D2488F" w:rsidRPr="00E46397" w:rsidRDefault="00D2488F" w:rsidP="00D20E83">
            <w:pPr>
              <w:jc w:val="right"/>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20"/>
                <w:szCs w:val="20"/>
              </w:rPr>
            </w:pPr>
            <w:r w:rsidRPr="00E46397">
              <w:rPr>
                <w:rFonts w:ascii="Arial Narrow" w:hAnsi="Arial Narrow" w:cs="Calibri"/>
                <w:color w:val="000000"/>
                <w:sz w:val="20"/>
                <w:szCs w:val="20"/>
              </w:rPr>
              <w:t>0.1%</w:t>
            </w:r>
          </w:p>
        </w:tc>
        <w:tc>
          <w:tcPr>
            <w:tcW w:w="1297" w:type="dxa"/>
            <w:vAlign w:val="center"/>
            <w:hideMark/>
          </w:tcPr>
          <w:p w14:paraId="68047236" w14:textId="77777777" w:rsidR="00D2488F" w:rsidRPr="00E46397" w:rsidRDefault="00D2488F" w:rsidP="00D20E83">
            <w:pPr>
              <w:jc w:val="right"/>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20"/>
                <w:szCs w:val="20"/>
              </w:rPr>
            </w:pPr>
            <w:r w:rsidRPr="00E46397">
              <w:rPr>
                <w:rFonts w:ascii="Arial Narrow" w:hAnsi="Arial Narrow" w:cs="Calibri"/>
                <w:color w:val="000000"/>
                <w:sz w:val="20"/>
                <w:szCs w:val="20"/>
              </w:rPr>
              <w:t>0.1%</w:t>
            </w:r>
          </w:p>
        </w:tc>
        <w:tc>
          <w:tcPr>
            <w:tcW w:w="1214" w:type="dxa"/>
            <w:vAlign w:val="center"/>
            <w:hideMark/>
          </w:tcPr>
          <w:p w14:paraId="0D9E6A72" w14:textId="77777777" w:rsidR="00D2488F" w:rsidRPr="00E46397" w:rsidRDefault="00D2488F" w:rsidP="00D20E83">
            <w:pPr>
              <w:jc w:val="right"/>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20"/>
                <w:szCs w:val="20"/>
              </w:rPr>
            </w:pPr>
            <w:r w:rsidRPr="00E46397">
              <w:rPr>
                <w:rFonts w:ascii="Arial Narrow" w:hAnsi="Arial Narrow" w:cs="Calibri"/>
                <w:color w:val="000000"/>
                <w:sz w:val="20"/>
                <w:szCs w:val="20"/>
              </w:rPr>
              <w:t>0.5%</w:t>
            </w:r>
          </w:p>
        </w:tc>
        <w:tc>
          <w:tcPr>
            <w:tcW w:w="1310" w:type="dxa"/>
            <w:vAlign w:val="center"/>
            <w:hideMark/>
          </w:tcPr>
          <w:p w14:paraId="11664F50" w14:textId="77777777" w:rsidR="00D2488F" w:rsidRPr="00E46397" w:rsidRDefault="00D2488F" w:rsidP="00D20E83">
            <w:pPr>
              <w:jc w:val="right"/>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20"/>
                <w:szCs w:val="20"/>
              </w:rPr>
            </w:pPr>
            <w:r w:rsidRPr="00E46397">
              <w:rPr>
                <w:rFonts w:ascii="Arial Narrow" w:hAnsi="Arial Narrow" w:cs="Calibri"/>
                <w:color w:val="000000"/>
                <w:sz w:val="20"/>
                <w:szCs w:val="20"/>
              </w:rPr>
              <w:t>0.5%</w:t>
            </w:r>
          </w:p>
        </w:tc>
        <w:tc>
          <w:tcPr>
            <w:tcW w:w="1310" w:type="dxa"/>
            <w:vAlign w:val="center"/>
            <w:hideMark/>
          </w:tcPr>
          <w:p w14:paraId="1CFD76DF" w14:textId="77777777" w:rsidR="00D2488F" w:rsidRPr="00E46397" w:rsidRDefault="00D2488F" w:rsidP="00D20E83">
            <w:pPr>
              <w:jc w:val="right"/>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20"/>
                <w:szCs w:val="20"/>
              </w:rPr>
            </w:pPr>
            <w:r w:rsidRPr="00E46397">
              <w:rPr>
                <w:rFonts w:ascii="Arial Narrow" w:hAnsi="Arial Narrow" w:cs="Calibri"/>
                <w:color w:val="000000"/>
                <w:sz w:val="20"/>
                <w:szCs w:val="20"/>
              </w:rPr>
              <w:t>3.0%</w:t>
            </w:r>
          </w:p>
        </w:tc>
      </w:tr>
      <w:tr w:rsidR="00D2488F" w:rsidRPr="00E46397" w14:paraId="032A5B9C" w14:textId="77777777" w:rsidTr="00D20E83">
        <w:trPr>
          <w:trHeight w:val="340"/>
        </w:trPr>
        <w:tc>
          <w:tcPr>
            <w:cnfStyle w:val="001000000000" w:firstRow="0" w:lastRow="0" w:firstColumn="1" w:lastColumn="0" w:oddVBand="0" w:evenVBand="0" w:oddHBand="0" w:evenHBand="0" w:firstRowFirstColumn="0" w:firstRowLastColumn="0" w:lastRowFirstColumn="0" w:lastRowLastColumn="0"/>
            <w:tcW w:w="2268" w:type="dxa"/>
            <w:noWrap/>
            <w:vAlign w:val="center"/>
            <w:hideMark/>
          </w:tcPr>
          <w:p w14:paraId="44314E04" w14:textId="77777777" w:rsidR="00D2488F" w:rsidRPr="00E46397" w:rsidRDefault="00D2488F" w:rsidP="00D20E83">
            <w:pPr>
              <w:rPr>
                <w:rFonts w:ascii="Arial Narrow" w:hAnsi="Arial Narrow" w:cs="Calibri"/>
                <w:color w:val="000000"/>
                <w:sz w:val="20"/>
                <w:szCs w:val="20"/>
              </w:rPr>
            </w:pPr>
            <w:r w:rsidRPr="00E46397">
              <w:rPr>
                <w:rFonts w:ascii="Arial Narrow" w:hAnsi="Arial Narrow" w:cs="Calibri"/>
                <w:color w:val="000000"/>
                <w:sz w:val="20"/>
                <w:szCs w:val="20"/>
              </w:rPr>
              <w:t>Number sampled</w:t>
            </w:r>
          </w:p>
        </w:tc>
        <w:tc>
          <w:tcPr>
            <w:tcW w:w="1029" w:type="dxa"/>
            <w:noWrap/>
            <w:vAlign w:val="center"/>
            <w:hideMark/>
          </w:tcPr>
          <w:p w14:paraId="328AD19C" w14:textId="77777777" w:rsidR="00D2488F" w:rsidRPr="00E46397" w:rsidRDefault="00D2488F" w:rsidP="00D20E83">
            <w:pPr>
              <w:jc w:val="right"/>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20"/>
                <w:szCs w:val="20"/>
              </w:rPr>
            </w:pPr>
            <w:r w:rsidRPr="00E46397">
              <w:rPr>
                <w:rFonts w:ascii="Arial Narrow" w:hAnsi="Arial Narrow" w:cs="Calibri"/>
                <w:color w:val="000000"/>
                <w:sz w:val="20"/>
                <w:szCs w:val="20"/>
              </w:rPr>
              <w:t xml:space="preserve">3,750 </w:t>
            </w:r>
          </w:p>
        </w:tc>
        <w:tc>
          <w:tcPr>
            <w:tcW w:w="1137" w:type="dxa"/>
            <w:noWrap/>
            <w:vAlign w:val="center"/>
            <w:hideMark/>
          </w:tcPr>
          <w:p w14:paraId="12982591" w14:textId="77777777" w:rsidR="00D2488F" w:rsidRPr="00E46397" w:rsidRDefault="00D2488F" w:rsidP="00D20E83">
            <w:pPr>
              <w:jc w:val="right"/>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20"/>
                <w:szCs w:val="20"/>
              </w:rPr>
            </w:pPr>
            <w:r w:rsidRPr="00E46397">
              <w:rPr>
                <w:rFonts w:ascii="Arial Narrow" w:hAnsi="Arial Narrow" w:cs="Calibri"/>
                <w:color w:val="000000"/>
                <w:sz w:val="20"/>
                <w:szCs w:val="20"/>
              </w:rPr>
              <w:t xml:space="preserve">3,900 </w:t>
            </w:r>
          </w:p>
        </w:tc>
        <w:tc>
          <w:tcPr>
            <w:tcW w:w="1297" w:type="dxa"/>
            <w:noWrap/>
            <w:vAlign w:val="center"/>
            <w:hideMark/>
          </w:tcPr>
          <w:p w14:paraId="71E5E19F" w14:textId="77777777" w:rsidR="00D2488F" w:rsidRPr="00E46397" w:rsidRDefault="00D2488F" w:rsidP="00D20E83">
            <w:pPr>
              <w:jc w:val="right"/>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20"/>
                <w:szCs w:val="20"/>
              </w:rPr>
            </w:pPr>
            <w:r w:rsidRPr="00E46397">
              <w:rPr>
                <w:rFonts w:ascii="Arial Narrow" w:hAnsi="Arial Narrow" w:cs="Calibri"/>
                <w:color w:val="000000"/>
                <w:sz w:val="20"/>
                <w:szCs w:val="20"/>
              </w:rPr>
              <w:t xml:space="preserve">3,754 </w:t>
            </w:r>
          </w:p>
        </w:tc>
        <w:tc>
          <w:tcPr>
            <w:tcW w:w="1214" w:type="dxa"/>
            <w:noWrap/>
            <w:vAlign w:val="center"/>
            <w:hideMark/>
          </w:tcPr>
          <w:p w14:paraId="1B0D8893" w14:textId="77777777" w:rsidR="00D2488F" w:rsidRPr="00E46397" w:rsidRDefault="00D2488F" w:rsidP="00D20E83">
            <w:pPr>
              <w:jc w:val="right"/>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20"/>
                <w:szCs w:val="20"/>
              </w:rPr>
            </w:pPr>
            <w:r w:rsidRPr="00E46397">
              <w:rPr>
                <w:rFonts w:ascii="Arial Narrow" w:hAnsi="Arial Narrow" w:cs="Calibri"/>
                <w:color w:val="000000"/>
                <w:sz w:val="20"/>
                <w:szCs w:val="20"/>
              </w:rPr>
              <w:t xml:space="preserve">3,764 </w:t>
            </w:r>
          </w:p>
        </w:tc>
        <w:tc>
          <w:tcPr>
            <w:tcW w:w="1310" w:type="dxa"/>
            <w:noWrap/>
            <w:vAlign w:val="center"/>
            <w:hideMark/>
          </w:tcPr>
          <w:p w14:paraId="713D33F6" w14:textId="77777777" w:rsidR="00D2488F" w:rsidRPr="00E46397" w:rsidRDefault="00D2488F" w:rsidP="00D20E83">
            <w:pPr>
              <w:jc w:val="right"/>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20"/>
                <w:szCs w:val="20"/>
              </w:rPr>
            </w:pPr>
            <w:r w:rsidRPr="00E46397">
              <w:rPr>
                <w:rFonts w:ascii="Arial Narrow" w:hAnsi="Arial Narrow" w:cs="Calibri"/>
                <w:color w:val="000000"/>
                <w:sz w:val="20"/>
                <w:szCs w:val="20"/>
              </w:rPr>
              <w:t xml:space="preserve">4,115 </w:t>
            </w:r>
          </w:p>
        </w:tc>
        <w:tc>
          <w:tcPr>
            <w:tcW w:w="1310" w:type="dxa"/>
            <w:noWrap/>
            <w:vAlign w:val="center"/>
            <w:hideMark/>
          </w:tcPr>
          <w:p w14:paraId="53FF45EC" w14:textId="77777777" w:rsidR="00D2488F" w:rsidRPr="00E46397" w:rsidRDefault="00D2488F" w:rsidP="00D20E83">
            <w:pPr>
              <w:jc w:val="right"/>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20"/>
                <w:szCs w:val="20"/>
              </w:rPr>
            </w:pPr>
            <w:r w:rsidRPr="00E46397">
              <w:rPr>
                <w:rFonts w:ascii="Arial Narrow" w:hAnsi="Arial Narrow" w:cs="Calibri"/>
                <w:color w:val="000000"/>
                <w:sz w:val="20"/>
                <w:szCs w:val="20"/>
              </w:rPr>
              <w:t xml:space="preserve">3,864 </w:t>
            </w:r>
          </w:p>
        </w:tc>
      </w:tr>
      <w:tr w:rsidR="00D2488F" w:rsidRPr="00E46397" w14:paraId="5ADF6C0A" w14:textId="77777777" w:rsidTr="00D20E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68" w:type="dxa"/>
            <w:noWrap/>
            <w:vAlign w:val="center"/>
            <w:hideMark/>
          </w:tcPr>
          <w:p w14:paraId="0B09203B" w14:textId="77777777" w:rsidR="00D2488F" w:rsidRPr="00E46397" w:rsidRDefault="00D2488F" w:rsidP="00D20E83">
            <w:pPr>
              <w:rPr>
                <w:rFonts w:ascii="Arial Narrow" w:hAnsi="Arial Narrow" w:cs="Calibri"/>
                <w:color w:val="000000"/>
                <w:sz w:val="20"/>
                <w:szCs w:val="20"/>
              </w:rPr>
            </w:pPr>
            <w:r w:rsidRPr="00E46397">
              <w:rPr>
                <w:rFonts w:ascii="Arial Narrow" w:hAnsi="Arial Narrow" w:cs="Calibri"/>
                <w:color w:val="000000"/>
                <w:sz w:val="20"/>
                <w:szCs w:val="20"/>
              </w:rPr>
              <w:t>Number completes</w:t>
            </w:r>
          </w:p>
        </w:tc>
        <w:tc>
          <w:tcPr>
            <w:tcW w:w="1029" w:type="dxa"/>
            <w:noWrap/>
            <w:vAlign w:val="center"/>
            <w:hideMark/>
          </w:tcPr>
          <w:p w14:paraId="78261F85" w14:textId="77777777" w:rsidR="00D2488F" w:rsidRPr="00E46397" w:rsidRDefault="00D2488F" w:rsidP="00D20E83">
            <w:pPr>
              <w:jc w:val="right"/>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20"/>
                <w:szCs w:val="20"/>
              </w:rPr>
            </w:pPr>
            <w:r>
              <w:rPr>
                <w:rFonts w:ascii="Arial Narrow" w:hAnsi="Arial Narrow" w:cs="Calibri"/>
                <w:color w:val="000000"/>
                <w:sz w:val="20"/>
                <w:szCs w:val="20"/>
              </w:rPr>
              <w:t>1,200</w:t>
            </w:r>
          </w:p>
        </w:tc>
        <w:tc>
          <w:tcPr>
            <w:tcW w:w="1137" w:type="dxa"/>
            <w:noWrap/>
            <w:vAlign w:val="center"/>
            <w:hideMark/>
          </w:tcPr>
          <w:p w14:paraId="699428F7" w14:textId="77777777" w:rsidR="00D2488F" w:rsidRPr="00E46397" w:rsidRDefault="00D2488F" w:rsidP="00D20E83">
            <w:pPr>
              <w:jc w:val="right"/>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20"/>
                <w:szCs w:val="20"/>
              </w:rPr>
            </w:pPr>
            <w:r>
              <w:rPr>
                <w:rFonts w:ascii="Arial Narrow" w:hAnsi="Arial Narrow" w:cs="Calibri"/>
                <w:color w:val="000000"/>
                <w:sz w:val="20"/>
                <w:szCs w:val="20"/>
              </w:rPr>
              <w:t>1,200</w:t>
            </w:r>
          </w:p>
        </w:tc>
        <w:tc>
          <w:tcPr>
            <w:tcW w:w="1297" w:type="dxa"/>
            <w:noWrap/>
            <w:vAlign w:val="center"/>
            <w:hideMark/>
          </w:tcPr>
          <w:p w14:paraId="73F47FCB" w14:textId="77777777" w:rsidR="00D2488F" w:rsidRPr="00E46397" w:rsidRDefault="00D2488F" w:rsidP="00D20E83">
            <w:pPr>
              <w:jc w:val="right"/>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20"/>
                <w:szCs w:val="20"/>
              </w:rPr>
            </w:pPr>
            <w:r>
              <w:rPr>
                <w:rFonts w:ascii="Arial Narrow" w:hAnsi="Arial Narrow" w:cs="Calibri"/>
                <w:color w:val="000000"/>
                <w:sz w:val="20"/>
                <w:szCs w:val="20"/>
              </w:rPr>
              <w:t>1,200</w:t>
            </w:r>
          </w:p>
        </w:tc>
        <w:tc>
          <w:tcPr>
            <w:tcW w:w="1214" w:type="dxa"/>
            <w:noWrap/>
            <w:vAlign w:val="center"/>
            <w:hideMark/>
          </w:tcPr>
          <w:p w14:paraId="05D77673" w14:textId="77777777" w:rsidR="00D2488F" w:rsidRPr="00E46397" w:rsidRDefault="00D2488F" w:rsidP="00D20E83">
            <w:pPr>
              <w:jc w:val="right"/>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20"/>
                <w:szCs w:val="20"/>
              </w:rPr>
            </w:pPr>
            <w:r>
              <w:rPr>
                <w:rFonts w:ascii="Arial Narrow" w:hAnsi="Arial Narrow" w:cs="Calibri"/>
                <w:color w:val="000000"/>
                <w:sz w:val="20"/>
                <w:szCs w:val="20"/>
              </w:rPr>
              <w:t>1,200</w:t>
            </w:r>
          </w:p>
        </w:tc>
        <w:tc>
          <w:tcPr>
            <w:tcW w:w="1310" w:type="dxa"/>
            <w:noWrap/>
            <w:vAlign w:val="center"/>
            <w:hideMark/>
          </w:tcPr>
          <w:p w14:paraId="35E7DC3D" w14:textId="77777777" w:rsidR="00D2488F" w:rsidRPr="00E46397" w:rsidRDefault="00D2488F" w:rsidP="00D20E83">
            <w:pPr>
              <w:jc w:val="right"/>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20"/>
                <w:szCs w:val="20"/>
              </w:rPr>
            </w:pPr>
            <w:r>
              <w:rPr>
                <w:rFonts w:ascii="Arial Narrow" w:hAnsi="Arial Narrow" w:cs="Calibri"/>
                <w:color w:val="000000"/>
                <w:sz w:val="20"/>
                <w:szCs w:val="20"/>
              </w:rPr>
              <w:t>1,200</w:t>
            </w:r>
          </w:p>
        </w:tc>
        <w:tc>
          <w:tcPr>
            <w:tcW w:w="1310" w:type="dxa"/>
            <w:noWrap/>
            <w:vAlign w:val="center"/>
            <w:hideMark/>
          </w:tcPr>
          <w:p w14:paraId="1AF8EE6C" w14:textId="77777777" w:rsidR="00D2488F" w:rsidRPr="00E46397" w:rsidRDefault="00D2488F" w:rsidP="00D20E83">
            <w:pPr>
              <w:jc w:val="right"/>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20"/>
                <w:szCs w:val="20"/>
              </w:rPr>
            </w:pPr>
            <w:r>
              <w:rPr>
                <w:rFonts w:ascii="Arial Narrow" w:hAnsi="Arial Narrow" w:cs="Calibri"/>
                <w:color w:val="000000"/>
                <w:sz w:val="20"/>
                <w:szCs w:val="20"/>
              </w:rPr>
              <w:t>1,200</w:t>
            </w:r>
          </w:p>
        </w:tc>
      </w:tr>
    </w:tbl>
    <w:p w14:paraId="4840AE6C" w14:textId="77777777" w:rsidR="00D2488F" w:rsidRDefault="00D2488F" w:rsidP="00D2488F">
      <w:pPr>
        <w:pStyle w:val="PBodyText"/>
        <w:rPr>
          <w:szCs w:val="24"/>
        </w:rPr>
      </w:pPr>
    </w:p>
    <w:p w14:paraId="06FA6712" w14:textId="360C97EE" w:rsidR="009820D2" w:rsidRPr="00D94F0D" w:rsidRDefault="009820D2" w:rsidP="009820D2">
      <w:pPr>
        <w:spacing w:after="120"/>
        <w:rPr>
          <w:rFonts w:cs="Times New Roman"/>
          <w:szCs w:val="24"/>
        </w:rPr>
      </w:pPr>
      <w:r>
        <w:t xml:space="preserve">Consumers who have indicated a Chinese language preference will be oversampled. </w:t>
      </w:r>
      <w:r w:rsidRPr="007D2493">
        <w:t>Oversampling will be</w:t>
      </w:r>
      <w:r w:rsidRPr="00AE0200">
        <w:t xml:space="preserve"> conducted using a strategy similar to what was used for the psychometric test</w:t>
      </w:r>
      <w:r w:rsidRPr="00D94F0D">
        <w:rPr>
          <w:rFonts w:cs="Times New Roman"/>
          <w:szCs w:val="24"/>
        </w:rPr>
        <w:t>:</w:t>
      </w:r>
    </w:p>
    <w:p w14:paraId="4F50CEB2" w14:textId="77777777" w:rsidR="009820D2" w:rsidRPr="00D94F0D" w:rsidRDefault="009820D2" w:rsidP="009820D2">
      <w:pPr>
        <w:numPr>
          <w:ilvl w:val="0"/>
          <w:numId w:val="60"/>
        </w:numPr>
        <w:spacing w:after="120"/>
        <w:rPr>
          <w:rFonts w:eastAsiaTheme="minorEastAsia" w:cs="Times New Roman"/>
          <w:szCs w:val="24"/>
        </w:rPr>
      </w:pPr>
      <w:r w:rsidRPr="00D94F0D">
        <w:rPr>
          <w:rFonts w:eastAsiaTheme="minorEastAsia" w:cs="Times New Roman"/>
          <w:szCs w:val="24"/>
        </w:rPr>
        <w:t>CMS will create a separate sampling frame that includes only consumers who indicate a Chinese language preference; this population will thus comprise its own separate stratum.</w:t>
      </w:r>
    </w:p>
    <w:p w14:paraId="6A165320" w14:textId="24A4FA85" w:rsidR="009820D2" w:rsidRPr="00D94F0D" w:rsidRDefault="009820D2" w:rsidP="009820D2">
      <w:pPr>
        <w:numPr>
          <w:ilvl w:val="0"/>
          <w:numId w:val="60"/>
        </w:numPr>
        <w:spacing w:after="120"/>
        <w:rPr>
          <w:rFonts w:eastAsiaTheme="minorEastAsia" w:cs="Times New Roman"/>
          <w:szCs w:val="24"/>
        </w:rPr>
      </w:pPr>
      <w:r w:rsidRPr="00D94F0D">
        <w:rPr>
          <w:rFonts w:eastAsiaTheme="minorEastAsia" w:cs="Times New Roman"/>
          <w:szCs w:val="24"/>
        </w:rPr>
        <w:t>CMS will sort the Chinese frame by state and a random number and draw a systematic random sample of 2,</w:t>
      </w:r>
      <w:r w:rsidR="007D2493">
        <w:rPr>
          <w:rFonts w:eastAsiaTheme="minorEastAsia" w:cs="Times New Roman"/>
          <w:szCs w:val="24"/>
        </w:rPr>
        <w:t xml:space="preserve">200 </w:t>
      </w:r>
      <w:r w:rsidRPr="00D94F0D">
        <w:rPr>
          <w:rFonts w:eastAsiaTheme="minorEastAsia" w:cs="Times New Roman"/>
          <w:szCs w:val="24"/>
        </w:rPr>
        <w:t>consumers from the frame. With this implicit stratification by state, the size of the sample drawn from each state will be proportional to the population share of consumers with a Chinese language preference in that state.</w:t>
      </w:r>
    </w:p>
    <w:p w14:paraId="757FE6B0" w14:textId="23674C0F" w:rsidR="009820D2" w:rsidRDefault="009820D2" w:rsidP="009820D2">
      <w:pPr>
        <w:numPr>
          <w:ilvl w:val="0"/>
          <w:numId w:val="60"/>
        </w:numPr>
        <w:spacing w:after="120"/>
        <w:rPr>
          <w:rFonts w:eastAsiaTheme="minorEastAsia" w:cs="Times New Roman"/>
          <w:szCs w:val="24"/>
        </w:rPr>
      </w:pPr>
      <w:r w:rsidRPr="00D94F0D">
        <w:rPr>
          <w:rFonts w:eastAsiaTheme="minorEastAsia" w:cs="Times New Roman"/>
          <w:szCs w:val="24"/>
        </w:rPr>
        <w:t>Assuming a 36% response rate, a sample of 2,</w:t>
      </w:r>
      <w:r w:rsidR="007D2493">
        <w:rPr>
          <w:rFonts w:eastAsiaTheme="minorEastAsia" w:cs="Times New Roman"/>
          <w:szCs w:val="24"/>
        </w:rPr>
        <w:t xml:space="preserve">200 </w:t>
      </w:r>
      <w:r w:rsidRPr="00D94F0D">
        <w:rPr>
          <w:rFonts w:eastAsiaTheme="minorEastAsia" w:cs="Times New Roman"/>
          <w:szCs w:val="24"/>
        </w:rPr>
        <w:t xml:space="preserve">will yield </w:t>
      </w:r>
      <w:r w:rsidR="007D2493">
        <w:rPr>
          <w:rFonts w:eastAsiaTheme="minorEastAsia" w:cs="Times New Roman"/>
          <w:szCs w:val="24"/>
        </w:rPr>
        <w:t>792</w:t>
      </w:r>
      <w:r w:rsidRPr="00D94F0D">
        <w:rPr>
          <w:rFonts w:eastAsiaTheme="minorEastAsia" w:cs="Times New Roman"/>
          <w:szCs w:val="24"/>
        </w:rPr>
        <w:t xml:space="preserve"> completed surveys in Chinese.</w:t>
      </w:r>
    </w:p>
    <w:p w14:paraId="11AB884B" w14:textId="4A0E6551" w:rsidR="00F709BD" w:rsidRPr="00D94F0D" w:rsidRDefault="00F709BD" w:rsidP="009820D2">
      <w:pPr>
        <w:numPr>
          <w:ilvl w:val="0"/>
          <w:numId w:val="60"/>
        </w:numPr>
        <w:spacing w:after="120"/>
        <w:rPr>
          <w:rFonts w:eastAsiaTheme="minorEastAsia" w:cs="Times New Roman"/>
          <w:szCs w:val="24"/>
        </w:rPr>
      </w:pPr>
      <w:r>
        <w:rPr>
          <w:rFonts w:eastAsiaTheme="minorEastAsia" w:cs="Times New Roman"/>
          <w:szCs w:val="24"/>
        </w:rPr>
        <w:t xml:space="preserve">The English sample will be reduced by 1,907 (2,200 – 293) to compensate for the larger Chinese sample size, and </w:t>
      </w:r>
      <w:r w:rsidR="00A93891">
        <w:rPr>
          <w:rFonts w:eastAsiaTheme="minorEastAsia" w:cs="Times New Roman"/>
          <w:szCs w:val="24"/>
        </w:rPr>
        <w:t>keep the target number of completed survey constant</w:t>
      </w:r>
      <w:r>
        <w:rPr>
          <w:rFonts w:eastAsiaTheme="minorEastAsia" w:cs="Times New Roman"/>
          <w:szCs w:val="24"/>
        </w:rPr>
        <w:t>.</w:t>
      </w:r>
    </w:p>
    <w:p w14:paraId="41AE5989" w14:textId="0204A353" w:rsidR="009820D2" w:rsidRDefault="009820D2" w:rsidP="00F523A8">
      <w:r>
        <w:t xml:space="preserve"> </w:t>
      </w:r>
    </w:p>
    <w:p w14:paraId="796B8F4A" w14:textId="3C510801" w:rsidR="00EC616C" w:rsidRPr="00EC616C" w:rsidRDefault="000518F4" w:rsidP="00F523A8">
      <w:r w:rsidRPr="007D2493">
        <w:t>This approach will yield a to</w:t>
      </w:r>
      <w:r w:rsidRPr="00AE0200">
        <w:t xml:space="preserve">tal sample of </w:t>
      </w:r>
      <w:r w:rsidR="00117095" w:rsidRPr="00C76274">
        <w:t>around</w:t>
      </w:r>
      <w:r w:rsidR="00970DB3" w:rsidRPr="00C76274">
        <w:t xml:space="preserve"> 16</w:t>
      </w:r>
      <w:r w:rsidR="00117095" w:rsidRPr="00C76274">
        <w:t>7</w:t>
      </w:r>
      <w:r w:rsidR="00970DB3" w:rsidRPr="00C76274">
        <w:t>,</w:t>
      </w:r>
      <w:r w:rsidR="00117095" w:rsidRPr="00C76274">
        <w:t>2</w:t>
      </w:r>
      <w:r w:rsidR="00970DB3" w:rsidRPr="00C76274">
        <w:t>00</w:t>
      </w:r>
      <w:r w:rsidRPr="007D2493">
        <w:t xml:space="preserve"> individuals</w:t>
      </w:r>
      <w:r w:rsidR="002E7718">
        <w:t xml:space="preserve">, </w:t>
      </w:r>
      <w:r w:rsidR="0042012E">
        <w:t xml:space="preserve">and should result </w:t>
      </w:r>
      <w:r w:rsidR="002E7718">
        <w:t xml:space="preserve">in </w:t>
      </w:r>
      <w:r w:rsidR="00970DB3">
        <w:t>52,800</w:t>
      </w:r>
      <w:r w:rsidR="002E7718">
        <w:t xml:space="preserve"> completed surveys</w:t>
      </w:r>
      <w:r>
        <w:t>.</w:t>
      </w:r>
      <w:r w:rsidR="002E7718">
        <w:t xml:space="preserve"> For the beta test, </w:t>
      </w:r>
      <w:r w:rsidR="00316D06">
        <w:t>individuals who specified a written or spoken language preference of Spanish or Chinese will be sent the survey in the requested language</w:t>
      </w:r>
      <w:r w:rsidR="002E7718" w:rsidRPr="009B50A3">
        <w:rPr>
          <w:szCs w:val="24"/>
        </w:rPr>
        <w:t>.</w:t>
      </w:r>
      <w:r w:rsidR="002E7718" w:rsidRPr="003B1CDF">
        <w:rPr>
          <w:szCs w:val="24"/>
        </w:rPr>
        <w:t xml:space="preserve"> </w:t>
      </w:r>
      <w:r w:rsidR="00316D06">
        <w:rPr>
          <w:szCs w:val="24"/>
        </w:rPr>
        <w:t xml:space="preserve">All other individuals, including cases that do not include a language preference, will receive the survey in English that includes tag lines in Spanish and Chinese noting that the individual can request the survey in these languages. Individuals who specified a language preference other than English, Spanish, or Chinese will </w:t>
      </w:r>
      <w:r w:rsidR="00A5236D">
        <w:rPr>
          <w:szCs w:val="24"/>
        </w:rPr>
        <w:t>not be included in the frame and thus cannot be sampled</w:t>
      </w:r>
      <w:r w:rsidR="00316D06">
        <w:rPr>
          <w:szCs w:val="24"/>
        </w:rPr>
        <w:t xml:space="preserve">. </w:t>
      </w:r>
      <w:r w:rsidR="002E7718">
        <w:rPr>
          <w:szCs w:val="24"/>
        </w:rPr>
        <w:t>It is estimated that t</w:t>
      </w:r>
      <w:r w:rsidR="002E7718" w:rsidRPr="009B50A3">
        <w:rPr>
          <w:szCs w:val="24"/>
        </w:rPr>
        <w:t xml:space="preserve">his </w:t>
      </w:r>
      <w:r w:rsidR="002E7718">
        <w:rPr>
          <w:szCs w:val="24"/>
        </w:rPr>
        <w:t xml:space="preserve">approach will result in just over </w:t>
      </w:r>
      <w:r w:rsidR="00316D06">
        <w:rPr>
          <w:szCs w:val="24"/>
        </w:rPr>
        <w:t>2,640</w:t>
      </w:r>
      <w:r w:rsidR="002E7718" w:rsidRPr="009B50A3">
        <w:rPr>
          <w:szCs w:val="24"/>
        </w:rPr>
        <w:t xml:space="preserve"> (</w:t>
      </w:r>
      <w:r w:rsidR="00316D06">
        <w:rPr>
          <w:szCs w:val="24"/>
        </w:rPr>
        <w:t>5</w:t>
      </w:r>
      <w:r w:rsidR="002E7718" w:rsidRPr="009B50A3">
        <w:rPr>
          <w:szCs w:val="24"/>
        </w:rPr>
        <w:t xml:space="preserve">%) </w:t>
      </w:r>
      <w:r w:rsidR="002E7718">
        <w:rPr>
          <w:szCs w:val="24"/>
        </w:rPr>
        <w:t xml:space="preserve">surveys completed in </w:t>
      </w:r>
      <w:r w:rsidR="002E7718" w:rsidRPr="009B50A3">
        <w:rPr>
          <w:szCs w:val="24"/>
        </w:rPr>
        <w:t xml:space="preserve">Spanish and </w:t>
      </w:r>
      <w:r w:rsidR="00316D06">
        <w:rPr>
          <w:szCs w:val="24"/>
        </w:rPr>
        <w:t xml:space="preserve">approximately </w:t>
      </w:r>
      <w:r w:rsidR="00F709BD">
        <w:rPr>
          <w:szCs w:val="24"/>
        </w:rPr>
        <w:t>792</w:t>
      </w:r>
      <w:r w:rsidR="002E7718" w:rsidRPr="009B50A3">
        <w:rPr>
          <w:szCs w:val="24"/>
        </w:rPr>
        <w:t xml:space="preserve"> (</w:t>
      </w:r>
      <w:r w:rsidR="00316D06">
        <w:rPr>
          <w:szCs w:val="24"/>
        </w:rPr>
        <w:t>1.5</w:t>
      </w:r>
      <w:r w:rsidR="002E7718" w:rsidRPr="009B50A3">
        <w:rPr>
          <w:szCs w:val="24"/>
        </w:rPr>
        <w:t>%)</w:t>
      </w:r>
      <w:r w:rsidR="002E7718">
        <w:rPr>
          <w:szCs w:val="24"/>
        </w:rPr>
        <w:t xml:space="preserve"> surveys completed in Chinese.</w:t>
      </w:r>
    </w:p>
    <w:p w14:paraId="796B8F4B" w14:textId="77777777" w:rsidR="00DA5C3E" w:rsidRDefault="00DA5C3E">
      <w:pPr>
        <w:pStyle w:val="Heading2"/>
        <w:numPr>
          <w:ilvl w:val="1"/>
          <w:numId w:val="50"/>
        </w:numPr>
        <w:rPr>
          <w:highlight w:val="yellow"/>
        </w:rPr>
        <w:sectPr w:rsidR="00DA5C3E" w:rsidSect="00E675A7">
          <w:footerReference w:type="default" r:id="rId19"/>
          <w:endnotePr>
            <w:numFmt w:val="decimal"/>
          </w:endnotePr>
          <w:pgSz w:w="12240" w:h="15840" w:code="1"/>
          <w:pgMar w:top="1440" w:right="1440" w:bottom="1440" w:left="1440" w:header="720" w:footer="720" w:gutter="0"/>
          <w:cols w:space="720"/>
          <w:noEndnote/>
        </w:sectPr>
      </w:pPr>
    </w:p>
    <w:p w14:paraId="796B8F4D" w14:textId="4FCB0125" w:rsidR="00101D3E" w:rsidRPr="002E7718" w:rsidRDefault="000C7C35" w:rsidP="00F523A8">
      <w:pPr>
        <w:pStyle w:val="Heading2"/>
        <w:numPr>
          <w:ilvl w:val="1"/>
          <w:numId w:val="50"/>
        </w:numPr>
      </w:pPr>
      <w:bookmarkStart w:id="91" w:name="_Toc376689013"/>
      <w:bookmarkStart w:id="92" w:name="_Toc376689119"/>
      <w:bookmarkStart w:id="93" w:name="_Toc376768551"/>
      <w:bookmarkStart w:id="94" w:name="_Toc377030777"/>
      <w:bookmarkStart w:id="95" w:name="_Toc376689014"/>
      <w:bookmarkStart w:id="96" w:name="_Toc376689120"/>
      <w:bookmarkStart w:id="97" w:name="_Toc376768552"/>
      <w:bookmarkStart w:id="98" w:name="_Toc377030778"/>
      <w:bookmarkStart w:id="99" w:name="_Toc375154523"/>
      <w:bookmarkStart w:id="100" w:name="_Toc396204803"/>
      <w:bookmarkEnd w:id="91"/>
      <w:bookmarkEnd w:id="92"/>
      <w:bookmarkEnd w:id="93"/>
      <w:bookmarkEnd w:id="94"/>
      <w:bookmarkEnd w:id="95"/>
      <w:bookmarkEnd w:id="96"/>
      <w:bookmarkEnd w:id="97"/>
      <w:bookmarkEnd w:id="98"/>
      <w:r>
        <w:lastRenderedPageBreak/>
        <w:t>QHP Enrollee Survey</w:t>
      </w:r>
      <w:bookmarkEnd w:id="99"/>
      <w:bookmarkEnd w:id="100"/>
    </w:p>
    <w:p w14:paraId="796B8F4E" w14:textId="29BD22CF" w:rsidR="00EC616C" w:rsidRDefault="00EC616C" w:rsidP="002E7718">
      <w:pPr>
        <w:pStyle w:val="Heading3"/>
        <w:numPr>
          <w:ilvl w:val="2"/>
          <w:numId w:val="50"/>
        </w:numPr>
      </w:pPr>
      <w:bookmarkStart w:id="101" w:name="_Toc396204804"/>
      <w:r>
        <w:t>Respondent Universe</w:t>
      </w:r>
      <w:bookmarkEnd w:id="101"/>
      <w:r w:rsidR="00147B7E">
        <w:t>, Study Population, and Sampling Frame</w:t>
      </w:r>
    </w:p>
    <w:p w14:paraId="796B8F50" w14:textId="586F54A1" w:rsidR="005A2BA0" w:rsidRPr="002E7718" w:rsidRDefault="00F907EC" w:rsidP="001F2B28">
      <w:pPr>
        <w:pStyle w:val="PBodyText"/>
      </w:pPr>
      <w:r w:rsidRPr="00F907EC">
        <w:t xml:space="preserve">The respondent universe is the theoretical population to which we want our findings to apply. The study population is the population to which we can gain access, and the sampling frame is the means by which we can access this study population. </w:t>
      </w:r>
    </w:p>
    <w:p w14:paraId="796B8F51" w14:textId="439F7C05" w:rsidR="00EC616C" w:rsidRDefault="00EC616C" w:rsidP="00EC616C">
      <w:pPr>
        <w:pStyle w:val="Heading4"/>
      </w:pPr>
      <w:r>
        <w:t xml:space="preserve">1.2.1.1 </w:t>
      </w:r>
      <w:r w:rsidR="006C7164">
        <w:t xml:space="preserve">Psychometric </w:t>
      </w:r>
      <w:r>
        <w:t>Test</w:t>
      </w:r>
    </w:p>
    <w:p w14:paraId="796B8F52" w14:textId="638CF8E8" w:rsidR="00EC616C" w:rsidRDefault="004F2FB8" w:rsidP="00FF5526">
      <w:pPr>
        <w:pStyle w:val="PBodyText"/>
      </w:pPr>
      <w:r>
        <w:t xml:space="preserve">The QHP Enrollee Survey psychometric test sampling </w:t>
      </w:r>
      <w:r w:rsidR="00B333A3">
        <w:t>took</w:t>
      </w:r>
      <w:r>
        <w:t xml:space="preserve"> place in August 2014</w:t>
      </w:r>
      <w:r w:rsidR="00B333A3">
        <w:t>, and</w:t>
      </w:r>
      <w:r>
        <w:t xml:space="preserve"> data collection </w:t>
      </w:r>
      <w:r w:rsidR="00B333A3">
        <w:t xml:space="preserve">was carried out </w:t>
      </w:r>
      <w:r>
        <w:t xml:space="preserve">from the very end of August through the very beginning of December 2014. </w:t>
      </w:r>
      <w:r w:rsidR="00B333A3">
        <w:t>We defined t</w:t>
      </w:r>
      <w:r w:rsidR="00B4055F">
        <w:t xml:space="preserve">he respondent universe for the </w:t>
      </w:r>
      <w:r w:rsidR="009D46D8">
        <w:t>psychometric test</w:t>
      </w:r>
      <w:r w:rsidR="00B4055F">
        <w:t xml:space="preserve"> of the QHP survey as </w:t>
      </w:r>
      <w:r w:rsidR="00DC4981">
        <w:t xml:space="preserve">any </w:t>
      </w:r>
      <w:r w:rsidR="00B4055F">
        <w:t>adult (age 18+) enrolled in a QHP</w:t>
      </w:r>
      <w:r w:rsidR="004C31C3">
        <w:t xml:space="preserve"> through the FFM</w:t>
      </w:r>
      <w:r w:rsidR="00B4055F">
        <w:t>.</w:t>
      </w:r>
      <w:r w:rsidR="00B4055F">
        <w:rPr>
          <w:rStyle w:val="FootnoteReference"/>
        </w:rPr>
        <w:footnoteReference w:id="17"/>
      </w:r>
      <w:r w:rsidR="00B4055F">
        <w:t xml:space="preserve">  </w:t>
      </w:r>
      <w:r w:rsidR="00B333A3">
        <w:t>We defined t</w:t>
      </w:r>
      <w:r w:rsidR="00DC4981">
        <w:t xml:space="preserve">he study population as </w:t>
      </w:r>
      <w:r w:rsidR="00B66436">
        <w:t>all individuals 18 years or older who</w:t>
      </w:r>
      <w:r w:rsidR="002E3305">
        <w:t xml:space="preserve">se coverage </w:t>
      </w:r>
      <w:r w:rsidR="00B333A3">
        <w:t xml:space="preserve">started </w:t>
      </w:r>
      <w:r w:rsidR="002E3305">
        <w:t xml:space="preserve">no later than </w:t>
      </w:r>
      <w:r w:rsidR="00DB5840">
        <w:t xml:space="preserve">April </w:t>
      </w:r>
      <w:r w:rsidR="002E3305">
        <w:t>1, 2014</w:t>
      </w:r>
      <w:r w:rsidR="00917A48">
        <w:t>,</w:t>
      </w:r>
      <w:r w:rsidR="00B66436">
        <w:t xml:space="preserve"> and </w:t>
      </w:r>
      <w:r w:rsidR="00B333A3">
        <w:t>were</w:t>
      </w:r>
      <w:r w:rsidR="00B66436">
        <w:t xml:space="preserve"> enrolled in a QHP for </w:t>
      </w:r>
      <w:r w:rsidR="002E3305">
        <w:t xml:space="preserve">at least </w:t>
      </w:r>
      <w:r w:rsidR="00B66436">
        <w:t xml:space="preserve">5 </w:t>
      </w:r>
      <w:r w:rsidR="002E3305">
        <w:t xml:space="preserve">consecutive </w:t>
      </w:r>
      <w:r w:rsidR="00B66436">
        <w:t>months.</w:t>
      </w:r>
      <w:r w:rsidR="00D30F6A">
        <w:t xml:space="preserve"> This requirement is a departure from the standard CAHPS approach, which includes enrollees who have been enrolled for 6 months or longer with no more than one 30-day break in enrollment during the 6 months.</w:t>
      </w:r>
      <w:r w:rsidR="00B4055F">
        <w:t xml:space="preserve"> </w:t>
      </w:r>
      <w:r w:rsidR="00D30F6A">
        <w:t xml:space="preserve">Because we </w:t>
      </w:r>
      <w:r w:rsidR="00B333A3">
        <w:t>used</w:t>
      </w:r>
      <w:r w:rsidR="00D30F6A">
        <w:t xml:space="preserve"> survey screener questions to identify eligible QHP enrollees, the enrollment time requirement had to be simplified to work within the limitations of survey question wording and be understandable to respondents. </w:t>
      </w:r>
      <w:r w:rsidR="00B66436">
        <w:t>A</w:t>
      </w:r>
      <w:r w:rsidR="00B4055F">
        <w:t xml:space="preserve">nyone with coverage beginning later than </w:t>
      </w:r>
      <w:r w:rsidR="00DB5840">
        <w:t xml:space="preserve">April </w:t>
      </w:r>
      <w:r w:rsidR="00B4055F">
        <w:t xml:space="preserve">1, 2014, </w:t>
      </w:r>
      <w:r w:rsidR="00B333A3">
        <w:t xml:space="preserve">would </w:t>
      </w:r>
      <w:r w:rsidR="00B4055F">
        <w:t xml:space="preserve">not have been enrolled long enough by the time </w:t>
      </w:r>
      <w:r>
        <w:t>enrollees beg</w:t>
      </w:r>
      <w:r w:rsidR="00B333A3">
        <w:t>an</w:t>
      </w:r>
      <w:r>
        <w:t xml:space="preserve"> responding to the surveys</w:t>
      </w:r>
      <w:r w:rsidR="002E3305">
        <w:t xml:space="preserve"> in </w:t>
      </w:r>
      <w:r w:rsidR="00DB5840">
        <w:t xml:space="preserve">September </w:t>
      </w:r>
      <w:r w:rsidR="00B4055F">
        <w:t>of 2014.</w:t>
      </w:r>
      <w:r w:rsidR="00DC4981" w:rsidRPr="00DC4981">
        <w:t xml:space="preserve"> </w:t>
      </w:r>
      <w:r w:rsidR="00DC4981" w:rsidRPr="00F907EC">
        <w:t xml:space="preserve">The </w:t>
      </w:r>
      <w:r w:rsidR="009D46D8">
        <w:t>psychometric test</w:t>
      </w:r>
      <w:r w:rsidR="00DC4981">
        <w:t xml:space="preserve"> </w:t>
      </w:r>
      <w:r w:rsidR="00DC4981" w:rsidRPr="00F907EC">
        <w:t xml:space="preserve">sampling frame </w:t>
      </w:r>
      <w:r w:rsidR="00B333A3">
        <w:t>was</w:t>
      </w:r>
      <w:r w:rsidR="00DC4981" w:rsidRPr="00F907EC">
        <w:t xml:space="preserve"> list-based and constructed from records contained in CMS databases.</w:t>
      </w:r>
    </w:p>
    <w:p w14:paraId="6A76B11C" w14:textId="4080E5AC" w:rsidR="00DC31CB" w:rsidRDefault="00BD5983" w:rsidP="00FF5526">
      <w:pPr>
        <w:pStyle w:val="PBodyText"/>
      </w:pPr>
      <w:r>
        <w:t xml:space="preserve">There is some potential </w:t>
      </w:r>
      <w:r w:rsidRPr="00BD5983">
        <w:t xml:space="preserve">for bias </w:t>
      </w:r>
      <w:r>
        <w:t xml:space="preserve">in the QHP </w:t>
      </w:r>
      <w:r w:rsidR="009D46D8">
        <w:t>psychometric test</w:t>
      </w:r>
      <w:r>
        <w:t xml:space="preserve"> </w:t>
      </w:r>
      <w:r w:rsidRPr="00BD5983">
        <w:t>due to website issues and enrollment problems in the first two months of open enrollment</w:t>
      </w:r>
      <w:r>
        <w:t>. It is partially</w:t>
      </w:r>
      <w:r w:rsidRPr="00BD5983">
        <w:t xml:space="preserve"> mitigated by </w:t>
      </w:r>
      <w:r>
        <w:t xml:space="preserve">extending the eligibility period to include </w:t>
      </w:r>
      <w:r w:rsidRPr="00BD5983">
        <w:t>enrollees whose cover</w:t>
      </w:r>
      <w:r>
        <w:t xml:space="preserve">age </w:t>
      </w:r>
      <w:r w:rsidR="00C7037F">
        <w:t xml:space="preserve">begins </w:t>
      </w:r>
      <w:r>
        <w:t xml:space="preserve">as late as </w:t>
      </w:r>
      <w:r w:rsidR="004F2FB8">
        <w:t xml:space="preserve">April </w:t>
      </w:r>
      <w:r>
        <w:t>1, 2014. T</w:t>
      </w:r>
      <w:r w:rsidRPr="00BD5983">
        <w:t xml:space="preserve">his approach will include those who </w:t>
      </w:r>
      <w:r w:rsidR="00521A81">
        <w:t>submitted a marketplace application</w:t>
      </w:r>
      <w:r w:rsidR="00521A81" w:rsidRPr="00BD5983">
        <w:t xml:space="preserve"> </w:t>
      </w:r>
      <w:r w:rsidRPr="00BD5983">
        <w:t xml:space="preserve">anytime between October 1, 2013 and </w:t>
      </w:r>
      <w:r w:rsidR="00521A81">
        <w:t>March 30</w:t>
      </w:r>
      <w:r w:rsidRPr="00BD5983">
        <w:t>, 2014.</w:t>
      </w:r>
      <w:r w:rsidR="00DC31CB">
        <w:t xml:space="preserve"> Survey eligibility will be verified using screening question</w:t>
      </w:r>
      <w:r w:rsidR="00462D49">
        <w:t>s</w:t>
      </w:r>
      <w:r w:rsidR="00DC31CB">
        <w:t xml:space="preserve"> on the QHP Enrollee Survey.</w:t>
      </w:r>
      <w:r w:rsidRPr="00BD5983">
        <w:t xml:space="preserve"> </w:t>
      </w:r>
    </w:p>
    <w:p w14:paraId="796B8F53" w14:textId="66755C02" w:rsidR="00BD5983" w:rsidRDefault="00BD5983" w:rsidP="00FF5526">
      <w:pPr>
        <w:pStyle w:val="PBodyText"/>
      </w:pPr>
      <w:r w:rsidRPr="00BD5983">
        <w:t xml:space="preserve">This limitation could only be mitigated further by relaxing the </w:t>
      </w:r>
      <w:r w:rsidR="002E3305">
        <w:t>five</w:t>
      </w:r>
      <w:r w:rsidRPr="00BD5983">
        <w:t xml:space="preserve">-month enrollment requirement for eligibility. </w:t>
      </w:r>
      <w:r>
        <w:t>However, the consequence of</w:t>
      </w:r>
      <w:r w:rsidRPr="00BD5983">
        <w:t xml:space="preserve"> relaxing that requirement is that fewer enrollees will have had any experiences with their plans and providers, </w:t>
      </w:r>
      <w:r w:rsidR="00652F15">
        <w:t>which would make</w:t>
      </w:r>
      <w:r w:rsidRPr="00BD5983">
        <w:t xml:space="preserve"> them screen out of many of the substantive survey questions. </w:t>
      </w:r>
      <w:r>
        <w:t>CMS and its contractor will</w:t>
      </w:r>
      <w:r w:rsidRPr="00BD5983">
        <w:t xml:space="preserve"> include the month of enrollment in analysis models to test if there are differences in patterns of responses and measurement properties </w:t>
      </w:r>
      <w:r>
        <w:t>over</w:t>
      </w:r>
      <w:r w:rsidRPr="00BD5983">
        <w:t xml:space="preserve"> time.</w:t>
      </w:r>
    </w:p>
    <w:p w14:paraId="0C381A47" w14:textId="013318BF" w:rsidR="00546FED" w:rsidRDefault="00546FED" w:rsidP="00FF5526">
      <w:pPr>
        <w:pStyle w:val="PBodyText"/>
      </w:pPr>
      <w:r>
        <w:lastRenderedPageBreak/>
        <w:t xml:space="preserve">The psychometric test component of this information collection is not designed to provide state-level  or QHP-level estimates; as such only the aggregate results of this analysis will be discussed or disseminated.  </w:t>
      </w:r>
    </w:p>
    <w:p w14:paraId="796B8F54" w14:textId="2BF7D5F8" w:rsidR="00EC616C" w:rsidRDefault="00EC616C" w:rsidP="00EC616C">
      <w:pPr>
        <w:pStyle w:val="Heading4"/>
      </w:pPr>
      <w:r>
        <w:t>1.2.1.2 Beta Test</w:t>
      </w:r>
      <w:r w:rsidR="00D8197F">
        <w:t xml:space="preserve"> Component</w:t>
      </w:r>
    </w:p>
    <w:p w14:paraId="796B8F55" w14:textId="5DD866CE" w:rsidR="00EC616C" w:rsidRDefault="00DC4981" w:rsidP="00FF5526">
      <w:pPr>
        <w:pStyle w:val="PBodyText"/>
      </w:pPr>
      <w:r>
        <w:t>The respondent universe for the beta test of the QHP survey is defined as any adult (age 18+) enrolled in a QHP</w:t>
      </w:r>
      <w:r w:rsidR="004C31C3">
        <w:t xml:space="preserve"> through both the Federal and State-based maketplaces</w:t>
      </w:r>
      <w:r>
        <w:t>. The study population i</w:t>
      </w:r>
      <w:r w:rsidR="00BD1C44">
        <w:t xml:space="preserve">ncludes all individuals 18 years or older who have been enrolled in a QHP for 6 months or longer, with no more than one 30-day break in enrollment during the 6 months. </w:t>
      </w:r>
      <w:r w:rsidR="00795494">
        <w:t>The beta test sampling frames will be constructed by insurance issuers following instructions provided by CMS; the issuers will draw the samples. Sampling will be validated by a CMS contractor (Booz Allen Hamilton).</w:t>
      </w:r>
      <w:r w:rsidR="00546FED" w:rsidRPr="00546FED">
        <w:t xml:space="preserve"> </w:t>
      </w:r>
      <w:r w:rsidR="00546FED">
        <w:t>This second comp</w:t>
      </w:r>
      <w:r w:rsidR="00B81CF1">
        <w:t>o</w:t>
      </w:r>
      <w:r w:rsidR="00546FED">
        <w:t>ne</w:t>
      </w:r>
      <w:r w:rsidR="00B81CF1">
        <w:t>n</w:t>
      </w:r>
      <w:r w:rsidR="00546FED">
        <w:t xml:space="preserve">t of the information collection (in 2015) includes a provision for </w:t>
      </w:r>
      <w:r w:rsidR="001150A0">
        <w:t xml:space="preserve">initial </w:t>
      </w:r>
      <w:r w:rsidR="00546FED">
        <w:t>feedback to QHPs</w:t>
      </w:r>
      <w:r w:rsidR="001150A0">
        <w:t xml:space="preserve"> on the operations of the data submission, collection and scoring processes</w:t>
      </w:r>
      <w:r w:rsidR="00546FED">
        <w:t>, subject to the limitations associated with response rates and data quality findings, including non-response bias anlayses.</w:t>
      </w:r>
    </w:p>
    <w:p w14:paraId="796B8F56" w14:textId="77777777" w:rsidR="00EC616C" w:rsidRDefault="009F5F1B" w:rsidP="009F5F1B">
      <w:pPr>
        <w:pStyle w:val="Heading3"/>
      </w:pPr>
      <w:bookmarkStart w:id="102" w:name="_Toc396204805"/>
      <w:r>
        <w:t xml:space="preserve">1.2.2 </w:t>
      </w:r>
      <w:r w:rsidR="009F0519">
        <w:tab/>
      </w:r>
      <w:r w:rsidR="00EC616C">
        <w:t>Sample Size Calculations</w:t>
      </w:r>
      <w:bookmarkEnd w:id="102"/>
    </w:p>
    <w:p w14:paraId="796B8F57" w14:textId="5FC80F02" w:rsidR="009F5F1B" w:rsidRDefault="009F5F1B" w:rsidP="009F5F1B">
      <w:pPr>
        <w:pStyle w:val="PBodyText"/>
      </w:pPr>
      <w:r>
        <w:t xml:space="preserve">Sample size is calculated first by determining the minimum number of completed responses needed to meet the goals of the data collection, and second by inflating that number by a large enough factor to account for the estimated rate of survey non-response. Our assumptions for and approach to calculating response rates is described above in </w:t>
      </w:r>
      <w:r w:rsidR="002B52F1">
        <w:t>Section</w:t>
      </w:r>
      <w:r>
        <w:t xml:space="preserve"> 1.1.1, and </w:t>
      </w:r>
      <w:r w:rsidR="009D09F1">
        <w:t>apply</w:t>
      </w:r>
      <w:r>
        <w:t xml:space="preserve"> here.</w:t>
      </w:r>
      <w:r w:rsidR="009D09F1">
        <w:t xml:space="preserve"> Response rate targets and the response rate calculation for the </w:t>
      </w:r>
      <w:r w:rsidR="009D46D8">
        <w:t>psychometric test</w:t>
      </w:r>
      <w:r w:rsidR="009D09F1">
        <w:t xml:space="preserve"> of the QHP Enrollee Survey are the same as those for the </w:t>
      </w:r>
      <w:r w:rsidR="009D46D8">
        <w:t>psychometric test</w:t>
      </w:r>
      <w:r w:rsidR="009D09F1">
        <w:t xml:space="preserve"> of the Marketplace survey. CMS assumes a </w:t>
      </w:r>
      <w:r w:rsidR="00A9620D">
        <w:t>30</w:t>
      </w:r>
      <w:r w:rsidR="009D09F1">
        <w:t>% response rate.</w:t>
      </w:r>
    </w:p>
    <w:p w14:paraId="796B8F58" w14:textId="18F49F6A" w:rsidR="00795494" w:rsidRDefault="00795494" w:rsidP="00795494">
      <w:pPr>
        <w:pStyle w:val="Heading4"/>
      </w:pPr>
      <w:r>
        <w:t xml:space="preserve">1.2.2.1 QHP </w:t>
      </w:r>
      <w:r w:rsidR="006C7164">
        <w:t xml:space="preserve">Psychometric </w:t>
      </w:r>
      <w:r>
        <w:t>Test Sample Size Estimates</w:t>
      </w:r>
    </w:p>
    <w:p w14:paraId="796B8F59" w14:textId="017383BC" w:rsidR="00734005" w:rsidRDefault="002D27CF" w:rsidP="00734005">
      <w:pPr>
        <w:pStyle w:val="PBodyText"/>
      </w:pPr>
      <w:r>
        <w:t xml:space="preserve">Our sample size estimates for the </w:t>
      </w:r>
      <w:r w:rsidR="009F5F1B">
        <w:t>QHP Enrollee</w:t>
      </w:r>
      <w:r>
        <w:t xml:space="preserve"> Survey </w:t>
      </w:r>
      <w:r w:rsidR="009D46D8">
        <w:t>psychometric test</w:t>
      </w:r>
      <w:r>
        <w:t xml:space="preserve"> reflect the sample sizes necessary for fully evaluating reliability and validity of the instrument. The reliability and validity testing for the QHP </w:t>
      </w:r>
      <w:r w:rsidR="009D46D8">
        <w:t>psychometric test</w:t>
      </w:r>
      <w:r>
        <w:t xml:space="preserve"> will include the same analyses being conducted for the Marketplace </w:t>
      </w:r>
      <w:r w:rsidR="004F156F">
        <w:t xml:space="preserve">Survey </w:t>
      </w:r>
      <w:r w:rsidR="009D46D8">
        <w:t>psychometric test</w:t>
      </w:r>
      <w:r>
        <w:t xml:space="preserve"> (see Section 1.1.2.1</w:t>
      </w:r>
      <w:r w:rsidR="00734005">
        <w:t xml:space="preserve"> above</w:t>
      </w:r>
      <w:r>
        <w:t>).</w:t>
      </w:r>
      <w:r w:rsidR="00222A11">
        <w:t xml:space="preserve"> </w:t>
      </w:r>
    </w:p>
    <w:p w14:paraId="796B8F5A" w14:textId="057196CC" w:rsidR="00734005" w:rsidRDefault="00734005" w:rsidP="00734005">
      <w:pPr>
        <w:pStyle w:val="PBodyText"/>
      </w:pPr>
      <w:r>
        <w:t xml:space="preserve">As with the Marketplace survey, our sample size recommendations are based on our estimate of the minimum number of responses per equivalence group (i.e., mode and language groups) needed at the national level to conduct the psychometric analyses described in Section 1.1.2.1. This estimate is described in more detail immediately below. In order to evaluate unit-level reliability, which requires that we have a consistent number of completed surveys from each </w:t>
      </w:r>
      <w:r w:rsidR="00DC31CB">
        <w:t>reporting unit (RU)</w:t>
      </w:r>
      <w:r>
        <w:t xml:space="preserve">, we propose distributing the total national sample evenly across a purposively selected group of 30 </w:t>
      </w:r>
      <w:r w:rsidR="00130619">
        <w:t>RUs</w:t>
      </w:r>
      <w:r>
        <w:t>. This strategy</w:t>
      </w:r>
      <w:r w:rsidR="00130619">
        <w:t>, including the precise definition of the RU,</w:t>
      </w:r>
      <w:r>
        <w:t xml:space="preserve"> is described in more detail in Section 1.2.3.1, which describes our proposed sampling methods for the QHP Enrollee survey </w:t>
      </w:r>
      <w:r w:rsidR="009D46D8">
        <w:t>psychometric test</w:t>
      </w:r>
      <w:r>
        <w:t xml:space="preserve">.  </w:t>
      </w:r>
    </w:p>
    <w:p w14:paraId="796B8F5B" w14:textId="77777777" w:rsidR="00734005" w:rsidRPr="00BF28CF" w:rsidRDefault="00734005" w:rsidP="001F2B28">
      <w:pPr>
        <w:pStyle w:val="PBodyText"/>
        <w:spacing w:after="120"/>
        <w:rPr>
          <w:i/>
        </w:rPr>
      </w:pPr>
      <w:r w:rsidRPr="00BF28CF">
        <w:rPr>
          <w:i/>
        </w:rPr>
        <w:t>Sample</w:t>
      </w:r>
      <w:r>
        <w:rPr>
          <w:i/>
        </w:rPr>
        <w:t xml:space="preserve"> Size</w:t>
      </w:r>
    </w:p>
    <w:p w14:paraId="796B8F5E" w14:textId="77777777" w:rsidR="009F5F1B" w:rsidRDefault="009F5F1B" w:rsidP="009F5F1B">
      <w:pPr>
        <w:pStyle w:val="PBodyText"/>
      </w:pPr>
      <w:r>
        <w:t xml:space="preserve">Factor analyses, multi-trait analyses, and the estimates of equivalence and internal consistency reliability will all be conducted </w:t>
      </w:r>
      <w:r w:rsidR="00222A11">
        <w:t xml:space="preserve">separately for each </w:t>
      </w:r>
      <w:r w:rsidR="008735C4">
        <w:t xml:space="preserve">survey administration </w:t>
      </w:r>
      <w:r w:rsidR="00222A11">
        <w:t>mode</w:t>
      </w:r>
      <w:r>
        <w:t xml:space="preserve"> using all complete responses from eligible </w:t>
      </w:r>
      <w:r w:rsidR="009D09F1">
        <w:t>sample members</w:t>
      </w:r>
      <w:r w:rsidR="008735C4">
        <w:t xml:space="preserve"> across the whole nation</w:t>
      </w:r>
      <w:r>
        <w:t xml:space="preserve">. The generalizability of the results from this psychometric analysis is obtained by attempting to capture the full range </w:t>
      </w:r>
      <w:r>
        <w:lastRenderedPageBreak/>
        <w:t xml:space="preserve">of experiences, and thus potential response patterns, in the population. </w:t>
      </w:r>
      <w:r w:rsidR="009D09F1">
        <w:t>As discussed in Section 1.1.2.1, s</w:t>
      </w:r>
      <w:r>
        <w:t xml:space="preserve">tandard psychometric practice is to obtain a </w:t>
      </w:r>
      <w:r>
        <w:rPr>
          <w:i/>
        </w:rPr>
        <w:t>minimum</w:t>
      </w:r>
      <w:r>
        <w:t xml:space="preserve"> of 10 </w:t>
      </w:r>
      <w:r>
        <w:rPr>
          <w:i/>
        </w:rPr>
        <w:t>complete responses</w:t>
      </w:r>
      <w:r>
        <w:t xml:space="preserve"> for each item that will be used in the psychometric analysis (this includes substantive questions that will be combined into composites, but not screeners, ‘About You’ items, or questions designed to determine survey eligibility).</w:t>
      </w:r>
      <w:r w:rsidRPr="006469B7">
        <w:t xml:space="preserve"> </w:t>
      </w:r>
    </w:p>
    <w:p w14:paraId="796B8F5F" w14:textId="77777777" w:rsidR="003F5896" w:rsidRDefault="009F5F1B" w:rsidP="003F5896">
      <w:pPr>
        <w:pStyle w:val="PBodyText"/>
        <w:ind w:right="-144"/>
      </w:pPr>
      <w:r>
        <w:t xml:space="preserve">At this time, the </w:t>
      </w:r>
      <w:r w:rsidR="009D09F1">
        <w:t>QHP</w:t>
      </w:r>
      <w:r>
        <w:t xml:space="preserve"> </w:t>
      </w:r>
      <w:r w:rsidR="00734005">
        <w:t xml:space="preserve">Enrollee </w:t>
      </w:r>
      <w:r>
        <w:t xml:space="preserve">survey includes </w:t>
      </w:r>
      <w:r w:rsidR="00C741E6">
        <w:t>40</w:t>
      </w:r>
      <w:r w:rsidRPr="00D466CB">
        <w:t xml:space="preserve"> assessment items, which translates into a </w:t>
      </w:r>
      <w:r w:rsidRPr="00D466CB">
        <w:rPr>
          <w:i/>
        </w:rPr>
        <w:t>minimum</w:t>
      </w:r>
      <w:r w:rsidRPr="00D466CB">
        <w:t xml:space="preserve"> of </w:t>
      </w:r>
      <w:r w:rsidR="00C741E6">
        <w:t>400</w:t>
      </w:r>
      <w:r w:rsidRPr="00D466CB">
        <w:t xml:space="preserve"> completed surveys nationwid</w:t>
      </w:r>
      <w:r>
        <w:t xml:space="preserve">e, assuming that each completed survey contains a non-missing response for each substantive item. However, given that </w:t>
      </w:r>
      <w:r>
        <w:rPr>
          <w:i/>
        </w:rPr>
        <w:t>some</w:t>
      </w:r>
      <w:r>
        <w:t xml:space="preserve"> substantive items will be legitimately skipped by respondents to whom the subject matter of the item does not apply, this number will need to be larger. In addition, some completed surveys may still have some degree of item non-response (when a respondent skips an item that he/she should have answered). Thus, </w:t>
      </w:r>
      <w:r w:rsidR="000107C3">
        <w:t>we will propose to obtain</w:t>
      </w:r>
      <w:r w:rsidR="0021292F">
        <w:t xml:space="preserve"> a minimum of 15 complete respo</w:t>
      </w:r>
      <w:r w:rsidR="000107C3">
        <w:t>ns</w:t>
      </w:r>
      <w:r w:rsidR="0021292F">
        <w:t>e</w:t>
      </w:r>
      <w:r w:rsidR="000107C3">
        <w:t>s</w:t>
      </w:r>
      <w:r w:rsidR="0021292F">
        <w:t xml:space="preserve"> for each assessment item. This translates into a minimum number of completes of 600 (15*40) </w:t>
      </w:r>
      <w:r w:rsidR="008735C4">
        <w:t>for any grouping on which psychometric analyses will be conducted</w:t>
      </w:r>
      <w:r w:rsidR="0021292F">
        <w:t>.</w:t>
      </w:r>
      <w:r>
        <w:t xml:space="preserve"> For surveys conducted in English, there are five mode experiment groups (telephone-only, mail with telephone follow-up, mail-only with 1st class mail follow-up, mail-only with FedEx follow-up mailing, and web-only), and thus we need a minimum of </w:t>
      </w:r>
      <w:r w:rsidR="0021292F">
        <w:t>3,000</w:t>
      </w:r>
      <w:r>
        <w:t xml:space="preserve"> completed surveys to conduct psychometric testing for each mode</w:t>
      </w:r>
      <w:r w:rsidR="008735C4">
        <w:t xml:space="preserve"> (5*600 = 3,000)</w:t>
      </w:r>
      <w:r>
        <w:t xml:space="preserve">. </w:t>
      </w:r>
      <w:r w:rsidR="003F5896">
        <w:t>In addition, we would want 600 completed surveys each for both the Spanish and Chinese surveys to conduct psychometric analyses separately for each language.</w:t>
      </w:r>
    </w:p>
    <w:p w14:paraId="796B8F62" w14:textId="31D9AEAB" w:rsidR="009F5F1B" w:rsidRDefault="00AE722D" w:rsidP="009F5F1B">
      <w:pPr>
        <w:spacing w:after="120"/>
        <w:rPr>
          <w:rFonts w:cs="Times New Roman"/>
          <w:szCs w:val="24"/>
        </w:rPr>
      </w:pPr>
      <w:r>
        <w:rPr>
          <w:rFonts w:cs="Times New Roman"/>
          <w:szCs w:val="24"/>
        </w:rPr>
        <w:t>T</w:t>
      </w:r>
      <w:r w:rsidR="009F5F1B">
        <w:rPr>
          <w:rFonts w:cs="Times New Roman"/>
          <w:szCs w:val="24"/>
        </w:rPr>
        <w:t>o be useful for making sample size recommendations for future rounds of data collection, past experience demonstrates that, where the universe of accountable units is theoretically not finite (as with QHPs), it is best to have data from at least 30 accountable units selected across the full range of unit performance (i.e., from the poorest performing units to the best performing units).</w:t>
      </w:r>
      <w:r w:rsidR="00AD3717">
        <w:rPr>
          <w:rFonts w:cs="Times New Roman"/>
          <w:szCs w:val="24"/>
        </w:rPr>
        <w:t xml:space="preserve"> </w:t>
      </w:r>
      <w:r w:rsidR="002A702B">
        <w:rPr>
          <w:rFonts w:cs="Times New Roman"/>
          <w:szCs w:val="24"/>
        </w:rPr>
        <w:t>The CAHPS consortium recommends a minimum of 100 completed surveys per plan for the various Health Plan surveys, which should be sufficient for producing stable IUR estimates. With 30 QHPs, this translates into the requirement for a total of 3,000 completed surveys</w:t>
      </w:r>
      <w:r w:rsidR="004825F0">
        <w:rPr>
          <w:rFonts w:cs="Times New Roman"/>
          <w:szCs w:val="24"/>
        </w:rPr>
        <w:t>.</w:t>
      </w:r>
      <w:r w:rsidR="009F5F1B">
        <w:rPr>
          <w:rFonts w:cs="Times New Roman"/>
          <w:szCs w:val="24"/>
        </w:rPr>
        <w:t xml:space="preserve"> </w:t>
      </w:r>
    </w:p>
    <w:p w14:paraId="796B8F63" w14:textId="71AFE70B" w:rsidR="002A702B" w:rsidRPr="002A702B" w:rsidRDefault="002A702B" w:rsidP="002A702B">
      <w:pPr>
        <w:spacing w:after="120"/>
        <w:rPr>
          <w:rFonts w:cs="Times New Roman"/>
          <w:szCs w:val="24"/>
        </w:rPr>
      </w:pPr>
      <w:r w:rsidRPr="002A702B">
        <w:rPr>
          <w:rFonts w:cs="Times New Roman"/>
          <w:szCs w:val="24"/>
        </w:rPr>
        <w:t xml:space="preserve">Taking into consideration the analysis requirements, a sample size sufficient to adequately conduct the psychometric analyses (3,000 completed surveys) will also be sufficient to evaluate unit-level reliability. Thus, CMS will sample equally across all 30 </w:t>
      </w:r>
      <w:r w:rsidR="00130619">
        <w:rPr>
          <w:rFonts w:cs="Times New Roman"/>
          <w:szCs w:val="24"/>
        </w:rPr>
        <w:t>RUs</w:t>
      </w:r>
      <w:r w:rsidR="00130619" w:rsidRPr="002A702B">
        <w:rPr>
          <w:rFonts w:cs="Times New Roman"/>
          <w:szCs w:val="24"/>
        </w:rPr>
        <w:t xml:space="preserve"> </w:t>
      </w:r>
      <w:r w:rsidRPr="002A702B">
        <w:rPr>
          <w:rFonts w:cs="Times New Roman"/>
          <w:szCs w:val="24"/>
        </w:rPr>
        <w:t xml:space="preserve">with the goal of obtaining 100 completed surveys from each </w:t>
      </w:r>
      <w:r w:rsidR="00130619">
        <w:rPr>
          <w:rFonts w:cs="Times New Roman"/>
          <w:szCs w:val="24"/>
        </w:rPr>
        <w:t>RU</w:t>
      </w:r>
      <w:r w:rsidRPr="002A702B">
        <w:rPr>
          <w:rFonts w:cs="Times New Roman"/>
          <w:szCs w:val="24"/>
        </w:rPr>
        <w:t xml:space="preserve">, for a total of 3,000 completed surveys. </w:t>
      </w:r>
    </w:p>
    <w:p w14:paraId="796B8F64" w14:textId="1128D786" w:rsidR="009F5F1B" w:rsidRDefault="009F5F1B" w:rsidP="009F5F1B">
      <w:pPr>
        <w:spacing w:after="120"/>
        <w:rPr>
          <w:szCs w:val="24"/>
        </w:rPr>
      </w:pPr>
      <w:r>
        <w:rPr>
          <w:rFonts w:cs="Times New Roman"/>
          <w:szCs w:val="24"/>
        </w:rPr>
        <w:t xml:space="preserve">Sampled consumers from each </w:t>
      </w:r>
      <w:r w:rsidR="00130619">
        <w:rPr>
          <w:rFonts w:cs="Times New Roman"/>
          <w:szCs w:val="24"/>
        </w:rPr>
        <w:t xml:space="preserve">RU </w:t>
      </w:r>
      <w:r>
        <w:rPr>
          <w:rFonts w:cs="Times New Roman"/>
          <w:szCs w:val="24"/>
        </w:rPr>
        <w:t>will be randomly assigned to each of the five mode groups, and we would control for mode in the IUR analysis</w:t>
      </w:r>
      <w:r w:rsidR="00F507D7">
        <w:rPr>
          <w:rFonts w:cs="Times New Roman"/>
          <w:szCs w:val="24"/>
        </w:rPr>
        <w:t xml:space="preserve"> to avoid confound</w:t>
      </w:r>
      <w:r w:rsidR="00ED6E21">
        <w:rPr>
          <w:rFonts w:cs="Times New Roman"/>
          <w:szCs w:val="24"/>
        </w:rPr>
        <w:t>ing</w:t>
      </w:r>
      <w:r w:rsidR="00F507D7">
        <w:rPr>
          <w:rFonts w:cs="Times New Roman"/>
          <w:szCs w:val="24"/>
        </w:rPr>
        <w:t xml:space="preserve"> mode differences with differences across </w:t>
      </w:r>
      <w:r w:rsidR="00130619">
        <w:rPr>
          <w:rFonts w:cs="Times New Roman"/>
          <w:szCs w:val="24"/>
        </w:rPr>
        <w:t>RUs</w:t>
      </w:r>
      <w:r>
        <w:rPr>
          <w:rFonts w:cs="Times New Roman"/>
          <w:szCs w:val="24"/>
        </w:rPr>
        <w:t xml:space="preserve">. </w:t>
      </w:r>
      <w:r w:rsidR="006160D1">
        <w:t xml:space="preserve">CMS </w:t>
      </w:r>
      <w:r w:rsidR="006160D1" w:rsidRPr="009B50A3">
        <w:rPr>
          <w:szCs w:val="24"/>
        </w:rPr>
        <w:t xml:space="preserve">will distribute the survey in Spanish and </w:t>
      </w:r>
      <w:r w:rsidR="0052683B">
        <w:rPr>
          <w:szCs w:val="24"/>
        </w:rPr>
        <w:t xml:space="preserve">Chinese </w:t>
      </w:r>
      <w:r w:rsidR="00A525F9">
        <w:rPr>
          <w:szCs w:val="24"/>
        </w:rPr>
        <w:t>following the methods</w:t>
      </w:r>
      <w:r w:rsidR="008E308A">
        <w:rPr>
          <w:szCs w:val="24"/>
        </w:rPr>
        <w:t xml:space="preserve"> described </w:t>
      </w:r>
      <w:r w:rsidR="00A525F9">
        <w:rPr>
          <w:szCs w:val="24"/>
        </w:rPr>
        <w:t xml:space="preserve">for </w:t>
      </w:r>
      <w:r w:rsidR="008E308A">
        <w:rPr>
          <w:szCs w:val="24"/>
        </w:rPr>
        <w:t xml:space="preserve">the Marketplace Survey </w:t>
      </w:r>
      <w:r w:rsidR="009D46D8">
        <w:rPr>
          <w:szCs w:val="24"/>
        </w:rPr>
        <w:t>psychometric test</w:t>
      </w:r>
      <w:r w:rsidR="008E308A">
        <w:rPr>
          <w:szCs w:val="24"/>
        </w:rPr>
        <w:t xml:space="preserve">. </w:t>
      </w:r>
      <w:r w:rsidR="00F57E14">
        <w:rPr>
          <w:szCs w:val="24"/>
        </w:rPr>
        <w:t>Surveys in those languages will only be administered in the mail-only mode .</w:t>
      </w:r>
    </w:p>
    <w:p w14:paraId="796B8F65" w14:textId="2C0AA6CE" w:rsidR="009F5F1B" w:rsidRDefault="00DA77B6" w:rsidP="009F5F1B">
      <w:pPr>
        <w:pStyle w:val="PBodyText"/>
      </w:pPr>
      <w:r w:rsidRPr="00DA77B6">
        <w:rPr>
          <w:rFonts w:cs="Times New Roman"/>
          <w:szCs w:val="24"/>
        </w:rPr>
        <w:t xml:space="preserve">In our sampling frame data, we know who “enrolled” in a QHP (i.e., put </w:t>
      </w:r>
      <w:r w:rsidR="00A1158C">
        <w:rPr>
          <w:rFonts w:cs="Times New Roman"/>
          <w:szCs w:val="24"/>
        </w:rPr>
        <w:t>a QHP</w:t>
      </w:r>
      <w:r w:rsidR="00A1158C" w:rsidRPr="00DA77B6">
        <w:rPr>
          <w:rFonts w:cs="Times New Roman"/>
          <w:szCs w:val="24"/>
        </w:rPr>
        <w:t xml:space="preserve"> </w:t>
      </w:r>
      <w:r w:rsidRPr="00DA77B6">
        <w:rPr>
          <w:rFonts w:cs="Times New Roman"/>
          <w:szCs w:val="24"/>
        </w:rPr>
        <w:t>in their</w:t>
      </w:r>
      <w:r w:rsidR="00A1158C">
        <w:rPr>
          <w:rFonts w:cs="Times New Roman"/>
          <w:szCs w:val="24"/>
        </w:rPr>
        <w:t xml:space="preserve"> shopping</w:t>
      </w:r>
      <w:r w:rsidRPr="00DA77B6">
        <w:rPr>
          <w:rFonts w:cs="Times New Roman"/>
          <w:szCs w:val="24"/>
        </w:rPr>
        <w:t xml:space="preserve"> cart), but we do not know who among these enrollees: a) paid their first premium, and b) </w:t>
      </w:r>
      <w:r w:rsidR="002E0C79">
        <w:rPr>
          <w:rFonts w:cs="Times New Roman"/>
          <w:szCs w:val="24"/>
        </w:rPr>
        <w:t>had coverage that remained in effect</w:t>
      </w:r>
      <w:r w:rsidRPr="00DA77B6">
        <w:rPr>
          <w:rFonts w:cs="Times New Roman"/>
          <w:szCs w:val="24"/>
        </w:rPr>
        <w:t xml:space="preserve"> for </w:t>
      </w:r>
      <w:r w:rsidR="002E0C79">
        <w:rPr>
          <w:rFonts w:cs="Times New Roman"/>
          <w:szCs w:val="24"/>
        </w:rPr>
        <w:t xml:space="preserve">at least </w:t>
      </w:r>
      <w:r w:rsidRPr="00DA77B6">
        <w:rPr>
          <w:rFonts w:cs="Times New Roman"/>
          <w:szCs w:val="24"/>
        </w:rPr>
        <w:t xml:space="preserve">5 </w:t>
      </w:r>
      <w:r w:rsidR="00ED6430">
        <w:rPr>
          <w:rFonts w:cs="Times New Roman"/>
          <w:szCs w:val="24"/>
        </w:rPr>
        <w:t xml:space="preserve">consecutive </w:t>
      </w:r>
      <w:r w:rsidRPr="00DA77B6">
        <w:rPr>
          <w:rFonts w:cs="Times New Roman"/>
          <w:szCs w:val="24"/>
        </w:rPr>
        <w:t xml:space="preserve">months from </w:t>
      </w:r>
      <w:r w:rsidR="00ED6430">
        <w:rPr>
          <w:rFonts w:cs="Times New Roman"/>
          <w:szCs w:val="24"/>
        </w:rPr>
        <w:t>April</w:t>
      </w:r>
      <w:r w:rsidR="00ED6430" w:rsidRPr="00DA77B6">
        <w:rPr>
          <w:rFonts w:cs="Times New Roman"/>
          <w:szCs w:val="24"/>
        </w:rPr>
        <w:t xml:space="preserve"> </w:t>
      </w:r>
      <w:r w:rsidRPr="00DA77B6">
        <w:rPr>
          <w:rFonts w:cs="Times New Roman"/>
          <w:szCs w:val="24"/>
        </w:rPr>
        <w:t xml:space="preserve">through </w:t>
      </w:r>
      <w:r w:rsidR="00ED6430">
        <w:rPr>
          <w:rFonts w:cs="Times New Roman"/>
          <w:szCs w:val="24"/>
        </w:rPr>
        <w:t>August</w:t>
      </w:r>
      <w:r w:rsidR="00ED6430" w:rsidRPr="00DA77B6">
        <w:rPr>
          <w:rFonts w:cs="Times New Roman"/>
          <w:szCs w:val="24"/>
        </w:rPr>
        <w:t xml:space="preserve"> </w:t>
      </w:r>
      <w:r w:rsidRPr="00DA77B6">
        <w:rPr>
          <w:rFonts w:cs="Times New Roman"/>
          <w:szCs w:val="24"/>
        </w:rPr>
        <w:t>of 2014. In other words, we do not know who among the enrollees</w:t>
      </w:r>
      <w:r w:rsidRPr="006011CB">
        <w:rPr>
          <w:rFonts w:cs="Times New Roman"/>
          <w:szCs w:val="24"/>
        </w:rPr>
        <w:t xml:space="preserve"> in our QHP </w:t>
      </w:r>
      <w:r w:rsidR="00F02938">
        <w:rPr>
          <w:rFonts w:cs="Times New Roman"/>
          <w:szCs w:val="24"/>
        </w:rPr>
        <w:t>psychometric</w:t>
      </w:r>
      <w:r w:rsidRPr="006011CB">
        <w:rPr>
          <w:rFonts w:cs="Times New Roman"/>
          <w:szCs w:val="24"/>
        </w:rPr>
        <w:t xml:space="preserve"> test sampling frame is eligible to complete the survey. The </w:t>
      </w:r>
      <w:r w:rsidR="00917A48">
        <w:rPr>
          <w:rFonts w:cs="Times New Roman"/>
          <w:szCs w:val="24"/>
        </w:rPr>
        <w:t>proposed</w:t>
      </w:r>
      <w:r w:rsidRPr="006011CB">
        <w:rPr>
          <w:rFonts w:cs="Times New Roman"/>
          <w:szCs w:val="24"/>
        </w:rPr>
        <w:t xml:space="preserve"> solution is </w:t>
      </w:r>
      <w:r w:rsidR="00917A48">
        <w:rPr>
          <w:rFonts w:cs="Times New Roman"/>
          <w:szCs w:val="24"/>
        </w:rPr>
        <w:t>to</w:t>
      </w:r>
      <w:r w:rsidRPr="006011CB">
        <w:rPr>
          <w:rFonts w:cs="Times New Roman"/>
          <w:szCs w:val="24"/>
        </w:rPr>
        <w:t xml:space="preserve"> inflate the initial sample to account for the fact that some percentage of enrollees will not meet our eligibility requirements. Assuming that 80% of enrollees paid their first premium </w:t>
      </w:r>
      <w:r w:rsidR="002E3305">
        <w:rPr>
          <w:rFonts w:cs="Times New Roman"/>
          <w:szCs w:val="24"/>
        </w:rPr>
        <w:t xml:space="preserve">in time for coverage to </w:t>
      </w:r>
      <w:r w:rsidR="002E0C79">
        <w:rPr>
          <w:rFonts w:cs="Times New Roman"/>
          <w:szCs w:val="24"/>
        </w:rPr>
        <w:t xml:space="preserve">be </w:t>
      </w:r>
      <w:r w:rsidR="002E0C79" w:rsidRPr="002E0C79">
        <w:rPr>
          <w:rFonts w:cs="Times New Roman"/>
          <w:i/>
          <w:szCs w:val="24"/>
        </w:rPr>
        <w:t>in effect</w:t>
      </w:r>
      <w:r w:rsidR="002E3305">
        <w:rPr>
          <w:rFonts w:cs="Times New Roman"/>
          <w:szCs w:val="24"/>
        </w:rPr>
        <w:t xml:space="preserve"> no later than </w:t>
      </w:r>
      <w:r w:rsidR="005818BC">
        <w:rPr>
          <w:rFonts w:cs="Times New Roman"/>
          <w:szCs w:val="24"/>
        </w:rPr>
        <w:t xml:space="preserve">April </w:t>
      </w:r>
      <w:r w:rsidR="002E3305">
        <w:rPr>
          <w:rFonts w:cs="Times New Roman"/>
          <w:szCs w:val="24"/>
        </w:rPr>
        <w:t>1, 2014</w:t>
      </w:r>
      <w:r w:rsidRPr="006011CB">
        <w:rPr>
          <w:rFonts w:cs="Times New Roman"/>
          <w:szCs w:val="24"/>
        </w:rPr>
        <w:t xml:space="preserve"> </w:t>
      </w:r>
      <w:r w:rsidR="002E0C79">
        <w:rPr>
          <w:rFonts w:cs="Times New Roman"/>
          <w:szCs w:val="24"/>
        </w:rPr>
        <w:t>(such an enrollee would at least have had the opportunity</w:t>
      </w:r>
      <w:r w:rsidR="004212FC">
        <w:rPr>
          <w:rFonts w:cs="Times New Roman"/>
          <w:szCs w:val="24"/>
        </w:rPr>
        <w:t xml:space="preserve"> </w:t>
      </w:r>
      <w:r w:rsidR="002E0C79">
        <w:rPr>
          <w:rFonts w:cs="Times New Roman"/>
          <w:szCs w:val="24"/>
        </w:rPr>
        <w:t xml:space="preserve">to </w:t>
      </w:r>
      <w:r w:rsidR="002E0C79">
        <w:rPr>
          <w:rFonts w:cs="Times New Roman"/>
          <w:szCs w:val="24"/>
        </w:rPr>
        <w:lastRenderedPageBreak/>
        <w:t xml:space="preserve">be covered </w:t>
      </w:r>
      <w:r w:rsidR="00FC4A1F">
        <w:rPr>
          <w:rFonts w:cs="Times New Roman"/>
          <w:szCs w:val="24"/>
        </w:rPr>
        <w:t>for 5 months prior to the beginning of survey data collection</w:t>
      </w:r>
      <w:r w:rsidRPr="00DA77B6">
        <w:rPr>
          <w:rFonts w:cs="Times New Roman"/>
          <w:szCs w:val="24"/>
        </w:rPr>
        <w:t xml:space="preserve">), then assuming that 75% of those enrollees </w:t>
      </w:r>
      <w:r w:rsidR="002E0C79">
        <w:rPr>
          <w:rFonts w:cs="Times New Roman"/>
          <w:szCs w:val="24"/>
        </w:rPr>
        <w:t>continued to have their coverage remain in effect</w:t>
      </w:r>
      <w:r w:rsidRPr="00DA77B6">
        <w:rPr>
          <w:rFonts w:cs="Times New Roman"/>
          <w:szCs w:val="24"/>
        </w:rPr>
        <w:t xml:space="preserve"> for the requisite number of months, our eligibility rate is 60% (0.80 x 0.75 = 0.60). Thus, </w:t>
      </w:r>
      <w:r w:rsidRPr="006011CB">
        <w:rPr>
          <w:rFonts w:cs="Times New Roman"/>
          <w:szCs w:val="24"/>
        </w:rPr>
        <w:t>we will need to inflate our initial sample size by 67% (inflation factor = 1/0.6 = 1.67). When the eligibility rate (60%) is combined with the assumed response rate (30%), we get an overall yield rate of 18% (0.60 x 0.30 = 0.18). Exhibit B</w:t>
      </w:r>
      <w:r w:rsidR="00EA2D57">
        <w:rPr>
          <w:rFonts w:cs="Times New Roman"/>
          <w:szCs w:val="24"/>
        </w:rPr>
        <w:t>6</w:t>
      </w:r>
      <w:r>
        <w:rPr>
          <w:rFonts w:cs="Times New Roman"/>
          <w:szCs w:val="24"/>
        </w:rPr>
        <w:t xml:space="preserve"> displays the sample size</w:t>
      </w:r>
      <w:r w:rsidRPr="006011CB">
        <w:rPr>
          <w:rFonts w:cs="Times New Roman"/>
          <w:szCs w:val="24"/>
        </w:rPr>
        <w:t xml:space="preserve"> </w:t>
      </w:r>
      <w:r>
        <w:t>requirements for the QHP Enrollee survey psychometric test</w:t>
      </w:r>
      <w:r w:rsidR="002E3305">
        <w:t xml:space="preserve"> </w:t>
      </w:r>
      <w:r w:rsidRPr="006011CB">
        <w:rPr>
          <w:rFonts w:cs="Times New Roman"/>
          <w:szCs w:val="24"/>
        </w:rPr>
        <w:t>required with an assumed yield rate of 18%</w:t>
      </w:r>
      <w:r w:rsidR="002E3305">
        <w:rPr>
          <w:rFonts w:cs="Times New Roman"/>
          <w:szCs w:val="24"/>
        </w:rPr>
        <w:t xml:space="preserve"> (e.g., 3,340 x 0.18 = 601)</w:t>
      </w:r>
      <w:r w:rsidRPr="006011CB">
        <w:rPr>
          <w:rFonts w:cs="Times New Roman"/>
          <w:szCs w:val="24"/>
        </w:rPr>
        <w:t>.</w:t>
      </w:r>
      <w:r w:rsidDel="00DA77B6">
        <w:t xml:space="preserve"> </w:t>
      </w:r>
    </w:p>
    <w:p w14:paraId="796B8F66" w14:textId="2FAE0879" w:rsidR="009D59F2" w:rsidRDefault="009D59F2" w:rsidP="009D59F2">
      <w:pPr>
        <w:pStyle w:val="PTableTitle"/>
      </w:pPr>
      <w:r>
        <w:t xml:space="preserve">Exhibit </w:t>
      </w:r>
      <w:r w:rsidR="0052683B">
        <w:t>B</w:t>
      </w:r>
      <w:r w:rsidR="00EA2D57">
        <w:t>6</w:t>
      </w:r>
      <w:r>
        <w:t xml:space="preserve">. Sample Sizes and Completed Survey Counts for the QHP </w:t>
      </w:r>
      <w:r w:rsidR="006C7164">
        <w:t>Psychometric</w:t>
      </w:r>
      <w:r>
        <w:t xml:space="preserve"> Test</w:t>
      </w:r>
    </w:p>
    <w:tbl>
      <w:tblPr>
        <w:tblStyle w:val="AIRTable"/>
        <w:tblW w:w="9076" w:type="dxa"/>
        <w:tblLook w:val="04A0" w:firstRow="1" w:lastRow="0" w:firstColumn="1" w:lastColumn="0" w:noHBand="0" w:noVBand="1"/>
        <w:tblCaption w:val="Sample Sizes and Completed Survey Counts for the QHP Psychometric Test"/>
        <w:tblDescription w:val="Exhibit B5 displays the sample size requirements for the QHP Enrollee survey psychometric test required with an assumed yield rate of 18% (e.g., 3,340 x 0.18 = 601). "/>
      </w:tblPr>
      <w:tblGrid>
        <w:gridCol w:w="4790"/>
        <w:gridCol w:w="2486"/>
        <w:gridCol w:w="1800"/>
      </w:tblGrid>
      <w:tr w:rsidR="008500A6" w:rsidRPr="000E5EBE" w14:paraId="796B8F6A" w14:textId="77777777" w:rsidTr="00C76274">
        <w:trPr>
          <w:cnfStyle w:val="100000000000" w:firstRow="1" w:lastRow="0" w:firstColumn="0" w:lastColumn="0" w:oddVBand="0" w:evenVBand="0" w:oddHBand="0" w:evenHBand="0" w:firstRowFirstColumn="0" w:firstRowLastColumn="0" w:lastRowFirstColumn="0" w:lastRowLastColumn="0"/>
          <w:cantSplit/>
          <w:tblHeader/>
        </w:trPr>
        <w:tc>
          <w:tcPr>
            <w:tcW w:w="4790" w:type="dxa"/>
            <w:shd w:val="clear" w:color="auto" w:fill="1F497D" w:themeFill="text2"/>
            <w:noWrap/>
            <w:vAlign w:val="bottom"/>
            <w:hideMark/>
          </w:tcPr>
          <w:p w14:paraId="796B8F67" w14:textId="77777777" w:rsidR="008500A6" w:rsidRPr="000E5EBE" w:rsidRDefault="008500A6" w:rsidP="00F9478A">
            <w:pPr>
              <w:pStyle w:val="PTableHeading"/>
              <w:rPr>
                <w:rFonts w:ascii="Arial Narrow" w:hAnsi="Arial Narrow"/>
                <w:color w:val="FFFFFF" w:themeColor="background1"/>
                <w:sz w:val="22"/>
              </w:rPr>
            </w:pPr>
          </w:p>
        </w:tc>
        <w:tc>
          <w:tcPr>
            <w:tcW w:w="2486" w:type="dxa"/>
            <w:shd w:val="clear" w:color="auto" w:fill="1F497D" w:themeFill="text2"/>
            <w:vAlign w:val="bottom"/>
            <w:hideMark/>
          </w:tcPr>
          <w:p w14:paraId="796B8F68" w14:textId="03E87318" w:rsidR="008500A6" w:rsidRPr="000E5EBE" w:rsidRDefault="008500A6" w:rsidP="00F9478A">
            <w:pPr>
              <w:pStyle w:val="PTableHeading"/>
              <w:rPr>
                <w:rFonts w:ascii="Arial Narrow" w:hAnsi="Arial Narrow"/>
                <w:color w:val="FFFFFF" w:themeColor="background1"/>
                <w:sz w:val="22"/>
              </w:rPr>
            </w:pPr>
            <w:r w:rsidRPr="000E5EBE">
              <w:rPr>
                <w:rFonts w:ascii="Arial Narrow" w:hAnsi="Arial Narrow"/>
                <w:sz w:val="22"/>
              </w:rPr>
              <w:t xml:space="preserve">Target Number of Completed Surveys </w:t>
            </w:r>
          </w:p>
        </w:tc>
        <w:tc>
          <w:tcPr>
            <w:tcW w:w="1800" w:type="dxa"/>
            <w:shd w:val="clear" w:color="auto" w:fill="1F497D" w:themeFill="text2"/>
            <w:noWrap/>
            <w:vAlign w:val="bottom"/>
            <w:hideMark/>
          </w:tcPr>
          <w:p w14:paraId="796B8F69" w14:textId="0794020A" w:rsidR="008500A6" w:rsidRPr="000E5EBE" w:rsidRDefault="008500A6" w:rsidP="00F9478A">
            <w:pPr>
              <w:pStyle w:val="PTableHeading"/>
              <w:rPr>
                <w:rFonts w:ascii="Arial Narrow" w:hAnsi="Arial Narrow"/>
                <w:color w:val="FFFFFF" w:themeColor="background1"/>
                <w:sz w:val="22"/>
              </w:rPr>
            </w:pPr>
            <w:r w:rsidRPr="000E5EBE">
              <w:rPr>
                <w:rFonts w:ascii="Arial Narrow" w:hAnsi="Arial Narrow"/>
                <w:sz w:val="22"/>
              </w:rPr>
              <w:t>Total Number to Sample</w:t>
            </w:r>
          </w:p>
        </w:tc>
      </w:tr>
      <w:tr w:rsidR="000107C3" w:rsidRPr="000E5EBE" w14:paraId="796B8F6E" w14:textId="77777777" w:rsidTr="00744F96">
        <w:trPr>
          <w:cantSplit/>
        </w:trPr>
        <w:tc>
          <w:tcPr>
            <w:tcW w:w="4790" w:type="dxa"/>
            <w:shd w:val="clear" w:color="auto" w:fill="FFFFFF" w:themeFill="background1"/>
            <w:noWrap/>
            <w:hideMark/>
          </w:tcPr>
          <w:p w14:paraId="796B8F6B" w14:textId="77777777" w:rsidR="000107C3" w:rsidRPr="000E5EBE" w:rsidRDefault="000107C3" w:rsidP="00F9478A">
            <w:pPr>
              <w:pStyle w:val="PTableTextIndent"/>
              <w:ind w:left="0" w:firstLine="0"/>
              <w:rPr>
                <w:rFonts w:ascii="Arial Narrow" w:hAnsi="Arial Narrow"/>
                <w:b/>
                <w:sz w:val="22"/>
              </w:rPr>
            </w:pPr>
            <w:r w:rsidRPr="000E5EBE">
              <w:rPr>
                <w:rFonts w:ascii="Arial Narrow" w:hAnsi="Arial Narrow"/>
                <w:b/>
                <w:sz w:val="22"/>
              </w:rPr>
              <w:t>English Language</w:t>
            </w:r>
          </w:p>
        </w:tc>
        <w:tc>
          <w:tcPr>
            <w:tcW w:w="2486" w:type="dxa"/>
            <w:shd w:val="clear" w:color="auto" w:fill="FFFFFF" w:themeFill="background1"/>
            <w:hideMark/>
          </w:tcPr>
          <w:p w14:paraId="796B8F6C" w14:textId="77777777" w:rsidR="000107C3" w:rsidRPr="000E5EBE" w:rsidRDefault="000107C3" w:rsidP="00F9478A">
            <w:pPr>
              <w:pStyle w:val="PTableTextIndent"/>
              <w:ind w:left="0" w:firstLine="0"/>
              <w:rPr>
                <w:rFonts w:ascii="Arial Narrow" w:hAnsi="Arial Narrow"/>
                <w:b/>
                <w:sz w:val="22"/>
              </w:rPr>
            </w:pPr>
            <w:r w:rsidRPr="000E5EBE">
              <w:rPr>
                <w:rFonts w:ascii="Arial Narrow" w:hAnsi="Arial Narrow"/>
                <w:b/>
                <w:sz w:val="22"/>
              </w:rPr>
              <w:t> </w:t>
            </w:r>
          </w:p>
        </w:tc>
        <w:tc>
          <w:tcPr>
            <w:tcW w:w="1800" w:type="dxa"/>
            <w:shd w:val="clear" w:color="auto" w:fill="FFFFFF" w:themeFill="background1"/>
            <w:noWrap/>
            <w:hideMark/>
          </w:tcPr>
          <w:p w14:paraId="796B8F6D" w14:textId="77777777" w:rsidR="000107C3" w:rsidRPr="000E5EBE" w:rsidRDefault="000107C3" w:rsidP="00F9478A">
            <w:pPr>
              <w:pStyle w:val="PTableTextIndent"/>
              <w:ind w:left="0" w:firstLine="0"/>
              <w:rPr>
                <w:rFonts w:ascii="Arial Narrow" w:hAnsi="Arial Narrow"/>
                <w:b/>
                <w:sz w:val="22"/>
              </w:rPr>
            </w:pPr>
            <w:r w:rsidRPr="000E5EBE">
              <w:rPr>
                <w:rFonts w:ascii="Arial Narrow" w:hAnsi="Arial Narrow"/>
                <w:b/>
                <w:sz w:val="22"/>
              </w:rPr>
              <w:t> </w:t>
            </w:r>
          </w:p>
        </w:tc>
      </w:tr>
      <w:tr w:rsidR="00DA77B6" w:rsidRPr="000E5EBE" w14:paraId="796B8F72" w14:textId="77777777" w:rsidTr="00744F96">
        <w:trPr>
          <w:cantSplit/>
        </w:trPr>
        <w:tc>
          <w:tcPr>
            <w:tcW w:w="4790" w:type="dxa"/>
            <w:shd w:val="clear" w:color="auto" w:fill="FFFFFF" w:themeFill="background1"/>
            <w:noWrap/>
            <w:hideMark/>
          </w:tcPr>
          <w:p w14:paraId="796B8F6F" w14:textId="77777777" w:rsidR="00DA77B6" w:rsidRPr="000E5EBE" w:rsidRDefault="00DA77B6" w:rsidP="00F9478A">
            <w:pPr>
              <w:pStyle w:val="PTableTextIndent"/>
              <w:rPr>
                <w:rFonts w:ascii="Arial Narrow" w:hAnsi="Arial Narrow"/>
                <w:sz w:val="22"/>
              </w:rPr>
            </w:pPr>
            <w:r w:rsidRPr="000E5EBE">
              <w:rPr>
                <w:rFonts w:ascii="Arial Narrow" w:hAnsi="Arial Narrow"/>
                <w:sz w:val="22"/>
              </w:rPr>
              <w:t>Exp 1. Phone only</w:t>
            </w:r>
          </w:p>
        </w:tc>
        <w:tc>
          <w:tcPr>
            <w:tcW w:w="2486" w:type="dxa"/>
            <w:shd w:val="clear" w:color="auto" w:fill="FFFFFF" w:themeFill="background1"/>
          </w:tcPr>
          <w:p w14:paraId="796B8F70" w14:textId="77777777" w:rsidR="00DA77B6" w:rsidRPr="000E5EBE" w:rsidRDefault="00DA77B6" w:rsidP="00F9478A">
            <w:pPr>
              <w:pStyle w:val="PTableText"/>
              <w:jc w:val="right"/>
              <w:rPr>
                <w:rFonts w:ascii="Arial Narrow" w:hAnsi="Arial Narrow"/>
                <w:bCs/>
                <w:sz w:val="22"/>
              </w:rPr>
            </w:pPr>
            <w:r w:rsidRPr="000E5EBE">
              <w:rPr>
                <w:rFonts w:ascii="Arial Narrow" w:hAnsi="Arial Narrow"/>
                <w:bCs/>
                <w:sz w:val="22"/>
              </w:rPr>
              <w:t>600</w:t>
            </w:r>
          </w:p>
        </w:tc>
        <w:tc>
          <w:tcPr>
            <w:tcW w:w="1800" w:type="dxa"/>
            <w:shd w:val="clear" w:color="auto" w:fill="FFFFFF" w:themeFill="background1"/>
            <w:noWrap/>
          </w:tcPr>
          <w:p w14:paraId="796B8F71" w14:textId="3330863D" w:rsidR="00DA77B6" w:rsidRPr="000E5EBE" w:rsidRDefault="00DA77B6" w:rsidP="00F9478A">
            <w:pPr>
              <w:pStyle w:val="PTableText"/>
              <w:jc w:val="right"/>
              <w:rPr>
                <w:rFonts w:ascii="Arial Narrow" w:hAnsi="Arial Narrow"/>
                <w:bCs/>
                <w:sz w:val="22"/>
              </w:rPr>
            </w:pPr>
            <w:r w:rsidRPr="000E5EBE">
              <w:rPr>
                <w:rFonts w:ascii="Arial Narrow" w:hAnsi="Arial Narrow"/>
                <w:bCs/>
                <w:sz w:val="22"/>
              </w:rPr>
              <w:t>3,340</w:t>
            </w:r>
          </w:p>
        </w:tc>
      </w:tr>
      <w:tr w:rsidR="00DA77B6" w:rsidRPr="000E5EBE" w14:paraId="796B8F76" w14:textId="77777777" w:rsidTr="00744F96">
        <w:trPr>
          <w:cantSplit/>
        </w:trPr>
        <w:tc>
          <w:tcPr>
            <w:tcW w:w="4790" w:type="dxa"/>
            <w:shd w:val="clear" w:color="auto" w:fill="FFFFFF" w:themeFill="background1"/>
            <w:noWrap/>
          </w:tcPr>
          <w:p w14:paraId="796B8F73" w14:textId="77777777" w:rsidR="00DA77B6" w:rsidRPr="000E5EBE" w:rsidRDefault="00DA77B6" w:rsidP="00F9478A">
            <w:pPr>
              <w:pStyle w:val="PTableTextIndent"/>
              <w:ind w:left="144" w:firstLine="0"/>
              <w:rPr>
                <w:rFonts w:ascii="Arial Narrow" w:hAnsi="Arial Narrow"/>
                <w:sz w:val="22"/>
              </w:rPr>
            </w:pPr>
            <w:r w:rsidRPr="000E5EBE">
              <w:rPr>
                <w:rFonts w:ascii="Arial Narrow" w:hAnsi="Arial Narrow"/>
                <w:sz w:val="22"/>
              </w:rPr>
              <w:t>Exp 2. Mail with phone</w:t>
            </w:r>
          </w:p>
        </w:tc>
        <w:tc>
          <w:tcPr>
            <w:tcW w:w="2486" w:type="dxa"/>
            <w:shd w:val="clear" w:color="auto" w:fill="FFFFFF" w:themeFill="background1"/>
          </w:tcPr>
          <w:p w14:paraId="796B8F74" w14:textId="77777777" w:rsidR="00DA77B6" w:rsidRPr="000E5EBE" w:rsidRDefault="00DA77B6" w:rsidP="00F9478A">
            <w:pPr>
              <w:pStyle w:val="PTableText"/>
              <w:jc w:val="right"/>
              <w:rPr>
                <w:rFonts w:ascii="Arial Narrow" w:hAnsi="Arial Narrow"/>
                <w:sz w:val="22"/>
              </w:rPr>
            </w:pPr>
            <w:r w:rsidRPr="000E5EBE">
              <w:rPr>
                <w:rFonts w:ascii="Arial Narrow" w:hAnsi="Arial Narrow"/>
                <w:sz w:val="22"/>
              </w:rPr>
              <w:t>600</w:t>
            </w:r>
          </w:p>
        </w:tc>
        <w:tc>
          <w:tcPr>
            <w:tcW w:w="1800" w:type="dxa"/>
            <w:shd w:val="clear" w:color="auto" w:fill="FFFFFF" w:themeFill="background1"/>
            <w:noWrap/>
          </w:tcPr>
          <w:p w14:paraId="796B8F75" w14:textId="679A96F1" w:rsidR="00DA77B6" w:rsidRPr="000E5EBE" w:rsidRDefault="00DA77B6" w:rsidP="00F9478A">
            <w:pPr>
              <w:pStyle w:val="PTableText"/>
              <w:jc w:val="right"/>
              <w:rPr>
                <w:rFonts w:ascii="Arial Narrow" w:hAnsi="Arial Narrow"/>
                <w:sz w:val="22"/>
              </w:rPr>
            </w:pPr>
            <w:r w:rsidRPr="000E5EBE">
              <w:rPr>
                <w:rFonts w:ascii="Arial Narrow" w:hAnsi="Arial Narrow"/>
                <w:bCs/>
                <w:sz w:val="22"/>
              </w:rPr>
              <w:t>3,340</w:t>
            </w:r>
          </w:p>
        </w:tc>
      </w:tr>
      <w:tr w:rsidR="00DA77B6" w:rsidRPr="000E5EBE" w14:paraId="796B8F7A" w14:textId="77777777" w:rsidTr="00744F96">
        <w:trPr>
          <w:cantSplit/>
        </w:trPr>
        <w:tc>
          <w:tcPr>
            <w:tcW w:w="4790" w:type="dxa"/>
            <w:shd w:val="clear" w:color="auto" w:fill="FFFFFF" w:themeFill="background1"/>
            <w:noWrap/>
          </w:tcPr>
          <w:p w14:paraId="796B8F77" w14:textId="77777777" w:rsidR="00DA77B6" w:rsidRPr="000E5EBE" w:rsidRDefault="00DA77B6" w:rsidP="00F9478A">
            <w:pPr>
              <w:pStyle w:val="PTableTextIndent"/>
              <w:ind w:left="144" w:firstLine="0"/>
              <w:rPr>
                <w:rFonts w:ascii="Arial Narrow" w:hAnsi="Arial Narrow"/>
                <w:sz w:val="22"/>
              </w:rPr>
            </w:pPr>
            <w:r w:rsidRPr="000E5EBE">
              <w:rPr>
                <w:rFonts w:ascii="Arial Narrow" w:hAnsi="Arial Narrow"/>
                <w:sz w:val="22"/>
              </w:rPr>
              <w:t>Exp 3. Mail only with third survey mailed Fed Ex</w:t>
            </w:r>
          </w:p>
        </w:tc>
        <w:tc>
          <w:tcPr>
            <w:tcW w:w="2486" w:type="dxa"/>
            <w:shd w:val="clear" w:color="auto" w:fill="FFFFFF" w:themeFill="background1"/>
          </w:tcPr>
          <w:p w14:paraId="796B8F78" w14:textId="77777777" w:rsidR="00DA77B6" w:rsidRPr="000E5EBE" w:rsidRDefault="00DA77B6" w:rsidP="00F9478A">
            <w:pPr>
              <w:pStyle w:val="PTableText"/>
              <w:jc w:val="right"/>
              <w:rPr>
                <w:rFonts w:ascii="Arial Narrow" w:hAnsi="Arial Narrow"/>
                <w:sz w:val="22"/>
              </w:rPr>
            </w:pPr>
            <w:r w:rsidRPr="000E5EBE">
              <w:rPr>
                <w:rFonts w:ascii="Arial Narrow" w:hAnsi="Arial Narrow"/>
                <w:sz w:val="22"/>
              </w:rPr>
              <w:t>600</w:t>
            </w:r>
          </w:p>
        </w:tc>
        <w:tc>
          <w:tcPr>
            <w:tcW w:w="1800" w:type="dxa"/>
            <w:shd w:val="clear" w:color="auto" w:fill="FFFFFF" w:themeFill="background1"/>
            <w:noWrap/>
          </w:tcPr>
          <w:p w14:paraId="796B8F79" w14:textId="309D9204" w:rsidR="00DA77B6" w:rsidRPr="000E5EBE" w:rsidRDefault="00DA77B6" w:rsidP="00F9478A">
            <w:pPr>
              <w:pStyle w:val="PTableText"/>
              <w:jc w:val="right"/>
              <w:rPr>
                <w:rFonts w:ascii="Arial Narrow" w:hAnsi="Arial Narrow"/>
                <w:sz w:val="22"/>
              </w:rPr>
            </w:pPr>
            <w:r w:rsidRPr="000E5EBE">
              <w:rPr>
                <w:rFonts w:ascii="Arial Narrow" w:hAnsi="Arial Narrow"/>
                <w:bCs/>
                <w:sz w:val="22"/>
              </w:rPr>
              <w:t>3,340</w:t>
            </w:r>
          </w:p>
        </w:tc>
      </w:tr>
      <w:tr w:rsidR="00DA77B6" w:rsidRPr="000E5EBE" w14:paraId="796B8F7E" w14:textId="77777777" w:rsidTr="00744F96">
        <w:trPr>
          <w:cantSplit/>
        </w:trPr>
        <w:tc>
          <w:tcPr>
            <w:tcW w:w="4790" w:type="dxa"/>
            <w:shd w:val="clear" w:color="auto" w:fill="FFFFFF" w:themeFill="background1"/>
            <w:noWrap/>
          </w:tcPr>
          <w:p w14:paraId="796B8F7B" w14:textId="77777777" w:rsidR="00DA77B6" w:rsidRPr="000E5EBE" w:rsidRDefault="00DA77B6" w:rsidP="00F9478A">
            <w:pPr>
              <w:pStyle w:val="PTableTextIndent"/>
              <w:ind w:left="144" w:firstLine="0"/>
              <w:rPr>
                <w:rFonts w:ascii="Arial Narrow" w:hAnsi="Arial Narrow"/>
                <w:sz w:val="22"/>
              </w:rPr>
            </w:pPr>
            <w:r w:rsidRPr="000E5EBE">
              <w:rPr>
                <w:rFonts w:ascii="Arial Narrow" w:hAnsi="Arial Narrow"/>
                <w:sz w:val="22"/>
              </w:rPr>
              <w:t>Exp 4. Web only</w:t>
            </w:r>
          </w:p>
        </w:tc>
        <w:tc>
          <w:tcPr>
            <w:tcW w:w="2486" w:type="dxa"/>
            <w:shd w:val="clear" w:color="auto" w:fill="FFFFFF" w:themeFill="background1"/>
          </w:tcPr>
          <w:p w14:paraId="796B8F7C" w14:textId="77777777" w:rsidR="00DA77B6" w:rsidRPr="000E5EBE" w:rsidRDefault="00DA77B6" w:rsidP="00F9478A">
            <w:pPr>
              <w:pStyle w:val="PTableText"/>
              <w:jc w:val="right"/>
              <w:rPr>
                <w:rFonts w:ascii="Arial Narrow" w:hAnsi="Arial Narrow"/>
                <w:sz w:val="22"/>
              </w:rPr>
            </w:pPr>
            <w:r w:rsidRPr="000E5EBE">
              <w:rPr>
                <w:rFonts w:ascii="Arial Narrow" w:hAnsi="Arial Narrow"/>
                <w:sz w:val="22"/>
              </w:rPr>
              <w:t>600</w:t>
            </w:r>
          </w:p>
        </w:tc>
        <w:tc>
          <w:tcPr>
            <w:tcW w:w="1800" w:type="dxa"/>
            <w:shd w:val="clear" w:color="auto" w:fill="FFFFFF" w:themeFill="background1"/>
            <w:noWrap/>
          </w:tcPr>
          <w:p w14:paraId="796B8F7D" w14:textId="27F75D99" w:rsidR="00DA77B6" w:rsidRPr="000E5EBE" w:rsidRDefault="00DA77B6" w:rsidP="00F9478A">
            <w:pPr>
              <w:pStyle w:val="PTableText"/>
              <w:jc w:val="right"/>
              <w:rPr>
                <w:rFonts w:ascii="Arial Narrow" w:hAnsi="Arial Narrow"/>
                <w:sz w:val="22"/>
              </w:rPr>
            </w:pPr>
            <w:r w:rsidRPr="000E5EBE">
              <w:rPr>
                <w:rFonts w:ascii="Arial Narrow" w:hAnsi="Arial Narrow"/>
                <w:bCs/>
                <w:sz w:val="22"/>
              </w:rPr>
              <w:t>3,340</w:t>
            </w:r>
          </w:p>
        </w:tc>
      </w:tr>
      <w:tr w:rsidR="00DA77B6" w:rsidRPr="000E5EBE" w14:paraId="796B8F82" w14:textId="77777777" w:rsidTr="00744F96">
        <w:trPr>
          <w:cantSplit/>
        </w:trPr>
        <w:tc>
          <w:tcPr>
            <w:tcW w:w="4790" w:type="dxa"/>
            <w:shd w:val="clear" w:color="auto" w:fill="FFFFFF" w:themeFill="background1"/>
            <w:noWrap/>
            <w:hideMark/>
          </w:tcPr>
          <w:p w14:paraId="796B8F7F" w14:textId="77777777" w:rsidR="00DA77B6" w:rsidRPr="000E5EBE" w:rsidRDefault="00DA77B6" w:rsidP="0021149A">
            <w:pPr>
              <w:pStyle w:val="PTableTextIndent"/>
              <w:ind w:left="144" w:firstLine="0"/>
              <w:rPr>
                <w:rFonts w:ascii="Arial Narrow" w:eastAsia="Calibri" w:hAnsi="Arial Narrow"/>
                <w:color w:val="000000"/>
                <w:sz w:val="22"/>
              </w:rPr>
            </w:pPr>
            <w:r w:rsidRPr="000E5EBE">
              <w:rPr>
                <w:rFonts w:ascii="Arial Narrow" w:hAnsi="Arial Narrow"/>
                <w:sz w:val="22"/>
              </w:rPr>
              <w:t xml:space="preserve">Exp 5. Mail only </w:t>
            </w:r>
          </w:p>
        </w:tc>
        <w:tc>
          <w:tcPr>
            <w:tcW w:w="2486" w:type="dxa"/>
            <w:shd w:val="clear" w:color="auto" w:fill="FFFFFF" w:themeFill="background1"/>
          </w:tcPr>
          <w:p w14:paraId="796B8F80" w14:textId="77777777" w:rsidR="00DA77B6" w:rsidRPr="000E5EBE" w:rsidRDefault="00DA77B6" w:rsidP="009478AA">
            <w:pPr>
              <w:pStyle w:val="PTableText"/>
              <w:jc w:val="right"/>
              <w:rPr>
                <w:rFonts w:ascii="Arial Narrow" w:hAnsi="Arial Narrow"/>
                <w:sz w:val="22"/>
              </w:rPr>
            </w:pPr>
            <w:r w:rsidRPr="000E5EBE">
              <w:rPr>
                <w:rFonts w:ascii="Arial Narrow" w:hAnsi="Arial Narrow"/>
                <w:sz w:val="22"/>
              </w:rPr>
              <w:t>600</w:t>
            </w:r>
          </w:p>
        </w:tc>
        <w:tc>
          <w:tcPr>
            <w:tcW w:w="1800" w:type="dxa"/>
            <w:shd w:val="clear" w:color="auto" w:fill="FFFFFF" w:themeFill="background1"/>
            <w:noWrap/>
          </w:tcPr>
          <w:p w14:paraId="796B8F81" w14:textId="57CE8E9F" w:rsidR="00DA77B6" w:rsidRPr="000E5EBE" w:rsidRDefault="00DA77B6" w:rsidP="0021149A">
            <w:pPr>
              <w:pStyle w:val="PTableText"/>
              <w:jc w:val="right"/>
              <w:rPr>
                <w:rFonts w:ascii="Arial Narrow" w:hAnsi="Arial Narrow"/>
                <w:sz w:val="22"/>
              </w:rPr>
            </w:pPr>
            <w:r w:rsidRPr="000E5EBE">
              <w:rPr>
                <w:rFonts w:ascii="Arial Narrow" w:hAnsi="Arial Narrow"/>
                <w:bCs/>
                <w:sz w:val="22"/>
              </w:rPr>
              <w:t>3,340</w:t>
            </w:r>
          </w:p>
        </w:tc>
      </w:tr>
      <w:tr w:rsidR="00DA77B6" w:rsidRPr="000E5EBE" w14:paraId="796B8F86" w14:textId="77777777" w:rsidTr="00744F96">
        <w:trPr>
          <w:cantSplit/>
        </w:trPr>
        <w:tc>
          <w:tcPr>
            <w:tcW w:w="4790" w:type="dxa"/>
            <w:shd w:val="clear" w:color="auto" w:fill="FFFFFF" w:themeFill="background1"/>
            <w:noWrap/>
            <w:hideMark/>
          </w:tcPr>
          <w:p w14:paraId="796B8F83" w14:textId="20FC7F1E" w:rsidR="00DA77B6" w:rsidRPr="000E5EBE" w:rsidRDefault="00DA77B6" w:rsidP="00744F96">
            <w:pPr>
              <w:pStyle w:val="PTableText"/>
              <w:jc w:val="right"/>
              <w:rPr>
                <w:rFonts w:ascii="Arial Narrow" w:hAnsi="Arial Narrow"/>
                <w:b/>
                <w:sz w:val="22"/>
              </w:rPr>
            </w:pPr>
            <w:r w:rsidRPr="000E5EBE">
              <w:rPr>
                <w:rFonts w:ascii="Arial Narrow" w:hAnsi="Arial Narrow"/>
                <w:b/>
                <w:sz w:val="22"/>
              </w:rPr>
              <w:t xml:space="preserve">Total English </w:t>
            </w:r>
          </w:p>
        </w:tc>
        <w:tc>
          <w:tcPr>
            <w:tcW w:w="2486" w:type="dxa"/>
            <w:shd w:val="clear" w:color="auto" w:fill="FFFFFF" w:themeFill="background1"/>
            <w:noWrap/>
          </w:tcPr>
          <w:p w14:paraId="796B8F84" w14:textId="77777777" w:rsidR="00DA77B6" w:rsidRPr="000E5EBE" w:rsidRDefault="00DA77B6" w:rsidP="009478AA">
            <w:pPr>
              <w:pStyle w:val="PTableText"/>
              <w:jc w:val="right"/>
              <w:rPr>
                <w:rFonts w:ascii="Arial Narrow" w:hAnsi="Arial Narrow"/>
                <w:b/>
                <w:bCs/>
                <w:sz w:val="22"/>
              </w:rPr>
            </w:pPr>
            <w:r w:rsidRPr="000E5EBE">
              <w:rPr>
                <w:rFonts w:ascii="Arial Narrow" w:hAnsi="Arial Narrow"/>
                <w:b/>
                <w:bCs/>
                <w:sz w:val="22"/>
              </w:rPr>
              <w:t>3,000</w:t>
            </w:r>
          </w:p>
        </w:tc>
        <w:tc>
          <w:tcPr>
            <w:tcW w:w="1800" w:type="dxa"/>
            <w:shd w:val="clear" w:color="auto" w:fill="FFFFFF" w:themeFill="background1"/>
            <w:noWrap/>
          </w:tcPr>
          <w:p w14:paraId="796B8F85" w14:textId="2A425403" w:rsidR="00DA77B6" w:rsidRPr="000E5EBE" w:rsidRDefault="00DA77B6" w:rsidP="0021149A">
            <w:pPr>
              <w:pStyle w:val="PTableText"/>
              <w:jc w:val="right"/>
              <w:rPr>
                <w:rFonts w:ascii="Arial Narrow" w:hAnsi="Arial Narrow"/>
                <w:b/>
                <w:bCs/>
                <w:sz w:val="22"/>
              </w:rPr>
            </w:pPr>
            <w:r w:rsidRPr="000E5EBE">
              <w:rPr>
                <w:rFonts w:ascii="Arial Narrow" w:hAnsi="Arial Narrow"/>
                <w:b/>
                <w:bCs/>
                <w:sz w:val="22"/>
              </w:rPr>
              <w:t>16,700</w:t>
            </w:r>
          </w:p>
        </w:tc>
      </w:tr>
      <w:tr w:rsidR="00DA77B6" w:rsidRPr="000E5EBE" w14:paraId="796B8F8E" w14:textId="77777777" w:rsidTr="00744F96">
        <w:trPr>
          <w:cantSplit/>
        </w:trPr>
        <w:tc>
          <w:tcPr>
            <w:tcW w:w="4790" w:type="dxa"/>
            <w:shd w:val="clear" w:color="auto" w:fill="FFFFFF" w:themeFill="background1"/>
            <w:noWrap/>
          </w:tcPr>
          <w:p w14:paraId="796B8F8B" w14:textId="09F88221" w:rsidR="00DA77B6" w:rsidRPr="000E5EBE" w:rsidRDefault="00DA77B6" w:rsidP="00F523A8">
            <w:pPr>
              <w:pStyle w:val="PTableText"/>
              <w:rPr>
                <w:rFonts w:ascii="Arial Narrow" w:hAnsi="Arial Narrow"/>
                <w:sz w:val="22"/>
              </w:rPr>
            </w:pPr>
            <w:r w:rsidRPr="000E5EBE">
              <w:rPr>
                <w:rFonts w:ascii="Arial Narrow" w:hAnsi="Arial Narrow"/>
                <w:b/>
                <w:sz w:val="22"/>
              </w:rPr>
              <w:t>Non-English</w:t>
            </w:r>
          </w:p>
        </w:tc>
        <w:tc>
          <w:tcPr>
            <w:tcW w:w="2486" w:type="dxa"/>
            <w:shd w:val="clear" w:color="auto" w:fill="FFFFFF" w:themeFill="background1"/>
          </w:tcPr>
          <w:p w14:paraId="796B8F8C" w14:textId="77777777" w:rsidR="00DA77B6" w:rsidRPr="000E5EBE" w:rsidRDefault="00DA77B6" w:rsidP="00F9478A">
            <w:pPr>
              <w:pStyle w:val="PTableText"/>
              <w:jc w:val="right"/>
              <w:rPr>
                <w:rFonts w:ascii="Arial Narrow" w:hAnsi="Arial Narrow"/>
                <w:sz w:val="22"/>
              </w:rPr>
            </w:pPr>
          </w:p>
        </w:tc>
        <w:tc>
          <w:tcPr>
            <w:tcW w:w="1800" w:type="dxa"/>
            <w:shd w:val="clear" w:color="auto" w:fill="FFFFFF" w:themeFill="background1"/>
            <w:noWrap/>
          </w:tcPr>
          <w:p w14:paraId="796B8F8D" w14:textId="77777777" w:rsidR="00DA77B6" w:rsidRPr="000E5EBE" w:rsidRDefault="00DA77B6" w:rsidP="00F9478A">
            <w:pPr>
              <w:pStyle w:val="PTableText"/>
              <w:jc w:val="right"/>
              <w:rPr>
                <w:rFonts w:ascii="Arial Narrow" w:hAnsi="Arial Narrow"/>
                <w:sz w:val="22"/>
              </w:rPr>
            </w:pPr>
          </w:p>
        </w:tc>
      </w:tr>
      <w:tr w:rsidR="00DA77B6" w:rsidRPr="000E5EBE" w14:paraId="796B8F92" w14:textId="77777777" w:rsidTr="00744F96">
        <w:trPr>
          <w:cantSplit/>
        </w:trPr>
        <w:tc>
          <w:tcPr>
            <w:tcW w:w="4790" w:type="dxa"/>
            <w:shd w:val="clear" w:color="auto" w:fill="FFFFFF" w:themeFill="background1"/>
            <w:noWrap/>
            <w:hideMark/>
          </w:tcPr>
          <w:p w14:paraId="796B8F8F" w14:textId="59ECA097" w:rsidR="00DA77B6" w:rsidRPr="000E5EBE" w:rsidRDefault="00DA77B6" w:rsidP="008500A6">
            <w:pPr>
              <w:pStyle w:val="PTableText"/>
              <w:ind w:left="184"/>
              <w:rPr>
                <w:rFonts w:ascii="Arial Narrow" w:hAnsi="Arial Narrow"/>
                <w:sz w:val="22"/>
              </w:rPr>
            </w:pPr>
            <w:r w:rsidRPr="000E5EBE">
              <w:rPr>
                <w:rFonts w:ascii="Arial Narrow" w:hAnsi="Arial Narrow"/>
                <w:sz w:val="22"/>
              </w:rPr>
              <w:t>Spanish (mail only)</w:t>
            </w:r>
          </w:p>
        </w:tc>
        <w:tc>
          <w:tcPr>
            <w:tcW w:w="2486" w:type="dxa"/>
            <w:shd w:val="clear" w:color="auto" w:fill="FFFFFF" w:themeFill="background1"/>
          </w:tcPr>
          <w:p w14:paraId="796B8F90" w14:textId="77777777" w:rsidR="00DA77B6" w:rsidRPr="000E5EBE" w:rsidRDefault="00DA77B6" w:rsidP="00F9478A">
            <w:pPr>
              <w:pStyle w:val="PTableText"/>
              <w:jc w:val="right"/>
              <w:rPr>
                <w:rFonts w:ascii="Arial Narrow" w:hAnsi="Arial Narrow"/>
                <w:sz w:val="22"/>
              </w:rPr>
            </w:pPr>
            <w:r w:rsidRPr="000E5EBE">
              <w:rPr>
                <w:rFonts w:ascii="Arial Narrow" w:hAnsi="Arial Narrow"/>
                <w:sz w:val="22"/>
              </w:rPr>
              <w:t>600</w:t>
            </w:r>
          </w:p>
        </w:tc>
        <w:tc>
          <w:tcPr>
            <w:tcW w:w="1800" w:type="dxa"/>
            <w:shd w:val="clear" w:color="auto" w:fill="FFFFFF" w:themeFill="background1"/>
            <w:noWrap/>
          </w:tcPr>
          <w:p w14:paraId="796B8F91" w14:textId="4D9DC04B" w:rsidR="00DA77B6" w:rsidRPr="000E5EBE" w:rsidRDefault="00DA77B6" w:rsidP="00F9478A">
            <w:pPr>
              <w:pStyle w:val="PTableText"/>
              <w:jc w:val="right"/>
              <w:rPr>
                <w:rFonts w:ascii="Arial Narrow" w:hAnsi="Arial Narrow"/>
                <w:sz w:val="22"/>
              </w:rPr>
            </w:pPr>
            <w:r w:rsidRPr="000E5EBE">
              <w:rPr>
                <w:rFonts w:ascii="Arial Narrow" w:hAnsi="Arial Narrow"/>
                <w:bCs/>
                <w:sz w:val="22"/>
              </w:rPr>
              <w:t>3,340</w:t>
            </w:r>
          </w:p>
        </w:tc>
      </w:tr>
      <w:tr w:rsidR="00DA77B6" w:rsidRPr="000E5EBE" w14:paraId="796B8F96" w14:textId="77777777" w:rsidTr="00744F96">
        <w:trPr>
          <w:cantSplit/>
        </w:trPr>
        <w:tc>
          <w:tcPr>
            <w:tcW w:w="4790" w:type="dxa"/>
            <w:shd w:val="clear" w:color="auto" w:fill="FFFFFF" w:themeFill="background1"/>
            <w:noWrap/>
            <w:hideMark/>
          </w:tcPr>
          <w:p w14:paraId="796B8F93" w14:textId="77777777" w:rsidR="00DA77B6" w:rsidRPr="000E5EBE" w:rsidRDefault="00DA77B6" w:rsidP="00EE017D">
            <w:pPr>
              <w:pStyle w:val="PTableText"/>
              <w:ind w:left="184"/>
              <w:rPr>
                <w:rFonts w:ascii="Arial Narrow" w:hAnsi="Arial Narrow"/>
                <w:sz w:val="22"/>
              </w:rPr>
            </w:pPr>
            <w:r w:rsidRPr="000E5EBE">
              <w:rPr>
                <w:rFonts w:ascii="Arial Narrow" w:hAnsi="Arial Narrow"/>
                <w:sz w:val="22"/>
              </w:rPr>
              <w:t>Chinese (mail only)</w:t>
            </w:r>
          </w:p>
        </w:tc>
        <w:tc>
          <w:tcPr>
            <w:tcW w:w="2486" w:type="dxa"/>
            <w:shd w:val="clear" w:color="auto" w:fill="FFFFFF" w:themeFill="background1"/>
          </w:tcPr>
          <w:p w14:paraId="796B8F94" w14:textId="77777777" w:rsidR="00DA77B6" w:rsidRPr="000E5EBE" w:rsidRDefault="00DA77B6" w:rsidP="00F9478A">
            <w:pPr>
              <w:pStyle w:val="PTableText"/>
              <w:jc w:val="right"/>
              <w:rPr>
                <w:rFonts w:ascii="Arial Narrow" w:hAnsi="Arial Narrow"/>
                <w:sz w:val="22"/>
              </w:rPr>
            </w:pPr>
            <w:r w:rsidRPr="000E5EBE">
              <w:rPr>
                <w:rFonts w:ascii="Arial Narrow" w:hAnsi="Arial Narrow"/>
                <w:sz w:val="22"/>
              </w:rPr>
              <w:t>600</w:t>
            </w:r>
          </w:p>
        </w:tc>
        <w:tc>
          <w:tcPr>
            <w:tcW w:w="1800" w:type="dxa"/>
            <w:shd w:val="clear" w:color="auto" w:fill="FFFFFF" w:themeFill="background1"/>
            <w:noWrap/>
          </w:tcPr>
          <w:p w14:paraId="796B8F95" w14:textId="37E6E8D8" w:rsidR="00DA77B6" w:rsidRPr="000E5EBE" w:rsidRDefault="00DA77B6" w:rsidP="00F9478A">
            <w:pPr>
              <w:pStyle w:val="PTableText"/>
              <w:jc w:val="right"/>
              <w:rPr>
                <w:rFonts w:ascii="Arial Narrow" w:hAnsi="Arial Narrow"/>
                <w:sz w:val="22"/>
              </w:rPr>
            </w:pPr>
            <w:r w:rsidRPr="000E5EBE">
              <w:rPr>
                <w:rFonts w:ascii="Arial Narrow" w:hAnsi="Arial Narrow"/>
                <w:bCs/>
                <w:sz w:val="22"/>
              </w:rPr>
              <w:t>3,340</w:t>
            </w:r>
          </w:p>
        </w:tc>
      </w:tr>
      <w:tr w:rsidR="00DA77B6" w:rsidRPr="000E5EBE" w14:paraId="796B8F9A" w14:textId="77777777" w:rsidTr="00744F96">
        <w:trPr>
          <w:cantSplit/>
        </w:trPr>
        <w:tc>
          <w:tcPr>
            <w:tcW w:w="4790" w:type="dxa"/>
            <w:shd w:val="clear" w:color="auto" w:fill="FFFFFF" w:themeFill="background1"/>
            <w:noWrap/>
            <w:hideMark/>
          </w:tcPr>
          <w:p w14:paraId="796B8F97" w14:textId="5974326B" w:rsidR="00DA77B6" w:rsidRPr="000E5EBE" w:rsidRDefault="00DA77B6" w:rsidP="008500A6">
            <w:pPr>
              <w:pStyle w:val="PTableText"/>
              <w:rPr>
                <w:rFonts w:ascii="Arial Narrow" w:hAnsi="Arial Narrow"/>
                <w:b/>
                <w:sz w:val="22"/>
              </w:rPr>
            </w:pPr>
            <w:r w:rsidRPr="000E5EBE">
              <w:rPr>
                <w:rFonts w:ascii="Arial Narrow" w:hAnsi="Arial Narrow"/>
                <w:b/>
                <w:sz w:val="22"/>
              </w:rPr>
              <w:t xml:space="preserve">Total non-English </w:t>
            </w:r>
          </w:p>
        </w:tc>
        <w:tc>
          <w:tcPr>
            <w:tcW w:w="2486" w:type="dxa"/>
            <w:shd w:val="clear" w:color="auto" w:fill="FFFFFF" w:themeFill="background1"/>
          </w:tcPr>
          <w:p w14:paraId="796B8F98" w14:textId="77777777" w:rsidR="00DA77B6" w:rsidRPr="000E5EBE" w:rsidRDefault="00DA77B6" w:rsidP="00F9478A">
            <w:pPr>
              <w:pStyle w:val="PTableText"/>
              <w:jc w:val="right"/>
              <w:rPr>
                <w:rFonts w:ascii="Arial Narrow" w:hAnsi="Arial Narrow"/>
                <w:b/>
                <w:sz w:val="22"/>
              </w:rPr>
            </w:pPr>
            <w:r w:rsidRPr="000E5EBE">
              <w:rPr>
                <w:rFonts w:ascii="Arial Narrow" w:hAnsi="Arial Narrow"/>
                <w:b/>
                <w:sz w:val="22"/>
              </w:rPr>
              <w:t>1,200</w:t>
            </w:r>
          </w:p>
        </w:tc>
        <w:tc>
          <w:tcPr>
            <w:tcW w:w="1800" w:type="dxa"/>
            <w:shd w:val="clear" w:color="auto" w:fill="FFFFFF" w:themeFill="background1"/>
            <w:noWrap/>
          </w:tcPr>
          <w:p w14:paraId="796B8F99" w14:textId="307F7A04" w:rsidR="00DA77B6" w:rsidRPr="000E5EBE" w:rsidRDefault="00DA77B6" w:rsidP="00F9478A">
            <w:pPr>
              <w:pStyle w:val="PTableText"/>
              <w:jc w:val="right"/>
              <w:rPr>
                <w:rFonts w:ascii="Arial Narrow" w:hAnsi="Arial Narrow"/>
                <w:b/>
                <w:sz w:val="22"/>
              </w:rPr>
            </w:pPr>
            <w:r w:rsidRPr="000E5EBE">
              <w:rPr>
                <w:rFonts w:ascii="Arial Narrow" w:hAnsi="Arial Narrow"/>
                <w:b/>
                <w:sz w:val="22"/>
              </w:rPr>
              <w:t>6,680</w:t>
            </w:r>
          </w:p>
        </w:tc>
      </w:tr>
      <w:tr w:rsidR="00DA77B6" w:rsidRPr="000E5EBE" w14:paraId="796B8F9E" w14:textId="77777777" w:rsidTr="00744F96">
        <w:trPr>
          <w:cantSplit/>
        </w:trPr>
        <w:tc>
          <w:tcPr>
            <w:tcW w:w="4790" w:type="dxa"/>
            <w:shd w:val="clear" w:color="auto" w:fill="FFFFFF" w:themeFill="background1"/>
            <w:noWrap/>
          </w:tcPr>
          <w:p w14:paraId="796B8F9B" w14:textId="77777777" w:rsidR="00DA77B6" w:rsidRPr="000E5EBE" w:rsidRDefault="00DA77B6" w:rsidP="00F523A8">
            <w:pPr>
              <w:pStyle w:val="PTableText"/>
              <w:jc w:val="right"/>
              <w:rPr>
                <w:rFonts w:ascii="Arial Narrow" w:hAnsi="Arial Narrow"/>
                <w:b/>
                <w:sz w:val="22"/>
              </w:rPr>
            </w:pPr>
            <w:r w:rsidRPr="000E5EBE">
              <w:rPr>
                <w:rFonts w:ascii="Arial Narrow" w:hAnsi="Arial Narrow"/>
                <w:b/>
                <w:sz w:val="22"/>
              </w:rPr>
              <w:t>Overall Total</w:t>
            </w:r>
          </w:p>
        </w:tc>
        <w:tc>
          <w:tcPr>
            <w:tcW w:w="2486" w:type="dxa"/>
            <w:shd w:val="clear" w:color="auto" w:fill="FFFFFF" w:themeFill="background1"/>
          </w:tcPr>
          <w:p w14:paraId="796B8F9C" w14:textId="77777777" w:rsidR="00DA77B6" w:rsidRPr="000E5EBE" w:rsidRDefault="00DA77B6" w:rsidP="00F9478A">
            <w:pPr>
              <w:pStyle w:val="PTableText"/>
              <w:jc w:val="right"/>
              <w:rPr>
                <w:rFonts w:ascii="Arial Narrow" w:hAnsi="Arial Narrow"/>
                <w:b/>
                <w:sz w:val="22"/>
              </w:rPr>
            </w:pPr>
            <w:r w:rsidRPr="000E5EBE">
              <w:rPr>
                <w:rFonts w:ascii="Arial Narrow" w:hAnsi="Arial Narrow"/>
                <w:b/>
                <w:sz w:val="22"/>
              </w:rPr>
              <w:t>4,200</w:t>
            </w:r>
          </w:p>
        </w:tc>
        <w:tc>
          <w:tcPr>
            <w:tcW w:w="1800" w:type="dxa"/>
            <w:shd w:val="clear" w:color="auto" w:fill="FFFFFF" w:themeFill="background1"/>
            <w:noWrap/>
          </w:tcPr>
          <w:p w14:paraId="796B8F9D" w14:textId="2578B33D" w:rsidR="00DA77B6" w:rsidRPr="000E5EBE" w:rsidRDefault="00DA77B6" w:rsidP="00F9478A">
            <w:pPr>
              <w:pStyle w:val="PTableText"/>
              <w:jc w:val="right"/>
              <w:rPr>
                <w:rFonts w:ascii="Arial Narrow" w:hAnsi="Arial Narrow"/>
                <w:b/>
                <w:sz w:val="22"/>
              </w:rPr>
            </w:pPr>
            <w:r w:rsidRPr="000E5EBE">
              <w:rPr>
                <w:rFonts w:ascii="Arial Narrow" w:hAnsi="Arial Narrow"/>
                <w:b/>
                <w:sz w:val="22"/>
              </w:rPr>
              <w:t>23,380</w:t>
            </w:r>
          </w:p>
        </w:tc>
      </w:tr>
    </w:tbl>
    <w:p w14:paraId="796B8F9F" w14:textId="77777777" w:rsidR="002D27CF" w:rsidRDefault="002D27CF" w:rsidP="002D27CF">
      <w:pPr>
        <w:pStyle w:val="PBodyText"/>
      </w:pPr>
    </w:p>
    <w:p w14:paraId="796B8FA1" w14:textId="5B27AABB" w:rsidR="00EC616C" w:rsidRDefault="00EC616C" w:rsidP="00EC616C">
      <w:pPr>
        <w:pStyle w:val="Heading4"/>
      </w:pPr>
      <w:r>
        <w:t xml:space="preserve">1.2.2.2 </w:t>
      </w:r>
      <w:r w:rsidR="00795494">
        <w:t xml:space="preserve">QHP </w:t>
      </w:r>
      <w:r>
        <w:t>Beta Test</w:t>
      </w:r>
      <w:r w:rsidR="00795494">
        <w:t xml:space="preserve"> Sample Size Estimates</w:t>
      </w:r>
    </w:p>
    <w:p w14:paraId="796B8FA2" w14:textId="1054DDA2" w:rsidR="00F9478A" w:rsidRDefault="00F9478A" w:rsidP="00F9478A">
      <w:pPr>
        <w:pStyle w:val="PBodyText"/>
      </w:pPr>
      <w:r>
        <w:t xml:space="preserve">The estimation of sample size for the beta test of the QHP survey will be driven by sample size estimates that result from the IUR analysis described above, as well as the analysis and reporting goals associated with this round of data collection (see Exhibit A1 in Part A). Once the analysis of the </w:t>
      </w:r>
      <w:r w:rsidR="009D46D8">
        <w:t>psychometric test</w:t>
      </w:r>
      <w:r>
        <w:t xml:space="preserve"> data are complete, CMS will make final recommendations for sample size requirements to issuers and survey vendors.</w:t>
      </w:r>
    </w:p>
    <w:p w14:paraId="796B8FA3" w14:textId="31D6C2C5" w:rsidR="00EC616C" w:rsidRDefault="00F9478A" w:rsidP="00FF5526">
      <w:pPr>
        <w:pStyle w:val="PBodyText"/>
      </w:pPr>
      <w:r>
        <w:t xml:space="preserve">As described in Section 1.1.2.2, to have a sufficient number of responses for </w:t>
      </w:r>
      <w:r w:rsidRPr="00F523A8">
        <w:rPr>
          <w:i/>
        </w:rPr>
        <w:t>analysis</w:t>
      </w:r>
      <w:r>
        <w:t xml:space="preserve"> and </w:t>
      </w:r>
      <w:r w:rsidRPr="00F523A8">
        <w:rPr>
          <w:i/>
        </w:rPr>
        <w:t>reporting</w:t>
      </w:r>
      <w:r>
        <w:t xml:space="preserve"> based on surveys of enrollees in health plans, CAHPS generally recommends obtaining completed questionnaires from </w:t>
      </w:r>
      <w:r w:rsidR="0021149A">
        <w:t>3</w:t>
      </w:r>
      <w:r>
        <w:t xml:space="preserve">00 respondents per reporting </w:t>
      </w:r>
      <w:r w:rsidR="00F90533">
        <w:t>unit</w:t>
      </w:r>
      <w:r>
        <w:t>.</w:t>
      </w:r>
      <w:r>
        <w:rPr>
          <w:rStyle w:val="FootnoteReference"/>
        </w:rPr>
        <w:footnoteReference w:id="18"/>
      </w:r>
      <w:r>
        <w:t xml:space="preserve"> With a</w:t>
      </w:r>
      <w:r w:rsidR="00130619">
        <w:t>n assumed</w:t>
      </w:r>
      <w:r w:rsidR="00F90533">
        <w:t xml:space="preserve"> </w:t>
      </w:r>
      <w:r>
        <w:t xml:space="preserve">response rate of </w:t>
      </w:r>
      <w:r w:rsidR="00A9620D">
        <w:t>30</w:t>
      </w:r>
      <w:r>
        <w:t xml:space="preserve">%, </w:t>
      </w:r>
      <w:r w:rsidR="00130619">
        <w:t xml:space="preserve">issuers </w:t>
      </w:r>
      <w:r>
        <w:t xml:space="preserve">would have to draw samples of </w:t>
      </w:r>
      <w:r w:rsidR="003238D7">
        <w:t xml:space="preserve">1,000 </w:t>
      </w:r>
      <w:r>
        <w:t>enrollees</w:t>
      </w:r>
      <w:r w:rsidR="00130619">
        <w:t xml:space="preserve"> from</w:t>
      </w:r>
      <w:r>
        <w:t xml:space="preserve"> each</w:t>
      </w:r>
      <w:r w:rsidR="00130619">
        <w:t xml:space="preserve"> RU</w:t>
      </w:r>
      <w:r>
        <w:t xml:space="preserve">; however this number </w:t>
      </w:r>
      <w:r w:rsidR="00130619">
        <w:t>may</w:t>
      </w:r>
      <w:r>
        <w:t xml:space="preserve"> be updated based on the observed response rates from the </w:t>
      </w:r>
      <w:r w:rsidR="009D46D8">
        <w:t>psychometric test</w:t>
      </w:r>
      <w:r>
        <w:t xml:space="preserve"> of the </w:t>
      </w:r>
      <w:r w:rsidR="003D6B10">
        <w:t>Marketplace survey</w:t>
      </w:r>
      <w:r>
        <w:t>.</w:t>
      </w:r>
    </w:p>
    <w:p w14:paraId="796B8FA4" w14:textId="77777777" w:rsidR="00101D3E" w:rsidRPr="0028258E" w:rsidRDefault="00101D3E" w:rsidP="00A639DF">
      <w:pPr>
        <w:pStyle w:val="Heading3"/>
      </w:pPr>
      <w:bookmarkStart w:id="103" w:name="_Toc375154524"/>
      <w:bookmarkStart w:id="104" w:name="_Toc396204806"/>
      <w:r w:rsidRPr="0028258E">
        <w:lastRenderedPageBreak/>
        <w:t>1.2.</w:t>
      </w:r>
      <w:r w:rsidR="00795494">
        <w:t>3</w:t>
      </w:r>
      <w:r w:rsidR="00A639DF">
        <w:tab/>
      </w:r>
      <w:bookmarkEnd w:id="103"/>
      <w:r w:rsidR="00795494">
        <w:t>QHP</w:t>
      </w:r>
      <w:r w:rsidR="00593758">
        <w:t xml:space="preserve"> Enrollee Survey</w:t>
      </w:r>
      <w:r w:rsidR="00795494">
        <w:t xml:space="preserve"> Sampling Methods</w:t>
      </w:r>
      <w:bookmarkEnd w:id="104"/>
    </w:p>
    <w:p w14:paraId="796B8FA5" w14:textId="307DE6A5" w:rsidR="006D3247" w:rsidRDefault="006D3247" w:rsidP="006D3247">
      <w:pPr>
        <w:pStyle w:val="Heading4"/>
        <w:spacing w:after="120"/>
      </w:pPr>
      <w:r>
        <w:t>1.2.</w:t>
      </w:r>
      <w:r w:rsidR="00795494">
        <w:t>3</w:t>
      </w:r>
      <w:r>
        <w:t>.</w:t>
      </w:r>
      <w:r w:rsidR="00795494">
        <w:t xml:space="preserve">1 </w:t>
      </w:r>
      <w:r w:rsidR="006C7164">
        <w:t xml:space="preserve">Psychometric </w:t>
      </w:r>
      <w:r w:rsidR="00795494">
        <w:t>Test</w:t>
      </w:r>
    </w:p>
    <w:p w14:paraId="0857504F" w14:textId="16FADD14" w:rsidR="004F173F" w:rsidRDefault="00947401" w:rsidP="00947401">
      <w:pPr>
        <w:pStyle w:val="PBodyTextPreBullet"/>
      </w:pPr>
      <w:r>
        <w:t xml:space="preserve">While we use the term QHP as a semantic convenience, the operational definition of QHP for use in sampling (and ultimately reporting as well) is not as straightforward as common usage would suggest. </w:t>
      </w:r>
    </w:p>
    <w:p w14:paraId="0F868570" w14:textId="18B08C2B" w:rsidR="00947401" w:rsidRDefault="00947401" w:rsidP="00947401">
      <w:pPr>
        <w:pStyle w:val="PBodyTextPreBullet"/>
      </w:pPr>
      <w:r>
        <w:t xml:space="preserve">If QHP is defined in terms of the unique Standard Component ID (SCID) provided by the HIOS system at the request of insurance issuers, then early data indicate that just over 200 issuers offer over 4,400 separate QHPs in just the FFM. Comments received from Blue Cross Blue Shield Association (BCBSA) in response to the 60-day FRN posting explained that using the SCID to define the sampling, data collection, and reporting unit would expose issuers to excessive burden by possibly requiring them to conduct dozens of separate surveys in a given state from individuals enrolled in products that are virtually identical (at least in terms of actuarial value).  For example, one issuer in Arizona has 84 separate HMO plans across all five metal levels (including 30 silver plans, 22 gold plans, and 22 platinum plans), each with its own SCID; another issuer in Indiana has 137 HMO plans across the five metal levels, including 58 silver plans. BCBSA also described possible scenarios where a given issuer with a large number of plans (as defined by SCID) might have enrollments in each product offering that are small enough (n &lt; 500) to result in a situation where that issuer would not be required to conduct any surveys at all beginning with the beta test and beyond. </w:t>
      </w:r>
    </w:p>
    <w:p w14:paraId="36B9DCAD" w14:textId="4F963C34" w:rsidR="00947401" w:rsidRDefault="00947401" w:rsidP="00947401">
      <w:pPr>
        <w:pStyle w:val="PBodyTextPreBullet"/>
      </w:pPr>
      <w:r>
        <w:t xml:space="preserve">Given these issues, it is apparent to CMS that the sampling and data collection unit for the QHP survey will have to be defined in terms of an aggregation of individual product offerings as defined by the SCID. Aggregating SCIDs up to the product </w:t>
      </w:r>
      <w:r w:rsidRPr="00744F96">
        <w:rPr>
          <w:i/>
        </w:rPr>
        <w:t>type</w:t>
      </w:r>
      <w:r>
        <w:t xml:space="preserve"> (EPO, PPO, POS, HMO) within issuer within state is a strategy that produces 268 unique units (this excludes child-only and dental-only plans). The current plan for the psychometric and beta tests is to aggregate to t</w:t>
      </w:r>
      <w:r>
        <w:rPr>
          <w:rFonts w:cs="Times New Roman"/>
        </w:rPr>
        <w:t xml:space="preserve">he level of product type (HMO, PPO, EPO, POS) offered by a given issuer in a given state </w:t>
      </w:r>
      <w:r>
        <w:t>(e.g., an Aetna HMO in Texas, or Coventry PPO in Florida). W</w:t>
      </w:r>
      <w:r>
        <w:rPr>
          <w:rFonts w:cs="Times New Roman"/>
        </w:rPr>
        <w:t>e refer to this unit as a State-Issuer-Product type (SIP)</w:t>
      </w:r>
      <w:r>
        <w:t xml:space="preserve">. This approach yields 226 units from which to sample our 30 “QHPs” for the psychometric test. </w:t>
      </w:r>
    </w:p>
    <w:p w14:paraId="5E8B7026" w14:textId="60F9EEE9" w:rsidR="00947401" w:rsidRDefault="000F099B" w:rsidP="0067323B">
      <w:pPr>
        <w:pStyle w:val="PBodyTextPreBullet"/>
      </w:pPr>
      <w:r>
        <w:t xml:space="preserve">In order to be eligible to be in this sampling frame, a </w:t>
      </w:r>
      <w:r w:rsidR="00947401">
        <w:t xml:space="preserve">SIP </w:t>
      </w:r>
      <w:r>
        <w:t xml:space="preserve">will have to have a </w:t>
      </w:r>
      <w:r w:rsidR="00130619">
        <w:t xml:space="preserve">enough </w:t>
      </w:r>
      <w:r>
        <w:t>enrollees</w:t>
      </w:r>
      <w:r w:rsidR="00130619" w:rsidRPr="00130619">
        <w:t xml:space="preserve"> </w:t>
      </w:r>
      <w:r w:rsidR="00130619">
        <w:t xml:space="preserve">to produce the required number of </w:t>
      </w:r>
      <w:r w:rsidR="00130619" w:rsidRPr="0051468F">
        <w:rPr>
          <w:i/>
        </w:rPr>
        <w:t>completed</w:t>
      </w:r>
      <w:r w:rsidR="00130619">
        <w:t xml:space="preserve"> </w:t>
      </w:r>
      <w:r w:rsidR="00130619" w:rsidRPr="0051468F">
        <w:rPr>
          <w:i/>
        </w:rPr>
        <w:t>surveys</w:t>
      </w:r>
      <w:r w:rsidR="00130619">
        <w:t xml:space="preserve"> (n=100). </w:t>
      </w:r>
      <w:r>
        <w:t xml:space="preserve"> </w:t>
      </w:r>
      <w:r w:rsidR="00947401">
        <w:t>CMS has determined that</w:t>
      </w:r>
      <w:r w:rsidR="004F173F">
        <w:t>, in order to obtain 100 completed surveys per unit,</w:t>
      </w:r>
      <w:r w:rsidR="00947401">
        <w:t xml:space="preserve"> the SIP frame would need to exclude any SIPs with less than 660 de-duplicated, survey-eligible enrollees. This estimate was based on assuming a 30% response rate, an effectuation rate of 67%, and assuming that 75% of effectuated enrollees would be enrolled for the minimum of 5 months.</w:t>
      </w:r>
      <w:r w:rsidR="00947401">
        <w:rPr>
          <w:rStyle w:val="FootnoteReference"/>
        </w:rPr>
        <w:footnoteReference w:id="19"/>
      </w:r>
      <w:r w:rsidR="00947401">
        <w:t xml:space="preserve"> This results in a yield rate of 15% (0.30 x 0.67 x 0.75 = 0.15), which corresponds to an inflation rate of 6.67 (1.0/0.15). Multiplying 100 by the inflation rate of 6.67 indicates that we will need 667 survey-eligible enrollees per RU. We rounded this estimate down to 660 to account for imprecision in the various rates described above.</w:t>
      </w:r>
      <w:r w:rsidR="004F173F">
        <w:t xml:space="preserve"> A total of 226 SIPs meet this enrollment size requirement.</w:t>
      </w:r>
    </w:p>
    <w:p w14:paraId="1FC19E94" w14:textId="3ADEB4DC" w:rsidR="004F173F" w:rsidRDefault="00BD1509" w:rsidP="007821DA">
      <w:pPr>
        <w:pStyle w:val="PBodyTextPreBullet"/>
      </w:pPr>
      <w:r>
        <w:lastRenderedPageBreak/>
        <w:t xml:space="preserve">Sampling for the QHP psychometric test </w:t>
      </w:r>
      <w:r w:rsidR="006A78FF">
        <w:t>took</w:t>
      </w:r>
      <w:r>
        <w:t xml:space="preserve"> place in two stages. First, we </w:t>
      </w:r>
      <w:r w:rsidR="006A78FF">
        <w:t>drew</w:t>
      </w:r>
      <w:r>
        <w:t xml:space="preserve"> a sample of 30 SIPs from the sample frame of all 226 SIPs.</w:t>
      </w:r>
      <w:r w:rsidR="006C7164">
        <w:t xml:space="preserve">CMS </w:t>
      </w:r>
      <w:r w:rsidR="00527603">
        <w:t>select</w:t>
      </w:r>
      <w:r w:rsidR="006A78FF">
        <w:t>ed</w:t>
      </w:r>
      <w:r w:rsidR="002A702B">
        <w:t xml:space="preserve"> 30 </w:t>
      </w:r>
      <w:r w:rsidR="00947401">
        <w:t>SIPs using a mix of random and purposive sampling techniques</w:t>
      </w:r>
      <w:r w:rsidR="002A702B">
        <w:t>.</w:t>
      </w:r>
      <w:r w:rsidR="00947401">
        <w:t xml:space="preserve"> </w:t>
      </w:r>
      <w:r w:rsidR="004F173F" w:rsidRPr="00BE05D2">
        <w:t xml:space="preserve">CMS </w:t>
      </w:r>
      <w:r w:rsidR="004F173F">
        <w:t xml:space="preserve">considered </w:t>
      </w:r>
      <w:r w:rsidR="004F173F" w:rsidRPr="00BE05D2">
        <w:t>purposively select</w:t>
      </w:r>
      <w:r w:rsidR="004F173F">
        <w:t>ing the</w:t>
      </w:r>
      <w:r w:rsidR="004F173F" w:rsidRPr="00BE05D2">
        <w:t xml:space="preserve"> 30 </w:t>
      </w:r>
      <w:r w:rsidR="004F173F">
        <w:t>SIP</w:t>
      </w:r>
      <w:r w:rsidR="004F173F" w:rsidRPr="00BE05D2">
        <w:t>s</w:t>
      </w:r>
      <w:r w:rsidR="004F173F">
        <w:t xml:space="preserve"> from that frame</w:t>
      </w:r>
      <w:r w:rsidR="004F173F" w:rsidRPr="00BE05D2">
        <w:t xml:space="preserve"> </w:t>
      </w:r>
      <w:r w:rsidR="004F173F">
        <w:t>on the basis of</w:t>
      </w:r>
      <w:r w:rsidR="004F173F" w:rsidRPr="00BE05D2">
        <w:t xml:space="preserve"> several criteria, such as maximizing geographic variation, including plans for specific </w:t>
      </w:r>
      <w:r w:rsidR="004F173F">
        <w:t>s</w:t>
      </w:r>
      <w:r w:rsidR="004F173F" w:rsidRPr="00BE05D2">
        <w:t xml:space="preserve">tates that </w:t>
      </w:r>
      <w:r w:rsidR="004F173F">
        <w:t xml:space="preserve">are likely to </w:t>
      </w:r>
      <w:r w:rsidR="004F173F" w:rsidRPr="00BE05D2">
        <w:t>span the full range of likely enrollee experience, including plans that vary in the racial and ethnic composition of their enrollee populations, or ensuring that specific states are represented.</w:t>
      </w:r>
      <w:r w:rsidR="004F173F">
        <w:t xml:space="preserve"> However, after reviewing the results of selecting the 30 SIPs at </w:t>
      </w:r>
      <w:r w:rsidR="004F173F" w:rsidRPr="00BE05D2">
        <w:t>random</w:t>
      </w:r>
      <w:r w:rsidR="004F173F">
        <w:t>, it became obvious that random selection produced a sample of SIPs that very closely reflected the distribution of enrollee characteristics in the frame.</w:t>
      </w:r>
      <w:r w:rsidR="004F173F" w:rsidRPr="004F173F">
        <w:t xml:space="preserve"> </w:t>
      </w:r>
      <w:r w:rsidR="004F173F">
        <w:t>The only drawback to that approach was that it would be virtually impossible for any set of 30 randomly selected SIPs to provide the 3,340 individuals needed for the Chinese sample</w:t>
      </w:r>
      <w:r w:rsidR="004F173F" w:rsidRPr="00BE05D2">
        <w:t>.</w:t>
      </w:r>
      <w:r w:rsidR="004F173F">
        <w:t xml:space="preserve"> </w:t>
      </w:r>
    </w:p>
    <w:p w14:paraId="68CD5485" w14:textId="61ED625D" w:rsidR="004F173F" w:rsidRDefault="004F173F" w:rsidP="007821DA">
      <w:pPr>
        <w:pStyle w:val="PBodyTextPreBullet"/>
      </w:pPr>
      <w:r>
        <w:t>To address this problem, we tested a blended approach that included purposively selecting the two SIPs with the most Chinese-language individuals and randomly selecting the remaining 28 SIPs. This approach successfully produced a 30-SIP sample with a sufficient number of both Spanish-language  and Chinese-language individuals from which to draw our person-level sample, and still produces a sample of SIPs that very closely reflects the distribution of enrollee characteristics in the frame.</w:t>
      </w:r>
    </w:p>
    <w:p w14:paraId="4D1458CA" w14:textId="44CADF5F" w:rsidR="00AE39B6" w:rsidRDefault="00A5071E" w:rsidP="003659A4">
      <w:pPr>
        <w:pStyle w:val="PBodyTextPreBullet"/>
      </w:pPr>
      <w:r>
        <w:t xml:space="preserve">Next, </w:t>
      </w:r>
      <w:r w:rsidR="00AE39B6">
        <w:t xml:space="preserve">CMS </w:t>
      </w:r>
      <w:r w:rsidR="006A78FF">
        <w:t>drew</w:t>
      </w:r>
      <w:r w:rsidR="00152E8F">
        <w:t xml:space="preserve"> a simple random sample of </w:t>
      </w:r>
      <w:r w:rsidR="00947401">
        <w:t xml:space="preserve">557 </w:t>
      </w:r>
      <w:r w:rsidR="000F099B">
        <w:t xml:space="preserve">enrollees </w:t>
      </w:r>
      <w:r>
        <w:t xml:space="preserve">from each of the 30 </w:t>
      </w:r>
      <w:r w:rsidR="00AE39B6">
        <w:t xml:space="preserve">SIPs </w:t>
      </w:r>
      <w:r>
        <w:t>sampled at the first stage</w:t>
      </w:r>
      <w:r w:rsidR="009D59F2">
        <w:t xml:space="preserve">, producing a total sample of </w:t>
      </w:r>
      <w:r w:rsidR="004F173F">
        <w:t xml:space="preserve"> 23,380</w:t>
      </w:r>
      <w:r w:rsidR="009D59F2">
        <w:t xml:space="preserve"> enrollees</w:t>
      </w:r>
      <w:r w:rsidR="00AE39B6">
        <w:t xml:space="preserve"> across the three languages (16,700 English; 3,340 each for Spanish and Chinese)</w:t>
      </w:r>
      <w:r w:rsidR="009D59F2">
        <w:t xml:space="preserve">. The </w:t>
      </w:r>
      <w:r w:rsidR="00AE39B6">
        <w:t xml:space="preserve">English </w:t>
      </w:r>
      <w:r w:rsidR="009D59F2">
        <w:t xml:space="preserve">enrollees </w:t>
      </w:r>
      <w:r w:rsidR="006A78FF">
        <w:t>were</w:t>
      </w:r>
      <w:r w:rsidR="009D59F2">
        <w:t xml:space="preserve"> randomly assigned to each of the five experimental mode groups: </w:t>
      </w:r>
      <w:r w:rsidR="004F173F">
        <w:t>3,340</w:t>
      </w:r>
      <w:r w:rsidR="009D59F2">
        <w:t xml:space="preserve"> </w:t>
      </w:r>
      <w:r w:rsidR="00D218C4">
        <w:t xml:space="preserve">to each </w:t>
      </w:r>
      <w:r w:rsidR="009D59F2">
        <w:t xml:space="preserve">group (see Exhibit </w:t>
      </w:r>
      <w:r w:rsidR="0052683B">
        <w:t>B5</w:t>
      </w:r>
      <w:r w:rsidR="007821DA">
        <w:t>)</w:t>
      </w:r>
      <w:r w:rsidR="009D59F2">
        <w:t xml:space="preserve">. </w:t>
      </w:r>
      <w:r w:rsidR="00D32464">
        <w:t xml:space="preserve">For the Spanish and Chinese samples, CMS </w:t>
      </w:r>
      <w:r w:rsidR="006A78FF">
        <w:t>used</w:t>
      </w:r>
      <w:r w:rsidR="00D32464">
        <w:t xml:space="preserve"> a systematic random sampling design to yield a sample proportional to the relative size of each group in the </w:t>
      </w:r>
      <w:r w:rsidR="004F173F">
        <w:t>30 SIPs sampled at the first stage</w:t>
      </w:r>
      <w:r w:rsidR="00D32464">
        <w:t>. In this design the sampling ratio (k) for each of two sample draws (one for Spanish and one for Chinese) will be equal to N/</w:t>
      </w:r>
      <w:r w:rsidR="004F173F">
        <w:t>3,340</w:t>
      </w:r>
      <w:r w:rsidR="00D32464">
        <w:t xml:space="preserve">, where N is the number of eligible individuals in the </w:t>
      </w:r>
      <w:r w:rsidR="00AE39B6">
        <w:t>s</w:t>
      </w:r>
      <w:r w:rsidR="00D32464">
        <w:t xml:space="preserve">ampling frame who have indicated their respective language preference in their Marketplace applications, summed across all </w:t>
      </w:r>
      <w:r w:rsidR="004F173F">
        <w:t>30 SIPs</w:t>
      </w:r>
      <w:r w:rsidR="00D32464">
        <w:t>. We then sort</w:t>
      </w:r>
      <w:r w:rsidR="006A78FF">
        <w:t>ed</w:t>
      </w:r>
      <w:r w:rsidR="00D32464">
        <w:t xml:space="preserve"> each sampling frame (one for each language) by State and, using a random starting point, draw a systematic random sample (with implicit stratification by </w:t>
      </w:r>
      <w:r w:rsidR="004F173F">
        <w:t>SIP</w:t>
      </w:r>
      <w:r w:rsidR="00D32464">
        <w:t>) by selecting every k</w:t>
      </w:r>
      <w:r w:rsidR="00D32464" w:rsidRPr="003659A4">
        <w:t>th</w:t>
      </w:r>
      <w:r w:rsidR="00D32464">
        <w:t xml:space="preserve"> unit from the frame. </w:t>
      </w:r>
    </w:p>
    <w:p w14:paraId="796B8FAD" w14:textId="209F2AA1" w:rsidR="00152E8F" w:rsidRDefault="00D32464" w:rsidP="003659A4">
      <w:pPr>
        <w:pStyle w:val="PBodyTextPreBullet"/>
      </w:pPr>
      <w:r>
        <w:t>As described in Section 1.1.2, the lack of a phone option for non-English speakers may negatively impact the response rates from these two populations. While the ideal is for these two samples to yield 600 completed surveys each for those consumers whose preferred language is either Chinese or Spanish, CMS is aware that the actual number of completes may be lower.</w:t>
      </w:r>
      <w:r w:rsidRPr="000062FD">
        <w:t xml:space="preserve"> To address this, CMS will test if response rates vary significantly by race, ethnicity, and language among consumers for whom these variables are available in the sampling frame.</w:t>
      </w:r>
    </w:p>
    <w:p w14:paraId="796B8FAE" w14:textId="5F9F6DCE" w:rsidR="00795494" w:rsidRDefault="00795494" w:rsidP="00795494">
      <w:pPr>
        <w:pStyle w:val="Heading4"/>
        <w:spacing w:after="120"/>
      </w:pPr>
      <w:r>
        <w:t>1.2.3.2 Beta Test</w:t>
      </w:r>
      <w:r w:rsidR="003659A4">
        <w:t xml:space="preserve"> Phase</w:t>
      </w:r>
    </w:p>
    <w:p w14:paraId="7CD9EE13" w14:textId="024473C5" w:rsidR="0067652C" w:rsidRDefault="00810D79" w:rsidP="0067652C">
      <w:pPr>
        <w:pStyle w:val="PBodyText"/>
      </w:pPr>
      <w:r>
        <w:t xml:space="preserve">For the beta test, </w:t>
      </w:r>
      <w:r w:rsidR="00286484">
        <w:t>HHS-</w:t>
      </w:r>
      <w:r w:rsidR="00B77411">
        <w:t xml:space="preserve">approved </w:t>
      </w:r>
      <w:r w:rsidR="00BD5664">
        <w:t>QHP Enrollee S</w:t>
      </w:r>
      <w:r w:rsidR="00B77411">
        <w:t xml:space="preserve">urvey vendors will draw </w:t>
      </w:r>
      <w:r>
        <w:t>s</w:t>
      </w:r>
      <w:r w:rsidR="00101D3E">
        <w:t>amples</w:t>
      </w:r>
      <w:r w:rsidR="00087006">
        <w:t xml:space="preserve"> </w:t>
      </w:r>
      <w:r w:rsidR="00101D3E">
        <w:t xml:space="preserve">from each </w:t>
      </w:r>
      <w:r w:rsidR="004F173F">
        <w:t>SIP</w:t>
      </w:r>
      <w:r w:rsidR="00BD5664">
        <w:t xml:space="preserve"> using instructions and guidelines provided by CMS</w:t>
      </w:r>
      <w:r w:rsidR="00101D3E">
        <w:t xml:space="preserve">. </w:t>
      </w:r>
      <w:r w:rsidR="0067652C">
        <w:t xml:space="preserve">For the 2015 Beta test, the sampling and reporting unit has been defined at the level of product type (i.e., EPO, HMO, PPO, POS) offered by an insurance carrier in a particular state.  For example, XYZ Insurance Company’s </w:t>
      </w:r>
      <w:r w:rsidR="00850FA3" w:rsidRPr="00850FA3">
        <w:t xml:space="preserve">HMOs in Florida would be considered a single sampling unit. Note that, depending on the way a QHP issuer packages its plan offerings, the sampling unit might include anywhere from a single QHP to dozens of QHPs spanning all categories of coverage (i.e., bronze, silver, gold, platinum, and catastrophic). QHP issuers will create a sample frame for each product type they offer through </w:t>
      </w:r>
      <w:r w:rsidR="00850FA3" w:rsidRPr="00850FA3">
        <w:lastRenderedPageBreak/>
        <w:t>the Marketplace within a particular state. For convenience, we refer to this unit as a State-Issuer-Product-type, or SIP sampling unit.</w:t>
      </w:r>
    </w:p>
    <w:p w14:paraId="4F8F4836" w14:textId="1B38515F" w:rsidR="0067652C" w:rsidRDefault="002509E7" w:rsidP="0067652C">
      <w:pPr>
        <w:pStyle w:val="PBodyText"/>
      </w:pPr>
      <w:r>
        <w:t>CMS</w:t>
      </w:r>
      <w:r w:rsidR="0067652C">
        <w:t xml:space="preserve"> </w:t>
      </w:r>
      <w:r w:rsidR="00850FA3" w:rsidRPr="00850FA3">
        <w:t>will explore data collection at a more granular level of QHP issuer coverage (e.g., HMO Bronze level) in the future, keeping in mind the need to balance the value of this information for consumers with QHP issuer data collection, validation, and reporting efforts.</w:t>
      </w:r>
      <w:r w:rsidR="0067652C">
        <w:t xml:space="preserve"> </w:t>
      </w:r>
    </w:p>
    <w:p w14:paraId="059A6A02" w14:textId="7DD4F8A5" w:rsidR="0067652C" w:rsidRPr="006059E8" w:rsidRDefault="0067652C" w:rsidP="0067652C">
      <w:pPr>
        <w:pStyle w:val="PBodyText"/>
        <w:rPr>
          <w:rFonts w:cs="Times New Roman"/>
        </w:rPr>
      </w:pPr>
      <w:r>
        <w:t xml:space="preserve">The list of all eligible individuals who are enrolled in eligible QHPs subsumed by a SIP sampling unit </w:t>
      </w:r>
      <w:r w:rsidR="002509E7">
        <w:t xml:space="preserve">will constitute the </w:t>
      </w:r>
      <w:r>
        <w:t>sample frame. The guidelines for determining who to include in the sample frame for a given SIP sampling unit follow:</w:t>
      </w:r>
    </w:p>
    <w:p w14:paraId="3352A4BF" w14:textId="1F3974C2" w:rsidR="00850FA3" w:rsidRPr="00A1158C" w:rsidRDefault="00850FA3" w:rsidP="003659A4">
      <w:pPr>
        <w:numPr>
          <w:ilvl w:val="0"/>
          <w:numId w:val="58"/>
        </w:numPr>
        <w:spacing w:after="200" w:line="276" w:lineRule="auto"/>
        <w:rPr>
          <w:rFonts w:cs="Times New Roman"/>
        </w:rPr>
      </w:pPr>
      <w:r w:rsidRPr="00AC4AC4">
        <w:rPr>
          <w:rFonts w:cs="Times New Roman"/>
        </w:rPr>
        <w:t>Include all individuals who are enrolled in an eligible QHP offered through any of the Marketplace types (i.e., Federally-Facilitated Marketplace [FFM], State Partnership Marketplace [SPM], or State-based Marketplace [SBM]).  An eligible QHP includes:</w:t>
      </w:r>
    </w:p>
    <w:p w14:paraId="04871180" w14:textId="77777777" w:rsidR="00850FA3" w:rsidRPr="00A1158C" w:rsidRDefault="00850FA3" w:rsidP="003659A4">
      <w:pPr>
        <w:pStyle w:val="PBodyText"/>
        <w:numPr>
          <w:ilvl w:val="1"/>
          <w:numId w:val="59"/>
        </w:numPr>
      </w:pPr>
      <w:r w:rsidRPr="00A1158C">
        <w:t>QHP offered through the individual Marketplace or SHOP Marketplace for at least one coverage year;</w:t>
      </w:r>
    </w:p>
    <w:p w14:paraId="4CB7145F" w14:textId="77777777" w:rsidR="00850FA3" w:rsidRPr="000062FD" w:rsidRDefault="00850FA3" w:rsidP="003659A4">
      <w:pPr>
        <w:pStyle w:val="PBodyText"/>
        <w:numPr>
          <w:ilvl w:val="1"/>
          <w:numId w:val="59"/>
        </w:numPr>
      </w:pPr>
      <w:r w:rsidRPr="000062FD">
        <w:t>QHP that offers family or adult coverage;</w:t>
      </w:r>
    </w:p>
    <w:p w14:paraId="2695552F" w14:textId="77777777" w:rsidR="00850FA3" w:rsidRPr="00922051" w:rsidRDefault="00850FA3" w:rsidP="003659A4">
      <w:pPr>
        <w:pStyle w:val="PBodyText"/>
        <w:numPr>
          <w:ilvl w:val="1"/>
          <w:numId w:val="59"/>
        </w:numPr>
      </w:pPr>
      <w:r w:rsidRPr="000062FD">
        <w:t>QHP associated with one of the following categories of coverage: bronze, silver, gold, platinum, and catastrophic;</w:t>
      </w:r>
    </w:p>
    <w:p w14:paraId="49F1A94A" w14:textId="77777777" w:rsidR="00850FA3" w:rsidRPr="001150A0" w:rsidRDefault="00850FA3" w:rsidP="003659A4">
      <w:pPr>
        <w:pStyle w:val="PBodyText"/>
        <w:numPr>
          <w:ilvl w:val="1"/>
          <w:numId w:val="59"/>
        </w:numPr>
      </w:pPr>
      <w:r w:rsidRPr="00CA3507">
        <w:t xml:space="preserve">QHP associated with one of the following product types: EPO, HMO, POS, PPO; </w:t>
      </w:r>
    </w:p>
    <w:p w14:paraId="56F86515" w14:textId="77777777" w:rsidR="00850FA3" w:rsidRPr="003659A4" w:rsidRDefault="00850FA3" w:rsidP="003659A4">
      <w:pPr>
        <w:pStyle w:val="PBodyText"/>
        <w:numPr>
          <w:ilvl w:val="1"/>
          <w:numId w:val="59"/>
        </w:numPr>
      </w:pPr>
      <w:r w:rsidRPr="001150A0">
        <w:t xml:space="preserve">QHP associated with a SIP that has more than 500 enrollees as of July 1, 2014.  (Note: Enrollees in otherwise eligible QHPs that are suppressed by CMS </w:t>
      </w:r>
      <w:r w:rsidRPr="003659A4">
        <w:t xml:space="preserve">are included in determining the number of enrollees in the SIP and are included in the sampling frame if they meet the other eligibility criteria below). </w:t>
      </w:r>
    </w:p>
    <w:p w14:paraId="124AB15F" w14:textId="77777777" w:rsidR="00850FA3" w:rsidRPr="00C61F38" w:rsidRDefault="00850FA3" w:rsidP="00850FA3">
      <w:pPr>
        <w:spacing w:after="200" w:line="276" w:lineRule="auto"/>
        <w:ind w:left="720"/>
        <w:rPr>
          <w:rFonts w:cs="Times New Roman"/>
        </w:rPr>
      </w:pPr>
      <w:r w:rsidRPr="00C61F38">
        <w:rPr>
          <w:rFonts w:cs="Times New Roman"/>
        </w:rPr>
        <w:t xml:space="preserve">The following QHPs or plan types are </w:t>
      </w:r>
      <w:r w:rsidRPr="00D81644">
        <w:rPr>
          <w:rFonts w:cs="Times New Roman"/>
          <w:u w:val="single"/>
        </w:rPr>
        <w:t>not</w:t>
      </w:r>
      <w:r w:rsidRPr="00C61F38">
        <w:rPr>
          <w:rFonts w:cs="Times New Roman"/>
        </w:rPr>
        <w:t xml:space="preserve"> included:</w:t>
      </w:r>
    </w:p>
    <w:p w14:paraId="56833BB6" w14:textId="77777777" w:rsidR="00850FA3" w:rsidRPr="00AC4AC4" w:rsidRDefault="00850FA3" w:rsidP="003659A4">
      <w:pPr>
        <w:pStyle w:val="PBodyText"/>
        <w:numPr>
          <w:ilvl w:val="1"/>
          <w:numId w:val="59"/>
        </w:numPr>
      </w:pPr>
      <w:r w:rsidRPr="00AC4AC4">
        <w:t>Stand-alone dental plans.</w:t>
      </w:r>
    </w:p>
    <w:p w14:paraId="0396A9C9" w14:textId="77777777" w:rsidR="00850FA3" w:rsidRPr="00A1158C" w:rsidRDefault="00850FA3" w:rsidP="003659A4">
      <w:pPr>
        <w:pStyle w:val="PBodyText"/>
        <w:numPr>
          <w:ilvl w:val="1"/>
          <w:numId w:val="59"/>
        </w:numPr>
      </w:pPr>
      <w:r w:rsidRPr="00A1158C">
        <w:t>Child-only plans.</w:t>
      </w:r>
    </w:p>
    <w:p w14:paraId="45FC3061" w14:textId="77777777" w:rsidR="00850FA3" w:rsidRPr="006059E8" w:rsidRDefault="00850FA3" w:rsidP="00850FA3">
      <w:pPr>
        <w:numPr>
          <w:ilvl w:val="0"/>
          <w:numId w:val="58"/>
        </w:numPr>
        <w:spacing w:after="240"/>
        <w:rPr>
          <w:rFonts w:cs="Times New Roman"/>
        </w:rPr>
      </w:pPr>
      <w:r w:rsidRPr="006059E8">
        <w:rPr>
          <w:rFonts w:cs="Times New Roman"/>
        </w:rPr>
        <w:t xml:space="preserve">Include individuals 18 years or older who have been enrolled in an eligible QHP for </w:t>
      </w:r>
      <w:r>
        <w:rPr>
          <w:rFonts w:cs="Times New Roman"/>
        </w:rPr>
        <w:t xml:space="preserve">at least the last </w:t>
      </w:r>
      <w:r w:rsidRPr="006059E8">
        <w:rPr>
          <w:rFonts w:cs="Times New Roman"/>
        </w:rPr>
        <w:t>6 months, with no more than one 30-day break in enrollment during the 6 months.</w:t>
      </w:r>
    </w:p>
    <w:p w14:paraId="76D8C117" w14:textId="2A46F6F8" w:rsidR="00850FA3" w:rsidRPr="001150A0" w:rsidRDefault="00850FA3" w:rsidP="0039527F">
      <w:pPr>
        <w:pStyle w:val="PBodyText"/>
        <w:numPr>
          <w:ilvl w:val="1"/>
          <w:numId w:val="59"/>
        </w:numPr>
      </w:pPr>
      <w:r w:rsidRPr="00AC4AC4">
        <w:t>Use December 31, 2014</w:t>
      </w:r>
      <w:r w:rsidR="006A78FF">
        <w:t>,</w:t>
      </w:r>
      <w:r w:rsidRPr="00AC4AC4">
        <w:t xml:space="preserve"> as the anchor date</w:t>
      </w:r>
      <w:r w:rsidRPr="0039527F">
        <w:t xml:space="preserve"> </w:t>
      </w:r>
      <w:r w:rsidRPr="00AC4AC4">
        <w:t xml:space="preserve">to determine whether the individual </w:t>
      </w:r>
      <w:r w:rsidRPr="00A1158C">
        <w:t>meets the age and 6-month enrollment requirement</w:t>
      </w:r>
      <w:r w:rsidR="006A78FF">
        <w:t xml:space="preserve">s. </w:t>
      </w:r>
      <w:r w:rsidRPr="00F90533">
        <w:t>For example, include all individuals enrolled in an el</w:t>
      </w:r>
      <w:r w:rsidRPr="000062FD">
        <w:t>igible QHP who are 18 years or older as of December 31, 2014, and who have been enrolled since July 1, 2014 (still allowing for the single break</w:t>
      </w:r>
      <w:r w:rsidRPr="00922051">
        <w:t xml:space="preserve"> of no</w:t>
      </w:r>
      <w:r w:rsidRPr="00CA3507">
        <w:t xml:space="preserve"> more than 30 days).</w:t>
      </w:r>
    </w:p>
    <w:p w14:paraId="747496F9" w14:textId="77777777" w:rsidR="00850FA3" w:rsidRPr="006059E8" w:rsidRDefault="00850FA3" w:rsidP="00850FA3">
      <w:pPr>
        <w:numPr>
          <w:ilvl w:val="0"/>
          <w:numId w:val="58"/>
        </w:numPr>
        <w:spacing w:after="240"/>
        <w:rPr>
          <w:rFonts w:cs="Times New Roman"/>
        </w:rPr>
      </w:pPr>
      <w:r w:rsidRPr="006059E8">
        <w:rPr>
          <w:rFonts w:cs="Times New Roman"/>
        </w:rPr>
        <w:t>Include only individuals with primary health coverage th</w:t>
      </w:r>
      <w:r>
        <w:rPr>
          <w:rFonts w:cs="Times New Roman"/>
        </w:rPr>
        <w:t>r</w:t>
      </w:r>
      <w:r w:rsidRPr="006059E8">
        <w:rPr>
          <w:rFonts w:cs="Times New Roman"/>
        </w:rPr>
        <w:t>ough the eligible QHP in which they are enrolled.</w:t>
      </w:r>
    </w:p>
    <w:p w14:paraId="37D0C5F8" w14:textId="77777777" w:rsidR="00850FA3" w:rsidRPr="006059E8" w:rsidRDefault="00850FA3" w:rsidP="00850FA3">
      <w:pPr>
        <w:numPr>
          <w:ilvl w:val="0"/>
          <w:numId w:val="58"/>
        </w:numPr>
        <w:spacing w:after="240"/>
        <w:rPr>
          <w:rFonts w:cs="Times New Roman"/>
        </w:rPr>
      </w:pPr>
      <w:r w:rsidRPr="006059E8">
        <w:rPr>
          <w:rFonts w:cs="Times New Roman"/>
        </w:rPr>
        <w:lastRenderedPageBreak/>
        <w:t xml:space="preserve">Include individuals enrolled in an eligible QHP and who meet other eligibility criteria, regardless of the route through which they enrolled in the eligible QHP (e.g., whether they enrolled through the individual Marketplace, the SHOP </w:t>
      </w:r>
      <w:r>
        <w:rPr>
          <w:rFonts w:cs="Times New Roman"/>
        </w:rPr>
        <w:t>M</w:t>
      </w:r>
      <w:r w:rsidRPr="006059E8">
        <w:rPr>
          <w:rFonts w:cs="Times New Roman"/>
        </w:rPr>
        <w:t xml:space="preserve">arketplace, or directly with the </w:t>
      </w:r>
      <w:r>
        <w:rPr>
          <w:rFonts w:cs="Times New Roman"/>
        </w:rPr>
        <w:t xml:space="preserve">QHP </w:t>
      </w:r>
      <w:r w:rsidRPr="006059E8">
        <w:rPr>
          <w:rFonts w:cs="Times New Roman"/>
        </w:rPr>
        <w:t xml:space="preserve">issuer).  </w:t>
      </w:r>
    </w:p>
    <w:p w14:paraId="5F478A24" w14:textId="77777777" w:rsidR="00850FA3" w:rsidRPr="006059E8" w:rsidRDefault="00850FA3" w:rsidP="00850FA3">
      <w:pPr>
        <w:numPr>
          <w:ilvl w:val="0"/>
          <w:numId w:val="58"/>
        </w:numPr>
        <w:spacing w:after="240"/>
        <w:rPr>
          <w:rFonts w:cs="Times New Roman"/>
        </w:rPr>
      </w:pPr>
      <w:r w:rsidRPr="006059E8">
        <w:rPr>
          <w:rFonts w:cs="Times New Roman"/>
        </w:rPr>
        <w:t>Allow the sample frame to include multiple adults (age 18 and older) from the same</w:t>
      </w:r>
      <w:r>
        <w:rPr>
          <w:rFonts w:cs="Times New Roman"/>
        </w:rPr>
        <w:t xml:space="preserve"> policy</w:t>
      </w:r>
      <w:r w:rsidRPr="006059E8">
        <w:rPr>
          <w:rFonts w:cs="Times New Roman"/>
        </w:rPr>
        <w:t xml:space="preserve">. The survey vendor will implement sampling procedures to ensure that the sample will not have more than one adult per </w:t>
      </w:r>
      <w:r>
        <w:rPr>
          <w:rFonts w:cs="Times New Roman"/>
        </w:rPr>
        <w:t>policy</w:t>
      </w:r>
      <w:r w:rsidRPr="006059E8">
        <w:rPr>
          <w:rFonts w:cs="Times New Roman"/>
        </w:rPr>
        <w:t>.</w:t>
      </w:r>
    </w:p>
    <w:p w14:paraId="568B791E" w14:textId="77777777" w:rsidR="00850FA3" w:rsidRDefault="00850FA3" w:rsidP="0039527F">
      <w:pPr>
        <w:numPr>
          <w:ilvl w:val="0"/>
          <w:numId w:val="58"/>
        </w:numPr>
        <w:spacing w:after="240"/>
        <w:rPr>
          <w:rFonts w:cs="Times New Roman"/>
        </w:rPr>
      </w:pPr>
      <w:r w:rsidRPr="006059E8">
        <w:rPr>
          <w:rFonts w:cs="Times New Roman"/>
        </w:rPr>
        <w:t>In the event that an identical plan is offered on and off of the Marketplace, include enrollees in the off-Marketplace version of the plan only if the off-Marketplace version of the plan is certified as a QHP by the state insurance commissioner and has the same plan ID (standard component ID) as the version offered on the Marketplace.</w:t>
      </w:r>
    </w:p>
    <w:p w14:paraId="7901048A" w14:textId="2C1F7AAE" w:rsidR="002509E7" w:rsidRPr="00A1158C" w:rsidRDefault="002509E7" w:rsidP="0039527F">
      <w:pPr>
        <w:pStyle w:val="PBodyText"/>
      </w:pPr>
      <w:r w:rsidRPr="00AC4AC4">
        <w:t>An auditor will audit the sample frame created by the issuer to verify that it follows the specifications and includes all eligible individuals. The issuer will then provide this sample frame to the survey vendor with whom they have contracted, who will draw a sample of individuals from the sample frame</w:t>
      </w:r>
      <w:r w:rsidRPr="00A1158C">
        <w:t xml:space="preserve"> and conduct the QHP Enrollee survey. By following these guidelines, issuers can be confident that their results will be comparable to those produced by other issuers and vendors.</w:t>
      </w:r>
    </w:p>
    <w:p w14:paraId="796B8FB1" w14:textId="77777777" w:rsidR="00101D3E" w:rsidRPr="00A639DF" w:rsidRDefault="00101D3E" w:rsidP="00A639DF">
      <w:pPr>
        <w:pStyle w:val="Heading1"/>
      </w:pPr>
      <w:bookmarkStart w:id="105" w:name="_Toc151782200"/>
      <w:bookmarkStart w:id="106" w:name="_Toc158526236"/>
      <w:bookmarkStart w:id="107" w:name="_Toc302543541"/>
      <w:bookmarkStart w:id="108" w:name="_Toc252178318"/>
      <w:bookmarkStart w:id="109" w:name="_Toc375154525"/>
      <w:bookmarkStart w:id="110" w:name="_Toc396204807"/>
      <w:r w:rsidRPr="00A639DF">
        <w:t>2.</w:t>
      </w:r>
      <w:r w:rsidR="00A639DF" w:rsidRPr="00A639DF">
        <w:tab/>
      </w:r>
      <w:r w:rsidRPr="00A639DF">
        <w:t>Information Collection Procedures</w:t>
      </w:r>
      <w:bookmarkEnd w:id="105"/>
      <w:bookmarkEnd w:id="106"/>
      <w:bookmarkEnd w:id="107"/>
      <w:bookmarkEnd w:id="108"/>
      <w:bookmarkEnd w:id="109"/>
      <w:bookmarkEnd w:id="110"/>
    </w:p>
    <w:p w14:paraId="796B8FB2" w14:textId="77777777" w:rsidR="002018AD" w:rsidRDefault="00287369" w:rsidP="002018AD">
      <w:pPr>
        <w:pStyle w:val="PBodyText"/>
      </w:pPr>
      <w:r>
        <w:t>B</w:t>
      </w:r>
      <w:r w:rsidR="002018AD">
        <w:t>oth surveys will follow standard CAHPS procedures with respect to defining the sampling frame and determining respondent eligibility, and survey operations.</w:t>
      </w:r>
      <w:r w:rsidR="002018AD">
        <w:rPr>
          <w:rStyle w:val="FootnoteReference"/>
        </w:rPr>
        <w:footnoteReference w:id="20"/>
      </w:r>
    </w:p>
    <w:p w14:paraId="796B8FB3" w14:textId="056A206E" w:rsidR="00101D3E" w:rsidRDefault="00101D3E" w:rsidP="00A639DF">
      <w:pPr>
        <w:pStyle w:val="PBodyTextPreBullet"/>
      </w:pPr>
      <w:r>
        <w:t>For the Marketplace surveys</w:t>
      </w:r>
      <w:r w:rsidR="00E37C40">
        <w:t xml:space="preserve"> and the QHP </w:t>
      </w:r>
      <w:r w:rsidR="009D46D8">
        <w:t>psychometric test</w:t>
      </w:r>
      <w:r w:rsidR="00E37C40">
        <w:t xml:space="preserve"> in 2014</w:t>
      </w:r>
      <w:r>
        <w:t>, d</w:t>
      </w:r>
      <w:r w:rsidRPr="00D649CE">
        <w:t xml:space="preserve">ata will be collected by </w:t>
      </w:r>
      <w:r>
        <w:t xml:space="preserve">a single survey vendor; for the QHP </w:t>
      </w:r>
      <w:r w:rsidR="00E37C40">
        <w:t xml:space="preserve">beta test </w:t>
      </w:r>
      <w:r w:rsidR="00287369">
        <w:t>(</w:t>
      </w:r>
      <w:r w:rsidR="00E37C40">
        <w:t xml:space="preserve">and full implementation </w:t>
      </w:r>
      <w:r>
        <w:t>surveys</w:t>
      </w:r>
      <w:r w:rsidR="00287369">
        <w:t>)</w:t>
      </w:r>
      <w:r>
        <w:t xml:space="preserve">, data will be collected by multiple </w:t>
      </w:r>
      <w:r w:rsidR="002B3933">
        <w:t xml:space="preserve">approved </w:t>
      </w:r>
      <w:r>
        <w:t xml:space="preserve">commercial vendors </w:t>
      </w:r>
      <w:r w:rsidR="002B3933">
        <w:t>on behalf of QHP</w:t>
      </w:r>
      <w:r>
        <w:t xml:space="preserve"> </w:t>
      </w:r>
      <w:r w:rsidR="00360859">
        <w:t xml:space="preserve">issuers. </w:t>
      </w:r>
      <w:r>
        <w:t>The mode of administration will be mail with phone follow-up. Survey operations for both surveys will follow standard CAHPS practice:</w:t>
      </w:r>
    </w:p>
    <w:p w14:paraId="796B8FB4" w14:textId="77777777" w:rsidR="00101D3E" w:rsidRPr="00A34076" w:rsidRDefault="00101D3E" w:rsidP="00A639DF">
      <w:pPr>
        <w:pStyle w:val="PBullet"/>
      </w:pPr>
      <w:r w:rsidRPr="00A34076">
        <w:t>Mail an advance letter</w:t>
      </w:r>
    </w:p>
    <w:p w14:paraId="796B8FB5" w14:textId="77777777" w:rsidR="00101D3E" w:rsidRDefault="00101D3E" w:rsidP="00A639DF">
      <w:pPr>
        <w:pStyle w:val="PBullet"/>
      </w:pPr>
      <w:r w:rsidRPr="00A34076">
        <w:t xml:space="preserve">Mail the questionnaire package one week after the advance letter. Include a postage-paid envelope to encourage participation. </w:t>
      </w:r>
    </w:p>
    <w:p w14:paraId="796B8FB6" w14:textId="77777777" w:rsidR="00101D3E" w:rsidRPr="00A34076" w:rsidRDefault="00101D3E" w:rsidP="00A639DF">
      <w:pPr>
        <w:pStyle w:val="PBullet"/>
      </w:pPr>
      <w:r w:rsidRPr="00A34076">
        <w:t>Send a postcard reminder to nonrespondents 10 days after sending the questionnaire.</w:t>
      </w:r>
    </w:p>
    <w:p w14:paraId="796B8FB7" w14:textId="77777777" w:rsidR="00101D3E" w:rsidRPr="00A34076" w:rsidRDefault="00101D3E" w:rsidP="00A639DF">
      <w:pPr>
        <w:pStyle w:val="PBullet"/>
      </w:pPr>
      <w:r w:rsidRPr="00A34076">
        <w:t>Send a second questionnaire with a reminder letter to those still not responding thirty days after the first mailing.</w:t>
      </w:r>
    </w:p>
    <w:p w14:paraId="796B8FB8" w14:textId="77777777" w:rsidR="00101D3E" w:rsidRDefault="00101D3E" w:rsidP="00A639DF">
      <w:pPr>
        <w:pStyle w:val="PBullet"/>
      </w:pPr>
      <w:r w:rsidRPr="00A34076">
        <w:t xml:space="preserve">Begin </w:t>
      </w:r>
      <w:r w:rsidR="00D9429A" w:rsidRPr="00A34076">
        <w:t>follow-up</w:t>
      </w:r>
      <w:r w:rsidRPr="00A34076">
        <w:t xml:space="preserve"> by telephone </w:t>
      </w:r>
      <w:r w:rsidR="006222B9">
        <w:t xml:space="preserve">or send final mail survey </w:t>
      </w:r>
      <w:r w:rsidRPr="00A34076">
        <w:t xml:space="preserve">with nonrespondents three weeks after </w:t>
      </w:r>
      <w:r>
        <w:t>sending the</w:t>
      </w:r>
      <w:r w:rsidRPr="00A34076">
        <w:t xml:space="preserve"> second questionnaire. Interviewers </w:t>
      </w:r>
      <w:r>
        <w:t>will</w:t>
      </w:r>
      <w:r w:rsidRPr="00A34076">
        <w:t xml:space="preserve"> attempt to locate respondents who have not responded to the mailed survey</w:t>
      </w:r>
    </w:p>
    <w:p w14:paraId="796B8FB9" w14:textId="77777777" w:rsidR="00101D3E" w:rsidRDefault="00101D3E" w:rsidP="00A639DF">
      <w:pPr>
        <w:pStyle w:val="PBullet"/>
      </w:pPr>
      <w:r>
        <w:t>Telephone numbers for sample respondents will be verified prior to calling</w:t>
      </w:r>
    </w:p>
    <w:p w14:paraId="796B8FBA" w14:textId="77777777" w:rsidR="00101D3E" w:rsidRDefault="00101D3E" w:rsidP="00A639DF">
      <w:pPr>
        <w:pStyle w:val="PBulletLast"/>
      </w:pPr>
      <w:r>
        <w:lastRenderedPageBreak/>
        <w:t>A maximum of 9 attempts will be made by phone</w:t>
      </w:r>
    </w:p>
    <w:p w14:paraId="796B8FBB" w14:textId="053A5E10" w:rsidR="00101D3E" w:rsidRPr="00FF580C" w:rsidRDefault="00101D3E" w:rsidP="00A639DF">
      <w:pPr>
        <w:pStyle w:val="Heading1"/>
      </w:pPr>
      <w:bookmarkStart w:id="111" w:name="_Toc151782201"/>
      <w:bookmarkStart w:id="112" w:name="_Toc158526237"/>
      <w:bookmarkStart w:id="113" w:name="_Toc302543542"/>
      <w:bookmarkStart w:id="114" w:name="_Toc252178319"/>
      <w:bookmarkStart w:id="115" w:name="_Toc375154526"/>
      <w:bookmarkStart w:id="116" w:name="_Toc396204808"/>
      <w:r w:rsidRPr="00FF580C">
        <w:t>3.</w:t>
      </w:r>
      <w:r w:rsidR="00A639DF">
        <w:tab/>
      </w:r>
      <w:r w:rsidRPr="00FF580C">
        <w:t>Methods to Maximize Response Rates</w:t>
      </w:r>
      <w:bookmarkEnd w:id="111"/>
      <w:bookmarkEnd w:id="112"/>
      <w:bookmarkEnd w:id="113"/>
      <w:bookmarkEnd w:id="114"/>
      <w:bookmarkEnd w:id="115"/>
      <w:r w:rsidR="00BD4495">
        <w:t xml:space="preserve"> and Address Non-Response Bias</w:t>
      </w:r>
      <w:bookmarkEnd w:id="116"/>
    </w:p>
    <w:p w14:paraId="7AA6575D" w14:textId="77777777" w:rsidR="00BB0D9D" w:rsidRPr="0028258E" w:rsidRDefault="00BB0D9D" w:rsidP="00BB0D9D">
      <w:pPr>
        <w:pStyle w:val="Heading4"/>
        <w:spacing w:after="120"/>
      </w:pPr>
      <w:r>
        <w:t>3.1 Maximizing</w:t>
      </w:r>
      <w:r w:rsidRPr="00FF580C">
        <w:t xml:space="preserve"> Response Rates</w:t>
      </w:r>
    </w:p>
    <w:p w14:paraId="796B8FBC" w14:textId="77777777" w:rsidR="00101D3E" w:rsidRDefault="00101D3E" w:rsidP="00A639DF">
      <w:pPr>
        <w:pStyle w:val="PBodyTextPreBullet"/>
      </w:pPr>
      <w:r w:rsidRPr="00A52C2D">
        <w:t xml:space="preserve">Every effort will be made to maximize the response rate, while retaining the voluntary nature of the effort.  </w:t>
      </w:r>
      <w:r>
        <w:t>Below are several options recommended by CAHPS for maximizing response rates that may be employed:</w:t>
      </w:r>
    </w:p>
    <w:p w14:paraId="796B8FBD" w14:textId="77777777" w:rsidR="00101D3E" w:rsidRPr="00686C38" w:rsidRDefault="00101D3E" w:rsidP="00A639DF">
      <w:pPr>
        <w:pStyle w:val="PBullet"/>
      </w:pPr>
      <w:r w:rsidRPr="005C0D61">
        <w:rPr>
          <w:bCs/>
        </w:rPr>
        <w:t xml:space="preserve">We will set up a toll-free number </w:t>
      </w:r>
      <w:r w:rsidRPr="005C0D61">
        <w:t>and publish it in all correspondence with respondents.</w:t>
      </w:r>
      <w:r w:rsidRPr="00686C38">
        <w:t xml:space="preserve"> Assign a trained project staff member to respond to questions on that line. </w:t>
      </w:r>
      <w:r>
        <w:t>M</w:t>
      </w:r>
      <w:r w:rsidRPr="00686C38">
        <w:t xml:space="preserve">aintain a log of these calls and review them periodically. </w:t>
      </w:r>
    </w:p>
    <w:p w14:paraId="796B8FBE" w14:textId="536ADCEC" w:rsidR="007D5014" w:rsidRDefault="007D5014" w:rsidP="007D5014">
      <w:pPr>
        <w:pStyle w:val="PBullet"/>
        <w:numPr>
          <w:ilvl w:val="0"/>
          <w:numId w:val="8"/>
        </w:numPr>
      </w:pPr>
      <w:r>
        <w:t xml:space="preserve">For the </w:t>
      </w:r>
      <w:r w:rsidR="009D46D8">
        <w:rPr>
          <w:i/>
          <w:iCs/>
        </w:rPr>
        <w:t>psychometric test</w:t>
      </w:r>
      <w:r>
        <w:rPr>
          <w:i/>
          <w:iCs/>
        </w:rPr>
        <w:t>s</w:t>
      </w:r>
      <w:r>
        <w:t xml:space="preserve"> of both the Marketplace and QHP Enrollee surveys, a persuasive advance letter will be sent to the respondent. Cover letters describing the survey and encouraging participation will also be included in the survey packets. Reminder postcards will also be sent to encourage participation. The letters will be printed on CMS letterhead with an official logo and include an official signature of a representative from CMS; it will be personalized with the name and address of the intended recipient. Postcards will include an official signature of a representative from CMS. </w:t>
      </w:r>
    </w:p>
    <w:p w14:paraId="796B8FBF" w14:textId="45AA3615" w:rsidR="007D5014" w:rsidRDefault="007D5014" w:rsidP="007D5014">
      <w:pPr>
        <w:pStyle w:val="PBullet"/>
        <w:numPr>
          <w:ilvl w:val="0"/>
          <w:numId w:val="8"/>
        </w:numPr>
      </w:pPr>
      <w:r>
        <w:t xml:space="preserve">In subsequent data collections using the </w:t>
      </w:r>
      <w:r>
        <w:rPr>
          <w:i/>
          <w:iCs/>
        </w:rPr>
        <w:t>Marketplace</w:t>
      </w:r>
      <w:r>
        <w:t xml:space="preserve"> survey (beta test and national implementations in 2016 and 2017), where samples will be pulled from CMS administrative files, advance letters and cover letters will be sent on CMS letterhead and signed by the CMS privacy officer the same as in the </w:t>
      </w:r>
      <w:r w:rsidR="009D46D8">
        <w:t>psychometric test</w:t>
      </w:r>
      <w:r>
        <w:t>.</w:t>
      </w:r>
    </w:p>
    <w:p w14:paraId="796B8FC0" w14:textId="77777777" w:rsidR="007D5014" w:rsidRDefault="007D5014" w:rsidP="007D5014">
      <w:pPr>
        <w:pStyle w:val="PBullet"/>
        <w:numPr>
          <w:ilvl w:val="0"/>
          <w:numId w:val="8"/>
        </w:numPr>
      </w:pPr>
      <w:r>
        <w:t xml:space="preserve">For subsequent data collections for the </w:t>
      </w:r>
      <w:r>
        <w:rPr>
          <w:i/>
          <w:iCs/>
        </w:rPr>
        <w:t>QHP</w:t>
      </w:r>
      <w:r>
        <w:t xml:space="preserve"> survey, both advance letters and cover letters will use the letterhead and logo of the survey vendor or, alternatively, the letterhead and logo from the QHP issuer. </w:t>
      </w:r>
    </w:p>
    <w:p w14:paraId="796B8FC5" w14:textId="77777777" w:rsidR="00101D3E" w:rsidRPr="005C0D61" w:rsidRDefault="00101D3E" w:rsidP="00A639DF">
      <w:pPr>
        <w:pStyle w:val="PBullet"/>
        <w:rPr>
          <w:bCs/>
        </w:rPr>
      </w:pPr>
      <w:r w:rsidRPr="005C0D61">
        <w:rPr>
          <w:bCs/>
        </w:rPr>
        <w:t xml:space="preserve">The envelope will also include </w:t>
      </w:r>
      <w:r w:rsidR="00782263">
        <w:rPr>
          <w:bCs/>
        </w:rPr>
        <w:t>the appropriate official</w:t>
      </w:r>
      <w:r w:rsidRPr="005C0D61">
        <w:rPr>
          <w:bCs/>
        </w:rPr>
        <w:t xml:space="preserve"> logo and include a return </w:t>
      </w:r>
      <w:r>
        <w:rPr>
          <w:bCs/>
        </w:rPr>
        <w:t xml:space="preserve">address; envelopes will be marked </w:t>
      </w:r>
      <w:r w:rsidRPr="005C0D61">
        <w:rPr>
          <w:bCs/>
        </w:rPr>
        <w:t xml:space="preserve">“forwarding and address </w:t>
      </w:r>
      <w:r w:rsidR="008B58CB">
        <w:rPr>
          <w:bCs/>
        </w:rPr>
        <w:t>c</w:t>
      </w:r>
      <w:r w:rsidRPr="005C0D61">
        <w:rPr>
          <w:bCs/>
        </w:rPr>
        <w:t xml:space="preserve">orrection” in order to update records for respondents who have moved and to increase the likelihood that the survey packet will reach the intended respondent. </w:t>
      </w:r>
    </w:p>
    <w:p w14:paraId="796B8FC6" w14:textId="77777777" w:rsidR="00101D3E" w:rsidRPr="005C0D61" w:rsidRDefault="00101D3E" w:rsidP="00A639DF">
      <w:pPr>
        <w:pStyle w:val="PBullet"/>
        <w:rPr>
          <w:bCs/>
        </w:rPr>
      </w:pPr>
      <w:r w:rsidRPr="005C0D61">
        <w:rPr>
          <w:bCs/>
        </w:rPr>
        <w:t>For the telephone interviews:</w:t>
      </w:r>
    </w:p>
    <w:p w14:paraId="796B8FC7" w14:textId="77777777" w:rsidR="00101D3E" w:rsidRPr="005C0D61" w:rsidRDefault="00101D3E" w:rsidP="00A639DF">
      <w:pPr>
        <w:pStyle w:val="PBullet2"/>
      </w:pPr>
      <w:r w:rsidRPr="005C0D61">
        <w:t xml:space="preserve">Interviewers will be trained </w:t>
      </w:r>
      <w:r w:rsidR="00C54C6F">
        <w:t>and monitored</w:t>
      </w:r>
    </w:p>
    <w:p w14:paraId="796B8FC8" w14:textId="77777777" w:rsidR="00101D3E" w:rsidRPr="00686C38" w:rsidRDefault="00101D3E" w:rsidP="00A639DF">
      <w:pPr>
        <w:pStyle w:val="PBullet2"/>
      </w:pPr>
      <w:r w:rsidRPr="00686C38">
        <w:t xml:space="preserve">Interviewers </w:t>
      </w:r>
      <w:r>
        <w:t>will</w:t>
      </w:r>
      <w:r w:rsidRPr="00686C38">
        <w:t xml:space="preserve"> read questions exactly as worded so that all respondents are answering the same question. </w:t>
      </w:r>
    </w:p>
    <w:p w14:paraId="796B8FC9" w14:textId="77777777" w:rsidR="00101D3E" w:rsidRPr="00686C38" w:rsidRDefault="00101D3E" w:rsidP="00A639DF">
      <w:pPr>
        <w:pStyle w:val="PBullet2"/>
      </w:pPr>
      <w:r w:rsidRPr="00686C38">
        <w:t xml:space="preserve">When a respondent fails to give a complete or adequate answer, interviewer probes </w:t>
      </w:r>
      <w:r>
        <w:t>will</w:t>
      </w:r>
      <w:r w:rsidRPr="00686C38">
        <w:t xml:space="preserve"> be nondirective. </w:t>
      </w:r>
    </w:p>
    <w:p w14:paraId="796B8FCA" w14:textId="77777777" w:rsidR="00101D3E" w:rsidRPr="00686C38" w:rsidRDefault="00101D3E" w:rsidP="00A639DF">
      <w:pPr>
        <w:pStyle w:val="PBullet2"/>
      </w:pPr>
      <w:r w:rsidRPr="00686C38">
        <w:t xml:space="preserve">Interviewers </w:t>
      </w:r>
      <w:r>
        <w:t>will</w:t>
      </w:r>
      <w:r w:rsidRPr="00686C38">
        <w:t xml:space="preserve"> maintain a neutral and professional relationship with respondents. The primary goal of the interaction from the respondent’s point of view should be to provide accurate information. The less interviewers communicate about their personal characteristics and, in particular, their personal preferences, the more standardized the interview experience becomes across all interviewers. </w:t>
      </w:r>
    </w:p>
    <w:p w14:paraId="796B8FCB" w14:textId="77777777" w:rsidR="00101D3E" w:rsidRDefault="00101D3E" w:rsidP="00A639DF">
      <w:pPr>
        <w:pStyle w:val="PBullet2"/>
      </w:pPr>
      <w:r w:rsidRPr="005C0D61">
        <w:lastRenderedPageBreak/>
        <w:t xml:space="preserve">Interviewers will record only answers that the respondents themselves choose. </w:t>
      </w:r>
      <w:r w:rsidR="00D9429A" w:rsidRPr="005C0D61">
        <w:t>The instrument</w:t>
      </w:r>
      <w:r w:rsidRPr="005C0D61">
        <w:t xml:space="preserve"> is designed to minimize decisions that interviewers might need to make about how to categorize answers. </w:t>
      </w:r>
    </w:p>
    <w:p w14:paraId="796B8FCC" w14:textId="77777777" w:rsidR="00101D3E" w:rsidRPr="005C0D61" w:rsidRDefault="00101D3E" w:rsidP="00A639DF">
      <w:pPr>
        <w:pStyle w:val="PBullet2"/>
      </w:pPr>
      <w:r>
        <w:t xml:space="preserve">The single vendor for the Marketplace surveys and the multiple vendors for the </w:t>
      </w:r>
      <w:r w:rsidR="000C7C35">
        <w:t>QHP Enrollee Survey</w:t>
      </w:r>
      <w:r>
        <w:t>s will be required to use CATI.</w:t>
      </w:r>
    </w:p>
    <w:p w14:paraId="796B8FCD" w14:textId="2DCF1527" w:rsidR="00082A7F" w:rsidRPr="002B52F1" w:rsidRDefault="00082A7F" w:rsidP="007868E2">
      <w:pPr>
        <w:pStyle w:val="PBullet2"/>
        <w:numPr>
          <w:ilvl w:val="0"/>
          <w:numId w:val="0"/>
        </w:numPr>
        <w:rPr>
          <w:rFonts w:cs="Times New Roman"/>
        </w:rPr>
      </w:pPr>
      <w:bookmarkStart w:id="117" w:name="_Toc151782202"/>
      <w:bookmarkStart w:id="118" w:name="_Toc158526238"/>
      <w:bookmarkStart w:id="119" w:name="_Toc302543543"/>
      <w:bookmarkStart w:id="120" w:name="_Toc252178320"/>
      <w:r w:rsidRPr="007868E2">
        <w:rPr>
          <w:rFonts w:cs="Times New Roman"/>
        </w:rPr>
        <w:t xml:space="preserve">The mode-of-administration experiment is being conducted in the </w:t>
      </w:r>
      <w:r w:rsidR="009D46D8">
        <w:rPr>
          <w:rFonts w:cs="Times New Roman"/>
        </w:rPr>
        <w:t>psychometric test</w:t>
      </w:r>
      <w:r w:rsidRPr="007868E2">
        <w:rPr>
          <w:rFonts w:cs="Times New Roman"/>
        </w:rPr>
        <w:t xml:space="preserve"> to determine the most efficient and least burdensome modes that should be used in the subsequent surveys.</w:t>
      </w:r>
    </w:p>
    <w:p w14:paraId="796B8FCE" w14:textId="7C6B4751" w:rsidR="0002329D" w:rsidRPr="00593758" w:rsidRDefault="00BA7125" w:rsidP="002B52F1">
      <w:pPr>
        <w:pStyle w:val="PBullet2"/>
        <w:numPr>
          <w:ilvl w:val="0"/>
          <w:numId w:val="0"/>
        </w:numPr>
        <w:rPr>
          <w:rFonts w:cs="Times New Roman"/>
        </w:rPr>
      </w:pPr>
      <w:r w:rsidRPr="00A525F9">
        <w:rPr>
          <w:rFonts w:cs="Times New Roman"/>
        </w:rPr>
        <w:t>Un</w:t>
      </w:r>
      <w:r w:rsidR="0002329D" w:rsidRPr="002A58FB">
        <w:rPr>
          <w:rFonts w:cs="Times New Roman"/>
        </w:rPr>
        <w:t xml:space="preserve">duplicating the samples for the Marketplace and QHP surveys is another way to improve response by </w:t>
      </w:r>
      <w:r w:rsidR="002B52F1" w:rsidRPr="005A2AA4">
        <w:rPr>
          <w:rFonts w:cs="Times New Roman"/>
        </w:rPr>
        <w:t>minimizing</w:t>
      </w:r>
      <w:r w:rsidR="0002329D" w:rsidRPr="00A525F9">
        <w:rPr>
          <w:rFonts w:cs="Times New Roman"/>
        </w:rPr>
        <w:t xml:space="preserve"> b</w:t>
      </w:r>
      <w:r w:rsidR="0002329D" w:rsidRPr="002A58FB">
        <w:rPr>
          <w:rFonts w:cs="Times New Roman"/>
        </w:rPr>
        <w:t xml:space="preserve">urden on specific sample members who might be selected for both surveys. The </w:t>
      </w:r>
      <w:r w:rsidR="009D46D8">
        <w:rPr>
          <w:rFonts w:cs="Times New Roman"/>
        </w:rPr>
        <w:t>psychometric test</w:t>
      </w:r>
      <w:r w:rsidR="0002329D" w:rsidRPr="002A58FB">
        <w:rPr>
          <w:rFonts w:cs="Times New Roman"/>
        </w:rPr>
        <w:t xml:space="preserve"> samples for both the Marketplace and QHP surveys are being drawn by CMS and its contractor, so the</w:t>
      </w:r>
      <w:r w:rsidRPr="00D218C4">
        <w:rPr>
          <w:rFonts w:cs="Times New Roman"/>
        </w:rPr>
        <w:t xml:space="preserve"> two samples will be </w:t>
      </w:r>
      <w:r w:rsidRPr="00593758">
        <w:rPr>
          <w:rFonts w:cs="Times New Roman"/>
        </w:rPr>
        <w:t>un</w:t>
      </w:r>
      <w:r w:rsidR="0002329D" w:rsidRPr="00593758">
        <w:rPr>
          <w:rFonts w:cs="Times New Roman"/>
        </w:rPr>
        <w:t xml:space="preserve">duplicated. </w:t>
      </w:r>
      <w:r w:rsidRPr="00593758">
        <w:rPr>
          <w:rFonts w:cs="Times New Roman"/>
        </w:rPr>
        <w:t>For the beta test, the sample for the Marketplace Survey will be drawn by CMS and its contractor, but the samples for the QHP Enrollee Survey will be drawn by commercial survey vendors hired by the QHP issuers. The data will be supplied to CMS and its contractor for analysis without identifiers, so it will be impossible to unduplicate the Marketplace Survey and QHP Enrollee Survey samples beginning with the beta test or to know the extent to which duplication occurred. CMS believes that the population for the QHP sample will eventually be so large that the chances of the same individual being selected for both the QHP and Marketplace Surveys will be small, but we will not be able to estimate the likelihood of duplicate selection until the sampling frames for the beta test and subsequent annual rounds of the surveys are constructed.</w:t>
      </w:r>
    </w:p>
    <w:p w14:paraId="796B8FCF" w14:textId="798DB52A" w:rsidR="005A2AA4" w:rsidRDefault="00614E9F" w:rsidP="001257F2">
      <w:pPr>
        <w:spacing w:after="120"/>
        <w:rPr>
          <w:rFonts w:cs="Times New Roman"/>
          <w:szCs w:val="24"/>
        </w:rPr>
      </w:pPr>
      <w:r w:rsidRPr="00593758">
        <w:rPr>
          <w:rFonts w:cs="Times New Roman"/>
          <w:szCs w:val="24"/>
        </w:rPr>
        <w:t xml:space="preserve">As part of testing the performance of the surveys in the </w:t>
      </w:r>
      <w:r w:rsidR="009D46D8">
        <w:rPr>
          <w:rFonts w:cs="Times New Roman"/>
          <w:szCs w:val="24"/>
        </w:rPr>
        <w:t>psychometric test</w:t>
      </w:r>
      <w:r w:rsidRPr="00593758">
        <w:rPr>
          <w:rFonts w:cs="Times New Roman"/>
          <w:szCs w:val="24"/>
        </w:rPr>
        <w:t xml:space="preserve">, CMS will determine if the goal of </w:t>
      </w:r>
      <w:r w:rsidR="00A9620D">
        <w:rPr>
          <w:rFonts w:cs="Times New Roman"/>
          <w:szCs w:val="24"/>
        </w:rPr>
        <w:t>30</w:t>
      </w:r>
      <w:r w:rsidRPr="00593758">
        <w:rPr>
          <w:rFonts w:cs="Times New Roman"/>
          <w:szCs w:val="24"/>
        </w:rPr>
        <w:t xml:space="preserve"> percent response can be achieved. The actual response rates obtained in the </w:t>
      </w:r>
      <w:r w:rsidR="009D46D8">
        <w:rPr>
          <w:rFonts w:cs="Times New Roman"/>
          <w:szCs w:val="24"/>
        </w:rPr>
        <w:t>psychometric test</w:t>
      </w:r>
      <w:r w:rsidRPr="00593758">
        <w:rPr>
          <w:rFonts w:cs="Times New Roman"/>
          <w:szCs w:val="24"/>
        </w:rPr>
        <w:t xml:space="preserve"> will be used to adjust the response rate goals for the beta test and subsequent rounds. If </w:t>
      </w:r>
      <w:r w:rsidR="00A9620D">
        <w:rPr>
          <w:rFonts w:cs="Times New Roman"/>
          <w:szCs w:val="24"/>
        </w:rPr>
        <w:t>30</w:t>
      </w:r>
      <w:r w:rsidRPr="00593758">
        <w:rPr>
          <w:rFonts w:cs="Times New Roman"/>
          <w:szCs w:val="24"/>
        </w:rPr>
        <w:t xml:space="preserve"> percent is not achieved in the </w:t>
      </w:r>
      <w:r w:rsidR="009D46D8">
        <w:rPr>
          <w:rFonts w:cs="Times New Roman"/>
          <w:szCs w:val="24"/>
        </w:rPr>
        <w:t>psychometric test</w:t>
      </w:r>
      <w:r w:rsidRPr="00593758">
        <w:rPr>
          <w:rFonts w:cs="Times New Roman"/>
          <w:szCs w:val="24"/>
        </w:rPr>
        <w:t xml:space="preserve">, the reliability of the surveys as determined at the national level </w:t>
      </w:r>
      <w:r w:rsidR="002D531C">
        <w:rPr>
          <w:rFonts w:cs="Times New Roman"/>
          <w:szCs w:val="24"/>
        </w:rPr>
        <w:t xml:space="preserve">and the </w:t>
      </w:r>
      <w:r w:rsidRPr="00593758">
        <w:rPr>
          <w:rFonts w:cs="Times New Roman"/>
          <w:szCs w:val="24"/>
        </w:rPr>
        <w:t>ability to conduct subgroup analyses</w:t>
      </w:r>
      <w:r w:rsidR="002D531C">
        <w:rPr>
          <w:rFonts w:cs="Times New Roman"/>
          <w:szCs w:val="24"/>
        </w:rPr>
        <w:t xml:space="preserve"> will depend on the presence of non-response bias. </w:t>
      </w:r>
      <w:r w:rsidRPr="00593758">
        <w:rPr>
          <w:rFonts w:cs="Times New Roman"/>
          <w:szCs w:val="24"/>
        </w:rPr>
        <w:t xml:space="preserve"> </w:t>
      </w:r>
    </w:p>
    <w:p w14:paraId="796B8FD0" w14:textId="49A2D42C" w:rsidR="00F86C9D" w:rsidRPr="001257F2" w:rsidRDefault="00BB0D9D">
      <w:pPr>
        <w:spacing w:after="120"/>
        <w:rPr>
          <w:rFonts w:cs="Times New Roman"/>
          <w:szCs w:val="24"/>
        </w:rPr>
      </w:pPr>
      <w:r>
        <w:t>3.2 Evaluating Non-Response Bias</w:t>
      </w:r>
      <w:r w:rsidR="009D6485" w:rsidRPr="001F2B28">
        <w:t xml:space="preserve">If response rates are less than 80 percent, which </w:t>
      </w:r>
      <w:r w:rsidR="002F73D0" w:rsidRPr="00015A92">
        <w:t>we expect to be</w:t>
      </w:r>
      <w:r w:rsidR="002F73D0">
        <w:t xml:space="preserve"> the case </w:t>
      </w:r>
      <w:r>
        <w:t xml:space="preserve">based on </w:t>
      </w:r>
      <w:r w:rsidR="002F73D0">
        <w:t xml:space="preserve">the results from </w:t>
      </w:r>
      <w:r>
        <w:t>other CAHPS surveys</w:t>
      </w:r>
      <w:r w:rsidR="002D531C">
        <w:t xml:space="preserve"> (we are targeting 30 percent)</w:t>
      </w:r>
      <w:r w:rsidR="008A7652">
        <w:t>,</w:t>
      </w:r>
      <w:r w:rsidR="009D6485" w:rsidRPr="001F2B28">
        <w:t xml:space="preserve"> CMS will</w:t>
      </w:r>
      <w:r w:rsidR="003A4D97" w:rsidRPr="003A4D97">
        <w:t xml:space="preserve"> conduct non</w:t>
      </w:r>
      <w:r w:rsidR="009D6485" w:rsidRPr="001F2B28">
        <w:t>response bias analyses to determine if there are systematic differen</w:t>
      </w:r>
      <w:r w:rsidR="003A4D97" w:rsidRPr="003A4D97">
        <w:t>ces between respondents and non</w:t>
      </w:r>
      <w:r w:rsidR="009D6485" w:rsidRPr="001F2B28">
        <w:t>respondents in terms of demographic</w:t>
      </w:r>
      <w:r>
        <w:t>,</w:t>
      </w:r>
      <w:r w:rsidR="009D6485" w:rsidRPr="001F2B28">
        <w:t xml:space="preserve"> Marketplace</w:t>
      </w:r>
      <w:r>
        <w:t>,</w:t>
      </w:r>
      <w:r w:rsidR="009D6485" w:rsidRPr="001F2B28">
        <w:t xml:space="preserve"> or QHP related characteristics</w:t>
      </w:r>
      <w:r w:rsidR="009D6485">
        <w:t xml:space="preserve"> </w:t>
      </w:r>
      <w:r w:rsidR="00F86C9D" w:rsidRPr="001257F2">
        <w:rPr>
          <w:rFonts w:cs="Times New Roman"/>
          <w:szCs w:val="24"/>
        </w:rPr>
        <w:t>that could have an impact on the study outcomes.</w:t>
      </w:r>
      <w:r w:rsidR="001D7407">
        <w:rPr>
          <w:rFonts w:cs="Times New Roman"/>
          <w:szCs w:val="24"/>
        </w:rPr>
        <w:t xml:space="preserve"> </w:t>
      </w:r>
      <w:r w:rsidR="004962AD">
        <w:rPr>
          <w:rFonts w:cs="Times New Roman"/>
          <w:szCs w:val="24"/>
        </w:rPr>
        <w:t xml:space="preserve">Some of the </w:t>
      </w:r>
      <w:r>
        <w:t xml:space="preserve">potentially </w:t>
      </w:r>
      <w:r w:rsidR="004962AD" w:rsidRPr="00AB7568">
        <w:t>related characteristics</w:t>
      </w:r>
      <w:r w:rsidR="004962AD">
        <w:t xml:space="preserve"> </w:t>
      </w:r>
      <w:r>
        <w:t xml:space="preserve">that will be </w:t>
      </w:r>
      <w:r w:rsidR="003A4D97">
        <w:t>available on the sampling frame for respondents and nonrespondents</w:t>
      </w:r>
      <w:r w:rsidR="004962AD" w:rsidRPr="00AB7568">
        <w:t xml:space="preserve"> </w:t>
      </w:r>
      <w:r>
        <w:t xml:space="preserve">of both the Marketplace and QHP Enrollee surveys </w:t>
      </w:r>
      <w:r w:rsidR="004962AD" w:rsidRPr="00AB7568">
        <w:t>include</w:t>
      </w:r>
      <w:r>
        <w:t>:</w:t>
      </w:r>
      <w:r w:rsidR="004962AD" w:rsidRPr="00AB7568">
        <w:t xml:space="preserve"> </w:t>
      </w:r>
      <w:r>
        <w:t xml:space="preserve">the </w:t>
      </w:r>
      <w:r w:rsidR="004962AD" w:rsidRPr="00AB7568">
        <w:t xml:space="preserve">mode of application (phone, web, in-person, or a combination), applicant status (PA, PE, EE, E), Medicaid eligibility, language preference, race, ethnicity, gender, income, disability status, </w:t>
      </w:r>
      <w:r>
        <w:t xml:space="preserve">and </w:t>
      </w:r>
      <w:r w:rsidR="004962AD" w:rsidRPr="00AB7568">
        <w:t>state</w:t>
      </w:r>
      <w:r>
        <w:t>.</w:t>
      </w:r>
      <w:r w:rsidR="004962AD" w:rsidRPr="00AB7568">
        <w:t xml:space="preserve"> </w:t>
      </w:r>
      <w:r>
        <w:t xml:space="preserve">Additionally, CMS will know the QHP </w:t>
      </w:r>
      <w:r w:rsidR="004962AD" w:rsidRPr="00AB7568">
        <w:t>issuer, product type, and metal level</w:t>
      </w:r>
      <w:r w:rsidR="009B5BEC">
        <w:t xml:space="preserve"> for respondents and nonrespondents of the QHP Enrollee survey.</w:t>
      </w:r>
      <w:r w:rsidR="004962AD">
        <w:t xml:space="preserve"> Of particular interest is the extent to which </w:t>
      </w:r>
      <w:r w:rsidR="00CC079E">
        <w:t xml:space="preserve">response rates vary by language, </w:t>
      </w:r>
      <w:r w:rsidR="004962AD">
        <w:t>state</w:t>
      </w:r>
      <w:r w:rsidR="00CC079E">
        <w:t xml:space="preserve">, </w:t>
      </w:r>
      <w:r w:rsidR="009B5BEC">
        <w:t>or</w:t>
      </w:r>
      <w:r w:rsidR="00CC079E">
        <w:t xml:space="preserve"> </w:t>
      </w:r>
      <w:r w:rsidR="004962AD">
        <w:t>mode</w:t>
      </w:r>
      <w:r w:rsidR="00CC079E">
        <w:t xml:space="preserve"> and the extent to which </w:t>
      </w:r>
      <w:r w:rsidR="009B5BEC">
        <w:t>response rates within these groups differ</w:t>
      </w:r>
      <w:r w:rsidR="004962AD">
        <w:t xml:space="preserve"> by sociodemographic characteristics.</w:t>
      </w:r>
      <w:r w:rsidR="00CC079E">
        <w:t xml:space="preserve"> For example, a nonresponse bias analysis could investigate whether the sociodemographic characteristics of the mail mode respondents </w:t>
      </w:r>
      <w:r w:rsidR="005F4B2B">
        <w:t xml:space="preserve">and nonrespondents </w:t>
      </w:r>
      <w:r w:rsidR="00CC079E">
        <w:t xml:space="preserve">are </w:t>
      </w:r>
      <w:r w:rsidR="00A45D74">
        <w:t xml:space="preserve">systematically </w:t>
      </w:r>
      <w:r w:rsidR="00CC079E">
        <w:t xml:space="preserve">different. </w:t>
      </w:r>
      <w:r w:rsidR="004962AD">
        <w:t xml:space="preserve"> </w:t>
      </w:r>
      <w:r w:rsidR="001D7407">
        <w:rPr>
          <w:rFonts w:cs="Times New Roman"/>
          <w:szCs w:val="24"/>
        </w:rPr>
        <w:t xml:space="preserve">If bias is found CMS will </w:t>
      </w:r>
      <w:r w:rsidR="003C5649">
        <w:rPr>
          <w:rFonts w:cs="Times New Roman"/>
          <w:szCs w:val="24"/>
        </w:rPr>
        <w:t>employ post-stratification to lessen the effects of non-response bias</w:t>
      </w:r>
      <w:r w:rsidR="001D7407">
        <w:rPr>
          <w:rFonts w:cs="Times New Roman"/>
          <w:szCs w:val="24"/>
        </w:rPr>
        <w:t>. CMS will also consider the possibility of conducting non-English surveys by telephone if the results of these analyses suggest that there is a significant bias associated with limiting non-English surveys to mail only.</w:t>
      </w:r>
    </w:p>
    <w:p w14:paraId="796B8FD1" w14:textId="6E895B7D" w:rsidR="00614E9F" w:rsidRDefault="00614E9F" w:rsidP="007868E2">
      <w:pPr>
        <w:pStyle w:val="PBullet2"/>
        <w:numPr>
          <w:ilvl w:val="0"/>
          <w:numId w:val="0"/>
        </w:numPr>
        <w:rPr>
          <w:rFonts w:cs="Times New Roman"/>
        </w:rPr>
      </w:pPr>
      <w:r w:rsidRPr="001257F2">
        <w:rPr>
          <w:rFonts w:cs="Times New Roman"/>
        </w:rPr>
        <w:lastRenderedPageBreak/>
        <w:t xml:space="preserve">If response rates vary by mode in the </w:t>
      </w:r>
      <w:r w:rsidR="009D46D8">
        <w:rPr>
          <w:rFonts w:cs="Times New Roman"/>
        </w:rPr>
        <w:t>psychometric test</w:t>
      </w:r>
      <w:r w:rsidRPr="001257F2">
        <w:rPr>
          <w:rFonts w:cs="Times New Roman"/>
        </w:rPr>
        <w:t>, CMS will compute a cost per complete for each mode and relate the response rate for that mode to its unit cost</w:t>
      </w:r>
      <w:r w:rsidR="004F0991" w:rsidRPr="001257F2">
        <w:rPr>
          <w:rFonts w:cs="Times New Roman"/>
        </w:rPr>
        <w:t xml:space="preserve"> to determine if the benefit in terms of better response is worth any additional cost that might be required. This assessment will be made qualitatively once we see the variation in costs and response rates among the modes. There is no </w:t>
      </w:r>
      <w:r w:rsidR="004F0991" w:rsidRPr="001257F2">
        <w:rPr>
          <w:rFonts w:cs="Times New Roman"/>
          <w:i/>
        </w:rPr>
        <w:t>a priori</w:t>
      </w:r>
      <w:r w:rsidR="004F0991" w:rsidRPr="001257F2">
        <w:rPr>
          <w:rFonts w:cs="Times New Roman"/>
        </w:rPr>
        <w:t xml:space="preserve"> assumption about an acceptable benefit-cost tradeoff</w:t>
      </w:r>
      <w:r w:rsidR="009B5BEC">
        <w:rPr>
          <w:rFonts w:cs="Times New Roman"/>
        </w:rPr>
        <w:t>; however,</w:t>
      </w:r>
      <w:r w:rsidR="004F0991" w:rsidRPr="001257F2">
        <w:rPr>
          <w:rFonts w:cs="Times New Roman"/>
        </w:rPr>
        <w:t xml:space="preserve"> CMS also wants to remain consistent with standard CAHPS </w:t>
      </w:r>
      <w:r w:rsidR="009B5BEC">
        <w:rPr>
          <w:rFonts w:cs="Times New Roman"/>
        </w:rPr>
        <w:t xml:space="preserve">survey administration </w:t>
      </w:r>
      <w:r w:rsidR="004F0991" w:rsidRPr="001257F2">
        <w:rPr>
          <w:rFonts w:cs="Times New Roman"/>
        </w:rPr>
        <w:t>procedures to the extent possible.</w:t>
      </w:r>
    </w:p>
    <w:p w14:paraId="7A5E52CC" w14:textId="061A1FF1" w:rsidR="000A157C" w:rsidRPr="001257F2" w:rsidRDefault="000A157C" w:rsidP="007868E2">
      <w:pPr>
        <w:pStyle w:val="PBullet2"/>
        <w:numPr>
          <w:ilvl w:val="0"/>
          <w:numId w:val="0"/>
        </w:numPr>
        <w:rPr>
          <w:rFonts w:cs="Times New Roman"/>
        </w:rPr>
      </w:pPr>
      <w:r>
        <w:rPr>
          <w:rFonts w:cs="Times New Roman"/>
        </w:rPr>
        <w:t xml:space="preserve">Thus far, the response rates discussed have been at the unit level, where </w:t>
      </w:r>
      <w:r w:rsidR="009B5BEC">
        <w:rPr>
          <w:rFonts w:cs="Times New Roman"/>
        </w:rPr>
        <w:t>respondents</w:t>
      </w:r>
      <w:r>
        <w:rPr>
          <w:rFonts w:cs="Times New Roman"/>
        </w:rPr>
        <w:t xml:space="preserve"> either </w:t>
      </w:r>
      <w:r w:rsidR="009B5BEC">
        <w:rPr>
          <w:rFonts w:cs="Times New Roman"/>
        </w:rPr>
        <w:t>completed</w:t>
      </w:r>
      <w:r>
        <w:rPr>
          <w:rFonts w:cs="Times New Roman"/>
        </w:rPr>
        <w:t xml:space="preserve"> or did not </w:t>
      </w:r>
      <w:r w:rsidR="009B5BEC">
        <w:rPr>
          <w:rFonts w:cs="Times New Roman"/>
        </w:rPr>
        <w:t>complete</w:t>
      </w:r>
      <w:r>
        <w:rPr>
          <w:rFonts w:cs="Times New Roman"/>
        </w:rPr>
        <w:t xml:space="preserve"> the entire survey. There is also item-level </w:t>
      </w:r>
      <w:r w:rsidR="003A4D97">
        <w:rPr>
          <w:rFonts w:cs="Times New Roman"/>
        </w:rPr>
        <w:t>non</w:t>
      </w:r>
      <w:r>
        <w:rPr>
          <w:rFonts w:cs="Times New Roman"/>
        </w:rPr>
        <w:t xml:space="preserve">response where a respondent answers some, but not all of the questions </w:t>
      </w:r>
      <w:r w:rsidR="003A4D97">
        <w:rPr>
          <w:rFonts w:cs="Times New Roman"/>
        </w:rPr>
        <w:t xml:space="preserve">they are eligible for </w:t>
      </w:r>
      <w:r>
        <w:rPr>
          <w:rFonts w:cs="Times New Roman"/>
        </w:rPr>
        <w:t xml:space="preserve">in the survey. </w:t>
      </w:r>
      <w:r w:rsidR="00D3038D">
        <w:rPr>
          <w:rFonts w:cs="Times New Roman"/>
        </w:rPr>
        <w:t>Although highly unlikely, i</w:t>
      </w:r>
      <w:r w:rsidR="003A4D97">
        <w:rPr>
          <w:rFonts w:cs="Times New Roman"/>
        </w:rPr>
        <w:t>f the item response rate is less than 70%</w:t>
      </w:r>
      <w:r w:rsidR="00D3038D">
        <w:rPr>
          <w:rFonts w:cs="Times New Roman"/>
        </w:rPr>
        <w:t xml:space="preserve"> for any survey questions</w:t>
      </w:r>
      <w:r w:rsidR="003A4D97">
        <w:rPr>
          <w:rFonts w:cs="Times New Roman"/>
        </w:rPr>
        <w:t>, CMS will conduct an item nonresponse analysis similar to that discussed above for unit nonresponse</w:t>
      </w:r>
      <w:r w:rsidR="009B5BEC">
        <w:rPr>
          <w:rFonts w:cs="Times New Roman"/>
        </w:rPr>
        <w:t xml:space="preserve"> as required by Guideline 3.2.10 of the Office of Management and Budget’s Standards and Guideline for Statistical Surveys</w:t>
      </w:r>
      <w:r w:rsidR="003A4D97">
        <w:rPr>
          <w:rFonts w:cs="Times New Roman"/>
        </w:rPr>
        <w:t>.</w:t>
      </w:r>
      <w:r w:rsidR="00D3038D">
        <w:rPr>
          <w:rFonts w:cs="Times New Roman"/>
        </w:rPr>
        <w:t xml:space="preserve"> </w:t>
      </w:r>
    </w:p>
    <w:p w14:paraId="796B8FD2" w14:textId="77777777" w:rsidR="00101D3E" w:rsidRPr="00A639DF" w:rsidRDefault="00101D3E" w:rsidP="00A639DF">
      <w:pPr>
        <w:pStyle w:val="Heading1"/>
      </w:pPr>
      <w:bookmarkStart w:id="121" w:name="_Toc375154527"/>
      <w:bookmarkStart w:id="122" w:name="_Toc396204809"/>
      <w:r w:rsidRPr="00A639DF">
        <w:t>4.</w:t>
      </w:r>
      <w:r w:rsidR="00A639DF" w:rsidRPr="00A639DF">
        <w:tab/>
      </w:r>
      <w:r w:rsidRPr="00A639DF">
        <w:t>Tests of Procedures</w:t>
      </w:r>
      <w:bookmarkEnd w:id="117"/>
      <w:bookmarkEnd w:id="118"/>
      <w:bookmarkEnd w:id="119"/>
      <w:bookmarkEnd w:id="120"/>
      <w:bookmarkEnd w:id="121"/>
      <w:bookmarkEnd w:id="122"/>
    </w:p>
    <w:p w14:paraId="796B8FD3" w14:textId="539AC061" w:rsidR="00370801" w:rsidRDefault="00101D3E" w:rsidP="00A639DF">
      <w:pPr>
        <w:pStyle w:val="PBodyText"/>
      </w:pPr>
      <w:r w:rsidRPr="003D2131">
        <w:t xml:space="preserve">The survey development team </w:t>
      </w:r>
      <w:r w:rsidR="00370801">
        <w:t xml:space="preserve">conducted </w:t>
      </w:r>
      <w:r w:rsidR="00827EDB">
        <w:t xml:space="preserve">nine </w:t>
      </w:r>
      <w:r w:rsidR="00827EDB" w:rsidRPr="00827EDB">
        <w:t xml:space="preserve">interviews with key stakeholders to help inform aspects of the </w:t>
      </w:r>
      <w:r w:rsidR="00827EDB">
        <w:t>Marketplaces</w:t>
      </w:r>
      <w:r w:rsidR="00827EDB" w:rsidRPr="00827EDB">
        <w:t xml:space="preserve"> that </w:t>
      </w:r>
      <w:r w:rsidR="00827EDB">
        <w:t>would</w:t>
      </w:r>
      <w:r w:rsidR="00827EDB" w:rsidRPr="00827EDB">
        <w:t xml:space="preserve"> be</w:t>
      </w:r>
      <w:r w:rsidR="00827EDB">
        <w:t xml:space="preserve"> important to capture in the surveys; four focus groups with 33 individuals about their perspectives on health insurance, health care, and the new Health Insurance </w:t>
      </w:r>
      <w:r w:rsidR="006D0E00">
        <w:t>Marketplaces</w:t>
      </w:r>
      <w:r w:rsidR="00827EDB">
        <w:t xml:space="preserve">; and </w:t>
      </w:r>
      <w:r w:rsidR="00370801">
        <w:t>two rounds of cognitive testing in all three languages (English, Spanish, and Chinese) for both surveys.  To avoid duplicating efforts we relied heavily on cognitive testing that had already been done on the CAHPS questions used in the QHP Enrollee Survey and only tested new or modified questions. T</w:t>
      </w:r>
      <w:r w:rsidR="00ED6E21">
        <w:t>hus, cognitive</w:t>
      </w:r>
      <w:r w:rsidR="00370801">
        <w:t xml:space="preserve"> testing </w:t>
      </w:r>
      <w:r w:rsidR="00ED6E21">
        <w:t>focused mainly</w:t>
      </w:r>
      <w:r w:rsidR="00370801">
        <w:t xml:space="preserve"> on the Marketplace Survey. The first round of testing was conducted with proxy Marketplace users from the Massachusetts Health Connector because it had to be done before Marketplace open enrollment</w:t>
      </w:r>
      <w:r w:rsidR="00ED6E21">
        <w:t xml:space="preserve"> began</w:t>
      </w:r>
      <w:r w:rsidR="00370801">
        <w:t xml:space="preserve">. The </w:t>
      </w:r>
      <w:r w:rsidR="006D0E00">
        <w:t xml:space="preserve">nine </w:t>
      </w:r>
      <w:r w:rsidR="00370801">
        <w:t>interviews in each language were sufficient to understand respondents’ experiences with the Massachusetts Health Connector. The second round of testing was conducted in the first weeks of Marketplace open enrollment when people had varying experiences with the Marketplace</w:t>
      </w:r>
      <w:r w:rsidR="00ED6E21">
        <w:t>s</w:t>
      </w:r>
      <w:r w:rsidR="00370801">
        <w:t xml:space="preserve">. The </w:t>
      </w:r>
      <w:r w:rsidR="006D0E00">
        <w:t>nine</w:t>
      </w:r>
      <w:r w:rsidR="00370801">
        <w:t xml:space="preserve"> respondents in each language provided a balanced perspective of positive and negative experiences interacting with the Marketplace in a variety of ways such as on the website, over the phone, and in person. </w:t>
      </w:r>
      <w:r w:rsidR="00264EE0">
        <w:t xml:space="preserve">The </w:t>
      </w:r>
      <w:r w:rsidR="007E3C1E">
        <w:t xml:space="preserve">final </w:t>
      </w:r>
      <w:r w:rsidR="00264EE0">
        <w:t>cognitive testing report was provided as part of this</w:t>
      </w:r>
      <w:r w:rsidR="007E3C1E">
        <w:t xml:space="preserve"> submission</w:t>
      </w:r>
      <w:r w:rsidR="00264EE0">
        <w:t xml:space="preserve"> earlier. </w:t>
      </w:r>
      <w:r w:rsidR="00ED6E21">
        <w:t>The CCSQ survey team</w:t>
      </w:r>
      <w:r w:rsidR="00370801">
        <w:t xml:space="preserve"> worked closely with CCIIO’s state</w:t>
      </w:r>
      <w:r w:rsidR="00ED6E21">
        <w:t>-based marketplace</w:t>
      </w:r>
      <w:r w:rsidR="00370801">
        <w:t xml:space="preserve"> team</w:t>
      </w:r>
      <w:r w:rsidR="00ED6E21">
        <w:t>,</w:t>
      </w:r>
      <w:r w:rsidR="00370801">
        <w:t xml:space="preserve"> who collected state level information about enrollees. </w:t>
      </w:r>
      <w:r w:rsidR="00ED6E21">
        <w:t>CMS</w:t>
      </w:r>
      <w:r w:rsidR="00370801">
        <w:t xml:space="preserve"> intend</w:t>
      </w:r>
      <w:r w:rsidR="00ED6E21">
        <w:t>s</w:t>
      </w:r>
      <w:r w:rsidR="00370801">
        <w:t xml:space="preserve"> that the </w:t>
      </w:r>
      <w:r w:rsidR="009D46D8">
        <w:t>psychometric test</w:t>
      </w:r>
      <w:r w:rsidR="00370801">
        <w:t>s will verify and validate the cognitive testing and identify any additional testing needs.</w:t>
      </w:r>
    </w:p>
    <w:p w14:paraId="796B8FD4" w14:textId="72D32087" w:rsidR="00101D3E" w:rsidRPr="00B476D3" w:rsidRDefault="00101D3E" w:rsidP="00A639DF">
      <w:pPr>
        <w:pStyle w:val="PBodyText"/>
      </w:pPr>
      <w:r>
        <w:t xml:space="preserve">The Marketplace and QHP </w:t>
      </w:r>
      <w:r w:rsidR="00D97C50">
        <w:t>psychometric</w:t>
      </w:r>
      <w:r w:rsidR="00F3729A">
        <w:t xml:space="preserve"> and beta test </w:t>
      </w:r>
      <w:r>
        <w:t>survey</w:t>
      </w:r>
      <w:r w:rsidR="006D113D">
        <w:t>s</w:t>
      </w:r>
      <w:r>
        <w:t xml:space="preserve"> are intended to test and refine the questionnaires and survey procedures prior to the full national implementation of both surveys, with public reporting, </w:t>
      </w:r>
      <w:r w:rsidR="00287369">
        <w:t xml:space="preserve">which will take place annually beginning </w:t>
      </w:r>
      <w:r>
        <w:t>in 2016.</w:t>
      </w:r>
    </w:p>
    <w:p w14:paraId="796B8FD5" w14:textId="77777777" w:rsidR="00101D3E" w:rsidRPr="00A639DF" w:rsidRDefault="00101D3E" w:rsidP="00A639DF">
      <w:pPr>
        <w:pStyle w:val="Heading1"/>
      </w:pPr>
      <w:bookmarkStart w:id="123" w:name="_Toc302543544"/>
      <w:bookmarkStart w:id="124" w:name="_Toc252178321"/>
      <w:bookmarkStart w:id="125" w:name="_Toc375154528"/>
      <w:bookmarkStart w:id="126" w:name="_Toc396204810"/>
      <w:r w:rsidRPr="00A639DF">
        <w:t>5.</w:t>
      </w:r>
      <w:r w:rsidR="00A639DF" w:rsidRPr="00A639DF">
        <w:tab/>
      </w:r>
      <w:r w:rsidRPr="00A639DF">
        <w:t>Statistical Consultants</w:t>
      </w:r>
      <w:bookmarkEnd w:id="123"/>
      <w:bookmarkEnd w:id="124"/>
      <w:bookmarkEnd w:id="125"/>
      <w:bookmarkEnd w:id="126"/>
    </w:p>
    <w:p w14:paraId="796B8FD6" w14:textId="77777777" w:rsidR="009D59F2" w:rsidRDefault="00101D3E" w:rsidP="00101D3E">
      <w:pPr>
        <w:pStyle w:val="PBodyText"/>
      </w:pPr>
      <w:r w:rsidRPr="00B476D3">
        <w:t xml:space="preserve">This sampling and statistical plan was prepared and reviewed </w:t>
      </w:r>
      <w:r w:rsidRPr="0080753D">
        <w:t xml:space="preserve">by staff of CMS and by the American Institutes </w:t>
      </w:r>
      <w:r w:rsidR="0002329D">
        <w:t>for</w:t>
      </w:r>
      <w:r w:rsidRPr="0080753D">
        <w:t xml:space="preserve"> Research.  The primary statistical design was provided by Chris Evensen, MS, of the American Institutes for Research at (919) 918-2310</w:t>
      </w:r>
      <w:r>
        <w:t>; Mi</w:t>
      </w:r>
      <w:r w:rsidR="00287369">
        <w:t>chael</w:t>
      </w:r>
      <w:r w:rsidR="000D137E">
        <w:t xml:space="preserve"> P.</w:t>
      </w:r>
      <w:r>
        <w:t xml:space="preserve"> Cohen, PhD, of the American Institutes for Research at (202) 403-6453; </w:t>
      </w:r>
      <w:r w:rsidRPr="0080753D">
        <w:t xml:space="preserve">Steven Garfinkel, PhD, of the American </w:t>
      </w:r>
      <w:r w:rsidRPr="0080753D">
        <w:lastRenderedPageBreak/>
        <w:t>Institutes for Research</w:t>
      </w:r>
      <w:r>
        <w:t xml:space="preserve"> at</w:t>
      </w:r>
      <w:r w:rsidRPr="0080753D">
        <w:t xml:space="preserve"> (919) 918-2306</w:t>
      </w:r>
      <w:r>
        <w:t>, and HarmoniJoie Noel, PhD, of the American Institutes for Research at (202) 403-5779.</w:t>
      </w:r>
    </w:p>
    <w:p w14:paraId="796B8FD7" w14:textId="77777777" w:rsidR="00101D3E" w:rsidRPr="009C7A4C" w:rsidRDefault="00101D3E" w:rsidP="008F693D">
      <w:pPr>
        <w:pStyle w:val="PBodyText"/>
      </w:pPr>
    </w:p>
    <w:sectPr w:rsidR="00101D3E" w:rsidRPr="009C7A4C" w:rsidSect="00E675A7">
      <w:endnotePr>
        <w:numFmt w:val="decimal"/>
      </w:endnotePr>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C38BFF" w14:textId="77777777" w:rsidR="00F848A9" w:rsidRDefault="00F848A9">
      <w:r>
        <w:separator/>
      </w:r>
    </w:p>
  </w:endnote>
  <w:endnote w:type="continuationSeparator" w:id="0">
    <w:p w14:paraId="224B680A" w14:textId="77777777" w:rsidR="00F848A9" w:rsidRDefault="00F848A9">
      <w:r>
        <w:continuationSeparator/>
      </w:r>
    </w:p>
  </w:endnote>
  <w:endnote w:type="continuationNotice" w:id="1">
    <w:p w14:paraId="3F4ECA3C" w14:textId="77777777" w:rsidR="00F848A9" w:rsidRDefault="00F848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Bold">
    <w:panose1 w:val="020B0704020202020204"/>
    <w:charset w:val="00"/>
    <w:family w:val="auto"/>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Calibri-Bold">
    <w:panose1 w:val="00000000000000000000"/>
    <w:charset w:val="4D"/>
    <w:family w:val="auto"/>
    <w:notTrueType/>
    <w:pitch w:val="default"/>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B8FE8" w14:textId="77777777" w:rsidR="00F848A9" w:rsidRDefault="00F848A9">
    <w:pPr>
      <w:spacing w:line="240" w:lineRule="exact"/>
    </w:pPr>
  </w:p>
  <w:p w14:paraId="796B8FE9" w14:textId="77777777" w:rsidR="00F848A9" w:rsidRDefault="00F848A9">
    <w:pPr>
      <w:framePr w:w="9505" w:wrap="notBeside" w:vAnchor="text" w:hAnchor="text" w:x="1" w:y="1"/>
      <w:jc w:val="center"/>
    </w:pPr>
    <w:r>
      <w:fldChar w:fldCharType="begin"/>
    </w:r>
    <w:r>
      <w:instrText xml:space="preserve">PAGE </w:instrText>
    </w:r>
    <w:r>
      <w:fldChar w:fldCharType="separate"/>
    </w:r>
    <w:r>
      <w:rPr>
        <w:noProof/>
      </w:rPr>
      <w:t>ii</w:t>
    </w:r>
    <w:r>
      <w:fldChar w:fldCharType="end"/>
    </w:r>
  </w:p>
  <w:p w14:paraId="796B8FEA" w14:textId="77777777" w:rsidR="00F848A9" w:rsidRDefault="00F848A9">
    <w:pPr>
      <w:ind w:right="14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B8FEC" w14:textId="77777777" w:rsidR="00F848A9" w:rsidRDefault="00F848A9">
    <w:pPr>
      <w:spacing w:line="240" w:lineRule="exact"/>
    </w:pPr>
  </w:p>
  <w:p w14:paraId="796B8FED" w14:textId="77777777" w:rsidR="00F848A9" w:rsidRDefault="00F848A9">
    <w:pPr>
      <w:framePr w:w="9505" w:wrap="notBeside" w:vAnchor="text" w:hAnchor="text" w:x="1" w:y="1"/>
      <w:jc w:val="center"/>
    </w:pPr>
    <w:r>
      <w:fldChar w:fldCharType="begin"/>
    </w:r>
    <w:r>
      <w:instrText xml:space="preserve">PAGE </w:instrText>
    </w:r>
    <w:r>
      <w:fldChar w:fldCharType="separate"/>
    </w:r>
    <w:r>
      <w:rPr>
        <w:noProof/>
      </w:rPr>
      <w:t>ii</w:t>
    </w:r>
    <w:r>
      <w:fldChar w:fldCharType="end"/>
    </w:r>
  </w:p>
  <w:p w14:paraId="796B8FEE" w14:textId="77777777" w:rsidR="00F848A9" w:rsidRDefault="00F848A9">
    <w:pPr>
      <w:ind w:right="14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B8FF0" w14:textId="77777777" w:rsidR="00F848A9" w:rsidRPr="00123BBA" w:rsidRDefault="00F848A9" w:rsidP="00D543A7">
    <w:pPr>
      <w:pBdr>
        <w:top w:val="single" w:sz="4" w:space="3" w:color="auto"/>
      </w:pBdr>
      <w:spacing w:line="240" w:lineRule="exact"/>
      <w:jc w:val="center"/>
      <w:rPr>
        <w:sz w:val="20"/>
        <w:szCs w:val="20"/>
      </w:rPr>
    </w:pPr>
    <w:r>
      <w:fldChar w:fldCharType="begin"/>
    </w:r>
    <w:r>
      <w:instrText xml:space="preserve"> PAGE   \* MERGEFORMAT </w:instrText>
    </w:r>
    <w:r>
      <w:fldChar w:fldCharType="separate"/>
    </w:r>
    <w:r w:rsidR="003A3A16">
      <w:rPr>
        <w:noProof/>
      </w:rPr>
      <w:t>i</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B8FF1" w14:textId="77777777" w:rsidR="00F848A9" w:rsidRPr="00123BBA" w:rsidRDefault="00F848A9" w:rsidP="00123BBA">
    <w:pPr>
      <w:pBdr>
        <w:top w:val="single" w:sz="4" w:space="3" w:color="auto"/>
      </w:pBdr>
      <w:spacing w:line="240" w:lineRule="exact"/>
      <w:jc w:val="center"/>
      <w:rPr>
        <w:sz w:val="20"/>
        <w:szCs w:val="20"/>
      </w:rPr>
    </w:pPr>
    <w:r>
      <w:fldChar w:fldCharType="begin"/>
    </w:r>
    <w:r>
      <w:instrText xml:space="preserve"> PAGE   \* MERGEFORMAT </w:instrText>
    </w:r>
    <w:r>
      <w:fldChar w:fldCharType="separate"/>
    </w:r>
    <w:r w:rsidR="003A3A16">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7EBD01" w14:textId="77777777" w:rsidR="00F848A9" w:rsidRDefault="00F848A9">
      <w:r>
        <w:separator/>
      </w:r>
    </w:p>
  </w:footnote>
  <w:footnote w:type="continuationSeparator" w:id="0">
    <w:p w14:paraId="280CEABF" w14:textId="77777777" w:rsidR="00F848A9" w:rsidRDefault="00F848A9">
      <w:r>
        <w:continuationSeparator/>
      </w:r>
    </w:p>
  </w:footnote>
  <w:footnote w:type="continuationNotice" w:id="1">
    <w:p w14:paraId="2FCECB17" w14:textId="77777777" w:rsidR="00F848A9" w:rsidRDefault="00F848A9"/>
  </w:footnote>
  <w:footnote w:id="2">
    <w:p w14:paraId="6AE25AA8" w14:textId="77777777" w:rsidR="00F848A9" w:rsidRDefault="00F848A9" w:rsidP="00CF0270">
      <w:pPr>
        <w:pStyle w:val="FootnoteText"/>
      </w:pPr>
      <w:r>
        <w:rPr>
          <w:rStyle w:val="FootnoteReference"/>
          <w:rFonts w:eastAsiaTheme="majorEastAsia"/>
        </w:rPr>
        <w:footnoteRef/>
      </w:r>
      <w:r>
        <w:t xml:space="preserve"> For consumers applying by phone or in-person, representatives still enter their data in the web site (either Healthcare.gov or an SBM’s dedicated state-based web site), and thus we assume that a phone or in-person assisted application can be partially completed, and that a consumer applying by phone or in-person may not yet have enrolled in a QHP. Paper applications are also entered using the web site but could also be incomplete, and some applicants submitting paper applications may not yet have enrolled in a QHP at the time of sampling.</w:t>
      </w:r>
    </w:p>
  </w:footnote>
  <w:footnote w:id="3">
    <w:p w14:paraId="796B8FF3" w14:textId="77777777" w:rsidR="00F848A9" w:rsidRDefault="00F848A9">
      <w:pPr>
        <w:pStyle w:val="FootnoteText"/>
      </w:pPr>
      <w:r>
        <w:rPr>
          <w:rStyle w:val="FootnoteReference"/>
        </w:rPr>
        <w:footnoteRef/>
      </w:r>
      <w:r>
        <w:t xml:space="preserve"> For the proposed data collections we classify D.C. as a “State,” hence there are reference to “51 States” in this document.</w:t>
      </w:r>
    </w:p>
  </w:footnote>
  <w:footnote w:id="4">
    <w:p w14:paraId="796B8FF5" w14:textId="77777777" w:rsidR="00F848A9" w:rsidRDefault="00F848A9" w:rsidP="0080353F">
      <w:pPr>
        <w:pStyle w:val="FootnoteText"/>
      </w:pPr>
      <w:r>
        <w:rPr>
          <w:rStyle w:val="FootnoteReference"/>
          <w:rFonts w:eastAsiaTheme="majorEastAsia"/>
        </w:rPr>
        <w:footnoteRef/>
      </w:r>
      <w:r>
        <w:t xml:space="preserve"> </w:t>
      </w:r>
      <w:r w:rsidRPr="00B1136A">
        <w:t xml:space="preserve">Howard KI, Forehand GG. A method for correcting item-total correlations for the effect of relevant item inclusion. </w:t>
      </w:r>
      <w:r w:rsidRPr="00DB2AF8">
        <w:rPr>
          <w:i/>
        </w:rPr>
        <w:t>Educ Psychol Meas</w:t>
      </w:r>
      <w:r w:rsidRPr="00B1136A">
        <w:t>. 1962; 22 (4), 731-735.</w:t>
      </w:r>
    </w:p>
  </w:footnote>
  <w:footnote w:id="5">
    <w:p w14:paraId="796B8FF6" w14:textId="3BBBF1F0" w:rsidR="00F848A9" w:rsidRDefault="00F848A9" w:rsidP="008221F9">
      <w:pPr>
        <w:pStyle w:val="FootnoteText"/>
      </w:pPr>
      <w:r>
        <w:rPr>
          <w:rStyle w:val="FootnoteReference"/>
          <w:rFonts w:eastAsiaTheme="majorEastAsia"/>
        </w:rPr>
        <w:footnoteRef/>
      </w:r>
      <w:r>
        <w:t xml:space="preserve"> For a discussion of the methods used to calculate the reliability of CAHPS measures, see pp. 62-63 in the document “Instructions for Analyzing Data from CAHPS® Surveys: Using the CAHPS Analysis Program Version 4.1,” Document No. 2015,  updated on 04/02/2012; available here: </w:t>
      </w:r>
      <w:hyperlink r:id="rId1" w:history="1">
        <w:r w:rsidRPr="001A53FC">
          <w:rPr>
            <w:rStyle w:val="Hyperlink"/>
          </w:rPr>
          <w:t>Instructions for Analyzing Data from CAHPS Surveys: Using the CAHPS Analysis Program Version 4.1</w:t>
        </w:r>
      </w:hyperlink>
      <w:r>
        <w:t>. Much of the text in this section is based on information provided in that document.</w:t>
      </w:r>
    </w:p>
  </w:footnote>
  <w:footnote w:id="6">
    <w:p w14:paraId="796B8FF7" w14:textId="77777777" w:rsidR="00F848A9" w:rsidRDefault="00F848A9" w:rsidP="008221F9">
      <w:pPr>
        <w:pStyle w:val="FootnoteText"/>
      </w:pPr>
      <w:r>
        <w:rPr>
          <w:rStyle w:val="FootnoteReference"/>
          <w:rFonts w:eastAsiaTheme="majorEastAsia"/>
        </w:rPr>
        <w:footnoteRef/>
      </w:r>
      <w:r>
        <w:t xml:space="preserve"> Winer BJ. Statistical principles in experimental design.  New York: McGraw-Hill, 1970; also Zaslavsky AM, Buntin MJB. Using survey measures to assess risk selection among Medicare Managed care plans. </w:t>
      </w:r>
      <w:r w:rsidRPr="00DB2AF8">
        <w:rPr>
          <w:i/>
        </w:rPr>
        <w:t>Inquiry</w:t>
      </w:r>
      <w:r>
        <w:t>, 6/2002, 39(2), 138-151.</w:t>
      </w:r>
    </w:p>
  </w:footnote>
  <w:footnote w:id="7">
    <w:p w14:paraId="796B8FF8" w14:textId="6AF5D4E5" w:rsidR="00F848A9" w:rsidRDefault="00F848A9" w:rsidP="008221F9">
      <w:pPr>
        <w:pStyle w:val="FootnoteText"/>
      </w:pPr>
      <w:r>
        <w:rPr>
          <w:rStyle w:val="FootnoteReference"/>
          <w:rFonts w:eastAsiaTheme="majorEastAsia"/>
        </w:rPr>
        <w:footnoteRef/>
      </w:r>
      <w:r>
        <w:t xml:space="preserve"> </w:t>
      </w:r>
      <w:r w:rsidRPr="00685CD4">
        <w:t xml:space="preserve">Hays RD, Revicki D.  Reliability and validity (including responsiveness).  In P. Fayers &amp; R. Hays (eds.).  </w:t>
      </w:r>
      <w:r w:rsidRPr="00DB2AF8">
        <w:rPr>
          <w:i/>
        </w:rPr>
        <w:t>Assessing quality of life in clinical trials:  Methods and practices,</w:t>
      </w:r>
      <w:r w:rsidRPr="00685CD4">
        <w:t xml:space="preserve"> 2nd ed. Oxford: Oxford University Press, 2005, 41-53.</w:t>
      </w:r>
      <w:r>
        <w:tab/>
      </w:r>
    </w:p>
  </w:footnote>
  <w:footnote w:id="8">
    <w:p w14:paraId="796B8FF9" w14:textId="77777777" w:rsidR="00F848A9" w:rsidRPr="00AE35A2" w:rsidRDefault="00F848A9" w:rsidP="008221F9">
      <w:pPr>
        <w:pStyle w:val="FootnoteText"/>
        <w:rPr>
          <w:rFonts w:cs="Times New Roman"/>
          <w:szCs w:val="22"/>
        </w:rPr>
      </w:pPr>
      <w:r w:rsidRPr="00E77D06">
        <w:rPr>
          <w:rStyle w:val="FootnoteReference"/>
          <w:rFonts w:eastAsiaTheme="majorEastAsia" w:cs="Times New Roman"/>
          <w:sz w:val="22"/>
          <w:szCs w:val="22"/>
        </w:rPr>
        <w:footnoteRef/>
      </w:r>
      <w:r w:rsidRPr="00E77D06">
        <w:rPr>
          <w:rFonts w:cs="Times New Roman"/>
          <w:sz w:val="22"/>
          <w:szCs w:val="22"/>
        </w:rPr>
        <w:t xml:space="preserve"> </w:t>
      </w:r>
      <w:r w:rsidRPr="00AE35A2">
        <w:rPr>
          <w:rFonts w:cs="Times New Roman"/>
          <w:szCs w:val="22"/>
        </w:rPr>
        <w:t xml:space="preserve">Nunnally, JC (1978). </w:t>
      </w:r>
      <w:r w:rsidRPr="00AE35A2">
        <w:rPr>
          <w:rFonts w:cs="Times New Roman"/>
          <w:i/>
          <w:iCs/>
          <w:szCs w:val="22"/>
        </w:rPr>
        <w:t>Psychometric theory</w:t>
      </w:r>
      <w:r w:rsidRPr="00AE35A2">
        <w:rPr>
          <w:rFonts w:cs="Times New Roman"/>
          <w:szCs w:val="22"/>
        </w:rPr>
        <w:t xml:space="preserve"> (2nd edition). New York: McGraw</w:t>
      </w:r>
      <w:r w:rsidRPr="00AE35A2">
        <w:rPr>
          <w:rFonts w:cs="Times New Roman"/>
          <w:szCs w:val="22"/>
        </w:rPr>
        <w:noBreakHyphen/>
        <w:t>Hill Book Company.</w:t>
      </w:r>
    </w:p>
  </w:footnote>
  <w:footnote w:id="9">
    <w:p w14:paraId="796B8FFA" w14:textId="77777777" w:rsidR="00F848A9" w:rsidRPr="00AE35A2" w:rsidRDefault="00F848A9" w:rsidP="008221F9">
      <w:pPr>
        <w:pStyle w:val="FootnoteText"/>
        <w:rPr>
          <w:rFonts w:cs="Times New Roman"/>
          <w:szCs w:val="22"/>
        </w:rPr>
      </w:pPr>
      <w:r w:rsidRPr="00E77D06">
        <w:rPr>
          <w:rStyle w:val="FootnoteReference"/>
          <w:rFonts w:eastAsiaTheme="majorEastAsia" w:cs="Times New Roman"/>
          <w:sz w:val="22"/>
          <w:szCs w:val="22"/>
        </w:rPr>
        <w:footnoteRef/>
      </w:r>
      <w:r w:rsidRPr="00E77D06">
        <w:rPr>
          <w:rFonts w:cs="Times New Roman"/>
          <w:sz w:val="22"/>
          <w:szCs w:val="22"/>
        </w:rPr>
        <w:t xml:space="preserve"> </w:t>
      </w:r>
      <w:r w:rsidRPr="00AE35A2">
        <w:rPr>
          <w:rFonts w:cs="Times New Roman"/>
          <w:szCs w:val="22"/>
        </w:rPr>
        <w:t xml:space="preserve">Zaslavsky AM, Statistical issues in reporting quality data: small samples and casemix variation, </w:t>
      </w:r>
      <w:r w:rsidRPr="00AE35A2">
        <w:rPr>
          <w:rFonts w:cs="Times New Roman"/>
          <w:i/>
          <w:iCs/>
          <w:szCs w:val="22"/>
        </w:rPr>
        <w:t>Int J Qual Health Care</w:t>
      </w:r>
      <w:r w:rsidRPr="00AE35A2">
        <w:rPr>
          <w:rFonts w:cs="Times New Roman"/>
          <w:szCs w:val="22"/>
        </w:rPr>
        <w:t>, 2001;13(6):481-488.</w:t>
      </w:r>
    </w:p>
  </w:footnote>
  <w:footnote w:id="10">
    <w:p w14:paraId="796B8FFB" w14:textId="278F975F" w:rsidR="00F848A9" w:rsidRPr="001A53FC" w:rsidRDefault="00F848A9" w:rsidP="00F82151">
      <w:pPr>
        <w:pStyle w:val="FootnoteText"/>
      </w:pPr>
      <w:r>
        <w:rPr>
          <w:rStyle w:val="FootnoteReference"/>
        </w:rPr>
        <w:footnoteRef/>
      </w:r>
      <w:r>
        <w:t xml:space="preserve"> For a discussion of  reliability and its relationship to sample size, see the document, “Fielding the CAHPS Clinician &amp; Group Surveys: Sampling Guidelines and Protocols (Document No. 1033),” available here</w:t>
      </w:r>
      <w:r w:rsidRPr="001A53FC">
        <w:t xml:space="preserve">: </w:t>
      </w:r>
      <w:hyperlink r:id="rId2" w:history="1">
        <w:r w:rsidRPr="00FF58F8">
          <w:rPr>
            <w:rStyle w:val="Hyperlink"/>
            <w:noProof w:val="0"/>
          </w:rPr>
          <w:t>Fielding the CAHPS Clinician &amp; Group Surveys: Sampling Guidelines and Protocols (Document No. 1033)</w:t>
        </w:r>
      </w:hyperlink>
      <w:r w:rsidRPr="001A53FC">
        <w:t xml:space="preserve">. </w:t>
      </w:r>
    </w:p>
  </w:footnote>
  <w:footnote w:id="11">
    <w:p w14:paraId="796B8FFC" w14:textId="77777777" w:rsidR="00F848A9" w:rsidRDefault="00F848A9" w:rsidP="00743E6A">
      <w:pPr>
        <w:pStyle w:val="FootnoteText"/>
      </w:pPr>
      <w:r>
        <w:rPr>
          <w:rStyle w:val="FootnoteReference"/>
        </w:rPr>
        <w:footnoteRef/>
      </w:r>
      <w:r>
        <w:t xml:space="preserve"> Nunnally JC &amp; Bernstein IH (1994). </w:t>
      </w:r>
      <w:r w:rsidRPr="00E41506">
        <w:rPr>
          <w:i/>
        </w:rPr>
        <w:t xml:space="preserve">Psychometric </w:t>
      </w:r>
      <w:r>
        <w:rPr>
          <w:i/>
        </w:rPr>
        <w:t>t</w:t>
      </w:r>
      <w:r w:rsidRPr="00E41506">
        <w:rPr>
          <w:i/>
        </w:rPr>
        <w:t>heory (3</w:t>
      </w:r>
      <w:r w:rsidRPr="00E41506">
        <w:rPr>
          <w:i/>
          <w:vertAlign w:val="superscript"/>
        </w:rPr>
        <w:t>rd</w:t>
      </w:r>
      <w:r w:rsidRPr="00E41506">
        <w:rPr>
          <w:i/>
        </w:rPr>
        <w:t xml:space="preserve"> Edition).</w:t>
      </w:r>
      <w:r>
        <w:t xml:space="preserve"> New York:  McGraw-Hill, Inc.</w:t>
      </w:r>
    </w:p>
  </w:footnote>
  <w:footnote w:id="12">
    <w:p w14:paraId="796B8FFD" w14:textId="77777777" w:rsidR="00F848A9" w:rsidRDefault="00F848A9" w:rsidP="00743E6A">
      <w:pPr>
        <w:pStyle w:val="FootnoteText"/>
      </w:pPr>
      <w:r>
        <w:rPr>
          <w:rStyle w:val="FootnoteReference"/>
        </w:rPr>
        <w:footnoteRef/>
      </w:r>
      <w:r>
        <w:t xml:space="preserve"> Stevens J (1992).  </w:t>
      </w:r>
      <w:r w:rsidRPr="00E41506">
        <w:rPr>
          <w:i/>
        </w:rPr>
        <w:t>Applied multivariate statistics for the social sciences (2</w:t>
      </w:r>
      <w:r w:rsidRPr="00E41506">
        <w:rPr>
          <w:i/>
          <w:vertAlign w:val="superscript"/>
        </w:rPr>
        <w:t>nd</w:t>
      </w:r>
      <w:r w:rsidRPr="00E41506">
        <w:rPr>
          <w:i/>
        </w:rPr>
        <w:t xml:space="preserve"> Edition).</w:t>
      </w:r>
      <w:r>
        <w:t xml:space="preserve"> Hillsdale, NJ:  Lawrence Erlbaum Associates, Publishers.</w:t>
      </w:r>
    </w:p>
  </w:footnote>
  <w:footnote w:id="13">
    <w:p w14:paraId="0E84D29A" w14:textId="77777777" w:rsidR="00F848A9" w:rsidRDefault="00F848A9" w:rsidP="00754416">
      <w:pPr>
        <w:pStyle w:val="FootnoteText"/>
      </w:pPr>
      <w:r>
        <w:rPr>
          <w:rStyle w:val="FootnoteReference"/>
        </w:rPr>
        <w:footnoteRef/>
      </w:r>
      <w:r>
        <w:t xml:space="preserve"> For health plans, CAHPS recommends a target of 300 completed suveys per plan with a</w:t>
      </w:r>
      <w:r w:rsidRPr="0054491C">
        <w:t xml:space="preserve"> </w:t>
      </w:r>
      <w:r>
        <w:t>minimum of 100 for reporting. See p. 5 in the document “Fielding the CAHPS® Health Plan Survey 4.0: Commercial Version,” Document No. 13b, available here:</w:t>
      </w:r>
    </w:p>
    <w:p w14:paraId="796B9000" w14:textId="2F211869" w:rsidR="00F848A9" w:rsidRDefault="003A3A16" w:rsidP="00754416">
      <w:pPr>
        <w:pStyle w:val="FootnoteText"/>
      </w:pPr>
      <w:hyperlink r:id="rId3" w:history="1">
        <w:r w:rsidR="00F848A9">
          <w:rPr>
            <w:rStyle w:val="Hyperlink"/>
          </w:rPr>
          <w:t>Fielding the CAHPS® Health Plan Survey 4.0: Commercial Version</w:t>
        </w:r>
      </w:hyperlink>
      <w:r w:rsidR="00F848A9">
        <w:t xml:space="preserve">, and p. 65 in the document “Instructions for Analyzing Data from CAHPS® Surveys: Using the CAHPS Analysis Program Version 4.1,” Document No. 2015,  updated on 04/02/2012; available here: </w:t>
      </w:r>
    </w:p>
    <w:p w14:paraId="796B9001" w14:textId="0BF57903" w:rsidR="00F848A9" w:rsidRDefault="003A3A16" w:rsidP="00915ACC">
      <w:pPr>
        <w:pStyle w:val="FootnoteText"/>
      </w:pPr>
      <w:hyperlink w:history="1"/>
      <w:r w:rsidR="00F848A9" w:rsidRPr="001A53FC">
        <w:t xml:space="preserve"> </w:t>
      </w:r>
      <w:hyperlink r:id="rId4" w:history="1">
        <w:r w:rsidR="00F848A9">
          <w:rPr>
            <w:rStyle w:val="Hyperlink"/>
          </w:rPr>
          <w:t>Instructions for Analyzing Data from CAHPS® Surveys: Using the CAHPS Analysis Program Version 4.1</w:t>
        </w:r>
      </w:hyperlink>
      <w:r w:rsidR="00F848A9">
        <w:t>.  For clinician groups, CAHPS recommends 300 completed surveys per group. See p. 7 in the document, “Fielding the CAHPS Clinician &amp; Group Surveys: Sampling Guidelines and Protocols,”  Document No. 1033, updated on 09/01/2011; available here:</w:t>
      </w:r>
    </w:p>
    <w:p w14:paraId="796B9002" w14:textId="6330217C" w:rsidR="00F848A9" w:rsidRDefault="00F848A9">
      <w:pPr>
        <w:pStyle w:val="FootnoteText"/>
      </w:pPr>
      <w:r>
        <w:t xml:space="preserve"> </w:t>
      </w:r>
      <w:hyperlink r:id="rId5" w:history="1">
        <w:r>
          <w:rPr>
            <w:rStyle w:val="Hyperlink"/>
          </w:rPr>
          <w:t>Fielding the CAHPS Clinician &amp; Group Surveys: Sampling Guidelines and Protocols</w:t>
        </w:r>
      </w:hyperlink>
      <w:r>
        <w:t xml:space="preserve">.  </w:t>
      </w:r>
    </w:p>
  </w:footnote>
  <w:footnote w:id="14">
    <w:p w14:paraId="3D1BB4C9" w14:textId="55650AF0" w:rsidR="00F848A9" w:rsidRPr="000B3837" w:rsidRDefault="00F848A9" w:rsidP="00D2488F">
      <w:pPr>
        <w:pStyle w:val="FootnoteText"/>
        <w:rPr>
          <w:rFonts w:cs="Times New Roman"/>
        </w:rPr>
      </w:pPr>
      <w:r w:rsidRPr="000B3837">
        <w:rPr>
          <w:rStyle w:val="FootnoteReference"/>
          <w:rFonts w:cs="Times New Roman"/>
        </w:rPr>
        <w:footnoteRef/>
      </w:r>
      <w:r w:rsidRPr="000B3837">
        <w:rPr>
          <w:rFonts w:cs="Times New Roman"/>
        </w:rPr>
        <w:t xml:space="preserve"> The item-level response rate indicates the proportion of respondents who provided a usable response to a given item or composite. Composite-level response rates can be higher than item item-level response rates because a composite is scored for any respondent who provided a response to at least one item in the composite. In section 1.1.2.1, we indicated that we needed a minimum of 10 complete responses for each assessment item that was to be used in the psychometric analysis. We inflated this number to 15 based on assuming an average item-level response rate of 67% to account for missing data (10/0.67 = 15). Responses can be missing for two reasons: 1) the respondent skipped the item because it was not applicable to them based on their response to a screener question (legitimate skip), and 2) the respondent did not provide a response to the question, even though it applied to them (non-response). The observed rate of legitimate skips in the psychometric test was higher than we had assumed it would be. </w:t>
      </w:r>
    </w:p>
  </w:footnote>
  <w:footnote w:id="15">
    <w:p w14:paraId="796B9004" w14:textId="77777777" w:rsidR="00F848A9" w:rsidRDefault="00F848A9" w:rsidP="0067323B">
      <w:pPr>
        <w:pStyle w:val="FootnoteText"/>
        <w:ind w:right="-144"/>
      </w:pPr>
      <w:r>
        <w:rPr>
          <w:rStyle w:val="FootnoteReference"/>
        </w:rPr>
        <w:footnoteRef/>
      </w:r>
      <w:r>
        <w:t xml:space="preserve"> In practice, this test is conducted using a Satterthwaite unpooled </w:t>
      </w:r>
      <w:r w:rsidRPr="00AA1D08">
        <w:rPr>
          <w:i/>
        </w:rPr>
        <w:t>t</w:t>
      </w:r>
      <w:r>
        <w:t>-test on the mean difference, which accounts for unequal variances. We reproduced the analyses presented in Exhibit B3 using this test and specifying different variances for the single entity variance and the pooled variance. When the single entity variance is smaller than the pooled variance, the sample size required to detect mean differences of a particular magnitude tends to decrease. When the single entity variance is larger than the pooled variance, the sample size required tends to increase. However, the sample size requirements are still overwhelmingly determined by upper limit of either variance, regardless of how unequal they are. The impact on the estimated number of completes associated with the mean differences and variances presented in the exhibit was negligible.</w:t>
      </w:r>
    </w:p>
  </w:footnote>
  <w:footnote w:id="16">
    <w:p w14:paraId="796B9005" w14:textId="4BA7D59C" w:rsidR="00F848A9" w:rsidRDefault="00F848A9" w:rsidP="000D0EFB">
      <w:pPr>
        <w:pStyle w:val="FootnoteText"/>
      </w:pPr>
      <w:r>
        <w:rPr>
          <w:rStyle w:val="FootnoteReference"/>
        </w:rPr>
        <w:footnoteRef/>
      </w:r>
      <w:r>
        <w:t xml:space="preserve"> Results used for input to this power analysis were derived from a series of one-way analyses of variance (ANOVA) of CAHPS data using the entity as a single predictor and composite scores as outcomes. The square root of the mean square error (Root MSE) represents the total unexplained, or residual (within-entity), variance after removing the portion of variance accounted for by the entities (the explained, or between-entity, variance) from the total variance.  See pp. 63-65 of the document “Instructions for Analyzing Data from CAHPS Surveys (Document No. 2015)” available here: </w:t>
      </w:r>
      <w:hyperlink r:id="rId6" w:history="1">
        <w:r>
          <w:rPr>
            <w:rStyle w:val="Hyperlink"/>
            <w:rFonts w:eastAsiaTheme="majorEastAsia"/>
          </w:rPr>
          <w:t>Instructions for Analyzing Data from CAHPS Surveys (Document No. 2015)</w:t>
        </w:r>
      </w:hyperlink>
      <w:r>
        <w:t xml:space="preserve">, for a discussion of star ratings and examples of different effect sizes obtained with different sample sizes. </w:t>
      </w:r>
    </w:p>
  </w:footnote>
  <w:footnote w:id="17">
    <w:p w14:paraId="796B9006" w14:textId="77777777" w:rsidR="00F848A9" w:rsidRDefault="00F848A9" w:rsidP="00B4055F">
      <w:pPr>
        <w:pStyle w:val="FootnoteText"/>
      </w:pPr>
      <w:r>
        <w:rPr>
          <w:rStyle w:val="FootnoteReference"/>
        </w:rPr>
        <w:footnoteRef/>
      </w:r>
      <w:r>
        <w:t xml:space="preserve"> Note: the definition of a Qualified Health Plan</w:t>
      </w:r>
      <w:r w:rsidRPr="00FB2EF7">
        <w:t xml:space="preserve"> includes </w:t>
      </w:r>
      <w:r>
        <w:t xml:space="preserve">any </w:t>
      </w:r>
      <w:r w:rsidRPr="00FB2EF7">
        <w:t xml:space="preserve">health plan offered outside the Exchange </w:t>
      </w:r>
      <w:r>
        <w:t>by an issuer that is the same as a plan offered i</w:t>
      </w:r>
      <w:r w:rsidRPr="00FB2EF7">
        <w:t>nside the Exchange</w:t>
      </w:r>
      <w:r>
        <w:t>. To be the “same plan” means that the health plan offered outside the Exchange has identical benefits, premium, cost-sharing structure, provider network, and service area as the QHP offered inside the Exchange. This reflects the fact that some issuers are enrolling persons in the same plan outside the Marketplace insfrastructure as well as through the Marketplace. These will mainly be persons who know that their income exceeds the maximum that would qualify for the Advance Payment Tax Credit wihtout going through the Marketplace and, thus, enroll directly with the issuer. They constitute part of the population  enrolled in the QHP, because the plan is identical. In order to represent the entire population of the QHP, they will be eligible to be sampled.</w:t>
      </w:r>
    </w:p>
  </w:footnote>
  <w:footnote w:id="18">
    <w:p w14:paraId="796B9007" w14:textId="77777777" w:rsidR="00F848A9" w:rsidRDefault="00F848A9" w:rsidP="00F9478A">
      <w:pPr>
        <w:pStyle w:val="FootnoteText"/>
      </w:pPr>
      <w:r>
        <w:rPr>
          <w:rStyle w:val="FootnoteReference"/>
        </w:rPr>
        <w:footnoteRef/>
      </w:r>
      <w:r>
        <w:t xml:space="preserve"> See p. 65 in the document “Instructions for Analyzing Data from CAHPS® Surveys: Using the CAHPS Analysis Program Version 4.1,” Document No. 2015,  updated on 04/02/2012; available here: </w:t>
      </w:r>
    </w:p>
    <w:p w14:paraId="796B9008" w14:textId="0FA25CA6" w:rsidR="00F848A9" w:rsidRDefault="003A3A16" w:rsidP="00F9478A">
      <w:pPr>
        <w:pStyle w:val="FootnoteText"/>
      </w:pPr>
      <w:hyperlink r:id="rId7" w:history="1">
        <w:r w:rsidR="00F848A9">
          <w:rPr>
            <w:rStyle w:val="Hyperlink"/>
            <w:rFonts w:eastAsiaTheme="majorEastAsia"/>
          </w:rPr>
          <w:t>Instructions for Analyzing Data from CAHPS® Surveys: Using the CAHPS Analysis Program Version 4.1</w:t>
        </w:r>
      </w:hyperlink>
      <w:r w:rsidR="00F848A9">
        <w:t xml:space="preserve"> .  </w:t>
      </w:r>
    </w:p>
  </w:footnote>
  <w:footnote w:id="19">
    <w:p w14:paraId="729F34C3" w14:textId="69A9D791" w:rsidR="00F848A9" w:rsidRDefault="00F848A9" w:rsidP="00947401">
      <w:pPr>
        <w:pStyle w:val="FootnoteText"/>
      </w:pPr>
      <w:r>
        <w:rPr>
          <w:rStyle w:val="FootnoteReference"/>
        </w:rPr>
        <w:footnoteRef/>
      </w:r>
      <w:r>
        <w:t xml:space="preserve"> Note that we used a more conservative effectuation rate assumption at this stage of sampling. CMS assumed a conservative 67% based on the best information available at the time. Once the 30 SIPs had been finalized, we did not want to go back and resample based on including an additional 5 RUs that would have met the lower requirement of 600 survey-eligible enrollees that results from applying an 80% effectuation rate assumption.</w:t>
      </w:r>
    </w:p>
  </w:footnote>
  <w:footnote w:id="20">
    <w:p w14:paraId="796B9009" w14:textId="77777777" w:rsidR="00F848A9" w:rsidRDefault="00F848A9" w:rsidP="002018AD">
      <w:pPr>
        <w:pStyle w:val="FootnoteText"/>
      </w:pPr>
      <w:r>
        <w:rPr>
          <w:rStyle w:val="FootnoteReference"/>
        </w:rPr>
        <w:footnoteRef/>
      </w:r>
      <w:r>
        <w:t xml:space="preserve"> As described in Document No. 13b in the CAHPS Health Plan Reporting Kit, which is titled “Fielding the CAHPS Health Plan Survey: Commercial Version.”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B8FE7" w14:textId="77777777" w:rsidR="00F848A9" w:rsidRDefault="00F848A9" w:rsidP="005A2677">
    <w:pPr>
      <w:pStyle w:val="Header"/>
      <w:pBdr>
        <w:bottom w:val="single" w:sz="4" w:space="1" w:color="000000" w:themeColor="text1"/>
      </w:pBdr>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B8FEB" w14:textId="77777777" w:rsidR="00F848A9" w:rsidRDefault="00F848A9" w:rsidP="005A2677">
    <w:pPr>
      <w:pStyle w:val="Header"/>
      <w:pBdr>
        <w:bottom w:val="single" w:sz="4" w:space="1" w:color="000000" w:themeColor="text1"/>
      </w:pBdr>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B8FEF" w14:textId="77777777" w:rsidR="00F848A9" w:rsidRDefault="00F848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20CE8"/>
    <w:multiLevelType w:val="hybridMultilevel"/>
    <w:tmpl w:val="298E8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136DB9"/>
    <w:multiLevelType w:val="hybridMultilevel"/>
    <w:tmpl w:val="30FA5CE6"/>
    <w:lvl w:ilvl="0" w:tplc="74BE2A70">
      <w:start w:val="1"/>
      <w:numFmt w:val="bullet"/>
      <w:pStyle w:val="PBullet3"/>
      <w:lvlText w:val=""/>
      <w:lvlJc w:val="left"/>
      <w:pPr>
        <w:ind w:left="1080" w:hanging="360"/>
      </w:pPr>
      <w:rPr>
        <w:rFonts w:ascii="Wingdings" w:hAnsi="Wingdings" w:hint="default"/>
        <w:color w:val="002C5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1CE7BFD"/>
    <w:multiLevelType w:val="hybridMultilevel"/>
    <w:tmpl w:val="F25EC5B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6983459"/>
    <w:multiLevelType w:val="hybridMultilevel"/>
    <w:tmpl w:val="B7AE0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1B31AB"/>
    <w:multiLevelType w:val="hybridMultilevel"/>
    <w:tmpl w:val="44026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9B53AF"/>
    <w:multiLevelType w:val="hybridMultilevel"/>
    <w:tmpl w:val="914465B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FA1D7B"/>
    <w:multiLevelType w:val="hybridMultilevel"/>
    <w:tmpl w:val="24D46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386FDA"/>
    <w:multiLevelType w:val="hybridMultilevel"/>
    <w:tmpl w:val="E6F01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6B4143"/>
    <w:multiLevelType w:val="hybridMultilevel"/>
    <w:tmpl w:val="B7AE09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BC87827"/>
    <w:multiLevelType w:val="hybridMultilevel"/>
    <w:tmpl w:val="65F26CFC"/>
    <w:lvl w:ilvl="0" w:tplc="04090017">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0">
    <w:nsid w:val="1EF850D7"/>
    <w:multiLevelType w:val="hybridMultilevel"/>
    <w:tmpl w:val="5E3474F2"/>
    <w:lvl w:ilvl="0" w:tplc="FEB06892">
      <w:start w:val="1"/>
      <w:numFmt w:val="decimal"/>
      <w:pStyle w:val="PNumberingLast"/>
      <w:lvlText w:val="%1."/>
      <w:lvlJc w:val="left"/>
      <w:pPr>
        <w:tabs>
          <w:tab w:val="num" w:pos="360"/>
        </w:tabs>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1FB23A3D"/>
    <w:multiLevelType w:val="hybridMultilevel"/>
    <w:tmpl w:val="9C6EA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A0672A"/>
    <w:multiLevelType w:val="hybridMultilevel"/>
    <w:tmpl w:val="07024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F02A8B"/>
    <w:multiLevelType w:val="hybridMultilevel"/>
    <w:tmpl w:val="80FE2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252CF9"/>
    <w:multiLevelType w:val="multilevel"/>
    <w:tmpl w:val="1DE2C05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B46489B"/>
    <w:multiLevelType w:val="hybridMultilevel"/>
    <w:tmpl w:val="298E8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631354"/>
    <w:multiLevelType w:val="hybridMultilevel"/>
    <w:tmpl w:val="F536B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8D5CFD"/>
    <w:multiLevelType w:val="hybridMultilevel"/>
    <w:tmpl w:val="E73EDB62"/>
    <w:lvl w:ilvl="0" w:tplc="E174E27C">
      <w:start w:val="1"/>
      <w:numFmt w:val="decimal"/>
      <w:pStyle w:val="PNumbering"/>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A8467C"/>
    <w:multiLevelType w:val="multilevel"/>
    <w:tmpl w:val="1DE2C05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ACD02F2"/>
    <w:multiLevelType w:val="hybridMultilevel"/>
    <w:tmpl w:val="42D43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8705F3"/>
    <w:multiLevelType w:val="hybridMultilevel"/>
    <w:tmpl w:val="3E084570"/>
    <w:lvl w:ilvl="0" w:tplc="383E31F8">
      <w:numFmt w:val="bullet"/>
      <w:lvlText w:val="-"/>
      <w:lvlJc w:val="left"/>
      <w:pPr>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43141792"/>
    <w:multiLevelType w:val="hybridMultilevel"/>
    <w:tmpl w:val="454CE33C"/>
    <w:lvl w:ilvl="0" w:tplc="93E648EE">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2">
    <w:nsid w:val="445E1B35"/>
    <w:multiLevelType w:val="hybridMultilevel"/>
    <w:tmpl w:val="2B12C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AE541B"/>
    <w:multiLevelType w:val="hybridMultilevel"/>
    <w:tmpl w:val="298E8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6A6A2E"/>
    <w:multiLevelType w:val="hybridMultilevel"/>
    <w:tmpl w:val="ED9AD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4003F0"/>
    <w:multiLevelType w:val="hybridMultilevel"/>
    <w:tmpl w:val="90A476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D176A9"/>
    <w:multiLevelType w:val="hybridMultilevel"/>
    <w:tmpl w:val="181AE5EE"/>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7">
    <w:nsid w:val="4D5D3E93"/>
    <w:multiLevelType w:val="hybridMultilevel"/>
    <w:tmpl w:val="D2C452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F1513AC"/>
    <w:multiLevelType w:val="hybridMultilevel"/>
    <w:tmpl w:val="C9EACD2C"/>
    <w:lvl w:ilvl="0" w:tplc="97C27EC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FBD5478"/>
    <w:multiLevelType w:val="hybridMultilevel"/>
    <w:tmpl w:val="DA1A9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D4A29D0"/>
    <w:multiLevelType w:val="hybridMultilevel"/>
    <w:tmpl w:val="24D46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80468A"/>
    <w:multiLevelType w:val="hybridMultilevel"/>
    <w:tmpl w:val="5666110E"/>
    <w:lvl w:ilvl="0" w:tplc="C05E7E94">
      <w:start w:val="1"/>
      <w:numFmt w:val="bullet"/>
      <w:pStyle w:val="PBullet2"/>
      <w:lvlText w:val="–"/>
      <w:lvlJc w:val="left"/>
      <w:pPr>
        <w:ind w:left="720" w:hanging="360"/>
      </w:pPr>
      <w:rPr>
        <w:rFonts w:ascii="Times New Roman" w:hAnsi="Times New Roman" w:cs="Times New Roman" w:hint="default"/>
        <w:color w:val="002C5F"/>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5E0019E"/>
    <w:multiLevelType w:val="hybridMultilevel"/>
    <w:tmpl w:val="6AE8AE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61B6204"/>
    <w:multiLevelType w:val="hybridMultilevel"/>
    <w:tmpl w:val="F3C42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4768D1"/>
    <w:multiLevelType w:val="hybridMultilevel"/>
    <w:tmpl w:val="F030258A"/>
    <w:lvl w:ilvl="0" w:tplc="C986A044">
      <w:start w:val="1"/>
      <w:numFmt w:val="bullet"/>
      <w:pStyle w:val="PTableBullet1"/>
      <w:lvlText w:val=""/>
      <w:lvlJc w:val="left"/>
      <w:pPr>
        <w:tabs>
          <w:tab w:val="num" w:pos="720"/>
        </w:tabs>
        <w:ind w:left="720" w:hanging="360"/>
      </w:pPr>
      <w:rPr>
        <w:rFonts w:ascii="Symbol" w:hAnsi="Symbol" w:cs="Symbol" w:hint="default"/>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5">
    <w:nsid w:val="6E54541D"/>
    <w:multiLevelType w:val="hybridMultilevel"/>
    <w:tmpl w:val="0F745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E7A0F3C"/>
    <w:multiLevelType w:val="singleLevel"/>
    <w:tmpl w:val="FFF64E38"/>
    <w:lvl w:ilvl="0">
      <w:start w:val="1"/>
      <w:numFmt w:val="bullet"/>
      <w:pStyle w:val="PBullet"/>
      <w:lvlText w:val=""/>
      <w:lvlJc w:val="left"/>
      <w:pPr>
        <w:ind w:left="360" w:hanging="360"/>
      </w:pPr>
      <w:rPr>
        <w:rFonts w:ascii="Symbol" w:hAnsi="Symbol" w:hint="default"/>
        <w:color w:val="002C5F"/>
        <w:sz w:val="22"/>
        <w:szCs w:val="20"/>
      </w:rPr>
    </w:lvl>
  </w:abstractNum>
  <w:abstractNum w:abstractNumId="37">
    <w:nsid w:val="70581CB7"/>
    <w:multiLevelType w:val="hybridMultilevel"/>
    <w:tmpl w:val="B956B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70F545AF"/>
    <w:multiLevelType w:val="hybridMultilevel"/>
    <w:tmpl w:val="3A7E69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4C9069B"/>
    <w:multiLevelType w:val="multilevel"/>
    <w:tmpl w:val="1DE2C05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67D5959"/>
    <w:multiLevelType w:val="hybridMultilevel"/>
    <w:tmpl w:val="00AC44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A2D6677"/>
    <w:multiLevelType w:val="hybridMultilevel"/>
    <w:tmpl w:val="54722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A8C10E7"/>
    <w:multiLevelType w:val="hybridMultilevel"/>
    <w:tmpl w:val="31340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E3509A5"/>
    <w:multiLevelType w:val="hybridMultilevel"/>
    <w:tmpl w:val="41B080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DA326D"/>
    <w:multiLevelType w:val="hybridMultilevel"/>
    <w:tmpl w:val="61485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1"/>
  </w:num>
  <w:num w:numId="3">
    <w:abstractNumId w:val="35"/>
  </w:num>
  <w:num w:numId="4">
    <w:abstractNumId w:val="2"/>
  </w:num>
  <w:num w:numId="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3"/>
  </w:num>
  <w:num w:numId="7">
    <w:abstractNumId w:val="41"/>
  </w:num>
  <w:num w:numId="8">
    <w:abstractNumId w:val="36"/>
  </w:num>
  <w:num w:numId="9">
    <w:abstractNumId w:val="31"/>
  </w:num>
  <w:num w:numId="10">
    <w:abstractNumId w:val="1"/>
  </w:num>
  <w:num w:numId="11">
    <w:abstractNumId w:val="36"/>
  </w:num>
  <w:num w:numId="12">
    <w:abstractNumId w:val="10"/>
    <w:lvlOverride w:ilvl="0">
      <w:startOverride w:val="1"/>
    </w:lvlOverride>
  </w:num>
  <w:num w:numId="13">
    <w:abstractNumId w:val="10"/>
    <w:lvlOverride w:ilvl="0">
      <w:startOverride w:val="1"/>
    </w:lvlOverride>
  </w:num>
  <w:num w:numId="14">
    <w:abstractNumId w:val="10"/>
    <w:lvlOverride w:ilvl="0">
      <w:startOverride w:val="1"/>
    </w:lvlOverride>
  </w:num>
  <w:num w:numId="15">
    <w:abstractNumId w:val="34"/>
  </w:num>
  <w:num w:numId="16">
    <w:abstractNumId w:val="13"/>
  </w:num>
  <w:num w:numId="17">
    <w:abstractNumId w:val="7"/>
  </w:num>
  <w:num w:numId="18">
    <w:abstractNumId w:val="37"/>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4"/>
  </w:num>
  <w:num w:numId="23">
    <w:abstractNumId w:val="40"/>
  </w:num>
  <w:num w:numId="24">
    <w:abstractNumId w:val="10"/>
  </w:num>
  <w:num w:numId="25">
    <w:abstractNumId w:val="3"/>
  </w:num>
  <w:num w:numId="26">
    <w:abstractNumId w:val="10"/>
    <w:lvlOverride w:ilvl="0">
      <w:startOverride w:val="1"/>
    </w:lvlOverride>
  </w:num>
  <w:num w:numId="27">
    <w:abstractNumId w:val="10"/>
    <w:lvlOverride w:ilvl="0">
      <w:startOverride w:val="1"/>
    </w:lvlOverride>
  </w:num>
  <w:num w:numId="28">
    <w:abstractNumId w:val="17"/>
  </w:num>
  <w:num w:numId="29">
    <w:abstractNumId w:val="17"/>
    <w:lvlOverride w:ilvl="0">
      <w:startOverride w:val="1"/>
    </w:lvlOverride>
  </w:num>
  <w:num w:numId="30">
    <w:abstractNumId w:val="17"/>
    <w:lvlOverride w:ilvl="0">
      <w:startOverride w:val="1"/>
    </w:lvlOverride>
  </w:num>
  <w:num w:numId="31">
    <w:abstractNumId w:val="17"/>
    <w:lvlOverride w:ilvl="0">
      <w:startOverride w:val="1"/>
    </w:lvlOverride>
  </w:num>
  <w:num w:numId="32">
    <w:abstractNumId w:val="42"/>
  </w:num>
  <w:num w:numId="33">
    <w:abstractNumId w:val="15"/>
  </w:num>
  <w:num w:numId="34">
    <w:abstractNumId w:val="0"/>
  </w:num>
  <w:num w:numId="35">
    <w:abstractNumId w:val="38"/>
  </w:num>
  <w:num w:numId="36">
    <w:abstractNumId w:val="16"/>
  </w:num>
  <w:num w:numId="37">
    <w:abstractNumId w:val="22"/>
  </w:num>
  <w:num w:numId="38">
    <w:abstractNumId w:val="24"/>
  </w:num>
  <w:num w:numId="39">
    <w:abstractNumId w:val="30"/>
  </w:num>
  <w:num w:numId="40">
    <w:abstractNumId w:val="28"/>
  </w:num>
  <w:num w:numId="41">
    <w:abstractNumId w:val="33"/>
  </w:num>
  <w:num w:numId="42">
    <w:abstractNumId w:val="25"/>
  </w:num>
  <w:num w:numId="43">
    <w:abstractNumId w:val="36"/>
  </w:num>
  <w:num w:numId="44">
    <w:abstractNumId w:val="17"/>
  </w:num>
  <w:num w:numId="45">
    <w:abstractNumId w:val="17"/>
  </w:num>
  <w:num w:numId="46">
    <w:abstractNumId w:val="32"/>
  </w:num>
  <w:num w:numId="47">
    <w:abstractNumId w:val="27"/>
  </w:num>
  <w:num w:numId="48">
    <w:abstractNumId w:val="36"/>
  </w:num>
  <w:num w:numId="4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4"/>
  </w:num>
  <w:num w:numId="51">
    <w:abstractNumId w:val="18"/>
  </w:num>
  <w:num w:numId="52">
    <w:abstractNumId w:val="39"/>
  </w:num>
  <w:num w:numId="53">
    <w:abstractNumId w:val="23"/>
  </w:num>
  <w:num w:numId="54">
    <w:abstractNumId w:val="6"/>
  </w:num>
  <w:num w:numId="55">
    <w:abstractNumId w:val="26"/>
  </w:num>
  <w:num w:numId="56">
    <w:abstractNumId w:val="11"/>
  </w:num>
  <w:num w:numId="57">
    <w:abstractNumId w:val="4"/>
  </w:num>
  <w:num w:numId="58">
    <w:abstractNumId w:val="19"/>
  </w:num>
  <w:num w:numId="59">
    <w:abstractNumId w:val="12"/>
  </w:num>
  <w:num w:numId="60">
    <w:abstractNumId w:val="29"/>
  </w:num>
  <w:numIdMacAtCleanup w:val="5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rwell, Daniel">
    <w15:presenceInfo w15:providerId="AD" w15:userId="S-1-5-21-1472932569-214068005-926709054-595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46339CF-E70D-45E8-A0D6-095E3C296225}"/>
    <w:docVar w:name="dgnword-eventsink" w:val="86329400"/>
  </w:docVars>
  <w:rsids>
    <w:rsidRoot w:val="000F3AF4"/>
    <w:rsid w:val="000062FD"/>
    <w:rsid w:val="000107C3"/>
    <w:rsid w:val="00013863"/>
    <w:rsid w:val="00013902"/>
    <w:rsid w:val="0002081D"/>
    <w:rsid w:val="0002329D"/>
    <w:rsid w:val="000235BF"/>
    <w:rsid w:val="0002449A"/>
    <w:rsid w:val="00025491"/>
    <w:rsid w:val="00026F42"/>
    <w:rsid w:val="00030635"/>
    <w:rsid w:val="00032024"/>
    <w:rsid w:val="00032167"/>
    <w:rsid w:val="00032536"/>
    <w:rsid w:val="00032D26"/>
    <w:rsid w:val="00033444"/>
    <w:rsid w:val="00036EC2"/>
    <w:rsid w:val="0004078A"/>
    <w:rsid w:val="00040E5F"/>
    <w:rsid w:val="000449E9"/>
    <w:rsid w:val="00047EC0"/>
    <w:rsid w:val="00050261"/>
    <w:rsid w:val="00050F30"/>
    <w:rsid w:val="000518F4"/>
    <w:rsid w:val="00053E33"/>
    <w:rsid w:val="000606EB"/>
    <w:rsid w:val="00061691"/>
    <w:rsid w:val="0006216A"/>
    <w:rsid w:val="00062CF8"/>
    <w:rsid w:val="00066100"/>
    <w:rsid w:val="000675E5"/>
    <w:rsid w:val="00072C48"/>
    <w:rsid w:val="00073BA4"/>
    <w:rsid w:val="000761A2"/>
    <w:rsid w:val="0007786D"/>
    <w:rsid w:val="00082698"/>
    <w:rsid w:val="00082735"/>
    <w:rsid w:val="00082A7F"/>
    <w:rsid w:val="00084283"/>
    <w:rsid w:val="00087006"/>
    <w:rsid w:val="0008729D"/>
    <w:rsid w:val="00090BD3"/>
    <w:rsid w:val="00092676"/>
    <w:rsid w:val="00096197"/>
    <w:rsid w:val="000A157C"/>
    <w:rsid w:val="000A4F1B"/>
    <w:rsid w:val="000B3259"/>
    <w:rsid w:val="000B44B7"/>
    <w:rsid w:val="000C15BE"/>
    <w:rsid w:val="000C5C1C"/>
    <w:rsid w:val="000C606A"/>
    <w:rsid w:val="000C7C35"/>
    <w:rsid w:val="000D05FE"/>
    <w:rsid w:val="000D0EE0"/>
    <w:rsid w:val="000D0EFB"/>
    <w:rsid w:val="000D137E"/>
    <w:rsid w:val="000D2535"/>
    <w:rsid w:val="000D4EF2"/>
    <w:rsid w:val="000D628F"/>
    <w:rsid w:val="000D6E7E"/>
    <w:rsid w:val="000D725B"/>
    <w:rsid w:val="000E08DA"/>
    <w:rsid w:val="000E0A34"/>
    <w:rsid w:val="000E0B9F"/>
    <w:rsid w:val="000E0E09"/>
    <w:rsid w:val="000E48EA"/>
    <w:rsid w:val="000E5EBE"/>
    <w:rsid w:val="000F099B"/>
    <w:rsid w:val="000F1134"/>
    <w:rsid w:val="000F3AF4"/>
    <w:rsid w:val="000F3E7F"/>
    <w:rsid w:val="000F3F6B"/>
    <w:rsid w:val="000F55C1"/>
    <w:rsid w:val="000F6E6D"/>
    <w:rsid w:val="00101960"/>
    <w:rsid w:val="00101D3E"/>
    <w:rsid w:val="001042EF"/>
    <w:rsid w:val="0011228D"/>
    <w:rsid w:val="0011252B"/>
    <w:rsid w:val="001130BB"/>
    <w:rsid w:val="00114DEB"/>
    <w:rsid w:val="001150A0"/>
    <w:rsid w:val="00117095"/>
    <w:rsid w:val="00120A98"/>
    <w:rsid w:val="00123BBA"/>
    <w:rsid w:val="001257F2"/>
    <w:rsid w:val="00130619"/>
    <w:rsid w:val="00132414"/>
    <w:rsid w:val="00132EB4"/>
    <w:rsid w:val="0013340D"/>
    <w:rsid w:val="00137349"/>
    <w:rsid w:val="00144044"/>
    <w:rsid w:val="0014491A"/>
    <w:rsid w:val="001449F4"/>
    <w:rsid w:val="00146343"/>
    <w:rsid w:val="0014657B"/>
    <w:rsid w:val="001472B0"/>
    <w:rsid w:val="00147B7E"/>
    <w:rsid w:val="00147D04"/>
    <w:rsid w:val="00151FE0"/>
    <w:rsid w:val="00152E8F"/>
    <w:rsid w:val="00160A56"/>
    <w:rsid w:val="0016113E"/>
    <w:rsid w:val="00163A1F"/>
    <w:rsid w:val="00165D39"/>
    <w:rsid w:val="0016702C"/>
    <w:rsid w:val="00171185"/>
    <w:rsid w:val="00171AB1"/>
    <w:rsid w:val="00174215"/>
    <w:rsid w:val="001761E8"/>
    <w:rsid w:val="0019030E"/>
    <w:rsid w:val="001926BF"/>
    <w:rsid w:val="00196AB4"/>
    <w:rsid w:val="001976BF"/>
    <w:rsid w:val="00197D66"/>
    <w:rsid w:val="001A1169"/>
    <w:rsid w:val="001A1E57"/>
    <w:rsid w:val="001A53FC"/>
    <w:rsid w:val="001A5476"/>
    <w:rsid w:val="001B2255"/>
    <w:rsid w:val="001B5859"/>
    <w:rsid w:val="001B5D2A"/>
    <w:rsid w:val="001B679E"/>
    <w:rsid w:val="001B7211"/>
    <w:rsid w:val="001C19D9"/>
    <w:rsid w:val="001C2075"/>
    <w:rsid w:val="001C2612"/>
    <w:rsid w:val="001C34AB"/>
    <w:rsid w:val="001C3CCC"/>
    <w:rsid w:val="001C5F44"/>
    <w:rsid w:val="001C600D"/>
    <w:rsid w:val="001C66D5"/>
    <w:rsid w:val="001D0C87"/>
    <w:rsid w:val="001D1910"/>
    <w:rsid w:val="001D3336"/>
    <w:rsid w:val="001D3763"/>
    <w:rsid w:val="001D476E"/>
    <w:rsid w:val="001D7407"/>
    <w:rsid w:val="001E32A1"/>
    <w:rsid w:val="001E5746"/>
    <w:rsid w:val="001E6FCC"/>
    <w:rsid w:val="001E78AE"/>
    <w:rsid w:val="001F129E"/>
    <w:rsid w:val="001F2818"/>
    <w:rsid w:val="001F2AA9"/>
    <w:rsid w:val="001F2B28"/>
    <w:rsid w:val="00200FA6"/>
    <w:rsid w:val="002018AD"/>
    <w:rsid w:val="00206D2D"/>
    <w:rsid w:val="0021149A"/>
    <w:rsid w:val="00212920"/>
    <w:rsid w:val="0021292F"/>
    <w:rsid w:val="00214005"/>
    <w:rsid w:val="00222A11"/>
    <w:rsid w:val="00223B0E"/>
    <w:rsid w:val="002255EA"/>
    <w:rsid w:val="002259C0"/>
    <w:rsid w:val="00225FB2"/>
    <w:rsid w:val="002263EF"/>
    <w:rsid w:val="00226859"/>
    <w:rsid w:val="002269D9"/>
    <w:rsid w:val="00233896"/>
    <w:rsid w:val="002340F9"/>
    <w:rsid w:val="00234EA1"/>
    <w:rsid w:val="00242442"/>
    <w:rsid w:val="002441EB"/>
    <w:rsid w:val="00245EEA"/>
    <w:rsid w:val="0024764C"/>
    <w:rsid w:val="002509E7"/>
    <w:rsid w:val="002517E4"/>
    <w:rsid w:val="00252D33"/>
    <w:rsid w:val="0025316C"/>
    <w:rsid w:val="00263DC4"/>
    <w:rsid w:val="00264EE0"/>
    <w:rsid w:val="0027402A"/>
    <w:rsid w:val="002744C4"/>
    <w:rsid w:val="002747C5"/>
    <w:rsid w:val="00275356"/>
    <w:rsid w:val="002759D2"/>
    <w:rsid w:val="00282843"/>
    <w:rsid w:val="00284719"/>
    <w:rsid w:val="00284EB5"/>
    <w:rsid w:val="00285CB0"/>
    <w:rsid w:val="00285D4F"/>
    <w:rsid w:val="00286484"/>
    <w:rsid w:val="00287369"/>
    <w:rsid w:val="0028798A"/>
    <w:rsid w:val="00290721"/>
    <w:rsid w:val="002909EC"/>
    <w:rsid w:val="0029758A"/>
    <w:rsid w:val="002A0948"/>
    <w:rsid w:val="002A0C86"/>
    <w:rsid w:val="002A301B"/>
    <w:rsid w:val="002A3614"/>
    <w:rsid w:val="002A4A17"/>
    <w:rsid w:val="002A5386"/>
    <w:rsid w:val="002A58FB"/>
    <w:rsid w:val="002A5D8C"/>
    <w:rsid w:val="002A702B"/>
    <w:rsid w:val="002A7E04"/>
    <w:rsid w:val="002B14A0"/>
    <w:rsid w:val="002B3933"/>
    <w:rsid w:val="002B4130"/>
    <w:rsid w:val="002B52F1"/>
    <w:rsid w:val="002B699E"/>
    <w:rsid w:val="002C2A45"/>
    <w:rsid w:val="002C43BA"/>
    <w:rsid w:val="002D237A"/>
    <w:rsid w:val="002D27CF"/>
    <w:rsid w:val="002D4A14"/>
    <w:rsid w:val="002D4FA0"/>
    <w:rsid w:val="002D531C"/>
    <w:rsid w:val="002D7AA3"/>
    <w:rsid w:val="002E0C79"/>
    <w:rsid w:val="002E2D40"/>
    <w:rsid w:val="002E3305"/>
    <w:rsid w:val="002E6E23"/>
    <w:rsid w:val="002E7718"/>
    <w:rsid w:val="002E7BE2"/>
    <w:rsid w:val="002F0388"/>
    <w:rsid w:val="002F35EE"/>
    <w:rsid w:val="002F700B"/>
    <w:rsid w:val="002F73D0"/>
    <w:rsid w:val="002F7844"/>
    <w:rsid w:val="002F7A45"/>
    <w:rsid w:val="00301C79"/>
    <w:rsid w:val="00302D5A"/>
    <w:rsid w:val="003032B8"/>
    <w:rsid w:val="00304BCE"/>
    <w:rsid w:val="0030550A"/>
    <w:rsid w:val="003058EF"/>
    <w:rsid w:val="00305D96"/>
    <w:rsid w:val="00311EF9"/>
    <w:rsid w:val="003165E9"/>
    <w:rsid w:val="00316D06"/>
    <w:rsid w:val="00322390"/>
    <w:rsid w:val="003238D7"/>
    <w:rsid w:val="00326673"/>
    <w:rsid w:val="00326BA3"/>
    <w:rsid w:val="00327D9B"/>
    <w:rsid w:val="003307CD"/>
    <w:rsid w:val="00331DE7"/>
    <w:rsid w:val="0033253D"/>
    <w:rsid w:val="00333A68"/>
    <w:rsid w:val="00335BE7"/>
    <w:rsid w:val="003362E5"/>
    <w:rsid w:val="00340CB8"/>
    <w:rsid w:val="00341CF4"/>
    <w:rsid w:val="00346AD5"/>
    <w:rsid w:val="00347573"/>
    <w:rsid w:val="00350B2F"/>
    <w:rsid w:val="003536FD"/>
    <w:rsid w:val="0035391B"/>
    <w:rsid w:val="00360859"/>
    <w:rsid w:val="00361D7E"/>
    <w:rsid w:val="00363B87"/>
    <w:rsid w:val="0036404E"/>
    <w:rsid w:val="0036541C"/>
    <w:rsid w:val="003659A4"/>
    <w:rsid w:val="003661B1"/>
    <w:rsid w:val="003666FB"/>
    <w:rsid w:val="00370801"/>
    <w:rsid w:val="00374F0D"/>
    <w:rsid w:val="00375AA9"/>
    <w:rsid w:val="00376EF9"/>
    <w:rsid w:val="00381CA0"/>
    <w:rsid w:val="00382B29"/>
    <w:rsid w:val="00383116"/>
    <w:rsid w:val="003837AA"/>
    <w:rsid w:val="00385493"/>
    <w:rsid w:val="003877B2"/>
    <w:rsid w:val="00390D08"/>
    <w:rsid w:val="00390ED9"/>
    <w:rsid w:val="0039173B"/>
    <w:rsid w:val="00392189"/>
    <w:rsid w:val="00394CB9"/>
    <w:rsid w:val="0039527F"/>
    <w:rsid w:val="00397A32"/>
    <w:rsid w:val="003A226D"/>
    <w:rsid w:val="003A3A16"/>
    <w:rsid w:val="003A413A"/>
    <w:rsid w:val="003A4D97"/>
    <w:rsid w:val="003A6D86"/>
    <w:rsid w:val="003B1CDF"/>
    <w:rsid w:val="003B29AD"/>
    <w:rsid w:val="003B2E12"/>
    <w:rsid w:val="003B471B"/>
    <w:rsid w:val="003B7DEA"/>
    <w:rsid w:val="003C0347"/>
    <w:rsid w:val="003C4CAC"/>
    <w:rsid w:val="003C5649"/>
    <w:rsid w:val="003C7DA6"/>
    <w:rsid w:val="003D182F"/>
    <w:rsid w:val="003D3CB8"/>
    <w:rsid w:val="003D477E"/>
    <w:rsid w:val="003D6B10"/>
    <w:rsid w:val="003D7549"/>
    <w:rsid w:val="003E0215"/>
    <w:rsid w:val="003E1E5B"/>
    <w:rsid w:val="003E1FED"/>
    <w:rsid w:val="003E209C"/>
    <w:rsid w:val="003E4E12"/>
    <w:rsid w:val="003E7704"/>
    <w:rsid w:val="003F0B08"/>
    <w:rsid w:val="003F4B64"/>
    <w:rsid w:val="003F5896"/>
    <w:rsid w:val="003F5CDF"/>
    <w:rsid w:val="004027BB"/>
    <w:rsid w:val="00404A77"/>
    <w:rsid w:val="004055B8"/>
    <w:rsid w:val="00407B46"/>
    <w:rsid w:val="004103D4"/>
    <w:rsid w:val="00412546"/>
    <w:rsid w:val="00412675"/>
    <w:rsid w:val="00413AD8"/>
    <w:rsid w:val="00417583"/>
    <w:rsid w:val="0042012E"/>
    <w:rsid w:val="004209B0"/>
    <w:rsid w:val="004212FC"/>
    <w:rsid w:val="00421E4A"/>
    <w:rsid w:val="00425862"/>
    <w:rsid w:val="004265E7"/>
    <w:rsid w:val="00426FF5"/>
    <w:rsid w:val="00431038"/>
    <w:rsid w:val="00432D59"/>
    <w:rsid w:val="004334EC"/>
    <w:rsid w:val="00441B89"/>
    <w:rsid w:val="004444CC"/>
    <w:rsid w:val="00445509"/>
    <w:rsid w:val="00446985"/>
    <w:rsid w:val="004471D6"/>
    <w:rsid w:val="004474F3"/>
    <w:rsid w:val="0045248F"/>
    <w:rsid w:val="004524CA"/>
    <w:rsid w:val="00456508"/>
    <w:rsid w:val="00456FA5"/>
    <w:rsid w:val="00460867"/>
    <w:rsid w:val="00462D49"/>
    <w:rsid w:val="00463CF4"/>
    <w:rsid w:val="0046441E"/>
    <w:rsid w:val="00464A1E"/>
    <w:rsid w:val="00464DED"/>
    <w:rsid w:val="00465090"/>
    <w:rsid w:val="00465E69"/>
    <w:rsid w:val="00470891"/>
    <w:rsid w:val="00472916"/>
    <w:rsid w:val="00473F16"/>
    <w:rsid w:val="0047568F"/>
    <w:rsid w:val="00480149"/>
    <w:rsid w:val="004802FE"/>
    <w:rsid w:val="004825F0"/>
    <w:rsid w:val="00482F89"/>
    <w:rsid w:val="00484D50"/>
    <w:rsid w:val="00486C37"/>
    <w:rsid w:val="004926D2"/>
    <w:rsid w:val="0049501C"/>
    <w:rsid w:val="004962AD"/>
    <w:rsid w:val="00497A83"/>
    <w:rsid w:val="004A397D"/>
    <w:rsid w:val="004A5A0D"/>
    <w:rsid w:val="004A60F6"/>
    <w:rsid w:val="004A68BF"/>
    <w:rsid w:val="004B0149"/>
    <w:rsid w:val="004B17C7"/>
    <w:rsid w:val="004B29F3"/>
    <w:rsid w:val="004B2E43"/>
    <w:rsid w:val="004B41B8"/>
    <w:rsid w:val="004B44E8"/>
    <w:rsid w:val="004B5376"/>
    <w:rsid w:val="004B6800"/>
    <w:rsid w:val="004C10CD"/>
    <w:rsid w:val="004C31C3"/>
    <w:rsid w:val="004D05E1"/>
    <w:rsid w:val="004D0CAE"/>
    <w:rsid w:val="004D2D4D"/>
    <w:rsid w:val="004D3C89"/>
    <w:rsid w:val="004D432C"/>
    <w:rsid w:val="004D4590"/>
    <w:rsid w:val="004E7FA9"/>
    <w:rsid w:val="004F0991"/>
    <w:rsid w:val="004F0FC1"/>
    <w:rsid w:val="004F156F"/>
    <w:rsid w:val="004F173F"/>
    <w:rsid w:val="004F2FB8"/>
    <w:rsid w:val="004F456F"/>
    <w:rsid w:val="004F5BB8"/>
    <w:rsid w:val="00500285"/>
    <w:rsid w:val="005005C5"/>
    <w:rsid w:val="0050207B"/>
    <w:rsid w:val="00502A8D"/>
    <w:rsid w:val="00512655"/>
    <w:rsid w:val="0051276B"/>
    <w:rsid w:val="00514076"/>
    <w:rsid w:val="005202FB"/>
    <w:rsid w:val="0052092D"/>
    <w:rsid w:val="00520EC3"/>
    <w:rsid w:val="00521312"/>
    <w:rsid w:val="00521A81"/>
    <w:rsid w:val="00524389"/>
    <w:rsid w:val="0052594E"/>
    <w:rsid w:val="00525BB9"/>
    <w:rsid w:val="0052683B"/>
    <w:rsid w:val="00527603"/>
    <w:rsid w:val="00532AAB"/>
    <w:rsid w:val="005362B1"/>
    <w:rsid w:val="00536A7F"/>
    <w:rsid w:val="00540F46"/>
    <w:rsid w:val="0054491C"/>
    <w:rsid w:val="00544F52"/>
    <w:rsid w:val="00544FE5"/>
    <w:rsid w:val="00546FED"/>
    <w:rsid w:val="005506B3"/>
    <w:rsid w:val="00553EDB"/>
    <w:rsid w:val="00554219"/>
    <w:rsid w:val="0055527E"/>
    <w:rsid w:val="00557FF4"/>
    <w:rsid w:val="00563426"/>
    <w:rsid w:val="00563514"/>
    <w:rsid w:val="00563D78"/>
    <w:rsid w:val="00565B35"/>
    <w:rsid w:val="00566DE5"/>
    <w:rsid w:val="00572227"/>
    <w:rsid w:val="0057226B"/>
    <w:rsid w:val="005760A5"/>
    <w:rsid w:val="005818BC"/>
    <w:rsid w:val="005844E0"/>
    <w:rsid w:val="00590A73"/>
    <w:rsid w:val="00592AA3"/>
    <w:rsid w:val="0059320F"/>
    <w:rsid w:val="00593758"/>
    <w:rsid w:val="005950E9"/>
    <w:rsid w:val="00595860"/>
    <w:rsid w:val="005A1560"/>
    <w:rsid w:val="005A1B59"/>
    <w:rsid w:val="005A2677"/>
    <w:rsid w:val="005A2AA4"/>
    <w:rsid w:val="005A2BA0"/>
    <w:rsid w:val="005A2F03"/>
    <w:rsid w:val="005A32EC"/>
    <w:rsid w:val="005B077B"/>
    <w:rsid w:val="005B0AE9"/>
    <w:rsid w:val="005B196C"/>
    <w:rsid w:val="005B33FB"/>
    <w:rsid w:val="005B4659"/>
    <w:rsid w:val="005C15F9"/>
    <w:rsid w:val="005C4926"/>
    <w:rsid w:val="005C5494"/>
    <w:rsid w:val="005C636A"/>
    <w:rsid w:val="005C65C9"/>
    <w:rsid w:val="005D0610"/>
    <w:rsid w:val="005D078B"/>
    <w:rsid w:val="005D0B90"/>
    <w:rsid w:val="005D1682"/>
    <w:rsid w:val="005D25D6"/>
    <w:rsid w:val="005D3AE0"/>
    <w:rsid w:val="005E45F6"/>
    <w:rsid w:val="005E4B12"/>
    <w:rsid w:val="005F1AFF"/>
    <w:rsid w:val="005F349C"/>
    <w:rsid w:val="005F4B2B"/>
    <w:rsid w:val="005F55F2"/>
    <w:rsid w:val="00602705"/>
    <w:rsid w:val="0060573B"/>
    <w:rsid w:val="006072D1"/>
    <w:rsid w:val="00607E1D"/>
    <w:rsid w:val="00610779"/>
    <w:rsid w:val="00610DFA"/>
    <w:rsid w:val="00613403"/>
    <w:rsid w:val="00614E9F"/>
    <w:rsid w:val="00615198"/>
    <w:rsid w:val="0061551F"/>
    <w:rsid w:val="00615E5F"/>
    <w:rsid w:val="006160D1"/>
    <w:rsid w:val="00617A8E"/>
    <w:rsid w:val="0062184D"/>
    <w:rsid w:val="006222B9"/>
    <w:rsid w:val="00625CD0"/>
    <w:rsid w:val="0062686A"/>
    <w:rsid w:val="00627F8A"/>
    <w:rsid w:val="006323A5"/>
    <w:rsid w:val="006337A5"/>
    <w:rsid w:val="006341E4"/>
    <w:rsid w:val="006348AF"/>
    <w:rsid w:val="00634E06"/>
    <w:rsid w:val="006358BA"/>
    <w:rsid w:val="00636911"/>
    <w:rsid w:val="006373A0"/>
    <w:rsid w:val="0064210E"/>
    <w:rsid w:val="00643090"/>
    <w:rsid w:val="00645C47"/>
    <w:rsid w:val="006464F2"/>
    <w:rsid w:val="006469B7"/>
    <w:rsid w:val="00652D51"/>
    <w:rsid w:val="00652F15"/>
    <w:rsid w:val="00653713"/>
    <w:rsid w:val="00654146"/>
    <w:rsid w:val="00656AB4"/>
    <w:rsid w:val="00661987"/>
    <w:rsid w:val="00670D99"/>
    <w:rsid w:val="0067323B"/>
    <w:rsid w:val="00676004"/>
    <w:rsid w:val="0067652C"/>
    <w:rsid w:val="00680C50"/>
    <w:rsid w:val="006824DD"/>
    <w:rsid w:val="00685781"/>
    <w:rsid w:val="00686622"/>
    <w:rsid w:val="00686D62"/>
    <w:rsid w:val="00695227"/>
    <w:rsid w:val="006A1D16"/>
    <w:rsid w:val="006A31B4"/>
    <w:rsid w:val="006A632C"/>
    <w:rsid w:val="006A6E10"/>
    <w:rsid w:val="006A78FF"/>
    <w:rsid w:val="006B314D"/>
    <w:rsid w:val="006B42E5"/>
    <w:rsid w:val="006B47A2"/>
    <w:rsid w:val="006B6842"/>
    <w:rsid w:val="006C07C1"/>
    <w:rsid w:val="006C07E9"/>
    <w:rsid w:val="006C65F0"/>
    <w:rsid w:val="006C697F"/>
    <w:rsid w:val="006C7164"/>
    <w:rsid w:val="006C7FFA"/>
    <w:rsid w:val="006D0E00"/>
    <w:rsid w:val="006D113D"/>
    <w:rsid w:val="006D2B81"/>
    <w:rsid w:val="006D3247"/>
    <w:rsid w:val="006D4C87"/>
    <w:rsid w:val="006D4ED0"/>
    <w:rsid w:val="006D7CB4"/>
    <w:rsid w:val="006E13AB"/>
    <w:rsid w:val="006E4C37"/>
    <w:rsid w:val="006E53FC"/>
    <w:rsid w:val="006E6AEF"/>
    <w:rsid w:val="006F0EF0"/>
    <w:rsid w:val="006F1251"/>
    <w:rsid w:val="006F1CDF"/>
    <w:rsid w:val="006F4EB3"/>
    <w:rsid w:val="006F6CA7"/>
    <w:rsid w:val="007030CF"/>
    <w:rsid w:val="00703F5F"/>
    <w:rsid w:val="00706915"/>
    <w:rsid w:val="00710E1C"/>
    <w:rsid w:val="0071404B"/>
    <w:rsid w:val="00714E0C"/>
    <w:rsid w:val="007153B0"/>
    <w:rsid w:val="0071554A"/>
    <w:rsid w:val="00716BA4"/>
    <w:rsid w:val="00721800"/>
    <w:rsid w:val="00722178"/>
    <w:rsid w:val="00722BBF"/>
    <w:rsid w:val="0073180D"/>
    <w:rsid w:val="0073257D"/>
    <w:rsid w:val="0073278A"/>
    <w:rsid w:val="00734005"/>
    <w:rsid w:val="007360E9"/>
    <w:rsid w:val="00737503"/>
    <w:rsid w:val="007426E3"/>
    <w:rsid w:val="00743E6A"/>
    <w:rsid w:val="00744F96"/>
    <w:rsid w:val="00744FA9"/>
    <w:rsid w:val="00747A64"/>
    <w:rsid w:val="00753246"/>
    <w:rsid w:val="00753C8E"/>
    <w:rsid w:val="00754416"/>
    <w:rsid w:val="00754548"/>
    <w:rsid w:val="0075476D"/>
    <w:rsid w:val="00755FE9"/>
    <w:rsid w:val="00760727"/>
    <w:rsid w:val="00761A04"/>
    <w:rsid w:val="00761F67"/>
    <w:rsid w:val="0077006B"/>
    <w:rsid w:val="00773E92"/>
    <w:rsid w:val="007747B7"/>
    <w:rsid w:val="00776D7D"/>
    <w:rsid w:val="00777072"/>
    <w:rsid w:val="00777891"/>
    <w:rsid w:val="00780439"/>
    <w:rsid w:val="007807D9"/>
    <w:rsid w:val="007815A7"/>
    <w:rsid w:val="007821DA"/>
    <w:rsid w:val="00782263"/>
    <w:rsid w:val="00782BF3"/>
    <w:rsid w:val="007868E2"/>
    <w:rsid w:val="00786A31"/>
    <w:rsid w:val="00787906"/>
    <w:rsid w:val="00787FA6"/>
    <w:rsid w:val="0079132F"/>
    <w:rsid w:val="00793A3D"/>
    <w:rsid w:val="00795494"/>
    <w:rsid w:val="00797029"/>
    <w:rsid w:val="007975AB"/>
    <w:rsid w:val="007A1B6F"/>
    <w:rsid w:val="007A21C8"/>
    <w:rsid w:val="007A5088"/>
    <w:rsid w:val="007A6985"/>
    <w:rsid w:val="007A6DB6"/>
    <w:rsid w:val="007B40CB"/>
    <w:rsid w:val="007C2217"/>
    <w:rsid w:val="007C4E99"/>
    <w:rsid w:val="007C6E11"/>
    <w:rsid w:val="007D0351"/>
    <w:rsid w:val="007D0E99"/>
    <w:rsid w:val="007D2493"/>
    <w:rsid w:val="007D3655"/>
    <w:rsid w:val="007D5014"/>
    <w:rsid w:val="007D53BC"/>
    <w:rsid w:val="007D5C93"/>
    <w:rsid w:val="007D682D"/>
    <w:rsid w:val="007E1779"/>
    <w:rsid w:val="007E3C1E"/>
    <w:rsid w:val="007F3044"/>
    <w:rsid w:val="00801060"/>
    <w:rsid w:val="0080353F"/>
    <w:rsid w:val="00804563"/>
    <w:rsid w:val="00805254"/>
    <w:rsid w:val="00810D79"/>
    <w:rsid w:val="00811BEA"/>
    <w:rsid w:val="008151B4"/>
    <w:rsid w:val="0081695E"/>
    <w:rsid w:val="00821328"/>
    <w:rsid w:val="008221F9"/>
    <w:rsid w:val="00823303"/>
    <w:rsid w:val="008241F3"/>
    <w:rsid w:val="008262BF"/>
    <w:rsid w:val="008274A4"/>
    <w:rsid w:val="008279CD"/>
    <w:rsid w:val="00827AED"/>
    <w:rsid w:val="00827EDB"/>
    <w:rsid w:val="00830626"/>
    <w:rsid w:val="00832A39"/>
    <w:rsid w:val="00841AAB"/>
    <w:rsid w:val="008436FD"/>
    <w:rsid w:val="00843C82"/>
    <w:rsid w:val="008500A6"/>
    <w:rsid w:val="00850CD2"/>
    <w:rsid w:val="00850D05"/>
    <w:rsid w:val="00850FA3"/>
    <w:rsid w:val="008522D8"/>
    <w:rsid w:val="00853127"/>
    <w:rsid w:val="00853A3F"/>
    <w:rsid w:val="00853FD1"/>
    <w:rsid w:val="008564A8"/>
    <w:rsid w:val="008619E2"/>
    <w:rsid w:val="008627AA"/>
    <w:rsid w:val="008665A7"/>
    <w:rsid w:val="008669C2"/>
    <w:rsid w:val="00870D59"/>
    <w:rsid w:val="008735C4"/>
    <w:rsid w:val="0087510C"/>
    <w:rsid w:val="00876D63"/>
    <w:rsid w:val="008773E9"/>
    <w:rsid w:val="008808F6"/>
    <w:rsid w:val="008835C7"/>
    <w:rsid w:val="00883F00"/>
    <w:rsid w:val="00883FD9"/>
    <w:rsid w:val="0088481A"/>
    <w:rsid w:val="008858CB"/>
    <w:rsid w:val="00887DB7"/>
    <w:rsid w:val="00887DE6"/>
    <w:rsid w:val="00891F92"/>
    <w:rsid w:val="00892926"/>
    <w:rsid w:val="008936CB"/>
    <w:rsid w:val="00894B0F"/>
    <w:rsid w:val="0089556C"/>
    <w:rsid w:val="00897EDD"/>
    <w:rsid w:val="008A1BD5"/>
    <w:rsid w:val="008A1EF9"/>
    <w:rsid w:val="008A2E8B"/>
    <w:rsid w:val="008A4041"/>
    <w:rsid w:val="008A5A63"/>
    <w:rsid w:val="008A6878"/>
    <w:rsid w:val="008A7652"/>
    <w:rsid w:val="008B13EA"/>
    <w:rsid w:val="008B1572"/>
    <w:rsid w:val="008B20A5"/>
    <w:rsid w:val="008B2B68"/>
    <w:rsid w:val="008B58CB"/>
    <w:rsid w:val="008C140F"/>
    <w:rsid w:val="008C1823"/>
    <w:rsid w:val="008C2806"/>
    <w:rsid w:val="008C38D5"/>
    <w:rsid w:val="008C4191"/>
    <w:rsid w:val="008C70C5"/>
    <w:rsid w:val="008D1C5D"/>
    <w:rsid w:val="008D1CF1"/>
    <w:rsid w:val="008D340B"/>
    <w:rsid w:val="008D3FB7"/>
    <w:rsid w:val="008D490F"/>
    <w:rsid w:val="008D72A1"/>
    <w:rsid w:val="008D782D"/>
    <w:rsid w:val="008D7A88"/>
    <w:rsid w:val="008E0364"/>
    <w:rsid w:val="008E2775"/>
    <w:rsid w:val="008E308A"/>
    <w:rsid w:val="008E4E5A"/>
    <w:rsid w:val="008E53AF"/>
    <w:rsid w:val="008E5E7E"/>
    <w:rsid w:val="008E669D"/>
    <w:rsid w:val="008E7AC6"/>
    <w:rsid w:val="008F02E6"/>
    <w:rsid w:val="008F1500"/>
    <w:rsid w:val="008F1EB4"/>
    <w:rsid w:val="008F2D8B"/>
    <w:rsid w:val="008F3B0E"/>
    <w:rsid w:val="008F693D"/>
    <w:rsid w:val="00900A5B"/>
    <w:rsid w:val="00904C81"/>
    <w:rsid w:val="00904D54"/>
    <w:rsid w:val="00907B74"/>
    <w:rsid w:val="00911481"/>
    <w:rsid w:val="009158E8"/>
    <w:rsid w:val="00915ACC"/>
    <w:rsid w:val="00915C79"/>
    <w:rsid w:val="009164E6"/>
    <w:rsid w:val="00916E63"/>
    <w:rsid w:val="00917A48"/>
    <w:rsid w:val="00920667"/>
    <w:rsid w:val="00921CCF"/>
    <w:rsid w:val="00922051"/>
    <w:rsid w:val="00923733"/>
    <w:rsid w:val="00923905"/>
    <w:rsid w:val="00924175"/>
    <w:rsid w:val="0092451E"/>
    <w:rsid w:val="00925243"/>
    <w:rsid w:val="00926EC6"/>
    <w:rsid w:val="00927A25"/>
    <w:rsid w:val="00927F22"/>
    <w:rsid w:val="00927FF0"/>
    <w:rsid w:val="00930ACB"/>
    <w:rsid w:val="009338FF"/>
    <w:rsid w:val="0094202C"/>
    <w:rsid w:val="0094457D"/>
    <w:rsid w:val="00946681"/>
    <w:rsid w:val="00947401"/>
    <w:rsid w:val="009478AA"/>
    <w:rsid w:val="00951514"/>
    <w:rsid w:val="0095157C"/>
    <w:rsid w:val="009520FB"/>
    <w:rsid w:val="00952C00"/>
    <w:rsid w:val="0095428D"/>
    <w:rsid w:val="00954481"/>
    <w:rsid w:val="00956861"/>
    <w:rsid w:val="00961E2F"/>
    <w:rsid w:val="00962054"/>
    <w:rsid w:val="009623E1"/>
    <w:rsid w:val="0096652B"/>
    <w:rsid w:val="00967F17"/>
    <w:rsid w:val="00970DB3"/>
    <w:rsid w:val="00972DC1"/>
    <w:rsid w:val="00973736"/>
    <w:rsid w:val="00980B3A"/>
    <w:rsid w:val="00981485"/>
    <w:rsid w:val="00981A07"/>
    <w:rsid w:val="009820D2"/>
    <w:rsid w:val="009844D9"/>
    <w:rsid w:val="00984573"/>
    <w:rsid w:val="0098465D"/>
    <w:rsid w:val="009904FB"/>
    <w:rsid w:val="009907D4"/>
    <w:rsid w:val="00995FAA"/>
    <w:rsid w:val="0099654A"/>
    <w:rsid w:val="00996E31"/>
    <w:rsid w:val="009A1813"/>
    <w:rsid w:val="009A21C3"/>
    <w:rsid w:val="009A2EC8"/>
    <w:rsid w:val="009A6495"/>
    <w:rsid w:val="009B0031"/>
    <w:rsid w:val="009B0193"/>
    <w:rsid w:val="009B19D0"/>
    <w:rsid w:val="009B23BE"/>
    <w:rsid w:val="009B3BFA"/>
    <w:rsid w:val="009B50A3"/>
    <w:rsid w:val="009B5BEC"/>
    <w:rsid w:val="009B5EDA"/>
    <w:rsid w:val="009C0613"/>
    <w:rsid w:val="009C5871"/>
    <w:rsid w:val="009D09F1"/>
    <w:rsid w:val="009D0DA9"/>
    <w:rsid w:val="009D28A5"/>
    <w:rsid w:val="009D46D8"/>
    <w:rsid w:val="009D4C9A"/>
    <w:rsid w:val="009D55AB"/>
    <w:rsid w:val="009D59F2"/>
    <w:rsid w:val="009D6485"/>
    <w:rsid w:val="009E049B"/>
    <w:rsid w:val="009E08E3"/>
    <w:rsid w:val="009E3854"/>
    <w:rsid w:val="009E4BF4"/>
    <w:rsid w:val="009F0519"/>
    <w:rsid w:val="009F3040"/>
    <w:rsid w:val="009F567E"/>
    <w:rsid w:val="009F5F1B"/>
    <w:rsid w:val="009F7BA1"/>
    <w:rsid w:val="00A1127C"/>
    <w:rsid w:val="00A1158C"/>
    <w:rsid w:val="00A12A65"/>
    <w:rsid w:val="00A1461C"/>
    <w:rsid w:val="00A14C33"/>
    <w:rsid w:val="00A1566D"/>
    <w:rsid w:val="00A220EB"/>
    <w:rsid w:val="00A225FE"/>
    <w:rsid w:val="00A25A30"/>
    <w:rsid w:val="00A267F5"/>
    <w:rsid w:val="00A32CCE"/>
    <w:rsid w:val="00A4148B"/>
    <w:rsid w:val="00A41BFD"/>
    <w:rsid w:val="00A426BD"/>
    <w:rsid w:val="00A45D74"/>
    <w:rsid w:val="00A46C82"/>
    <w:rsid w:val="00A5071E"/>
    <w:rsid w:val="00A5236D"/>
    <w:rsid w:val="00A524DF"/>
    <w:rsid w:val="00A525F9"/>
    <w:rsid w:val="00A5632A"/>
    <w:rsid w:val="00A60E07"/>
    <w:rsid w:val="00A61E25"/>
    <w:rsid w:val="00A638A5"/>
    <w:rsid w:val="00A639DF"/>
    <w:rsid w:val="00A66139"/>
    <w:rsid w:val="00A67D6B"/>
    <w:rsid w:val="00A67EDE"/>
    <w:rsid w:val="00A70AB9"/>
    <w:rsid w:val="00A70B3F"/>
    <w:rsid w:val="00A72694"/>
    <w:rsid w:val="00A77C24"/>
    <w:rsid w:val="00A8214B"/>
    <w:rsid w:val="00A832C0"/>
    <w:rsid w:val="00A91CE2"/>
    <w:rsid w:val="00A92590"/>
    <w:rsid w:val="00A92BAE"/>
    <w:rsid w:val="00A934E2"/>
    <w:rsid w:val="00A93891"/>
    <w:rsid w:val="00A948AB"/>
    <w:rsid w:val="00A9620D"/>
    <w:rsid w:val="00A97139"/>
    <w:rsid w:val="00AA1D08"/>
    <w:rsid w:val="00AA38D8"/>
    <w:rsid w:val="00AB2F1F"/>
    <w:rsid w:val="00AB35FB"/>
    <w:rsid w:val="00AB3893"/>
    <w:rsid w:val="00AB65D5"/>
    <w:rsid w:val="00AC016E"/>
    <w:rsid w:val="00AC090F"/>
    <w:rsid w:val="00AC1C7B"/>
    <w:rsid w:val="00AC4AC4"/>
    <w:rsid w:val="00AC509E"/>
    <w:rsid w:val="00AD022B"/>
    <w:rsid w:val="00AD2DD3"/>
    <w:rsid w:val="00AD360E"/>
    <w:rsid w:val="00AD3717"/>
    <w:rsid w:val="00AD49AE"/>
    <w:rsid w:val="00AE0200"/>
    <w:rsid w:val="00AE1F8F"/>
    <w:rsid w:val="00AE23C2"/>
    <w:rsid w:val="00AE35CE"/>
    <w:rsid w:val="00AE39B6"/>
    <w:rsid w:val="00AE5275"/>
    <w:rsid w:val="00AE58CD"/>
    <w:rsid w:val="00AE71D3"/>
    <w:rsid w:val="00AE722D"/>
    <w:rsid w:val="00AF0805"/>
    <w:rsid w:val="00AF67D4"/>
    <w:rsid w:val="00AF7081"/>
    <w:rsid w:val="00B009DF"/>
    <w:rsid w:val="00B06BDF"/>
    <w:rsid w:val="00B07255"/>
    <w:rsid w:val="00B14A81"/>
    <w:rsid w:val="00B15470"/>
    <w:rsid w:val="00B15514"/>
    <w:rsid w:val="00B15ED7"/>
    <w:rsid w:val="00B16D4B"/>
    <w:rsid w:val="00B17E16"/>
    <w:rsid w:val="00B20FAB"/>
    <w:rsid w:val="00B2185F"/>
    <w:rsid w:val="00B22C8A"/>
    <w:rsid w:val="00B31098"/>
    <w:rsid w:val="00B333A3"/>
    <w:rsid w:val="00B334D7"/>
    <w:rsid w:val="00B335C8"/>
    <w:rsid w:val="00B34033"/>
    <w:rsid w:val="00B35C4A"/>
    <w:rsid w:val="00B4055F"/>
    <w:rsid w:val="00B43133"/>
    <w:rsid w:val="00B473D1"/>
    <w:rsid w:val="00B476EA"/>
    <w:rsid w:val="00B47C3B"/>
    <w:rsid w:val="00B53D14"/>
    <w:rsid w:val="00B542D6"/>
    <w:rsid w:val="00B565A9"/>
    <w:rsid w:val="00B5716C"/>
    <w:rsid w:val="00B63112"/>
    <w:rsid w:val="00B66436"/>
    <w:rsid w:val="00B702A1"/>
    <w:rsid w:val="00B71CBA"/>
    <w:rsid w:val="00B77411"/>
    <w:rsid w:val="00B81CF1"/>
    <w:rsid w:val="00B84408"/>
    <w:rsid w:val="00B910E4"/>
    <w:rsid w:val="00B92AC4"/>
    <w:rsid w:val="00B92FC5"/>
    <w:rsid w:val="00BA074C"/>
    <w:rsid w:val="00BA0834"/>
    <w:rsid w:val="00BA3182"/>
    <w:rsid w:val="00BA38F4"/>
    <w:rsid w:val="00BA5246"/>
    <w:rsid w:val="00BA7125"/>
    <w:rsid w:val="00BA76AE"/>
    <w:rsid w:val="00BB0D9D"/>
    <w:rsid w:val="00BB313B"/>
    <w:rsid w:val="00BB3E5B"/>
    <w:rsid w:val="00BB79DA"/>
    <w:rsid w:val="00BC3757"/>
    <w:rsid w:val="00BC50AD"/>
    <w:rsid w:val="00BC6791"/>
    <w:rsid w:val="00BC69F4"/>
    <w:rsid w:val="00BD02FE"/>
    <w:rsid w:val="00BD1182"/>
    <w:rsid w:val="00BD1509"/>
    <w:rsid w:val="00BD1C44"/>
    <w:rsid w:val="00BD29CD"/>
    <w:rsid w:val="00BD2FE7"/>
    <w:rsid w:val="00BD4495"/>
    <w:rsid w:val="00BD5664"/>
    <w:rsid w:val="00BD5983"/>
    <w:rsid w:val="00BD75FB"/>
    <w:rsid w:val="00BD7791"/>
    <w:rsid w:val="00BD79AD"/>
    <w:rsid w:val="00BE11C2"/>
    <w:rsid w:val="00BE4F5E"/>
    <w:rsid w:val="00BE50FE"/>
    <w:rsid w:val="00BE5DAA"/>
    <w:rsid w:val="00BE6EDA"/>
    <w:rsid w:val="00BE7E0C"/>
    <w:rsid w:val="00BF242C"/>
    <w:rsid w:val="00BF28CF"/>
    <w:rsid w:val="00C020A4"/>
    <w:rsid w:val="00C02894"/>
    <w:rsid w:val="00C038FD"/>
    <w:rsid w:val="00C04F42"/>
    <w:rsid w:val="00C072D5"/>
    <w:rsid w:val="00C1217C"/>
    <w:rsid w:val="00C14020"/>
    <w:rsid w:val="00C15D7F"/>
    <w:rsid w:val="00C15DC8"/>
    <w:rsid w:val="00C17FBC"/>
    <w:rsid w:val="00C214A5"/>
    <w:rsid w:val="00C246B9"/>
    <w:rsid w:val="00C3126D"/>
    <w:rsid w:val="00C334CF"/>
    <w:rsid w:val="00C37B13"/>
    <w:rsid w:val="00C40293"/>
    <w:rsid w:val="00C436A3"/>
    <w:rsid w:val="00C47E01"/>
    <w:rsid w:val="00C50721"/>
    <w:rsid w:val="00C531D1"/>
    <w:rsid w:val="00C539AF"/>
    <w:rsid w:val="00C54C6F"/>
    <w:rsid w:val="00C57E55"/>
    <w:rsid w:val="00C649E2"/>
    <w:rsid w:val="00C64C5B"/>
    <w:rsid w:val="00C653D0"/>
    <w:rsid w:val="00C67B58"/>
    <w:rsid w:val="00C702B4"/>
    <w:rsid w:val="00C7037F"/>
    <w:rsid w:val="00C71F14"/>
    <w:rsid w:val="00C741E6"/>
    <w:rsid w:val="00C76274"/>
    <w:rsid w:val="00C77AD4"/>
    <w:rsid w:val="00C804AB"/>
    <w:rsid w:val="00C84A38"/>
    <w:rsid w:val="00C85379"/>
    <w:rsid w:val="00C87930"/>
    <w:rsid w:val="00C87C4B"/>
    <w:rsid w:val="00C910F6"/>
    <w:rsid w:val="00C962B9"/>
    <w:rsid w:val="00C9755A"/>
    <w:rsid w:val="00CA13DB"/>
    <w:rsid w:val="00CA296D"/>
    <w:rsid w:val="00CA3507"/>
    <w:rsid w:val="00CA4E98"/>
    <w:rsid w:val="00CA7232"/>
    <w:rsid w:val="00CB0A15"/>
    <w:rsid w:val="00CB25E1"/>
    <w:rsid w:val="00CB358C"/>
    <w:rsid w:val="00CB4D30"/>
    <w:rsid w:val="00CC079E"/>
    <w:rsid w:val="00CC1137"/>
    <w:rsid w:val="00CC506E"/>
    <w:rsid w:val="00CC6E9F"/>
    <w:rsid w:val="00CD3008"/>
    <w:rsid w:val="00CD4EDB"/>
    <w:rsid w:val="00CD5957"/>
    <w:rsid w:val="00CD6759"/>
    <w:rsid w:val="00CD6E8B"/>
    <w:rsid w:val="00CD776E"/>
    <w:rsid w:val="00CE00F1"/>
    <w:rsid w:val="00CE01F6"/>
    <w:rsid w:val="00CE1EF8"/>
    <w:rsid w:val="00CE7AEE"/>
    <w:rsid w:val="00CE7D5E"/>
    <w:rsid w:val="00CF0270"/>
    <w:rsid w:val="00CF0CF2"/>
    <w:rsid w:val="00CF1AE4"/>
    <w:rsid w:val="00CF2623"/>
    <w:rsid w:val="00CF3681"/>
    <w:rsid w:val="00D02189"/>
    <w:rsid w:val="00D02339"/>
    <w:rsid w:val="00D02A2B"/>
    <w:rsid w:val="00D02CB3"/>
    <w:rsid w:val="00D036A0"/>
    <w:rsid w:val="00D06455"/>
    <w:rsid w:val="00D06AEA"/>
    <w:rsid w:val="00D119ED"/>
    <w:rsid w:val="00D177D9"/>
    <w:rsid w:val="00D20E83"/>
    <w:rsid w:val="00D218C4"/>
    <w:rsid w:val="00D24089"/>
    <w:rsid w:val="00D2483D"/>
    <w:rsid w:val="00D2488F"/>
    <w:rsid w:val="00D26AD9"/>
    <w:rsid w:val="00D30389"/>
    <w:rsid w:val="00D3038D"/>
    <w:rsid w:val="00D30F6A"/>
    <w:rsid w:val="00D32464"/>
    <w:rsid w:val="00D32757"/>
    <w:rsid w:val="00D3293D"/>
    <w:rsid w:val="00D358E5"/>
    <w:rsid w:val="00D3731D"/>
    <w:rsid w:val="00D44287"/>
    <w:rsid w:val="00D45FD0"/>
    <w:rsid w:val="00D466CB"/>
    <w:rsid w:val="00D51018"/>
    <w:rsid w:val="00D52177"/>
    <w:rsid w:val="00D543A7"/>
    <w:rsid w:val="00D55174"/>
    <w:rsid w:val="00D61684"/>
    <w:rsid w:val="00D634F6"/>
    <w:rsid w:val="00D6531F"/>
    <w:rsid w:val="00D6569C"/>
    <w:rsid w:val="00D66BD1"/>
    <w:rsid w:val="00D66EBF"/>
    <w:rsid w:val="00D705B1"/>
    <w:rsid w:val="00D74066"/>
    <w:rsid w:val="00D750ED"/>
    <w:rsid w:val="00D8197F"/>
    <w:rsid w:val="00D8243B"/>
    <w:rsid w:val="00D824DF"/>
    <w:rsid w:val="00D82535"/>
    <w:rsid w:val="00D844D6"/>
    <w:rsid w:val="00D85BCB"/>
    <w:rsid w:val="00D87A83"/>
    <w:rsid w:val="00D933EB"/>
    <w:rsid w:val="00D9429A"/>
    <w:rsid w:val="00D94A6B"/>
    <w:rsid w:val="00D95179"/>
    <w:rsid w:val="00D95531"/>
    <w:rsid w:val="00D97C50"/>
    <w:rsid w:val="00DA55D9"/>
    <w:rsid w:val="00DA5C3E"/>
    <w:rsid w:val="00DA6485"/>
    <w:rsid w:val="00DA7608"/>
    <w:rsid w:val="00DA77B6"/>
    <w:rsid w:val="00DA7D3E"/>
    <w:rsid w:val="00DB0FA4"/>
    <w:rsid w:val="00DB2074"/>
    <w:rsid w:val="00DB511B"/>
    <w:rsid w:val="00DB5840"/>
    <w:rsid w:val="00DC10C1"/>
    <w:rsid w:val="00DC298A"/>
    <w:rsid w:val="00DC2D0F"/>
    <w:rsid w:val="00DC31CB"/>
    <w:rsid w:val="00DC388B"/>
    <w:rsid w:val="00DC4981"/>
    <w:rsid w:val="00DD29E2"/>
    <w:rsid w:val="00DD29E5"/>
    <w:rsid w:val="00DD3538"/>
    <w:rsid w:val="00DD3BCB"/>
    <w:rsid w:val="00DD5527"/>
    <w:rsid w:val="00DE204C"/>
    <w:rsid w:val="00DE2397"/>
    <w:rsid w:val="00DF0DFD"/>
    <w:rsid w:val="00DF1858"/>
    <w:rsid w:val="00DF37DA"/>
    <w:rsid w:val="00DF506E"/>
    <w:rsid w:val="00E01559"/>
    <w:rsid w:val="00E0238F"/>
    <w:rsid w:val="00E02A77"/>
    <w:rsid w:val="00E04792"/>
    <w:rsid w:val="00E05AF6"/>
    <w:rsid w:val="00E1189C"/>
    <w:rsid w:val="00E136CA"/>
    <w:rsid w:val="00E13EE8"/>
    <w:rsid w:val="00E15095"/>
    <w:rsid w:val="00E15ED0"/>
    <w:rsid w:val="00E171D1"/>
    <w:rsid w:val="00E20B11"/>
    <w:rsid w:val="00E20D99"/>
    <w:rsid w:val="00E22C65"/>
    <w:rsid w:val="00E27AC9"/>
    <w:rsid w:val="00E30577"/>
    <w:rsid w:val="00E31CDC"/>
    <w:rsid w:val="00E32E84"/>
    <w:rsid w:val="00E351DA"/>
    <w:rsid w:val="00E378B9"/>
    <w:rsid w:val="00E37C40"/>
    <w:rsid w:val="00E418D8"/>
    <w:rsid w:val="00E428AF"/>
    <w:rsid w:val="00E5534B"/>
    <w:rsid w:val="00E564A3"/>
    <w:rsid w:val="00E56A2D"/>
    <w:rsid w:val="00E56CEE"/>
    <w:rsid w:val="00E600C7"/>
    <w:rsid w:val="00E60108"/>
    <w:rsid w:val="00E63323"/>
    <w:rsid w:val="00E637D6"/>
    <w:rsid w:val="00E63964"/>
    <w:rsid w:val="00E65D11"/>
    <w:rsid w:val="00E664D1"/>
    <w:rsid w:val="00E675A7"/>
    <w:rsid w:val="00E7328F"/>
    <w:rsid w:val="00E73CA0"/>
    <w:rsid w:val="00E74EA0"/>
    <w:rsid w:val="00E759DD"/>
    <w:rsid w:val="00E80058"/>
    <w:rsid w:val="00E854EE"/>
    <w:rsid w:val="00E879C6"/>
    <w:rsid w:val="00E929D7"/>
    <w:rsid w:val="00E93344"/>
    <w:rsid w:val="00E96488"/>
    <w:rsid w:val="00EA0A7F"/>
    <w:rsid w:val="00EA160A"/>
    <w:rsid w:val="00EA2D57"/>
    <w:rsid w:val="00EA31A0"/>
    <w:rsid w:val="00EA3DC0"/>
    <w:rsid w:val="00EA5837"/>
    <w:rsid w:val="00EB04E3"/>
    <w:rsid w:val="00EB1079"/>
    <w:rsid w:val="00EC44FA"/>
    <w:rsid w:val="00EC60DD"/>
    <w:rsid w:val="00EC616C"/>
    <w:rsid w:val="00EC6AED"/>
    <w:rsid w:val="00EC7126"/>
    <w:rsid w:val="00ED394C"/>
    <w:rsid w:val="00ED6430"/>
    <w:rsid w:val="00ED69CC"/>
    <w:rsid w:val="00ED6E21"/>
    <w:rsid w:val="00ED75AF"/>
    <w:rsid w:val="00EE017D"/>
    <w:rsid w:val="00EE1E8F"/>
    <w:rsid w:val="00EE65BD"/>
    <w:rsid w:val="00EE719A"/>
    <w:rsid w:val="00EF2C51"/>
    <w:rsid w:val="00EF2D4A"/>
    <w:rsid w:val="00EF2F83"/>
    <w:rsid w:val="00EF31CA"/>
    <w:rsid w:val="00F02938"/>
    <w:rsid w:val="00F065CD"/>
    <w:rsid w:val="00F06BE7"/>
    <w:rsid w:val="00F14435"/>
    <w:rsid w:val="00F15A4D"/>
    <w:rsid w:val="00F17F4F"/>
    <w:rsid w:val="00F22067"/>
    <w:rsid w:val="00F2339A"/>
    <w:rsid w:val="00F24501"/>
    <w:rsid w:val="00F3729A"/>
    <w:rsid w:val="00F4321B"/>
    <w:rsid w:val="00F505C5"/>
    <w:rsid w:val="00F507D7"/>
    <w:rsid w:val="00F51923"/>
    <w:rsid w:val="00F523A8"/>
    <w:rsid w:val="00F53ADA"/>
    <w:rsid w:val="00F55B94"/>
    <w:rsid w:val="00F55C35"/>
    <w:rsid w:val="00F5630D"/>
    <w:rsid w:val="00F57E14"/>
    <w:rsid w:val="00F65620"/>
    <w:rsid w:val="00F66BB3"/>
    <w:rsid w:val="00F673AD"/>
    <w:rsid w:val="00F709BD"/>
    <w:rsid w:val="00F71359"/>
    <w:rsid w:val="00F7186D"/>
    <w:rsid w:val="00F727CB"/>
    <w:rsid w:val="00F736A8"/>
    <w:rsid w:val="00F8168B"/>
    <w:rsid w:val="00F82151"/>
    <w:rsid w:val="00F82C86"/>
    <w:rsid w:val="00F848A9"/>
    <w:rsid w:val="00F86B5F"/>
    <w:rsid w:val="00F86C9D"/>
    <w:rsid w:val="00F90533"/>
    <w:rsid w:val="00F907EC"/>
    <w:rsid w:val="00F91E8F"/>
    <w:rsid w:val="00F923D4"/>
    <w:rsid w:val="00F9478A"/>
    <w:rsid w:val="00F94B6B"/>
    <w:rsid w:val="00F94FBF"/>
    <w:rsid w:val="00F97A80"/>
    <w:rsid w:val="00FA0DCF"/>
    <w:rsid w:val="00FA183C"/>
    <w:rsid w:val="00FA186A"/>
    <w:rsid w:val="00FA1BE2"/>
    <w:rsid w:val="00FA2FCF"/>
    <w:rsid w:val="00FA398C"/>
    <w:rsid w:val="00FA4EF0"/>
    <w:rsid w:val="00FA563C"/>
    <w:rsid w:val="00FA6CEE"/>
    <w:rsid w:val="00FB10E7"/>
    <w:rsid w:val="00FB1143"/>
    <w:rsid w:val="00FB2EF7"/>
    <w:rsid w:val="00FB3C3B"/>
    <w:rsid w:val="00FB4694"/>
    <w:rsid w:val="00FB4744"/>
    <w:rsid w:val="00FB4D60"/>
    <w:rsid w:val="00FB6FE7"/>
    <w:rsid w:val="00FC108A"/>
    <w:rsid w:val="00FC30A4"/>
    <w:rsid w:val="00FC4A1F"/>
    <w:rsid w:val="00FC54A6"/>
    <w:rsid w:val="00FC7FB9"/>
    <w:rsid w:val="00FD1135"/>
    <w:rsid w:val="00FD1B34"/>
    <w:rsid w:val="00FD1D65"/>
    <w:rsid w:val="00FD6504"/>
    <w:rsid w:val="00FE5E2D"/>
    <w:rsid w:val="00FE6A15"/>
    <w:rsid w:val="00FE6F73"/>
    <w:rsid w:val="00FE7CAC"/>
    <w:rsid w:val="00FF0575"/>
    <w:rsid w:val="00FF32FB"/>
    <w:rsid w:val="00FF5526"/>
    <w:rsid w:val="00FF5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96B8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39"/>
    <w:lsdException w:name="toc 5" w:uiPriority="39"/>
    <w:lsdException w:name="footnote text" w:uiPriority="99" w:qFormat="1"/>
    <w:lsdException w:name="annotation text" w:uiPriority="99"/>
    <w:lsdException w:name="header" w:uiPriority="99"/>
    <w:lsdException w:name="footer" w:uiPriority="99"/>
    <w:lsdException w:name="caption" w:uiPriority="35" w:qFormat="1"/>
    <w:lsdException w:name="table of figures" w:uiPriority="99"/>
    <w:lsdException w:name="footnote reference" w:uiPriority="99" w:qFormat="1"/>
    <w:lsdException w:name="annotation reference" w:uiPriority="99"/>
    <w:lsdException w:name="page number"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3A7"/>
    <w:rPr>
      <w:rFonts w:cs="Times"/>
      <w:sz w:val="24"/>
      <w:szCs w:val="22"/>
    </w:rPr>
  </w:style>
  <w:style w:type="paragraph" w:styleId="Heading1">
    <w:name w:val="heading 1"/>
    <w:aliases w:val="P.Heading 1"/>
    <w:basedOn w:val="Normal"/>
    <w:next w:val="Normal"/>
    <w:link w:val="Heading1Char"/>
    <w:qFormat/>
    <w:rsid w:val="00123BBA"/>
    <w:pPr>
      <w:keepNext/>
      <w:tabs>
        <w:tab w:val="left" w:pos="360"/>
      </w:tabs>
      <w:spacing w:before="240" w:after="120"/>
      <w:outlineLvl w:val="0"/>
    </w:pPr>
    <w:rPr>
      <w:rFonts w:ascii="Arial" w:hAnsi="Arial" w:cs="Arial"/>
      <w:b/>
      <w:bCs/>
      <w:sz w:val="28"/>
      <w:szCs w:val="28"/>
    </w:rPr>
  </w:style>
  <w:style w:type="paragraph" w:styleId="Heading2">
    <w:name w:val="heading 2"/>
    <w:aliases w:val="p.Heading 2"/>
    <w:basedOn w:val="Normal"/>
    <w:next w:val="Normal"/>
    <w:link w:val="Heading2Char"/>
    <w:qFormat/>
    <w:rsid w:val="005A2677"/>
    <w:pPr>
      <w:keepNext/>
      <w:tabs>
        <w:tab w:val="left" w:pos="720"/>
      </w:tabs>
      <w:spacing w:before="240" w:after="120"/>
      <w:outlineLvl w:val="1"/>
    </w:pPr>
    <w:rPr>
      <w:rFonts w:ascii="Arial" w:hAnsi="Arial" w:cs="Arial"/>
      <w:b/>
      <w:bCs/>
      <w:i/>
      <w:iCs/>
      <w:szCs w:val="20"/>
    </w:rPr>
  </w:style>
  <w:style w:type="paragraph" w:styleId="Heading3">
    <w:name w:val="heading 3"/>
    <w:aliases w:val="P.Heading 3"/>
    <w:basedOn w:val="Normal"/>
    <w:next w:val="Normal"/>
    <w:link w:val="Heading3Char"/>
    <w:uiPriority w:val="9"/>
    <w:qFormat/>
    <w:rsid w:val="00096197"/>
    <w:pPr>
      <w:keepNext/>
      <w:tabs>
        <w:tab w:val="left" w:pos="360"/>
      </w:tabs>
      <w:spacing w:after="120"/>
      <w:outlineLvl w:val="2"/>
    </w:pPr>
    <w:rPr>
      <w:rFonts w:ascii="Arial" w:hAnsi="Arial" w:cs="Arial"/>
      <w:b/>
      <w:bCs/>
      <w:color w:val="000000" w:themeColor="text1"/>
      <w:sz w:val="22"/>
    </w:rPr>
  </w:style>
  <w:style w:type="paragraph" w:styleId="Heading4">
    <w:name w:val="heading 4"/>
    <w:aliases w:val="P.Heading 4"/>
    <w:basedOn w:val="Normal"/>
    <w:next w:val="Normal"/>
    <w:link w:val="Heading4Char"/>
    <w:uiPriority w:val="99"/>
    <w:qFormat/>
    <w:rsid w:val="00D543A7"/>
    <w:pPr>
      <w:keepNext/>
      <w:outlineLvl w:val="3"/>
    </w:pPr>
    <w:rPr>
      <w:rFonts w:ascii="Arial" w:hAnsi="Arial"/>
      <w:b/>
      <w:bCs/>
      <w:i/>
      <w:iCs/>
      <w:color w:val="000000" w:themeColor="text1"/>
      <w:sz w:val="22"/>
      <w:szCs w:val="24"/>
    </w:rPr>
  </w:style>
  <w:style w:type="paragraph" w:styleId="Heading5">
    <w:name w:val="heading 5"/>
    <w:basedOn w:val="Normal"/>
    <w:next w:val="Normal"/>
    <w:link w:val="Heading5Char"/>
    <w:uiPriority w:val="99"/>
    <w:unhideWhenUsed/>
    <w:qFormat/>
    <w:rsid w:val="00D543A7"/>
    <w:pPr>
      <w:keepNext/>
      <w:tabs>
        <w:tab w:val="left" w:pos="1080"/>
      </w:tabs>
      <w:outlineLvl w:val="4"/>
    </w:pPr>
    <w:rPr>
      <w:bCs/>
      <w:i/>
      <w:szCs w:val="24"/>
    </w:rPr>
  </w:style>
  <w:style w:type="paragraph" w:styleId="Heading6">
    <w:name w:val="heading 6"/>
    <w:basedOn w:val="Normal"/>
    <w:next w:val="Normal"/>
    <w:link w:val="Heading6Char"/>
    <w:uiPriority w:val="99"/>
    <w:semiHidden/>
    <w:unhideWhenUsed/>
    <w:qFormat/>
    <w:rsid w:val="00514076"/>
    <w:pPr>
      <w:keepNext/>
      <w:outlineLvl w:val="5"/>
    </w:pPr>
    <w:rPr>
      <w:b/>
      <w:bCs/>
      <w:szCs w:val="24"/>
    </w:rPr>
  </w:style>
  <w:style w:type="paragraph" w:styleId="Heading7">
    <w:name w:val="heading 7"/>
    <w:basedOn w:val="Normal"/>
    <w:next w:val="Normal"/>
    <w:link w:val="Heading7Char"/>
    <w:uiPriority w:val="99"/>
    <w:semiHidden/>
    <w:unhideWhenUsed/>
    <w:qFormat/>
    <w:rsid w:val="00514076"/>
    <w:pPr>
      <w:keepNext/>
      <w:outlineLvl w:val="6"/>
    </w:pPr>
    <w:rPr>
      <w:b/>
      <w:bCs/>
      <w:szCs w:val="24"/>
    </w:rPr>
  </w:style>
  <w:style w:type="paragraph" w:styleId="Heading8">
    <w:name w:val="heading 8"/>
    <w:basedOn w:val="Normal"/>
    <w:next w:val="Normal"/>
    <w:link w:val="Heading8Char"/>
    <w:uiPriority w:val="99"/>
    <w:semiHidden/>
    <w:unhideWhenUsed/>
    <w:qFormat/>
    <w:rsid w:val="00514076"/>
    <w:pPr>
      <w:keepNext/>
      <w:outlineLvl w:val="7"/>
    </w:pPr>
    <w:rPr>
      <w:b/>
      <w:bCs/>
    </w:rPr>
  </w:style>
  <w:style w:type="paragraph" w:styleId="Heading9">
    <w:name w:val="heading 9"/>
    <w:basedOn w:val="Normal"/>
    <w:next w:val="Normal"/>
    <w:link w:val="Heading9Char"/>
    <w:uiPriority w:val="99"/>
    <w:semiHidden/>
    <w:unhideWhenUsed/>
    <w:qFormat/>
    <w:rsid w:val="00514076"/>
    <w:pPr>
      <w:keepNext/>
      <w:outlineLvl w:val="8"/>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qFormat/>
    <w:rsid w:val="00514076"/>
    <w:rPr>
      <w:vertAlign w:val="superscript"/>
    </w:rPr>
  </w:style>
  <w:style w:type="paragraph" w:styleId="Footer">
    <w:name w:val="footer"/>
    <w:basedOn w:val="Normal"/>
    <w:link w:val="FooterChar"/>
    <w:uiPriority w:val="99"/>
    <w:rsid w:val="00514076"/>
    <w:pPr>
      <w:pBdr>
        <w:top w:val="single" w:sz="4" w:space="1" w:color="002C5F"/>
      </w:pBdr>
      <w:tabs>
        <w:tab w:val="center" w:pos="4680"/>
        <w:tab w:val="right" w:pos="9360"/>
      </w:tabs>
    </w:pPr>
  </w:style>
  <w:style w:type="character" w:customStyle="1" w:styleId="FooterChar">
    <w:name w:val="Footer Char"/>
    <w:basedOn w:val="DefaultParagraphFont"/>
    <w:link w:val="Footer"/>
    <w:uiPriority w:val="99"/>
    <w:rsid w:val="00514076"/>
    <w:rPr>
      <w:rFonts w:ascii="Calibri" w:hAnsi="Calibri" w:cs="Times"/>
      <w:sz w:val="24"/>
      <w:szCs w:val="22"/>
    </w:rPr>
  </w:style>
  <w:style w:type="paragraph" w:styleId="Title">
    <w:name w:val="Title"/>
    <w:aliases w:val="Text"/>
    <w:basedOn w:val="Normal"/>
    <w:link w:val="TitleChar"/>
    <w:qFormat/>
    <w:rsid w:val="00123BBA"/>
    <w:pPr>
      <w:spacing w:before="4400" w:after="480"/>
      <w:jc w:val="center"/>
      <w:outlineLvl w:val="0"/>
    </w:pPr>
    <w:rPr>
      <w:rFonts w:ascii="Arial" w:hAnsi="Arial" w:cs="Arial"/>
      <w:b/>
      <w:bCs/>
      <w:color w:val="002C5F"/>
      <w:kern w:val="28"/>
      <w:sz w:val="56"/>
      <w:szCs w:val="72"/>
    </w:rPr>
  </w:style>
  <w:style w:type="character" w:customStyle="1" w:styleId="TitleChar">
    <w:name w:val="Title Char"/>
    <w:aliases w:val="Text Char"/>
    <w:basedOn w:val="DefaultParagraphFont"/>
    <w:link w:val="Title"/>
    <w:rsid w:val="00123BBA"/>
    <w:rPr>
      <w:rFonts w:ascii="Arial" w:hAnsi="Arial" w:cs="Arial"/>
      <w:b/>
      <w:bCs/>
      <w:color w:val="002C5F"/>
      <w:kern w:val="28"/>
      <w:sz w:val="56"/>
      <w:szCs w:val="72"/>
    </w:rPr>
  </w:style>
  <w:style w:type="character" w:styleId="Hyperlink">
    <w:name w:val="Hyperlink"/>
    <w:basedOn w:val="DefaultParagraphFont"/>
    <w:uiPriority w:val="99"/>
    <w:rsid w:val="00514076"/>
    <w:rPr>
      <w:color w:val="0000FF"/>
      <w:u w:val="single"/>
      <w:lang w:val="en-US"/>
    </w:rPr>
  </w:style>
  <w:style w:type="paragraph" w:styleId="TOC1">
    <w:name w:val="toc 1"/>
    <w:basedOn w:val="Normal"/>
    <w:autoRedefine/>
    <w:uiPriority w:val="39"/>
    <w:rsid w:val="00883F00"/>
    <w:pPr>
      <w:tabs>
        <w:tab w:val="left" w:pos="360"/>
        <w:tab w:val="right" w:leader="dot" w:pos="9360"/>
      </w:tabs>
      <w:spacing w:before="120"/>
    </w:pPr>
    <w:rPr>
      <w:b/>
      <w:bCs/>
      <w:szCs w:val="20"/>
    </w:rPr>
  </w:style>
  <w:style w:type="paragraph" w:styleId="TOC2">
    <w:name w:val="toc 2"/>
    <w:basedOn w:val="Normal"/>
    <w:autoRedefine/>
    <w:uiPriority w:val="39"/>
    <w:rsid w:val="00883F00"/>
    <w:pPr>
      <w:tabs>
        <w:tab w:val="left" w:pos="720"/>
        <w:tab w:val="right" w:leader="dot" w:pos="9360"/>
      </w:tabs>
      <w:spacing w:before="120"/>
      <w:ind w:left="360"/>
    </w:pPr>
    <w:rPr>
      <w:szCs w:val="20"/>
    </w:rPr>
  </w:style>
  <w:style w:type="paragraph" w:styleId="TOC4">
    <w:name w:val="toc 4"/>
    <w:basedOn w:val="Normal"/>
    <w:next w:val="Normal"/>
    <w:autoRedefine/>
    <w:uiPriority w:val="39"/>
    <w:rsid w:val="00514076"/>
    <w:pPr>
      <w:tabs>
        <w:tab w:val="right" w:leader="dot" w:pos="9350"/>
      </w:tabs>
      <w:ind w:left="1008"/>
    </w:pPr>
  </w:style>
  <w:style w:type="paragraph" w:styleId="TOC3">
    <w:name w:val="toc 3"/>
    <w:basedOn w:val="Normal"/>
    <w:autoRedefine/>
    <w:uiPriority w:val="39"/>
    <w:rsid w:val="00514076"/>
    <w:pPr>
      <w:tabs>
        <w:tab w:val="left" w:pos="1080"/>
        <w:tab w:val="right" w:leader="dot" w:pos="9360"/>
      </w:tabs>
      <w:ind w:left="720"/>
    </w:pPr>
    <w:rPr>
      <w:szCs w:val="24"/>
    </w:rPr>
  </w:style>
  <w:style w:type="paragraph" w:styleId="TOC5">
    <w:name w:val="toc 5"/>
    <w:basedOn w:val="Normal"/>
    <w:next w:val="Normal"/>
    <w:uiPriority w:val="39"/>
    <w:rsid w:val="00311EF9"/>
    <w:pPr>
      <w:tabs>
        <w:tab w:val="right" w:leader="dot" w:pos="9360"/>
      </w:tabs>
      <w:spacing w:before="40" w:after="40"/>
      <w:ind w:left="1080" w:right="720" w:hanging="1080"/>
    </w:pPr>
    <w:rPr>
      <w:noProof/>
      <w:szCs w:val="20"/>
    </w:rPr>
  </w:style>
  <w:style w:type="paragraph" w:customStyle="1" w:styleId="TOC0">
    <w:name w:val="TOC 0"/>
    <w:basedOn w:val="Normal"/>
    <w:rsid w:val="00311EF9"/>
    <w:pPr>
      <w:spacing w:after="240"/>
      <w:jc w:val="center"/>
    </w:pPr>
    <w:rPr>
      <w:b/>
      <w:caps/>
      <w:sz w:val="28"/>
      <w:szCs w:val="20"/>
    </w:rPr>
  </w:style>
  <w:style w:type="paragraph" w:styleId="Header">
    <w:name w:val="header"/>
    <w:basedOn w:val="Normal"/>
    <w:link w:val="HeaderChar"/>
    <w:uiPriority w:val="99"/>
    <w:rsid w:val="00514076"/>
    <w:pPr>
      <w:pBdr>
        <w:bottom w:val="single" w:sz="4" w:space="1" w:color="auto"/>
      </w:pBdr>
      <w:tabs>
        <w:tab w:val="right" w:pos="9360"/>
      </w:tabs>
    </w:pPr>
    <w:rPr>
      <w:rFonts w:cs="Arial"/>
      <w:i/>
      <w:iCs/>
      <w:color w:val="005295"/>
      <w:sz w:val="20"/>
      <w:szCs w:val="18"/>
    </w:rPr>
  </w:style>
  <w:style w:type="character" w:customStyle="1" w:styleId="HeaderChar">
    <w:name w:val="Header Char"/>
    <w:basedOn w:val="DefaultParagraphFont"/>
    <w:link w:val="Header"/>
    <w:uiPriority w:val="99"/>
    <w:rsid w:val="00514076"/>
    <w:rPr>
      <w:rFonts w:ascii="Calibri" w:hAnsi="Calibri" w:cs="Arial"/>
      <w:i/>
      <w:iCs/>
      <w:color w:val="005295"/>
      <w:szCs w:val="18"/>
    </w:rPr>
  </w:style>
  <w:style w:type="paragraph" w:styleId="BodyText">
    <w:name w:val="Body Text"/>
    <w:basedOn w:val="Normal"/>
    <w:link w:val="BodyTextChar"/>
    <w:uiPriority w:val="99"/>
    <w:rsid w:val="00311EF9"/>
    <w:pPr>
      <w:spacing w:before="240" w:after="120" w:line="360" w:lineRule="auto"/>
      <w:ind w:firstLine="720"/>
    </w:pPr>
    <w:rPr>
      <w:szCs w:val="20"/>
    </w:rPr>
  </w:style>
  <w:style w:type="character" w:customStyle="1" w:styleId="BodyTextChar">
    <w:name w:val="Body Text Char"/>
    <w:basedOn w:val="DefaultParagraphFont"/>
    <w:link w:val="BodyText"/>
    <w:uiPriority w:val="99"/>
    <w:rsid w:val="00311EF9"/>
    <w:rPr>
      <w:sz w:val="24"/>
    </w:rPr>
  </w:style>
  <w:style w:type="character" w:styleId="CommentReference">
    <w:name w:val="annotation reference"/>
    <w:basedOn w:val="DefaultParagraphFont"/>
    <w:uiPriority w:val="99"/>
    <w:rsid w:val="00514076"/>
    <w:rPr>
      <w:sz w:val="16"/>
      <w:szCs w:val="16"/>
    </w:rPr>
  </w:style>
  <w:style w:type="paragraph" w:styleId="CommentText">
    <w:name w:val="annotation text"/>
    <w:basedOn w:val="Normal"/>
    <w:link w:val="CommentTextChar"/>
    <w:uiPriority w:val="99"/>
    <w:rsid w:val="00514076"/>
    <w:rPr>
      <w:sz w:val="20"/>
      <w:szCs w:val="20"/>
    </w:rPr>
  </w:style>
  <w:style w:type="character" w:customStyle="1" w:styleId="CommentTextChar">
    <w:name w:val="Comment Text Char"/>
    <w:basedOn w:val="DefaultParagraphFont"/>
    <w:link w:val="CommentText"/>
    <w:uiPriority w:val="99"/>
    <w:rsid w:val="00514076"/>
    <w:rPr>
      <w:rFonts w:ascii="Calibri" w:hAnsi="Calibri" w:cs="Times"/>
    </w:rPr>
  </w:style>
  <w:style w:type="paragraph" w:styleId="CommentSubject">
    <w:name w:val="annotation subject"/>
    <w:basedOn w:val="CommentText"/>
    <w:next w:val="CommentText"/>
    <w:link w:val="CommentSubjectChar"/>
    <w:uiPriority w:val="99"/>
    <w:rsid w:val="00514076"/>
    <w:rPr>
      <w:b/>
      <w:bCs/>
    </w:rPr>
  </w:style>
  <w:style w:type="character" w:customStyle="1" w:styleId="CommentSubjectChar">
    <w:name w:val="Comment Subject Char"/>
    <w:basedOn w:val="CommentTextChar"/>
    <w:link w:val="CommentSubject"/>
    <w:uiPriority w:val="99"/>
    <w:rsid w:val="00514076"/>
    <w:rPr>
      <w:rFonts w:ascii="Calibri" w:hAnsi="Calibri" w:cs="Times"/>
      <w:b/>
      <w:bCs/>
    </w:rPr>
  </w:style>
  <w:style w:type="paragraph" w:styleId="BalloonText">
    <w:name w:val="Balloon Text"/>
    <w:basedOn w:val="Normal"/>
    <w:link w:val="BalloonTextChar"/>
    <w:uiPriority w:val="99"/>
    <w:rsid w:val="00514076"/>
    <w:rPr>
      <w:rFonts w:ascii="Tahoma" w:hAnsi="Tahoma" w:cs="Tahoma"/>
      <w:sz w:val="16"/>
      <w:szCs w:val="16"/>
    </w:rPr>
  </w:style>
  <w:style w:type="character" w:customStyle="1" w:styleId="BalloonTextChar">
    <w:name w:val="Balloon Text Char"/>
    <w:basedOn w:val="DefaultParagraphFont"/>
    <w:link w:val="BalloonText"/>
    <w:uiPriority w:val="99"/>
    <w:rsid w:val="00514076"/>
    <w:rPr>
      <w:rFonts w:ascii="Tahoma" w:hAnsi="Tahoma" w:cs="Tahoma"/>
      <w:sz w:val="16"/>
      <w:szCs w:val="16"/>
    </w:rPr>
  </w:style>
  <w:style w:type="character" w:customStyle="1" w:styleId="Heading3Char">
    <w:name w:val="Heading 3 Char"/>
    <w:aliases w:val="P.Heading 3 Char"/>
    <w:basedOn w:val="DefaultParagraphFont"/>
    <w:link w:val="Heading3"/>
    <w:uiPriority w:val="9"/>
    <w:rsid w:val="00096197"/>
    <w:rPr>
      <w:rFonts w:ascii="Arial" w:hAnsi="Arial" w:cs="Arial"/>
      <w:b/>
      <w:bCs/>
      <w:color w:val="000000" w:themeColor="text1"/>
      <w:sz w:val="22"/>
      <w:szCs w:val="22"/>
    </w:rPr>
  </w:style>
  <w:style w:type="character" w:customStyle="1" w:styleId="Heading4Char">
    <w:name w:val="Heading 4 Char"/>
    <w:aliases w:val="P.Heading 4 Char"/>
    <w:basedOn w:val="DefaultParagraphFont"/>
    <w:link w:val="Heading4"/>
    <w:uiPriority w:val="99"/>
    <w:rsid w:val="00D543A7"/>
    <w:rPr>
      <w:rFonts w:ascii="Arial" w:hAnsi="Arial" w:cs="Times"/>
      <w:b/>
      <w:bCs/>
      <w:i/>
      <w:iCs/>
      <w:color w:val="000000" w:themeColor="text1"/>
      <w:sz w:val="22"/>
      <w:szCs w:val="24"/>
    </w:rPr>
  </w:style>
  <w:style w:type="character" w:styleId="FollowedHyperlink">
    <w:name w:val="FollowedHyperlink"/>
    <w:basedOn w:val="DefaultParagraphFont"/>
    <w:uiPriority w:val="99"/>
    <w:rsid w:val="00514076"/>
    <w:rPr>
      <w:color w:val="800080"/>
      <w:u w:val="single"/>
    </w:rPr>
  </w:style>
  <w:style w:type="character" w:customStyle="1" w:styleId="Heading1Char">
    <w:name w:val="Heading 1 Char"/>
    <w:aliases w:val="P.Heading 1 Char"/>
    <w:basedOn w:val="DefaultParagraphFont"/>
    <w:link w:val="Heading1"/>
    <w:rsid w:val="00123BBA"/>
    <w:rPr>
      <w:rFonts w:ascii="Arial" w:hAnsi="Arial" w:cs="Arial"/>
      <w:b/>
      <w:bCs/>
      <w:sz w:val="28"/>
      <w:szCs w:val="28"/>
    </w:rPr>
  </w:style>
  <w:style w:type="character" w:customStyle="1" w:styleId="Heading2Char">
    <w:name w:val="Heading 2 Char"/>
    <w:aliases w:val="p.Heading 2 Char"/>
    <w:basedOn w:val="DefaultParagraphFont"/>
    <w:link w:val="Heading2"/>
    <w:rsid w:val="005A2677"/>
    <w:rPr>
      <w:rFonts w:ascii="Arial" w:hAnsi="Arial" w:cs="Arial"/>
      <w:b/>
      <w:bCs/>
      <w:i/>
      <w:iCs/>
      <w:sz w:val="24"/>
    </w:rPr>
  </w:style>
  <w:style w:type="paragraph" w:styleId="Caption">
    <w:name w:val="caption"/>
    <w:basedOn w:val="Normal"/>
    <w:next w:val="Normal"/>
    <w:uiPriority w:val="35"/>
    <w:unhideWhenUsed/>
    <w:qFormat/>
    <w:rsid w:val="00CD4EDB"/>
    <w:rPr>
      <w:b/>
      <w:bCs/>
      <w:szCs w:val="20"/>
    </w:rPr>
  </w:style>
  <w:style w:type="paragraph" w:styleId="TableofFigures">
    <w:name w:val="table of figures"/>
    <w:basedOn w:val="Normal"/>
    <w:next w:val="Normal"/>
    <w:uiPriority w:val="99"/>
    <w:rsid w:val="00CD4EDB"/>
  </w:style>
  <w:style w:type="paragraph" w:styleId="ListParagraph">
    <w:name w:val="List Paragraph"/>
    <w:basedOn w:val="Normal"/>
    <w:uiPriority w:val="34"/>
    <w:qFormat/>
    <w:rsid w:val="00514076"/>
    <w:pPr>
      <w:ind w:left="720"/>
      <w:contextualSpacing/>
    </w:pPr>
    <w:rPr>
      <w:rFonts w:asciiTheme="minorHAnsi" w:eastAsiaTheme="minorHAnsi" w:hAnsiTheme="minorHAnsi" w:cstheme="minorBidi"/>
      <w:sz w:val="22"/>
    </w:rPr>
  </w:style>
  <w:style w:type="paragraph" w:styleId="FootnoteText">
    <w:name w:val="footnote text"/>
    <w:basedOn w:val="Normal"/>
    <w:link w:val="FootnoteTextChar"/>
    <w:uiPriority w:val="99"/>
    <w:qFormat/>
    <w:rsid w:val="00514076"/>
    <w:rPr>
      <w:noProof/>
      <w:sz w:val="20"/>
      <w:szCs w:val="20"/>
    </w:rPr>
  </w:style>
  <w:style w:type="character" w:customStyle="1" w:styleId="FootnoteTextChar">
    <w:name w:val="Footnote Text Char"/>
    <w:basedOn w:val="DefaultParagraphFont"/>
    <w:link w:val="FootnoteText"/>
    <w:uiPriority w:val="99"/>
    <w:rsid w:val="00514076"/>
    <w:rPr>
      <w:rFonts w:cs="Times"/>
      <w:noProof/>
    </w:rPr>
  </w:style>
  <w:style w:type="table" w:styleId="TableGrid">
    <w:name w:val="Table Grid"/>
    <w:basedOn w:val="TableNormal"/>
    <w:uiPriority w:val="59"/>
    <w:rsid w:val="00514076"/>
    <w:rPr>
      <w:rFonts w:ascii="Times" w:hAnsi="Times"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74EA0"/>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Cover2">
    <w:name w:val="Title_Cover 2"/>
    <w:basedOn w:val="Normal"/>
    <w:qFormat/>
    <w:rsid w:val="00123BBA"/>
    <w:pPr>
      <w:spacing w:after="600"/>
      <w:jc w:val="center"/>
    </w:pPr>
    <w:rPr>
      <w:rFonts w:ascii="Arial" w:hAnsi="Arial"/>
      <w:b/>
      <w:sz w:val="32"/>
      <w:szCs w:val="32"/>
    </w:rPr>
  </w:style>
  <w:style w:type="paragraph" w:customStyle="1" w:styleId="ContentsTitleNOTOC">
    <w:name w:val="Contents Title_NO TOC"/>
    <w:qFormat/>
    <w:rsid w:val="00123BBA"/>
    <w:pPr>
      <w:spacing w:after="360"/>
      <w:jc w:val="center"/>
    </w:pPr>
    <w:rPr>
      <w:rFonts w:ascii="Arial" w:hAnsi="Arial"/>
      <w:b/>
      <w:bCs/>
      <w:kern w:val="32"/>
      <w:sz w:val="32"/>
      <w:szCs w:val="32"/>
    </w:rPr>
  </w:style>
  <w:style w:type="paragraph" w:customStyle="1" w:styleId="ContentsSubtitle">
    <w:name w:val="Contents_Subtitle"/>
    <w:basedOn w:val="Normal"/>
    <w:qFormat/>
    <w:rsid w:val="00123BBA"/>
    <w:pPr>
      <w:tabs>
        <w:tab w:val="right" w:pos="9360"/>
      </w:tabs>
    </w:pPr>
    <w:rPr>
      <w:rFonts w:ascii="Arial" w:hAnsi="Arial"/>
      <w:b/>
      <w:color w:val="000000"/>
    </w:rPr>
  </w:style>
  <w:style w:type="table" w:customStyle="1" w:styleId="AIRTable">
    <w:name w:val="AIR Table"/>
    <w:basedOn w:val="TableNormal"/>
    <w:uiPriority w:val="99"/>
    <w:qFormat/>
    <w:rsid w:val="00514076"/>
    <w:rPr>
      <w:rFonts w:ascii="Arial" w:hAnsi="Arial"/>
      <w:szCs w:val="22"/>
    </w:rPr>
    <w:tblPr>
      <w:tblInd w:w="86" w:type="dxa"/>
      <w:tblBorders>
        <w:top w:val="single" w:sz="4" w:space="0" w:color="002C5F"/>
        <w:left w:val="single" w:sz="4" w:space="0" w:color="002C5F"/>
        <w:bottom w:val="single" w:sz="4" w:space="0" w:color="002C5F"/>
        <w:right w:val="single" w:sz="4" w:space="0" w:color="002C5F"/>
        <w:insideH w:val="single" w:sz="4" w:space="0" w:color="002C5F"/>
        <w:insideV w:val="single" w:sz="4" w:space="0" w:color="002C5F"/>
      </w:tblBorders>
      <w:tblCellMar>
        <w:top w:w="29" w:type="dxa"/>
        <w:left w:w="72" w:type="dxa"/>
        <w:bottom w:w="29" w:type="dxa"/>
        <w:right w:w="72" w:type="dxa"/>
      </w:tblCellMar>
    </w:tbl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themeColor="background1"/>
        <w:sz w:val="20"/>
      </w:rPr>
      <w:tblPr/>
      <w:tcPr>
        <w:tcBorders>
          <w:top w:val="single" w:sz="4" w:space="0" w:color="002C5F"/>
          <w:left w:val="single" w:sz="4" w:space="0" w:color="002C5F"/>
          <w:bottom w:val="single" w:sz="4" w:space="0" w:color="002C5F"/>
          <w:right w:val="single" w:sz="4" w:space="0" w:color="002C5F"/>
          <w:insideH w:val="nil"/>
          <w:insideV w:val="single" w:sz="4" w:space="0" w:color="FFFFFF" w:themeColor="background1"/>
          <w:tl2br w:val="nil"/>
          <w:tr2bl w:val="nil"/>
        </w:tcBorders>
        <w:shd w:val="clear" w:color="auto" w:fill="002C5F"/>
      </w:tcPr>
    </w:tblStylePr>
  </w:style>
  <w:style w:type="paragraph" w:customStyle="1" w:styleId="CoverNames">
    <w:name w:val="Cover_Names"/>
    <w:qFormat/>
    <w:rsid w:val="00514076"/>
    <w:rPr>
      <w:rFonts w:asciiTheme="minorHAnsi" w:eastAsiaTheme="minorHAnsi" w:hAnsiTheme="minorHAnsi" w:cstheme="minorHAnsi"/>
      <w:b/>
      <w:sz w:val="24"/>
      <w:szCs w:val="24"/>
    </w:rPr>
  </w:style>
  <w:style w:type="paragraph" w:customStyle="1" w:styleId="Default">
    <w:name w:val="Default"/>
    <w:rsid w:val="00514076"/>
    <w:pPr>
      <w:autoSpaceDE w:val="0"/>
      <w:autoSpaceDN w:val="0"/>
      <w:adjustRightInd w:val="0"/>
    </w:pPr>
    <w:rPr>
      <w:rFonts w:ascii="Calibri" w:hAnsi="Calibri" w:cs="Times"/>
      <w:color w:val="000000"/>
      <w:sz w:val="24"/>
      <w:szCs w:val="24"/>
    </w:rPr>
  </w:style>
  <w:style w:type="paragraph" w:styleId="EndnoteText">
    <w:name w:val="endnote text"/>
    <w:basedOn w:val="Normal"/>
    <w:link w:val="EndnoteTextChar"/>
    <w:uiPriority w:val="99"/>
    <w:unhideWhenUsed/>
    <w:rsid w:val="00514076"/>
    <w:rPr>
      <w:sz w:val="20"/>
      <w:szCs w:val="20"/>
    </w:rPr>
  </w:style>
  <w:style w:type="character" w:customStyle="1" w:styleId="EndnoteTextChar">
    <w:name w:val="Endnote Text Char"/>
    <w:basedOn w:val="DefaultParagraphFont"/>
    <w:link w:val="EndnoteText"/>
    <w:uiPriority w:val="99"/>
    <w:rsid w:val="00514076"/>
    <w:rPr>
      <w:rFonts w:cs="Times"/>
    </w:rPr>
  </w:style>
  <w:style w:type="paragraph" w:customStyle="1" w:styleId="FooterLetter">
    <w:name w:val="Footer Letter"/>
    <w:basedOn w:val="Normal"/>
    <w:qFormat/>
    <w:rsid w:val="00514076"/>
    <w:pPr>
      <w:pBdr>
        <w:top w:val="single" w:sz="4" w:space="1" w:color="002C5F"/>
      </w:pBdr>
      <w:tabs>
        <w:tab w:val="left" w:pos="216"/>
      </w:tabs>
      <w:jc w:val="center"/>
    </w:pPr>
    <w:rPr>
      <w:rFonts w:ascii="Franklin Gothic Book" w:hAnsi="Franklin Gothic Book" w:cs="Calibri"/>
      <w:color w:val="1F487C"/>
      <w:sz w:val="17"/>
      <w:szCs w:val="17"/>
    </w:rPr>
  </w:style>
  <w:style w:type="paragraph" w:customStyle="1" w:styleId="Footer2">
    <w:name w:val="Footer2"/>
    <w:basedOn w:val="Footer"/>
    <w:rsid w:val="00514076"/>
    <w:pPr>
      <w:tabs>
        <w:tab w:val="clear" w:pos="4680"/>
        <w:tab w:val="clear" w:pos="9360"/>
        <w:tab w:val="right" w:pos="10224"/>
      </w:tabs>
      <w:ind w:right="1800"/>
    </w:pPr>
    <w:rPr>
      <w:rFonts w:asciiTheme="minorHAnsi" w:hAnsiTheme="minorHAnsi" w:cs="Arial"/>
      <w:color w:val="000000" w:themeColor="text1"/>
      <w:sz w:val="16"/>
      <w:szCs w:val="10"/>
    </w:rPr>
  </w:style>
  <w:style w:type="character" w:customStyle="1" w:styleId="Heading5Char">
    <w:name w:val="Heading 5 Char"/>
    <w:basedOn w:val="DefaultParagraphFont"/>
    <w:link w:val="Heading5"/>
    <w:uiPriority w:val="99"/>
    <w:rsid w:val="00D543A7"/>
    <w:rPr>
      <w:rFonts w:cs="Times"/>
      <w:bCs/>
      <w:i/>
      <w:sz w:val="24"/>
      <w:szCs w:val="24"/>
    </w:rPr>
  </w:style>
  <w:style w:type="character" w:customStyle="1" w:styleId="Heading6Char">
    <w:name w:val="Heading 6 Char"/>
    <w:basedOn w:val="DefaultParagraphFont"/>
    <w:link w:val="Heading6"/>
    <w:uiPriority w:val="99"/>
    <w:semiHidden/>
    <w:rsid w:val="00514076"/>
    <w:rPr>
      <w:rFonts w:ascii="Calibri" w:hAnsi="Calibri" w:cs="Times"/>
      <w:b/>
      <w:bCs/>
      <w:sz w:val="24"/>
      <w:szCs w:val="24"/>
    </w:rPr>
  </w:style>
  <w:style w:type="character" w:customStyle="1" w:styleId="Heading7Char">
    <w:name w:val="Heading 7 Char"/>
    <w:basedOn w:val="DefaultParagraphFont"/>
    <w:link w:val="Heading7"/>
    <w:uiPriority w:val="99"/>
    <w:semiHidden/>
    <w:rsid w:val="00514076"/>
    <w:rPr>
      <w:rFonts w:ascii="Calibri" w:hAnsi="Calibri" w:cs="Times"/>
      <w:b/>
      <w:bCs/>
      <w:sz w:val="24"/>
      <w:szCs w:val="24"/>
    </w:rPr>
  </w:style>
  <w:style w:type="character" w:customStyle="1" w:styleId="Heading8Char">
    <w:name w:val="Heading 8 Char"/>
    <w:basedOn w:val="DefaultParagraphFont"/>
    <w:link w:val="Heading8"/>
    <w:uiPriority w:val="99"/>
    <w:semiHidden/>
    <w:rsid w:val="00514076"/>
    <w:rPr>
      <w:rFonts w:ascii="Calibri" w:hAnsi="Calibri" w:cs="Times"/>
      <w:b/>
      <w:bCs/>
      <w:sz w:val="24"/>
      <w:szCs w:val="22"/>
    </w:rPr>
  </w:style>
  <w:style w:type="character" w:customStyle="1" w:styleId="Heading9Char">
    <w:name w:val="Heading 9 Char"/>
    <w:basedOn w:val="DefaultParagraphFont"/>
    <w:link w:val="Heading9"/>
    <w:uiPriority w:val="99"/>
    <w:semiHidden/>
    <w:rsid w:val="00514076"/>
    <w:rPr>
      <w:rFonts w:ascii="Arial" w:hAnsi="Arial" w:cs="Arial"/>
      <w:b/>
      <w:bCs/>
      <w:sz w:val="24"/>
      <w:szCs w:val="24"/>
    </w:rPr>
  </w:style>
  <w:style w:type="paragraph" w:customStyle="1" w:styleId="ListLevel1">
    <w:name w:val="List_Level 1"/>
    <w:qFormat/>
    <w:rsid w:val="00514076"/>
    <w:pPr>
      <w:widowControl w:val="0"/>
      <w:tabs>
        <w:tab w:val="left" w:pos="540"/>
      </w:tabs>
      <w:spacing w:line="274" w:lineRule="auto"/>
      <w:ind w:left="532" w:hanging="446"/>
    </w:pPr>
    <w:rPr>
      <w:rFonts w:ascii="Calibri" w:eastAsia="Calibri" w:hAnsi="Calibri" w:cs="Calibri"/>
      <w:spacing w:val="1"/>
      <w:sz w:val="22"/>
      <w:szCs w:val="22"/>
    </w:rPr>
  </w:style>
  <w:style w:type="paragraph" w:customStyle="1" w:styleId="PContentsSubhead">
    <w:name w:val="P. Contents Subhead"/>
    <w:uiPriority w:val="99"/>
    <w:rsid w:val="00514076"/>
    <w:pPr>
      <w:spacing w:before="240" w:after="240"/>
    </w:pPr>
    <w:rPr>
      <w:rFonts w:ascii="Calibri" w:hAnsi="Calibri" w:cs="Times"/>
      <w:b/>
      <w:bCs/>
      <w:color w:val="002C5F"/>
      <w:sz w:val="24"/>
      <w:szCs w:val="24"/>
    </w:rPr>
  </w:style>
  <w:style w:type="paragraph" w:customStyle="1" w:styleId="PContentsTitle">
    <w:name w:val="P. Contents Title"/>
    <w:uiPriority w:val="99"/>
    <w:rsid w:val="00514076"/>
    <w:pPr>
      <w:spacing w:after="240"/>
      <w:jc w:val="center"/>
    </w:pPr>
    <w:rPr>
      <w:rFonts w:asciiTheme="minorHAnsi" w:hAnsiTheme="minorHAnsi" w:cs="Arial Bold"/>
      <w:b/>
      <w:bCs/>
      <w:color w:val="002C5F"/>
      <w:sz w:val="32"/>
      <w:szCs w:val="28"/>
    </w:rPr>
  </w:style>
  <w:style w:type="paragraph" w:customStyle="1" w:styleId="PBodyText">
    <w:name w:val="P.Body Text"/>
    <w:link w:val="PBodyTextChar"/>
    <w:qFormat/>
    <w:rsid w:val="00514076"/>
    <w:pPr>
      <w:spacing w:after="240"/>
    </w:pPr>
    <w:rPr>
      <w:rFonts w:cs="Times"/>
      <w:sz w:val="24"/>
      <w:szCs w:val="22"/>
    </w:rPr>
  </w:style>
  <w:style w:type="paragraph" w:customStyle="1" w:styleId="PBodyTextIndent1">
    <w:name w:val="P.Body Text_Indent 1"/>
    <w:basedOn w:val="PBodyText"/>
    <w:qFormat/>
    <w:rsid w:val="00096197"/>
    <w:pPr>
      <w:ind w:left="720"/>
    </w:pPr>
  </w:style>
  <w:style w:type="paragraph" w:customStyle="1" w:styleId="PBodyTextPreBullet">
    <w:name w:val="P.Body Text_PreBullet"/>
    <w:basedOn w:val="PBodyText"/>
    <w:qFormat/>
    <w:rsid w:val="00514076"/>
    <w:pPr>
      <w:spacing w:after="120"/>
    </w:pPr>
  </w:style>
  <w:style w:type="paragraph" w:customStyle="1" w:styleId="PBullet">
    <w:name w:val="P.Bullet"/>
    <w:next w:val="Normal"/>
    <w:uiPriority w:val="99"/>
    <w:rsid w:val="00514076"/>
    <w:pPr>
      <w:numPr>
        <w:numId w:val="11"/>
      </w:numPr>
      <w:spacing w:after="120"/>
    </w:pPr>
    <w:rPr>
      <w:rFonts w:cs="Times"/>
      <w:sz w:val="24"/>
      <w:szCs w:val="24"/>
    </w:rPr>
  </w:style>
  <w:style w:type="paragraph" w:customStyle="1" w:styleId="PBullet2">
    <w:name w:val="P.Bullet 2"/>
    <w:basedOn w:val="PBullet"/>
    <w:qFormat/>
    <w:rsid w:val="00514076"/>
    <w:pPr>
      <w:numPr>
        <w:numId w:val="9"/>
      </w:numPr>
      <w:tabs>
        <w:tab w:val="left" w:pos="1080"/>
      </w:tabs>
    </w:pPr>
  </w:style>
  <w:style w:type="paragraph" w:customStyle="1" w:styleId="PBullet3">
    <w:name w:val="P.Bullet 3"/>
    <w:basedOn w:val="PBullet2"/>
    <w:qFormat/>
    <w:rsid w:val="00514076"/>
    <w:pPr>
      <w:numPr>
        <w:numId w:val="10"/>
      </w:numPr>
    </w:pPr>
  </w:style>
  <w:style w:type="paragraph" w:customStyle="1" w:styleId="PBulletLast">
    <w:name w:val="P.Bullet_Last"/>
    <w:basedOn w:val="PBullet"/>
    <w:qFormat/>
    <w:rsid w:val="00101D3E"/>
    <w:pPr>
      <w:spacing w:after="240"/>
    </w:pPr>
  </w:style>
  <w:style w:type="paragraph" w:customStyle="1" w:styleId="PContentsTitle0">
    <w:name w:val="P.Contents Title"/>
    <w:uiPriority w:val="99"/>
    <w:rsid w:val="00514076"/>
    <w:pPr>
      <w:spacing w:after="240"/>
      <w:jc w:val="center"/>
    </w:pPr>
    <w:rPr>
      <w:rFonts w:ascii="Arial" w:hAnsi="Arial" w:cs="Arial"/>
      <w:b/>
      <w:bCs/>
      <w:sz w:val="28"/>
      <w:szCs w:val="28"/>
    </w:rPr>
  </w:style>
  <w:style w:type="paragraph" w:customStyle="1" w:styleId="PCoverHead1">
    <w:name w:val="P.Cover Head 1"/>
    <w:basedOn w:val="Normal"/>
    <w:rsid w:val="00514076"/>
    <w:pPr>
      <w:suppressAutoHyphens/>
      <w:autoSpaceDE w:val="0"/>
      <w:autoSpaceDN w:val="0"/>
      <w:adjustRightInd w:val="0"/>
      <w:spacing w:before="450"/>
      <w:textAlignment w:val="center"/>
    </w:pPr>
    <w:rPr>
      <w:rFonts w:ascii="Franklin Gothic Demi" w:eastAsia="Calibri" w:hAnsi="Franklin Gothic Demi" w:cs="Calibri"/>
      <w:b/>
      <w:color w:val="000000"/>
      <w:sz w:val="48"/>
      <w:szCs w:val="48"/>
    </w:rPr>
  </w:style>
  <w:style w:type="paragraph" w:customStyle="1" w:styleId="PCoverHead2">
    <w:name w:val="P.Cover Head 2"/>
    <w:basedOn w:val="Normal"/>
    <w:uiPriority w:val="99"/>
    <w:rsid w:val="00514076"/>
    <w:pPr>
      <w:suppressAutoHyphens/>
      <w:autoSpaceDE w:val="0"/>
      <w:autoSpaceDN w:val="0"/>
      <w:adjustRightInd w:val="0"/>
      <w:spacing w:before="1000"/>
      <w:textAlignment w:val="center"/>
    </w:pPr>
    <w:rPr>
      <w:rFonts w:ascii="Franklin Gothic Demi" w:eastAsia="Calibri" w:hAnsi="Franklin Gothic Demi" w:cs="Calibri-Bold"/>
      <w:b/>
      <w:bCs/>
      <w:caps/>
      <w:color w:val="000000"/>
      <w:sz w:val="32"/>
      <w:szCs w:val="32"/>
    </w:rPr>
  </w:style>
  <w:style w:type="paragraph" w:customStyle="1" w:styleId="PCoverHead3">
    <w:name w:val="P.Cover Head 3"/>
    <w:basedOn w:val="Normal"/>
    <w:uiPriority w:val="99"/>
    <w:rsid w:val="00514076"/>
    <w:pPr>
      <w:tabs>
        <w:tab w:val="left" w:pos="1620"/>
        <w:tab w:val="left" w:pos="5400"/>
      </w:tabs>
      <w:suppressAutoHyphens/>
      <w:autoSpaceDE w:val="0"/>
      <w:autoSpaceDN w:val="0"/>
      <w:adjustRightInd w:val="0"/>
      <w:spacing w:before="270"/>
      <w:ind w:left="1627" w:hanging="1627"/>
      <w:textAlignment w:val="center"/>
    </w:pPr>
    <w:rPr>
      <w:rFonts w:ascii="Franklin Gothic Book" w:eastAsia="Calibri" w:hAnsi="Franklin Gothic Book" w:cs="Calibri"/>
      <w:color w:val="000000"/>
      <w:sz w:val="22"/>
    </w:rPr>
  </w:style>
  <w:style w:type="paragraph" w:customStyle="1" w:styleId="PCoverConfidentialityStatement">
    <w:name w:val="P.Cover_Confidentiality Statement"/>
    <w:basedOn w:val="Normal"/>
    <w:qFormat/>
    <w:rsid w:val="00514076"/>
    <w:pPr>
      <w:suppressAutoHyphens/>
      <w:autoSpaceDE w:val="0"/>
      <w:autoSpaceDN w:val="0"/>
      <w:adjustRightInd w:val="0"/>
      <w:spacing w:before="300"/>
      <w:textAlignment w:val="center"/>
    </w:pPr>
    <w:rPr>
      <w:rFonts w:ascii="Franklin Gothic Book" w:eastAsia="Calibri" w:hAnsi="Franklin Gothic Book" w:cs="Calibri"/>
      <w:color w:val="000000"/>
      <w:sz w:val="17"/>
      <w:szCs w:val="16"/>
    </w:rPr>
  </w:style>
  <w:style w:type="paragraph" w:customStyle="1" w:styleId="PCvrLetter">
    <w:name w:val="P.CvrLetter"/>
    <w:basedOn w:val="PCoverHead3"/>
    <w:uiPriority w:val="99"/>
    <w:rsid w:val="00514076"/>
    <w:pPr>
      <w:spacing w:after="240"/>
    </w:pPr>
    <w:rPr>
      <w:rFonts w:asciiTheme="minorHAnsi" w:hAnsiTheme="minorHAnsi" w:cs="Times"/>
      <w:sz w:val="24"/>
      <w:szCs w:val="24"/>
    </w:rPr>
  </w:style>
  <w:style w:type="paragraph" w:customStyle="1" w:styleId="PFooter-Address-Letter">
    <w:name w:val="P.Footer-Address-Letter"/>
    <w:basedOn w:val="Normal"/>
    <w:qFormat/>
    <w:rsid w:val="00514076"/>
    <w:pPr>
      <w:widowControl w:val="0"/>
      <w:tabs>
        <w:tab w:val="center" w:pos="4320"/>
        <w:tab w:val="right" w:pos="8640"/>
      </w:tabs>
      <w:ind w:left="-576" w:right="-576"/>
    </w:pPr>
    <w:rPr>
      <w:rFonts w:ascii="Palatino" w:hAnsi="Palatino" w:cs="Times New Roman"/>
      <w:snapToGrid w:val="0"/>
      <w:color w:val="005295"/>
      <w:sz w:val="16"/>
      <w:szCs w:val="16"/>
    </w:rPr>
  </w:style>
  <w:style w:type="paragraph" w:customStyle="1" w:styleId="PNumbering">
    <w:name w:val="P.Numbering"/>
    <w:link w:val="PNumberingChar"/>
    <w:uiPriority w:val="99"/>
    <w:rsid w:val="00D543A7"/>
    <w:pPr>
      <w:numPr>
        <w:numId w:val="28"/>
      </w:numPr>
      <w:tabs>
        <w:tab w:val="left" w:pos="720"/>
      </w:tabs>
      <w:spacing w:after="120"/>
    </w:pPr>
    <w:rPr>
      <w:rFonts w:cs="Times"/>
      <w:sz w:val="24"/>
      <w:szCs w:val="24"/>
    </w:rPr>
  </w:style>
  <w:style w:type="character" w:customStyle="1" w:styleId="PNumberingChar">
    <w:name w:val="P.Numbering Char"/>
    <w:basedOn w:val="DefaultParagraphFont"/>
    <w:link w:val="PNumbering"/>
    <w:uiPriority w:val="99"/>
    <w:locked/>
    <w:rsid w:val="00D543A7"/>
    <w:rPr>
      <w:rFonts w:cs="Times"/>
      <w:sz w:val="24"/>
      <w:szCs w:val="24"/>
    </w:rPr>
  </w:style>
  <w:style w:type="paragraph" w:customStyle="1" w:styleId="PNumberingLast">
    <w:name w:val="P.Numbering Last"/>
    <w:basedOn w:val="PNumbering"/>
    <w:uiPriority w:val="99"/>
    <w:rsid w:val="00A639DF"/>
    <w:pPr>
      <w:numPr>
        <w:numId w:val="24"/>
      </w:numPr>
      <w:tabs>
        <w:tab w:val="clear" w:pos="360"/>
      </w:tabs>
      <w:spacing w:after="240"/>
    </w:pPr>
  </w:style>
  <w:style w:type="paragraph" w:customStyle="1" w:styleId="PNumberingLeftMargin">
    <w:name w:val="P.Numbering Left Margin"/>
    <w:basedOn w:val="PNumbering"/>
    <w:uiPriority w:val="99"/>
    <w:rsid w:val="00514076"/>
    <w:pPr>
      <w:ind w:left="0" w:firstLine="0"/>
    </w:pPr>
  </w:style>
  <w:style w:type="paragraph" w:customStyle="1" w:styleId="PQuotes">
    <w:name w:val="P.Quotes"/>
    <w:uiPriority w:val="99"/>
    <w:rsid w:val="00514076"/>
    <w:pPr>
      <w:pBdr>
        <w:top w:val="single" w:sz="4" w:space="1" w:color="auto"/>
        <w:bottom w:val="single" w:sz="4" w:space="1" w:color="auto"/>
      </w:pBdr>
      <w:spacing w:before="120" w:after="120"/>
      <w:ind w:left="144" w:right="144"/>
    </w:pPr>
    <w:rPr>
      <w:rFonts w:ascii="Calibri" w:hAnsi="Calibri" w:cs="Times"/>
      <w:i/>
      <w:iCs/>
      <w:szCs w:val="24"/>
    </w:rPr>
  </w:style>
  <w:style w:type="paragraph" w:customStyle="1" w:styleId="PReference">
    <w:name w:val="P.Reference"/>
    <w:basedOn w:val="Normal"/>
    <w:uiPriority w:val="99"/>
    <w:rsid w:val="00514076"/>
    <w:pPr>
      <w:keepLines/>
      <w:tabs>
        <w:tab w:val="right" w:pos="9540"/>
      </w:tabs>
      <w:suppressAutoHyphens/>
      <w:spacing w:after="240"/>
      <w:ind w:left="360" w:hanging="360"/>
      <w:outlineLvl w:val="0"/>
    </w:pPr>
    <w:rPr>
      <w:rFonts w:ascii="Arial Narrow" w:hAnsi="Arial Narrow"/>
      <w:sz w:val="20"/>
      <w:szCs w:val="24"/>
    </w:rPr>
  </w:style>
  <w:style w:type="paragraph" w:customStyle="1" w:styleId="PTableBullet1">
    <w:name w:val="P.Table Bullet 1"/>
    <w:basedOn w:val="PBullet"/>
    <w:uiPriority w:val="99"/>
    <w:rsid w:val="00514076"/>
    <w:pPr>
      <w:numPr>
        <w:numId w:val="15"/>
      </w:numPr>
      <w:spacing w:before="20" w:after="20"/>
    </w:pPr>
    <w:rPr>
      <w:rFonts w:ascii="Arial" w:hAnsi="Arial" w:cs="Arial"/>
      <w:szCs w:val="20"/>
    </w:rPr>
  </w:style>
  <w:style w:type="paragraph" w:customStyle="1" w:styleId="PTablebullet2">
    <w:name w:val="P.Table bullet 2"/>
    <w:basedOn w:val="Normal"/>
    <w:uiPriority w:val="99"/>
    <w:rsid w:val="00514076"/>
    <w:pPr>
      <w:spacing w:line="220" w:lineRule="exact"/>
    </w:pPr>
    <w:rPr>
      <w:rFonts w:cs="Arial"/>
      <w:sz w:val="20"/>
      <w:szCs w:val="20"/>
    </w:rPr>
  </w:style>
  <w:style w:type="paragraph" w:customStyle="1" w:styleId="PTableHeading">
    <w:name w:val="P.Table Heading"/>
    <w:uiPriority w:val="99"/>
    <w:rsid w:val="005A1560"/>
    <w:pPr>
      <w:keepNext/>
      <w:jc w:val="center"/>
    </w:pPr>
    <w:rPr>
      <w:rFonts w:ascii="Arial" w:hAnsi="Arial" w:cs="Arial"/>
      <w:b/>
      <w:bCs/>
      <w:color w:val="FFFFFF"/>
    </w:rPr>
  </w:style>
  <w:style w:type="paragraph" w:customStyle="1" w:styleId="PTableSource">
    <w:name w:val="P.Table Source"/>
    <w:uiPriority w:val="99"/>
    <w:rsid w:val="00514076"/>
    <w:pPr>
      <w:tabs>
        <w:tab w:val="left" w:pos="180"/>
      </w:tabs>
      <w:spacing w:before="60"/>
      <w:ind w:left="180" w:hanging="180"/>
    </w:pPr>
    <w:rPr>
      <w:rFonts w:ascii="Arial" w:hAnsi="Arial" w:cs="Arial"/>
      <w:sz w:val="16"/>
      <w:szCs w:val="16"/>
    </w:rPr>
  </w:style>
  <w:style w:type="paragraph" w:customStyle="1" w:styleId="PTableText">
    <w:name w:val="P.Table Text"/>
    <w:link w:val="PTableTextChar"/>
    <w:uiPriority w:val="99"/>
    <w:rsid w:val="00883F00"/>
    <w:rPr>
      <w:rFonts w:ascii="Arial" w:hAnsi="Arial" w:cs="Arial"/>
    </w:rPr>
  </w:style>
  <w:style w:type="paragraph" w:customStyle="1" w:styleId="PTableTextIndent">
    <w:name w:val="P.Table Text Indent"/>
    <w:basedOn w:val="PTableText"/>
    <w:uiPriority w:val="99"/>
    <w:rsid w:val="005A1560"/>
    <w:pPr>
      <w:ind w:left="389" w:right="144" w:hanging="245"/>
    </w:pPr>
  </w:style>
  <w:style w:type="paragraph" w:customStyle="1" w:styleId="PTableTitle">
    <w:name w:val="P.Table Title"/>
    <w:uiPriority w:val="99"/>
    <w:rsid w:val="005A1560"/>
    <w:pPr>
      <w:keepNext/>
      <w:keepLines/>
      <w:spacing w:after="60"/>
      <w:ind w:left="1224" w:hanging="1224"/>
    </w:pPr>
    <w:rPr>
      <w:rFonts w:ascii="Arial" w:hAnsi="Arial" w:cs="Times"/>
      <w:b/>
      <w:bCs/>
      <w:szCs w:val="24"/>
    </w:rPr>
  </w:style>
  <w:style w:type="paragraph" w:customStyle="1" w:styleId="PTitleRight">
    <w:name w:val="P.Title Right"/>
    <w:uiPriority w:val="99"/>
    <w:rsid w:val="00514076"/>
    <w:pPr>
      <w:jc w:val="right"/>
    </w:pPr>
    <w:rPr>
      <w:rFonts w:ascii="Arial Narrow" w:hAnsi="Arial Narrow" w:cs="Arial Narrow"/>
      <w:sz w:val="24"/>
      <w:szCs w:val="24"/>
    </w:rPr>
  </w:style>
  <w:style w:type="character" w:styleId="PageNumber">
    <w:name w:val="page number"/>
    <w:basedOn w:val="DefaultParagraphFont"/>
    <w:uiPriority w:val="99"/>
    <w:rsid w:val="00514076"/>
    <w:rPr>
      <w:rFonts w:ascii="Calibri" w:hAnsi="Calibri" w:cs="Arial"/>
      <w:sz w:val="20"/>
      <w:szCs w:val="18"/>
      <w:lang w:val="en-US"/>
    </w:rPr>
  </w:style>
  <w:style w:type="paragraph" w:styleId="Revision">
    <w:name w:val="Revision"/>
    <w:hidden/>
    <w:uiPriority w:val="99"/>
    <w:semiHidden/>
    <w:rsid w:val="00C038FD"/>
    <w:rPr>
      <w:rFonts w:cs="Times"/>
      <w:sz w:val="24"/>
      <w:szCs w:val="22"/>
    </w:rPr>
  </w:style>
  <w:style w:type="paragraph" w:customStyle="1" w:styleId="PExhibitTitle">
    <w:name w:val="P.Exhibit Title"/>
    <w:qFormat/>
    <w:rsid w:val="006222B9"/>
    <w:pPr>
      <w:keepNext/>
      <w:keepLines/>
      <w:spacing w:after="60"/>
    </w:pPr>
    <w:rPr>
      <w:rFonts w:ascii="Arial" w:hAnsi="Arial" w:cs="Times"/>
      <w:b/>
      <w:bCs/>
      <w:color w:val="002C5F"/>
      <w:szCs w:val="24"/>
      <w:lang w:eastAsia="en-GB"/>
    </w:rPr>
  </w:style>
  <w:style w:type="character" w:customStyle="1" w:styleId="PTableTextChar">
    <w:name w:val="P.Table Text Char"/>
    <w:basedOn w:val="DefaultParagraphFont"/>
    <w:link w:val="PTableText"/>
    <w:uiPriority w:val="99"/>
    <w:locked/>
    <w:rsid w:val="006222B9"/>
    <w:rPr>
      <w:rFonts w:ascii="Arial" w:hAnsi="Arial" w:cs="Arial"/>
    </w:rPr>
  </w:style>
  <w:style w:type="table" w:customStyle="1" w:styleId="TableGrid2">
    <w:name w:val="Table Grid2"/>
    <w:basedOn w:val="TableNormal"/>
    <w:next w:val="TableGrid"/>
    <w:uiPriority w:val="59"/>
    <w:rsid w:val="00DF506E"/>
    <w:rPr>
      <w:rFonts w:asciiTheme="minorHAnsi" w:eastAsia="Calibr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FF32FB"/>
    <w:rPr>
      <w:rFonts w:ascii="Times" w:hAnsi="Times"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B0D9D"/>
    <w:rPr>
      <w:color w:val="808080"/>
    </w:rPr>
  </w:style>
  <w:style w:type="character" w:customStyle="1" w:styleId="PBodyTextChar">
    <w:name w:val="P.Body Text Char"/>
    <w:basedOn w:val="DefaultParagraphFont"/>
    <w:link w:val="PBodyText"/>
    <w:locked/>
    <w:rsid w:val="0067652C"/>
    <w:rPr>
      <w:rFonts w:cs="Times"/>
      <w:sz w:val="24"/>
      <w:szCs w:val="22"/>
    </w:rPr>
  </w:style>
  <w:style w:type="table" w:styleId="LightList-Accent1">
    <w:name w:val="Light List Accent 1"/>
    <w:basedOn w:val="TableNormal"/>
    <w:uiPriority w:val="61"/>
    <w:rsid w:val="00197D66"/>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39"/>
    <w:lsdException w:name="toc 5" w:uiPriority="39"/>
    <w:lsdException w:name="footnote text" w:uiPriority="99" w:qFormat="1"/>
    <w:lsdException w:name="annotation text" w:uiPriority="99"/>
    <w:lsdException w:name="header" w:uiPriority="99"/>
    <w:lsdException w:name="footer" w:uiPriority="99"/>
    <w:lsdException w:name="caption" w:uiPriority="35" w:qFormat="1"/>
    <w:lsdException w:name="table of figures" w:uiPriority="99"/>
    <w:lsdException w:name="footnote reference" w:uiPriority="99" w:qFormat="1"/>
    <w:lsdException w:name="annotation reference" w:uiPriority="99"/>
    <w:lsdException w:name="page number"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3A7"/>
    <w:rPr>
      <w:rFonts w:cs="Times"/>
      <w:sz w:val="24"/>
      <w:szCs w:val="22"/>
    </w:rPr>
  </w:style>
  <w:style w:type="paragraph" w:styleId="Heading1">
    <w:name w:val="heading 1"/>
    <w:aliases w:val="P.Heading 1"/>
    <w:basedOn w:val="Normal"/>
    <w:next w:val="Normal"/>
    <w:link w:val="Heading1Char"/>
    <w:qFormat/>
    <w:rsid w:val="00123BBA"/>
    <w:pPr>
      <w:keepNext/>
      <w:tabs>
        <w:tab w:val="left" w:pos="360"/>
      </w:tabs>
      <w:spacing w:before="240" w:after="120"/>
      <w:outlineLvl w:val="0"/>
    </w:pPr>
    <w:rPr>
      <w:rFonts w:ascii="Arial" w:hAnsi="Arial" w:cs="Arial"/>
      <w:b/>
      <w:bCs/>
      <w:sz w:val="28"/>
      <w:szCs w:val="28"/>
    </w:rPr>
  </w:style>
  <w:style w:type="paragraph" w:styleId="Heading2">
    <w:name w:val="heading 2"/>
    <w:aliases w:val="p.Heading 2"/>
    <w:basedOn w:val="Normal"/>
    <w:next w:val="Normal"/>
    <w:link w:val="Heading2Char"/>
    <w:qFormat/>
    <w:rsid w:val="005A2677"/>
    <w:pPr>
      <w:keepNext/>
      <w:tabs>
        <w:tab w:val="left" w:pos="720"/>
      </w:tabs>
      <w:spacing w:before="240" w:after="120"/>
      <w:outlineLvl w:val="1"/>
    </w:pPr>
    <w:rPr>
      <w:rFonts w:ascii="Arial" w:hAnsi="Arial" w:cs="Arial"/>
      <w:b/>
      <w:bCs/>
      <w:i/>
      <w:iCs/>
      <w:szCs w:val="20"/>
    </w:rPr>
  </w:style>
  <w:style w:type="paragraph" w:styleId="Heading3">
    <w:name w:val="heading 3"/>
    <w:aliases w:val="P.Heading 3"/>
    <w:basedOn w:val="Normal"/>
    <w:next w:val="Normal"/>
    <w:link w:val="Heading3Char"/>
    <w:uiPriority w:val="9"/>
    <w:qFormat/>
    <w:rsid w:val="00096197"/>
    <w:pPr>
      <w:keepNext/>
      <w:tabs>
        <w:tab w:val="left" w:pos="360"/>
      </w:tabs>
      <w:spacing w:after="120"/>
      <w:outlineLvl w:val="2"/>
    </w:pPr>
    <w:rPr>
      <w:rFonts w:ascii="Arial" w:hAnsi="Arial" w:cs="Arial"/>
      <w:b/>
      <w:bCs/>
      <w:color w:val="000000" w:themeColor="text1"/>
      <w:sz w:val="22"/>
    </w:rPr>
  </w:style>
  <w:style w:type="paragraph" w:styleId="Heading4">
    <w:name w:val="heading 4"/>
    <w:aliases w:val="P.Heading 4"/>
    <w:basedOn w:val="Normal"/>
    <w:next w:val="Normal"/>
    <w:link w:val="Heading4Char"/>
    <w:uiPriority w:val="99"/>
    <w:qFormat/>
    <w:rsid w:val="00D543A7"/>
    <w:pPr>
      <w:keepNext/>
      <w:outlineLvl w:val="3"/>
    </w:pPr>
    <w:rPr>
      <w:rFonts w:ascii="Arial" w:hAnsi="Arial"/>
      <w:b/>
      <w:bCs/>
      <w:i/>
      <w:iCs/>
      <w:color w:val="000000" w:themeColor="text1"/>
      <w:sz w:val="22"/>
      <w:szCs w:val="24"/>
    </w:rPr>
  </w:style>
  <w:style w:type="paragraph" w:styleId="Heading5">
    <w:name w:val="heading 5"/>
    <w:basedOn w:val="Normal"/>
    <w:next w:val="Normal"/>
    <w:link w:val="Heading5Char"/>
    <w:uiPriority w:val="99"/>
    <w:unhideWhenUsed/>
    <w:qFormat/>
    <w:rsid w:val="00D543A7"/>
    <w:pPr>
      <w:keepNext/>
      <w:tabs>
        <w:tab w:val="left" w:pos="1080"/>
      </w:tabs>
      <w:outlineLvl w:val="4"/>
    </w:pPr>
    <w:rPr>
      <w:bCs/>
      <w:i/>
      <w:szCs w:val="24"/>
    </w:rPr>
  </w:style>
  <w:style w:type="paragraph" w:styleId="Heading6">
    <w:name w:val="heading 6"/>
    <w:basedOn w:val="Normal"/>
    <w:next w:val="Normal"/>
    <w:link w:val="Heading6Char"/>
    <w:uiPriority w:val="99"/>
    <w:semiHidden/>
    <w:unhideWhenUsed/>
    <w:qFormat/>
    <w:rsid w:val="00514076"/>
    <w:pPr>
      <w:keepNext/>
      <w:outlineLvl w:val="5"/>
    </w:pPr>
    <w:rPr>
      <w:b/>
      <w:bCs/>
      <w:szCs w:val="24"/>
    </w:rPr>
  </w:style>
  <w:style w:type="paragraph" w:styleId="Heading7">
    <w:name w:val="heading 7"/>
    <w:basedOn w:val="Normal"/>
    <w:next w:val="Normal"/>
    <w:link w:val="Heading7Char"/>
    <w:uiPriority w:val="99"/>
    <w:semiHidden/>
    <w:unhideWhenUsed/>
    <w:qFormat/>
    <w:rsid w:val="00514076"/>
    <w:pPr>
      <w:keepNext/>
      <w:outlineLvl w:val="6"/>
    </w:pPr>
    <w:rPr>
      <w:b/>
      <w:bCs/>
      <w:szCs w:val="24"/>
    </w:rPr>
  </w:style>
  <w:style w:type="paragraph" w:styleId="Heading8">
    <w:name w:val="heading 8"/>
    <w:basedOn w:val="Normal"/>
    <w:next w:val="Normal"/>
    <w:link w:val="Heading8Char"/>
    <w:uiPriority w:val="99"/>
    <w:semiHidden/>
    <w:unhideWhenUsed/>
    <w:qFormat/>
    <w:rsid w:val="00514076"/>
    <w:pPr>
      <w:keepNext/>
      <w:outlineLvl w:val="7"/>
    </w:pPr>
    <w:rPr>
      <w:b/>
      <w:bCs/>
    </w:rPr>
  </w:style>
  <w:style w:type="paragraph" w:styleId="Heading9">
    <w:name w:val="heading 9"/>
    <w:basedOn w:val="Normal"/>
    <w:next w:val="Normal"/>
    <w:link w:val="Heading9Char"/>
    <w:uiPriority w:val="99"/>
    <w:semiHidden/>
    <w:unhideWhenUsed/>
    <w:qFormat/>
    <w:rsid w:val="00514076"/>
    <w:pPr>
      <w:keepNext/>
      <w:outlineLvl w:val="8"/>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qFormat/>
    <w:rsid w:val="00514076"/>
    <w:rPr>
      <w:vertAlign w:val="superscript"/>
    </w:rPr>
  </w:style>
  <w:style w:type="paragraph" w:styleId="Footer">
    <w:name w:val="footer"/>
    <w:basedOn w:val="Normal"/>
    <w:link w:val="FooterChar"/>
    <w:uiPriority w:val="99"/>
    <w:rsid w:val="00514076"/>
    <w:pPr>
      <w:pBdr>
        <w:top w:val="single" w:sz="4" w:space="1" w:color="002C5F"/>
      </w:pBdr>
      <w:tabs>
        <w:tab w:val="center" w:pos="4680"/>
        <w:tab w:val="right" w:pos="9360"/>
      </w:tabs>
    </w:pPr>
  </w:style>
  <w:style w:type="character" w:customStyle="1" w:styleId="FooterChar">
    <w:name w:val="Footer Char"/>
    <w:basedOn w:val="DefaultParagraphFont"/>
    <w:link w:val="Footer"/>
    <w:uiPriority w:val="99"/>
    <w:rsid w:val="00514076"/>
    <w:rPr>
      <w:rFonts w:ascii="Calibri" w:hAnsi="Calibri" w:cs="Times"/>
      <w:sz w:val="24"/>
      <w:szCs w:val="22"/>
    </w:rPr>
  </w:style>
  <w:style w:type="paragraph" w:styleId="Title">
    <w:name w:val="Title"/>
    <w:aliases w:val="Text"/>
    <w:basedOn w:val="Normal"/>
    <w:link w:val="TitleChar"/>
    <w:qFormat/>
    <w:rsid w:val="00123BBA"/>
    <w:pPr>
      <w:spacing w:before="4400" w:after="480"/>
      <w:jc w:val="center"/>
      <w:outlineLvl w:val="0"/>
    </w:pPr>
    <w:rPr>
      <w:rFonts w:ascii="Arial" w:hAnsi="Arial" w:cs="Arial"/>
      <w:b/>
      <w:bCs/>
      <w:color w:val="002C5F"/>
      <w:kern w:val="28"/>
      <w:sz w:val="56"/>
      <w:szCs w:val="72"/>
    </w:rPr>
  </w:style>
  <w:style w:type="character" w:customStyle="1" w:styleId="TitleChar">
    <w:name w:val="Title Char"/>
    <w:aliases w:val="Text Char"/>
    <w:basedOn w:val="DefaultParagraphFont"/>
    <w:link w:val="Title"/>
    <w:rsid w:val="00123BBA"/>
    <w:rPr>
      <w:rFonts w:ascii="Arial" w:hAnsi="Arial" w:cs="Arial"/>
      <w:b/>
      <w:bCs/>
      <w:color w:val="002C5F"/>
      <w:kern w:val="28"/>
      <w:sz w:val="56"/>
      <w:szCs w:val="72"/>
    </w:rPr>
  </w:style>
  <w:style w:type="character" w:styleId="Hyperlink">
    <w:name w:val="Hyperlink"/>
    <w:basedOn w:val="DefaultParagraphFont"/>
    <w:uiPriority w:val="99"/>
    <w:rsid w:val="00514076"/>
    <w:rPr>
      <w:color w:val="0000FF"/>
      <w:u w:val="single"/>
      <w:lang w:val="en-US"/>
    </w:rPr>
  </w:style>
  <w:style w:type="paragraph" w:styleId="TOC1">
    <w:name w:val="toc 1"/>
    <w:basedOn w:val="Normal"/>
    <w:autoRedefine/>
    <w:uiPriority w:val="39"/>
    <w:rsid w:val="00883F00"/>
    <w:pPr>
      <w:tabs>
        <w:tab w:val="left" w:pos="360"/>
        <w:tab w:val="right" w:leader="dot" w:pos="9360"/>
      </w:tabs>
      <w:spacing w:before="120"/>
    </w:pPr>
    <w:rPr>
      <w:b/>
      <w:bCs/>
      <w:szCs w:val="20"/>
    </w:rPr>
  </w:style>
  <w:style w:type="paragraph" w:styleId="TOC2">
    <w:name w:val="toc 2"/>
    <w:basedOn w:val="Normal"/>
    <w:autoRedefine/>
    <w:uiPriority w:val="39"/>
    <w:rsid w:val="00883F00"/>
    <w:pPr>
      <w:tabs>
        <w:tab w:val="left" w:pos="720"/>
        <w:tab w:val="right" w:leader="dot" w:pos="9360"/>
      </w:tabs>
      <w:spacing w:before="120"/>
      <w:ind w:left="360"/>
    </w:pPr>
    <w:rPr>
      <w:szCs w:val="20"/>
    </w:rPr>
  </w:style>
  <w:style w:type="paragraph" w:styleId="TOC4">
    <w:name w:val="toc 4"/>
    <w:basedOn w:val="Normal"/>
    <w:next w:val="Normal"/>
    <w:autoRedefine/>
    <w:uiPriority w:val="39"/>
    <w:rsid w:val="00514076"/>
    <w:pPr>
      <w:tabs>
        <w:tab w:val="right" w:leader="dot" w:pos="9350"/>
      </w:tabs>
      <w:ind w:left="1008"/>
    </w:pPr>
  </w:style>
  <w:style w:type="paragraph" w:styleId="TOC3">
    <w:name w:val="toc 3"/>
    <w:basedOn w:val="Normal"/>
    <w:autoRedefine/>
    <w:uiPriority w:val="39"/>
    <w:rsid w:val="00514076"/>
    <w:pPr>
      <w:tabs>
        <w:tab w:val="left" w:pos="1080"/>
        <w:tab w:val="right" w:leader="dot" w:pos="9360"/>
      </w:tabs>
      <w:ind w:left="720"/>
    </w:pPr>
    <w:rPr>
      <w:szCs w:val="24"/>
    </w:rPr>
  </w:style>
  <w:style w:type="paragraph" w:styleId="TOC5">
    <w:name w:val="toc 5"/>
    <w:basedOn w:val="Normal"/>
    <w:next w:val="Normal"/>
    <w:uiPriority w:val="39"/>
    <w:rsid w:val="00311EF9"/>
    <w:pPr>
      <w:tabs>
        <w:tab w:val="right" w:leader="dot" w:pos="9360"/>
      </w:tabs>
      <w:spacing w:before="40" w:after="40"/>
      <w:ind w:left="1080" w:right="720" w:hanging="1080"/>
    </w:pPr>
    <w:rPr>
      <w:noProof/>
      <w:szCs w:val="20"/>
    </w:rPr>
  </w:style>
  <w:style w:type="paragraph" w:customStyle="1" w:styleId="TOC0">
    <w:name w:val="TOC 0"/>
    <w:basedOn w:val="Normal"/>
    <w:rsid w:val="00311EF9"/>
    <w:pPr>
      <w:spacing w:after="240"/>
      <w:jc w:val="center"/>
    </w:pPr>
    <w:rPr>
      <w:b/>
      <w:caps/>
      <w:sz w:val="28"/>
      <w:szCs w:val="20"/>
    </w:rPr>
  </w:style>
  <w:style w:type="paragraph" w:styleId="Header">
    <w:name w:val="header"/>
    <w:basedOn w:val="Normal"/>
    <w:link w:val="HeaderChar"/>
    <w:uiPriority w:val="99"/>
    <w:rsid w:val="00514076"/>
    <w:pPr>
      <w:pBdr>
        <w:bottom w:val="single" w:sz="4" w:space="1" w:color="auto"/>
      </w:pBdr>
      <w:tabs>
        <w:tab w:val="right" w:pos="9360"/>
      </w:tabs>
    </w:pPr>
    <w:rPr>
      <w:rFonts w:cs="Arial"/>
      <w:i/>
      <w:iCs/>
      <w:color w:val="005295"/>
      <w:sz w:val="20"/>
      <w:szCs w:val="18"/>
    </w:rPr>
  </w:style>
  <w:style w:type="character" w:customStyle="1" w:styleId="HeaderChar">
    <w:name w:val="Header Char"/>
    <w:basedOn w:val="DefaultParagraphFont"/>
    <w:link w:val="Header"/>
    <w:uiPriority w:val="99"/>
    <w:rsid w:val="00514076"/>
    <w:rPr>
      <w:rFonts w:ascii="Calibri" w:hAnsi="Calibri" w:cs="Arial"/>
      <w:i/>
      <w:iCs/>
      <w:color w:val="005295"/>
      <w:szCs w:val="18"/>
    </w:rPr>
  </w:style>
  <w:style w:type="paragraph" w:styleId="BodyText">
    <w:name w:val="Body Text"/>
    <w:basedOn w:val="Normal"/>
    <w:link w:val="BodyTextChar"/>
    <w:uiPriority w:val="99"/>
    <w:rsid w:val="00311EF9"/>
    <w:pPr>
      <w:spacing w:before="240" w:after="120" w:line="360" w:lineRule="auto"/>
      <w:ind w:firstLine="720"/>
    </w:pPr>
    <w:rPr>
      <w:szCs w:val="20"/>
    </w:rPr>
  </w:style>
  <w:style w:type="character" w:customStyle="1" w:styleId="BodyTextChar">
    <w:name w:val="Body Text Char"/>
    <w:basedOn w:val="DefaultParagraphFont"/>
    <w:link w:val="BodyText"/>
    <w:uiPriority w:val="99"/>
    <w:rsid w:val="00311EF9"/>
    <w:rPr>
      <w:sz w:val="24"/>
    </w:rPr>
  </w:style>
  <w:style w:type="character" w:styleId="CommentReference">
    <w:name w:val="annotation reference"/>
    <w:basedOn w:val="DefaultParagraphFont"/>
    <w:uiPriority w:val="99"/>
    <w:rsid w:val="00514076"/>
    <w:rPr>
      <w:sz w:val="16"/>
      <w:szCs w:val="16"/>
    </w:rPr>
  </w:style>
  <w:style w:type="paragraph" w:styleId="CommentText">
    <w:name w:val="annotation text"/>
    <w:basedOn w:val="Normal"/>
    <w:link w:val="CommentTextChar"/>
    <w:uiPriority w:val="99"/>
    <w:rsid w:val="00514076"/>
    <w:rPr>
      <w:sz w:val="20"/>
      <w:szCs w:val="20"/>
    </w:rPr>
  </w:style>
  <w:style w:type="character" w:customStyle="1" w:styleId="CommentTextChar">
    <w:name w:val="Comment Text Char"/>
    <w:basedOn w:val="DefaultParagraphFont"/>
    <w:link w:val="CommentText"/>
    <w:uiPriority w:val="99"/>
    <w:rsid w:val="00514076"/>
    <w:rPr>
      <w:rFonts w:ascii="Calibri" w:hAnsi="Calibri" w:cs="Times"/>
    </w:rPr>
  </w:style>
  <w:style w:type="paragraph" w:styleId="CommentSubject">
    <w:name w:val="annotation subject"/>
    <w:basedOn w:val="CommentText"/>
    <w:next w:val="CommentText"/>
    <w:link w:val="CommentSubjectChar"/>
    <w:uiPriority w:val="99"/>
    <w:rsid w:val="00514076"/>
    <w:rPr>
      <w:b/>
      <w:bCs/>
    </w:rPr>
  </w:style>
  <w:style w:type="character" w:customStyle="1" w:styleId="CommentSubjectChar">
    <w:name w:val="Comment Subject Char"/>
    <w:basedOn w:val="CommentTextChar"/>
    <w:link w:val="CommentSubject"/>
    <w:uiPriority w:val="99"/>
    <w:rsid w:val="00514076"/>
    <w:rPr>
      <w:rFonts w:ascii="Calibri" w:hAnsi="Calibri" w:cs="Times"/>
      <w:b/>
      <w:bCs/>
    </w:rPr>
  </w:style>
  <w:style w:type="paragraph" w:styleId="BalloonText">
    <w:name w:val="Balloon Text"/>
    <w:basedOn w:val="Normal"/>
    <w:link w:val="BalloonTextChar"/>
    <w:uiPriority w:val="99"/>
    <w:rsid w:val="00514076"/>
    <w:rPr>
      <w:rFonts w:ascii="Tahoma" w:hAnsi="Tahoma" w:cs="Tahoma"/>
      <w:sz w:val="16"/>
      <w:szCs w:val="16"/>
    </w:rPr>
  </w:style>
  <w:style w:type="character" w:customStyle="1" w:styleId="BalloonTextChar">
    <w:name w:val="Balloon Text Char"/>
    <w:basedOn w:val="DefaultParagraphFont"/>
    <w:link w:val="BalloonText"/>
    <w:uiPriority w:val="99"/>
    <w:rsid w:val="00514076"/>
    <w:rPr>
      <w:rFonts w:ascii="Tahoma" w:hAnsi="Tahoma" w:cs="Tahoma"/>
      <w:sz w:val="16"/>
      <w:szCs w:val="16"/>
    </w:rPr>
  </w:style>
  <w:style w:type="character" w:customStyle="1" w:styleId="Heading3Char">
    <w:name w:val="Heading 3 Char"/>
    <w:aliases w:val="P.Heading 3 Char"/>
    <w:basedOn w:val="DefaultParagraphFont"/>
    <w:link w:val="Heading3"/>
    <w:uiPriority w:val="9"/>
    <w:rsid w:val="00096197"/>
    <w:rPr>
      <w:rFonts w:ascii="Arial" w:hAnsi="Arial" w:cs="Arial"/>
      <w:b/>
      <w:bCs/>
      <w:color w:val="000000" w:themeColor="text1"/>
      <w:sz w:val="22"/>
      <w:szCs w:val="22"/>
    </w:rPr>
  </w:style>
  <w:style w:type="character" w:customStyle="1" w:styleId="Heading4Char">
    <w:name w:val="Heading 4 Char"/>
    <w:aliases w:val="P.Heading 4 Char"/>
    <w:basedOn w:val="DefaultParagraphFont"/>
    <w:link w:val="Heading4"/>
    <w:uiPriority w:val="99"/>
    <w:rsid w:val="00D543A7"/>
    <w:rPr>
      <w:rFonts w:ascii="Arial" w:hAnsi="Arial" w:cs="Times"/>
      <w:b/>
      <w:bCs/>
      <w:i/>
      <w:iCs/>
      <w:color w:val="000000" w:themeColor="text1"/>
      <w:sz w:val="22"/>
      <w:szCs w:val="24"/>
    </w:rPr>
  </w:style>
  <w:style w:type="character" w:styleId="FollowedHyperlink">
    <w:name w:val="FollowedHyperlink"/>
    <w:basedOn w:val="DefaultParagraphFont"/>
    <w:uiPriority w:val="99"/>
    <w:rsid w:val="00514076"/>
    <w:rPr>
      <w:color w:val="800080"/>
      <w:u w:val="single"/>
    </w:rPr>
  </w:style>
  <w:style w:type="character" w:customStyle="1" w:styleId="Heading1Char">
    <w:name w:val="Heading 1 Char"/>
    <w:aliases w:val="P.Heading 1 Char"/>
    <w:basedOn w:val="DefaultParagraphFont"/>
    <w:link w:val="Heading1"/>
    <w:rsid w:val="00123BBA"/>
    <w:rPr>
      <w:rFonts w:ascii="Arial" w:hAnsi="Arial" w:cs="Arial"/>
      <w:b/>
      <w:bCs/>
      <w:sz w:val="28"/>
      <w:szCs w:val="28"/>
    </w:rPr>
  </w:style>
  <w:style w:type="character" w:customStyle="1" w:styleId="Heading2Char">
    <w:name w:val="Heading 2 Char"/>
    <w:aliases w:val="p.Heading 2 Char"/>
    <w:basedOn w:val="DefaultParagraphFont"/>
    <w:link w:val="Heading2"/>
    <w:rsid w:val="005A2677"/>
    <w:rPr>
      <w:rFonts w:ascii="Arial" w:hAnsi="Arial" w:cs="Arial"/>
      <w:b/>
      <w:bCs/>
      <w:i/>
      <w:iCs/>
      <w:sz w:val="24"/>
    </w:rPr>
  </w:style>
  <w:style w:type="paragraph" w:styleId="Caption">
    <w:name w:val="caption"/>
    <w:basedOn w:val="Normal"/>
    <w:next w:val="Normal"/>
    <w:uiPriority w:val="35"/>
    <w:unhideWhenUsed/>
    <w:qFormat/>
    <w:rsid w:val="00CD4EDB"/>
    <w:rPr>
      <w:b/>
      <w:bCs/>
      <w:szCs w:val="20"/>
    </w:rPr>
  </w:style>
  <w:style w:type="paragraph" w:styleId="TableofFigures">
    <w:name w:val="table of figures"/>
    <w:basedOn w:val="Normal"/>
    <w:next w:val="Normal"/>
    <w:uiPriority w:val="99"/>
    <w:rsid w:val="00CD4EDB"/>
  </w:style>
  <w:style w:type="paragraph" w:styleId="ListParagraph">
    <w:name w:val="List Paragraph"/>
    <w:basedOn w:val="Normal"/>
    <w:uiPriority w:val="34"/>
    <w:qFormat/>
    <w:rsid w:val="00514076"/>
    <w:pPr>
      <w:ind w:left="720"/>
      <w:contextualSpacing/>
    </w:pPr>
    <w:rPr>
      <w:rFonts w:asciiTheme="minorHAnsi" w:eastAsiaTheme="minorHAnsi" w:hAnsiTheme="minorHAnsi" w:cstheme="minorBidi"/>
      <w:sz w:val="22"/>
    </w:rPr>
  </w:style>
  <w:style w:type="paragraph" w:styleId="FootnoteText">
    <w:name w:val="footnote text"/>
    <w:basedOn w:val="Normal"/>
    <w:link w:val="FootnoteTextChar"/>
    <w:uiPriority w:val="99"/>
    <w:qFormat/>
    <w:rsid w:val="00514076"/>
    <w:rPr>
      <w:noProof/>
      <w:sz w:val="20"/>
      <w:szCs w:val="20"/>
    </w:rPr>
  </w:style>
  <w:style w:type="character" w:customStyle="1" w:styleId="FootnoteTextChar">
    <w:name w:val="Footnote Text Char"/>
    <w:basedOn w:val="DefaultParagraphFont"/>
    <w:link w:val="FootnoteText"/>
    <w:uiPriority w:val="99"/>
    <w:rsid w:val="00514076"/>
    <w:rPr>
      <w:rFonts w:cs="Times"/>
      <w:noProof/>
    </w:rPr>
  </w:style>
  <w:style w:type="table" w:styleId="TableGrid">
    <w:name w:val="Table Grid"/>
    <w:basedOn w:val="TableNormal"/>
    <w:uiPriority w:val="59"/>
    <w:rsid w:val="00514076"/>
    <w:rPr>
      <w:rFonts w:ascii="Times" w:hAnsi="Times"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74EA0"/>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Cover2">
    <w:name w:val="Title_Cover 2"/>
    <w:basedOn w:val="Normal"/>
    <w:qFormat/>
    <w:rsid w:val="00123BBA"/>
    <w:pPr>
      <w:spacing w:after="600"/>
      <w:jc w:val="center"/>
    </w:pPr>
    <w:rPr>
      <w:rFonts w:ascii="Arial" w:hAnsi="Arial"/>
      <w:b/>
      <w:sz w:val="32"/>
      <w:szCs w:val="32"/>
    </w:rPr>
  </w:style>
  <w:style w:type="paragraph" w:customStyle="1" w:styleId="ContentsTitleNOTOC">
    <w:name w:val="Contents Title_NO TOC"/>
    <w:qFormat/>
    <w:rsid w:val="00123BBA"/>
    <w:pPr>
      <w:spacing w:after="360"/>
      <w:jc w:val="center"/>
    </w:pPr>
    <w:rPr>
      <w:rFonts w:ascii="Arial" w:hAnsi="Arial"/>
      <w:b/>
      <w:bCs/>
      <w:kern w:val="32"/>
      <w:sz w:val="32"/>
      <w:szCs w:val="32"/>
    </w:rPr>
  </w:style>
  <w:style w:type="paragraph" w:customStyle="1" w:styleId="ContentsSubtitle">
    <w:name w:val="Contents_Subtitle"/>
    <w:basedOn w:val="Normal"/>
    <w:qFormat/>
    <w:rsid w:val="00123BBA"/>
    <w:pPr>
      <w:tabs>
        <w:tab w:val="right" w:pos="9360"/>
      </w:tabs>
    </w:pPr>
    <w:rPr>
      <w:rFonts w:ascii="Arial" w:hAnsi="Arial"/>
      <w:b/>
      <w:color w:val="000000"/>
    </w:rPr>
  </w:style>
  <w:style w:type="table" w:customStyle="1" w:styleId="AIRTable">
    <w:name w:val="AIR Table"/>
    <w:basedOn w:val="TableNormal"/>
    <w:uiPriority w:val="99"/>
    <w:qFormat/>
    <w:rsid w:val="00514076"/>
    <w:rPr>
      <w:rFonts w:ascii="Arial" w:hAnsi="Arial"/>
      <w:szCs w:val="22"/>
    </w:rPr>
    <w:tblPr>
      <w:tblInd w:w="86" w:type="dxa"/>
      <w:tblBorders>
        <w:top w:val="single" w:sz="4" w:space="0" w:color="002C5F"/>
        <w:left w:val="single" w:sz="4" w:space="0" w:color="002C5F"/>
        <w:bottom w:val="single" w:sz="4" w:space="0" w:color="002C5F"/>
        <w:right w:val="single" w:sz="4" w:space="0" w:color="002C5F"/>
        <w:insideH w:val="single" w:sz="4" w:space="0" w:color="002C5F"/>
        <w:insideV w:val="single" w:sz="4" w:space="0" w:color="002C5F"/>
      </w:tblBorders>
      <w:tblCellMar>
        <w:top w:w="29" w:type="dxa"/>
        <w:left w:w="72" w:type="dxa"/>
        <w:bottom w:w="29" w:type="dxa"/>
        <w:right w:w="72" w:type="dxa"/>
      </w:tblCellMar>
    </w:tbl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themeColor="background1"/>
        <w:sz w:val="20"/>
      </w:rPr>
      <w:tblPr/>
      <w:tcPr>
        <w:tcBorders>
          <w:top w:val="single" w:sz="4" w:space="0" w:color="002C5F"/>
          <w:left w:val="single" w:sz="4" w:space="0" w:color="002C5F"/>
          <w:bottom w:val="single" w:sz="4" w:space="0" w:color="002C5F"/>
          <w:right w:val="single" w:sz="4" w:space="0" w:color="002C5F"/>
          <w:insideH w:val="nil"/>
          <w:insideV w:val="single" w:sz="4" w:space="0" w:color="FFFFFF" w:themeColor="background1"/>
          <w:tl2br w:val="nil"/>
          <w:tr2bl w:val="nil"/>
        </w:tcBorders>
        <w:shd w:val="clear" w:color="auto" w:fill="002C5F"/>
      </w:tcPr>
    </w:tblStylePr>
  </w:style>
  <w:style w:type="paragraph" w:customStyle="1" w:styleId="CoverNames">
    <w:name w:val="Cover_Names"/>
    <w:qFormat/>
    <w:rsid w:val="00514076"/>
    <w:rPr>
      <w:rFonts w:asciiTheme="minorHAnsi" w:eastAsiaTheme="minorHAnsi" w:hAnsiTheme="minorHAnsi" w:cstheme="minorHAnsi"/>
      <w:b/>
      <w:sz w:val="24"/>
      <w:szCs w:val="24"/>
    </w:rPr>
  </w:style>
  <w:style w:type="paragraph" w:customStyle="1" w:styleId="Default">
    <w:name w:val="Default"/>
    <w:rsid w:val="00514076"/>
    <w:pPr>
      <w:autoSpaceDE w:val="0"/>
      <w:autoSpaceDN w:val="0"/>
      <w:adjustRightInd w:val="0"/>
    </w:pPr>
    <w:rPr>
      <w:rFonts w:ascii="Calibri" w:hAnsi="Calibri" w:cs="Times"/>
      <w:color w:val="000000"/>
      <w:sz w:val="24"/>
      <w:szCs w:val="24"/>
    </w:rPr>
  </w:style>
  <w:style w:type="paragraph" w:styleId="EndnoteText">
    <w:name w:val="endnote text"/>
    <w:basedOn w:val="Normal"/>
    <w:link w:val="EndnoteTextChar"/>
    <w:uiPriority w:val="99"/>
    <w:unhideWhenUsed/>
    <w:rsid w:val="00514076"/>
    <w:rPr>
      <w:sz w:val="20"/>
      <w:szCs w:val="20"/>
    </w:rPr>
  </w:style>
  <w:style w:type="character" w:customStyle="1" w:styleId="EndnoteTextChar">
    <w:name w:val="Endnote Text Char"/>
    <w:basedOn w:val="DefaultParagraphFont"/>
    <w:link w:val="EndnoteText"/>
    <w:uiPriority w:val="99"/>
    <w:rsid w:val="00514076"/>
    <w:rPr>
      <w:rFonts w:cs="Times"/>
    </w:rPr>
  </w:style>
  <w:style w:type="paragraph" w:customStyle="1" w:styleId="FooterLetter">
    <w:name w:val="Footer Letter"/>
    <w:basedOn w:val="Normal"/>
    <w:qFormat/>
    <w:rsid w:val="00514076"/>
    <w:pPr>
      <w:pBdr>
        <w:top w:val="single" w:sz="4" w:space="1" w:color="002C5F"/>
      </w:pBdr>
      <w:tabs>
        <w:tab w:val="left" w:pos="216"/>
      </w:tabs>
      <w:jc w:val="center"/>
    </w:pPr>
    <w:rPr>
      <w:rFonts w:ascii="Franklin Gothic Book" w:hAnsi="Franklin Gothic Book" w:cs="Calibri"/>
      <w:color w:val="1F487C"/>
      <w:sz w:val="17"/>
      <w:szCs w:val="17"/>
    </w:rPr>
  </w:style>
  <w:style w:type="paragraph" w:customStyle="1" w:styleId="Footer2">
    <w:name w:val="Footer2"/>
    <w:basedOn w:val="Footer"/>
    <w:rsid w:val="00514076"/>
    <w:pPr>
      <w:tabs>
        <w:tab w:val="clear" w:pos="4680"/>
        <w:tab w:val="clear" w:pos="9360"/>
        <w:tab w:val="right" w:pos="10224"/>
      </w:tabs>
      <w:ind w:right="1800"/>
    </w:pPr>
    <w:rPr>
      <w:rFonts w:asciiTheme="minorHAnsi" w:hAnsiTheme="minorHAnsi" w:cs="Arial"/>
      <w:color w:val="000000" w:themeColor="text1"/>
      <w:sz w:val="16"/>
      <w:szCs w:val="10"/>
    </w:rPr>
  </w:style>
  <w:style w:type="character" w:customStyle="1" w:styleId="Heading5Char">
    <w:name w:val="Heading 5 Char"/>
    <w:basedOn w:val="DefaultParagraphFont"/>
    <w:link w:val="Heading5"/>
    <w:uiPriority w:val="99"/>
    <w:rsid w:val="00D543A7"/>
    <w:rPr>
      <w:rFonts w:cs="Times"/>
      <w:bCs/>
      <w:i/>
      <w:sz w:val="24"/>
      <w:szCs w:val="24"/>
    </w:rPr>
  </w:style>
  <w:style w:type="character" w:customStyle="1" w:styleId="Heading6Char">
    <w:name w:val="Heading 6 Char"/>
    <w:basedOn w:val="DefaultParagraphFont"/>
    <w:link w:val="Heading6"/>
    <w:uiPriority w:val="99"/>
    <w:semiHidden/>
    <w:rsid w:val="00514076"/>
    <w:rPr>
      <w:rFonts w:ascii="Calibri" w:hAnsi="Calibri" w:cs="Times"/>
      <w:b/>
      <w:bCs/>
      <w:sz w:val="24"/>
      <w:szCs w:val="24"/>
    </w:rPr>
  </w:style>
  <w:style w:type="character" w:customStyle="1" w:styleId="Heading7Char">
    <w:name w:val="Heading 7 Char"/>
    <w:basedOn w:val="DefaultParagraphFont"/>
    <w:link w:val="Heading7"/>
    <w:uiPriority w:val="99"/>
    <w:semiHidden/>
    <w:rsid w:val="00514076"/>
    <w:rPr>
      <w:rFonts w:ascii="Calibri" w:hAnsi="Calibri" w:cs="Times"/>
      <w:b/>
      <w:bCs/>
      <w:sz w:val="24"/>
      <w:szCs w:val="24"/>
    </w:rPr>
  </w:style>
  <w:style w:type="character" w:customStyle="1" w:styleId="Heading8Char">
    <w:name w:val="Heading 8 Char"/>
    <w:basedOn w:val="DefaultParagraphFont"/>
    <w:link w:val="Heading8"/>
    <w:uiPriority w:val="99"/>
    <w:semiHidden/>
    <w:rsid w:val="00514076"/>
    <w:rPr>
      <w:rFonts w:ascii="Calibri" w:hAnsi="Calibri" w:cs="Times"/>
      <w:b/>
      <w:bCs/>
      <w:sz w:val="24"/>
      <w:szCs w:val="22"/>
    </w:rPr>
  </w:style>
  <w:style w:type="character" w:customStyle="1" w:styleId="Heading9Char">
    <w:name w:val="Heading 9 Char"/>
    <w:basedOn w:val="DefaultParagraphFont"/>
    <w:link w:val="Heading9"/>
    <w:uiPriority w:val="99"/>
    <w:semiHidden/>
    <w:rsid w:val="00514076"/>
    <w:rPr>
      <w:rFonts w:ascii="Arial" w:hAnsi="Arial" w:cs="Arial"/>
      <w:b/>
      <w:bCs/>
      <w:sz w:val="24"/>
      <w:szCs w:val="24"/>
    </w:rPr>
  </w:style>
  <w:style w:type="paragraph" w:customStyle="1" w:styleId="ListLevel1">
    <w:name w:val="List_Level 1"/>
    <w:qFormat/>
    <w:rsid w:val="00514076"/>
    <w:pPr>
      <w:widowControl w:val="0"/>
      <w:tabs>
        <w:tab w:val="left" w:pos="540"/>
      </w:tabs>
      <w:spacing w:line="274" w:lineRule="auto"/>
      <w:ind w:left="532" w:hanging="446"/>
    </w:pPr>
    <w:rPr>
      <w:rFonts w:ascii="Calibri" w:eastAsia="Calibri" w:hAnsi="Calibri" w:cs="Calibri"/>
      <w:spacing w:val="1"/>
      <w:sz w:val="22"/>
      <w:szCs w:val="22"/>
    </w:rPr>
  </w:style>
  <w:style w:type="paragraph" w:customStyle="1" w:styleId="PContentsSubhead">
    <w:name w:val="P. Contents Subhead"/>
    <w:uiPriority w:val="99"/>
    <w:rsid w:val="00514076"/>
    <w:pPr>
      <w:spacing w:before="240" w:after="240"/>
    </w:pPr>
    <w:rPr>
      <w:rFonts w:ascii="Calibri" w:hAnsi="Calibri" w:cs="Times"/>
      <w:b/>
      <w:bCs/>
      <w:color w:val="002C5F"/>
      <w:sz w:val="24"/>
      <w:szCs w:val="24"/>
    </w:rPr>
  </w:style>
  <w:style w:type="paragraph" w:customStyle="1" w:styleId="PContentsTitle">
    <w:name w:val="P. Contents Title"/>
    <w:uiPriority w:val="99"/>
    <w:rsid w:val="00514076"/>
    <w:pPr>
      <w:spacing w:after="240"/>
      <w:jc w:val="center"/>
    </w:pPr>
    <w:rPr>
      <w:rFonts w:asciiTheme="minorHAnsi" w:hAnsiTheme="minorHAnsi" w:cs="Arial Bold"/>
      <w:b/>
      <w:bCs/>
      <w:color w:val="002C5F"/>
      <w:sz w:val="32"/>
      <w:szCs w:val="28"/>
    </w:rPr>
  </w:style>
  <w:style w:type="paragraph" w:customStyle="1" w:styleId="PBodyText">
    <w:name w:val="P.Body Text"/>
    <w:link w:val="PBodyTextChar"/>
    <w:qFormat/>
    <w:rsid w:val="00514076"/>
    <w:pPr>
      <w:spacing w:after="240"/>
    </w:pPr>
    <w:rPr>
      <w:rFonts w:cs="Times"/>
      <w:sz w:val="24"/>
      <w:szCs w:val="22"/>
    </w:rPr>
  </w:style>
  <w:style w:type="paragraph" w:customStyle="1" w:styleId="PBodyTextIndent1">
    <w:name w:val="P.Body Text_Indent 1"/>
    <w:basedOn w:val="PBodyText"/>
    <w:qFormat/>
    <w:rsid w:val="00096197"/>
    <w:pPr>
      <w:ind w:left="720"/>
    </w:pPr>
  </w:style>
  <w:style w:type="paragraph" w:customStyle="1" w:styleId="PBodyTextPreBullet">
    <w:name w:val="P.Body Text_PreBullet"/>
    <w:basedOn w:val="PBodyText"/>
    <w:qFormat/>
    <w:rsid w:val="00514076"/>
    <w:pPr>
      <w:spacing w:after="120"/>
    </w:pPr>
  </w:style>
  <w:style w:type="paragraph" w:customStyle="1" w:styleId="PBullet">
    <w:name w:val="P.Bullet"/>
    <w:next w:val="Normal"/>
    <w:uiPriority w:val="99"/>
    <w:rsid w:val="00514076"/>
    <w:pPr>
      <w:numPr>
        <w:numId w:val="11"/>
      </w:numPr>
      <w:spacing w:after="120"/>
    </w:pPr>
    <w:rPr>
      <w:rFonts w:cs="Times"/>
      <w:sz w:val="24"/>
      <w:szCs w:val="24"/>
    </w:rPr>
  </w:style>
  <w:style w:type="paragraph" w:customStyle="1" w:styleId="PBullet2">
    <w:name w:val="P.Bullet 2"/>
    <w:basedOn w:val="PBullet"/>
    <w:qFormat/>
    <w:rsid w:val="00514076"/>
    <w:pPr>
      <w:numPr>
        <w:numId w:val="9"/>
      </w:numPr>
      <w:tabs>
        <w:tab w:val="left" w:pos="1080"/>
      </w:tabs>
    </w:pPr>
  </w:style>
  <w:style w:type="paragraph" w:customStyle="1" w:styleId="PBullet3">
    <w:name w:val="P.Bullet 3"/>
    <w:basedOn w:val="PBullet2"/>
    <w:qFormat/>
    <w:rsid w:val="00514076"/>
    <w:pPr>
      <w:numPr>
        <w:numId w:val="10"/>
      </w:numPr>
    </w:pPr>
  </w:style>
  <w:style w:type="paragraph" w:customStyle="1" w:styleId="PBulletLast">
    <w:name w:val="P.Bullet_Last"/>
    <w:basedOn w:val="PBullet"/>
    <w:qFormat/>
    <w:rsid w:val="00101D3E"/>
    <w:pPr>
      <w:spacing w:after="240"/>
    </w:pPr>
  </w:style>
  <w:style w:type="paragraph" w:customStyle="1" w:styleId="PContentsTitle0">
    <w:name w:val="P.Contents Title"/>
    <w:uiPriority w:val="99"/>
    <w:rsid w:val="00514076"/>
    <w:pPr>
      <w:spacing w:after="240"/>
      <w:jc w:val="center"/>
    </w:pPr>
    <w:rPr>
      <w:rFonts w:ascii="Arial" w:hAnsi="Arial" w:cs="Arial"/>
      <w:b/>
      <w:bCs/>
      <w:sz w:val="28"/>
      <w:szCs w:val="28"/>
    </w:rPr>
  </w:style>
  <w:style w:type="paragraph" w:customStyle="1" w:styleId="PCoverHead1">
    <w:name w:val="P.Cover Head 1"/>
    <w:basedOn w:val="Normal"/>
    <w:rsid w:val="00514076"/>
    <w:pPr>
      <w:suppressAutoHyphens/>
      <w:autoSpaceDE w:val="0"/>
      <w:autoSpaceDN w:val="0"/>
      <w:adjustRightInd w:val="0"/>
      <w:spacing w:before="450"/>
      <w:textAlignment w:val="center"/>
    </w:pPr>
    <w:rPr>
      <w:rFonts w:ascii="Franklin Gothic Demi" w:eastAsia="Calibri" w:hAnsi="Franklin Gothic Demi" w:cs="Calibri"/>
      <w:b/>
      <w:color w:val="000000"/>
      <w:sz w:val="48"/>
      <w:szCs w:val="48"/>
    </w:rPr>
  </w:style>
  <w:style w:type="paragraph" w:customStyle="1" w:styleId="PCoverHead2">
    <w:name w:val="P.Cover Head 2"/>
    <w:basedOn w:val="Normal"/>
    <w:uiPriority w:val="99"/>
    <w:rsid w:val="00514076"/>
    <w:pPr>
      <w:suppressAutoHyphens/>
      <w:autoSpaceDE w:val="0"/>
      <w:autoSpaceDN w:val="0"/>
      <w:adjustRightInd w:val="0"/>
      <w:spacing w:before="1000"/>
      <w:textAlignment w:val="center"/>
    </w:pPr>
    <w:rPr>
      <w:rFonts w:ascii="Franklin Gothic Demi" w:eastAsia="Calibri" w:hAnsi="Franklin Gothic Demi" w:cs="Calibri-Bold"/>
      <w:b/>
      <w:bCs/>
      <w:caps/>
      <w:color w:val="000000"/>
      <w:sz w:val="32"/>
      <w:szCs w:val="32"/>
    </w:rPr>
  </w:style>
  <w:style w:type="paragraph" w:customStyle="1" w:styleId="PCoverHead3">
    <w:name w:val="P.Cover Head 3"/>
    <w:basedOn w:val="Normal"/>
    <w:uiPriority w:val="99"/>
    <w:rsid w:val="00514076"/>
    <w:pPr>
      <w:tabs>
        <w:tab w:val="left" w:pos="1620"/>
        <w:tab w:val="left" w:pos="5400"/>
      </w:tabs>
      <w:suppressAutoHyphens/>
      <w:autoSpaceDE w:val="0"/>
      <w:autoSpaceDN w:val="0"/>
      <w:adjustRightInd w:val="0"/>
      <w:spacing w:before="270"/>
      <w:ind w:left="1627" w:hanging="1627"/>
      <w:textAlignment w:val="center"/>
    </w:pPr>
    <w:rPr>
      <w:rFonts w:ascii="Franklin Gothic Book" w:eastAsia="Calibri" w:hAnsi="Franklin Gothic Book" w:cs="Calibri"/>
      <w:color w:val="000000"/>
      <w:sz w:val="22"/>
    </w:rPr>
  </w:style>
  <w:style w:type="paragraph" w:customStyle="1" w:styleId="PCoverConfidentialityStatement">
    <w:name w:val="P.Cover_Confidentiality Statement"/>
    <w:basedOn w:val="Normal"/>
    <w:qFormat/>
    <w:rsid w:val="00514076"/>
    <w:pPr>
      <w:suppressAutoHyphens/>
      <w:autoSpaceDE w:val="0"/>
      <w:autoSpaceDN w:val="0"/>
      <w:adjustRightInd w:val="0"/>
      <w:spacing w:before="300"/>
      <w:textAlignment w:val="center"/>
    </w:pPr>
    <w:rPr>
      <w:rFonts w:ascii="Franklin Gothic Book" w:eastAsia="Calibri" w:hAnsi="Franklin Gothic Book" w:cs="Calibri"/>
      <w:color w:val="000000"/>
      <w:sz w:val="17"/>
      <w:szCs w:val="16"/>
    </w:rPr>
  </w:style>
  <w:style w:type="paragraph" w:customStyle="1" w:styleId="PCvrLetter">
    <w:name w:val="P.CvrLetter"/>
    <w:basedOn w:val="PCoverHead3"/>
    <w:uiPriority w:val="99"/>
    <w:rsid w:val="00514076"/>
    <w:pPr>
      <w:spacing w:after="240"/>
    </w:pPr>
    <w:rPr>
      <w:rFonts w:asciiTheme="minorHAnsi" w:hAnsiTheme="minorHAnsi" w:cs="Times"/>
      <w:sz w:val="24"/>
      <w:szCs w:val="24"/>
    </w:rPr>
  </w:style>
  <w:style w:type="paragraph" w:customStyle="1" w:styleId="PFooter-Address-Letter">
    <w:name w:val="P.Footer-Address-Letter"/>
    <w:basedOn w:val="Normal"/>
    <w:qFormat/>
    <w:rsid w:val="00514076"/>
    <w:pPr>
      <w:widowControl w:val="0"/>
      <w:tabs>
        <w:tab w:val="center" w:pos="4320"/>
        <w:tab w:val="right" w:pos="8640"/>
      </w:tabs>
      <w:ind w:left="-576" w:right="-576"/>
    </w:pPr>
    <w:rPr>
      <w:rFonts w:ascii="Palatino" w:hAnsi="Palatino" w:cs="Times New Roman"/>
      <w:snapToGrid w:val="0"/>
      <w:color w:val="005295"/>
      <w:sz w:val="16"/>
      <w:szCs w:val="16"/>
    </w:rPr>
  </w:style>
  <w:style w:type="paragraph" w:customStyle="1" w:styleId="PNumbering">
    <w:name w:val="P.Numbering"/>
    <w:link w:val="PNumberingChar"/>
    <w:uiPriority w:val="99"/>
    <w:rsid w:val="00D543A7"/>
    <w:pPr>
      <w:numPr>
        <w:numId w:val="28"/>
      </w:numPr>
      <w:tabs>
        <w:tab w:val="left" w:pos="720"/>
      </w:tabs>
      <w:spacing w:after="120"/>
    </w:pPr>
    <w:rPr>
      <w:rFonts w:cs="Times"/>
      <w:sz w:val="24"/>
      <w:szCs w:val="24"/>
    </w:rPr>
  </w:style>
  <w:style w:type="character" w:customStyle="1" w:styleId="PNumberingChar">
    <w:name w:val="P.Numbering Char"/>
    <w:basedOn w:val="DefaultParagraphFont"/>
    <w:link w:val="PNumbering"/>
    <w:uiPriority w:val="99"/>
    <w:locked/>
    <w:rsid w:val="00D543A7"/>
    <w:rPr>
      <w:rFonts w:cs="Times"/>
      <w:sz w:val="24"/>
      <w:szCs w:val="24"/>
    </w:rPr>
  </w:style>
  <w:style w:type="paragraph" w:customStyle="1" w:styleId="PNumberingLast">
    <w:name w:val="P.Numbering Last"/>
    <w:basedOn w:val="PNumbering"/>
    <w:uiPriority w:val="99"/>
    <w:rsid w:val="00A639DF"/>
    <w:pPr>
      <w:numPr>
        <w:numId w:val="24"/>
      </w:numPr>
      <w:tabs>
        <w:tab w:val="clear" w:pos="360"/>
      </w:tabs>
      <w:spacing w:after="240"/>
    </w:pPr>
  </w:style>
  <w:style w:type="paragraph" w:customStyle="1" w:styleId="PNumberingLeftMargin">
    <w:name w:val="P.Numbering Left Margin"/>
    <w:basedOn w:val="PNumbering"/>
    <w:uiPriority w:val="99"/>
    <w:rsid w:val="00514076"/>
    <w:pPr>
      <w:ind w:left="0" w:firstLine="0"/>
    </w:pPr>
  </w:style>
  <w:style w:type="paragraph" w:customStyle="1" w:styleId="PQuotes">
    <w:name w:val="P.Quotes"/>
    <w:uiPriority w:val="99"/>
    <w:rsid w:val="00514076"/>
    <w:pPr>
      <w:pBdr>
        <w:top w:val="single" w:sz="4" w:space="1" w:color="auto"/>
        <w:bottom w:val="single" w:sz="4" w:space="1" w:color="auto"/>
      </w:pBdr>
      <w:spacing w:before="120" w:after="120"/>
      <w:ind w:left="144" w:right="144"/>
    </w:pPr>
    <w:rPr>
      <w:rFonts w:ascii="Calibri" w:hAnsi="Calibri" w:cs="Times"/>
      <w:i/>
      <w:iCs/>
      <w:szCs w:val="24"/>
    </w:rPr>
  </w:style>
  <w:style w:type="paragraph" w:customStyle="1" w:styleId="PReference">
    <w:name w:val="P.Reference"/>
    <w:basedOn w:val="Normal"/>
    <w:uiPriority w:val="99"/>
    <w:rsid w:val="00514076"/>
    <w:pPr>
      <w:keepLines/>
      <w:tabs>
        <w:tab w:val="right" w:pos="9540"/>
      </w:tabs>
      <w:suppressAutoHyphens/>
      <w:spacing w:after="240"/>
      <w:ind w:left="360" w:hanging="360"/>
      <w:outlineLvl w:val="0"/>
    </w:pPr>
    <w:rPr>
      <w:rFonts w:ascii="Arial Narrow" w:hAnsi="Arial Narrow"/>
      <w:sz w:val="20"/>
      <w:szCs w:val="24"/>
    </w:rPr>
  </w:style>
  <w:style w:type="paragraph" w:customStyle="1" w:styleId="PTableBullet1">
    <w:name w:val="P.Table Bullet 1"/>
    <w:basedOn w:val="PBullet"/>
    <w:uiPriority w:val="99"/>
    <w:rsid w:val="00514076"/>
    <w:pPr>
      <w:numPr>
        <w:numId w:val="15"/>
      </w:numPr>
      <w:spacing w:before="20" w:after="20"/>
    </w:pPr>
    <w:rPr>
      <w:rFonts w:ascii="Arial" w:hAnsi="Arial" w:cs="Arial"/>
      <w:szCs w:val="20"/>
    </w:rPr>
  </w:style>
  <w:style w:type="paragraph" w:customStyle="1" w:styleId="PTablebullet2">
    <w:name w:val="P.Table bullet 2"/>
    <w:basedOn w:val="Normal"/>
    <w:uiPriority w:val="99"/>
    <w:rsid w:val="00514076"/>
    <w:pPr>
      <w:spacing w:line="220" w:lineRule="exact"/>
    </w:pPr>
    <w:rPr>
      <w:rFonts w:cs="Arial"/>
      <w:sz w:val="20"/>
      <w:szCs w:val="20"/>
    </w:rPr>
  </w:style>
  <w:style w:type="paragraph" w:customStyle="1" w:styleId="PTableHeading">
    <w:name w:val="P.Table Heading"/>
    <w:uiPriority w:val="99"/>
    <w:rsid w:val="005A1560"/>
    <w:pPr>
      <w:keepNext/>
      <w:jc w:val="center"/>
    </w:pPr>
    <w:rPr>
      <w:rFonts w:ascii="Arial" w:hAnsi="Arial" w:cs="Arial"/>
      <w:b/>
      <w:bCs/>
      <w:color w:val="FFFFFF"/>
    </w:rPr>
  </w:style>
  <w:style w:type="paragraph" w:customStyle="1" w:styleId="PTableSource">
    <w:name w:val="P.Table Source"/>
    <w:uiPriority w:val="99"/>
    <w:rsid w:val="00514076"/>
    <w:pPr>
      <w:tabs>
        <w:tab w:val="left" w:pos="180"/>
      </w:tabs>
      <w:spacing w:before="60"/>
      <w:ind w:left="180" w:hanging="180"/>
    </w:pPr>
    <w:rPr>
      <w:rFonts w:ascii="Arial" w:hAnsi="Arial" w:cs="Arial"/>
      <w:sz w:val="16"/>
      <w:szCs w:val="16"/>
    </w:rPr>
  </w:style>
  <w:style w:type="paragraph" w:customStyle="1" w:styleId="PTableText">
    <w:name w:val="P.Table Text"/>
    <w:link w:val="PTableTextChar"/>
    <w:uiPriority w:val="99"/>
    <w:rsid w:val="00883F00"/>
    <w:rPr>
      <w:rFonts w:ascii="Arial" w:hAnsi="Arial" w:cs="Arial"/>
    </w:rPr>
  </w:style>
  <w:style w:type="paragraph" w:customStyle="1" w:styleId="PTableTextIndent">
    <w:name w:val="P.Table Text Indent"/>
    <w:basedOn w:val="PTableText"/>
    <w:uiPriority w:val="99"/>
    <w:rsid w:val="005A1560"/>
    <w:pPr>
      <w:ind w:left="389" w:right="144" w:hanging="245"/>
    </w:pPr>
  </w:style>
  <w:style w:type="paragraph" w:customStyle="1" w:styleId="PTableTitle">
    <w:name w:val="P.Table Title"/>
    <w:uiPriority w:val="99"/>
    <w:rsid w:val="005A1560"/>
    <w:pPr>
      <w:keepNext/>
      <w:keepLines/>
      <w:spacing w:after="60"/>
      <w:ind w:left="1224" w:hanging="1224"/>
    </w:pPr>
    <w:rPr>
      <w:rFonts w:ascii="Arial" w:hAnsi="Arial" w:cs="Times"/>
      <w:b/>
      <w:bCs/>
      <w:szCs w:val="24"/>
    </w:rPr>
  </w:style>
  <w:style w:type="paragraph" w:customStyle="1" w:styleId="PTitleRight">
    <w:name w:val="P.Title Right"/>
    <w:uiPriority w:val="99"/>
    <w:rsid w:val="00514076"/>
    <w:pPr>
      <w:jc w:val="right"/>
    </w:pPr>
    <w:rPr>
      <w:rFonts w:ascii="Arial Narrow" w:hAnsi="Arial Narrow" w:cs="Arial Narrow"/>
      <w:sz w:val="24"/>
      <w:szCs w:val="24"/>
    </w:rPr>
  </w:style>
  <w:style w:type="character" w:styleId="PageNumber">
    <w:name w:val="page number"/>
    <w:basedOn w:val="DefaultParagraphFont"/>
    <w:uiPriority w:val="99"/>
    <w:rsid w:val="00514076"/>
    <w:rPr>
      <w:rFonts w:ascii="Calibri" w:hAnsi="Calibri" w:cs="Arial"/>
      <w:sz w:val="20"/>
      <w:szCs w:val="18"/>
      <w:lang w:val="en-US"/>
    </w:rPr>
  </w:style>
  <w:style w:type="paragraph" w:styleId="Revision">
    <w:name w:val="Revision"/>
    <w:hidden/>
    <w:uiPriority w:val="99"/>
    <w:semiHidden/>
    <w:rsid w:val="00C038FD"/>
    <w:rPr>
      <w:rFonts w:cs="Times"/>
      <w:sz w:val="24"/>
      <w:szCs w:val="22"/>
    </w:rPr>
  </w:style>
  <w:style w:type="paragraph" w:customStyle="1" w:styleId="PExhibitTitle">
    <w:name w:val="P.Exhibit Title"/>
    <w:qFormat/>
    <w:rsid w:val="006222B9"/>
    <w:pPr>
      <w:keepNext/>
      <w:keepLines/>
      <w:spacing w:after="60"/>
    </w:pPr>
    <w:rPr>
      <w:rFonts w:ascii="Arial" w:hAnsi="Arial" w:cs="Times"/>
      <w:b/>
      <w:bCs/>
      <w:color w:val="002C5F"/>
      <w:szCs w:val="24"/>
      <w:lang w:eastAsia="en-GB"/>
    </w:rPr>
  </w:style>
  <w:style w:type="character" w:customStyle="1" w:styleId="PTableTextChar">
    <w:name w:val="P.Table Text Char"/>
    <w:basedOn w:val="DefaultParagraphFont"/>
    <w:link w:val="PTableText"/>
    <w:uiPriority w:val="99"/>
    <w:locked/>
    <w:rsid w:val="006222B9"/>
    <w:rPr>
      <w:rFonts w:ascii="Arial" w:hAnsi="Arial" w:cs="Arial"/>
    </w:rPr>
  </w:style>
  <w:style w:type="table" w:customStyle="1" w:styleId="TableGrid2">
    <w:name w:val="Table Grid2"/>
    <w:basedOn w:val="TableNormal"/>
    <w:next w:val="TableGrid"/>
    <w:uiPriority w:val="59"/>
    <w:rsid w:val="00DF506E"/>
    <w:rPr>
      <w:rFonts w:asciiTheme="minorHAnsi" w:eastAsia="Calibr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FF32FB"/>
    <w:rPr>
      <w:rFonts w:ascii="Times" w:hAnsi="Times"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B0D9D"/>
    <w:rPr>
      <w:color w:val="808080"/>
    </w:rPr>
  </w:style>
  <w:style w:type="character" w:customStyle="1" w:styleId="PBodyTextChar">
    <w:name w:val="P.Body Text Char"/>
    <w:basedOn w:val="DefaultParagraphFont"/>
    <w:link w:val="PBodyText"/>
    <w:locked/>
    <w:rsid w:val="0067652C"/>
    <w:rPr>
      <w:rFonts w:cs="Times"/>
      <w:sz w:val="24"/>
      <w:szCs w:val="22"/>
    </w:rPr>
  </w:style>
  <w:style w:type="table" w:styleId="LightList-Accent1">
    <w:name w:val="Light List Accent 1"/>
    <w:basedOn w:val="TableNormal"/>
    <w:uiPriority w:val="61"/>
    <w:rsid w:val="00197D66"/>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906226">
      <w:bodyDiv w:val="1"/>
      <w:marLeft w:val="0"/>
      <w:marRight w:val="0"/>
      <w:marTop w:val="0"/>
      <w:marBottom w:val="0"/>
      <w:divBdr>
        <w:top w:val="none" w:sz="0" w:space="0" w:color="auto"/>
        <w:left w:val="none" w:sz="0" w:space="0" w:color="auto"/>
        <w:bottom w:val="none" w:sz="0" w:space="0" w:color="auto"/>
        <w:right w:val="none" w:sz="0" w:space="0" w:color="auto"/>
      </w:divBdr>
    </w:div>
    <w:div w:id="335617066">
      <w:bodyDiv w:val="1"/>
      <w:marLeft w:val="0"/>
      <w:marRight w:val="0"/>
      <w:marTop w:val="0"/>
      <w:marBottom w:val="0"/>
      <w:divBdr>
        <w:top w:val="none" w:sz="0" w:space="0" w:color="auto"/>
        <w:left w:val="none" w:sz="0" w:space="0" w:color="auto"/>
        <w:bottom w:val="none" w:sz="0" w:space="0" w:color="auto"/>
        <w:right w:val="none" w:sz="0" w:space="0" w:color="auto"/>
      </w:divBdr>
    </w:div>
    <w:div w:id="534316408">
      <w:bodyDiv w:val="1"/>
      <w:marLeft w:val="0"/>
      <w:marRight w:val="0"/>
      <w:marTop w:val="0"/>
      <w:marBottom w:val="0"/>
      <w:divBdr>
        <w:top w:val="none" w:sz="0" w:space="0" w:color="auto"/>
        <w:left w:val="none" w:sz="0" w:space="0" w:color="auto"/>
        <w:bottom w:val="none" w:sz="0" w:space="0" w:color="auto"/>
        <w:right w:val="none" w:sz="0" w:space="0" w:color="auto"/>
      </w:divBdr>
    </w:div>
    <w:div w:id="546798272">
      <w:bodyDiv w:val="1"/>
      <w:marLeft w:val="0"/>
      <w:marRight w:val="0"/>
      <w:marTop w:val="0"/>
      <w:marBottom w:val="0"/>
      <w:divBdr>
        <w:top w:val="none" w:sz="0" w:space="0" w:color="auto"/>
        <w:left w:val="none" w:sz="0" w:space="0" w:color="auto"/>
        <w:bottom w:val="none" w:sz="0" w:space="0" w:color="auto"/>
        <w:right w:val="none" w:sz="0" w:space="0" w:color="auto"/>
      </w:divBdr>
    </w:div>
    <w:div w:id="667948879">
      <w:bodyDiv w:val="1"/>
      <w:marLeft w:val="0"/>
      <w:marRight w:val="0"/>
      <w:marTop w:val="0"/>
      <w:marBottom w:val="0"/>
      <w:divBdr>
        <w:top w:val="none" w:sz="0" w:space="0" w:color="auto"/>
        <w:left w:val="none" w:sz="0" w:space="0" w:color="auto"/>
        <w:bottom w:val="none" w:sz="0" w:space="0" w:color="auto"/>
        <w:right w:val="none" w:sz="0" w:space="0" w:color="auto"/>
      </w:divBdr>
    </w:div>
    <w:div w:id="796602070">
      <w:bodyDiv w:val="1"/>
      <w:marLeft w:val="0"/>
      <w:marRight w:val="0"/>
      <w:marTop w:val="0"/>
      <w:marBottom w:val="0"/>
      <w:divBdr>
        <w:top w:val="none" w:sz="0" w:space="0" w:color="auto"/>
        <w:left w:val="none" w:sz="0" w:space="0" w:color="auto"/>
        <w:bottom w:val="none" w:sz="0" w:space="0" w:color="auto"/>
        <w:right w:val="none" w:sz="0" w:space="0" w:color="auto"/>
      </w:divBdr>
    </w:div>
    <w:div w:id="977497584">
      <w:bodyDiv w:val="1"/>
      <w:marLeft w:val="0"/>
      <w:marRight w:val="0"/>
      <w:marTop w:val="0"/>
      <w:marBottom w:val="0"/>
      <w:divBdr>
        <w:top w:val="none" w:sz="0" w:space="0" w:color="auto"/>
        <w:left w:val="none" w:sz="0" w:space="0" w:color="auto"/>
        <w:bottom w:val="none" w:sz="0" w:space="0" w:color="auto"/>
        <w:right w:val="none" w:sz="0" w:space="0" w:color="auto"/>
      </w:divBdr>
    </w:div>
    <w:div w:id="1126578303">
      <w:bodyDiv w:val="1"/>
      <w:marLeft w:val="0"/>
      <w:marRight w:val="0"/>
      <w:marTop w:val="0"/>
      <w:marBottom w:val="0"/>
      <w:divBdr>
        <w:top w:val="none" w:sz="0" w:space="0" w:color="auto"/>
        <w:left w:val="none" w:sz="0" w:space="0" w:color="auto"/>
        <w:bottom w:val="none" w:sz="0" w:space="0" w:color="auto"/>
        <w:right w:val="none" w:sz="0" w:space="0" w:color="auto"/>
      </w:divBdr>
    </w:div>
    <w:div w:id="1326779997">
      <w:bodyDiv w:val="1"/>
      <w:marLeft w:val="0"/>
      <w:marRight w:val="0"/>
      <w:marTop w:val="0"/>
      <w:marBottom w:val="0"/>
      <w:divBdr>
        <w:top w:val="none" w:sz="0" w:space="0" w:color="auto"/>
        <w:left w:val="none" w:sz="0" w:space="0" w:color="auto"/>
        <w:bottom w:val="none" w:sz="0" w:space="0" w:color="auto"/>
        <w:right w:val="none" w:sz="0" w:space="0" w:color="auto"/>
      </w:divBdr>
    </w:div>
    <w:div w:id="1371568147">
      <w:bodyDiv w:val="1"/>
      <w:marLeft w:val="0"/>
      <w:marRight w:val="0"/>
      <w:marTop w:val="0"/>
      <w:marBottom w:val="0"/>
      <w:divBdr>
        <w:top w:val="none" w:sz="0" w:space="0" w:color="auto"/>
        <w:left w:val="none" w:sz="0" w:space="0" w:color="auto"/>
        <w:bottom w:val="none" w:sz="0" w:space="0" w:color="auto"/>
        <w:right w:val="none" w:sz="0" w:space="0" w:color="auto"/>
      </w:divBdr>
    </w:div>
    <w:div w:id="1416508958">
      <w:bodyDiv w:val="1"/>
      <w:marLeft w:val="0"/>
      <w:marRight w:val="0"/>
      <w:marTop w:val="0"/>
      <w:marBottom w:val="0"/>
      <w:divBdr>
        <w:top w:val="none" w:sz="0" w:space="0" w:color="auto"/>
        <w:left w:val="none" w:sz="0" w:space="0" w:color="auto"/>
        <w:bottom w:val="none" w:sz="0" w:space="0" w:color="auto"/>
        <w:right w:val="none" w:sz="0" w:space="0" w:color="auto"/>
      </w:divBdr>
    </w:div>
    <w:div w:id="1588345164">
      <w:bodyDiv w:val="1"/>
      <w:marLeft w:val="0"/>
      <w:marRight w:val="0"/>
      <w:marTop w:val="0"/>
      <w:marBottom w:val="0"/>
      <w:divBdr>
        <w:top w:val="none" w:sz="0" w:space="0" w:color="auto"/>
        <w:left w:val="none" w:sz="0" w:space="0" w:color="auto"/>
        <w:bottom w:val="none" w:sz="0" w:space="0" w:color="auto"/>
        <w:right w:val="none" w:sz="0" w:space="0" w:color="auto"/>
      </w:divBdr>
    </w:div>
    <w:div w:id="1661612474">
      <w:bodyDiv w:val="1"/>
      <w:marLeft w:val="0"/>
      <w:marRight w:val="0"/>
      <w:marTop w:val="0"/>
      <w:marBottom w:val="0"/>
      <w:divBdr>
        <w:top w:val="none" w:sz="0" w:space="0" w:color="auto"/>
        <w:left w:val="none" w:sz="0" w:space="0" w:color="auto"/>
        <w:bottom w:val="none" w:sz="0" w:space="0" w:color="auto"/>
        <w:right w:val="none" w:sz="0" w:space="0" w:color="auto"/>
      </w:divBdr>
    </w:div>
    <w:div w:id="1911692801">
      <w:bodyDiv w:val="1"/>
      <w:marLeft w:val="0"/>
      <w:marRight w:val="0"/>
      <w:marTop w:val="0"/>
      <w:marBottom w:val="0"/>
      <w:divBdr>
        <w:top w:val="none" w:sz="0" w:space="0" w:color="auto"/>
        <w:left w:val="none" w:sz="0" w:space="0" w:color="auto"/>
        <w:bottom w:val="none" w:sz="0" w:space="0" w:color="auto"/>
        <w:right w:val="none" w:sz="0" w:space="0" w:color="auto"/>
      </w:divBdr>
    </w:div>
    <w:div w:id="195057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cahps.ahrq.gov/surveys-guidance/survey4.0-docs/13b_Fielding_the_Commercial_Survey_2008.pdf" TargetMode="External"/><Relationship Id="rId7" Type="http://schemas.openxmlformats.org/officeDocument/2006/relationships/hyperlink" Target="https://cahps.ahrq.gov/surveys-guidance/survey4.0-docs/2015_instructions_for_analyzing_data.pdf" TargetMode="External"/><Relationship Id="rId2" Type="http://schemas.openxmlformats.org/officeDocument/2006/relationships/hyperlink" Target="https://cahps.ahrq.gov/surveys-guidance/survey4.0-docs/1033_CG_Fielding_the_Survey.pdf" TargetMode="External"/><Relationship Id="rId1" Type="http://schemas.openxmlformats.org/officeDocument/2006/relationships/hyperlink" Target="https://cahps.ahrq.gov/surveys-guidance/survey4.0-docs/2015_instructions_for_analyzing_data.pdf" TargetMode="External"/><Relationship Id="rId6" Type="http://schemas.openxmlformats.org/officeDocument/2006/relationships/hyperlink" Target="https://cahps.ahrq.gov/surveys-guidance/survey4.0-docs/2015_instructions_for_analyzing_data.pdf" TargetMode="External"/><Relationship Id="rId5" Type="http://schemas.openxmlformats.org/officeDocument/2006/relationships/hyperlink" Target="https://cahps.ahrq.gov/surveys-guidance/survey4.0-docs/1033_CG_Fielding_the_Survey.pdf" TargetMode="External"/><Relationship Id="rId4" Type="http://schemas.openxmlformats.org/officeDocument/2006/relationships/hyperlink" Target="https://cahps.ahrq.gov/surveys-guidance/survey4.0-docs/2015_instructions_for_analyzing_dat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A41FE15D85D64587BCA57AEBF5E4E2" ma:contentTypeVersion="9" ma:contentTypeDescription="Create a new document." ma:contentTypeScope="" ma:versionID="d6d319d57f8c99408c25d22b057e598b">
  <xsd:schema xmlns:xsd="http://www.w3.org/2001/XMLSchema" xmlns:xs="http://www.w3.org/2001/XMLSchema" xmlns:p="http://schemas.microsoft.com/office/2006/metadata/properties" xmlns:ns2="af38e4ca-f887-42d2-b009-73172c6a0926" targetNamespace="http://schemas.microsoft.com/office/2006/metadata/properties" ma:root="true" ma:fieldsID="3c91821d872487104f58b71285b307e7" ns2:_="">
    <xsd:import namespace="af38e4ca-f887-42d2-b009-73172c6a0926"/>
    <xsd:element name="properties">
      <xsd:complexType>
        <xsd:sequence>
          <xsd:element name="documentManagement">
            <xsd:complexType>
              <xsd:all>
                <xsd:element ref="ns2:Closed" minOccurs="0"/>
                <xsd:element ref="ns2:Comments_x0020_Due_x0020_Date" minOccurs="0"/>
                <xsd:element ref="ns2:Program" minOccurs="0"/>
                <xsd:element ref="ns2:Assigned" minOccurs="0"/>
                <xsd:element ref="ns2: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8e4ca-f887-42d2-b009-73172c6a0926" elementFormDefault="qualified">
    <xsd:import namespace="http://schemas.microsoft.com/office/2006/documentManagement/types"/>
    <xsd:import namespace="http://schemas.microsoft.com/office/infopath/2007/PartnerControls"/>
    <xsd:element name="Closed" ma:index="2" nillable="true" ma:displayName="Closed" ma:default="0" ma:internalName="Closed">
      <xsd:simpleType>
        <xsd:restriction base="dms:Boolean"/>
      </xsd:simpleType>
    </xsd:element>
    <xsd:element name="Comments_x0020_Due_x0020_Date" ma:index="3" nillable="true" ma:displayName="Comments Due Date" ma:format="DateOnly" ma:internalName="Comments_x0020_Due_x0020_Date">
      <xsd:simpleType>
        <xsd:restriction base="dms:DateTime"/>
      </xsd:simpleType>
    </xsd:element>
    <xsd:element name="Program" ma:index="4" nillable="true" ma:displayName="Program" ma:default="Other" ma:format="Dropdown" ma:internalName="Program">
      <xsd:simpleType>
        <xsd:restriction base="dms:Choice">
          <xsd:enumeration value="MQM"/>
          <xsd:enumeration value="QHP Survey"/>
          <xsd:enumeration value="Marketplace Survey"/>
          <xsd:enumeration value="QRS"/>
          <xsd:enumeration value="QIS"/>
          <xsd:enumeration value="Other"/>
        </xsd:restriction>
      </xsd:simpleType>
    </xsd:element>
    <xsd:element name="Assigned" ma:index="11" nillable="true" ma:displayName="Assigned" ma:internalName="Assigned">
      <xsd:simpleType>
        <xsd:restriction base="dms:Note">
          <xsd:maxLength value="255"/>
        </xsd:restriction>
      </xsd:simpleType>
    </xsd:element>
    <xsd:element name="Reviewed" ma:index="12" nillable="true" ma:displayName="Reviewed" ma:internalName="Reviewed">
      <xsd:complexType>
        <xsd:complexContent>
          <xsd:extension base="dms:MultiChoiceFillIn">
            <xsd:sequence>
              <xsd:element name="Value" maxOccurs="unbounded" minOccurs="0" nillable="true">
                <xsd:simpleType>
                  <xsd:union memberTypes="dms:Text">
                    <xsd:simpleType>
                      <xsd:restriction base="dms:Choice">
                        <xsd:enumeration value="Maria Durham"/>
                        <xsd:enumeration value="Jayne Hammen"/>
                        <xsd:enumeration value="Deborah Greene"/>
                        <xsd:enumeration value="Kathleen Jack"/>
                        <xsd:enumeration value="Marsha Smith"/>
                        <xsd:enumeration value="Melissa Evans"/>
                        <xsd:enumeration value="Nidhi Singh-Shah"/>
                        <xsd:enumeration value="LaWanda Burwell"/>
                      </xsd:restriction>
                    </xsd:simpleType>
                  </xsd:un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gram xmlns="af38e4ca-f887-42d2-b009-73172c6a0926">Marketplace Survey</Program>
    <Assigned xmlns="af38e4ca-f887-42d2-b009-73172c6a0926" xsi:nil="true"/>
    <Closed xmlns="af38e4ca-f887-42d2-b009-73172c6a0926">true</Closed>
    <Reviewed xmlns="af38e4ca-f887-42d2-b009-73172c6a0926">
      <Value>Kathleen Jack</Value>
      <Value>Melissa Evans</Value>
    </Reviewed>
    <Comments_x0020_Due_x0020_Date xmlns="af38e4ca-f887-42d2-b009-73172c6a092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4F3FF-C68F-4C6D-9AC1-50DC96B82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38e4ca-f887-42d2-b009-73172c6a0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60E217-73DC-4678-BF84-0E6934C613B8}">
  <ds:schemaRefs>
    <ds:schemaRef ds:uri="http://schemas.microsoft.com/sharepoint/v3/contenttype/forms"/>
  </ds:schemaRefs>
</ds:datastoreItem>
</file>

<file path=customXml/itemProps3.xml><?xml version="1.0" encoding="utf-8"?>
<ds:datastoreItem xmlns:ds="http://schemas.openxmlformats.org/officeDocument/2006/customXml" ds:itemID="{16EB970E-E074-40BC-A224-3DC0395B33C9}">
  <ds:schemaRefs>
    <ds:schemaRef ds:uri="http://purl.org/dc/dcmitype/"/>
    <ds:schemaRef ds:uri="http://schemas.microsoft.com/office/infopath/2007/PartnerControls"/>
    <ds:schemaRef ds:uri="http://www.w3.org/XML/1998/namespace"/>
    <ds:schemaRef ds:uri="http://schemas.openxmlformats.org/package/2006/metadata/core-properties"/>
    <ds:schemaRef ds:uri="http://schemas.microsoft.com/office/2006/documentManagement/types"/>
    <ds:schemaRef ds:uri="http://purl.org/dc/terms/"/>
    <ds:schemaRef ds:uri="http://purl.org/dc/elements/1.1/"/>
    <ds:schemaRef ds:uri="af38e4ca-f887-42d2-b009-73172c6a0926"/>
    <ds:schemaRef ds:uri="http://schemas.microsoft.com/office/2006/metadata/properties"/>
  </ds:schemaRefs>
</ds:datastoreItem>
</file>

<file path=customXml/itemProps4.xml><?xml version="1.0" encoding="utf-8"?>
<ds:datastoreItem xmlns:ds="http://schemas.openxmlformats.org/officeDocument/2006/customXml" ds:itemID="{DA5D438C-7660-4D64-8283-E4E149DD7C56}">
  <ds:schemaRefs>
    <ds:schemaRef ds:uri="http://schemas.openxmlformats.org/officeDocument/2006/bibliography"/>
  </ds:schemaRefs>
</ds:datastoreItem>
</file>

<file path=customXml/itemProps5.xml><?xml version="1.0" encoding="utf-8"?>
<ds:datastoreItem xmlns:ds="http://schemas.openxmlformats.org/officeDocument/2006/customXml" ds:itemID="{0227C5CC-B3C2-44E3-9EC4-8B7366B90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Pages>
  <Words>12582</Words>
  <Characters>71722</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Health Insurance Marketplace Consumer Experience Surveys - OMB Supporting Statement B</vt:lpstr>
    </vt:vector>
  </TitlesOfParts>
  <Company>American Institutes for Research</Company>
  <LinksUpToDate>false</LinksUpToDate>
  <CharactersWithSpaces>84136</CharactersWithSpaces>
  <SharedDoc>false</SharedDoc>
  <HLinks>
    <vt:vector size="138" baseType="variant">
      <vt:variant>
        <vt:i4>7405604</vt:i4>
      </vt:variant>
      <vt:variant>
        <vt:i4>146</vt:i4>
      </vt:variant>
      <vt:variant>
        <vt:i4>0</vt:i4>
      </vt:variant>
      <vt:variant>
        <vt:i4>5</vt:i4>
      </vt:variant>
      <vt:variant>
        <vt:lpwstr>http://www.bls.gov/news.release/empsit.nr0.htm</vt:lpwstr>
      </vt:variant>
      <vt:variant>
        <vt:lpwstr/>
      </vt:variant>
      <vt:variant>
        <vt:i4>1376309</vt:i4>
      </vt:variant>
      <vt:variant>
        <vt:i4>133</vt:i4>
      </vt:variant>
      <vt:variant>
        <vt:i4>0</vt:i4>
      </vt:variant>
      <vt:variant>
        <vt:i4>5</vt:i4>
      </vt:variant>
      <vt:variant>
        <vt:lpwstr/>
      </vt:variant>
      <vt:variant>
        <vt:lpwstr>_Toc317605104</vt:lpwstr>
      </vt:variant>
      <vt:variant>
        <vt:i4>1376309</vt:i4>
      </vt:variant>
      <vt:variant>
        <vt:i4>127</vt:i4>
      </vt:variant>
      <vt:variant>
        <vt:i4>0</vt:i4>
      </vt:variant>
      <vt:variant>
        <vt:i4>5</vt:i4>
      </vt:variant>
      <vt:variant>
        <vt:lpwstr/>
      </vt:variant>
      <vt:variant>
        <vt:lpwstr>_Toc317605103</vt:lpwstr>
      </vt:variant>
      <vt:variant>
        <vt:i4>1245234</vt:i4>
      </vt:variant>
      <vt:variant>
        <vt:i4>118</vt:i4>
      </vt:variant>
      <vt:variant>
        <vt:i4>0</vt:i4>
      </vt:variant>
      <vt:variant>
        <vt:i4>5</vt:i4>
      </vt:variant>
      <vt:variant>
        <vt:lpwstr/>
      </vt:variant>
      <vt:variant>
        <vt:lpwstr>_Toc318984184</vt:lpwstr>
      </vt:variant>
      <vt:variant>
        <vt:i4>1245234</vt:i4>
      </vt:variant>
      <vt:variant>
        <vt:i4>112</vt:i4>
      </vt:variant>
      <vt:variant>
        <vt:i4>0</vt:i4>
      </vt:variant>
      <vt:variant>
        <vt:i4>5</vt:i4>
      </vt:variant>
      <vt:variant>
        <vt:lpwstr/>
      </vt:variant>
      <vt:variant>
        <vt:lpwstr>_Toc318984183</vt:lpwstr>
      </vt:variant>
      <vt:variant>
        <vt:i4>1245234</vt:i4>
      </vt:variant>
      <vt:variant>
        <vt:i4>106</vt:i4>
      </vt:variant>
      <vt:variant>
        <vt:i4>0</vt:i4>
      </vt:variant>
      <vt:variant>
        <vt:i4>5</vt:i4>
      </vt:variant>
      <vt:variant>
        <vt:lpwstr/>
      </vt:variant>
      <vt:variant>
        <vt:lpwstr>_Toc318984182</vt:lpwstr>
      </vt:variant>
      <vt:variant>
        <vt:i4>1245234</vt:i4>
      </vt:variant>
      <vt:variant>
        <vt:i4>100</vt:i4>
      </vt:variant>
      <vt:variant>
        <vt:i4>0</vt:i4>
      </vt:variant>
      <vt:variant>
        <vt:i4>5</vt:i4>
      </vt:variant>
      <vt:variant>
        <vt:lpwstr/>
      </vt:variant>
      <vt:variant>
        <vt:lpwstr>_Toc318984181</vt:lpwstr>
      </vt:variant>
      <vt:variant>
        <vt:i4>1245234</vt:i4>
      </vt:variant>
      <vt:variant>
        <vt:i4>94</vt:i4>
      </vt:variant>
      <vt:variant>
        <vt:i4>0</vt:i4>
      </vt:variant>
      <vt:variant>
        <vt:i4>5</vt:i4>
      </vt:variant>
      <vt:variant>
        <vt:lpwstr/>
      </vt:variant>
      <vt:variant>
        <vt:lpwstr>_Toc318984180</vt:lpwstr>
      </vt:variant>
      <vt:variant>
        <vt:i4>1835058</vt:i4>
      </vt:variant>
      <vt:variant>
        <vt:i4>88</vt:i4>
      </vt:variant>
      <vt:variant>
        <vt:i4>0</vt:i4>
      </vt:variant>
      <vt:variant>
        <vt:i4>5</vt:i4>
      </vt:variant>
      <vt:variant>
        <vt:lpwstr/>
      </vt:variant>
      <vt:variant>
        <vt:lpwstr>_Toc318984179</vt:lpwstr>
      </vt:variant>
      <vt:variant>
        <vt:i4>1835058</vt:i4>
      </vt:variant>
      <vt:variant>
        <vt:i4>82</vt:i4>
      </vt:variant>
      <vt:variant>
        <vt:i4>0</vt:i4>
      </vt:variant>
      <vt:variant>
        <vt:i4>5</vt:i4>
      </vt:variant>
      <vt:variant>
        <vt:lpwstr/>
      </vt:variant>
      <vt:variant>
        <vt:lpwstr>_Toc318984178</vt:lpwstr>
      </vt:variant>
      <vt:variant>
        <vt:i4>1835058</vt:i4>
      </vt:variant>
      <vt:variant>
        <vt:i4>76</vt:i4>
      </vt:variant>
      <vt:variant>
        <vt:i4>0</vt:i4>
      </vt:variant>
      <vt:variant>
        <vt:i4>5</vt:i4>
      </vt:variant>
      <vt:variant>
        <vt:lpwstr/>
      </vt:variant>
      <vt:variant>
        <vt:lpwstr>_Toc318984177</vt:lpwstr>
      </vt:variant>
      <vt:variant>
        <vt:i4>1835058</vt:i4>
      </vt:variant>
      <vt:variant>
        <vt:i4>70</vt:i4>
      </vt:variant>
      <vt:variant>
        <vt:i4>0</vt:i4>
      </vt:variant>
      <vt:variant>
        <vt:i4>5</vt:i4>
      </vt:variant>
      <vt:variant>
        <vt:lpwstr/>
      </vt:variant>
      <vt:variant>
        <vt:lpwstr>_Toc318984176</vt:lpwstr>
      </vt:variant>
      <vt:variant>
        <vt:i4>1835058</vt:i4>
      </vt:variant>
      <vt:variant>
        <vt:i4>64</vt:i4>
      </vt:variant>
      <vt:variant>
        <vt:i4>0</vt:i4>
      </vt:variant>
      <vt:variant>
        <vt:i4>5</vt:i4>
      </vt:variant>
      <vt:variant>
        <vt:lpwstr/>
      </vt:variant>
      <vt:variant>
        <vt:lpwstr>_Toc318984175</vt:lpwstr>
      </vt:variant>
      <vt:variant>
        <vt:i4>1835058</vt:i4>
      </vt:variant>
      <vt:variant>
        <vt:i4>58</vt:i4>
      </vt:variant>
      <vt:variant>
        <vt:i4>0</vt:i4>
      </vt:variant>
      <vt:variant>
        <vt:i4>5</vt:i4>
      </vt:variant>
      <vt:variant>
        <vt:lpwstr/>
      </vt:variant>
      <vt:variant>
        <vt:lpwstr>_Toc318984174</vt:lpwstr>
      </vt:variant>
      <vt:variant>
        <vt:i4>1835058</vt:i4>
      </vt:variant>
      <vt:variant>
        <vt:i4>52</vt:i4>
      </vt:variant>
      <vt:variant>
        <vt:i4>0</vt:i4>
      </vt:variant>
      <vt:variant>
        <vt:i4>5</vt:i4>
      </vt:variant>
      <vt:variant>
        <vt:lpwstr/>
      </vt:variant>
      <vt:variant>
        <vt:lpwstr>_Toc318984173</vt:lpwstr>
      </vt:variant>
      <vt:variant>
        <vt:i4>1835058</vt:i4>
      </vt:variant>
      <vt:variant>
        <vt:i4>46</vt:i4>
      </vt:variant>
      <vt:variant>
        <vt:i4>0</vt:i4>
      </vt:variant>
      <vt:variant>
        <vt:i4>5</vt:i4>
      </vt:variant>
      <vt:variant>
        <vt:lpwstr/>
      </vt:variant>
      <vt:variant>
        <vt:lpwstr>_Toc318984172</vt:lpwstr>
      </vt:variant>
      <vt:variant>
        <vt:i4>1835058</vt:i4>
      </vt:variant>
      <vt:variant>
        <vt:i4>40</vt:i4>
      </vt:variant>
      <vt:variant>
        <vt:i4>0</vt:i4>
      </vt:variant>
      <vt:variant>
        <vt:i4>5</vt:i4>
      </vt:variant>
      <vt:variant>
        <vt:lpwstr/>
      </vt:variant>
      <vt:variant>
        <vt:lpwstr>_Toc318984171</vt:lpwstr>
      </vt:variant>
      <vt:variant>
        <vt:i4>1835058</vt:i4>
      </vt:variant>
      <vt:variant>
        <vt:i4>34</vt:i4>
      </vt:variant>
      <vt:variant>
        <vt:i4>0</vt:i4>
      </vt:variant>
      <vt:variant>
        <vt:i4>5</vt:i4>
      </vt:variant>
      <vt:variant>
        <vt:lpwstr/>
      </vt:variant>
      <vt:variant>
        <vt:lpwstr>_Toc318984170</vt:lpwstr>
      </vt:variant>
      <vt:variant>
        <vt:i4>1900594</vt:i4>
      </vt:variant>
      <vt:variant>
        <vt:i4>28</vt:i4>
      </vt:variant>
      <vt:variant>
        <vt:i4>0</vt:i4>
      </vt:variant>
      <vt:variant>
        <vt:i4>5</vt:i4>
      </vt:variant>
      <vt:variant>
        <vt:lpwstr/>
      </vt:variant>
      <vt:variant>
        <vt:lpwstr>_Toc318984169</vt:lpwstr>
      </vt:variant>
      <vt:variant>
        <vt:i4>1900594</vt:i4>
      </vt:variant>
      <vt:variant>
        <vt:i4>22</vt:i4>
      </vt:variant>
      <vt:variant>
        <vt:i4>0</vt:i4>
      </vt:variant>
      <vt:variant>
        <vt:i4>5</vt:i4>
      </vt:variant>
      <vt:variant>
        <vt:lpwstr/>
      </vt:variant>
      <vt:variant>
        <vt:lpwstr>_Toc318984168</vt:lpwstr>
      </vt:variant>
      <vt:variant>
        <vt:i4>1900594</vt:i4>
      </vt:variant>
      <vt:variant>
        <vt:i4>16</vt:i4>
      </vt:variant>
      <vt:variant>
        <vt:i4>0</vt:i4>
      </vt:variant>
      <vt:variant>
        <vt:i4>5</vt:i4>
      </vt:variant>
      <vt:variant>
        <vt:lpwstr/>
      </vt:variant>
      <vt:variant>
        <vt:lpwstr>_Toc318984167</vt:lpwstr>
      </vt:variant>
      <vt:variant>
        <vt:i4>1900594</vt:i4>
      </vt:variant>
      <vt:variant>
        <vt:i4>10</vt:i4>
      </vt:variant>
      <vt:variant>
        <vt:i4>0</vt:i4>
      </vt:variant>
      <vt:variant>
        <vt:i4>5</vt:i4>
      </vt:variant>
      <vt:variant>
        <vt:lpwstr/>
      </vt:variant>
      <vt:variant>
        <vt:lpwstr>_Toc318984166</vt:lpwstr>
      </vt:variant>
      <vt:variant>
        <vt:i4>1900594</vt:i4>
      </vt:variant>
      <vt:variant>
        <vt:i4>4</vt:i4>
      </vt:variant>
      <vt:variant>
        <vt:i4>0</vt:i4>
      </vt:variant>
      <vt:variant>
        <vt:i4>5</vt:i4>
      </vt:variant>
      <vt:variant>
        <vt:lpwstr/>
      </vt:variant>
      <vt:variant>
        <vt:lpwstr>_Toc318984165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Insurance Marketplace Consumer Experience Surveys - OMB Supporting Statement B</dc:title>
  <dc:creator>Centers for Medicare &amp; Medicaid Services</dc:creator>
  <cp:lastModifiedBy>Kimberly Kufel</cp:lastModifiedBy>
  <cp:revision>2</cp:revision>
  <cp:lastPrinted>2014-01-27T22:40:00Z</cp:lastPrinted>
  <dcterms:created xsi:type="dcterms:W3CDTF">2015-01-29T15:02:00Z</dcterms:created>
  <dcterms:modified xsi:type="dcterms:W3CDTF">2015-01-29T15:02:00Z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0x01010059A41FE15D85D64587BCA57AEBF5E4E2</vt:lpwstr>
  </property>
  <property fmtid="{D5CDD505-2E9C-101B-9397-08002B2CF9AE}" pid="4" name="_AdHocReviewCycleID">
    <vt:i4>1013986540</vt:i4>
  </property>
  <property fmtid="{D5CDD505-2E9C-101B-9397-08002B2CF9AE}" pid="5" name="_EmailSubject">
    <vt:lpwstr>Updated Supporting Statements: Marketplace Survey</vt:lpwstr>
  </property>
  <property fmtid="{D5CDD505-2E9C-101B-9397-08002B2CF9AE}" pid="6" name="_AuthorEmail">
    <vt:lpwstr>Kimberly.Kufel@cms.hhs.gov</vt:lpwstr>
  </property>
  <property fmtid="{D5CDD505-2E9C-101B-9397-08002B2CF9AE}" pid="7" name="_AuthorEmailDisplayName">
    <vt:lpwstr>Kufel, Kimberly R. (CMS/CCSQ)</vt:lpwstr>
  </property>
</Properties>
</file>