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9BA" w:rsidRDefault="009C49BA" w:rsidP="00104D40">
      <w:pPr>
        <w:keepNext/>
        <w:keepLines/>
        <w:widowControl w:val="0"/>
        <w:ind w:left="720"/>
        <w:jc w:val="center"/>
        <w:rPr>
          <w:rStyle w:val="C2CtrSglS"/>
          <w:b/>
        </w:rPr>
      </w:pPr>
    </w:p>
    <w:p w:rsidR="009C49BA" w:rsidRDefault="009C49BA" w:rsidP="00104D40">
      <w:pPr>
        <w:keepNext/>
        <w:keepLines/>
        <w:widowControl w:val="0"/>
        <w:ind w:left="720"/>
        <w:jc w:val="center"/>
        <w:rPr>
          <w:rStyle w:val="C2CtrSglS"/>
          <w:b/>
        </w:rPr>
      </w:pPr>
    </w:p>
    <w:p w:rsidR="009C49BA" w:rsidRDefault="009C49BA" w:rsidP="00104D40">
      <w:pPr>
        <w:keepNext/>
        <w:keepLines/>
        <w:widowControl w:val="0"/>
        <w:ind w:left="720"/>
        <w:jc w:val="center"/>
        <w:rPr>
          <w:rStyle w:val="C2CtrSglS"/>
          <w:b/>
        </w:rPr>
      </w:pPr>
    </w:p>
    <w:p w:rsidR="005A4A00" w:rsidRDefault="005327DE" w:rsidP="00104D40">
      <w:pPr>
        <w:keepNext/>
        <w:keepLines/>
        <w:widowControl w:val="0"/>
        <w:ind w:left="720"/>
        <w:jc w:val="center"/>
        <w:rPr>
          <w:rStyle w:val="C2CtrSglS"/>
          <w:b/>
        </w:rPr>
      </w:pPr>
      <w:r>
        <w:rPr>
          <w:rStyle w:val="C2CtrSglS"/>
          <w:b/>
        </w:rPr>
        <w:t>COMMON</w:t>
      </w:r>
      <w:r w:rsidR="00346DB8">
        <w:rPr>
          <w:rStyle w:val="C2CtrSglS"/>
          <w:b/>
        </w:rPr>
        <w:t xml:space="preserve"> DATA PLATFORM</w:t>
      </w:r>
    </w:p>
    <w:p w:rsidR="005A4A00" w:rsidRDefault="005A4A00" w:rsidP="00104D40">
      <w:pPr>
        <w:ind w:left="720"/>
        <w:jc w:val="center"/>
        <w:rPr>
          <w:rStyle w:val="C2CtrSglS"/>
          <w:b/>
        </w:rPr>
      </w:pPr>
      <w:r>
        <w:rPr>
          <w:rStyle w:val="C2CtrSglS"/>
          <w:b/>
        </w:rPr>
        <w:t xml:space="preserve">CLIENT/PARTICIPANT </w:t>
      </w:r>
      <w:r w:rsidR="00346DB8">
        <w:rPr>
          <w:rStyle w:val="C2CtrSglS"/>
          <w:b/>
        </w:rPr>
        <w:t>DATA COLLECTION</w:t>
      </w:r>
    </w:p>
    <w:p w:rsidR="00870E75" w:rsidRPr="004B528C" w:rsidRDefault="00870E75" w:rsidP="00104D40">
      <w:pPr>
        <w:ind w:left="720"/>
        <w:jc w:val="center"/>
        <w:rPr>
          <w:rStyle w:val="C2CtrSglS"/>
          <w:i/>
        </w:rPr>
      </w:pPr>
    </w:p>
    <w:p w:rsidR="00870E75" w:rsidRDefault="005A4A00" w:rsidP="00104D40">
      <w:pPr>
        <w:ind w:left="720"/>
        <w:jc w:val="both"/>
        <w:rPr>
          <w:rStyle w:val="C2CtrSglS"/>
          <w:b/>
        </w:rPr>
      </w:pPr>
      <w:r>
        <w:rPr>
          <w:rStyle w:val="SLFlLftSg"/>
        </w:rPr>
        <w:tab/>
      </w:r>
      <w:r>
        <w:rPr>
          <w:rStyle w:val="SLFlLftSg"/>
        </w:rPr>
        <w:tab/>
      </w:r>
      <w:r>
        <w:rPr>
          <w:rStyle w:val="SLFlLftSg"/>
        </w:rPr>
        <w:tab/>
      </w:r>
      <w:r>
        <w:rPr>
          <w:rStyle w:val="SLFlLftSg"/>
        </w:rPr>
        <w:tab/>
      </w:r>
      <w:r w:rsidR="00870E75">
        <w:rPr>
          <w:rStyle w:val="C2CtrSglS"/>
          <w:b/>
        </w:rPr>
        <w:t xml:space="preserve">SUPPORTING STATEMENT </w:t>
      </w:r>
    </w:p>
    <w:p w:rsidR="005A4A00" w:rsidRDefault="005A4A00" w:rsidP="00104D40">
      <w:pPr>
        <w:widowControl w:val="0"/>
        <w:ind w:left="720"/>
        <w:rPr>
          <w:rStyle w:val="SLFlLftSg"/>
        </w:rPr>
      </w:pP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p>
    <w:p w:rsidR="005A4A00" w:rsidRPr="00416368" w:rsidRDefault="00416368" w:rsidP="006E301B">
      <w:pPr>
        <w:pStyle w:val="ListParagraph"/>
        <w:numPr>
          <w:ilvl w:val="0"/>
          <w:numId w:val="33"/>
        </w:numPr>
        <w:ind w:left="0" w:firstLine="0"/>
        <w:rPr>
          <w:b/>
        </w:rPr>
      </w:pPr>
      <w:r>
        <w:rPr>
          <w:b/>
        </w:rPr>
        <w:t xml:space="preserve">     </w:t>
      </w:r>
      <w:r w:rsidR="005A4A00" w:rsidRPr="00416368">
        <w:rPr>
          <w:b/>
        </w:rPr>
        <w:t xml:space="preserve">JUSTIFICATION </w:t>
      </w:r>
    </w:p>
    <w:p w:rsidR="005A4A00" w:rsidRDefault="005A4A00" w:rsidP="00CF65C1">
      <w:pPr>
        <w:ind w:left="-360" w:firstLine="360"/>
        <w:rPr>
          <w:b/>
        </w:rPr>
      </w:pPr>
    </w:p>
    <w:p w:rsidR="005A4A00" w:rsidRDefault="005A4A00" w:rsidP="00CF65C1">
      <w:pPr>
        <w:ind w:left="-360" w:firstLine="360"/>
        <w:rPr>
          <w:b/>
        </w:rPr>
      </w:pPr>
      <w:r>
        <w:rPr>
          <w:b/>
        </w:rPr>
        <w:t>A</w:t>
      </w:r>
      <w:r w:rsidRPr="00446BA6">
        <w:rPr>
          <w:b/>
        </w:rPr>
        <w:t>1.     Circumstances Making the Collection of Information Necessary</w:t>
      </w:r>
      <w:r w:rsidRPr="00446BA6" w:rsidDel="00446BA6">
        <w:rPr>
          <w:b/>
          <w:u w:val="single"/>
        </w:rPr>
        <w:t xml:space="preserve"> </w:t>
      </w:r>
    </w:p>
    <w:p w:rsidR="005A4A00" w:rsidRDefault="005A4A00" w:rsidP="00CF65C1">
      <w:pPr>
        <w:ind w:left="-360" w:firstLine="360"/>
      </w:pPr>
    </w:p>
    <w:p w:rsidR="00835C83" w:rsidRDefault="005A4A00" w:rsidP="00662873">
      <w:pPr>
        <w:spacing w:after="240"/>
      </w:pPr>
      <w:r w:rsidRPr="00CB3B8E">
        <w:t xml:space="preserve">The Substance Abuse and Mental Health Services Administration (SAMHSA), Center for </w:t>
      </w:r>
      <w:r w:rsidR="00E7127F">
        <w:t xml:space="preserve">Behavioral Health Statistics and Quality (CBHSQ) </w:t>
      </w:r>
      <w:r w:rsidRPr="00CB3B8E">
        <w:t>is requesting from the Office of Management an</w:t>
      </w:r>
      <w:r w:rsidR="00920965">
        <w:t xml:space="preserve">d Budget (OMB) approval for </w:t>
      </w:r>
      <w:r w:rsidR="00265ED6">
        <w:t xml:space="preserve">the collection of data </w:t>
      </w:r>
      <w:r w:rsidR="00C462D2">
        <w:t>from</w:t>
      </w:r>
      <w:r w:rsidR="00265ED6">
        <w:t xml:space="preserve"> SAMHSA</w:t>
      </w:r>
      <w:r w:rsidR="0055058C">
        <w:t xml:space="preserve"> grantees. </w:t>
      </w:r>
      <w:r w:rsidR="00547340">
        <w:t xml:space="preserve"> This data collection represents a combined set of elements for </w:t>
      </w:r>
      <w:r w:rsidR="000D6D60">
        <w:t>SAMHSA’s</w:t>
      </w:r>
      <w:r w:rsidR="00547340">
        <w:t xml:space="preserve"> Common Data Platform</w:t>
      </w:r>
      <w:r w:rsidR="0046184D">
        <w:t>.  It</w:t>
      </w:r>
      <w:r w:rsidR="00547340">
        <w:t xml:space="preserve"> will replace </w:t>
      </w:r>
      <w:r w:rsidR="000D6D60">
        <w:t>SAMHSA’s</w:t>
      </w:r>
      <w:r w:rsidR="00547340">
        <w:t xml:space="preserve"> separate data collections fo</w:t>
      </w:r>
      <w:r w:rsidR="00432A48">
        <w:t xml:space="preserve">r reporting the </w:t>
      </w:r>
      <w:r w:rsidR="00432A48" w:rsidRPr="00ED3C02">
        <w:t>Government Performance and Results Act of 1993</w:t>
      </w:r>
      <w:r w:rsidR="00432A48">
        <w:t xml:space="preserve"> </w:t>
      </w:r>
      <w:r w:rsidR="0046184D">
        <w:t>(G</w:t>
      </w:r>
      <w:r w:rsidR="00547340">
        <w:t>PRA</w:t>
      </w:r>
      <w:r w:rsidR="0046184D">
        <w:t>)</w:t>
      </w:r>
      <w:r w:rsidR="00547340">
        <w:t xml:space="preserve"> measures</w:t>
      </w:r>
      <w:r w:rsidR="00C462D2">
        <w:t xml:space="preserve">: </w:t>
      </w:r>
      <w:r w:rsidR="00432A48">
        <w:t xml:space="preserve"> the </w:t>
      </w:r>
      <w:proofErr w:type="spellStart"/>
      <w:r w:rsidR="00B34182">
        <w:t>TRansformation</w:t>
      </w:r>
      <w:proofErr w:type="spellEnd"/>
      <w:r w:rsidR="00B34182">
        <w:t xml:space="preserve"> </w:t>
      </w:r>
      <w:proofErr w:type="spellStart"/>
      <w:r w:rsidR="00B34182">
        <w:t>AC</w:t>
      </w:r>
      <w:r w:rsidR="00432A48" w:rsidRPr="00574D19">
        <w:t>countability</w:t>
      </w:r>
      <w:proofErr w:type="spellEnd"/>
      <w:r w:rsidR="00432A48" w:rsidRPr="00574D19">
        <w:t xml:space="preserve"> (TRAC) Reporting System</w:t>
      </w:r>
      <w:r w:rsidR="00432A48">
        <w:t xml:space="preserve"> </w:t>
      </w:r>
      <w:r w:rsidR="003125EA">
        <w:t xml:space="preserve">(OMB No. 0930-0285) </w:t>
      </w:r>
      <w:r w:rsidR="00432A48">
        <w:t xml:space="preserve">used by </w:t>
      </w:r>
      <w:r w:rsidR="00547340">
        <w:t>the Center for Mental Health Services (C</w:t>
      </w:r>
      <w:r w:rsidR="00C462D2">
        <w:t>MHS</w:t>
      </w:r>
      <w:r w:rsidR="00547340">
        <w:t>)</w:t>
      </w:r>
      <w:r w:rsidR="007C7CE5">
        <w:t xml:space="preserve">; </w:t>
      </w:r>
      <w:r w:rsidR="00432A48" w:rsidRPr="005C253D">
        <w:t xml:space="preserve">Prevention Management Reporting and Training System </w:t>
      </w:r>
      <w:r w:rsidR="00432A48">
        <w:t>(PMRTS</w:t>
      </w:r>
      <w:r w:rsidR="003125EA">
        <w:t xml:space="preserve"> - OMB No. 0930-0279) </w:t>
      </w:r>
      <w:r w:rsidR="00432A48">
        <w:t>used by th</w:t>
      </w:r>
      <w:r w:rsidR="00C46732">
        <w:t>e</w:t>
      </w:r>
      <w:r w:rsidR="00547340">
        <w:t xml:space="preserve"> Center for Substance Abuse Prevention (CSAP)</w:t>
      </w:r>
      <w:r w:rsidR="00B47C5F">
        <w:t>;</w:t>
      </w:r>
      <w:r w:rsidR="004731CF">
        <w:t xml:space="preserve"> and </w:t>
      </w:r>
      <w:r w:rsidR="00432A48">
        <w:t xml:space="preserve">the </w:t>
      </w:r>
      <w:r w:rsidR="00FD2904">
        <w:t xml:space="preserve">Services Accountability and Improvement System </w:t>
      </w:r>
      <w:r w:rsidR="00432A48">
        <w:t>(SAIS</w:t>
      </w:r>
      <w:r w:rsidR="003125EA">
        <w:t xml:space="preserve"> - OMB No. 0930-0208)</w:t>
      </w:r>
      <w:r w:rsidR="00432A48">
        <w:t xml:space="preserve"> used by the </w:t>
      </w:r>
      <w:r w:rsidR="004731CF">
        <w:t>Center for Substance Abuse Treatment (CSAT).</w:t>
      </w:r>
      <w:r w:rsidR="00547340">
        <w:t xml:space="preserve"> </w:t>
      </w:r>
    </w:p>
    <w:p w:rsidR="0098031D" w:rsidRPr="00ED3C02" w:rsidRDefault="003125EA" w:rsidP="00662873">
      <w:pPr>
        <w:spacing w:after="240"/>
      </w:pPr>
      <w:r>
        <w:t xml:space="preserve">The </w:t>
      </w:r>
      <w:r w:rsidR="0098031D" w:rsidRPr="00ED3C02">
        <w:t>CDP application collect</w:t>
      </w:r>
      <w:r w:rsidR="0046184D">
        <w:t>s</w:t>
      </w:r>
      <w:r w:rsidR="0098031D" w:rsidRPr="00ED3C02">
        <w:t xml:space="preserve"> and report</w:t>
      </w:r>
      <w:r w:rsidR="0046184D">
        <w:t>s</w:t>
      </w:r>
      <w:r w:rsidR="0098031D" w:rsidRPr="00ED3C02">
        <w:t xml:space="preserve"> data</w:t>
      </w:r>
      <w:r w:rsidR="0046184D">
        <w:t xml:space="preserve"> and outcomes </w:t>
      </w:r>
      <w:r w:rsidR="0098031D" w:rsidRPr="00ED3C02">
        <w:t xml:space="preserve">relating to treatment and prevention grants awarded by SAMHSA to its external partners. SAMHSA will review and support this </w:t>
      </w:r>
      <w:r w:rsidR="0046184D">
        <w:t xml:space="preserve">data </w:t>
      </w:r>
      <w:r w:rsidR="0098031D" w:rsidRPr="00ED3C02">
        <w:t>collection as appropriate for various grant programs. Partners will access the site to enter GPRA</w:t>
      </w:r>
      <w:r w:rsidR="00C7022D">
        <w:t xml:space="preserve"> an</w:t>
      </w:r>
      <w:r w:rsidR="0098031D" w:rsidRPr="00ED3C02">
        <w:t>d other approved elements.</w:t>
      </w:r>
    </w:p>
    <w:p w:rsidR="005A4A00" w:rsidRPr="00ED3C02" w:rsidRDefault="005A4A00" w:rsidP="00662873">
      <w:pPr>
        <w:spacing w:after="240"/>
      </w:pPr>
      <w:r w:rsidRPr="00ED3C02">
        <w:t>This information is collected using a client tool th</w:t>
      </w:r>
      <w:r w:rsidR="004731CF" w:rsidRPr="00ED3C02">
        <w:t>at</w:t>
      </w:r>
      <w:r w:rsidRPr="00ED3C02">
        <w:t xml:space="preserve"> </w:t>
      </w:r>
      <w:r w:rsidR="00E7127F" w:rsidRPr="00ED3C02">
        <w:t xml:space="preserve">provides </w:t>
      </w:r>
      <w:r w:rsidRPr="00ED3C02">
        <w:t>the capacity to report for all</w:t>
      </w:r>
      <w:r w:rsidR="00C7022D">
        <w:t xml:space="preserve"> of the</w:t>
      </w:r>
      <w:r w:rsidRPr="00ED3C02">
        <w:t xml:space="preserve"> discretionary program</w:t>
      </w:r>
      <w:r w:rsidR="0092193D">
        <w:t>s</w:t>
      </w:r>
      <w:r w:rsidR="00CC009D">
        <w:t xml:space="preserve">. </w:t>
      </w:r>
      <w:r w:rsidR="00C7022D">
        <w:t>In</w:t>
      </w:r>
      <w:r w:rsidRPr="00ED3C02">
        <w:t xml:space="preserve"> particular</w:t>
      </w:r>
      <w:r w:rsidR="00C7022D">
        <w:t xml:space="preserve">, SAMHSA may report the following:  </w:t>
      </w:r>
      <w:r w:rsidR="00DF772B">
        <w:t xml:space="preserve">types of </w:t>
      </w:r>
      <w:r w:rsidRPr="00ED3C02">
        <w:t>populations se</w:t>
      </w:r>
      <w:r w:rsidR="00425645">
        <w:t xml:space="preserve">rved, numbers of people served, and number of people served by demographic characteristics; </w:t>
      </w:r>
      <w:r w:rsidRPr="00ED3C02">
        <w:t xml:space="preserve">types and locations of </w:t>
      </w:r>
      <w:r w:rsidR="00425645">
        <w:t>particular activities supported;</w:t>
      </w:r>
      <w:r w:rsidRPr="00ED3C02">
        <w:t xml:space="preserve"> effectiveness across programs </w:t>
      </w:r>
      <w:r w:rsidR="00425645">
        <w:t xml:space="preserve">for particular populations; </w:t>
      </w:r>
      <w:r w:rsidRPr="00ED3C02">
        <w:t>characteristics and effectiveness across programs of activities relative to national, subpopulation and geographic area</w:t>
      </w:r>
      <w:r w:rsidR="00425645">
        <w:t xml:space="preserve">; </w:t>
      </w:r>
      <w:r w:rsidRPr="00ED3C02">
        <w:t xml:space="preserve">and trends.  In order to be fully accountable for the spending of federal funds, SAMHSA requires all its programs to collect and report data on all clients served as a means of ensuring that program goals and objectives are being met.  Data collected as part of this package </w:t>
      </w:r>
      <w:r w:rsidR="00415AE6">
        <w:t>will be</w:t>
      </w:r>
      <w:r w:rsidRPr="00ED3C02">
        <w:t xml:space="preserve"> used to monitor performance through the grant period and ensure appropriate spending of federal funds.  </w:t>
      </w:r>
    </w:p>
    <w:p w:rsidR="005A4A00" w:rsidRDefault="005A4A00" w:rsidP="009506A1">
      <w:r w:rsidRPr="00ED3C02">
        <w:t>Approval of this information collection will al</w:t>
      </w:r>
      <w:r w:rsidR="00415AE6">
        <w:t>low SAMHSA to continue to meet GPRA</w:t>
      </w:r>
      <w:r w:rsidRPr="00ED3C02">
        <w:t xml:space="preserve"> reporting requirements that quantify the effects and accomplishments of its discretionary grant programs which are</w:t>
      </w:r>
      <w:r w:rsidR="00CC009D">
        <w:t xml:space="preserve"> consistent with OMB guidance. </w:t>
      </w:r>
      <w:r w:rsidR="0055058C" w:rsidRPr="00ED3C02">
        <w:t>The data will allow SAMHSA Government Project Officers (GPOs), administrators, and policy makers to monitor grantee and program-specific progress in meeting goals a</w:t>
      </w:r>
      <w:r w:rsidR="00415AE6">
        <w:t>nd purposes of the program and impacting</w:t>
      </w:r>
      <w:r w:rsidR="0055058C" w:rsidRPr="00ED3C02">
        <w:t xml:space="preserve"> outcomes.</w:t>
      </w:r>
      <w:r w:rsidR="009506A1">
        <w:t xml:space="preserve">  </w:t>
      </w:r>
      <w:r w:rsidRPr="00ED3C02">
        <w:t>In order to carry out section 1105(a) (29) of the GPRA, SAMHSA is required to prepare a performance plan for its major programs of activity.  This plan must:</w:t>
      </w:r>
    </w:p>
    <w:p w:rsidR="00CC009D" w:rsidRPr="00ED3C02" w:rsidRDefault="00CC009D" w:rsidP="009506A1"/>
    <w:p w:rsidR="005A4A00" w:rsidRPr="00ED3C02" w:rsidRDefault="005A4A00" w:rsidP="006E301B">
      <w:pPr>
        <w:spacing w:after="120"/>
        <w:ind w:left="1080" w:right="720" w:hanging="450"/>
      </w:pPr>
      <w:r w:rsidRPr="00ED3C02">
        <w:lastRenderedPageBreak/>
        <w:t>a)</w:t>
      </w:r>
      <w:r w:rsidRPr="00ED3C02">
        <w:tab/>
        <w:t>Establish performance goals to define the level of performance to be achieved by a program activity;</w:t>
      </w:r>
    </w:p>
    <w:p w:rsidR="005A4A00" w:rsidRPr="00ED3C02" w:rsidRDefault="005A4A00" w:rsidP="006E301B">
      <w:pPr>
        <w:spacing w:after="120"/>
        <w:ind w:left="1080" w:right="720" w:hanging="450"/>
      </w:pPr>
      <w:r w:rsidRPr="00ED3C02">
        <w:t>b)</w:t>
      </w:r>
      <w:r w:rsidRPr="00ED3C02">
        <w:tab/>
        <w:t>Express such goals in an objective, quantifiable, and measurable form;</w:t>
      </w:r>
    </w:p>
    <w:p w:rsidR="005A4A00" w:rsidRPr="00ED3C02" w:rsidRDefault="005A4A00" w:rsidP="006E301B">
      <w:pPr>
        <w:spacing w:after="120"/>
        <w:ind w:left="1080" w:right="720" w:hanging="450"/>
      </w:pPr>
      <w:r w:rsidRPr="00ED3C02">
        <w:t>c)</w:t>
      </w:r>
      <w:r w:rsidRPr="00ED3C02">
        <w:tab/>
        <w:t>Briefly describe the operational processes, skills and technology, and the human, capital, information, or other resources required to meet the performance goals;</w:t>
      </w:r>
    </w:p>
    <w:p w:rsidR="005A4A00" w:rsidRPr="00ED3C02" w:rsidRDefault="005A4A00" w:rsidP="006E301B">
      <w:pPr>
        <w:spacing w:after="120"/>
        <w:ind w:left="1080" w:right="720" w:hanging="450"/>
      </w:pPr>
      <w:r w:rsidRPr="00ED3C02">
        <w:t>d)</w:t>
      </w:r>
      <w:r w:rsidRPr="00ED3C02">
        <w:tab/>
        <w:t>Establish performance indicators to be used in measuring or assessing the relevant outputs, service levels, and outcomes of each program activity;</w:t>
      </w:r>
    </w:p>
    <w:p w:rsidR="005A4A00" w:rsidRPr="00ED3C02" w:rsidRDefault="005A4A00" w:rsidP="006E301B">
      <w:pPr>
        <w:spacing w:after="120"/>
        <w:ind w:left="1080" w:right="720" w:hanging="450"/>
      </w:pPr>
      <w:r w:rsidRPr="00ED3C02">
        <w:t>e)</w:t>
      </w:r>
      <w:r w:rsidRPr="00ED3C02">
        <w:tab/>
        <w:t>Provide a basis for comparing actual program results with the established performance goals; and</w:t>
      </w:r>
    </w:p>
    <w:p w:rsidR="005A4A00" w:rsidRPr="00ED3C02" w:rsidRDefault="005A4A00" w:rsidP="006E301B">
      <w:pPr>
        <w:spacing w:after="120"/>
        <w:ind w:left="1080" w:right="720" w:hanging="450"/>
      </w:pPr>
      <w:r w:rsidRPr="00ED3C02">
        <w:t>f)</w:t>
      </w:r>
      <w:r w:rsidRPr="00ED3C02">
        <w:tab/>
        <w:t>Describe the means to be used to verify and validate measured values.</w:t>
      </w:r>
    </w:p>
    <w:p w:rsidR="006E1F94" w:rsidRDefault="006E1F94" w:rsidP="0017473B"/>
    <w:p w:rsidR="003E6D4D" w:rsidRDefault="006E1F94" w:rsidP="0017473B">
      <w:pPr>
        <w:spacing w:after="240"/>
      </w:pPr>
      <w:r w:rsidRPr="00D969CF">
        <w:t>The CDP</w:t>
      </w:r>
      <w:r>
        <w:t xml:space="preserve"> represents an effort to include cross-cutting tools from the Office of National Drug Control Policy’s (ONDCP) Performance Measures of Effectiveness (PMEs); Healthy People 2010; the Children’s Health Act of 2000; and the general emphasis on accountability at all levels.  As a result, the CDP elements include GPRAMA a</w:t>
      </w:r>
      <w:r w:rsidR="00415AE6">
        <w:t xml:space="preserve">nd Healthy People 2010 </w:t>
      </w:r>
      <w:r>
        <w:t>measures.  A number of the measures are consistent with ONDCP’s Drug</w:t>
      </w:r>
      <w:r w:rsidR="00CC009D">
        <w:t xml:space="preserve">-Free Community core measures. </w:t>
      </w:r>
      <w:r>
        <w:t xml:space="preserve">The CDP elements attempt to reduce the number of measures to those most critical to prevention and treatment as well as to provide the best items for capturing these constructs as defined by experts in the field.  </w:t>
      </w:r>
    </w:p>
    <w:p w:rsidR="00DA3195" w:rsidRPr="00DA3195" w:rsidRDefault="00D40755" w:rsidP="0017473B">
      <w:pPr>
        <w:rPr>
          <w:szCs w:val="24"/>
        </w:rPr>
      </w:pPr>
      <w:r w:rsidRPr="00997D0C">
        <w:t xml:space="preserve">In addition, this data collection supports the GPRA Modernization Act </w:t>
      </w:r>
      <w:r w:rsidR="009F69B6">
        <w:t xml:space="preserve">(GPRAMA) </w:t>
      </w:r>
      <w:r w:rsidRPr="00997D0C">
        <w:t xml:space="preserve">of 2010 which requires overall organization management to improve agency performance and achieve the mission and goals of the agency through the use of strategic and performance planning, measurement, analysis, regular assessment of progress, and use of performance information to improve the results achieved.  </w:t>
      </w:r>
      <w:r w:rsidR="00D969CF" w:rsidRPr="00ED3C02">
        <w:t>GPRA</w:t>
      </w:r>
      <w:r w:rsidR="00DA3195">
        <w:t>MA</w:t>
      </w:r>
      <w:r w:rsidR="00D969CF" w:rsidRPr="00ED3C02">
        <w:t xml:space="preserve"> performance monitoring is a collaborative and cooperative aspect of this process</w:t>
      </w:r>
      <w:r w:rsidR="00D969CF" w:rsidRPr="00D969CF">
        <w:t xml:space="preserve">.  </w:t>
      </w:r>
      <w:r w:rsidR="00DA3195" w:rsidRPr="00DA3195">
        <w:rPr>
          <w:szCs w:val="24"/>
        </w:rPr>
        <w:t>This information collection is needed to provide objective data that demonstrate SAMHSA’s moni</w:t>
      </w:r>
      <w:r w:rsidR="00CC009D">
        <w:rPr>
          <w:szCs w:val="24"/>
        </w:rPr>
        <w:t xml:space="preserve">toring of program performance. </w:t>
      </w:r>
      <w:r w:rsidR="00DA3195" w:rsidRPr="00DA3195">
        <w:rPr>
          <w:szCs w:val="24"/>
        </w:rPr>
        <w:t>As performance measures information is used by the SAMHSA administrator and staff; the Center administrators and government project officers; and grantees, HHS, OMB and Congress.</w:t>
      </w:r>
    </w:p>
    <w:p w:rsidR="00DA3195" w:rsidRPr="00803F52" w:rsidRDefault="00DA3195" w:rsidP="0017473B">
      <w:pPr>
        <w:rPr>
          <w:i/>
          <w:szCs w:val="24"/>
        </w:rPr>
      </w:pPr>
    </w:p>
    <w:p w:rsidR="00DA3195" w:rsidRDefault="00DA3195" w:rsidP="0017473B">
      <w:pPr>
        <w:rPr>
          <w:szCs w:val="24"/>
        </w:rPr>
      </w:pPr>
      <w:r w:rsidRPr="001D07B9">
        <w:rPr>
          <w:szCs w:val="24"/>
        </w:rPr>
        <w:t>GPRAMA requires that SAMHSA’s report for each fiscal year include actual results of performance monitoring for the t</w:t>
      </w:r>
      <w:r w:rsidR="00CC009D">
        <w:rPr>
          <w:szCs w:val="24"/>
        </w:rPr>
        <w:t xml:space="preserve">hree preceding fiscal years. </w:t>
      </w:r>
      <w:r w:rsidRPr="001D07B9">
        <w:rPr>
          <w:szCs w:val="24"/>
        </w:rPr>
        <w:t xml:space="preserve">Performance Monitoring data reflect the Agency’s desire for consistency across its data collection efforts. </w:t>
      </w:r>
    </w:p>
    <w:p w:rsidR="00415AE6" w:rsidRDefault="00415AE6" w:rsidP="0017473B">
      <w:pPr>
        <w:rPr>
          <w:szCs w:val="24"/>
        </w:rPr>
      </w:pPr>
    </w:p>
    <w:p w:rsidR="00415AE6" w:rsidRDefault="00415AE6" w:rsidP="00415AE6">
      <w:pPr>
        <w:pStyle w:val="BodyText"/>
      </w:pPr>
      <w:r w:rsidRPr="00ED3C02">
        <w:t>SAMHSA’s legislative mandate is to increase access to high quality prevention and treatment services and to improve outcomes.  Its mission is to reduce the impact of substance use and ment</w:t>
      </w:r>
      <w:r w:rsidR="00CC009D">
        <w:t xml:space="preserve">al illness on our communities. </w:t>
      </w:r>
      <w:r w:rsidRPr="00997D0C">
        <w:t xml:space="preserve">To support </w:t>
      </w:r>
      <w:r>
        <w:t>its</w:t>
      </w:r>
      <w:r w:rsidRPr="00997D0C">
        <w:t xml:space="preserve"> mission, the Agency’s overarching</w:t>
      </w:r>
      <w:r>
        <w:t xml:space="preserve"> vision is to provide leadership and devote</w:t>
      </w:r>
      <w:r w:rsidRPr="000E429B">
        <w:t xml:space="preserve"> its resources—programs, policies, information and data, contracts and grants—toward helping the Nation act on the knowledge that</w:t>
      </w:r>
      <w:r>
        <w:t>:</w:t>
      </w:r>
    </w:p>
    <w:p w:rsidR="00415AE6" w:rsidRPr="00A5296D" w:rsidRDefault="00415AE6" w:rsidP="00415AE6">
      <w:pPr>
        <w:spacing w:after="240"/>
        <w:ind w:firstLine="720"/>
      </w:pPr>
      <w:r w:rsidRPr="00A5296D">
        <w:t>•</w:t>
      </w:r>
      <w:r w:rsidRPr="00A5296D">
        <w:tab/>
      </w:r>
      <w:r w:rsidRPr="000E429B">
        <w:t>Behavioral health is essential for health;</w:t>
      </w:r>
    </w:p>
    <w:p w:rsidR="00415AE6" w:rsidRPr="00A5296D" w:rsidRDefault="00415AE6" w:rsidP="00415AE6">
      <w:pPr>
        <w:spacing w:after="240"/>
        <w:ind w:left="1440" w:hanging="720"/>
      </w:pPr>
      <w:r w:rsidRPr="00A5296D">
        <w:t>•</w:t>
      </w:r>
      <w:r w:rsidRPr="00A5296D">
        <w:tab/>
      </w:r>
      <w:r w:rsidRPr="000E429B">
        <w:t>Prevention works;</w:t>
      </w:r>
    </w:p>
    <w:p w:rsidR="00415AE6" w:rsidRDefault="00415AE6" w:rsidP="00415AE6">
      <w:pPr>
        <w:spacing w:after="240"/>
        <w:ind w:left="720"/>
      </w:pPr>
      <w:r w:rsidRPr="00A5296D">
        <w:t>•</w:t>
      </w:r>
      <w:r w:rsidRPr="00A5296D">
        <w:tab/>
      </w:r>
      <w:r w:rsidRPr="000E429B">
        <w:t>Treatment is effective; and</w:t>
      </w:r>
    </w:p>
    <w:p w:rsidR="00415AE6" w:rsidRDefault="00415AE6" w:rsidP="00415AE6">
      <w:pPr>
        <w:spacing w:after="240"/>
        <w:ind w:left="720"/>
      </w:pPr>
      <w:r w:rsidRPr="00A5296D">
        <w:lastRenderedPageBreak/>
        <w:t>•</w:t>
      </w:r>
      <w:r w:rsidRPr="00A5296D">
        <w:tab/>
      </w:r>
      <w:r w:rsidRPr="000E429B">
        <w:t>People recover from mental and substance use disorders.</w:t>
      </w:r>
    </w:p>
    <w:p w:rsidR="00415AE6" w:rsidRDefault="00415AE6" w:rsidP="00415AE6">
      <w:pPr>
        <w:spacing w:after="240"/>
      </w:pPr>
    </w:p>
    <w:p w:rsidR="00415AE6" w:rsidRDefault="00415AE6" w:rsidP="00415AE6">
      <w:pPr>
        <w:spacing w:after="240"/>
      </w:pPr>
      <w:r w:rsidRPr="000E429B">
        <w:t>In order to improve the lives of people</w:t>
      </w:r>
      <w:r>
        <w:t xml:space="preserve"> within communities</w:t>
      </w:r>
      <w:r w:rsidRPr="000E429B">
        <w:t>, SAMHSA has many</w:t>
      </w:r>
      <w:r>
        <w:t xml:space="preserve"> </w:t>
      </w:r>
      <w:r w:rsidRPr="000E429B">
        <w:t>roles:</w:t>
      </w:r>
    </w:p>
    <w:p w:rsidR="00415AE6" w:rsidRDefault="00415AE6" w:rsidP="00415AE6">
      <w:pPr>
        <w:pStyle w:val="ListParagraph"/>
        <w:numPr>
          <w:ilvl w:val="0"/>
          <w:numId w:val="40"/>
        </w:numPr>
        <w:spacing w:after="240"/>
      </w:pPr>
      <w:r w:rsidRPr="009C2261">
        <w:rPr>
          <w:b/>
        </w:rPr>
        <w:t>Providing Leadership and Voice</w:t>
      </w:r>
      <w:r w:rsidRPr="009C2261">
        <w:t xml:space="preserve"> by developing policies; convening stakeholders; collaborating with people in recovery and their families, providers, localities, Tribes, Territories, and States; collecting best practices and developing expertise around behavioral health services; advocating for the needs of persons with mental and substance use disorders; and emphasizing the importance of behavioral health in partnership with other agencies, systems, and the public.</w:t>
      </w:r>
    </w:p>
    <w:p w:rsidR="00415AE6" w:rsidRPr="009C2261" w:rsidRDefault="00415AE6" w:rsidP="00415AE6">
      <w:pPr>
        <w:pStyle w:val="ListParagraph"/>
        <w:spacing w:after="240"/>
      </w:pPr>
    </w:p>
    <w:p w:rsidR="00415AE6" w:rsidRDefault="00415AE6" w:rsidP="00415AE6">
      <w:pPr>
        <w:pStyle w:val="ListParagraph"/>
        <w:numPr>
          <w:ilvl w:val="0"/>
          <w:numId w:val="40"/>
        </w:numPr>
        <w:spacing w:after="240"/>
      </w:pPr>
      <w:r w:rsidRPr="009C2261">
        <w:t xml:space="preserve">Promoting change through </w:t>
      </w:r>
      <w:r w:rsidRPr="009C2261">
        <w:rPr>
          <w:b/>
        </w:rPr>
        <w:t>Funding and Service Capacity Development</w:t>
      </w:r>
      <w:r w:rsidRPr="009C2261">
        <w:t>. Supporting States, Territories, and Tribes to build and improve basic and proven practices and system capacity; helping local governments, providers, communities, coalitions, schools, universities, and peer-run and other organizations to innovate and address emerging issues; building capacity across grantees; and strengthening States’, Territories’, Tribes’, and communities’ emergency response to disasters.</w:t>
      </w:r>
    </w:p>
    <w:p w:rsidR="00415AE6" w:rsidRPr="009C2261" w:rsidRDefault="00415AE6" w:rsidP="00415AE6">
      <w:pPr>
        <w:pStyle w:val="ListParagraph"/>
        <w:spacing w:after="240"/>
      </w:pPr>
    </w:p>
    <w:p w:rsidR="00415AE6" w:rsidRDefault="00415AE6" w:rsidP="00415AE6">
      <w:pPr>
        <w:pStyle w:val="ListParagraph"/>
        <w:numPr>
          <w:ilvl w:val="0"/>
          <w:numId w:val="40"/>
        </w:numPr>
        <w:spacing w:after="240"/>
      </w:pPr>
      <w:r w:rsidRPr="009C2261">
        <w:t xml:space="preserve">Supporting the field with </w:t>
      </w:r>
      <w:r w:rsidRPr="009C2261">
        <w:rPr>
          <w:b/>
        </w:rPr>
        <w:t>Information/Communications</w:t>
      </w:r>
      <w:r w:rsidRPr="009C2261">
        <w:t xml:space="preserve"> by conducting and sharing information from national surveys and surveillance (e.g., National Survey on Drug Use and Health [NSDUH], Drug Abuse Warning Network [DAWN], Drug and Alcohol Service Information System [DASIS]); vetting and sharing information about evidence-based practices (e.g., National Registry of Evidence-based Programs and Practices [NREPP]); using the Web, print, social media, public appearances, and the press to reach the public, providers (e.g., primary, specialty, guilds, peers), and other stakeholders; and listening to and reflecting the voices of people in recovery and their families.</w:t>
      </w:r>
    </w:p>
    <w:p w:rsidR="00415AE6" w:rsidRPr="009C2261" w:rsidRDefault="00415AE6" w:rsidP="00415AE6">
      <w:pPr>
        <w:pStyle w:val="ListParagraph"/>
        <w:spacing w:after="240"/>
      </w:pPr>
    </w:p>
    <w:p w:rsidR="00415AE6" w:rsidRDefault="00415AE6" w:rsidP="00415AE6">
      <w:pPr>
        <w:pStyle w:val="ListParagraph"/>
        <w:numPr>
          <w:ilvl w:val="0"/>
          <w:numId w:val="40"/>
        </w:numPr>
        <w:spacing w:after="240"/>
      </w:pPr>
      <w:r w:rsidRPr="009C2261">
        <w:t xml:space="preserve">Protecting and promoting behavioral health through </w:t>
      </w:r>
      <w:r w:rsidRPr="009C2261">
        <w:rPr>
          <w:b/>
        </w:rPr>
        <w:t>Regulation and Standard Setting</w:t>
      </w:r>
      <w:r w:rsidRPr="009C2261">
        <w:t xml:space="preserve"> by preventing tobacco sales to minors (</w:t>
      </w:r>
      <w:proofErr w:type="spellStart"/>
      <w:r w:rsidRPr="009C2261">
        <w:t>Synar</w:t>
      </w:r>
      <w:proofErr w:type="spellEnd"/>
      <w:r w:rsidRPr="009C2261">
        <w:t xml:space="preserve"> Program); administering Federal drug-free workplace and drug-testing programs; overseeing opioid treatment programs and accreditation bodies; informing physicians’ office-based opioid treatment prescribing practices; and partnering with other HHS agencies in regulation development and review.</w:t>
      </w:r>
    </w:p>
    <w:p w:rsidR="00415AE6" w:rsidRPr="009C2261" w:rsidRDefault="00415AE6" w:rsidP="00415AE6">
      <w:pPr>
        <w:pStyle w:val="ListParagraph"/>
        <w:spacing w:after="240"/>
      </w:pPr>
    </w:p>
    <w:p w:rsidR="00415AE6" w:rsidRPr="009C2261" w:rsidRDefault="00415AE6" w:rsidP="00415AE6">
      <w:pPr>
        <w:pStyle w:val="ListParagraph"/>
        <w:numPr>
          <w:ilvl w:val="0"/>
          <w:numId w:val="40"/>
        </w:numPr>
        <w:spacing w:after="240"/>
      </w:pPr>
      <w:r w:rsidRPr="009C2261">
        <w:rPr>
          <w:b/>
        </w:rPr>
        <w:t>Improving Practice (i.e., community-based, primary care, and specialty care)</w:t>
      </w:r>
      <w:r w:rsidRPr="009C2261">
        <w:t xml:space="preserve"> by holding </w:t>
      </w:r>
    </w:p>
    <w:p w:rsidR="00415AE6" w:rsidRDefault="00415AE6" w:rsidP="00415AE6">
      <w:pPr>
        <w:pStyle w:val="ListParagraph"/>
        <w:spacing w:after="240"/>
      </w:pPr>
      <w:r w:rsidRPr="009C2261">
        <w:t>State, Territorial, and Tribal policy academies; providing technical assistance to States, Territories, Tribes, communities, grantees, providers, practitioners, and stakeholders; convening conferences to disseminate practice information and facilitate communication; providing guidance to the field; developing and disseminating evidence-based practices and successful frameworks for service provision; supporting innovation in evaluation and services research; moving innovations and evidence-based approaches to scale; and cooperating with international partners to identify promising approaches to supporting behavioral health.</w:t>
      </w:r>
    </w:p>
    <w:p w:rsidR="00415AE6" w:rsidRDefault="00415AE6" w:rsidP="00415AE6"/>
    <w:p w:rsidR="00415AE6" w:rsidRDefault="00415AE6" w:rsidP="00415AE6">
      <w:r w:rsidRPr="00ED3C02">
        <w:t xml:space="preserve">All of SAMHSA’s programs and activities are geared toward </w:t>
      </w:r>
      <w:r>
        <w:t>achieving</w:t>
      </w:r>
      <w:r w:rsidRPr="00ED3C02">
        <w:t xml:space="preserve"> goals related to reducing the impact of substance use and mental health disorders. SAMHSA is striving to coordinate the development of these goals with other ongoing performance measurement development activities</w:t>
      </w:r>
      <w:r>
        <w:t>,</w:t>
      </w:r>
      <w:r w:rsidRPr="00ED3C02">
        <w:t xml:space="preserve"> for </w:t>
      </w:r>
      <w:r w:rsidRPr="00ED3C02">
        <w:lastRenderedPageBreak/>
        <w:t>example, development of performance measures for reporting of activities.  This information collection is needed to provide objective data to demonstrate SAMHSA’s monitoring and achievement of its mission and goals.</w:t>
      </w:r>
      <w:r>
        <w:t xml:space="preserve">  </w:t>
      </w:r>
    </w:p>
    <w:p w:rsidR="00415AE6" w:rsidRPr="00803F52" w:rsidRDefault="00415AE6" w:rsidP="0017473B">
      <w:pPr>
        <w:rPr>
          <w:i/>
          <w:szCs w:val="24"/>
        </w:rPr>
      </w:pPr>
    </w:p>
    <w:p w:rsidR="00997D0C" w:rsidRDefault="00D40755" w:rsidP="00415AE6">
      <w:pPr>
        <w:pStyle w:val="BodyText"/>
      </w:pPr>
      <w:r w:rsidRPr="00997D0C">
        <w:t>Specifically, th</w:t>
      </w:r>
      <w:r w:rsidR="003125EA">
        <w:t>e</w:t>
      </w:r>
      <w:r w:rsidRPr="00997D0C">
        <w:t xml:space="preserve"> </w:t>
      </w:r>
      <w:r w:rsidR="001D07B9">
        <w:t xml:space="preserve">CDP </w:t>
      </w:r>
      <w:r w:rsidRPr="00997D0C">
        <w:t xml:space="preserve">data collection will allow </w:t>
      </w:r>
      <w:r w:rsidR="00B4058A">
        <w:t xml:space="preserve">SAMHSA </w:t>
      </w:r>
      <w:r w:rsidRPr="00997D0C">
        <w:t xml:space="preserve">to have the capacity to report on a consistent set of performance measures across its various grant programs that conduct each of these activities. </w:t>
      </w:r>
      <w:r w:rsidR="003C6616">
        <w:t xml:space="preserve"> </w:t>
      </w:r>
    </w:p>
    <w:p w:rsidR="006B2339" w:rsidRPr="00D969CF" w:rsidRDefault="006B2339" w:rsidP="00351844">
      <w:pPr>
        <w:spacing w:after="240"/>
      </w:pPr>
      <w:r>
        <w:t>With approval of this data collection SAMHSA will continue to monitor its programs, review progress on meeting program goals and objectives, and ensure ac</w:t>
      </w:r>
      <w:r w:rsidR="00CC009D">
        <w:t xml:space="preserve">countability of program funds.  </w:t>
      </w:r>
      <w:r>
        <w:t>Such information informs SAMHSA’s future budget allocation and program development decisions.</w:t>
      </w:r>
    </w:p>
    <w:p w:rsidR="00DF1EC3" w:rsidRDefault="00DF1EC3" w:rsidP="0017473B">
      <w:pPr>
        <w:spacing w:after="240"/>
        <w:rPr>
          <w:b/>
        </w:rPr>
      </w:pPr>
      <w:r>
        <w:rPr>
          <w:b/>
        </w:rPr>
        <w:t>CMHS Programs</w:t>
      </w:r>
    </w:p>
    <w:p w:rsidR="00351844" w:rsidRDefault="00193A7E" w:rsidP="00415AE6">
      <w:pPr>
        <w:spacing w:after="240"/>
      </w:pPr>
      <w:r>
        <w:t xml:space="preserve">Based on current funding and planned fiscal year 2014 notice of funding announcements (NOFA), SAMHSA CMHS discretionary programs that will use these measures </w:t>
      </w:r>
      <w:r w:rsidR="00FA731B">
        <w:t xml:space="preserve">(See Attachment 1) </w:t>
      </w:r>
      <w:r>
        <w:t>in fiscal years 2015 through 201</w:t>
      </w:r>
      <w:r w:rsidR="002A2148">
        <w:t>6</w:t>
      </w:r>
      <w:r w:rsidR="00351844">
        <w:t xml:space="preserve"> to collect client-level data include the following</w:t>
      </w:r>
      <w:r w:rsidR="00415AE6">
        <w:t>:</w:t>
      </w:r>
      <w:r w:rsidR="00351844" w:rsidRPr="00BC5C5A">
        <w:t xml:space="preserve"> </w:t>
      </w:r>
      <w:r w:rsidR="00351844">
        <w:t>Comprehensive Community Mental Health Services for Children and their Families (CMHI); Healthy Transitions</w:t>
      </w:r>
      <w:r w:rsidR="0044655A">
        <w:t xml:space="preserve"> (HT)</w:t>
      </w:r>
      <w:r w:rsidR="00351844">
        <w:t>; National Child Traumatic Stress Initiative (NCTSI) Community Treatment Centers; Mental Health Transformation State Incentive Grants (MH SIG); Minority AIDS/HIV Services Collaborative Program; Primary and Behavioral Health Care Integration (PBHCI); Services in Supportive Housing (SSH); Systems of Care (</w:t>
      </w:r>
      <w:proofErr w:type="spellStart"/>
      <w:r w:rsidR="00351844">
        <w:t>SoC</w:t>
      </w:r>
      <w:proofErr w:type="spellEnd"/>
      <w:r w:rsidR="00351844">
        <w:t>); and Transforming Lives Through Supportive Employment.</w:t>
      </w:r>
      <w:r w:rsidR="00FA731B">
        <w:t xml:space="preserve"> Primary and Behavioral Health Care Integration (PBHCI) grantees will also report information through an additional data collection module focusing on health outcomes (see Attachment 2).</w:t>
      </w:r>
    </w:p>
    <w:p w:rsidR="00A55E5D" w:rsidRDefault="00A55E5D" w:rsidP="00A55E5D">
      <w:pPr>
        <w:spacing w:after="240"/>
      </w:pPr>
      <w:r>
        <w:t xml:space="preserve">CMHS programs that will use the CDP to collect grantee-level IPP indicators </w:t>
      </w:r>
      <w:r w:rsidR="00FA731B">
        <w:t xml:space="preserve">(See Attachment 3) </w:t>
      </w:r>
      <w:r>
        <w:t xml:space="preserve">include: Advancing Wellness and Resiliency in Education (Project AWARE); Circles of Care; Comprehensive Community Mental Health Services for Children and their Families (CMHI); Garrett Lee Smith Campus Suicide Prevention Program; Garrett Lee Smith State/Tribal Suicide Prevention Program; Healthy Transitions Program; Linking Actions for Unmet Needs in Children’s Mental Health (LAUNCH); National Suicide Prevention Lifeline; NCTSI Treatment and Service Centers; NCTSI Community Treatment Centers; NCTSI National Coordinating Center;  Mental Health Transformation Grant Program; Minority AIDS/HIV Services Collaborative Program; Minority Fellowship Program; PBHCI; Safe Schools/Healthy Students; Services in Supportive Housing; State Mental Health Data Infrastructure Grants for Quality Improvement; Statewide Consumer Network Grants; Statewide Family Network Grants; Suicide Lifeline Crisis Center Follow Up; Systems of Care; Transforming Lives Through Supported Employment; Native Connections; Now is the Time: Minority Fellowship Program- Youth; Cooperative Agreements to Implement the National Strategy for Suicide Prevention, Historically Black Colleges and Universities Center for Excellence in Behavioral Health; and Statewide Peer Networks for Recovery and Resilience.  </w:t>
      </w:r>
    </w:p>
    <w:p w:rsidR="00DF1EC3" w:rsidRPr="00A55E5D" w:rsidRDefault="00DF1EC3" w:rsidP="0073517D">
      <w:pPr>
        <w:spacing w:after="240"/>
        <w:rPr>
          <w:szCs w:val="24"/>
        </w:rPr>
      </w:pPr>
      <w:r>
        <w:rPr>
          <w:b/>
        </w:rPr>
        <w:t>CSAP Programs</w:t>
      </w:r>
    </w:p>
    <w:p w:rsidR="00A55E5D" w:rsidRDefault="00E11DE2" w:rsidP="00395918">
      <w:pPr>
        <w:spacing w:after="240"/>
      </w:pPr>
      <w:r>
        <w:t>Based on current funding</w:t>
      </w:r>
      <w:r w:rsidR="00A55E5D">
        <w:t xml:space="preserve"> and planned FY 2014 NOFA </w:t>
      </w:r>
      <w:r>
        <w:t>, t</w:t>
      </w:r>
      <w:r w:rsidR="00395918">
        <w:t xml:space="preserve">he </w:t>
      </w:r>
      <w:r w:rsidR="00193A7E" w:rsidRPr="00ED3C02">
        <w:t>SAMHSA CSAP discretionary program</w:t>
      </w:r>
      <w:r w:rsidR="00E27D78">
        <w:t>s</w:t>
      </w:r>
      <w:r w:rsidR="00193A7E" w:rsidRPr="00ED3C02">
        <w:t xml:space="preserve"> that will use these measures </w:t>
      </w:r>
      <w:r w:rsidR="00FA731B">
        <w:t xml:space="preserve">(See Attachment 4 and 5) </w:t>
      </w:r>
      <w:r w:rsidR="00193A7E" w:rsidRPr="00ED3C02">
        <w:t>in fiscal years 2015 through 201</w:t>
      </w:r>
      <w:r w:rsidR="002A2148">
        <w:t>6</w:t>
      </w:r>
      <w:r w:rsidR="00193A7E" w:rsidRPr="00ED3C02">
        <w:t xml:space="preserve"> </w:t>
      </w:r>
      <w:r w:rsidR="00A55E5D">
        <w:t>include the following:  HIV Minority AIDS Initiative (MAI), Strategic Prevention Framework State Incentive Grants (SPF SIG), and Partnerships for Success (PFS).</w:t>
      </w:r>
    </w:p>
    <w:p w:rsidR="00FC7CB9" w:rsidRDefault="00FC7CB9" w:rsidP="002D3E22">
      <w:pPr>
        <w:keepNext/>
        <w:keepLines/>
        <w:spacing w:after="240"/>
        <w:rPr>
          <w:b/>
        </w:rPr>
      </w:pPr>
      <w:r w:rsidRPr="00415AE6">
        <w:rPr>
          <w:b/>
          <w:szCs w:val="24"/>
        </w:rPr>
        <w:lastRenderedPageBreak/>
        <w:t>CS</w:t>
      </w:r>
      <w:r w:rsidR="003E6D4D" w:rsidRPr="00AB552F">
        <w:rPr>
          <w:b/>
        </w:rPr>
        <w:t>AT Programs</w:t>
      </w:r>
    </w:p>
    <w:p w:rsidR="00A55E5D" w:rsidRDefault="00416368" w:rsidP="00A55E5D">
      <w:pPr>
        <w:spacing w:after="240"/>
      </w:pPr>
      <w:r>
        <w:t xml:space="preserve">Based on current funding and planned fiscal year 2014 </w:t>
      </w:r>
      <w:r w:rsidR="00A55E5D">
        <w:t>NOFA,</w:t>
      </w:r>
      <w:r>
        <w:t xml:space="preserve"> </w:t>
      </w:r>
      <w:r w:rsidR="00D84593">
        <w:t xml:space="preserve">SAMHSA </w:t>
      </w:r>
      <w:r w:rsidR="00AC4F03">
        <w:t xml:space="preserve">CSAT </w:t>
      </w:r>
      <w:r w:rsidR="00D84593">
        <w:t>discretionary</w:t>
      </w:r>
      <w:r>
        <w:t xml:space="preserve"> programs that will use these measures </w:t>
      </w:r>
      <w:r w:rsidR="00FA731B">
        <w:t xml:space="preserve">(see </w:t>
      </w:r>
      <w:r w:rsidR="008A6792">
        <w:t>Attachment 6</w:t>
      </w:r>
      <w:r w:rsidR="00FA731B">
        <w:t xml:space="preserve">) </w:t>
      </w:r>
      <w:r>
        <w:t>in fiscal years 201</w:t>
      </w:r>
      <w:r w:rsidR="00D84593">
        <w:t>5 through 201</w:t>
      </w:r>
      <w:r w:rsidR="002A2148">
        <w:t>6</w:t>
      </w:r>
      <w:r>
        <w:t xml:space="preserve"> include</w:t>
      </w:r>
      <w:r w:rsidR="00D84593">
        <w:t xml:space="preserve"> following</w:t>
      </w:r>
      <w:r>
        <w:t xml:space="preserve">: </w:t>
      </w:r>
      <w:r w:rsidR="00AC4F03">
        <w:t xml:space="preserve"> </w:t>
      </w:r>
      <w:r w:rsidR="00A55E5D">
        <w:t xml:space="preserve">Assertive Adolescent and Family Treatment (AAFT); Access to Recovery 3 (ATR3); Adult Treatment Court </w:t>
      </w:r>
      <w:proofErr w:type="spellStart"/>
      <w:r w:rsidR="00A55E5D">
        <w:t>Collaboratives</w:t>
      </w:r>
      <w:proofErr w:type="spellEnd"/>
      <w:r w:rsidR="00A55E5D">
        <w:t xml:space="preserve"> (ATCC); Enhancing Adult Drug Court Services, Coordination and Treatment (EADCS); Offender Reentry Program (ORP); Treatment Drug Court (TDC); Office of Juvenile Justice and Delinquency Prevention – Juvenile Drug Courts (OJJDP-JDC); Teen Court Program (TCP); HIV/AIDS Outreach Program; Targeted Capacity Expansion Program for Substance Abuse Treatment and HIV/AIDS Services (TCE-HIV); Addictions Treatment for the Homeless (AT-HM); Cooperative Agreements to Benefit Homeless Individuals (CABHI); Cooperative Agreements to Benefit Homeless Individuals – States (CABHI- States); Recovery-Oriented Systems of Care (ROSC); Targeted Capacity Expansion- Peer to Peer (TCE – PTP); Pregnant and Postpartum Women (PPW); Screening, Brief Intervention and Referral to Treatment (SBIRT); Targeted Capacity Expansion (TCE); Targeted Capacity Expansion- Health Information Technology (TCE-HIT); Targeted Capacity Expansion Technology Assisted Care (TCE-TAC); Addiction Technology Transfer Centers (ATTC); International Addiction Technology Transfer Centers (I-ATTC); State Adolescent Treatment Enhancement and Dissemination (SAT-ED); Grants to Expand Substance Abuse Treatment Capacity in Adult Tribal Healing to Wellness Courts and Juvenile Drug Courts; and Grants for the Benefit of Homeless Individuals – Services in Supportive Housing (GBHI).</w:t>
      </w:r>
      <w:r w:rsidR="00FA731B">
        <w:t xml:space="preserve">  Grantees in the Adult Treatment Court Collaborative program (ATCC) will also pro</w:t>
      </w:r>
      <w:r w:rsidR="0045150D">
        <w:t xml:space="preserve">vide program-level </w:t>
      </w:r>
      <w:r w:rsidR="00EB47E8">
        <w:t>data using the CSAT</w:t>
      </w:r>
      <w:r w:rsidR="00FA731B">
        <w:t xml:space="preserve"> </w:t>
      </w:r>
      <w:r w:rsidR="00EB47E8">
        <w:t>Aggregate Instrument</w:t>
      </w:r>
      <w:r w:rsidR="008A6792">
        <w:t xml:space="preserve"> (see Attachment 7</w:t>
      </w:r>
      <w:r w:rsidR="00FA731B">
        <w:t>)</w:t>
      </w:r>
    </w:p>
    <w:p w:rsidR="009506A1" w:rsidRDefault="009506A1" w:rsidP="009506A1">
      <w:pPr>
        <w:spacing w:after="240"/>
        <w:rPr>
          <w:szCs w:val="24"/>
        </w:rPr>
      </w:pPr>
      <w:r>
        <w:rPr>
          <w:szCs w:val="24"/>
        </w:rPr>
        <w:t xml:space="preserve">In addition, the </w:t>
      </w:r>
      <w:r w:rsidR="001604FA">
        <w:rPr>
          <w:szCs w:val="24"/>
        </w:rPr>
        <w:t xml:space="preserve">HIV </w:t>
      </w:r>
      <w:r>
        <w:rPr>
          <w:szCs w:val="24"/>
        </w:rPr>
        <w:t xml:space="preserve">Continuum of Care </w:t>
      </w:r>
      <w:r w:rsidR="00415AE6">
        <w:rPr>
          <w:szCs w:val="24"/>
        </w:rPr>
        <w:t>(</w:t>
      </w:r>
      <w:proofErr w:type="spellStart"/>
      <w:r w:rsidR="00415AE6">
        <w:rPr>
          <w:szCs w:val="24"/>
        </w:rPr>
        <w:t>CoC</w:t>
      </w:r>
      <w:proofErr w:type="spellEnd"/>
      <w:r w:rsidR="00415AE6">
        <w:rPr>
          <w:szCs w:val="24"/>
        </w:rPr>
        <w:t xml:space="preserve">) </w:t>
      </w:r>
      <w:r>
        <w:rPr>
          <w:szCs w:val="24"/>
        </w:rPr>
        <w:t xml:space="preserve">program, funded jointly by CMHS, CSAP, and CSAT, will report </w:t>
      </w:r>
      <w:r w:rsidR="005F0D49">
        <w:rPr>
          <w:szCs w:val="24"/>
        </w:rPr>
        <w:t xml:space="preserve">both client-level and grantee-level (IPP) data </w:t>
      </w:r>
      <w:r>
        <w:rPr>
          <w:szCs w:val="24"/>
        </w:rPr>
        <w:t>through CDP</w:t>
      </w:r>
      <w:r w:rsidR="00D02BC2">
        <w:rPr>
          <w:szCs w:val="24"/>
        </w:rPr>
        <w:t xml:space="preserve"> as well as a program-specific form collecting information on HIV medical care (see Attachment 8)</w:t>
      </w:r>
      <w:r>
        <w:rPr>
          <w:szCs w:val="24"/>
        </w:rPr>
        <w:t>.</w:t>
      </w:r>
    </w:p>
    <w:p w:rsidR="006B3EA9" w:rsidRDefault="006B3EA9" w:rsidP="006B3EA9">
      <w:pPr>
        <w:spacing w:after="240"/>
        <w:rPr>
          <w:szCs w:val="24"/>
        </w:rPr>
      </w:pPr>
      <w:r w:rsidRPr="006B3EA9">
        <w:rPr>
          <w:szCs w:val="24"/>
        </w:rPr>
        <w:t xml:space="preserve">SAMHSA programs that will be participating in this information collection </w:t>
      </w:r>
      <w:r w:rsidR="00C46204">
        <w:rPr>
          <w:szCs w:val="24"/>
        </w:rPr>
        <w:t xml:space="preserve">in </w:t>
      </w:r>
      <w:r w:rsidRPr="006B3EA9">
        <w:rPr>
          <w:szCs w:val="24"/>
        </w:rPr>
        <w:t>FY 2015, along with the expected number of respondents by pro</w:t>
      </w:r>
      <w:r w:rsidR="00EB2A60">
        <w:rPr>
          <w:szCs w:val="24"/>
        </w:rPr>
        <w:t>gram, are</w:t>
      </w:r>
      <w:r w:rsidRPr="006B3EA9">
        <w:rPr>
          <w:szCs w:val="24"/>
        </w:rPr>
        <w:t xml:space="preserve"> presented in Table 1.</w:t>
      </w:r>
    </w:p>
    <w:p w:rsidR="006B3EA9" w:rsidRDefault="006B3EA9" w:rsidP="006B3EA9">
      <w:pPr>
        <w:spacing w:after="240"/>
        <w:rPr>
          <w:b/>
          <w:szCs w:val="24"/>
          <w:highlight w:val="yellow"/>
        </w:rPr>
      </w:pPr>
    </w:p>
    <w:p w:rsidR="006B3EA9" w:rsidRDefault="006B3EA9" w:rsidP="006B3EA9">
      <w:pPr>
        <w:spacing w:after="240"/>
        <w:rPr>
          <w:b/>
          <w:szCs w:val="24"/>
          <w:highlight w:val="yellow"/>
        </w:rPr>
      </w:pPr>
    </w:p>
    <w:p w:rsidR="006B3EA9" w:rsidRDefault="006B3EA9" w:rsidP="006B3EA9">
      <w:pPr>
        <w:spacing w:after="240"/>
        <w:rPr>
          <w:b/>
          <w:szCs w:val="24"/>
          <w:highlight w:val="yellow"/>
        </w:rPr>
      </w:pPr>
    </w:p>
    <w:p w:rsidR="006B3EA9" w:rsidRDefault="006B3EA9" w:rsidP="006B3EA9">
      <w:pPr>
        <w:spacing w:after="240"/>
        <w:rPr>
          <w:b/>
          <w:szCs w:val="24"/>
          <w:highlight w:val="yellow"/>
        </w:rPr>
      </w:pPr>
    </w:p>
    <w:p w:rsidR="006B3EA9" w:rsidRDefault="006B3EA9" w:rsidP="006B3EA9">
      <w:pPr>
        <w:spacing w:after="240"/>
        <w:rPr>
          <w:b/>
          <w:szCs w:val="24"/>
          <w:highlight w:val="yellow"/>
        </w:rPr>
      </w:pPr>
    </w:p>
    <w:p w:rsidR="006B3EA9" w:rsidRDefault="006B3EA9" w:rsidP="006B3EA9">
      <w:pPr>
        <w:spacing w:after="240"/>
        <w:rPr>
          <w:b/>
          <w:szCs w:val="24"/>
          <w:highlight w:val="yellow"/>
        </w:rPr>
      </w:pPr>
    </w:p>
    <w:p w:rsidR="006B3EA9" w:rsidRDefault="006B3EA9" w:rsidP="006B3EA9">
      <w:pPr>
        <w:spacing w:after="240"/>
        <w:rPr>
          <w:b/>
          <w:szCs w:val="24"/>
          <w:highlight w:val="yellow"/>
        </w:rPr>
      </w:pPr>
    </w:p>
    <w:p w:rsidR="006B3EA9" w:rsidRDefault="006B3EA9" w:rsidP="006B3EA9">
      <w:pPr>
        <w:spacing w:after="240"/>
        <w:rPr>
          <w:b/>
          <w:szCs w:val="24"/>
          <w:highlight w:val="yellow"/>
        </w:rPr>
      </w:pPr>
    </w:p>
    <w:p w:rsidR="006B3EA9" w:rsidRDefault="006B3EA9" w:rsidP="006B3EA9">
      <w:pPr>
        <w:spacing w:after="240"/>
        <w:rPr>
          <w:b/>
          <w:szCs w:val="24"/>
          <w:highlight w:val="yellow"/>
        </w:rPr>
      </w:pPr>
    </w:p>
    <w:p w:rsidR="006B3EA9" w:rsidRPr="00A36EB9" w:rsidRDefault="006B3EA9" w:rsidP="006B3EA9">
      <w:pPr>
        <w:spacing w:after="240"/>
        <w:rPr>
          <w:b/>
          <w:szCs w:val="24"/>
        </w:rPr>
      </w:pPr>
      <w:proofErr w:type="gramStart"/>
      <w:r w:rsidRPr="003D7BE5">
        <w:rPr>
          <w:b/>
          <w:szCs w:val="24"/>
        </w:rPr>
        <w:lastRenderedPageBreak/>
        <w:t>Table 1.</w:t>
      </w:r>
      <w:proofErr w:type="gramEnd"/>
      <w:r w:rsidRPr="003D7BE5">
        <w:rPr>
          <w:b/>
          <w:szCs w:val="24"/>
        </w:rPr>
        <w:t xml:space="preserve"> FY 2015 Programs Participating in the Common Data Platform and Estimated Number of Respondents by Program</w:t>
      </w:r>
    </w:p>
    <w:tbl>
      <w:tblPr>
        <w:tblW w:w="0" w:type="auto"/>
        <w:tblInd w:w="8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7358"/>
        <w:gridCol w:w="2853"/>
      </w:tblGrid>
      <w:tr w:rsidR="006B3EA9" w:rsidTr="0015484D">
        <w:trPr>
          <w:cantSplit/>
          <w:trHeight w:val="1626"/>
          <w:tblHeader/>
        </w:trPr>
        <w:tc>
          <w:tcPr>
            <w:tcW w:w="0" w:type="auto"/>
            <w:tcBorders>
              <w:bottom w:val="single" w:sz="6" w:space="0" w:color="auto"/>
            </w:tcBorders>
            <w:shd w:val="clear" w:color="auto" w:fill="FFFFFF"/>
            <w:vAlign w:val="center"/>
            <w:hideMark/>
          </w:tcPr>
          <w:p w:rsidR="006B3EA9" w:rsidRPr="00A36EB9" w:rsidRDefault="006B3EA9" w:rsidP="0015484D">
            <w:pPr>
              <w:jc w:val="center"/>
              <w:rPr>
                <w:b/>
                <w:bCs/>
                <w:color w:val="000000"/>
                <w:szCs w:val="24"/>
              </w:rPr>
            </w:pPr>
            <w:r w:rsidRPr="00A36EB9">
              <w:rPr>
                <w:b/>
                <w:bCs/>
                <w:color w:val="000000"/>
                <w:szCs w:val="24"/>
              </w:rPr>
              <w:t>SAMHSA Program Title</w:t>
            </w:r>
          </w:p>
        </w:tc>
        <w:tc>
          <w:tcPr>
            <w:tcW w:w="0" w:type="auto"/>
            <w:tcBorders>
              <w:bottom w:val="single" w:sz="6" w:space="0" w:color="auto"/>
            </w:tcBorders>
            <w:shd w:val="clear" w:color="auto" w:fill="FFFFFF"/>
            <w:vAlign w:val="center"/>
            <w:hideMark/>
          </w:tcPr>
          <w:p w:rsidR="006B3EA9" w:rsidRPr="00A36EB9" w:rsidRDefault="006B3EA9" w:rsidP="0015484D">
            <w:pPr>
              <w:jc w:val="center"/>
              <w:rPr>
                <w:b/>
                <w:bCs/>
                <w:color w:val="000000"/>
                <w:szCs w:val="24"/>
              </w:rPr>
            </w:pPr>
            <w:r>
              <w:rPr>
                <w:b/>
                <w:bCs/>
                <w:color w:val="000000"/>
                <w:szCs w:val="24"/>
              </w:rPr>
              <w:t xml:space="preserve">Estimated </w:t>
            </w:r>
            <w:r w:rsidRPr="00A36EB9">
              <w:rPr>
                <w:b/>
                <w:bCs/>
                <w:color w:val="000000"/>
                <w:szCs w:val="24"/>
              </w:rPr>
              <w:t>Number of Respondents</w:t>
            </w:r>
          </w:p>
        </w:tc>
      </w:tr>
      <w:tr w:rsidR="006B3EA9" w:rsidTr="0015484D">
        <w:trPr>
          <w:trHeight w:val="315"/>
        </w:trPr>
        <w:tc>
          <w:tcPr>
            <w:tcW w:w="0" w:type="auto"/>
            <w:gridSpan w:val="2"/>
            <w:tcBorders>
              <w:top w:val="single" w:sz="6" w:space="0" w:color="auto"/>
              <w:bottom w:val="single" w:sz="6" w:space="0" w:color="auto"/>
            </w:tcBorders>
            <w:shd w:val="clear" w:color="auto" w:fill="D9D9D9" w:themeFill="background1" w:themeFillShade="D9"/>
            <w:vAlign w:val="center"/>
            <w:hideMark/>
          </w:tcPr>
          <w:p w:rsidR="006B3EA9" w:rsidRDefault="006B3EA9" w:rsidP="0015484D">
            <w:pPr>
              <w:jc w:val="center"/>
              <w:rPr>
                <w:b/>
                <w:bCs/>
                <w:color w:val="000000"/>
                <w:sz w:val="28"/>
                <w:szCs w:val="28"/>
              </w:rPr>
            </w:pPr>
            <w:r>
              <w:rPr>
                <w:b/>
                <w:bCs/>
                <w:color w:val="000000"/>
                <w:sz w:val="28"/>
                <w:szCs w:val="28"/>
              </w:rPr>
              <w:t>Client-Level Forms</w:t>
            </w:r>
          </w:p>
        </w:tc>
      </w:tr>
      <w:tr w:rsidR="006B3EA9" w:rsidTr="0015484D">
        <w:trPr>
          <w:trHeight w:val="315"/>
        </w:trPr>
        <w:tc>
          <w:tcPr>
            <w:tcW w:w="0" w:type="auto"/>
            <w:gridSpan w:val="2"/>
            <w:tcBorders>
              <w:top w:val="single" w:sz="6" w:space="0" w:color="auto"/>
            </w:tcBorders>
            <w:shd w:val="clear" w:color="auto" w:fill="DDD9C4"/>
            <w:vAlign w:val="center"/>
            <w:hideMark/>
          </w:tcPr>
          <w:p w:rsidR="006B3EA9" w:rsidRDefault="006B3EA9" w:rsidP="0015484D">
            <w:pPr>
              <w:rPr>
                <w:b/>
                <w:bCs/>
                <w:color w:val="000000"/>
                <w:sz w:val="20"/>
              </w:rPr>
            </w:pPr>
            <w:r>
              <w:rPr>
                <w:b/>
                <w:bCs/>
                <w:color w:val="000000"/>
                <w:sz w:val="20"/>
              </w:rPr>
              <w:t>CSAP</w:t>
            </w:r>
          </w:p>
        </w:tc>
      </w:tr>
      <w:tr w:rsidR="006B3EA9" w:rsidTr="0015484D">
        <w:trPr>
          <w:trHeight w:val="300"/>
        </w:trPr>
        <w:tc>
          <w:tcPr>
            <w:tcW w:w="0" w:type="auto"/>
            <w:shd w:val="clear" w:color="auto" w:fill="FFFFFF"/>
            <w:vAlign w:val="center"/>
            <w:hideMark/>
          </w:tcPr>
          <w:p w:rsidR="006B3EA9" w:rsidRDefault="006B3EA9" w:rsidP="0015484D">
            <w:pPr>
              <w:rPr>
                <w:b/>
                <w:bCs/>
                <w:color w:val="000000"/>
                <w:sz w:val="20"/>
              </w:rPr>
            </w:pPr>
            <w:r>
              <w:rPr>
                <w:b/>
                <w:bCs/>
                <w:color w:val="000000"/>
                <w:sz w:val="20"/>
              </w:rPr>
              <w:t>HIV -Minority AIDS Initiative (MAI)</w:t>
            </w:r>
          </w:p>
        </w:tc>
        <w:tc>
          <w:tcPr>
            <w:tcW w:w="0" w:type="auto"/>
            <w:shd w:val="clear" w:color="auto" w:fill="FFFFFF"/>
            <w:vAlign w:val="center"/>
            <w:hideMark/>
          </w:tcPr>
          <w:p w:rsidR="006B3EA9" w:rsidRDefault="006B3EA9" w:rsidP="0015484D">
            <w:pPr>
              <w:jc w:val="center"/>
              <w:rPr>
                <w:color w:val="000000"/>
                <w:sz w:val="20"/>
              </w:rPr>
            </w:pPr>
            <w:r>
              <w:rPr>
                <w:color w:val="000000"/>
                <w:sz w:val="20"/>
              </w:rPr>
              <w:t>18,041</w:t>
            </w:r>
          </w:p>
        </w:tc>
      </w:tr>
      <w:tr w:rsidR="006B3EA9" w:rsidTr="0015484D">
        <w:trPr>
          <w:trHeight w:val="303"/>
        </w:trPr>
        <w:tc>
          <w:tcPr>
            <w:tcW w:w="0" w:type="auto"/>
            <w:shd w:val="clear" w:color="auto" w:fill="FFFFFF"/>
            <w:vAlign w:val="center"/>
            <w:hideMark/>
          </w:tcPr>
          <w:p w:rsidR="006B3EA9" w:rsidRDefault="006B3EA9" w:rsidP="0015484D">
            <w:pPr>
              <w:rPr>
                <w:b/>
                <w:bCs/>
                <w:color w:val="000000"/>
                <w:sz w:val="20"/>
              </w:rPr>
            </w:pPr>
            <w:r>
              <w:rPr>
                <w:b/>
                <w:bCs/>
                <w:color w:val="000000"/>
                <w:sz w:val="20"/>
              </w:rPr>
              <w:t>SPF SIG/Community Level</w:t>
            </w:r>
          </w:p>
        </w:tc>
        <w:tc>
          <w:tcPr>
            <w:tcW w:w="0" w:type="auto"/>
            <w:shd w:val="clear" w:color="auto" w:fill="FFFFFF"/>
            <w:vAlign w:val="center"/>
            <w:hideMark/>
          </w:tcPr>
          <w:p w:rsidR="006B3EA9" w:rsidRDefault="006B3EA9" w:rsidP="0015484D">
            <w:pPr>
              <w:jc w:val="center"/>
              <w:rPr>
                <w:color w:val="000000"/>
                <w:sz w:val="20"/>
              </w:rPr>
            </w:pPr>
            <w:r>
              <w:rPr>
                <w:color w:val="000000"/>
                <w:sz w:val="20"/>
              </w:rPr>
              <w:t>122</w:t>
            </w:r>
          </w:p>
        </w:tc>
      </w:tr>
      <w:tr w:rsidR="006B3EA9" w:rsidTr="0015484D">
        <w:trPr>
          <w:trHeight w:val="300"/>
        </w:trPr>
        <w:tc>
          <w:tcPr>
            <w:tcW w:w="0" w:type="auto"/>
            <w:shd w:val="clear" w:color="auto" w:fill="FFFFFF"/>
            <w:vAlign w:val="center"/>
            <w:hideMark/>
          </w:tcPr>
          <w:p w:rsidR="006B3EA9" w:rsidRDefault="006B3EA9" w:rsidP="0015484D">
            <w:pPr>
              <w:rPr>
                <w:b/>
                <w:bCs/>
                <w:color w:val="000000"/>
                <w:sz w:val="20"/>
              </w:rPr>
            </w:pPr>
            <w:r>
              <w:rPr>
                <w:b/>
                <w:bCs/>
                <w:color w:val="000000"/>
                <w:sz w:val="20"/>
              </w:rPr>
              <w:t>SPF SIG/Program Level</w:t>
            </w:r>
          </w:p>
        </w:tc>
        <w:tc>
          <w:tcPr>
            <w:tcW w:w="0" w:type="auto"/>
            <w:shd w:val="clear" w:color="auto" w:fill="FFFFFF"/>
            <w:vAlign w:val="center"/>
            <w:hideMark/>
          </w:tcPr>
          <w:p w:rsidR="006B3EA9" w:rsidRDefault="006B3EA9" w:rsidP="0015484D">
            <w:pPr>
              <w:jc w:val="center"/>
              <w:rPr>
                <w:color w:val="000000"/>
                <w:sz w:val="20"/>
              </w:rPr>
            </w:pPr>
            <w:r>
              <w:rPr>
                <w:color w:val="000000"/>
                <w:sz w:val="20"/>
              </w:rPr>
              <w:t>510</w:t>
            </w:r>
          </w:p>
        </w:tc>
      </w:tr>
      <w:tr w:rsidR="006B3EA9" w:rsidTr="0015484D">
        <w:trPr>
          <w:trHeight w:val="345"/>
        </w:trPr>
        <w:tc>
          <w:tcPr>
            <w:tcW w:w="0" w:type="auto"/>
            <w:noWrap/>
            <w:vAlign w:val="center"/>
            <w:hideMark/>
          </w:tcPr>
          <w:p w:rsidR="006B3EA9" w:rsidRPr="0019371E" w:rsidRDefault="006B3EA9" w:rsidP="0015484D">
            <w:pPr>
              <w:rPr>
                <w:b/>
                <w:bCs/>
                <w:color w:val="000000"/>
                <w:sz w:val="20"/>
              </w:rPr>
            </w:pPr>
            <w:r w:rsidRPr="0019371E">
              <w:rPr>
                <w:b/>
                <w:bCs/>
                <w:color w:val="000000"/>
                <w:sz w:val="20"/>
              </w:rPr>
              <w:t>PFS/Community Level</w:t>
            </w:r>
          </w:p>
        </w:tc>
        <w:tc>
          <w:tcPr>
            <w:tcW w:w="0" w:type="auto"/>
            <w:shd w:val="clear" w:color="auto" w:fill="FFFFFF"/>
            <w:vAlign w:val="center"/>
            <w:hideMark/>
          </w:tcPr>
          <w:p w:rsidR="006B3EA9" w:rsidRDefault="006B3EA9" w:rsidP="0015484D">
            <w:pPr>
              <w:jc w:val="center"/>
              <w:rPr>
                <w:color w:val="000000"/>
                <w:sz w:val="20"/>
              </w:rPr>
            </w:pPr>
            <w:r>
              <w:rPr>
                <w:color w:val="000000"/>
                <w:sz w:val="20"/>
              </w:rPr>
              <w:t>550</w:t>
            </w:r>
          </w:p>
        </w:tc>
      </w:tr>
      <w:tr w:rsidR="006B3EA9" w:rsidTr="0015484D">
        <w:trPr>
          <w:trHeight w:val="318"/>
        </w:trPr>
        <w:tc>
          <w:tcPr>
            <w:tcW w:w="0" w:type="auto"/>
            <w:shd w:val="clear" w:color="auto" w:fill="FFFFFF"/>
            <w:vAlign w:val="center"/>
            <w:hideMark/>
          </w:tcPr>
          <w:p w:rsidR="006B3EA9" w:rsidRDefault="006B3EA9" w:rsidP="0015484D">
            <w:pPr>
              <w:rPr>
                <w:b/>
                <w:bCs/>
                <w:color w:val="000000"/>
                <w:sz w:val="20"/>
              </w:rPr>
            </w:pPr>
            <w:r>
              <w:rPr>
                <w:b/>
                <w:bCs/>
                <w:color w:val="000000"/>
                <w:sz w:val="20"/>
              </w:rPr>
              <w:t>PFS/Program Level</w:t>
            </w:r>
          </w:p>
        </w:tc>
        <w:tc>
          <w:tcPr>
            <w:tcW w:w="0" w:type="auto"/>
            <w:noWrap/>
            <w:vAlign w:val="center"/>
            <w:hideMark/>
          </w:tcPr>
          <w:p w:rsidR="006B3EA9" w:rsidRPr="00877E23" w:rsidRDefault="006B3EA9" w:rsidP="0015484D">
            <w:pPr>
              <w:jc w:val="center"/>
              <w:rPr>
                <w:color w:val="000000"/>
                <w:sz w:val="20"/>
              </w:rPr>
            </w:pPr>
            <w:r w:rsidRPr="00877E23">
              <w:rPr>
                <w:color w:val="000000"/>
                <w:sz w:val="20"/>
              </w:rPr>
              <w:t>111</w:t>
            </w:r>
          </w:p>
        </w:tc>
      </w:tr>
      <w:tr w:rsidR="006B3EA9" w:rsidTr="0015484D">
        <w:trPr>
          <w:trHeight w:val="303"/>
        </w:trPr>
        <w:tc>
          <w:tcPr>
            <w:tcW w:w="0" w:type="auto"/>
            <w:gridSpan w:val="2"/>
            <w:shd w:val="clear" w:color="auto" w:fill="DDD9C4"/>
            <w:vAlign w:val="center"/>
            <w:hideMark/>
          </w:tcPr>
          <w:p w:rsidR="006B3EA9" w:rsidRDefault="006B3EA9" w:rsidP="0015484D">
            <w:pPr>
              <w:rPr>
                <w:b/>
                <w:bCs/>
                <w:color w:val="000000"/>
                <w:sz w:val="20"/>
              </w:rPr>
            </w:pPr>
            <w:r>
              <w:rPr>
                <w:b/>
                <w:bCs/>
                <w:color w:val="000000"/>
                <w:sz w:val="20"/>
              </w:rPr>
              <w:t>CMHS</w:t>
            </w:r>
          </w:p>
        </w:tc>
      </w:tr>
      <w:tr w:rsidR="006B3EA9" w:rsidTr="0015484D">
        <w:trPr>
          <w:trHeight w:val="498"/>
        </w:trPr>
        <w:tc>
          <w:tcPr>
            <w:tcW w:w="0" w:type="auto"/>
            <w:shd w:val="clear" w:color="auto" w:fill="FFFFFF"/>
            <w:vAlign w:val="center"/>
            <w:hideMark/>
          </w:tcPr>
          <w:p w:rsidR="006B3EA9" w:rsidRDefault="006B3EA9" w:rsidP="0015484D">
            <w:pPr>
              <w:rPr>
                <w:b/>
                <w:bCs/>
                <w:color w:val="000000"/>
                <w:sz w:val="20"/>
              </w:rPr>
            </w:pPr>
            <w:r>
              <w:rPr>
                <w:b/>
                <w:bCs/>
                <w:color w:val="000000"/>
                <w:sz w:val="20"/>
              </w:rPr>
              <w:t>Comprehensive Community Mental Health Services for Children and their Families Program (CMHI)</w:t>
            </w:r>
          </w:p>
        </w:tc>
        <w:tc>
          <w:tcPr>
            <w:tcW w:w="0" w:type="auto"/>
            <w:shd w:val="clear" w:color="auto" w:fill="FFFFFF"/>
            <w:vAlign w:val="center"/>
            <w:hideMark/>
          </w:tcPr>
          <w:p w:rsidR="006B3EA9" w:rsidRDefault="006B3EA9" w:rsidP="0015484D">
            <w:pPr>
              <w:jc w:val="center"/>
              <w:rPr>
                <w:color w:val="000000"/>
                <w:sz w:val="20"/>
              </w:rPr>
            </w:pPr>
            <w:r>
              <w:rPr>
                <w:color w:val="000000"/>
                <w:sz w:val="20"/>
              </w:rPr>
              <w:t>3,431</w:t>
            </w:r>
          </w:p>
        </w:tc>
      </w:tr>
      <w:tr w:rsidR="006B3EA9" w:rsidTr="0015484D">
        <w:trPr>
          <w:trHeight w:val="345"/>
        </w:trPr>
        <w:tc>
          <w:tcPr>
            <w:tcW w:w="0" w:type="auto"/>
            <w:shd w:val="clear" w:color="auto" w:fill="FFFFFF"/>
            <w:vAlign w:val="center"/>
            <w:hideMark/>
          </w:tcPr>
          <w:p w:rsidR="006B3EA9" w:rsidRDefault="006B3EA9" w:rsidP="0015484D">
            <w:pPr>
              <w:rPr>
                <w:b/>
                <w:bCs/>
                <w:color w:val="000000"/>
                <w:sz w:val="20"/>
              </w:rPr>
            </w:pPr>
            <w:r>
              <w:rPr>
                <w:b/>
                <w:bCs/>
                <w:color w:val="000000"/>
                <w:sz w:val="20"/>
              </w:rPr>
              <w:t>HIV Continuum of Care (</w:t>
            </w:r>
            <w:proofErr w:type="spellStart"/>
            <w:r>
              <w:rPr>
                <w:b/>
                <w:bCs/>
                <w:color w:val="000000"/>
                <w:sz w:val="20"/>
              </w:rPr>
              <w:t>CoC</w:t>
            </w:r>
            <w:proofErr w:type="spellEnd"/>
            <w:r>
              <w:rPr>
                <w:b/>
                <w:bCs/>
                <w:color w:val="000000"/>
                <w:sz w:val="20"/>
              </w:rPr>
              <w:t>)</w:t>
            </w:r>
          </w:p>
        </w:tc>
        <w:tc>
          <w:tcPr>
            <w:tcW w:w="0" w:type="auto"/>
            <w:shd w:val="clear" w:color="auto" w:fill="FFFFFF"/>
            <w:vAlign w:val="center"/>
            <w:hideMark/>
          </w:tcPr>
          <w:p w:rsidR="006B3EA9" w:rsidRDefault="006B3EA9" w:rsidP="0015484D">
            <w:pPr>
              <w:jc w:val="center"/>
              <w:rPr>
                <w:color w:val="000000"/>
                <w:sz w:val="20"/>
              </w:rPr>
            </w:pPr>
            <w:r>
              <w:rPr>
                <w:color w:val="000000"/>
                <w:sz w:val="20"/>
              </w:rPr>
              <w:t>1,500</w:t>
            </w:r>
          </w:p>
        </w:tc>
      </w:tr>
      <w:tr w:rsidR="006B3EA9" w:rsidTr="0015484D">
        <w:trPr>
          <w:trHeight w:val="345"/>
        </w:trPr>
        <w:tc>
          <w:tcPr>
            <w:tcW w:w="0" w:type="auto"/>
            <w:shd w:val="clear" w:color="auto" w:fill="FFFFFF"/>
            <w:vAlign w:val="center"/>
            <w:hideMark/>
          </w:tcPr>
          <w:p w:rsidR="006B3EA9" w:rsidRPr="00483915" w:rsidRDefault="006B3EA9" w:rsidP="0015484D">
            <w:pPr>
              <w:rPr>
                <w:b/>
                <w:bCs/>
                <w:color w:val="000000"/>
                <w:sz w:val="20"/>
              </w:rPr>
            </w:pPr>
            <w:r w:rsidRPr="00483915">
              <w:rPr>
                <w:b/>
                <w:bCs/>
                <w:color w:val="000000"/>
                <w:sz w:val="20"/>
              </w:rPr>
              <w:t>Healthy Transitions (HT)</w:t>
            </w:r>
          </w:p>
        </w:tc>
        <w:tc>
          <w:tcPr>
            <w:tcW w:w="0" w:type="auto"/>
            <w:shd w:val="clear" w:color="auto" w:fill="FFFFFF"/>
            <w:vAlign w:val="center"/>
            <w:hideMark/>
          </w:tcPr>
          <w:p w:rsidR="006B3EA9" w:rsidRPr="00483915" w:rsidRDefault="006B3EA9" w:rsidP="0015484D">
            <w:pPr>
              <w:jc w:val="center"/>
              <w:rPr>
                <w:color w:val="000000"/>
                <w:sz w:val="20"/>
              </w:rPr>
            </w:pPr>
            <w:r w:rsidRPr="00483915">
              <w:rPr>
                <w:color w:val="000000"/>
                <w:sz w:val="20"/>
              </w:rPr>
              <w:t>1,600</w:t>
            </w:r>
          </w:p>
        </w:tc>
      </w:tr>
      <w:tr w:rsidR="006B3EA9" w:rsidTr="0015484D">
        <w:trPr>
          <w:trHeight w:val="345"/>
        </w:trPr>
        <w:tc>
          <w:tcPr>
            <w:tcW w:w="0" w:type="auto"/>
            <w:shd w:val="clear" w:color="auto" w:fill="FFFFFF"/>
            <w:vAlign w:val="center"/>
            <w:hideMark/>
          </w:tcPr>
          <w:p w:rsidR="006B3EA9" w:rsidRPr="00483915" w:rsidRDefault="006B3EA9" w:rsidP="0015484D">
            <w:pPr>
              <w:rPr>
                <w:b/>
                <w:bCs/>
                <w:color w:val="000000"/>
                <w:sz w:val="20"/>
              </w:rPr>
            </w:pPr>
            <w:r w:rsidRPr="00483915">
              <w:rPr>
                <w:b/>
                <w:bCs/>
                <w:color w:val="000000"/>
                <w:sz w:val="20"/>
              </w:rPr>
              <w:t>NCTSI Community Treatment Centers (NCTSI)</w:t>
            </w:r>
          </w:p>
        </w:tc>
        <w:tc>
          <w:tcPr>
            <w:tcW w:w="0" w:type="auto"/>
            <w:shd w:val="clear" w:color="auto" w:fill="FFFFFF"/>
            <w:vAlign w:val="center"/>
            <w:hideMark/>
          </w:tcPr>
          <w:p w:rsidR="006B3EA9" w:rsidRPr="00483915" w:rsidRDefault="006B3EA9" w:rsidP="0015484D">
            <w:pPr>
              <w:jc w:val="center"/>
              <w:rPr>
                <w:color w:val="000000"/>
                <w:sz w:val="20"/>
              </w:rPr>
            </w:pPr>
            <w:r w:rsidRPr="00483915">
              <w:rPr>
                <w:color w:val="000000"/>
                <w:sz w:val="20"/>
              </w:rPr>
              <w:t>1,856</w:t>
            </w:r>
          </w:p>
        </w:tc>
      </w:tr>
      <w:tr w:rsidR="006B3EA9" w:rsidTr="0015484D">
        <w:trPr>
          <w:trHeight w:val="345"/>
        </w:trPr>
        <w:tc>
          <w:tcPr>
            <w:tcW w:w="0" w:type="auto"/>
            <w:shd w:val="clear" w:color="auto" w:fill="FFFFFF"/>
            <w:vAlign w:val="center"/>
            <w:hideMark/>
          </w:tcPr>
          <w:p w:rsidR="006B3EA9" w:rsidRPr="00483915" w:rsidRDefault="006B3EA9" w:rsidP="0015484D">
            <w:pPr>
              <w:rPr>
                <w:b/>
                <w:bCs/>
                <w:color w:val="000000"/>
                <w:sz w:val="20"/>
              </w:rPr>
            </w:pPr>
            <w:r w:rsidRPr="00483915">
              <w:rPr>
                <w:b/>
                <w:bCs/>
                <w:color w:val="000000"/>
                <w:sz w:val="20"/>
              </w:rPr>
              <w:t>Mental Health Transformation State Incentive Grant (MH SIG)</w:t>
            </w:r>
          </w:p>
        </w:tc>
        <w:tc>
          <w:tcPr>
            <w:tcW w:w="0" w:type="auto"/>
            <w:shd w:val="clear" w:color="auto" w:fill="FFFFFF"/>
            <w:vAlign w:val="center"/>
            <w:hideMark/>
          </w:tcPr>
          <w:p w:rsidR="006B3EA9" w:rsidRPr="00483915" w:rsidRDefault="006B3EA9" w:rsidP="0015484D">
            <w:pPr>
              <w:jc w:val="center"/>
              <w:rPr>
                <w:color w:val="000000"/>
                <w:sz w:val="20"/>
              </w:rPr>
            </w:pPr>
            <w:r w:rsidRPr="00483915">
              <w:rPr>
                <w:color w:val="000000"/>
                <w:sz w:val="20"/>
              </w:rPr>
              <w:t>2,975</w:t>
            </w:r>
          </w:p>
        </w:tc>
      </w:tr>
      <w:tr w:rsidR="006B3EA9" w:rsidTr="0015484D">
        <w:trPr>
          <w:trHeight w:val="345"/>
        </w:trPr>
        <w:tc>
          <w:tcPr>
            <w:tcW w:w="0" w:type="auto"/>
            <w:shd w:val="clear" w:color="auto" w:fill="FFFFFF"/>
            <w:vAlign w:val="center"/>
            <w:hideMark/>
          </w:tcPr>
          <w:p w:rsidR="006B3EA9" w:rsidRPr="00483915" w:rsidRDefault="006B3EA9" w:rsidP="0015484D">
            <w:pPr>
              <w:rPr>
                <w:b/>
                <w:bCs/>
                <w:color w:val="000000"/>
                <w:sz w:val="20"/>
              </w:rPr>
            </w:pPr>
            <w:r w:rsidRPr="00483915">
              <w:rPr>
                <w:b/>
                <w:bCs/>
                <w:color w:val="000000"/>
                <w:sz w:val="20"/>
              </w:rPr>
              <w:t>Minority AIDS/HIV Services Collaborative Program</w:t>
            </w:r>
          </w:p>
        </w:tc>
        <w:tc>
          <w:tcPr>
            <w:tcW w:w="0" w:type="auto"/>
            <w:shd w:val="clear" w:color="auto" w:fill="FFFFFF"/>
            <w:vAlign w:val="center"/>
            <w:hideMark/>
          </w:tcPr>
          <w:p w:rsidR="006B3EA9" w:rsidRPr="00483915" w:rsidRDefault="006B3EA9" w:rsidP="0015484D">
            <w:pPr>
              <w:jc w:val="center"/>
              <w:rPr>
                <w:color w:val="000000"/>
                <w:sz w:val="20"/>
              </w:rPr>
            </w:pPr>
            <w:r w:rsidRPr="00483915">
              <w:rPr>
                <w:color w:val="000000"/>
                <w:sz w:val="20"/>
              </w:rPr>
              <w:t>2,844</w:t>
            </w:r>
          </w:p>
        </w:tc>
      </w:tr>
      <w:tr w:rsidR="006B3EA9" w:rsidTr="0015484D">
        <w:trPr>
          <w:trHeight w:val="327"/>
        </w:trPr>
        <w:tc>
          <w:tcPr>
            <w:tcW w:w="0" w:type="auto"/>
            <w:shd w:val="clear" w:color="auto" w:fill="FFFFFF"/>
            <w:vAlign w:val="center"/>
            <w:hideMark/>
          </w:tcPr>
          <w:p w:rsidR="006B3EA9" w:rsidRPr="00483915" w:rsidRDefault="006B3EA9" w:rsidP="0015484D">
            <w:pPr>
              <w:rPr>
                <w:b/>
                <w:bCs/>
                <w:color w:val="000000"/>
                <w:sz w:val="20"/>
              </w:rPr>
            </w:pPr>
            <w:r w:rsidRPr="00483915">
              <w:rPr>
                <w:b/>
                <w:bCs/>
                <w:color w:val="000000"/>
                <w:sz w:val="20"/>
              </w:rPr>
              <w:t>Primary and Behavioral Health Care Integration (PBHCI)</w:t>
            </w:r>
          </w:p>
        </w:tc>
        <w:tc>
          <w:tcPr>
            <w:tcW w:w="0" w:type="auto"/>
            <w:shd w:val="clear" w:color="auto" w:fill="FFFFFF"/>
            <w:vAlign w:val="center"/>
            <w:hideMark/>
          </w:tcPr>
          <w:p w:rsidR="006B3EA9" w:rsidRPr="00483915" w:rsidRDefault="006B3EA9" w:rsidP="0015484D">
            <w:pPr>
              <w:jc w:val="center"/>
              <w:rPr>
                <w:color w:val="000000"/>
                <w:sz w:val="20"/>
              </w:rPr>
            </w:pPr>
            <w:r w:rsidRPr="00483915">
              <w:rPr>
                <w:color w:val="000000"/>
                <w:sz w:val="20"/>
              </w:rPr>
              <w:t>14,000</w:t>
            </w:r>
          </w:p>
        </w:tc>
      </w:tr>
      <w:tr w:rsidR="006B3EA9" w:rsidTr="0015484D">
        <w:trPr>
          <w:trHeight w:val="345"/>
        </w:trPr>
        <w:tc>
          <w:tcPr>
            <w:tcW w:w="0" w:type="auto"/>
            <w:shd w:val="clear" w:color="auto" w:fill="FFFFFF"/>
            <w:vAlign w:val="center"/>
            <w:hideMark/>
          </w:tcPr>
          <w:p w:rsidR="006B3EA9" w:rsidRPr="00483915" w:rsidRDefault="006B3EA9" w:rsidP="0015484D">
            <w:pPr>
              <w:rPr>
                <w:b/>
                <w:bCs/>
                <w:color w:val="000000"/>
                <w:sz w:val="20"/>
              </w:rPr>
            </w:pPr>
            <w:r w:rsidRPr="00483915">
              <w:rPr>
                <w:b/>
                <w:bCs/>
                <w:color w:val="000000"/>
                <w:sz w:val="20"/>
              </w:rPr>
              <w:t>Services in Supportive Housing (SSH)</w:t>
            </w:r>
          </w:p>
        </w:tc>
        <w:tc>
          <w:tcPr>
            <w:tcW w:w="0" w:type="auto"/>
            <w:shd w:val="clear" w:color="auto" w:fill="FFFFFF"/>
            <w:vAlign w:val="center"/>
            <w:hideMark/>
          </w:tcPr>
          <w:p w:rsidR="006B3EA9" w:rsidRPr="00483915" w:rsidRDefault="006B3EA9" w:rsidP="0015484D">
            <w:pPr>
              <w:jc w:val="center"/>
              <w:rPr>
                <w:color w:val="000000"/>
                <w:sz w:val="20"/>
              </w:rPr>
            </w:pPr>
            <w:r w:rsidRPr="00483915">
              <w:rPr>
                <w:color w:val="000000"/>
                <w:sz w:val="20"/>
              </w:rPr>
              <w:t>4,975</w:t>
            </w:r>
          </w:p>
        </w:tc>
      </w:tr>
      <w:tr w:rsidR="006B3EA9" w:rsidTr="0015484D">
        <w:trPr>
          <w:trHeight w:val="303"/>
        </w:trPr>
        <w:tc>
          <w:tcPr>
            <w:tcW w:w="0" w:type="auto"/>
            <w:shd w:val="clear" w:color="auto" w:fill="FFFFFF"/>
            <w:vAlign w:val="center"/>
            <w:hideMark/>
          </w:tcPr>
          <w:p w:rsidR="006B3EA9" w:rsidRPr="00483915" w:rsidRDefault="006B3EA9" w:rsidP="0015484D">
            <w:pPr>
              <w:rPr>
                <w:b/>
                <w:bCs/>
                <w:color w:val="000000"/>
                <w:sz w:val="20"/>
              </w:rPr>
            </w:pPr>
            <w:r w:rsidRPr="00483915">
              <w:rPr>
                <w:b/>
                <w:bCs/>
                <w:color w:val="000000"/>
                <w:sz w:val="20"/>
              </w:rPr>
              <w:t>Systems of Care (</w:t>
            </w:r>
            <w:proofErr w:type="spellStart"/>
            <w:r w:rsidRPr="00483915">
              <w:rPr>
                <w:b/>
                <w:bCs/>
                <w:color w:val="000000"/>
                <w:sz w:val="20"/>
              </w:rPr>
              <w:t>SoC</w:t>
            </w:r>
            <w:proofErr w:type="spellEnd"/>
            <w:r w:rsidRPr="00483915">
              <w:rPr>
                <w:b/>
                <w:bCs/>
                <w:color w:val="000000"/>
                <w:sz w:val="20"/>
              </w:rPr>
              <w:t>)</w:t>
            </w:r>
          </w:p>
        </w:tc>
        <w:tc>
          <w:tcPr>
            <w:tcW w:w="0" w:type="auto"/>
            <w:shd w:val="clear" w:color="auto" w:fill="FFFFFF"/>
            <w:vAlign w:val="center"/>
            <w:hideMark/>
          </w:tcPr>
          <w:p w:rsidR="006B3EA9" w:rsidRPr="00483915" w:rsidRDefault="006B3EA9" w:rsidP="0015484D">
            <w:pPr>
              <w:jc w:val="center"/>
              <w:rPr>
                <w:color w:val="000000"/>
                <w:sz w:val="20"/>
              </w:rPr>
            </w:pPr>
            <w:r w:rsidRPr="00483915">
              <w:rPr>
                <w:color w:val="000000"/>
                <w:sz w:val="20"/>
              </w:rPr>
              <w:t>1,164</w:t>
            </w:r>
          </w:p>
        </w:tc>
      </w:tr>
      <w:tr w:rsidR="006B3EA9" w:rsidTr="0015484D">
        <w:trPr>
          <w:trHeight w:val="303"/>
        </w:trPr>
        <w:tc>
          <w:tcPr>
            <w:tcW w:w="0" w:type="auto"/>
            <w:shd w:val="clear" w:color="auto" w:fill="FFFFFF"/>
            <w:vAlign w:val="center"/>
          </w:tcPr>
          <w:p w:rsidR="006B3EA9" w:rsidRPr="00483915" w:rsidRDefault="006B3EA9" w:rsidP="0015484D">
            <w:pPr>
              <w:rPr>
                <w:b/>
                <w:bCs/>
                <w:color w:val="000000"/>
                <w:sz w:val="20"/>
              </w:rPr>
            </w:pPr>
            <w:r w:rsidRPr="00483915">
              <w:rPr>
                <w:b/>
                <w:color w:val="000000"/>
                <w:sz w:val="20"/>
              </w:rPr>
              <w:t>Transforming Lives Through Supported Employment</w:t>
            </w:r>
          </w:p>
        </w:tc>
        <w:tc>
          <w:tcPr>
            <w:tcW w:w="0" w:type="auto"/>
            <w:shd w:val="clear" w:color="auto" w:fill="FFFFFF"/>
            <w:vAlign w:val="center"/>
          </w:tcPr>
          <w:p w:rsidR="006B3EA9" w:rsidRPr="00483915" w:rsidRDefault="006B3EA9" w:rsidP="0015484D">
            <w:pPr>
              <w:jc w:val="center"/>
              <w:rPr>
                <w:color w:val="000000"/>
                <w:sz w:val="20"/>
              </w:rPr>
            </w:pPr>
            <w:r w:rsidRPr="00483915">
              <w:rPr>
                <w:color w:val="000000"/>
                <w:sz w:val="20"/>
              </w:rPr>
              <w:t>1,500</w:t>
            </w:r>
          </w:p>
        </w:tc>
      </w:tr>
      <w:tr w:rsidR="006B3EA9" w:rsidTr="0015484D">
        <w:trPr>
          <w:trHeight w:val="303"/>
        </w:trPr>
        <w:tc>
          <w:tcPr>
            <w:tcW w:w="0" w:type="auto"/>
            <w:gridSpan w:val="2"/>
            <w:shd w:val="clear" w:color="auto" w:fill="DDD9C4"/>
            <w:vAlign w:val="center"/>
            <w:hideMark/>
          </w:tcPr>
          <w:p w:rsidR="006B3EA9" w:rsidRDefault="006B3EA9" w:rsidP="0015484D">
            <w:pPr>
              <w:rPr>
                <w:b/>
                <w:bCs/>
                <w:color w:val="000000"/>
                <w:sz w:val="20"/>
              </w:rPr>
            </w:pPr>
            <w:r>
              <w:rPr>
                <w:b/>
                <w:bCs/>
                <w:color w:val="000000"/>
                <w:sz w:val="20"/>
              </w:rPr>
              <w:t>CSAT</w:t>
            </w:r>
          </w:p>
        </w:tc>
      </w:tr>
      <w:tr w:rsidR="006B3EA9" w:rsidTr="0015484D">
        <w:trPr>
          <w:trHeight w:val="372"/>
        </w:trPr>
        <w:tc>
          <w:tcPr>
            <w:tcW w:w="0" w:type="auto"/>
            <w:shd w:val="clear" w:color="auto" w:fill="FFFFFF"/>
            <w:vAlign w:val="center"/>
            <w:hideMark/>
          </w:tcPr>
          <w:p w:rsidR="006B3EA9" w:rsidRDefault="006B3EA9" w:rsidP="0015484D">
            <w:pPr>
              <w:rPr>
                <w:b/>
                <w:bCs/>
                <w:color w:val="000000"/>
                <w:sz w:val="20"/>
              </w:rPr>
            </w:pPr>
            <w:r>
              <w:rPr>
                <w:b/>
                <w:bCs/>
                <w:color w:val="000000"/>
                <w:sz w:val="20"/>
              </w:rPr>
              <w:t>Assertive Adolescent and Family Treatment (AAFT)</w:t>
            </w:r>
          </w:p>
        </w:tc>
        <w:tc>
          <w:tcPr>
            <w:tcW w:w="0" w:type="auto"/>
            <w:shd w:val="clear" w:color="auto" w:fill="FFFFFF"/>
            <w:vAlign w:val="center"/>
            <w:hideMark/>
          </w:tcPr>
          <w:p w:rsidR="006B3EA9" w:rsidRDefault="006B3EA9" w:rsidP="0015484D">
            <w:pPr>
              <w:jc w:val="center"/>
              <w:rPr>
                <w:color w:val="000000"/>
                <w:sz w:val="20"/>
              </w:rPr>
            </w:pPr>
            <w:r>
              <w:rPr>
                <w:color w:val="000000"/>
                <w:sz w:val="20"/>
              </w:rPr>
              <w:t>379</w:t>
            </w:r>
          </w:p>
        </w:tc>
      </w:tr>
      <w:tr w:rsidR="006B3EA9" w:rsidTr="0015484D">
        <w:trPr>
          <w:trHeight w:val="303"/>
        </w:trPr>
        <w:tc>
          <w:tcPr>
            <w:tcW w:w="0" w:type="auto"/>
            <w:shd w:val="clear" w:color="auto" w:fill="FFFFFF"/>
            <w:vAlign w:val="center"/>
            <w:hideMark/>
          </w:tcPr>
          <w:p w:rsidR="006B3EA9" w:rsidRDefault="006B3EA9" w:rsidP="0015484D">
            <w:pPr>
              <w:rPr>
                <w:b/>
                <w:bCs/>
                <w:sz w:val="20"/>
              </w:rPr>
            </w:pPr>
            <w:r>
              <w:rPr>
                <w:b/>
                <w:bCs/>
                <w:sz w:val="20"/>
              </w:rPr>
              <w:t>Access to Recovery 3 (ATR3)</w:t>
            </w:r>
          </w:p>
        </w:tc>
        <w:tc>
          <w:tcPr>
            <w:tcW w:w="0" w:type="auto"/>
            <w:shd w:val="clear" w:color="auto" w:fill="FFFFFF"/>
            <w:vAlign w:val="center"/>
            <w:hideMark/>
          </w:tcPr>
          <w:p w:rsidR="006B3EA9" w:rsidRDefault="006B3EA9" w:rsidP="0015484D">
            <w:pPr>
              <w:jc w:val="center"/>
              <w:rPr>
                <w:color w:val="000000"/>
                <w:sz w:val="20"/>
              </w:rPr>
            </w:pPr>
            <w:r>
              <w:rPr>
                <w:color w:val="000000"/>
                <w:sz w:val="20"/>
              </w:rPr>
              <w:t>33,000</w:t>
            </w:r>
          </w:p>
        </w:tc>
      </w:tr>
      <w:tr w:rsidR="006B3EA9" w:rsidTr="0015484D">
        <w:trPr>
          <w:trHeight w:val="300"/>
        </w:trPr>
        <w:tc>
          <w:tcPr>
            <w:tcW w:w="0" w:type="auto"/>
            <w:shd w:val="clear" w:color="auto" w:fill="FFFFFF"/>
            <w:vAlign w:val="center"/>
            <w:hideMark/>
          </w:tcPr>
          <w:p w:rsidR="006B3EA9" w:rsidRDefault="006B3EA9" w:rsidP="0015484D">
            <w:pPr>
              <w:rPr>
                <w:b/>
                <w:bCs/>
                <w:color w:val="000000"/>
                <w:sz w:val="20"/>
              </w:rPr>
            </w:pPr>
            <w:r>
              <w:rPr>
                <w:b/>
                <w:bCs/>
                <w:color w:val="000000"/>
                <w:sz w:val="20"/>
              </w:rPr>
              <w:t xml:space="preserve">Adult Treatment Court </w:t>
            </w:r>
            <w:proofErr w:type="spellStart"/>
            <w:r>
              <w:rPr>
                <w:b/>
                <w:bCs/>
                <w:color w:val="000000"/>
                <w:sz w:val="20"/>
              </w:rPr>
              <w:t>Collaboratives</w:t>
            </w:r>
            <w:proofErr w:type="spellEnd"/>
            <w:r>
              <w:rPr>
                <w:b/>
                <w:bCs/>
                <w:color w:val="000000"/>
                <w:sz w:val="20"/>
              </w:rPr>
              <w:t xml:space="preserve"> (ATCC)</w:t>
            </w:r>
          </w:p>
        </w:tc>
        <w:tc>
          <w:tcPr>
            <w:tcW w:w="0" w:type="auto"/>
            <w:shd w:val="clear" w:color="auto" w:fill="FFFFFF"/>
            <w:vAlign w:val="center"/>
            <w:hideMark/>
          </w:tcPr>
          <w:p w:rsidR="006B3EA9" w:rsidRDefault="006B3EA9" w:rsidP="0015484D">
            <w:pPr>
              <w:jc w:val="center"/>
              <w:rPr>
                <w:color w:val="000000"/>
                <w:sz w:val="20"/>
              </w:rPr>
            </w:pPr>
            <w:r>
              <w:rPr>
                <w:color w:val="000000"/>
                <w:sz w:val="20"/>
              </w:rPr>
              <w:t>1,348</w:t>
            </w:r>
          </w:p>
        </w:tc>
      </w:tr>
      <w:tr w:rsidR="006B3EA9" w:rsidTr="0015484D">
        <w:trPr>
          <w:trHeight w:val="345"/>
        </w:trPr>
        <w:tc>
          <w:tcPr>
            <w:tcW w:w="0" w:type="auto"/>
            <w:shd w:val="clear" w:color="auto" w:fill="FFFFFF"/>
            <w:vAlign w:val="center"/>
            <w:hideMark/>
          </w:tcPr>
          <w:p w:rsidR="006B3EA9" w:rsidRDefault="006B3EA9" w:rsidP="0015484D">
            <w:pPr>
              <w:rPr>
                <w:b/>
                <w:bCs/>
                <w:color w:val="000000"/>
                <w:sz w:val="20"/>
              </w:rPr>
            </w:pPr>
            <w:r>
              <w:rPr>
                <w:b/>
                <w:bCs/>
                <w:color w:val="000000"/>
                <w:sz w:val="20"/>
              </w:rPr>
              <w:t>Enhancing Adult Drug Court Services, Coordination, and Treatment (EADCS CT)</w:t>
            </w:r>
          </w:p>
        </w:tc>
        <w:tc>
          <w:tcPr>
            <w:tcW w:w="0" w:type="auto"/>
            <w:shd w:val="clear" w:color="auto" w:fill="FFFFFF"/>
            <w:vAlign w:val="center"/>
            <w:hideMark/>
          </w:tcPr>
          <w:p w:rsidR="006B3EA9" w:rsidRDefault="006B3EA9" w:rsidP="0015484D">
            <w:pPr>
              <w:jc w:val="center"/>
              <w:rPr>
                <w:color w:val="000000"/>
                <w:sz w:val="20"/>
              </w:rPr>
            </w:pPr>
            <w:r>
              <w:rPr>
                <w:color w:val="000000"/>
                <w:sz w:val="20"/>
              </w:rPr>
              <w:t>5,830</w:t>
            </w:r>
          </w:p>
        </w:tc>
      </w:tr>
      <w:tr w:rsidR="006B3EA9" w:rsidTr="0015484D">
        <w:trPr>
          <w:trHeight w:val="345"/>
        </w:trPr>
        <w:tc>
          <w:tcPr>
            <w:tcW w:w="0" w:type="auto"/>
            <w:shd w:val="clear" w:color="auto" w:fill="FFFFFF"/>
            <w:vAlign w:val="center"/>
            <w:hideMark/>
          </w:tcPr>
          <w:p w:rsidR="006B3EA9" w:rsidRDefault="006B3EA9" w:rsidP="0015484D">
            <w:pPr>
              <w:rPr>
                <w:b/>
                <w:bCs/>
                <w:color w:val="000000"/>
                <w:sz w:val="20"/>
              </w:rPr>
            </w:pPr>
            <w:r>
              <w:rPr>
                <w:b/>
                <w:bCs/>
                <w:color w:val="000000"/>
                <w:sz w:val="20"/>
              </w:rPr>
              <w:t>Offender Reentry Program (ORP)</w:t>
            </w:r>
          </w:p>
        </w:tc>
        <w:tc>
          <w:tcPr>
            <w:tcW w:w="0" w:type="auto"/>
            <w:shd w:val="clear" w:color="auto" w:fill="FFFFFF"/>
            <w:vAlign w:val="center"/>
            <w:hideMark/>
          </w:tcPr>
          <w:p w:rsidR="006B3EA9" w:rsidRDefault="006B3EA9" w:rsidP="0015484D">
            <w:pPr>
              <w:jc w:val="center"/>
              <w:rPr>
                <w:color w:val="000000"/>
                <w:sz w:val="20"/>
              </w:rPr>
            </w:pPr>
            <w:r>
              <w:rPr>
                <w:color w:val="000000"/>
                <w:sz w:val="20"/>
              </w:rPr>
              <w:t>2,304</w:t>
            </w:r>
          </w:p>
        </w:tc>
      </w:tr>
      <w:tr w:rsidR="006B3EA9" w:rsidTr="0015484D">
        <w:trPr>
          <w:trHeight w:val="303"/>
        </w:trPr>
        <w:tc>
          <w:tcPr>
            <w:tcW w:w="0" w:type="auto"/>
            <w:shd w:val="clear" w:color="auto" w:fill="FFFFFF"/>
            <w:vAlign w:val="center"/>
            <w:hideMark/>
          </w:tcPr>
          <w:p w:rsidR="006B3EA9" w:rsidRDefault="006B3EA9" w:rsidP="0015484D">
            <w:pPr>
              <w:rPr>
                <w:b/>
                <w:bCs/>
                <w:color w:val="000000"/>
                <w:sz w:val="20"/>
              </w:rPr>
            </w:pPr>
            <w:r>
              <w:rPr>
                <w:b/>
                <w:bCs/>
                <w:color w:val="000000"/>
                <w:sz w:val="20"/>
              </w:rPr>
              <w:t>Treatment Drug Court (TDC)</w:t>
            </w:r>
          </w:p>
        </w:tc>
        <w:tc>
          <w:tcPr>
            <w:tcW w:w="0" w:type="auto"/>
            <w:shd w:val="clear" w:color="auto" w:fill="FFFFFF"/>
            <w:vAlign w:val="center"/>
            <w:hideMark/>
          </w:tcPr>
          <w:p w:rsidR="006B3EA9" w:rsidRDefault="006B3EA9" w:rsidP="0015484D">
            <w:pPr>
              <w:jc w:val="center"/>
              <w:rPr>
                <w:color w:val="000000"/>
                <w:sz w:val="20"/>
              </w:rPr>
            </w:pPr>
            <w:r>
              <w:rPr>
                <w:color w:val="000000"/>
                <w:sz w:val="20"/>
              </w:rPr>
              <w:t>7,495</w:t>
            </w:r>
          </w:p>
        </w:tc>
      </w:tr>
      <w:tr w:rsidR="006B3EA9" w:rsidTr="0015484D">
        <w:trPr>
          <w:trHeight w:val="390"/>
        </w:trPr>
        <w:tc>
          <w:tcPr>
            <w:tcW w:w="0" w:type="auto"/>
            <w:shd w:val="clear" w:color="auto" w:fill="FFFFFF"/>
            <w:vAlign w:val="center"/>
            <w:hideMark/>
          </w:tcPr>
          <w:p w:rsidR="006B3EA9" w:rsidRDefault="006B3EA9" w:rsidP="0015484D">
            <w:pPr>
              <w:rPr>
                <w:b/>
                <w:bCs/>
                <w:color w:val="000000"/>
                <w:sz w:val="20"/>
              </w:rPr>
            </w:pPr>
            <w:r>
              <w:rPr>
                <w:b/>
                <w:bCs/>
                <w:color w:val="000000"/>
                <w:sz w:val="20"/>
              </w:rPr>
              <w:t>Office of Juvenile Justice and Delinquency Prevention - Juvenile Drug Courts (OJJDP-JDC)</w:t>
            </w:r>
          </w:p>
        </w:tc>
        <w:tc>
          <w:tcPr>
            <w:tcW w:w="0" w:type="auto"/>
            <w:shd w:val="clear" w:color="auto" w:fill="FFFFFF"/>
            <w:vAlign w:val="center"/>
            <w:hideMark/>
          </w:tcPr>
          <w:p w:rsidR="006B3EA9" w:rsidRDefault="006B3EA9" w:rsidP="0015484D">
            <w:pPr>
              <w:jc w:val="center"/>
              <w:rPr>
                <w:color w:val="000000"/>
                <w:sz w:val="20"/>
              </w:rPr>
            </w:pPr>
            <w:r>
              <w:rPr>
                <w:color w:val="000000"/>
                <w:sz w:val="20"/>
              </w:rPr>
              <w:t>490</w:t>
            </w:r>
          </w:p>
        </w:tc>
      </w:tr>
      <w:tr w:rsidR="006B3EA9" w:rsidTr="0015484D">
        <w:trPr>
          <w:trHeight w:val="303"/>
        </w:trPr>
        <w:tc>
          <w:tcPr>
            <w:tcW w:w="0" w:type="auto"/>
            <w:shd w:val="clear" w:color="auto" w:fill="FFFFFF"/>
            <w:vAlign w:val="center"/>
            <w:hideMark/>
          </w:tcPr>
          <w:p w:rsidR="006B3EA9" w:rsidRDefault="006B3EA9" w:rsidP="0015484D">
            <w:pPr>
              <w:rPr>
                <w:b/>
                <w:bCs/>
                <w:color w:val="000000"/>
                <w:sz w:val="20"/>
              </w:rPr>
            </w:pPr>
            <w:r>
              <w:rPr>
                <w:b/>
                <w:bCs/>
                <w:color w:val="000000"/>
                <w:sz w:val="20"/>
              </w:rPr>
              <w:t>Teen Court Program (TCP)</w:t>
            </w:r>
          </w:p>
        </w:tc>
        <w:tc>
          <w:tcPr>
            <w:tcW w:w="0" w:type="auto"/>
            <w:shd w:val="clear" w:color="auto" w:fill="FFFFFF"/>
            <w:vAlign w:val="center"/>
            <w:hideMark/>
          </w:tcPr>
          <w:p w:rsidR="006B3EA9" w:rsidRDefault="006B3EA9" w:rsidP="0015484D">
            <w:pPr>
              <w:jc w:val="center"/>
              <w:rPr>
                <w:color w:val="000000"/>
                <w:sz w:val="20"/>
              </w:rPr>
            </w:pPr>
            <w:r>
              <w:rPr>
                <w:color w:val="000000"/>
                <w:sz w:val="20"/>
              </w:rPr>
              <w:t>7,495</w:t>
            </w:r>
          </w:p>
        </w:tc>
      </w:tr>
      <w:tr w:rsidR="006B3EA9" w:rsidTr="0015484D">
        <w:trPr>
          <w:trHeight w:val="390"/>
        </w:trPr>
        <w:tc>
          <w:tcPr>
            <w:tcW w:w="0" w:type="auto"/>
            <w:shd w:val="clear" w:color="auto" w:fill="FFFFFF"/>
            <w:vAlign w:val="center"/>
            <w:hideMark/>
          </w:tcPr>
          <w:p w:rsidR="006B3EA9" w:rsidRDefault="006B3EA9" w:rsidP="0015484D">
            <w:pPr>
              <w:rPr>
                <w:b/>
                <w:bCs/>
                <w:color w:val="000000"/>
                <w:sz w:val="20"/>
              </w:rPr>
            </w:pPr>
            <w:r>
              <w:rPr>
                <w:b/>
                <w:bCs/>
                <w:color w:val="000000"/>
                <w:sz w:val="20"/>
              </w:rPr>
              <w:t>HIV/AIDS Outreach Program (HIV-Outreach)</w:t>
            </w:r>
          </w:p>
        </w:tc>
        <w:tc>
          <w:tcPr>
            <w:tcW w:w="0" w:type="auto"/>
            <w:shd w:val="clear" w:color="auto" w:fill="FFFFFF"/>
            <w:vAlign w:val="center"/>
            <w:hideMark/>
          </w:tcPr>
          <w:p w:rsidR="006B3EA9" w:rsidRDefault="006B3EA9" w:rsidP="0015484D">
            <w:pPr>
              <w:jc w:val="center"/>
              <w:rPr>
                <w:color w:val="000000"/>
                <w:sz w:val="20"/>
              </w:rPr>
            </w:pPr>
            <w:r>
              <w:rPr>
                <w:color w:val="000000"/>
                <w:sz w:val="20"/>
              </w:rPr>
              <w:t>5,440</w:t>
            </w:r>
          </w:p>
        </w:tc>
      </w:tr>
      <w:tr w:rsidR="006B3EA9" w:rsidTr="0015484D">
        <w:trPr>
          <w:trHeight w:val="615"/>
        </w:trPr>
        <w:tc>
          <w:tcPr>
            <w:tcW w:w="0" w:type="auto"/>
            <w:shd w:val="clear" w:color="auto" w:fill="FFFFFF"/>
            <w:vAlign w:val="center"/>
            <w:hideMark/>
          </w:tcPr>
          <w:p w:rsidR="006B3EA9" w:rsidRDefault="006B3EA9" w:rsidP="0015484D">
            <w:pPr>
              <w:rPr>
                <w:b/>
                <w:bCs/>
                <w:color w:val="000000"/>
                <w:sz w:val="20"/>
              </w:rPr>
            </w:pPr>
            <w:r>
              <w:rPr>
                <w:b/>
                <w:bCs/>
                <w:color w:val="000000"/>
                <w:sz w:val="20"/>
              </w:rPr>
              <w:lastRenderedPageBreak/>
              <w:t>Targeted Capacity Expansion Program for Substance Abuse Treatment and HIV/AIDS Services (TCE-HIV)</w:t>
            </w:r>
          </w:p>
        </w:tc>
        <w:tc>
          <w:tcPr>
            <w:tcW w:w="0" w:type="auto"/>
            <w:shd w:val="clear" w:color="auto" w:fill="FFFFFF"/>
            <w:vAlign w:val="center"/>
            <w:hideMark/>
          </w:tcPr>
          <w:p w:rsidR="006B3EA9" w:rsidRDefault="006B3EA9" w:rsidP="0015484D">
            <w:pPr>
              <w:jc w:val="center"/>
              <w:rPr>
                <w:color w:val="000000"/>
                <w:sz w:val="20"/>
              </w:rPr>
            </w:pPr>
            <w:r>
              <w:rPr>
                <w:color w:val="000000"/>
                <w:sz w:val="20"/>
              </w:rPr>
              <w:t>6,106</w:t>
            </w:r>
          </w:p>
        </w:tc>
      </w:tr>
      <w:tr w:rsidR="006B3EA9" w:rsidTr="0015484D">
        <w:trPr>
          <w:trHeight w:val="345"/>
        </w:trPr>
        <w:tc>
          <w:tcPr>
            <w:tcW w:w="0" w:type="auto"/>
            <w:shd w:val="clear" w:color="auto" w:fill="FFFFFF"/>
            <w:vAlign w:val="center"/>
            <w:hideMark/>
          </w:tcPr>
          <w:p w:rsidR="006B3EA9" w:rsidRDefault="006B3EA9" w:rsidP="0015484D">
            <w:pPr>
              <w:rPr>
                <w:b/>
                <w:bCs/>
                <w:color w:val="000000"/>
                <w:sz w:val="20"/>
              </w:rPr>
            </w:pPr>
            <w:r>
              <w:rPr>
                <w:b/>
                <w:bCs/>
                <w:color w:val="000000"/>
                <w:sz w:val="20"/>
              </w:rPr>
              <w:t>Addictions Treatment for Homeless (AT – HM)</w:t>
            </w:r>
          </w:p>
        </w:tc>
        <w:tc>
          <w:tcPr>
            <w:tcW w:w="0" w:type="auto"/>
            <w:shd w:val="clear" w:color="auto" w:fill="FFFFFF"/>
            <w:vAlign w:val="center"/>
            <w:hideMark/>
          </w:tcPr>
          <w:p w:rsidR="006B3EA9" w:rsidRDefault="006B3EA9" w:rsidP="0015484D">
            <w:pPr>
              <w:jc w:val="center"/>
              <w:rPr>
                <w:color w:val="000000"/>
                <w:sz w:val="20"/>
              </w:rPr>
            </w:pPr>
            <w:r>
              <w:rPr>
                <w:color w:val="000000"/>
                <w:sz w:val="20"/>
              </w:rPr>
              <w:t>13,295</w:t>
            </w:r>
          </w:p>
        </w:tc>
      </w:tr>
      <w:tr w:rsidR="006B3EA9" w:rsidTr="0015484D">
        <w:trPr>
          <w:trHeight w:val="435"/>
        </w:trPr>
        <w:tc>
          <w:tcPr>
            <w:tcW w:w="0" w:type="auto"/>
            <w:shd w:val="clear" w:color="auto" w:fill="FFFFFF"/>
            <w:vAlign w:val="center"/>
            <w:hideMark/>
          </w:tcPr>
          <w:p w:rsidR="006B3EA9" w:rsidRDefault="006B3EA9" w:rsidP="0015484D">
            <w:pPr>
              <w:rPr>
                <w:b/>
                <w:bCs/>
                <w:color w:val="000000"/>
                <w:sz w:val="20"/>
              </w:rPr>
            </w:pPr>
            <w:r>
              <w:rPr>
                <w:b/>
                <w:bCs/>
                <w:color w:val="000000"/>
                <w:sz w:val="20"/>
              </w:rPr>
              <w:t>Cooperative Agreements to Benefit Homeless Individuals (CABHI)</w:t>
            </w:r>
          </w:p>
        </w:tc>
        <w:tc>
          <w:tcPr>
            <w:tcW w:w="0" w:type="auto"/>
            <w:shd w:val="clear" w:color="auto" w:fill="FFFFFF"/>
            <w:vAlign w:val="center"/>
            <w:hideMark/>
          </w:tcPr>
          <w:p w:rsidR="006B3EA9" w:rsidRDefault="006B3EA9" w:rsidP="0015484D">
            <w:pPr>
              <w:jc w:val="center"/>
              <w:rPr>
                <w:color w:val="000000"/>
                <w:sz w:val="20"/>
              </w:rPr>
            </w:pPr>
            <w:r>
              <w:rPr>
                <w:color w:val="000000"/>
                <w:sz w:val="20"/>
              </w:rPr>
              <w:t>3,378</w:t>
            </w:r>
          </w:p>
        </w:tc>
      </w:tr>
      <w:tr w:rsidR="006B3EA9" w:rsidTr="0015484D">
        <w:trPr>
          <w:trHeight w:val="345"/>
        </w:trPr>
        <w:tc>
          <w:tcPr>
            <w:tcW w:w="0" w:type="auto"/>
            <w:shd w:val="clear" w:color="auto" w:fill="FFFFFF"/>
            <w:vAlign w:val="center"/>
            <w:hideMark/>
          </w:tcPr>
          <w:p w:rsidR="006B3EA9" w:rsidRDefault="006B3EA9" w:rsidP="0015484D">
            <w:pPr>
              <w:rPr>
                <w:b/>
                <w:bCs/>
                <w:color w:val="000000"/>
                <w:sz w:val="20"/>
              </w:rPr>
            </w:pPr>
            <w:r>
              <w:rPr>
                <w:b/>
                <w:bCs/>
                <w:color w:val="000000"/>
                <w:sz w:val="20"/>
              </w:rPr>
              <w:t>Cooperative Agreements to Benefit Homeless Individuals – States (CABHI-States)</w:t>
            </w:r>
          </w:p>
        </w:tc>
        <w:tc>
          <w:tcPr>
            <w:tcW w:w="0" w:type="auto"/>
            <w:shd w:val="clear" w:color="auto" w:fill="FFFFFF"/>
            <w:vAlign w:val="center"/>
            <w:hideMark/>
          </w:tcPr>
          <w:p w:rsidR="006B3EA9" w:rsidRDefault="006B3EA9" w:rsidP="0015484D">
            <w:pPr>
              <w:jc w:val="center"/>
              <w:rPr>
                <w:color w:val="000000"/>
                <w:sz w:val="20"/>
              </w:rPr>
            </w:pPr>
            <w:r>
              <w:rPr>
                <w:color w:val="000000"/>
                <w:sz w:val="20"/>
              </w:rPr>
              <w:t>177</w:t>
            </w:r>
          </w:p>
        </w:tc>
      </w:tr>
      <w:tr w:rsidR="006B3EA9" w:rsidTr="0015484D">
        <w:trPr>
          <w:trHeight w:val="345"/>
        </w:trPr>
        <w:tc>
          <w:tcPr>
            <w:tcW w:w="0" w:type="auto"/>
            <w:shd w:val="clear" w:color="auto" w:fill="FFFFFF"/>
            <w:vAlign w:val="center"/>
            <w:hideMark/>
          </w:tcPr>
          <w:p w:rsidR="006B3EA9" w:rsidRDefault="006B3EA9" w:rsidP="0015484D">
            <w:pPr>
              <w:rPr>
                <w:b/>
                <w:bCs/>
                <w:color w:val="000000"/>
                <w:sz w:val="20"/>
              </w:rPr>
            </w:pPr>
            <w:r>
              <w:rPr>
                <w:b/>
                <w:bCs/>
                <w:color w:val="000000"/>
                <w:sz w:val="20"/>
              </w:rPr>
              <w:t>Recovery-Oriented Systems of Care (ROSC)</w:t>
            </w:r>
          </w:p>
        </w:tc>
        <w:tc>
          <w:tcPr>
            <w:tcW w:w="0" w:type="auto"/>
            <w:shd w:val="clear" w:color="auto" w:fill="FFFFFF"/>
            <w:vAlign w:val="center"/>
            <w:hideMark/>
          </w:tcPr>
          <w:p w:rsidR="006B3EA9" w:rsidRDefault="006B3EA9" w:rsidP="0015484D">
            <w:pPr>
              <w:jc w:val="center"/>
              <w:rPr>
                <w:color w:val="000000"/>
                <w:sz w:val="20"/>
              </w:rPr>
            </w:pPr>
            <w:r>
              <w:rPr>
                <w:color w:val="000000"/>
                <w:sz w:val="20"/>
              </w:rPr>
              <w:t>1,058</w:t>
            </w:r>
          </w:p>
        </w:tc>
      </w:tr>
      <w:tr w:rsidR="006B3EA9" w:rsidTr="0015484D">
        <w:trPr>
          <w:trHeight w:val="345"/>
        </w:trPr>
        <w:tc>
          <w:tcPr>
            <w:tcW w:w="0" w:type="auto"/>
            <w:shd w:val="clear" w:color="auto" w:fill="FFFFFF"/>
            <w:vAlign w:val="center"/>
            <w:hideMark/>
          </w:tcPr>
          <w:p w:rsidR="006B3EA9" w:rsidRDefault="006B3EA9" w:rsidP="0015484D">
            <w:pPr>
              <w:rPr>
                <w:b/>
                <w:bCs/>
                <w:color w:val="000000"/>
                <w:sz w:val="20"/>
              </w:rPr>
            </w:pPr>
            <w:r>
              <w:rPr>
                <w:b/>
                <w:bCs/>
                <w:color w:val="000000"/>
                <w:sz w:val="20"/>
              </w:rPr>
              <w:t>Targeted Capacity Expansion - Peer to Peer (TCE-PTP)</w:t>
            </w:r>
          </w:p>
        </w:tc>
        <w:tc>
          <w:tcPr>
            <w:tcW w:w="0" w:type="auto"/>
            <w:shd w:val="clear" w:color="auto" w:fill="FFFFFF"/>
            <w:vAlign w:val="center"/>
            <w:hideMark/>
          </w:tcPr>
          <w:p w:rsidR="006B3EA9" w:rsidRDefault="006B3EA9" w:rsidP="0015484D">
            <w:pPr>
              <w:jc w:val="center"/>
              <w:rPr>
                <w:color w:val="000000"/>
                <w:sz w:val="20"/>
              </w:rPr>
            </w:pPr>
            <w:r>
              <w:rPr>
                <w:color w:val="000000"/>
                <w:sz w:val="20"/>
              </w:rPr>
              <w:t>1,034</w:t>
            </w:r>
          </w:p>
        </w:tc>
      </w:tr>
      <w:tr w:rsidR="006B3EA9" w:rsidTr="0015484D">
        <w:trPr>
          <w:trHeight w:val="345"/>
        </w:trPr>
        <w:tc>
          <w:tcPr>
            <w:tcW w:w="0" w:type="auto"/>
            <w:shd w:val="clear" w:color="auto" w:fill="FFFFFF"/>
            <w:vAlign w:val="center"/>
            <w:hideMark/>
          </w:tcPr>
          <w:p w:rsidR="006B3EA9" w:rsidRDefault="006B3EA9" w:rsidP="0015484D">
            <w:pPr>
              <w:rPr>
                <w:b/>
                <w:bCs/>
                <w:color w:val="000000"/>
                <w:sz w:val="20"/>
              </w:rPr>
            </w:pPr>
            <w:r>
              <w:rPr>
                <w:b/>
                <w:bCs/>
                <w:color w:val="000000"/>
                <w:sz w:val="20"/>
              </w:rPr>
              <w:t>Pregnant and Postpartum Women (PPW)</w:t>
            </w:r>
          </w:p>
        </w:tc>
        <w:tc>
          <w:tcPr>
            <w:tcW w:w="0" w:type="auto"/>
            <w:shd w:val="clear" w:color="auto" w:fill="FFFFFF"/>
            <w:vAlign w:val="center"/>
            <w:hideMark/>
          </w:tcPr>
          <w:p w:rsidR="006B3EA9" w:rsidRDefault="006B3EA9" w:rsidP="0015484D">
            <w:pPr>
              <w:jc w:val="center"/>
              <w:rPr>
                <w:color w:val="000000"/>
                <w:sz w:val="20"/>
              </w:rPr>
            </w:pPr>
            <w:r>
              <w:rPr>
                <w:color w:val="000000"/>
                <w:sz w:val="20"/>
              </w:rPr>
              <w:t>2,149</w:t>
            </w:r>
          </w:p>
        </w:tc>
      </w:tr>
      <w:tr w:rsidR="006B3EA9" w:rsidTr="0015484D">
        <w:trPr>
          <w:trHeight w:val="390"/>
        </w:trPr>
        <w:tc>
          <w:tcPr>
            <w:tcW w:w="0" w:type="auto"/>
            <w:shd w:val="clear" w:color="auto" w:fill="FFFFFF"/>
            <w:vAlign w:val="center"/>
            <w:hideMark/>
          </w:tcPr>
          <w:p w:rsidR="006B3EA9" w:rsidRDefault="006B3EA9" w:rsidP="0015484D">
            <w:pPr>
              <w:rPr>
                <w:b/>
                <w:bCs/>
                <w:color w:val="000000"/>
                <w:sz w:val="20"/>
              </w:rPr>
            </w:pPr>
            <w:r>
              <w:rPr>
                <w:b/>
                <w:bCs/>
                <w:color w:val="000000"/>
                <w:sz w:val="20"/>
              </w:rPr>
              <w:t>Screening Brief Intervention Referral and Treatment* (SBIRT)</w:t>
            </w:r>
          </w:p>
        </w:tc>
        <w:tc>
          <w:tcPr>
            <w:tcW w:w="0" w:type="auto"/>
            <w:shd w:val="clear" w:color="auto" w:fill="FFFFFF"/>
            <w:vAlign w:val="center"/>
            <w:hideMark/>
          </w:tcPr>
          <w:p w:rsidR="006B3EA9" w:rsidRDefault="006B3EA9" w:rsidP="0015484D">
            <w:pPr>
              <w:jc w:val="center"/>
              <w:rPr>
                <w:color w:val="000000"/>
                <w:sz w:val="20"/>
              </w:rPr>
            </w:pPr>
            <w:r w:rsidRPr="00490BF2">
              <w:rPr>
                <w:sz w:val="20"/>
              </w:rPr>
              <w:t>742,740</w:t>
            </w:r>
          </w:p>
        </w:tc>
      </w:tr>
      <w:tr w:rsidR="006B3EA9" w:rsidTr="0015484D">
        <w:trPr>
          <w:trHeight w:val="345"/>
        </w:trPr>
        <w:tc>
          <w:tcPr>
            <w:tcW w:w="0" w:type="auto"/>
            <w:shd w:val="clear" w:color="auto" w:fill="FFFFFF"/>
            <w:vAlign w:val="center"/>
            <w:hideMark/>
          </w:tcPr>
          <w:p w:rsidR="006B3EA9" w:rsidRDefault="006B3EA9" w:rsidP="0015484D">
            <w:pPr>
              <w:rPr>
                <w:b/>
                <w:bCs/>
                <w:color w:val="000000"/>
                <w:sz w:val="20"/>
              </w:rPr>
            </w:pPr>
            <w:r>
              <w:rPr>
                <w:b/>
                <w:bCs/>
                <w:color w:val="000000"/>
                <w:sz w:val="20"/>
              </w:rPr>
              <w:t>Targeted Capacity Expansion - Health Information  Technology (TCE-HIT)</w:t>
            </w:r>
          </w:p>
        </w:tc>
        <w:tc>
          <w:tcPr>
            <w:tcW w:w="0" w:type="auto"/>
            <w:shd w:val="clear" w:color="auto" w:fill="FFFFFF"/>
            <w:vAlign w:val="center"/>
            <w:hideMark/>
          </w:tcPr>
          <w:p w:rsidR="006B3EA9" w:rsidRDefault="006B3EA9" w:rsidP="0015484D">
            <w:pPr>
              <w:jc w:val="center"/>
              <w:rPr>
                <w:color w:val="000000"/>
                <w:sz w:val="20"/>
              </w:rPr>
            </w:pPr>
            <w:r>
              <w:rPr>
                <w:color w:val="000000"/>
                <w:sz w:val="20"/>
              </w:rPr>
              <w:t>6,619</w:t>
            </w:r>
          </w:p>
        </w:tc>
      </w:tr>
      <w:tr w:rsidR="006B3EA9" w:rsidTr="0015484D">
        <w:trPr>
          <w:trHeight w:val="345"/>
        </w:trPr>
        <w:tc>
          <w:tcPr>
            <w:tcW w:w="0" w:type="auto"/>
            <w:shd w:val="clear" w:color="auto" w:fill="FFFFFF"/>
            <w:vAlign w:val="center"/>
            <w:hideMark/>
          </w:tcPr>
          <w:p w:rsidR="006B3EA9" w:rsidRDefault="006B3EA9" w:rsidP="0015484D">
            <w:pPr>
              <w:rPr>
                <w:b/>
                <w:bCs/>
                <w:color w:val="000000"/>
                <w:sz w:val="20"/>
              </w:rPr>
            </w:pPr>
            <w:r>
              <w:rPr>
                <w:b/>
                <w:bCs/>
                <w:color w:val="000000"/>
                <w:sz w:val="20"/>
              </w:rPr>
              <w:t>Targeted Capacity Expansion Technology Assisted Care (TCE-TAC)</w:t>
            </w:r>
          </w:p>
        </w:tc>
        <w:tc>
          <w:tcPr>
            <w:tcW w:w="0" w:type="auto"/>
            <w:shd w:val="clear" w:color="auto" w:fill="FFFFFF"/>
            <w:vAlign w:val="center"/>
            <w:hideMark/>
          </w:tcPr>
          <w:p w:rsidR="006B3EA9" w:rsidRDefault="006B3EA9" w:rsidP="0015484D">
            <w:pPr>
              <w:jc w:val="center"/>
              <w:rPr>
                <w:color w:val="000000"/>
                <w:sz w:val="20"/>
              </w:rPr>
            </w:pPr>
            <w:r>
              <w:rPr>
                <w:color w:val="000000"/>
                <w:sz w:val="20"/>
              </w:rPr>
              <w:t>432</w:t>
            </w:r>
          </w:p>
        </w:tc>
      </w:tr>
      <w:tr w:rsidR="006B3EA9" w:rsidTr="0015484D">
        <w:trPr>
          <w:trHeight w:val="390"/>
        </w:trPr>
        <w:tc>
          <w:tcPr>
            <w:tcW w:w="0" w:type="auto"/>
            <w:shd w:val="clear" w:color="auto" w:fill="FFFFFF"/>
            <w:vAlign w:val="center"/>
            <w:hideMark/>
          </w:tcPr>
          <w:p w:rsidR="006B3EA9" w:rsidRDefault="006B3EA9" w:rsidP="0015484D">
            <w:pPr>
              <w:rPr>
                <w:b/>
                <w:bCs/>
                <w:color w:val="000000"/>
                <w:sz w:val="20"/>
              </w:rPr>
            </w:pPr>
            <w:r>
              <w:rPr>
                <w:b/>
                <w:bCs/>
                <w:color w:val="000000"/>
                <w:sz w:val="20"/>
              </w:rPr>
              <w:t>Addiction Technology Transfer Centers (ATTC)</w:t>
            </w:r>
          </w:p>
        </w:tc>
        <w:tc>
          <w:tcPr>
            <w:tcW w:w="0" w:type="auto"/>
            <w:shd w:val="clear" w:color="auto" w:fill="FFFFFF"/>
            <w:vAlign w:val="center"/>
            <w:hideMark/>
          </w:tcPr>
          <w:p w:rsidR="006B3EA9" w:rsidRDefault="006B3EA9" w:rsidP="0015484D">
            <w:pPr>
              <w:jc w:val="center"/>
              <w:rPr>
                <w:color w:val="000000"/>
                <w:sz w:val="20"/>
              </w:rPr>
            </w:pPr>
            <w:r>
              <w:rPr>
                <w:color w:val="000000"/>
                <w:sz w:val="20"/>
              </w:rPr>
              <w:t>40,845</w:t>
            </w:r>
          </w:p>
        </w:tc>
      </w:tr>
      <w:tr w:rsidR="006B3EA9" w:rsidTr="0015484D">
        <w:trPr>
          <w:trHeight w:val="390"/>
        </w:trPr>
        <w:tc>
          <w:tcPr>
            <w:tcW w:w="0" w:type="auto"/>
            <w:shd w:val="clear" w:color="auto" w:fill="FFFFFF"/>
            <w:vAlign w:val="center"/>
            <w:hideMark/>
          </w:tcPr>
          <w:p w:rsidR="006B3EA9" w:rsidRDefault="006B3EA9" w:rsidP="0015484D">
            <w:pPr>
              <w:rPr>
                <w:b/>
                <w:bCs/>
                <w:color w:val="000000"/>
                <w:sz w:val="20"/>
              </w:rPr>
            </w:pPr>
            <w:r>
              <w:rPr>
                <w:b/>
                <w:bCs/>
                <w:color w:val="000000"/>
                <w:sz w:val="20"/>
              </w:rPr>
              <w:t>International Addiction Technology Transfer Centers (I-ATTC)</w:t>
            </w:r>
          </w:p>
        </w:tc>
        <w:tc>
          <w:tcPr>
            <w:tcW w:w="0" w:type="auto"/>
            <w:shd w:val="clear" w:color="auto" w:fill="FFFFFF"/>
            <w:vAlign w:val="center"/>
            <w:hideMark/>
          </w:tcPr>
          <w:p w:rsidR="006B3EA9" w:rsidRDefault="006B3EA9" w:rsidP="0015484D">
            <w:pPr>
              <w:jc w:val="center"/>
              <w:rPr>
                <w:color w:val="000000"/>
                <w:sz w:val="20"/>
              </w:rPr>
            </w:pPr>
            <w:r>
              <w:rPr>
                <w:color w:val="000000"/>
                <w:sz w:val="20"/>
              </w:rPr>
              <w:t>2,236</w:t>
            </w:r>
          </w:p>
        </w:tc>
      </w:tr>
      <w:tr w:rsidR="006B3EA9" w:rsidTr="0015484D">
        <w:trPr>
          <w:trHeight w:val="345"/>
        </w:trPr>
        <w:tc>
          <w:tcPr>
            <w:tcW w:w="0" w:type="auto"/>
            <w:shd w:val="clear" w:color="auto" w:fill="FFFFFF"/>
            <w:vAlign w:val="center"/>
            <w:hideMark/>
          </w:tcPr>
          <w:p w:rsidR="006B3EA9" w:rsidRDefault="006B3EA9" w:rsidP="0015484D">
            <w:pPr>
              <w:rPr>
                <w:b/>
                <w:bCs/>
                <w:color w:val="000000"/>
                <w:sz w:val="20"/>
              </w:rPr>
            </w:pPr>
            <w:r>
              <w:rPr>
                <w:b/>
                <w:bCs/>
                <w:color w:val="000000"/>
                <w:sz w:val="20"/>
              </w:rPr>
              <w:t xml:space="preserve">State Adolescent Treatment Enhancement and Dissemination (SAT-ED)    </w:t>
            </w:r>
          </w:p>
        </w:tc>
        <w:tc>
          <w:tcPr>
            <w:tcW w:w="0" w:type="auto"/>
            <w:shd w:val="clear" w:color="auto" w:fill="FFFFFF"/>
            <w:vAlign w:val="center"/>
            <w:hideMark/>
          </w:tcPr>
          <w:p w:rsidR="006B3EA9" w:rsidRDefault="006B3EA9" w:rsidP="0015484D">
            <w:pPr>
              <w:jc w:val="center"/>
              <w:rPr>
                <w:color w:val="000000"/>
                <w:sz w:val="20"/>
              </w:rPr>
            </w:pPr>
            <w:r>
              <w:rPr>
                <w:color w:val="000000"/>
                <w:sz w:val="20"/>
              </w:rPr>
              <w:t>1,156</w:t>
            </w:r>
          </w:p>
        </w:tc>
      </w:tr>
      <w:tr w:rsidR="006B3EA9" w:rsidTr="0015484D">
        <w:trPr>
          <w:trHeight w:val="525"/>
        </w:trPr>
        <w:tc>
          <w:tcPr>
            <w:tcW w:w="0" w:type="auto"/>
            <w:shd w:val="clear" w:color="auto" w:fill="FFFFFF"/>
            <w:vAlign w:val="center"/>
          </w:tcPr>
          <w:p w:rsidR="006B3EA9" w:rsidRPr="00483915" w:rsidRDefault="006B3EA9" w:rsidP="0015484D">
            <w:pPr>
              <w:rPr>
                <w:b/>
                <w:bCs/>
                <w:color w:val="000000"/>
                <w:sz w:val="20"/>
              </w:rPr>
            </w:pPr>
            <w:r w:rsidRPr="00483915">
              <w:rPr>
                <w:b/>
                <w:sz w:val="20"/>
              </w:rPr>
              <w:t>Grants to Expand Substance Abuse Treatment Capacity In Adult Tribal Healing to Wellness Courts and Juvenile Drug Courts</w:t>
            </w:r>
          </w:p>
        </w:tc>
        <w:tc>
          <w:tcPr>
            <w:tcW w:w="0" w:type="auto"/>
            <w:shd w:val="clear" w:color="auto" w:fill="FFFFFF"/>
            <w:vAlign w:val="center"/>
          </w:tcPr>
          <w:p w:rsidR="006B3EA9" w:rsidRPr="00483915" w:rsidRDefault="006B3EA9" w:rsidP="0015484D">
            <w:pPr>
              <w:jc w:val="center"/>
              <w:rPr>
                <w:color w:val="000000"/>
                <w:sz w:val="20"/>
              </w:rPr>
            </w:pPr>
            <w:r>
              <w:rPr>
                <w:color w:val="000000"/>
                <w:sz w:val="20"/>
              </w:rPr>
              <w:t>300</w:t>
            </w:r>
          </w:p>
        </w:tc>
      </w:tr>
      <w:tr w:rsidR="006B3EA9" w:rsidTr="0015484D">
        <w:trPr>
          <w:trHeight w:val="345"/>
        </w:trPr>
        <w:tc>
          <w:tcPr>
            <w:tcW w:w="0" w:type="auto"/>
            <w:shd w:val="clear" w:color="auto" w:fill="FFFFFF"/>
            <w:vAlign w:val="center"/>
          </w:tcPr>
          <w:p w:rsidR="006B3EA9" w:rsidRPr="00483915" w:rsidRDefault="006B3EA9" w:rsidP="0015484D">
            <w:pPr>
              <w:rPr>
                <w:sz w:val="20"/>
              </w:rPr>
            </w:pPr>
            <w:r w:rsidRPr="00483915">
              <w:rPr>
                <w:b/>
                <w:bCs/>
                <w:sz w:val="20"/>
              </w:rPr>
              <w:t>Grants for the Benefit of Homeless Individuals-Services in Supportive Housing (GBHI)</w:t>
            </w:r>
          </w:p>
        </w:tc>
        <w:tc>
          <w:tcPr>
            <w:tcW w:w="0" w:type="auto"/>
            <w:shd w:val="clear" w:color="auto" w:fill="FFFFFF"/>
            <w:vAlign w:val="center"/>
          </w:tcPr>
          <w:p w:rsidR="006B3EA9" w:rsidRPr="00483915" w:rsidRDefault="006B3EA9" w:rsidP="0015484D">
            <w:pPr>
              <w:jc w:val="center"/>
              <w:rPr>
                <w:color w:val="000000"/>
                <w:sz w:val="20"/>
              </w:rPr>
            </w:pPr>
            <w:r>
              <w:rPr>
                <w:color w:val="000000"/>
                <w:sz w:val="20"/>
              </w:rPr>
              <w:t>2,450</w:t>
            </w:r>
          </w:p>
        </w:tc>
      </w:tr>
      <w:tr w:rsidR="006B3EA9" w:rsidTr="0015484D">
        <w:trPr>
          <w:trHeight w:val="525"/>
        </w:trPr>
        <w:tc>
          <w:tcPr>
            <w:tcW w:w="0" w:type="auto"/>
            <w:tcBorders>
              <w:bottom w:val="single" w:sz="6" w:space="0" w:color="auto"/>
            </w:tcBorders>
            <w:shd w:val="clear" w:color="auto" w:fill="FFFFFF"/>
            <w:vAlign w:val="center"/>
            <w:hideMark/>
          </w:tcPr>
          <w:p w:rsidR="006B3EA9" w:rsidRPr="008B4AAE" w:rsidRDefault="006B3EA9" w:rsidP="0015484D">
            <w:pPr>
              <w:rPr>
                <w:b/>
                <w:bCs/>
                <w:color w:val="000000"/>
                <w:szCs w:val="24"/>
              </w:rPr>
            </w:pPr>
            <w:r w:rsidRPr="008B4AAE">
              <w:rPr>
                <w:b/>
                <w:bCs/>
                <w:color w:val="000000"/>
                <w:szCs w:val="24"/>
              </w:rPr>
              <w:t>Total Services -- Client Level Instruments</w:t>
            </w:r>
          </w:p>
        </w:tc>
        <w:tc>
          <w:tcPr>
            <w:tcW w:w="0" w:type="auto"/>
            <w:tcBorders>
              <w:bottom w:val="single" w:sz="6" w:space="0" w:color="auto"/>
            </w:tcBorders>
            <w:shd w:val="clear" w:color="auto" w:fill="FFFFFF"/>
            <w:vAlign w:val="center"/>
            <w:hideMark/>
          </w:tcPr>
          <w:p w:rsidR="006B3EA9" w:rsidRPr="008B4AAE" w:rsidRDefault="006B3EA9" w:rsidP="0015484D">
            <w:pPr>
              <w:jc w:val="center"/>
              <w:rPr>
                <w:color w:val="000000"/>
                <w:szCs w:val="24"/>
              </w:rPr>
            </w:pPr>
            <w:r w:rsidRPr="008B4AAE">
              <w:rPr>
                <w:b/>
                <w:color w:val="000000"/>
                <w:szCs w:val="24"/>
              </w:rPr>
              <w:t>942,935</w:t>
            </w:r>
          </w:p>
        </w:tc>
      </w:tr>
      <w:tr w:rsidR="006B3EA9" w:rsidTr="0015484D">
        <w:trPr>
          <w:trHeight w:val="660"/>
        </w:trPr>
        <w:tc>
          <w:tcPr>
            <w:tcW w:w="0" w:type="auto"/>
            <w:gridSpan w:val="2"/>
            <w:tcBorders>
              <w:top w:val="single" w:sz="6" w:space="0" w:color="auto"/>
              <w:bottom w:val="single" w:sz="6" w:space="0" w:color="auto"/>
            </w:tcBorders>
            <w:shd w:val="clear" w:color="auto" w:fill="D9D9D9" w:themeFill="background1" w:themeFillShade="D9"/>
            <w:vAlign w:val="center"/>
            <w:hideMark/>
          </w:tcPr>
          <w:p w:rsidR="006B3EA9" w:rsidRDefault="006B3EA9" w:rsidP="0015484D">
            <w:pPr>
              <w:jc w:val="center"/>
              <w:rPr>
                <w:color w:val="000000"/>
                <w:sz w:val="20"/>
              </w:rPr>
            </w:pPr>
            <w:r>
              <w:rPr>
                <w:b/>
                <w:bCs/>
                <w:color w:val="000000"/>
                <w:szCs w:val="24"/>
              </w:rPr>
              <w:t xml:space="preserve">CMHS </w:t>
            </w:r>
            <w:r w:rsidRPr="00AB6784">
              <w:rPr>
                <w:b/>
                <w:bCs/>
                <w:color w:val="000000"/>
                <w:szCs w:val="24"/>
              </w:rPr>
              <w:t>Infrastructure, Prevention, and Mental Health Promotion (IPP) Form</w:t>
            </w:r>
          </w:p>
        </w:tc>
      </w:tr>
      <w:tr w:rsidR="006B3EA9" w:rsidTr="0015484D">
        <w:trPr>
          <w:trHeight w:val="372"/>
        </w:trPr>
        <w:tc>
          <w:tcPr>
            <w:tcW w:w="0" w:type="auto"/>
            <w:tcBorders>
              <w:top w:val="single" w:sz="6" w:space="0" w:color="auto"/>
            </w:tcBorders>
            <w:shd w:val="clear" w:color="auto" w:fill="FFFFFF"/>
            <w:vAlign w:val="center"/>
          </w:tcPr>
          <w:p w:rsidR="006B3EA9" w:rsidRPr="00483915" w:rsidRDefault="006B3EA9" w:rsidP="0015484D">
            <w:pPr>
              <w:rPr>
                <w:b/>
                <w:bCs/>
                <w:color w:val="000000"/>
                <w:sz w:val="20"/>
              </w:rPr>
            </w:pPr>
            <w:r w:rsidRPr="00483915">
              <w:rPr>
                <w:b/>
                <w:bCs/>
                <w:color w:val="000000"/>
                <w:sz w:val="20"/>
              </w:rPr>
              <w:t>Project AWARE</w:t>
            </w:r>
          </w:p>
        </w:tc>
        <w:tc>
          <w:tcPr>
            <w:tcW w:w="0" w:type="auto"/>
            <w:tcBorders>
              <w:top w:val="single" w:sz="6" w:space="0" w:color="auto"/>
            </w:tcBorders>
            <w:vAlign w:val="center"/>
          </w:tcPr>
          <w:p w:rsidR="006B3EA9" w:rsidRPr="00483915" w:rsidRDefault="006B3EA9" w:rsidP="0015484D">
            <w:pPr>
              <w:jc w:val="center"/>
              <w:rPr>
                <w:color w:val="000000"/>
                <w:sz w:val="20"/>
              </w:rPr>
            </w:pPr>
            <w:r w:rsidRPr="00483915">
              <w:rPr>
                <w:color w:val="000000"/>
                <w:sz w:val="20"/>
              </w:rPr>
              <w:t>120</w:t>
            </w:r>
          </w:p>
        </w:tc>
      </w:tr>
      <w:tr w:rsidR="006B3EA9" w:rsidTr="0015484D">
        <w:trPr>
          <w:trHeight w:val="372"/>
        </w:trPr>
        <w:tc>
          <w:tcPr>
            <w:tcW w:w="0" w:type="auto"/>
            <w:shd w:val="clear" w:color="auto" w:fill="FFFFFF"/>
            <w:vAlign w:val="center"/>
            <w:hideMark/>
          </w:tcPr>
          <w:p w:rsidR="006B3EA9" w:rsidRDefault="006B3EA9" w:rsidP="0015484D">
            <w:pPr>
              <w:rPr>
                <w:b/>
                <w:bCs/>
                <w:color w:val="000000"/>
                <w:sz w:val="20"/>
              </w:rPr>
            </w:pPr>
            <w:r w:rsidRPr="006D1592">
              <w:rPr>
                <w:b/>
                <w:bCs/>
                <w:color w:val="000000"/>
                <w:sz w:val="20"/>
              </w:rPr>
              <w:t xml:space="preserve">Circles of Care </w:t>
            </w:r>
          </w:p>
        </w:tc>
        <w:tc>
          <w:tcPr>
            <w:tcW w:w="0" w:type="auto"/>
            <w:vAlign w:val="center"/>
            <w:hideMark/>
          </w:tcPr>
          <w:p w:rsidR="006B3EA9" w:rsidRDefault="006B3EA9" w:rsidP="0015484D">
            <w:pPr>
              <w:jc w:val="center"/>
              <w:rPr>
                <w:color w:val="000000"/>
                <w:sz w:val="20"/>
              </w:rPr>
            </w:pPr>
            <w:r w:rsidRPr="00156617">
              <w:rPr>
                <w:color w:val="000000"/>
                <w:sz w:val="20"/>
              </w:rPr>
              <w:t>11</w:t>
            </w:r>
          </w:p>
        </w:tc>
      </w:tr>
      <w:tr w:rsidR="006B3EA9" w:rsidTr="0015484D">
        <w:trPr>
          <w:trHeight w:val="543"/>
        </w:trPr>
        <w:tc>
          <w:tcPr>
            <w:tcW w:w="0" w:type="auto"/>
            <w:shd w:val="clear" w:color="auto" w:fill="FFFFFF"/>
            <w:vAlign w:val="center"/>
            <w:hideMark/>
          </w:tcPr>
          <w:p w:rsidR="006B3EA9" w:rsidRPr="000D6D60" w:rsidRDefault="006B3EA9" w:rsidP="0015484D">
            <w:pPr>
              <w:rPr>
                <w:b/>
                <w:bCs/>
                <w:color w:val="000000"/>
                <w:sz w:val="20"/>
              </w:rPr>
            </w:pPr>
            <w:r w:rsidRPr="006D1592">
              <w:rPr>
                <w:b/>
                <w:bCs/>
                <w:color w:val="000000"/>
                <w:sz w:val="20"/>
              </w:rPr>
              <w:t>Comprehensive Community Mental Health Services for Children and their Families Program</w:t>
            </w:r>
            <w:r>
              <w:rPr>
                <w:b/>
                <w:bCs/>
                <w:color w:val="000000"/>
                <w:sz w:val="20"/>
              </w:rPr>
              <w:t xml:space="preserve"> (CMHI)</w:t>
            </w:r>
          </w:p>
        </w:tc>
        <w:tc>
          <w:tcPr>
            <w:tcW w:w="0" w:type="auto"/>
            <w:vAlign w:val="center"/>
            <w:hideMark/>
          </w:tcPr>
          <w:p w:rsidR="006B3EA9" w:rsidRPr="000D6D60" w:rsidRDefault="006B3EA9" w:rsidP="0015484D">
            <w:pPr>
              <w:jc w:val="center"/>
              <w:rPr>
                <w:b/>
                <w:color w:val="000000"/>
                <w:sz w:val="20"/>
              </w:rPr>
            </w:pPr>
            <w:r w:rsidRPr="00156617">
              <w:rPr>
                <w:color w:val="000000"/>
                <w:sz w:val="20"/>
              </w:rPr>
              <w:t>69</w:t>
            </w:r>
          </w:p>
        </w:tc>
      </w:tr>
      <w:tr w:rsidR="006B3EA9" w:rsidTr="0015484D">
        <w:trPr>
          <w:trHeight w:val="303"/>
        </w:trPr>
        <w:tc>
          <w:tcPr>
            <w:tcW w:w="0" w:type="auto"/>
            <w:shd w:val="clear" w:color="auto" w:fill="FFFFFF"/>
            <w:vAlign w:val="center"/>
            <w:hideMark/>
          </w:tcPr>
          <w:p w:rsidR="006B3EA9" w:rsidRPr="006D1592" w:rsidRDefault="006B3EA9" w:rsidP="0015484D">
            <w:pPr>
              <w:rPr>
                <w:b/>
                <w:bCs/>
                <w:color w:val="000000"/>
                <w:sz w:val="20"/>
              </w:rPr>
            </w:pPr>
            <w:r w:rsidRPr="006D1592">
              <w:rPr>
                <w:b/>
                <w:bCs/>
                <w:color w:val="000000"/>
                <w:sz w:val="20"/>
              </w:rPr>
              <w:t>Garrett Lee Smith Campus Suicide Prevention Grant Program</w:t>
            </w:r>
          </w:p>
        </w:tc>
        <w:tc>
          <w:tcPr>
            <w:tcW w:w="0" w:type="auto"/>
            <w:vAlign w:val="center"/>
            <w:hideMark/>
          </w:tcPr>
          <w:p w:rsidR="006B3EA9" w:rsidRPr="00156617" w:rsidRDefault="006B3EA9" w:rsidP="0015484D">
            <w:pPr>
              <w:jc w:val="center"/>
              <w:rPr>
                <w:color w:val="000000"/>
                <w:sz w:val="20"/>
              </w:rPr>
            </w:pPr>
            <w:r w:rsidRPr="00156617">
              <w:rPr>
                <w:color w:val="000000"/>
                <w:sz w:val="20"/>
              </w:rPr>
              <w:t>123</w:t>
            </w:r>
          </w:p>
        </w:tc>
      </w:tr>
      <w:tr w:rsidR="006B3EA9" w:rsidTr="0015484D">
        <w:trPr>
          <w:trHeight w:val="303"/>
        </w:trPr>
        <w:tc>
          <w:tcPr>
            <w:tcW w:w="0" w:type="auto"/>
            <w:shd w:val="clear" w:color="auto" w:fill="FFFFFF"/>
            <w:vAlign w:val="center"/>
          </w:tcPr>
          <w:p w:rsidR="006B3EA9" w:rsidRPr="006D1592" w:rsidRDefault="006B3EA9" w:rsidP="0015484D">
            <w:pPr>
              <w:rPr>
                <w:b/>
                <w:bCs/>
                <w:color w:val="000000"/>
                <w:sz w:val="20"/>
              </w:rPr>
            </w:pPr>
            <w:r>
              <w:rPr>
                <w:b/>
                <w:bCs/>
                <w:color w:val="000000"/>
                <w:sz w:val="20"/>
              </w:rPr>
              <w:t>HIV Continuum of Care</w:t>
            </w:r>
          </w:p>
        </w:tc>
        <w:tc>
          <w:tcPr>
            <w:tcW w:w="0" w:type="auto"/>
            <w:vAlign w:val="center"/>
          </w:tcPr>
          <w:p w:rsidR="006B3EA9" w:rsidRPr="00156617" w:rsidRDefault="006B3EA9" w:rsidP="0015484D">
            <w:pPr>
              <w:jc w:val="center"/>
              <w:rPr>
                <w:color w:val="000000"/>
                <w:sz w:val="20"/>
              </w:rPr>
            </w:pPr>
            <w:r>
              <w:rPr>
                <w:color w:val="000000"/>
                <w:sz w:val="20"/>
              </w:rPr>
              <w:t>33</w:t>
            </w:r>
          </w:p>
        </w:tc>
      </w:tr>
      <w:tr w:rsidR="006B3EA9" w:rsidTr="0015484D">
        <w:trPr>
          <w:trHeight w:val="408"/>
        </w:trPr>
        <w:tc>
          <w:tcPr>
            <w:tcW w:w="0" w:type="auto"/>
            <w:shd w:val="clear" w:color="auto" w:fill="FFFFFF"/>
            <w:vAlign w:val="center"/>
            <w:hideMark/>
          </w:tcPr>
          <w:p w:rsidR="006B3EA9" w:rsidRPr="006D1592" w:rsidRDefault="006B3EA9" w:rsidP="0015484D">
            <w:pPr>
              <w:rPr>
                <w:b/>
                <w:bCs/>
                <w:color w:val="000000"/>
                <w:sz w:val="20"/>
              </w:rPr>
            </w:pPr>
            <w:r w:rsidRPr="006D1592">
              <w:rPr>
                <w:b/>
                <w:bCs/>
                <w:color w:val="000000"/>
                <w:sz w:val="20"/>
              </w:rPr>
              <w:t>Garrett Lee Smith State/Tribal Suicide Prevention Grant Program</w:t>
            </w:r>
          </w:p>
        </w:tc>
        <w:tc>
          <w:tcPr>
            <w:tcW w:w="0" w:type="auto"/>
            <w:vAlign w:val="center"/>
            <w:hideMark/>
          </w:tcPr>
          <w:p w:rsidR="006B3EA9" w:rsidRPr="00156617" w:rsidRDefault="006B3EA9" w:rsidP="0015484D">
            <w:pPr>
              <w:jc w:val="center"/>
              <w:rPr>
                <w:color w:val="000000"/>
                <w:sz w:val="20"/>
              </w:rPr>
            </w:pPr>
            <w:r w:rsidRPr="00156617">
              <w:rPr>
                <w:color w:val="000000"/>
                <w:sz w:val="20"/>
              </w:rPr>
              <w:t>102</w:t>
            </w:r>
          </w:p>
        </w:tc>
      </w:tr>
      <w:tr w:rsidR="006B3EA9" w:rsidTr="0015484D">
        <w:trPr>
          <w:trHeight w:val="453"/>
        </w:trPr>
        <w:tc>
          <w:tcPr>
            <w:tcW w:w="0" w:type="auto"/>
            <w:shd w:val="clear" w:color="auto" w:fill="FFFFFF"/>
            <w:vAlign w:val="center"/>
            <w:hideMark/>
          </w:tcPr>
          <w:p w:rsidR="006B3EA9" w:rsidRPr="00483915" w:rsidRDefault="006B3EA9" w:rsidP="0015484D">
            <w:pPr>
              <w:rPr>
                <w:b/>
                <w:bCs/>
                <w:color w:val="000000"/>
                <w:sz w:val="20"/>
              </w:rPr>
            </w:pPr>
            <w:r w:rsidRPr="00483915">
              <w:rPr>
                <w:b/>
                <w:bCs/>
                <w:color w:val="000000"/>
                <w:sz w:val="20"/>
              </w:rPr>
              <w:t xml:space="preserve">Healthy Transitions </w:t>
            </w:r>
            <w:r>
              <w:rPr>
                <w:b/>
                <w:bCs/>
                <w:color w:val="000000"/>
                <w:sz w:val="20"/>
              </w:rPr>
              <w:t>(HT)</w:t>
            </w:r>
          </w:p>
        </w:tc>
        <w:tc>
          <w:tcPr>
            <w:tcW w:w="0" w:type="auto"/>
            <w:vAlign w:val="center"/>
            <w:hideMark/>
          </w:tcPr>
          <w:p w:rsidR="006B3EA9" w:rsidRPr="00483915" w:rsidRDefault="006B3EA9" w:rsidP="0015484D">
            <w:pPr>
              <w:jc w:val="center"/>
              <w:rPr>
                <w:color w:val="000000"/>
                <w:sz w:val="20"/>
              </w:rPr>
            </w:pPr>
            <w:r w:rsidRPr="00483915">
              <w:rPr>
                <w:color w:val="000000"/>
                <w:sz w:val="20"/>
              </w:rPr>
              <w:t>16</w:t>
            </w:r>
          </w:p>
        </w:tc>
      </w:tr>
      <w:tr w:rsidR="006B3EA9" w:rsidTr="0015484D">
        <w:trPr>
          <w:trHeight w:val="345"/>
        </w:trPr>
        <w:tc>
          <w:tcPr>
            <w:tcW w:w="0" w:type="auto"/>
            <w:shd w:val="clear" w:color="auto" w:fill="FFFFFF"/>
            <w:vAlign w:val="center"/>
          </w:tcPr>
          <w:p w:rsidR="006B3EA9" w:rsidRPr="00483915" w:rsidRDefault="006B3EA9" w:rsidP="0015484D">
            <w:pPr>
              <w:rPr>
                <w:b/>
                <w:bCs/>
                <w:color w:val="000000"/>
                <w:sz w:val="20"/>
              </w:rPr>
            </w:pPr>
            <w:r w:rsidRPr="00483915">
              <w:rPr>
                <w:b/>
                <w:bCs/>
                <w:color w:val="000000"/>
                <w:sz w:val="20"/>
              </w:rPr>
              <w:t>Historically Black Colleges and Universities Center for Excellence in Behavioral Health</w:t>
            </w:r>
          </w:p>
        </w:tc>
        <w:tc>
          <w:tcPr>
            <w:tcW w:w="0" w:type="auto"/>
            <w:vAlign w:val="center"/>
          </w:tcPr>
          <w:p w:rsidR="006B3EA9" w:rsidRPr="00483915" w:rsidRDefault="006B3EA9" w:rsidP="0015484D">
            <w:pPr>
              <w:jc w:val="center"/>
              <w:rPr>
                <w:color w:val="000000"/>
                <w:sz w:val="20"/>
              </w:rPr>
            </w:pPr>
            <w:r w:rsidRPr="00483915">
              <w:rPr>
                <w:color w:val="000000"/>
                <w:sz w:val="20"/>
              </w:rPr>
              <w:t>1</w:t>
            </w:r>
          </w:p>
        </w:tc>
      </w:tr>
      <w:tr w:rsidR="006B3EA9" w:rsidTr="0015484D">
        <w:trPr>
          <w:trHeight w:val="435"/>
        </w:trPr>
        <w:tc>
          <w:tcPr>
            <w:tcW w:w="0" w:type="auto"/>
            <w:shd w:val="clear" w:color="auto" w:fill="FFFFFF"/>
            <w:vAlign w:val="center"/>
            <w:hideMark/>
          </w:tcPr>
          <w:p w:rsidR="006B3EA9" w:rsidRPr="006D1592" w:rsidRDefault="006B3EA9" w:rsidP="0015484D">
            <w:pPr>
              <w:rPr>
                <w:b/>
                <w:bCs/>
                <w:color w:val="000000"/>
                <w:sz w:val="20"/>
              </w:rPr>
            </w:pPr>
            <w:r w:rsidRPr="006D1592">
              <w:rPr>
                <w:b/>
                <w:bCs/>
                <w:color w:val="000000"/>
                <w:sz w:val="20"/>
              </w:rPr>
              <w:t>Linking Actions for Unmet Needs in Children’s Mental Health</w:t>
            </w:r>
            <w:r>
              <w:rPr>
                <w:b/>
                <w:bCs/>
                <w:color w:val="000000"/>
                <w:sz w:val="20"/>
              </w:rPr>
              <w:t xml:space="preserve"> (LAUNCH)</w:t>
            </w:r>
          </w:p>
        </w:tc>
        <w:tc>
          <w:tcPr>
            <w:tcW w:w="0" w:type="auto"/>
            <w:vAlign w:val="center"/>
            <w:hideMark/>
          </w:tcPr>
          <w:p w:rsidR="006B3EA9" w:rsidRPr="00156617" w:rsidRDefault="006B3EA9" w:rsidP="0015484D">
            <w:pPr>
              <w:jc w:val="center"/>
              <w:rPr>
                <w:color w:val="000000"/>
                <w:sz w:val="20"/>
              </w:rPr>
            </w:pPr>
            <w:r w:rsidRPr="00156617">
              <w:rPr>
                <w:color w:val="000000"/>
                <w:sz w:val="20"/>
              </w:rPr>
              <w:t>54</w:t>
            </w:r>
          </w:p>
        </w:tc>
      </w:tr>
      <w:tr w:rsidR="006B3EA9" w:rsidTr="0015484D">
        <w:trPr>
          <w:trHeight w:val="345"/>
        </w:trPr>
        <w:tc>
          <w:tcPr>
            <w:tcW w:w="0" w:type="auto"/>
            <w:shd w:val="clear" w:color="auto" w:fill="FFFFFF"/>
            <w:vAlign w:val="center"/>
            <w:hideMark/>
          </w:tcPr>
          <w:p w:rsidR="006B3EA9" w:rsidRPr="006D1592" w:rsidRDefault="006B3EA9" w:rsidP="0015484D">
            <w:pPr>
              <w:rPr>
                <w:b/>
                <w:bCs/>
                <w:color w:val="000000"/>
                <w:sz w:val="20"/>
              </w:rPr>
            </w:pPr>
            <w:r w:rsidRPr="006D1592">
              <w:rPr>
                <w:b/>
                <w:bCs/>
                <w:color w:val="000000"/>
                <w:sz w:val="20"/>
              </w:rPr>
              <w:lastRenderedPageBreak/>
              <w:t>National Suicide Prevention Lifeline</w:t>
            </w:r>
          </w:p>
        </w:tc>
        <w:tc>
          <w:tcPr>
            <w:tcW w:w="0" w:type="auto"/>
            <w:vAlign w:val="center"/>
            <w:hideMark/>
          </w:tcPr>
          <w:p w:rsidR="006B3EA9" w:rsidRPr="00156617" w:rsidRDefault="006B3EA9" w:rsidP="0015484D">
            <w:pPr>
              <w:jc w:val="center"/>
              <w:rPr>
                <w:color w:val="000000"/>
                <w:sz w:val="20"/>
              </w:rPr>
            </w:pPr>
            <w:r w:rsidRPr="00156617">
              <w:rPr>
                <w:color w:val="000000"/>
                <w:sz w:val="20"/>
              </w:rPr>
              <w:t>2</w:t>
            </w:r>
          </w:p>
        </w:tc>
      </w:tr>
      <w:tr w:rsidR="006B3EA9" w:rsidTr="0015484D">
        <w:trPr>
          <w:trHeight w:val="303"/>
        </w:trPr>
        <w:tc>
          <w:tcPr>
            <w:tcW w:w="0" w:type="auto"/>
            <w:shd w:val="clear" w:color="auto" w:fill="FFFFFF"/>
            <w:vAlign w:val="center"/>
            <w:hideMark/>
          </w:tcPr>
          <w:p w:rsidR="006B3EA9" w:rsidRPr="006D1592" w:rsidRDefault="006B3EA9" w:rsidP="0015484D">
            <w:pPr>
              <w:rPr>
                <w:b/>
                <w:bCs/>
                <w:color w:val="000000"/>
                <w:sz w:val="20"/>
              </w:rPr>
            </w:pPr>
            <w:r w:rsidRPr="006D1592">
              <w:rPr>
                <w:b/>
                <w:bCs/>
                <w:color w:val="000000"/>
                <w:sz w:val="20"/>
              </w:rPr>
              <w:t>NCTSI Treatment &amp; Service Centers</w:t>
            </w:r>
          </w:p>
        </w:tc>
        <w:tc>
          <w:tcPr>
            <w:tcW w:w="0" w:type="auto"/>
            <w:vAlign w:val="center"/>
            <w:hideMark/>
          </w:tcPr>
          <w:p w:rsidR="006B3EA9" w:rsidRPr="00156617" w:rsidRDefault="006B3EA9" w:rsidP="0015484D">
            <w:pPr>
              <w:jc w:val="center"/>
              <w:rPr>
                <w:color w:val="000000"/>
                <w:sz w:val="20"/>
              </w:rPr>
            </w:pPr>
            <w:r w:rsidRPr="00156617">
              <w:rPr>
                <w:color w:val="000000"/>
                <w:sz w:val="20"/>
              </w:rPr>
              <w:t>32</w:t>
            </w:r>
          </w:p>
        </w:tc>
      </w:tr>
      <w:tr w:rsidR="006B3EA9" w:rsidTr="0015484D">
        <w:trPr>
          <w:trHeight w:val="300"/>
        </w:trPr>
        <w:tc>
          <w:tcPr>
            <w:tcW w:w="0" w:type="auto"/>
            <w:shd w:val="clear" w:color="auto" w:fill="FFFFFF"/>
            <w:vAlign w:val="center"/>
            <w:hideMark/>
          </w:tcPr>
          <w:p w:rsidR="006B3EA9" w:rsidRPr="006D1592" w:rsidRDefault="006B3EA9" w:rsidP="0015484D">
            <w:pPr>
              <w:rPr>
                <w:b/>
                <w:bCs/>
                <w:color w:val="000000"/>
                <w:sz w:val="20"/>
              </w:rPr>
            </w:pPr>
            <w:r w:rsidRPr="006D1592">
              <w:rPr>
                <w:b/>
                <w:bCs/>
                <w:color w:val="000000"/>
                <w:sz w:val="20"/>
              </w:rPr>
              <w:t xml:space="preserve">NCTSI Community Treatment Centers </w:t>
            </w:r>
          </w:p>
        </w:tc>
        <w:tc>
          <w:tcPr>
            <w:tcW w:w="0" w:type="auto"/>
            <w:vAlign w:val="center"/>
            <w:hideMark/>
          </w:tcPr>
          <w:p w:rsidR="006B3EA9" w:rsidRPr="00156617" w:rsidRDefault="006B3EA9" w:rsidP="0015484D">
            <w:pPr>
              <w:jc w:val="center"/>
              <w:rPr>
                <w:color w:val="000000"/>
                <w:sz w:val="20"/>
              </w:rPr>
            </w:pPr>
            <w:r w:rsidRPr="00156617">
              <w:rPr>
                <w:color w:val="000000"/>
                <w:sz w:val="20"/>
              </w:rPr>
              <w:t>81</w:t>
            </w:r>
          </w:p>
        </w:tc>
      </w:tr>
      <w:tr w:rsidR="006B3EA9" w:rsidTr="0015484D">
        <w:trPr>
          <w:trHeight w:val="345"/>
        </w:trPr>
        <w:tc>
          <w:tcPr>
            <w:tcW w:w="0" w:type="auto"/>
            <w:shd w:val="clear" w:color="auto" w:fill="FFFFFF"/>
            <w:vAlign w:val="center"/>
            <w:hideMark/>
          </w:tcPr>
          <w:p w:rsidR="006B3EA9" w:rsidRPr="006D1592" w:rsidRDefault="006B3EA9" w:rsidP="0015484D">
            <w:pPr>
              <w:rPr>
                <w:b/>
                <w:bCs/>
                <w:color w:val="000000"/>
                <w:sz w:val="20"/>
              </w:rPr>
            </w:pPr>
            <w:r w:rsidRPr="006D1592">
              <w:rPr>
                <w:b/>
                <w:bCs/>
                <w:color w:val="000000"/>
                <w:sz w:val="20"/>
              </w:rPr>
              <w:t>NCTSI National Coordinating Center</w:t>
            </w:r>
          </w:p>
        </w:tc>
        <w:tc>
          <w:tcPr>
            <w:tcW w:w="0" w:type="auto"/>
            <w:vAlign w:val="center"/>
            <w:hideMark/>
          </w:tcPr>
          <w:p w:rsidR="006B3EA9" w:rsidRPr="00156617" w:rsidRDefault="006B3EA9" w:rsidP="0015484D">
            <w:pPr>
              <w:jc w:val="center"/>
              <w:rPr>
                <w:color w:val="000000"/>
                <w:sz w:val="20"/>
              </w:rPr>
            </w:pPr>
            <w:r w:rsidRPr="00156617">
              <w:rPr>
                <w:color w:val="000000"/>
                <w:sz w:val="20"/>
              </w:rPr>
              <w:t>2</w:t>
            </w:r>
          </w:p>
        </w:tc>
      </w:tr>
      <w:tr w:rsidR="006B3EA9" w:rsidTr="0015484D">
        <w:trPr>
          <w:trHeight w:val="345"/>
        </w:trPr>
        <w:tc>
          <w:tcPr>
            <w:tcW w:w="0" w:type="auto"/>
            <w:shd w:val="clear" w:color="auto" w:fill="FFFFFF"/>
            <w:vAlign w:val="center"/>
            <w:hideMark/>
          </w:tcPr>
          <w:p w:rsidR="006B3EA9" w:rsidRPr="006D1592" w:rsidRDefault="006B3EA9" w:rsidP="0015484D">
            <w:pPr>
              <w:rPr>
                <w:b/>
                <w:bCs/>
                <w:color w:val="000000"/>
                <w:sz w:val="20"/>
              </w:rPr>
            </w:pPr>
            <w:r w:rsidRPr="006D1592">
              <w:rPr>
                <w:b/>
                <w:bCs/>
                <w:color w:val="000000"/>
                <w:sz w:val="20"/>
              </w:rPr>
              <w:t>Mental Health Transformation Grant</w:t>
            </w:r>
          </w:p>
        </w:tc>
        <w:tc>
          <w:tcPr>
            <w:tcW w:w="0" w:type="auto"/>
            <w:vAlign w:val="center"/>
            <w:hideMark/>
          </w:tcPr>
          <w:p w:rsidR="006B3EA9" w:rsidRPr="00156617" w:rsidRDefault="006B3EA9" w:rsidP="0015484D">
            <w:pPr>
              <w:jc w:val="center"/>
              <w:rPr>
                <w:color w:val="000000"/>
                <w:sz w:val="20"/>
              </w:rPr>
            </w:pPr>
            <w:r w:rsidRPr="00156617">
              <w:rPr>
                <w:color w:val="000000"/>
                <w:sz w:val="20"/>
              </w:rPr>
              <w:t>30</w:t>
            </w:r>
          </w:p>
        </w:tc>
      </w:tr>
      <w:tr w:rsidR="006B3EA9" w:rsidTr="0015484D">
        <w:trPr>
          <w:trHeight w:val="345"/>
        </w:trPr>
        <w:tc>
          <w:tcPr>
            <w:tcW w:w="0" w:type="auto"/>
            <w:shd w:val="clear" w:color="auto" w:fill="FFFFFF"/>
            <w:vAlign w:val="center"/>
            <w:hideMark/>
          </w:tcPr>
          <w:p w:rsidR="006B3EA9" w:rsidRPr="006D1592" w:rsidRDefault="006B3EA9" w:rsidP="0015484D">
            <w:pPr>
              <w:rPr>
                <w:b/>
                <w:bCs/>
                <w:color w:val="000000"/>
                <w:sz w:val="20"/>
              </w:rPr>
            </w:pPr>
            <w:r w:rsidRPr="006D1592">
              <w:rPr>
                <w:b/>
                <w:bCs/>
                <w:color w:val="000000"/>
                <w:sz w:val="20"/>
              </w:rPr>
              <w:t>Minority AIDS/HIV Services Collaborative Program</w:t>
            </w:r>
          </w:p>
        </w:tc>
        <w:tc>
          <w:tcPr>
            <w:tcW w:w="0" w:type="auto"/>
            <w:vAlign w:val="center"/>
            <w:hideMark/>
          </w:tcPr>
          <w:p w:rsidR="006B3EA9" w:rsidRPr="00156617" w:rsidRDefault="006B3EA9" w:rsidP="0015484D">
            <w:pPr>
              <w:jc w:val="center"/>
              <w:rPr>
                <w:color w:val="000000"/>
                <w:sz w:val="20"/>
              </w:rPr>
            </w:pPr>
            <w:r w:rsidRPr="00156617">
              <w:rPr>
                <w:color w:val="000000"/>
                <w:sz w:val="20"/>
              </w:rPr>
              <w:t>17</w:t>
            </w:r>
          </w:p>
        </w:tc>
      </w:tr>
      <w:tr w:rsidR="006B3EA9" w:rsidTr="0015484D">
        <w:trPr>
          <w:trHeight w:val="345"/>
        </w:trPr>
        <w:tc>
          <w:tcPr>
            <w:tcW w:w="0" w:type="auto"/>
            <w:shd w:val="clear" w:color="auto" w:fill="FFFFFF"/>
            <w:vAlign w:val="center"/>
            <w:hideMark/>
          </w:tcPr>
          <w:p w:rsidR="006B3EA9" w:rsidRPr="006D1592" w:rsidRDefault="006B3EA9" w:rsidP="0015484D">
            <w:pPr>
              <w:rPr>
                <w:b/>
                <w:bCs/>
                <w:color w:val="000000"/>
                <w:sz w:val="20"/>
              </w:rPr>
            </w:pPr>
            <w:r w:rsidRPr="006D1592">
              <w:rPr>
                <w:b/>
                <w:bCs/>
                <w:color w:val="000000"/>
                <w:sz w:val="20"/>
              </w:rPr>
              <w:t>Minority Fellowship Program</w:t>
            </w:r>
          </w:p>
        </w:tc>
        <w:tc>
          <w:tcPr>
            <w:tcW w:w="0" w:type="auto"/>
            <w:vAlign w:val="center"/>
            <w:hideMark/>
          </w:tcPr>
          <w:p w:rsidR="006B3EA9" w:rsidRPr="00156617" w:rsidRDefault="006B3EA9" w:rsidP="0015484D">
            <w:pPr>
              <w:jc w:val="center"/>
              <w:rPr>
                <w:color w:val="000000"/>
                <w:sz w:val="20"/>
              </w:rPr>
            </w:pPr>
            <w:r w:rsidRPr="00156617">
              <w:rPr>
                <w:color w:val="000000"/>
                <w:sz w:val="20"/>
              </w:rPr>
              <w:t>9</w:t>
            </w:r>
          </w:p>
        </w:tc>
      </w:tr>
      <w:tr w:rsidR="006B3EA9" w:rsidTr="0015484D">
        <w:trPr>
          <w:trHeight w:val="345"/>
        </w:trPr>
        <w:tc>
          <w:tcPr>
            <w:tcW w:w="0" w:type="auto"/>
            <w:shd w:val="clear" w:color="auto" w:fill="FFFFFF"/>
            <w:vAlign w:val="center"/>
            <w:hideMark/>
          </w:tcPr>
          <w:p w:rsidR="006B3EA9" w:rsidRPr="00483915" w:rsidRDefault="006B3EA9" w:rsidP="0015484D">
            <w:pPr>
              <w:rPr>
                <w:b/>
                <w:bCs/>
                <w:color w:val="000000"/>
                <w:sz w:val="20"/>
              </w:rPr>
            </w:pPr>
            <w:r w:rsidRPr="00483915">
              <w:rPr>
                <w:b/>
                <w:bCs/>
                <w:color w:val="000000"/>
                <w:sz w:val="20"/>
              </w:rPr>
              <w:t>Primary and Behavioral Health Care Integration</w:t>
            </w:r>
          </w:p>
        </w:tc>
        <w:tc>
          <w:tcPr>
            <w:tcW w:w="0" w:type="auto"/>
            <w:vAlign w:val="center"/>
            <w:hideMark/>
          </w:tcPr>
          <w:p w:rsidR="006B3EA9" w:rsidRPr="00483915" w:rsidRDefault="006B3EA9" w:rsidP="0015484D">
            <w:pPr>
              <w:jc w:val="center"/>
              <w:rPr>
                <w:color w:val="000000"/>
                <w:sz w:val="20"/>
              </w:rPr>
            </w:pPr>
            <w:r w:rsidRPr="00483915">
              <w:rPr>
                <w:color w:val="000000"/>
                <w:sz w:val="20"/>
              </w:rPr>
              <w:t>70</w:t>
            </w:r>
          </w:p>
        </w:tc>
      </w:tr>
      <w:tr w:rsidR="006B3EA9" w:rsidTr="0015484D">
        <w:trPr>
          <w:trHeight w:val="345"/>
        </w:trPr>
        <w:tc>
          <w:tcPr>
            <w:tcW w:w="0" w:type="auto"/>
            <w:shd w:val="clear" w:color="auto" w:fill="FFFFFF"/>
            <w:vAlign w:val="center"/>
            <w:hideMark/>
          </w:tcPr>
          <w:p w:rsidR="006B3EA9" w:rsidRPr="00483915" w:rsidRDefault="006B3EA9" w:rsidP="0015484D">
            <w:pPr>
              <w:rPr>
                <w:b/>
                <w:bCs/>
                <w:color w:val="000000"/>
                <w:sz w:val="20"/>
              </w:rPr>
            </w:pPr>
            <w:r w:rsidRPr="00483915">
              <w:rPr>
                <w:b/>
                <w:bCs/>
                <w:color w:val="000000"/>
                <w:sz w:val="20"/>
              </w:rPr>
              <w:t>Safe Schools/Healthy Students Initiative</w:t>
            </w:r>
          </w:p>
        </w:tc>
        <w:tc>
          <w:tcPr>
            <w:tcW w:w="0" w:type="auto"/>
            <w:vAlign w:val="center"/>
            <w:hideMark/>
          </w:tcPr>
          <w:p w:rsidR="006B3EA9" w:rsidRPr="00483915" w:rsidRDefault="006B3EA9" w:rsidP="0015484D">
            <w:pPr>
              <w:jc w:val="center"/>
              <w:rPr>
                <w:color w:val="000000"/>
                <w:sz w:val="20"/>
              </w:rPr>
            </w:pPr>
            <w:r w:rsidRPr="00483915">
              <w:rPr>
                <w:color w:val="000000"/>
                <w:sz w:val="20"/>
              </w:rPr>
              <w:t>7</w:t>
            </w:r>
          </w:p>
        </w:tc>
      </w:tr>
      <w:tr w:rsidR="006B3EA9" w:rsidTr="0015484D">
        <w:trPr>
          <w:trHeight w:val="303"/>
        </w:trPr>
        <w:tc>
          <w:tcPr>
            <w:tcW w:w="0" w:type="auto"/>
            <w:shd w:val="clear" w:color="auto" w:fill="FFFFFF"/>
            <w:vAlign w:val="center"/>
            <w:hideMark/>
          </w:tcPr>
          <w:p w:rsidR="006B3EA9" w:rsidRPr="00483915" w:rsidRDefault="006B3EA9" w:rsidP="0015484D">
            <w:pPr>
              <w:rPr>
                <w:b/>
                <w:bCs/>
                <w:color w:val="000000"/>
                <w:sz w:val="20"/>
              </w:rPr>
            </w:pPr>
            <w:r w:rsidRPr="00483915">
              <w:rPr>
                <w:b/>
                <w:bCs/>
                <w:color w:val="000000"/>
                <w:sz w:val="20"/>
              </w:rPr>
              <w:t>Services in Supportive Housing</w:t>
            </w:r>
          </w:p>
        </w:tc>
        <w:tc>
          <w:tcPr>
            <w:tcW w:w="0" w:type="auto"/>
            <w:vAlign w:val="center"/>
            <w:hideMark/>
          </w:tcPr>
          <w:p w:rsidR="006B3EA9" w:rsidRPr="00483915" w:rsidRDefault="006B3EA9" w:rsidP="0015484D">
            <w:pPr>
              <w:jc w:val="center"/>
              <w:rPr>
                <w:color w:val="000000"/>
                <w:sz w:val="20"/>
              </w:rPr>
            </w:pPr>
            <w:r w:rsidRPr="00483915">
              <w:rPr>
                <w:color w:val="000000"/>
                <w:sz w:val="20"/>
              </w:rPr>
              <w:t>5</w:t>
            </w:r>
          </w:p>
        </w:tc>
      </w:tr>
      <w:tr w:rsidR="006B3EA9" w:rsidTr="0015484D">
        <w:trPr>
          <w:trHeight w:val="390"/>
        </w:trPr>
        <w:tc>
          <w:tcPr>
            <w:tcW w:w="0" w:type="auto"/>
            <w:shd w:val="clear" w:color="auto" w:fill="FFFFFF"/>
            <w:vAlign w:val="center"/>
            <w:hideMark/>
          </w:tcPr>
          <w:p w:rsidR="006B3EA9" w:rsidRPr="00483915" w:rsidRDefault="006B3EA9" w:rsidP="0015484D">
            <w:pPr>
              <w:rPr>
                <w:b/>
                <w:bCs/>
                <w:color w:val="000000"/>
                <w:sz w:val="20"/>
              </w:rPr>
            </w:pPr>
            <w:r w:rsidRPr="00483915">
              <w:rPr>
                <w:b/>
                <w:bCs/>
                <w:color w:val="000000"/>
                <w:sz w:val="20"/>
              </w:rPr>
              <w:t>State Mental Health Data Infrastructure Grants for Quality Improvement</w:t>
            </w:r>
          </w:p>
        </w:tc>
        <w:tc>
          <w:tcPr>
            <w:tcW w:w="0" w:type="auto"/>
            <w:vAlign w:val="center"/>
            <w:hideMark/>
          </w:tcPr>
          <w:p w:rsidR="006B3EA9" w:rsidRPr="00483915" w:rsidRDefault="006B3EA9" w:rsidP="0015484D">
            <w:pPr>
              <w:jc w:val="center"/>
              <w:rPr>
                <w:color w:val="000000"/>
                <w:sz w:val="20"/>
              </w:rPr>
            </w:pPr>
            <w:r w:rsidRPr="00483915">
              <w:rPr>
                <w:color w:val="000000"/>
                <w:sz w:val="20"/>
              </w:rPr>
              <w:t>2</w:t>
            </w:r>
          </w:p>
        </w:tc>
      </w:tr>
      <w:tr w:rsidR="006B3EA9" w:rsidTr="0015484D">
        <w:trPr>
          <w:trHeight w:val="300"/>
        </w:trPr>
        <w:tc>
          <w:tcPr>
            <w:tcW w:w="0" w:type="auto"/>
            <w:shd w:val="clear" w:color="auto" w:fill="FFFFFF"/>
            <w:vAlign w:val="center"/>
            <w:hideMark/>
          </w:tcPr>
          <w:p w:rsidR="006B3EA9" w:rsidRPr="00483915" w:rsidRDefault="006B3EA9" w:rsidP="0015484D">
            <w:pPr>
              <w:rPr>
                <w:b/>
                <w:bCs/>
                <w:color w:val="000000"/>
                <w:sz w:val="20"/>
              </w:rPr>
            </w:pPr>
            <w:r w:rsidRPr="00483915">
              <w:rPr>
                <w:b/>
                <w:bCs/>
                <w:color w:val="000000"/>
                <w:sz w:val="20"/>
              </w:rPr>
              <w:t>Statewide Consumer Network Grants</w:t>
            </w:r>
          </w:p>
        </w:tc>
        <w:tc>
          <w:tcPr>
            <w:tcW w:w="0" w:type="auto"/>
            <w:vAlign w:val="center"/>
            <w:hideMark/>
          </w:tcPr>
          <w:p w:rsidR="006B3EA9" w:rsidRPr="00483915" w:rsidRDefault="006B3EA9" w:rsidP="0015484D">
            <w:pPr>
              <w:jc w:val="center"/>
              <w:rPr>
                <w:color w:val="000000"/>
                <w:sz w:val="20"/>
              </w:rPr>
            </w:pPr>
            <w:r w:rsidRPr="00483915">
              <w:rPr>
                <w:color w:val="000000"/>
                <w:sz w:val="20"/>
              </w:rPr>
              <w:t>42</w:t>
            </w:r>
          </w:p>
        </w:tc>
      </w:tr>
      <w:tr w:rsidR="006B3EA9" w:rsidTr="0015484D">
        <w:trPr>
          <w:trHeight w:val="303"/>
        </w:trPr>
        <w:tc>
          <w:tcPr>
            <w:tcW w:w="0" w:type="auto"/>
            <w:shd w:val="clear" w:color="auto" w:fill="FFFFFF"/>
            <w:vAlign w:val="center"/>
            <w:hideMark/>
          </w:tcPr>
          <w:p w:rsidR="006B3EA9" w:rsidRPr="00483915" w:rsidRDefault="006B3EA9" w:rsidP="0015484D">
            <w:pPr>
              <w:rPr>
                <w:b/>
                <w:bCs/>
                <w:color w:val="000000"/>
                <w:sz w:val="20"/>
              </w:rPr>
            </w:pPr>
            <w:r w:rsidRPr="00483915">
              <w:rPr>
                <w:b/>
                <w:bCs/>
                <w:color w:val="000000"/>
                <w:sz w:val="20"/>
              </w:rPr>
              <w:t>Statewide Family Network Grants</w:t>
            </w:r>
          </w:p>
        </w:tc>
        <w:tc>
          <w:tcPr>
            <w:tcW w:w="0" w:type="auto"/>
            <w:vAlign w:val="center"/>
            <w:hideMark/>
          </w:tcPr>
          <w:p w:rsidR="006B3EA9" w:rsidRPr="00483915" w:rsidRDefault="006B3EA9" w:rsidP="0015484D">
            <w:pPr>
              <w:jc w:val="center"/>
              <w:rPr>
                <w:color w:val="000000"/>
                <w:sz w:val="20"/>
              </w:rPr>
            </w:pPr>
            <w:r w:rsidRPr="00483915">
              <w:rPr>
                <w:color w:val="000000"/>
                <w:sz w:val="20"/>
              </w:rPr>
              <w:t>53</w:t>
            </w:r>
          </w:p>
        </w:tc>
      </w:tr>
      <w:tr w:rsidR="006B3EA9" w:rsidTr="0015484D">
        <w:trPr>
          <w:trHeight w:val="372"/>
        </w:trPr>
        <w:tc>
          <w:tcPr>
            <w:tcW w:w="0" w:type="auto"/>
            <w:shd w:val="clear" w:color="auto" w:fill="FFFFFF"/>
            <w:vAlign w:val="center"/>
            <w:hideMark/>
          </w:tcPr>
          <w:p w:rsidR="006B3EA9" w:rsidRPr="00483915" w:rsidRDefault="006B3EA9" w:rsidP="0015484D">
            <w:pPr>
              <w:rPr>
                <w:b/>
                <w:bCs/>
                <w:color w:val="000000"/>
                <w:sz w:val="20"/>
              </w:rPr>
            </w:pPr>
            <w:r w:rsidRPr="00483915">
              <w:rPr>
                <w:b/>
                <w:bCs/>
                <w:color w:val="000000"/>
                <w:sz w:val="20"/>
              </w:rPr>
              <w:t>Suicide Lifeline Crisis Center FUP Grants</w:t>
            </w:r>
          </w:p>
        </w:tc>
        <w:tc>
          <w:tcPr>
            <w:tcW w:w="0" w:type="auto"/>
            <w:vAlign w:val="center"/>
            <w:hideMark/>
          </w:tcPr>
          <w:p w:rsidR="006B3EA9" w:rsidRPr="00483915" w:rsidRDefault="006B3EA9" w:rsidP="0015484D">
            <w:pPr>
              <w:jc w:val="center"/>
              <w:rPr>
                <w:color w:val="000000"/>
                <w:sz w:val="20"/>
              </w:rPr>
            </w:pPr>
            <w:r w:rsidRPr="00483915">
              <w:rPr>
                <w:color w:val="000000"/>
                <w:sz w:val="20"/>
              </w:rPr>
              <w:t>27</w:t>
            </w:r>
          </w:p>
        </w:tc>
      </w:tr>
      <w:tr w:rsidR="006B3EA9" w:rsidTr="0015484D">
        <w:trPr>
          <w:trHeight w:val="327"/>
        </w:trPr>
        <w:tc>
          <w:tcPr>
            <w:tcW w:w="0" w:type="auto"/>
            <w:shd w:val="clear" w:color="auto" w:fill="FFFFFF"/>
            <w:vAlign w:val="center"/>
            <w:hideMark/>
          </w:tcPr>
          <w:p w:rsidR="006B3EA9" w:rsidRPr="00483915" w:rsidRDefault="006B3EA9" w:rsidP="0015484D">
            <w:pPr>
              <w:rPr>
                <w:b/>
                <w:bCs/>
                <w:color w:val="000000"/>
                <w:sz w:val="20"/>
              </w:rPr>
            </w:pPr>
            <w:r w:rsidRPr="00483915">
              <w:rPr>
                <w:b/>
                <w:bCs/>
                <w:color w:val="000000"/>
                <w:sz w:val="20"/>
              </w:rPr>
              <w:t>Systems of Care</w:t>
            </w:r>
          </w:p>
        </w:tc>
        <w:tc>
          <w:tcPr>
            <w:tcW w:w="0" w:type="auto"/>
            <w:vAlign w:val="center"/>
            <w:hideMark/>
          </w:tcPr>
          <w:p w:rsidR="006B3EA9" w:rsidRPr="00483915" w:rsidRDefault="006B3EA9" w:rsidP="0015484D">
            <w:pPr>
              <w:jc w:val="center"/>
              <w:rPr>
                <w:color w:val="000000"/>
                <w:sz w:val="20"/>
              </w:rPr>
            </w:pPr>
            <w:r w:rsidRPr="00483915">
              <w:rPr>
                <w:color w:val="000000"/>
                <w:sz w:val="20"/>
              </w:rPr>
              <w:t>31</w:t>
            </w:r>
          </w:p>
        </w:tc>
      </w:tr>
      <w:tr w:rsidR="006B3EA9" w:rsidTr="0015484D">
        <w:trPr>
          <w:trHeight w:val="372"/>
        </w:trPr>
        <w:tc>
          <w:tcPr>
            <w:tcW w:w="0" w:type="auto"/>
            <w:shd w:val="clear" w:color="auto" w:fill="FFFFFF"/>
            <w:vAlign w:val="center"/>
          </w:tcPr>
          <w:p w:rsidR="006B3EA9" w:rsidRPr="00483915" w:rsidRDefault="006B3EA9" w:rsidP="0015484D">
            <w:pPr>
              <w:rPr>
                <w:b/>
                <w:color w:val="000000"/>
                <w:sz w:val="20"/>
              </w:rPr>
            </w:pPr>
            <w:r w:rsidRPr="00483915">
              <w:rPr>
                <w:b/>
                <w:color w:val="000000"/>
                <w:sz w:val="20"/>
              </w:rPr>
              <w:t>Transforming Lives Through Supported Employment</w:t>
            </w:r>
          </w:p>
        </w:tc>
        <w:tc>
          <w:tcPr>
            <w:tcW w:w="0" w:type="auto"/>
            <w:vAlign w:val="center"/>
          </w:tcPr>
          <w:p w:rsidR="006B3EA9" w:rsidRPr="00483915" w:rsidRDefault="006B3EA9" w:rsidP="0015484D">
            <w:pPr>
              <w:jc w:val="center"/>
              <w:rPr>
                <w:color w:val="000000"/>
                <w:sz w:val="20"/>
              </w:rPr>
            </w:pPr>
            <w:r w:rsidRPr="00483915">
              <w:rPr>
                <w:color w:val="000000"/>
                <w:sz w:val="20"/>
              </w:rPr>
              <w:t>6</w:t>
            </w:r>
          </w:p>
        </w:tc>
      </w:tr>
      <w:tr w:rsidR="006B3EA9" w:rsidTr="0015484D">
        <w:trPr>
          <w:trHeight w:val="282"/>
        </w:trPr>
        <w:tc>
          <w:tcPr>
            <w:tcW w:w="0" w:type="auto"/>
            <w:shd w:val="clear" w:color="auto" w:fill="FFFFFF"/>
            <w:vAlign w:val="center"/>
          </w:tcPr>
          <w:p w:rsidR="006B3EA9" w:rsidRPr="00483915" w:rsidRDefault="006B3EA9" w:rsidP="0015484D">
            <w:pPr>
              <w:rPr>
                <w:b/>
                <w:color w:val="000000"/>
                <w:sz w:val="20"/>
              </w:rPr>
            </w:pPr>
            <w:r w:rsidRPr="00483915">
              <w:rPr>
                <w:b/>
                <w:color w:val="000000"/>
                <w:sz w:val="20"/>
              </w:rPr>
              <w:t>Native Connections</w:t>
            </w:r>
          </w:p>
        </w:tc>
        <w:tc>
          <w:tcPr>
            <w:tcW w:w="0" w:type="auto"/>
            <w:vAlign w:val="center"/>
          </w:tcPr>
          <w:p w:rsidR="006B3EA9" w:rsidRPr="00483915" w:rsidRDefault="006B3EA9" w:rsidP="0015484D">
            <w:pPr>
              <w:jc w:val="center"/>
              <w:rPr>
                <w:color w:val="000000"/>
                <w:sz w:val="20"/>
              </w:rPr>
            </w:pPr>
            <w:r w:rsidRPr="00483915">
              <w:rPr>
                <w:color w:val="000000"/>
                <w:sz w:val="20"/>
              </w:rPr>
              <w:t>20</w:t>
            </w:r>
          </w:p>
        </w:tc>
      </w:tr>
      <w:tr w:rsidR="006B3EA9" w:rsidTr="0015484D">
        <w:trPr>
          <w:trHeight w:val="318"/>
        </w:trPr>
        <w:tc>
          <w:tcPr>
            <w:tcW w:w="0" w:type="auto"/>
            <w:shd w:val="clear" w:color="auto" w:fill="FFFFFF"/>
            <w:vAlign w:val="center"/>
          </w:tcPr>
          <w:p w:rsidR="006B3EA9" w:rsidRPr="00483915" w:rsidRDefault="006B3EA9" w:rsidP="0015484D">
            <w:pPr>
              <w:rPr>
                <w:b/>
                <w:color w:val="000000"/>
                <w:sz w:val="20"/>
              </w:rPr>
            </w:pPr>
            <w:r w:rsidRPr="00483915">
              <w:rPr>
                <w:b/>
                <w:color w:val="000000"/>
                <w:sz w:val="20"/>
              </w:rPr>
              <w:t>Now Is the Time: Minority Fellowship Program-Youth</w:t>
            </w:r>
          </w:p>
        </w:tc>
        <w:tc>
          <w:tcPr>
            <w:tcW w:w="0" w:type="auto"/>
            <w:vAlign w:val="center"/>
          </w:tcPr>
          <w:p w:rsidR="006B3EA9" w:rsidRPr="00483915" w:rsidRDefault="006B3EA9" w:rsidP="0015484D">
            <w:pPr>
              <w:jc w:val="center"/>
              <w:rPr>
                <w:color w:val="000000"/>
                <w:sz w:val="20"/>
              </w:rPr>
            </w:pPr>
            <w:r w:rsidRPr="00483915">
              <w:rPr>
                <w:color w:val="000000"/>
                <w:sz w:val="20"/>
              </w:rPr>
              <w:t>5</w:t>
            </w:r>
          </w:p>
        </w:tc>
      </w:tr>
      <w:tr w:rsidR="006B3EA9" w:rsidTr="0015484D">
        <w:trPr>
          <w:trHeight w:val="345"/>
        </w:trPr>
        <w:tc>
          <w:tcPr>
            <w:tcW w:w="0" w:type="auto"/>
            <w:shd w:val="clear" w:color="auto" w:fill="FFFFFF"/>
            <w:vAlign w:val="center"/>
          </w:tcPr>
          <w:p w:rsidR="006B3EA9" w:rsidRPr="00483915" w:rsidRDefault="006B3EA9" w:rsidP="0015484D">
            <w:pPr>
              <w:rPr>
                <w:b/>
                <w:color w:val="000000"/>
                <w:sz w:val="20"/>
              </w:rPr>
            </w:pPr>
            <w:r w:rsidRPr="00483915">
              <w:rPr>
                <w:b/>
                <w:color w:val="000000"/>
                <w:sz w:val="20"/>
              </w:rPr>
              <w:t>Cooperative Agreements to Implement the National Strategy for Suicide Prevention</w:t>
            </w:r>
          </w:p>
        </w:tc>
        <w:tc>
          <w:tcPr>
            <w:tcW w:w="0" w:type="auto"/>
            <w:vAlign w:val="center"/>
          </w:tcPr>
          <w:p w:rsidR="006B3EA9" w:rsidRPr="00483915" w:rsidRDefault="006B3EA9" w:rsidP="0015484D">
            <w:pPr>
              <w:jc w:val="center"/>
              <w:rPr>
                <w:color w:val="000000"/>
                <w:sz w:val="20"/>
              </w:rPr>
            </w:pPr>
            <w:r w:rsidRPr="00483915">
              <w:rPr>
                <w:color w:val="000000"/>
                <w:sz w:val="20"/>
              </w:rPr>
              <w:t>4</w:t>
            </w:r>
          </w:p>
        </w:tc>
      </w:tr>
      <w:tr w:rsidR="006B3EA9" w:rsidTr="0015484D">
        <w:trPr>
          <w:trHeight w:val="345"/>
        </w:trPr>
        <w:tc>
          <w:tcPr>
            <w:tcW w:w="0" w:type="auto"/>
            <w:shd w:val="clear" w:color="auto" w:fill="FFFFFF"/>
            <w:vAlign w:val="center"/>
          </w:tcPr>
          <w:p w:rsidR="006B3EA9" w:rsidRPr="00483915" w:rsidRDefault="006B3EA9" w:rsidP="0015484D">
            <w:pPr>
              <w:rPr>
                <w:b/>
                <w:color w:val="000000"/>
                <w:sz w:val="20"/>
              </w:rPr>
            </w:pPr>
            <w:r w:rsidRPr="00483915">
              <w:rPr>
                <w:b/>
                <w:color w:val="000000"/>
                <w:sz w:val="20"/>
                <w:shd w:val="clear" w:color="auto" w:fill="FFFFFF"/>
              </w:rPr>
              <w:t>Statewide Peer Networks for Recovery and Resiliency</w:t>
            </w:r>
          </w:p>
        </w:tc>
        <w:tc>
          <w:tcPr>
            <w:tcW w:w="0" w:type="auto"/>
            <w:vAlign w:val="center"/>
          </w:tcPr>
          <w:p w:rsidR="006B3EA9" w:rsidRPr="00483915" w:rsidRDefault="006B3EA9" w:rsidP="0015484D">
            <w:pPr>
              <w:jc w:val="center"/>
              <w:rPr>
                <w:color w:val="000000"/>
                <w:sz w:val="20"/>
              </w:rPr>
            </w:pPr>
            <w:r w:rsidRPr="00483915">
              <w:rPr>
                <w:color w:val="000000"/>
                <w:sz w:val="20"/>
              </w:rPr>
              <w:t>8</w:t>
            </w:r>
          </w:p>
        </w:tc>
      </w:tr>
      <w:tr w:rsidR="006B3EA9" w:rsidTr="0015484D">
        <w:trPr>
          <w:trHeight w:val="390"/>
        </w:trPr>
        <w:tc>
          <w:tcPr>
            <w:tcW w:w="0" w:type="auto"/>
            <w:tcBorders>
              <w:bottom w:val="single" w:sz="6" w:space="0" w:color="auto"/>
            </w:tcBorders>
            <w:vAlign w:val="center"/>
            <w:hideMark/>
          </w:tcPr>
          <w:p w:rsidR="006B3EA9" w:rsidRPr="006D1592" w:rsidRDefault="006B3EA9" w:rsidP="0015484D">
            <w:pPr>
              <w:rPr>
                <w:b/>
                <w:bCs/>
                <w:color w:val="000000"/>
                <w:sz w:val="20"/>
              </w:rPr>
            </w:pPr>
            <w:r w:rsidRPr="0051398A">
              <w:rPr>
                <w:b/>
                <w:bCs/>
                <w:color w:val="000000"/>
                <w:sz w:val="20"/>
              </w:rPr>
              <w:t>TOTAL IPP</w:t>
            </w:r>
          </w:p>
        </w:tc>
        <w:tc>
          <w:tcPr>
            <w:tcW w:w="0" w:type="auto"/>
            <w:tcBorders>
              <w:bottom w:val="single" w:sz="6" w:space="0" w:color="auto"/>
            </w:tcBorders>
            <w:vAlign w:val="center"/>
            <w:hideMark/>
          </w:tcPr>
          <w:p w:rsidR="006B3EA9" w:rsidRPr="00156617" w:rsidRDefault="006B3EA9" w:rsidP="0015484D">
            <w:pPr>
              <w:jc w:val="center"/>
              <w:rPr>
                <w:color w:val="000000"/>
                <w:sz w:val="20"/>
              </w:rPr>
            </w:pPr>
            <w:r>
              <w:rPr>
                <w:b/>
                <w:color w:val="000000"/>
                <w:szCs w:val="22"/>
              </w:rPr>
              <w:t>982</w:t>
            </w:r>
          </w:p>
        </w:tc>
      </w:tr>
      <w:tr w:rsidR="006B3EA9" w:rsidTr="0015484D">
        <w:trPr>
          <w:trHeight w:val="498"/>
        </w:trPr>
        <w:tc>
          <w:tcPr>
            <w:tcW w:w="0" w:type="auto"/>
            <w:gridSpan w:val="2"/>
            <w:tcBorders>
              <w:top w:val="single" w:sz="6" w:space="0" w:color="auto"/>
              <w:bottom w:val="single" w:sz="6" w:space="0" w:color="auto"/>
            </w:tcBorders>
            <w:shd w:val="clear" w:color="auto" w:fill="D9D9D9" w:themeFill="background1" w:themeFillShade="D9"/>
            <w:vAlign w:val="center"/>
          </w:tcPr>
          <w:p w:rsidR="006B3EA9" w:rsidRDefault="006B3EA9" w:rsidP="0015484D">
            <w:pPr>
              <w:jc w:val="center"/>
              <w:rPr>
                <w:b/>
                <w:color w:val="000000"/>
                <w:szCs w:val="22"/>
              </w:rPr>
            </w:pPr>
            <w:r w:rsidRPr="002608C8">
              <w:rPr>
                <w:b/>
                <w:bCs/>
                <w:color w:val="000000"/>
                <w:szCs w:val="24"/>
              </w:rPr>
              <w:t xml:space="preserve">CSAP Aggregate </w:t>
            </w:r>
            <w:r>
              <w:rPr>
                <w:b/>
                <w:bCs/>
                <w:color w:val="000000"/>
                <w:szCs w:val="24"/>
              </w:rPr>
              <w:t>Form</w:t>
            </w:r>
          </w:p>
        </w:tc>
      </w:tr>
      <w:tr w:rsidR="006B3EA9" w:rsidTr="0015484D">
        <w:trPr>
          <w:trHeight w:val="303"/>
        </w:trPr>
        <w:tc>
          <w:tcPr>
            <w:tcW w:w="0" w:type="auto"/>
            <w:tcBorders>
              <w:top w:val="single" w:sz="6" w:space="0" w:color="auto"/>
            </w:tcBorders>
            <w:shd w:val="clear" w:color="auto" w:fill="FFFFFF"/>
            <w:vAlign w:val="center"/>
          </w:tcPr>
          <w:p w:rsidR="006B3EA9" w:rsidRPr="008B4AAE" w:rsidRDefault="006B3EA9" w:rsidP="0015484D">
            <w:pPr>
              <w:rPr>
                <w:b/>
                <w:bCs/>
                <w:color w:val="000000"/>
                <w:szCs w:val="24"/>
              </w:rPr>
            </w:pPr>
            <w:r w:rsidRPr="008B4AAE">
              <w:rPr>
                <w:b/>
                <w:bCs/>
                <w:color w:val="000000"/>
                <w:szCs w:val="24"/>
              </w:rPr>
              <w:t>Adult Treatment Court Collaborative (ATCC)</w:t>
            </w:r>
          </w:p>
        </w:tc>
        <w:tc>
          <w:tcPr>
            <w:tcW w:w="0" w:type="auto"/>
            <w:tcBorders>
              <w:top w:val="single" w:sz="6" w:space="0" w:color="auto"/>
            </w:tcBorders>
            <w:vAlign w:val="center"/>
          </w:tcPr>
          <w:p w:rsidR="006B3EA9" w:rsidRPr="008B4AAE" w:rsidRDefault="006B3EA9" w:rsidP="0015484D">
            <w:pPr>
              <w:jc w:val="center"/>
              <w:rPr>
                <w:b/>
                <w:color w:val="000000"/>
                <w:szCs w:val="24"/>
              </w:rPr>
            </w:pPr>
            <w:r w:rsidRPr="008B4AAE">
              <w:rPr>
                <w:b/>
                <w:color w:val="000000"/>
                <w:szCs w:val="24"/>
              </w:rPr>
              <w:t>6</w:t>
            </w:r>
          </w:p>
        </w:tc>
      </w:tr>
      <w:tr w:rsidR="006B3EA9" w:rsidTr="0015484D">
        <w:trPr>
          <w:trHeight w:val="303"/>
        </w:trPr>
        <w:tc>
          <w:tcPr>
            <w:tcW w:w="0" w:type="auto"/>
            <w:shd w:val="clear" w:color="auto" w:fill="FFFFFF"/>
            <w:vAlign w:val="center"/>
            <w:hideMark/>
          </w:tcPr>
          <w:p w:rsidR="006B3EA9" w:rsidRPr="002608C8" w:rsidRDefault="006B3EA9" w:rsidP="0015484D">
            <w:pPr>
              <w:rPr>
                <w:b/>
                <w:bCs/>
                <w:color w:val="000000"/>
                <w:szCs w:val="24"/>
              </w:rPr>
            </w:pPr>
            <w:r w:rsidRPr="002608C8">
              <w:rPr>
                <w:b/>
                <w:bCs/>
                <w:color w:val="000000"/>
                <w:szCs w:val="24"/>
              </w:rPr>
              <w:t>TOTAL SAMHSA</w:t>
            </w:r>
          </w:p>
        </w:tc>
        <w:tc>
          <w:tcPr>
            <w:tcW w:w="0" w:type="auto"/>
            <w:vAlign w:val="center"/>
            <w:hideMark/>
          </w:tcPr>
          <w:p w:rsidR="006B3EA9" w:rsidRPr="004A4E35" w:rsidRDefault="006B3EA9" w:rsidP="0015484D">
            <w:pPr>
              <w:jc w:val="center"/>
              <w:rPr>
                <w:b/>
                <w:color w:val="000000"/>
                <w:szCs w:val="24"/>
              </w:rPr>
            </w:pPr>
            <w:r>
              <w:rPr>
                <w:b/>
                <w:color w:val="000000"/>
                <w:szCs w:val="24"/>
              </w:rPr>
              <w:t>943,923</w:t>
            </w:r>
          </w:p>
        </w:tc>
      </w:tr>
    </w:tbl>
    <w:p w:rsidR="006B3EA9" w:rsidRDefault="006B3EA9" w:rsidP="006B3EA9">
      <w:pPr>
        <w:spacing w:after="240"/>
        <w:rPr>
          <w:szCs w:val="24"/>
        </w:rPr>
      </w:pPr>
    </w:p>
    <w:p w:rsidR="006B3EA9" w:rsidRDefault="006B3EA9" w:rsidP="009506A1">
      <w:pPr>
        <w:spacing w:after="240"/>
        <w:rPr>
          <w:szCs w:val="24"/>
        </w:rPr>
      </w:pPr>
    </w:p>
    <w:p w:rsidR="006B3EA9" w:rsidRDefault="006B3EA9" w:rsidP="009506A1">
      <w:pPr>
        <w:spacing w:after="240"/>
        <w:rPr>
          <w:szCs w:val="24"/>
        </w:rPr>
      </w:pPr>
    </w:p>
    <w:p w:rsidR="005A4A00" w:rsidRPr="00705E94" w:rsidRDefault="005A4A00" w:rsidP="002E6CC4">
      <w:pPr>
        <w:keepNext/>
        <w:spacing w:after="240"/>
        <w:ind w:left="-360" w:firstLine="360"/>
        <w:rPr>
          <w:b/>
        </w:rPr>
      </w:pPr>
      <w:r>
        <w:rPr>
          <w:b/>
        </w:rPr>
        <w:lastRenderedPageBreak/>
        <w:t>A</w:t>
      </w:r>
      <w:r w:rsidRPr="00705E94">
        <w:rPr>
          <w:b/>
        </w:rPr>
        <w:t xml:space="preserve">2. </w:t>
      </w:r>
      <w:r>
        <w:rPr>
          <w:b/>
        </w:rPr>
        <w:t xml:space="preserve"> </w:t>
      </w:r>
      <w:r w:rsidRPr="00705E94">
        <w:rPr>
          <w:b/>
        </w:rPr>
        <w:t xml:space="preserve"> </w:t>
      </w:r>
      <w:r w:rsidRPr="00446BA6">
        <w:rPr>
          <w:b/>
          <w:bCs/>
        </w:rPr>
        <w:t xml:space="preserve">  Purposes and Use of the Information Collection</w:t>
      </w:r>
    </w:p>
    <w:p w:rsidR="005A4A00" w:rsidRPr="00B5553D" w:rsidRDefault="005A4A00" w:rsidP="0077520E">
      <w:pPr>
        <w:keepNext/>
        <w:spacing w:after="100" w:afterAutospacing="1"/>
      </w:pPr>
      <w:r w:rsidRPr="00B5553D">
        <w:t xml:space="preserve">SAMHSA uses the performance measures to report on the performance of its discretionary services grant programs.  The performance measures information is used by individuals at three different levels: the SAMHSA administrator and staff, the Center administrators and government project officers, and grantees:  </w:t>
      </w:r>
    </w:p>
    <w:p w:rsidR="00FA1650" w:rsidRPr="00FA1650" w:rsidRDefault="00FA1650" w:rsidP="00CE15A5">
      <w:pPr>
        <w:spacing w:after="240"/>
      </w:pPr>
      <w:r w:rsidRPr="00FA1650">
        <w:rPr>
          <w:b/>
        </w:rPr>
        <w:t>HHS/OMB/Congress—</w:t>
      </w:r>
      <w:r w:rsidRPr="00FA1650">
        <w:t>The GPRA information is used to help guide future program budget decisions.</w:t>
      </w:r>
    </w:p>
    <w:p w:rsidR="005A4A00" w:rsidRPr="00B5553D" w:rsidRDefault="005A4A00" w:rsidP="00CE15A5">
      <w:pPr>
        <w:spacing w:after="240"/>
      </w:pPr>
      <w:r w:rsidRPr="00B5553D">
        <w:rPr>
          <w:b/>
        </w:rPr>
        <w:t>SAMHSA Level</w:t>
      </w:r>
      <w:r w:rsidRPr="00B5553D">
        <w:t>—</w:t>
      </w:r>
      <w:r w:rsidR="00AB1913" w:rsidRPr="00B5553D">
        <w:t xml:space="preserve"> I</w:t>
      </w:r>
      <w:r w:rsidRPr="00B5553D">
        <w:t xml:space="preserve">nformation is used to inform the administration of the performance of the programs funded through the Agency.  The performance is based on the goals of the grant program and includes the NOMs.  This information serves as the basis of the annual GPRA report to Congress contained in the Justifications of Budget Estimates.  </w:t>
      </w:r>
    </w:p>
    <w:p w:rsidR="005A4A00" w:rsidRPr="00B5553D" w:rsidRDefault="005A4A00" w:rsidP="00CE15A5">
      <w:pPr>
        <w:spacing w:after="240"/>
      </w:pPr>
      <w:r w:rsidRPr="00B5553D">
        <w:rPr>
          <w:b/>
        </w:rPr>
        <w:t>Center Level</w:t>
      </w:r>
      <w:r w:rsidRPr="00B5553D">
        <w:t xml:space="preserve">—In addition to exploring the performance of the various programs, the information is used to monitor and manage individual grant projects within each program.  The information informs the government project officers of the projects staff’s abilities to meet their individual goals.  The information has been used by government project officers to make funding continuation decisions.  </w:t>
      </w:r>
    </w:p>
    <w:p w:rsidR="005A4A00" w:rsidRDefault="005A4A00" w:rsidP="00CE15A5">
      <w:pPr>
        <w:spacing w:after="240"/>
      </w:pPr>
      <w:r w:rsidRPr="00B5553D">
        <w:rPr>
          <w:b/>
        </w:rPr>
        <w:t>Grantee Level</w:t>
      </w:r>
      <w:r w:rsidRPr="00B5553D">
        <w:t>—In addition to monitoring performance outcomes, the grantee staff uses the information to improve the quality of treatment and prevention services that are provided to clients within their projects.</w:t>
      </w:r>
      <w:r>
        <w:t xml:space="preserve">  </w:t>
      </w:r>
    </w:p>
    <w:p w:rsidR="005A4A00" w:rsidRDefault="005A4A00" w:rsidP="00CE15A5">
      <w:pPr>
        <w:spacing w:after="240"/>
      </w:pPr>
      <w:r w:rsidRPr="00B5553D">
        <w:t xml:space="preserve">SAMHSA and its Centers will use the data for annual reporting required by GPRA </w:t>
      </w:r>
      <w:r w:rsidR="008021CA" w:rsidRPr="00B5553D">
        <w:t xml:space="preserve">and for outcome measures </w:t>
      </w:r>
      <w:r w:rsidRPr="00B5553D">
        <w:t xml:space="preserve">comparing baseline with discharge and follow-up data.  GPRA requires that SAMHSA’s report for each fiscal year include actual results of performance monitoring for the three preceding fiscal years.  The additional information collected through this process will allow SAMHSA to report on the results of these performance outcomes as well as be </w:t>
      </w:r>
      <w:r w:rsidRPr="00B5553D">
        <w:rPr>
          <w:szCs w:val="18"/>
        </w:rPr>
        <w:t xml:space="preserve">consistent with the specific performance domains that SAMHSA is implementing to assess the accountability and performance of its discretionary and formula grant programs.  </w:t>
      </w:r>
      <w:r w:rsidR="00B1049F" w:rsidRPr="00B5553D">
        <w:t>The</w:t>
      </w:r>
      <w:r w:rsidRPr="00B5553D">
        <w:t xml:space="preserve"> client-level data items were initially identified from widely used data collection instruments</w:t>
      </w:r>
      <w:r w:rsidR="008021CA" w:rsidRPr="00B5553D">
        <w:t>, recommended instruments</w:t>
      </w:r>
      <w:r w:rsidR="00F64EF9">
        <w:t xml:space="preserve"> </w:t>
      </w:r>
      <w:r w:rsidR="008021CA" w:rsidRPr="000C36A2">
        <w:t xml:space="preserve">from the </w:t>
      </w:r>
      <w:r w:rsidR="003919F6" w:rsidRPr="000C36A2">
        <w:t xml:space="preserve">Affordable Care and Portability Act </w:t>
      </w:r>
      <w:r w:rsidR="008021CA" w:rsidRPr="000C36A2">
        <w:t>(ACA</w:t>
      </w:r>
      <w:r w:rsidR="008021CA" w:rsidRPr="00F64EF9">
        <w:t>)</w:t>
      </w:r>
      <w:r w:rsidR="00AE3596" w:rsidRPr="00F64EF9">
        <w:t xml:space="preserve"> </w:t>
      </w:r>
      <w:r w:rsidR="00B1049F" w:rsidRPr="000C36A2">
        <w:t>and from existing data collection</w:t>
      </w:r>
      <w:r w:rsidR="00B1049F" w:rsidRPr="00D04E1F">
        <w:t xml:space="preserve"> instruments </w:t>
      </w:r>
      <w:r w:rsidR="00D04E1F" w:rsidRPr="00D04E1F">
        <w:t xml:space="preserve">previously </w:t>
      </w:r>
      <w:r w:rsidR="00B1049F" w:rsidRPr="00D04E1F">
        <w:t>approved by OMB for CSAT, CMHS, and/or CSAP</w:t>
      </w:r>
      <w:r w:rsidRPr="00D04E1F">
        <w:t>.</w:t>
      </w:r>
      <w:r w:rsidR="00B1049F" w:rsidRPr="00D04E1F">
        <w:t xml:space="preserve"> SAMHSA centers engaged in a consensus-building process to reach agreement on the data collection instruments and the responses.</w:t>
      </w:r>
      <w:r>
        <w:t xml:space="preserve"> </w:t>
      </w:r>
    </w:p>
    <w:p w:rsidR="00CA1BC3" w:rsidRPr="003919F6" w:rsidRDefault="00CA1BC3" w:rsidP="00CE15A5">
      <w:pPr>
        <w:pStyle w:val="BodyText"/>
        <w:spacing w:after="240"/>
      </w:pPr>
      <w:r w:rsidRPr="003919F6">
        <w:t xml:space="preserve">These proposed data activities are intended to promote the use of consistent measures among </w:t>
      </w:r>
      <w:r w:rsidR="00B4058A">
        <w:t>SAMHSA</w:t>
      </w:r>
      <w:r w:rsidRPr="003919F6">
        <w:t xml:space="preserve">-funded grantees and contractors. </w:t>
      </w:r>
      <w:r w:rsidR="00AD55B0">
        <w:t xml:space="preserve"> </w:t>
      </w:r>
      <w:r w:rsidRPr="003919F6">
        <w:t xml:space="preserve">These common measures recommended by </w:t>
      </w:r>
      <w:r w:rsidR="00B4058A">
        <w:t>SAMHSA</w:t>
      </w:r>
      <w:r w:rsidRPr="003919F6">
        <w:t xml:space="preserve"> are a result of extensive examina</w:t>
      </w:r>
      <w:r w:rsidR="00B4058A">
        <w:t>tion and consensus across centers</w:t>
      </w:r>
      <w:r w:rsidRPr="003919F6">
        <w:t xml:space="preserve">. </w:t>
      </w:r>
      <w:r w:rsidR="00AD55B0">
        <w:t xml:space="preserve"> </w:t>
      </w:r>
      <w:r w:rsidRPr="003919F6">
        <w:t xml:space="preserve">Wherever feasible, the measures are consistent with or build upon previous data development efforts within </w:t>
      </w:r>
      <w:r w:rsidR="00B4058A">
        <w:t>SAMHSA</w:t>
      </w:r>
      <w:r w:rsidRPr="003919F6">
        <w:t xml:space="preserve">. </w:t>
      </w:r>
      <w:r w:rsidR="00AD55B0">
        <w:t xml:space="preserve"> </w:t>
      </w:r>
      <w:r w:rsidRPr="003919F6">
        <w:t xml:space="preserve">These data collection activities will be organized to reflect and support the domains specified for SAMHSA’s </w:t>
      </w:r>
      <w:r w:rsidR="00B4058A">
        <w:t>GPRA reporting</w:t>
      </w:r>
      <w:r w:rsidRPr="003919F6">
        <w:t xml:space="preserve"> for programs</w:t>
      </w:r>
      <w:r w:rsidR="00B4058A">
        <w:t xml:space="preserve"> and </w:t>
      </w:r>
      <w:r w:rsidRPr="003919F6">
        <w:t xml:space="preserve">infrastructure, prevention, and </w:t>
      </w:r>
      <w:r w:rsidR="00B4058A">
        <w:t>behaviora</w:t>
      </w:r>
      <w:r w:rsidRPr="003919F6">
        <w:t xml:space="preserve">l health promotion activities. </w:t>
      </w:r>
    </w:p>
    <w:p w:rsidR="00CA1BC3" w:rsidRPr="003919F6" w:rsidRDefault="00CA1BC3" w:rsidP="00CE15A5">
      <w:pPr>
        <w:pStyle w:val="BodyText"/>
        <w:spacing w:after="240"/>
      </w:pPr>
      <w:r w:rsidRPr="003919F6">
        <w:t xml:space="preserve">To fulfill GPRA requirements SAMHSA develops a report for each fiscal year that includes results of performance monitoring for the three preceding fiscal years. </w:t>
      </w:r>
      <w:r w:rsidR="001708F8">
        <w:t xml:space="preserve"> </w:t>
      </w:r>
      <w:r w:rsidRPr="003919F6">
        <w:t xml:space="preserve">The additional information collected through this process will allow SAMHSA to report on the results of these performance outcomes as well as be consistent with the specific performance domains that SAMHSA is implementing to assess the accountability and performance of its discretionary and formula grant programs.  </w:t>
      </w:r>
    </w:p>
    <w:p w:rsidR="00CA1BC3" w:rsidRPr="00F83C61" w:rsidRDefault="00CA1BC3" w:rsidP="00CF65C1">
      <w:pPr>
        <w:pStyle w:val="Heading3"/>
        <w:spacing w:after="240"/>
        <w:rPr>
          <w:rFonts w:ascii="Times New Roman" w:hAnsi="Times New Roman" w:cs="Times New Roman"/>
          <w:color w:val="auto"/>
          <w:szCs w:val="24"/>
        </w:rPr>
      </w:pPr>
      <w:r w:rsidRPr="00F83C61">
        <w:rPr>
          <w:rFonts w:ascii="Times New Roman" w:hAnsi="Times New Roman" w:cs="Times New Roman"/>
          <w:color w:val="auto"/>
          <w:szCs w:val="24"/>
        </w:rPr>
        <w:lastRenderedPageBreak/>
        <w:t xml:space="preserve">Client-level Data Collection </w:t>
      </w:r>
    </w:p>
    <w:p w:rsidR="00F83C61" w:rsidRPr="003919F6" w:rsidRDefault="00CA1BC3" w:rsidP="00CF65C1">
      <w:pPr>
        <w:pStyle w:val="BodyText"/>
      </w:pPr>
      <w:r w:rsidRPr="003919F6">
        <w:t xml:space="preserve">To facilitate SAMHSA-wide reporting, the agency has identified </w:t>
      </w:r>
      <w:r w:rsidR="00981E7E">
        <w:t>client/participant outcome measures</w:t>
      </w:r>
      <w:r w:rsidRPr="003919F6">
        <w:t xml:space="preserve"> of particular interest for accountability and performance monitoring of client-level data for programs providing direct services. </w:t>
      </w:r>
      <w:r w:rsidR="00F83C61">
        <w:t xml:space="preserve"> </w:t>
      </w:r>
      <w:r w:rsidR="00F83C61" w:rsidRPr="003919F6">
        <w:rPr>
          <w:szCs w:val="18"/>
        </w:rPr>
        <w:t>Outcome data reflect the SAMHSA’s desire for consistency in data collected within the agency.</w:t>
      </w:r>
      <w:r w:rsidR="00F83C61">
        <w:rPr>
          <w:szCs w:val="18"/>
        </w:rPr>
        <w:t xml:space="preserve"> </w:t>
      </w:r>
      <w:r w:rsidR="00F83C61" w:rsidRPr="003919F6">
        <w:rPr>
          <w:szCs w:val="18"/>
        </w:rPr>
        <w:t xml:space="preserve"> SAMHSA has implemented specific performance domains to assess the accountability and performance of its discretionary and formula grant programs.</w:t>
      </w:r>
      <w:r w:rsidR="00F83C61" w:rsidRPr="003919F6">
        <w:t xml:space="preserve"> </w:t>
      </w:r>
      <w:r w:rsidR="00F83C61">
        <w:t xml:space="preserve"> </w:t>
      </w:r>
      <w:r w:rsidR="00F83C61" w:rsidRPr="003919F6">
        <w:t>These domains represent SAMHSA’s focus on the factors that contribute to the success of substance abuse treatment.</w:t>
      </w:r>
      <w:r w:rsidR="00F83C61" w:rsidRPr="003919F6">
        <w:rPr>
          <w:szCs w:val="18"/>
        </w:rPr>
        <w:t xml:space="preserve"> </w:t>
      </w:r>
      <w:r w:rsidR="00245AA9">
        <w:rPr>
          <w:szCs w:val="18"/>
        </w:rPr>
        <w:t>Data from the CDP will be used to address s</w:t>
      </w:r>
      <w:r w:rsidR="00981E7E">
        <w:rPr>
          <w:szCs w:val="18"/>
        </w:rPr>
        <w:t>pecific c</w:t>
      </w:r>
      <w:r w:rsidR="00F83C61" w:rsidRPr="003919F6">
        <w:t>lient/</w:t>
      </w:r>
      <w:r w:rsidR="00981E7E">
        <w:t>p</w:t>
      </w:r>
      <w:r w:rsidR="00F83C61" w:rsidRPr="003919F6">
        <w:t xml:space="preserve">articipant Outcome Measures </w:t>
      </w:r>
      <w:r w:rsidR="002054DA">
        <w:t>for the</w:t>
      </w:r>
      <w:r w:rsidR="00F83C61" w:rsidRPr="003919F6">
        <w:t xml:space="preserve"> following</w:t>
      </w:r>
      <w:r w:rsidR="00F83C61" w:rsidRPr="003919F6">
        <w:rPr>
          <w:szCs w:val="18"/>
        </w:rPr>
        <w:t xml:space="preserve"> </w:t>
      </w:r>
      <w:r w:rsidR="002054DA">
        <w:rPr>
          <w:szCs w:val="18"/>
        </w:rPr>
        <w:t>GPRA domains</w:t>
      </w:r>
      <w:r w:rsidR="00CF65C1">
        <w:rPr>
          <w:szCs w:val="18"/>
        </w:rPr>
        <w:t>:</w:t>
      </w:r>
    </w:p>
    <w:p w:rsidR="00F12D39" w:rsidRDefault="00F12D39" w:rsidP="00CF65C1">
      <w:pPr>
        <w:pStyle w:val="ListParagraph"/>
        <w:numPr>
          <w:ilvl w:val="0"/>
          <w:numId w:val="22"/>
        </w:numPr>
        <w:tabs>
          <w:tab w:val="clear" w:pos="1560"/>
          <w:tab w:val="num" w:pos="1890"/>
        </w:tabs>
        <w:ind w:left="720" w:hanging="450"/>
        <w:rPr>
          <w:b/>
        </w:rPr>
      </w:pPr>
      <w:r w:rsidRPr="00F12D39">
        <w:rPr>
          <w:szCs w:val="18"/>
        </w:rPr>
        <w:t>Abstinence from Drug or</w:t>
      </w:r>
      <w:r w:rsidR="00F83C61" w:rsidRPr="00F12D39">
        <w:rPr>
          <w:szCs w:val="18"/>
        </w:rPr>
        <w:t xml:space="preserve"> Alcohol Use</w:t>
      </w:r>
    </w:p>
    <w:p w:rsidR="00F12D39" w:rsidRPr="00F12D39" w:rsidRDefault="00F12D39" w:rsidP="00CF65C1">
      <w:pPr>
        <w:pStyle w:val="ListParagraph"/>
        <w:numPr>
          <w:ilvl w:val="0"/>
          <w:numId w:val="22"/>
        </w:numPr>
        <w:tabs>
          <w:tab w:val="clear" w:pos="1560"/>
          <w:tab w:val="num" w:pos="1890"/>
        </w:tabs>
        <w:ind w:left="720" w:hanging="450"/>
      </w:pPr>
      <w:r w:rsidRPr="00F12D39">
        <w:t>Access to Care</w:t>
      </w:r>
    </w:p>
    <w:p w:rsidR="00F83C61" w:rsidRPr="00F12D39" w:rsidRDefault="00F83C61" w:rsidP="00CF65C1">
      <w:pPr>
        <w:pStyle w:val="ListParagraph"/>
        <w:numPr>
          <w:ilvl w:val="0"/>
          <w:numId w:val="22"/>
        </w:numPr>
        <w:tabs>
          <w:tab w:val="clear" w:pos="1560"/>
          <w:tab w:val="num" w:pos="1890"/>
        </w:tabs>
        <w:ind w:left="720" w:hanging="450"/>
        <w:rPr>
          <w:b/>
        </w:rPr>
      </w:pPr>
      <w:r w:rsidRPr="00F12D39">
        <w:rPr>
          <w:szCs w:val="18"/>
        </w:rPr>
        <w:t xml:space="preserve">Crime and Criminal Justice </w:t>
      </w:r>
    </w:p>
    <w:p w:rsidR="00F83C61" w:rsidRPr="00F83C61" w:rsidRDefault="00981E7E" w:rsidP="00CF65C1">
      <w:pPr>
        <w:pStyle w:val="ListBullet"/>
        <w:spacing w:before="0"/>
        <w:ind w:left="720" w:hanging="450"/>
        <w:rPr>
          <w:rFonts w:ascii="Times New Roman" w:hAnsi="Times New Roman"/>
          <w:b/>
        </w:rPr>
      </w:pPr>
      <w:r>
        <w:rPr>
          <w:rFonts w:ascii="Times New Roman" w:hAnsi="Times New Roman"/>
          <w:szCs w:val="18"/>
        </w:rPr>
        <w:t>Employment and</w:t>
      </w:r>
      <w:r w:rsidR="00F83C61" w:rsidRPr="00F83C61">
        <w:rPr>
          <w:rFonts w:ascii="Times New Roman" w:hAnsi="Times New Roman"/>
          <w:szCs w:val="18"/>
        </w:rPr>
        <w:t xml:space="preserve"> Education </w:t>
      </w:r>
    </w:p>
    <w:p w:rsidR="00F83C61" w:rsidRPr="00F83C61" w:rsidRDefault="00F83C61" w:rsidP="00CF65C1">
      <w:pPr>
        <w:numPr>
          <w:ilvl w:val="0"/>
          <w:numId w:val="22"/>
        </w:numPr>
        <w:tabs>
          <w:tab w:val="clear" w:pos="1560"/>
          <w:tab w:val="num" w:pos="1890"/>
        </w:tabs>
        <w:ind w:left="720" w:hanging="450"/>
        <w:rPr>
          <w:b/>
        </w:rPr>
      </w:pPr>
      <w:r w:rsidRPr="003919F6">
        <w:t>Evidence-Based Practices</w:t>
      </w:r>
    </w:p>
    <w:p w:rsidR="00F83C61" w:rsidRPr="00F83C61" w:rsidRDefault="00F83C61" w:rsidP="00CF65C1">
      <w:pPr>
        <w:numPr>
          <w:ilvl w:val="0"/>
          <w:numId w:val="22"/>
        </w:numPr>
        <w:tabs>
          <w:tab w:val="clear" w:pos="1560"/>
          <w:tab w:val="num" w:pos="1890"/>
        </w:tabs>
        <w:ind w:left="720" w:hanging="450"/>
        <w:rPr>
          <w:b/>
        </w:rPr>
      </w:pPr>
      <w:r w:rsidRPr="00F83C61">
        <w:t>Functioning</w:t>
      </w:r>
    </w:p>
    <w:p w:rsidR="00F83C61" w:rsidRPr="00F83C61" w:rsidRDefault="00F83C61" w:rsidP="00CF65C1">
      <w:pPr>
        <w:numPr>
          <w:ilvl w:val="0"/>
          <w:numId w:val="22"/>
        </w:numPr>
        <w:tabs>
          <w:tab w:val="clear" w:pos="1560"/>
          <w:tab w:val="num" w:pos="1890"/>
        </w:tabs>
        <w:ind w:left="720" w:hanging="450"/>
        <w:rPr>
          <w:b/>
        </w:rPr>
      </w:pPr>
      <w:r w:rsidRPr="00F83C61">
        <w:rPr>
          <w:szCs w:val="18"/>
        </w:rPr>
        <w:t>Peer Recovery Support (previously called Social Connectedness</w:t>
      </w:r>
      <w:r>
        <w:rPr>
          <w:szCs w:val="18"/>
        </w:rPr>
        <w:t>)</w:t>
      </w:r>
    </w:p>
    <w:p w:rsidR="00F83C61" w:rsidRPr="00F83C61" w:rsidRDefault="00F83C61" w:rsidP="00CF65C1">
      <w:pPr>
        <w:pStyle w:val="ListBullet"/>
        <w:spacing w:before="0"/>
        <w:ind w:left="720" w:hanging="450"/>
        <w:rPr>
          <w:rFonts w:ascii="Times New Roman" w:hAnsi="Times New Roman"/>
          <w:b/>
        </w:rPr>
      </w:pPr>
      <w:r w:rsidRPr="00F83C61">
        <w:rPr>
          <w:rFonts w:ascii="Times New Roman" w:hAnsi="Times New Roman"/>
        </w:rPr>
        <w:t>Perception of Care</w:t>
      </w:r>
    </w:p>
    <w:p w:rsidR="00F83C61" w:rsidRPr="00F83C61" w:rsidRDefault="00F83C61" w:rsidP="00CF65C1">
      <w:pPr>
        <w:numPr>
          <w:ilvl w:val="0"/>
          <w:numId w:val="22"/>
        </w:numPr>
        <w:tabs>
          <w:tab w:val="clear" w:pos="1560"/>
          <w:tab w:val="num" w:pos="1890"/>
        </w:tabs>
        <w:ind w:left="720" w:hanging="450"/>
        <w:rPr>
          <w:b/>
        </w:rPr>
      </w:pPr>
      <w:r w:rsidRPr="00F83C61">
        <w:rPr>
          <w:szCs w:val="18"/>
        </w:rPr>
        <w:t>Retention</w:t>
      </w:r>
    </w:p>
    <w:p w:rsidR="00CA1BC3" w:rsidRPr="00AE2FC8" w:rsidRDefault="00CA1BC3" w:rsidP="00204D7A">
      <w:pPr>
        <w:pStyle w:val="ListBullet"/>
        <w:keepNext/>
        <w:keepLines/>
        <w:spacing w:before="0"/>
        <w:ind w:left="720" w:hanging="450"/>
        <w:rPr>
          <w:rFonts w:ascii="Times New Roman" w:hAnsi="Times New Roman"/>
          <w:b/>
        </w:rPr>
      </w:pPr>
      <w:r w:rsidRPr="00F83C61">
        <w:rPr>
          <w:rFonts w:ascii="Times New Roman" w:hAnsi="Times New Roman"/>
        </w:rPr>
        <w:t>Stability in Housing</w:t>
      </w:r>
    </w:p>
    <w:p w:rsidR="00AE2FC8" w:rsidRPr="00F83C61" w:rsidRDefault="00AE2FC8" w:rsidP="00204D7A">
      <w:pPr>
        <w:pStyle w:val="ListBullet"/>
        <w:keepNext/>
        <w:keepLines/>
        <w:spacing w:before="0" w:after="240"/>
        <w:ind w:left="720" w:hanging="446"/>
        <w:rPr>
          <w:rFonts w:ascii="Times New Roman" w:hAnsi="Times New Roman"/>
          <w:b/>
        </w:rPr>
      </w:pPr>
      <w:r>
        <w:rPr>
          <w:rFonts w:ascii="Times New Roman" w:hAnsi="Times New Roman"/>
        </w:rPr>
        <w:t>HIV/AIDS Measures</w:t>
      </w:r>
    </w:p>
    <w:p w:rsidR="009F6881" w:rsidRDefault="00CA1BC3" w:rsidP="00B54D96">
      <w:pPr>
        <w:pStyle w:val="BodyText"/>
        <w:keepNext/>
        <w:keepLines/>
      </w:pPr>
      <w:r w:rsidRPr="003919F6">
        <w:t>As stated above, the SAMHSA programs that provide direct treatment to consumers, or Services programs, currently have an OMB-approved data collection in place. Consequently, this request</w:t>
      </w:r>
      <w:r w:rsidR="009F6881">
        <w:t xml:space="preserve"> is</w:t>
      </w:r>
      <w:r w:rsidRPr="003919F6">
        <w:t xml:space="preserve"> for approval of </w:t>
      </w:r>
      <w:r w:rsidR="00F83C61">
        <w:t xml:space="preserve">a replacement for those data collection instruments.  </w:t>
      </w:r>
      <w:r w:rsidRPr="003919F6">
        <w:t xml:space="preserve">SAMHSA </w:t>
      </w:r>
      <w:r w:rsidR="00745BA3">
        <w:t xml:space="preserve">CDP elements </w:t>
      </w:r>
      <w:r w:rsidRPr="003919F6">
        <w:t>will be collected at baseline, at six month reassessments for as long as the consumer remains in treatment, and at discharge</w:t>
      </w:r>
      <w:r w:rsidR="00B54D96">
        <w:t>.</w:t>
      </w:r>
    </w:p>
    <w:p w:rsidR="00FA731B" w:rsidRDefault="00FA731B" w:rsidP="00FA731B">
      <w:pPr>
        <w:pStyle w:val="HTMLPreformatted"/>
        <w:spacing w:after="240"/>
        <w:rPr>
          <w:rFonts w:ascii="Times New Roman" w:hAnsi="Times New Roman" w:cs="Times New Roman"/>
          <w:sz w:val="24"/>
          <w:szCs w:val="24"/>
        </w:rPr>
      </w:pPr>
      <w:r>
        <w:rPr>
          <w:rFonts w:ascii="Times New Roman" w:hAnsi="Times New Roman" w:cs="Times New Roman"/>
          <w:sz w:val="24"/>
          <w:szCs w:val="24"/>
        </w:rPr>
        <w:t>SAMHSA will provide grantees collecting these measures with Instruction Manuals that provide detail regarding the administration of all CDP measures</w:t>
      </w:r>
      <w:r w:rsidR="00D02BC2">
        <w:rPr>
          <w:rFonts w:ascii="Times New Roman" w:hAnsi="Times New Roman" w:cs="Times New Roman"/>
          <w:sz w:val="24"/>
          <w:szCs w:val="24"/>
        </w:rPr>
        <w:t xml:space="preserve"> (see Attachments 9 and 10</w:t>
      </w:r>
      <w:r>
        <w:rPr>
          <w:rFonts w:ascii="Times New Roman" w:hAnsi="Times New Roman" w:cs="Times New Roman"/>
          <w:sz w:val="24"/>
          <w:szCs w:val="24"/>
        </w:rPr>
        <w:t xml:space="preserve"> for draft versions of the CSAP and CMHS/CSAT versions of these manuals).</w:t>
      </w:r>
    </w:p>
    <w:p w:rsidR="00FA731B" w:rsidRDefault="00FA731B" w:rsidP="00B54D96">
      <w:pPr>
        <w:pStyle w:val="BodyText"/>
        <w:keepNext/>
        <w:keepLines/>
        <w:rPr>
          <w:i/>
          <w:szCs w:val="24"/>
        </w:rPr>
      </w:pPr>
    </w:p>
    <w:p w:rsidR="009F6881" w:rsidRDefault="008F4261" w:rsidP="009F6881">
      <w:pPr>
        <w:spacing w:after="120"/>
        <w:rPr>
          <w:b/>
          <w:szCs w:val="24"/>
        </w:rPr>
      </w:pPr>
      <w:r>
        <w:rPr>
          <w:b/>
          <w:szCs w:val="24"/>
        </w:rPr>
        <w:t xml:space="preserve">Program Level Data Collection: CMHS’s </w:t>
      </w:r>
      <w:r w:rsidR="009F6881" w:rsidRPr="009F6881">
        <w:rPr>
          <w:b/>
          <w:szCs w:val="24"/>
        </w:rPr>
        <w:t>Infrastructure</w:t>
      </w:r>
      <w:r w:rsidR="008B3128">
        <w:rPr>
          <w:b/>
          <w:szCs w:val="24"/>
        </w:rPr>
        <w:t>, Prevention, and Policy Development</w:t>
      </w:r>
      <w:r w:rsidR="009F6881">
        <w:rPr>
          <w:b/>
          <w:szCs w:val="24"/>
        </w:rPr>
        <w:t xml:space="preserve"> (IP</w:t>
      </w:r>
      <w:r w:rsidR="008B3128">
        <w:rPr>
          <w:b/>
          <w:szCs w:val="24"/>
        </w:rPr>
        <w:t>P</w:t>
      </w:r>
      <w:r w:rsidR="009F6881">
        <w:rPr>
          <w:b/>
          <w:szCs w:val="24"/>
        </w:rPr>
        <w:t>)</w:t>
      </w:r>
      <w:r>
        <w:rPr>
          <w:b/>
          <w:szCs w:val="24"/>
        </w:rPr>
        <w:t xml:space="preserve"> Indicators and CSAT’s Aggregate </w:t>
      </w:r>
      <w:r w:rsidR="00EB47E8">
        <w:rPr>
          <w:b/>
          <w:szCs w:val="24"/>
        </w:rPr>
        <w:t>Instrument</w:t>
      </w:r>
    </w:p>
    <w:p w:rsidR="009F6881" w:rsidRPr="00B54D26" w:rsidRDefault="00B54D26" w:rsidP="009F6881">
      <w:pPr>
        <w:spacing w:after="120"/>
        <w:rPr>
          <w:b/>
        </w:rPr>
      </w:pPr>
      <w:r>
        <w:rPr>
          <w:szCs w:val="24"/>
        </w:rPr>
        <w:t xml:space="preserve">Some of the </w:t>
      </w:r>
      <w:r w:rsidR="009F6881">
        <w:rPr>
          <w:szCs w:val="24"/>
        </w:rPr>
        <w:t xml:space="preserve">SAMHSA programs focus on infrastructure and policy development.  </w:t>
      </w:r>
      <w:r w:rsidR="00A55E5D">
        <w:rPr>
          <w:szCs w:val="24"/>
        </w:rPr>
        <w:t>A total of 29</w:t>
      </w:r>
      <w:r>
        <w:rPr>
          <w:szCs w:val="24"/>
        </w:rPr>
        <w:t xml:space="preserve"> CMHS grant programs will be </w:t>
      </w:r>
      <w:r w:rsidR="004712EE">
        <w:rPr>
          <w:szCs w:val="24"/>
        </w:rPr>
        <w:t>using the IPP</w:t>
      </w:r>
      <w:r>
        <w:rPr>
          <w:szCs w:val="24"/>
        </w:rPr>
        <w:t xml:space="preserve"> instrument. </w:t>
      </w:r>
      <w:r>
        <w:rPr>
          <w:b/>
        </w:rPr>
        <w:t xml:space="preserve"> </w:t>
      </w:r>
      <w:r w:rsidR="009F6881">
        <w:rPr>
          <w:szCs w:val="24"/>
        </w:rPr>
        <w:t>Grantees for these programs complete a form intended to capture information about the following cat</w:t>
      </w:r>
      <w:r w:rsidR="00896E22">
        <w:rPr>
          <w:szCs w:val="24"/>
        </w:rPr>
        <w:t>egories and indicators</w:t>
      </w:r>
      <w:r w:rsidR="009F6881">
        <w:rPr>
          <w:szCs w:val="24"/>
        </w:rPr>
        <w:t>: policy development, workforce development, financing, organizational change, partnership collaborations, accountability, types and targets of practice, awareness activities, training, knowledge/attitudes/beliefs, screening, outreach, referral, and access.</w:t>
      </w:r>
    </w:p>
    <w:p w:rsidR="008F4261" w:rsidRDefault="009F6881" w:rsidP="009F6881">
      <w:pPr>
        <w:spacing w:after="120"/>
        <w:rPr>
          <w:szCs w:val="24"/>
        </w:rPr>
      </w:pPr>
      <w:r>
        <w:rPr>
          <w:szCs w:val="24"/>
        </w:rPr>
        <w:t xml:space="preserve">For example, the Policy Development indicator (PD) asks about the </w:t>
      </w:r>
      <w:r w:rsidRPr="009F6881">
        <w:rPr>
          <w:szCs w:val="24"/>
        </w:rPr>
        <w:t>number of organizations or communities that demonstrate improved readiness to change their systems in order to implement specific mental health-related practices.</w:t>
      </w:r>
      <w:r>
        <w:rPr>
          <w:szCs w:val="24"/>
        </w:rPr>
        <w:t xml:space="preserve"> The workforce development indicator includes t</w:t>
      </w:r>
      <w:r w:rsidRPr="009F6881">
        <w:rPr>
          <w:szCs w:val="24"/>
        </w:rPr>
        <w:t xml:space="preserve">he number of </w:t>
      </w:r>
      <w:r w:rsidRPr="009F6881">
        <w:rPr>
          <w:szCs w:val="24"/>
        </w:rPr>
        <w:lastRenderedPageBreak/>
        <w:t>people in the mental health and related workforce trained in specific mental health-related practices/activities as a result of the grant.</w:t>
      </w:r>
      <w:r w:rsidR="007D103C">
        <w:rPr>
          <w:szCs w:val="24"/>
        </w:rPr>
        <w:t xml:space="preserve"> </w:t>
      </w:r>
    </w:p>
    <w:p w:rsidR="008F4261" w:rsidRDefault="003F3409" w:rsidP="009F6881">
      <w:pPr>
        <w:spacing w:after="120"/>
        <w:rPr>
          <w:szCs w:val="24"/>
        </w:rPr>
      </w:pPr>
      <w:r>
        <w:rPr>
          <w:szCs w:val="24"/>
        </w:rPr>
        <w:t>In addition, on</w:t>
      </w:r>
      <w:r w:rsidR="008F4261">
        <w:rPr>
          <w:szCs w:val="24"/>
        </w:rPr>
        <w:t xml:space="preserve">e program (ATCC) will be using the </w:t>
      </w:r>
      <w:r w:rsidR="00EB6EB6">
        <w:rPr>
          <w:szCs w:val="24"/>
        </w:rPr>
        <w:t xml:space="preserve">CSAT </w:t>
      </w:r>
      <w:r w:rsidR="008F4261">
        <w:rPr>
          <w:szCs w:val="24"/>
        </w:rPr>
        <w:t xml:space="preserve">Aggregate </w:t>
      </w:r>
      <w:r w:rsidR="00EB47E8">
        <w:rPr>
          <w:szCs w:val="24"/>
        </w:rPr>
        <w:t>Instrument</w:t>
      </w:r>
      <w:r w:rsidR="008F4261">
        <w:rPr>
          <w:szCs w:val="24"/>
        </w:rPr>
        <w:t xml:space="preserve"> which collects information on policy changes, financing policy changes, resources, system links, and special needs/evidence based practices.</w:t>
      </w:r>
    </w:p>
    <w:p w:rsidR="005A4A00" w:rsidRPr="00446BA6" w:rsidRDefault="005A4A00" w:rsidP="009F6881">
      <w:pPr>
        <w:spacing w:before="240"/>
        <w:rPr>
          <w:b/>
        </w:rPr>
      </w:pPr>
      <w:r>
        <w:rPr>
          <w:b/>
        </w:rPr>
        <w:t>A</w:t>
      </w:r>
      <w:r w:rsidRPr="00446BA6">
        <w:rPr>
          <w:b/>
        </w:rPr>
        <w:t>3.     Use of Improved Information Technology and Burden Reduction</w:t>
      </w:r>
    </w:p>
    <w:p w:rsidR="005A4A00" w:rsidRDefault="005A4A00" w:rsidP="00CF65C1"/>
    <w:p w:rsidR="00E01C33" w:rsidRDefault="00E01C33" w:rsidP="00CF65C1">
      <w:r w:rsidRPr="00127D2D">
        <w:t>The CDP will provide a common system for prevention and treatment centers, reducing overall costs and improving both partner experience and internal government reporting.</w:t>
      </w:r>
    </w:p>
    <w:p w:rsidR="00E01C33" w:rsidRDefault="00E01C33" w:rsidP="00CF65C1"/>
    <w:p w:rsidR="005A4A00" w:rsidRPr="007E08D8" w:rsidRDefault="00E03BB4" w:rsidP="00CF65C1">
      <w:pPr>
        <w:rPr>
          <w:szCs w:val="24"/>
        </w:rPr>
      </w:pPr>
      <w:r w:rsidRPr="00127D2D">
        <w:rPr>
          <w:szCs w:val="24"/>
        </w:rPr>
        <w:t xml:space="preserve">Information technology will be used to reduce program respondent burden. </w:t>
      </w:r>
      <w:r>
        <w:rPr>
          <w:szCs w:val="24"/>
        </w:rPr>
        <w:t xml:space="preserve"> </w:t>
      </w:r>
      <w:r w:rsidRPr="00127D2D">
        <w:t xml:space="preserve">A web-based data collection and entry system has been developed through CBHSQ and is available to all programs for data collection.  </w:t>
      </w:r>
      <w:r w:rsidR="005A4A00">
        <w:t xml:space="preserve">Most </w:t>
      </w:r>
      <w:r w:rsidR="00E01C33">
        <w:t>grantees and providers</w:t>
      </w:r>
      <w:r w:rsidR="005A4A00">
        <w:t xml:space="preserve"> collect their client information using a variety of methods from paper and pencil to electronic methods.  This project will not interfere with ongoing program collection operations that facilitate information collection at each site.  </w:t>
      </w:r>
    </w:p>
    <w:p w:rsidR="005A4A00" w:rsidRDefault="005A4A00" w:rsidP="00CF65C1"/>
    <w:p w:rsidR="00BA1E17" w:rsidRPr="00E03BB4" w:rsidRDefault="005A4A00" w:rsidP="00CF65C1">
      <w:pPr>
        <w:spacing w:after="120"/>
      </w:pPr>
      <w:r w:rsidRPr="00127D2D">
        <w:t xml:space="preserve">This web-based system allows for easy data entry, submission, and reporting to all those who have access to the system.  </w:t>
      </w:r>
      <w:r w:rsidR="003919F6" w:rsidRPr="00127D2D">
        <w:rPr>
          <w:szCs w:val="24"/>
        </w:rPr>
        <w:t>A user’s level of access to the data and repo</w:t>
      </w:r>
      <w:r w:rsidR="003919F6" w:rsidRPr="003919F6">
        <w:rPr>
          <w:szCs w:val="24"/>
        </w:rPr>
        <w:t xml:space="preserve">rts will be defined based on his or her authority and responsibilities.  </w:t>
      </w:r>
      <w:r w:rsidRPr="00C27D46">
        <w:t xml:space="preserve">Access to the data and reports is limited to those individuals with a username and password.  </w:t>
      </w:r>
      <w:r w:rsidR="00E03BB4" w:rsidRPr="00E03BB4">
        <w:rPr>
          <w:szCs w:val="24"/>
        </w:rPr>
        <w:t>Users are able to access the system 24 hours a day, 7 days weeks, aside from scheduled maintenance windows through the use of an encrypted username and password. </w:t>
      </w:r>
    </w:p>
    <w:p w:rsidR="00127D2D" w:rsidRDefault="00127D2D" w:rsidP="00CF65C1"/>
    <w:p w:rsidR="00E01C33" w:rsidRPr="00E01C33" w:rsidRDefault="005A4A00" w:rsidP="00CF65C1">
      <w:pPr>
        <w:rPr>
          <w:szCs w:val="24"/>
        </w:rPr>
      </w:pPr>
      <w:r w:rsidRPr="003919F6">
        <w:t xml:space="preserve">A few programs submit their data electronically through an upload process.  This </w:t>
      </w:r>
      <w:r w:rsidR="003919F6">
        <w:t xml:space="preserve">process </w:t>
      </w:r>
      <w:r w:rsidRPr="003919F6">
        <w:t>facilitates the submission of data while avoiding duplication of the data entry process.  Programs that collect these data for other purposes are spared an additional collection burden</w:t>
      </w:r>
      <w:r w:rsidR="00BA1E17">
        <w:t xml:space="preserve">.  </w:t>
      </w:r>
      <w:r w:rsidR="00E01C33" w:rsidRPr="007A129D">
        <w:rPr>
          <w:szCs w:val="24"/>
        </w:rPr>
        <w:t>Electronic submission of the data promotes enhanced data quality.</w:t>
      </w:r>
      <w:r w:rsidR="00BA1E17">
        <w:rPr>
          <w:szCs w:val="24"/>
        </w:rPr>
        <w:t xml:space="preserve"> </w:t>
      </w:r>
      <w:r w:rsidR="00E01C33" w:rsidRPr="007A129D">
        <w:rPr>
          <w:szCs w:val="24"/>
        </w:rPr>
        <w:t xml:space="preserve"> With built-in data quality checks and easy access to data outputs and reports, users of the data can feel confident about the quality of the output. </w:t>
      </w:r>
      <w:r w:rsidR="00BA1E17">
        <w:rPr>
          <w:szCs w:val="24"/>
        </w:rPr>
        <w:t xml:space="preserve"> </w:t>
      </w:r>
      <w:r w:rsidR="00E01C33" w:rsidRPr="007A129D">
        <w:rPr>
          <w:szCs w:val="24"/>
        </w:rPr>
        <w:t xml:space="preserve">The electronic submission also promotes immediate access to the dataset. </w:t>
      </w:r>
      <w:r w:rsidR="00E03BB4">
        <w:rPr>
          <w:szCs w:val="24"/>
        </w:rPr>
        <w:t xml:space="preserve"> </w:t>
      </w:r>
      <w:r w:rsidR="00E01C33" w:rsidRPr="007A129D">
        <w:rPr>
          <w:szCs w:val="24"/>
        </w:rPr>
        <w:t>Once the data are put into the web-based system, it will be available for access, review, and reporting by all those with access to the system from Center staff to the grantee staff.</w:t>
      </w:r>
      <w:r w:rsidR="00E01C33" w:rsidRPr="00E01C33">
        <w:rPr>
          <w:szCs w:val="24"/>
        </w:rPr>
        <w:t xml:space="preserve">  </w:t>
      </w:r>
    </w:p>
    <w:p w:rsidR="00E01C33" w:rsidRDefault="00E01C33" w:rsidP="00CF65C1">
      <w:pPr>
        <w:rPr>
          <w:b/>
        </w:rPr>
      </w:pPr>
    </w:p>
    <w:p w:rsidR="005A4A00" w:rsidRPr="00705E94" w:rsidRDefault="005A4A00" w:rsidP="00F463D2">
      <w:pPr>
        <w:keepNext/>
        <w:keepLines/>
        <w:rPr>
          <w:b/>
        </w:rPr>
      </w:pPr>
      <w:r>
        <w:rPr>
          <w:b/>
        </w:rPr>
        <w:t>A</w:t>
      </w:r>
      <w:r w:rsidRPr="00705E94">
        <w:rPr>
          <w:b/>
        </w:rPr>
        <w:t xml:space="preserve">4.  </w:t>
      </w:r>
      <w:r>
        <w:rPr>
          <w:b/>
        </w:rPr>
        <w:t xml:space="preserve">   </w:t>
      </w:r>
      <w:r w:rsidRPr="00446BA6">
        <w:rPr>
          <w:b/>
          <w:bCs/>
        </w:rPr>
        <w:t>Efforts to Identify Duplication and Use of Similar Information</w:t>
      </w:r>
    </w:p>
    <w:p w:rsidR="005A4A00" w:rsidRDefault="005A4A00" w:rsidP="00F463D2">
      <w:pPr>
        <w:keepNext/>
        <w:keepLines/>
      </w:pPr>
    </w:p>
    <w:p w:rsidR="005A4A00" w:rsidRDefault="005A4A00" w:rsidP="00F463D2">
      <w:pPr>
        <w:keepNext/>
        <w:keepLines/>
        <w:rPr>
          <w:szCs w:val="24"/>
        </w:rPr>
      </w:pPr>
      <w:r w:rsidRPr="007A129D">
        <w:rPr>
          <w:szCs w:val="24"/>
        </w:rPr>
        <w:t>The items collected are necessary in order to assess grantee performance.  SAMHSA is promoting the use of performance measures across all programs</w:t>
      </w:r>
      <w:r w:rsidR="00DB7353">
        <w:rPr>
          <w:szCs w:val="24"/>
        </w:rPr>
        <w:t>.  T</w:t>
      </w:r>
      <w:r w:rsidRPr="007A129D">
        <w:rPr>
          <w:szCs w:val="24"/>
        </w:rPr>
        <w:t>his effort will result in less overlap and duplication and substantially reduce the burden on grantees that results from data demands associated with</w:t>
      </w:r>
      <w:r w:rsidR="00DB7353">
        <w:rPr>
          <w:szCs w:val="24"/>
        </w:rPr>
        <w:t xml:space="preserve"> multiple,</w:t>
      </w:r>
      <w:r w:rsidRPr="007A129D">
        <w:rPr>
          <w:szCs w:val="24"/>
        </w:rPr>
        <w:t xml:space="preserve"> individual programs.  SAMSHA </w:t>
      </w:r>
      <w:r w:rsidR="00050C68">
        <w:rPr>
          <w:szCs w:val="24"/>
        </w:rPr>
        <w:t xml:space="preserve">has </w:t>
      </w:r>
      <w:r w:rsidRPr="007A129D">
        <w:rPr>
          <w:szCs w:val="24"/>
        </w:rPr>
        <w:t>work</w:t>
      </w:r>
      <w:r w:rsidR="00050C68">
        <w:rPr>
          <w:szCs w:val="24"/>
        </w:rPr>
        <w:t>ed</w:t>
      </w:r>
      <w:r w:rsidRPr="007A129D">
        <w:rPr>
          <w:szCs w:val="24"/>
        </w:rPr>
        <w:t xml:space="preserve"> closely with the grantees to identify whether other data are being collected by the grantee that may be redundant to the </w:t>
      </w:r>
      <w:r w:rsidR="00F463D2">
        <w:rPr>
          <w:szCs w:val="24"/>
        </w:rPr>
        <w:t xml:space="preserve">CDP </w:t>
      </w:r>
      <w:r w:rsidRPr="007A129D">
        <w:rPr>
          <w:szCs w:val="24"/>
        </w:rPr>
        <w:t>instrument</w:t>
      </w:r>
      <w:r w:rsidR="00050C68">
        <w:rPr>
          <w:szCs w:val="24"/>
        </w:rPr>
        <w:t xml:space="preserve"> and has identified an</w:t>
      </w:r>
      <w:r w:rsidRPr="007A129D">
        <w:rPr>
          <w:szCs w:val="24"/>
        </w:rPr>
        <w:t xml:space="preserve"> action plan to leverage the duplicative efforts, and streamline the data items to reduce client burden.</w:t>
      </w:r>
      <w:r>
        <w:rPr>
          <w:szCs w:val="24"/>
        </w:rPr>
        <w:t xml:space="preserve">  </w:t>
      </w:r>
    </w:p>
    <w:p w:rsidR="00D3690E" w:rsidRDefault="00D3690E" w:rsidP="00CF65C1">
      <w:pPr>
        <w:rPr>
          <w:szCs w:val="24"/>
        </w:rPr>
      </w:pPr>
    </w:p>
    <w:p w:rsidR="00D3690E" w:rsidRPr="00DB5115" w:rsidRDefault="00D3690E" w:rsidP="00CF65C1">
      <w:pPr>
        <w:pStyle w:val="BodyText"/>
      </w:pPr>
      <w:r w:rsidRPr="00C21659">
        <w:t xml:space="preserve">A program-level review of current measures and methods of collection was conducted to identify duplication of these data collection efforts. </w:t>
      </w:r>
      <w:r w:rsidR="000A4D4C">
        <w:t xml:space="preserve"> </w:t>
      </w:r>
      <w:r w:rsidRPr="00C21659">
        <w:t xml:space="preserve">With the goal of creating standardized indicators and methods for monitoring grantee performance across the Center, existing measures were considered for use where appropriate. </w:t>
      </w:r>
      <w:r w:rsidR="007A129D" w:rsidRPr="00C21659">
        <w:t xml:space="preserve"> </w:t>
      </w:r>
      <w:r w:rsidRPr="00C21659">
        <w:t xml:space="preserve">However, modification of current measures was necessary in some cases to generalize across varied programs. Each of these data collection instruments was reviewed and approved </w:t>
      </w:r>
      <w:r w:rsidRPr="00C21659">
        <w:lastRenderedPageBreak/>
        <w:t xml:space="preserve">by the Government Project Officers, Branch Chiefs, and </w:t>
      </w:r>
      <w:r w:rsidR="007A129D" w:rsidRPr="00C21659">
        <w:t xml:space="preserve">SAMHSA </w:t>
      </w:r>
      <w:r w:rsidRPr="00C21659">
        <w:t>senior leadership as meeting the performance monitoring and management needs of individual programs and the Center. Since many of the grantees engaged in infrastructure development, prevention, and mental health promotion activities already collect data for the proposed indicators, the creation of this system will provide them with a standardi</w:t>
      </w:r>
      <w:r w:rsidR="007A129D" w:rsidRPr="00C21659">
        <w:t>zed method for reporting to SAMHSA</w:t>
      </w:r>
      <w:r w:rsidRPr="00C21659">
        <w:t>.</w:t>
      </w:r>
    </w:p>
    <w:p w:rsidR="005A4A00" w:rsidRPr="00446BA6" w:rsidRDefault="005A4A00" w:rsidP="00F926A7">
      <w:pPr>
        <w:keepNext/>
        <w:keepLines/>
        <w:rPr>
          <w:b/>
        </w:rPr>
      </w:pPr>
      <w:r>
        <w:rPr>
          <w:b/>
        </w:rPr>
        <w:t>A</w:t>
      </w:r>
      <w:r w:rsidRPr="00446BA6">
        <w:rPr>
          <w:b/>
        </w:rPr>
        <w:t xml:space="preserve">5.     </w:t>
      </w:r>
      <w:r>
        <w:rPr>
          <w:b/>
        </w:rPr>
        <w:t xml:space="preserve">Involvement of Small Entities </w:t>
      </w:r>
    </w:p>
    <w:p w:rsidR="005A4A00" w:rsidRDefault="005A4A00" w:rsidP="00F926A7">
      <w:pPr>
        <w:keepNext/>
        <w:keepLines/>
      </w:pPr>
    </w:p>
    <w:p w:rsidR="005A4A00" w:rsidRPr="000A4D4C" w:rsidRDefault="005A4A00" w:rsidP="00F926A7">
      <w:pPr>
        <w:keepNext/>
        <w:keepLines/>
        <w:rPr>
          <w:color w:val="000000" w:themeColor="text1"/>
        </w:rPr>
      </w:pPr>
      <w:r w:rsidRPr="000A4D4C">
        <w:rPr>
          <w:color w:val="000000" w:themeColor="text1"/>
        </w:rPr>
        <w:t xml:space="preserve">Individual grantees vary from small entities through large provider organizations.  Every effort has been made to minimize the number of data items collected from programs to the least number required to accomplish the objectives of the effort and to meet GPRA reporting requirements and therefore, there is no significant impact involving small entities.  </w:t>
      </w:r>
    </w:p>
    <w:p w:rsidR="005A4A00" w:rsidRDefault="005A4A00" w:rsidP="00CF65C1"/>
    <w:p w:rsidR="005A4A00" w:rsidRDefault="005A4A00" w:rsidP="00CF65C1">
      <w:pPr>
        <w:rPr>
          <w:b/>
          <w:u w:val="single"/>
        </w:rPr>
      </w:pPr>
      <w:r>
        <w:rPr>
          <w:b/>
        </w:rPr>
        <w:t>A</w:t>
      </w:r>
      <w:r w:rsidRPr="00446BA6">
        <w:rPr>
          <w:b/>
        </w:rPr>
        <w:t>6.     Consequences of Collecting the Information Less Frequently</w:t>
      </w:r>
      <w:r w:rsidRPr="00446BA6" w:rsidDel="00446BA6">
        <w:rPr>
          <w:b/>
          <w:u w:val="single"/>
        </w:rPr>
        <w:t xml:space="preserve"> </w:t>
      </w:r>
    </w:p>
    <w:p w:rsidR="005A4A00" w:rsidRDefault="005A4A00" w:rsidP="00CF65C1">
      <w:pPr>
        <w:rPr>
          <w:rFonts w:ascii="Times" w:hAnsi="Times"/>
        </w:rPr>
      </w:pPr>
    </w:p>
    <w:p w:rsidR="00D6345F" w:rsidRDefault="005A4A00" w:rsidP="00E916C1">
      <w:pPr>
        <w:spacing w:after="240"/>
      </w:pPr>
      <w:r w:rsidRPr="00C9488E">
        <w:t xml:space="preserve">The data collection points remain unchanged from previous </w:t>
      </w:r>
      <w:r w:rsidR="00C9488E" w:rsidRPr="00C9488E">
        <w:t xml:space="preserve">instruments. </w:t>
      </w:r>
      <w:r w:rsidRPr="00C9488E">
        <w:t xml:space="preserve"> </w:t>
      </w:r>
      <w:r w:rsidR="00D6345F" w:rsidRPr="00D6345F">
        <w:t>All programs that provide direct services will collect data</w:t>
      </w:r>
      <w:r w:rsidR="00D6345F">
        <w:t xml:space="preserve">. </w:t>
      </w:r>
      <w:r w:rsidR="00D6345F" w:rsidRPr="00D6345F">
        <w:t xml:space="preserve"> </w:t>
      </w:r>
    </w:p>
    <w:p w:rsidR="00D6345F" w:rsidRPr="00D6345F" w:rsidRDefault="005A4A00" w:rsidP="00CF65C1">
      <w:pPr>
        <w:pStyle w:val="BodyText"/>
      </w:pPr>
      <w:r w:rsidRPr="00C9488E">
        <w:t xml:space="preserve">Substance abuse treatment programs collect data at three time points: intake, </w:t>
      </w:r>
      <w:r w:rsidR="00C9488E" w:rsidRPr="00C9488E">
        <w:t>every six months while the consumer is receiving services</w:t>
      </w:r>
      <w:r w:rsidR="00C9488E">
        <w:t xml:space="preserve"> and </w:t>
      </w:r>
      <w:r w:rsidRPr="00C9488E">
        <w:t>discharge</w:t>
      </w:r>
      <w:r w:rsidR="00C9488E">
        <w:t>; th</w:t>
      </w:r>
      <w:r w:rsidRPr="00C9488E">
        <w:t xml:space="preserve">ese times are part of regular program activity. </w:t>
      </w:r>
      <w:r w:rsidR="00C9488E" w:rsidRPr="00C9488E">
        <w:t xml:space="preserve"> Mental health programs typically collect client-level data at admission and then conduct periodic reassessments of consumers while the individual remains in services and, when feasible, at discharge. </w:t>
      </w:r>
      <w:r w:rsidR="00C9488E">
        <w:t xml:space="preserve"> Respondents </w:t>
      </w:r>
      <w:r w:rsidRPr="00C9488E">
        <w:t xml:space="preserve">will be asked to respond to the items according to this schedule. </w:t>
      </w:r>
      <w:r w:rsidR="00C9488E">
        <w:t xml:space="preserve"> </w:t>
      </w:r>
      <w:r w:rsidR="00D6345F" w:rsidRPr="00D6345F">
        <w:t xml:space="preserve">The baseline data collection point is critical for </w:t>
      </w:r>
      <w:r w:rsidR="00D6345F">
        <w:t xml:space="preserve">collecting demographic information and for </w:t>
      </w:r>
      <w:r w:rsidR="00D6345F" w:rsidRPr="00D6345F">
        <w:t>measuring changes.</w:t>
      </w:r>
      <w:r w:rsidR="00D6345F">
        <w:t xml:space="preserve"> </w:t>
      </w:r>
      <w:r w:rsidR="00D6345F" w:rsidRPr="00D6345F">
        <w:t xml:space="preserve"> </w:t>
      </w:r>
      <w:r w:rsidR="00D6345F">
        <w:t>Six-month reassessments are need</w:t>
      </w:r>
      <w:r w:rsidR="0071348E">
        <w:t>ed</w:t>
      </w:r>
      <w:r w:rsidR="00D6345F">
        <w:t xml:space="preserve"> to maintain contact and to update information.  </w:t>
      </w:r>
      <w:r w:rsidR="00D6345F" w:rsidRPr="00D6345F">
        <w:t>Extending the interval for the periodic reassessment beyond the requested intervals could lead to loss of contact with consumers, significantly diminishing the response rates</w:t>
      </w:r>
      <w:r w:rsidR="00D6345F">
        <w:t>,</w:t>
      </w:r>
      <w:r w:rsidR="00D6345F" w:rsidRPr="00D6345F">
        <w:t xml:space="preserve"> and lowering the value of the data for performance reporting use by losing measurement of intermediate effects.  </w:t>
      </w:r>
    </w:p>
    <w:p w:rsidR="005A4A00" w:rsidRDefault="005A4A00" w:rsidP="00CF65C1">
      <w:r w:rsidRPr="00C9488E">
        <w:t xml:space="preserve">The adolescent substance abuse treatment grantees are required to collect information additionally at three months post-intake due to the migratory nature of adolescents. </w:t>
      </w:r>
      <w:r w:rsidR="00C9488E">
        <w:t xml:space="preserve"> </w:t>
      </w:r>
      <w:r w:rsidRPr="00C9488E">
        <w:t xml:space="preserve"> It is more difficult to locate adolescents than adults and, therefore, locating them more frequently and closer to their intake date should increase their follow-up rates.  The data will be reported to SAMHSA on an annual basis in keeping with the GPRA requirements for annual reporting.</w:t>
      </w:r>
      <w:r>
        <w:t xml:space="preserve"> </w:t>
      </w:r>
    </w:p>
    <w:p w:rsidR="005A4A00" w:rsidRPr="00103DB0" w:rsidRDefault="005A4A00" w:rsidP="00CF65C1">
      <w:pPr>
        <w:pStyle w:val="Heading2"/>
        <w:spacing w:before="200" w:after="200"/>
        <w:ind w:left="0" w:firstLine="0"/>
      </w:pPr>
      <w:r w:rsidRPr="00103DB0">
        <w:rPr>
          <w:bCs w:val="0"/>
        </w:rPr>
        <w:t>A7.</w:t>
      </w:r>
      <w:r w:rsidRPr="00103DB0">
        <w:rPr>
          <w:b w:val="0"/>
        </w:rPr>
        <w:t xml:space="preserve">      </w:t>
      </w:r>
      <w:r w:rsidRPr="00103DB0">
        <w:t xml:space="preserve">Consistency with the Guidelines in 5 </w:t>
      </w:r>
      <w:proofErr w:type="gramStart"/>
      <w:r w:rsidRPr="00103DB0">
        <w:t>CFR1320.5(</w:t>
      </w:r>
      <w:proofErr w:type="gramEnd"/>
      <w:r w:rsidRPr="00103DB0">
        <w:t>d)(2)</w:t>
      </w:r>
    </w:p>
    <w:p w:rsidR="005A4A00" w:rsidRDefault="005A4A00" w:rsidP="00CF65C1">
      <w:pPr>
        <w:spacing w:before="200" w:after="200"/>
      </w:pPr>
      <w:r w:rsidRPr="00103DB0">
        <w:t xml:space="preserve">This information collection fully complies with 5 </w:t>
      </w:r>
      <w:smartTag w:uri="urn:schemas-microsoft-com:office:smarttags" w:element="stockticker">
        <w:r w:rsidRPr="00103DB0">
          <w:t>CFR</w:t>
        </w:r>
      </w:smartTag>
      <w:r w:rsidRPr="00103DB0">
        <w:t xml:space="preserve"> 1320.5(d) (2).</w:t>
      </w:r>
    </w:p>
    <w:p w:rsidR="005A4A00" w:rsidRPr="00CA4651" w:rsidRDefault="005A4A00" w:rsidP="00CF65C1">
      <w:pPr>
        <w:spacing w:before="200" w:after="200"/>
        <w:rPr>
          <w:b/>
        </w:rPr>
      </w:pPr>
      <w:r>
        <w:rPr>
          <w:b/>
        </w:rPr>
        <w:t>A</w:t>
      </w:r>
      <w:r w:rsidRPr="00CA4651">
        <w:rPr>
          <w:b/>
        </w:rPr>
        <w:t xml:space="preserve">8.  </w:t>
      </w:r>
      <w:r>
        <w:rPr>
          <w:b/>
        </w:rPr>
        <w:t xml:space="preserve">    </w:t>
      </w:r>
      <w:r w:rsidR="006373D3">
        <w:rPr>
          <w:b/>
          <w:bCs/>
        </w:rPr>
        <w:t>Consultation</w:t>
      </w:r>
      <w:r w:rsidR="00103DB0">
        <w:rPr>
          <w:b/>
          <w:bCs/>
        </w:rPr>
        <w:t xml:space="preserve"> </w:t>
      </w:r>
      <w:proofErr w:type="gramStart"/>
      <w:r>
        <w:rPr>
          <w:b/>
          <w:bCs/>
        </w:rPr>
        <w:t>Outside</w:t>
      </w:r>
      <w:proofErr w:type="gramEnd"/>
      <w:r w:rsidR="00FA2CE0">
        <w:rPr>
          <w:b/>
          <w:bCs/>
        </w:rPr>
        <w:t xml:space="preserve"> </w:t>
      </w:r>
      <w:r>
        <w:rPr>
          <w:b/>
          <w:bCs/>
        </w:rPr>
        <w:t xml:space="preserve">the Agency </w:t>
      </w:r>
    </w:p>
    <w:p w:rsidR="005A4A00" w:rsidRPr="00103DB0" w:rsidRDefault="005A4A00" w:rsidP="00CA6094">
      <w:pPr>
        <w:spacing w:before="240" w:after="200"/>
        <w:rPr>
          <w:strike/>
        </w:rPr>
      </w:pPr>
      <w:r w:rsidRPr="00103DB0">
        <w:t xml:space="preserve">The notice required by 5 </w:t>
      </w:r>
      <w:smartTag w:uri="urn:schemas-microsoft-com:office:smarttags" w:element="stockticker">
        <w:r w:rsidRPr="00103DB0">
          <w:t>CFR</w:t>
        </w:r>
      </w:smartTag>
      <w:r w:rsidRPr="00103DB0">
        <w:t xml:space="preserve"> 1320.8(d) was published in the </w:t>
      </w:r>
      <w:r w:rsidRPr="00103DB0">
        <w:rPr>
          <w:i/>
        </w:rPr>
        <w:t xml:space="preserve">Federal Register </w:t>
      </w:r>
      <w:r w:rsidRPr="00103DB0">
        <w:t xml:space="preserve">on </w:t>
      </w:r>
      <w:r w:rsidR="00CC009D" w:rsidRPr="00CC0FB5">
        <w:t>July</w:t>
      </w:r>
      <w:r w:rsidR="001A1543" w:rsidRPr="00CC0FB5">
        <w:t xml:space="preserve"> </w:t>
      </w:r>
      <w:r w:rsidR="0044655A" w:rsidRPr="00CC0FB5">
        <w:t>14</w:t>
      </w:r>
      <w:r w:rsidR="001A1543" w:rsidRPr="00CC0FB5">
        <w:t xml:space="preserve">, </w:t>
      </w:r>
      <w:r w:rsidR="0080530F" w:rsidRPr="00CC0FB5">
        <w:t>2014</w:t>
      </w:r>
      <w:r w:rsidR="00CA6094">
        <w:t xml:space="preserve"> (79 FR 40765)</w:t>
      </w:r>
      <w:r w:rsidR="0080530F">
        <w:t>.</w:t>
      </w:r>
      <w:r w:rsidR="00CC0FB5">
        <w:t xml:space="preserve">  No comments were received. </w:t>
      </w:r>
    </w:p>
    <w:p w:rsidR="00CF1E75" w:rsidRDefault="00CF1E75" w:rsidP="00CF65C1">
      <w:pPr>
        <w:pStyle w:val="BodyText"/>
        <w:spacing w:before="200" w:after="200"/>
      </w:pPr>
      <w:r w:rsidRPr="00103DB0">
        <w:t>Both external and internal stakeholders were consulted in the development of these indicators, the data collection methodology, and the associated burden. SAMHSA obtained feedback and consultation regarding the availability of data, methods and frequency of collection, and the appropriateness of data elements.</w:t>
      </w:r>
      <w:r w:rsidRPr="00DB5115">
        <w:t xml:space="preserve">  </w:t>
      </w:r>
    </w:p>
    <w:p w:rsidR="005A4A00" w:rsidRPr="00103DB0" w:rsidRDefault="005A4A00" w:rsidP="00CF65C1">
      <w:pPr>
        <w:spacing w:before="200" w:after="200"/>
        <w:rPr>
          <w:b/>
          <w:u w:val="single"/>
        </w:rPr>
      </w:pPr>
      <w:r w:rsidRPr="00103DB0">
        <w:rPr>
          <w:b/>
        </w:rPr>
        <w:lastRenderedPageBreak/>
        <w:t xml:space="preserve">A9.     </w:t>
      </w:r>
      <w:r w:rsidRPr="00103DB0">
        <w:rPr>
          <w:b/>
          <w:bCs/>
        </w:rPr>
        <w:t>Payment to Respondents</w:t>
      </w:r>
      <w:r w:rsidRPr="00103DB0" w:rsidDel="00446BA6">
        <w:rPr>
          <w:b/>
          <w:u w:val="single"/>
        </w:rPr>
        <w:t xml:space="preserve"> </w:t>
      </w:r>
    </w:p>
    <w:p w:rsidR="005A4A00" w:rsidRPr="00103DB0" w:rsidRDefault="00ED06FA" w:rsidP="00CF65C1">
      <w:pPr>
        <w:spacing w:before="200" w:after="200"/>
      </w:pPr>
      <w:r w:rsidRPr="00103DB0">
        <w:t xml:space="preserve">No monetary incentives are provided to grantees. </w:t>
      </w:r>
    </w:p>
    <w:p w:rsidR="005A4A00" w:rsidRPr="00FA2CE0" w:rsidRDefault="005A4A00" w:rsidP="00E916C1">
      <w:pPr>
        <w:keepNext/>
        <w:keepLines/>
        <w:spacing w:before="200" w:after="200"/>
        <w:rPr>
          <w:b/>
          <w:bCs/>
        </w:rPr>
      </w:pPr>
      <w:r w:rsidRPr="00FA2CE0">
        <w:rPr>
          <w:b/>
        </w:rPr>
        <w:t xml:space="preserve">A10.     </w:t>
      </w:r>
      <w:r w:rsidRPr="00FA2CE0">
        <w:rPr>
          <w:b/>
          <w:bCs/>
        </w:rPr>
        <w:t>Assurance of Confidentiality Respondents</w:t>
      </w:r>
    </w:p>
    <w:p w:rsidR="00AB737C" w:rsidRDefault="00466F8F" w:rsidP="00E916C1">
      <w:pPr>
        <w:keepNext/>
        <w:keepLines/>
      </w:pPr>
      <w:r w:rsidRPr="00FA2CE0">
        <w:rPr>
          <w:szCs w:val="24"/>
        </w:rPr>
        <w:t>SAMHSA’s grantees do not collect individually identifiable information for these programs. Only aggregated data will be reported by grantees, therefore, SAMHSA and its contractors will not receive identifiable client records</w:t>
      </w:r>
      <w:r w:rsidR="008C6E25">
        <w:rPr>
          <w:szCs w:val="24"/>
        </w:rPr>
        <w:t xml:space="preserve">.  </w:t>
      </w:r>
      <w:r w:rsidR="00AB737C" w:rsidRPr="00FA2CE0">
        <w:t>Provider-level information will be aggregated to, at the least, the level of the grant/cooperative agreement-funding announcement.</w:t>
      </w:r>
      <w:r w:rsidR="00F42E97">
        <w:t xml:space="preserve"> </w:t>
      </w:r>
    </w:p>
    <w:p w:rsidR="00F42E97" w:rsidRDefault="00F42E97" w:rsidP="00CF65C1"/>
    <w:p w:rsidR="00F42E97" w:rsidRDefault="00F42E97" w:rsidP="00CF65C1">
      <w:r w:rsidRPr="001216CE">
        <w:rPr>
          <w:u w:val="single"/>
        </w:rPr>
        <w:t>Protection or Privacy Clause</w:t>
      </w:r>
      <w:r>
        <w:t xml:space="preserve"> – A pledge to respondents completing the survey is included in the last page of the survey instrument. This pledge states:  “the information provided will be protected to the fullest extent allowable under Section 501(n) of the Public Health Service Act (42 USC </w:t>
      </w:r>
      <w:proofErr w:type="gramStart"/>
      <w:r>
        <w:t>290aa(</w:t>
      </w:r>
      <w:proofErr w:type="gramEnd"/>
      <w:r>
        <w:t>n)) – Limitation on the Use of Certain Information. This law permits the public release of identifiable information about an establishment only with the consent of that establishment and limits the use of information to the purposes for which it was supplied. Responses will be published only in statistical summaries so that ind</w:t>
      </w:r>
      <w:r w:rsidR="001216CE">
        <w:t>ividual respondents cannot be i</w:t>
      </w:r>
      <w:r>
        <w:t>dentified.”</w:t>
      </w:r>
    </w:p>
    <w:p w:rsidR="00F42E97" w:rsidRDefault="00F42E97" w:rsidP="00CF65C1"/>
    <w:p w:rsidR="001216CE" w:rsidRDefault="001216CE" w:rsidP="00CF65C1">
      <w:r w:rsidRPr="001216CE">
        <w:rPr>
          <w:u w:val="single"/>
        </w:rPr>
        <w:t>SORN/PIA</w:t>
      </w:r>
      <w:r>
        <w:t xml:space="preserve">—A System of Records Notice (SORN) and HHS Privacy Impact Assessment (PIA) form have been </w:t>
      </w:r>
      <w:r w:rsidR="007B45B3">
        <w:t>submitte</w:t>
      </w:r>
      <w:r>
        <w:t xml:space="preserve">d for the Personally Identifiable Information (PII) related to this data collection. This SORN was submitted </w:t>
      </w:r>
      <w:r w:rsidR="00894198">
        <w:t>to HHS on</w:t>
      </w:r>
      <w:r>
        <w:t xml:space="preserve"> </w:t>
      </w:r>
      <w:r w:rsidR="00894198" w:rsidRPr="00894198">
        <w:t>05/14/2014</w:t>
      </w:r>
      <w:r>
        <w:t xml:space="preserve">, and the PIA </w:t>
      </w:r>
      <w:r w:rsidR="007B45B3">
        <w:t xml:space="preserve">(P-9040847-614611) </w:t>
      </w:r>
      <w:r>
        <w:t>was submitted</w:t>
      </w:r>
      <w:r w:rsidR="007B45B3">
        <w:t xml:space="preserve"> 03/19/2014. The PIA will be updated as appropriate</w:t>
      </w:r>
      <w:r>
        <w:t xml:space="preserve">. </w:t>
      </w:r>
    </w:p>
    <w:p w:rsidR="00896E22" w:rsidRDefault="00896E22" w:rsidP="00CF65C1">
      <w:pPr>
        <w:rPr>
          <w:b/>
        </w:rPr>
      </w:pPr>
    </w:p>
    <w:p w:rsidR="005F0D49" w:rsidRDefault="005F0D49" w:rsidP="00CF65C1">
      <w:pPr>
        <w:rPr>
          <w:b/>
        </w:rPr>
      </w:pPr>
    </w:p>
    <w:p w:rsidR="005A4A00" w:rsidRPr="00CA4651" w:rsidRDefault="005A4A00" w:rsidP="00CF65C1">
      <w:pPr>
        <w:rPr>
          <w:b/>
        </w:rPr>
      </w:pPr>
      <w:r>
        <w:rPr>
          <w:b/>
        </w:rPr>
        <w:t>A</w:t>
      </w:r>
      <w:r w:rsidRPr="00CA4651">
        <w:rPr>
          <w:b/>
        </w:rPr>
        <w:t xml:space="preserve">11.  </w:t>
      </w:r>
      <w:r>
        <w:rPr>
          <w:b/>
        </w:rPr>
        <w:t xml:space="preserve">  </w:t>
      </w:r>
      <w:r>
        <w:rPr>
          <w:b/>
          <w:bCs/>
        </w:rPr>
        <w:t xml:space="preserve">Questions of a Sensitive Nature </w:t>
      </w:r>
    </w:p>
    <w:p w:rsidR="005A4A00" w:rsidRDefault="005A4A00" w:rsidP="00CF65C1"/>
    <w:p w:rsidR="00835C83" w:rsidRDefault="00835C83" w:rsidP="00CF65C1">
      <w:r w:rsidRPr="009C7AF2">
        <w:t xml:space="preserve">No questions of a sensitive nature are asked of State or U.S. Territories grantees. </w:t>
      </w:r>
      <w:r w:rsidR="00423009" w:rsidRPr="009C7AF2">
        <w:t xml:space="preserve"> </w:t>
      </w:r>
      <w:r w:rsidRPr="009C7AF2">
        <w:t xml:space="preserve">However, grantees who are service providers collect information such as </w:t>
      </w:r>
      <w:r w:rsidR="00911D9D" w:rsidRPr="009C7AF2">
        <w:t xml:space="preserve">demographic characteristics and the </w:t>
      </w:r>
      <w:r w:rsidRPr="009C7AF2">
        <w:t xml:space="preserve">use of alcohol and other drugs and mental health conditions routinely as part of the provision of services. </w:t>
      </w:r>
      <w:r w:rsidR="00911D9D" w:rsidRPr="009C7AF2">
        <w:t xml:space="preserve"> </w:t>
      </w:r>
      <w:r w:rsidRPr="009C7AF2">
        <w:t>While some of this information may appear sensitive, program participants are service recipients.</w:t>
      </w:r>
      <w:r w:rsidRPr="000C7DF8">
        <w:t xml:space="preserve">  </w:t>
      </w:r>
    </w:p>
    <w:p w:rsidR="006E7745" w:rsidRDefault="006E7745" w:rsidP="00CF65C1">
      <w:pPr>
        <w:ind w:left="-360" w:firstLine="360"/>
      </w:pPr>
    </w:p>
    <w:p w:rsidR="005A4A00" w:rsidRPr="00CA4651" w:rsidRDefault="005A4A00" w:rsidP="00CF65C1">
      <w:pPr>
        <w:ind w:left="-360" w:firstLine="360"/>
        <w:rPr>
          <w:b/>
        </w:rPr>
      </w:pPr>
      <w:r>
        <w:rPr>
          <w:b/>
        </w:rPr>
        <w:t>A</w:t>
      </w:r>
      <w:r w:rsidRPr="00933758">
        <w:rPr>
          <w:b/>
        </w:rPr>
        <w:t xml:space="preserve">12.     </w:t>
      </w:r>
      <w:r w:rsidRPr="00203445">
        <w:rPr>
          <w:b/>
        </w:rPr>
        <w:t>Estimates of Annualized Hour Burden</w:t>
      </w:r>
      <w:r>
        <w:rPr>
          <w:b/>
          <w:u w:val="single"/>
        </w:rPr>
        <w:t xml:space="preserve"> </w:t>
      </w:r>
    </w:p>
    <w:p w:rsidR="005A4A00" w:rsidRDefault="005A4A00" w:rsidP="00CF65C1">
      <w:pPr>
        <w:ind w:left="-360" w:firstLine="360"/>
      </w:pPr>
    </w:p>
    <w:p w:rsidR="006B3EA9" w:rsidRDefault="00FE035D" w:rsidP="00EB2A60">
      <w:pPr>
        <w:pStyle w:val="BodyText"/>
      </w:pPr>
      <w:r w:rsidRPr="000F7B52">
        <w:t>Thes</w:t>
      </w:r>
      <w:r w:rsidR="003D72A9">
        <w:t>e estimates are based on staff</w:t>
      </w:r>
      <w:r w:rsidRPr="000F7B52">
        <w:t xml:space="preserve"> reports of the amount of time required to complete the </w:t>
      </w:r>
      <w:r w:rsidR="006E0FD6">
        <w:t xml:space="preserve">combined data collection tool, </w:t>
      </w:r>
      <w:r w:rsidRPr="000F7B52">
        <w:t>based on an informal pilot and prior SAMHSA experience in collecting similar data</w:t>
      </w:r>
      <w:r w:rsidRPr="006E0FD6">
        <w:t>.</w:t>
      </w:r>
      <w:r w:rsidR="006E0FD6" w:rsidRPr="006E0FD6">
        <w:t xml:space="preserve"> </w:t>
      </w:r>
      <w:r w:rsidR="005A4A00" w:rsidRPr="006E0FD6">
        <w:t>A typical grantee currently collects intake, or pre-intervention information at the beginning of program contact, and many also collect standard</w:t>
      </w:r>
      <w:r w:rsidR="006E0FD6" w:rsidRPr="006E0FD6">
        <w:t xml:space="preserve"> re-assessment and</w:t>
      </w:r>
      <w:r w:rsidR="005A4A00" w:rsidRPr="006E0FD6">
        <w:t xml:space="preserve"> discharge information with similar items. Data are usually collected through interviews for the programs.  Across all the SAMHSA discretionary services grants to which this application applies, it is estimated that these customary and usual business practices for services and treatment take </w:t>
      </w:r>
      <w:r w:rsidR="005A4A00" w:rsidRPr="006E0FD6">
        <w:rPr>
          <w:szCs w:val="24"/>
        </w:rPr>
        <w:t>about</w:t>
      </w:r>
      <w:r w:rsidR="005A4A00" w:rsidRPr="001E06EA">
        <w:rPr>
          <w:szCs w:val="24"/>
        </w:rPr>
        <w:t xml:space="preserve"> </w:t>
      </w:r>
      <w:r w:rsidR="00F926A7">
        <w:rPr>
          <w:szCs w:val="24"/>
        </w:rPr>
        <w:t>23 minutes</w:t>
      </w:r>
      <w:r w:rsidR="00E0123C">
        <w:rPr>
          <w:szCs w:val="24"/>
        </w:rPr>
        <w:t xml:space="preserve"> (.38 hours) for the CSAP</w:t>
      </w:r>
      <w:r w:rsidR="00F926A7">
        <w:rPr>
          <w:szCs w:val="24"/>
        </w:rPr>
        <w:t xml:space="preserve"> instrument, 27 minutes (.45 hours) </w:t>
      </w:r>
      <w:r w:rsidR="00B03877">
        <w:rPr>
          <w:szCs w:val="24"/>
        </w:rPr>
        <w:t>for the CMHS basic instrument, 28</w:t>
      </w:r>
      <w:r w:rsidR="00F926A7">
        <w:rPr>
          <w:szCs w:val="24"/>
        </w:rPr>
        <w:t xml:space="preserve"> </w:t>
      </w:r>
      <w:r w:rsidR="005A4A00" w:rsidRPr="00F926A7">
        <w:t>minutes (0.</w:t>
      </w:r>
      <w:r w:rsidR="00B03877">
        <w:t>47</w:t>
      </w:r>
      <w:r w:rsidR="005A4A00" w:rsidRPr="00F926A7">
        <w:t xml:space="preserve"> hours)</w:t>
      </w:r>
      <w:r w:rsidR="00F926A7">
        <w:t xml:space="preserve"> for the CSAT basic instrument</w:t>
      </w:r>
      <w:r w:rsidR="00B03877">
        <w:t>, 2</w:t>
      </w:r>
      <w:r w:rsidR="003D72A9">
        <w:t xml:space="preserve"> hours for the </w:t>
      </w:r>
      <w:r w:rsidR="00EB47E8">
        <w:t xml:space="preserve">CMHS </w:t>
      </w:r>
      <w:r w:rsidR="003D72A9">
        <w:t>IPP instrument</w:t>
      </w:r>
      <w:r w:rsidR="003F3409">
        <w:t xml:space="preserve"> and 15 minutes for the CSAT Aggregate instrument</w:t>
      </w:r>
      <w:r w:rsidR="005A4A00" w:rsidRPr="00F926A7">
        <w:t>.</w:t>
      </w:r>
      <w:r w:rsidR="005A4A00">
        <w:t xml:space="preserve"> </w:t>
      </w:r>
      <w:r w:rsidR="005A4A00" w:rsidRPr="006E0FD6">
        <w:t xml:space="preserve">Additional burden will be created </w:t>
      </w:r>
      <w:r w:rsidR="00F926A7">
        <w:t xml:space="preserve">when specific programs are required to collect program-specific information and </w:t>
      </w:r>
      <w:r w:rsidR="005A4A00" w:rsidRPr="006E0FD6">
        <w:t xml:space="preserve">where grants are required to collect </w:t>
      </w:r>
      <w:r w:rsidR="006E0FD6">
        <w:t>CDP</w:t>
      </w:r>
      <w:r w:rsidR="005A4A00" w:rsidRPr="006E0FD6">
        <w:t xml:space="preserve"> measures at intake, discharge, or follow-up points that are not customary and </w:t>
      </w:r>
      <w:r w:rsidR="006E0FD6">
        <w:t xml:space="preserve">not the </w:t>
      </w:r>
      <w:r w:rsidR="005A4A00" w:rsidRPr="006E0FD6">
        <w:t>usual practices.</w:t>
      </w:r>
      <w:r w:rsidR="005A4A00">
        <w:t xml:space="preserve">  In these cases the client’s time and effort are </w:t>
      </w:r>
      <w:r w:rsidR="005A4A00">
        <w:lastRenderedPageBreak/>
        <w:t xml:space="preserve">required to gather additional information that would not have been part of normal treatment or </w:t>
      </w:r>
      <w:r w:rsidR="003D72A9">
        <w:t xml:space="preserve">service activities. </w:t>
      </w:r>
      <w:r w:rsidR="006B3EA9">
        <w:t>Table</w:t>
      </w:r>
      <w:r w:rsidR="00EB2A60">
        <w:t xml:space="preserve"> 2 presents</w:t>
      </w:r>
      <w:r w:rsidR="006B3EA9">
        <w:t xml:space="preserve"> the estimated annualized burden and cost for all the instruments in the CDP.</w:t>
      </w:r>
    </w:p>
    <w:p w:rsidR="00EB2A60" w:rsidRDefault="00EB2A60" w:rsidP="00EB2A60">
      <w:pPr>
        <w:pStyle w:val="BodyText"/>
      </w:pPr>
    </w:p>
    <w:p w:rsidR="006B3EA9" w:rsidRPr="00283D10" w:rsidRDefault="006B3EA9" w:rsidP="006B3EA9">
      <w:pPr>
        <w:spacing w:after="240"/>
        <w:rPr>
          <w:b/>
          <w:szCs w:val="22"/>
        </w:rPr>
      </w:pPr>
      <w:proofErr w:type="gramStart"/>
      <w:r w:rsidRPr="00283D10">
        <w:rPr>
          <w:b/>
          <w:szCs w:val="22"/>
        </w:rPr>
        <w:t>Table 2.</w:t>
      </w:r>
      <w:proofErr w:type="gramEnd"/>
      <w:r w:rsidRPr="00283D10">
        <w:rPr>
          <w:b/>
          <w:szCs w:val="22"/>
        </w:rPr>
        <w:t xml:space="preserve"> Common Data Platform Client Outcome Measures for Discretionary Programs</w:t>
      </w:r>
    </w:p>
    <w:p w:rsidR="006B3EA9" w:rsidRPr="00283D10" w:rsidRDefault="006B3EA9" w:rsidP="006B3EA9">
      <w:pPr>
        <w:autoSpaceDE w:val="0"/>
        <w:autoSpaceDN w:val="0"/>
        <w:adjustRightInd w:val="0"/>
        <w:rPr>
          <w:sz w:val="20"/>
        </w:rPr>
      </w:pPr>
    </w:p>
    <w:tbl>
      <w:tblPr>
        <w:tblW w:w="10283" w:type="dxa"/>
        <w:tblInd w:w="8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283"/>
        <w:gridCol w:w="1250"/>
        <w:gridCol w:w="1170"/>
        <w:gridCol w:w="1350"/>
        <w:gridCol w:w="990"/>
        <w:gridCol w:w="1080"/>
        <w:gridCol w:w="810"/>
        <w:gridCol w:w="1350"/>
      </w:tblGrid>
      <w:tr w:rsidR="006B3EA9" w:rsidRPr="00283D10" w:rsidTr="0015484D">
        <w:trPr>
          <w:cantSplit/>
          <w:trHeight w:val="1626"/>
          <w:tblHeader/>
        </w:trPr>
        <w:tc>
          <w:tcPr>
            <w:tcW w:w="2283" w:type="dxa"/>
            <w:tcBorders>
              <w:bottom w:val="single" w:sz="6" w:space="0" w:color="auto"/>
            </w:tcBorders>
            <w:shd w:val="clear" w:color="auto" w:fill="FFFFFF"/>
            <w:vAlign w:val="center"/>
            <w:hideMark/>
          </w:tcPr>
          <w:p w:rsidR="006B3EA9" w:rsidRPr="00283D10" w:rsidRDefault="006B3EA9" w:rsidP="0015484D">
            <w:pPr>
              <w:jc w:val="center"/>
              <w:rPr>
                <w:b/>
                <w:bCs/>
                <w:color w:val="000000"/>
                <w:sz w:val="18"/>
                <w:szCs w:val="18"/>
              </w:rPr>
            </w:pPr>
            <w:r w:rsidRPr="00283D10">
              <w:rPr>
                <w:b/>
                <w:bCs/>
                <w:color w:val="000000"/>
                <w:sz w:val="18"/>
                <w:szCs w:val="18"/>
              </w:rPr>
              <w:t>SAMHSA Program Title</w:t>
            </w:r>
          </w:p>
        </w:tc>
        <w:tc>
          <w:tcPr>
            <w:tcW w:w="1250" w:type="dxa"/>
            <w:tcBorders>
              <w:bottom w:val="single" w:sz="6" w:space="0" w:color="auto"/>
            </w:tcBorders>
            <w:shd w:val="clear" w:color="auto" w:fill="FFFFFF"/>
            <w:vAlign w:val="center"/>
            <w:hideMark/>
          </w:tcPr>
          <w:p w:rsidR="006B3EA9" w:rsidRPr="00283D10" w:rsidRDefault="006B3EA9" w:rsidP="0015484D">
            <w:pPr>
              <w:jc w:val="center"/>
              <w:rPr>
                <w:b/>
                <w:bCs/>
                <w:color w:val="000000"/>
                <w:sz w:val="18"/>
                <w:szCs w:val="18"/>
              </w:rPr>
            </w:pPr>
            <w:r w:rsidRPr="00283D10">
              <w:rPr>
                <w:b/>
                <w:bCs/>
                <w:color w:val="000000"/>
                <w:sz w:val="18"/>
                <w:szCs w:val="18"/>
              </w:rPr>
              <w:t>Number of Respondents</w:t>
            </w:r>
          </w:p>
        </w:tc>
        <w:tc>
          <w:tcPr>
            <w:tcW w:w="1170" w:type="dxa"/>
            <w:tcBorders>
              <w:bottom w:val="single" w:sz="6" w:space="0" w:color="auto"/>
            </w:tcBorders>
            <w:shd w:val="clear" w:color="auto" w:fill="FFFFFF"/>
            <w:vAlign w:val="center"/>
            <w:hideMark/>
          </w:tcPr>
          <w:p w:rsidR="006B3EA9" w:rsidRPr="00283D10" w:rsidRDefault="006B3EA9" w:rsidP="0015484D">
            <w:pPr>
              <w:jc w:val="center"/>
              <w:rPr>
                <w:b/>
                <w:bCs/>
                <w:color w:val="000000"/>
                <w:sz w:val="18"/>
                <w:szCs w:val="18"/>
              </w:rPr>
            </w:pPr>
            <w:r w:rsidRPr="00283D10">
              <w:rPr>
                <w:b/>
                <w:bCs/>
                <w:color w:val="000000"/>
                <w:sz w:val="18"/>
                <w:szCs w:val="18"/>
              </w:rPr>
              <w:t>Responses per Respondent</w:t>
            </w:r>
          </w:p>
        </w:tc>
        <w:tc>
          <w:tcPr>
            <w:tcW w:w="1350" w:type="dxa"/>
            <w:tcBorders>
              <w:bottom w:val="single" w:sz="6" w:space="0" w:color="auto"/>
            </w:tcBorders>
            <w:shd w:val="clear" w:color="auto" w:fill="FFFFFF"/>
            <w:vAlign w:val="center"/>
            <w:hideMark/>
          </w:tcPr>
          <w:p w:rsidR="006B3EA9" w:rsidRPr="00283D10" w:rsidRDefault="006B3EA9" w:rsidP="0015484D">
            <w:pPr>
              <w:jc w:val="center"/>
              <w:rPr>
                <w:b/>
                <w:bCs/>
                <w:color w:val="000000"/>
                <w:sz w:val="18"/>
                <w:szCs w:val="18"/>
              </w:rPr>
            </w:pPr>
            <w:r w:rsidRPr="00283D10">
              <w:rPr>
                <w:b/>
                <w:bCs/>
                <w:color w:val="000000"/>
                <w:sz w:val="18"/>
                <w:szCs w:val="18"/>
              </w:rPr>
              <w:t>Total Number of Responses</w:t>
            </w:r>
          </w:p>
        </w:tc>
        <w:tc>
          <w:tcPr>
            <w:tcW w:w="990" w:type="dxa"/>
            <w:tcBorders>
              <w:bottom w:val="single" w:sz="6" w:space="0" w:color="auto"/>
            </w:tcBorders>
            <w:shd w:val="clear" w:color="auto" w:fill="FFFFFF"/>
            <w:vAlign w:val="center"/>
            <w:hideMark/>
          </w:tcPr>
          <w:p w:rsidR="006B3EA9" w:rsidRPr="00283D10" w:rsidRDefault="006B3EA9" w:rsidP="0015484D">
            <w:pPr>
              <w:jc w:val="center"/>
              <w:rPr>
                <w:b/>
                <w:bCs/>
                <w:color w:val="000000"/>
                <w:sz w:val="18"/>
                <w:szCs w:val="18"/>
              </w:rPr>
            </w:pPr>
            <w:r w:rsidRPr="00283D10">
              <w:rPr>
                <w:b/>
                <w:bCs/>
                <w:color w:val="000000"/>
                <w:sz w:val="18"/>
                <w:szCs w:val="18"/>
              </w:rPr>
              <w:t>Burden Hours per Response</w:t>
            </w:r>
          </w:p>
        </w:tc>
        <w:tc>
          <w:tcPr>
            <w:tcW w:w="1080" w:type="dxa"/>
            <w:tcBorders>
              <w:bottom w:val="single" w:sz="6" w:space="0" w:color="auto"/>
            </w:tcBorders>
            <w:shd w:val="clear" w:color="auto" w:fill="FFFFFF"/>
            <w:vAlign w:val="center"/>
            <w:hideMark/>
          </w:tcPr>
          <w:p w:rsidR="006B3EA9" w:rsidRPr="00283D10" w:rsidRDefault="006B3EA9" w:rsidP="0015484D">
            <w:pPr>
              <w:jc w:val="center"/>
              <w:rPr>
                <w:b/>
                <w:bCs/>
                <w:color w:val="000000"/>
                <w:sz w:val="18"/>
                <w:szCs w:val="18"/>
              </w:rPr>
            </w:pPr>
            <w:r w:rsidRPr="00283D10">
              <w:rPr>
                <w:b/>
                <w:bCs/>
                <w:color w:val="000000"/>
                <w:sz w:val="18"/>
                <w:szCs w:val="18"/>
              </w:rPr>
              <w:t>Total Burden Hours</w:t>
            </w:r>
          </w:p>
        </w:tc>
        <w:tc>
          <w:tcPr>
            <w:tcW w:w="810" w:type="dxa"/>
            <w:tcBorders>
              <w:bottom w:val="single" w:sz="6" w:space="0" w:color="auto"/>
            </w:tcBorders>
            <w:shd w:val="clear" w:color="auto" w:fill="FFFFFF"/>
            <w:vAlign w:val="center"/>
          </w:tcPr>
          <w:p w:rsidR="006B3EA9" w:rsidRPr="00283D10" w:rsidRDefault="006B3EA9" w:rsidP="0015484D">
            <w:pPr>
              <w:jc w:val="center"/>
              <w:rPr>
                <w:b/>
                <w:bCs/>
                <w:color w:val="000000"/>
                <w:sz w:val="18"/>
                <w:szCs w:val="18"/>
              </w:rPr>
            </w:pPr>
            <w:r w:rsidRPr="00283D10">
              <w:rPr>
                <w:b/>
                <w:bCs/>
                <w:color w:val="000000"/>
                <w:sz w:val="18"/>
                <w:szCs w:val="18"/>
              </w:rPr>
              <w:t xml:space="preserve">Hourly Wage </w:t>
            </w:r>
            <w:r w:rsidRPr="00283D10">
              <w:rPr>
                <w:b/>
                <w:bCs/>
                <w:color w:val="000000"/>
                <w:sz w:val="18"/>
                <w:szCs w:val="18"/>
                <w:vertAlign w:val="superscript"/>
              </w:rPr>
              <w:t>1</w:t>
            </w:r>
          </w:p>
        </w:tc>
        <w:tc>
          <w:tcPr>
            <w:tcW w:w="1350" w:type="dxa"/>
            <w:tcBorders>
              <w:bottom w:val="single" w:sz="6" w:space="0" w:color="auto"/>
            </w:tcBorders>
            <w:shd w:val="clear" w:color="auto" w:fill="FFFFFF"/>
            <w:vAlign w:val="center"/>
          </w:tcPr>
          <w:p w:rsidR="006B3EA9" w:rsidRPr="00283D10" w:rsidRDefault="006B3EA9" w:rsidP="0015484D">
            <w:pPr>
              <w:jc w:val="center"/>
              <w:rPr>
                <w:b/>
                <w:bCs/>
                <w:color w:val="000000"/>
                <w:sz w:val="18"/>
                <w:szCs w:val="18"/>
              </w:rPr>
            </w:pPr>
            <w:r w:rsidRPr="00283D10">
              <w:rPr>
                <w:b/>
                <w:bCs/>
                <w:color w:val="000000"/>
                <w:sz w:val="18"/>
                <w:szCs w:val="18"/>
              </w:rPr>
              <w:t>Total Hour Cost</w:t>
            </w:r>
          </w:p>
        </w:tc>
      </w:tr>
      <w:tr w:rsidR="006B3EA9" w:rsidRPr="00283D10" w:rsidTr="0015484D">
        <w:trPr>
          <w:trHeight w:val="615"/>
        </w:trPr>
        <w:tc>
          <w:tcPr>
            <w:tcW w:w="10283" w:type="dxa"/>
            <w:gridSpan w:val="8"/>
            <w:tcBorders>
              <w:top w:val="single" w:sz="6" w:space="0" w:color="auto"/>
              <w:bottom w:val="single" w:sz="6" w:space="0" w:color="auto"/>
            </w:tcBorders>
            <w:shd w:val="clear" w:color="auto" w:fill="D9D9D9" w:themeFill="background1" w:themeFillShade="D9"/>
            <w:vAlign w:val="center"/>
          </w:tcPr>
          <w:p w:rsidR="006B3EA9" w:rsidRPr="00283D10" w:rsidRDefault="006B3EA9" w:rsidP="0015484D">
            <w:pPr>
              <w:jc w:val="center"/>
              <w:rPr>
                <w:color w:val="000000"/>
                <w:sz w:val="20"/>
              </w:rPr>
            </w:pPr>
            <w:r w:rsidRPr="00283D10">
              <w:rPr>
                <w:b/>
                <w:bCs/>
                <w:color w:val="000000"/>
                <w:sz w:val="28"/>
                <w:szCs w:val="28"/>
              </w:rPr>
              <w:t>Client-Level Services Forms</w:t>
            </w:r>
          </w:p>
        </w:tc>
      </w:tr>
      <w:tr w:rsidR="006B3EA9" w:rsidRPr="00283D10" w:rsidTr="0015484D">
        <w:trPr>
          <w:trHeight w:val="315"/>
        </w:trPr>
        <w:tc>
          <w:tcPr>
            <w:tcW w:w="10283" w:type="dxa"/>
            <w:gridSpan w:val="8"/>
            <w:shd w:val="clear" w:color="auto" w:fill="DDD9C4"/>
            <w:vAlign w:val="center"/>
            <w:hideMark/>
          </w:tcPr>
          <w:p w:rsidR="006B3EA9" w:rsidRPr="00283D10" w:rsidRDefault="006B3EA9" w:rsidP="0015484D">
            <w:pPr>
              <w:rPr>
                <w:b/>
                <w:bCs/>
                <w:color w:val="000000"/>
                <w:szCs w:val="24"/>
              </w:rPr>
            </w:pPr>
            <w:r w:rsidRPr="00283D10">
              <w:rPr>
                <w:b/>
                <w:bCs/>
                <w:color w:val="000000"/>
                <w:szCs w:val="24"/>
              </w:rPr>
              <w:t>CSAP</w:t>
            </w:r>
          </w:p>
          <w:p w:rsidR="006B3EA9" w:rsidRPr="00283D10" w:rsidRDefault="006B3EA9" w:rsidP="0015484D">
            <w:pPr>
              <w:rPr>
                <w:b/>
                <w:bCs/>
                <w:color w:val="000000"/>
                <w:sz w:val="20"/>
              </w:rPr>
            </w:pPr>
          </w:p>
        </w:tc>
      </w:tr>
      <w:tr w:rsidR="006B3EA9" w:rsidRPr="00283D10" w:rsidTr="0015484D">
        <w:trPr>
          <w:trHeight w:val="546"/>
        </w:trPr>
        <w:tc>
          <w:tcPr>
            <w:tcW w:w="2283" w:type="dxa"/>
            <w:shd w:val="clear" w:color="auto" w:fill="FFFFFF"/>
            <w:vAlign w:val="center"/>
          </w:tcPr>
          <w:p w:rsidR="006B3EA9" w:rsidRPr="00283D10" w:rsidRDefault="006B3EA9" w:rsidP="0015484D">
            <w:pPr>
              <w:rPr>
                <w:bCs/>
                <w:color w:val="000000"/>
                <w:sz w:val="20"/>
              </w:rPr>
            </w:pPr>
            <w:r w:rsidRPr="00283D10">
              <w:rPr>
                <w:bCs/>
                <w:color w:val="000000"/>
                <w:sz w:val="20"/>
              </w:rPr>
              <w:t xml:space="preserve">Baseline Interview </w:t>
            </w:r>
          </w:p>
        </w:tc>
        <w:tc>
          <w:tcPr>
            <w:tcW w:w="1250" w:type="dxa"/>
            <w:shd w:val="clear" w:color="auto" w:fill="FFFFFF"/>
            <w:vAlign w:val="center"/>
          </w:tcPr>
          <w:p w:rsidR="006B3EA9" w:rsidRPr="00283D10" w:rsidRDefault="006B3EA9" w:rsidP="0015484D">
            <w:pPr>
              <w:jc w:val="center"/>
              <w:rPr>
                <w:color w:val="000000"/>
                <w:sz w:val="20"/>
              </w:rPr>
            </w:pPr>
            <w:r w:rsidRPr="00283D10">
              <w:rPr>
                <w:color w:val="000000"/>
                <w:sz w:val="20"/>
              </w:rPr>
              <w:t>19,334</w:t>
            </w:r>
          </w:p>
        </w:tc>
        <w:tc>
          <w:tcPr>
            <w:tcW w:w="1170" w:type="dxa"/>
            <w:shd w:val="clear" w:color="auto" w:fill="FFFFFF"/>
            <w:vAlign w:val="center"/>
          </w:tcPr>
          <w:p w:rsidR="006B3EA9" w:rsidRPr="00283D10" w:rsidRDefault="006B3EA9" w:rsidP="0015484D">
            <w:pPr>
              <w:jc w:val="center"/>
              <w:rPr>
                <w:color w:val="000000"/>
                <w:sz w:val="20"/>
              </w:rPr>
            </w:pPr>
            <w:r w:rsidRPr="00283D10">
              <w:rPr>
                <w:color w:val="000000"/>
                <w:sz w:val="20"/>
              </w:rPr>
              <w:t>1</w:t>
            </w:r>
          </w:p>
        </w:tc>
        <w:tc>
          <w:tcPr>
            <w:tcW w:w="1350" w:type="dxa"/>
            <w:shd w:val="clear" w:color="auto" w:fill="FFFFFF"/>
            <w:vAlign w:val="center"/>
          </w:tcPr>
          <w:p w:rsidR="006B3EA9" w:rsidRPr="00283D10" w:rsidRDefault="006B3EA9" w:rsidP="0015484D">
            <w:pPr>
              <w:jc w:val="center"/>
              <w:rPr>
                <w:color w:val="000000"/>
                <w:sz w:val="20"/>
              </w:rPr>
            </w:pPr>
            <w:r w:rsidRPr="00283D10">
              <w:rPr>
                <w:color w:val="000000"/>
                <w:sz w:val="20"/>
              </w:rPr>
              <w:t>19,334</w:t>
            </w:r>
          </w:p>
        </w:tc>
        <w:tc>
          <w:tcPr>
            <w:tcW w:w="990" w:type="dxa"/>
            <w:shd w:val="clear" w:color="auto" w:fill="FFFFFF"/>
            <w:vAlign w:val="center"/>
          </w:tcPr>
          <w:p w:rsidR="006B3EA9" w:rsidRPr="00283D10" w:rsidRDefault="006B3EA9" w:rsidP="0015484D">
            <w:pPr>
              <w:jc w:val="center"/>
              <w:rPr>
                <w:color w:val="000000"/>
                <w:sz w:val="20"/>
              </w:rPr>
            </w:pPr>
            <w:r w:rsidRPr="00283D10">
              <w:rPr>
                <w:color w:val="000000"/>
                <w:sz w:val="20"/>
              </w:rPr>
              <w:t>0.38</w:t>
            </w:r>
          </w:p>
        </w:tc>
        <w:tc>
          <w:tcPr>
            <w:tcW w:w="1080" w:type="dxa"/>
            <w:shd w:val="clear" w:color="auto" w:fill="FFFFFF"/>
            <w:vAlign w:val="center"/>
          </w:tcPr>
          <w:p w:rsidR="006B3EA9" w:rsidRPr="00283D10" w:rsidRDefault="006B3EA9" w:rsidP="0015484D">
            <w:pPr>
              <w:jc w:val="center"/>
              <w:rPr>
                <w:color w:val="000000"/>
                <w:sz w:val="20"/>
              </w:rPr>
            </w:pPr>
            <w:r w:rsidRPr="00283D10">
              <w:rPr>
                <w:color w:val="000000"/>
                <w:sz w:val="20"/>
              </w:rPr>
              <w:t>7,347</w:t>
            </w:r>
          </w:p>
        </w:tc>
        <w:tc>
          <w:tcPr>
            <w:tcW w:w="810" w:type="dxa"/>
            <w:shd w:val="clear" w:color="auto" w:fill="FFFFFF"/>
            <w:vAlign w:val="center"/>
          </w:tcPr>
          <w:p w:rsidR="006B3EA9" w:rsidRPr="00283D10" w:rsidRDefault="006B3EA9" w:rsidP="0015484D">
            <w:pPr>
              <w:jc w:val="center"/>
            </w:pPr>
            <w:r w:rsidRPr="00283D10">
              <w:rPr>
                <w:color w:val="000000"/>
                <w:sz w:val="20"/>
              </w:rPr>
              <w:t>$19.75</w:t>
            </w:r>
          </w:p>
        </w:tc>
        <w:tc>
          <w:tcPr>
            <w:tcW w:w="1350" w:type="dxa"/>
            <w:shd w:val="clear" w:color="auto" w:fill="FFFFFF"/>
            <w:vAlign w:val="center"/>
          </w:tcPr>
          <w:p w:rsidR="006B3EA9" w:rsidRPr="00283D10" w:rsidRDefault="006B3EA9" w:rsidP="0015484D">
            <w:pPr>
              <w:jc w:val="center"/>
              <w:rPr>
                <w:color w:val="000000"/>
                <w:sz w:val="20"/>
              </w:rPr>
            </w:pPr>
            <w:r w:rsidRPr="00283D10">
              <w:rPr>
                <w:color w:val="000000"/>
                <w:sz w:val="20"/>
              </w:rPr>
              <w:t>$145,103</w:t>
            </w:r>
          </w:p>
        </w:tc>
      </w:tr>
      <w:tr w:rsidR="006B3EA9" w:rsidRPr="00283D10" w:rsidTr="0015484D">
        <w:trPr>
          <w:trHeight w:val="546"/>
        </w:trPr>
        <w:tc>
          <w:tcPr>
            <w:tcW w:w="2283" w:type="dxa"/>
            <w:shd w:val="clear" w:color="auto" w:fill="FFFFFF"/>
            <w:vAlign w:val="center"/>
          </w:tcPr>
          <w:p w:rsidR="006B3EA9" w:rsidRPr="00283D10" w:rsidRDefault="006B3EA9" w:rsidP="0015484D">
            <w:pPr>
              <w:rPr>
                <w:bCs/>
                <w:color w:val="000000"/>
                <w:sz w:val="20"/>
              </w:rPr>
            </w:pPr>
            <w:r w:rsidRPr="00283D10">
              <w:rPr>
                <w:bCs/>
                <w:color w:val="000000"/>
                <w:sz w:val="20"/>
              </w:rPr>
              <w:t xml:space="preserve">Exit Interview  </w:t>
            </w:r>
            <w:r w:rsidRPr="00283D10">
              <w:rPr>
                <w:bCs/>
                <w:color w:val="000000"/>
                <w:sz w:val="20"/>
                <w:vertAlign w:val="superscript"/>
              </w:rPr>
              <w:t>4</w:t>
            </w:r>
          </w:p>
        </w:tc>
        <w:tc>
          <w:tcPr>
            <w:tcW w:w="1250" w:type="dxa"/>
            <w:shd w:val="clear" w:color="auto" w:fill="FFFFFF"/>
            <w:vAlign w:val="center"/>
          </w:tcPr>
          <w:p w:rsidR="006B3EA9" w:rsidRPr="00283D10" w:rsidRDefault="006B3EA9" w:rsidP="0015484D">
            <w:pPr>
              <w:jc w:val="center"/>
              <w:rPr>
                <w:color w:val="000000"/>
                <w:sz w:val="20"/>
              </w:rPr>
            </w:pPr>
            <w:r w:rsidRPr="00283D10">
              <w:rPr>
                <w:color w:val="000000"/>
                <w:sz w:val="20"/>
              </w:rPr>
              <w:t>15,467</w:t>
            </w:r>
          </w:p>
        </w:tc>
        <w:tc>
          <w:tcPr>
            <w:tcW w:w="1170" w:type="dxa"/>
            <w:shd w:val="clear" w:color="auto" w:fill="FFFFFF"/>
            <w:vAlign w:val="center"/>
          </w:tcPr>
          <w:p w:rsidR="006B3EA9" w:rsidRPr="00283D10" w:rsidRDefault="006B3EA9" w:rsidP="0015484D">
            <w:pPr>
              <w:jc w:val="center"/>
              <w:rPr>
                <w:color w:val="000000"/>
                <w:sz w:val="20"/>
              </w:rPr>
            </w:pPr>
            <w:r w:rsidRPr="00283D10">
              <w:rPr>
                <w:color w:val="000000"/>
                <w:sz w:val="20"/>
              </w:rPr>
              <w:t>1</w:t>
            </w:r>
          </w:p>
        </w:tc>
        <w:tc>
          <w:tcPr>
            <w:tcW w:w="1350" w:type="dxa"/>
            <w:shd w:val="clear" w:color="auto" w:fill="FFFFFF"/>
            <w:vAlign w:val="center"/>
          </w:tcPr>
          <w:p w:rsidR="006B3EA9" w:rsidRPr="00283D10" w:rsidRDefault="006B3EA9" w:rsidP="0015484D">
            <w:pPr>
              <w:jc w:val="center"/>
              <w:rPr>
                <w:color w:val="000000"/>
                <w:sz w:val="20"/>
              </w:rPr>
            </w:pPr>
            <w:r w:rsidRPr="00283D10">
              <w:rPr>
                <w:color w:val="000000"/>
                <w:sz w:val="20"/>
              </w:rPr>
              <w:t>15,467</w:t>
            </w:r>
          </w:p>
        </w:tc>
        <w:tc>
          <w:tcPr>
            <w:tcW w:w="990" w:type="dxa"/>
            <w:shd w:val="clear" w:color="auto" w:fill="FFFFFF"/>
            <w:vAlign w:val="center"/>
          </w:tcPr>
          <w:p w:rsidR="006B3EA9" w:rsidRPr="00283D10" w:rsidRDefault="006B3EA9" w:rsidP="0015484D">
            <w:pPr>
              <w:jc w:val="center"/>
            </w:pPr>
            <w:r w:rsidRPr="00283D10">
              <w:rPr>
                <w:color w:val="000000"/>
                <w:sz w:val="20"/>
              </w:rPr>
              <w:t>0.38</w:t>
            </w:r>
          </w:p>
        </w:tc>
        <w:tc>
          <w:tcPr>
            <w:tcW w:w="1080" w:type="dxa"/>
            <w:shd w:val="clear" w:color="auto" w:fill="FFFFFF"/>
            <w:vAlign w:val="center"/>
          </w:tcPr>
          <w:p w:rsidR="006B3EA9" w:rsidRPr="00283D10" w:rsidRDefault="006B3EA9" w:rsidP="0015484D">
            <w:pPr>
              <w:jc w:val="center"/>
              <w:rPr>
                <w:color w:val="000000"/>
                <w:sz w:val="20"/>
              </w:rPr>
            </w:pPr>
            <w:r w:rsidRPr="00283D10">
              <w:rPr>
                <w:color w:val="000000"/>
                <w:sz w:val="20"/>
              </w:rPr>
              <w:t>5,877</w:t>
            </w:r>
          </w:p>
        </w:tc>
        <w:tc>
          <w:tcPr>
            <w:tcW w:w="810" w:type="dxa"/>
            <w:shd w:val="clear" w:color="auto" w:fill="FFFFFF"/>
            <w:vAlign w:val="center"/>
          </w:tcPr>
          <w:p w:rsidR="006B3EA9" w:rsidRPr="00283D10" w:rsidRDefault="006B3EA9" w:rsidP="0015484D">
            <w:pPr>
              <w:jc w:val="center"/>
            </w:pPr>
            <w:r w:rsidRPr="00283D10">
              <w:rPr>
                <w:color w:val="000000"/>
                <w:sz w:val="20"/>
              </w:rPr>
              <w:t>$19.75</w:t>
            </w:r>
          </w:p>
        </w:tc>
        <w:tc>
          <w:tcPr>
            <w:tcW w:w="1350" w:type="dxa"/>
            <w:shd w:val="clear" w:color="auto" w:fill="FFFFFF"/>
            <w:vAlign w:val="center"/>
          </w:tcPr>
          <w:p w:rsidR="006B3EA9" w:rsidRPr="00283D10" w:rsidRDefault="006B3EA9" w:rsidP="0015484D">
            <w:pPr>
              <w:jc w:val="center"/>
              <w:rPr>
                <w:color w:val="000000"/>
                <w:sz w:val="20"/>
              </w:rPr>
            </w:pPr>
            <w:r w:rsidRPr="00283D10">
              <w:rPr>
                <w:color w:val="000000"/>
                <w:sz w:val="20"/>
              </w:rPr>
              <w:t>$116,071</w:t>
            </w:r>
          </w:p>
        </w:tc>
      </w:tr>
      <w:tr w:rsidR="006B3EA9" w:rsidRPr="00283D10" w:rsidTr="0015484D">
        <w:trPr>
          <w:trHeight w:val="546"/>
        </w:trPr>
        <w:tc>
          <w:tcPr>
            <w:tcW w:w="2283" w:type="dxa"/>
            <w:shd w:val="clear" w:color="auto" w:fill="FFFFFF"/>
            <w:vAlign w:val="center"/>
          </w:tcPr>
          <w:p w:rsidR="006B3EA9" w:rsidRPr="00283D10" w:rsidRDefault="006B3EA9" w:rsidP="0015484D">
            <w:pPr>
              <w:rPr>
                <w:bCs/>
                <w:color w:val="000000"/>
                <w:sz w:val="20"/>
              </w:rPr>
            </w:pPr>
            <w:r w:rsidRPr="00283D10">
              <w:rPr>
                <w:bCs/>
                <w:color w:val="000000"/>
                <w:sz w:val="20"/>
              </w:rPr>
              <w:t xml:space="preserve">First Follow-Up After Discharge </w:t>
            </w:r>
            <w:r w:rsidRPr="00283D10">
              <w:rPr>
                <w:bCs/>
                <w:color w:val="000000"/>
                <w:sz w:val="20"/>
                <w:vertAlign w:val="superscript"/>
              </w:rPr>
              <w:t>5</w:t>
            </w:r>
            <w:r w:rsidRPr="00283D10">
              <w:rPr>
                <w:bCs/>
                <w:color w:val="000000"/>
                <w:sz w:val="20"/>
              </w:rPr>
              <w:t xml:space="preserve"> </w:t>
            </w:r>
          </w:p>
        </w:tc>
        <w:tc>
          <w:tcPr>
            <w:tcW w:w="1250" w:type="dxa"/>
            <w:shd w:val="clear" w:color="auto" w:fill="FFFFFF"/>
            <w:vAlign w:val="center"/>
          </w:tcPr>
          <w:p w:rsidR="006B3EA9" w:rsidRPr="00283D10" w:rsidRDefault="006B3EA9" w:rsidP="0015484D">
            <w:pPr>
              <w:jc w:val="center"/>
              <w:rPr>
                <w:color w:val="000000"/>
                <w:sz w:val="20"/>
              </w:rPr>
            </w:pPr>
            <w:r w:rsidRPr="00283D10">
              <w:rPr>
                <w:color w:val="000000"/>
                <w:sz w:val="20"/>
              </w:rPr>
              <w:t>12,374</w:t>
            </w:r>
          </w:p>
        </w:tc>
        <w:tc>
          <w:tcPr>
            <w:tcW w:w="1170" w:type="dxa"/>
            <w:shd w:val="clear" w:color="auto" w:fill="FFFFFF"/>
            <w:vAlign w:val="center"/>
          </w:tcPr>
          <w:p w:rsidR="006B3EA9" w:rsidRPr="00283D10" w:rsidRDefault="006B3EA9" w:rsidP="0015484D">
            <w:pPr>
              <w:jc w:val="center"/>
              <w:rPr>
                <w:color w:val="000000"/>
                <w:sz w:val="20"/>
              </w:rPr>
            </w:pPr>
            <w:r w:rsidRPr="00283D10">
              <w:rPr>
                <w:color w:val="000000"/>
                <w:sz w:val="20"/>
              </w:rPr>
              <w:t>1</w:t>
            </w:r>
          </w:p>
        </w:tc>
        <w:tc>
          <w:tcPr>
            <w:tcW w:w="1350" w:type="dxa"/>
            <w:shd w:val="clear" w:color="auto" w:fill="FFFFFF"/>
            <w:vAlign w:val="center"/>
          </w:tcPr>
          <w:p w:rsidR="006B3EA9" w:rsidRPr="00283D10" w:rsidRDefault="006B3EA9" w:rsidP="0015484D">
            <w:pPr>
              <w:jc w:val="center"/>
              <w:rPr>
                <w:color w:val="000000"/>
                <w:sz w:val="20"/>
              </w:rPr>
            </w:pPr>
            <w:r w:rsidRPr="00283D10">
              <w:rPr>
                <w:color w:val="000000"/>
                <w:sz w:val="20"/>
              </w:rPr>
              <w:t>12,374</w:t>
            </w:r>
          </w:p>
        </w:tc>
        <w:tc>
          <w:tcPr>
            <w:tcW w:w="990" w:type="dxa"/>
            <w:shd w:val="clear" w:color="auto" w:fill="FFFFFF"/>
            <w:vAlign w:val="center"/>
          </w:tcPr>
          <w:p w:rsidR="006B3EA9" w:rsidRPr="00283D10" w:rsidRDefault="006B3EA9" w:rsidP="0015484D">
            <w:pPr>
              <w:jc w:val="center"/>
            </w:pPr>
            <w:r w:rsidRPr="00283D10">
              <w:rPr>
                <w:color w:val="000000"/>
                <w:sz w:val="20"/>
              </w:rPr>
              <w:t>0.38</w:t>
            </w:r>
          </w:p>
        </w:tc>
        <w:tc>
          <w:tcPr>
            <w:tcW w:w="1080" w:type="dxa"/>
            <w:shd w:val="clear" w:color="auto" w:fill="FFFFFF"/>
            <w:vAlign w:val="center"/>
          </w:tcPr>
          <w:p w:rsidR="006B3EA9" w:rsidRPr="00283D10" w:rsidRDefault="006B3EA9" w:rsidP="0015484D">
            <w:pPr>
              <w:jc w:val="center"/>
              <w:rPr>
                <w:color w:val="000000"/>
                <w:sz w:val="20"/>
              </w:rPr>
            </w:pPr>
            <w:r w:rsidRPr="00283D10">
              <w:rPr>
                <w:color w:val="000000"/>
                <w:sz w:val="20"/>
              </w:rPr>
              <w:t>4,702</w:t>
            </w:r>
          </w:p>
        </w:tc>
        <w:tc>
          <w:tcPr>
            <w:tcW w:w="810" w:type="dxa"/>
            <w:shd w:val="clear" w:color="auto" w:fill="FFFFFF"/>
            <w:vAlign w:val="center"/>
          </w:tcPr>
          <w:p w:rsidR="006B3EA9" w:rsidRPr="00283D10" w:rsidRDefault="006B3EA9" w:rsidP="0015484D">
            <w:pPr>
              <w:jc w:val="center"/>
            </w:pPr>
            <w:r w:rsidRPr="00283D10">
              <w:rPr>
                <w:color w:val="000000"/>
                <w:sz w:val="20"/>
              </w:rPr>
              <w:t>$19.75</w:t>
            </w:r>
          </w:p>
        </w:tc>
        <w:tc>
          <w:tcPr>
            <w:tcW w:w="1350" w:type="dxa"/>
            <w:shd w:val="clear" w:color="auto" w:fill="FFFFFF"/>
            <w:vAlign w:val="center"/>
          </w:tcPr>
          <w:p w:rsidR="006B3EA9" w:rsidRPr="00283D10" w:rsidRDefault="006B3EA9" w:rsidP="0015484D">
            <w:pPr>
              <w:jc w:val="center"/>
              <w:rPr>
                <w:color w:val="000000"/>
                <w:sz w:val="20"/>
              </w:rPr>
            </w:pPr>
            <w:r w:rsidRPr="00283D10">
              <w:rPr>
                <w:color w:val="000000"/>
                <w:sz w:val="20"/>
              </w:rPr>
              <w:t>$92,865</w:t>
            </w:r>
          </w:p>
        </w:tc>
      </w:tr>
      <w:tr w:rsidR="006B3EA9" w:rsidRPr="00283D10" w:rsidTr="0015484D">
        <w:trPr>
          <w:trHeight w:val="546"/>
        </w:trPr>
        <w:tc>
          <w:tcPr>
            <w:tcW w:w="2283" w:type="dxa"/>
            <w:shd w:val="clear" w:color="auto" w:fill="FFFFFF"/>
            <w:vAlign w:val="center"/>
          </w:tcPr>
          <w:p w:rsidR="006B3EA9" w:rsidRPr="00283D10" w:rsidRDefault="006B3EA9" w:rsidP="0015484D">
            <w:pPr>
              <w:rPr>
                <w:bCs/>
                <w:color w:val="000000"/>
                <w:sz w:val="20"/>
              </w:rPr>
            </w:pPr>
            <w:r w:rsidRPr="00283D10">
              <w:rPr>
                <w:bCs/>
                <w:color w:val="000000"/>
                <w:sz w:val="20"/>
              </w:rPr>
              <w:t xml:space="preserve">Second Follow-Up After Discharge </w:t>
            </w:r>
            <w:r w:rsidRPr="00283D10">
              <w:rPr>
                <w:bCs/>
                <w:color w:val="000000"/>
                <w:sz w:val="20"/>
                <w:vertAlign w:val="superscript"/>
              </w:rPr>
              <w:t>6</w:t>
            </w:r>
            <w:r w:rsidRPr="00283D10">
              <w:rPr>
                <w:bCs/>
                <w:color w:val="000000"/>
                <w:sz w:val="20"/>
              </w:rPr>
              <w:t xml:space="preserve"> </w:t>
            </w:r>
          </w:p>
        </w:tc>
        <w:tc>
          <w:tcPr>
            <w:tcW w:w="1250" w:type="dxa"/>
            <w:shd w:val="clear" w:color="auto" w:fill="FFFFFF"/>
            <w:vAlign w:val="center"/>
          </w:tcPr>
          <w:p w:rsidR="006B3EA9" w:rsidRPr="00283D10" w:rsidRDefault="006B3EA9" w:rsidP="0015484D">
            <w:pPr>
              <w:jc w:val="center"/>
              <w:rPr>
                <w:color w:val="000000"/>
                <w:sz w:val="20"/>
              </w:rPr>
            </w:pPr>
            <w:r w:rsidRPr="00283D10">
              <w:rPr>
                <w:color w:val="000000"/>
                <w:sz w:val="20"/>
              </w:rPr>
              <w:t>1,933</w:t>
            </w:r>
          </w:p>
        </w:tc>
        <w:tc>
          <w:tcPr>
            <w:tcW w:w="1170" w:type="dxa"/>
            <w:shd w:val="clear" w:color="auto" w:fill="FFFFFF"/>
            <w:vAlign w:val="center"/>
          </w:tcPr>
          <w:p w:rsidR="006B3EA9" w:rsidRPr="00283D10" w:rsidRDefault="006B3EA9" w:rsidP="0015484D">
            <w:pPr>
              <w:jc w:val="center"/>
              <w:rPr>
                <w:color w:val="000000"/>
                <w:sz w:val="20"/>
              </w:rPr>
            </w:pPr>
            <w:r w:rsidRPr="00283D10">
              <w:rPr>
                <w:color w:val="000000"/>
                <w:sz w:val="20"/>
              </w:rPr>
              <w:t>1</w:t>
            </w:r>
          </w:p>
        </w:tc>
        <w:tc>
          <w:tcPr>
            <w:tcW w:w="1350" w:type="dxa"/>
            <w:shd w:val="clear" w:color="auto" w:fill="FFFFFF"/>
            <w:vAlign w:val="center"/>
          </w:tcPr>
          <w:p w:rsidR="006B3EA9" w:rsidRPr="00283D10" w:rsidRDefault="006B3EA9" w:rsidP="0015484D">
            <w:pPr>
              <w:jc w:val="center"/>
              <w:rPr>
                <w:color w:val="000000"/>
                <w:sz w:val="20"/>
              </w:rPr>
            </w:pPr>
            <w:r w:rsidRPr="00283D10">
              <w:rPr>
                <w:color w:val="000000"/>
                <w:sz w:val="20"/>
              </w:rPr>
              <w:t>1,933</w:t>
            </w:r>
          </w:p>
        </w:tc>
        <w:tc>
          <w:tcPr>
            <w:tcW w:w="990" w:type="dxa"/>
            <w:shd w:val="clear" w:color="auto" w:fill="FFFFFF"/>
            <w:vAlign w:val="center"/>
          </w:tcPr>
          <w:p w:rsidR="006B3EA9" w:rsidRPr="00283D10" w:rsidRDefault="006B3EA9" w:rsidP="0015484D">
            <w:pPr>
              <w:jc w:val="center"/>
            </w:pPr>
            <w:r w:rsidRPr="00283D10">
              <w:rPr>
                <w:color w:val="000000"/>
                <w:sz w:val="20"/>
              </w:rPr>
              <w:t>0.38</w:t>
            </w:r>
          </w:p>
        </w:tc>
        <w:tc>
          <w:tcPr>
            <w:tcW w:w="1080" w:type="dxa"/>
            <w:shd w:val="clear" w:color="auto" w:fill="FFFFFF"/>
            <w:vAlign w:val="center"/>
          </w:tcPr>
          <w:p w:rsidR="006B3EA9" w:rsidRPr="00283D10" w:rsidRDefault="006B3EA9" w:rsidP="0015484D">
            <w:pPr>
              <w:jc w:val="center"/>
              <w:rPr>
                <w:color w:val="000000"/>
                <w:sz w:val="20"/>
              </w:rPr>
            </w:pPr>
            <w:r w:rsidRPr="00283D10">
              <w:rPr>
                <w:color w:val="000000"/>
                <w:sz w:val="20"/>
              </w:rPr>
              <w:t>735</w:t>
            </w:r>
          </w:p>
        </w:tc>
        <w:tc>
          <w:tcPr>
            <w:tcW w:w="810" w:type="dxa"/>
            <w:shd w:val="clear" w:color="auto" w:fill="FFFFFF"/>
            <w:vAlign w:val="center"/>
          </w:tcPr>
          <w:p w:rsidR="006B3EA9" w:rsidRPr="00283D10" w:rsidRDefault="006B3EA9" w:rsidP="0015484D">
            <w:pPr>
              <w:jc w:val="center"/>
            </w:pPr>
            <w:r w:rsidRPr="00283D10">
              <w:rPr>
                <w:color w:val="000000"/>
                <w:sz w:val="20"/>
              </w:rPr>
              <w:t>$19.75</w:t>
            </w:r>
          </w:p>
        </w:tc>
        <w:tc>
          <w:tcPr>
            <w:tcW w:w="1350" w:type="dxa"/>
            <w:shd w:val="clear" w:color="auto" w:fill="FFFFFF"/>
            <w:vAlign w:val="center"/>
          </w:tcPr>
          <w:p w:rsidR="006B3EA9" w:rsidRPr="00283D10" w:rsidRDefault="006B3EA9" w:rsidP="0015484D">
            <w:pPr>
              <w:jc w:val="center"/>
              <w:rPr>
                <w:color w:val="000000"/>
                <w:sz w:val="20"/>
              </w:rPr>
            </w:pPr>
            <w:r w:rsidRPr="00283D10">
              <w:rPr>
                <w:color w:val="000000"/>
                <w:sz w:val="20"/>
              </w:rPr>
              <w:t>$14,516</w:t>
            </w:r>
          </w:p>
        </w:tc>
      </w:tr>
      <w:tr w:rsidR="006B3EA9" w:rsidRPr="00283D10" w:rsidTr="0015484D">
        <w:trPr>
          <w:trHeight w:val="546"/>
        </w:trPr>
        <w:tc>
          <w:tcPr>
            <w:tcW w:w="2283" w:type="dxa"/>
            <w:shd w:val="clear" w:color="auto" w:fill="FFFFFF"/>
            <w:vAlign w:val="center"/>
          </w:tcPr>
          <w:p w:rsidR="006B3EA9" w:rsidRPr="00C46204" w:rsidRDefault="006B3EA9" w:rsidP="0015484D">
            <w:pPr>
              <w:rPr>
                <w:b/>
                <w:bCs/>
                <w:color w:val="000000"/>
                <w:szCs w:val="24"/>
              </w:rPr>
            </w:pPr>
            <w:r w:rsidRPr="00C46204">
              <w:rPr>
                <w:b/>
                <w:bCs/>
                <w:color w:val="000000"/>
                <w:szCs w:val="24"/>
              </w:rPr>
              <w:t>CSAP Subtotal</w:t>
            </w:r>
          </w:p>
        </w:tc>
        <w:tc>
          <w:tcPr>
            <w:tcW w:w="1250" w:type="dxa"/>
            <w:shd w:val="clear" w:color="auto" w:fill="FFFFFF"/>
            <w:vAlign w:val="center"/>
          </w:tcPr>
          <w:p w:rsidR="006B3EA9" w:rsidRPr="00C46204" w:rsidRDefault="006B3EA9" w:rsidP="0015484D">
            <w:pPr>
              <w:jc w:val="center"/>
              <w:rPr>
                <w:b/>
                <w:color w:val="000000"/>
                <w:szCs w:val="24"/>
              </w:rPr>
            </w:pPr>
            <w:r w:rsidRPr="00C46204">
              <w:rPr>
                <w:b/>
                <w:color w:val="000000"/>
                <w:szCs w:val="24"/>
              </w:rPr>
              <w:t>19,334</w:t>
            </w:r>
          </w:p>
        </w:tc>
        <w:tc>
          <w:tcPr>
            <w:tcW w:w="1170" w:type="dxa"/>
            <w:shd w:val="clear" w:color="auto" w:fill="FFFFFF"/>
            <w:vAlign w:val="center"/>
          </w:tcPr>
          <w:p w:rsidR="006B3EA9" w:rsidRPr="00C46204" w:rsidRDefault="006B3EA9" w:rsidP="0015484D">
            <w:pPr>
              <w:jc w:val="center"/>
              <w:rPr>
                <w:b/>
                <w:color w:val="000000"/>
                <w:szCs w:val="24"/>
              </w:rPr>
            </w:pPr>
          </w:p>
        </w:tc>
        <w:tc>
          <w:tcPr>
            <w:tcW w:w="1350" w:type="dxa"/>
            <w:shd w:val="clear" w:color="auto" w:fill="FFFFFF"/>
            <w:vAlign w:val="center"/>
          </w:tcPr>
          <w:p w:rsidR="006B3EA9" w:rsidRPr="00C46204" w:rsidRDefault="006B3EA9" w:rsidP="0015484D">
            <w:pPr>
              <w:jc w:val="center"/>
              <w:rPr>
                <w:b/>
                <w:color w:val="000000"/>
                <w:szCs w:val="24"/>
              </w:rPr>
            </w:pPr>
            <w:r w:rsidRPr="00C46204">
              <w:rPr>
                <w:b/>
                <w:color w:val="000000"/>
                <w:szCs w:val="24"/>
              </w:rPr>
              <w:t>49,108</w:t>
            </w:r>
          </w:p>
        </w:tc>
        <w:tc>
          <w:tcPr>
            <w:tcW w:w="990" w:type="dxa"/>
            <w:shd w:val="clear" w:color="auto" w:fill="FFFFFF"/>
            <w:vAlign w:val="center"/>
          </w:tcPr>
          <w:p w:rsidR="006B3EA9" w:rsidRPr="00C46204" w:rsidRDefault="006B3EA9" w:rsidP="0015484D">
            <w:pPr>
              <w:jc w:val="center"/>
              <w:rPr>
                <w:b/>
                <w:color w:val="000000"/>
                <w:szCs w:val="24"/>
              </w:rPr>
            </w:pPr>
          </w:p>
        </w:tc>
        <w:tc>
          <w:tcPr>
            <w:tcW w:w="1080" w:type="dxa"/>
            <w:shd w:val="clear" w:color="auto" w:fill="FFFFFF"/>
            <w:vAlign w:val="center"/>
          </w:tcPr>
          <w:p w:rsidR="006B3EA9" w:rsidRPr="00C46204" w:rsidRDefault="006B3EA9" w:rsidP="0015484D">
            <w:pPr>
              <w:jc w:val="center"/>
              <w:rPr>
                <w:b/>
                <w:color w:val="000000"/>
                <w:szCs w:val="24"/>
              </w:rPr>
            </w:pPr>
            <w:r w:rsidRPr="00C46204">
              <w:rPr>
                <w:b/>
                <w:color w:val="000000"/>
                <w:szCs w:val="24"/>
              </w:rPr>
              <w:t>18,661</w:t>
            </w:r>
          </w:p>
        </w:tc>
        <w:tc>
          <w:tcPr>
            <w:tcW w:w="810" w:type="dxa"/>
            <w:shd w:val="clear" w:color="auto" w:fill="FFFFFF"/>
            <w:vAlign w:val="center"/>
          </w:tcPr>
          <w:p w:rsidR="006B3EA9" w:rsidRPr="00C46204" w:rsidRDefault="006B3EA9" w:rsidP="0015484D">
            <w:pPr>
              <w:jc w:val="center"/>
              <w:rPr>
                <w:b/>
                <w:color w:val="000000"/>
                <w:szCs w:val="24"/>
              </w:rPr>
            </w:pPr>
          </w:p>
        </w:tc>
        <w:tc>
          <w:tcPr>
            <w:tcW w:w="1350" w:type="dxa"/>
            <w:shd w:val="clear" w:color="auto" w:fill="FFFFFF"/>
            <w:vAlign w:val="center"/>
          </w:tcPr>
          <w:p w:rsidR="006B3EA9" w:rsidRPr="00C46204" w:rsidRDefault="006B3EA9" w:rsidP="0015484D">
            <w:pPr>
              <w:jc w:val="center"/>
              <w:rPr>
                <w:b/>
                <w:color w:val="000000"/>
                <w:szCs w:val="24"/>
              </w:rPr>
            </w:pPr>
            <w:r w:rsidRPr="00C46204">
              <w:rPr>
                <w:b/>
                <w:color w:val="000000"/>
                <w:szCs w:val="24"/>
              </w:rPr>
              <w:t>$368,555</w:t>
            </w:r>
          </w:p>
        </w:tc>
      </w:tr>
      <w:tr w:rsidR="006B3EA9" w:rsidRPr="00283D10" w:rsidTr="0015484D">
        <w:trPr>
          <w:trHeight w:val="303"/>
        </w:trPr>
        <w:tc>
          <w:tcPr>
            <w:tcW w:w="10283" w:type="dxa"/>
            <w:gridSpan w:val="8"/>
            <w:shd w:val="clear" w:color="auto" w:fill="DDD9C4"/>
            <w:vAlign w:val="center"/>
            <w:hideMark/>
          </w:tcPr>
          <w:p w:rsidR="006B3EA9" w:rsidRPr="00283D10" w:rsidRDefault="006B3EA9" w:rsidP="0015484D">
            <w:pPr>
              <w:rPr>
                <w:b/>
                <w:bCs/>
                <w:color w:val="000000"/>
                <w:szCs w:val="24"/>
              </w:rPr>
            </w:pPr>
            <w:r w:rsidRPr="00283D10">
              <w:rPr>
                <w:b/>
                <w:bCs/>
                <w:color w:val="000000"/>
                <w:szCs w:val="24"/>
              </w:rPr>
              <w:t>CMHS</w:t>
            </w:r>
          </w:p>
          <w:p w:rsidR="006B3EA9" w:rsidRPr="00283D10" w:rsidRDefault="006B3EA9" w:rsidP="0015484D">
            <w:pPr>
              <w:rPr>
                <w:b/>
                <w:bCs/>
                <w:color w:val="000000"/>
                <w:sz w:val="20"/>
              </w:rPr>
            </w:pPr>
          </w:p>
        </w:tc>
      </w:tr>
      <w:tr w:rsidR="006B3EA9" w:rsidRPr="00283D10" w:rsidTr="0015484D">
        <w:trPr>
          <w:trHeight w:val="543"/>
        </w:trPr>
        <w:tc>
          <w:tcPr>
            <w:tcW w:w="2283" w:type="dxa"/>
            <w:shd w:val="clear" w:color="auto" w:fill="FFFFFF"/>
            <w:vAlign w:val="center"/>
          </w:tcPr>
          <w:p w:rsidR="006B3EA9" w:rsidRPr="00283D10" w:rsidRDefault="006B3EA9" w:rsidP="0015484D">
            <w:pPr>
              <w:rPr>
                <w:bCs/>
                <w:color w:val="000000"/>
                <w:sz w:val="20"/>
              </w:rPr>
            </w:pPr>
            <w:r w:rsidRPr="00283D10">
              <w:rPr>
                <w:bCs/>
                <w:color w:val="000000"/>
                <w:sz w:val="20"/>
              </w:rPr>
              <w:t xml:space="preserve">Baseline Interview </w:t>
            </w:r>
          </w:p>
        </w:tc>
        <w:tc>
          <w:tcPr>
            <w:tcW w:w="1250" w:type="dxa"/>
            <w:shd w:val="clear" w:color="auto" w:fill="FFFFFF"/>
            <w:vAlign w:val="center"/>
          </w:tcPr>
          <w:p w:rsidR="006B3EA9" w:rsidRPr="00283D10" w:rsidRDefault="006B3EA9" w:rsidP="0015484D">
            <w:pPr>
              <w:jc w:val="center"/>
              <w:rPr>
                <w:color w:val="000000"/>
                <w:sz w:val="20"/>
              </w:rPr>
            </w:pPr>
            <w:r w:rsidRPr="00283D10">
              <w:rPr>
                <w:color w:val="000000"/>
                <w:sz w:val="20"/>
              </w:rPr>
              <w:t>35,845</w:t>
            </w:r>
          </w:p>
        </w:tc>
        <w:tc>
          <w:tcPr>
            <w:tcW w:w="1170" w:type="dxa"/>
            <w:shd w:val="clear" w:color="auto" w:fill="FFFFFF"/>
            <w:vAlign w:val="center"/>
          </w:tcPr>
          <w:p w:rsidR="006B3EA9" w:rsidRPr="00283D10" w:rsidRDefault="006B3EA9" w:rsidP="0015484D">
            <w:pPr>
              <w:jc w:val="center"/>
              <w:rPr>
                <w:color w:val="000000"/>
                <w:sz w:val="20"/>
              </w:rPr>
            </w:pPr>
            <w:r w:rsidRPr="00283D10">
              <w:rPr>
                <w:color w:val="000000"/>
                <w:sz w:val="20"/>
              </w:rPr>
              <w:t>1</w:t>
            </w:r>
          </w:p>
        </w:tc>
        <w:tc>
          <w:tcPr>
            <w:tcW w:w="1350" w:type="dxa"/>
            <w:shd w:val="clear" w:color="auto" w:fill="FFFFFF"/>
            <w:vAlign w:val="center"/>
          </w:tcPr>
          <w:p w:rsidR="006B3EA9" w:rsidRPr="00283D10" w:rsidRDefault="006B3EA9" w:rsidP="0015484D">
            <w:pPr>
              <w:jc w:val="center"/>
              <w:rPr>
                <w:color w:val="000000"/>
                <w:sz w:val="20"/>
              </w:rPr>
            </w:pPr>
            <w:r w:rsidRPr="00283D10">
              <w:rPr>
                <w:color w:val="000000"/>
                <w:sz w:val="20"/>
              </w:rPr>
              <w:t>35,854</w:t>
            </w:r>
          </w:p>
        </w:tc>
        <w:tc>
          <w:tcPr>
            <w:tcW w:w="990" w:type="dxa"/>
            <w:shd w:val="clear" w:color="auto" w:fill="FFFFFF"/>
            <w:vAlign w:val="center"/>
          </w:tcPr>
          <w:p w:rsidR="006B3EA9" w:rsidRPr="00283D10" w:rsidRDefault="006B3EA9" w:rsidP="0015484D">
            <w:pPr>
              <w:jc w:val="center"/>
              <w:rPr>
                <w:color w:val="000000"/>
                <w:sz w:val="20"/>
              </w:rPr>
            </w:pPr>
            <w:r w:rsidRPr="00283D10">
              <w:rPr>
                <w:color w:val="000000"/>
                <w:sz w:val="20"/>
              </w:rPr>
              <w:t>0.45</w:t>
            </w:r>
          </w:p>
        </w:tc>
        <w:tc>
          <w:tcPr>
            <w:tcW w:w="1080" w:type="dxa"/>
            <w:shd w:val="clear" w:color="auto" w:fill="FFFFFF"/>
            <w:vAlign w:val="center"/>
          </w:tcPr>
          <w:p w:rsidR="006B3EA9" w:rsidRPr="00283D10" w:rsidRDefault="006B3EA9" w:rsidP="0015484D">
            <w:pPr>
              <w:jc w:val="center"/>
              <w:rPr>
                <w:color w:val="000000"/>
                <w:sz w:val="20"/>
              </w:rPr>
            </w:pPr>
            <w:r w:rsidRPr="00283D10">
              <w:rPr>
                <w:color w:val="000000"/>
                <w:sz w:val="20"/>
              </w:rPr>
              <w:t>16,130</w:t>
            </w:r>
          </w:p>
        </w:tc>
        <w:tc>
          <w:tcPr>
            <w:tcW w:w="810" w:type="dxa"/>
            <w:shd w:val="clear" w:color="auto" w:fill="FFFFFF"/>
            <w:vAlign w:val="center"/>
          </w:tcPr>
          <w:p w:rsidR="006B3EA9" w:rsidRPr="00283D10" w:rsidRDefault="006B3EA9" w:rsidP="0015484D">
            <w:pPr>
              <w:jc w:val="center"/>
              <w:rPr>
                <w:color w:val="000000"/>
                <w:sz w:val="20"/>
              </w:rPr>
            </w:pPr>
            <w:r w:rsidRPr="00283D10">
              <w:rPr>
                <w:color w:val="000000"/>
                <w:sz w:val="20"/>
              </w:rPr>
              <w:t>$19.75</w:t>
            </w:r>
          </w:p>
        </w:tc>
        <w:tc>
          <w:tcPr>
            <w:tcW w:w="1350" w:type="dxa"/>
            <w:shd w:val="clear" w:color="auto" w:fill="FFFFFF"/>
            <w:vAlign w:val="center"/>
          </w:tcPr>
          <w:p w:rsidR="006B3EA9" w:rsidRPr="00283D10" w:rsidRDefault="006B3EA9" w:rsidP="0015484D">
            <w:pPr>
              <w:jc w:val="center"/>
              <w:rPr>
                <w:color w:val="000000"/>
                <w:sz w:val="20"/>
              </w:rPr>
            </w:pPr>
            <w:r w:rsidRPr="00283D10">
              <w:rPr>
                <w:color w:val="000000"/>
                <w:sz w:val="20"/>
              </w:rPr>
              <w:t>$318,572</w:t>
            </w:r>
          </w:p>
        </w:tc>
      </w:tr>
      <w:tr w:rsidR="006B3EA9" w:rsidRPr="00283D10" w:rsidTr="0015484D">
        <w:trPr>
          <w:trHeight w:val="435"/>
        </w:trPr>
        <w:tc>
          <w:tcPr>
            <w:tcW w:w="2283" w:type="dxa"/>
            <w:shd w:val="clear" w:color="auto" w:fill="FFFFFF"/>
            <w:vAlign w:val="center"/>
          </w:tcPr>
          <w:p w:rsidR="006B3EA9" w:rsidRPr="00283D10" w:rsidRDefault="006B3EA9" w:rsidP="0015484D">
            <w:pPr>
              <w:rPr>
                <w:bCs/>
                <w:color w:val="000000"/>
                <w:sz w:val="20"/>
              </w:rPr>
            </w:pPr>
            <w:r w:rsidRPr="00283D10">
              <w:rPr>
                <w:bCs/>
                <w:color w:val="000000"/>
                <w:sz w:val="20"/>
              </w:rPr>
              <w:t>Follow-Up Interview</w:t>
            </w:r>
            <w:r w:rsidRPr="00283D10">
              <w:rPr>
                <w:bCs/>
                <w:color w:val="000000"/>
                <w:sz w:val="20"/>
                <w:vertAlign w:val="superscript"/>
              </w:rPr>
              <w:t xml:space="preserve"> 7 </w:t>
            </w:r>
          </w:p>
        </w:tc>
        <w:tc>
          <w:tcPr>
            <w:tcW w:w="1250" w:type="dxa"/>
            <w:shd w:val="clear" w:color="auto" w:fill="FFFFFF"/>
            <w:vAlign w:val="center"/>
          </w:tcPr>
          <w:p w:rsidR="006B3EA9" w:rsidRPr="00283D10" w:rsidRDefault="006B3EA9" w:rsidP="0015484D">
            <w:pPr>
              <w:jc w:val="center"/>
              <w:rPr>
                <w:color w:val="000000"/>
                <w:sz w:val="20"/>
              </w:rPr>
            </w:pPr>
            <w:r w:rsidRPr="00283D10">
              <w:rPr>
                <w:color w:val="000000"/>
                <w:sz w:val="20"/>
              </w:rPr>
              <w:t>23,658</w:t>
            </w:r>
          </w:p>
        </w:tc>
        <w:tc>
          <w:tcPr>
            <w:tcW w:w="1170" w:type="dxa"/>
            <w:shd w:val="clear" w:color="auto" w:fill="FFFFFF"/>
            <w:vAlign w:val="center"/>
          </w:tcPr>
          <w:p w:rsidR="006B3EA9" w:rsidRPr="00283D10" w:rsidRDefault="006B3EA9" w:rsidP="0015484D">
            <w:pPr>
              <w:jc w:val="center"/>
              <w:rPr>
                <w:color w:val="000000"/>
                <w:sz w:val="20"/>
              </w:rPr>
            </w:pPr>
            <w:r w:rsidRPr="00283D10">
              <w:rPr>
                <w:color w:val="000000"/>
                <w:sz w:val="20"/>
              </w:rPr>
              <w:t>1</w:t>
            </w:r>
          </w:p>
        </w:tc>
        <w:tc>
          <w:tcPr>
            <w:tcW w:w="1350" w:type="dxa"/>
            <w:shd w:val="clear" w:color="auto" w:fill="FFFFFF"/>
            <w:vAlign w:val="center"/>
          </w:tcPr>
          <w:p w:rsidR="006B3EA9" w:rsidRPr="00283D10" w:rsidRDefault="006B3EA9" w:rsidP="0015484D">
            <w:pPr>
              <w:jc w:val="center"/>
              <w:rPr>
                <w:color w:val="000000"/>
                <w:sz w:val="20"/>
              </w:rPr>
            </w:pPr>
            <w:r w:rsidRPr="00283D10">
              <w:rPr>
                <w:color w:val="000000"/>
                <w:sz w:val="20"/>
              </w:rPr>
              <w:t>23,658</w:t>
            </w:r>
          </w:p>
        </w:tc>
        <w:tc>
          <w:tcPr>
            <w:tcW w:w="990" w:type="dxa"/>
            <w:shd w:val="clear" w:color="auto" w:fill="FFFFFF"/>
            <w:vAlign w:val="center"/>
          </w:tcPr>
          <w:p w:rsidR="006B3EA9" w:rsidRPr="00283D10" w:rsidRDefault="006B3EA9" w:rsidP="0015484D">
            <w:pPr>
              <w:jc w:val="center"/>
              <w:rPr>
                <w:color w:val="000000"/>
                <w:sz w:val="20"/>
              </w:rPr>
            </w:pPr>
            <w:r w:rsidRPr="00283D10">
              <w:rPr>
                <w:color w:val="000000"/>
                <w:sz w:val="20"/>
              </w:rPr>
              <w:t>0.45</w:t>
            </w:r>
          </w:p>
        </w:tc>
        <w:tc>
          <w:tcPr>
            <w:tcW w:w="1080" w:type="dxa"/>
            <w:shd w:val="clear" w:color="auto" w:fill="FFFFFF"/>
            <w:vAlign w:val="center"/>
          </w:tcPr>
          <w:p w:rsidR="006B3EA9" w:rsidRPr="00283D10" w:rsidRDefault="006B3EA9" w:rsidP="0015484D">
            <w:pPr>
              <w:jc w:val="center"/>
              <w:rPr>
                <w:color w:val="000000"/>
                <w:sz w:val="20"/>
              </w:rPr>
            </w:pPr>
            <w:r w:rsidRPr="00283D10">
              <w:rPr>
                <w:color w:val="000000"/>
                <w:sz w:val="20"/>
              </w:rPr>
              <w:t>10,646</w:t>
            </w:r>
          </w:p>
        </w:tc>
        <w:tc>
          <w:tcPr>
            <w:tcW w:w="810" w:type="dxa"/>
            <w:shd w:val="clear" w:color="auto" w:fill="FFFFFF"/>
            <w:vAlign w:val="center"/>
          </w:tcPr>
          <w:p w:rsidR="006B3EA9" w:rsidRPr="00283D10" w:rsidRDefault="006B3EA9" w:rsidP="0015484D">
            <w:pPr>
              <w:jc w:val="center"/>
              <w:rPr>
                <w:color w:val="000000"/>
                <w:sz w:val="20"/>
              </w:rPr>
            </w:pPr>
            <w:r w:rsidRPr="00283D10">
              <w:rPr>
                <w:color w:val="000000"/>
                <w:sz w:val="20"/>
              </w:rPr>
              <w:t>$19.75</w:t>
            </w:r>
          </w:p>
        </w:tc>
        <w:tc>
          <w:tcPr>
            <w:tcW w:w="1350" w:type="dxa"/>
            <w:shd w:val="clear" w:color="auto" w:fill="FFFFFF"/>
            <w:vAlign w:val="center"/>
          </w:tcPr>
          <w:p w:rsidR="006B3EA9" w:rsidRPr="00283D10" w:rsidRDefault="006B3EA9" w:rsidP="0015484D">
            <w:pPr>
              <w:jc w:val="center"/>
              <w:rPr>
                <w:color w:val="000000"/>
                <w:sz w:val="20"/>
              </w:rPr>
            </w:pPr>
            <w:r w:rsidRPr="00283D10">
              <w:rPr>
                <w:color w:val="000000"/>
                <w:sz w:val="20"/>
              </w:rPr>
              <w:t>$210,258</w:t>
            </w:r>
          </w:p>
        </w:tc>
      </w:tr>
      <w:tr w:rsidR="006B3EA9" w:rsidRPr="00283D10" w:rsidTr="0015484D">
        <w:trPr>
          <w:trHeight w:val="525"/>
        </w:trPr>
        <w:tc>
          <w:tcPr>
            <w:tcW w:w="2283" w:type="dxa"/>
            <w:shd w:val="clear" w:color="auto" w:fill="FFFFFF"/>
            <w:vAlign w:val="center"/>
          </w:tcPr>
          <w:p w:rsidR="006B3EA9" w:rsidRPr="00283D10" w:rsidRDefault="006B3EA9" w:rsidP="0015484D">
            <w:pPr>
              <w:rPr>
                <w:bCs/>
                <w:color w:val="000000"/>
                <w:sz w:val="20"/>
              </w:rPr>
            </w:pPr>
            <w:r w:rsidRPr="00283D10">
              <w:rPr>
                <w:bCs/>
                <w:color w:val="000000"/>
                <w:sz w:val="20"/>
              </w:rPr>
              <w:t xml:space="preserve">Discharge Interview </w:t>
            </w:r>
            <w:r w:rsidRPr="00283D10">
              <w:rPr>
                <w:bCs/>
                <w:color w:val="000000"/>
                <w:sz w:val="20"/>
                <w:vertAlign w:val="superscript"/>
              </w:rPr>
              <w:t>8</w:t>
            </w:r>
            <w:r w:rsidRPr="00283D10">
              <w:rPr>
                <w:bCs/>
                <w:color w:val="000000"/>
                <w:sz w:val="20"/>
              </w:rPr>
              <w:t xml:space="preserve"> </w:t>
            </w:r>
          </w:p>
        </w:tc>
        <w:tc>
          <w:tcPr>
            <w:tcW w:w="1250" w:type="dxa"/>
            <w:shd w:val="clear" w:color="auto" w:fill="FFFFFF"/>
            <w:vAlign w:val="center"/>
          </w:tcPr>
          <w:p w:rsidR="006B3EA9" w:rsidRPr="00283D10" w:rsidRDefault="006B3EA9" w:rsidP="0015484D">
            <w:pPr>
              <w:jc w:val="center"/>
              <w:rPr>
                <w:color w:val="000000"/>
                <w:sz w:val="20"/>
              </w:rPr>
            </w:pPr>
            <w:r w:rsidRPr="00283D10">
              <w:rPr>
                <w:color w:val="000000"/>
                <w:sz w:val="20"/>
              </w:rPr>
              <w:t>10,753</w:t>
            </w:r>
          </w:p>
        </w:tc>
        <w:tc>
          <w:tcPr>
            <w:tcW w:w="1170" w:type="dxa"/>
            <w:shd w:val="clear" w:color="auto" w:fill="FFFFFF"/>
            <w:vAlign w:val="center"/>
          </w:tcPr>
          <w:p w:rsidR="006B3EA9" w:rsidRPr="00283D10" w:rsidRDefault="006B3EA9" w:rsidP="0015484D">
            <w:pPr>
              <w:jc w:val="center"/>
              <w:rPr>
                <w:color w:val="000000"/>
                <w:sz w:val="20"/>
              </w:rPr>
            </w:pPr>
            <w:r w:rsidRPr="00283D10">
              <w:rPr>
                <w:color w:val="000000"/>
                <w:sz w:val="20"/>
              </w:rPr>
              <w:t>1</w:t>
            </w:r>
          </w:p>
        </w:tc>
        <w:tc>
          <w:tcPr>
            <w:tcW w:w="1350" w:type="dxa"/>
            <w:shd w:val="clear" w:color="auto" w:fill="FFFFFF"/>
            <w:vAlign w:val="center"/>
          </w:tcPr>
          <w:p w:rsidR="006B3EA9" w:rsidRPr="00283D10" w:rsidRDefault="006B3EA9" w:rsidP="0015484D">
            <w:pPr>
              <w:jc w:val="center"/>
              <w:rPr>
                <w:color w:val="000000"/>
                <w:sz w:val="20"/>
              </w:rPr>
            </w:pPr>
            <w:r w:rsidRPr="00283D10">
              <w:rPr>
                <w:color w:val="000000"/>
                <w:sz w:val="20"/>
              </w:rPr>
              <w:t>10,753</w:t>
            </w:r>
          </w:p>
        </w:tc>
        <w:tc>
          <w:tcPr>
            <w:tcW w:w="990" w:type="dxa"/>
            <w:shd w:val="clear" w:color="auto" w:fill="FFFFFF"/>
            <w:vAlign w:val="center"/>
          </w:tcPr>
          <w:p w:rsidR="006B3EA9" w:rsidRPr="00283D10" w:rsidRDefault="006B3EA9" w:rsidP="0015484D">
            <w:pPr>
              <w:jc w:val="center"/>
              <w:rPr>
                <w:color w:val="000000"/>
                <w:sz w:val="20"/>
              </w:rPr>
            </w:pPr>
            <w:r w:rsidRPr="00283D10">
              <w:rPr>
                <w:color w:val="000000"/>
                <w:sz w:val="20"/>
              </w:rPr>
              <w:t>0.45</w:t>
            </w:r>
          </w:p>
        </w:tc>
        <w:tc>
          <w:tcPr>
            <w:tcW w:w="1080" w:type="dxa"/>
            <w:shd w:val="clear" w:color="auto" w:fill="FFFFFF"/>
            <w:vAlign w:val="center"/>
          </w:tcPr>
          <w:p w:rsidR="006B3EA9" w:rsidRPr="00283D10" w:rsidRDefault="006B3EA9" w:rsidP="0015484D">
            <w:pPr>
              <w:jc w:val="center"/>
              <w:rPr>
                <w:color w:val="000000"/>
                <w:sz w:val="20"/>
              </w:rPr>
            </w:pPr>
            <w:r w:rsidRPr="00283D10">
              <w:rPr>
                <w:color w:val="000000"/>
                <w:sz w:val="20"/>
              </w:rPr>
              <w:t>4,838</w:t>
            </w:r>
          </w:p>
        </w:tc>
        <w:tc>
          <w:tcPr>
            <w:tcW w:w="810" w:type="dxa"/>
            <w:shd w:val="clear" w:color="auto" w:fill="FFFFFF"/>
            <w:vAlign w:val="center"/>
          </w:tcPr>
          <w:p w:rsidR="006B3EA9" w:rsidRPr="00283D10" w:rsidRDefault="006B3EA9" w:rsidP="0015484D">
            <w:pPr>
              <w:jc w:val="center"/>
              <w:rPr>
                <w:color w:val="000000"/>
                <w:sz w:val="20"/>
              </w:rPr>
            </w:pPr>
            <w:r w:rsidRPr="00283D10">
              <w:rPr>
                <w:color w:val="000000"/>
                <w:sz w:val="20"/>
              </w:rPr>
              <w:t>$19.75</w:t>
            </w:r>
          </w:p>
        </w:tc>
        <w:tc>
          <w:tcPr>
            <w:tcW w:w="1350" w:type="dxa"/>
            <w:shd w:val="clear" w:color="auto" w:fill="FFFFFF"/>
            <w:vAlign w:val="center"/>
          </w:tcPr>
          <w:p w:rsidR="006B3EA9" w:rsidRPr="00283D10" w:rsidRDefault="006B3EA9" w:rsidP="0015484D">
            <w:pPr>
              <w:jc w:val="center"/>
              <w:rPr>
                <w:color w:val="000000"/>
                <w:sz w:val="20"/>
              </w:rPr>
            </w:pPr>
            <w:r w:rsidRPr="00283D10">
              <w:rPr>
                <w:color w:val="000000"/>
                <w:sz w:val="20"/>
              </w:rPr>
              <w:t>$95,551</w:t>
            </w:r>
          </w:p>
        </w:tc>
      </w:tr>
      <w:tr w:rsidR="006B3EA9" w:rsidRPr="00283D10" w:rsidTr="0015484D">
        <w:trPr>
          <w:trHeight w:val="525"/>
        </w:trPr>
        <w:tc>
          <w:tcPr>
            <w:tcW w:w="2283" w:type="dxa"/>
            <w:shd w:val="clear" w:color="auto" w:fill="FFFFFF"/>
            <w:vAlign w:val="center"/>
          </w:tcPr>
          <w:p w:rsidR="006B3EA9" w:rsidRPr="00283D10" w:rsidRDefault="006B3EA9" w:rsidP="0015484D">
            <w:pPr>
              <w:rPr>
                <w:bCs/>
                <w:color w:val="000000"/>
                <w:sz w:val="20"/>
              </w:rPr>
            </w:pPr>
            <w:r w:rsidRPr="00283D10">
              <w:rPr>
                <w:bCs/>
                <w:color w:val="000000"/>
                <w:sz w:val="20"/>
              </w:rPr>
              <w:t xml:space="preserve">PBHCI- Special Form Only Baseline </w:t>
            </w:r>
          </w:p>
        </w:tc>
        <w:tc>
          <w:tcPr>
            <w:tcW w:w="1250" w:type="dxa"/>
            <w:shd w:val="clear" w:color="auto" w:fill="FFFFFF"/>
            <w:vAlign w:val="center"/>
          </w:tcPr>
          <w:p w:rsidR="006B3EA9" w:rsidRPr="00283D10" w:rsidRDefault="006B3EA9" w:rsidP="0015484D">
            <w:pPr>
              <w:jc w:val="center"/>
              <w:rPr>
                <w:color w:val="000000"/>
                <w:sz w:val="20"/>
              </w:rPr>
            </w:pPr>
            <w:r w:rsidRPr="00283D10">
              <w:rPr>
                <w:color w:val="000000"/>
                <w:sz w:val="20"/>
              </w:rPr>
              <w:t>14,000</w:t>
            </w:r>
          </w:p>
        </w:tc>
        <w:tc>
          <w:tcPr>
            <w:tcW w:w="1170" w:type="dxa"/>
            <w:shd w:val="clear" w:color="auto" w:fill="FFFFFF"/>
            <w:vAlign w:val="center"/>
          </w:tcPr>
          <w:p w:rsidR="006B3EA9" w:rsidRPr="00283D10" w:rsidRDefault="006B3EA9" w:rsidP="0015484D">
            <w:pPr>
              <w:jc w:val="center"/>
              <w:rPr>
                <w:color w:val="000000"/>
                <w:sz w:val="20"/>
              </w:rPr>
            </w:pPr>
            <w:r w:rsidRPr="00283D10">
              <w:rPr>
                <w:color w:val="000000"/>
                <w:sz w:val="20"/>
              </w:rPr>
              <w:t>1</w:t>
            </w:r>
          </w:p>
        </w:tc>
        <w:tc>
          <w:tcPr>
            <w:tcW w:w="1350" w:type="dxa"/>
            <w:shd w:val="clear" w:color="auto" w:fill="FFFFFF"/>
            <w:vAlign w:val="center"/>
          </w:tcPr>
          <w:p w:rsidR="006B3EA9" w:rsidRPr="00283D10" w:rsidRDefault="006B3EA9" w:rsidP="0015484D">
            <w:pPr>
              <w:jc w:val="center"/>
              <w:rPr>
                <w:color w:val="000000"/>
                <w:sz w:val="20"/>
              </w:rPr>
            </w:pPr>
            <w:r w:rsidRPr="00283D10">
              <w:rPr>
                <w:color w:val="000000"/>
                <w:sz w:val="20"/>
              </w:rPr>
              <w:t>14,000</w:t>
            </w:r>
          </w:p>
        </w:tc>
        <w:tc>
          <w:tcPr>
            <w:tcW w:w="990" w:type="dxa"/>
            <w:shd w:val="clear" w:color="auto" w:fill="FFFFFF"/>
            <w:vAlign w:val="center"/>
          </w:tcPr>
          <w:p w:rsidR="006B3EA9" w:rsidRPr="00283D10" w:rsidRDefault="006B3EA9" w:rsidP="0015484D">
            <w:pPr>
              <w:jc w:val="center"/>
              <w:rPr>
                <w:color w:val="000000"/>
                <w:sz w:val="20"/>
              </w:rPr>
            </w:pPr>
            <w:r w:rsidRPr="00283D10">
              <w:rPr>
                <w:color w:val="000000"/>
                <w:sz w:val="20"/>
              </w:rPr>
              <w:t>.08</w:t>
            </w:r>
          </w:p>
        </w:tc>
        <w:tc>
          <w:tcPr>
            <w:tcW w:w="1080" w:type="dxa"/>
            <w:shd w:val="clear" w:color="auto" w:fill="FFFFFF"/>
            <w:vAlign w:val="center"/>
          </w:tcPr>
          <w:p w:rsidR="006B3EA9" w:rsidRPr="00283D10" w:rsidRDefault="006B3EA9" w:rsidP="0015484D">
            <w:pPr>
              <w:jc w:val="center"/>
              <w:rPr>
                <w:color w:val="000000"/>
                <w:sz w:val="20"/>
              </w:rPr>
            </w:pPr>
            <w:r w:rsidRPr="00283D10">
              <w:rPr>
                <w:color w:val="000000"/>
                <w:sz w:val="20"/>
              </w:rPr>
              <w:t>1,120</w:t>
            </w:r>
          </w:p>
        </w:tc>
        <w:tc>
          <w:tcPr>
            <w:tcW w:w="810" w:type="dxa"/>
            <w:shd w:val="clear" w:color="auto" w:fill="FFFFFF"/>
            <w:vAlign w:val="center"/>
          </w:tcPr>
          <w:p w:rsidR="006B3EA9" w:rsidRPr="00283D10" w:rsidRDefault="006B3EA9" w:rsidP="0015484D">
            <w:pPr>
              <w:jc w:val="center"/>
              <w:rPr>
                <w:color w:val="000000"/>
                <w:sz w:val="20"/>
              </w:rPr>
            </w:pPr>
            <w:r w:rsidRPr="00283D10">
              <w:rPr>
                <w:color w:val="000000"/>
                <w:sz w:val="20"/>
              </w:rPr>
              <w:t>$19.75</w:t>
            </w:r>
          </w:p>
        </w:tc>
        <w:tc>
          <w:tcPr>
            <w:tcW w:w="1350" w:type="dxa"/>
            <w:shd w:val="clear" w:color="auto" w:fill="FFFFFF"/>
            <w:vAlign w:val="center"/>
          </w:tcPr>
          <w:p w:rsidR="006B3EA9" w:rsidRPr="00283D10" w:rsidRDefault="006B3EA9" w:rsidP="0015484D">
            <w:pPr>
              <w:jc w:val="center"/>
              <w:rPr>
                <w:color w:val="000000"/>
                <w:sz w:val="20"/>
              </w:rPr>
            </w:pPr>
            <w:r w:rsidRPr="00283D10">
              <w:rPr>
                <w:color w:val="000000"/>
                <w:sz w:val="20"/>
              </w:rPr>
              <w:t>$22,120</w:t>
            </w:r>
          </w:p>
        </w:tc>
      </w:tr>
      <w:tr w:rsidR="006B3EA9" w:rsidRPr="00283D10" w:rsidTr="0015484D">
        <w:trPr>
          <w:trHeight w:val="525"/>
        </w:trPr>
        <w:tc>
          <w:tcPr>
            <w:tcW w:w="2283" w:type="dxa"/>
            <w:shd w:val="clear" w:color="auto" w:fill="FFFFFF"/>
            <w:vAlign w:val="center"/>
          </w:tcPr>
          <w:p w:rsidR="006B3EA9" w:rsidRPr="00283D10" w:rsidRDefault="006B3EA9" w:rsidP="0015484D">
            <w:pPr>
              <w:rPr>
                <w:bCs/>
                <w:color w:val="000000"/>
                <w:sz w:val="20"/>
              </w:rPr>
            </w:pPr>
            <w:r w:rsidRPr="00283D10">
              <w:rPr>
                <w:bCs/>
                <w:color w:val="000000"/>
                <w:sz w:val="20"/>
              </w:rPr>
              <w:t xml:space="preserve">PBHCI- Special Form Only Follow-Up </w:t>
            </w:r>
            <w:r w:rsidRPr="00283D10">
              <w:rPr>
                <w:bCs/>
                <w:color w:val="000000"/>
                <w:sz w:val="20"/>
                <w:vertAlign w:val="superscript"/>
              </w:rPr>
              <w:t>7</w:t>
            </w:r>
            <w:r w:rsidRPr="00283D10">
              <w:rPr>
                <w:bCs/>
                <w:color w:val="000000"/>
                <w:sz w:val="20"/>
              </w:rPr>
              <w:t xml:space="preserve"> </w:t>
            </w:r>
          </w:p>
        </w:tc>
        <w:tc>
          <w:tcPr>
            <w:tcW w:w="1250" w:type="dxa"/>
            <w:shd w:val="clear" w:color="auto" w:fill="FFFFFF"/>
            <w:vAlign w:val="center"/>
          </w:tcPr>
          <w:p w:rsidR="006B3EA9" w:rsidRPr="00283D10" w:rsidRDefault="006B3EA9" w:rsidP="0015484D">
            <w:pPr>
              <w:jc w:val="center"/>
              <w:rPr>
                <w:color w:val="000000"/>
                <w:sz w:val="20"/>
              </w:rPr>
            </w:pPr>
            <w:r w:rsidRPr="00283D10">
              <w:rPr>
                <w:color w:val="000000"/>
                <w:sz w:val="20"/>
              </w:rPr>
              <w:t>9,240</w:t>
            </w:r>
          </w:p>
        </w:tc>
        <w:tc>
          <w:tcPr>
            <w:tcW w:w="1170" w:type="dxa"/>
            <w:shd w:val="clear" w:color="auto" w:fill="FFFFFF"/>
            <w:vAlign w:val="center"/>
          </w:tcPr>
          <w:p w:rsidR="006B3EA9" w:rsidRPr="00283D10" w:rsidRDefault="006B3EA9" w:rsidP="0015484D">
            <w:pPr>
              <w:jc w:val="center"/>
              <w:rPr>
                <w:color w:val="000000"/>
                <w:sz w:val="20"/>
              </w:rPr>
            </w:pPr>
            <w:r w:rsidRPr="00283D10">
              <w:rPr>
                <w:color w:val="000000"/>
                <w:sz w:val="20"/>
              </w:rPr>
              <w:t>1</w:t>
            </w:r>
          </w:p>
        </w:tc>
        <w:tc>
          <w:tcPr>
            <w:tcW w:w="1350" w:type="dxa"/>
            <w:shd w:val="clear" w:color="auto" w:fill="FFFFFF"/>
            <w:vAlign w:val="center"/>
          </w:tcPr>
          <w:p w:rsidR="006B3EA9" w:rsidRPr="00283D10" w:rsidRDefault="006B3EA9" w:rsidP="0015484D">
            <w:pPr>
              <w:jc w:val="center"/>
              <w:rPr>
                <w:color w:val="000000"/>
                <w:sz w:val="20"/>
              </w:rPr>
            </w:pPr>
            <w:r w:rsidRPr="00283D10">
              <w:rPr>
                <w:color w:val="000000"/>
                <w:sz w:val="20"/>
              </w:rPr>
              <w:t>9,240</w:t>
            </w:r>
          </w:p>
        </w:tc>
        <w:tc>
          <w:tcPr>
            <w:tcW w:w="990" w:type="dxa"/>
            <w:shd w:val="clear" w:color="auto" w:fill="FFFFFF"/>
            <w:vAlign w:val="center"/>
          </w:tcPr>
          <w:p w:rsidR="006B3EA9" w:rsidRPr="00283D10" w:rsidRDefault="006B3EA9" w:rsidP="0015484D">
            <w:pPr>
              <w:jc w:val="center"/>
              <w:rPr>
                <w:color w:val="000000"/>
                <w:sz w:val="20"/>
              </w:rPr>
            </w:pPr>
            <w:r w:rsidRPr="00283D10">
              <w:rPr>
                <w:color w:val="000000"/>
                <w:sz w:val="20"/>
              </w:rPr>
              <w:t>.08</w:t>
            </w:r>
          </w:p>
        </w:tc>
        <w:tc>
          <w:tcPr>
            <w:tcW w:w="1080" w:type="dxa"/>
            <w:shd w:val="clear" w:color="auto" w:fill="FFFFFF"/>
            <w:vAlign w:val="center"/>
          </w:tcPr>
          <w:p w:rsidR="006B3EA9" w:rsidRPr="00283D10" w:rsidRDefault="006B3EA9" w:rsidP="0015484D">
            <w:pPr>
              <w:jc w:val="center"/>
              <w:rPr>
                <w:color w:val="000000"/>
                <w:sz w:val="20"/>
              </w:rPr>
            </w:pPr>
            <w:r w:rsidRPr="00283D10">
              <w:rPr>
                <w:color w:val="000000"/>
                <w:sz w:val="20"/>
              </w:rPr>
              <w:t>739</w:t>
            </w:r>
          </w:p>
        </w:tc>
        <w:tc>
          <w:tcPr>
            <w:tcW w:w="810" w:type="dxa"/>
            <w:shd w:val="clear" w:color="auto" w:fill="FFFFFF"/>
            <w:vAlign w:val="center"/>
          </w:tcPr>
          <w:p w:rsidR="006B3EA9" w:rsidRPr="00283D10" w:rsidRDefault="006B3EA9" w:rsidP="0015484D">
            <w:pPr>
              <w:jc w:val="center"/>
            </w:pPr>
            <w:r w:rsidRPr="00283D10">
              <w:rPr>
                <w:color w:val="000000"/>
                <w:sz w:val="20"/>
              </w:rPr>
              <w:t>$19.75</w:t>
            </w:r>
          </w:p>
        </w:tc>
        <w:tc>
          <w:tcPr>
            <w:tcW w:w="1350" w:type="dxa"/>
            <w:shd w:val="clear" w:color="auto" w:fill="FFFFFF"/>
            <w:vAlign w:val="center"/>
          </w:tcPr>
          <w:p w:rsidR="006B3EA9" w:rsidRPr="00283D10" w:rsidRDefault="006B3EA9" w:rsidP="0015484D">
            <w:pPr>
              <w:jc w:val="center"/>
              <w:rPr>
                <w:color w:val="000000"/>
                <w:sz w:val="20"/>
              </w:rPr>
            </w:pPr>
            <w:r w:rsidRPr="00283D10">
              <w:rPr>
                <w:color w:val="000000"/>
                <w:sz w:val="20"/>
              </w:rPr>
              <w:t>$14,595</w:t>
            </w:r>
          </w:p>
        </w:tc>
      </w:tr>
      <w:tr w:rsidR="006B3EA9" w:rsidRPr="00283D10" w:rsidTr="0015484D">
        <w:trPr>
          <w:trHeight w:val="525"/>
        </w:trPr>
        <w:tc>
          <w:tcPr>
            <w:tcW w:w="2283" w:type="dxa"/>
            <w:shd w:val="clear" w:color="auto" w:fill="FFFFFF"/>
            <w:vAlign w:val="center"/>
          </w:tcPr>
          <w:p w:rsidR="006B3EA9" w:rsidRPr="00283D10" w:rsidRDefault="006B3EA9" w:rsidP="0015484D">
            <w:pPr>
              <w:rPr>
                <w:bCs/>
                <w:color w:val="000000"/>
                <w:sz w:val="20"/>
              </w:rPr>
            </w:pPr>
            <w:r w:rsidRPr="00283D10">
              <w:rPr>
                <w:bCs/>
                <w:color w:val="000000"/>
                <w:sz w:val="20"/>
              </w:rPr>
              <w:t xml:space="preserve">PBHCI – Special Form Only Discharge </w:t>
            </w:r>
            <w:r w:rsidRPr="00283D10">
              <w:rPr>
                <w:bCs/>
                <w:color w:val="000000"/>
                <w:sz w:val="20"/>
                <w:vertAlign w:val="superscript"/>
              </w:rPr>
              <w:t>8</w:t>
            </w:r>
            <w:r w:rsidRPr="00283D10">
              <w:rPr>
                <w:bCs/>
                <w:color w:val="000000"/>
                <w:sz w:val="20"/>
              </w:rPr>
              <w:t xml:space="preserve"> </w:t>
            </w:r>
          </w:p>
        </w:tc>
        <w:tc>
          <w:tcPr>
            <w:tcW w:w="1250" w:type="dxa"/>
            <w:shd w:val="clear" w:color="auto" w:fill="FFFFFF"/>
            <w:vAlign w:val="center"/>
          </w:tcPr>
          <w:p w:rsidR="006B3EA9" w:rsidRPr="00283D10" w:rsidRDefault="006B3EA9" w:rsidP="0015484D">
            <w:pPr>
              <w:jc w:val="center"/>
              <w:rPr>
                <w:color w:val="000000"/>
                <w:sz w:val="20"/>
              </w:rPr>
            </w:pPr>
            <w:r w:rsidRPr="00283D10">
              <w:rPr>
                <w:color w:val="000000"/>
                <w:sz w:val="20"/>
              </w:rPr>
              <w:t>4,200</w:t>
            </w:r>
          </w:p>
        </w:tc>
        <w:tc>
          <w:tcPr>
            <w:tcW w:w="1170" w:type="dxa"/>
            <w:shd w:val="clear" w:color="auto" w:fill="FFFFFF"/>
            <w:vAlign w:val="center"/>
          </w:tcPr>
          <w:p w:rsidR="006B3EA9" w:rsidRPr="00283D10" w:rsidRDefault="006B3EA9" w:rsidP="0015484D">
            <w:pPr>
              <w:jc w:val="center"/>
              <w:rPr>
                <w:color w:val="000000"/>
                <w:sz w:val="20"/>
              </w:rPr>
            </w:pPr>
            <w:r w:rsidRPr="00283D10">
              <w:rPr>
                <w:color w:val="000000"/>
                <w:sz w:val="20"/>
              </w:rPr>
              <w:t>1</w:t>
            </w:r>
          </w:p>
        </w:tc>
        <w:tc>
          <w:tcPr>
            <w:tcW w:w="1350" w:type="dxa"/>
            <w:shd w:val="clear" w:color="auto" w:fill="FFFFFF"/>
            <w:vAlign w:val="center"/>
          </w:tcPr>
          <w:p w:rsidR="006B3EA9" w:rsidRPr="00283D10" w:rsidRDefault="006B3EA9" w:rsidP="0015484D">
            <w:pPr>
              <w:jc w:val="center"/>
              <w:rPr>
                <w:color w:val="000000"/>
                <w:sz w:val="20"/>
              </w:rPr>
            </w:pPr>
            <w:r w:rsidRPr="00283D10">
              <w:rPr>
                <w:color w:val="000000"/>
                <w:sz w:val="20"/>
              </w:rPr>
              <w:t>4,200</w:t>
            </w:r>
          </w:p>
        </w:tc>
        <w:tc>
          <w:tcPr>
            <w:tcW w:w="990" w:type="dxa"/>
            <w:shd w:val="clear" w:color="auto" w:fill="FFFFFF"/>
            <w:vAlign w:val="center"/>
          </w:tcPr>
          <w:p w:rsidR="006B3EA9" w:rsidRPr="00283D10" w:rsidRDefault="006B3EA9" w:rsidP="0015484D">
            <w:pPr>
              <w:jc w:val="center"/>
              <w:rPr>
                <w:color w:val="000000"/>
                <w:sz w:val="20"/>
              </w:rPr>
            </w:pPr>
            <w:r w:rsidRPr="00283D10">
              <w:rPr>
                <w:color w:val="000000"/>
                <w:sz w:val="20"/>
              </w:rPr>
              <w:t>.08</w:t>
            </w:r>
          </w:p>
        </w:tc>
        <w:tc>
          <w:tcPr>
            <w:tcW w:w="1080" w:type="dxa"/>
            <w:shd w:val="clear" w:color="auto" w:fill="FFFFFF"/>
            <w:vAlign w:val="center"/>
          </w:tcPr>
          <w:p w:rsidR="006B3EA9" w:rsidRPr="00283D10" w:rsidRDefault="006B3EA9" w:rsidP="0015484D">
            <w:pPr>
              <w:jc w:val="center"/>
              <w:rPr>
                <w:color w:val="000000"/>
                <w:sz w:val="20"/>
              </w:rPr>
            </w:pPr>
            <w:r w:rsidRPr="00283D10">
              <w:rPr>
                <w:color w:val="000000"/>
                <w:sz w:val="20"/>
              </w:rPr>
              <w:t>336</w:t>
            </w:r>
          </w:p>
        </w:tc>
        <w:tc>
          <w:tcPr>
            <w:tcW w:w="810" w:type="dxa"/>
            <w:shd w:val="clear" w:color="auto" w:fill="FFFFFF"/>
            <w:vAlign w:val="center"/>
          </w:tcPr>
          <w:p w:rsidR="006B3EA9" w:rsidRPr="00283D10" w:rsidRDefault="006B3EA9" w:rsidP="0015484D">
            <w:pPr>
              <w:jc w:val="center"/>
            </w:pPr>
            <w:r w:rsidRPr="00283D10">
              <w:rPr>
                <w:color w:val="000000"/>
                <w:sz w:val="20"/>
              </w:rPr>
              <w:t>$19.75</w:t>
            </w:r>
          </w:p>
        </w:tc>
        <w:tc>
          <w:tcPr>
            <w:tcW w:w="1350" w:type="dxa"/>
            <w:shd w:val="clear" w:color="auto" w:fill="FFFFFF"/>
            <w:vAlign w:val="center"/>
          </w:tcPr>
          <w:p w:rsidR="006B3EA9" w:rsidRPr="00283D10" w:rsidRDefault="006B3EA9" w:rsidP="0015484D">
            <w:pPr>
              <w:jc w:val="center"/>
              <w:rPr>
                <w:color w:val="000000"/>
                <w:sz w:val="20"/>
              </w:rPr>
            </w:pPr>
            <w:r w:rsidRPr="00283D10">
              <w:rPr>
                <w:color w:val="000000"/>
                <w:sz w:val="20"/>
              </w:rPr>
              <w:t>$6,636</w:t>
            </w:r>
          </w:p>
        </w:tc>
      </w:tr>
      <w:tr w:rsidR="0015484D" w:rsidRPr="00283D10" w:rsidTr="0015484D">
        <w:trPr>
          <w:trHeight w:val="525"/>
        </w:trPr>
        <w:tc>
          <w:tcPr>
            <w:tcW w:w="2283" w:type="dxa"/>
            <w:shd w:val="clear" w:color="auto" w:fill="FFFFFF"/>
            <w:vAlign w:val="center"/>
          </w:tcPr>
          <w:p w:rsidR="0015484D" w:rsidRPr="00283D10" w:rsidRDefault="0015484D" w:rsidP="0015484D">
            <w:pPr>
              <w:rPr>
                <w:bCs/>
                <w:color w:val="000000"/>
                <w:sz w:val="20"/>
              </w:rPr>
            </w:pPr>
            <w:r w:rsidRPr="00283D10">
              <w:rPr>
                <w:bCs/>
                <w:color w:val="000000"/>
                <w:sz w:val="20"/>
              </w:rPr>
              <w:t>HIV Continuum of Care (CSAP, CMHS, CSAT funding) -- Specific Form Baseline</w:t>
            </w:r>
          </w:p>
        </w:tc>
        <w:tc>
          <w:tcPr>
            <w:tcW w:w="1250" w:type="dxa"/>
            <w:shd w:val="clear" w:color="auto" w:fill="FFFFFF"/>
            <w:vAlign w:val="center"/>
          </w:tcPr>
          <w:p w:rsidR="0015484D" w:rsidRPr="00283D10" w:rsidRDefault="0015484D" w:rsidP="0015484D">
            <w:pPr>
              <w:jc w:val="center"/>
              <w:rPr>
                <w:color w:val="000000"/>
                <w:sz w:val="20"/>
              </w:rPr>
            </w:pPr>
            <w:r w:rsidRPr="00283D10">
              <w:rPr>
                <w:color w:val="000000"/>
                <w:sz w:val="20"/>
              </w:rPr>
              <w:t>200</w:t>
            </w:r>
          </w:p>
        </w:tc>
        <w:tc>
          <w:tcPr>
            <w:tcW w:w="1170" w:type="dxa"/>
            <w:shd w:val="clear" w:color="auto" w:fill="FFFFFF"/>
            <w:vAlign w:val="center"/>
          </w:tcPr>
          <w:p w:rsidR="0015484D" w:rsidRPr="00283D10" w:rsidRDefault="0015484D" w:rsidP="0015484D">
            <w:pPr>
              <w:jc w:val="center"/>
              <w:rPr>
                <w:color w:val="000000"/>
                <w:sz w:val="20"/>
              </w:rPr>
            </w:pPr>
            <w:r w:rsidRPr="00283D10">
              <w:rPr>
                <w:color w:val="000000"/>
                <w:sz w:val="20"/>
              </w:rPr>
              <w:t>1</w:t>
            </w:r>
          </w:p>
        </w:tc>
        <w:tc>
          <w:tcPr>
            <w:tcW w:w="1350" w:type="dxa"/>
            <w:shd w:val="clear" w:color="auto" w:fill="FFFFFF"/>
            <w:vAlign w:val="center"/>
          </w:tcPr>
          <w:p w:rsidR="0015484D" w:rsidRPr="00283D10" w:rsidRDefault="0015484D" w:rsidP="0015484D">
            <w:pPr>
              <w:jc w:val="center"/>
              <w:rPr>
                <w:color w:val="000000"/>
                <w:sz w:val="20"/>
              </w:rPr>
            </w:pPr>
            <w:r w:rsidRPr="00283D10">
              <w:rPr>
                <w:color w:val="000000"/>
                <w:sz w:val="20"/>
              </w:rPr>
              <w:t>200</w:t>
            </w:r>
          </w:p>
        </w:tc>
        <w:tc>
          <w:tcPr>
            <w:tcW w:w="990" w:type="dxa"/>
            <w:shd w:val="clear" w:color="auto" w:fill="FFFFFF"/>
            <w:vAlign w:val="center"/>
          </w:tcPr>
          <w:p w:rsidR="0015484D" w:rsidRPr="00283D10" w:rsidRDefault="0015484D" w:rsidP="0015484D">
            <w:pPr>
              <w:jc w:val="center"/>
              <w:rPr>
                <w:color w:val="000000"/>
                <w:sz w:val="20"/>
              </w:rPr>
            </w:pPr>
            <w:r w:rsidRPr="00283D10">
              <w:rPr>
                <w:color w:val="000000"/>
                <w:sz w:val="20"/>
              </w:rPr>
              <w:t>0.33</w:t>
            </w:r>
          </w:p>
        </w:tc>
        <w:tc>
          <w:tcPr>
            <w:tcW w:w="1080" w:type="dxa"/>
            <w:shd w:val="clear" w:color="auto" w:fill="FFFFFF"/>
            <w:vAlign w:val="center"/>
          </w:tcPr>
          <w:p w:rsidR="0015484D" w:rsidRPr="00283D10" w:rsidRDefault="0015484D" w:rsidP="0015484D">
            <w:pPr>
              <w:jc w:val="center"/>
              <w:rPr>
                <w:color w:val="000000"/>
                <w:sz w:val="20"/>
              </w:rPr>
            </w:pPr>
            <w:r w:rsidRPr="00283D10">
              <w:rPr>
                <w:color w:val="000000"/>
                <w:sz w:val="20"/>
              </w:rPr>
              <w:t>66</w:t>
            </w:r>
          </w:p>
        </w:tc>
        <w:tc>
          <w:tcPr>
            <w:tcW w:w="810" w:type="dxa"/>
            <w:shd w:val="clear" w:color="auto" w:fill="FFFFFF"/>
            <w:vAlign w:val="center"/>
          </w:tcPr>
          <w:p w:rsidR="0015484D" w:rsidRPr="00283D10" w:rsidRDefault="0015484D" w:rsidP="0015484D">
            <w:pPr>
              <w:jc w:val="center"/>
              <w:rPr>
                <w:color w:val="000000"/>
                <w:sz w:val="20"/>
              </w:rPr>
            </w:pPr>
            <w:r w:rsidRPr="00283D10">
              <w:rPr>
                <w:color w:val="000000"/>
                <w:sz w:val="20"/>
              </w:rPr>
              <w:t>$19.75</w:t>
            </w:r>
          </w:p>
        </w:tc>
        <w:tc>
          <w:tcPr>
            <w:tcW w:w="1350" w:type="dxa"/>
            <w:shd w:val="clear" w:color="auto" w:fill="FFFFFF"/>
            <w:vAlign w:val="center"/>
          </w:tcPr>
          <w:p w:rsidR="0015484D" w:rsidRPr="00283D10" w:rsidRDefault="0015484D" w:rsidP="0015484D">
            <w:pPr>
              <w:jc w:val="center"/>
              <w:rPr>
                <w:color w:val="000000"/>
                <w:sz w:val="20"/>
              </w:rPr>
            </w:pPr>
            <w:r w:rsidRPr="00283D10">
              <w:rPr>
                <w:color w:val="000000"/>
                <w:sz w:val="20"/>
              </w:rPr>
              <w:t>$1,304</w:t>
            </w:r>
          </w:p>
        </w:tc>
      </w:tr>
      <w:tr w:rsidR="0015484D" w:rsidRPr="00283D10" w:rsidTr="0015484D">
        <w:trPr>
          <w:trHeight w:val="525"/>
        </w:trPr>
        <w:tc>
          <w:tcPr>
            <w:tcW w:w="2283" w:type="dxa"/>
            <w:shd w:val="clear" w:color="auto" w:fill="FFFFFF"/>
            <w:vAlign w:val="center"/>
          </w:tcPr>
          <w:p w:rsidR="0015484D" w:rsidRPr="00283D10" w:rsidRDefault="0015484D" w:rsidP="0015484D">
            <w:pPr>
              <w:rPr>
                <w:bCs/>
                <w:color w:val="000000"/>
                <w:sz w:val="20"/>
              </w:rPr>
            </w:pPr>
            <w:r w:rsidRPr="00283D10">
              <w:rPr>
                <w:bCs/>
                <w:color w:val="000000"/>
                <w:sz w:val="20"/>
              </w:rPr>
              <w:t xml:space="preserve">HIV Continuum of Care Follow-Up </w:t>
            </w:r>
            <w:r w:rsidRPr="00283D10">
              <w:rPr>
                <w:bCs/>
                <w:color w:val="000000"/>
                <w:sz w:val="20"/>
                <w:vertAlign w:val="superscript"/>
              </w:rPr>
              <w:t>2</w:t>
            </w:r>
            <w:r w:rsidRPr="00283D10">
              <w:rPr>
                <w:bCs/>
                <w:color w:val="000000"/>
                <w:sz w:val="20"/>
              </w:rPr>
              <w:t xml:space="preserve"> </w:t>
            </w:r>
          </w:p>
        </w:tc>
        <w:tc>
          <w:tcPr>
            <w:tcW w:w="1250" w:type="dxa"/>
            <w:shd w:val="clear" w:color="auto" w:fill="FFFFFF"/>
            <w:vAlign w:val="center"/>
          </w:tcPr>
          <w:p w:rsidR="0015484D" w:rsidRPr="00283D10" w:rsidRDefault="0015484D" w:rsidP="0015484D">
            <w:pPr>
              <w:jc w:val="center"/>
              <w:rPr>
                <w:color w:val="000000"/>
                <w:sz w:val="20"/>
              </w:rPr>
            </w:pPr>
            <w:r w:rsidRPr="00283D10">
              <w:rPr>
                <w:color w:val="000000"/>
                <w:sz w:val="20"/>
              </w:rPr>
              <w:t>148</w:t>
            </w:r>
          </w:p>
        </w:tc>
        <w:tc>
          <w:tcPr>
            <w:tcW w:w="1170" w:type="dxa"/>
            <w:shd w:val="clear" w:color="auto" w:fill="FFFFFF"/>
            <w:vAlign w:val="center"/>
          </w:tcPr>
          <w:p w:rsidR="0015484D" w:rsidRPr="00283D10" w:rsidRDefault="0015484D" w:rsidP="0015484D">
            <w:pPr>
              <w:jc w:val="center"/>
              <w:rPr>
                <w:color w:val="000000"/>
                <w:sz w:val="20"/>
              </w:rPr>
            </w:pPr>
            <w:r w:rsidRPr="00283D10">
              <w:rPr>
                <w:color w:val="000000"/>
                <w:sz w:val="20"/>
              </w:rPr>
              <w:t>1</w:t>
            </w:r>
          </w:p>
        </w:tc>
        <w:tc>
          <w:tcPr>
            <w:tcW w:w="1350" w:type="dxa"/>
            <w:shd w:val="clear" w:color="auto" w:fill="FFFFFF"/>
            <w:vAlign w:val="center"/>
          </w:tcPr>
          <w:p w:rsidR="0015484D" w:rsidRPr="00283D10" w:rsidRDefault="0015484D" w:rsidP="0015484D">
            <w:pPr>
              <w:jc w:val="center"/>
              <w:rPr>
                <w:color w:val="000000"/>
                <w:sz w:val="20"/>
              </w:rPr>
            </w:pPr>
            <w:r w:rsidRPr="00283D10">
              <w:rPr>
                <w:color w:val="000000"/>
                <w:sz w:val="20"/>
              </w:rPr>
              <w:t>148</w:t>
            </w:r>
          </w:p>
        </w:tc>
        <w:tc>
          <w:tcPr>
            <w:tcW w:w="990" w:type="dxa"/>
            <w:shd w:val="clear" w:color="auto" w:fill="FFFFFF"/>
            <w:vAlign w:val="center"/>
          </w:tcPr>
          <w:p w:rsidR="0015484D" w:rsidRPr="00283D10" w:rsidRDefault="0015484D" w:rsidP="0015484D">
            <w:pPr>
              <w:jc w:val="center"/>
              <w:rPr>
                <w:color w:val="000000"/>
                <w:sz w:val="20"/>
              </w:rPr>
            </w:pPr>
            <w:r w:rsidRPr="00283D10">
              <w:rPr>
                <w:color w:val="000000"/>
                <w:sz w:val="20"/>
              </w:rPr>
              <w:t>.033</w:t>
            </w:r>
          </w:p>
        </w:tc>
        <w:tc>
          <w:tcPr>
            <w:tcW w:w="1080" w:type="dxa"/>
            <w:shd w:val="clear" w:color="auto" w:fill="FFFFFF"/>
            <w:vAlign w:val="center"/>
          </w:tcPr>
          <w:p w:rsidR="0015484D" w:rsidRPr="00283D10" w:rsidRDefault="0015484D" w:rsidP="0015484D">
            <w:pPr>
              <w:jc w:val="center"/>
              <w:rPr>
                <w:color w:val="000000"/>
                <w:sz w:val="20"/>
              </w:rPr>
            </w:pPr>
            <w:r w:rsidRPr="00283D10">
              <w:rPr>
                <w:color w:val="000000"/>
                <w:sz w:val="20"/>
              </w:rPr>
              <w:t>49</w:t>
            </w:r>
          </w:p>
        </w:tc>
        <w:tc>
          <w:tcPr>
            <w:tcW w:w="810" w:type="dxa"/>
            <w:shd w:val="clear" w:color="auto" w:fill="FFFFFF"/>
            <w:vAlign w:val="center"/>
          </w:tcPr>
          <w:p w:rsidR="0015484D" w:rsidRPr="00283D10" w:rsidRDefault="0015484D" w:rsidP="0015484D">
            <w:pPr>
              <w:jc w:val="center"/>
            </w:pPr>
            <w:r w:rsidRPr="00283D10">
              <w:rPr>
                <w:color w:val="000000"/>
                <w:sz w:val="20"/>
              </w:rPr>
              <w:t>$19.75</w:t>
            </w:r>
          </w:p>
        </w:tc>
        <w:tc>
          <w:tcPr>
            <w:tcW w:w="1350" w:type="dxa"/>
            <w:shd w:val="clear" w:color="auto" w:fill="FFFFFF"/>
            <w:vAlign w:val="center"/>
          </w:tcPr>
          <w:p w:rsidR="0015484D" w:rsidRPr="00283D10" w:rsidRDefault="0015484D" w:rsidP="0015484D">
            <w:pPr>
              <w:jc w:val="center"/>
              <w:rPr>
                <w:color w:val="000000"/>
                <w:sz w:val="20"/>
              </w:rPr>
            </w:pPr>
            <w:r w:rsidRPr="00283D10">
              <w:rPr>
                <w:color w:val="000000"/>
                <w:sz w:val="20"/>
              </w:rPr>
              <w:t>$968</w:t>
            </w:r>
          </w:p>
        </w:tc>
      </w:tr>
      <w:tr w:rsidR="0015484D" w:rsidRPr="00283D10" w:rsidTr="0015484D">
        <w:trPr>
          <w:trHeight w:val="525"/>
        </w:trPr>
        <w:tc>
          <w:tcPr>
            <w:tcW w:w="2283" w:type="dxa"/>
            <w:shd w:val="clear" w:color="auto" w:fill="FFFFFF"/>
            <w:vAlign w:val="center"/>
          </w:tcPr>
          <w:p w:rsidR="0015484D" w:rsidRPr="00283D10" w:rsidRDefault="0015484D" w:rsidP="0015484D">
            <w:pPr>
              <w:rPr>
                <w:bCs/>
                <w:color w:val="000000"/>
                <w:sz w:val="20"/>
              </w:rPr>
            </w:pPr>
            <w:r w:rsidRPr="00283D10">
              <w:rPr>
                <w:bCs/>
                <w:color w:val="000000"/>
                <w:sz w:val="20"/>
              </w:rPr>
              <w:lastRenderedPageBreak/>
              <w:t xml:space="preserve">HIV Continuum of Care (CSAP, CMHS,CSAT funding) Discharge </w:t>
            </w:r>
            <w:r w:rsidRPr="00283D10">
              <w:rPr>
                <w:bCs/>
                <w:color w:val="000000"/>
                <w:sz w:val="20"/>
                <w:vertAlign w:val="superscript"/>
              </w:rPr>
              <w:t xml:space="preserve">3 </w:t>
            </w:r>
          </w:p>
        </w:tc>
        <w:tc>
          <w:tcPr>
            <w:tcW w:w="1250" w:type="dxa"/>
            <w:shd w:val="clear" w:color="auto" w:fill="FFFFFF"/>
            <w:vAlign w:val="center"/>
          </w:tcPr>
          <w:p w:rsidR="0015484D" w:rsidRPr="00283D10" w:rsidRDefault="0015484D" w:rsidP="0015484D">
            <w:pPr>
              <w:jc w:val="center"/>
              <w:rPr>
                <w:color w:val="000000"/>
                <w:sz w:val="20"/>
              </w:rPr>
            </w:pPr>
            <w:r w:rsidRPr="00283D10">
              <w:rPr>
                <w:color w:val="000000"/>
                <w:sz w:val="20"/>
              </w:rPr>
              <w:t>104</w:t>
            </w:r>
          </w:p>
        </w:tc>
        <w:tc>
          <w:tcPr>
            <w:tcW w:w="1170" w:type="dxa"/>
            <w:shd w:val="clear" w:color="auto" w:fill="FFFFFF"/>
            <w:vAlign w:val="center"/>
          </w:tcPr>
          <w:p w:rsidR="0015484D" w:rsidRPr="00283D10" w:rsidRDefault="0015484D" w:rsidP="0015484D">
            <w:pPr>
              <w:jc w:val="center"/>
              <w:rPr>
                <w:color w:val="000000"/>
                <w:sz w:val="20"/>
              </w:rPr>
            </w:pPr>
            <w:r w:rsidRPr="00283D10">
              <w:rPr>
                <w:color w:val="000000"/>
                <w:sz w:val="20"/>
              </w:rPr>
              <w:t>1</w:t>
            </w:r>
          </w:p>
        </w:tc>
        <w:tc>
          <w:tcPr>
            <w:tcW w:w="1350" w:type="dxa"/>
            <w:shd w:val="clear" w:color="auto" w:fill="FFFFFF"/>
            <w:vAlign w:val="center"/>
          </w:tcPr>
          <w:p w:rsidR="0015484D" w:rsidRPr="00283D10" w:rsidRDefault="0015484D" w:rsidP="0015484D">
            <w:pPr>
              <w:jc w:val="center"/>
              <w:rPr>
                <w:color w:val="000000"/>
                <w:sz w:val="20"/>
              </w:rPr>
            </w:pPr>
            <w:r w:rsidRPr="00283D10">
              <w:rPr>
                <w:color w:val="000000"/>
                <w:sz w:val="20"/>
              </w:rPr>
              <w:t>104</w:t>
            </w:r>
          </w:p>
        </w:tc>
        <w:tc>
          <w:tcPr>
            <w:tcW w:w="990" w:type="dxa"/>
            <w:shd w:val="clear" w:color="auto" w:fill="FFFFFF"/>
            <w:vAlign w:val="center"/>
          </w:tcPr>
          <w:p w:rsidR="0015484D" w:rsidRPr="00283D10" w:rsidRDefault="0015484D" w:rsidP="0015484D">
            <w:pPr>
              <w:jc w:val="center"/>
              <w:rPr>
                <w:color w:val="000000"/>
                <w:sz w:val="20"/>
              </w:rPr>
            </w:pPr>
            <w:r w:rsidRPr="00283D10">
              <w:rPr>
                <w:color w:val="000000"/>
                <w:sz w:val="20"/>
              </w:rPr>
              <w:t>0.33</w:t>
            </w:r>
          </w:p>
        </w:tc>
        <w:tc>
          <w:tcPr>
            <w:tcW w:w="1080" w:type="dxa"/>
            <w:shd w:val="clear" w:color="auto" w:fill="FFFFFF"/>
            <w:vAlign w:val="center"/>
          </w:tcPr>
          <w:p w:rsidR="0015484D" w:rsidRPr="00283D10" w:rsidRDefault="0015484D" w:rsidP="0015484D">
            <w:pPr>
              <w:jc w:val="center"/>
              <w:rPr>
                <w:color w:val="000000"/>
                <w:sz w:val="20"/>
              </w:rPr>
            </w:pPr>
            <w:r w:rsidRPr="00283D10">
              <w:rPr>
                <w:color w:val="000000"/>
                <w:sz w:val="20"/>
              </w:rPr>
              <w:t>34</w:t>
            </w:r>
          </w:p>
        </w:tc>
        <w:tc>
          <w:tcPr>
            <w:tcW w:w="810" w:type="dxa"/>
            <w:shd w:val="clear" w:color="auto" w:fill="FFFFFF"/>
            <w:vAlign w:val="center"/>
          </w:tcPr>
          <w:p w:rsidR="0015484D" w:rsidRPr="00283D10" w:rsidRDefault="0015484D" w:rsidP="0015484D">
            <w:pPr>
              <w:jc w:val="center"/>
            </w:pPr>
            <w:r w:rsidRPr="00283D10">
              <w:rPr>
                <w:color w:val="000000"/>
                <w:sz w:val="20"/>
              </w:rPr>
              <w:t>$19.75</w:t>
            </w:r>
          </w:p>
        </w:tc>
        <w:tc>
          <w:tcPr>
            <w:tcW w:w="1350" w:type="dxa"/>
            <w:shd w:val="clear" w:color="auto" w:fill="FFFFFF"/>
            <w:vAlign w:val="center"/>
          </w:tcPr>
          <w:p w:rsidR="0015484D" w:rsidRPr="00283D10" w:rsidRDefault="0015484D" w:rsidP="0015484D">
            <w:pPr>
              <w:jc w:val="center"/>
              <w:rPr>
                <w:color w:val="000000"/>
                <w:sz w:val="20"/>
              </w:rPr>
            </w:pPr>
            <w:r w:rsidRPr="00283D10">
              <w:rPr>
                <w:color w:val="000000"/>
                <w:sz w:val="20"/>
              </w:rPr>
              <w:t>$672</w:t>
            </w:r>
          </w:p>
        </w:tc>
      </w:tr>
      <w:tr w:rsidR="0015484D" w:rsidRPr="00283D10" w:rsidTr="0015484D">
        <w:trPr>
          <w:trHeight w:val="525"/>
        </w:trPr>
        <w:tc>
          <w:tcPr>
            <w:tcW w:w="2283" w:type="dxa"/>
            <w:shd w:val="clear" w:color="auto" w:fill="FFFFFF"/>
            <w:vAlign w:val="center"/>
          </w:tcPr>
          <w:p w:rsidR="0015484D" w:rsidRPr="00283D10" w:rsidRDefault="0015484D" w:rsidP="0015484D">
            <w:pPr>
              <w:rPr>
                <w:b/>
                <w:bCs/>
                <w:color w:val="000000"/>
                <w:sz w:val="22"/>
                <w:szCs w:val="22"/>
              </w:rPr>
            </w:pPr>
            <w:r w:rsidRPr="00283D10">
              <w:rPr>
                <w:b/>
                <w:bCs/>
                <w:color w:val="000000"/>
                <w:sz w:val="22"/>
                <w:szCs w:val="22"/>
              </w:rPr>
              <w:t>CMHS Subtotal</w:t>
            </w:r>
          </w:p>
        </w:tc>
        <w:tc>
          <w:tcPr>
            <w:tcW w:w="1250" w:type="dxa"/>
            <w:shd w:val="clear" w:color="auto" w:fill="FFFFFF"/>
            <w:vAlign w:val="center"/>
          </w:tcPr>
          <w:p w:rsidR="0015484D" w:rsidRPr="00283D10" w:rsidRDefault="0015484D" w:rsidP="0015484D">
            <w:pPr>
              <w:jc w:val="center"/>
              <w:rPr>
                <w:b/>
                <w:color w:val="000000"/>
                <w:sz w:val="22"/>
                <w:szCs w:val="22"/>
              </w:rPr>
            </w:pPr>
            <w:r w:rsidRPr="00283D10">
              <w:rPr>
                <w:b/>
                <w:color w:val="000000"/>
                <w:sz w:val="22"/>
                <w:szCs w:val="22"/>
              </w:rPr>
              <w:t>35,845</w:t>
            </w:r>
          </w:p>
        </w:tc>
        <w:tc>
          <w:tcPr>
            <w:tcW w:w="1170" w:type="dxa"/>
            <w:shd w:val="clear" w:color="auto" w:fill="FFFFFF"/>
            <w:vAlign w:val="center"/>
          </w:tcPr>
          <w:p w:rsidR="0015484D" w:rsidRPr="00283D10" w:rsidRDefault="0015484D" w:rsidP="0015484D">
            <w:pPr>
              <w:jc w:val="center"/>
              <w:rPr>
                <w:b/>
                <w:color w:val="000000"/>
                <w:sz w:val="22"/>
                <w:szCs w:val="22"/>
              </w:rPr>
            </w:pPr>
          </w:p>
        </w:tc>
        <w:tc>
          <w:tcPr>
            <w:tcW w:w="1350" w:type="dxa"/>
            <w:shd w:val="clear" w:color="auto" w:fill="FFFFFF"/>
            <w:vAlign w:val="center"/>
          </w:tcPr>
          <w:p w:rsidR="0015484D" w:rsidRPr="00283D10" w:rsidRDefault="0015484D" w:rsidP="0015484D">
            <w:pPr>
              <w:jc w:val="center"/>
              <w:rPr>
                <w:b/>
                <w:color w:val="000000"/>
                <w:sz w:val="22"/>
                <w:szCs w:val="22"/>
              </w:rPr>
            </w:pPr>
            <w:r>
              <w:rPr>
                <w:b/>
                <w:color w:val="000000"/>
                <w:sz w:val="22"/>
                <w:szCs w:val="22"/>
              </w:rPr>
              <w:t>98,157</w:t>
            </w:r>
          </w:p>
        </w:tc>
        <w:tc>
          <w:tcPr>
            <w:tcW w:w="990" w:type="dxa"/>
            <w:shd w:val="clear" w:color="auto" w:fill="FFFFFF"/>
            <w:vAlign w:val="center"/>
          </w:tcPr>
          <w:p w:rsidR="0015484D" w:rsidRPr="00283D10" w:rsidRDefault="0015484D" w:rsidP="0015484D">
            <w:pPr>
              <w:jc w:val="center"/>
              <w:rPr>
                <w:b/>
                <w:color w:val="000000"/>
                <w:sz w:val="22"/>
                <w:szCs w:val="22"/>
              </w:rPr>
            </w:pPr>
          </w:p>
        </w:tc>
        <w:tc>
          <w:tcPr>
            <w:tcW w:w="1080" w:type="dxa"/>
            <w:shd w:val="clear" w:color="auto" w:fill="FFFFFF"/>
            <w:vAlign w:val="center"/>
          </w:tcPr>
          <w:p w:rsidR="0015484D" w:rsidRPr="00283D10" w:rsidRDefault="0015484D" w:rsidP="0015484D">
            <w:pPr>
              <w:jc w:val="center"/>
              <w:rPr>
                <w:b/>
                <w:color w:val="000000"/>
                <w:sz w:val="22"/>
                <w:szCs w:val="22"/>
              </w:rPr>
            </w:pPr>
            <w:r w:rsidRPr="00283D10">
              <w:rPr>
                <w:b/>
                <w:color w:val="000000"/>
                <w:sz w:val="22"/>
                <w:szCs w:val="22"/>
              </w:rPr>
              <w:t>33,</w:t>
            </w:r>
            <w:r>
              <w:rPr>
                <w:b/>
                <w:color w:val="000000"/>
                <w:sz w:val="22"/>
                <w:szCs w:val="22"/>
              </w:rPr>
              <w:t>958</w:t>
            </w:r>
          </w:p>
        </w:tc>
        <w:tc>
          <w:tcPr>
            <w:tcW w:w="810" w:type="dxa"/>
            <w:shd w:val="clear" w:color="auto" w:fill="FFFFFF"/>
            <w:vAlign w:val="center"/>
          </w:tcPr>
          <w:p w:rsidR="0015484D" w:rsidRPr="00283D10" w:rsidRDefault="0015484D" w:rsidP="0015484D">
            <w:pPr>
              <w:jc w:val="center"/>
              <w:rPr>
                <w:b/>
                <w:color w:val="000000"/>
                <w:sz w:val="22"/>
                <w:szCs w:val="22"/>
              </w:rPr>
            </w:pPr>
          </w:p>
        </w:tc>
        <w:tc>
          <w:tcPr>
            <w:tcW w:w="1350" w:type="dxa"/>
            <w:shd w:val="clear" w:color="auto" w:fill="FFFFFF"/>
            <w:vAlign w:val="center"/>
          </w:tcPr>
          <w:p w:rsidR="0015484D" w:rsidRPr="00283D10" w:rsidRDefault="0015484D" w:rsidP="0015484D">
            <w:pPr>
              <w:jc w:val="center"/>
              <w:rPr>
                <w:b/>
                <w:color w:val="000000"/>
                <w:sz w:val="22"/>
                <w:szCs w:val="22"/>
              </w:rPr>
            </w:pPr>
          </w:p>
          <w:p w:rsidR="0015484D" w:rsidRPr="00283D10" w:rsidRDefault="0015484D" w:rsidP="0015484D">
            <w:pPr>
              <w:jc w:val="center"/>
              <w:rPr>
                <w:b/>
                <w:color w:val="000000"/>
                <w:sz w:val="22"/>
                <w:szCs w:val="22"/>
              </w:rPr>
            </w:pPr>
            <w:r w:rsidRPr="00283D10">
              <w:rPr>
                <w:b/>
                <w:color w:val="000000"/>
                <w:sz w:val="22"/>
                <w:szCs w:val="22"/>
              </w:rPr>
              <w:t>$</w:t>
            </w:r>
            <w:r>
              <w:rPr>
                <w:b/>
                <w:color w:val="000000"/>
                <w:sz w:val="22"/>
                <w:szCs w:val="22"/>
              </w:rPr>
              <w:t>670,676</w:t>
            </w:r>
            <w:r w:rsidRPr="00283D10">
              <w:rPr>
                <w:b/>
                <w:color w:val="000000"/>
                <w:sz w:val="22"/>
                <w:szCs w:val="22"/>
              </w:rPr>
              <w:t xml:space="preserve"> </w:t>
            </w:r>
          </w:p>
          <w:p w:rsidR="0015484D" w:rsidRPr="00283D10" w:rsidRDefault="0015484D" w:rsidP="0015484D">
            <w:pPr>
              <w:jc w:val="center"/>
              <w:rPr>
                <w:b/>
                <w:color w:val="000000"/>
                <w:sz w:val="22"/>
                <w:szCs w:val="22"/>
              </w:rPr>
            </w:pPr>
          </w:p>
        </w:tc>
      </w:tr>
      <w:tr w:rsidR="0015484D" w:rsidRPr="00283D10" w:rsidTr="0015484D">
        <w:trPr>
          <w:trHeight w:val="303"/>
        </w:trPr>
        <w:tc>
          <w:tcPr>
            <w:tcW w:w="10283" w:type="dxa"/>
            <w:gridSpan w:val="8"/>
            <w:shd w:val="clear" w:color="auto" w:fill="DDD9C4"/>
            <w:vAlign w:val="center"/>
            <w:hideMark/>
          </w:tcPr>
          <w:p w:rsidR="0015484D" w:rsidRPr="00283D10" w:rsidRDefault="0015484D" w:rsidP="0015484D">
            <w:pPr>
              <w:rPr>
                <w:b/>
                <w:bCs/>
                <w:color w:val="000000"/>
                <w:sz w:val="20"/>
              </w:rPr>
            </w:pPr>
            <w:r w:rsidRPr="00283D10">
              <w:rPr>
                <w:b/>
                <w:bCs/>
                <w:color w:val="000000"/>
                <w:szCs w:val="24"/>
              </w:rPr>
              <w:t>CSAT</w:t>
            </w:r>
          </w:p>
        </w:tc>
      </w:tr>
      <w:tr w:rsidR="0015484D" w:rsidRPr="00283D10" w:rsidTr="0015484D">
        <w:trPr>
          <w:trHeight w:val="546"/>
        </w:trPr>
        <w:tc>
          <w:tcPr>
            <w:tcW w:w="2283" w:type="dxa"/>
            <w:shd w:val="clear" w:color="auto" w:fill="FFFFFF"/>
            <w:vAlign w:val="center"/>
          </w:tcPr>
          <w:p w:rsidR="0015484D" w:rsidRPr="00283D10" w:rsidRDefault="0015484D" w:rsidP="0015484D">
            <w:pPr>
              <w:rPr>
                <w:bCs/>
                <w:color w:val="000000"/>
                <w:sz w:val="20"/>
              </w:rPr>
            </w:pPr>
            <w:r w:rsidRPr="00283D10">
              <w:rPr>
                <w:bCs/>
                <w:color w:val="000000"/>
                <w:sz w:val="20"/>
              </w:rPr>
              <w:t>Baseline Interview Includes SBIRT Brief TX and Referral to TX</w:t>
            </w:r>
          </w:p>
        </w:tc>
        <w:tc>
          <w:tcPr>
            <w:tcW w:w="1250" w:type="dxa"/>
            <w:shd w:val="clear" w:color="auto" w:fill="FFFFFF"/>
            <w:vAlign w:val="center"/>
          </w:tcPr>
          <w:p w:rsidR="0015484D" w:rsidRPr="00283D10" w:rsidRDefault="0015484D" w:rsidP="0015484D">
            <w:pPr>
              <w:jc w:val="center"/>
              <w:rPr>
                <w:color w:val="000000"/>
                <w:sz w:val="20"/>
              </w:rPr>
            </w:pPr>
            <w:r w:rsidRPr="00283D10">
              <w:rPr>
                <w:color w:val="000000"/>
                <w:sz w:val="20"/>
              </w:rPr>
              <w:t>182,153</w:t>
            </w:r>
          </w:p>
        </w:tc>
        <w:tc>
          <w:tcPr>
            <w:tcW w:w="1170" w:type="dxa"/>
            <w:shd w:val="clear" w:color="auto" w:fill="FFFFFF"/>
            <w:vAlign w:val="center"/>
          </w:tcPr>
          <w:p w:rsidR="0015484D" w:rsidRPr="00283D10" w:rsidRDefault="0015484D" w:rsidP="0015484D">
            <w:pPr>
              <w:jc w:val="center"/>
              <w:rPr>
                <w:color w:val="000000"/>
                <w:sz w:val="20"/>
              </w:rPr>
            </w:pPr>
            <w:r w:rsidRPr="00283D10">
              <w:rPr>
                <w:color w:val="000000"/>
                <w:sz w:val="20"/>
              </w:rPr>
              <w:t>1</w:t>
            </w:r>
          </w:p>
        </w:tc>
        <w:tc>
          <w:tcPr>
            <w:tcW w:w="1350" w:type="dxa"/>
            <w:shd w:val="clear" w:color="auto" w:fill="FFFFFF"/>
            <w:vAlign w:val="center"/>
          </w:tcPr>
          <w:p w:rsidR="0015484D" w:rsidRPr="00283D10" w:rsidRDefault="0015484D" w:rsidP="0015484D">
            <w:pPr>
              <w:jc w:val="center"/>
              <w:rPr>
                <w:color w:val="000000"/>
                <w:sz w:val="20"/>
              </w:rPr>
            </w:pPr>
            <w:r w:rsidRPr="00283D10">
              <w:rPr>
                <w:color w:val="000000"/>
                <w:sz w:val="20"/>
              </w:rPr>
              <w:t>182,153</w:t>
            </w:r>
          </w:p>
        </w:tc>
        <w:tc>
          <w:tcPr>
            <w:tcW w:w="990" w:type="dxa"/>
            <w:shd w:val="clear" w:color="auto" w:fill="FFFFFF"/>
            <w:vAlign w:val="center"/>
          </w:tcPr>
          <w:p w:rsidR="0015484D" w:rsidRPr="00283D10" w:rsidRDefault="0015484D" w:rsidP="0015484D">
            <w:pPr>
              <w:jc w:val="center"/>
              <w:rPr>
                <w:color w:val="000000"/>
                <w:sz w:val="20"/>
              </w:rPr>
            </w:pPr>
            <w:r w:rsidRPr="00283D10">
              <w:rPr>
                <w:color w:val="000000"/>
                <w:sz w:val="20"/>
              </w:rPr>
              <w:t>0.47</w:t>
            </w:r>
          </w:p>
        </w:tc>
        <w:tc>
          <w:tcPr>
            <w:tcW w:w="1080" w:type="dxa"/>
            <w:shd w:val="clear" w:color="auto" w:fill="FFFFFF"/>
            <w:vAlign w:val="center"/>
          </w:tcPr>
          <w:p w:rsidR="0015484D" w:rsidRPr="00283D10" w:rsidRDefault="0015484D" w:rsidP="0015484D">
            <w:pPr>
              <w:jc w:val="center"/>
              <w:rPr>
                <w:color w:val="000000"/>
                <w:sz w:val="20"/>
              </w:rPr>
            </w:pPr>
            <w:r w:rsidRPr="00283D10">
              <w:rPr>
                <w:color w:val="000000"/>
                <w:sz w:val="20"/>
              </w:rPr>
              <w:t>85,612</w:t>
            </w:r>
          </w:p>
        </w:tc>
        <w:tc>
          <w:tcPr>
            <w:tcW w:w="810" w:type="dxa"/>
            <w:shd w:val="clear" w:color="auto" w:fill="FFFFFF"/>
            <w:vAlign w:val="center"/>
          </w:tcPr>
          <w:p w:rsidR="0015484D" w:rsidRPr="00283D10" w:rsidRDefault="0015484D" w:rsidP="0015484D">
            <w:pPr>
              <w:jc w:val="center"/>
              <w:rPr>
                <w:color w:val="000000"/>
                <w:sz w:val="20"/>
              </w:rPr>
            </w:pPr>
            <w:r w:rsidRPr="00283D10">
              <w:rPr>
                <w:color w:val="000000"/>
                <w:sz w:val="20"/>
              </w:rPr>
              <w:t>$19.75</w:t>
            </w:r>
          </w:p>
        </w:tc>
        <w:tc>
          <w:tcPr>
            <w:tcW w:w="1350" w:type="dxa"/>
            <w:shd w:val="clear" w:color="auto" w:fill="FFFFFF"/>
            <w:vAlign w:val="center"/>
          </w:tcPr>
          <w:p w:rsidR="0015484D" w:rsidRPr="00283D10" w:rsidRDefault="0015484D" w:rsidP="0015484D">
            <w:pPr>
              <w:jc w:val="center"/>
              <w:rPr>
                <w:color w:val="000000"/>
                <w:sz w:val="20"/>
              </w:rPr>
            </w:pPr>
            <w:r w:rsidRPr="00283D10">
              <w:rPr>
                <w:color w:val="000000"/>
                <w:sz w:val="20"/>
              </w:rPr>
              <w:t>$1,690,835</w:t>
            </w:r>
          </w:p>
        </w:tc>
      </w:tr>
      <w:tr w:rsidR="0015484D" w:rsidRPr="00283D10" w:rsidTr="0015484D">
        <w:trPr>
          <w:trHeight w:val="546"/>
        </w:trPr>
        <w:tc>
          <w:tcPr>
            <w:tcW w:w="2283" w:type="dxa"/>
            <w:shd w:val="clear" w:color="auto" w:fill="FFFFFF"/>
            <w:vAlign w:val="center"/>
          </w:tcPr>
          <w:p w:rsidR="0015484D" w:rsidRPr="00283D10" w:rsidRDefault="0015484D" w:rsidP="0015484D">
            <w:pPr>
              <w:rPr>
                <w:bCs/>
                <w:color w:val="000000"/>
                <w:sz w:val="20"/>
              </w:rPr>
            </w:pPr>
            <w:r w:rsidRPr="00283D10">
              <w:rPr>
                <w:bCs/>
                <w:color w:val="000000"/>
                <w:sz w:val="20"/>
              </w:rPr>
              <w:t xml:space="preserve">Follow-Up Interview </w:t>
            </w:r>
            <w:r w:rsidRPr="00283D10">
              <w:rPr>
                <w:bCs/>
                <w:color w:val="000000"/>
                <w:sz w:val="20"/>
                <w:vertAlign w:val="superscript"/>
              </w:rPr>
              <w:t>2</w:t>
            </w:r>
            <w:r w:rsidRPr="00283D10">
              <w:rPr>
                <w:bCs/>
                <w:color w:val="000000"/>
                <w:sz w:val="20"/>
              </w:rPr>
              <w:t xml:space="preserve"> </w:t>
            </w:r>
          </w:p>
        </w:tc>
        <w:tc>
          <w:tcPr>
            <w:tcW w:w="1250" w:type="dxa"/>
            <w:shd w:val="clear" w:color="auto" w:fill="FFFFFF"/>
            <w:vAlign w:val="center"/>
          </w:tcPr>
          <w:p w:rsidR="0015484D" w:rsidRPr="00283D10" w:rsidRDefault="0015484D" w:rsidP="0015484D">
            <w:pPr>
              <w:jc w:val="center"/>
              <w:rPr>
                <w:color w:val="000000"/>
                <w:sz w:val="20"/>
              </w:rPr>
            </w:pPr>
            <w:r w:rsidRPr="00283D10">
              <w:rPr>
                <w:color w:val="000000"/>
                <w:sz w:val="20"/>
              </w:rPr>
              <w:t>134,793</w:t>
            </w:r>
          </w:p>
        </w:tc>
        <w:tc>
          <w:tcPr>
            <w:tcW w:w="1170" w:type="dxa"/>
            <w:shd w:val="clear" w:color="auto" w:fill="FFFFFF"/>
            <w:vAlign w:val="center"/>
          </w:tcPr>
          <w:p w:rsidR="0015484D" w:rsidRPr="00283D10" w:rsidRDefault="0015484D" w:rsidP="0015484D">
            <w:pPr>
              <w:jc w:val="center"/>
              <w:rPr>
                <w:color w:val="000000"/>
                <w:sz w:val="20"/>
              </w:rPr>
            </w:pPr>
            <w:r w:rsidRPr="00283D10">
              <w:rPr>
                <w:color w:val="000000"/>
                <w:sz w:val="20"/>
              </w:rPr>
              <w:t>1</w:t>
            </w:r>
          </w:p>
        </w:tc>
        <w:tc>
          <w:tcPr>
            <w:tcW w:w="1350" w:type="dxa"/>
            <w:shd w:val="clear" w:color="auto" w:fill="FFFFFF"/>
            <w:vAlign w:val="center"/>
          </w:tcPr>
          <w:p w:rsidR="0015484D" w:rsidRPr="00283D10" w:rsidRDefault="0015484D" w:rsidP="0015484D">
            <w:pPr>
              <w:jc w:val="center"/>
              <w:rPr>
                <w:color w:val="000000"/>
                <w:sz w:val="20"/>
              </w:rPr>
            </w:pPr>
            <w:r w:rsidRPr="00283D10">
              <w:rPr>
                <w:color w:val="000000"/>
                <w:sz w:val="20"/>
              </w:rPr>
              <w:t>134,793</w:t>
            </w:r>
          </w:p>
        </w:tc>
        <w:tc>
          <w:tcPr>
            <w:tcW w:w="990" w:type="dxa"/>
            <w:shd w:val="clear" w:color="auto" w:fill="FFFFFF"/>
            <w:vAlign w:val="center"/>
          </w:tcPr>
          <w:p w:rsidR="0015484D" w:rsidRPr="00283D10" w:rsidRDefault="0015484D" w:rsidP="0015484D">
            <w:pPr>
              <w:jc w:val="center"/>
              <w:rPr>
                <w:color w:val="000000"/>
                <w:sz w:val="20"/>
              </w:rPr>
            </w:pPr>
            <w:r w:rsidRPr="00283D10">
              <w:rPr>
                <w:color w:val="000000"/>
                <w:sz w:val="20"/>
              </w:rPr>
              <w:t>0.47</w:t>
            </w:r>
          </w:p>
        </w:tc>
        <w:tc>
          <w:tcPr>
            <w:tcW w:w="1080" w:type="dxa"/>
            <w:shd w:val="clear" w:color="auto" w:fill="FFFFFF"/>
            <w:vAlign w:val="center"/>
          </w:tcPr>
          <w:p w:rsidR="0015484D" w:rsidRPr="00283D10" w:rsidRDefault="0015484D" w:rsidP="0015484D">
            <w:pPr>
              <w:jc w:val="center"/>
              <w:rPr>
                <w:color w:val="000000"/>
                <w:sz w:val="20"/>
              </w:rPr>
            </w:pPr>
            <w:r w:rsidRPr="00283D10">
              <w:rPr>
                <w:color w:val="000000"/>
                <w:sz w:val="20"/>
              </w:rPr>
              <w:t>63,353</w:t>
            </w:r>
          </w:p>
        </w:tc>
        <w:tc>
          <w:tcPr>
            <w:tcW w:w="810" w:type="dxa"/>
            <w:shd w:val="clear" w:color="auto" w:fill="FFFFFF"/>
            <w:vAlign w:val="center"/>
          </w:tcPr>
          <w:p w:rsidR="0015484D" w:rsidRPr="00283D10" w:rsidRDefault="0015484D" w:rsidP="0015484D">
            <w:pPr>
              <w:jc w:val="center"/>
              <w:rPr>
                <w:color w:val="000000"/>
                <w:sz w:val="20"/>
              </w:rPr>
            </w:pPr>
            <w:r w:rsidRPr="00283D10">
              <w:rPr>
                <w:color w:val="000000"/>
                <w:sz w:val="20"/>
              </w:rPr>
              <w:t>$19.75</w:t>
            </w:r>
          </w:p>
        </w:tc>
        <w:tc>
          <w:tcPr>
            <w:tcW w:w="1350" w:type="dxa"/>
            <w:shd w:val="clear" w:color="auto" w:fill="FFFFFF"/>
            <w:vAlign w:val="center"/>
          </w:tcPr>
          <w:p w:rsidR="0015484D" w:rsidRPr="00283D10" w:rsidRDefault="0015484D" w:rsidP="0015484D">
            <w:pPr>
              <w:jc w:val="center"/>
              <w:rPr>
                <w:color w:val="000000"/>
                <w:sz w:val="20"/>
              </w:rPr>
            </w:pPr>
            <w:r w:rsidRPr="00283D10">
              <w:rPr>
                <w:color w:val="000000"/>
                <w:sz w:val="20"/>
              </w:rPr>
              <w:t>$1,251218</w:t>
            </w:r>
          </w:p>
        </w:tc>
      </w:tr>
      <w:tr w:rsidR="0015484D" w:rsidRPr="00283D10" w:rsidTr="0015484D">
        <w:trPr>
          <w:trHeight w:val="546"/>
        </w:trPr>
        <w:tc>
          <w:tcPr>
            <w:tcW w:w="2283" w:type="dxa"/>
            <w:shd w:val="clear" w:color="auto" w:fill="FFFFFF"/>
            <w:vAlign w:val="center"/>
          </w:tcPr>
          <w:p w:rsidR="0015484D" w:rsidRPr="00283D10" w:rsidRDefault="0015484D" w:rsidP="0015484D">
            <w:pPr>
              <w:rPr>
                <w:bCs/>
                <w:color w:val="000000"/>
                <w:sz w:val="20"/>
              </w:rPr>
            </w:pPr>
            <w:r w:rsidRPr="00283D10">
              <w:rPr>
                <w:bCs/>
                <w:color w:val="000000"/>
                <w:sz w:val="20"/>
              </w:rPr>
              <w:t xml:space="preserve">Discharge Interview </w:t>
            </w:r>
            <w:r w:rsidRPr="00283D10">
              <w:rPr>
                <w:bCs/>
                <w:color w:val="000000"/>
                <w:sz w:val="20"/>
                <w:vertAlign w:val="superscript"/>
              </w:rPr>
              <w:t>3</w:t>
            </w:r>
            <w:r w:rsidRPr="00283D10">
              <w:rPr>
                <w:bCs/>
                <w:color w:val="000000"/>
                <w:sz w:val="20"/>
              </w:rPr>
              <w:t xml:space="preserve"> </w:t>
            </w:r>
          </w:p>
        </w:tc>
        <w:tc>
          <w:tcPr>
            <w:tcW w:w="1250" w:type="dxa"/>
            <w:shd w:val="clear" w:color="auto" w:fill="FFFFFF"/>
            <w:vAlign w:val="center"/>
          </w:tcPr>
          <w:p w:rsidR="0015484D" w:rsidRPr="00283D10" w:rsidRDefault="0015484D" w:rsidP="0015484D">
            <w:pPr>
              <w:jc w:val="center"/>
              <w:rPr>
                <w:color w:val="000000"/>
                <w:sz w:val="20"/>
              </w:rPr>
            </w:pPr>
            <w:r w:rsidRPr="00283D10">
              <w:rPr>
                <w:color w:val="000000"/>
                <w:sz w:val="20"/>
              </w:rPr>
              <w:t>94,720</w:t>
            </w:r>
          </w:p>
        </w:tc>
        <w:tc>
          <w:tcPr>
            <w:tcW w:w="1170" w:type="dxa"/>
            <w:shd w:val="clear" w:color="auto" w:fill="FFFFFF"/>
            <w:vAlign w:val="center"/>
          </w:tcPr>
          <w:p w:rsidR="0015484D" w:rsidRPr="00283D10" w:rsidRDefault="0015484D" w:rsidP="0015484D">
            <w:pPr>
              <w:jc w:val="center"/>
              <w:rPr>
                <w:color w:val="000000"/>
                <w:sz w:val="20"/>
              </w:rPr>
            </w:pPr>
            <w:r w:rsidRPr="00283D10">
              <w:rPr>
                <w:color w:val="000000"/>
                <w:sz w:val="20"/>
              </w:rPr>
              <w:t>1</w:t>
            </w:r>
          </w:p>
        </w:tc>
        <w:tc>
          <w:tcPr>
            <w:tcW w:w="1350" w:type="dxa"/>
            <w:shd w:val="clear" w:color="auto" w:fill="FFFFFF"/>
            <w:vAlign w:val="center"/>
          </w:tcPr>
          <w:p w:rsidR="0015484D" w:rsidRPr="00283D10" w:rsidRDefault="0015484D" w:rsidP="0015484D">
            <w:pPr>
              <w:jc w:val="center"/>
              <w:rPr>
                <w:color w:val="000000"/>
                <w:sz w:val="20"/>
              </w:rPr>
            </w:pPr>
            <w:r w:rsidRPr="00283D10">
              <w:rPr>
                <w:color w:val="000000"/>
                <w:sz w:val="20"/>
              </w:rPr>
              <w:t>94,720</w:t>
            </w:r>
          </w:p>
        </w:tc>
        <w:tc>
          <w:tcPr>
            <w:tcW w:w="990" w:type="dxa"/>
            <w:shd w:val="clear" w:color="auto" w:fill="FFFFFF"/>
            <w:vAlign w:val="center"/>
          </w:tcPr>
          <w:p w:rsidR="0015484D" w:rsidRPr="00283D10" w:rsidRDefault="0015484D" w:rsidP="0015484D">
            <w:pPr>
              <w:jc w:val="center"/>
              <w:rPr>
                <w:color w:val="000000"/>
                <w:sz w:val="20"/>
              </w:rPr>
            </w:pPr>
            <w:r w:rsidRPr="00283D10">
              <w:rPr>
                <w:color w:val="000000"/>
                <w:sz w:val="20"/>
              </w:rPr>
              <w:t>0.47</w:t>
            </w:r>
          </w:p>
        </w:tc>
        <w:tc>
          <w:tcPr>
            <w:tcW w:w="1080" w:type="dxa"/>
            <w:shd w:val="clear" w:color="auto" w:fill="FFFFFF"/>
            <w:vAlign w:val="center"/>
          </w:tcPr>
          <w:p w:rsidR="0015484D" w:rsidRPr="00283D10" w:rsidRDefault="0015484D" w:rsidP="0015484D">
            <w:pPr>
              <w:jc w:val="center"/>
              <w:rPr>
                <w:color w:val="000000"/>
                <w:sz w:val="20"/>
              </w:rPr>
            </w:pPr>
            <w:r w:rsidRPr="00283D10">
              <w:rPr>
                <w:color w:val="000000"/>
                <w:sz w:val="20"/>
              </w:rPr>
              <w:t>44,518</w:t>
            </w:r>
          </w:p>
        </w:tc>
        <w:tc>
          <w:tcPr>
            <w:tcW w:w="810" w:type="dxa"/>
            <w:shd w:val="clear" w:color="auto" w:fill="FFFFFF"/>
            <w:vAlign w:val="center"/>
          </w:tcPr>
          <w:p w:rsidR="0015484D" w:rsidRPr="00283D10" w:rsidRDefault="0015484D" w:rsidP="0015484D">
            <w:pPr>
              <w:jc w:val="center"/>
              <w:rPr>
                <w:color w:val="000000"/>
                <w:sz w:val="20"/>
              </w:rPr>
            </w:pPr>
            <w:r w:rsidRPr="00283D10">
              <w:rPr>
                <w:color w:val="000000"/>
                <w:sz w:val="20"/>
              </w:rPr>
              <w:t>$19.75</w:t>
            </w:r>
          </w:p>
        </w:tc>
        <w:tc>
          <w:tcPr>
            <w:tcW w:w="1350" w:type="dxa"/>
            <w:shd w:val="clear" w:color="auto" w:fill="FFFFFF"/>
            <w:vAlign w:val="center"/>
          </w:tcPr>
          <w:p w:rsidR="0015484D" w:rsidRPr="00283D10" w:rsidRDefault="0015484D" w:rsidP="0015484D">
            <w:pPr>
              <w:jc w:val="center"/>
              <w:rPr>
                <w:color w:val="000000"/>
                <w:sz w:val="20"/>
              </w:rPr>
            </w:pPr>
            <w:r w:rsidRPr="00283D10">
              <w:rPr>
                <w:color w:val="000000"/>
                <w:sz w:val="20"/>
              </w:rPr>
              <w:t>$879,238</w:t>
            </w:r>
          </w:p>
        </w:tc>
      </w:tr>
      <w:tr w:rsidR="0015484D" w:rsidRPr="00283D10" w:rsidTr="0015484D">
        <w:trPr>
          <w:trHeight w:val="546"/>
        </w:trPr>
        <w:tc>
          <w:tcPr>
            <w:tcW w:w="2283" w:type="dxa"/>
            <w:shd w:val="clear" w:color="auto" w:fill="FFFFFF"/>
            <w:vAlign w:val="center"/>
            <w:hideMark/>
          </w:tcPr>
          <w:p w:rsidR="0015484D" w:rsidRPr="00283D10" w:rsidRDefault="0015484D" w:rsidP="0015484D">
            <w:pPr>
              <w:rPr>
                <w:bCs/>
                <w:color w:val="000000"/>
                <w:sz w:val="20"/>
              </w:rPr>
            </w:pPr>
            <w:r w:rsidRPr="00283D10">
              <w:rPr>
                <w:bCs/>
                <w:color w:val="000000"/>
                <w:sz w:val="20"/>
              </w:rPr>
              <w:t xml:space="preserve">SBIRT Program –Screening Only </w:t>
            </w:r>
            <w:r w:rsidRPr="00283D10">
              <w:rPr>
                <w:bCs/>
                <w:color w:val="000000"/>
                <w:sz w:val="20"/>
                <w:vertAlign w:val="superscript"/>
              </w:rPr>
              <w:t>9</w:t>
            </w:r>
            <w:r w:rsidRPr="00283D10">
              <w:rPr>
                <w:bCs/>
                <w:color w:val="000000"/>
                <w:sz w:val="20"/>
              </w:rPr>
              <w:t xml:space="preserve"> </w:t>
            </w:r>
          </w:p>
        </w:tc>
        <w:tc>
          <w:tcPr>
            <w:tcW w:w="1250" w:type="dxa"/>
            <w:shd w:val="clear" w:color="auto" w:fill="FFFFFF"/>
            <w:vAlign w:val="center"/>
            <w:hideMark/>
          </w:tcPr>
          <w:p w:rsidR="0015484D" w:rsidRPr="00283D10" w:rsidRDefault="0015484D" w:rsidP="0015484D">
            <w:pPr>
              <w:jc w:val="center"/>
              <w:rPr>
                <w:color w:val="000000"/>
                <w:sz w:val="20"/>
              </w:rPr>
            </w:pPr>
            <w:r w:rsidRPr="00283D10">
              <w:rPr>
                <w:color w:val="000000"/>
                <w:sz w:val="20"/>
              </w:rPr>
              <w:t>594,192</w:t>
            </w:r>
          </w:p>
        </w:tc>
        <w:tc>
          <w:tcPr>
            <w:tcW w:w="1170" w:type="dxa"/>
            <w:shd w:val="clear" w:color="auto" w:fill="FFFFFF"/>
            <w:vAlign w:val="center"/>
            <w:hideMark/>
          </w:tcPr>
          <w:p w:rsidR="0015484D" w:rsidRPr="00283D10" w:rsidRDefault="0015484D" w:rsidP="0015484D">
            <w:pPr>
              <w:jc w:val="center"/>
              <w:rPr>
                <w:color w:val="000000"/>
                <w:sz w:val="20"/>
              </w:rPr>
            </w:pPr>
            <w:r w:rsidRPr="00283D10">
              <w:rPr>
                <w:color w:val="000000"/>
                <w:sz w:val="20"/>
              </w:rPr>
              <w:t>1</w:t>
            </w:r>
          </w:p>
        </w:tc>
        <w:tc>
          <w:tcPr>
            <w:tcW w:w="1350" w:type="dxa"/>
            <w:shd w:val="clear" w:color="auto" w:fill="FFFFFF"/>
            <w:vAlign w:val="center"/>
            <w:hideMark/>
          </w:tcPr>
          <w:p w:rsidR="0015484D" w:rsidRPr="00283D10" w:rsidRDefault="0015484D" w:rsidP="0015484D">
            <w:pPr>
              <w:jc w:val="center"/>
              <w:rPr>
                <w:color w:val="000000"/>
                <w:sz w:val="20"/>
              </w:rPr>
            </w:pPr>
            <w:r w:rsidRPr="00283D10">
              <w:rPr>
                <w:color w:val="000000"/>
                <w:sz w:val="20"/>
              </w:rPr>
              <w:t>594,192</w:t>
            </w:r>
          </w:p>
        </w:tc>
        <w:tc>
          <w:tcPr>
            <w:tcW w:w="990" w:type="dxa"/>
            <w:shd w:val="clear" w:color="auto" w:fill="FFFFFF"/>
            <w:vAlign w:val="center"/>
            <w:hideMark/>
          </w:tcPr>
          <w:p w:rsidR="0015484D" w:rsidRPr="00283D10" w:rsidRDefault="0015484D" w:rsidP="0015484D">
            <w:pPr>
              <w:jc w:val="center"/>
              <w:rPr>
                <w:color w:val="000000"/>
                <w:sz w:val="20"/>
              </w:rPr>
            </w:pPr>
            <w:r w:rsidRPr="00283D10">
              <w:rPr>
                <w:color w:val="000000"/>
                <w:sz w:val="20"/>
              </w:rPr>
              <w:t>0.13</w:t>
            </w:r>
          </w:p>
        </w:tc>
        <w:tc>
          <w:tcPr>
            <w:tcW w:w="1080" w:type="dxa"/>
            <w:shd w:val="clear" w:color="auto" w:fill="FFFFFF"/>
            <w:vAlign w:val="center"/>
            <w:hideMark/>
          </w:tcPr>
          <w:p w:rsidR="0015484D" w:rsidRPr="00283D10" w:rsidRDefault="0015484D" w:rsidP="0015484D">
            <w:pPr>
              <w:jc w:val="center"/>
              <w:rPr>
                <w:color w:val="000000"/>
                <w:sz w:val="20"/>
              </w:rPr>
            </w:pPr>
            <w:r w:rsidRPr="00283D10">
              <w:rPr>
                <w:color w:val="000000"/>
                <w:sz w:val="20"/>
              </w:rPr>
              <w:t>77,244</w:t>
            </w:r>
          </w:p>
        </w:tc>
        <w:tc>
          <w:tcPr>
            <w:tcW w:w="810" w:type="dxa"/>
            <w:shd w:val="clear" w:color="auto" w:fill="FFFFFF"/>
            <w:vAlign w:val="center"/>
          </w:tcPr>
          <w:p w:rsidR="0015484D" w:rsidRPr="00283D10" w:rsidRDefault="0015484D" w:rsidP="0015484D">
            <w:pPr>
              <w:jc w:val="center"/>
            </w:pPr>
            <w:r w:rsidRPr="00283D10">
              <w:rPr>
                <w:color w:val="000000"/>
                <w:sz w:val="20"/>
              </w:rPr>
              <w:t>$19.75</w:t>
            </w:r>
          </w:p>
        </w:tc>
        <w:tc>
          <w:tcPr>
            <w:tcW w:w="1350" w:type="dxa"/>
            <w:shd w:val="clear" w:color="auto" w:fill="FFFFFF"/>
            <w:vAlign w:val="center"/>
          </w:tcPr>
          <w:p w:rsidR="0015484D" w:rsidRPr="00283D10" w:rsidRDefault="0015484D" w:rsidP="0015484D">
            <w:pPr>
              <w:jc w:val="center"/>
              <w:rPr>
                <w:color w:val="000000"/>
                <w:sz w:val="20"/>
              </w:rPr>
            </w:pPr>
            <w:r w:rsidRPr="00283D10">
              <w:rPr>
                <w:color w:val="000000"/>
                <w:sz w:val="20"/>
              </w:rPr>
              <w:t>$1,525,569</w:t>
            </w:r>
          </w:p>
        </w:tc>
      </w:tr>
      <w:tr w:rsidR="0015484D" w:rsidRPr="00283D10" w:rsidTr="0015484D">
        <w:trPr>
          <w:trHeight w:val="813"/>
        </w:trPr>
        <w:tc>
          <w:tcPr>
            <w:tcW w:w="2283" w:type="dxa"/>
            <w:shd w:val="clear" w:color="auto" w:fill="FFFFFF"/>
            <w:vAlign w:val="center"/>
          </w:tcPr>
          <w:p w:rsidR="0015484D" w:rsidRPr="00283D10" w:rsidRDefault="0015484D" w:rsidP="0015484D">
            <w:pPr>
              <w:rPr>
                <w:bCs/>
                <w:color w:val="000000"/>
                <w:sz w:val="20"/>
              </w:rPr>
            </w:pPr>
            <w:r w:rsidRPr="00283D10">
              <w:rPr>
                <w:bCs/>
                <w:color w:val="000000"/>
                <w:sz w:val="20"/>
              </w:rPr>
              <w:t xml:space="preserve">SBIRT Program – Brief Intervention Only </w:t>
            </w:r>
            <w:r w:rsidRPr="00283D10">
              <w:rPr>
                <w:bCs/>
                <w:color w:val="000000"/>
                <w:sz w:val="20"/>
                <w:vertAlign w:val="superscript"/>
              </w:rPr>
              <w:t>10</w:t>
            </w:r>
            <w:r w:rsidRPr="00283D10">
              <w:rPr>
                <w:bCs/>
                <w:color w:val="000000"/>
                <w:sz w:val="20"/>
              </w:rPr>
              <w:t xml:space="preserve"> Baseline</w:t>
            </w:r>
          </w:p>
        </w:tc>
        <w:tc>
          <w:tcPr>
            <w:tcW w:w="1250" w:type="dxa"/>
            <w:shd w:val="clear" w:color="auto" w:fill="FFFFFF"/>
            <w:vAlign w:val="center"/>
          </w:tcPr>
          <w:p w:rsidR="0015484D" w:rsidRPr="00283D10" w:rsidRDefault="0015484D" w:rsidP="0015484D">
            <w:pPr>
              <w:jc w:val="center"/>
              <w:rPr>
                <w:color w:val="000000"/>
                <w:sz w:val="20"/>
              </w:rPr>
            </w:pPr>
            <w:r w:rsidRPr="00283D10">
              <w:rPr>
                <w:color w:val="000000"/>
                <w:sz w:val="20"/>
              </w:rPr>
              <w:t>111,411</w:t>
            </w:r>
          </w:p>
        </w:tc>
        <w:tc>
          <w:tcPr>
            <w:tcW w:w="1170" w:type="dxa"/>
            <w:shd w:val="clear" w:color="auto" w:fill="FFFFFF"/>
            <w:vAlign w:val="center"/>
          </w:tcPr>
          <w:p w:rsidR="0015484D" w:rsidRPr="00283D10" w:rsidRDefault="0015484D" w:rsidP="0015484D">
            <w:pPr>
              <w:jc w:val="center"/>
              <w:rPr>
                <w:color w:val="000000"/>
                <w:sz w:val="20"/>
              </w:rPr>
            </w:pPr>
            <w:r w:rsidRPr="00283D10">
              <w:rPr>
                <w:color w:val="000000"/>
                <w:sz w:val="20"/>
              </w:rPr>
              <w:t>1</w:t>
            </w:r>
          </w:p>
        </w:tc>
        <w:tc>
          <w:tcPr>
            <w:tcW w:w="1350" w:type="dxa"/>
            <w:shd w:val="clear" w:color="auto" w:fill="FFFFFF"/>
            <w:vAlign w:val="center"/>
          </w:tcPr>
          <w:p w:rsidR="0015484D" w:rsidRPr="00283D10" w:rsidRDefault="0015484D" w:rsidP="0015484D">
            <w:pPr>
              <w:jc w:val="center"/>
              <w:rPr>
                <w:color w:val="000000"/>
                <w:sz w:val="20"/>
              </w:rPr>
            </w:pPr>
            <w:r w:rsidRPr="00283D10">
              <w:rPr>
                <w:color w:val="000000"/>
                <w:sz w:val="20"/>
              </w:rPr>
              <w:t>111,411</w:t>
            </w:r>
          </w:p>
        </w:tc>
        <w:tc>
          <w:tcPr>
            <w:tcW w:w="990" w:type="dxa"/>
            <w:shd w:val="clear" w:color="auto" w:fill="FFFFFF"/>
            <w:vAlign w:val="center"/>
          </w:tcPr>
          <w:p w:rsidR="0015484D" w:rsidRPr="00283D10" w:rsidRDefault="0015484D" w:rsidP="0015484D">
            <w:pPr>
              <w:jc w:val="center"/>
              <w:rPr>
                <w:color w:val="000000"/>
                <w:sz w:val="20"/>
              </w:rPr>
            </w:pPr>
            <w:r w:rsidRPr="00283D10">
              <w:rPr>
                <w:color w:val="000000"/>
                <w:sz w:val="20"/>
              </w:rPr>
              <w:t>.20</w:t>
            </w:r>
          </w:p>
        </w:tc>
        <w:tc>
          <w:tcPr>
            <w:tcW w:w="1080" w:type="dxa"/>
            <w:shd w:val="clear" w:color="auto" w:fill="FFFFFF"/>
            <w:vAlign w:val="center"/>
          </w:tcPr>
          <w:p w:rsidR="0015484D" w:rsidRPr="00283D10" w:rsidRDefault="0015484D" w:rsidP="0015484D">
            <w:pPr>
              <w:jc w:val="center"/>
              <w:rPr>
                <w:color w:val="000000"/>
                <w:sz w:val="20"/>
              </w:rPr>
            </w:pPr>
            <w:r w:rsidRPr="00283D10">
              <w:rPr>
                <w:color w:val="000000"/>
                <w:sz w:val="20"/>
              </w:rPr>
              <w:t>22,282</w:t>
            </w:r>
          </w:p>
        </w:tc>
        <w:tc>
          <w:tcPr>
            <w:tcW w:w="810" w:type="dxa"/>
            <w:shd w:val="clear" w:color="auto" w:fill="FFFFFF"/>
            <w:vAlign w:val="center"/>
          </w:tcPr>
          <w:p w:rsidR="0015484D" w:rsidRPr="00283D10" w:rsidRDefault="0015484D" w:rsidP="0015484D">
            <w:pPr>
              <w:jc w:val="center"/>
              <w:rPr>
                <w:color w:val="000000"/>
                <w:sz w:val="20"/>
              </w:rPr>
            </w:pPr>
            <w:r w:rsidRPr="00283D10">
              <w:rPr>
                <w:color w:val="000000"/>
                <w:sz w:val="20"/>
              </w:rPr>
              <w:t>$19.75</w:t>
            </w:r>
          </w:p>
        </w:tc>
        <w:tc>
          <w:tcPr>
            <w:tcW w:w="1350" w:type="dxa"/>
            <w:shd w:val="clear" w:color="auto" w:fill="FFFFFF"/>
            <w:vAlign w:val="center"/>
          </w:tcPr>
          <w:p w:rsidR="0015484D" w:rsidRPr="00283D10" w:rsidRDefault="0015484D" w:rsidP="0015484D">
            <w:pPr>
              <w:jc w:val="center"/>
              <w:rPr>
                <w:color w:val="000000"/>
                <w:sz w:val="20"/>
              </w:rPr>
            </w:pPr>
            <w:r w:rsidRPr="00283D10">
              <w:rPr>
                <w:color w:val="000000"/>
                <w:sz w:val="20"/>
              </w:rPr>
              <w:t>$440,070</w:t>
            </w:r>
          </w:p>
        </w:tc>
      </w:tr>
      <w:tr w:rsidR="0015484D" w:rsidRPr="00283D10" w:rsidTr="0015484D">
        <w:trPr>
          <w:trHeight w:val="813"/>
        </w:trPr>
        <w:tc>
          <w:tcPr>
            <w:tcW w:w="2283" w:type="dxa"/>
            <w:shd w:val="clear" w:color="auto" w:fill="FFFFFF"/>
            <w:vAlign w:val="center"/>
          </w:tcPr>
          <w:p w:rsidR="0015484D" w:rsidRPr="00283D10" w:rsidRDefault="0015484D" w:rsidP="0015484D">
            <w:pPr>
              <w:rPr>
                <w:bCs/>
                <w:color w:val="000000"/>
                <w:sz w:val="20"/>
              </w:rPr>
            </w:pPr>
            <w:r w:rsidRPr="00283D10">
              <w:rPr>
                <w:bCs/>
                <w:color w:val="000000"/>
                <w:sz w:val="20"/>
              </w:rPr>
              <w:t xml:space="preserve">SBIRT Program – Brief Intervention Only Follow-Up </w:t>
            </w:r>
            <w:r w:rsidRPr="00283D10">
              <w:rPr>
                <w:bCs/>
                <w:color w:val="000000"/>
                <w:sz w:val="20"/>
                <w:vertAlign w:val="superscript"/>
              </w:rPr>
              <w:t>2</w:t>
            </w:r>
          </w:p>
        </w:tc>
        <w:tc>
          <w:tcPr>
            <w:tcW w:w="1250" w:type="dxa"/>
            <w:shd w:val="clear" w:color="auto" w:fill="FFFFFF"/>
            <w:vAlign w:val="center"/>
          </w:tcPr>
          <w:p w:rsidR="0015484D" w:rsidRPr="00283D10" w:rsidRDefault="0015484D" w:rsidP="0015484D">
            <w:pPr>
              <w:jc w:val="center"/>
              <w:rPr>
                <w:color w:val="000000"/>
                <w:sz w:val="20"/>
              </w:rPr>
            </w:pPr>
            <w:r w:rsidRPr="00283D10">
              <w:rPr>
                <w:color w:val="000000"/>
                <w:sz w:val="20"/>
              </w:rPr>
              <w:t>82,444</w:t>
            </w:r>
          </w:p>
        </w:tc>
        <w:tc>
          <w:tcPr>
            <w:tcW w:w="1170" w:type="dxa"/>
            <w:shd w:val="clear" w:color="auto" w:fill="FFFFFF"/>
            <w:vAlign w:val="center"/>
          </w:tcPr>
          <w:p w:rsidR="0015484D" w:rsidRPr="00283D10" w:rsidRDefault="0015484D" w:rsidP="0015484D">
            <w:pPr>
              <w:jc w:val="center"/>
              <w:rPr>
                <w:color w:val="000000"/>
                <w:sz w:val="20"/>
              </w:rPr>
            </w:pPr>
            <w:r w:rsidRPr="00283D10">
              <w:rPr>
                <w:color w:val="000000"/>
                <w:sz w:val="20"/>
              </w:rPr>
              <w:t>1</w:t>
            </w:r>
          </w:p>
        </w:tc>
        <w:tc>
          <w:tcPr>
            <w:tcW w:w="1350" w:type="dxa"/>
            <w:shd w:val="clear" w:color="auto" w:fill="FFFFFF"/>
            <w:vAlign w:val="center"/>
          </w:tcPr>
          <w:p w:rsidR="0015484D" w:rsidRPr="00283D10" w:rsidRDefault="0015484D" w:rsidP="0015484D">
            <w:pPr>
              <w:jc w:val="center"/>
              <w:rPr>
                <w:color w:val="000000"/>
                <w:sz w:val="20"/>
              </w:rPr>
            </w:pPr>
            <w:r w:rsidRPr="00283D10">
              <w:rPr>
                <w:color w:val="000000"/>
                <w:sz w:val="20"/>
              </w:rPr>
              <w:t>82,444</w:t>
            </w:r>
          </w:p>
        </w:tc>
        <w:tc>
          <w:tcPr>
            <w:tcW w:w="990" w:type="dxa"/>
            <w:shd w:val="clear" w:color="auto" w:fill="FFFFFF"/>
            <w:vAlign w:val="center"/>
          </w:tcPr>
          <w:p w:rsidR="0015484D" w:rsidRPr="00283D10" w:rsidRDefault="0015484D" w:rsidP="0015484D">
            <w:pPr>
              <w:jc w:val="center"/>
              <w:rPr>
                <w:color w:val="000000"/>
                <w:sz w:val="20"/>
              </w:rPr>
            </w:pPr>
            <w:r w:rsidRPr="00283D10">
              <w:rPr>
                <w:color w:val="000000"/>
                <w:sz w:val="20"/>
              </w:rPr>
              <w:t>.20</w:t>
            </w:r>
          </w:p>
        </w:tc>
        <w:tc>
          <w:tcPr>
            <w:tcW w:w="1080" w:type="dxa"/>
            <w:shd w:val="clear" w:color="auto" w:fill="FFFFFF"/>
            <w:vAlign w:val="center"/>
          </w:tcPr>
          <w:p w:rsidR="0015484D" w:rsidRPr="00283D10" w:rsidRDefault="0015484D" w:rsidP="0015484D">
            <w:pPr>
              <w:jc w:val="center"/>
              <w:rPr>
                <w:color w:val="000000"/>
                <w:sz w:val="20"/>
              </w:rPr>
            </w:pPr>
            <w:r w:rsidRPr="00283D10">
              <w:rPr>
                <w:color w:val="000000"/>
                <w:sz w:val="20"/>
              </w:rPr>
              <w:t>16,489</w:t>
            </w:r>
          </w:p>
        </w:tc>
        <w:tc>
          <w:tcPr>
            <w:tcW w:w="810" w:type="dxa"/>
            <w:shd w:val="clear" w:color="auto" w:fill="FFFFFF"/>
          </w:tcPr>
          <w:p w:rsidR="0015484D" w:rsidRPr="00283D10" w:rsidRDefault="0015484D" w:rsidP="0015484D">
            <w:pPr>
              <w:jc w:val="center"/>
              <w:rPr>
                <w:color w:val="000000"/>
                <w:sz w:val="20"/>
              </w:rPr>
            </w:pPr>
          </w:p>
          <w:p w:rsidR="0015484D" w:rsidRPr="00283D10" w:rsidRDefault="0015484D" w:rsidP="0015484D">
            <w:pPr>
              <w:jc w:val="center"/>
              <w:rPr>
                <w:color w:val="000000"/>
                <w:sz w:val="20"/>
              </w:rPr>
            </w:pPr>
            <w:r w:rsidRPr="00283D10">
              <w:rPr>
                <w:color w:val="000000"/>
                <w:sz w:val="20"/>
              </w:rPr>
              <w:t>$19.75</w:t>
            </w:r>
          </w:p>
        </w:tc>
        <w:tc>
          <w:tcPr>
            <w:tcW w:w="1350" w:type="dxa"/>
            <w:shd w:val="clear" w:color="auto" w:fill="FFFFFF"/>
            <w:vAlign w:val="center"/>
          </w:tcPr>
          <w:p w:rsidR="0015484D" w:rsidRPr="00283D10" w:rsidRDefault="0015484D" w:rsidP="0015484D">
            <w:pPr>
              <w:jc w:val="center"/>
              <w:rPr>
                <w:color w:val="000000"/>
                <w:sz w:val="20"/>
              </w:rPr>
            </w:pPr>
            <w:r w:rsidRPr="00283D10">
              <w:rPr>
                <w:color w:val="000000"/>
                <w:sz w:val="20"/>
              </w:rPr>
              <w:t>$325,658</w:t>
            </w:r>
          </w:p>
        </w:tc>
      </w:tr>
      <w:tr w:rsidR="0015484D" w:rsidRPr="00283D10" w:rsidTr="0015484D">
        <w:trPr>
          <w:trHeight w:val="813"/>
        </w:trPr>
        <w:tc>
          <w:tcPr>
            <w:tcW w:w="2283" w:type="dxa"/>
            <w:shd w:val="clear" w:color="auto" w:fill="FFFFFF"/>
            <w:vAlign w:val="center"/>
          </w:tcPr>
          <w:p w:rsidR="0015484D" w:rsidRPr="00283D10" w:rsidRDefault="0015484D" w:rsidP="0015484D">
            <w:pPr>
              <w:rPr>
                <w:bCs/>
                <w:color w:val="000000"/>
                <w:sz w:val="20"/>
              </w:rPr>
            </w:pPr>
            <w:r w:rsidRPr="00283D10">
              <w:rPr>
                <w:bCs/>
                <w:color w:val="000000"/>
                <w:sz w:val="20"/>
              </w:rPr>
              <w:t xml:space="preserve">SBIRT Program – Brief Intervention Only Discharge </w:t>
            </w:r>
            <w:r w:rsidRPr="00283D10">
              <w:rPr>
                <w:bCs/>
                <w:color w:val="000000"/>
                <w:sz w:val="20"/>
                <w:vertAlign w:val="superscript"/>
              </w:rPr>
              <w:t>3</w:t>
            </w:r>
          </w:p>
        </w:tc>
        <w:tc>
          <w:tcPr>
            <w:tcW w:w="1250" w:type="dxa"/>
            <w:shd w:val="clear" w:color="auto" w:fill="FFFFFF"/>
            <w:vAlign w:val="center"/>
          </w:tcPr>
          <w:p w:rsidR="0015484D" w:rsidRPr="00283D10" w:rsidRDefault="0015484D" w:rsidP="0015484D">
            <w:pPr>
              <w:jc w:val="center"/>
              <w:rPr>
                <w:color w:val="000000"/>
                <w:sz w:val="20"/>
              </w:rPr>
            </w:pPr>
            <w:r w:rsidRPr="00283D10">
              <w:rPr>
                <w:color w:val="000000"/>
                <w:sz w:val="20"/>
              </w:rPr>
              <w:t>57,934</w:t>
            </w:r>
          </w:p>
        </w:tc>
        <w:tc>
          <w:tcPr>
            <w:tcW w:w="1170" w:type="dxa"/>
            <w:shd w:val="clear" w:color="auto" w:fill="FFFFFF"/>
            <w:vAlign w:val="center"/>
          </w:tcPr>
          <w:p w:rsidR="0015484D" w:rsidRPr="00283D10" w:rsidRDefault="0015484D" w:rsidP="0015484D">
            <w:pPr>
              <w:jc w:val="center"/>
              <w:rPr>
                <w:color w:val="000000"/>
                <w:sz w:val="20"/>
              </w:rPr>
            </w:pPr>
            <w:r w:rsidRPr="00283D10">
              <w:rPr>
                <w:color w:val="000000"/>
                <w:sz w:val="20"/>
              </w:rPr>
              <w:t>1</w:t>
            </w:r>
          </w:p>
        </w:tc>
        <w:tc>
          <w:tcPr>
            <w:tcW w:w="1350" w:type="dxa"/>
            <w:shd w:val="clear" w:color="auto" w:fill="FFFFFF"/>
            <w:vAlign w:val="center"/>
          </w:tcPr>
          <w:p w:rsidR="0015484D" w:rsidRPr="00283D10" w:rsidRDefault="0015484D" w:rsidP="0015484D">
            <w:pPr>
              <w:jc w:val="center"/>
              <w:rPr>
                <w:color w:val="000000"/>
                <w:sz w:val="20"/>
              </w:rPr>
            </w:pPr>
            <w:r w:rsidRPr="00283D10">
              <w:rPr>
                <w:color w:val="000000"/>
                <w:sz w:val="20"/>
              </w:rPr>
              <w:t>57,934</w:t>
            </w:r>
          </w:p>
        </w:tc>
        <w:tc>
          <w:tcPr>
            <w:tcW w:w="990" w:type="dxa"/>
            <w:shd w:val="clear" w:color="auto" w:fill="FFFFFF"/>
            <w:vAlign w:val="center"/>
          </w:tcPr>
          <w:p w:rsidR="0015484D" w:rsidRPr="00283D10" w:rsidRDefault="0015484D" w:rsidP="0015484D">
            <w:pPr>
              <w:jc w:val="center"/>
              <w:rPr>
                <w:color w:val="000000"/>
                <w:sz w:val="20"/>
              </w:rPr>
            </w:pPr>
            <w:r w:rsidRPr="00283D10">
              <w:rPr>
                <w:color w:val="000000"/>
                <w:sz w:val="20"/>
              </w:rPr>
              <w:t>.20</w:t>
            </w:r>
          </w:p>
        </w:tc>
        <w:tc>
          <w:tcPr>
            <w:tcW w:w="1080" w:type="dxa"/>
            <w:shd w:val="clear" w:color="auto" w:fill="FFFFFF"/>
            <w:vAlign w:val="center"/>
          </w:tcPr>
          <w:p w:rsidR="0015484D" w:rsidRPr="00283D10" w:rsidRDefault="0015484D" w:rsidP="0015484D">
            <w:pPr>
              <w:jc w:val="center"/>
              <w:rPr>
                <w:color w:val="000000"/>
                <w:sz w:val="20"/>
              </w:rPr>
            </w:pPr>
            <w:r w:rsidRPr="00283D10">
              <w:rPr>
                <w:color w:val="000000"/>
                <w:sz w:val="20"/>
              </w:rPr>
              <w:t>11,587</w:t>
            </w:r>
          </w:p>
        </w:tc>
        <w:tc>
          <w:tcPr>
            <w:tcW w:w="810" w:type="dxa"/>
            <w:shd w:val="clear" w:color="auto" w:fill="FFFFFF"/>
            <w:vAlign w:val="center"/>
          </w:tcPr>
          <w:p w:rsidR="0015484D" w:rsidRPr="00283D10" w:rsidRDefault="0015484D" w:rsidP="0015484D">
            <w:pPr>
              <w:jc w:val="center"/>
              <w:rPr>
                <w:color w:val="000000"/>
                <w:sz w:val="20"/>
              </w:rPr>
            </w:pPr>
            <w:r w:rsidRPr="00283D10">
              <w:rPr>
                <w:color w:val="000000"/>
                <w:sz w:val="20"/>
              </w:rPr>
              <w:t>$19.75</w:t>
            </w:r>
          </w:p>
        </w:tc>
        <w:tc>
          <w:tcPr>
            <w:tcW w:w="1350" w:type="dxa"/>
            <w:shd w:val="clear" w:color="auto" w:fill="FFFFFF"/>
            <w:vAlign w:val="center"/>
          </w:tcPr>
          <w:p w:rsidR="0015484D" w:rsidRPr="00283D10" w:rsidRDefault="0015484D" w:rsidP="0015484D">
            <w:pPr>
              <w:jc w:val="center"/>
              <w:rPr>
                <w:color w:val="000000"/>
                <w:sz w:val="20"/>
              </w:rPr>
            </w:pPr>
            <w:r w:rsidRPr="00283D10">
              <w:rPr>
                <w:color w:val="000000"/>
                <w:sz w:val="20"/>
              </w:rPr>
              <w:t>$228,839</w:t>
            </w:r>
          </w:p>
        </w:tc>
      </w:tr>
      <w:tr w:rsidR="0015484D" w:rsidRPr="00283D10" w:rsidTr="0015484D">
        <w:trPr>
          <w:trHeight w:val="813"/>
        </w:trPr>
        <w:tc>
          <w:tcPr>
            <w:tcW w:w="2283" w:type="dxa"/>
            <w:shd w:val="clear" w:color="auto" w:fill="FFFFFF"/>
            <w:vAlign w:val="center"/>
          </w:tcPr>
          <w:p w:rsidR="0015484D" w:rsidRPr="00283D10" w:rsidRDefault="0015484D" w:rsidP="0015484D">
            <w:pPr>
              <w:rPr>
                <w:b/>
                <w:bCs/>
                <w:color w:val="000000"/>
                <w:sz w:val="22"/>
                <w:szCs w:val="22"/>
              </w:rPr>
            </w:pPr>
            <w:r w:rsidRPr="00283D10">
              <w:rPr>
                <w:b/>
                <w:bCs/>
                <w:color w:val="000000"/>
                <w:sz w:val="22"/>
                <w:szCs w:val="22"/>
              </w:rPr>
              <w:t>CSAT Subtotal</w:t>
            </w:r>
          </w:p>
        </w:tc>
        <w:tc>
          <w:tcPr>
            <w:tcW w:w="1250" w:type="dxa"/>
            <w:shd w:val="clear" w:color="auto" w:fill="FFFFFF"/>
            <w:vAlign w:val="center"/>
          </w:tcPr>
          <w:p w:rsidR="0015484D" w:rsidRPr="00283D10" w:rsidRDefault="0015484D" w:rsidP="0015484D">
            <w:pPr>
              <w:jc w:val="center"/>
              <w:rPr>
                <w:b/>
                <w:color w:val="000000"/>
                <w:sz w:val="22"/>
                <w:szCs w:val="22"/>
              </w:rPr>
            </w:pPr>
            <w:r w:rsidRPr="00283D10">
              <w:rPr>
                <w:b/>
                <w:color w:val="000000"/>
                <w:sz w:val="22"/>
                <w:szCs w:val="22"/>
              </w:rPr>
              <w:t>887,756</w:t>
            </w:r>
          </w:p>
        </w:tc>
        <w:tc>
          <w:tcPr>
            <w:tcW w:w="1170" w:type="dxa"/>
            <w:shd w:val="clear" w:color="auto" w:fill="FFFFFF"/>
            <w:vAlign w:val="center"/>
          </w:tcPr>
          <w:p w:rsidR="0015484D" w:rsidRPr="00283D10" w:rsidRDefault="0015484D" w:rsidP="0015484D">
            <w:pPr>
              <w:jc w:val="center"/>
              <w:rPr>
                <w:color w:val="000000"/>
                <w:sz w:val="20"/>
              </w:rPr>
            </w:pPr>
          </w:p>
        </w:tc>
        <w:tc>
          <w:tcPr>
            <w:tcW w:w="1350" w:type="dxa"/>
            <w:shd w:val="clear" w:color="auto" w:fill="FFFFFF"/>
            <w:vAlign w:val="center"/>
          </w:tcPr>
          <w:p w:rsidR="0015484D" w:rsidRPr="00283D10" w:rsidRDefault="0015484D" w:rsidP="0015484D">
            <w:pPr>
              <w:jc w:val="center"/>
              <w:rPr>
                <w:b/>
                <w:color w:val="000000"/>
                <w:sz w:val="22"/>
                <w:szCs w:val="22"/>
              </w:rPr>
            </w:pPr>
          </w:p>
          <w:p w:rsidR="0015484D" w:rsidRPr="00283D10" w:rsidRDefault="0015484D" w:rsidP="0015484D">
            <w:pPr>
              <w:jc w:val="center"/>
              <w:rPr>
                <w:b/>
                <w:color w:val="000000"/>
                <w:sz w:val="22"/>
                <w:szCs w:val="22"/>
              </w:rPr>
            </w:pPr>
            <w:r w:rsidRPr="00283D10">
              <w:rPr>
                <w:b/>
                <w:color w:val="000000"/>
                <w:sz w:val="22"/>
                <w:szCs w:val="22"/>
              </w:rPr>
              <w:t>1,257,647</w:t>
            </w:r>
          </w:p>
          <w:p w:rsidR="0015484D" w:rsidRPr="00283D10" w:rsidRDefault="0015484D" w:rsidP="0015484D">
            <w:pPr>
              <w:jc w:val="center"/>
              <w:rPr>
                <w:b/>
                <w:color w:val="000000"/>
                <w:sz w:val="20"/>
              </w:rPr>
            </w:pPr>
          </w:p>
        </w:tc>
        <w:tc>
          <w:tcPr>
            <w:tcW w:w="990" w:type="dxa"/>
            <w:shd w:val="clear" w:color="auto" w:fill="FFFFFF"/>
            <w:vAlign w:val="center"/>
          </w:tcPr>
          <w:p w:rsidR="0015484D" w:rsidRPr="00283D10" w:rsidRDefault="0015484D" w:rsidP="0015484D">
            <w:pPr>
              <w:jc w:val="center"/>
              <w:rPr>
                <w:color w:val="000000"/>
                <w:sz w:val="20"/>
              </w:rPr>
            </w:pPr>
          </w:p>
        </w:tc>
        <w:tc>
          <w:tcPr>
            <w:tcW w:w="1080" w:type="dxa"/>
            <w:shd w:val="clear" w:color="auto" w:fill="FFFFFF"/>
            <w:vAlign w:val="center"/>
          </w:tcPr>
          <w:p w:rsidR="0015484D" w:rsidRPr="00283D10" w:rsidRDefault="0015484D" w:rsidP="0015484D">
            <w:pPr>
              <w:jc w:val="center"/>
              <w:rPr>
                <w:b/>
                <w:color w:val="000000"/>
                <w:sz w:val="20"/>
              </w:rPr>
            </w:pPr>
            <w:r w:rsidRPr="00283D10">
              <w:rPr>
                <w:b/>
                <w:color w:val="000000"/>
                <w:sz w:val="20"/>
              </w:rPr>
              <w:t>321,085</w:t>
            </w:r>
          </w:p>
        </w:tc>
        <w:tc>
          <w:tcPr>
            <w:tcW w:w="810" w:type="dxa"/>
            <w:shd w:val="clear" w:color="auto" w:fill="FFFFFF"/>
          </w:tcPr>
          <w:p w:rsidR="0015484D" w:rsidRPr="00283D10" w:rsidRDefault="0015484D" w:rsidP="0015484D">
            <w:pPr>
              <w:jc w:val="center"/>
              <w:rPr>
                <w:b/>
                <w:color w:val="000000"/>
                <w:sz w:val="20"/>
              </w:rPr>
            </w:pPr>
          </w:p>
        </w:tc>
        <w:tc>
          <w:tcPr>
            <w:tcW w:w="1350" w:type="dxa"/>
            <w:shd w:val="clear" w:color="auto" w:fill="FFFFFF"/>
            <w:vAlign w:val="center"/>
          </w:tcPr>
          <w:p w:rsidR="0015484D" w:rsidRPr="00283D10" w:rsidRDefault="0015484D" w:rsidP="0015484D">
            <w:pPr>
              <w:jc w:val="center"/>
              <w:rPr>
                <w:rFonts w:ascii="Calibri" w:hAnsi="Calibri"/>
                <w:color w:val="000000"/>
                <w:sz w:val="22"/>
                <w:szCs w:val="22"/>
              </w:rPr>
            </w:pPr>
          </w:p>
          <w:p w:rsidR="0015484D" w:rsidRPr="00283D10" w:rsidRDefault="0015484D" w:rsidP="0015484D">
            <w:pPr>
              <w:jc w:val="center"/>
              <w:rPr>
                <w:b/>
                <w:color w:val="000000"/>
                <w:sz w:val="22"/>
                <w:szCs w:val="22"/>
              </w:rPr>
            </w:pPr>
            <w:r w:rsidRPr="00283D10">
              <w:rPr>
                <w:b/>
                <w:color w:val="000000"/>
                <w:sz w:val="22"/>
                <w:szCs w:val="22"/>
              </w:rPr>
              <w:t xml:space="preserve">$6,341,427 </w:t>
            </w:r>
          </w:p>
          <w:p w:rsidR="0015484D" w:rsidRPr="00283D10" w:rsidRDefault="0015484D" w:rsidP="0015484D">
            <w:pPr>
              <w:jc w:val="center"/>
              <w:rPr>
                <w:b/>
                <w:color w:val="000000"/>
                <w:sz w:val="20"/>
              </w:rPr>
            </w:pPr>
          </w:p>
        </w:tc>
      </w:tr>
      <w:tr w:rsidR="0015484D" w:rsidRPr="00283D10" w:rsidTr="0015484D">
        <w:trPr>
          <w:trHeight w:val="858"/>
        </w:trPr>
        <w:tc>
          <w:tcPr>
            <w:tcW w:w="2283" w:type="dxa"/>
            <w:vAlign w:val="center"/>
            <w:hideMark/>
          </w:tcPr>
          <w:p w:rsidR="0015484D" w:rsidRPr="00283D10" w:rsidRDefault="0015484D" w:rsidP="0015484D">
            <w:pPr>
              <w:rPr>
                <w:bCs/>
                <w:color w:val="000000"/>
                <w:sz w:val="20"/>
              </w:rPr>
            </w:pPr>
            <w:r w:rsidRPr="00283D10">
              <w:rPr>
                <w:bCs/>
                <w:color w:val="000000"/>
                <w:sz w:val="20"/>
              </w:rPr>
              <w:t xml:space="preserve">Infrastructure, Prevention, and Mental Health Promotion (IPP) Form (Grantee Level Data) </w:t>
            </w:r>
            <w:r w:rsidRPr="00283D10">
              <w:rPr>
                <w:bCs/>
                <w:color w:val="000000"/>
                <w:sz w:val="20"/>
                <w:vertAlign w:val="superscript"/>
              </w:rPr>
              <w:t>11</w:t>
            </w:r>
          </w:p>
        </w:tc>
        <w:tc>
          <w:tcPr>
            <w:tcW w:w="1250" w:type="dxa"/>
            <w:vAlign w:val="center"/>
            <w:hideMark/>
          </w:tcPr>
          <w:p w:rsidR="0015484D" w:rsidRPr="00283D10" w:rsidRDefault="0015484D" w:rsidP="0015484D">
            <w:pPr>
              <w:jc w:val="center"/>
              <w:rPr>
                <w:color w:val="000000"/>
                <w:sz w:val="20"/>
              </w:rPr>
            </w:pPr>
            <w:r w:rsidRPr="00283D10">
              <w:rPr>
                <w:color w:val="000000"/>
                <w:sz w:val="20"/>
              </w:rPr>
              <w:t>982</w:t>
            </w:r>
          </w:p>
        </w:tc>
        <w:tc>
          <w:tcPr>
            <w:tcW w:w="1170" w:type="dxa"/>
            <w:shd w:val="clear" w:color="auto" w:fill="FFFFFF"/>
            <w:vAlign w:val="center"/>
            <w:hideMark/>
          </w:tcPr>
          <w:p w:rsidR="0015484D" w:rsidRPr="00283D10" w:rsidRDefault="0015484D" w:rsidP="0015484D">
            <w:pPr>
              <w:jc w:val="center"/>
              <w:rPr>
                <w:color w:val="000000"/>
                <w:sz w:val="20"/>
              </w:rPr>
            </w:pPr>
            <w:r w:rsidRPr="00283D10">
              <w:rPr>
                <w:color w:val="000000"/>
                <w:sz w:val="20"/>
              </w:rPr>
              <w:t>4</w:t>
            </w:r>
          </w:p>
        </w:tc>
        <w:tc>
          <w:tcPr>
            <w:tcW w:w="1350" w:type="dxa"/>
            <w:shd w:val="clear" w:color="auto" w:fill="FFFFFF"/>
            <w:vAlign w:val="center"/>
            <w:hideMark/>
          </w:tcPr>
          <w:p w:rsidR="0015484D" w:rsidRPr="00283D10" w:rsidRDefault="0015484D" w:rsidP="0015484D">
            <w:pPr>
              <w:jc w:val="center"/>
              <w:rPr>
                <w:color w:val="000000"/>
                <w:sz w:val="20"/>
              </w:rPr>
            </w:pPr>
            <w:r w:rsidRPr="00283D10">
              <w:rPr>
                <w:color w:val="000000"/>
                <w:sz w:val="20"/>
              </w:rPr>
              <w:t>3,928</w:t>
            </w:r>
          </w:p>
        </w:tc>
        <w:tc>
          <w:tcPr>
            <w:tcW w:w="990" w:type="dxa"/>
            <w:shd w:val="clear" w:color="auto" w:fill="FFFFFF"/>
            <w:vAlign w:val="center"/>
            <w:hideMark/>
          </w:tcPr>
          <w:p w:rsidR="0015484D" w:rsidRPr="00283D10" w:rsidRDefault="0015484D" w:rsidP="0015484D">
            <w:pPr>
              <w:jc w:val="center"/>
              <w:rPr>
                <w:color w:val="000000"/>
                <w:sz w:val="20"/>
              </w:rPr>
            </w:pPr>
            <w:r w:rsidRPr="00283D10">
              <w:rPr>
                <w:color w:val="000000"/>
                <w:sz w:val="20"/>
              </w:rPr>
              <w:t>2</w:t>
            </w:r>
          </w:p>
        </w:tc>
        <w:tc>
          <w:tcPr>
            <w:tcW w:w="1080" w:type="dxa"/>
            <w:shd w:val="clear" w:color="auto" w:fill="FFFFFF"/>
            <w:vAlign w:val="center"/>
            <w:hideMark/>
          </w:tcPr>
          <w:p w:rsidR="0015484D" w:rsidRPr="00283D10" w:rsidRDefault="0015484D" w:rsidP="0015484D">
            <w:pPr>
              <w:jc w:val="center"/>
              <w:rPr>
                <w:color w:val="000000"/>
                <w:sz w:val="20"/>
              </w:rPr>
            </w:pPr>
            <w:r w:rsidRPr="00283D10">
              <w:rPr>
                <w:color w:val="000000"/>
                <w:sz w:val="20"/>
              </w:rPr>
              <w:t>7,856</w:t>
            </w:r>
          </w:p>
        </w:tc>
        <w:tc>
          <w:tcPr>
            <w:tcW w:w="810" w:type="dxa"/>
            <w:shd w:val="clear" w:color="auto" w:fill="FFFFFF"/>
            <w:vAlign w:val="center"/>
          </w:tcPr>
          <w:p w:rsidR="0015484D" w:rsidRPr="00283D10" w:rsidRDefault="0015484D" w:rsidP="0015484D">
            <w:pPr>
              <w:jc w:val="center"/>
              <w:rPr>
                <w:color w:val="000000"/>
                <w:sz w:val="20"/>
              </w:rPr>
            </w:pPr>
            <w:r w:rsidRPr="00283D10">
              <w:rPr>
                <w:color w:val="000000"/>
                <w:sz w:val="20"/>
              </w:rPr>
              <w:t>$19.75</w:t>
            </w:r>
          </w:p>
        </w:tc>
        <w:tc>
          <w:tcPr>
            <w:tcW w:w="1350" w:type="dxa"/>
            <w:shd w:val="clear" w:color="auto" w:fill="FFFFFF"/>
            <w:vAlign w:val="center"/>
          </w:tcPr>
          <w:p w:rsidR="0015484D" w:rsidRPr="00283D10" w:rsidRDefault="0015484D" w:rsidP="0015484D">
            <w:pPr>
              <w:jc w:val="center"/>
              <w:rPr>
                <w:color w:val="000000"/>
                <w:sz w:val="20"/>
              </w:rPr>
            </w:pPr>
            <w:r w:rsidRPr="00283D10">
              <w:rPr>
                <w:color w:val="000000"/>
                <w:sz w:val="20"/>
              </w:rPr>
              <w:t>$155,156</w:t>
            </w:r>
          </w:p>
        </w:tc>
      </w:tr>
      <w:tr w:rsidR="0015484D" w:rsidRPr="00283D10" w:rsidTr="0015484D">
        <w:trPr>
          <w:trHeight w:val="867"/>
        </w:trPr>
        <w:tc>
          <w:tcPr>
            <w:tcW w:w="2283" w:type="dxa"/>
            <w:shd w:val="clear" w:color="auto" w:fill="FFFFFF"/>
            <w:vAlign w:val="center"/>
          </w:tcPr>
          <w:p w:rsidR="0015484D" w:rsidRPr="00283D10" w:rsidRDefault="0015484D" w:rsidP="0015484D">
            <w:pPr>
              <w:rPr>
                <w:bCs/>
                <w:color w:val="000000"/>
                <w:sz w:val="20"/>
              </w:rPr>
            </w:pPr>
            <w:r w:rsidRPr="00283D10">
              <w:rPr>
                <w:bCs/>
                <w:color w:val="000000"/>
                <w:sz w:val="20"/>
              </w:rPr>
              <w:t xml:space="preserve">CSAP Aggregate Tool (Grantee-Level Data) </w:t>
            </w:r>
            <w:r w:rsidRPr="00283D10">
              <w:rPr>
                <w:bCs/>
                <w:color w:val="000000"/>
                <w:sz w:val="20"/>
                <w:vertAlign w:val="superscript"/>
              </w:rPr>
              <w:t>11</w:t>
            </w:r>
          </w:p>
        </w:tc>
        <w:tc>
          <w:tcPr>
            <w:tcW w:w="1250" w:type="dxa"/>
            <w:vAlign w:val="center"/>
          </w:tcPr>
          <w:p w:rsidR="0015484D" w:rsidRPr="00283D10" w:rsidRDefault="0015484D" w:rsidP="0015484D">
            <w:pPr>
              <w:jc w:val="center"/>
              <w:rPr>
                <w:color w:val="000000"/>
                <w:sz w:val="20"/>
              </w:rPr>
            </w:pPr>
            <w:r w:rsidRPr="00283D10">
              <w:rPr>
                <w:color w:val="000000"/>
                <w:sz w:val="20"/>
              </w:rPr>
              <w:t>6</w:t>
            </w:r>
          </w:p>
        </w:tc>
        <w:tc>
          <w:tcPr>
            <w:tcW w:w="1170" w:type="dxa"/>
            <w:vAlign w:val="center"/>
          </w:tcPr>
          <w:p w:rsidR="0015484D" w:rsidRPr="00283D10" w:rsidRDefault="0015484D" w:rsidP="0015484D">
            <w:pPr>
              <w:jc w:val="center"/>
              <w:rPr>
                <w:color w:val="000000"/>
                <w:sz w:val="20"/>
              </w:rPr>
            </w:pPr>
            <w:r w:rsidRPr="00283D10">
              <w:rPr>
                <w:color w:val="000000"/>
                <w:sz w:val="20"/>
              </w:rPr>
              <w:t>4</w:t>
            </w:r>
          </w:p>
        </w:tc>
        <w:tc>
          <w:tcPr>
            <w:tcW w:w="1350" w:type="dxa"/>
            <w:vAlign w:val="center"/>
          </w:tcPr>
          <w:p w:rsidR="0015484D" w:rsidRPr="00283D10" w:rsidRDefault="0015484D" w:rsidP="0015484D">
            <w:pPr>
              <w:jc w:val="center"/>
              <w:rPr>
                <w:color w:val="000000"/>
                <w:sz w:val="20"/>
              </w:rPr>
            </w:pPr>
            <w:r w:rsidRPr="00283D10">
              <w:rPr>
                <w:color w:val="000000"/>
                <w:sz w:val="20"/>
              </w:rPr>
              <w:t>24</w:t>
            </w:r>
          </w:p>
        </w:tc>
        <w:tc>
          <w:tcPr>
            <w:tcW w:w="990" w:type="dxa"/>
            <w:noWrap/>
            <w:vAlign w:val="center"/>
          </w:tcPr>
          <w:p w:rsidR="0015484D" w:rsidRPr="00283D10" w:rsidRDefault="0015484D" w:rsidP="0015484D">
            <w:pPr>
              <w:jc w:val="center"/>
              <w:rPr>
                <w:color w:val="000000"/>
                <w:sz w:val="20"/>
              </w:rPr>
            </w:pPr>
            <w:r w:rsidRPr="00283D10">
              <w:rPr>
                <w:color w:val="000000"/>
                <w:sz w:val="20"/>
              </w:rPr>
              <w:t>.25</w:t>
            </w:r>
          </w:p>
        </w:tc>
        <w:tc>
          <w:tcPr>
            <w:tcW w:w="1080" w:type="dxa"/>
            <w:noWrap/>
            <w:vAlign w:val="center"/>
          </w:tcPr>
          <w:p w:rsidR="0015484D" w:rsidRPr="00283D10" w:rsidRDefault="0015484D" w:rsidP="0015484D">
            <w:pPr>
              <w:jc w:val="center"/>
              <w:rPr>
                <w:color w:val="000000"/>
                <w:sz w:val="20"/>
              </w:rPr>
            </w:pPr>
            <w:r w:rsidRPr="00283D10">
              <w:rPr>
                <w:color w:val="000000"/>
                <w:sz w:val="20"/>
              </w:rPr>
              <w:t>6</w:t>
            </w:r>
          </w:p>
        </w:tc>
        <w:tc>
          <w:tcPr>
            <w:tcW w:w="810" w:type="dxa"/>
            <w:vAlign w:val="center"/>
          </w:tcPr>
          <w:p w:rsidR="0015484D" w:rsidRPr="00283D10" w:rsidRDefault="0015484D" w:rsidP="0015484D">
            <w:pPr>
              <w:rPr>
                <w:color w:val="000000"/>
                <w:sz w:val="20"/>
              </w:rPr>
            </w:pPr>
            <w:r w:rsidRPr="00283D10">
              <w:rPr>
                <w:color w:val="000000"/>
                <w:sz w:val="20"/>
              </w:rPr>
              <w:t>$19.75</w:t>
            </w:r>
          </w:p>
        </w:tc>
        <w:tc>
          <w:tcPr>
            <w:tcW w:w="1350" w:type="dxa"/>
            <w:vAlign w:val="center"/>
          </w:tcPr>
          <w:p w:rsidR="0015484D" w:rsidRPr="00283D10" w:rsidRDefault="0015484D" w:rsidP="0015484D">
            <w:pPr>
              <w:jc w:val="center"/>
              <w:rPr>
                <w:color w:val="000000"/>
                <w:sz w:val="20"/>
              </w:rPr>
            </w:pPr>
            <w:r w:rsidRPr="00283D10">
              <w:rPr>
                <w:color w:val="000000"/>
                <w:sz w:val="20"/>
              </w:rPr>
              <w:t>$119</w:t>
            </w:r>
          </w:p>
        </w:tc>
      </w:tr>
      <w:tr w:rsidR="0015484D" w:rsidTr="0015484D">
        <w:trPr>
          <w:trHeight w:val="303"/>
        </w:trPr>
        <w:tc>
          <w:tcPr>
            <w:tcW w:w="2283" w:type="dxa"/>
            <w:shd w:val="clear" w:color="auto" w:fill="FFFFFF"/>
            <w:vAlign w:val="center"/>
            <w:hideMark/>
          </w:tcPr>
          <w:p w:rsidR="0015484D" w:rsidRPr="00283D10" w:rsidRDefault="0015484D" w:rsidP="0015484D">
            <w:pPr>
              <w:rPr>
                <w:b/>
                <w:bCs/>
                <w:color w:val="000000"/>
                <w:szCs w:val="24"/>
              </w:rPr>
            </w:pPr>
            <w:r w:rsidRPr="00283D10">
              <w:rPr>
                <w:b/>
                <w:bCs/>
                <w:color w:val="000000"/>
                <w:szCs w:val="24"/>
              </w:rPr>
              <w:t>TOTAL SAMHSA</w:t>
            </w:r>
          </w:p>
        </w:tc>
        <w:tc>
          <w:tcPr>
            <w:tcW w:w="1250" w:type="dxa"/>
            <w:vAlign w:val="center"/>
            <w:hideMark/>
          </w:tcPr>
          <w:p w:rsidR="0015484D" w:rsidRPr="00C46204" w:rsidRDefault="0015484D" w:rsidP="0015484D">
            <w:pPr>
              <w:jc w:val="center"/>
              <w:rPr>
                <w:b/>
                <w:color w:val="000000"/>
                <w:szCs w:val="24"/>
              </w:rPr>
            </w:pPr>
            <w:r w:rsidRPr="00C46204">
              <w:rPr>
                <w:b/>
                <w:color w:val="000000"/>
                <w:szCs w:val="24"/>
              </w:rPr>
              <w:t>943,923</w:t>
            </w:r>
          </w:p>
        </w:tc>
        <w:tc>
          <w:tcPr>
            <w:tcW w:w="1170" w:type="dxa"/>
            <w:vAlign w:val="center"/>
            <w:hideMark/>
          </w:tcPr>
          <w:p w:rsidR="0015484D" w:rsidRPr="00C46204" w:rsidRDefault="0015484D" w:rsidP="0015484D">
            <w:pPr>
              <w:jc w:val="center"/>
              <w:rPr>
                <w:color w:val="000000"/>
                <w:szCs w:val="24"/>
              </w:rPr>
            </w:pPr>
          </w:p>
        </w:tc>
        <w:tc>
          <w:tcPr>
            <w:tcW w:w="1350" w:type="dxa"/>
            <w:vAlign w:val="center"/>
            <w:hideMark/>
          </w:tcPr>
          <w:p w:rsidR="0015484D" w:rsidRPr="00C46204" w:rsidRDefault="0015484D" w:rsidP="0015484D">
            <w:pPr>
              <w:jc w:val="center"/>
              <w:rPr>
                <w:color w:val="000000"/>
                <w:szCs w:val="24"/>
              </w:rPr>
            </w:pPr>
            <w:r w:rsidRPr="00C46204">
              <w:rPr>
                <w:b/>
                <w:color w:val="000000"/>
                <w:szCs w:val="24"/>
              </w:rPr>
              <w:t>1,408,864</w:t>
            </w:r>
          </w:p>
        </w:tc>
        <w:tc>
          <w:tcPr>
            <w:tcW w:w="990" w:type="dxa"/>
            <w:noWrap/>
            <w:vAlign w:val="center"/>
            <w:hideMark/>
          </w:tcPr>
          <w:p w:rsidR="0015484D" w:rsidRPr="00C46204" w:rsidRDefault="0015484D" w:rsidP="0015484D">
            <w:pPr>
              <w:jc w:val="center"/>
              <w:rPr>
                <w:color w:val="000000"/>
                <w:szCs w:val="24"/>
              </w:rPr>
            </w:pPr>
          </w:p>
        </w:tc>
        <w:tc>
          <w:tcPr>
            <w:tcW w:w="1080" w:type="dxa"/>
            <w:noWrap/>
            <w:vAlign w:val="center"/>
            <w:hideMark/>
          </w:tcPr>
          <w:p w:rsidR="0015484D" w:rsidRPr="00C46204" w:rsidRDefault="0015484D" w:rsidP="0015484D">
            <w:pPr>
              <w:jc w:val="center"/>
              <w:rPr>
                <w:color w:val="000000"/>
                <w:szCs w:val="24"/>
              </w:rPr>
            </w:pPr>
            <w:r w:rsidRPr="00C46204">
              <w:rPr>
                <w:b/>
                <w:color w:val="000000"/>
                <w:szCs w:val="24"/>
              </w:rPr>
              <w:t>381,566</w:t>
            </w:r>
          </w:p>
        </w:tc>
        <w:tc>
          <w:tcPr>
            <w:tcW w:w="810" w:type="dxa"/>
          </w:tcPr>
          <w:p w:rsidR="0015484D" w:rsidRPr="00C46204" w:rsidRDefault="0015484D" w:rsidP="0015484D">
            <w:pPr>
              <w:jc w:val="center"/>
              <w:rPr>
                <w:b/>
                <w:color w:val="000000"/>
                <w:szCs w:val="24"/>
              </w:rPr>
            </w:pPr>
          </w:p>
        </w:tc>
        <w:tc>
          <w:tcPr>
            <w:tcW w:w="1350" w:type="dxa"/>
            <w:vAlign w:val="center"/>
          </w:tcPr>
          <w:p w:rsidR="0015484D" w:rsidRPr="00C46204" w:rsidRDefault="0015484D" w:rsidP="0015484D">
            <w:pPr>
              <w:jc w:val="center"/>
              <w:rPr>
                <w:b/>
                <w:color w:val="000000"/>
                <w:szCs w:val="24"/>
              </w:rPr>
            </w:pPr>
          </w:p>
          <w:p w:rsidR="0015484D" w:rsidRPr="00C46204" w:rsidRDefault="0015484D" w:rsidP="0015484D">
            <w:pPr>
              <w:jc w:val="center"/>
              <w:rPr>
                <w:b/>
                <w:color w:val="000000"/>
                <w:szCs w:val="24"/>
              </w:rPr>
            </w:pPr>
            <w:r w:rsidRPr="00C46204">
              <w:rPr>
                <w:b/>
                <w:color w:val="000000"/>
                <w:szCs w:val="24"/>
              </w:rPr>
              <w:t>$7,535,933</w:t>
            </w:r>
          </w:p>
          <w:p w:rsidR="0015484D" w:rsidRPr="00C46204" w:rsidRDefault="0015484D" w:rsidP="0015484D">
            <w:pPr>
              <w:jc w:val="center"/>
              <w:rPr>
                <w:b/>
                <w:color w:val="000000"/>
                <w:szCs w:val="24"/>
              </w:rPr>
            </w:pPr>
          </w:p>
        </w:tc>
      </w:tr>
    </w:tbl>
    <w:p w:rsidR="006B3EA9" w:rsidRDefault="006B3EA9" w:rsidP="006B3EA9"/>
    <w:p w:rsidR="00C46204" w:rsidRDefault="00C46204" w:rsidP="006B3EA9">
      <w:pPr>
        <w:keepLines/>
        <w:tabs>
          <w:tab w:val="left" w:pos="10560"/>
        </w:tabs>
        <w:ind w:left="-360" w:firstLine="360"/>
        <w:rPr>
          <w:b/>
          <w:sz w:val="20"/>
        </w:rPr>
      </w:pPr>
    </w:p>
    <w:p w:rsidR="00C46204" w:rsidRDefault="00C46204" w:rsidP="006B3EA9">
      <w:pPr>
        <w:keepLines/>
        <w:tabs>
          <w:tab w:val="left" w:pos="10560"/>
        </w:tabs>
        <w:ind w:left="-360" w:firstLine="360"/>
        <w:rPr>
          <w:b/>
          <w:sz w:val="20"/>
        </w:rPr>
      </w:pPr>
    </w:p>
    <w:p w:rsidR="00C46204" w:rsidRDefault="00C46204" w:rsidP="006B3EA9">
      <w:pPr>
        <w:keepLines/>
        <w:tabs>
          <w:tab w:val="left" w:pos="10560"/>
        </w:tabs>
        <w:ind w:left="-360" w:firstLine="360"/>
        <w:rPr>
          <w:b/>
          <w:sz w:val="20"/>
        </w:rPr>
      </w:pPr>
    </w:p>
    <w:p w:rsidR="006B3EA9" w:rsidRPr="00D23750" w:rsidRDefault="006B3EA9" w:rsidP="006B3EA9">
      <w:pPr>
        <w:keepLines/>
        <w:rPr>
          <w:rFonts w:eastAsiaTheme="minorHAnsi"/>
          <w:bCs/>
          <w:sz w:val="20"/>
        </w:rPr>
      </w:pPr>
      <w:r w:rsidRPr="00D23750">
        <w:rPr>
          <w:sz w:val="20"/>
        </w:rPr>
        <w:t xml:space="preserve">1. The hourly wage estimate is $19.75, </w:t>
      </w:r>
      <w:r w:rsidRPr="00D23750">
        <w:rPr>
          <w:rFonts w:eastAsiaTheme="minorHAnsi"/>
          <w:sz w:val="20"/>
        </w:rPr>
        <w:t xml:space="preserve">based on the Occupational Employment and Wages, May 2013 Mean Hourly Wage Rate for </w:t>
      </w:r>
      <w:r w:rsidRPr="00D23750">
        <w:rPr>
          <w:rFonts w:eastAsiaTheme="minorHAnsi"/>
          <w:bCs/>
          <w:sz w:val="20"/>
        </w:rPr>
        <w:t>21-1011 Substance Abuse and Behavioral Disorder Counselors  = $19.75/hr. as of May, 2013.  (</w:t>
      </w:r>
      <w:hyperlink r:id="rId9" w:history="1">
        <w:r w:rsidRPr="00D23750">
          <w:rPr>
            <w:rFonts w:eastAsiaTheme="minorHAnsi"/>
            <w:sz w:val="20"/>
            <w:u w:val="single"/>
          </w:rPr>
          <w:t>http://www.bls.gov/oes/current/oes211011.htm</w:t>
        </w:r>
      </w:hyperlink>
      <w:r w:rsidRPr="00D23750">
        <w:rPr>
          <w:rFonts w:eastAsiaTheme="minorHAnsi"/>
          <w:sz w:val="20"/>
        </w:rPr>
        <w:t>  (A</w:t>
      </w:r>
      <w:r w:rsidRPr="00D23750">
        <w:rPr>
          <w:rFonts w:eastAsiaTheme="minorHAnsi"/>
          <w:bCs/>
          <w:sz w:val="20"/>
        </w:rPr>
        <w:t xml:space="preserve">ccessed on 5/23/2014).  </w:t>
      </w:r>
    </w:p>
    <w:p w:rsidR="006B3EA9" w:rsidRPr="00D23750" w:rsidRDefault="006B3EA9" w:rsidP="006B3EA9">
      <w:pPr>
        <w:keepLines/>
        <w:rPr>
          <w:rFonts w:eastAsiaTheme="minorHAnsi"/>
          <w:sz w:val="20"/>
        </w:rPr>
      </w:pPr>
      <w:r w:rsidRPr="00D23750">
        <w:rPr>
          <w:rFonts w:eastAsiaTheme="minorHAnsi"/>
          <w:sz w:val="20"/>
        </w:rPr>
        <w:t>2. It is estimated that 74% of baseline clients will complete this interview.</w:t>
      </w:r>
    </w:p>
    <w:p w:rsidR="006B3EA9" w:rsidRPr="00D23750" w:rsidRDefault="006B3EA9" w:rsidP="006B3EA9">
      <w:pPr>
        <w:keepLines/>
        <w:rPr>
          <w:rFonts w:eastAsiaTheme="minorHAnsi"/>
          <w:sz w:val="20"/>
        </w:rPr>
      </w:pPr>
      <w:r w:rsidRPr="00D23750">
        <w:rPr>
          <w:rFonts w:eastAsiaTheme="minorHAnsi"/>
          <w:sz w:val="20"/>
        </w:rPr>
        <w:t>3. It is estimated that 52% of baseline clients will complete this interview.</w:t>
      </w:r>
    </w:p>
    <w:p w:rsidR="006B3EA9" w:rsidRPr="00D23750" w:rsidRDefault="006B3EA9" w:rsidP="006B3EA9">
      <w:pPr>
        <w:keepLines/>
        <w:rPr>
          <w:rFonts w:eastAsiaTheme="minorHAnsi"/>
          <w:sz w:val="20"/>
        </w:rPr>
      </w:pPr>
      <w:r w:rsidRPr="00D23750">
        <w:rPr>
          <w:rFonts w:eastAsiaTheme="minorHAnsi"/>
          <w:sz w:val="20"/>
        </w:rPr>
        <w:t>4. It is estimated that 80% of baseline clients will complete this interview.</w:t>
      </w:r>
    </w:p>
    <w:p w:rsidR="006B3EA9" w:rsidRPr="00D23750" w:rsidRDefault="006B3EA9" w:rsidP="006B3EA9">
      <w:pPr>
        <w:keepLines/>
        <w:rPr>
          <w:rFonts w:eastAsiaTheme="minorHAnsi"/>
          <w:sz w:val="20"/>
        </w:rPr>
      </w:pPr>
      <w:r w:rsidRPr="00D23750">
        <w:rPr>
          <w:rFonts w:eastAsiaTheme="minorHAnsi"/>
          <w:sz w:val="20"/>
        </w:rPr>
        <w:t>5. It is estimated that 64% of baseline clients will complete this interview.</w:t>
      </w:r>
    </w:p>
    <w:p w:rsidR="006B3EA9" w:rsidRPr="00D23750" w:rsidRDefault="006B3EA9" w:rsidP="006B3EA9">
      <w:pPr>
        <w:keepLines/>
        <w:rPr>
          <w:rFonts w:eastAsiaTheme="minorHAnsi"/>
          <w:sz w:val="20"/>
        </w:rPr>
      </w:pPr>
      <w:r w:rsidRPr="00D23750">
        <w:rPr>
          <w:rFonts w:eastAsiaTheme="minorHAnsi"/>
          <w:sz w:val="20"/>
        </w:rPr>
        <w:t>6. It is estimated that 10% of baseline clients will complete this interview.</w:t>
      </w:r>
    </w:p>
    <w:p w:rsidR="006B3EA9" w:rsidRPr="00D23750" w:rsidRDefault="006B3EA9" w:rsidP="006B3EA9">
      <w:pPr>
        <w:keepLines/>
        <w:rPr>
          <w:rFonts w:eastAsiaTheme="minorHAnsi"/>
          <w:sz w:val="20"/>
        </w:rPr>
      </w:pPr>
      <w:r w:rsidRPr="00D23750">
        <w:rPr>
          <w:rFonts w:eastAsiaTheme="minorHAnsi"/>
          <w:sz w:val="20"/>
        </w:rPr>
        <w:t>7. It is estimated that 66% of baseline clients will complete this interview.</w:t>
      </w:r>
    </w:p>
    <w:p w:rsidR="006B3EA9" w:rsidRPr="00D23750" w:rsidRDefault="006B3EA9" w:rsidP="006B3EA9">
      <w:pPr>
        <w:keepLines/>
        <w:rPr>
          <w:rFonts w:eastAsiaTheme="minorHAnsi"/>
          <w:sz w:val="20"/>
        </w:rPr>
      </w:pPr>
      <w:r w:rsidRPr="00D23750">
        <w:rPr>
          <w:rFonts w:eastAsiaTheme="minorHAnsi"/>
          <w:sz w:val="20"/>
        </w:rPr>
        <w:t>8. It is estimated that 30% of baseline clients will complete this interview.</w:t>
      </w:r>
    </w:p>
    <w:p w:rsidR="006B3EA9" w:rsidRPr="00D23750" w:rsidRDefault="006B3EA9" w:rsidP="006B3EA9">
      <w:pPr>
        <w:keepLines/>
        <w:rPr>
          <w:rFonts w:eastAsiaTheme="minorHAnsi"/>
          <w:sz w:val="20"/>
        </w:rPr>
      </w:pPr>
      <w:r w:rsidRPr="00D23750">
        <w:rPr>
          <w:rFonts w:eastAsiaTheme="minorHAnsi"/>
          <w:sz w:val="20"/>
        </w:rPr>
        <w:t xml:space="preserve">9. The estimated number of SBIRT respondents </w:t>
      </w:r>
      <w:r>
        <w:rPr>
          <w:rFonts w:eastAsiaTheme="minorHAnsi"/>
          <w:sz w:val="20"/>
        </w:rPr>
        <w:t xml:space="preserve">receiving </w:t>
      </w:r>
      <w:r w:rsidRPr="00D23750">
        <w:rPr>
          <w:rFonts w:eastAsiaTheme="minorHAnsi"/>
          <w:sz w:val="20"/>
        </w:rPr>
        <w:t xml:space="preserve">screening </w:t>
      </w:r>
      <w:r>
        <w:rPr>
          <w:rFonts w:eastAsiaTheme="minorHAnsi"/>
          <w:sz w:val="20"/>
        </w:rPr>
        <w:t xml:space="preserve">services </w:t>
      </w:r>
      <w:r w:rsidRPr="00D23750">
        <w:rPr>
          <w:rFonts w:eastAsiaTheme="minorHAnsi"/>
          <w:sz w:val="20"/>
        </w:rPr>
        <w:t>is 80% of the total number SBIRT participants</w:t>
      </w:r>
      <w:r>
        <w:rPr>
          <w:rFonts w:eastAsiaTheme="minorHAnsi"/>
          <w:sz w:val="20"/>
        </w:rPr>
        <w:t>.  No further data is collected from these participants.</w:t>
      </w:r>
    </w:p>
    <w:p w:rsidR="006B3EA9" w:rsidRPr="00D23750" w:rsidRDefault="006B3EA9" w:rsidP="006B3EA9">
      <w:pPr>
        <w:keepLines/>
        <w:rPr>
          <w:rFonts w:eastAsiaTheme="minorHAnsi"/>
          <w:sz w:val="20"/>
        </w:rPr>
      </w:pPr>
      <w:r w:rsidRPr="00D23750">
        <w:rPr>
          <w:rFonts w:eastAsiaTheme="minorHAnsi"/>
          <w:sz w:val="20"/>
        </w:rPr>
        <w:t>10.</w:t>
      </w:r>
      <w:r>
        <w:rPr>
          <w:rFonts w:eastAsiaTheme="minorHAnsi"/>
          <w:sz w:val="20"/>
        </w:rPr>
        <w:t xml:space="preserve"> </w:t>
      </w:r>
      <w:r w:rsidRPr="00D23750">
        <w:rPr>
          <w:rFonts w:eastAsiaTheme="minorHAnsi"/>
          <w:sz w:val="20"/>
        </w:rPr>
        <w:t xml:space="preserve">The estimated number of SBIRT respondents </w:t>
      </w:r>
      <w:r>
        <w:rPr>
          <w:rFonts w:eastAsiaTheme="minorHAnsi"/>
          <w:sz w:val="20"/>
        </w:rPr>
        <w:t>receiving brief intervention</w:t>
      </w:r>
      <w:r w:rsidRPr="00D23750">
        <w:rPr>
          <w:rFonts w:eastAsiaTheme="minorHAnsi"/>
          <w:sz w:val="20"/>
        </w:rPr>
        <w:t xml:space="preserve"> </w:t>
      </w:r>
      <w:r>
        <w:rPr>
          <w:rFonts w:eastAsiaTheme="minorHAnsi"/>
          <w:sz w:val="20"/>
        </w:rPr>
        <w:t>services is 15</w:t>
      </w:r>
      <w:r w:rsidRPr="00D23750">
        <w:rPr>
          <w:rFonts w:eastAsiaTheme="minorHAnsi"/>
          <w:sz w:val="20"/>
        </w:rPr>
        <w:t>% of the total number SBIRT participants</w:t>
      </w:r>
      <w:r>
        <w:rPr>
          <w:rFonts w:eastAsiaTheme="minorHAnsi"/>
          <w:sz w:val="20"/>
        </w:rPr>
        <w:t>.</w:t>
      </w:r>
    </w:p>
    <w:p w:rsidR="006B3EA9" w:rsidRPr="00D23750" w:rsidRDefault="006B3EA9" w:rsidP="006B3EA9">
      <w:pPr>
        <w:keepLines/>
        <w:rPr>
          <w:rFonts w:eastAsiaTheme="minorHAnsi"/>
          <w:sz w:val="20"/>
        </w:rPr>
      </w:pPr>
      <w:r>
        <w:rPr>
          <w:rFonts w:eastAsiaTheme="minorHAnsi"/>
          <w:sz w:val="20"/>
        </w:rPr>
        <w:t>11</w:t>
      </w:r>
      <w:r w:rsidRPr="00D23750">
        <w:rPr>
          <w:rFonts w:eastAsiaTheme="minorHAnsi"/>
          <w:sz w:val="20"/>
        </w:rPr>
        <w:t>.</w:t>
      </w:r>
      <w:r>
        <w:rPr>
          <w:rFonts w:eastAsiaTheme="minorHAnsi"/>
          <w:sz w:val="20"/>
        </w:rPr>
        <w:t xml:space="preserve">  Grantees are required to report this information as a condition of their grant.  No attrition is estimated.</w:t>
      </w:r>
    </w:p>
    <w:p w:rsidR="006B3EA9" w:rsidRPr="00D23750" w:rsidRDefault="006B3EA9" w:rsidP="006B3EA9">
      <w:pPr>
        <w:autoSpaceDE w:val="0"/>
        <w:autoSpaceDN w:val="0"/>
        <w:adjustRightInd w:val="0"/>
        <w:rPr>
          <w:sz w:val="20"/>
        </w:rPr>
      </w:pPr>
      <w:r>
        <w:rPr>
          <w:sz w:val="20"/>
        </w:rPr>
        <w:t xml:space="preserve">Note:  </w:t>
      </w:r>
      <w:r w:rsidRPr="00D23750">
        <w:rPr>
          <w:sz w:val="20"/>
        </w:rPr>
        <w:t>Numbers may not add to the totals due to rounding</w:t>
      </w:r>
      <w:r>
        <w:rPr>
          <w:sz w:val="20"/>
        </w:rPr>
        <w:t xml:space="preserve"> and some individual participants completing more than one form</w:t>
      </w:r>
      <w:r w:rsidRPr="00D23750">
        <w:rPr>
          <w:sz w:val="20"/>
        </w:rPr>
        <w:t>.</w:t>
      </w:r>
    </w:p>
    <w:p w:rsidR="00C46204" w:rsidRDefault="00C46204" w:rsidP="006B3EA9">
      <w:bookmarkStart w:id="0" w:name="_GoBack"/>
      <w:bookmarkEnd w:id="0"/>
    </w:p>
    <w:p w:rsidR="006B3EA9" w:rsidRDefault="00EB2A60" w:rsidP="000A149C">
      <w:pPr>
        <w:autoSpaceDE w:val="0"/>
        <w:autoSpaceDN w:val="0"/>
        <w:adjustRightInd w:val="0"/>
        <w:rPr>
          <w:sz w:val="20"/>
        </w:rPr>
      </w:pPr>
      <w:r>
        <w:t>Table 3 presents the estimated annualized burden for all the instruments in the CDP by data type.</w:t>
      </w:r>
    </w:p>
    <w:p w:rsidR="0015484D" w:rsidRDefault="0015484D" w:rsidP="00713F5F">
      <w:pPr>
        <w:rPr>
          <w:b/>
        </w:rPr>
      </w:pPr>
    </w:p>
    <w:p w:rsidR="0071348E" w:rsidRPr="003F35DF" w:rsidRDefault="00201867" w:rsidP="00713F5F">
      <w:pPr>
        <w:rPr>
          <w:b/>
        </w:rPr>
      </w:pPr>
      <w:proofErr w:type="gramStart"/>
      <w:r>
        <w:rPr>
          <w:b/>
        </w:rPr>
        <w:t>Table 3</w:t>
      </w:r>
      <w:r w:rsidR="0071348E" w:rsidRPr="003F35DF">
        <w:rPr>
          <w:b/>
        </w:rPr>
        <w:t>.</w:t>
      </w:r>
      <w:proofErr w:type="gramEnd"/>
      <w:r w:rsidR="0071348E" w:rsidRPr="003F35DF">
        <w:rPr>
          <w:b/>
        </w:rPr>
        <w:t xml:space="preserve"> </w:t>
      </w:r>
      <w:r w:rsidR="003F35DF" w:rsidRPr="003F35DF">
        <w:rPr>
          <w:b/>
        </w:rPr>
        <w:t xml:space="preserve">Common Data Platform: </w:t>
      </w:r>
      <w:r w:rsidR="0071348E" w:rsidRPr="003F35DF">
        <w:rPr>
          <w:b/>
        </w:rPr>
        <w:t xml:space="preserve">Summary </w:t>
      </w:r>
      <w:r>
        <w:rPr>
          <w:b/>
        </w:rPr>
        <w:t>by Data Type</w:t>
      </w:r>
      <w:r w:rsidR="0071348E" w:rsidRPr="003F35DF">
        <w:rPr>
          <w:b/>
        </w:rPr>
        <w:t xml:space="preserve"> </w:t>
      </w:r>
    </w:p>
    <w:p w:rsidR="0071348E" w:rsidRDefault="0071348E" w:rsidP="00713F5F"/>
    <w:tbl>
      <w:tblPr>
        <w:tblW w:w="9909" w:type="dxa"/>
        <w:tblInd w:w="8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848"/>
        <w:gridCol w:w="1560"/>
        <w:gridCol w:w="1460"/>
        <w:gridCol w:w="1347"/>
        <w:gridCol w:w="1347"/>
        <w:gridCol w:w="1347"/>
      </w:tblGrid>
      <w:tr w:rsidR="0071348E" w:rsidTr="0071348E">
        <w:trPr>
          <w:cantSplit/>
          <w:trHeight w:val="1711"/>
          <w:tblHeader/>
        </w:trPr>
        <w:tc>
          <w:tcPr>
            <w:tcW w:w="2848" w:type="dxa"/>
            <w:shd w:val="clear" w:color="auto" w:fill="FFFFFF"/>
            <w:vAlign w:val="center"/>
            <w:hideMark/>
          </w:tcPr>
          <w:p w:rsidR="0071348E" w:rsidRPr="00201867" w:rsidRDefault="0071348E" w:rsidP="00C46204">
            <w:pPr>
              <w:jc w:val="center"/>
              <w:rPr>
                <w:b/>
                <w:bCs/>
                <w:color w:val="000000"/>
                <w:sz w:val="18"/>
                <w:szCs w:val="18"/>
              </w:rPr>
            </w:pPr>
            <w:r w:rsidRPr="00201867">
              <w:rPr>
                <w:b/>
                <w:bCs/>
                <w:color w:val="000000"/>
                <w:sz w:val="18"/>
                <w:szCs w:val="18"/>
              </w:rPr>
              <w:t xml:space="preserve">Data Collection </w:t>
            </w:r>
            <w:r w:rsidR="00C46204">
              <w:rPr>
                <w:b/>
                <w:bCs/>
                <w:color w:val="000000"/>
                <w:sz w:val="18"/>
                <w:szCs w:val="18"/>
              </w:rPr>
              <w:t>Type</w:t>
            </w:r>
          </w:p>
        </w:tc>
        <w:tc>
          <w:tcPr>
            <w:tcW w:w="1560" w:type="dxa"/>
            <w:shd w:val="clear" w:color="auto" w:fill="FFFFFF"/>
            <w:vAlign w:val="center"/>
            <w:hideMark/>
          </w:tcPr>
          <w:p w:rsidR="0071348E" w:rsidRPr="00201867" w:rsidRDefault="0071348E" w:rsidP="00013124">
            <w:pPr>
              <w:jc w:val="center"/>
              <w:rPr>
                <w:b/>
                <w:bCs/>
                <w:color w:val="000000"/>
                <w:sz w:val="18"/>
                <w:szCs w:val="18"/>
              </w:rPr>
            </w:pPr>
            <w:r w:rsidRPr="00201867">
              <w:rPr>
                <w:b/>
                <w:bCs/>
                <w:color w:val="000000"/>
                <w:sz w:val="18"/>
                <w:szCs w:val="18"/>
              </w:rPr>
              <w:t>Number of Respondents</w:t>
            </w:r>
          </w:p>
        </w:tc>
        <w:tc>
          <w:tcPr>
            <w:tcW w:w="1460" w:type="dxa"/>
            <w:shd w:val="clear" w:color="auto" w:fill="FFFFFF"/>
            <w:vAlign w:val="center"/>
            <w:hideMark/>
          </w:tcPr>
          <w:p w:rsidR="0071348E" w:rsidRPr="00201867" w:rsidRDefault="00741052" w:rsidP="00013124">
            <w:pPr>
              <w:jc w:val="center"/>
              <w:rPr>
                <w:b/>
                <w:bCs/>
                <w:color w:val="000000"/>
                <w:sz w:val="18"/>
                <w:szCs w:val="18"/>
              </w:rPr>
            </w:pPr>
            <w:r w:rsidRPr="00201867">
              <w:rPr>
                <w:b/>
                <w:bCs/>
                <w:color w:val="000000"/>
                <w:sz w:val="18"/>
                <w:szCs w:val="18"/>
              </w:rPr>
              <w:t xml:space="preserve">Average </w:t>
            </w:r>
            <w:r w:rsidR="0071348E" w:rsidRPr="00201867">
              <w:rPr>
                <w:b/>
                <w:bCs/>
                <w:color w:val="000000"/>
                <w:sz w:val="18"/>
                <w:szCs w:val="18"/>
              </w:rPr>
              <w:t>Responses per Respondent</w:t>
            </w:r>
          </w:p>
        </w:tc>
        <w:tc>
          <w:tcPr>
            <w:tcW w:w="1347" w:type="dxa"/>
            <w:shd w:val="clear" w:color="auto" w:fill="FFFFFF"/>
            <w:vAlign w:val="center"/>
            <w:hideMark/>
          </w:tcPr>
          <w:p w:rsidR="0071348E" w:rsidRPr="00201867" w:rsidRDefault="0071348E" w:rsidP="00013124">
            <w:pPr>
              <w:jc w:val="center"/>
              <w:rPr>
                <w:b/>
                <w:bCs/>
                <w:color w:val="000000"/>
                <w:sz w:val="18"/>
                <w:szCs w:val="18"/>
              </w:rPr>
            </w:pPr>
            <w:r w:rsidRPr="00201867">
              <w:rPr>
                <w:b/>
                <w:bCs/>
                <w:color w:val="000000"/>
                <w:sz w:val="18"/>
                <w:szCs w:val="18"/>
              </w:rPr>
              <w:t>Total Number of Responses</w:t>
            </w:r>
          </w:p>
        </w:tc>
        <w:tc>
          <w:tcPr>
            <w:tcW w:w="1347" w:type="dxa"/>
            <w:shd w:val="clear" w:color="auto" w:fill="FFFFFF"/>
            <w:vAlign w:val="center"/>
            <w:hideMark/>
          </w:tcPr>
          <w:p w:rsidR="0071348E" w:rsidRPr="00201867" w:rsidRDefault="00741052" w:rsidP="00013124">
            <w:pPr>
              <w:jc w:val="center"/>
              <w:rPr>
                <w:b/>
                <w:bCs/>
                <w:color w:val="000000"/>
                <w:sz w:val="18"/>
                <w:szCs w:val="18"/>
              </w:rPr>
            </w:pPr>
            <w:r w:rsidRPr="00201867">
              <w:rPr>
                <w:b/>
                <w:bCs/>
                <w:color w:val="000000"/>
                <w:sz w:val="18"/>
                <w:szCs w:val="18"/>
              </w:rPr>
              <w:t xml:space="preserve">Average </w:t>
            </w:r>
            <w:r w:rsidR="0071348E" w:rsidRPr="00201867">
              <w:rPr>
                <w:b/>
                <w:bCs/>
                <w:color w:val="000000"/>
                <w:sz w:val="18"/>
                <w:szCs w:val="18"/>
              </w:rPr>
              <w:t>Burden Hours per Response</w:t>
            </w:r>
          </w:p>
        </w:tc>
        <w:tc>
          <w:tcPr>
            <w:tcW w:w="1347" w:type="dxa"/>
            <w:shd w:val="clear" w:color="auto" w:fill="FFFFFF"/>
            <w:vAlign w:val="center"/>
            <w:hideMark/>
          </w:tcPr>
          <w:p w:rsidR="0071348E" w:rsidRPr="00201867" w:rsidRDefault="0071348E" w:rsidP="00013124">
            <w:pPr>
              <w:jc w:val="center"/>
              <w:rPr>
                <w:b/>
                <w:bCs/>
                <w:color w:val="000000"/>
                <w:sz w:val="18"/>
                <w:szCs w:val="18"/>
              </w:rPr>
            </w:pPr>
            <w:r w:rsidRPr="00201867">
              <w:rPr>
                <w:b/>
                <w:bCs/>
                <w:color w:val="000000"/>
                <w:sz w:val="18"/>
                <w:szCs w:val="18"/>
              </w:rPr>
              <w:t>Total Burden Hours</w:t>
            </w:r>
          </w:p>
        </w:tc>
      </w:tr>
      <w:tr w:rsidR="0071348E" w:rsidTr="0071348E">
        <w:trPr>
          <w:trHeight w:val="868"/>
        </w:trPr>
        <w:tc>
          <w:tcPr>
            <w:tcW w:w="2848" w:type="dxa"/>
            <w:shd w:val="clear" w:color="auto" w:fill="FFFFFF"/>
            <w:vAlign w:val="center"/>
          </w:tcPr>
          <w:p w:rsidR="00741052" w:rsidRPr="00085B87" w:rsidRDefault="0015484D" w:rsidP="00013124">
            <w:pPr>
              <w:rPr>
                <w:bCs/>
                <w:color w:val="000000"/>
                <w:sz w:val="20"/>
              </w:rPr>
            </w:pPr>
            <w:r w:rsidRPr="00085B87">
              <w:rPr>
                <w:bCs/>
                <w:color w:val="000000"/>
                <w:sz w:val="20"/>
              </w:rPr>
              <w:t>CMHS Client-Level Data</w:t>
            </w:r>
            <w:r w:rsidR="00201867" w:rsidRPr="00085B87">
              <w:rPr>
                <w:bCs/>
                <w:color w:val="000000"/>
                <w:sz w:val="20"/>
              </w:rPr>
              <w:t xml:space="preserve"> </w:t>
            </w:r>
            <w:r w:rsidR="00201867" w:rsidRPr="00085B87">
              <w:rPr>
                <w:bCs/>
                <w:color w:val="000000"/>
                <w:sz w:val="20"/>
                <w:vertAlign w:val="superscript"/>
              </w:rPr>
              <w:t>12</w:t>
            </w:r>
          </w:p>
        </w:tc>
        <w:tc>
          <w:tcPr>
            <w:tcW w:w="1560" w:type="dxa"/>
            <w:shd w:val="clear" w:color="auto" w:fill="FFFFFF"/>
            <w:vAlign w:val="center"/>
          </w:tcPr>
          <w:p w:rsidR="0071348E" w:rsidRPr="00085B87" w:rsidRDefault="0015484D" w:rsidP="00013124">
            <w:pPr>
              <w:jc w:val="center"/>
              <w:rPr>
                <w:color w:val="000000"/>
                <w:sz w:val="20"/>
              </w:rPr>
            </w:pPr>
            <w:r w:rsidRPr="00085B87">
              <w:rPr>
                <w:color w:val="000000"/>
                <w:sz w:val="20"/>
              </w:rPr>
              <w:t>35,845</w:t>
            </w:r>
          </w:p>
        </w:tc>
        <w:tc>
          <w:tcPr>
            <w:tcW w:w="1460" w:type="dxa"/>
            <w:shd w:val="clear" w:color="auto" w:fill="FFFFFF"/>
            <w:vAlign w:val="center"/>
          </w:tcPr>
          <w:p w:rsidR="0071348E" w:rsidRPr="00085B87" w:rsidRDefault="00741052" w:rsidP="00C46204">
            <w:pPr>
              <w:jc w:val="center"/>
              <w:rPr>
                <w:color w:val="000000"/>
                <w:sz w:val="20"/>
              </w:rPr>
            </w:pPr>
            <w:r w:rsidRPr="00085B87">
              <w:rPr>
                <w:color w:val="000000"/>
                <w:sz w:val="20"/>
              </w:rPr>
              <w:t>2.7</w:t>
            </w:r>
            <w:r w:rsidR="00C46204">
              <w:rPr>
                <w:color w:val="000000"/>
                <w:sz w:val="20"/>
              </w:rPr>
              <w:t>4</w:t>
            </w:r>
          </w:p>
        </w:tc>
        <w:tc>
          <w:tcPr>
            <w:tcW w:w="1347" w:type="dxa"/>
            <w:shd w:val="clear" w:color="auto" w:fill="FFFFFF"/>
            <w:vAlign w:val="center"/>
          </w:tcPr>
          <w:p w:rsidR="0071348E" w:rsidRPr="00085B87" w:rsidRDefault="00741052" w:rsidP="00013124">
            <w:pPr>
              <w:jc w:val="center"/>
              <w:rPr>
                <w:color w:val="000000"/>
                <w:sz w:val="20"/>
              </w:rPr>
            </w:pPr>
            <w:r w:rsidRPr="00085B87">
              <w:rPr>
                <w:color w:val="000000"/>
                <w:sz w:val="20"/>
              </w:rPr>
              <w:t>98,157</w:t>
            </w:r>
          </w:p>
        </w:tc>
        <w:tc>
          <w:tcPr>
            <w:tcW w:w="1347" w:type="dxa"/>
            <w:shd w:val="clear" w:color="auto" w:fill="FFFFFF"/>
            <w:vAlign w:val="center"/>
          </w:tcPr>
          <w:p w:rsidR="0071348E" w:rsidRPr="00085B87" w:rsidRDefault="00741052" w:rsidP="00013124">
            <w:pPr>
              <w:jc w:val="center"/>
              <w:rPr>
                <w:color w:val="000000"/>
                <w:sz w:val="20"/>
              </w:rPr>
            </w:pPr>
            <w:r w:rsidRPr="00085B87">
              <w:rPr>
                <w:color w:val="000000"/>
                <w:sz w:val="20"/>
              </w:rPr>
              <w:t>0.3</w:t>
            </w:r>
            <w:r w:rsidR="00C46204">
              <w:rPr>
                <w:color w:val="000000"/>
                <w:sz w:val="20"/>
              </w:rPr>
              <w:t>5</w:t>
            </w:r>
          </w:p>
        </w:tc>
        <w:tc>
          <w:tcPr>
            <w:tcW w:w="1347" w:type="dxa"/>
            <w:shd w:val="clear" w:color="auto" w:fill="FFFFFF"/>
            <w:vAlign w:val="center"/>
          </w:tcPr>
          <w:p w:rsidR="0071348E" w:rsidRPr="00085B87" w:rsidRDefault="00741052" w:rsidP="00013124">
            <w:pPr>
              <w:jc w:val="center"/>
              <w:rPr>
                <w:color w:val="000000"/>
                <w:sz w:val="20"/>
              </w:rPr>
            </w:pPr>
            <w:r w:rsidRPr="00085B87">
              <w:rPr>
                <w:color w:val="000000"/>
                <w:sz w:val="20"/>
              </w:rPr>
              <w:t>33,958</w:t>
            </w:r>
          </w:p>
        </w:tc>
      </w:tr>
      <w:tr w:rsidR="0071348E" w:rsidTr="0071348E">
        <w:trPr>
          <w:trHeight w:val="868"/>
        </w:trPr>
        <w:tc>
          <w:tcPr>
            <w:tcW w:w="2848" w:type="dxa"/>
            <w:shd w:val="clear" w:color="auto" w:fill="FFFFFF"/>
            <w:vAlign w:val="center"/>
          </w:tcPr>
          <w:p w:rsidR="0071348E" w:rsidRPr="00085B87" w:rsidRDefault="0015484D" w:rsidP="00013124">
            <w:pPr>
              <w:rPr>
                <w:bCs/>
                <w:color w:val="000000"/>
                <w:sz w:val="20"/>
              </w:rPr>
            </w:pPr>
            <w:r w:rsidRPr="00085B87">
              <w:rPr>
                <w:bCs/>
                <w:color w:val="000000"/>
                <w:sz w:val="20"/>
              </w:rPr>
              <w:t>CSAP Client-Level Data</w:t>
            </w:r>
          </w:p>
        </w:tc>
        <w:tc>
          <w:tcPr>
            <w:tcW w:w="1560" w:type="dxa"/>
            <w:shd w:val="clear" w:color="auto" w:fill="FFFFFF"/>
            <w:vAlign w:val="center"/>
          </w:tcPr>
          <w:p w:rsidR="0071348E" w:rsidRPr="00085B87" w:rsidRDefault="00741052" w:rsidP="00013124">
            <w:pPr>
              <w:jc w:val="center"/>
              <w:rPr>
                <w:color w:val="000000"/>
                <w:sz w:val="20"/>
              </w:rPr>
            </w:pPr>
            <w:r w:rsidRPr="00085B87">
              <w:rPr>
                <w:color w:val="000000"/>
                <w:sz w:val="20"/>
              </w:rPr>
              <w:t>19,334</w:t>
            </w:r>
          </w:p>
        </w:tc>
        <w:tc>
          <w:tcPr>
            <w:tcW w:w="1460" w:type="dxa"/>
            <w:shd w:val="clear" w:color="auto" w:fill="FFFFFF"/>
            <w:vAlign w:val="center"/>
          </w:tcPr>
          <w:p w:rsidR="0071348E" w:rsidRPr="00085B87" w:rsidRDefault="00741052" w:rsidP="00013124">
            <w:pPr>
              <w:jc w:val="center"/>
              <w:rPr>
                <w:color w:val="000000"/>
                <w:sz w:val="20"/>
              </w:rPr>
            </w:pPr>
            <w:r w:rsidRPr="00085B87">
              <w:rPr>
                <w:color w:val="000000"/>
                <w:sz w:val="20"/>
              </w:rPr>
              <w:t>2.5</w:t>
            </w:r>
            <w:r w:rsidR="00C46204">
              <w:rPr>
                <w:color w:val="000000"/>
                <w:sz w:val="20"/>
              </w:rPr>
              <w:t>4</w:t>
            </w:r>
          </w:p>
        </w:tc>
        <w:tc>
          <w:tcPr>
            <w:tcW w:w="1347" w:type="dxa"/>
            <w:shd w:val="clear" w:color="auto" w:fill="FFFFFF"/>
            <w:vAlign w:val="center"/>
          </w:tcPr>
          <w:p w:rsidR="0071348E" w:rsidRPr="00085B87" w:rsidRDefault="00741052" w:rsidP="00013124">
            <w:pPr>
              <w:jc w:val="center"/>
              <w:rPr>
                <w:color w:val="000000"/>
                <w:sz w:val="20"/>
              </w:rPr>
            </w:pPr>
            <w:r w:rsidRPr="00085B87">
              <w:rPr>
                <w:color w:val="000000"/>
                <w:sz w:val="20"/>
              </w:rPr>
              <w:t>49,108</w:t>
            </w:r>
          </w:p>
        </w:tc>
        <w:tc>
          <w:tcPr>
            <w:tcW w:w="1347" w:type="dxa"/>
            <w:shd w:val="clear" w:color="auto" w:fill="FFFFFF"/>
            <w:vAlign w:val="center"/>
          </w:tcPr>
          <w:p w:rsidR="0071348E" w:rsidRPr="00085B87" w:rsidRDefault="00741052" w:rsidP="00013124">
            <w:pPr>
              <w:jc w:val="center"/>
              <w:rPr>
                <w:color w:val="000000"/>
                <w:sz w:val="20"/>
              </w:rPr>
            </w:pPr>
            <w:r w:rsidRPr="00085B87">
              <w:rPr>
                <w:color w:val="000000"/>
                <w:sz w:val="20"/>
              </w:rPr>
              <w:t>0.38</w:t>
            </w:r>
          </w:p>
        </w:tc>
        <w:tc>
          <w:tcPr>
            <w:tcW w:w="1347" w:type="dxa"/>
            <w:shd w:val="clear" w:color="auto" w:fill="FFFFFF"/>
            <w:vAlign w:val="center"/>
          </w:tcPr>
          <w:p w:rsidR="0071348E" w:rsidRPr="00085B87" w:rsidRDefault="00741052" w:rsidP="00013124">
            <w:pPr>
              <w:jc w:val="center"/>
              <w:rPr>
                <w:color w:val="000000"/>
                <w:sz w:val="20"/>
              </w:rPr>
            </w:pPr>
            <w:r w:rsidRPr="00085B87">
              <w:rPr>
                <w:color w:val="000000"/>
                <w:sz w:val="20"/>
              </w:rPr>
              <w:t>18,661</w:t>
            </w:r>
          </w:p>
        </w:tc>
      </w:tr>
      <w:tr w:rsidR="0071348E" w:rsidTr="0071348E">
        <w:trPr>
          <w:trHeight w:val="868"/>
        </w:trPr>
        <w:tc>
          <w:tcPr>
            <w:tcW w:w="2848" w:type="dxa"/>
            <w:shd w:val="clear" w:color="auto" w:fill="FFFFFF"/>
            <w:vAlign w:val="center"/>
          </w:tcPr>
          <w:p w:rsidR="0071348E" w:rsidRPr="00085B87" w:rsidRDefault="0015484D" w:rsidP="0071348E">
            <w:pPr>
              <w:pStyle w:val="BodyText"/>
              <w:rPr>
                <w:sz w:val="20"/>
              </w:rPr>
            </w:pPr>
            <w:r w:rsidRPr="00085B87">
              <w:rPr>
                <w:sz w:val="20"/>
              </w:rPr>
              <w:t>CSAT Client-Level Data</w:t>
            </w:r>
            <w:r w:rsidR="00201867" w:rsidRPr="00085B87">
              <w:rPr>
                <w:sz w:val="20"/>
              </w:rPr>
              <w:t xml:space="preserve"> </w:t>
            </w:r>
            <w:r w:rsidR="00201867" w:rsidRPr="00085B87">
              <w:rPr>
                <w:sz w:val="20"/>
                <w:vertAlign w:val="superscript"/>
              </w:rPr>
              <w:t>13</w:t>
            </w:r>
          </w:p>
          <w:p w:rsidR="0071348E" w:rsidRPr="00085B87" w:rsidRDefault="0071348E" w:rsidP="00013124">
            <w:pPr>
              <w:rPr>
                <w:bCs/>
                <w:color w:val="000000"/>
                <w:sz w:val="20"/>
              </w:rPr>
            </w:pPr>
          </w:p>
        </w:tc>
        <w:tc>
          <w:tcPr>
            <w:tcW w:w="1560" w:type="dxa"/>
            <w:shd w:val="clear" w:color="auto" w:fill="FFFFFF"/>
            <w:vAlign w:val="center"/>
          </w:tcPr>
          <w:p w:rsidR="0071348E" w:rsidRPr="00085B87" w:rsidRDefault="00741052" w:rsidP="00013124">
            <w:pPr>
              <w:jc w:val="center"/>
              <w:rPr>
                <w:color w:val="000000"/>
                <w:sz w:val="20"/>
              </w:rPr>
            </w:pPr>
            <w:r w:rsidRPr="00085B87">
              <w:rPr>
                <w:color w:val="000000"/>
                <w:sz w:val="20"/>
              </w:rPr>
              <w:t>887,756</w:t>
            </w:r>
          </w:p>
        </w:tc>
        <w:tc>
          <w:tcPr>
            <w:tcW w:w="1460" w:type="dxa"/>
            <w:shd w:val="clear" w:color="auto" w:fill="FFFFFF"/>
            <w:vAlign w:val="center"/>
          </w:tcPr>
          <w:p w:rsidR="0071348E" w:rsidRPr="00085B87" w:rsidRDefault="00201867" w:rsidP="00013124">
            <w:pPr>
              <w:jc w:val="center"/>
              <w:rPr>
                <w:color w:val="000000"/>
                <w:sz w:val="20"/>
              </w:rPr>
            </w:pPr>
            <w:r w:rsidRPr="00085B87">
              <w:rPr>
                <w:color w:val="000000"/>
                <w:sz w:val="20"/>
              </w:rPr>
              <w:t>1.4</w:t>
            </w:r>
            <w:r w:rsidR="00C46204">
              <w:rPr>
                <w:color w:val="000000"/>
                <w:sz w:val="20"/>
              </w:rPr>
              <w:t>2</w:t>
            </w:r>
          </w:p>
        </w:tc>
        <w:tc>
          <w:tcPr>
            <w:tcW w:w="1347" w:type="dxa"/>
            <w:shd w:val="clear" w:color="auto" w:fill="FFFFFF"/>
            <w:vAlign w:val="center"/>
          </w:tcPr>
          <w:p w:rsidR="0071348E" w:rsidRPr="00085B87" w:rsidRDefault="00201867" w:rsidP="00013124">
            <w:pPr>
              <w:jc w:val="center"/>
              <w:rPr>
                <w:color w:val="000000"/>
                <w:sz w:val="20"/>
              </w:rPr>
            </w:pPr>
            <w:r w:rsidRPr="00085B87">
              <w:rPr>
                <w:color w:val="000000"/>
                <w:sz w:val="20"/>
              </w:rPr>
              <w:t>1,257,647</w:t>
            </w:r>
          </w:p>
        </w:tc>
        <w:tc>
          <w:tcPr>
            <w:tcW w:w="1347" w:type="dxa"/>
            <w:shd w:val="clear" w:color="auto" w:fill="FFFFFF"/>
            <w:vAlign w:val="center"/>
          </w:tcPr>
          <w:p w:rsidR="0071348E" w:rsidRPr="00085B87" w:rsidRDefault="00201867" w:rsidP="00013124">
            <w:pPr>
              <w:jc w:val="center"/>
              <w:rPr>
                <w:color w:val="000000"/>
                <w:sz w:val="20"/>
              </w:rPr>
            </w:pPr>
            <w:r w:rsidRPr="00085B87">
              <w:rPr>
                <w:color w:val="000000"/>
                <w:sz w:val="20"/>
              </w:rPr>
              <w:t>0.2</w:t>
            </w:r>
            <w:r w:rsidR="00C46204">
              <w:rPr>
                <w:color w:val="000000"/>
                <w:sz w:val="20"/>
              </w:rPr>
              <w:t>6</w:t>
            </w:r>
          </w:p>
        </w:tc>
        <w:tc>
          <w:tcPr>
            <w:tcW w:w="1347" w:type="dxa"/>
            <w:shd w:val="clear" w:color="auto" w:fill="FFFFFF"/>
            <w:vAlign w:val="center"/>
          </w:tcPr>
          <w:p w:rsidR="0071348E" w:rsidRPr="00085B87" w:rsidRDefault="00201867" w:rsidP="00013124">
            <w:pPr>
              <w:jc w:val="center"/>
              <w:rPr>
                <w:color w:val="000000"/>
                <w:sz w:val="20"/>
              </w:rPr>
            </w:pPr>
            <w:r w:rsidRPr="00085B87">
              <w:rPr>
                <w:color w:val="000000"/>
                <w:sz w:val="20"/>
              </w:rPr>
              <w:t>321,085</w:t>
            </w:r>
          </w:p>
        </w:tc>
      </w:tr>
      <w:tr w:rsidR="0015484D" w:rsidTr="0071348E">
        <w:trPr>
          <w:trHeight w:val="868"/>
        </w:trPr>
        <w:tc>
          <w:tcPr>
            <w:tcW w:w="2848" w:type="dxa"/>
            <w:shd w:val="clear" w:color="auto" w:fill="FFFFFF"/>
            <w:vAlign w:val="center"/>
          </w:tcPr>
          <w:p w:rsidR="0015484D" w:rsidRPr="00085B87" w:rsidRDefault="0015484D" w:rsidP="0071348E">
            <w:pPr>
              <w:pStyle w:val="BodyText"/>
              <w:rPr>
                <w:sz w:val="20"/>
              </w:rPr>
            </w:pPr>
            <w:r w:rsidRPr="00085B87">
              <w:rPr>
                <w:sz w:val="20"/>
              </w:rPr>
              <w:t>CMHS Program Level Data (IPP Form)</w:t>
            </w:r>
          </w:p>
        </w:tc>
        <w:tc>
          <w:tcPr>
            <w:tcW w:w="1560" w:type="dxa"/>
            <w:shd w:val="clear" w:color="auto" w:fill="FFFFFF"/>
            <w:vAlign w:val="center"/>
          </w:tcPr>
          <w:p w:rsidR="0015484D" w:rsidRPr="00085B87" w:rsidRDefault="0015484D" w:rsidP="00013124">
            <w:pPr>
              <w:jc w:val="center"/>
              <w:rPr>
                <w:color w:val="000000"/>
                <w:sz w:val="20"/>
              </w:rPr>
            </w:pPr>
            <w:r w:rsidRPr="00085B87">
              <w:rPr>
                <w:color w:val="000000"/>
                <w:sz w:val="20"/>
              </w:rPr>
              <w:t>982</w:t>
            </w:r>
          </w:p>
        </w:tc>
        <w:tc>
          <w:tcPr>
            <w:tcW w:w="1460" w:type="dxa"/>
            <w:shd w:val="clear" w:color="auto" w:fill="FFFFFF"/>
            <w:vAlign w:val="center"/>
          </w:tcPr>
          <w:p w:rsidR="0015484D" w:rsidRPr="00085B87" w:rsidRDefault="0015484D" w:rsidP="00013124">
            <w:pPr>
              <w:jc w:val="center"/>
              <w:rPr>
                <w:color w:val="000000"/>
                <w:sz w:val="20"/>
              </w:rPr>
            </w:pPr>
            <w:r w:rsidRPr="00085B87">
              <w:rPr>
                <w:color w:val="000000"/>
                <w:sz w:val="20"/>
              </w:rPr>
              <w:t>4</w:t>
            </w:r>
            <w:r w:rsidR="00C46204">
              <w:rPr>
                <w:color w:val="000000"/>
                <w:sz w:val="20"/>
              </w:rPr>
              <w:t>.0</w:t>
            </w:r>
          </w:p>
        </w:tc>
        <w:tc>
          <w:tcPr>
            <w:tcW w:w="1347" w:type="dxa"/>
            <w:shd w:val="clear" w:color="auto" w:fill="FFFFFF"/>
            <w:vAlign w:val="center"/>
          </w:tcPr>
          <w:p w:rsidR="0015484D" w:rsidRPr="00085B87" w:rsidRDefault="0015484D" w:rsidP="00013124">
            <w:pPr>
              <w:jc w:val="center"/>
              <w:rPr>
                <w:color w:val="000000"/>
                <w:sz w:val="20"/>
              </w:rPr>
            </w:pPr>
            <w:r w:rsidRPr="00085B87">
              <w:rPr>
                <w:color w:val="000000"/>
                <w:sz w:val="20"/>
              </w:rPr>
              <w:t>3928</w:t>
            </w:r>
          </w:p>
        </w:tc>
        <w:tc>
          <w:tcPr>
            <w:tcW w:w="1347" w:type="dxa"/>
            <w:shd w:val="clear" w:color="auto" w:fill="FFFFFF"/>
            <w:vAlign w:val="center"/>
          </w:tcPr>
          <w:p w:rsidR="0015484D" w:rsidRPr="00085B87" w:rsidRDefault="0015484D" w:rsidP="00013124">
            <w:pPr>
              <w:jc w:val="center"/>
              <w:rPr>
                <w:color w:val="000000"/>
                <w:sz w:val="20"/>
              </w:rPr>
            </w:pPr>
            <w:r w:rsidRPr="00085B87">
              <w:rPr>
                <w:color w:val="000000"/>
                <w:sz w:val="20"/>
              </w:rPr>
              <w:t>2.0</w:t>
            </w:r>
          </w:p>
        </w:tc>
        <w:tc>
          <w:tcPr>
            <w:tcW w:w="1347" w:type="dxa"/>
            <w:shd w:val="clear" w:color="auto" w:fill="FFFFFF"/>
            <w:vAlign w:val="center"/>
          </w:tcPr>
          <w:p w:rsidR="0015484D" w:rsidRPr="00085B87" w:rsidRDefault="00741052" w:rsidP="00013124">
            <w:pPr>
              <w:jc w:val="center"/>
              <w:rPr>
                <w:color w:val="000000"/>
                <w:sz w:val="20"/>
              </w:rPr>
            </w:pPr>
            <w:r w:rsidRPr="00085B87">
              <w:rPr>
                <w:color w:val="000000"/>
                <w:sz w:val="20"/>
              </w:rPr>
              <w:t>7,856</w:t>
            </w:r>
          </w:p>
        </w:tc>
      </w:tr>
      <w:tr w:rsidR="0015484D" w:rsidTr="0071348E">
        <w:trPr>
          <w:trHeight w:val="868"/>
        </w:trPr>
        <w:tc>
          <w:tcPr>
            <w:tcW w:w="2848" w:type="dxa"/>
            <w:shd w:val="clear" w:color="auto" w:fill="FFFFFF"/>
            <w:vAlign w:val="center"/>
          </w:tcPr>
          <w:p w:rsidR="0015484D" w:rsidRPr="00085B87" w:rsidRDefault="0015484D" w:rsidP="0071348E">
            <w:pPr>
              <w:pStyle w:val="BodyText"/>
              <w:rPr>
                <w:sz w:val="20"/>
              </w:rPr>
            </w:pPr>
            <w:r w:rsidRPr="00085B87">
              <w:rPr>
                <w:sz w:val="20"/>
              </w:rPr>
              <w:t>CSAT Program-Level Data (Aggregate Form)</w:t>
            </w:r>
          </w:p>
        </w:tc>
        <w:tc>
          <w:tcPr>
            <w:tcW w:w="1560" w:type="dxa"/>
            <w:shd w:val="clear" w:color="auto" w:fill="FFFFFF"/>
            <w:vAlign w:val="center"/>
          </w:tcPr>
          <w:p w:rsidR="0015484D" w:rsidRPr="00085B87" w:rsidRDefault="00741052" w:rsidP="00013124">
            <w:pPr>
              <w:jc w:val="center"/>
              <w:rPr>
                <w:color w:val="000000"/>
                <w:sz w:val="20"/>
              </w:rPr>
            </w:pPr>
            <w:r w:rsidRPr="00085B87">
              <w:rPr>
                <w:color w:val="000000"/>
                <w:sz w:val="20"/>
              </w:rPr>
              <w:t>6</w:t>
            </w:r>
          </w:p>
        </w:tc>
        <w:tc>
          <w:tcPr>
            <w:tcW w:w="1460" w:type="dxa"/>
            <w:shd w:val="clear" w:color="auto" w:fill="FFFFFF"/>
            <w:vAlign w:val="center"/>
          </w:tcPr>
          <w:p w:rsidR="0015484D" w:rsidRPr="00085B87" w:rsidRDefault="00741052" w:rsidP="00013124">
            <w:pPr>
              <w:jc w:val="center"/>
              <w:rPr>
                <w:color w:val="000000"/>
                <w:sz w:val="20"/>
              </w:rPr>
            </w:pPr>
            <w:r w:rsidRPr="00085B87">
              <w:rPr>
                <w:color w:val="000000"/>
                <w:sz w:val="20"/>
              </w:rPr>
              <w:t>4</w:t>
            </w:r>
            <w:r w:rsidR="00C46204">
              <w:rPr>
                <w:color w:val="000000"/>
                <w:sz w:val="20"/>
              </w:rPr>
              <w:t>.0</w:t>
            </w:r>
          </w:p>
        </w:tc>
        <w:tc>
          <w:tcPr>
            <w:tcW w:w="1347" w:type="dxa"/>
            <w:shd w:val="clear" w:color="auto" w:fill="FFFFFF"/>
            <w:vAlign w:val="center"/>
          </w:tcPr>
          <w:p w:rsidR="0015484D" w:rsidRPr="00085B87" w:rsidRDefault="00741052" w:rsidP="00013124">
            <w:pPr>
              <w:jc w:val="center"/>
              <w:rPr>
                <w:color w:val="000000"/>
                <w:sz w:val="20"/>
              </w:rPr>
            </w:pPr>
            <w:r w:rsidRPr="00085B87">
              <w:rPr>
                <w:color w:val="000000"/>
                <w:sz w:val="20"/>
              </w:rPr>
              <w:t>24</w:t>
            </w:r>
          </w:p>
        </w:tc>
        <w:tc>
          <w:tcPr>
            <w:tcW w:w="1347" w:type="dxa"/>
            <w:shd w:val="clear" w:color="auto" w:fill="FFFFFF"/>
            <w:vAlign w:val="center"/>
          </w:tcPr>
          <w:p w:rsidR="0015484D" w:rsidRPr="00085B87" w:rsidRDefault="00741052" w:rsidP="00013124">
            <w:pPr>
              <w:jc w:val="center"/>
              <w:rPr>
                <w:color w:val="000000"/>
                <w:sz w:val="20"/>
              </w:rPr>
            </w:pPr>
            <w:r w:rsidRPr="00085B87">
              <w:rPr>
                <w:color w:val="000000"/>
                <w:sz w:val="20"/>
              </w:rPr>
              <w:t>.25</w:t>
            </w:r>
          </w:p>
        </w:tc>
        <w:tc>
          <w:tcPr>
            <w:tcW w:w="1347" w:type="dxa"/>
            <w:shd w:val="clear" w:color="auto" w:fill="FFFFFF"/>
            <w:vAlign w:val="center"/>
          </w:tcPr>
          <w:p w:rsidR="0015484D" w:rsidRPr="00085B87" w:rsidRDefault="00741052" w:rsidP="00013124">
            <w:pPr>
              <w:jc w:val="center"/>
              <w:rPr>
                <w:color w:val="000000"/>
                <w:sz w:val="20"/>
              </w:rPr>
            </w:pPr>
            <w:r w:rsidRPr="00085B87">
              <w:rPr>
                <w:color w:val="000000"/>
                <w:sz w:val="20"/>
              </w:rPr>
              <w:t>6</w:t>
            </w:r>
          </w:p>
        </w:tc>
      </w:tr>
      <w:tr w:rsidR="0071348E" w:rsidTr="00201867">
        <w:trPr>
          <w:trHeight w:val="319"/>
        </w:trPr>
        <w:tc>
          <w:tcPr>
            <w:tcW w:w="2848" w:type="dxa"/>
            <w:shd w:val="clear" w:color="auto" w:fill="FFFFFF"/>
            <w:vAlign w:val="center"/>
            <w:hideMark/>
          </w:tcPr>
          <w:p w:rsidR="0071348E" w:rsidRPr="00085B87" w:rsidRDefault="0071348E" w:rsidP="00013124">
            <w:pPr>
              <w:rPr>
                <w:b/>
                <w:bCs/>
                <w:color w:val="000000"/>
                <w:szCs w:val="24"/>
              </w:rPr>
            </w:pPr>
            <w:r w:rsidRPr="00085B87">
              <w:rPr>
                <w:b/>
                <w:bCs/>
                <w:color w:val="000000"/>
                <w:szCs w:val="24"/>
              </w:rPr>
              <w:t>TOTAL SAMHSA</w:t>
            </w:r>
          </w:p>
        </w:tc>
        <w:tc>
          <w:tcPr>
            <w:tcW w:w="1560" w:type="dxa"/>
            <w:vAlign w:val="center"/>
          </w:tcPr>
          <w:p w:rsidR="0071348E" w:rsidRPr="00085B87" w:rsidRDefault="00201867" w:rsidP="00013124">
            <w:pPr>
              <w:jc w:val="center"/>
              <w:rPr>
                <w:b/>
                <w:color w:val="000000"/>
                <w:sz w:val="20"/>
              </w:rPr>
            </w:pPr>
            <w:r w:rsidRPr="00085B87">
              <w:rPr>
                <w:b/>
                <w:color w:val="000000"/>
                <w:sz w:val="20"/>
              </w:rPr>
              <w:t>943,923</w:t>
            </w:r>
          </w:p>
        </w:tc>
        <w:tc>
          <w:tcPr>
            <w:tcW w:w="1460" w:type="dxa"/>
            <w:vAlign w:val="center"/>
          </w:tcPr>
          <w:p w:rsidR="0071348E" w:rsidRPr="00085B87" w:rsidRDefault="0071348E" w:rsidP="00013124">
            <w:pPr>
              <w:jc w:val="center"/>
              <w:rPr>
                <w:b/>
                <w:color w:val="000000"/>
                <w:sz w:val="20"/>
              </w:rPr>
            </w:pPr>
          </w:p>
        </w:tc>
        <w:tc>
          <w:tcPr>
            <w:tcW w:w="1347" w:type="dxa"/>
            <w:vAlign w:val="center"/>
          </w:tcPr>
          <w:p w:rsidR="0071348E" w:rsidRPr="00085B87" w:rsidRDefault="00201867" w:rsidP="00013124">
            <w:pPr>
              <w:jc w:val="center"/>
              <w:rPr>
                <w:b/>
                <w:color w:val="000000"/>
                <w:sz w:val="20"/>
              </w:rPr>
            </w:pPr>
            <w:r w:rsidRPr="00085B87">
              <w:rPr>
                <w:b/>
                <w:color w:val="000000"/>
                <w:sz w:val="20"/>
              </w:rPr>
              <w:t>1,408,864</w:t>
            </w:r>
          </w:p>
        </w:tc>
        <w:tc>
          <w:tcPr>
            <w:tcW w:w="1347" w:type="dxa"/>
            <w:noWrap/>
            <w:vAlign w:val="center"/>
          </w:tcPr>
          <w:p w:rsidR="0071348E" w:rsidRPr="00085B87" w:rsidRDefault="0071348E" w:rsidP="00013124">
            <w:pPr>
              <w:jc w:val="center"/>
              <w:rPr>
                <w:b/>
                <w:color w:val="000000"/>
                <w:sz w:val="20"/>
              </w:rPr>
            </w:pPr>
          </w:p>
        </w:tc>
        <w:tc>
          <w:tcPr>
            <w:tcW w:w="1347" w:type="dxa"/>
            <w:noWrap/>
            <w:vAlign w:val="center"/>
          </w:tcPr>
          <w:p w:rsidR="0071348E" w:rsidRPr="00085B87" w:rsidRDefault="00201867" w:rsidP="00013124">
            <w:pPr>
              <w:jc w:val="center"/>
              <w:rPr>
                <w:b/>
                <w:color w:val="000000"/>
                <w:sz w:val="20"/>
              </w:rPr>
            </w:pPr>
            <w:r w:rsidRPr="00085B87">
              <w:rPr>
                <w:b/>
                <w:color w:val="000000"/>
                <w:sz w:val="20"/>
              </w:rPr>
              <w:t>381,566</w:t>
            </w:r>
          </w:p>
        </w:tc>
      </w:tr>
    </w:tbl>
    <w:p w:rsidR="0071348E" w:rsidRDefault="0071348E" w:rsidP="00713F5F"/>
    <w:p w:rsidR="0071348E" w:rsidRPr="00EB2A60" w:rsidRDefault="00085B87" w:rsidP="00713F5F">
      <w:pPr>
        <w:rPr>
          <w:sz w:val="20"/>
        </w:rPr>
      </w:pPr>
      <w:r w:rsidRPr="00EB2A60">
        <w:rPr>
          <w:sz w:val="20"/>
        </w:rPr>
        <w:t xml:space="preserve">12. </w:t>
      </w:r>
      <w:r w:rsidR="00741052" w:rsidRPr="00EB2A60">
        <w:rPr>
          <w:sz w:val="20"/>
        </w:rPr>
        <w:t xml:space="preserve">Includes </w:t>
      </w:r>
      <w:r w:rsidRPr="00EB2A60">
        <w:rPr>
          <w:sz w:val="20"/>
        </w:rPr>
        <w:t>Primary</w:t>
      </w:r>
      <w:r w:rsidR="00741052" w:rsidRPr="00EB2A60">
        <w:rPr>
          <w:sz w:val="20"/>
        </w:rPr>
        <w:t xml:space="preserve"> CMHS Interviews, PBHCI Form and </w:t>
      </w:r>
      <w:proofErr w:type="spellStart"/>
      <w:r w:rsidR="00741052" w:rsidRPr="00EB2A60">
        <w:rPr>
          <w:sz w:val="20"/>
        </w:rPr>
        <w:t>CoC</w:t>
      </w:r>
      <w:proofErr w:type="spellEnd"/>
      <w:r w:rsidR="00741052" w:rsidRPr="00EB2A60">
        <w:rPr>
          <w:sz w:val="20"/>
        </w:rPr>
        <w:t xml:space="preserve"> Form completed at baseline, follow-up and discharge</w:t>
      </w:r>
      <w:r w:rsidRPr="00EB2A60">
        <w:rPr>
          <w:sz w:val="20"/>
        </w:rPr>
        <w:t>.</w:t>
      </w:r>
    </w:p>
    <w:p w:rsidR="00741052" w:rsidRPr="00EB2A60" w:rsidRDefault="00085B87" w:rsidP="00713F5F">
      <w:pPr>
        <w:rPr>
          <w:sz w:val="20"/>
        </w:rPr>
      </w:pPr>
      <w:r w:rsidRPr="00EB2A60">
        <w:rPr>
          <w:sz w:val="20"/>
        </w:rPr>
        <w:t xml:space="preserve">13. Includes Primary </w:t>
      </w:r>
      <w:r w:rsidR="00741052" w:rsidRPr="00EB2A60">
        <w:rPr>
          <w:sz w:val="20"/>
        </w:rPr>
        <w:t xml:space="preserve">CSAT interviews, </w:t>
      </w:r>
      <w:r w:rsidR="00201867" w:rsidRPr="00EB2A60">
        <w:rPr>
          <w:sz w:val="20"/>
        </w:rPr>
        <w:t xml:space="preserve">and </w:t>
      </w:r>
      <w:r w:rsidRPr="00EB2A60">
        <w:rPr>
          <w:sz w:val="20"/>
        </w:rPr>
        <w:t xml:space="preserve">the </w:t>
      </w:r>
      <w:r w:rsidR="00741052" w:rsidRPr="00EB2A60">
        <w:rPr>
          <w:sz w:val="20"/>
        </w:rPr>
        <w:t xml:space="preserve">SBIRT </w:t>
      </w:r>
      <w:r w:rsidRPr="00EB2A60">
        <w:rPr>
          <w:sz w:val="20"/>
        </w:rPr>
        <w:t>interviews</w:t>
      </w:r>
      <w:r w:rsidR="00201867" w:rsidRPr="00EB2A60">
        <w:rPr>
          <w:sz w:val="20"/>
        </w:rPr>
        <w:t xml:space="preserve"> at baseline, follow-up and discharge</w:t>
      </w:r>
      <w:r w:rsidRPr="00EB2A60">
        <w:rPr>
          <w:sz w:val="20"/>
        </w:rPr>
        <w:t>.</w:t>
      </w:r>
    </w:p>
    <w:p w:rsidR="00741052" w:rsidRDefault="00741052" w:rsidP="00713F5F"/>
    <w:p w:rsidR="005A4A00" w:rsidRDefault="005A4A00" w:rsidP="00713F5F">
      <w:r>
        <w:lastRenderedPageBreak/>
        <w:t xml:space="preserve">The </w:t>
      </w:r>
      <w:r w:rsidR="000A149C">
        <w:t>numbers</w:t>
      </w:r>
      <w:r>
        <w:t xml:space="preserve"> in </w:t>
      </w:r>
      <w:r w:rsidR="00085B87">
        <w:t>these</w:t>
      </w:r>
      <w:r>
        <w:t xml:space="preserve"> table</w:t>
      </w:r>
      <w:r w:rsidR="00085B87">
        <w:t>s</w:t>
      </w:r>
      <w:r>
        <w:t xml:space="preserve"> reflect the </w:t>
      </w:r>
      <w:r w:rsidR="00B12AF9">
        <w:t>estimated</w:t>
      </w:r>
      <w:r>
        <w:t xml:space="preserve"> annual burden for currently funded discretionary services programs.  The number of clients served in following years is estimated to be the same assuming level funding of the discretionary programs, resulting in the same annual burden estimate for those years.</w:t>
      </w:r>
    </w:p>
    <w:p w:rsidR="005A4A00" w:rsidRDefault="005A4A00" w:rsidP="00CF65C1">
      <w:pPr>
        <w:ind w:left="-360" w:firstLine="360"/>
      </w:pPr>
    </w:p>
    <w:p w:rsidR="005A4A00" w:rsidRPr="00446BA6" w:rsidRDefault="005A4A00" w:rsidP="00490BF2">
      <w:pPr>
        <w:keepNext/>
        <w:keepLines/>
        <w:rPr>
          <w:b/>
          <w:bCs/>
        </w:rPr>
      </w:pPr>
      <w:r>
        <w:rPr>
          <w:b/>
        </w:rPr>
        <w:t>A</w:t>
      </w:r>
      <w:r w:rsidRPr="006A4B05">
        <w:rPr>
          <w:b/>
        </w:rPr>
        <w:t xml:space="preserve">13.  </w:t>
      </w:r>
      <w:r>
        <w:rPr>
          <w:b/>
        </w:rPr>
        <w:t xml:space="preserve">   </w:t>
      </w:r>
      <w:r>
        <w:rPr>
          <w:b/>
          <w:bCs/>
        </w:rPr>
        <w:t xml:space="preserve">Estimates of </w:t>
      </w:r>
      <w:r w:rsidRPr="00446BA6">
        <w:rPr>
          <w:b/>
          <w:bCs/>
        </w:rPr>
        <w:t xml:space="preserve">Cost Burden to Respondents </w:t>
      </w:r>
    </w:p>
    <w:p w:rsidR="005A4A00" w:rsidRDefault="005A4A00" w:rsidP="00490BF2">
      <w:pPr>
        <w:keepNext/>
        <w:keepLines/>
      </w:pPr>
    </w:p>
    <w:p w:rsidR="00FE035D" w:rsidRPr="00DB5115" w:rsidRDefault="00FE035D" w:rsidP="00490BF2">
      <w:pPr>
        <w:pStyle w:val="BodyText"/>
        <w:keepNext/>
        <w:keepLines/>
      </w:pPr>
      <w:r w:rsidRPr="00FC5D21">
        <w:t>There will be no capital, start-up, operation, maintenance, nor purchase cost</w:t>
      </w:r>
      <w:r w:rsidR="00FC5D21">
        <w:t xml:space="preserve">s incurred by the </w:t>
      </w:r>
      <w:r w:rsidRPr="00FC5D21">
        <w:t>programs participating in this SAMHSA data collection, or by consumers receiving services through SAMHSA grants or cooperative agreements.</w:t>
      </w:r>
    </w:p>
    <w:p w:rsidR="005A4A00" w:rsidRPr="00203445" w:rsidRDefault="005A4A00" w:rsidP="00CF65C1">
      <w:pPr>
        <w:rPr>
          <w:b/>
        </w:rPr>
      </w:pPr>
      <w:r>
        <w:rPr>
          <w:b/>
        </w:rPr>
        <w:t>A</w:t>
      </w:r>
      <w:r w:rsidRPr="00CA4651">
        <w:rPr>
          <w:b/>
        </w:rPr>
        <w:t xml:space="preserve">14.  </w:t>
      </w:r>
      <w:r>
        <w:rPr>
          <w:b/>
        </w:rPr>
        <w:t xml:space="preserve">   Estimates of </w:t>
      </w:r>
      <w:r w:rsidRPr="00203445">
        <w:rPr>
          <w:b/>
        </w:rPr>
        <w:t>Annualized Cost to the Federal Government</w:t>
      </w:r>
    </w:p>
    <w:p w:rsidR="005A4A00" w:rsidRDefault="005A4A00" w:rsidP="00CF65C1"/>
    <w:p w:rsidR="00850149" w:rsidRPr="00C754F2" w:rsidRDefault="005A4A00" w:rsidP="00CF65C1">
      <w:pPr>
        <w:pStyle w:val="BodyText"/>
      </w:pPr>
      <w:r w:rsidRPr="00C754F2">
        <w:t>The principal cost</w:t>
      </w:r>
      <w:r w:rsidR="00C754F2" w:rsidRPr="00C754F2">
        <w:t>s</w:t>
      </w:r>
      <w:r w:rsidRPr="00C754F2">
        <w:t xml:space="preserve"> to the government for this project </w:t>
      </w:r>
      <w:r w:rsidR="00C754F2" w:rsidRPr="00C754F2">
        <w:t>are</w:t>
      </w:r>
      <w:r w:rsidRPr="00C754F2">
        <w:t xml:space="preserve"> </w:t>
      </w:r>
      <w:r w:rsidR="00F561BF">
        <w:t xml:space="preserve">$4.40 million, </w:t>
      </w:r>
      <w:r w:rsidRPr="00C754F2">
        <w:t xml:space="preserve">the cost of a contract to </w:t>
      </w:r>
      <w:r w:rsidR="005A758F" w:rsidRPr="00C754F2">
        <w:t xml:space="preserve">develop the data system, </w:t>
      </w:r>
      <w:r w:rsidRPr="00C754F2">
        <w:t>collect the data from the various programs</w:t>
      </w:r>
      <w:r w:rsidR="005A758F" w:rsidRPr="00C754F2">
        <w:t>,</w:t>
      </w:r>
      <w:r w:rsidRPr="00C754F2">
        <w:t xml:space="preserve"> and conduct analyses which generate routine reports from the data collected</w:t>
      </w:r>
      <w:r w:rsidR="00F561BF">
        <w:t>, plus $514,000 for additional IT help</w:t>
      </w:r>
      <w:r w:rsidR="00DA60EA">
        <w:t xml:space="preserve"> desk support</w:t>
      </w:r>
      <w:r w:rsidR="00F561BF">
        <w:t xml:space="preserve"> </w:t>
      </w:r>
      <w:r w:rsidR="000F7B52">
        <w:t>(e.g., passwords, data entry issues)</w:t>
      </w:r>
      <w:r w:rsidRPr="00C754F2">
        <w:t xml:space="preserve">.  </w:t>
      </w:r>
      <w:r w:rsidR="00850149" w:rsidRPr="00C754F2">
        <w:t>The total</w:t>
      </w:r>
      <w:r w:rsidR="00F561BF">
        <w:t xml:space="preserve"> annual</w:t>
      </w:r>
      <w:r w:rsidR="00850149" w:rsidRPr="00C754F2">
        <w:t xml:space="preserve"> contract award to cover all aspects of the design of the study, sampling design, data collection, and development of the data files, data tapes,</w:t>
      </w:r>
      <w:r w:rsidR="00F561BF">
        <w:t xml:space="preserve"> and technical documentation is $</w:t>
      </w:r>
      <w:r w:rsidR="00DA60EA">
        <w:t xml:space="preserve">4.914 </w:t>
      </w:r>
      <w:r w:rsidR="00F561BF">
        <w:t>million</w:t>
      </w:r>
    </w:p>
    <w:p w:rsidR="00850149" w:rsidRPr="00C754F2" w:rsidRDefault="005A4A00" w:rsidP="00CF65C1">
      <w:pPr>
        <w:pStyle w:val="BodyText"/>
      </w:pPr>
      <w:r w:rsidRPr="00C754F2">
        <w:t xml:space="preserve">The reports examine baseline characteristics as well as the changes between baseline, discharge, and each of the follow-up periods.  It is the responsibility of the contractor to work with the Government Project Officer (GPO) when preparing reports that combine the client services data with the annual reports of the project.  </w:t>
      </w:r>
    </w:p>
    <w:p w:rsidR="00850149" w:rsidRPr="00C754F2" w:rsidRDefault="00850149" w:rsidP="00CF65C1">
      <w:pPr>
        <w:pStyle w:val="BodyText"/>
      </w:pPr>
      <w:r w:rsidRPr="001A1543">
        <w:t xml:space="preserve">Additional costs will be incurred indirectly by the government in personnel costs of staff involved in oversight of data collection. It is estimated that </w:t>
      </w:r>
      <w:r w:rsidR="00152F77" w:rsidRPr="001A1543">
        <w:t>5</w:t>
      </w:r>
      <w:r w:rsidR="00C754F2" w:rsidRPr="001A1543">
        <w:t xml:space="preserve"> </w:t>
      </w:r>
      <w:r w:rsidRPr="001A1543">
        <w:t>SAMHSA employees</w:t>
      </w:r>
      <w:r w:rsidR="00452169" w:rsidRPr="001A1543">
        <w:t>, at a GS Level 12 ($75,621 to $98,305)</w:t>
      </w:r>
      <w:r w:rsidRPr="001A1543">
        <w:t xml:space="preserve"> will each be involved for 100 percent of their time. </w:t>
      </w:r>
      <w:r w:rsidR="00452169" w:rsidRPr="001A1543">
        <w:t>Using an estimated $85,000 salary, c</w:t>
      </w:r>
      <w:r w:rsidRPr="001A1543">
        <w:t>osts of SAMHSA staff time will approximate $</w:t>
      </w:r>
      <w:r w:rsidR="00452169" w:rsidRPr="001A1543">
        <w:t xml:space="preserve">450,000 </w:t>
      </w:r>
      <w:r w:rsidRPr="001A1543">
        <w:t>annually.</w:t>
      </w:r>
      <w:r w:rsidRPr="00C754F2">
        <w:t xml:space="preserve"> </w:t>
      </w:r>
    </w:p>
    <w:p w:rsidR="005A4A00" w:rsidRDefault="00850149" w:rsidP="00577ACA">
      <w:pPr>
        <w:spacing w:after="240"/>
      </w:pPr>
      <w:r w:rsidRPr="00C754F2">
        <w:t>The estimated annualized total cost to the government will be $</w:t>
      </w:r>
      <w:r w:rsidR="00452169">
        <w:t>5.36 million.</w:t>
      </w:r>
    </w:p>
    <w:p w:rsidR="005A4A00" w:rsidRDefault="005A4A00" w:rsidP="00CF65C1">
      <w:pPr>
        <w:pStyle w:val="Heading2"/>
        <w:ind w:left="0" w:firstLine="0"/>
      </w:pPr>
      <w:bookmarkStart w:id="1" w:name="_Toc88033481"/>
      <w:bookmarkStart w:id="2" w:name="_Toc88277964"/>
      <w:r>
        <w:t>A15.</w:t>
      </w:r>
      <w:r>
        <w:tab/>
      </w:r>
      <w:bookmarkEnd w:id="1"/>
      <w:bookmarkEnd w:id="2"/>
      <w:r>
        <w:t xml:space="preserve">Changes in Burden </w:t>
      </w:r>
    </w:p>
    <w:p w:rsidR="00400738" w:rsidRDefault="008021CA" w:rsidP="00467143">
      <w:pPr>
        <w:widowControl w:val="0"/>
        <w:spacing w:before="120" w:after="240"/>
      </w:pPr>
      <w:r>
        <w:t>This is a new data collection.</w:t>
      </w:r>
      <w:r w:rsidR="00D65DCC">
        <w:t xml:space="preserve">  </w:t>
      </w:r>
    </w:p>
    <w:p w:rsidR="006652A2" w:rsidRPr="006652A2" w:rsidRDefault="006652A2" w:rsidP="006652A2">
      <w:r w:rsidRPr="006652A2">
        <w:t xml:space="preserve">This new data collection is requesting </w:t>
      </w:r>
      <w:r w:rsidR="00957030" w:rsidRPr="00EB2A60">
        <w:t>381,566</w:t>
      </w:r>
      <w:r w:rsidRPr="00EB2A60">
        <w:t xml:space="preserve"> burden hours.  CDP will replace the following OMB approved data collections:  0930-0208, 0930-0230,</w:t>
      </w:r>
      <w:r w:rsidR="005E5206" w:rsidRPr="00EB2A60">
        <w:t xml:space="preserve"> </w:t>
      </w:r>
      <w:r w:rsidR="00957030" w:rsidRPr="00EB2A60">
        <w:t xml:space="preserve">and </w:t>
      </w:r>
      <w:r w:rsidRPr="00EB2A60">
        <w:t xml:space="preserve">0930-0285.  These data collections have a total of 169,209 burden hours.  The increase of </w:t>
      </w:r>
      <w:r w:rsidR="00957030" w:rsidRPr="00EB2A60">
        <w:t>212,357</w:t>
      </w:r>
      <w:r w:rsidR="00677475">
        <w:t xml:space="preserve"> </w:t>
      </w:r>
      <w:r w:rsidRPr="006652A2">
        <w:t>hours is due to a program change.  CSAT now has many more funded programs that were not reflected in the previous renewals – most programs were categorized as “General” in the previous (i.e., 2012) OMB approval, but the number of funded programs since this approval has grown.  From February 2012, SAMHSA was only given an extension on the current data collections each year.  Due to this constraint, SAMHSA was not able to accurately reflect the new CSAT programs that were being funded.   With the new CDP data collection, SAMHSA is able to accurately request/submit the true burden hours.</w:t>
      </w:r>
    </w:p>
    <w:p w:rsidR="005A4A00" w:rsidRPr="00E04321" w:rsidRDefault="005A4A00" w:rsidP="00CF65C1">
      <w:pPr>
        <w:pStyle w:val="Heading2"/>
        <w:ind w:left="-360" w:firstLine="360"/>
      </w:pPr>
      <w:r w:rsidRPr="00C02177">
        <w:rPr>
          <w:bCs w:val="0"/>
        </w:rPr>
        <w:lastRenderedPageBreak/>
        <w:t>A16</w:t>
      </w:r>
      <w:r w:rsidRPr="000C280B">
        <w:rPr>
          <w:b w:val="0"/>
        </w:rPr>
        <w:t xml:space="preserve">.  </w:t>
      </w:r>
      <w:r w:rsidRPr="000C280B">
        <w:rPr>
          <w:b w:val="0"/>
        </w:rPr>
        <w:tab/>
      </w:r>
      <w:r>
        <w:t xml:space="preserve">Time Schedule, Publication and Analysis Plans </w:t>
      </w:r>
    </w:p>
    <w:p w:rsidR="009820F7" w:rsidRDefault="009820F7" w:rsidP="009820F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87" w:lineRule="atLeast"/>
        <w:rPr>
          <w:szCs w:val="24"/>
        </w:rPr>
      </w:pPr>
      <w:r>
        <w:rPr>
          <w:szCs w:val="24"/>
        </w:rPr>
        <w:t xml:space="preserve">SAMHSA and the contractor collect and compile the data. </w:t>
      </w:r>
      <w:r w:rsidR="00863EDF">
        <w:rPr>
          <w:szCs w:val="24"/>
        </w:rPr>
        <w:t>SAMHSA will host the secure environment in which the CDP data will be stored.</w:t>
      </w:r>
    </w:p>
    <w:p w:rsidR="00E11DE2" w:rsidRDefault="009820F7" w:rsidP="00E11DE2">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87" w:lineRule="atLeast"/>
        <w:rPr>
          <w:szCs w:val="24"/>
        </w:rPr>
      </w:pPr>
      <w:r>
        <w:rPr>
          <w:szCs w:val="24"/>
        </w:rPr>
        <w:t xml:space="preserve">The data will be used by </w:t>
      </w:r>
      <w:r w:rsidR="00070A10" w:rsidRPr="003311C1">
        <w:rPr>
          <w:szCs w:val="24"/>
        </w:rPr>
        <w:t xml:space="preserve">SAMHSA on an ongoing basis to monitor performance, to respond to GPRAMA, to prepare Reports to Congress for selected programs, to prepare program profiles, and other </w:t>
      </w:r>
      <w:r w:rsidR="00070A10">
        <w:rPr>
          <w:szCs w:val="24"/>
        </w:rPr>
        <w:t>Federal reporting requirements.</w:t>
      </w:r>
      <w:r w:rsidR="00070A10" w:rsidRPr="003311C1">
        <w:rPr>
          <w:szCs w:val="24"/>
        </w:rPr>
        <w:t xml:space="preserve"> </w:t>
      </w:r>
      <w:r w:rsidR="00E11DE2" w:rsidRPr="00ED3C02">
        <w:rPr>
          <w:szCs w:val="24"/>
        </w:rPr>
        <w:t xml:space="preserve">The findings are used for reporting on program performance in the annual Congressional Justifications, as well as in other performance related documents such as the Minority AIDS Initiative (MAI) report for HHS, and the </w:t>
      </w:r>
      <w:r w:rsidR="00E11DE2">
        <w:rPr>
          <w:szCs w:val="24"/>
        </w:rPr>
        <w:t>Office of National Drug Control Policy (</w:t>
      </w:r>
      <w:r w:rsidR="00E11DE2" w:rsidRPr="00ED3C02">
        <w:rPr>
          <w:szCs w:val="24"/>
        </w:rPr>
        <w:t>ONDCP</w:t>
      </w:r>
      <w:r w:rsidR="00E11DE2">
        <w:rPr>
          <w:szCs w:val="24"/>
        </w:rPr>
        <w:t>)</w:t>
      </w:r>
      <w:r w:rsidR="00F221E3">
        <w:rPr>
          <w:szCs w:val="24"/>
        </w:rPr>
        <w:t xml:space="preserve"> Budget.</w:t>
      </w:r>
    </w:p>
    <w:p w:rsidR="00642A92" w:rsidRPr="00642A92" w:rsidRDefault="00466F8F" w:rsidP="00CF65C1">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rPr>
          <w:szCs w:val="24"/>
        </w:rPr>
      </w:pPr>
      <w:r w:rsidRPr="003311C1">
        <w:rPr>
          <w:szCs w:val="24"/>
        </w:rPr>
        <w:t xml:space="preserve">These data are used to provide the agency with information to document the overall performance requirements </w:t>
      </w:r>
      <w:r w:rsidR="008021CA" w:rsidRPr="003311C1">
        <w:rPr>
          <w:szCs w:val="24"/>
        </w:rPr>
        <w:t xml:space="preserve">by program and by Center. They are used </w:t>
      </w:r>
      <w:r w:rsidRPr="003311C1">
        <w:rPr>
          <w:szCs w:val="24"/>
        </w:rPr>
        <w:t xml:space="preserve">to provide information that will assist </w:t>
      </w:r>
      <w:r w:rsidR="008021CA" w:rsidRPr="003311C1">
        <w:rPr>
          <w:szCs w:val="24"/>
        </w:rPr>
        <w:t xml:space="preserve">SAMHSA </w:t>
      </w:r>
      <w:r w:rsidRPr="003311C1">
        <w:rPr>
          <w:szCs w:val="24"/>
        </w:rPr>
        <w:t xml:space="preserve">in planning and monitoring program goals. Descriptive information obtained from program reporting requirements will be reviewed for monitoring and program management. Information is used internally by the agency and for performance reports. There are no formal publication plans. </w:t>
      </w:r>
      <w:r w:rsidR="00642A92" w:rsidRPr="003311C1">
        <w:rPr>
          <w:szCs w:val="24"/>
        </w:rPr>
        <w:t>T</w:t>
      </w:r>
      <w:r w:rsidR="00642A92" w:rsidRPr="00642A92">
        <w:rPr>
          <w:szCs w:val="24"/>
        </w:rPr>
        <w:t xml:space="preserve">he time frame for submission of the reporting requirements varies by grant cycle and grant program period of performance throughout the year. </w:t>
      </w:r>
    </w:p>
    <w:p w:rsidR="00642A92" w:rsidRDefault="00642A92" w:rsidP="00CF65C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ind w:left="-360" w:firstLine="360"/>
        <w:jc w:val="both"/>
        <w:rPr>
          <w:szCs w:val="24"/>
        </w:rPr>
      </w:pPr>
    </w:p>
    <w:p w:rsidR="005A4A00" w:rsidRPr="003331FF" w:rsidRDefault="005A4A00" w:rsidP="00CF65C1">
      <w:pPr>
        <w:ind w:left="-360" w:firstLine="360"/>
        <w:rPr>
          <w:b/>
        </w:rPr>
      </w:pPr>
      <w:r w:rsidRPr="003331FF">
        <w:rPr>
          <w:b/>
        </w:rPr>
        <w:t xml:space="preserve">A17.     Display of Expiration Date </w:t>
      </w:r>
    </w:p>
    <w:p w:rsidR="005A4A00" w:rsidRPr="003331FF" w:rsidRDefault="005A4A00" w:rsidP="00CF65C1">
      <w:pPr>
        <w:ind w:left="-360" w:firstLine="360"/>
      </w:pPr>
    </w:p>
    <w:p w:rsidR="005A4A00" w:rsidRPr="003331FF" w:rsidRDefault="005A4A00" w:rsidP="000752B6">
      <w:r w:rsidRPr="003331FF">
        <w:t>The expiration date for OMB approval will be displayed on all data collection instruments for which approval is being sought.</w:t>
      </w:r>
    </w:p>
    <w:p w:rsidR="005A4A00" w:rsidRPr="003331FF" w:rsidRDefault="005A4A00" w:rsidP="000752B6"/>
    <w:p w:rsidR="005A4A00" w:rsidRPr="003331FF" w:rsidRDefault="005A4A00" w:rsidP="00CF65C1">
      <w:pPr>
        <w:rPr>
          <w:b/>
        </w:rPr>
      </w:pPr>
      <w:r w:rsidRPr="003331FF">
        <w:rPr>
          <w:b/>
        </w:rPr>
        <w:t xml:space="preserve">A18.     Exceptions to Certification Statement </w:t>
      </w:r>
    </w:p>
    <w:p w:rsidR="005A4A00" w:rsidRPr="003331FF" w:rsidRDefault="005A4A00" w:rsidP="00CF65C1"/>
    <w:p w:rsidR="007E5EAF" w:rsidRDefault="005A4A00" w:rsidP="00CF65C1">
      <w:pPr>
        <w:pStyle w:val="BodyText"/>
      </w:pPr>
      <w:r w:rsidRPr="003331FF">
        <w:t>This collection of information involves no exceptions to the Certification for Paperwork Reduction Act Submissions.</w:t>
      </w:r>
      <w:r w:rsidR="007E5EAF" w:rsidRPr="003331FF">
        <w:t xml:space="preserve"> The certifications are included in this submission.</w:t>
      </w:r>
    </w:p>
    <w:p w:rsidR="008A6792" w:rsidRDefault="008A6792" w:rsidP="00CF65C1">
      <w:pPr>
        <w:pStyle w:val="BodyText"/>
      </w:pPr>
    </w:p>
    <w:p w:rsidR="008A6792" w:rsidRDefault="008A6792" w:rsidP="00CF65C1">
      <w:pPr>
        <w:pStyle w:val="BodyText"/>
      </w:pPr>
    </w:p>
    <w:p w:rsidR="008A6792" w:rsidRPr="00DB5115" w:rsidRDefault="008A6792" w:rsidP="00CF65C1">
      <w:pPr>
        <w:pStyle w:val="BodyText"/>
      </w:pPr>
    </w:p>
    <w:sectPr w:rsidR="008A6792" w:rsidRPr="00DB5115" w:rsidSect="00054ADB">
      <w:footerReference w:type="default" r:id="rId10"/>
      <w:footnotePr>
        <w:numFmt w:val="lowerLetter"/>
      </w:footnotePr>
      <w:endnotePr>
        <w:numFmt w:val="lowerLetter"/>
      </w:endnotePr>
      <w:pgSz w:w="12240" w:h="15840"/>
      <w:pgMar w:top="1440" w:right="1080" w:bottom="1440" w:left="1080" w:header="1440" w:footer="80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D9A" w:rsidRDefault="005A7D9A" w:rsidP="005525FC">
      <w:r>
        <w:separator/>
      </w:r>
    </w:p>
  </w:endnote>
  <w:endnote w:type="continuationSeparator" w:id="0">
    <w:p w:rsidR="005A7D9A" w:rsidRDefault="005A7D9A" w:rsidP="0055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297495"/>
      <w:docPartObj>
        <w:docPartGallery w:val="Page Numbers (Bottom of Page)"/>
        <w:docPartUnique/>
      </w:docPartObj>
    </w:sdtPr>
    <w:sdtEndPr>
      <w:rPr>
        <w:noProof/>
      </w:rPr>
    </w:sdtEndPr>
    <w:sdtContent>
      <w:p w:rsidR="0015484D" w:rsidRDefault="0015484D">
        <w:pPr>
          <w:pStyle w:val="Footer"/>
          <w:jc w:val="center"/>
        </w:pPr>
        <w:r>
          <w:fldChar w:fldCharType="begin"/>
        </w:r>
        <w:r>
          <w:instrText xml:space="preserve"> PAGE   \* MERGEFORMAT </w:instrText>
        </w:r>
        <w:r>
          <w:fldChar w:fldCharType="separate"/>
        </w:r>
        <w:r w:rsidR="00C46204">
          <w:rPr>
            <w:noProof/>
          </w:rPr>
          <w:t>18</w:t>
        </w:r>
        <w:r>
          <w:rPr>
            <w:noProof/>
          </w:rPr>
          <w:fldChar w:fldCharType="end"/>
        </w:r>
      </w:p>
    </w:sdtContent>
  </w:sdt>
  <w:p w:rsidR="0015484D" w:rsidRDefault="001548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D9A" w:rsidRDefault="005A7D9A" w:rsidP="005525FC">
      <w:r>
        <w:separator/>
      </w:r>
    </w:p>
  </w:footnote>
  <w:footnote w:type="continuationSeparator" w:id="0">
    <w:p w:rsidR="005A7D9A" w:rsidRDefault="005A7D9A" w:rsidP="005525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CBE07A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lvl w:ilvl="0">
      <w:start w:val="1"/>
      <w:numFmt w:val="decimal"/>
      <w:suff w:val="nothing"/>
      <w:lvlText w:val="%1)"/>
      <w:lvlJc w:val="left"/>
    </w:lvl>
  </w:abstractNum>
  <w:abstractNum w:abstractNumId="2">
    <w:nsid w:val="00000002"/>
    <w:multiLevelType w:val="singleLevel"/>
    <w:tmpl w:val="00000002"/>
    <w:lvl w:ilvl="0">
      <w:start w:val="5"/>
      <w:numFmt w:val="decimal"/>
      <w:suff w:val="nothing"/>
      <w:lvlText w:val="%1."/>
      <w:lvlJc w:val="left"/>
    </w:lvl>
  </w:abstractNum>
  <w:abstractNum w:abstractNumId="3">
    <w:nsid w:val="00FC7B4B"/>
    <w:multiLevelType w:val="hybridMultilevel"/>
    <w:tmpl w:val="7B909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21B00E2"/>
    <w:multiLevelType w:val="hybridMultilevel"/>
    <w:tmpl w:val="E9DA0994"/>
    <w:lvl w:ilvl="0" w:tplc="17AC621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3173B76"/>
    <w:multiLevelType w:val="hybridMultilevel"/>
    <w:tmpl w:val="EDFEB3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4735D5A"/>
    <w:multiLevelType w:val="hybridMultilevel"/>
    <w:tmpl w:val="030C3CC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7">
    <w:nsid w:val="05693DA3"/>
    <w:multiLevelType w:val="multilevel"/>
    <w:tmpl w:val="6EF89D54"/>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6406B7E"/>
    <w:multiLevelType w:val="hybridMultilevel"/>
    <w:tmpl w:val="6A301B0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9647C74"/>
    <w:multiLevelType w:val="hybridMultilevel"/>
    <w:tmpl w:val="32904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017585"/>
    <w:multiLevelType w:val="singleLevel"/>
    <w:tmpl w:val="AF248C84"/>
    <w:lvl w:ilvl="0">
      <w:start w:val="1"/>
      <w:numFmt w:val="decimal"/>
      <w:lvlText w:val="%1."/>
      <w:legacy w:legacy="1" w:legacySpace="0" w:legacyIndent="1"/>
      <w:lvlJc w:val="left"/>
      <w:pPr>
        <w:ind w:left="1" w:hanging="1"/>
      </w:pPr>
      <w:rPr>
        <w:rFonts w:ascii="Times New Roman" w:hAnsi="Times New Roman" w:hint="default"/>
      </w:rPr>
    </w:lvl>
  </w:abstractNum>
  <w:abstractNum w:abstractNumId="11">
    <w:nsid w:val="15477656"/>
    <w:multiLevelType w:val="hybridMultilevel"/>
    <w:tmpl w:val="3CBC79E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16480D02"/>
    <w:multiLevelType w:val="hybridMultilevel"/>
    <w:tmpl w:val="A9CC60EC"/>
    <w:lvl w:ilvl="0" w:tplc="FEEE97B0">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1C424460"/>
    <w:multiLevelType w:val="multilevel"/>
    <w:tmpl w:val="2F44B62C"/>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C79793B"/>
    <w:multiLevelType w:val="hybridMultilevel"/>
    <w:tmpl w:val="D0921D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E820C34"/>
    <w:multiLevelType w:val="hybridMultilevel"/>
    <w:tmpl w:val="FDF65644"/>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6">
    <w:nsid w:val="288D59F4"/>
    <w:multiLevelType w:val="multilevel"/>
    <w:tmpl w:val="72603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9ED31ED"/>
    <w:multiLevelType w:val="hybridMultilevel"/>
    <w:tmpl w:val="FD1E21FA"/>
    <w:lvl w:ilvl="0" w:tplc="035E7854">
      <w:start w:val="1"/>
      <w:numFmt w:val="lowerLetter"/>
      <w:lvlText w:val="%1)"/>
      <w:lvlJc w:val="left"/>
      <w:pPr>
        <w:tabs>
          <w:tab w:val="num" w:pos="4500"/>
        </w:tabs>
        <w:ind w:left="45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D781EBB"/>
    <w:multiLevelType w:val="hybridMultilevel"/>
    <w:tmpl w:val="1E04F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E42E5B"/>
    <w:multiLevelType w:val="hybridMultilevel"/>
    <w:tmpl w:val="4DD20576"/>
    <w:lvl w:ilvl="0" w:tplc="4F12F1DC">
      <w:start w:val="7"/>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3240008B"/>
    <w:multiLevelType w:val="multilevel"/>
    <w:tmpl w:val="266C4B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2B20B34"/>
    <w:multiLevelType w:val="hybridMultilevel"/>
    <w:tmpl w:val="FBFC7E48"/>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nsid w:val="36983231"/>
    <w:multiLevelType w:val="hybridMultilevel"/>
    <w:tmpl w:val="65502A1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23D60F6"/>
    <w:multiLevelType w:val="hybridMultilevel"/>
    <w:tmpl w:val="36CCA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2C25FDF"/>
    <w:multiLevelType w:val="hybridMultilevel"/>
    <w:tmpl w:val="3342F570"/>
    <w:lvl w:ilvl="0" w:tplc="A8E6225A">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nsid w:val="44605149"/>
    <w:multiLevelType w:val="hybridMultilevel"/>
    <w:tmpl w:val="492687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47C1698D"/>
    <w:multiLevelType w:val="hybridMultilevel"/>
    <w:tmpl w:val="111A99FE"/>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27">
    <w:nsid w:val="50EF246C"/>
    <w:multiLevelType w:val="hybridMultilevel"/>
    <w:tmpl w:val="09F8AF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3105C8E"/>
    <w:multiLevelType w:val="hybridMultilevel"/>
    <w:tmpl w:val="F948E298"/>
    <w:lvl w:ilvl="0" w:tplc="1AA6DBD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4DE0CD9"/>
    <w:multiLevelType w:val="hybridMultilevel"/>
    <w:tmpl w:val="0B32E6F8"/>
    <w:lvl w:ilvl="0" w:tplc="16E6F808">
      <w:start w:val="5"/>
      <w:numFmt w:val="decimal"/>
      <w:lvlText w:val="%1."/>
      <w:lvlJc w:val="left"/>
      <w:pPr>
        <w:tabs>
          <w:tab w:val="num" w:pos="840"/>
        </w:tabs>
        <w:ind w:left="840" w:hanging="48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5211913"/>
    <w:multiLevelType w:val="hybridMultilevel"/>
    <w:tmpl w:val="E138A6E2"/>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C9F420CE">
      <w:start w:val="1"/>
      <w:numFmt w:val="decimal"/>
      <w:lvlText w:val="%4."/>
      <w:lvlJc w:val="left"/>
      <w:pPr>
        <w:tabs>
          <w:tab w:val="num" w:pos="990"/>
        </w:tabs>
        <w:ind w:left="99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1E84DEB"/>
    <w:multiLevelType w:val="hybridMultilevel"/>
    <w:tmpl w:val="EAB246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A911B69"/>
    <w:multiLevelType w:val="hybridMultilevel"/>
    <w:tmpl w:val="8C704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B810717"/>
    <w:multiLevelType w:val="hybridMultilevel"/>
    <w:tmpl w:val="634A95A0"/>
    <w:lvl w:ilvl="0" w:tplc="035E7854">
      <w:start w:val="1"/>
      <w:numFmt w:val="lowerLetter"/>
      <w:lvlText w:val="%1)"/>
      <w:lvlJc w:val="left"/>
      <w:pPr>
        <w:tabs>
          <w:tab w:val="num" w:pos="4860"/>
        </w:tabs>
        <w:ind w:left="48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BB2589F"/>
    <w:multiLevelType w:val="hybridMultilevel"/>
    <w:tmpl w:val="B43285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6BF44FDB"/>
    <w:multiLevelType w:val="hybridMultilevel"/>
    <w:tmpl w:val="F21260D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C1C4682"/>
    <w:multiLevelType w:val="hybridMultilevel"/>
    <w:tmpl w:val="3A543CC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6C221073"/>
    <w:multiLevelType w:val="hybridMultilevel"/>
    <w:tmpl w:val="92B82A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05C4DF3"/>
    <w:multiLevelType w:val="multilevel"/>
    <w:tmpl w:val="3060280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nsid w:val="7EBF2D9A"/>
    <w:multiLevelType w:val="hybridMultilevel"/>
    <w:tmpl w:val="33E8AF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2"/>
  </w:num>
  <w:num w:numId="3">
    <w:abstractNumId w:val="28"/>
  </w:num>
  <w:num w:numId="4">
    <w:abstractNumId w:val="19"/>
  </w:num>
  <w:num w:numId="5">
    <w:abstractNumId w:val="24"/>
  </w:num>
  <w:num w:numId="6">
    <w:abstractNumId w:val="14"/>
  </w:num>
  <w:num w:numId="7">
    <w:abstractNumId w:val="4"/>
  </w:num>
  <w:num w:numId="8">
    <w:abstractNumId w:val="21"/>
  </w:num>
  <w:num w:numId="9">
    <w:abstractNumId w:val="20"/>
  </w:num>
  <w:num w:numId="10">
    <w:abstractNumId w:val="10"/>
  </w:num>
  <w:num w:numId="11">
    <w:abstractNumId w:val="30"/>
  </w:num>
  <w:num w:numId="12">
    <w:abstractNumId w:val="13"/>
  </w:num>
  <w:num w:numId="13">
    <w:abstractNumId w:val="7"/>
  </w:num>
  <w:num w:numId="14">
    <w:abstractNumId w:val="33"/>
  </w:num>
  <w:num w:numId="15">
    <w:abstractNumId w:val="17"/>
  </w:num>
  <w:num w:numId="16">
    <w:abstractNumId w:val="29"/>
  </w:num>
  <w:num w:numId="17">
    <w:abstractNumId w:val="36"/>
  </w:num>
  <w:num w:numId="18">
    <w:abstractNumId w:val="27"/>
  </w:num>
  <w:num w:numId="19">
    <w:abstractNumId w:val="34"/>
  </w:num>
  <w:num w:numId="20">
    <w:abstractNumId w:val="6"/>
  </w:num>
  <w:num w:numId="21">
    <w:abstractNumId w:val="26"/>
  </w:num>
  <w:num w:numId="22">
    <w:abstractNumId w:val="15"/>
  </w:num>
  <w:num w:numId="23">
    <w:abstractNumId w:val="5"/>
  </w:num>
  <w:num w:numId="24">
    <w:abstractNumId w:val="39"/>
  </w:num>
  <w:num w:numId="25">
    <w:abstractNumId w:val="11"/>
  </w:num>
  <w:num w:numId="26">
    <w:abstractNumId w:val="25"/>
  </w:num>
  <w:num w:numId="27">
    <w:abstractNumId w:val="31"/>
  </w:num>
  <w:num w:numId="28">
    <w:abstractNumId w:val="23"/>
  </w:num>
  <w:num w:numId="29">
    <w:abstractNumId w:val="32"/>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35"/>
  </w:num>
  <w:num w:numId="33">
    <w:abstractNumId w:val="8"/>
  </w:num>
  <w:num w:numId="34">
    <w:abstractNumId w:val="0"/>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37"/>
  </w:num>
  <w:num w:numId="38">
    <w:abstractNumId w:val="38"/>
  </w:num>
  <w:num w:numId="39">
    <w:abstractNumId w:val="16"/>
  </w:num>
  <w:num w:numId="40">
    <w:abstractNumId w:val="18"/>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A00"/>
    <w:rsid w:val="00004DB6"/>
    <w:rsid w:val="00013124"/>
    <w:rsid w:val="00031E9D"/>
    <w:rsid w:val="00036E00"/>
    <w:rsid w:val="0003732E"/>
    <w:rsid w:val="0004757E"/>
    <w:rsid w:val="00050C68"/>
    <w:rsid w:val="00054ADB"/>
    <w:rsid w:val="00057843"/>
    <w:rsid w:val="00064251"/>
    <w:rsid w:val="00070A10"/>
    <w:rsid w:val="00072F44"/>
    <w:rsid w:val="000752B6"/>
    <w:rsid w:val="0007536C"/>
    <w:rsid w:val="0008530D"/>
    <w:rsid w:val="00085B87"/>
    <w:rsid w:val="000A149C"/>
    <w:rsid w:val="000A3EF4"/>
    <w:rsid w:val="000A4D4C"/>
    <w:rsid w:val="000A73D3"/>
    <w:rsid w:val="000B196F"/>
    <w:rsid w:val="000C36A2"/>
    <w:rsid w:val="000C4EEC"/>
    <w:rsid w:val="000D6D60"/>
    <w:rsid w:val="000E07DD"/>
    <w:rsid w:val="000E6263"/>
    <w:rsid w:val="000F00B9"/>
    <w:rsid w:val="000F7B52"/>
    <w:rsid w:val="001001AD"/>
    <w:rsid w:val="00103BBD"/>
    <w:rsid w:val="00103DB0"/>
    <w:rsid w:val="00104D40"/>
    <w:rsid w:val="0010613A"/>
    <w:rsid w:val="00107D68"/>
    <w:rsid w:val="00117280"/>
    <w:rsid w:val="001216CE"/>
    <w:rsid w:val="00127D2D"/>
    <w:rsid w:val="001511CC"/>
    <w:rsid w:val="001529A9"/>
    <w:rsid w:val="00152F77"/>
    <w:rsid w:val="0015484D"/>
    <w:rsid w:val="00156617"/>
    <w:rsid w:val="001604FA"/>
    <w:rsid w:val="00165290"/>
    <w:rsid w:val="00166DF8"/>
    <w:rsid w:val="00167F01"/>
    <w:rsid w:val="001708F8"/>
    <w:rsid w:val="0017473B"/>
    <w:rsid w:val="00174F37"/>
    <w:rsid w:val="0019371E"/>
    <w:rsid w:val="00193A7E"/>
    <w:rsid w:val="001A1543"/>
    <w:rsid w:val="001A262C"/>
    <w:rsid w:val="001A348E"/>
    <w:rsid w:val="001B170F"/>
    <w:rsid w:val="001B252C"/>
    <w:rsid w:val="001C566C"/>
    <w:rsid w:val="001D07B9"/>
    <w:rsid w:val="001E1E14"/>
    <w:rsid w:val="001E650D"/>
    <w:rsid w:val="001F2693"/>
    <w:rsid w:val="00201867"/>
    <w:rsid w:val="00204D7A"/>
    <w:rsid w:val="002054DA"/>
    <w:rsid w:val="002131F3"/>
    <w:rsid w:val="002136D0"/>
    <w:rsid w:val="002233E5"/>
    <w:rsid w:val="00224CD8"/>
    <w:rsid w:val="0022521E"/>
    <w:rsid w:val="0022560B"/>
    <w:rsid w:val="002267CD"/>
    <w:rsid w:val="00234ABF"/>
    <w:rsid w:val="00236136"/>
    <w:rsid w:val="00236FCA"/>
    <w:rsid w:val="00237C9D"/>
    <w:rsid w:val="00243020"/>
    <w:rsid w:val="00245AA9"/>
    <w:rsid w:val="002505C0"/>
    <w:rsid w:val="00256C1E"/>
    <w:rsid w:val="002608C8"/>
    <w:rsid w:val="00265ED6"/>
    <w:rsid w:val="0027008C"/>
    <w:rsid w:val="00276C07"/>
    <w:rsid w:val="002864E6"/>
    <w:rsid w:val="0029069B"/>
    <w:rsid w:val="002932D9"/>
    <w:rsid w:val="002A0F21"/>
    <w:rsid w:val="002A2148"/>
    <w:rsid w:val="002A596D"/>
    <w:rsid w:val="002A617F"/>
    <w:rsid w:val="002B37EA"/>
    <w:rsid w:val="002B5B8B"/>
    <w:rsid w:val="002B6440"/>
    <w:rsid w:val="002C021B"/>
    <w:rsid w:val="002C0517"/>
    <w:rsid w:val="002D3E22"/>
    <w:rsid w:val="002D4803"/>
    <w:rsid w:val="002E0435"/>
    <w:rsid w:val="002E29C9"/>
    <w:rsid w:val="002E6CC4"/>
    <w:rsid w:val="0030583E"/>
    <w:rsid w:val="003079D9"/>
    <w:rsid w:val="00312558"/>
    <w:rsid w:val="003125EA"/>
    <w:rsid w:val="00316B29"/>
    <w:rsid w:val="00316C7C"/>
    <w:rsid w:val="00327888"/>
    <w:rsid w:val="003311C1"/>
    <w:rsid w:val="00331451"/>
    <w:rsid w:val="003331FF"/>
    <w:rsid w:val="0034077D"/>
    <w:rsid w:val="00343A76"/>
    <w:rsid w:val="00345E79"/>
    <w:rsid w:val="00346DB8"/>
    <w:rsid w:val="00351844"/>
    <w:rsid w:val="00353023"/>
    <w:rsid w:val="0037576B"/>
    <w:rsid w:val="003827A8"/>
    <w:rsid w:val="0038735C"/>
    <w:rsid w:val="003874E2"/>
    <w:rsid w:val="003919F6"/>
    <w:rsid w:val="00395918"/>
    <w:rsid w:val="003B48CC"/>
    <w:rsid w:val="003C3D20"/>
    <w:rsid w:val="003C6616"/>
    <w:rsid w:val="003D2E9F"/>
    <w:rsid w:val="003D30D1"/>
    <w:rsid w:val="003D72A9"/>
    <w:rsid w:val="003E22A3"/>
    <w:rsid w:val="003E41C6"/>
    <w:rsid w:val="003E6D4D"/>
    <w:rsid w:val="003F3409"/>
    <w:rsid w:val="003F35DF"/>
    <w:rsid w:val="003F3CDC"/>
    <w:rsid w:val="00400738"/>
    <w:rsid w:val="004013B0"/>
    <w:rsid w:val="00403D7D"/>
    <w:rsid w:val="00415AE6"/>
    <w:rsid w:val="00416368"/>
    <w:rsid w:val="00423009"/>
    <w:rsid w:val="00425645"/>
    <w:rsid w:val="00427EEC"/>
    <w:rsid w:val="00432A48"/>
    <w:rsid w:val="004408E9"/>
    <w:rsid w:val="004421BB"/>
    <w:rsid w:val="0044655A"/>
    <w:rsid w:val="00447893"/>
    <w:rsid w:val="00447A6B"/>
    <w:rsid w:val="004501F8"/>
    <w:rsid w:val="0045150D"/>
    <w:rsid w:val="00452169"/>
    <w:rsid w:val="0046184D"/>
    <w:rsid w:val="00466F8F"/>
    <w:rsid w:val="00467143"/>
    <w:rsid w:val="004712EE"/>
    <w:rsid w:val="004731CF"/>
    <w:rsid w:val="00475137"/>
    <w:rsid w:val="00477129"/>
    <w:rsid w:val="004859A3"/>
    <w:rsid w:val="00490BF2"/>
    <w:rsid w:val="00492A18"/>
    <w:rsid w:val="004A47F1"/>
    <w:rsid w:val="004C18C3"/>
    <w:rsid w:val="004D59E5"/>
    <w:rsid w:val="004D6E50"/>
    <w:rsid w:val="004E00A7"/>
    <w:rsid w:val="004E59E0"/>
    <w:rsid w:val="004F13FC"/>
    <w:rsid w:val="004F2273"/>
    <w:rsid w:val="004F395D"/>
    <w:rsid w:val="004F4AA1"/>
    <w:rsid w:val="00500CA1"/>
    <w:rsid w:val="0050223D"/>
    <w:rsid w:val="0051398A"/>
    <w:rsid w:val="005327DE"/>
    <w:rsid w:val="0053744D"/>
    <w:rsid w:val="0054570D"/>
    <w:rsid w:val="00547340"/>
    <w:rsid w:val="0055058C"/>
    <w:rsid w:val="005525FC"/>
    <w:rsid w:val="00556C47"/>
    <w:rsid w:val="00561554"/>
    <w:rsid w:val="00564974"/>
    <w:rsid w:val="00574D19"/>
    <w:rsid w:val="00574DB1"/>
    <w:rsid w:val="00577408"/>
    <w:rsid w:val="00577ACA"/>
    <w:rsid w:val="00581EA9"/>
    <w:rsid w:val="00583C3D"/>
    <w:rsid w:val="005852C4"/>
    <w:rsid w:val="00585A26"/>
    <w:rsid w:val="005867C8"/>
    <w:rsid w:val="005A2693"/>
    <w:rsid w:val="005A4A00"/>
    <w:rsid w:val="005A758F"/>
    <w:rsid w:val="005A7D9A"/>
    <w:rsid w:val="005B1033"/>
    <w:rsid w:val="005B4382"/>
    <w:rsid w:val="005C253D"/>
    <w:rsid w:val="005D1131"/>
    <w:rsid w:val="005E2A18"/>
    <w:rsid w:val="005E5206"/>
    <w:rsid w:val="005F0D49"/>
    <w:rsid w:val="005F2D3F"/>
    <w:rsid w:val="005F3819"/>
    <w:rsid w:val="005F3F75"/>
    <w:rsid w:val="005F59B7"/>
    <w:rsid w:val="005F6742"/>
    <w:rsid w:val="006171CD"/>
    <w:rsid w:val="00633395"/>
    <w:rsid w:val="00633596"/>
    <w:rsid w:val="006373D3"/>
    <w:rsid w:val="00642A92"/>
    <w:rsid w:val="006433BF"/>
    <w:rsid w:val="00644197"/>
    <w:rsid w:val="006537E0"/>
    <w:rsid w:val="00662243"/>
    <w:rsid w:val="00662873"/>
    <w:rsid w:val="006652A2"/>
    <w:rsid w:val="00671224"/>
    <w:rsid w:val="00677475"/>
    <w:rsid w:val="0068071B"/>
    <w:rsid w:val="006A2712"/>
    <w:rsid w:val="006A520A"/>
    <w:rsid w:val="006B2083"/>
    <w:rsid w:val="006B2339"/>
    <w:rsid w:val="006B3A79"/>
    <w:rsid w:val="006B3EA9"/>
    <w:rsid w:val="006B4B59"/>
    <w:rsid w:val="006C127D"/>
    <w:rsid w:val="006D4073"/>
    <w:rsid w:val="006D69CB"/>
    <w:rsid w:val="006E0FD6"/>
    <w:rsid w:val="006E1F94"/>
    <w:rsid w:val="006E301B"/>
    <w:rsid w:val="006E7745"/>
    <w:rsid w:val="006F24A8"/>
    <w:rsid w:val="00700D6C"/>
    <w:rsid w:val="00705F2E"/>
    <w:rsid w:val="0071348E"/>
    <w:rsid w:val="00713F5F"/>
    <w:rsid w:val="00714B0F"/>
    <w:rsid w:val="0072129F"/>
    <w:rsid w:val="00725363"/>
    <w:rsid w:val="007261BB"/>
    <w:rsid w:val="0073517D"/>
    <w:rsid w:val="00740C99"/>
    <w:rsid w:val="0074101B"/>
    <w:rsid w:val="00741052"/>
    <w:rsid w:val="007459F3"/>
    <w:rsid w:val="00745BA3"/>
    <w:rsid w:val="0074744B"/>
    <w:rsid w:val="0074759E"/>
    <w:rsid w:val="0075123C"/>
    <w:rsid w:val="00752FFD"/>
    <w:rsid w:val="00771560"/>
    <w:rsid w:val="00774007"/>
    <w:rsid w:val="00774713"/>
    <w:rsid w:val="0077520E"/>
    <w:rsid w:val="00775425"/>
    <w:rsid w:val="00775AD1"/>
    <w:rsid w:val="007A129D"/>
    <w:rsid w:val="007A4E87"/>
    <w:rsid w:val="007B45B3"/>
    <w:rsid w:val="007B57E6"/>
    <w:rsid w:val="007C7CE5"/>
    <w:rsid w:val="007D103C"/>
    <w:rsid w:val="007D3AFF"/>
    <w:rsid w:val="007E08D8"/>
    <w:rsid w:val="007E2641"/>
    <w:rsid w:val="007E5EAF"/>
    <w:rsid w:val="008021CA"/>
    <w:rsid w:val="00803F52"/>
    <w:rsid w:val="0080530F"/>
    <w:rsid w:val="008063DA"/>
    <w:rsid w:val="008234E0"/>
    <w:rsid w:val="00835C83"/>
    <w:rsid w:val="00847726"/>
    <w:rsid w:val="00847FBD"/>
    <w:rsid w:val="00850149"/>
    <w:rsid w:val="00851006"/>
    <w:rsid w:val="00863EDF"/>
    <w:rsid w:val="00870E75"/>
    <w:rsid w:val="008732F2"/>
    <w:rsid w:val="0087439B"/>
    <w:rsid w:val="00881A15"/>
    <w:rsid w:val="0088330E"/>
    <w:rsid w:val="0089365D"/>
    <w:rsid w:val="00894198"/>
    <w:rsid w:val="0089614D"/>
    <w:rsid w:val="00896E22"/>
    <w:rsid w:val="008A124A"/>
    <w:rsid w:val="008A6792"/>
    <w:rsid w:val="008B011E"/>
    <w:rsid w:val="008B2590"/>
    <w:rsid w:val="008B3128"/>
    <w:rsid w:val="008B7795"/>
    <w:rsid w:val="008B7F2C"/>
    <w:rsid w:val="008C6E25"/>
    <w:rsid w:val="008F3384"/>
    <w:rsid w:val="008F4261"/>
    <w:rsid w:val="008F4E31"/>
    <w:rsid w:val="00902921"/>
    <w:rsid w:val="00902E9D"/>
    <w:rsid w:val="00906B71"/>
    <w:rsid w:val="00911D9D"/>
    <w:rsid w:val="00920965"/>
    <w:rsid w:val="0092193D"/>
    <w:rsid w:val="009420CA"/>
    <w:rsid w:val="00942C51"/>
    <w:rsid w:val="009506A1"/>
    <w:rsid w:val="00957030"/>
    <w:rsid w:val="00962F2C"/>
    <w:rsid w:val="0098031D"/>
    <w:rsid w:val="00981E7E"/>
    <w:rsid w:val="009820F7"/>
    <w:rsid w:val="00986301"/>
    <w:rsid w:val="00997D0C"/>
    <w:rsid w:val="00997F39"/>
    <w:rsid w:val="009A1F50"/>
    <w:rsid w:val="009A4682"/>
    <w:rsid w:val="009B1200"/>
    <w:rsid w:val="009B32DC"/>
    <w:rsid w:val="009C29C5"/>
    <w:rsid w:val="009C49BA"/>
    <w:rsid w:val="009C4D96"/>
    <w:rsid w:val="009C5A82"/>
    <w:rsid w:val="009C7AF2"/>
    <w:rsid w:val="009D2D46"/>
    <w:rsid w:val="009D6613"/>
    <w:rsid w:val="009D7A9F"/>
    <w:rsid w:val="009E2231"/>
    <w:rsid w:val="009E3332"/>
    <w:rsid w:val="009E7044"/>
    <w:rsid w:val="009F6881"/>
    <w:rsid w:val="009F69B6"/>
    <w:rsid w:val="009F7C45"/>
    <w:rsid w:val="00A00BF1"/>
    <w:rsid w:val="00A04A84"/>
    <w:rsid w:val="00A23861"/>
    <w:rsid w:val="00A23F64"/>
    <w:rsid w:val="00A277E5"/>
    <w:rsid w:val="00A41AA6"/>
    <w:rsid w:val="00A47F21"/>
    <w:rsid w:val="00A50FEC"/>
    <w:rsid w:val="00A515BB"/>
    <w:rsid w:val="00A52D44"/>
    <w:rsid w:val="00A54D6A"/>
    <w:rsid w:val="00A555F0"/>
    <w:rsid w:val="00A55E5D"/>
    <w:rsid w:val="00A63615"/>
    <w:rsid w:val="00A76A6D"/>
    <w:rsid w:val="00A8373D"/>
    <w:rsid w:val="00A84024"/>
    <w:rsid w:val="00A932C8"/>
    <w:rsid w:val="00AB1913"/>
    <w:rsid w:val="00AB552F"/>
    <w:rsid w:val="00AB6321"/>
    <w:rsid w:val="00AB737C"/>
    <w:rsid w:val="00AC45D5"/>
    <w:rsid w:val="00AC4F03"/>
    <w:rsid w:val="00AC6D51"/>
    <w:rsid w:val="00AC7209"/>
    <w:rsid w:val="00AD55B0"/>
    <w:rsid w:val="00AE0869"/>
    <w:rsid w:val="00AE1258"/>
    <w:rsid w:val="00AE2FC8"/>
    <w:rsid w:val="00AE3596"/>
    <w:rsid w:val="00AE4651"/>
    <w:rsid w:val="00B03877"/>
    <w:rsid w:val="00B0470B"/>
    <w:rsid w:val="00B1049F"/>
    <w:rsid w:val="00B129D0"/>
    <w:rsid w:val="00B12AF9"/>
    <w:rsid w:val="00B13091"/>
    <w:rsid w:val="00B13C1C"/>
    <w:rsid w:val="00B16B67"/>
    <w:rsid w:val="00B24CDE"/>
    <w:rsid w:val="00B34182"/>
    <w:rsid w:val="00B3780D"/>
    <w:rsid w:val="00B4058A"/>
    <w:rsid w:val="00B40E43"/>
    <w:rsid w:val="00B47C5F"/>
    <w:rsid w:val="00B54D26"/>
    <w:rsid w:val="00B54D96"/>
    <w:rsid w:val="00B5553D"/>
    <w:rsid w:val="00B80265"/>
    <w:rsid w:val="00B940D8"/>
    <w:rsid w:val="00BA1E17"/>
    <w:rsid w:val="00BB3C6F"/>
    <w:rsid w:val="00BC0674"/>
    <w:rsid w:val="00BD14A7"/>
    <w:rsid w:val="00BE3080"/>
    <w:rsid w:val="00C02E2D"/>
    <w:rsid w:val="00C04F45"/>
    <w:rsid w:val="00C11748"/>
    <w:rsid w:val="00C16BDD"/>
    <w:rsid w:val="00C21659"/>
    <w:rsid w:val="00C26D2F"/>
    <w:rsid w:val="00C27D46"/>
    <w:rsid w:val="00C4017D"/>
    <w:rsid w:val="00C46204"/>
    <w:rsid w:val="00C462D2"/>
    <w:rsid w:val="00C46732"/>
    <w:rsid w:val="00C60CC6"/>
    <w:rsid w:val="00C625A1"/>
    <w:rsid w:val="00C7022D"/>
    <w:rsid w:val="00C754F2"/>
    <w:rsid w:val="00C8597F"/>
    <w:rsid w:val="00C9488E"/>
    <w:rsid w:val="00CA074D"/>
    <w:rsid w:val="00CA1BC3"/>
    <w:rsid w:val="00CA49A0"/>
    <w:rsid w:val="00CA5D5D"/>
    <w:rsid w:val="00CA6094"/>
    <w:rsid w:val="00CB3B8E"/>
    <w:rsid w:val="00CC009D"/>
    <w:rsid w:val="00CC0FB5"/>
    <w:rsid w:val="00CC5146"/>
    <w:rsid w:val="00CE15A5"/>
    <w:rsid w:val="00CF1526"/>
    <w:rsid w:val="00CF1E75"/>
    <w:rsid w:val="00CF319C"/>
    <w:rsid w:val="00CF65C1"/>
    <w:rsid w:val="00D02BC2"/>
    <w:rsid w:val="00D04E1F"/>
    <w:rsid w:val="00D366F3"/>
    <w:rsid w:val="00D3690E"/>
    <w:rsid w:val="00D40755"/>
    <w:rsid w:val="00D42066"/>
    <w:rsid w:val="00D50737"/>
    <w:rsid w:val="00D51753"/>
    <w:rsid w:val="00D5453A"/>
    <w:rsid w:val="00D633DC"/>
    <w:rsid w:val="00D6345F"/>
    <w:rsid w:val="00D65DCC"/>
    <w:rsid w:val="00D76390"/>
    <w:rsid w:val="00D81E3E"/>
    <w:rsid w:val="00D830A8"/>
    <w:rsid w:val="00D84593"/>
    <w:rsid w:val="00D8523D"/>
    <w:rsid w:val="00D909EB"/>
    <w:rsid w:val="00D91EC3"/>
    <w:rsid w:val="00D94269"/>
    <w:rsid w:val="00D969CF"/>
    <w:rsid w:val="00DA3195"/>
    <w:rsid w:val="00DA43D2"/>
    <w:rsid w:val="00DA60EA"/>
    <w:rsid w:val="00DA6228"/>
    <w:rsid w:val="00DB12F2"/>
    <w:rsid w:val="00DB7353"/>
    <w:rsid w:val="00DC05FB"/>
    <w:rsid w:val="00DC47F8"/>
    <w:rsid w:val="00DC77B6"/>
    <w:rsid w:val="00DD293E"/>
    <w:rsid w:val="00DE0553"/>
    <w:rsid w:val="00DF1EC3"/>
    <w:rsid w:val="00DF772B"/>
    <w:rsid w:val="00E006D2"/>
    <w:rsid w:val="00E00D08"/>
    <w:rsid w:val="00E0123C"/>
    <w:rsid w:val="00E01A8A"/>
    <w:rsid w:val="00E01C33"/>
    <w:rsid w:val="00E033E5"/>
    <w:rsid w:val="00E03BB4"/>
    <w:rsid w:val="00E110C5"/>
    <w:rsid w:val="00E11DE2"/>
    <w:rsid w:val="00E27B27"/>
    <w:rsid w:val="00E27D78"/>
    <w:rsid w:val="00E30E3D"/>
    <w:rsid w:val="00E31A92"/>
    <w:rsid w:val="00E415D1"/>
    <w:rsid w:val="00E52930"/>
    <w:rsid w:val="00E62613"/>
    <w:rsid w:val="00E63B4A"/>
    <w:rsid w:val="00E7127F"/>
    <w:rsid w:val="00E74870"/>
    <w:rsid w:val="00E81280"/>
    <w:rsid w:val="00E8341E"/>
    <w:rsid w:val="00E83F00"/>
    <w:rsid w:val="00E916C1"/>
    <w:rsid w:val="00E973DE"/>
    <w:rsid w:val="00EB2A60"/>
    <w:rsid w:val="00EB47E8"/>
    <w:rsid w:val="00EB6EB6"/>
    <w:rsid w:val="00EB7096"/>
    <w:rsid w:val="00EC1446"/>
    <w:rsid w:val="00EC49DA"/>
    <w:rsid w:val="00ED06FA"/>
    <w:rsid w:val="00ED21EF"/>
    <w:rsid w:val="00ED3C02"/>
    <w:rsid w:val="00EE4699"/>
    <w:rsid w:val="00EF5E88"/>
    <w:rsid w:val="00F074BE"/>
    <w:rsid w:val="00F1120D"/>
    <w:rsid w:val="00F12CF7"/>
    <w:rsid w:val="00F12D39"/>
    <w:rsid w:val="00F13B05"/>
    <w:rsid w:val="00F221E3"/>
    <w:rsid w:val="00F37AF7"/>
    <w:rsid w:val="00F42E97"/>
    <w:rsid w:val="00F463D2"/>
    <w:rsid w:val="00F508FA"/>
    <w:rsid w:val="00F561BF"/>
    <w:rsid w:val="00F63799"/>
    <w:rsid w:val="00F64EF9"/>
    <w:rsid w:val="00F7040E"/>
    <w:rsid w:val="00F71BF3"/>
    <w:rsid w:val="00F7310B"/>
    <w:rsid w:val="00F75842"/>
    <w:rsid w:val="00F83C61"/>
    <w:rsid w:val="00F91416"/>
    <w:rsid w:val="00F926A7"/>
    <w:rsid w:val="00FA1650"/>
    <w:rsid w:val="00FA171F"/>
    <w:rsid w:val="00FA2CE0"/>
    <w:rsid w:val="00FA3C0B"/>
    <w:rsid w:val="00FA696B"/>
    <w:rsid w:val="00FA6A6D"/>
    <w:rsid w:val="00FA731B"/>
    <w:rsid w:val="00FA7E8B"/>
    <w:rsid w:val="00FC5D21"/>
    <w:rsid w:val="00FC7CB9"/>
    <w:rsid w:val="00FC7EA3"/>
    <w:rsid w:val="00FD2904"/>
    <w:rsid w:val="00FE035D"/>
    <w:rsid w:val="00FE0B9C"/>
    <w:rsid w:val="00FE3266"/>
    <w:rsid w:val="00FE3941"/>
    <w:rsid w:val="00FE47C3"/>
    <w:rsid w:val="00FF6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4A00"/>
    <w:rPr>
      <w:sz w:val="24"/>
    </w:rPr>
  </w:style>
  <w:style w:type="paragraph" w:styleId="Heading1">
    <w:name w:val="heading 1"/>
    <w:basedOn w:val="Normal"/>
    <w:next w:val="Normal"/>
    <w:link w:val="Heading1Char"/>
    <w:qFormat/>
    <w:rsid w:val="009F68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5A4A00"/>
    <w:pPr>
      <w:keepNext/>
      <w:spacing w:before="240" w:after="240"/>
      <w:ind w:left="720" w:hanging="720"/>
      <w:outlineLvl w:val="1"/>
    </w:pPr>
    <w:rPr>
      <w:rFonts w:cs="Arial"/>
      <w:b/>
      <w:bCs/>
      <w:iCs/>
      <w:szCs w:val="28"/>
    </w:rPr>
  </w:style>
  <w:style w:type="paragraph" w:styleId="Heading3">
    <w:name w:val="heading 3"/>
    <w:basedOn w:val="Normal"/>
    <w:next w:val="Normal"/>
    <w:link w:val="Heading3Char"/>
    <w:unhideWhenUsed/>
    <w:qFormat/>
    <w:rsid w:val="00CA1BC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A4A00"/>
    <w:rPr>
      <w:rFonts w:cs="Arial"/>
      <w:b/>
      <w:bCs/>
      <w:iCs/>
      <w:sz w:val="24"/>
      <w:szCs w:val="28"/>
    </w:rPr>
  </w:style>
  <w:style w:type="paragraph" w:styleId="Footer">
    <w:name w:val="footer"/>
    <w:basedOn w:val="Normal"/>
    <w:link w:val="FooterChar"/>
    <w:uiPriority w:val="99"/>
    <w:rsid w:val="005A4A00"/>
    <w:pPr>
      <w:tabs>
        <w:tab w:val="center" w:pos="4320"/>
        <w:tab w:val="right" w:pos="8640"/>
      </w:tabs>
    </w:pPr>
  </w:style>
  <w:style w:type="character" w:customStyle="1" w:styleId="FooterChar">
    <w:name w:val="Footer Char"/>
    <w:basedOn w:val="DefaultParagraphFont"/>
    <w:link w:val="Footer"/>
    <w:uiPriority w:val="99"/>
    <w:rsid w:val="005A4A00"/>
    <w:rPr>
      <w:sz w:val="24"/>
    </w:rPr>
  </w:style>
  <w:style w:type="paragraph" w:customStyle="1" w:styleId="Level1">
    <w:name w:val="Level 1"/>
    <w:basedOn w:val="Normal"/>
    <w:rsid w:val="005A4A00"/>
    <w:pPr>
      <w:widowControl w:val="0"/>
    </w:pPr>
  </w:style>
  <w:style w:type="character" w:customStyle="1" w:styleId="DefaultPara">
    <w:name w:val="Default Para"/>
    <w:rsid w:val="005A4A00"/>
  </w:style>
  <w:style w:type="character" w:customStyle="1" w:styleId="footnoteref">
    <w:name w:val="footnote ref"/>
    <w:rsid w:val="005A4A00"/>
  </w:style>
  <w:style w:type="paragraph" w:customStyle="1" w:styleId="Footer1">
    <w:name w:val="Footer1"/>
    <w:basedOn w:val="Normal"/>
    <w:rsid w:val="005A4A00"/>
    <w:pPr>
      <w:widowControl w:val="0"/>
      <w:tabs>
        <w:tab w:val="left" w:pos="0"/>
        <w:tab w:val="center" w:pos="4320"/>
        <w:tab w:val="right" w:pos="8640"/>
        <w:tab w:val="left" w:pos="9360"/>
      </w:tabs>
    </w:pPr>
  </w:style>
  <w:style w:type="character" w:customStyle="1" w:styleId="PageNumber1">
    <w:name w:val="Page Number1"/>
    <w:rsid w:val="005A4A00"/>
    <w:rPr>
      <w:sz w:val="24"/>
    </w:rPr>
  </w:style>
  <w:style w:type="character" w:customStyle="1" w:styleId="C2CtrSglS">
    <w:name w:val="C2Ctr Sgl S"/>
    <w:rsid w:val="005A4A00"/>
  </w:style>
  <w:style w:type="character" w:customStyle="1" w:styleId="SLFlLftSg">
    <w:name w:val="SLFl Lft Sg"/>
    <w:rsid w:val="005A4A00"/>
  </w:style>
  <w:style w:type="paragraph" w:customStyle="1" w:styleId="a">
    <w:name w:val="_"/>
    <w:basedOn w:val="Normal"/>
    <w:rsid w:val="005A4A0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Quick1">
    <w:name w:val="Quick 1."/>
    <w:basedOn w:val="Normal"/>
    <w:rsid w:val="005A4A0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character" w:customStyle="1" w:styleId="1">
    <w:name w:val="1"/>
    <w:rsid w:val="005A4A00"/>
    <w:rPr>
      <w:sz w:val="24"/>
    </w:rPr>
  </w:style>
  <w:style w:type="paragraph" w:customStyle="1" w:styleId="Header1">
    <w:name w:val="Header1"/>
    <w:basedOn w:val="Normal"/>
    <w:rsid w:val="005A4A00"/>
    <w:pPr>
      <w:widowControl w:val="0"/>
      <w:tabs>
        <w:tab w:val="left" w:pos="0"/>
        <w:tab w:val="center" w:pos="4320"/>
        <w:tab w:val="right" w:pos="8640"/>
        <w:tab w:val="left" w:pos="9360"/>
      </w:tabs>
    </w:pPr>
  </w:style>
  <w:style w:type="paragraph" w:customStyle="1" w:styleId="1AutoList40">
    <w:name w:val="1AutoList40"/>
    <w:basedOn w:val="Normal"/>
    <w:rsid w:val="005A4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character" w:styleId="PageNumber">
    <w:name w:val="page number"/>
    <w:basedOn w:val="DefaultParagraphFont"/>
    <w:rsid w:val="005A4A00"/>
  </w:style>
  <w:style w:type="paragraph" w:styleId="NormalWeb">
    <w:name w:val="Normal (Web)"/>
    <w:basedOn w:val="Normal"/>
    <w:rsid w:val="005A4A00"/>
    <w:pPr>
      <w:spacing w:before="100" w:beforeAutospacing="1" w:after="100" w:afterAutospacing="1"/>
    </w:pPr>
    <w:rPr>
      <w:szCs w:val="24"/>
    </w:rPr>
  </w:style>
  <w:style w:type="paragraph" w:styleId="BodyTextIndent3">
    <w:name w:val="Body Text Indent 3"/>
    <w:basedOn w:val="Normal"/>
    <w:link w:val="BodyTextIndent3Char"/>
    <w:rsid w:val="005A4A00"/>
    <w:pPr>
      <w:spacing w:after="120"/>
      <w:ind w:left="360"/>
    </w:pPr>
    <w:rPr>
      <w:sz w:val="16"/>
      <w:szCs w:val="16"/>
    </w:rPr>
  </w:style>
  <w:style w:type="character" w:customStyle="1" w:styleId="BodyTextIndent3Char">
    <w:name w:val="Body Text Indent 3 Char"/>
    <w:basedOn w:val="DefaultParagraphFont"/>
    <w:link w:val="BodyTextIndent3"/>
    <w:rsid w:val="005A4A00"/>
    <w:rPr>
      <w:sz w:val="16"/>
      <w:szCs w:val="16"/>
    </w:rPr>
  </w:style>
  <w:style w:type="paragraph" w:styleId="FootnoteText">
    <w:name w:val="footnote text"/>
    <w:basedOn w:val="Normal"/>
    <w:link w:val="FootnoteTextChar"/>
    <w:rsid w:val="005A4A00"/>
    <w:rPr>
      <w:sz w:val="20"/>
    </w:rPr>
  </w:style>
  <w:style w:type="character" w:customStyle="1" w:styleId="FootnoteTextChar">
    <w:name w:val="Footnote Text Char"/>
    <w:basedOn w:val="DefaultParagraphFont"/>
    <w:link w:val="FootnoteText"/>
    <w:rsid w:val="005A4A00"/>
  </w:style>
  <w:style w:type="table" w:styleId="TableGrid">
    <w:name w:val="Table Grid"/>
    <w:basedOn w:val="TableNormal"/>
    <w:rsid w:val="005A4A0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A4A00"/>
    <w:pPr>
      <w:tabs>
        <w:tab w:val="center" w:pos="4320"/>
        <w:tab w:val="right" w:pos="8640"/>
      </w:tabs>
    </w:pPr>
  </w:style>
  <w:style w:type="character" w:customStyle="1" w:styleId="HeaderChar">
    <w:name w:val="Header Char"/>
    <w:basedOn w:val="DefaultParagraphFont"/>
    <w:link w:val="Header"/>
    <w:rsid w:val="005A4A00"/>
    <w:rPr>
      <w:sz w:val="24"/>
    </w:rPr>
  </w:style>
  <w:style w:type="paragraph" w:styleId="BodyText">
    <w:name w:val="Body Text"/>
    <w:basedOn w:val="Normal"/>
    <w:link w:val="BodyTextChar"/>
    <w:rsid w:val="005A4A00"/>
    <w:pPr>
      <w:spacing w:after="120"/>
    </w:pPr>
  </w:style>
  <w:style w:type="character" w:customStyle="1" w:styleId="BodyTextChar">
    <w:name w:val="Body Text Char"/>
    <w:basedOn w:val="DefaultParagraphFont"/>
    <w:link w:val="BodyText"/>
    <w:rsid w:val="005A4A00"/>
    <w:rPr>
      <w:sz w:val="24"/>
    </w:rPr>
  </w:style>
  <w:style w:type="paragraph" w:styleId="BalloonText">
    <w:name w:val="Balloon Text"/>
    <w:basedOn w:val="Normal"/>
    <w:link w:val="BalloonTextChar"/>
    <w:rsid w:val="005A4A00"/>
    <w:rPr>
      <w:rFonts w:ascii="Tahoma" w:hAnsi="Tahoma" w:cs="Tahoma"/>
      <w:sz w:val="16"/>
      <w:szCs w:val="16"/>
    </w:rPr>
  </w:style>
  <w:style w:type="character" w:customStyle="1" w:styleId="BalloonTextChar">
    <w:name w:val="Balloon Text Char"/>
    <w:basedOn w:val="DefaultParagraphFont"/>
    <w:link w:val="BalloonText"/>
    <w:rsid w:val="005A4A00"/>
    <w:rPr>
      <w:rFonts w:ascii="Tahoma" w:hAnsi="Tahoma" w:cs="Tahoma"/>
      <w:sz w:val="16"/>
      <w:szCs w:val="16"/>
    </w:rPr>
  </w:style>
  <w:style w:type="character" w:styleId="CommentReference">
    <w:name w:val="annotation reference"/>
    <w:basedOn w:val="DefaultParagraphFont"/>
    <w:uiPriority w:val="99"/>
    <w:rsid w:val="005A4A00"/>
    <w:rPr>
      <w:sz w:val="16"/>
      <w:szCs w:val="16"/>
    </w:rPr>
  </w:style>
  <w:style w:type="paragraph" w:styleId="CommentText">
    <w:name w:val="annotation text"/>
    <w:basedOn w:val="Normal"/>
    <w:link w:val="CommentTextChar"/>
    <w:uiPriority w:val="99"/>
    <w:rsid w:val="005A4A00"/>
    <w:rPr>
      <w:sz w:val="20"/>
    </w:rPr>
  </w:style>
  <w:style w:type="character" w:customStyle="1" w:styleId="CommentTextChar">
    <w:name w:val="Comment Text Char"/>
    <w:basedOn w:val="DefaultParagraphFont"/>
    <w:link w:val="CommentText"/>
    <w:uiPriority w:val="99"/>
    <w:rsid w:val="005A4A00"/>
  </w:style>
  <w:style w:type="paragraph" w:styleId="CommentSubject">
    <w:name w:val="annotation subject"/>
    <w:basedOn w:val="CommentText"/>
    <w:next w:val="CommentText"/>
    <w:link w:val="CommentSubjectChar"/>
    <w:rsid w:val="005A4A00"/>
    <w:rPr>
      <w:b/>
      <w:bCs/>
    </w:rPr>
  </w:style>
  <w:style w:type="character" w:customStyle="1" w:styleId="CommentSubjectChar">
    <w:name w:val="Comment Subject Char"/>
    <w:basedOn w:val="CommentTextChar"/>
    <w:link w:val="CommentSubject"/>
    <w:rsid w:val="005A4A00"/>
    <w:rPr>
      <w:b/>
      <w:bCs/>
    </w:rPr>
  </w:style>
  <w:style w:type="paragraph" w:styleId="ListParagraph">
    <w:name w:val="List Paragraph"/>
    <w:basedOn w:val="Normal"/>
    <w:uiPriority w:val="34"/>
    <w:qFormat/>
    <w:rsid w:val="005A4A00"/>
    <w:pPr>
      <w:ind w:left="720"/>
      <w:contextualSpacing/>
    </w:pPr>
  </w:style>
  <w:style w:type="paragraph" w:styleId="ListBullet">
    <w:name w:val="List Bullet"/>
    <w:basedOn w:val="Normal"/>
    <w:rsid w:val="00D40755"/>
    <w:pPr>
      <w:numPr>
        <w:numId w:val="34"/>
      </w:numPr>
      <w:tabs>
        <w:tab w:val="clear" w:pos="360"/>
      </w:tabs>
      <w:spacing w:before="120"/>
      <w:ind w:left="1440" w:hanging="720"/>
    </w:pPr>
    <w:rPr>
      <w:rFonts w:ascii="Arial" w:hAnsi="Arial"/>
      <w:szCs w:val="24"/>
    </w:rPr>
  </w:style>
  <w:style w:type="character" w:customStyle="1" w:styleId="Heading3Char">
    <w:name w:val="Heading 3 Char"/>
    <w:basedOn w:val="DefaultParagraphFont"/>
    <w:link w:val="Heading3"/>
    <w:rsid w:val="00CA1BC3"/>
    <w:rPr>
      <w:rFonts w:asciiTheme="majorHAnsi" w:eastAsiaTheme="majorEastAsia" w:hAnsiTheme="majorHAnsi" w:cstheme="majorBidi"/>
      <w:b/>
      <w:bCs/>
      <w:color w:val="4F81BD" w:themeColor="accent1"/>
      <w:sz w:val="24"/>
    </w:rPr>
  </w:style>
  <w:style w:type="character" w:styleId="Hyperlink">
    <w:name w:val="Hyperlink"/>
    <w:basedOn w:val="DefaultParagraphFont"/>
    <w:rsid w:val="00662243"/>
    <w:rPr>
      <w:color w:val="0000FF" w:themeColor="hyperlink"/>
      <w:u w:val="single"/>
    </w:rPr>
  </w:style>
  <w:style w:type="character" w:customStyle="1" w:styleId="Heading1Char">
    <w:name w:val="Heading 1 Char"/>
    <w:basedOn w:val="DefaultParagraphFont"/>
    <w:link w:val="Heading1"/>
    <w:rsid w:val="009F6881"/>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rsid w:val="009F6881"/>
    <w:pPr>
      <w:spacing w:after="120"/>
      <w:ind w:left="360"/>
    </w:pPr>
  </w:style>
  <w:style w:type="character" w:customStyle="1" w:styleId="BodyTextIndentChar">
    <w:name w:val="Body Text Indent Char"/>
    <w:basedOn w:val="DefaultParagraphFont"/>
    <w:link w:val="BodyTextIndent"/>
    <w:rsid w:val="009F6881"/>
    <w:rPr>
      <w:sz w:val="24"/>
    </w:rPr>
  </w:style>
  <w:style w:type="paragraph" w:styleId="BodyTextIndent2">
    <w:name w:val="Body Text Indent 2"/>
    <w:basedOn w:val="Normal"/>
    <w:link w:val="BodyTextIndent2Char"/>
    <w:rsid w:val="009F6881"/>
    <w:pPr>
      <w:spacing w:after="120" w:line="480" w:lineRule="auto"/>
      <w:ind w:left="360"/>
    </w:pPr>
  </w:style>
  <w:style w:type="character" w:customStyle="1" w:styleId="BodyTextIndent2Char">
    <w:name w:val="Body Text Indent 2 Char"/>
    <w:basedOn w:val="DefaultParagraphFont"/>
    <w:link w:val="BodyTextIndent2"/>
    <w:rsid w:val="009F6881"/>
    <w:rPr>
      <w:sz w:val="24"/>
    </w:rPr>
  </w:style>
  <w:style w:type="paragraph" w:styleId="Caption">
    <w:name w:val="caption"/>
    <w:basedOn w:val="Normal"/>
    <w:next w:val="Normal"/>
    <w:unhideWhenUsed/>
    <w:qFormat/>
    <w:rsid w:val="003D72A9"/>
    <w:pPr>
      <w:spacing w:after="200"/>
    </w:pPr>
    <w:rPr>
      <w:b/>
      <w:bCs/>
      <w:color w:val="4F81BD" w:themeColor="accent1"/>
      <w:sz w:val="18"/>
      <w:szCs w:val="18"/>
    </w:rPr>
  </w:style>
  <w:style w:type="paragraph" w:styleId="HTMLPreformatted">
    <w:name w:val="HTML Preformatted"/>
    <w:basedOn w:val="Normal"/>
    <w:link w:val="HTMLPreformattedChar"/>
    <w:rsid w:val="00FA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customStyle="1" w:styleId="HTMLPreformattedChar">
    <w:name w:val="HTML Preformatted Char"/>
    <w:basedOn w:val="DefaultParagraphFont"/>
    <w:link w:val="HTMLPreformatted"/>
    <w:rsid w:val="00FA731B"/>
    <w:rPr>
      <w:rFonts w:ascii="Courier New" w:eastAsia="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4A00"/>
    <w:rPr>
      <w:sz w:val="24"/>
    </w:rPr>
  </w:style>
  <w:style w:type="paragraph" w:styleId="Heading1">
    <w:name w:val="heading 1"/>
    <w:basedOn w:val="Normal"/>
    <w:next w:val="Normal"/>
    <w:link w:val="Heading1Char"/>
    <w:qFormat/>
    <w:rsid w:val="009F68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5A4A00"/>
    <w:pPr>
      <w:keepNext/>
      <w:spacing w:before="240" w:after="240"/>
      <w:ind w:left="720" w:hanging="720"/>
      <w:outlineLvl w:val="1"/>
    </w:pPr>
    <w:rPr>
      <w:rFonts w:cs="Arial"/>
      <w:b/>
      <w:bCs/>
      <w:iCs/>
      <w:szCs w:val="28"/>
    </w:rPr>
  </w:style>
  <w:style w:type="paragraph" w:styleId="Heading3">
    <w:name w:val="heading 3"/>
    <w:basedOn w:val="Normal"/>
    <w:next w:val="Normal"/>
    <w:link w:val="Heading3Char"/>
    <w:unhideWhenUsed/>
    <w:qFormat/>
    <w:rsid w:val="00CA1BC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A4A00"/>
    <w:rPr>
      <w:rFonts w:cs="Arial"/>
      <w:b/>
      <w:bCs/>
      <w:iCs/>
      <w:sz w:val="24"/>
      <w:szCs w:val="28"/>
    </w:rPr>
  </w:style>
  <w:style w:type="paragraph" w:styleId="Footer">
    <w:name w:val="footer"/>
    <w:basedOn w:val="Normal"/>
    <w:link w:val="FooterChar"/>
    <w:uiPriority w:val="99"/>
    <w:rsid w:val="005A4A00"/>
    <w:pPr>
      <w:tabs>
        <w:tab w:val="center" w:pos="4320"/>
        <w:tab w:val="right" w:pos="8640"/>
      </w:tabs>
    </w:pPr>
  </w:style>
  <w:style w:type="character" w:customStyle="1" w:styleId="FooterChar">
    <w:name w:val="Footer Char"/>
    <w:basedOn w:val="DefaultParagraphFont"/>
    <w:link w:val="Footer"/>
    <w:uiPriority w:val="99"/>
    <w:rsid w:val="005A4A00"/>
    <w:rPr>
      <w:sz w:val="24"/>
    </w:rPr>
  </w:style>
  <w:style w:type="paragraph" w:customStyle="1" w:styleId="Level1">
    <w:name w:val="Level 1"/>
    <w:basedOn w:val="Normal"/>
    <w:rsid w:val="005A4A00"/>
    <w:pPr>
      <w:widowControl w:val="0"/>
    </w:pPr>
  </w:style>
  <w:style w:type="character" w:customStyle="1" w:styleId="DefaultPara">
    <w:name w:val="Default Para"/>
    <w:rsid w:val="005A4A00"/>
  </w:style>
  <w:style w:type="character" w:customStyle="1" w:styleId="footnoteref">
    <w:name w:val="footnote ref"/>
    <w:rsid w:val="005A4A00"/>
  </w:style>
  <w:style w:type="paragraph" w:customStyle="1" w:styleId="Footer1">
    <w:name w:val="Footer1"/>
    <w:basedOn w:val="Normal"/>
    <w:rsid w:val="005A4A00"/>
    <w:pPr>
      <w:widowControl w:val="0"/>
      <w:tabs>
        <w:tab w:val="left" w:pos="0"/>
        <w:tab w:val="center" w:pos="4320"/>
        <w:tab w:val="right" w:pos="8640"/>
        <w:tab w:val="left" w:pos="9360"/>
      </w:tabs>
    </w:pPr>
  </w:style>
  <w:style w:type="character" w:customStyle="1" w:styleId="PageNumber1">
    <w:name w:val="Page Number1"/>
    <w:rsid w:val="005A4A00"/>
    <w:rPr>
      <w:sz w:val="24"/>
    </w:rPr>
  </w:style>
  <w:style w:type="character" w:customStyle="1" w:styleId="C2CtrSglS">
    <w:name w:val="C2Ctr Sgl S"/>
    <w:rsid w:val="005A4A00"/>
  </w:style>
  <w:style w:type="character" w:customStyle="1" w:styleId="SLFlLftSg">
    <w:name w:val="SLFl Lft Sg"/>
    <w:rsid w:val="005A4A00"/>
  </w:style>
  <w:style w:type="paragraph" w:customStyle="1" w:styleId="a">
    <w:name w:val="_"/>
    <w:basedOn w:val="Normal"/>
    <w:rsid w:val="005A4A0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Quick1">
    <w:name w:val="Quick 1."/>
    <w:basedOn w:val="Normal"/>
    <w:rsid w:val="005A4A0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character" w:customStyle="1" w:styleId="1">
    <w:name w:val="1"/>
    <w:rsid w:val="005A4A00"/>
    <w:rPr>
      <w:sz w:val="24"/>
    </w:rPr>
  </w:style>
  <w:style w:type="paragraph" w:customStyle="1" w:styleId="Header1">
    <w:name w:val="Header1"/>
    <w:basedOn w:val="Normal"/>
    <w:rsid w:val="005A4A00"/>
    <w:pPr>
      <w:widowControl w:val="0"/>
      <w:tabs>
        <w:tab w:val="left" w:pos="0"/>
        <w:tab w:val="center" w:pos="4320"/>
        <w:tab w:val="right" w:pos="8640"/>
        <w:tab w:val="left" w:pos="9360"/>
      </w:tabs>
    </w:pPr>
  </w:style>
  <w:style w:type="paragraph" w:customStyle="1" w:styleId="1AutoList40">
    <w:name w:val="1AutoList40"/>
    <w:basedOn w:val="Normal"/>
    <w:rsid w:val="005A4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character" w:styleId="PageNumber">
    <w:name w:val="page number"/>
    <w:basedOn w:val="DefaultParagraphFont"/>
    <w:rsid w:val="005A4A00"/>
  </w:style>
  <w:style w:type="paragraph" w:styleId="NormalWeb">
    <w:name w:val="Normal (Web)"/>
    <w:basedOn w:val="Normal"/>
    <w:rsid w:val="005A4A00"/>
    <w:pPr>
      <w:spacing w:before="100" w:beforeAutospacing="1" w:after="100" w:afterAutospacing="1"/>
    </w:pPr>
    <w:rPr>
      <w:szCs w:val="24"/>
    </w:rPr>
  </w:style>
  <w:style w:type="paragraph" w:styleId="BodyTextIndent3">
    <w:name w:val="Body Text Indent 3"/>
    <w:basedOn w:val="Normal"/>
    <w:link w:val="BodyTextIndent3Char"/>
    <w:rsid w:val="005A4A00"/>
    <w:pPr>
      <w:spacing w:after="120"/>
      <w:ind w:left="360"/>
    </w:pPr>
    <w:rPr>
      <w:sz w:val="16"/>
      <w:szCs w:val="16"/>
    </w:rPr>
  </w:style>
  <w:style w:type="character" w:customStyle="1" w:styleId="BodyTextIndent3Char">
    <w:name w:val="Body Text Indent 3 Char"/>
    <w:basedOn w:val="DefaultParagraphFont"/>
    <w:link w:val="BodyTextIndent3"/>
    <w:rsid w:val="005A4A00"/>
    <w:rPr>
      <w:sz w:val="16"/>
      <w:szCs w:val="16"/>
    </w:rPr>
  </w:style>
  <w:style w:type="paragraph" w:styleId="FootnoteText">
    <w:name w:val="footnote text"/>
    <w:basedOn w:val="Normal"/>
    <w:link w:val="FootnoteTextChar"/>
    <w:rsid w:val="005A4A00"/>
    <w:rPr>
      <w:sz w:val="20"/>
    </w:rPr>
  </w:style>
  <w:style w:type="character" w:customStyle="1" w:styleId="FootnoteTextChar">
    <w:name w:val="Footnote Text Char"/>
    <w:basedOn w:val="DefaultParagraphFont"/>
    <w:link w:val="FootnoteText"/>
    <w:rsid w:val="005A4A00"/>
  </w:style>
  <w:style w:type="table" w:styleId="TableGrid">
    <w:name w:val="Table Grid"/>
    <w:basedOn w:val="TableNormal"/>
    <w:rsid w:val="005A4A0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A4A00"/>
    <w:pPr>
      <w:tabs>
        <w:tab w:val="center" w:pos="4320"/>
        <w:tab w:val="right" w:pos="8640"/>
      </w:tabs>
    </w:pPr>
  </w:style>
  <w:style w:type="character" w:customStyle="1" w:styleId="HeaderChar">
    <w:name w:val="Header Char"/>
    <w:basedOn w:val="DefaultParagraphFont"/>
    <w:link w:val="Header"/>
    <w:rsid w:val="005A4A00"/>
    <w:rPr>
      <w:sz w:val="24"/>
    </w:rPr>
  </w:style>
  <w:style w:type="paragraph" w:styleId="BodyText">
    <w:name w:val="Body Text"/>
    <w:basedOn w:val="Normal"/>
    <w:link w:val="BodyTextChar"/>
    <w:rsid w:val="005A4A00"/>
    <w:pPr>
      <w:spacing w:after="120"/>
    </w:pPr>
  </w:style>
  <w:style w:type="character" w:customStyle="1" w:styleId="BodyTextChar">
    <w:name w:val="Body Text Char"/>
    <w:basedOn w:val="DefaultParagraphFont"/>
    <w:link w:val="BodyText"/>
    <w:rsid w:val="005A4A00"/>
    <w:rPr>
      <w:sz w:val="24"/>
    </w:rPr>
  </w:style>
  <w:style w:type="paragraph" w:styleId="BalloonText">
    <w:name w:val="Balloon Text"/>
    <w:basedOn w:val="Normal"/>
    <w:link w:val="BalloonTextChar"/>
    <w:rsid w:val="005A4A00"/>
    <w:rPr>
      <w:rFonts w:ascii="Tahoma" w:hAnsi="Tahoma" w:cs="Tahoma"/>
      <w:sz w:val="16"/>
      <w:szCs w:val="16"/>
    </w:rPr>
  </w:style>
  <w:style w:type="character" w:customStyle="1" w:styleId="BalloonTextChar">
    <w:name w:val="Balloon Text Char"/>
    <w:basedOn w:val="DefaultParagraphFont"/>
    <w:link w:val="BalloonText"/>
    <w:rsid w:val="005A4A00"/>
    <w:rPr>
      <w:rFonts w:ascii="Tahoma" w:hAnsi="Tahoma" w:cs="Tahoma"/>
      <w:sz w:val="16"/>
      <w:szCs w:val="16"/>
    </w:rPr>
  </w:style>
  <w:style w:type="character" w:styleId="CommentReference">
    <w:name w:val="annotation reference"/>
    <w:basedOn w:val="DefaultParagraphFont"/>
    <w:uiPriority w:val="99"/>
    <w:rsid w:val="005A4A00"/>
    <w:rPr>
      <w:sz w:val="16"/>
      <w:szCs w:val="16"/>
    </w:rPr>
  </w:style>
  <w:style w:type="paragraph" w:styleId="CommentText">
    <w:name w:val="annotation text"/>
    <w:basedOn w:val="Normal"/>
    <w:link w:val="CommentTextChar"/>
    <w:uiPriority w:val="99"/>
    <w:rsid w:val="005A4A00"/>
    <w:rPr>
      <w:sz w:val="20"/>
    </w:rPr>
  </w:style>
  <w:style w:type="character" w:customStyle="1" w:styleId="CommentTextChar">
    <w:name w:val="Comment Text Char"/>
    <w:basedOn w:val="DefaultParagraphFont"/>
    <w:link w:val="CommentText"/>
    <w:uiPriority w:val="99"/>
    <w:rsid w:val="005A4A00"/>
  </w:style>
  <w:style w:type="paragraph" w:styleId="CommentSubject">
    <w:name w:val="annotation subject"/>
    <w:basedOn w:val="CommentText"/>
    <w:next w:val="CommentText"/>
    <w:link w:val="CommentSubjectChar"/>
    <w:rsid w:val="005A4A00"/>
    <w:rPr>
      <w:b/>
      <w:bCs/>
    </w:rPr>
  </w:style>
  <w:style w:type="character" w:customStyle="1" w:styleId="CommentSubjectChar">
    <w:name w:val="Comment Subject Char"/>
    <w:basedOn w:val="CommentTextChar"/>
    <w:link w:val="CommentSubject"/>
    <w:rsid w:val="005A4A00"/>
    <w:rPr>
      <w:b/>
      <w:bCs/>
    </w:rPr>
  </w:style>
  <w:style w:type="paragraph" w:styleId="ListParagraph">
    <w:name w:val="List Paragraph"/>
    <w:basedOn w:val="Normal"/>
    <w:uiPriority w:val="34"/>
    <w:qFormat/>
    <w:rsid w:val="005A4A00"/>
    <w:pPr>
      <w:ind w:left="720"/>
      <w:contextualSpacing/>
    </w:pPr>
  </w:style>
  <w:style w:type="paragraph" w:styleId="ListBullet">
    <w:name w:val="List Bullet"/>
    <w:basedOn w:val="Normal"/>
    <w:rsid w:val="00D40755"/>
    <w:pPr>
      <w:numPr>
        <w:numId w:val="34"/>
      </w:numPr>
      <w:tabs>
        <w:tab w:val="clear" w:pos="360"/>
      </w:tabs>
      <w:spacing w:before="120"/>
      <w:ind w:left="1440" w:hanging="720"/>
    </w:pPr>
    <w:rPr>
      <w:rFonts w:ascii="Arial" w:hAnsi="Arial"/>
      <w:szCs w:val="24"/>
    </w:rPr>
  </w:style>
  <w:style w:type="character" w:customStyle="1" w:styleId="Heading3Char">
    <w:name w:val="Heading 3 Char"/>
    <w:basedOn w:val="DefaultParagraphFont"/>
    <w:link w:val="Heading3"/>
    <w:rsid w:val="00CA1BC3"/>
    <w:rPr>
      <w:rFonts w:asciiTheme="majorHAnsi" w:eastAsiaTheme="majorEastAsia" w:hAnsiTheme="majorHAnsi" w:cstheme="majorBidi"/>
      <w:b/>
      <w:bCs/>
      <w:color w:val="4F81BD" w:themeColor="accent1"/>
      <w:sz w:val="24"/>
    </w:rPr>
  </w:style>
  <w:style w:type="character" w:styleId="Hyperlink">
    <w:name w:val="Hyperlink"/>
    <w:basedOn w:val="DefaultParagraphFont"/>
    <w:rsid w:val="00662243"/>
    <w:rPr>
      <w:color w:val="0000FF" w:themeColor="hyperlink"/>
      <w:u w:val="single"/>
    </w:rPr>
  </w:style>
  <w:style w:type="character" w:customStyle="1" w:styleId="Heading1Char">
    <w:name w:val="Heading 1 Char"/>
    <w:basedOn w:val="DefaultParagraphFont"/>
    <w:link w:val="Heading1"/>
    <w:rsid w:val="009F6881"/>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rsid w:val="009F6881"/>
    <w:pPr>
      <w:spacing w:after="120"/>
      <w:ind w:left="360"/>
    </w:pPr>
  </w:style>
  <w:style w:type="character" w:customStyle="1" w:styleId="BodyTextIndentChar">
    <w:name w:val="Body Text Indent Char"/>
    <w:basedOn w:val="DefaultParagraphFont"/>
    <w:link w:val="BodyTextIndent"/>
    <w:rsid w:val="009F6881"/>
    <w:rPr>
      <w:sz w:val="24"/>
    </w:rPr>
  </w:style>
  <w:style w:type="paragraph" w:styleId="BodyTextIndent2">
    <w:name w:val="Body Text Indent 2"/>
    <w:basedOn w:val="Normal"/>
    <w:link w:val="BodyTextIndent2Char"/>
    <w:rsid w:val="009F6881"/>
    <w:pPr>
      <w:spacing w:after="120" w:line="480" w:lineRule="auto"/>
      <w:ind w:left="360"/>
    </w:pPr>
  </w:style>
  <w:style w:type="character" w:customStyle="1" w:styleId="BodyTextIndent2Char">
    <w:name w:val="Body Text Indent 2 Char"/>
    <w:basedOn w:val="DefaultParagraphFont"/>
    <w:link w:val="BodyTextIndent2"/>
    <w:rsid w:val="009F6881"/>
    <w:rPr>
      <w:sz w:val="24"/>
    </w:rPr>
  </w:style>
  <w:style w:type="paragraph" w:styleId="Caption">
    <w:name w:val="caption"/>
    <w:basedOn w:val="Normal"/>
    <w:next w:val="Normal"/>
    <w:unhideWhenUsed/>
    <w:qFormat/>
    <w:rsid w:val="003D72A9"/>
    <w:pPr>
      <w:spacing w:after="200"/>
    </w:pPr>
    <w:rPr>
      <w:b/>
      <w:bCs/>
      <w:color w:val="4F81BD" w:themeColor="accent1"/>
      <w:sz w:val="18"/>
      <w:szCs w:val="18"/>
    </w:rPr>
  </w:style>
  <w:style w:type="paragraph" w:styleId="HTMLPreformatted">
    <w:name w:val="HTML Preformatted"/>
    <w:basedOn w:val="Normal"/>
    <w:link w:val="HTMLPreformattedChar"/>
    <w:rsid w:val="00FA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customStyle="1" w:styleId="HTMLPreformattedChar">
    <w:name w:val="HTML Preformatted Char"/>
    <w:basedOn w:val="DefaultParagraphFont"/>
    <w:link w:val="HTMLPreformatted"/>
    <w:rsid w:val="00FA731B"/>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59788">
      <w:bodyDiv w:val="1"/>
      <w:marLeft w:val="0"/>
      <w:marRight w:val="0"/>
      <w:marTop w:val="0"/>
      <w:marBottom w:val="0"/>
      <w:divBdr>
        <w:top w:val="none" w:sz="0" w:space="0" w:color="auto"/>
        <w:left w:val="none" w:sz="0" w:space="0" w:color="auto"/>
        <w:bottom w:val="none" w:sz="0" w:space="0" w:color="auto"/>
        <w:right w:val="none" w:sz="0" w:space="0" w:color="auto"/>
      </w:divBdr>
    </w:div>
    <w:div w:id="295187799">
      <w:bodyDiv w:val="1"/>
      <w:marLeft w:val="0"/>
      <w:marRight w:val="0"/>
      <w:marTop w:val="0"/>
      <w:marBottom w:val="0"/>
      <w:divBdr>
        <w:top w:val="none" w:sz="0" w:space="0" w:color="auto"/>
        <w:left w:val="none" w:sz="0" w:space="0" w:color="auto"/>
        <w:bottom w:val="none" w:sz="0" w:space="0" w:color="auto"/>
        <w:right w:val="none" w:sz="0" w:space="0" w:color="auto"/>
      </w:divBdr>
    </w:div>
    <w:div w:id="316954641">
      <w:bodyDiv w:val="1"/>
      <w:marLeft w:val="0"/>
      <w:marRight w:val="0"/>
      <w:marTop w:val="0"/>
      <w:marBottom w:val="0"/>
      <w:divBdr>
        <w:top w:val="none" w:sz="0" w:space="0" w:color="auto"/>
        <w:left w:val="none" w:sz="0" w:space="0" w:color="auto"/>
        <w:bottom w:val="none" w:sz="0" w:space="0" w:color="auto"/>
        <w:right w:val="none" w:sz="0" w:space="0" w:color="auto"/>
      </w:divBdr>
    </w:div>
    <w:div w:id="419445036">
      <w:bodyDiv w:val="1"/>
      <w:marLeft w:val="0"/>
      <w:marRight w:val="0"/>
      <w:marTop w:val="0"/>
      <w:marBottom w:val="0"/>
      <w:divBdr>
        <w:top w:val="none" w:sz="0" w:space="0" w:color="auto"/>
        <w:left w:val="none" w:sz="0" w:space="0" w:color="auto"/>
        <w:bottom w:val="none" w:sz="0" w:space="0" w:color="auto"/>
        <w:right w:val="none" w:sz="0" w:space="0" w:color="auto"/>
      </w:divBdr>
    </w:div>
    <w:div w:id="493492054">
      <w:bodyDiv w:val="1"/>
      <w:marLeft w:val="0"/>
      <w:marRight w:val="0"/>
      <w:marTop w:val="0"/>
      <w:marBottom w:val="0"/>
      <w:divBdr>
        <w:top w:val="none" w:sz="0" w:space="0" w:color="auto"/>
        <w:left w:val="none" w:sz="0" w:space="0" w:color="auto"/>
        <w:bottom w:val="none" w:sz="0" w:space="0" w:color="auto"/>
        <w:right w:val="none" w:sz="0" w:space="0" w:color="auto"/>
      </w:divBdr>
    </w:div>
    <w:div w:id="649986125">
      <w:bodyDiv w:val="1"/>
      <w:marLeft w:val="0"/>
      <w:marRight w:val="0"/>
      <w:marTop w:val="0"/>
      <w:marBottom w:val="0"/>
      <w:divBdr>
        <w:top w:val="none" w:sz="0" w:space="0" w:color="auto"/>
        <w:left w:val="none" w:sz="0" w:space="0" w:color="auto"/>
        <w:bottom w:val="none" w:sz="0" w:space="0" w:color="auto"/>
        <w:right w:val="none" w:sz="0" w:space="0" w:color="auto"/>
      </w:divBdr>
    </w:div>
    <w:div w:id="748117597">
      <w:bodyDiv w:val="1"/>
      <w:marLeft w:val="0"/>
      <w:marRight w:val="0"/>
      <w:marTop w:val="0"/>
      <w:marBottom w:val="0"/>
      <w:divBdr>
        <w:top w:val="none" w:sz="0" w:space="0" w:color="auto"/>
        <w:left w:val="none" w:sz="0" w:space="0" w:color="auto"/>
        <w:bottom w:val="none" w:sz="0" w:space="0" w:color="auto"/>
        <w:right w:val="none" w:sz="0" w:space="0" w:color="auto"/>
      </w:divBdr>
    </w:div>
    <w:div w:id="935021740">
      <w:bodyDiv w:val="1"/>
      <w:marLeft w:val="0"/>
      <w:marRight w:val="0"/>
      <w:marTop w:val="0"/>
      <w:marBottom w:val="0"/>
      <w:divBdr>
        <w:top w:val="none" w:sz="0" w:space="0" w:color="auto"/>
        <w:left w:val="none" w:sz="0" w:space="0" w:color="auto"/>
        <w:bottom w:val="none" w:sz="0" w:space="0" w:color="auto"/>
        <w:right w:val="none" w:sz="0" w:space="0" w:color="auto"/>
      </w:divBdr>
    </w:div>
    <w:div w:id="944462050">
      <w:bodyDiv w:val="1"/>
      <w:marLeft w:val="0"/>
      <w:marRight w:val="0"/>
      <w:marTop w:val="0"/>
      <w:marBottom w:val="0"/>
      <w:divBdr>
        <w:top w:val="none" w:sz="0" w:space="0" w:color="auto"/>
        <w:left w:val="none" w:sz="0" w:space="0" w:color="auto"/>
        <w:bottom w:val="none" w:sz="0" w:space="0" w:color="auto"/>
        <w:right w:val="none" w:sz="0" w:space="0" w:color="auto"/>
      </w:divBdr>
    </w:div>
    <w:div w:id="980188247">
      <w:bodyDiv w:val="1"/>
      <w:marLeft w:val="0"/>
      <w:marRight w:val="0"/>
      <w:marTop w:val="0"/>
      <w:marBottom w:val="0"/>
      <w:divBdr>
        <w:top w:val="none" w:sz="0" w:space="0" w:color="auto"/>
        <w:left w:val="none" w:sz="0" w:space="0" w:color="auto"/>
        <w:bottom w:val="none" w:sz="0" w:space="0" w:color="auto"/>
        <w:right w:val="none" w:sz="0" w:space="0" w:color="auto"/>
      </w:divBdr>
    </w:div>
    <w:div w:id="1067219393">
      <w:bodyDiv w:val="1"/>
      <w:marLeft w:val="0"/>
      <w:marRight w:val="0"/>
      <w:marTop w:val="0"/>
      <w:marBottom w:val="0"/>
      <w:divBdr>
        <w:top w:val="none" w:sz="0" w:space="0" w:color="auto"/>
        <w:left w:val="none" w:sz="0" w:space="0" w:color="auto"/>
        <w:bottom w:val="none" w:sz="0" w:space="0" w:color="auto"/>
        <w:right w:val="none" w:sz="0" w:space="0" w:color="auto"/>
      </w:divBdr>
    </w:div>
    <w:div w:id="1118112003">
      <w:bodyDiv w:val="1"/>
      <w:marLeft w:val="0"/>
      <w:marRight w:val="0"/>
      <w:marTop w:val="0"/>
      <w:marBottom w:val="0"/>
      <w:divBdr>
        <w:top w:val="none" w:sz="0" w:space="0" w:color="auto"/>
        <w:left w:val="none" w:sz="0" w:space="0" w:color="auto"/>
        <w:bottom w:val="none" w:sz="0" w:space="0" w:color="auto"/>
        <w:right w:val="none" w:sz="0" w:space="0" w:color="auto"/>
      </w:divBdr>
    </w:div>
    <w:div w:id="1214660007">
      <w:bodyDiv w:val="1"/>
      <w:marLeft w:val="0"/>
      <w:marRight w:val="0"/>
      <w:marTop w:val="0"/>
      <w:marBottom w:val="0"/>
      <w:divBdr>
        <w:top w:val="none" w:sz="0" w:space="0" w:color="auto"/>
        <w:left w:val="none" w:sz="0" w:space="0" w:color="auto"/>
        <w:bottom w:val="none" w:sz="0" w:space="0" w:color="auto"/>
        <w:right w:val="none" w:sz="0" w:space="0" w:color="auto"/>
      </w:divBdr>
    </w:div>
    <w:div w:id="1252813612">
      <w:bodyDiv w:val="1"/>
      <w:marLeft w:val="0"/>
      <w:marRight w:val="0"/>
      <w:marTop w:val="0"/>
      <w:marBottom w:val="0"/>
      <w:divBdr>
        <w:top w:val="none" w:sz="0" w:space="0" w:color="auto"/>
        <w:left w:val="none" w:sz="0" w:space="0" w:color="auto"/>
        <w:bottom w:val="none" w:sz="0" w:space="0" w:color="auto"/>
        <w:right w:val="none" w:sz="0" w:space="0" w:color="auto"/>
      </w:divBdr>
    </w:div>
    <w:div w:id="1254900861">
      <w:bodyDiv w:val="1"/>
      <w:marLeft w:val="0"/>
      <w:marRight w:val="0"/>
      <w:marTop w:val="0"/>
      <w:marBottom w:val="0"/>
      <w:divBdr>
        <w:top w:val="none" w:sz="0" w:space="0" w:color="auto"/>
        <w:left w:val="none" w:sz="0" w:space="0" w:color="auto"/>
        <w:bottom w:val="none" w:sz="0" w:space="0" w:color="auto"/>
        <w:right w:val="none" w:sz="0" w:space="0" w:color="auto"/>
      </w:divBdr>
    </w:div>
    <w:div w:id="1264337176">
      <w:bodyDiv w:val="1"/>
      <w:marLeft w:val="0"/>
      <w:marRight w:val="0"/>
      <w:marTop w:val="0"/>
      <w:marBottom w:val="0"/>
      <w:divBdr>
        <w:top w:val="none" w:sz="0" w:space="0" w:color="auto"/>
        <w:left w:val="none" w:sz="0" w:space="0" w:color="auto"/>
        <w:bottom w:val="none" w:sz="0" w:space="0" w:color="auto"/>
        <w:right w:val="none" w:sz="0" w:space="0" w:color="auto"/>
      </w:divBdr>
    </w:div>
    <w:div w:id="1314681642">
      <w:bodyDiv w:val="1"/>
      <w:marLeft w:val="0"/>
      <w:marRight w:val="0"/>
      <w:marTop w:val="0"/>
      <w:marBottom w:val="0"/>
      <w:divBdr>
        <w:top w:val="none" w:sz="0" w:space="0" w:color="auto"/>
        <w:left w:val="none" w:sz="0" w:space="0" w:color="auto"/>
        <w:bottom w:val="none" w:sz="0" w:space="0" w:color="auto"/>
        <w:right w:val="none" w:sz="0" w:space="0" w:color="auto"/>
      </w:divBdr>
    </w:div>
    <w:div w:id="1636986207">
      <w:bodyDiv w:val="1"/>
      <w:marLeft w:val="0"/>
      <w:marRight w:val="0"/>
      <w:marTop w:val="0"/>
      <w:marBottom w:val="0"/>
      <w:divBdr>
        <w:top w:val="none" w:sz="0" w:space="0" w:color="auto"/>
        <w:left w:val="none" w:sz="0" w:space="0" w:color="auto"/>
        <w:bottom w:val="none" w:sz="0" w:space="0" w:color="auto"/>
        <w:right w:val="none" w:sz="0" w:space="0" w:color="auto"/>
      </w:divBdr>
    </w:div>
    <w:div w:id="1772581593">
      <w:bodyDiv w:val="1"/>
      <w:marLeft w:val="0"/>
      <w:marRight w:val="0"/>
      <w:marTop w:val="0"/>
      <w:marBottom w:val="0"/>
      <w:divBdr>
        <w:top w:val="none" w:sz="0" w:space="0" w:color="auto"/>
        <w:left w:val="none" w:sz="0" w:space="0" w:color="auto"/>
        <w:bottom w:val="none" w:sz="0" w:space="0" w:color="auto"/>
        <w:right w:val="none" w:sz="0" w:space="0" w:color="auto"/>
      </w:divBdr>
      <w:divsChild>
        <w:div w:id="695231718">
          <w:marLeft w:val="0"/>
          <w:marRight w:val="0"/>
          <w:marTop w:val="0"/>
          <w:marBottom w:val="0"/>
          <w:divBdr>
            <w:top w:val="none" w:sz="0" w:space="0" w:color="auto"/>
            <w:left w:val="none" w:sz="0" w:space="0" w:color="auto"/>
            <w:bottom w:val="none" w:sz="0" w:space="0" w:color="auto"/>
            <w:right w:val="none" w:sz="0" w:space="0" w:color="auto"/>
          </w:divBdr>
        </w:div>
      </w:divsChild>
    </w:div>
    <w:div w:id="194067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211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72C0A-585C-4922-8363-7D4563EC6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6566</Words>
  <Characters>37429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Laura J-K</cp:lastModifiedBy>
  <cp:revision>2</cp:revision>
  <cp:lastPrinted>2014-12-18T15:04:00Z</cp:lastPrinted>
  <dcterms:created xsi:type="dcterms:W3CDTF">2014-12-19T17:51:00Z</dcterms:created>
  <dcterms:modified xsi:type="dcterms:W3CDTF">2014-12-19T17:51:00Z</dcterms:modified>
</cp:coreProperties>
</file>