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A4D4D3" w14:textId="77777777" w:rsidR="0037294C" w:rsidRDefault="00FE074C" w:rsidP="00C65FCB">
      <w:pPr>
        <w:tabs>
          <w:tab w:val="center" w:pos="6900"/>
          <w:tab w:val="left" w:pos="12073"/>
        </w:tabs>
        <w:spacing w:line="240" w:lineRule="auto"/>
        <w:jc w:val="center"/>
        <w:rPr>
          <w:rFonts w:ascii="Times New Roman" w:hAnsi="Times New Roman" w:cs="Times New Roman"/>
          <w:b/>
          <w:sz w:val="22"/>
          <w:szCs w:val="22"/>
        </w:rPr>
      </w:pPr>
      <w:bookmarkStart w:id="0" w:name="_GoBack"/>
      <w:bookmarkEnd w:id="0"/>
      <w:r w:rsidRPr="00D87880">
        <w:rPr>
          <w:rFonts w:ascii="Times New Roman" w:hAnsi="Times New Roman" w:cs="Times New Roman"/>
          <w:b/>
          <w:sz w:val="22"/>
          <w:szCs w:val="22"/>
        </w:rPr>
        <w:t xml:space="preserve">National </w:t>
      </w:r>
      <w:r w:rsidR="00C65FCB" w:rsidRPr="00D87880">
        <w:rPr>
          <w:rFonts w:ascii="Times New Roman" w:hAnsi="Times New Roman" w:cs="Times New Roman"/>
          <w:b/>
          <w:sz w:val="22"/>
          <w:szCs w:val="22"/>
        </w:rPr>
        <w:t xml:space="preserve">System of Care Expansion </w:t>
      </w:r>
      <w:r w:rsidRPr="00D87880">
        <w:rPr>
          <w:rFonts w:ascii="Times New Roman" w:hAnsi="Times New Roman" w:cs="Times New Roman"/>
          <w:b/>
          <w:sz w:val="22"/>
          <w:szCs w:val="22"/>
        </w:rPr>
        <w:t>Evaluation</w:t>
      </w:r>
    </w:p>
    <w:p w14:paraId="5A39FD8E" w14:textId="1D8567F7" w:rsidR="00FE074C" w:rsidRDefault="00FE074C" w:rsidP="00C65FCB">
      <w:pPr>
        <w:tabs>
          <w:tab w:val="center" w:pos="6900"/>
          <w:tab w:val="left" w:pos="12073"/>
        </w:tabs>
        <w:spacing w:line="240" w:lineRule="auto"/>
        <w:jc w:val="center"/>
        <w:rPr>
          <w:rFonts w:ascii="Times New Roman" w:hAnsi="Times New Roman" w:cs="Times New Roman"/>
          <w:b/>
          <w:sz w:val="22"/>
          <w:szCs w:val="22"/>
        </w:rPr>
      </w:pPr>
      <w:r w:rsidRPr="00D87880">
        <w:rPr>
          <w:rFonts w:ascii="Times New Roman" w:hAnsi="Times New Roman" w:cs="Times New Roman"/>
          <w:b/>
          <w:sz w:val="22"/>
          <w:szCs w:val="22"/>
        </w:rPr>
        <w:t>Supporting Statement</w:t>
      </w:r>
    </w:p>
    <w:p w14:paraId="656337F8" w14:textId="77777777" w:rsidR="004C3C20" w:rsidRPr="00D87880" w:rsidRDefault="004C3C20" w:rsidP="00C65FCB">
      <w:pPr>
        <w:tabs>
          <w:tab w:val="center" w:pos="6900"/>
          <w:tab w:val="left" w:pos="12073"/>
        </w:tabs>
        <w:spacing w:line="240" w:lineRule="auto"/>
        <w:jc w:val="center"/>
        <w:rPr>
          <w:rFonts w:ascii="Times New Roman" w:hAnsi="Times New Roman" w:cs="Times New Roman"/>
          <w:b/>
          <w:sz w:val="22"/>
          <w:szCs w:val="22"/>
        </w:rPr>
      </w:pPr>
    </w:p>
    <w:p w14:paraId="7496C84A" w14:textId="079A46A3" w:rsidR="00FE074C" w:rsidRPr="00E16790" w:rsidRDefault="00FE074C" w:rsidP="00E16790">
      <w:pPr>
        <w:pStyle w:val="ListParagraph"/>
        <w:numPr>
          <w:ilvl w:val="0"/>
          <w:numId w:val="50"/>
        </w:numPr>
        <w:spacing w:line="240" w:lineRule="auto"/>
        <w:ind w:left="270" w:hanging="270"/>
        <w:rPr>
          <w:rFonts w:ascii="Times New Roman" w:hAnsi="Times New Roman" w:cs="Times New Roman"/>
          <w:b/>
          <w:sz w:val="22"/>
          <w:szCs w:val="22"/>
        </w:rPr>
      </w:pPr>
      <w:r w:rsidRPr="00E16790">
        <w:rPr>
          <w:rFonts w:ascii="Times New Roman" w:hAnsi="Times New Roman" w:cs="Times New Roman"/>
          <w:b/>
          <w:sz w:val="22"/>
          <w:szCs w:val="22"/>
        </w:rPr>
        <w:t>JUSTIFICATION</w:t>
      </w:r>
    </w:p>
    <w:p w14:paraId="2BD0F1D8" w14:textId="77777777" w:rsidR="00C45C4A" w:rsidRPr="00E16790" w:rsidRDefault="00C45C4A" w:rsidP="00E16790">
      <w:pPr>
        <w:pStyle w:val="ListParagraph"/>
        <w:spacing w:line="240" w:lineRule="auto"/>
        <w:rPr>
          <w:rFonts w:ascii="Times New Roman" w:hAnsi="Times New Roman" w:cs="Times New Roman"/>
          <w:b/>
          <w:sz w:val="22"/>
          <w:szCs w:val="22"/>
        </w:rPr>
      </w:pPr>
    </w:p>
    <w:p w14:paraId="578EAFA6" w14:textId="77777777" w:rsidR="00AD464E" w:rsidRPr="00D87880" w:rsidRDefault="00FE074C" w:rsidP="00672E58">
      <w:pPr>
        <w:spacing w:line="240" w:lineRule="auto"/>
        <w:rPr>
          <w:rFonts w:ascii="Times New Roman" w:hAnsi="Times New Roman" w:cs="Times New Roman"/>
          <w:sz w:val="22"/>
          <w:szCs w:val="22"/>
        </w:rPr>
      </w:pPr>
      <w:r w:rsidRPr="00D87880">
        <w:rPr>
          <w:rFonts w:ascii="Times New Roman" w:hAnsi="Times New Roman" w:cs="Times New Roman"/>
          <w:b/>
          <w:sz w:val="22"/>
          <w:szCs w:val="22"/>
        </w:rPr>
        <w:t>1. CIRCUMSTANCES OF INFORMATION COLLECTION</w:t>
      </w:r>
      <w:r w:rsidR="00862178" w:rsidRPr="00D87880">
        <w:rPr>
          <w:rFonts w:ascii="Times New Roman" w:hAnsi="Times New Roman" w:cs="Times New Roman"/>
          <w:sz w:val="22"/>
          <w:szCs w:val="22"/>
        </w:rPr>
        <w:t xml:space="preserve">   </w:t>
      </w:r>
      <w:r w:rsidR="00AD464E" w:rsidRPr="00D87880">
        <w:rPr>
          <w:rFonts w:ascii="Times New Roman" w:hAnsi="Times New Roman" w:cs="Times New Roman"/>
          <w:sz w:val="22"/>
          <w:szCs w:val="22"/>
        </w:rPr>
        <w:t xml:space="preserve"> </w:t>
      </w:r>
    </w:p>
    <w:p w14:paraId="17F55B62" w14:textId="3A1E3CEC" w:rsidR="00DF6269" w:rsidRPr="00D87880" w:rsidRDefault="00755007" w:rsidP="00377C0B">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The Substance Abuse and </w:t>
      </w:r>
      <w:r w:rsidR="00126D60" w:rsidRPr="00D87880">
        <w:rPr>
          <w:rFonts w:ascii="Times New Roman" w:hAnsi="Times New Roman" w:cs="Times New Roman"/>
          <w:sz w:val="22"/>
          <w:szCs w:val="22"/>
        </w:rPr>
        <w:t xml:space="preserve">Mental Health </w:t>
      </w:r>
      <w:r w:rsidR="00EB256A">
        <w:rPr>
          <w:rFonts w:ascii="Times New Roman" w:hAnsi="Times New Roman" w:cs="Times New Roman"/>
          <w:sz w:val="22"/>
          <w:szCs w:val="22"/>
        </w:rPr>
        <w:t xml:space="preserve"> </w:t>
      </w:r>
      <w:r w:rsidRPr="00D87880">
        <w:rPr>
          <w:rFonts w:ascii="Times New Roman" w:hAnsi="Times New Roman" w:cs="Times New Roman"/>
          <w:sz w:val="22"/>
          <w:szCs w:val="22"/>
        </w:rPr>
        <w:t xml:space="preserve">Services Administration (SAMHSA), Center for </w:t>
      </w:r>
      <w:r w:rsidR="00C45C4A">
        <w:rPr>
          <w:rFonts w:ascii="Times New Roman" w:hAnsi="Times New Roman" w:cs="Times New Roman"/>
          <w:sz w:val="22"/>
          <w:szCs w:val="22"/>
        </w:rPr>
        <w:t>Mental Health</w:t>
      </w:r>
      <w:r w:rsidR="00C45C4A" w:rsidRPr="00D87880">
        <w:rPr>
          <w:rFonts w:ascii="Times New Roman" w:hAnsi="Times New Roman" w:cs="Times New Roman"/>
          <w:sz w:val="22"/>
          <w:szCs w:val="22"/>
        </w:rPr>
        <w:t xml:space="preserve"> </w:t>
      </w:r>
      <w:r w:rsidRPr="00D87880">
        <w:rPr>
          <w:rFonts w:ascii="Times New Roman" w:hAnsi="Times New Roman" w:cs="Times New Roman"/>
          <w:sz w:val="22"/>
          <w:szCs w:val="22"/>
        </w:rPr>
        <w:t xml:space="preserve">Services (CMHS) is requesting approval from the Office of Management and Budget (OMB) for the collection of data </w:t>
      </w:r>
      <w:r w:rsidR="003E085B" w:rsidRPr="00D87880">
        <w:rPr>
          <w:rFonts w:ascii="Times New Roman" w:hAnsi="Times New Roman" w:cs="Times New Roman"/>
          <w:sz w:val="22"/>
          <w:szCs w:val="22"/>
        </w:rPr>
        <w:t xml:space="preserve">from SAMHSA’s Comprehensive Community </w:t>
      </w:r>
      <w:r w:rsidR="00C45C4A">
        <w:rPr>
          <w:rFonts w:ascii="Times New Roman" w:hAnsi="Times New Roman" w:cs="Times New Roman"/>
          <w:sz w:val="22"/>
          <w:szCs w:val="22"/>
        </w:rPr>
        <w:t>Mental Health</w:t>
      </w:r>
      <w:r w:rsidR="00C45C4A" w:rsidRPr="00D87880">
        <w:rPr>
          <w:rFonts w:ascii="Times New Roman" w:hAnsi="Times New Roman" w:cs="Times New Roman"/>
          <w:sz w:val="22"/>
          <w:szCs w:val="22"/>
        </w:rPr>
        <w:t xml:space="preserve"> </w:t>
      </w:r>
      <w:r w:rsidR="003E085B" w:rsidRPr="00D87880">
        <w:rPr>
          <w:rFonts w:ascii="Times New Roman" w:hAnsi="Times New Roman" w:cs="Times New Roman"/>
          <w:sz w:val="22"/>
          <w:szCs w:val="22"/>
        </w:rPr>
        <w:t xml:space="preserve">Services for Children and their Families Program </w:t>
      </w:r>
      <w:r w:rsidR="00164B94">
        <w:rPr>
          <w:rFonts w:ascii="Times New Roman" w:hAnsi="Times New Roman" w:cs="Times New Roman"/>
          <w:sz w:val="22"/>
          <w:szCs w:val="22"/>
        </w:rPr>
        <w:t xml:space="preserve">also known as the Children’s Mental Health Initiative </w:t>
      </w:r>
      <w:r w:rsidR="003E085B" w:rsidRPr="00D87880">
        <w:rPr>
          <w:rFonts w:ascii="Times New Roman" w:hAnsi="Times New Roman" w:cs="Times New Roman"/>
          <w:sz w:val="22"/>
          <w:szCs w:val="22"/>
        </w:rPr>
        <w:t xml:space="preserve">(referred to hereafter as CMHI) </w:t>
      </w:r>
      <w:r w:rsidR="00D24A3E">
        <w:rPr>
          <w:rFonts w:ascii="Times New Roman" w:hAnsi="Times New Roman" w:cs="Times New Roman"/>
          <w:sz w:val="22"/>
          <w:szCs w:val="22"/>
        </w:rPr>
        <w:t>S</w:t>
      </w:r>
      <w:r w:rsidR="0094403A">
        <w:rPr>
          <w:rFonts w:ascii="Times New Roman" w:hAnsi="Times New Roman" w:cs="Times New Roman"/>
          <w:sz w:val="22"/>
          <w:szCs w:val="22"/>
        </w:rPr>
        <w:t>ystem</w:t>
      </w:r>
      <w:r w:rsidR="000D1A4A" w:rsidRPr="00D87880">
        <w:rPr>
          <w:rFonts w:ascii="Times New Roman" w:hAnsi="Times New Roman" w:cs="Times New Roman"/>
          <w:sz w:val="22"/>
          <w:szCs w:val="22"/>
        </w:rPr>
        <w:t xml:space="preserve"> of </w:t>
      </w:r>
      <w:r w:rsidR="00D24A3E">
        <w:rPr>
          <w:rFonts w:ascii="Times New Roman" w:hAnsi="Times New Roman" w:cs="Times New Roman"/>
          <w:sz w:val="22"/>
          <w:szCs w:val="22"/>
        </w:rPr>
        <w:t>C</w:t>
      </w:r>
      <w:r w:rsidR="000D1A4A" w:rsidRPr="00D87880">
        <w:rPr>
          <w:rFonts w:ascii="Times New Roman" w:hAnsi="Times New Roman" w:cs="Times New Roman"/>
          <w:sz w:val="22"/>
          <w:szCs w:val="22"/>
        </w:rPr>
        <w:t>are</w:t>
      </w:r>
      <w:r w:rsidR="003E085B" w:rsidRPr="00D87880">
        <w:rPr>
          <w:rFonts w:ascii="Times New Roman" w:hAnsi="Times New Roman" w:cs="Times New Roman"/>
          <w:sz w:val="22"/>
          <w:szCs w:val="22"/>
        </w:rPr>
        <w:t xml:space="preserve"> (SOC) </w:t>
      </w:r>
      <w:r w:rsidRPr="00D87880">
        <w:rPr>
          <w:rFonts w:ascii="Times New Roman" w:hAnsi="Times New Roman" w:cs="Times New Roman"/>
          <w:sz w:val="22"/>
          <w:szCs w:val="22"/>
        </w:rPr>
        <w:t>Expansion Planning Grants and the SOC Expansion Implementation Cooperative Agreements</w:t>
      </w:r>
      <w:r w:rsidR="00DB0A7C" w:rsidRPr="00D87880">
        <w:rPr>
          <w:rFonts w:ascii="Times New Roman" w:hAnsi="Times New Roman" w:cs="Times New Roman"/>
          <w:sz w:val="22"/>
          <w:szCs w:val="22"/>
        </w:rPr>
        <w:t xml:space="preserve"> (hereafter referred to as </w:t>
      </w:r>
      <w:r w:rsidR="0002264C" w:rsidRPr="00D87880">
        <w:rPr>
          <w:rFonts w:ascii="Times New Roman" w:hAnsi="Times New Roman" w:cs="Times New Roman"/>
          <w:sz w:val="22"/>
          <w:szCs w:val="22"/>
        </w:rPr>
        <w:t xml:space="preserve">implementation </w:t>
      </w:r>
      <w:r w:rsidR="00DB0A7C" w:rsidRPr="00D87880">
        <w:rPr>
          <w:rFonts w:ascii="Times New Roman" w:hAnsi="Times New Roman" w:cs="Times New Roman"/>
          <w:sz w:val="22"/>
          <w:szCs w:val="22"/>
        </w:rPr>
        <w:t>grants)</w:t>
      </w:r>
      <w:r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r w:rsidRPr="00D87880">
        <w:rPr>
          <w:rFonts w:ascii="Times New Roman" w:hAnsi="Times New Roman" w:cs="Times New Roman"/>
          <w:sz w:val="22"/>
          <w:szCs w:val="22"/>
        </w:rPr>
        <w:t xml:space="preserve">This request represents a proposed new data collection </w:t>
      </w:r>
      <w:r w:rsidRPr="00FC2811">
        <w:rPr>
          <w:rFonts w:ascii="Times New Roman" w:hAnsi="Times New Roman" w:cs="Times New Roman"/>
          <w:sz w:val="22"/>
          <w:szCs w:val="22"/>
        </w:rPr>
        <w:t>effort</w:t>
      </w:r>
      <w:r w:rsidR="00C45C4A" w:rsidRPr="00FC2811">
        <w:rPr>
          <w:rFonts w:ascii="Times New Roman" w:hAnsi="Times New Roman" w:cs="Times New Roman"/>
          <w:sz w:val="22"/>
          <w:szCs w:val="22"/>
        </w:rPr>
        <w:t xml:space="preserve"> for </w:t>
      </w:r>
      <w:r w:rsidR="00D169F3">
        <w:rPr>
          <w:rFonts w:ascii="Times New Roman" w:hAnsi="Times New Roman" w:cs="Times New Roman"/>
          <w:sz w:val="22"/>
          <w:szCs w:val="22"/>
        </w:rPr>
        <w:t>8</w:t>
      </w:r>
      <w:r w:rsidR="00C45C4A" w:rsidRPr="00FC2811">
        <w:rPr>
          <w:rFonts w:ascii="Times New Roman" w:hAnsi="Times New Roman" w:cs="Times New Roman"/>
          <w:sz w:val="22"/>
          <w:szCs w:val="22"/>
        </w:rPr>
        <w:t xml:space="preserve"> instruments</w:t>
      </w:r>
      <w:r w:rsidR="00005E09" w:rsidRPr="00FC2811">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p>
    <w:p w14:paraId="0EF5B3B8" w14:textId="2A7C759C" w:rsidR="00134ABC" w:rsidRDefault="0019488B" w:rsidP="00E478CA">
      <w:p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The proposed National SOC Expansion Evaluation described here reflects </w:t>
      </w:r>
      <w:r w:rsidR="00164B94">
        <w:rPr>
          <w:rFonts w:ascii="Times New Roman" w:hAnsi="Times New Roman" w:cs="Times New Roman"/>
          <w:sz w:val="22"/>
          <w:szCs w:val="22"/>
        </w:rPr>
        <w:t>the transition</w:t>
      </w:r>
      <w:r w:rsidR="00164B94" w:rsidRPr="00D87880">
        <w:rPr>
          <w:rFonts w:ascii="Times New Roman" w:hAnsi="Times New Roman" w:cs="Times New Roman"/>
          <w:sz w:val="22"/>
          <w:szCs w:val="22"/>
        </w:rPr>
        <w:t xml:space="preserve"> </w:t>
      </w:r>
      <w:r w:rsidRPr="00D87880">
        <w:rPr>
          <w:rFonts w:ascii="Times New Roman" w:hAnsi="Times New Roman" w:cs="Times New Roman"/>
          <w:sz w:val="22"/>
          <w:szCs w:val="22"/>
        </w:rPr>
        <w:t xml:space="preserve">of </w:t>
      </w:r>
      <w:r w:rsidR="00E478CA" w:rsidRPr="00D87880">
        <w:rPr>
          <w:rFonts w:ascii="Times New Roman" w:hAnsi="Times New Roman" w:cs="Times New Roman"/>
          <w:sz w:val="22"/>
          <w:szCs w:val="22"/>
        </w:rPr>
        <w:t>CMHI from an innovative community-b</w:t>
      </w:r>
      <w:r w:rsidR="00DF6269" w:rsidRPr="00D87880">
        <w:rPr>
          <w:rFonts w:ascii="Times New Roman" w:hAnsi="Times New Roman" w:cs="Times New Roman"/>
          <w:sz w:val="22"/>
          <w:szCs w:val="22"/>
        </w:rPr>
        <w:t xml:space="preserve">ased demonstration program to one </w:t>
      </w:r>
      <w:r w:rsidR="00E478CA" w:rsidRPr="00D87880">
        <w:rPr>
          <w:rFonts w:ascii="Times New Roman" w:hAnsi="Times New Roman" w:cs="Times New Roman"/>
          <w:sz w:val="22"/>
          <w:szCs w:val="22"/>
        </w:rPr>
        <w:t xml:space="preserve">that is expanding its scope </w:t>
      </w:r>
      <w:r w:rsidR="006A6AFE">
        <w:rPr>
          <w:rFonts w:ascii="Times New Roman" w:hAnsi="Times New Roman" w:cs="Times New Roman"/>
          <w:sz w:val="22"/>
          <w:szCs w:val="22"/>
        </w:rPr>
        <w:t>or</w:t>
      </w:r>
      <w:r w:rsidR="006A6AFE" w:rsidRPr="00D87880">
        <w:rPr>
          <w:rFonts w:ascii="Times New Roman" w:hAnsi="Times New Roman" w:cs="Times New Roman"/>
          <w:sz w:val="22"/>
          <w:szCs w:val="22"/>
        </w:rPr>
        <w:t xml:space="preserve"> </w:t>
      </w:r>
      <w:r w:rsidR="0063183A" w:rsidRPr="00D87880">
        <w:rPr>
          <w:rFonts w:ascii="Times New Roman" w:hAnsi="Times New Roman" w:cs="Times New Roman"/>
          <w:sz w:val="22"/>
          <w:szCs w:val="22"/>
        </w:rPr>
        <w:t xml:space="preserve">geographic </w:t>
      </w:r>
      <w:r w:rsidR="00E478CA" w:rsidRPr="00D87880">
        <w:rPr>
          <w:rFonts w:ascii="Times New Roman" w:hAnsi="Times New Roman" w:cs="Times New Roman"/>
          <w:sz w:val="22"/>
          <w:szCs w:val="22"/>
        </w:rPr>
        <w:t>reach to larger regions such as states, multi-county areas, tribes and territories (here</w:t>
      </w:r>
      <w:r w:rsidR="00377C0B" w:rsidRPr="00D87880">
        <w:rPr>
          <w:rFonts w:ascii="Times New Roman" w:hAnsi="Times New Roman" w:cs="Times New Roman"/>
          <w:sz w:val="22"/>
          <w:szCs w:val="22"/>
        </w:rPr>
        <w:t>after</w:t>
      </w:r>
      <w:r w:rsidR="00E478CA" w:rsidRPr="00D87880">
        <w:rPr>
          <w:rFonts w:ascii="Times New Roman" w:hAnsi="Times New Roman" w:cs="Times New Roman"/>
          <w:sz w:val="22"/>
          <w:szCs w:val="22"/>
        </w:rPr>
        <w:t xml:space="preserve"> referred to as jurisdictions).</w:t>
      </w:r>
      <w:r w:rsidR="00862178" w:rsidRPr="00D87880">
        <w:rPr>
          <w:rFonts w:ascii="Times New Roman" w:hAnsi="Times New Roman" w:cs="Times New Roman"/>
          <w:sz w:val="22"/>
          <w:szCs w:val="22"/>
        </w:rPr>
        <w:t xml:space="preserve"> </w:t>
      </w:r>
      <w:r w:rsidR="002A209E" w:rsidRPr="00D87880">
        <w:rPr>
          <w:rFonts w:ascii="Times New Roman" w:hAnsi="Times New Roman" w:cs="Times New Roman"/>
          <w:sz w:val="22"/>
          <w:szCs w:val="22"/>
        </w:rPr>
        <w:t xml:space="preserve">This evolution reflects SAMHSA’s Theory of Change </w:t>
      </w:r>
      <w:r w:rsidR="00AF3F75">
        <w:rPr>
          <w:rFonts w:ascii="Times New Roman" w:hAnsi="Times New Roman" w:cs="Times New Roman"/>
          <w:sz w:val="22"/>
          <w:szCs w:val="22"/>
        </w:rPr>
        <w:t>Model</w:t>
      </w:r>
      <w:r w:rsidR="00AF3F75" w:rsidRPr="00D87880">
        <w:rPr>
          <w:rFonts w:ascii="Times New Roman" w:hAnsi="Times New Roman" w:cs="Times New Roman"/>
          <w:sz w:val="22"/>
          <w:szCs w:val="22"/>
        </w:rPr>
        <w:t xml:space="preserve"> that</w:t>
      </w:r>
      <w:r w:rsidR="002A209E" w:rsidRPr="00D87880">
        <w:rPr>
          <w:rFonts w:ascii="Times New Roman" w:hAnsi="Times New Roman" w:cs="Times New Roman"/>
          <w:sz w:val="22"/>
          <w:szCs w:val="22"/>
        </w:rPr>
        <w:t xml:space="preserve"> takes the development of an in</w:t>
      </w:r>
      <w:r w:rsidR="00134ABC">
        <w:rPr>
          <w:rFonts w:ascii="Times New Roman" w:hAnsi="Times New Roman" w:cs="Times New Roman"/>
          <w:sz w:val="22"/>
          <w:szCs w:val="22"/>
        </w:rPr>
        <w:t>tervention</w:t>
      </w:r>
      <w:r w:rsidR="002A209E" w:rsidRPr="00D87880">
        <w:rPr>
          <w:rFonts w:ascii="Times New Roman" w:hAnsi="Times New Roman" w:cs="Times New Roman"/>
          <w:sz w:val="22"/>
          <w:szCs w:val="22"/>
        </w:rPr>
        <w:t xml:space="preserve"> through the phases of innovation, translation, dissemi</w:t>
      </w:r>
      <w:r w:rsidR="00377C0B" w:rsidRPr="00D87880">
        <w:rPr>
          <w:rFonts w:ascii="Times New Roman" w:hAnsi="Times New Roman" w:cs="Times New Roman"/>
          <w:sz w:val="22"/>
          <w:szCs w:val="22"/>
        </w:rPr>
        <w:t>nation, implementation and wide</w:t>
      </w:r>
      <w:r w:rsidR="004A72CD">
        <w:rPr>
          <w:rFonts w:ascii="Times New Roman" w:hAnsi="Times New Roman" w:cs="Times New Roman"/>
          <w:sz w:val="22"/>
          <w:szCs w:val="22"/>
        </w:rPr>
        <w:t xml:space="preserve"> </w:t>
      </w:r>
      <w:r w:rsidR="00377C0B" w:rsidRPr="00D87880">
        <w:rPr>
          <w:rFonts w:ascii="Times New Roman" w:hAnsi="Times New Roman" w:cs="Times New Roman"/>
          <w:sz w:val="22"/>
          <w:szCs w:val="22"/>
        </w:rPr>
        <w:t>scale adoption</w:t>
      </w:r>
      <w:r w:rsidR="0063183A">
        <w:rPr>
          <w:rStyle w:val="FootnoteReference"/>
          <w:rFonts w:ascii="Times New Roman" w:hAnsi="Times New Roman" w:cs="Times New Roman"/>
          <w:sz w:val="22"/>
          <w:szCs w:val="22"/>
        </w:rPr>
        <w:footnoteReference w:id="2"/>
      </w:r>
      <w:r w:rsidR="00377C0B"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r w:rsidR="00134ABC">
        <w:rPr>
          <w:rFonts w:ascii="Times New Roman" w:hAnsi="Times New Roman" w:cs="Times New Roman"/>
          <w:sz w:val="22"/>
          <w:szCs w:val="22"/>
        </w:rPr>
        <w:t xml:space="preserve">This initiative includes two </w:t>
      </w:r>
      <w:r w:rsidR="00C1752B">
        <w:rPr>
          <w:rFonts w:ascii="Times New Roman" w:hAnsi="Times New Roman" w:cs="Times New Roman"/>
          <w:sz w:val="22"/>
          <w:szCs w:val="22"/>
        </w:rPr>
        <w:t xml:space="preserve">grant </w:t>
      </w:r>
      <w:r w:rsidR="00134ABC">
        <w:rPr>
          <w:rFonts w:ascii="Times New Roman" w:hAnsi="Times New Roman" w:cs="Times New Roman"/>
          <w:sz w:val="22"/>
          <w:szCs w:val="22"/>
        </w:rPr>
        <w:t xml:space="preserve">funding efforts: </w:t>
      </w:r>
      <w:r w:rsidR="00134ABC" w:rsidRPr="00C1752B">
        <w:rPr>
          <w:rFonts w:ascii="Times New Roman" w:hAnsi="Times New Roman" w:cs="Times New Roman"/>
          <w:i/>
          <w:sz w:val="22"/>
          <w:szCs w:val="22"/>
        </w:rPr>
        <w:t>SOC Expansion Planning grants</w:t>
      </w:r>
      <w:r w:rsidR="00134ABC">
        <w:rPr>
          <w:rFonts w:ascii="Times New Roman" w:hAnsi="Times New Roman" w:cs="Times New Roman"/>
          <w:sz w:val="22"/>
          <w:szCs w:val="22"/>
        </w:rPr>
        <w:t xml:space="preserve"> funded for one year, and </w:t>
      </w:r>
      <w:r w:rsidR="00134ABC" w:rsidRPr="00C1752B">
        <w:rPr>
          <w:rFonts w:ascii="Times New Roman" w:hAnsi="Times New Roman" w:cs="Times New Roman"/>
          <w:i/>
          <w:sz w:val="22"/>
          <w:szCs w:val="22"/>
        </w:rPr>
        <w:t>SOC Expansion Implementation grants</w:t>
      </w:r>
      <w:r w:rsidR="00134ABC">
        <w:rPr>
          <w:rFonts w:ascii="Times New Roman" w:hAnsi="Times New Roman" w:cs="Times New Roman"/>
          <w:sz w:val="22"/>
          <w:szCs w:val="22"/>
        </w:rPr>
        <w:t xml:space="preserve"> funded for four years.</w:t>
      </w:r>
    </w:p>
    <w:p w14:paraId="3ABF7D8B" w14:textId="70EE857C" w:rsidR="00E478CA" w:rsidRPr="00D87880" w:rsidRDefault="00E478CA" w:rsidP="00E478CA">
      <w:p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In </w:t>
      </w:r>
      <w:r w:rsidR="00164B94">
        <w:rPr>
          <w:rFonts w:ascii="Times New Roman" w:hAnsi="Times New Roman" w:cs="Times New Roman"/>
          <w:sz w:val="22"/>
          <w:szCs w:val="22"/>
        </w:rPr>
        <w:t>FY 2</w:t>
      </w:r>
      <w:r w:rsidR="004A72CD">
        <w:rPr>
          <w:rFonts w:ascii="Times New Roman" w:hAnsi="Times New Roman" w:cs="Times New Roman"/>
          <w:sz w:val="22"/>
          <w:szCs w:val="22"/>
        </w:rPr>
        <w:t xml:space="preserve">011, in order to stimulate wide </w:t>
      </w:r>
      <w:r w:rsidRPr="00D87880">
        <w:rPr>
          <w:rFonts w:ascii="Times New Roman" w:hAnsi="Times New Roman" w:cs="Times New Roman"/>
          <w:sz w:val="22"/>
          <w:szCs w:val="22"/>
        </w:rPr>
        <w:t xml:space="preserve">scale adoption, SAMHSA </w:t>
      </w:r>
      <w:r w:rsidR="00FB1B36" w:rsidRPr="00D87880">
        <w:rPr>
          <w:rFonts w:ascii="Times New Roman" w:hAnsi="Times New Roman" w:cs="Times New Roman"/>
          <w:sz w:val="22"/>
          <w:szCs w:val="22"/>
        </w:rPr>
        <w:t>began awarding</w:t>
      </w:r>
      <w:r w:rsidRPr="00D87880">
        <w:rPr>
          <w:rFonts w:ascii="Times New Roman" w:hAnsi="Times New Roman" w:cs="Times New Roman"/>
          <w:sz w:val="22"/>
          <w:szCs w:val="22"/>
        </w:rPr>
        <w:t xml:space="preserve"> </w:t>
      </w:r>
      <w:r w:rsidRPr="00D87880">
        <w:rPr>
          <w:rFonts w:ascii="Times New Roman" w:hAnsi="Times New Roman" w:cs="Times New Roman"/>
          <w:i/>
          <w:sz w:val="22"/>
          <w:szCs w:val="22"/>
        </w:rPr>
        <w:t xml:space="preserve">one-year SOC </w:t>
      </w:r>
      <w:r w:rsidR="00F91B7F">
        <w:rPr>
          <w:rFonts w:ascii="Times New Roman" w:hAnsi="Times New Roman" w:cs="Times New Roman"/>
          <w:i/>
          <w:sz w:val="22"/>
          <w:szCs w:val="22"/>
        </w:rPr>
        <w:t>E</w:t>
      </w:r>
      <w:r w:rsidRPr="00D87880">
        <w:rPr>
          <w:rFonts w:ascii="Times New Roman" w:hAnsi="Times New Roman" w:cs="Times New Roman"/>
          <w:i/>
          <w:sz w:val="22"/>
          <w:szCs w:val="22"/>
        </w:rPr>
        <w:t xml:space="preserve">xpansion </w:t>
      </w:r>
      <w:r w:rsidR="00F91B7F">
        <w:rPr>
          <w:rFonts w:ascii="Times New Roman" w:hAnsi="Times New Roman" w:cs="Times New Roman"/>
          <w:i/>
          <w:sz w:val="22"/>
          <w:szCs w:val="22"/>
        </w:rPr>
        <w:t>P</w:t>
      </w:r>
      <w:r w:rsidRPr="00D87880">
        <w:rPr>
          <w:rFonts w:ascii="Times New Roman" w:hAnsi="Times New Roman" w:cs="Times New Roman"/>
          <w:i/>
          <w:sz w:val="22"/>
          <w:szCs w:val="22"/>
        </w:rPr>
        <w:t xml:space="preserve">lanning grants </w:t>
      </w:r>
      <w:r w:rsidRPr="00D87880">
        <w:rPr>
          <w:rFonts w:ascii="Times New Roman" w:hAnsi="Times New Roman" w:cs="Times New Roman"/>
          <w:sz w:val="22"/>
          <w:szCs w:val="22"/>
        </w:rPr>
        <w:t xml:space="preserve">to </w:t>
      </w:r>
      <w:r w:rsidR="000C2D44" w:rsidRPr="00D87880">
        <w:rPr>
          <w:rFonts w:ascii="Times New Roman" w:hAnsi="Times New Roman" w:cs="Times New Roman"/>
          <w:sz w:val="22"/>
          <w:szCs w:val="22"/>
        </w:rPr>
        <w:t xml:space="preserve">jurisdictions </w:t>
      </w:r>
      <w:r w:rsidRPr="00D87880">
        <w:rPr>
          <w:rFonts w:ascii="Times New Roman" w:hAnsi="Times New Roman" w:cs="Times New Roman"/>
          <w:sz w:val="22"/>
          <w:szCs w:val="22"/>
        </w:rPr>
        <w:t xml:space="preserve">to develop </w:t>
      </w:r>
      <w:r w:rsidRPr="00FA0DB6">
        <w:rPr>
          <w:rFonts w:ascii="Times New Roman" w:hAnsi="Times New Roman" w:cs="Times New Roman"/>
          <w:sz w:val="22"/>
          <w:szCs w:val="22"/>
        </w:rPr>
        <w:t>comprehensive strategic plan</w:t>
      </w:r>
      <w:r w:rsidR="00C1752B" w:rsidRPr="00FA0DB6">
        <w:rPr>
          <w:rFonts w:ascii="Times New Roman" w:hAnsi="Times New Roman" w:cs="Times New Roman"/>
          <w:sz w:val="22"/>
          <w:szCs w:val="22"/>
        </w:rPr>
        <w:t>s</w:t>
      </w:r>
      <w:r w:rsidRPr="00FA0DB6">
        <w:rPr>
          <w:rFonts w:ascii="Times New Roman" w:hAnsi="Times New Roman" w:cs="Times New Roman"/>
          <w:sz w:val="22"/>
          <w:szCs w:val="22"/>
        </w:rPr>
        <w:t xml:space="preserve"> for providing and expanding services provided by </w:t>
      </w:r>
      <w:r w:rsidR="0094403A" w:rsidRPr="00FA0DB6">
        <w:rPr>
          <w:rFonts w:ascii="Times New Roman" w:hAnsi="Times New Roman" w:cs="Times New Roman"/>
          <w:sz w:val="22"/>
          <w:szCs w:val="22"/>
        </w:rPr>
        <w:t xml:space="preserve">the </w:t>
      </w:r>
      <w:r w:rsidRPr="00FA0DB6">
        <w:rPr>
          <w:rFonts w:ascii="Times New Roman" w:hAnsi="Times New Roman" w:cs="Times New Roman"/>
          <w:sz w:val="22"/>
          <w:szCs w:val="22"/>
        </w:rPr>
        <w:t>SOC.</w:t>
      </w:r>
      <w:r w:rsidR="00862178" w:rsidRPr="00FA0DB6">
        <w:rPr>
          <w:rFonts w:ascii="Times New Roman" w:hAnsi="Times New Roman" w:cs="Times New Roman"/>
          <w:sz w:val="22"/>
          <w:szCs w:val="22"/>
        </w:rPr>
        <w:t xml:space="preserve"> </w:t>
      </w:r>
      <w:r w:rsidR="00C1752B" w:rsidRPr="00FA0DB6">
        <w:rPr>
          <w:rFonts w:ascii="Times New Roman" w:hAnsi="Times New Roman" w:cs="Times New Roman"/>
          <w:sz w:val="22"/>
          <w:szCs w:val="22"/>
        </w:rPr>
        <w:t>T</w:t>
      </w:r>
      <w:r w:rsidR="00B223B5" w:rsidRPr="00FA0DB6">
        <w:rPr>
          <w:rFonts w:ascii="Times New Roman" w:hAnsi="Times New Roman" w:cs="Times New Roman"/>
          <w:sz w:val="22"/>
          <w:szCs w:val="22"/>
        </w:rPr>
        <w:t>hese planning grants were</w:t>
      </w:r>
      <w:r w:rsidRPr="00FA0DB6">
        <w:rPr>
          <w:rFonts w:ascii="Times New Roman" w:hAnsi="Times New Roman" w:cs="Times New Roman"/>
          <w:sz w:val="22"/>
          <w:szCs w:val="22"/>
        </w:rPr>
        <w:t xml:space="preserve"> designed to help jurisdictions develop and complete comprehensive short</w:t>
      </w:r>
      <w:r w:rsidR="007C1C7C" w:rsidRPr="00FA0DB6">
        <w:rPr>
          <w:rFonts w:ascii="Times New Roman" w:hAnsi="Times New Roman" w:cs="Times New Roman"/>
          <w:sz w:val="22"/>
          <w:szCs w:val="22"/>
        </w:rPr>
        <w:t>- and long-</w:t>
      </w:r>
      <w:r w:rsidRPr="00FC2811">
        <w:rPr>
          <w:rFonts w:ascii="Times New Roman" w:hAnsi="Times New Roman" w:cs="Times New Roman"/>
          <w:sz w:val="22"/>
          <w:szCs w:val="22"/>
        </w:rPr>
        <w:t>term strategic plan</w:t>
      </w:r>
      <w:r w:rsidR="00134ABC" w:rsidRPr="00FC2811">
        <w:rPr>
          <w:rFonts w:ascii="Times New Roman" w:hAnsi="Times New Roman" w:cs="Times New Roman"/>
          <w:sz w:val="22"/>
          <w:szCs w:val="22"/>
        </w:rPr>
        <w:t>s</w:t>
      </w:r>
      <w:r w:rsidRPr="00FC2811">
        <w:rPr>
          <w:rFonts w:ascii="Times New Roman" w:hAnsi="Times New Roman" w:cs="Times New Roman"/>
          <w:sz w:val="22"/>
          <w:szCs w:val="22"/>
        </w:rPr>
        <w:t xml:space="preserve"> with action steps to improve, implement, expand and sustain SOC</w:t>
      </w:r>
      <w:r w:rsidR="0094403A" w:rsidRPr="00FC2811">
        <w:rPr>
          <w:rFonts w:ascii="Times New Roman" w:hAnsi="Times New Roman" w:cs="Times New Roman"/>
          <w:sz w:val="22"/>
          <w:szCs w:val="22"/>
        </w:rPr>
        <w:t>s</w:t>
      </w:r>
      <w:r w:rsidRPr="00FC2811">
        <w:rPr>
          <w:rFonts w:ascii="Times New Roman" w:hAnsi="Times New Roman" w:cs="Times New Roman"/>
          <w:sz w:val="22"/>
          <w:szCs w:val="22"/>
        </w:rPr>
        <w:t xml:space="preserve"> across their jurisdiction.</w:t>
      </w:r>
      <w:r w:rsidR="00862178" w:rsidRPr="00FC2811">
        <w:rPr>
          <w:rFonts w:ascii="Times New Roman" w:hAnsi="Times New Roman" w:cs="Times New Roman"/>
          <w:sz w:val="22"/>
          <w:szCs w:val="22"/>
        </w:rPr>
        <w:t xml:space="preserve"> </w:t>
      </w:r>
      <w:r w:rsidR="009B2AA7" w:rsidRPr="00FC2811">
        <w:rPr>
          <w:rFonts w:ascii="Times New Roman" w:hAnsi="Times New Roman" w:cs="Times New Roman"/>
          <w:sz w:val="22"/>
          <w:szCs w:val="22"/>
        </w:rPr>
        <w:t>Following the first 11</w:t>
      </w:r>
      <w:r w:rsidRPr="00FC2811">
        <w:rPr>
          <w:rFonts w:ascii="Times New Roman" w:hAnsi="Times New Roman" w:cs="Times New Roman"/>
          <w:sz w:val="22"/>
          <w:szCs w:val="22"/>
        </w:rPr>
        <w:t xml:space="preserve"> planning grants funded in </w:t>
      </w:r>
      <w:r w:rsidR="00164B94" w:rsidRPr="00FC2811">
        <w:rPr>
          <w:rFonts w:ascii="Times New Roman" w:hAnsi="Times New Roman" w:cs="Times New Roman"/>
          <w:sz w:val="22"/>
          <w:szCs w:val="22"/>
        </w:rPr>
        <w:t>FY 2</w:t>
      </w:r>
      <w:r w:rsidRPr="00FC2811">
        <w:rPr>
          <w:rFonts w:ascii="Times New Roman" w:hAnsi="Times New Roman" w:cs="Times New Roman"/>
          <w:sz w:val="22"/>
          <w:szCs w:val="22"/>
        </w:rPr>
        <w:t>01</w:t>
      </w:r>
      <w:r w:rsidR="00003A66" w:rsidRPr="00FC2811">
        <w:rPr>
          <w:rFonts w:ascii="Times New Roman" w:hAnsi="Times New Roman" w:cs="Times New Roman"/>
          <w:sz w:val="22"/>
          <w:szCs w:val="22"/>
        </w:rPr>
        <w:t>3</w:t>
      </w:r>
      <w:r w:rsidR="00DB3592">
        <w:rPr>
          <w:rFonts w:ascii="Times New Roman" w:hAnsi="Times New Roman" w:cs="Times New Roman"/>
          <w:sz w:val="22"/>
          <w:szCs w:val="22"/>
        </w:rPr>
        <w:t xml:space="preserve"> and 9 funded in FY 2014</w:t>
      </w:r>
      <w:r w:rsidR="009B2AA7" w:rsidRPr="00FC2811">
        <w:rPr>
          <w:rFonts w:ascii="Times New Roman" w:hAnsi="Times New Roman" w:cs="Times New Roman"/>
          <w:sz w:val="22"/>
          <w:szCs w:val="22"/>
        </w:rPr>
        <w:t xml:space="preserve">, </w:t>
      </w:r>
      <w:r w:rsidR="007C1C7C" w:rsidRPr="00FC2811">
        <w:rPr>
          <w:rFonts w:ascii="Times New Roman" w:hAnsi="Times New Roman" w:cs="Times New Roman"/>
          <w:sz w:val="22"/>
          <w:szCs w:val="22"/>
        </w:rPr>
        <w:t xml:space="preserve">SAMHSA </w:t>
      </w:r>
      <w:r w:rsidR="00137CDA" w:rsidRPr="00FC2811">
        <w:rPr>
          <w:rFonts w:ascii="Times New Roman" w:hAnsi="Times New Roman" w:cs="Times New Roman"/>
          <w:sz w:val="22"/>
          <w:szCs w:val="22"/>
        </w:rPr>
        <w:t>fund</w:t>
      </w:r>
      <w:r w:rsidR="009B2AA7" w:rsidRPr="00FC2811">
        <w:rPr>
          <w:rFonts w:ascii="Times New Roman" w:hAnsi="Times New Roman" w:cs="Times New Roman"/>
          <w:sz w:val="22"/>
          <w:szCs w:val="22"/>
        </w:rPr>
        <w:t>s</w:t>
      </w:r>
      <w:r w:rsidR="00137CDA" w:rsidRPr="00FC2811">
        <w:rPr>
          <w:rFonts w:ascii="Times New Roman" w:hAnsi="Times New Roman" w:cs="Times New Roman"/>
          <w:sz w:val="22"/>
          <w:szCs w:val="22"/>
        </w:rPr>
        <w:t xml:space="preserve"> 14 new planning grants </w:t>
      </w:r>
      <w:r w:rsidR="009B2AA7" w:rsidRPr="00FC2811">
        <w:rPr>
          <w:rFonts w:ascii="Times New Roman" w:hAnsi="Times New Roman" w:cs="Times New Roman"/>
          <w:sz w:val="22"/>
          <w:szCs w:val="22"/>
        </w:rPr>
        <w:t xml:space="preserve">each </w:t>
      </w:r>
      <w:r w:rsidR="00137CDA" w:rsidRPr="00FC2811">
        <w:rPr>
          <w:rFonts w:ascii="Times New Roman" w:hAnsi="Times New Roman" w:cs="Times New Roman"/>
          <w:sz w:val="22"/>
          <w:szCs w:val="22"/>
        </w:rPr>
        <w:t>year.</w:t>
      </w:r>
    </w:p>
    <w:p w14:paraId="5F400726" w14:textId="0983C775" w:rsidR="00137CDA" w:rsidRPr="00FC2811" w:rsidRDefault="00137CDA" w:rsidP="00137CDA">
      <w:pPr>
        <w:spacing w:line="240" w:lineRule="auto"/>
        <w:rPr>
          <w:rFonts w:ascii="Times New Roman" w:hAnsi="Times New Roman" w:cs="Times New Roman"/>
          <w:sz w:val="22"/>
          <w:szCs w:val="22"/>
        </w:rPr>
      </w:pPr>
      <w:r w:rsidRPr="00FC2811">
        <w:rPr>
          <w:rFonts w:ascii="Times New Roman" w:hAnsi="Times New Roman" w:cs="Times New Roman"/>
          <w:sz w:val="22"/>
          <w:szCs w:val="22"/>
        </w:rPr>
        <w:t xml:space="preserve">The </w:t>
      </w:r>
      <w:r w:rsidR="00EE152C" w:rsidRPr="00FC2811">
        <w:rPr>
          <w:rFonts w:ascii="Times New Roman" w:hAnsi="Times New Roman" w:cs="Times New Roman"/>
          <w:i/>
          <w:sz w:val="22"/>
          <w:szCs w:val="22"/>
        </w:rPr>
        <w:t>four</w:t>
      </w:r>
      <w:r w:rsidR="00AE024E" w:rsidRPr="00FC2811">
        <w:rPr>
          <w:rFonts w:ascii="Times New Roman" w:hAnsi="Times New Roman" w:cs="Times New Roman"/>
          <w:i/>
          <w:sz w:val="22"/>
          <w:szCs w:val="22"/>
        </w:rPr>
        <w:t xml:space="preserve">-year </w:t>
      </w:r>
      <w:r w:rsidR="00AE024E" w:rsidRPr="00FC2811">
        <w:rPr>
          <w:rFonts w:ascii="Times New Roman" w:hAnsi="Times New Roman" w:cs="Times New Roman"/>
          <w:bCs/>
          <w:i/>
          <w:sz w:val="22"/>
          <w:szCs w:val="22"/>
        </w:rPr>
        <w:t>SOC</w:t>
      </w:r>
      <w:r w:rsidR="00AE024E" w:rsidRPr="00FC2811">
        <w:rPr>
          <w:rFonts w:ascii="Times New Roman" w:hAnsi="Times New Roman" w:cs="Times New Roman"/>
          <w:bCs/>
          <w:sz w:val="22"/>
          <w:szCs w:val="22"/>
        </w:rPr>
        <w:t xml:space="preserve"> </w:t>
      </w:r>
      <w:r w:rsidR="00AE024E" w:rsidRPr="00FC2811">
        <w:rPr>
          <w:rFonts w:ascii="Times New Roman" w:hAnsi="Times New Roman" w:cs="Times New Roman"/>
          <w:bCs/>
          <w:i/>
          <w:sz w:val="22"/>
          <w:szCs w:val="22"/>
        </w:rPr>
        <w:t xml:space="preserve">Expansion Implementation </w:t>
      </w:r>
      <w:r w:rsidR="000D2E83" w:rsidRPr="00FC2811">
        <w:rPr>
          <w:rFonts w:ascii="Times New Roman" w:hAnsi="Times New Roman" w:cs="Times New Roman"/>
          <w:bCs/>
          <w:i/>
          <w:sz w:val="22"/>
          <w:szCs w:val="22"/>
        </w:rPr>
        <w:t>grant</w:t>
      </w:r>
      <w:r w:rsidR="00C1752B" w:rsidRPr="00FC2811">
        <w:rPr>
          <w:rFonts w:ascii="Times New Roman" w:hAnsi="Times New Roman" w:cs="Times New Roman"/>
          <w:bCs/>
          <w:i/>
          <w:sz w:val="22"/>
          <w:szCs w:val="22"/>
        </w:rPr>
        <w:t xml:space="preserve">s </w:t>
      </w:r>
      <w:r w:rsidR="00C1752B" w:rsidRPr="00FC2811">
        <w:rPr>
          <w:rFonts w:ascii="Times New Roman" w:hAnsi="Times New Roman" w:cs="Times New Roman"/>
          <w:bCs/>
          <w:sz w:val="22"/>
          <w:szCs w:val="22"/>
        </w:rPr>
        <w:t>are</w:t>
      </w:r>
      <w:r w:rsidR="00AE024E" w:rsidRPr="00FC2811">
        <w:rPr>
          <w:rFonts w:ascii="Times New Roman" w:hAnsi="Times New Roman" w:cs="Times New Roman"/>
          <w:bCs/>
          <w:sz w:val="22"/>
          <w:szCs w:val="22"/>
        </w:rPr>
        <w:t xml:space="preserve"> intended to </w:t>
      </w:r>
      <w:r w:rsidR="00AE024E" w:rsidRPr="00FC2811">
        <w:rPr>
          <w:rFonts w:ascii="Times New Roman" w:hAnsi="Times New Roman" w:cs="Times New Roman"/>
          <w:sz w:val="22"/>
          <w:szCs w:val="22"/>
        </w:rPr>
        <w:t xml:space="preserve">help jurisdictions </w:t>
      </w:r>
      <w:r w:rsidR="00C1752B" w:rsidRPr="00FC2811">
        <w:rPr>
          <w:rFonts w:ascii="Times New Roman" w:hAnsi="Times New Roman" w:cs="Times New Roman"/>
          <w:sz w:val="22"/>
          <w:szCs w:val="22"/>
        </w:rPr>
        <w:t xml:space="preserve">to plan and </w:t>
      </w:r>
      <w:r w:rsidR="00AE024E" w:rsidRPr="00FC2811">
        <w:rPr>
          <w:rFonts w:ascii="Times New Roman" w:hAnsi="Times New Roman" w:cs="Times New Roman"/>
          <w:sz w:val="22"/>
          <w:szCs w:val="22"/>
        </w:rPr>
        <w:t>carry out implement</w:t>
      </w:r>
      <w:r w:rsidR="00C1752B" w:rsidRPr="00FC2811">
        <w:rPr>
          <w:rFonts w:ascii="Times New Roman" w:hAnsi="Times New Roman" w:cs="Times New Roman"/>
          <w:sz w:val="22"/>
          <w:szCs w:val="22"/>
        </w:rPr>
        <w:t>ation of</w:t>
      </w:r>
      <w:r w:rsidR="00AE024E" w:rsidRPr="00FC2811">
        <w:rPr>
          <w:rFonts w:ascii="Times New Roman" w:hAnsi="Times New Roman" w:cs="Times New Roman"/>
          <w:sz w:val="22"/>
          <w:szCs w:val="22"/>
        </w:rPr>
        <w:t xml:space="preserve"> SOC</w:t>
      </w:r>
      <w:r w:rsidR="00C1752B" w:rsidRPr="00FC2811">
        <w:rPr>
          <w:rFonts w:ascii="Times New Roman" w:hAnsi="Times New Roman" w:cs="Times New Roman"/>
          <w:sz w:val="22"/>
          <w:szCs w:val="22"/>
        </w:rPr>
        <w:t>s</w:t>
      </w:r>
      <w:r w:rsidR="00AE024E" w:rsidRPr="00FC2811">
        <w:rPr>
          <w:rFonts w:ascii="Times New Roman" w:hAnsi="Times New Roman" w:cs="Times New Roman"/>
          <w:sz w:val="22"/>
          <w:szCs w:val="22"/>
        </w:rPr>
        <w:t xml:space="preserve"> jurisdiction-wide. </w:t>
      </w:r>
      <w:r w:rsidR="00FA0DB6" w:rsidRPr="00FC2811">
        <w:rPr>
          <w:rFonts w:ascii="Times New Roman" w:hAnsi="Times New Roman" w:cs="Times New Roman"/>
          <w:sz w:val="22"/>
          <w:szCs w:val="22"/>
        </w:rPr>
        <w:t xml:space="preserve">Following the first 15 </w:t>
      </w:r>
      <w:r w:rsidR="00AE024E" w:rsidRPr="00FC2811">
        <w:rPr>
          <w:rFonts w:ascii="Times New Roman" w:hAnsi="Times New Roman" w:cs="Times New Roman"/>
          <w:sz w:val="22"/>
          <w:szCs w:val="22"/>
        </w:rPr>
        <w:t xml:space="preserve">expansion implementation grants funded in </w:t>
      </w:r>
      <w:r w:rsidR="00164B94" w:rsidRPr="00FC2811">
        <w:rPr>
          <w:rFonts w:ascii="Times New Roman" w:hAnsi="Times New Roman" w:cs="Times New Roman"/>
          <w:sz w:val="22"/>
          <w:szCs w:val="22"/>
        </w:rPr>
        <w:t>FY 2</w:t>
      </w:r>
      <w:r w:rsidR="00AE024E" w:rsidRPr="00FC2811">
        <w:rPr>
          <w:rFonts w:ascii="Times New Roman" w:hAnsi="Times New Roman" w:cs="Times New Roman"/>
          <w:sz w:val="22"/>
          <w:szCs w:val="22"/>
        </w:rPr>
        <w:t>013</w:t>
      </w:r>
      <w:r w:rsidR="00DB3592">
        <w:rPr>
          <w:rFonts w:ascii="Times New Roman" w:hAnsi="Times New Roman" w:cs="Times New Roman"/>
          <w:sz w:val="22"/>
          <w:szCs w:val="22"/>
        </w:rPr>
        <w:t xml:space="preserve"> and 22 funded in FY 2014</w:t>
      </w:r>
      <w:r w:rsidR="00FA0DB6" w:rsidRPr="00FC2811">
        <w:rPr>
          <w:rFonts w:ascii="Times New Roman" w:hAnsi="Times New Roman" w:cs="Times New Roman"/>
          <w:sz w:val="22"/>
          <w:szCs w:val="22"/>
        </w:rPr>
        <w:t>,</w:t>
      </w:r>
      <w:r w:rsidR="00862178" w:rsidRPr="00FC2811">
        <w:rPr>
          <w:rFonts w:ascii="Times New Roman" w:hAnsi="Times New Roman" w:cs="Times New Roman"/>
          <w:sz w:val="22"/>
          <w:szCs w:val="22"/>
        </w:rPr>
        <w:t xml:space="preserve"> </w:t>
      </w:r>
      <w:r w:rsidR="007C1C7C" w:rsidRPr="00FC2811">
        <w:rPr>
          <w:rFonts w:ascii="Times New Roman" w:hAnsi="Times New Roman" w:cs="Times New Roman"/>
          <w:sz w:val="22"/>
          <w:szCs w:val="22"/>
        </w:rPr>
        <w:t>SAMHSA fund</w:t>
      </w:r>
      <w:r w:rsidR="00FA0DB6" w:rsidRPr="00FC2811">
        <w:rPr>
          <w:rFonts w:ascii="Times New Roman" w:hAnsi="Times New Roman" w:cs="Times New Roman"/>
          <w:sz w:val="22"/>
          <w:szCs w:val="22"/>
        </w:rPr>
        <w:t>s</w:t>
      </w:r>
      <w:r w:rsidR="007C1C7C" w:rsidRPr="00FC2811">
        <w:rPr>
          <w:rFonts w:ascii="Times New Roman" w:hAnsi="Times New Roman" w:cs="Times New Roman"/>
          <w:sz w:val="22"/>
          <w:szCs w:val="22"/>
        </w:rPr>
        <w:t xml:space="preserve"> </w:t>
      </w:r>
      <w:r w:rsidRPr="00FC2811">
        <w:rPr>
          <w:rFonts w:ascii="Times New Roman" w:hAnsi="Times New Roman" w:cs="Times New Roman"/>
          <w:sz w:val="22"/>
          <w:szCs w:val="22"/>
        </w:rPr>
        <w:t>23 new expansion implementation grants each year.</w:t>
      </w:r>
    </w:p>
    <w:p w14:paraId="365F2BD9" w14:textId="77777777" w:rsidR="00246407" w:rsidRPr="00FC2811" w:rsidRDefault="00FE6A0F" w:rsidP="00B63A03">
      <w:pPr>
        <w:pStyle w:val="ListParagraph"/>
        <w:numPr>
          <w:ilvl w:val="0"/>
          <w:numId w:val="1"/>
        </w:numPr>
        <w:tabs>
          <w:tab w:val="left" w:pos="720"/>
        </w:tabs>
        <w:spacing w:line="240" w:lineRule="auto"/>
        <w:ind w:left="0" w:firstLine="360"/>
        <w:contextualSpacing w:val="0"/>
        <w:rPr>
          <w:rFonts w:ascii="Times New Roman" w:hAnsi="Times New Roman" w:cs="Times New Roman"/>
          <w:b/>
          <w:sz w:val="22"/>
          <w:szCs w:val="22"/>
        </w:rPr>
      </w:pPr>
      <w:r w:rsidRPr="00FC2811">
        <w:rPr>
          <w:rFonts w:ascii="Times New Roman" w:hAnsi="Times New Roman" w:cs="Times New Roman"/>
          <w:b/>
          <w:sz w:val="22"/>
          <w:szCs w:val="22"/>
        </w:rPr>
        <w:t>Background</w:t>
      </w:r>
      <w:r w:rsidR="00862178" w:rsidRPr="00FC2811">
        <w:rPr>
          <w:rFonts w:ascii="Times New Roman" w:hAnsi="Times New Roman" w:cs="Times New Roman"/>
          <w:b/>
          <w:sz w:val="22"/>
          <w:szCs w:val="22"/>
        </w:rPr>
        <w:t xml:space="preserve"> </w:t>
      </w:r>
    </w:p>
    <w:p w14:paraId="7C220503" w14:textId="2D7DF03B" w:rsidR="00BE5AB8" w:rsidRPr="00D87880" w:rsidRDefault="009F0FDA" w:rsidP="00246407">
      <w:pPr>
        <w:pStyle w:val="ListParagraph"/>
        <w:tabs>
          <w:tab w:val="left" w:pos="450"/>
        </w:tabs>
        <w:spacing w:line="240" w:lineRule="auto"/>
        <w:ind w:left="0"/>
        <w:rPr>
          <w:rFonts w:ascii="Times New Roman" w:hAnsi="Times New Roman" w:cs="Times New Roman"/>
          <w:sz w:val="22"/>
          <w:szCs w:val="22"/>
        </w:rPr>
      </w:pPr>
      <w:r w:rsidRPr="00D87880">
        <w:rPr>
          <w:rFonts w:ascii="Times New Roman" w:hAnsi="Times New Roman" w:cs="Times New Roman"/>
          <w:sz w:val="22"/>
          <w:szCs w:val="22"/>
        </w:rPr>
        <w:t xml:space="preserve">It is critical to address </w:t>
      </w:r>
      <w:r w:rsidR="00BE5AB8" w:rsidRPr="00D87880">
        <w:rPr>
          <w:rFonts w:ascii="Times New Roman" w:hAnsi="Times New Roman" w:cs="Times New Roman"/>
          <w:sz w:val="22"/>
          <w:szCs w:val="22"/>
        </w:rPr>
        <w:t xml:space="preserve">the </w:t>
      </w:r>
      <w:r w:rsidR="00C45C4A">
        <w:rPr>
          <w:rFonts w:ascii="Times New Roman" w:hAnsi="Times New Roman" w:cs="Times New Roman"/>
          <w:sz w:val="22"/>
          <w:szCs w:val="22"/>
        </w:rPr>
        <w:t>m</w:t>
      </w:r>
      <w:r w:rsidR="00C45C4A" w:rsidRPr="00D87880">
        <w:rPr>
          <w:rFonts w:ascii="Times New Roman" w:hAnsi="Times New Roman" w:cs="Times New Roman"/>
          <w:sz w:val="22"/>
          <w:szCs w:val="22"/>
        </w:rPr>
        <w:t xml:space="preserve">ental </w:t>
      </w:r>
      <w:r w:rsidR="00C45C4A">
        <w:rPr>
          <w:rFonts w:ascii="Times New Roman" w:hAnsi="Times New Roman" w:cs="Times New Roman"/>
          <w:sz w:val="22"/>
          <w:szCs w:val="22"/>
        </w:rPr>
        <w:t>h</w:t>
      </w:r>
      <w:r w:rsidR="00C45C4A" w:rsidRPr="00D87880">
        <w:rPr>
          <w:rFonts w:ascii="Times New Roman" w:hAnsi="Times New Roman" w:cs="Times New Roman"/>
          <w:sz w:val="22"/>
          <w:szCs w:val="22"/>
        </w:rPr>
        <w:t xml:space="preserve">ealth </w:t>
      </w:r>
      <w:r w:rsidR="00C45C4A">
        <w:rPr>
          <w:rFonts w:ascii="Times New Roman" w:hAnsi="Times New Roman" w:cs="Times New Roman"/>
          <w:sz w:val="22"/>
          <w:szCs w:val="22"/>
        </w:rPr>
        <w:t xml:space="preserve">(MH) </w:t>
      </w:r>
      <w:r w:rsidR="00BE5AB8" w:rsidRPr="00D87880">
        <w:rPr>
          <w:rFonts w:ascii="Times New Roman" w:hAnsi="Times New Roman" w:cs="Times New Roman"/>
          <w:sz w:val="22"/>
          <w:szCs w:val="22"/>
        </w:rPr>
        <w:t>needs of children, youth</w:t>
      </w:r>
      <w:r w:rsidR="006820F5">
        <w:rPr>
          <w:rFonts w:ascii="Times New Roman" w:hAnsi="Times New Roman" w:cs="Times New Roman"/>
          <w:sz w:val="22"/>
          <w:szCs w:val="22"/>
        </w:rPr>
        <w:t>,</w:t>
      </w:r>
      <w:r w:rsidR="00BE5AB8" w:rsidRPr="00D87880">
        <w:rPr>
          <w:rFonts w:ascii="Times New Roman" w:hAnsi="Times New Roman" w:cs="Times New Roman"/>
          <w:sz w:val="22"/>
          <w:szCs w:val="22"/>
        </w:rPr>
        <w:t xml:space="preserve"> and young adults </w:t>
      </w:r>
      <w:r w:rsidR="001D7396" w:rsidRPr="00D87880">
        <w:rPr>
          <w:rFonts w:ascii="Times New Roman" w:hAnsi="Times New Roman" w:cs="Times New Roman"/>
          <w:sz w:val="22"/>
          <w:szCs w:val="22"/>
        </w:rPr>
        <w:t>along with</w:t>
      </w:r>
      <w:r w:rsidR="006820F5">
        <w:rPr>
          <w:rFonts w:ascii="Times New Roman" w:hAnsi="Times New Roman" w:cs="Times New Roman"/>
          <w:sz w:val="22"/>
          <w:szCs w:val="22"/>
        </w:rPr>
        <w:t xml:space="preserve"> their families and </w:t>
      </w:r>
      <w:r w:rsidR="00BE5AB8" w:rsidRPr="00D87880">
        <w:rPr>
          <w:rFonts w:ascii="Times New Roman" w:hAnsi="Times New Roman" w:cs="Times New Roman"/>
          <w:sz w:val="22"/>
          <w:szCs w:val="22"/>
        </w:rPr>
        <w:t xml:space="preserve">caregivers. It is estimated that more than 20 percent of children and youth under the </w:t>
      </w:r>
      <w:r w:rsidR="00BE5AB8" w:rsidRPr="00DA0929">
        <w:rPr>
          <w:rFonts w:ascii="Times New Roman" w:hAnsi="Times New Roman" w:cs="Times New Roman"/>
          <w:sz w:val="22"/>
          <w:szCs w:val="22"/>
        </w:rPr>
        <w:t xml:space="preserve">age of 18 have a serious </w:t>
      </w:r>
      <w:r w:rsidR="00126D60" w:rsidRPr="00DA0929">
        <w:rPr>
          <w:rFonts w:ascii="Times New Roman" w:hAnsi="Times New Roman" w:cs="Times New Roman"/>
          <w:sz w:val="22"/>
          <w:szCs w:val="22"/>
        </w:rPr>
        <w:t>MH</w:t>
      </w:r>
      <w:r w:rsidR="00BE5AB8" w:rsidRPr="00DA0929">
        <w:rPr>
          <w:rFonts w:ascii="Times New Roman" w:hAnsi="Times New Roman" w:cs="Times New Roman"/>
          <w:sz w:val="22"/>
          <w:szCs w:val="22"/>
        </w:rPr>
        <w:t xml:space="preserve"> condition either currently or </w:t>
      </w:r>
      <w:r w:rsidR="00B63A03" w:rsidRPr="00DA0929">
        <w:rPr>
          <w:rFonts w:ascii="Times New Roman" w:hAnsi="Times New Roman" w:cs="Times New Roman"/>
          <w:sz w:val="22"/>
          <w:szCs w:val="22"/>
        </w:rPr>
        <w:t xml:space="preserve">have had one </w:t>
      </w:r>
      <w:r w:rsidR="00BE5AB8" w:rsidRPr="00DA0929">
        <w:rPr>
          <w:rFonts w:ascii="Times New Roman" w:hAnsi="Times New Roman" w:cs="Times New Roman"/>
          <w:sz w:val="22"/>
          <w:szCs w:val="22"/>
        </w:rPr>
        <w:t>at some point during their life</w:t>
      </w:r>
      <w:r w:rsidR="00B63A03" w:rsidRPr="00DA0929">
        <w:rPr>
          <w:rFonts w:ascii="Times New Roman" w:hAnsi="Times New Roman" w:cs="Times New Roman"/>
          <w:sz w:val="22"/>
          <w:szCs w:val="22"/>
        </w:rPr>
        <w:t>time.</w:t>
      </w:r>
      <w:r w:rsidR="00862178" w:rsidRPr="00DA0929">
        <w:rPr>
          <w:rFonts w:ascii="Times New Roman" w:hAnsi="Times New Roman" w:cs="Times New Roman"/>
          <w:sz w:val="22"/>
          <w:szCs w:val="22"/>
        </w:rPr>
        <w:t xml:space="preserve"> </w:t>
      </w:r>
      <w:r w:rsidR="00EB6DEA" w:rsidRPr="00DA0929">
        <w:rPr>
          <w:rFonts w:ascii="Times New Roman" w:hAnsi="Times New Roman" w:cs="Times New Roman"/>
          <w:sz w:val="22"/>
          <w:szCs w:val="22"/>
        </w:rPr>
        <w:t>Approximately e</w:t>
      </w:r>
      <w:r w:rsidR="00B63A03" w:rsidRPr="00DA0929">
        <w:rPr>
          <w:rFonts w:ascii="Times New Roman" w:hAnsi="Times New Roman" w:cs="Times New Roman"/>
          <w:sz w:val="22"/>
          <w:szCs w:val="22"/>
        </w:rPr>
        <w:t>leven</w:t>
      </w:r>
      <w:r w:rsidR="00BE5AB8" w:rsidRPr="00DA0929">
        <w:rPr>
          <w:rFonts w:ascii="Times New Roman" w:hAnsi="Times New Roman" w:cs="Times New Roman"/>
          <w:sz w:val="22"/>
          <w:szCs w:val="22"/>
        </w:rPr>
        <w:t xml:space="preserve"> percent of children have significant functional impairments that limit their participation in typical daily activities of childhood </w:t>
      </w:r>
      <w:r w:rsidR="00BE5AB8" w:rsidRPr="00DA0929">
        <w:rPr>
          <w:rFonts w:ascii="Times New Roman" w:hAnsi="Times New Roman" w:cs="Times New Roman"/>
          <w:sz w:val="22"/>
          <w:szCs w:val="22"/>
          <w:shd w:val="clear" w:color="auto" w:fill="F4F7FA"/>
        </w:rPr>
        <w:t>(</w:t>
      </w:r>
      <w:r w:rsidR="00BE5AB8" w:rsidRPr="00DA0929">
        <w:rPr>
          <w:rFonts w:ascii="Times New Roman" w:hAnsi="Times New Roman" w:cs="Times New Roman"/>
          <w:sz w:val="22"/>
          <w:szCs w:val="22"/>
        </w:rPr>
        <w:t xml:space="preserve">Merikangas, et al., 2010). The Centers for Disease Control and Prevention </w:t>
      </w:r>
      <w:r w:rsidR="00262A8E">
        <w:rPr>
          <w:rFonts w:ascii="Times New Roman" w:hAnsi="Times New Roman" w:cs="Times New Roman"/>
          <w:sz w:val="22"/>
          <w:szCs w:val="22"/>
        </w:rPr>
        <w:t>(</w:t>
      </w:r>
      <w:r w:rsidR="00AB2BE2">
        <w:rPr>
          <w:rFonts w:ascii="Times New Roman" w:hAnsi="Times New Roman" w:cs="Times New Roman"/>
          <w:sz w:val="22"/>
          <w:szCs w:val="22"/>
        </w:rPr>
        <w:t>2012</w:t>
      </w:r>
      <w:r w:rsidR="005C44A3">
        <w:rPr>
          <w:rFonts w:ascii="Times New Roman" w:hAnsi="Times New Roman" w:cs="Times New Roman"/>
          <w:sz w:val="22"/>
          <w:szCs w:val="22"/>
        </w:rPr>
        <w:t>)</w:t>
      </w:r>
      <w:r w:rsidR="00262A8E">
        <w:rPr>
          <w:rFonts w:ascii="Times New Roman" w:hAnsi="Times New Roman" w:cs="Times New Roman"/>
          <w:sz w:val="22"/>
          <w:szCs w:val="22"/>
        </w:rPr>
        <w:t xml:space="preserve"> </w:t>
      </w:r>
      <w:r w:rsidR="00BE5AB8" w:rsidRPr="00DA0929">
        <w:rPr>
          <w:rFonts w:ascii="Times New Roman" w:hAnsi="Times New Roman" w:cs="Times New Roman"/>
          <w:sz w:val="22"/>
          <w:szCs w:val="22"/>
        </w:rPr>
        <w:t xml:space="preserve">indicates that suicide is the third leading cause of death for youth and young adults </w:t>
      </w:r>
      <w:r w:rsidR="00106B4B">
        <w:rPr>
          <w:rFonts w:ascii="Times New Roman" w:hAnsi="Times New Roman" w:cs="Times New Roman"/>
          <w:sz w:val="22"/>
          <w:szCs w:val="22"/>
        </w:rPr>
        <w:t>age 15</w:t>
      </w:r>
      <w:r w:rsidR="00B63A03" w:rsidRPr="00DA0929">
        <w:rPr>
          <w:rFonts w:ascii="Times New Roman" w:hAnsi="Times New Roman" w:cs="Times New Roman"/>
          <w:sz w:val="22"/>
          <w:szCs w:val="22"/>
        </w:rPr>
        <w:t xml:space="preserve"> to 24 years</w:t>
      </w:r>
      <w:r w:rsidR="00BE5AB8" w:rsidRPr="00DA0929">
        <w:rPr>
          <w:rFonts w:ascii="Times New Roman" w:hAnsi="Times New Roman" w:cs="Times New Roman"/>
          <w:sz w:val="22"/>
          <w:szCs w:val="22"/>
        </w:rPr>
        <w:t xml:space="preserve">, and approximately </w:t>
      </w:r>
      <w:r w:rsidR="00CB4585">
        <w:rPr>
          <w:rFonts w:ascii="Times New Roman" w:hAnsi="Times New Roman" w:cs="Times New Roman"/>
          <w:sz w:val="22"/>
          <w:szCs w:val="22"/>
        </w:rPr>
        <w:t>16 percent of youth in grades 9 through 12 had seriously considered suicide in the 12 months preceding a nationally representative survey</w:t>
      </w:r>
      <w:r w:rsidR="00243D35">
        <w:rPr>
          <w:rStyle w:val="FootnoteReference"/>
          <w:rFonts w:ascii="Times New Roman" w:hAnsi="Times New Roman" w:cs="Times New Roman"/>
          <w:sz w:val="22"/>
          <w:szCs w:val="22"/>
        </w:rPr>
        <w:footnoteReference w:id="3"/>
      </w:r>
      <w:r w:rsidR="00BE5AB8" w:rsidRPr="00DA0929">
        <w:rPr>
          <w:rFonts w:ascii="Times New Roman" w:hAnsi="Times New Roman" w:cs="Times New Roman"/>
          <w:sz w:val="22"/>
          <w:szCs w:val="22"/>
        </w:rPr>
        <w:t xml:space="preserve">. </w:t>
      </w:r>
      <w:r w:rsidR="00126D60" w:rsidRPr="00DA0929">
        <w:rPr>
          <w:rFonts w:ascii="Times New Roman" w:hAnsi="Times New Roman" w:cs="Times New Roman"/>
          <w:sz w:val="22"/>
          <w:szCs w:val="22"/>
        </w:rPr>
        <w:t>MH</w:t>
      </w:r>
      <w:r w:rsidR="00BE5AB8" w:rsidRPr="00DA0929">
        <w:rPr>
          <w:rFonts w:ascii="Times New Roman" w:hAnsi="Times New Roman" w:cs="Times New Roman"/>
          <w:sz w:val="22"/>
          <w:szCs w:val="22"/>
        </w:rPr>
        <w:t xml:space="preserve"> conditions impact children and youth of all ages throughout their development, and often</w:t>
      </w:r>
      <w:r w:rsidR="00BE5AB8" w:rsidRPr="00D87880">
        <w:rPr>
          <w:rFonts w:ascii="Times New Roman" w:hAnsi="Times New Roman" w:cs="Times New Roman"/>
          <w:sz w:val="22"/>
          <w:szCs w:val="22"/>
        </w:rPr>
        <w:t xml:space="preserve"> negatively </w:t>
      </w:r>
      <w:r w:rsidR="00B63A03" w:rsidRPr="00D87880">
        <w:rPr>
          <w:rFonts w:ascii="Times New Roman" w:hAnsi="Times New Roman" w:cs="Times New Roman"/>
          <w:sz w:val="22"/>
          <w:szCs w:val="22"/>
        </w:rPr>
        <w:lastRenderedPageBreak/>
        <w:t>affect</w:t>
      </w:r>
      <w:r w:rsidR="00BE5AB8" w:rsidRPr="00D87880">
        <w:rPr>
          <w:rFonts w:ascii="Times New Roman" w:hAnsi="Times New Roman" w:cs="Times New Roman"/>
          <w:sz w:val="22"/>
          <w:szCs w:val="22"/>
        </w:rPr>
        <w:t xml:space="preserve"> their functioning at home, in school, and in the community. Given the scope and complexity of the challenges </w:t>
      </w:r>
      <w:r w:rsidR="00EE152C">
        <w:rPr>
          <w:rFonts w:ascii="Times New Roman" w:hAnsi="Times New Roman" w:cs="Times New Roman"/>
          <w:sz w:val="22"/>
          <w:szCs w:val="22"/>
        </w:rPr>
        <w:t>faced by</w:t>
      </w:r>
      <w:r w:rsidR="00EE152C" w:rsidRPr="00D87880">
        <w:rPr>
          <w:rFonts w:ascii="Times New Roman" w:hAnsi="Times New Roman" w:cs="Times New Roman"/>
          <w:sz w:val="22"/>
          <w:szCs w:val="22"/>
        </w:rPr>
        <w:t xml:space="preserve"> </w:t>
      </w:r>
      <w:r w:rsidR="00BE5AB8" w:rsidRPr="00D87880">
        <w:rPr>
          <w:rFonts w:ascii="Times New Roman" w:hAnsi="Times New Roman" w:cs="Times New Roman"/>
          <w:sz w:val="22"/>
          <w:szCs w:val="22"/>
        </w:rPr>
        <w:t xml:space="preserve">children, youth, and young adults with </w:t>
      </w:r>
      <w:r w:rsidR="00EE152C">
        <w:rPr>
          <w:rFonts w:ascii="Times New Roman" w:hAnsi="Times New Roman" w:cs="Times New Roman"/>
          <w:sz w:val="22"/>
          <w:szCs w:val="22"/>
        </w:rPr>
        <w:t>serious mental health challenges</w:t>
      </w:r>
      <w:r w:rsidR="00BE5AB8" w:rsidRPr="00D87880">
        <w:rPr>
          <w:rFonts w:ascii="Times New Roman" w:hAnsi="Times New Roman" w:cs="Times New Roman"/>
          <w:sz w:val="22"/>
          <w:szCs w:val="22"/>
        </w:rPr>
        <w:t xml:space="preserve">, many </w:t>
      </w:r>
      <w:r w:rsidR="00B63A03" w:rsidRPr="00D87880">
        <w:rPr>
          <w:rFonts w:ascii="Times New Roman" w:hAnsi="Times New Roman" w:cs="Times New Roman"/>
          <w:sz w:val="22"/>
          <w:szCs w:val="22"/>
        </w:rPr>
        <w:t>are involved</w:t>
      </w:r>
      <w:r w:rsidR="00BE5AB8" w:rsidRPr="00D87880">
        <w:rPr>
          <w:rFonts w:ascii="Times New Roman" w:hAnsi="Times New Roman" w:cs="Times New Roman"/>
          <w:sz w:val="22"/>
          <w:szCs w:val="22"/>
        </w:rPr>
        <w:t xml:space="preserve"> with multiple </w:t>
      </w:r>
      <w:r w:rsidR="00B63A03" w:rsidRPr="00D87880">
        <w:rPr>
          <w:rFonts w:ascii="Times New Roman" w:hAnsi="Times New Roman" w:cs="Times New Roman"/>
          <w:sz w:val="22"/>
          <w:szCs w:val="22"/>
        </w:rPr>
        <w:t>child-serving</w:t>
      </w:r>
      <w:r w:rsidR="00BE5AB8" w:rsidRPr="00D87880">
        <w:rPr>
          <w:rFonts w:ascii="Times New Roman" w:hAnsi="Times New Roman" w:cs="Times New Roman"/>
          <w:sz w:val="22"/>
          <w:szCs w:val="22"/>
        </w:rPr>
        <w:t xml:space="preserve"> systems, including </w:t>
      </w:r>
      <w:r w:rsidR="00126D60" w:rsidRPr="00D87880">
        <w:rPr>
          <w:rFonts w:ascii="Times New Roman" w:hAnsi="Times New Roman" w:cs="Times New Roman"/>
          <w:sz w:val="22"/>
          <w:szCs w:val="22"/>
        </w:rPr>
        <w:t>MH</w:t>
      </w:r>
      <w:r w:rsidR="00BE5AB8" w:rsidRPr="00D87880">
        <w:rPr>
          <w:rFonts w:ascii="Times New Roman" w:hAnsi="Times New Roman" w:cs="Times New Roman"/>
          <w:sz w:val="22"/>
          <w:szCs w:val="22"/>
        </w:rPr>
        <w:t xml:space="preserve">, substance use, education, juvenile justice, child welfare, </w:t>
      </w:r>
      <w:r w:rsidR="00164B94">
        <w:rPr>
          <w:rFonts w:ascii="Times New Roman" w:hAnsi="Times New Roman" w:cs="Times New Roman"/>
          <w:sz w:val="22"/>
          <w:szCs w:val="22"/>
        </w:rPr>
        <w:t xml:space="preserve">and </w:t>
      </w:r>
      <w:r w:rsidR="00BE5AB8" w:rsidRPr="00D87880">
        <w:rPr>
          <w:rFonts w:ascii="Times New Roman" w:hAnsi="Times New Roman" w:cs="Times New Roman"/>
          <w:sz w:val="22"/>
          <w:szCs w:val="22"/>
        </w:rPr>
        <w:t xml:space="preserve">primary care. To address the needs of children and youth with serious </w:t>
      </w:r>
      <w:r w:rsidR="00126D60" w:rsidRPr="00D87880">
        <w:rPr>
          <w:rFonts w:ascii="Times New Roman" w:hAnsi="Times New Roman" w:cs="Times New Roman"/>
          <w:sz w:val="22"/>
          <w:szCs w:val="22"/>
        </w:rPr>
        <w:t>MH</w:t>
      </w:r>
      <w:r w:rsidR="00BE5AB8" w:rsidRPr="00D87880">
        <w:rPr>
          <w:rFonts w:ascii="Times New Roman" w:hAnsi="Times New Roman" w:cs="Times New Roman"/>
          <w:sz w:val="22"/>
          <w:szCs w:val="22"/>
        </w:rPr>
        <w:t xml:space="preserve"> needs, caregivers and other family members are often faced with the challenge of navigating multiple </w:t>
      </w:r>
      <w:r w:rsidR="00B63A03" w:rsidRPr="00D87880">
        <w:rPr>
          <w:rFonts w:ascii="Times New Roman" w:hAnsi="Times New Roman" w:cs="Times New Roman"/>
          <w:sz w:val="22"/>
          <w:szCs w:val="22"/>
        </w:rPr>
        <w:t>child-serving</w:t>
      </w:r>
      <w:r w:rsidR="00BE5AB8" w:rsidRPr="00D87880">
        <w:rPr>
          <w:rFonts w:ascii="Times New Roman" w:hAnsi="Times New Roman" w:cs="Times New Roman"/>
          <w:sz w:val="22"/>
          <w:szCs w:val="22"/>
        </w:rPr>
        <w:t xml:space="preserve"> systems.</w:t>
      </w:r>
    </w:p>
    <w:p w14:paraId="4027347C" w14:textId="10F428BF" w:rsidR="00BE5AB8" w:rsidRPr="00D87880" w:rsidRDefault="0094403A" w:rsidP="00672E58">
      <w:pPr>
        <w:pStyle w:val="P1-StandPara"/>
        <w:spacing w:line="240" w:lineRule="auto"/>
        <w:jc w:val="left"/>
        <w:rPr>
          <w:spacing w:val="-4"/>
          <w:sz w:val="22"/>
          <w:szCs w:val="22"/>
        </w:rPr>
      </w:pPr>
      <w:r>
        <w:rPr>
          <w:spacing w:val="-4"/>
          <w:sz w:val="22"/>
          <w:szCs w:val="22"/>
        </w:rPr>
        <w:t xml:space="preserve">The </w:t>
      </w:r>
      <w:r w:rsidR="00D63E57" w:rsidRPr="00D87880">
        <w:rPr>
          <w:spacing w:val="-4"/>
          <w:sz w:val="22"/>
          <w:szCs w:val="22"/>
        </w:rPr>
        <w:t>SOC</w:t>
      </w:r>
      <w:r w:rsidR="00BE5AB8" w:rsidRPr="00D87880">
        <w:rPr>
          <w:spacing w:val="-4"/>
          <w:sz w:val="22"/>
          <w:szCs w:val="22"/>
        </w:rPr>
        <w:t xml:space="preserve"> </w:t>
      </w:r>
      <w:r>
        <w:rPr>
          <w:spacing w:val="-4"/>
          <w:sz w:val="22"/>
          <w:szCs w:val="22"/>
        </w:rPr>
        <w:t xml:space="preserve">model was </w:t>
      </w:r>
      <w:r w:rsidR="00BE5AB8" w:rsidRPr="00D87880">
        <w:rPr>
          <w:spacing w:val="-4"/>
          <w:sz w:val="22"/>
          <w:szCs w:val="22"/>
        </w:rPr>
        <w:t xml:space="preserve">developed in response to the need to improve the organization, coordination and delivery of children’s </w:t>
      </w:r>
      <w:r w:rsidR="00126D60" w:rsidRPr="00D87880">
        <w:rPr>
          <w:spacing w:val="-4"/>
          <w:sz w:val="22"/>
          <w:szCs w:val="22"/>
        </w:rPr>
        <w:t>MH</w:t>
      </w:r>
      <w:r w:rsidR="00BE5AB8" w:rsidRPr="00D87880">
        <w:rPr>
          <w:spacing w:val="-4"/>
          <w:sz w:val="22"/>
          <w:szCs w:val="22"/>
        </w:rPr>
        <w:t xml:space="preserve"> services and </w:t>
      </w:r>
      <w:r w:rsidR="00B63A03" w:rsidRPr="00D87880">
        <w:rPr>
          <w:spacing w:val="-4"/>
          <w:sz w:val="22"/>
          <w:szCs w:val="22"/>
        </w:rPr>
        <w:t>to</w:t>
      </w:r>
      <w:r w:rsidR="00262A8E">
        <w:rPr>
          <w:spacing w:val="-4"/>
          <w:sz w:val="22"/>
          <w:szCs w:val="22"/>
        </w:rPr>
        <w:t xml:space="preserve"> improve</w:t>
      </w:r>
      <w:r w:rsidR="00BE5AB8" w:rsidRPr="00D87880">
        <w:rPr>
          <w:spacing w:val="-4"/>
          <w:sz w:val="22"/>
          <w:szCs w:val="22"/>
        </w:rPr>
        <w:t xml:space="preserve"> clinical and functional outcomes of children, youth, and young adults with significant </w:t>
      </w:r>
      <w:r w:rsidR="00126D60" w:rsidRPr="00D87880">
        <w:rPr>
          <w:spacing w:val="-4"/>
          <w:sz w:val="22"/>
          <w:szCs w:val="22"/>
        </w:rPr>
        <w:t>MH</w:t>
      </w:r>
      <w:r w:rsidR="00BE5AB8" w:rsidRPr="00D87880">
        <w:rPr>
          <w:spacing w:val="-4"/>
          <w:sz w:val="22"/>
          <w:szCs w:val="22"/>
        </w:rPr>
        <w:t xml:space="preserve"> needs. </w:t>
      </w:r>
      <w:r w:rsidR="00D63E57" w:rsidRPr="00D87880">
        <w:rPr>
          <w:spacing w:val="-4"/>
          <w:sz w:val="22"/>
          <w:szCs w:val="22"/>
        </w:rPr>
        <w:t>SOC</w:t>
      </w:r>
      <w:r w:rsidR="00BE5AB8" w:rsidRPr="00D87880">
        <w:rPr>
          <w:spacing w:val="-4"/>
          <w:sz w:val="22"/>
          <w:szCs w:val="22"/>
        </w:rPr>
        <w:t xml:space="preserve"> is an organizational model that involves collaboration across agencies </w:t>
      </w:r>
      <w:r w:rsidR="00262A8E">
        <w:rPr>
          <w:spacing w:val="-4"/>
          <w:sz w:val="22"/>
          <w:szCs w:val="22"/>
        </w:rPr>
        <w:t>that serve children,</w:t>
      </w:r>
      <w:r w:rsidR="00262A8E" w:rsidRPr="00D87880">
        <w:rPr>
          <w:spacing w:val="-4"/>
          <w:sz w:val="22"/>
          <w:szCs w:val="22"/>
        </w:rPr>
        <w:t xml:space="preserve"> </w:t>
      </w:r>
      <w:r w:rsidR="00BE5AB8" w:rsidRPr="00D87880">
        <w:rPr>
          <w:spacing w:val="-4"/>
          <w:sz w:val="22"/>
          <w:szCs w:val="22"/>
        </w:rPr>
        <w:t>youth and families to provide an array of effective, community-based, culturally</w:t>
      </w:r>
      <w:r w:rsidR="00B63A03" w:rsidRPr="00D87880">
        <w:rPr>
          <w:spacing w:val="-4"/>
          <w:sz w:val="22"/>
          <w:szCs w:val="22"/>
        </w:rPr>
        <w:t>- and linguistically-</w:t>
      </w:r>
      <w:r w:rsidR="00BE5AB8" w:rsidRPr="00D87880">
        <w:rPr>
          <w:spacing w:val="-4"/>
          <w:sz w:val="22"/>
          <w:szCs w:val="22"/>
        </w:rPr>
        <w:t xml:space="preserve">appropriate services and supports for children, youth, and young adults with or at risk for behavioral health challenges and their families (Stroul, Blau, </w:t>
      </w:r>
      <w:r w:rsidR="00D74C0F" w:rsidRPr="00D87880">
        <w:rPr>
          <w:spacing w:val="-4"/>
          <w:sz w:val="22"/>
          <w:szCs w:val="22"/>
        </w:rPr>
        <w:t>&amp;</w:t>
      </w:r>
      <w:r w:rsidR="00BE5AB8" w:rsidRPr="00D87880">
        <w:rPr>
          <w:spacing w:val="-4"/>
          <w:sz w:val="22"/>
          <w:szCs w:val="22"/>
        </w:rPr>
        <w:t xml:space="preserve"> Friedman, 2010).</w:t>
      </w:r>
      <w:r w:rsidR="00862178" w:rsidRPr="00D87880">
        <w:rPr>
          <w:spacing w:val="-4"/>
          <w:sz w:val="22"/>
          <w:szCs w:val="22"/>
        </w:rPr>
        <w:t xml:space="preserve">   </w:t>
      </w:r>
      <w:r w:rsidR="00BE5AB8" w:rsidRPr="00D87880">
        <w:rPr>
          <w:spacing w:val="-4"/>
          <w:sz w:val="22"/>
          <w:szCs w:val="22"/>
        </w:rPr>
        <w:t xml:space="preserve"> </w:t>
      </w:r>
    </w:p>
    <w:p w14:paraId="3B153E35" w14:textId="5EACE118" w:rsidR="00BE5AB8" w:rsidRPr="00D87880" w:rsidRDefault="00BE5AB8" w:rsidP="00672E58">
      <w:pPr>
        <w:pStyle w:val="P1-StandPara"/>
        <w:spacing w:line="240" w:lineRule="auto"/>
        <w:rPr>
          <w:sz w:val="22"/>
          <w:szCs w:val="22"/>
        </w:rPr>
      </w:pPr>
      <w:r w:rsidRPr="00D87880">
        <w:rPr>
          <w:sz w:val="22"/>
          <w:szCs w:val="22"/>
        </w:rPr>
        <w:t xml:space="preserve">Although the </w:t>
      </w:r>
      <w:r w:rsidR="00D63E57" w:rsidRPr="00D87880">
        <w:rPr>
          <w:sz w:val="22"/>
          <w:szCs w:val="22"/>
        </w:rPr>
        <w:t>SOC</w:t>
      </w:r>
      <w:r w:rsidRPr="00D87880">
        <w:rPr>
          <w:sz w:val="22"/>
          <w:szCs w:val="22"/>
        </w:rPr>
        <w:t xml:space="preserve"> approach continues to evolve and adapt to the needs of children, youth, and families, the </w:t>
      </w:r>
      <w:r w:rsidR="00EE64E3">
        <w:rPr>
          <w:sz w:val="22"/>
          <w:szCs w:val="22"/>
        </w:rPr>
        <w:t>Strou</w:t>
      </w:r>
      <w:r w:rsidR="00625613">
        <w:rPr>
          <w:sz w:val="22"/>
          <w:szCs w:val="22"/>
        </w:rPr>
        <w:t>l</w:t>
      </w:r>
      <w:r w:rsidR="00EE64E3">
        <w:rPr>
          <w:sz w:val="22"/>
          <w:szCs w:val="22"/>
        </w:rPr>
        <w:t xml:space="preserve">, Blau, and Friedman issue brief cited above lists the </w:t>
      </w:r>
      <w:r w:rsidRPr="00D87880">
        <w:rPr>
          <w:sz w:val="22"/>
          <w:szCs w:val="22"/>
        </w:rPr>
        <w:t xml:space="preserve">core values </w:t>
      </w:r>
      <w:r w:rsidR="00EE64E3">
        <w:rPr>
          <w:sz w:val="22"/>
          <w:szCs w:val="22"/>
        </w:rPr>
        <w:t>of</w:t>
      </w:r>
      <w:r w:rsidR="00EE64E3" w:rsidRPr="00D87880">
        <w:rPr>
          <w:sz w:val="22"/>
          <w:szCs w:val="22"/>
        </w:rPr>
        <w:t xml:space="preserve"> </w:t>
      </w:r>
      <w:r w:rsidR="0078012C">
        <w:rPr>
          <w:sz w:val="22"/>
          <w:szCs w:val="22"/>
        </w:rPr>
        <w:t xml:space="preserve">a </w:t>
      </w:r>
      <w:r w:rsidR="00D63E57" w:rsidRPr="00D87880">
        <w:rPr>
          <w:sz w:val="22"/>
          <w:szCs w:val="22"/>
        </w:rPr>
        <w:t>SOC</w:t>
      </w:r>
      <w:r w:rsidRPr="00D87880">
        <w:rPr>
          <w:sz w:val="22"/>
          <w:szCs w:val="22"/>
        </w:rPr>
        <w:t xml:space="preserve"> </w:t>
      </w:r>
      <w:r w:rsidR="00625613">
        <w:rPr>
          <w:sz w:val="22"/>
          <w:szCs w:val="22"/>
        </w:rPr>
        <w:t>a</w:t>
      </w:r>
      <w:r w:rsidR="0078012C">
        <w:rPr>
          <w:sz w:val="22"/>
          <w:szCs w:val="22"/>
        </w:rPr>
        <w:t>s</w:t>
      </w:r>
      <w:r w:rsidR="00625613">
        <w:rPr>
          <w:sz w:val="22"/>
          <w:szCs w:val="22"/>
        </w:rPr>
        <w:t xml:space="preserve"> being</w:t>
      </w:r>
      <w:r w:rsidR="00BF779C" w:rsidRPr="00D87880">
        <w:rPr>
          <w:sz w:val="22"/>
          <w:szCs w:val="22"/>
        </w:rPr>
        <w:t>:</w:t>
      </w:r>
    </w:p>
    <w:p w14:paraId="390043D5" w14:textId="77777777" w:rsidR="00BE5AB8" w:rsidRPr="00D87880" w:rsidRDefault="00C837A2" w:rsidP="009020B6">
      <w:pPr>
        <w:pStyle w:val="N1-1stBullet"/>
        <w:numPr>
          <w:ilvl w:val="0"/>
          <w:numId w:val="37"/>
        </w:numPr>
        <w:tabs>
          <w:tab w:val="clear" w:pos="576"/>
        </w:tabs>
        <w:spacing w:after="120" w:line="240" w:lineRule="auto"/>
        <w:ind w:left="720" w:hanging="360"/>
        <w:rPr>
          <w:sz w:val="22"/>
          <w:szCs w:val="22"/>
        </w:rPr>
      </w:pPr>
      <w:r w:rsidRPr="00D87880">
        <w:rPr>
          <w:i/>
          <w:sz w:val="22"/>
          <w:szCs w:val="22"/>
        </w:rPr>
        <w:t>Family-</w:t>
      </w:r>
      <w:r w:rsidR="00BE5AB8" w:rsidRPr="00D87880">
        <w:rPr>
          <w:i/>
          <w:sz w:val="22"/>
          <w:szCs w:val="22"/>
        </w:rPr>
        <w:t xml:space="preserve">driven and </w:t>
      </w:r>
      <w:r w:rsidRPr="00D87880">
        <w:rPr>
          <w:i/>
          <w:sz w:val="22"/>
          <w:szCs w:val="22"/>
        </w:rPr>
        <w:t>youth-</w:t>
      </w:r>
      <w:r w:rsidR="00BE5AB8" w:rsidRPr="00D87880">
        <w:rPr>
          <w:i/>
          <w:sz w:val="22"/>
          <w:szCs w:val="22"/>
        </w:rPr>
        <w:t>guided</w:t>
      </w:r>
      <w:r w:rsidR="00BE5AB8" w:rsidRPr="00D87880">
        <w:rPr>
          <w:sz w:val="22"/>
          <w:szCs w:val="22"/>
        </w:rPr>
        <w:t>, with the strengths and needs of the child and family determining the types and mix of services and supports provided;</w:t>
      </w:r>
    </w:p>
    <w:p w14:paraId="5A370E48" w14:textId="77777777" w:rsidR="00BE5AB8" w:rsidRPr="00D87880" w:rsidRDefault="00714556" w:rsidP="009020B6">
      <w:pPr>
        <w:pStyle w:val="N1-1stBullet"/>
        <w:numPr>
          <w:ilvl w:val="0"/>
          <w:numId w:val="37"/>
        </w:numPr>
        <w:tabs>
          <w:tab w:val="clear" w:pos="576"/>
        </w:tabs>
        <w:spacing w:after="120" w:line="240" w:lineRule="auto"/>
        <w:ind w:left="720" w:hanging="360"/>
        <w:rPr>
          <w:sz w:val="22"/>
          <w:szCs w:val="22"/>
        </w:rPr>
      </w:pPr>
      <w:r w:rsidRPr="00D87880">
        <w:rPr>
          <w:i/>
          <w:sz w:val="22"/>
          <w:szCs w:val="22"/>
        </w:rPr>
        <w:t>Community-</w:t>
      </w:r>
      <w:r w:rsidR="00BE5AB8" w:rsidRPr="00D87880">
        <w:rPr>
          <w:i/>
          <w:sz w:val="22"/>
          <w:szCs w:val="22"/>
        </w:rPr>
        <w:t>based</w:t>
      </w:r>
      <w:r w:rsidR="00BE5AB8" w:rsidRPr="00D87880">
        <w:rPr>
          <w:sz w:val="22"/>
          <w:szCs w:val="22"/>
        </w:rPr>
        <w:t>, with the locus of services as well as system management resting within a supportive, adaptive infrastructure of structures, processes, and relationships at the community level; and</w:t>
      </w:r>
    </w:p>
    <w:p w14:paraId="0D2BBA13" w14:textId="05CE668D" w:rsidR="00BE5AB8" w:rsidRPr="00EE64E3" w:rsidRDefault="00BE5AB8" w:rsidP="009020B6">
      <w:pPr>
        <w:pStyle w:val="N1-1stBullet"/>
        <w:numPr>
          <w:ilvl w:val="0"/>
          <w:numId w:val="37"/>
        </w:numPr>
        <w:tabs>
          <w:tab w:val="clear" w:pos="576"/>
        </w:tabs>
        <w:spacing w:after="120" w:line="240" w:lineRule="auto"/>
        <w:ind w:left="720" w:hanging="360"/>
        <w:rPr>
          <w:sz w:val="22"/>
          <w:szCs w:val="22"/>
        </w:rPr>
      </w:pPr>
      <w:r w:rsidRPr="00D87880">
        <w:rPr>
          <w:i/>
          <w:sz w:val="22"/>
          <w:szCs w:val="22"/>
        </w:rPr>
        <w:t>Culturally and linguistically competent</w:t>
      </w:r>
      <w:r w:rsidRPr="00D87880">
        <w:rPr>
          <w:sz w:val="22"/>
          <w:szCs w:val="22"/>
        </w:rPr>
        <w:t>, with agencies, programs, and services that reflect the cultural, racial, ethnic, and linguistic differences of the populations they serve to facilitate access to and utilization of appropriate services and supports</w:t>
      </w:r>
      <w:r w:rsidR="00EE64E3">
        <w:rPr>
          <w:sz w:val="22"/>
          <w:szCs w:val="22"/>
        </w:rPr>
        <w:t xml:space="preserve"> </w:t>
      </w:r>
      <w:r w:rsidR="00EE64E3" w:rsidRPr="00FF5AA5">
        <w:rPr>
          <w:color w:val="231F20"/>
          <w:sz w:val="22"/>
          <w:szCs w:val="22"/>
        </w:rPr>
        <w:t>and to eliminate disparities in care</w:t>
      </w:r>
      <w:r w:rsidRPr="00EE64E3">
        <w:rPr>
          <w:sz w:val="22"/>
          <w:szCs w:val="22"/>
        </w:rPr>
        <w:t>.</w:t>
      </w:r>
    </w:p>
    <w:p w14:paraId="618E1D2D" w14:textId="5A09C03B" w:rsidR="00BE5AB8" w:rsidRPr="00D87880" w:rsidRDefault="00BE5AB8" w:rsidP="00672E58">
      <w:pPr>
        <w:pStyle w:val="P1-StandPara"/>
        <w:spacing w:line="240" w:lineRule="auto"/>
        <w:jc w:val="left"/>
        <w:rPr>
          <w:sz w:val="22"/>
          <w:szCs w:val="22"/>
        </w:rPr>
      </w:pPr>
      <w:r w:rsidRPr="00D87880">
        <w:rPr>
          <w:sz w:val="22"/>
          <w:szCs w:val="22"/>
        </w:rPr>
        <w:t xml:space="preserve">The purpose of </w:t>
      </w:r>
      <w:r w:rsidR="008853AB">
        <w:rPr>
          <w:sz w:val="22"/>
          <w:szCs w:val="22"/>
        </w:rPr>
        <w:t xml:space="preserve">the original </w:t>
      </w:r>
      <w:r w:rsidR="003E085B" w:rsidRPr="00D87880">
        <w:rPr>
          <w:sz w:val="22"/>
          <w:szCs w:val="22"/>
        </w:rPr>
        <w:t xml:space="preserve">CMHI </w:t>
      </w:r>
      <w:r w:rsidR="008853AB">
        <w:rPr>
          <w:sz w:val="22"/>
          <w:szCs w:val="22"/>
        </w:rPr>
        <w:t xml:space="preserve">community grantees </w:t>
      </w:r>
      <w:r w:rsidRPr="00D87880">
        <w:rPr>
          <w:sz w:val="22"/>
          <w:szCs w:val="22"/>
        </w:rPr>
        <w:t xml:space="preserve">was to provide Federal support through grants to States, political subdivisions within States, the District of Columbia, </w:t>
      </w:r>
      <w:r w:rsidR="00B75108">
        <w:rPr>
          <w:sz w:val="22"/>
          <w:szCs w:val="22"/>
        </w:rPr>
        <w:t xml:space="preserve">tribal areas, </w:t>
      </w:r>
      <w:r w:rsidRPr="00D87880">
        <w:rPr>
          <w:sz w:val="22"/>
          <w:szCs w:val="22"/>
        </w:rPr>
        <w:t xml:space="preserve">and territories to develop integrated home and community-based systems and supports for children and youth with </w:t>
      </w:r>
      <w:r w:rsidR="006D3A52">
        <w:rPr>
          <w:sz w:val="22"/>
          <w:szCs w:val="22"/>
        </w:rPr>
        <w:t xml:space="preserve">severe emotional disturbances (SED) </w:t>
      </w:r>
      <w:r w:rsidRPr="00D87880">
        <w:rPr>
          <w:sz w:val="22"/>
          <w:szCs w:val="22"/>
        </w:rPr>
        <w:t xml:space="preserve">and their families (Huang et al., 2005). CMHI was shaped by the Child and Adolescent Service System Program (CASSP), which was implemented in 1984 to assist States and communities in building </w:t>
      </w:r>
      <w:r w:rsidR="0094403A">
        <w:rPr>
          <w:sz w:val="22"/>
          <w:szCs w:val="22"/>
        </w:rPr>
        <w:t xml:space="preserve">a </w:t>
      </w:r>
      <w:r w:rsidRPr="00D87880">
        <w:rPr>
          <w:sz w:val="22"/>
          <w:szCs w:val="22"/>
        </w:rPr>
        <w:t xml:space="preserve">comprehensive, community-based </w:t>
      </w:r>
      <w:r w:rsidR="00D63E57" w:rsidRPr="00D87880">
        <w:rPr>
          <w:sz w:val="22"/>
          <w:szCs w:val="22"/>
        </w:rPr>
        <w:t>SOC</w:t>
      </w:r>
      <w:r w:rsidRPr="00D87880">
        <w:rPr>
          <w:sz w:val="22"/>
          <w:szCs w:val="22"/>
        </w:rPr>
        <w:t xml:space="preserve">. CMHI was funded as a Federal demonstration grant program at the initial level of $4.9 million, and 22 communities were awarded grants through CMHI in 1993 to 1994. In the last 20 years, CMHI grants have funded children’s </w:t>
      </w:r>
      <w:r w:rsidR="00126D60" w:rsidRPr="00D87880">
        <w:rPr>
          <w:sz w:val="22"/>
          <w:szCs w:val="22"/>
        </w:rPr>
        <w:t>MH</w:t>
      </w:r>
      <w:r w:rsidRPr="00D87880">
        <w:rPr>
          <w:sz w:val="22"/>
          <w:szCs w:val="22"/>
        </w:rPr>
        <w:t xml:space="preserve"> services in all 50 states, Puerto Rico, Guam, </w:t>
      </w:r>
      <w:r w:rsidRPr="006F7DEB">
        <w:rPr>
          <w:sz w:val="22"/>
          <w:szCs w:val="22"/>
        </w:rPr>
        <w:t>and American</w:t>
      </w:r>
      <w:r w:rsidRPr="00D87880">
        <w:rPr>
          <w:sz w:val="22"/>
          <w:szCs w:val="22"/>
        </w:rPr>
        <w:t xml:space="preserve"> Indian/Alaska Native territories and authorities.</w:t>
      </w:r>
    </w:p>
    <w:p w14:paraId="240242FB" w14:textId="536EBB46" w:rsidR="00BE5AB8" w:rsidRPr="00D87880" w:rsidRDefault="00BE5AB8" w:rsidP="00672E58">
      <w:pPr>
        <w:pStyle w:val="P1-StandPara"/>
        <w:spacing w:line="240" w:lineRule="auto"/>
        <w:jc w:val="left"/>
        <w:rPr>
          <w:sz w:val="22"/>
          <w:szCs w:val="22"/>
        </w:rPr>
      </w:pPr>
      <w:r w:rsidRPr="00D87880">
        <w:rPr>
          <w:sz w:val="22"/>
          <w:szCs w:val="22"/>
        </w:rPr>
        <w:t xml:space="preserve">Since </w:t>
      </w:r>
      <w:r w:rsidR="00B63A03" w:rsidRPr="00D87880">
        <w:rPr>
          <w:sz w:val="22"/>
          <w:szCs w:val="22"/>
        </w:rPr>
        <w:t>its</w:t>
      </w:r>
      <w:r w:rsidRPr="00D87880">
        <w:rPr>
          <w:sz w:val="22"/>
          <w:szCs w:val="22"/>
        </w:rPr>
        <w:t xml:space="preserve"> inception</w:t>
      </w:r>
      <w:r w:rsidR="00B63A03" w:rsidRPr="00D87880">
        <w:rPr>
          <w:sz w:val="22"/>
          <w:szCs w:val="22"/>
        </w:rPr>
        <w:t xml:space="preserve">, </w:t>
      </w:r>
      <w:r w:rsidRPr="00D87880">
        <w:rPr>
          <w:sz w:val="22"/>
          <w:szCs w:val="22"/>
        </w:rPr>
        <w:t>CMHI</w:t>
      </w:r>
      <w:r w:rsidR="00B63A03" w:rsidRPr="00D87880">
        <w:rPr>
          <w:sz w:val="22"/>
          <w:szCs w:val="22"/>
        </w:rPr>
        <w:t xml:space="preserve"> has served </w:t>
      </w:r>
      <w:r w:rsidRPr="00D87880">
        <w:rPr>
          <w:sz w:val="22"/>
          <w:szCs w:val="22"/>
        </w:rPr>
        <w:t>more than 10</w:t>
      </w:r>
      <w:r w:rsidR="00742DBB" w:rsidRPr="00D87880">
        <w:rPr>
          <w:sz w:val="22"/>
          <w:szCs w:val="22"/>
        </w:rPr>
        <w:t>3</w:t>
      </w:r>
      <w:r w:rsidRPr="00D87880">
        <w:rPr>
          <w:sz w:val="22"/>
          <w:szCs w:val="22"/>
        </w:rPr>
        <w:t>,000 children and youth and their families</w:t>
      </w:r>
      <w:r w:rsidR="00B63A03" w:rsidRPr="00D87880">
        <w:rPr>
          <w:sz w:val="22"/>
          <w:szCs w:val="22"/>
        </w:rPr>
        <w:t xml:space="preserve">, who </w:t>
      </w:r>
      <w:r w:rsidRPr="00D87880">
        <w:rPr>
          <w:sz w:val="22"/>
          <w:szCs w:val="22"/>
        </w:rPr>
        <w:t xml:space="preserve">have shown a variety of clinical and functional improvements </w:t>
      </w:r>
      <w:r w:rsidR="00B63A03" w:rsidRPr="00D87880">
        <w:rPr>
          <w:sz w:val="22"/>
          <w:szCs w:val="22"/>
        </w:rPr>
        <w:t>during their</w:t>
      </w:r>
      <w:r w:rsidRPr="00D87880">
        <w:rPr>
          <w:sz w:val="22"/>
          <w:szCs w:val="22"/>
        </w:rPr>
        <w:t xml:space="preserve"> involvement with CMHI. Examples of clinical and functional improvements </w:t>
      </w:r>
      <w:r w:rsidR="00B63A03" w:rsidRPr="00D87880">
        <w:rPr>
          <w:sz w:val="22"/>
          <w:szCs w:val="22"/>
        </w:rPr>
        <w:t xml:space="preserve">have </w:t>
      </w:r>
      <w:r w:rsidRPr="00D87880">
        <w:rPr>
          <w:sz w:val="22"/>
          <w:szCs w:val="22"/>
        </w:rPr>
        <w:t>include</w:t>
      </w:r>
      <w:r w:rsidR="00B63A03" w:rsidRPr="00D87880">
        <w:rPr>
          <w:sz w:val="22"/>
          <w:szCs w:val="22"/>
        </w:rPr>
        <w:t>d</w:t>
      </w:r>
      <w:r w:rsidRPr="00D87880">
        <w:rPr>
          <w:sz w:val="22"/>
          <w:szCs w:val="22"/>
        </w:rPr>
        <w:t xml:space="preserve"> increases in behavioral and emotional strengths, reductions in suicide attempts, improvements in academic outcomes, </w:t>
      </w:r>
      <w:r w:rsidR="00B63A03" w:rsidRPr="00D87880">
        <w:rPr>
          <w:sz w:val="22"/>
          <w:szCs w:val="22"/>
        </w:rPr>
        <w:t>decreased</w:t>
      </w:r>
      <w:r w:rsidRPr="00D87880">
        <w:rPr>
          <w:sz w:val="22"/>
          <w:szCs w:val="22"/>
        </w:rPr>
        <w:t xml:space="preserve"> criminal justice involvement, reductions in reliance on inpatient care, and more stable living situations (</w:t>
      </w:r>
      <w:r w:rsidR="00334312">
        <w:rPr>
          <w:sz w:val="22"/>
          <w:szCs w:val="22"/>
        </w:rPr>
        <w:t>Annual Report to Congress</w:t>
      </w:r>
      <w:r w:rsidRPr="00D87880">
        <w:rPr>
          <w:sz w:val="22"/>
          <w:szCs w:val="22"/>
        </w:rPr>
        <w:t>, 20</w:t>
      </w:r>
      <w:r w:rsidR="00334312">
        <w:rPr>
          <w:sz w:val="22"/>
          <w:szCs w:val="22"/>
        </w:rPr>
        <w:t>11</w:t>
      </w:r>
      <w:r w:rsidRPr="00D87880">
        <w:rPr>
          <w:sz w:val="22"/>
          <w:szCs w:val="22"/>
        </w:rPr>
        <w:t xml:space="preserve">). </w:t>
      </w:r>
    </w:p>
    <w:p w14:paraId="05D065CA" w14:textId="77777777" w:rsidR="00AE07F1" w:rsidRPr="00D87880" w:rsidRDefault="00AE07F1" w:rsidP="00AE07F1">
      <w:pPr>
        <w:spacing w:line="240" w:lineRule="auto"/>
        <w:rPr>
          <w:rFonts w:ascii="Times New Roman" w:hAnsi="Times New Roman" w:cs="Times New Roman"/>
          <w:sz w:val="22"/>
          <w:szCs w:val="22"/>
        </w:rPr>
      </w:pPr>
      <w:r w:rsidRPr="00D87880">
        <w:rPr>
          <w:rFonts w:ascii="Times New Roman" w:hAnsi="Times New Roman" w:cs="Times New Roman"/>
          <w:sz w:val="22"/>
          <w:szCs w:val="22"/>
        </w:rPr>
        <w:t>The goals of the CMH</w:t>
      </w:r>
      <w:r w:rsidR="00CB4591" w:rsidRPr="00D87880">
        <w:rPr>
          <w:rFonts w:ascii="Times New Roman" w:hAnsi="Times New Roman" w:cs="Times New Roman"/>
          <w:sz w:val="22"/>
          <w:szCs w:val="22"/>
        </w:rPr>
        <w:t>I</w:t>
      </w:r>
      <w:r w:rsidRPr="00D87880">
        <w:rPr>
          <w:rFonts w:ascii="Times New Roman" w:hAnsi="Times New Roman" w:cs="Times New Roman"/>
          <w:sz w:val="22"/>
          <w:szCs w:val="22"/>
        </w:rPr>
        <w:t xml:space="preserve"> program are to:</w:t>
      </w:r>
      <w:r w:rsidRPr="00D87880">
        <w:rPr>
          <w:rFonts w:ascii="Times New Roman" w:hAnsi="Times New Roman" w:cs="Times New Roman"/>
          <w:sz w:val="22"/>
          <w:szCs w:val="22"/>
        </w:rPr>
        <w:tab/>
      </w:r>
      <w:r w:rsidRPr="00D87880">
        <w:rPr>
          <w:rFonts w:ascii="Times New Roman" w:hAnsi="Times New Roman" w:cs="Times New Roman"/>
          <w:sz w:val="22"/>
          <w:szCs w:val="22"/>
        </w:rPr>
        <w:tab/>
        <w:t xml:space="preserve"> </w:t>
      </w:r>
    </w:p>
    <w:p w14:paraId="26DD9841" w14:textId="03408B8B" w:rsidR="00AE07F1" w:rsidRPr="00D87880" w:rsidRDefault="00AE07F1" w:rsidP="007A14F1">
      <w:pPr>
        <w:numPr>
          <w:ilvl w:val="0"/>
          <w:numId w:val="5"/>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Expand jurisdictions’ capacity to serve children and adolescents with </w:t>
      </w:r>
      <w:r w:rsidR="007E61DC" w:rsidRPr="00D87880">
        <w:rPr>
          <w:rFonts w:ascii="Times New Roman" w:hAnsi="Times New Roman" w:cs="Times New Roman"/>
          <w:sz w:val="22"/>
          <w:szCs w:val="22"/>
        </w:rPr>
        <w:t>SED</w:t>
      </w:r>
      <w:r w:rsidRPr="00D87880">
        <w:rPr>
          <w:rFonts w:ascii="Times New Roman" w:hAnsi="Times New Roman" w:cs="Times New Roman"/>
          <w:sz w:val="22"/>
          <w:szCs w:val="22"/>
        </w:rPr>
        <w:t xml:space="preserve"> and their families;</w:t>
      </w:r>
    </w:p>
    <w:p w14:paraId="1E26ACFD" w14:textId="77777777" w:rsidR="00AE07F1" w:rsidRPr="00D87880" w:rsidRDefault="00AE07F1" w:rsidP="007A14F1">
      <w:pPr>
        <w:numPr>
          <w:ilvl w:val="0"/>
          <w:numId w:val="5"/>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Provide a broad array of accessible, clinically effective and fiscally-accountable services, treatments and supports;</w:t>
      </w:r>
    </w:p>
    <w:p w14:paraId="4CC7224D" w14:textId="77777777" w:rsidR="00AE07F1" w:rsidRPr="00D87880" w:rsidRDefault="00AE07F1" w:rsidP="007A14F1">
      <w:pPr>
        <w:numPr>
          <w:ilvl w:val="0"/>
          <w:numId w:val="5"/>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Serve as a catalyst for broad-based, sustainable systemic change inclusive of policy reform and infrastructure development</w:t>
      </w:r>
      <w:r w:rsidR="00B2093D" w:rsidRPr="00D87880">
        <w:rPr>
          <w:rFonts w:ascii="Times New Roman" w:hAnsi="Times New Roman" w:cs="Times New Roman"/>
          <w:sz w:val="22"/>
          <w:szCs w:val="22"/>
        </w:rPr>
        <w:t xml:space="preserve"> nationwide</w:t>
      </w:r>
      <w:r w:rsidRPr="00D87880">
        <w:rPr>
          <w:rFonts w:ascii="Times New Roman" w:hAnsi="Times New Roman" w:cs="Times New Roman"/>
          <w:sz w:val="22"/>
          <w:szCs w:val="22"/>
        </w:rPr>
        <w:t>;</w:t>
      </w:r>
    </w:p>
    <w:p w14:paraId="0E7BCD40" w14:textId="77777777" w:rsidR="00AE07F1" w:rsidRPr="00D87880" w:rsidRDefault="00B2093D" w:rsidP="007A14F1">
      <w:pPr>
        <w:numPr>
          <w:ilvl w:val="0"/>
          <w:numId w:val="5"/>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Create a car</w:t>
      </w:r>
      <w:r w:rsidR="00AE07F1" w:rsidRPr="00D87880">
        <w:rPr>
          <w:rFonts w:ascii="Times New Roman" w:hAnsi="Times New Roman" w:cs="Times New Roman"/>
          <w:sz w:val="22"/>
          <w:szCs w:val="22"/>
        </w:rPr>
        <w:t xml:space="preserve">e management team with an individualized service plan for each child; </w:t>
      </w:r>
    </w:p>
    <w:p w14:paraId="3E7DCB98" w14:textId="77777777" w:rsidR="00AE07F1" w:rsidRPr="00D87880" w:rsidRDefault="00AE07F1" w:rsidP="007A14F1">
      <w:pPr>
        <w:numPr>
          <w:ilvl w:val="0"/>
          <w:numId w:val="5"/>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lastRenderedPageBreak/>
        <w:t xml:space="preserve">Deliver culturally and linguistically competent services with special emphasis on racial, ethnic, linguistically diverse and other underrepresented, underserved or emergent cultural groups; and </w:t>
      </w:r>
    </w:p>
    <w:p w14:paraId="7AF85AA9" w14:textId="77777777" w:rsidR="00AE07F1" w:rsidRPr="00D87880" w:rsidRDefault="00B2093D" w:rsidP="007A14F1">
      <w:pPr>
        <w:numPr>
          <w:ilvl w:val="0"/>
          <w:numId w:val="5"/>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Encourage and facilitate</w:t>
      </w:r>
      <w:r w:rsidR="00AE07F1" w:rsidRPr="00D87880">
        <w:rPr>
          <w:rFonts w:ascii="Times New Roman" w:hAnsi="Times New Roman" w:cs="Times New Roman"/>
          <w:sz w:val="22"/>
          <w:szCs w:val="22"/>
        </w:rPr>
        <w:t xml:space="preserve"> full participation of families and youth in planning, evaluation and sustainability of local services and supports and in overall system transformation activities.</w:t>
      </w:r>
    </w:p>
    <w:p w14:paraId="24BAFA6F" w14:textId="1245C4BA" w:rsidR="00755DE6" w:rsidRPr="00D87880" w:rsidRDefault="00755DE6" w:rsidP="00755DE6">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The </w:t>
      </w:r>
      <w:r w:rsidRPr="00C4052B">
        <w:rPr>
          <w:rFonts w:ascii="Times New Roman" w:hAnsi="Times New Roman" w:cs="Times New Roman"/>
          <w:sz w:val="22"/>
          <w:szCs w:val="22"/>
        </w:rPr>
        <w:t>National</w:t>
      </w:r>
      <w:r w:rsidRPr="00D87880">
        <w:rPr>
          <w:rFonts w:ascii="Times New Roman" w:hAnsi="Times New Roman" w:cs="Times New Roman"/>
          <w:sz w:val="22"/>
          <w:szCs w:val="22"/>
        </w:rPr>
        <w:t xml:space="preserve"> SOC </w:t>
      </w:r>
      <w:r w:rsidRPr="00E95E63">
        <w:rPr>
          <w:rFonts w:ascii="Times New Roman" w:hAnsi="Times New Roman" w:cs="Times New Roman"/>
          <w:sz w:val="22"/>
          <w:szCs w:val="22"/>
        </w:rPr>
        <w:t xml:space="preserve">Expansion Evaluation </w:t>
      </w:r>
      <w:r w:rsidR="008853AB" w:rsidRPr="00E95E63">
        <w:rPr>
          <w:rFonts w:ascii="Times New Roman" w:hAnsi="Times New Roman" w:cs="Times New Roman"/>
          <w:sz w:val="22"/>
          <w:szCs w:val="22"/>
        </w:rPr>
        <w:t>(</w:t>
      </w:r>
      <w:r w:rsidR="00D70268" w:rsidRPr="00E95E63">
        <w:rPr>
          <w:rFonts w:ascii="Times New Roman" w:hAnsi="Times New Roman" w:cs="Times New Roman"/>
          <w:sz w:val="22"/>
          <w:szCs w:val="22"/>
        </w:rPr>
        <w:t xml:space="preserve">hereafter referred to as the </w:t>
      </w:r>
      <w:r w:rsidR="00D70268" w:rsidRPr="00E95E63">
        <w:rPr>
          <w:rFonts w:ascii="Times New Roman" w:hAnsi="Times New Roman" w:cs="Times New Roman"/>
          <w:i/>
          <w:sz w:val="22"/>
          <w:szCs w:val="22"/>
        </w:rPr>
        <w:t>Evaluation</w:t>
      </w:r>
      <w:r w:rsidR="008853AB" w:rsidRPr="00E95E63">
        <w:rPr>
          <w:rFonts w:ascii="Times New Roman" w:hAnsi="Times New Roman" w:cs="Times New Roman"/>
          <w:sz w:val="22"/>
          <w:szCs w:val="22"/>
        </w:rPr>
        <w:t xml:space="preserve">) </w:t>
      </w:r>
      <w:r w:rsidRPr="00E95E63">
        <w:rPr>
          <w:rFonts w:ascii="Times New Roman" w:hAnsi="Times New Roman" w:cs="Times New Roman"/>
          <w:sz w:val="22"/>
          <w:szCs w:val="22"/>
        </w:rPr>
        <w:t>is driven by the SOC</w:t>
      </w:r>
      <w:r w:rsidRPr="008D78F5">
        <w:rPr>
          <w:rFonts w:ascii="Times New Roman" w:hAnsi="Times New Roman" w:cs="Times New Roman"/>
          <w:sz w:val="22"/>
          <w:szCs w:val="22"/>
        </w:rPr>
        <w:t xml:space="preserve"> program theory model (illustrated in </w:t>
      </w:r>
      <w:r w:rsidRPr="0098087B">
        <w:rPr>
          <w:rFonts w:ascii="Times New Roman" w:hAnsi="Times New Roman" w:cs="Times New Roman"/>
          <w:sz w:val="22"/>
          <w:szCs w:val="22"/>
        </w:rPr>
        <w:t xml:space="preserve">the Evaluation logic </w:t>
      </w:r>
      <w:r w:rsidRPr="00345A8F">
        <w:rPr>
          <w:rFonts w:ascii="Times New Roman" w:hAnsi="Times New Roman" w:cs="Times New Roman"/>
          <w:sz w:val="22"/>
          <w:szCs w:val="22"/>
        </w:rPr>
        <w:t xml:space="preserve">model </w:t>
      </w:r>
      <w:r w:rsidR="0098087B" w:rsidRPr="00345A8F">
        <w:rPr>
          <w:rFonts w:ascii="Times New Roman" w:hAnsi="Times New Roman" w:cs="Times New Roman"/>
          <w:sz w:val="22"/>
          <w:szCs w:val="22"/>
        </w:rPr>
        <w:t>(see</w:t>
      </w:r>
      <w:r w:rsidRPr="00E95E63">
        <w:rPr>
          <w:rFonts w:ascii="Times New Roman" w:hAnsi="Times New Roman" w:cs="Times New Roman"/>
          <w:sz w:val="22"/>
          <w:szCs w:val="22"/>
        </w:rPr>
        <w:t xml:space="preserve"> Attachment </w:t>
      </w:r>
      <w:r w:rsidR="0098087B" w:rsidRPr="00345A8F">
        <w:rPr>
          <w:rFonts w:ascii="Times New Roman" w:hAnsi="Times New Roman" w:cs="Times New Roman"/>
          <w:sz w:val="22"/>
          <w:szCs w:val="22"/>
        </w:rPr>
        <w:t>1</w:t>
      </w:r>
      <w:r w:rsidRPr="00345A8F">
        <w:rPr>
          <w:rFonts w:ascii="Times New Roman" w:hAnsi="Times New Roman" w:cs="Times New Roman"/>
          <w:sz w:val="22"/>
          <w:szCs w:val="22"/>
        </w:rPr>
        <w:t>).</w:t>
      </w:r>
      <w:r w:rsidRPr="00D87880">
        <w:rPr>
          <w:rFonts w:ascii="Times New Roman" w:hAnsi="Times New Roman" w:cs="Times New Roman"/>
          <w:sz w:val="22"/>
          <w:szCs w:val="22"/>
        </w:rPr>
        <w:t xml:space="preserve"> </w:t>
      </w:r>
    </w:p>
    <w:p w14:paraId="1C9C5E1C" w14:textId="77777777" w:rsidR="00072C85" w:rsidRPr="00D87880" w:rsidRDefault="00072C85" w:rsidP="00072C85">
      <w:pPr>
        <w:keepNext/>
        <w:tabs>
          <w:tab w:val="left" w:pos="-1440"/>
          <w:tab w:val="left" w:pos="720"/>
        </w:tabs>
        <w:spacing w:line="240" w:lineRule="auto"/>
        <w:ind w:firstLine="360"/>
        <w:rPr>
          <w:rStyle w:val="minorhead"/>
          <w:rFonts w:ascii="Times New Roman" w:hAnsi="Times New Roman" w:cs="Times New Roman"/>
          <w:sz w:val="22"/>
          <w:szCs w:val="22"/>
        </w:rPr>
      </w:pPr>
      <w:r>
        <w:rPr>
          <w:rStyle w:val="minorhead"/>
          <w:rFonts w:ascii="Times New Roman" w:hAnsi="Times New Roman" w:cs="Times New Roman"/>
          <w:sz w:val="22"/>
          <w:szCs w:val="22"/>
        </w:rPr>
        <w:t>b</w:t>
      </w:r>
      <w:r w:rsidRPr="00D87880">
        <w:rPr>
          <w:rStyle w:val="minorhead"/>
          <w:rFonts w:ascii="Times New Roman" w:hAnsi="Times New Roman" w:cs="Times New Roman"/>
          <w:sz w:val="22"/>
          <w:szCs w:val="22"/>
        </w:rPr>
        <w:t xml:space="preserve">. </w:t>
      </w:r>
      <w:r w:rsidRPr="00D87880">
        <w:rPr>
          <w:rStyle w:val="minorhead"/>
          <w:rFonts w:ascii="Times New Roman" w:hAnsi="Times New Roman" w:cs="Times New Roman"/>
          <w:sz w:val="22"/>
          <w:szCs w:val="22"/>
        </w:rPr>
        <w:tab/>
        <w:t xml:space="preserve">The Need for Evaluation  </w:t>
      </w:r>
    </w:p>
    <w:p w14:paraId="35D3176A" w14:textId="51FEF3A6" w:rsidR="00072C85" w:rsidRPr="00D87880" w:rsidRDefault="00072C85" w:rsidP="00072C85">
      <w:pPr>
        <w:keepNext/>
        <w:tabs>
          <w:tab w:val="left" w:pos="-1440"/>
        </w:tabs>
        <w:spacing w:line="240" w:lineRule="auto"/>
        <w:rPr>
          <w:rFonts w:ascii="Times New Roman" w:hAnsi="Times New Roman" w:cs="Times New Roman"/>
          <w:sz w:val="22"/>
          <w:szCs w:val="22"/>
        </w:rPr>
      </w:pPr>
      <w:r w:rsidRPr="00D87880">
        <w:rPr>
          <w:rFonts w:ascii="Times New Roman" w:hAnsi="Times New Roman" w:cs="Times New Roman"/>
          <w:sz w:val="22"/>
          <w:szCs w:val="22"/>
        </w:rPr>
        <w:t>Section 56</w:t>
      </w:r>
      <w:r>
        <w:rPr>
          <w:rFonts w:ascii="Times New Roman" w:hAnsi="Times New Roman" w:cs="Times New Roman"/>
          <w:sz w:val="22"/>
          <w:szCs w:val="22"/>
        </w:rPr>
        <w:t>5(c)(1)</w:t>
      </w:r>
      <w:r w:rsidRPr="00D87880">
        <w:rPr>
          <w:rFonts w:ascii="Times New Roman" w:hAnsi="Times New Roman" w:cs="Times New Roman"/>
          <w:sz w:val="22"/>
          <w:szCs w:val="22"/>
        </w:rPr>
        <w:t xml:space="preserve"> of the Public Health Service Act </w:t>
      </w:r>
      <w:r>
        <w:rPr>
          <w:rFonts w:ascii="Times New Roman" w:hAnsi="Times New Roman" w:cs="Times New Roman"/>
          <w:sz w:val="22"/>
          <w:szCs w:val="22"/>
        </w:rPr>
        <w:t>of Public Law</w:t>
      </w:r>
      <w:r w:rsidRPr="00D87880">
        <w:rPr>
          <w:rFonts w:ascii="Times New Roman" w:hAnsi="Times New Roman" w:cs="Times New Roman"/>
          <w:sz w:val="22"/>
          <w:szCs w:val="22"/>
        </w:rPr>
        <w:t xml:space="preserve"> 102-321 mandates annual evaluation activities</w:t>
      </w:r>
      <w:r>
        <w:rPr>
          <w:rFonts w:ascii="Times New Roman" w:hAnsi="Times New Roman" w:cs="Times New Roman"/>
          <w:sz w:val="22"/>
          <w:szCs w:val="22"/>
        </w:rPr>
        <w:t xml:space="preserve"> of SAMHSA programs</w:t>
      </w:r>
      <w:r w:rsidRPr="00D87880">
        <w:rPr>
          <w:rFonts w:ascii="Times New Roman" w:hAnsi="Times New Roman" w:cs="Times New Roman"/>
          <w:sz w:val="22"/>
          <w:szCs w:val="22"/>
        </w:rPr>
        <w:t xml:space="preserve">. </w:t>
      </w:r>
      <w:r>
        <w:rPr>
          <w:rFonts w:ascii="Times New Roman" w:hAnsi="Times New Roman" w:cs="Times New Roman"/>
          <w:sz w:val="22"/>
          <w:szCs w:val="22"/>
        </w:rPr>
        <w:t>B</w:t>
      </w:r>
      <w:r w:rsidRPr="00D87880">
        <w:rPr>
          <w:rFonts w:ascii="Times New Roman" w:hAnsi="Times New Roman" w:cs="Times New Roman"/>
          <w:sz w:val="22"/>
          <w:szCs w:val="22"/>
        </w:rPr>
        <w:t>asic requirement</w:t>
      </w:r>
      <w:r>
        <w:rPr>
          <w:rFonts w:ascii="Times New Roman" w:hAnsi="Times New Roman" w:cs="Times New Roman"/>
          <w:sz w:val="22"/>
          <w:szCs w:val="22"/>
        </w:rPr>
        <w:t>s are the</w:t>
      </w:r>
      <w:r w:rsidRPr="00D87880">
        <w:rPr>
          <w:rFonts w:ascii="Times New Roman" w:hAnsi="Times New Roman" w:cs="Times New Roman"/>
          <w:sz w:val="22"/>
          <w:szCs w:val="22"/>
        </w:rPr>
        <w:t xml:space="preserve"> documentation of</w:t>
      </w:r>
      <w:r>
        <w:rPr>
          <w:rFonts w:ascii="Times New Roman" w:hAnsi="Times New Roman" w:cs="Times New Roman"/>
          <w:sz w:val="22"/>
          <w:szCs w:val="22"/>
        </w:rPr>
        <w:t>:</w:t>
      </w:r>
      <w:r w:rsidRPr="00D87880">
        <w:rPr>
          <w:rFonts w:ascii="Times New Roman" w:hAnsi="Times New Roman" w:cs="Times New Roman"/>
          <w:sz w:val="22"/>
          <w:szCs w:val="22"/>
        </w:rPr>
        <w:t xml:space="preserve"> characteristics of the children and families served by the </w:t>
      </w:r>
      <w:r w:rsidR="00682353">
        <w:rPr>
          <w:rFonts w:ascii="Times New Roman" w:hAnsi="Times New Roman" w:cs="Times New Roman"/>
          <w:sz w:val="22"/>
          <w:szCs w:val="22"/>
        </w:rPr>
        <w:t>gran</w:t>
      </w:r>
      <w:r w:rsidR="00586011">
        <w:rPr>
          <w:rFonts w:ascii="Times New Roman" w:hAnsi="Times New Roman" w:cs="Times New Roman"/>
          <w:sz w:val="22"/>
          <w:szCs w:val="22"/>
        </w:rPr>
        <w:t>t</w:t>
      </w:r>
      <w:r w:rsidR="00682353">
        <w:rPr>
          <w:rFonts w:ascii="Times New Roman" w:hAnsi="Times New Roman" w:cs="Times New Roman"/>
          <w:sz w:val="22"/>
          <w:szCs w:val="22"/>
        </w:rPr>
        <w:t xml:space="preserve"> program</w:t>
      </w:r>
      <w:r>
        <w:rPr>
          <w:rFonts w:ascii="Times New Roman" w:hAnsi="Times New Roman" w:cs="Times New Roman"/>
          <w:sz w:val="22"/>
          <w:szCs w:val="22"/>
        </w:rPr>
        <w:t>;</w:t>
      </w:r>
      <w:r w:rsidRPr="00D87880">
        <w:rPr>
          <w:rFonts w:ascii="Times New Roman" w:hAnsi="Times New Roman" w:cs="Times New Roman"/>
          <w:sz w:val="22"/>
          <w:szCs w:val="22"/>
        </w:rPr>
        <w:t xml:space="preserve"> the type and amount of services they receive</w:t>
      </w:r>
      <w:r>
        <w:rPr>
          <w:rFonts w:ascii="Times New Roman" w:hAnsi="Times New Roman" w:cs="Times New Roman"/>
          <w:sz w:val="22"/>
          <w:szCs w:val="22"/>
        </w:rPr>
        <w:t>;</w:t>
      </w:r>
      <w:r w:rsidRPr="00D87880">
        <w:rPr>
          <w:rFonts w:ascii="Times New Roman" w:hAnsi="Times New Roman" w:cs="Times New Roman"/>
          <w:sz w:val="22"/>
          <w:szCs w:val="22"/>
        </w:rPr>
        <w:t xml:space="preserve"> how these services are coordinated</w:t>
      </w:r>
      <w:r>
        <w:rPr>
          <w:rFonts w:ascii="Times New Roman" w:hAnsi="Times New Roman" w:cs="Times New Roman"/>
          <w:sz w:val="22"/>
          <w:szCs w:val="22"/>
        </w:rPr>
        <w:t>;</w:t>
      </w:r>
      <w:r w:rsidRPr="00D87880">
        <w:rPr>
          <w:rFonts w:ascii="Times New Roman" w:hAnsi="Times New Roman" w:cs="Times New Roman"/>
          <w:sz w:val="22"/>
          <w:szCs w:val="22"/>
        </w:rPr>
        <w:t xml:space="preserve"> and the </w:t>
      </w:r>
      <w:r>
        <w:rPr>
          <w:rFonts w:ascii="Times New Roman" w:hAnsi="Times New Roman" w:cs="Times New Roman"/>
          <w:sz w:val="22"/>
          <w:szCs w:val="22"/>
        </w:rPr>
        <w:t xml:space="preserve">associated </w:t>
      </w:r>
      <w:r w:rsidRPr="00D87880">
        <w:rPr>
          <w:rFonts w:ascii="Times New Roman" w:hAnsi="Times New Roman" w:cs="Times New Roman"/>
          <w:sz w:val="22"/>
          <w:szCs w:val="22"/>
        </w:rPr>
        <w:t>cost</w:t>
      </w:r>
      <w:r>
        <w:rPr>
          <w:rFonts w:ascii="Times New Roman" w:hAnsi="Times New Roman" w:cs="Times New Roman"/>
          <w:sz w:val="22"/>
          <w:szCs w:val="22"/>
        </w:rPr>
        <w:t>s</w:t>
      </w:r>
      <w:r w:rsidRPr="00D87880">
        <w:rPr>
          <w:rFonts w:ascii="Times New Roman" w:hAnsi="Times New Roman" w:cs="Times New Roman"/>
          <w:sz w:val="22"/>
          <w:szCs w:val="22"/>
        </w:rPr>
        <w:t>. Equally important is the need to assess whether the program was implemented and the services were experienced as intended as well as the geographic distribution of providers</w:t>
      </w:r>
      <w:r>
        <w:rPr>
          <w:rFonts w:ascii="Times New Roman" w:hAnsi="Times New Roman" w:cs="Times New Roman"/>
          <w:sz w:val="22"/>
          <w:szCs w:val="22"/>
        </w:rPr>
        <w:t xml:space="preserve"> and clients</w:t>
      </w:r>
      <w:r w:rsidRPr="00D87880">
        <w:rPr>
          <w:rFonts w:ascii="Times New Roman" w:hAnsi="Times New Roman" w:cs="Times New Roman"/>
          <w:sz w:val="22"/>
          <w:szCs w:val="22"/>
        </w:rPr>
        <w:t xml:space="preserve">. It is also critical to assess whether the children served by the program experience improvement in clinical and functional outcomes, whether family life is improved, and whether improvements endure over time. </w:t>
      </w:r>
    </w:p>
    <w:p w14:paraId="7E35FCAB" w14:textId="77777777" w:rsidR="00072C85" w:rsidRPr="002F32F9" w:rsidRDefault="00072C85" w:rsidP="00072C85">
      <w:pPr>
        <w:tabs>
          <w:tab w:val="left" w:pos="-1440"/>
        </w:tabs>
        <w:autoSpaceDE w:val="0"/>
        <w:autoSpaceDN w:val="0"/>
        <w:adjustRightInd w:val="0"/>
        <w:spacing w:line="240" w:lineRule="auto"/>
        <w:rPr>
          <w:rFonts w:ascii="Times New Roman" w:hAnsi="Times New Roman" w:cs="Times New Roman"/>
          <w:sz w:val="22"/>
          <w:szCs w:val="22"/>
        </w:rPr>
      </w:pPr>
      <w:r w:rsidRPr="002F32F9">
        <w:rPr>
          <w:rFonts w:ascii="Times New Roman" w:hAnsi="Times New Roman" w:cs="Times New Roman"/>
          <w:sz w:val="22"/>
          <w:szCs w:val="22"/>
        </w:rPr>
        <w:t>Further evaluation requirements under Sections 564(f) and 565(c)2 of PL102-321 include:</w:t>
      </w:r>
    </w:p>
    <w:p w14:paraId="782B310A" w14:textId="77777777" w:rsidR="00072C85" w:rsidRPr="00D87880" w:rsidRDefault="00072C85" w:rsidP="00072C85">
      <w:pPr>
        <w:numPr>
          <w:ilvl w:val="0"/>
          <w:numId w:val="6"/>
        </w:numPr>
        <w:tabs>
          <w:tab w:val="left" w:pos="-1440"/>
        </w:tabs>
        <w:autoSpaceDE w:val="0"/>
        <w:autoSpaceDN w:val="0"/>
        <w:adjustRightInd w:val="0"/>
        <w:spacing w:line="240" w:lineRule="auto"/>
        <w:rPr>
          <w:rFonts w:ascii="Times New Roman" w:hAnsi="Times New Roman" w:cs="Times New Roman"/>
          <w:sz w:val="22"/>
          <w:szCs w:val="22"/>
        </w:rPr>
      </w:pPr>
      <w:r w:rsidRPr="00631EE4">
        <w:rPr>
          <w:rFonts w:ascii="Times New Roman" w:hAnsi="Times New Roman" w:cs="Times New Roman"/>
          <w:sz w:val="22"/>
          <w:szCs w:val="22"/>
        </w:rPr>
        <w:t>Annual reports to the Secretary of Health and Human Services (H</w:t>
      </w:r>
      <w:r>
        <w:rPr>
          <w:rFonts w:ascii="Times New Roman" w:hAnsi="Times New Roman" w:cs="Times New Roman"/>
          <w:sz w:val="22"/>
          <w:szCs w:val="22"/>
        </w:rPr>
        <w:t>H</w:t>
      </w:r>
      <w:r w:rsidRPr="00631EE4">
        <w:rPr>
          <w:rFonts w:ascii="Times New Roman" w:hAnsi="Times New Roman" w:cs="Times New Roman"/>
          <w:sz w:val="22"/>
          <w:szCs w:val="22"/>
        </w:rPr>
        <w:t>S) that include a description of</w:t>
      </w:r>
      <w:r w:rsidRPr="00D87880">
        <w:rPr>
          <w:rFonts w:ascii="Times New Roman" w:hAnsi="Times New Roman" w:cs="Times New Roman"/>
          <w:sz w:val="22"/>
          <w:szCs w:val="22"/>
        </w:rPr>
        <w:t xml:space="preserve"> the number of children served, child demographic characteristics, types and costs of services provided, availability and use of third-party reimbursements, estimates of the unmet need for services within grant jurisdictions, how the grant was expended to establish </w:t>
      </w:r>
      <w:r>
        <w:rPr>
          <w:rFonts w:ascii="Times New Roman" w:hAnsi="Times New Roman" w:cs="Times New Roman"/>
          <w:sz w:val="22"/>
          <w:szCs w:val="22"/>
        </w:rPr>
        <w:t xml:space="preserve">a </w:t>
      </w:r>
      <w:r w:rsidRPr="00D87880">
        <w:rPr>
          <w:rFonts w:ascii="Times New Roman" w:hAnsi="Times New Roman" w:cs="Times New Roman"/>
          <w:sz w:val="22"/>
          <w:szCs w:val="22"/>
        </w:rPr>
        <w:t>jurisdiction-wide SOC, and other information as required by the Secretary.</w:t>
      </w:r>
    </w:p>
    <w:p w14:paraId="2C0555AE" w14:textId="625321AD" w:rsidR="00072C85" w:rsidRPr="00D87880" w:rsidRDefault="00072C85" w:rsidP="00072C85">
      <w:pPr>
        <w:numPr>
          <w:ilvl w:val="0"/>
          <w:numId w:val="6"/>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Annual reports to Congress that provide information on longitudinal </w:t>
      </w:r>
      <w:r w:rsidR="00B533F9">
        <w:rPr>
          <w:rFonts w:ascii="Times New Roman" w:hAnsi="Times New Roman" w:cs="Times New Roman"/>
          <w:sz w:val="22"/>
          <w:szCs w:val="22"/>
        </w:rPr>
        <w:t>evaluations</w:t>
      </w:r>
      <w:r w:rsidR="00B533F9" w:rsidRPr="00D87880">
        <w:rPr>
          <w:rFonts w:ascii="Times New Roman" w:hAnsi="Times New Roman" w:cs="Times New Roman"/>
          <w:sz w:val="22"/>
          <w:szCs w:val="22"/>
        </w:rPr>
        <w:t xml:space="preserve"> </w:t>
      </w:r>
      <w:r w:rsidRPr="00D87880">
        <w:rPr>
          <w:rFonts w:ascii="Times New Roman" w:hAnsi="Times New Roman" w:cs="Times New Roman"/>
          <w:sz w:val="22"/>
          <w:szCs w:val="22"/>
        </w:rPr>
        <w:t xml:space="preserve">of outcomes of services provided by the funded SOC, the effect of activities conducted under funded SOC on the utilization of hospital and other institutional settings, barriers to the achievements of establishing interagency collaboration within </w:t>
      </w:r>
      <w:r>
        <w:rPr>
          <w:rFonts w:ascii="Times New Roman" w:hAnsi="Times New Roman" w:cs="Times New Roman"/>
          <w:sz w:val="22"/>
          <w:szCs w:val="22"/>
        </w:rPr>
        <w:t xml:space="preserve">the </w:t>
      </w:r>
      <w:r w:rsidRPr="00D87880">
        <w:rPr>
          <w:rFonts w:ascii="Times New Roman" w:hAnsi="Times New Roman" w:cs="Times New Roman"/>
          <w:sz w:val="22"/>
          <w:szCs w:val="22"/>
        </w:rPr>
        <w:t xml:space="preserve">SOC, and parental assessment of the effectiveness of </w:t>
      </w:r>
      <w:r>
        <w:rPr>
          <w:rFonts w:ascii="Times New Roman" w:hAnsi="Times New Roman" w:cs="Times New Roman"/>
          <w:sz w:val="22"/>
          <w:szCs w:val="22"/>
        </w:rPr>
        <w:t xml:space="preserve">the </w:t>
      </w:r>
      <w:r w:rsidRPr="00D87880">
        <w:rPr>
          <w:rFonts w:ascii="Times New Roman" w:hAnsi="Times New Roman" w:cs="Times New Roman"/>
          <w:sz w:val="22"/>
          <w:szCs w:val="22"/>
        </w:rPr>
        <w:t xml:space="preserve">SOC. </w:t>
      </w:r>
    </w:p>
    <w:p w14:paraId="63B4B03A" w14:textId="77777777" w:rsidR="00072C85" w:rsidRPr="00D87880" w:rsidRDefault="00072C85" w:rsidP="00072C85">
      <w:pPr>
        <w:pStyle w:val="ListParagraph"/>
        <w:numPr>
          <w:ilvl w:val="0"/>
          <w:numId w:val="51"/>
        </w:numPr>
        <w:spacing w:line="240" w:lineRule="auto"/>
        <w:ind w:left="900" w:hanging="540"/>
        <w:rPr>
          <w:rFonts w:ascii="Times New Roman" w:hAnsi="Times New Roman" w:cs="Times New Roman"/>
          <w:b/>
          <w:sz w:val="22"/>
          <w:szCs w:val="22"/>
        </w:rPr>
      </w:pPr>
      <w:r w:rsidRPr="00D87880">
        <w:rPr>
          <w:rFonts w:ascii="Times New Roman" w:hAnsi="Times New Roman" w:cs="Times New Roman"/>
          <w:b/>
          <w:sz w:val="22"/>
          <w:szCs w:val="22"/>
        </w:rPr>
        <w:t>Clearance Request</w:t>
      </w:r>
    </w:p>
    <w:p w14:paraId="25D98DDE" w14:textId="352AF8FC" w:rsidR="00072C85" w:rsidRDefault="00072C85" w:rsidP="00072C85">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This submission requests OMB clearance for (1) data collection </w:t>
      </w:r>
      <w:r w:rsidRPr="002309A0">
        <w:rPr>
          <w:rFonts w:ascii="Times New Roman" w:hAnsi="Times New Roman" w:cs="Times New Roman"/>
          <w:sz w:val="22"/>
          <w:szCs w:val="22"/>
        </w:rPr>
        <w:t xml:space="preserve">to evaluate the CMHI Expansion Planning and Implementation grants and (2) the estimated burden for collecting data under this protocol. The request estimates burden for data </w:t>
      </w:r>
      <w:r w:rsidRPr="00D77FB7">
        <w:rPr>
          <w:rFonts w:ascii="Times New Roman" w:hAnsi="Times New Roman" w:cs="Times New Roman"/>
          <w:sz w:val="22"/>
          <w:szCs w:val="22"/>
        </w:rPr>
        <w:t xml:space="preserve">collection in a total of </w:t>
      </w:r>
      <w:r w:rsidR="00041A10">
        <w:rPr>
          <w:rFonts w:ascii="Times New Roman" w:hAnsi="Times New Roman" w:cs="Times New Roman"/>
          <w:sz w:val="22"/>
          <w:szCs w:val="22"/>
        </w:rPr>
        <w:t>51</w:t>
      </w:r>
      <w:r w:rsidRPr="00D77FB7">
        <w:rPr>
          <w:rFonts w:ascii="Times New Roman" w:hAnsi="Times New Roman" w:cs="Times New Roman"/>
          <w:sz w:val="22"/>
          <w:szCs w:val="22"/>
        </w:rPr>
        <w:t xml:space="preserve"> planning </w:t>
      </w:r>
      <w:r w:rsidR="009E0F0D">
        <w:rPr>
          <w:rFonts w:ascii="Times New Roman" w:hAnsi="Times New Roman" w:cs="Times New Roman"/>
          <w:sz w:val="22"/>
          <w:szCs w:val="22"/>
        </w:rPr>
        <w:t>grants</w:t>
      </w:r>
      <w:r w:rsidR="00993B01">
        <w:rPr>
          <w:rFonts w:ascii="Times New Roman" w:hAnsi="Times New Roman" w:cs="Times New Roman"/>
          <w:sz w:val="22"/>
          <w:szCs w:val="22"/>
        </w:rPr>
        <w:t xml:space="preserve"> and</w:t>
      </w:r>
      <w:r w:rsidR="009E0F0D">
        <w:rPr>
          <w:rFonts w:ascii="Times New Roman" w:hAnsi="Times New Roman" w:cs="Times New Roman"/>
          <w:sz w:val="22"/>
          <w:szCs w:val="22"/>
        </w:rPr>
        <w:t xml:space="preserve"> </w:t>
      </w:r>
      <w:r w:rsidRPr="00D77FB7">
        <w:rPr>
          <w:rFonts w:ascii="Times New Roman" w:hAnsi="Times New Roman" w:cs="Times New Roman"/>
          <w:sz w:val="22"/>
          <w:szCs w:val="22"/>
        </w:rPr>
        <w:t>10</w:t>
      </w:r>
      <w:r w:rsidR="00993B01">
        <w:rPr>
          <w:rFonts w:ascii="Times New Roman" w:hAnsi="Times New Roman" w:cs="Times New Roman"/>
          <w:sz w:val="22"/>
          <w:szCs w:val="22"/>
        </w:rPr>
        <w:t>6 implementation grant</w:t>
      </w:r>
      <w:r w:rsidRPr="00E16790">
        <w:rPr>
          <w:rFonts w:ascii="Times New Roman" w:hAnsi="Times New Roman" w:cs="Times New Roman"/>
          <w:sz w:val="22"/>
          <w:szCs w:val="22"/>
        </w:rPr>
        <w:t xml:space="preserve"> jurisdictions. </w:t>
      </w:r>
    </w:p>
    <w:p w14:paraId="68FAFEFD" w14:textId="0DE492F5" w:rsidR="00C83782" w:rsidRPr="00C83782" w:rsidRDefault="00C83782" w:rsidP="001523D9">
      <w:pPr>
        <w:pStyle w:val="ListParagraph"/>
        <w:numPr>
          <w:ilvl w:val="0"/>
          <w:numId w:val="51"/>
        </w:numPr>
        <w:tabs>
          <w:tab w:val="left" w:pos="-1440"/>
          <w:tab w:val="left" w:pos="810"/>
        </w:tabs>
        <w:spacing w:line="240" w:lineRule="auto"/>
        <w:ind w:left="1980" w:hanging="1620"/>
        <w:rPr>
          <w:rFonts w:ascii="Times New Roman" w:hAnsi="Times New Roman" w:cs="Times New Roman"/>
          <w:b/>
          <w:sz w:val="22"/>
          <w:szCs w:val="22"/>
        </w:rPr>
      </w:pPr>
      <w:r w:rsidRPr="00C83782">
        <w:rPr>
          <w:rFonts w:ascii="Times New Roman" w:hAnsi="Times New Roman" w:cs="Times New Roman"/>
          <w:b/>
          <w:sz w:val="22"/>
          <w:szCs w:val="22"/>
        </w:rPr>
        <w:t>Overview of the Proposed Evaluation</w:t>
      </w:r>
    </w:p>
    <w:p w14:paraId="5D67BEF9" w14:textId="050C3370" w:rsidR="00E66653" w:rsidRPr="00E95E63" w:rsidRDefault="00E66653" w:rsidP="00E66653">
      <w:pPr>
        <w:pStyle w:val="P1-StandPara"/>
        <w:spacing w:line="240" w:lineRule="auto"/>
        <w:jc w:val="left"/>
        <w:rPr>
          <w:sz w:val="22"/>
          <w:szCs w:val="22"/>
        </w:rPr>
      </w:pPr>
      <w:r>
        <w:rPr>
          <w:sz w:val="22"/>
          <w:szCs w:val="22"/>
        </w:rPr>
        <w:t>In this section, we summarize the E</w:t>
      </w:r>
      <w:r w:rsidRPr="00E66653">
        <w:rPr>
          <w:sz w:val="22"/>
          <w:szCs w:val="22"/>
        </w:rPr>
        <w:t>valuation design, data collection activities, and evaluation questions</w:t>
      </w:r>
      <w:r>
        <w:rPr>
          <w:sz w:val="22"/>
          <w:szCs w:val="22"/>
        </w:rPr>
        <w:t xml:space="preserve"> to provide to provide an overview of the Evaluation.  </w:t>
      </w:r>
      <w:r w:rsidRPr="00E95E63">
        <w:rPr>
          <w:sz w:val="22"/>
          <w:szCs w:val="22"/>
        </w:rPr>
        <w:t>The primary goal of the National SOC Expansion Evaluation is to describe efforts to plan, implement and expand systems of care. CMHS will also examine how implementation is related to child, youth and family outcomes. The Evaluation will make use of an array of quantitative and qualitative data and analytic strategies, while attending carefully to the need to minimize grantee burden and maximize data quality.</w:t>
      </w:r>
    </w:p>
    <w:p w14:paraId="70163071" w14:textId="59A5DCDA" w:rsidR="00E66653" w:rsidRPr="00E66653" w:rsidRDefault="00E66653" w:rsidP="00E66653">
      <w:pPr>
        <w:rPr>
          <w:rFonts w:ascii="Times New Roman" w:hAnsi="Times New Roman" w:cs="Times New Roman"/>
          <w:sz w:val="22"/>
          <w:szCs w:val="22"/>
        </w:rPr>
      </w:pPr>
      <w:r w:rsidRPr="00E95E63">
        <w:rPr>
          <w:rFonts w:ascii="Times New Roman" w:hAnsi="Times New Roman" w:cs="Times New Roman"/>
          <w:sz w:val="22"/>
          <w:szCs w:val="22"/>
        </w:rPr>
        <w:t>CMHS is planning a longitudinal</w:t>
      </w:r>
      <w:r w:rsidRPr="00E66653">
        <w:rPr>
          <w:rFonts w:ascii="Times New Roman" w:hAnsi="Times New Roman" w:cs="Times New Roman"/>
          <w:sz w:val="22"/>
          <w:szCs w:val="22"/>
        </w:rPr>
        <w:t xml:space="preserve">, multi-level, cross-site evaluation that incorporates assessment at the jurisdiction, local system, and child/youth and family levels. Definitions and evaluation aims for each level are presented in Table 1. </w:t>
      </w:r>
    </w:p>
    <w:p w14:paraId="32695514" w14:textId="77777777" w:rsidR="00596E69" w:rsidRDefault="00596E69">
      <w:pPr>
        <w:rPr>
          <w:b/>
          <w:sz w:val="22"/>
          <w:szCs w:val="22"/>
        </w:rPr>
      </w:pPr>
      <w:r>
        <w:rPr>
          <w:b/>
          <w:sz w:val="22"/>
          <w:szCs w:val="22"/>
        </w:rPr>
        <w:br w:type="page"/>
      </w:r>
    </w:p>
    <w:p w14:paraId="1E4D6506" w14:textId="3E4D314E" w:rsidR="00E66653" w:rsidRPr="00D87880" w:rsidRDefault="00E66653" w:rsidP="00E66653">
      <w:pPr>
        <w:rPr>
          <w:sz w:val="22"/>
          <w:szCs w:val="22"/>
        </w:rPr>
      </w:pPr>
      <w:r w:rsidRPr="00E66653">
        <w:rPr>
          <w:b/>
          <w:sz w:val="22"/>
          <w:szCs w:val="22"/>
        </w:rPr>
        <w:lastRenderedPageBreak/>
        <w:t>Table 1. Definition and aims of the three levels of the Evaluation</w:t>
      </w:r>
    </w:p>
    <w:tbl>
      <w:tblPr>
        <w:tblStyle w:val="TableGrid"/>
        <w:tblW w:w="9812" w:type="dxa"/>
        <w:tblLook w:val="04A0" w:firstRow="1" w:lastRow="0" w:firstColumn="1" w:lastColumn="0" w:noHBand="0" w:noVBand="1"/>
      </w:tblPr>
      <w:tblGrid>
        <w:gridCol w:w="1634"/>
        <w:gridCol w:w="3300"/>
        <w:gridCol w:w="4878"/>
      </w:tblGrid>
      <w:tr w:rsidR="00E66653" w:rsidRPr="00D87880" w14:paraId="1DD3012E" w14:textId="77777777" w:rsidTr="00337C03">
        <w:trPr>
          <w:trHeight w:val="440"/>
        </w:trPr>
        <w:tc>
          <w:tcPr>
            <w:tcW w:w="1634" w:type="dxa"/>
            <w:shd w:val="clear" w:color="auto" w:fill="D9D9D9" w:themeFill="background1" w:themeFillShade="D9"/>
            <w:vAlign w:val="center"/>
          </w:tcPr>
          <w:p w14:paraId="1A296854" w14:textId="77777777" w:rsidR="00E66653" w:rsidRPr="00D87880" w:rsidRDefault="00E66653" w:rsidP="00337C03">
            <w:pPr>
              <w:pStyle w:val="P1-StandPara"/>
              <w:spacing w:line="240" w:lineRule="auto"/>
              <w:jc w:val="center"/>
              <w:rPr>
                <w:rFonts w:ascii="Arial" w:hAnsi="Arial" w:cs="Arial"/>
                <w:b/>
                <w:sz w:val="20"/>
              </w:rPr>
            </w:pPr>
            <w:r w:rsidRPr="00D87880">
              <w:rPr>
                <w:rFonts w:ascii="Arial" w:hAnsi="Arial" w:cs="Arial"/>
                <w:b/>
                <w:sz w:val="20"/>
              </w:rPr>
              <w:t>Level</w:t>
            </w:r>
          </w:p>
        </w:tc>
        <w:tc>
          <w:tcPr>
            <w:tcW w:w="3300" w:type="dxa"/>
            <w:shd w:val="clear" w:color="auto" w:fill="D9D9D9" w:themeFill="background1" w:themeFillShade="D9"/>
            <w:vAlign w:val="center"/>
          </w:tcPr>
          <w:p w14:paraId="41942D7E" w14:textId="77777777" w:rsidR="00E66653" w:rsidRPr="00D87880" w:rsidRDefault="00E66653" w:rsidP="00337C03">
            <w:pPr>
              <w:pStyle w:val="P1-StandPara"/>
              <w:spacing w:line="240" w:lineRule="auto"/>
              <w:jc w:val="center"/>
              <w:rPr>
                <w:rFonts w:ascii="Arial" w:hAnsi="Arial" w:cs="Arial"/>
                <w:b/>
                <w:sz w:val="20"/>
              </w:rPr>
            </w:pPr>
            <w:r w:rsidRPr="00D87880">
              <w:rPr>
                <w:rFonts w:ascii="Arial" w:hAnsi="Arial" w:cs="Arial"/>
                <w:b/>
                <w:sz w:val="20"/>
              </w:rPr>
              <w:t>Definition</w:t>
            </w:r>
          </w:p>
        </w:tc>
        <w:tc>
          <w:tcPr>
            <w:tcW w:w="4878" w:type="dxa"/>
            <w:shd w:val="clear" w:color="auto" w:fill="D9D9D9" w:themeFill="background1" w:themeFillShade="D9"/>
            <w:vAlign w:val="center"/>
          </w:tcPr>
          <w:p w14:paraId="6CA1FF7B" w14:textId="77777777" w:rsidR="00E66653" w:rsidRPr="00D87880" w:rsidRDefault="00E66653" w:rsidP="00337C03">
            <w:pPr>
              <w:pStyle w:val="P1-StandPara"/>
              <w:spacing w:line="240" w:lineRule="auto"/>
              <w:jc w:val="center"/>
              <w:rPr>
                <w:rFonts w:ascii="Arial" w:hAnsi="Arial" w:cs="Arial"/>
                <w:b/>
                <w:sz w:val="20"/>
              </w:rPr>
            </w:pPr>
            <w:r w:rsidRPr="00D87880">
              <w:rPr>
                <w:rFonts w:ascii="Arial" w:hAnsi="Arial" w:cs="Arial"/>
                <w:b/>
                <w:sz w:val="20"/>
              </w:rPr>
              <w:t>Aims</w:t>
            </w:r>
          </w:p>
        </w:tc>
      </w:tr>
      <w:tr w:rsidR="00E66653" w:rsidRPr="00D87880" w14:paraId="589E102C" w14:textId="77777777" w:rsidTr="00337C03">
        <w:tc>
          <w:tcPr>
            <w:tcW w:w="1634" w:type="dxa"/>
            <w:vAlign w:val="center"/>
          </w:tcPr>
          <w:p w14:paraId="42E0FFFA" w14:textId="77777777" w:rsidR="00E66653" w:rsidRPr="00D87880" w:rsidRDefault="00E66653" w:rsidP="00337C03">
            <w:pPr>
              <w:pStyle w:val="P1-StandPara"/>
              <w:spacing w:line="240" w:lineRule="auto"/>
              <w:jc w:val="left"/>
              <w:rPr>
                <w:rFonts w:ascii="Arial" w:hAnsi="Arial" w:cs="Arial"/>
                <w:sz w:val="20"/>
              </w:rPr>
            </w:pPr>
            <w:r w:rsidRPr="00D87880">
              <w:rPr>
                <w:rFonts w:ascii="Arial" w:hAnsi="Arial" w:cs="Arial"/>
                <w:sz w:val="20"/>
              </w:rPr>
              <w:t>Jurisdiction</w:t>
            </w:r>
          </w:p>
        </w:tc>
        <w:tc>
          <w:tcPr>
            <w:tcW w:w="3300" w:type="dxa"/>
          </w:tcPr>
          <w:p w14:paraId="4CC8F17C" w14:textId="77777777" w:rsidR="00E66653" w:rsidRPr="00D87880" w:rsidRDefault="00E66653" w:rsidP="00337C03">
            <w:pPr>
              <w:pStyle w:val="P1-StandPara"/>
              <w:spacing w:line="240" w:lineRule="auto"/>
              <w:jc w:val="left"/>
              <w:rPr>
                <w:rFonts w:ascii="Arial" w:hAnsi="Arial" w:cs="Arial"/>
                <w:sz w:val="20"/>
              </w:rPr>
            </w:pPr>
            <w:r w:rsidRPr="00D87880">
              <w:rPr>
                <w:rFonts w:ascii="Arial" w:hAnsi="Arial" w:cs="Arial"/>
                <w:sz w:val="20"/>
              </w:rPr>
              <w:t>Grantee: usually a state but can be another broad area such as a multi</w:t>
            </w:r>
            <w:r>
              <w:rPr>
                <w:rFonts w:ascii="Arial" w:hAnsi="Arial" w:cs="Arial"/>
                <w:sz w:val="20"/>
              </w:rPr>
              <w:t>-</w:t>
            </w:r>
            <w:r w:rsidRPr="00D87880">
              <w:rPr>
                <w:rFonts w:ascii="Arial" w:hAnsi="Arial" w:cs="Arial"/>
                <w:sz w:val="20"/>
              </w:rPr>
              <w:t>county region or tribal area</w:t>
            </w:r>
          </w:p>
        </w:tc>
        <w:tc>
          <w:tcPr>
            <w:tcW w:w="4878" w:type="dxa"/>
          </w:tcPr>
          <w:p w14:paraId="53E50FD1" w14:textId="77777777" w:rsidR="00E66653" w:rsidRPr="00D87880" w:rsidRDefault="00E66653" w:rsidP="00337C03">
            <w:pPr>
              <w:pStyle w:val="P1-StandPara"/>
              <w:numPr>
                <w:ilvl w:val="0"/>
                <w:numId w:val="15"/>
              </w:numPr>
              <w:tabs>
                <w:tab w:val="left" w:pos="829"/>
              </w:tabs>
              <w:spacing w:line="240" w:lineRule="auto"/>
              <w:ind w:left="289" w:hanging="270"/>
              <w:jc w:val="left"/>
              <w:rPr>
                <w:rFonts w:ascii="Arial" w:hAnsi="Arial" w:cs="Arial"/>
                <w:sz w:val="20"/>
              </w:rPr>
            </w:pPr>
            <w:r w:rsidRPr="00D87880">
              <w:rPr>
                <w:rFonts w:ascii="Arial" w:hAnsi="Arial" w:cs="Arial"/>
                <w:sz w:val="20"/>
              </w:rPr>
              <w:t xml:space="preserve">Describe how </w:t>
            </w:r>
            <w:r>
              <w:rPr>
                <w:rFonts w:ascii="Arial" w:hAnsi="Arial" w:cs="Arial"/>
                <w:sz w:val="20"/>
              </w:rPr>
              <w:t xml:space="preserve">the </w:t>
            </w:r>
            <w:r w:rsidRPr="00D87880">
              <w:rPr>
                <w:rFonts w:ascii="Arial" w:hAnsi="Arial" w:cs="Arial"/>
                <w:sz w:val="20"/>
              </w:rPr>
              <w:t xml:space="preserve">SOC </w:t>
            </w:r>
            <w:r>
              <w:rPr>
                <w:rFonts w:ascii="Arial" w:hAnsi="Arial" w:cs="Arial"/>
                <w:sz w:val="20"/>
              </w:rPr>
              <w:t xml:space="preserve">is </w:t>
            </w:r>
            <w:r w:rsidRPr="00D87880">
              <w:rPr>
                <w:rFonts w:ascii="Arial" w:hAnsi="Arial" w:cs="Arial"/>
                <w:sz w:val="20"/>
              </w:rPr>
              <w:t>organized</w:t>
            </w:r>
            <w:r>
              <w:rPr>
                <w:rFonts w:ascii="Arial" w:hAnsi="Arial" w:cs="Arial"/>
                <w:sz w:val="20"/>
              </w:rPr>
              <w:t xml:space="preserve"> and financed</w:t>
            </w:r>
          </w:p>
          <w:p w14:paraId="159CA2BD" w14:textId="77777777" w:rsidR="00E66653" w:rsidRDefault="00E66653" w:rsidP="00337C03">
            <w:pPr>
              <w:pStyle w:val="P1-StandPara"/>
              <w:numPr>
                <w:ilvl w:val="0"/>
                <w:numId w:val="15"/>
              </w:numPr>
              <w:tabs>
                <w:tab w:val="left" w:pos="829"/>
              </w:tabs>
              <w:spacing w:line="240" w:lineRule="auto"/>
              <w:ind w:left="289" w:hanging="270"/>
              <w:jc w:val="left"/>
              <w:rPr>
                <w:rFonts w:ascii="Arial" w:hAnsi="Arial" w:cs="Arial"/>
                <w:sz w:val="20"/>
              </w:rPr>
            </w:pPr>
            <w:r w:rsidRPr="00D87880">
              <w:rPr>
                <w:rFonts w:ascii="Arial" w:hAnsi="Arial" w:cs="Arial"/>
                <w:sz w:val="20"/>
              </w:rPr>
              <w:t xml:space="preserve">Identify </w:t>
            </w:r>
            <w:r>
              <w:rPr>
                <w:rFonts w:ascii="Arial" w:hAnsi="Arial" w:cs="Arial"/>
                <w:sz w:val="20"/>
              </w:rPr>
              <w:t xml:space="preserve">and describe </w:t>
            </w:r>
            <w:r w:rsidRPr="00D87880">
              <w:rPr>
                <w:rFonts w:ascii="Arial" w:hAnsi="Arial" w:cs="Arial"/>
                <w:sz w:val="20"/>
              </w:rPr>
              <w:t xml:space="preserve">mechanisms and strategies to </w:t>
            </w:r>
            <w:r>
              <w:rPr>
                <w:rFonts w:ascii="Arial" w:hAnsi="Arial" w:cs="Arial"/>
                <w:sz w:val="20"/>
              </w:rPr>
              <w:t xml:space="preserve">implement and </w:t>
            </w:r>
            <w:r w:rsidRPr="00D87880">
              <w:rPr>
                <w:rFonts w:ascii="Arial" w:hAnsi="Arial" w:cs="Arial"/>
                <w:sz w:val="20"/>
              </w:rPr>
              <w:t xml:space="preserve">expand </w:t>
            </w:r>
            <w:r>
              <w:rPr>
                <w:rFonts w:ascii="Arial" w:hAnsi="Arial" w:cs="Arial"/>
                <w:sz w:val="20"/>
              </w:rPr>
              <w:t xml:space="preserve">the </w:t>
            </w:r>
            <w:r w:rsidRPr="00D87880">
              <w:rPr>
                <w:rFonts w:ascii="Arial" w:hAnsi="Arial" w:cs="Arial"/>
                <w:sz w:val="20"/>
              </w:rPr>
              <w:t>SOC</w:t>
            </w:r>
          </w:p>
          <w:p w14:paraId="351BF006" w14:textId="77777777" w:rsidR="00E66653" w:rsidRDefault="00E66653" w:rsidP="00337C03">
            <w:pPr>
              <w:pStyle w:val="P1-StandPara"/>
              <w:numPr>
                <w:ilvl w:val="0"/>
                <w:numId w:val="15"/>
              </w:numPr>
              <w:tabs>
                <w:tab w:val="left" w:pos="829"/>
              </w:tabs>
              <w:spacing w:line="240" w:lineRule="auto"/>
              <w:ind w:left="289" w:hanging="270"/>
              <w:jc w:val="left"/>
              <w:rPr>
                <w:rFonts w:ascii="Arial" w:hAnsi="Arial" w:cs="Arial"/>
                <w:sz w:val="20"/>
              </w:rPr>
            </w:pPr>
            <w:r>
              <w:rPr>
                <w:rFonts w:ascii="Arial" w:hAnsi="Arial" w:cs="Arial"/>
                <w:sz w:val="20"/>
              </w:rPr>
              <w:t>Assess SOC development over time</w:t>
            </w:r>
          </w:p>
          <w:p w14:paraId="0BD3D4F9" w14:textId="77777777" w:rsidR="00E66653" w:rsidRPr="00DC4CC0" w:rsidRDefault="00E66653" w:rsidP="00337C03">
            <w:pPr>
              <w:pStyle w:val="P1-StandPara"/>
              <w:numPr>
                <w:ilvl w:val="0"/>
                <w:numId w:val="15"/>
              </w:numPr>
              <w:tabs>
                <w:tab w:val="left" w:pos="829"/>
              </w:tabs>
              <w:spacing w:line="240" w:lineRule="auto"/>
              <w:ind w:left="286" w:hanging="270"/>
              <w:jc w:val="left"/>
              <w:rPr>
                <w:rFonts w:ascii="Arial" w:hAnsi="Arial" w:cs="Arial"/>
                <w:sz w:val="20"/>
              </w:rPr>
            </w:pPr>
            <w:r w:rsidRPr="00D87880">
              <w:rPr>
                <w:rFonts w:ascii="Arial" w:hAnsi="Arial" w:cs="Arial"/>
                <w:sz w:val="20"/>
              </w:rPr>
              <w:t>Depict inter-agency linkages at top administrative levels</w:t>
            </w:r>
            <w:r>
              <w:rPr>
                <w:rFonts w:ascii="Arial" w:hAnsi="Arial" w:cs="Arial"/>
                <w:sz w:val="20"/>
              </w:rPr>
              <w:t xml:space="preserve"> and how they change over time</w:t>
            </w:r>
          </w:p>
        </w:tc>
      </w:tr>
      <w:tr w:rsidR="00E66653" w:rsidRPr="00D87880" w14:paraId="6295E28D" w14:textId="77777777" w:rsidTr="00337C03">
        <w:tc>
          <w:tcPr>
            <w:tcW w:w="1634" w:type="dxa"/>
            <w:vAlign w:val="center"/>
          </w:tcPr>
          <w:p w14:paraId="42DF5F45" w14:textId="77777777" w:rsidR="00E66653" w:rsidRPr="00D87880" w:rsidRDefault="00E66653" w:rsidP="00337C03">
            <w:pPr>
              <w:pStyle w:val="P1-StandPara"/>
              <w:spacing w:line="240" w:lineRule="auto"/>
              <w:jc w:val="left"/>
              <w:rPr>
                <w:rFonts w:ascii="Arial" w:hAnsi="Arial" w:cs="Arial"/>
                <w:sz w:val="20"/>
              </w:rPr>
            </w:pPr>
            <w:r w:rsidRPr="00D87880">
              <w:rPr>
                <w:rFonts w:ascii="Arial" w:hAnsi="Arial" w:cs="Arial"/>
                <w:sz w:val="20"/>
              </w:rPr>
              <w:t>Local System</w:t>
            </w:r>
          </w:p>
        </w:tc>
        <w:tc>
          <w:tcPr>
            <w:tcW w:w="3300" w:type="dxa"/>
          </w:tcPr>
          <w:p w14:paraId="0E56BA81" w14:textId="77777777" w:rsidR="00E66653" w:rsidRPr="00D87880" w:rsidRDefault="00E66653" w:rsidP="00337C03">
            <w:pPr>
              <w:pStyle w:val="P1-StandPara"/>
              <w:spacing w:line="240" w:lineRule="auto"/>
              <w:jc w:val="left"/>
              <w:rPr>
                <w:rFonts w:ascii="Arial" w:hAnsi="Arial" w:cs="Arial"/>
                <w:sz w:val="20"/>
              </w:rPr>
            </w:pPr>
            <w:r w:rsidRPr="00D87880">
              <w:rPr>
                <w:rFonts w:ascii="Arial" w:hAnsi="Arial" w:cs="Arial"/>
                <w:sz w:val="20"/>
              </w:rPr>
              <w:t>Counties, municipalities, multi-city areas within jurisdictions that organize to provide services directly to children and families</w:t>
            </w:r>
          </w:p>
        </w:tc>
        <w:tc>
          <w:tcPr>
            <w:tcW w:w="4878" w:type="dxa"/>
          </w:tcPr>
          <w:p w14:paraId="303D9193" w14:textId="77777777" w:rsidR="00E66653" w:rsidRPr="00D87880" w:rsidRDefault="00E66653" w:rsidP="00337C03">
            <w:pPr>
              <w:pStyle w:val="P1-StandPara"/>
              <w:numPr>
                <w:ilvl w:val="0"/>
                <w:numId w:val="16"/>
              </w:numPr>
              <w:tabs>
                <w:tab w:val="left" w:pos="829"/>
              </w:tabs>
              <w:spacing w:line="240" w:lineRule="auto"/>
              <w:ind w:left="289" w:hanging="270"/>
              <w:jc w:val="left"/>
              <w:rPr>
                <w:rFonts w:ascii="Arial" w:hAnsi="Arial" w:cs="Arial"/>
                <w:sz w:val="20"/>
              </w:rPr>
            </w:pPr>
            <w:r w:rsidRPr="00D87880">
              <w:rPr>
                <w:rFonts w:ascii="Arial" w:hAnsi="Arial" w:cs="Arial"/>
                <w:sz w:val="20"/>
              </w:rPr>
              <w:t>Explore funding mechanisms and arrangements</w:t>
            </w:r>
          </w:p>
          <w:p w14:paraId="45067C69" w14:textId="77777777" w:rsidR="00E66653" w:rsidRDefault="00E66653" w:rsidP="00337C03">
            <w:pPr>
              <w:pStyle w:val="P1-StandPara"/>
              <w:numPr>
                <w:ilvl w:val="0"/>
                <w:numId w:val="16"/>
              </w:numPr>
              <w:tabs>
                <w:tab w:val="left" w:pos="829"/>
              </w:tabs>
              <w:spacing w:line="240" w:lineRule="auto"/>
              <w:ind w:left="289" w:hanging="270"/>
              <w:jc w:val="left"/>
              <w:rPr>
                <w:rFonts w:ascii="Arial" w:hAnsi="Arial" w:cs="Arial"/>
                <w:sz w:val="20"/>
              </w:rPr>
            </w:pPr>
            <w:r w:rsidRPr="00D87880">
              <w:rPr>
                <w:rFonts w:ascii="Arial" w:hAnsi="Arial" w:cs="Arial"/>
                <w:sz w:val="20"/>
              </w:rPr>
              <w:t>Describe geographic reach of expansion efforts</w:t>
            </w:r>
          </w:p>
          <w:p w14:paraId="24DF90FA" w14:textId="77777777" w:rsidR="00E66653" w:rsidRDefault="00E66653" w:rsidP="00337C03">
            <w:pPr>
              <w:pStyle w:val="P1-StandPara"/>
              <w:numPr>
                <w:ilvl w:val="0"/>
                <w:numId w:val="16"/>
              </w:numPr>
              <w:tabs>
                <w:tab w:val="left" w:pos="829"/>
              </w:tabs>
              <w:spacing w:line="240" w:lineRule="auto"/>
              <w:ind w:left="286" w:hanging="270"/>
              <w:jc w:val="left"/>
              <w:rPr>
                <w:rFonts w:ascii="Arial" w:hAnsi="Arial" w:cs="Arial"/>
                <w:sz w:val="20"/>
              </w:rPr>
            </w:pPr>
            <w:r w:rsidRPr="00D87880">
              <w:rPr>
                <w:rFonts w:ascii="Arial" w:hAnsi="Arial" w:cs="Arial"/>
                <w:sz w:val="20"/>
              </w:rPr>
              <w:t>Depict local inter-agency linkages at service level</w:t>
            </w:r>
            <w:r>
              <w:rPr>
                <w:rFonts w:ascii="Arial" w:hAnsi="Arial" w:cs="Arial"/>
                <w:sz w:val="20"/>
              </w:rPr>
              <w:t xml:space="preserve"> and how they change over time</w:t>
            </w:r>
          </w:p>
          <w:p w14:paraId="2FC98F94" w14:textId="77777777" w:rsidR="00E66653" w:rsidRPr="00C05C5B" w:rsidRDefault="00E66653" w:rsidP="00337C03">
            <w:pPr>
              <w:pStyle w:val="P1-StandPara"/>
              <w:numPr>
                <w:ilvl w:val="0"/>
                <w:numId w:val="16"/>
              </w:numPr>
              <w:tabs>
                <w:tab w:val="left" w:pos="829"/>
              </w:tabs>
              <w:spacing w:line="240" w:lineRule="auto"/>
              <w:ind w:left="286" w:hanging="270"/>
              <w:jc w:val="left"/>
              <w:rPr>
                <w:rFonts w:ascii="Arial" w:hAnsi="Arial" w:cs="Arial"/>
                <w:sz w:val="20"/>
              </w:rPr>
            </w:pPr>
            <w:r w:rsidRPr="00D87880">
              <w:rPr>
                <w:rFonts w:ascii="Arial" w:hAnsi="Arial" w:cs="Arial"/>
                <w:sz w:val="20"/>
              </w:rPr>
              <w:t>Assess local SOC implementation and expansion</w:t>
            </w:r>
            <w:r>
              <w:rPr>
                <w:rFonts w:ascii="Arial" w:hAnsi="Arial" w:cs="Arial"/>
                <w:sz w:val="20"/>
              </w:rPr>
              <w:t xml:space="preserve"> over time</w:t>
            </w:r>
          </w:p>
        </w:tc>
      </w:tr>
      <w:tr w:rsidR="00E66653" w:rsidRPr="00D87880" w14:paraId="3A6BBCCE" w14:textId="77777777" w:rsidTr="00337C03">
        <w:tc>
          <w:tcPr>
            <w:tcW w:w="1634" w:type="dxa"/>
            <w:vAlign w:val="center"/>
          </w:tcPr>
          <w:p w14:paraId="2B21277F" w14:textId="77777777" w:rsidR="00E66653" w:rsidRPr="00D87880" w:rsidRDefault="00E66653" w:rsidP="00337C03">
            <w:pPr>
              <w:pStyle w:val="P1-StandPara"/>
              <w:spacing w:line="240" w:lineRule="auto"/>
              <w:jc w:val="left"/>
              <w:rPr>
                <w:rFonts w:ascii="Arial" w:hAnsi="Arial" w:cs="Arial"/>
                <w:sz w:val="20"/>
              </w:rPr>
            </w:pPr>
            <w:r w:rsidRPr="00D87880">
              <w:rPr>
                <w:rFonts w:ascii="Arial" w:hAnsi="Arial" w:cs="Arial"/>
                <w:sz w:val="20"/>
              </w:rPr>
              <w:t>Child &amp; Family</w:t>
            </w:r>
          </w:p>
        </w:tc>
        <w:tc>
          <w:tcPr>
            <w:tcW w:w="3300" w:type="dxa"/>
          </w:tcPr>
          <w:p w14:paraId="31F4F8AC" w14:textId="77777777" w:rsidR="00E66653" w:rsidRPr="00D87880" w:rsidRDefault="00E66653" w:rsidP="00337C03">
            <w:pPr>
              <w:pStyle w:val="P1-StandPara"/>
              <w:spacing w:line="240" w:lineRule="auto"/>
              <w:jc w:val="left"/>
              <w:rPr>
                <w:rFonts w:ascii="Arial" w:hAnsi="Arial" w:cs="Arial"/>
                <w:sz w:val="20"/>
              </w:rPr>
            </w:pPr>
            <w:r>
              <w:rPr>
                <w:rFonts w:ascii="Arial" w:hAnsi="Arial" w:cs="Arial"/>
                <w:sz w:val="20"/>
              </w:rPr>
              <w:t>Children, youth, and young adults</w:t>
            </w:r>
            <w:r w:rsidRPr="00D87880">
              <w:rPr>
                <w:rFonts w:ascii="Arial" w:hAnsi="Arial" w:cs="Arial"/>
                <w:sz w:val="20"/>
              </w:rPr>
              <w:t xml:space="preserve"> who access services, navigate multiple agencies and organizations, and receive direct services</w:t>
            </w:r>
            <w:r>
              <w:rPr>
                <w:rFonts w:ascii="Arial" w:hAnsi="Arial" w:cs="Arial"/>
                <w:sz w:val="20"/>
              </w:rPr>
              <w:t xml:space="preserve"> (aka “clients”) ages 5-21 and their families</w:t>
            </w:r>
          </w:p>
        </w:tc>
        <w:tc>
          <w:tcPr>
            <w:tcW w:w="4878" w:type="dxa"/>
          </w:tcPr>
          <w:p w14:paraId="1DF4A78B" w14:textId="77777777" w:rsidR="00E66653" w:rsidRPr="00D87880" w:rsidRDefault="00E66653" w:rsidP="00337C03">
            <w:pPr>
              <w:pStyle w:val="P1-StandPara"/>
              <w:numPr>
                <w:ilvl w:val="0"/>
                <w:numId w:val="17"/>
              </w:numPr>
              <w:tabs>
                <w:tab w:val="left" w:pos="829"/>
              </w:tabs>
              <w:spacing w:line="240" w:lineRule="auto"/>
              <w:ind w:left="289" w:hanging="270"/>
              <w:jc w:val="left"/>
              <w:rPr>
                <w:rFonts w:ascii="Arial" w:hAnsi="Arial" w:cs="Arial"/>
                <w:sz w:val="20"/>
              </w:rPr>
            </w:pPr>
            <w:r w:rsidRPr="00D87880">
              <w:rPr>
                <w:rFonts w:ascii="Arial" w:hAnsi="Arial" w:cs="Arial"/>
                <w:sz w:val="20"/>
              </w:rPr>
              <w:t>Describe geographic spread of population served</w:t>
            </w:r>
          </w:p>
          <w:p w14:paraId="4DCC36CB" w14:textId="77777777" w:rsidR="00E66653" w:rsidRDefault="00E66653" w:rsidP="00337C03">
            <w:pPr>
              <w:pStyle w:val="P1-StandPara"/>
              <w:numPr>
                <w:ilvl w:val="0"/>
                <w:numId w:val="17"/>
              </w:numPr>
              <w:tabs>
                <w:tab w:val="left" w:pos="829"/>
              </w:tabs>
              <w:spacing w:line="240" w:lineRule="auto"/>
              <w:ind w:left="289" w:hanging="270"/>
              <w:jc w:val="left"/>
              <w:rPr>
                <w:rFonts w:ascii="Arial" w:hAnsi="Arial" w:cs="Arial"/>
                <w:sz w:val="20"/>
              </w:rPr>
            </w:pPr>
            <w:r>
              <w:rPr>
                <w:rFonts w:ascii="Arial" w:hAnsi="Arial" w:cs="Arial"/>
                <w:sz w:val="20"/>
              </w:rPr>
              <w:t>Describe the children, youth, young adults and families served, and m</w:t>
            </w:r>
            <w:r w:rsidRPr="00D87880">
              <w:rPr>
                <w:rFonts w:ascii="Arial" w:hAnsi="Arial" w:cs="Arial"/>
                <w:sz w:val="20"/>
              </w:rPr>
              <w:t xml:space="preserve">easure </w:t>
            </w:r>
            <w:r>
              <w:rPr>
                <w:rFonts w:ascii="Arial" w:hAnsi="Arial" w:cs="Arial"/>
                <w:sz w:val="20"/>
              </w:rPr>
              <w:t xml:space="preserve">their </w:t>
            </w:r>
            <w:r w:rsidRPr="00D87880">
              <w:rPr>
                <w:rFonts w:ascii="Arial" w:hAnsi="Arial" w:cs="Arial"/>
                <w:sz w:val="20"/>
              </w:rPr>
              <w:t>outcomes</w:t>
            </w:r>
            <w:r>
              <w:rPr>
                <w:rFonts w:ascii="Arial" w:hAnsi="Arial" w:cs="Arial"/>
                <w:sz w:val="20"/>
              </w:rPr>
              <w:t xml:space="preserve"> over time</w:t>
            </w:r>
          </w:p>
          <w:p w14:paraId="2E5EE589" w14:textId="77777777" w:rsidR="00E66653" w:rsidRDefault="00E66653" w:rsidP="00337C03">
            <w:pPr>
              <w:pStyle w:val="P1-StandPara"/>
              <w:numPr>
                <w:ilvl w:val="0"/>
                <w:numId w:val="17"/>
              </w:numPr>
              <w:tabs>
                <w:tab w:val="left" w:pos="829"/>
              </w:tabs>
              <w:spacing w:line="240" w:lineRule="auto"/>
              <w:ind w:left="289" w:hanging="270"/>
              <w:jc w:val="left"/>
              <w:rPr>
                <w:rFonts w:ascii="Arial" w:hAnsi="Arial" w:cs="Arial"/>
                <w:sz w:val="20"/>
              </w:rPr>
            </w:pPr>
            <w:r>
              <w:rPr>
                <w:rFonts w:ascii="Arial" w:hAnsi="Arial" w:cs="Arial"/>
                <w:sz w:val="20"/>
              </w:rPr>
              <w:t>Describe services used</w:t>
            </w:r>
          </w:p>
          <w:p w14:paraId="09987FCE" w14:textId="77777777" w:rsidR="00E66653" w:rsidRPr="00D87880" w:rsidRDefault="00E66653" w:rsidP="00337C03">
            <w:pPr>
              <w:pStyle w:val="P1-StandPara"/>
              <w:numPr>
                <w:ilvl w:val="0"/>
                <w:numId w:val="17"/>
              </w:numPr>
              <w:tabs>
                <w:tab w:val="left" w:pos="829"/>
              </w:tabs>
              <w:spacing w:line="240" w:lineRule="auto"/>
              <w:ind w:left="289" w:hanging="270"/>
              <w:jc w:val="left"/>
              <w:rPr>
                <w:rFonts w:ascii="Arial" w:hAnsi="Arial" w:cs="Arial"/>
                <w:sz w:val="20"/>
              </w:rPr>
            </w:pPr>
            <w:r>
              <w:rPr>
                <w:rFonts w:ascii="Arial" w:hAnsi="Arial" w:cs="Arial"/>
                <w:sz w:val="20"/>
              </w:rPr>
              <w:t>Assess satisfaction with services</w:t>
            </w:r>
          </w:p>
        </w:tc>
      </w:tr>
    </w:tbl>
    <w:p w14:paraId="523702CD" w14:textId="77777777" w:rsidR="00E66653" w:rsidRPr="00D87880" w:rsidRDefault="00E66653" w:rsidP="00E66653">
      <w:pPr>
        <w:pStyle w:val="P1-StandPara"/>
        <w:spacing w:line="240" w:lineRule="auto"/>
        <w:jc w:val="left"/>
        <w:rPr>
          <w:sz w:val="22"/>
          <w:szCs w:val="22"/>
        </w:rPr>
      </w:pPr>
    </w:p>
    <w:p w14:paraId="237355C1" w14:textId="77777777" w:rsidR="00E66653" w:rsidRPr="00D87880" w:rsidRDefault="00E66653" w:rsidP="00E66653">
      <w:pPr>
        <w:pStyle w:val="P1-StandPara"/>
        <w:spacing w:line="240" w:lineRule="auto"/>
        <w:jc w:val="left"/>
        <w:rPr>
          <w:sz w:val="22"/>
          <w:szCs w:val="22"/>
        </w:rPr>
      </w:pPr>
      <w:r w:rsidRPr="00D87880">
        <w:rPr>
          <w:sz w:val="22"/>
          <w:szCs w:val="22"/>
        </w:rPr>
        <w:t>Jurisdictions should support good SOC practice at the local system level, and good SOC practice should lead to improved outcomes for children and families. It is widely acknowledged that broad system change at the jurisdictional level alone cannot be expected to result direc</w:t>
      </w:r>
      <w:r>
        <w:rPr>
          <w:sz w:val="22"/>
          <w:szCs w:val="22"/>
        </w:rPr>
        <w:t xml:space="preserve">tly in differences in child and </w:t>
      </w:r>
      <w:r w:rsidRPr="00D87880">
        <w:rPr>
          <w:sz w:val="22"/>
          <w:szCs w:val="22"/>
        </w:rPr>
        <w:t xml:space="preserve">family outcomes (Bickman &amp; Heflinger, 1995). It is also noted that local systems face greater difficulty enacting change when they do not have sufficient support at the jurisdiction level. For example, Fixsen, Blase, Metz, &amp; Van Dyke (2013) emphasized that State-level support is necessary for local systems to provide faithfully implemented evidence-based treatments (EBTs). Therefore, the Evaluation must examine factors at all </w:t>
      </w:r>
      <w:r>
        <w:rPr>
          <w:sz w:val="22"/>
          <w:szCs w:val="22"/>
        </w:rPr>
        <w:t xml:space="preserve">three </w:t>
      </w:r>
      <w:r w:rsidRPr="00D87880">
        <w:rPr>
          <w:sz w:val="22"/>
          <w:szCs w:val="22"/>
        </w:rPr>
        <w:t xml:space="preserve">levels that facilitate or impede success. </w:t>
      </w:r>
    </w:p>
    <w:p w14:paraId="1AAD9A71" w14:textId="77777777" w:rsidR="00E66653" w:rsidRPr="00D87880" w:rsidRDefault="00E66653" w:rsidP="00E66653">
      <w:pPr>
        <w:pStyle w:val="P1-StandPara"/>
        <w:spacing w:line="240" w:lineRule="auto"/>
        <w:jc w:val="left"/>
        <w:rPr>
          <w:sz w:val="22"/>
          <w:szCs w:val="22"/>
        </w:rPr>
      </w:pPr>
      <w:r>
        <w:rPr>
          <w:sz w:val="22"/>
          <w:szCs w:val="22"/>
        </w:rPr>
        <w:t>The</w:t>
      </w:r>
      <w:r w:rsidRPr="00D87880">
        <w:rPr>
          <w:sz w:val="22"/>
          <w:szCs w:val="22"/>
        </w:rPr>
        <w:t xml:space="preserve"> data collection</w:t>
      </w:r>
      <w:r>
        <w:rPr>
          <w:sz w:val="22"/>
          <w:szCs w:val="22"/>
        </w:rPr>
        <w:t xml:space="preserve"> for the Evaluation</w:t>
      </w:r>
      <w:r w:rsidRPr="00D87880">
        <w:rPr>
          <w:sz w:val="22"/>
          <w:szCs w:val="22"/>
        </w:rPr>
        <w:t xml:space="preserve"> is most easily described in terms of four core components. Each component is comprised of a set of analyses that cluster together substantively, though some span </w:t>
      </w:r>
      <w:r>
        <w:rPr>
          <w:sz w:val="22"/>
          <w:szCs w:val="22"/>
        </w:rPr>
        <w:t>more than one level</w:t>
      </w:r>
      <w:r w:rsidRPr="00D87880">
        <w:rPr>
          <w:sz w:val="22"/>
          <w:szCs w:val="22"/>
        </w:rPr>
        <w:t xml:space="preserve">. </w:t>
      </w:r>
    </w:p>
    <w:p w14:paraId="110AA5EA" w14:textId="77777777" w:rsidR="00E66653" w:rsidRPr="00D87880" w:rsidRDefault="00E66653" w:rsidP="00E66653">
      <w:pPr>
        <w:pStyle w:val="P1-StandPara"/>
        <w:spacing w:line="240" w:lineRule="auto"/>
        <w:jc w:val="left"/>
        <w:rPr>
          <w:sz w:val="22"/>
          <w:szCs w:val="22"/>
        </w:rPr>
      </w:pPr>
      <w:r w:rsidRPr="00D87880">
        <w:rPr>
          <w:sz w:val="22"/>
          <w:szCs w:val="22"/>
        </w:rPr>
        <w:t xml:space="preserve">The four core components with their corresponding data collection </w:t>
      </w:r>
      <w:r>
        <w:rPr>
          <w:sz w:val="22"/>
          <w:szCs w:val="22"/>
        </w:rPr>
        <w:t>activities</w:t>
      </w:r>
      <w:r w:rsidRPr="00D87880">
        <w:rPr>
          <w:sz w:val="22"/>
          <w:szCs w:val="22"/>
        </w:rPr>
        <w:t xml:space="preserve"> are as follows: </w:t>
      </w:r>
    </w:p>
    <w:p w14:paraId="608BB2B6" w14:textId="77777777" w:rsidR="00E66653" w:rsidRPr="00D87880" w:rsidRDefault="00E66653" w:rsidP="00E66653">
      <w:pPr>
        <w:pStyle w:val="ListParagraph"/>
        <w:numPr>
          <w:ilvl w:val="0"/>
          <w:numId w:val="14"/>
        </w:numPr>
        <w:tabs>
          <w:tab w:val="left" w:pos="-1440"/>
        </w:tabs>
        <w:spacing w:after="0" w:line="240" w:lineRule="auto"/>
        <w:rPr>
          <w:rFonts w:ascii="Times New Roman" w:hAnsi="Times New Roman" w:cs="Times New Roman"/>
          <w:sz w:val="22"/>
          <w:szCs w:val="22"/>
        </w:rPr>
      </w:pPr>
      <w:r w:rsidRPr="00D87880">
        <w:rPr>
          <w:rFonts w:ascii="Times New Roman" w:hAnsi="Times New Roman" w:cs="Times New Roman"/>
          <w:sz w:val="22"/>
          <w:szCs w:val="22"/>
        </w:rPr>
        <w:t>The</w:t>
      </w:r>
      <w:r w:rsidRPr="00D87880">
        <w:rPr>
          <w:rFonts w:ascii="Times New Roman" w:hAnsi="Times New Roman" w:cs="Times New Roman"/>
          <w:b/>
          <w:sz w:val="22"/>
          <w:szCs w:val="22"/>
        </w:rPr>
        <w:t xml:space="preserve"> </w:t>
      </w:r>
      <w:r>
        <w:rPr>
          <w:rFonts w:ascii="Times New Roman" w:hAnsi="Times New Roman" w:cs="Times New Roman"/>
          <w:b/>
          <w:sz w:val="22"/>
          <w:szCs w:val="22"/>
        </w:rPr>
        <w:t>Implementation</w:t>
      </w:r>
      <w:r w:rsidRPr="00D87880">
        <w:rPr>
          <w:rFonts w:ascii="Times New Roman" w:hAnsi="Times New Roman" w:cs="Times New Roman"/>
          <w:b/>
          <w:sz w:val="22"/>
          <w:szCs w:val="22"/>
        </w:rPr>
        <w:t xml:space="preserve"> </w:t>
      </w:r>
      <w:r>
        <w:rPr>
          <w:rFonts w:ascii="Times New Roman" w:hAnsi="Times New Roman" w:cs="Times New Roman"/>
          <w:b/>
          <w:sz w:val="22"/>
          <w:szCs w:val="22"/>
        </w:rPr>
        <w:t>Assessment</w:t>
      </w:r>
      <w:r w:rsidRPr="00D87880">
        <w:rPr>
          <w:rFonts w:ascii="Times New Roman" w:hAnsi="Times New Roman" w:cs="Times New Roman"/>
          <w:b/>
          <w:sz w:val="22"/>
          <w:szCs w:val="22"/>
        </w:rPr>
        <w:t xml:space="preserve"> </w:t>
      </w:r>
      <w:r w:rsidRPr="00D87880">
        <w:rPr>
          <w:rFonts w:ascii="Times New Roman" w:hAnsi="Times New Roman" w:cs="Times New Roman"/>
          <w:sz w:val="22"/>
          <w:szCs w:val="22"/>
        </w:rPr>
        <w:t xml:space="preserve">will document the development and expansion of </w:t>
      </w:r>
      <w:r>
        <w:rPr>
          <w:rFonts w:ascii="Times New Roman" w:hAnsi="Times New Roman" w:cs="Times New Roman"/>
          <w:sz w:val="22"/>
          <w:szCs w:val="22"/>
        </w:rPr>
        <w:t xml:space="preserve">the </w:t>
      </w:r>
      <w:r w:rsidRPr="00D87880">
        <w:rPr>
          <w:rFonts w:ascii="Times New Roman" w:hAnsi="Times New Roman" w:cs="Times New Roman"/>
          <w:sz w:val="22"/>
          <w:szCs w:val="22"/>
        </w:rPr>
        <w:t xml:space="preserve">SOC, with a focus on expansion planning. </w:t>
      </w:r>
    </w:p>
    <w:p w14:paraId="6A53CC80" w14:textId="1854FE91" w:rsidR="00E66653" w:rsidRPr="00D87880" w:rsidRDefault="00E66653" w:rsidP="006B22B9">
      <w:pPr>
        <w:tabs>
          <w:tab w:val="left" w:pos="-1440"/>
        </w:tabs>
        <w:spacing w:line="240" w:lineRule="auto"/>
        <w:ind w:left="1440" w:hanging="720"/>
        <w:rPr>
          <w:rFonts w:ascii="Times New Roman" w:hAnsi="Times New Roman" w:cs="Times New Roman"/>
          <w:sz w:val="22"/>
          <w:szCs w:val="22"/>
        </w:rPr>
      </w:pPr>
      <w:r w:rsidRPr="00D87880">
        <w:rPr>
          <w:rFonts w:ascii="Times New Roman" w:hAnsi="Times New Roman" w:cs="Times New Roman"/>
          <w:i/>
          <w:sz w:val="22"/>
          <w:szCs w:val="22"/>
        </w:rPr>
        <w:tab/>
      </w:r>
      <w:r>
        <w:rPr>
          <w:rFonts w:ascii="Times New Roman" w:hAnsi="Times New Roman" w:cs="Times New Roman"/>
          <w:i/>
          <w:sz w:val="22"/>
          <w:szCs w:val="22"/>
        </w:rPr>
        <w:t>Data collection activities</w:t>
      </w:r>
      <w:r w:rsidRPr="00D87880">
        <w:rPr>
          <w:rFonts w:ascii="Times New Roman" w:hAnsi="Times New Roman" w:cs="Times New Roman"/>
          <w:sz w:val="22"/>
          <w:szCs w:val="22"/>
        </w:rPr>
        <w:t>: Stakeholder Interview</w:t>
      </w:r>
      <w:r w:rsidR="0077206D">
        <w:rPr>
          <w:rFonts w:ascii="Times New Roman" w:hAnsi="Times New Roman" w:cs="Times New Roman"/>
          <w:sz w:val="22"/>
          <w:szCs w:val="22"/>
        </w:rPr>
        <w:t>s</w:t>
      </w:r>
      <w:r w:rsidRPr="00D87880">
        <w:rPr>
          <w:rFonts w:ascii="Times New Roman" w:hAnsi="Times New Roman" w:cs="Times New Roman"/>
          <w:sz w:val="22"/>
          <w:szCs w:val="22"/>
        </w:rPr>
        <w:t xml:space="preserve">, </w:t>
      </w:r>
      <w:r>
        <w:rPr>
          <w:rFonts w:ascii="Times New Roman" w:hAnsi="Times New Roman" w:cs="Times New Roman"/>
          <w:sz w:val="22"/>
          <w:szCs w:val="22"/>
        </w:rPr>
        <w:t>Self-Assessment of Implementation Survey</w:t>
      </w:r>
      <w:r w:rsidR="00596E69">
        <w:rPr>
          <w:rFonts w:ascii="Times New Roman" w:hAnsi="Times New Roman" w:cs="Times New Roman"/>
          <w:sz w:val="22"/>
          <w:szCs w:val="22"/>
        </w:rPr>
        <w:t xml:space="preserve"> (</w:t>
      </w:r>
      <w:r>
        <w:rPr>
          <w:rFonts w:ascii="Times New Roman" w:hAnsi="Times New Roman" w:cs="Times New Roman"/>
          <w:sz w:val="22"/>
          <w:szCs w:val="22"/>
        </w:rPr>
        <w:t>SAIS</w:t>
      </w:r>
      <w:r w:rsidR="00596E69">
        <w:rPr>
          <w:rFonts w:ascii="Times New Roman" w:hAnsi="Times New Roman" w:cs="Times New Roman"/>
          <w:sz w:val="22"/>
          <w:szCs w:val="22"/>
        </w:rPr>
        <w:t>)</w:t>
      </w:r>
      <w:r w:rsidRPr="00D87880">
        <w:rPr>
          <w:rFonts w:ascii="Times New Roman" w:hAnsi="Times New Roman" w:cs="Times New Roman"/>
          <w:sz w:val="22"/>
          <w:szCs w:val="22"/>
        </w:rPr>
        <w:t>, and the SOC Expansion Assessment (SOCEA) to measure strategies and mechanisms implemented</w:t>
      </w:r>
      <w:r>
        <w:rPr>
          <w:rFonts w:ascii="Times New Roman" w:hAnsi="Times New Roman" w:cs="Times New Roman"/>
          <w:sz w:val="22"/>
          <w:szCs w:val="22"/>
        </w:rPr>
        <w:t>.</w:t>
      </w:r>
      <w:r w:rsidRPr="00D87880">
        <w:rPr>
          <w:rFonts w:ascii="Times New Roman" w:hAnsi="Times New Roman" w:cs="Times New Roman"/>
          <w:sz w:val="22"/>
          <w:szCs w:val="22"/>
        </w:rPr>
        <w:t xml:space="preserve"> </w:t>
      </w:r>
    </w:p>
    <w:p w14:paraId="2BD94948" w14:textId="0FB6BCB2" w:rsidR="00E66653" w:rsidRPr="00D87880" w:rsidRDefault="00E66653" w:rsidP="00E66653">
      <w:pPr>
        <w:tabs>
          <w:tab w:val="left" w:pos="-1440"/>
        </w:tabs>
        <w:spacing w:line="240" w:lineRule="auto"/>
        <w:ind w:left="1440" w:hanging="720"/>
        <w:rPr>
          <w:rFonts w:ascii="Times New Roman" w:hAnsi="Times New Roman" w:cs="Times New Roman"/>
          <w:sz w:val="22"/>
          <w:szCs w:val="22"/>
        </w:rPr>
      </w:pPr>
      <w:r w:rsidRPr="00D87880">
        <w:rPr>
          <w:rFonts w:ascii="Times New Roman" w:hAnsi="Times New Roman" w:cs="Times New Roman"/>
          <w:sz w:val="22"/>
          <w:szCs w:val="22"/>
        </w:rPr>
        <w:tab/>
      </w:r>
      <w:r w:rsidRPr="00D87880">
        <w:rPr>
          <w:rFonts w:ascii="Times New Roman" w:hAnsi="Times New Roman" w:cs="Times New Roman"/>
          <w:i/>
          <w:sz w:val="22"/>
          <w:szCs w:val="22"/>
        </w:rPr>
        <w:t>NOTE</w:t>
      </w:r>
      <w:r w:rsidRPr="00D87880">
        <w:rPr>
          <w:rFonts w:ascii="Times New Roman" w:hAnsi="Times New Roman" w:cs="Times New Roman"/>
          <w:sz w:val="22"/>
          <w:szCs w:val="22"/>
        </w:rPr>
        <w:t xml:space="preserve">. This is the </w:t>
      </w:r>
      <w:r w:rsidRPr="00D87880">
        <w:rPr>
          <w:rFonts w:ascii="Times New Roman" w:hAnsi="Times New Roman" w:cs="Times New Roman"/>
          <w:i/>
          <w:sz w:val="22"/>
          <w:szCs w:val="22"/>
        </w:rPr>
        <w:t>only evaluation component that collects data from planning grantees</w:t>
      </w:r>
      <w:r>
        <w:rPr>
          <w:rFonts w:ascii="Times New Roman" w:hAnsi="Times New Roman" w:cs="Times New Roman"/>
          <w:i/>
          <w:sz w:val="22"/>
          <w:szCs w:val="22"/>
        </w:rPr>
        <w:t xml:space="preserve"> (in addition to implementation grantees)</w:t>
      </w:r>
      <w:r w:rsidRPr="00D87880">
        <w:rPr>
          <w:rFonts w:ascii="Times New Roman" w:hAnsi="Times New Roman" w:cs="Times New Roman"/>
          <w:i/>
          <w:sz w:val="22"/>
          <w:szCs w:val="22"/>
        </w:rPr>
        <w:t xml:space="preserve">. </w:t>
      </w:r>
      <w:r w:rsidRPr="00D87880">
        <w:rPr>
          <w:rFonts w:ascii="Times New Roman" w:hAnsi="Times New Roman" w:cs="Times New Roman"/>
          <w:sz w:val="22"/>
          <w:szCs w:val="22"/>
        </w:rPr>
        <w:t>Planning grantee participation will be sought for the Stakeholder Interview</w:t>
      </w:r>
      <w:r w:rsidR="0077206D">
        <w:rPr>
          <w:rFonts w:ascii="Times New Roman" w:hAnsi="Times New Roman" w:cs="Times New Roman"/>
          <w:sz w:val="22"/>
          <w:szCs w:val="22"/>
        </w:rPr>
        <w:t>s</w:t>
      </w:r>
      <w:r w:rsidRPr="00D87880">
        <w:rPr>
          <w:rFonts w:ascii="Times New Roman" w:hAnsi="Times New Roman" w:cs="Times New Roman"/>
          <w:sz w:val="22"/>
          <w:szCs w:val="22"/>
        </w:rPr>
        <w:t xml:space="preserve"> and the </w:t>
      </w:r>
      <w:r>
        <w:rPr>
          <w:rFonts w:ascii="Times New Roman" w:hAnsi="Times New Roman" w:cs="Times New Roman"/>
          <w:sz w:val="22"/>
          <w:szCs w:val="22"/>
        </w:rPr>
        <w:t>SAIS</w:t>
      </w:r>
      <w:r w:rsidRPr="00D87880">
        <w:rPr>
          <w:rFonts w:ascii="Times New Roman" w:hAnsi="Times New Roman" w:cs="Times New Roman"/>
          <w:sz w:val="22"/>
          <w:szCs w:val="22"/>
        </w:rPr>
        <w:t xml:space="preserve">, but not the SOCEA. </w:t>
      </w:r>
    </w:p>
    <w:p w14:paraId="49DD0F85" w14:textId="77777777" w:rsidR="00E66653" w:rsidRPr="002F5B9B" w:rsidRDefault="00E66653" w:rsidP="00E66653">
      <w:pPr>
        <w:pStyle w:val="ListParagraph"/>
        <w:numPr>
          <w:ilvl w:val="0"/>
          <w:numId w:val="14"/>
        </w:numPr>
        <w:tabs>
          <w:tab w:val="left" w:pos="-1440"/>
        </w:tabs>
        <w:spacing w:line="240" w:lineRule="auto"/>
        <w:rPr>
          <w:rFonts w:ascii="Times New Roman" w:hAnsi="Times New Roman" w:cs="Times New Roman"/>
          <w:sz w:val="22"/>
          <w:szCs w:val="22"/>
        </w:rPr>
      </w:pPr>
      <w:r w:rsidRPr="002F5B9B">
        <w:rPr>
          <w:rFonts w:ascii="Times New Roman" w:hAnsi="Times New Roman" w:cs="Times New Roman"/>
          <w:sz w:val="22"/>
          <w:szCs w:val="22"/>
        </w:rPr>
        <w:t>The</w:t>
      </w:r>
      <w:r w:rsidRPr="002F5B9B">
        <w:rPr>
          <w:rFonts w:ascii="Times New Roman" w:hAnsi="Times New Roman" w:cs="Times New Roman"/>
          <w:b/>
          <w:sz w:val="22"/>
          <w:szCs w:val="22"/>
        </w:rPr>
        <w:t xml:space="preserve"> Network Analysis</w:t>
      </w:r>
      <w:r w:rsidRPr="002F5B9B">
        <w:rPr>
          <w:rFonts w:ascii="Times New Roman" w:hAnsi="Times New Roman" w:cs="Times New Roman"/>
          <w:sz w:val="22"/>
          <w:szCs w:val="22"/>
        </w:rPr>
        <w:t xml:space="preserve"> of jurisdictions and local systems will </w:t>
      </w:r>
      <w:r>
        <w:rPr>
          <w:rFonts w:ascii="Times New Roman" w:hAnsi="Times New Roman" w:cs="Times New Roman"/>
          <w:sz w:val="22"/>
          <w:szCs w:val="22"/>
        </w:rPr>
        <w:t xml:space="preserve">describe </w:t>
      </w:r>
      <w:r w:rsidRPr="002F5B9B">
        <w:rPr>
          <w:rFonts w:ascii="Times New Roman" w:hAnsi="Times New Roman" w:cs="Times New Roman"/>
          <w:sz w:val="22"/>
          <w:szCs w:val="22"/>
        </w:rPr>
        <w:t>inter-sector collaboration</w:t>
      </w:r>
      <w:r>
        <w:rPr>
          <w:rFonts w:ascii="Times New Roman" w:hAnsi="Times New Roman" w:cs="Times New Roman"/>
          <w:sz w:val="22"/>
          <w:szCs w:val="22"/>
        </w:rPr>
        <w:t>. T</w:t>
      </w:r>
      <w:r w:rsidRPr="002F5B9B">
        <w:rPr>
          <w:rFonts w:ascii="Times New Roman" w:hAnsi="Times New Roman" w:cs="Times New Roman"/>
          <w:sz w:val="22"/>
          <w:szCs w:val="22"/>
        </w:rPr>
        <w:t xml:space="preserve">he </w:t>
      </w:r>
      <w:r w:rsidRPr="002F5B9B">
        <w:rPr>
          <w:rFonts w:ascii="Times New Roman" w:hAnsi="Times New Roman" w:cs="Times New Roman"/>
          <w:b/>
          <w:sz w:val="22"/>
          <w:szCs w:val="22"/>
        </w:rPr>
        <w:t>Geographic Information System (GIS)</w:t>
      </w:r>
      <w:r w:rsidRPr="002F5B9B">
        <w:rPr>
          <w:rFonts w:ascii="Times New Roman" w:hAnsi="Times New Roman" w:cs="Times New Roman"/>
          <w:sz w:val="22"/>
          <w:szCs w:val="22"/>
        </w:rPr>
        <w:t xml:space="preserve"> </w:t>
      </w:r>
      <w:r>
        <w:rPr>
          <w:rFonts w:ascii="Times New Roman" w:hAnsi="Times New Roman" w:cs="Times New Roman"/>
          <w:b/>
          <w:sz w:val="22"/>
          <w:szCs w:val="22"/>
        </w:rPr>
        <w:t>Component</w:t>
      </w:r>
      <w:r w:rsidRPr="002F5B9B">
        <w:rPr>
          <w:rFonts w:ascii="Times New Roman" w:hAnsi="Times New Roman" w:cs="Times New Roman"/>
          <w:b/>
          <w:sz w:val="22"/>
          <w:szCs w:val="22"/>
        </w:rPr>
        <w:t xml:space="preserve"> </w:t>
      </w:r>
      <w:r w:rsidRPr="002F5B9B">
        <w:rPr>
          <w:rFonts w:ascii="Times New Roman" w:hAnsi="Times New Roman" w:cs="Times New Roman"/>
          <w:sz w:val="22"/>
          <w:szCs w:val="22"/>
        </w:rPr>
        <w:t>will measure the geographic coverage of the SOC</w:t>
      </w:r>
      <w:r>
        <w:rPr>
          <w:rFonts w:ascii="Times New Roman" w:hAnsi="Times New Roman" w:cs="Times New Roman"/>
          <w:sz w:val="22"/>
          <w:szCs w:val="22"/>
        </w:rPr>
        <w:t>.</w:t>
      </w:r>
    </w:p>
    <w:p w14:paraId="4E105C3A" w14:textId="77777777" w:rsidR="006B22B9" w:rsidRDefault="00E66653" w:rsidP="00E66653">
      <w:pPr>
        <w:tabs>
          <w:tab w:val="left" w:pos="-1440"/>
        </w:tabs>
        <w:spacing w:line="240" w:lineRule="auto"/>
        <w:ind w:left="1440"/>
        <w:rPr>
          <w:rFonts w:ascii="Times New Roman" w:hAnsi="Times New Roman" w:cs="Times New Roman"/>
          <w:sz w:val="22"/>
          <w:szCs w:val="22"/>
        </w:rPr>
      </w:pPr>
      <w:r>
        <w:rPr>
          <w:rFonts w:ascii="Times New Roman" w:hAnsi="Times New Roman" w:cs="Times New Roman"/>
          <w:i/>
          <w:sz w:val="22"/>
          <w:szCs w:val="22"/>
        </w:rPr>
        <w:t>Data collection activities</w:t>
      </w:r>
      <w:r w:rsidRPr="002F5B9B">
        <w:rPr>
          <w:rFonts w:ascii="Times New Roman" w:hAnsi="Times New Roman" w:cs="Times New Roman"/>
          <w:i/>
          <w:sz w:val="22"/>
          <w:szCs w:val="22"/>
        </w:rPr>
        <w:t xml:space="preserve">: </w:t>
      </w:r>
      <w:r w:rsidRPr="002F5B9B">
        <w:rPr>
          <w:rFonts w:ascii="Times New Roman" w:hAnsi="Times New Roman" w:cs="Times New Roman"/>
          <w:sz w:val="22"/>
          <w:szCs w:val="22"/>
        </w:rPr>
        <w:t xml:space="preserve">Network Analysis Surveys at the jurisdiction and local system levels; </w:t>
      </w:r>
      <w:r>
        <w:rPr>
          <w:rFonts w:ascii="Times New Roman" w:hAnsi="Times New Roman" w:cs="Times New Roman"/>
          <w:sz w:val="22"/>
          <w:szCs w:val="22"/>
        </w:rPr>
        <w:t xml:space="preserve">work addresses of </w:t>
      </w:r>
      <w:r w:rsidRPr="002F5B9B">
        <w:rPr>
          <w:rFonts w:ascii="Times New Roman" w:hAnsi="Times New Roman" w:cs="Times New Roman"/>
          <w:sz w:val="22"/>
          <w:szCs w:val="22"/>
        </w:rPr>
        <w:t>attendees</w:t>
      </w:r>
      <w:r>
        <w:rPr>
          <w:rFonts w:ascii="Times New Roman" w:hAnsi="Times New Roman" w:cs="Times New Roman"/>
          <w:sz w:val="22"/>
          <w:szCs w:val="22"/>
        </w:rPr>
        <w:t xml:space="preserve"> at meetings and training sessions, and other </w:t>
      </w:r>
    </w:p>
    <w:p w14:paraId="40A93C48" w14:textId="64AF0572" w:rsidR="00E66653" w:rsidRPr="002F5B9B" w:rsidRDefault="00E66653" w:rsidP="00E66653">
      <w:pPr>
        <w:tabs>
          <w:tab w:val="left" w:pos="-1440"/>
        </w:tabs>
        <w:spacing w:line="240" w:lineRule="auto"/>
        <w:ind w:left="1440"/>
        <w:rPr>
          <w:rFonts w:ascii="Times New Roman" w:hAnsi="Times New Roman" w:cs="Times New Roman"/>
          <w:sz w:val="22"/>
          <w:szCs w:val="22"/>
        </w:rPr>
      </w:pPr>
      <w:r>
        <w:rPr>
          <w:rFonts w:ascii="Times New Roman" w:hAnsi="Times New Roman" w:cs="Times New Roman"/>
          <w:sz w:val="22"/>
          <w:szCs w:val="22"/>
        </w:rPr>
        <w:lastRenderedPageBreak/>
        <w:t>implementation and planning events</w:t>
      </w:r>
      <w:r w:rsidRPr="002F5B9B">
        <w:rPr>
          <w:rFonts w:ascii="Times New Roman" w:hAnsi="Times New Roman" w:cs="Times New Roman"/>
          <w:sz w:val="22"/>
          <w:szCs w:val="22"/>
        </w:rPr>
        <w:t xml:space="preserve"> at the jurisdiction and local system levels</w:t>
      </w:r>
      <w:r>
        <w:rPr>
          <w:rFonts w:ascii="Times New Roman" w:hAnsi="Times New Roman" w:cs="Times New Roman"/>
          <w:sz w:val="22"/>
          <w:szCs w:val="22"/>
        </w:rPr>
        <w:t>; and census block group designations associated with home addresses of</w:t>
      </w:r>
      <w:r w:rsidRPr="002F5B9B">
        <w:rPr>
          <w:rFonts w:ascii="Times New Roman" w:hAnsi="Times New Roman" w:cs="Times New Roman"/>
          <w:sz w:val="22"/>
          <w:szCs w:val="22"/>
        </w:rPr>
        <w:t xml:space="preserve"> clients receiving services</w:t>
      </w:r>
      <w:r>
        <w:rPr>
          <w:rFonts w:ascii="Times New Roman" w:hAnsi="Times New Roman" w:cs="Times New Roman"/>
          <w:sz w:val="22"/>
          <w:szCs w:val="22"/>
        </w:rPr>
        <w:t>.</w:t>
      </w:r>
    </w:p>
    <w:p w14:paraId="377A5D44" w14:textId="77777777" w:rsidR="00E66653" w:rsidRPr="009020B6" w:rsidRDefault="00E66653" w:rsidP="006B22B9">
      <w:pPr>
        <w:pStyle w:val="ListParagraph"/>
        <w:numPr>
          <w:ilvl w:val="0"/>
          <w:numId w:val="14"/>
        </w:numPr>
        <w:tabs>
          <w:tab w:val="left" w:pos="-1440"/>
        </w:tabs>
        <w:spacing w:line="240" w:lineRule="auto"/>
        <w:rPr>
          <w:rFonts w:ascii="Times New Roman" w:hAnsi="Times New Roman" w:cs="Times New Roman"/>
          <w:sz w:val="22"/>
          <w:szCs w:val="22"/>
        </w:rPr>
      </w:pPr>
      <w:r w:rsidRPr="002F5B9B">
        <w:rPr>
          <w:rFonts w:ascii="Times New Roman" w:hAnsi="Times New Roman" w:cs="Times New Roman"/>
          <w:b/>
          <w:sz w:val="22"/>
          <w:szCs w:val="22"/>
        </w:rPr>
        <w:t>Financial Mapping</w:t>
      </w:r>
      <w:r w:rsidRPr="002F5B9B">
        <w:rPr>
          <w:rFonts w:ascii="Times New Roman" w:hAnsi="Times New Roman" w:cs="Times New Roman"/>
          <w:sz w:val="22"/>
          <w:szCs w:val="22"/>
        </w:rPr>
        <w:t xml:space="preserve"> involves a</w:t>
      </w:r>
      <w:r>
        <w:rPr>
          <w:rFonts w:ascii="Times New Roman" w:hAnsi="Times New Roman" w:cs="Times New Roman"/>
          <w:sz w:val="22"/>
          <w:szCs w:val="22"/>
        </w:rPr>
        <w:t xml:space="preserve"> biennial</w:t>
      </w:r>
      <w:r w:rsidRPr="002F5B9B">
        <w:rPr>
          <w:rFonts w:ascii="Times New Roman" w:hAnsi="Times New Roman" w:cs="Times New Roman"/>
          <w:sz w:val="22"/>
          <w:szCs w:val="22"/>
        </w:rPr>
        <w:t xml:space="preserve"> review</w:t>
      </w:r>
      <w:r>
        <w:rPr>
          <w:rFonts w:ascii="Times New Roman" w:hAnsi="Times New Roman" w:cs="Times New Roman"/>
          <w:sz w:val="22"/>
          <w:szCs w:val="22"/>
        </w:rPr>
        <w:t xml:space="preserve"> (i.e., twice per grantee) </w:t>
      </w:r>
      <w:r w:rsidRPr="002F5B9B">
        <w:rPr>
          <w:rFonts w:ascii="Times New Roman" w:hAnsi="Times New Roman" w:cs="Times New Roman"/>
          <w:sz w:val="22"/>
          <w:szCs w:val="22"/>
        </w:rPr>
        <w:t>of implementation</w:t>
      </w:r>
      <w:r w:rsidRPr="009020B6">
        <w:rPr>
          <w:rFonts w:ascii="Times New Roman" w:hAnsi="Times New Roman" w:cs="Times New Roman"/>
          <w:sz w:val="22"/>
          <w:szCs w:val="22"/>
        </w:rPr>
        <w:t xml:space="preserve"> grantees’ progress in </w:t>
      </w:r>
      <w:r>
        <w:rPr>
          <w:rFonts w:ascii="Times New Roman" w:hAnsi="Times New Roman" w:cs="Times New Roman"/>
          <w:sz w:val="22"/>
          <w:szCs w:val="22"/>
        </w:rPr>
        <w:t xml:space="preserve">utilizing multiple funding sources and </w:t>
      </w:r>
      <w:r w:rsidRPr="009020B6">
        <w:rPr>
          <w:rFonts w:ascii="Times New Roman" w:hAnsi="Times New Roman" w:cs="Times New Roman"/>
          <w:sz w:val="22"/>
          <w:szCs w:val="22"/>
        </w:rPr>
        <w:t xml:space="preserve">developing financial sustainability </w:t>
      </w:r>
      <w:r>
        <w:rPr>
          <w:rFonts w:ascii="Times New Roman" w:hAnsi="Times New Roman" w:cs="Times New Roman"/>
          <w:sz w:val="22"/>
          <w:szCs w:val="22"/>
        </w:rPr>
        <w:t>to support the SOC. T</w:t>
      </w:r>
      <w:r w:rsidRPr="009020B6">
        <w:rPr>
          <w:rFonts w:ascii="Times New Roman" w:hAnsi="Times New Roman" w:cs="Times New Roman"/>
          <w:sz w:val="22"/>
          <w:szCs w:val="22"/>
        </w:rPr>
        <w:t xml:space="preserve">he </w:t>
      </w:r>
      <w:r w:rsidRPr="009020B6">
        <w:rPr>
          <w:rFonts w:ascii="Times New Roman" w:hAnsi="Times New Roman" w:cs="Times New Roman"/>
          <w:b/>
          <w:sz w:val="22"/>
          <w:szCs w:val="22"/>
        </w:rPr>
        <w:t xml:space="preserve">Benchmark </w:t>
      </w:r>
      <w:r>
        <w:rPr>
          <w:rFonts w:ascii="Times New Roman" w:hAnsi="Times New Roman" w:cs="Times New Roman"/>
          <w:b/>
          <w:sz w:val="22"/>
          <w:szCs w:val="22"/>
        </w:rPr>
        <w:t>Component</w:t>
      </w:r>
      <w:r w:rsidRPr="009020B6">
        <w:rPr>
          <w:rFonts w:ascii="Times New Roman" w:hAnsi="Times New Roman" w:cs="Times New Roman"/>
          <w:sz w:val="22"/>
          <w:szCs w:val="22"/>
        </w:rPr>
        <w:t xml:space="preserve"> will compare relative rates of access, utilization, and </w:t>
      </w:r>
      <w:r>
        <w:rPr>
          <w:rFonts w:ascii="Times New Roman" w:hAnsi="Times New Roman" w:cs="Times New Roman"/>
          <w:sz w:val="22"/>
          <w:szCs w:val="22"/>
        </w:rPr>
        <w:t>expenditure</w:t>
      </w:r>
      <w:r w:rsidRPr="009020B6">
        <w:rPr>
          <w:rFonts w:ascii="Times New Roman" w:hAnsi="Times New Roman" w:cs="Times New Roman"/>
          <w:sz w:val="22"/>
          <w:szCs w:val="22"/>
        </w:rPr>
        <w:t>s for children’s MH services.</w:t>
      </w:r>
    </w:p>
    <w:p w14:paraId="6C58BBA3" w14:textId="77777777" w:rsidR="00E66653" w:rsidRPr="009020B6" w:rsidRDefault="00E66653" w:rsidP="006B22B9">
      <w:pPr>
        <w:tabs>
          <w:tab w:val="left" w:pos="-1440"/>
        </w:tabs>
        <w:spacing w:line="240" w:lineRule="auto"/>
        <w:ind w:left="1440"/>
        <w:rPr>
          <w:rFonts w:ascii="Times New Roman" w:hAnsi="Times New Roman" w:cs="Times New Roman"/>
          <w:sz w:val="22"/>
          <w:szCs w:val="22"/>
        </w:rPr>
      </w:pPr>
      <w:r>
        <w:rPr>
          <w:rFonts w:ascii="Times New Roman" w:hAnsi="Times New Roman" w:cs="Times New Roman"/>
          <w:i/>
          <w:sz w:val="22"/>
          <w:szCs w:val="22"/>
        </w:rPr>
        <w:t>Data collection activities</w:t>
      </w:r>
      <w:r w:rsidRPr="009020B6">
        <w:rPr>
          <w:rFonts w:ascii="Times New Roman" w:hAnsi="Times New Roman" w:cs="Times New Roman"/>
          <w:i/>
          <w:sz w:val="22"/>
          <w:szCs w:val="22"/>
        </w:rPr>
        <w:t>:</w:t>
      </w:r>
      <w:r w:rsidRPr="009020B6">
        <w:rPr>
          <w:rFonts w:ascii="Times New Roman" w:hAnsi="Times New Roman" w:cs="Times New Roman"/>
          <w:sz w:val="22"/>
          <w:szCs w:val="22"/>
        </w:rPr>
        <w:t xml:space="preserve"> Financial Mapping Interview</w:t>
      </w:r>
      <w:r>
        <w:rPr>
          <w:rFonts w:ascii="Times New Roman" w:hAnsi="Times New Roman" w:cs="Times New Roman"/>
          <w:sz w:val="22"/>
          <w:szCs w:val="22"/>
        </w:rPr>
        <w:t>;</w:t>
      </w:r>
      <w:r w:rsidRPr="009020B6">
        <w:rPr>
          <w:rFonts w:ascii="Times New Roman" w:hAnsi="Times New Roman" w:cs="Times New Roman"/>
          <w:sz w:val="22"/>
          <w:szCs w:val="22"/>
        </w:rPr>
        <w:t xml:space="preserve"> </w:t>
      </w:r>
      <w:r>
        <w:rPr>
          <w:rFonts w:ascii="Times New Roman" w:hAnsi="Times New Roman" w:cs="Times New Roman"/>
          <w:sz w:val="22"/>
          <w:szCs w:val="22"/>
        </w:rPr>
        <w:t>and</w:t>
      </w:r>
      <w:r w:rsidRPr="009020B6">
        <w:rPr>
          <w:rFonts w:ascii="Times New Roman" w:hAnsi="Times New Roman" w:cs="Times New Roman"/>
          <w:sz w:val="22"/>
          <w:szCs w:val="22"/>
        </w:rPr>
        <w:t xml:space="preserve"> Benchmark Tool</w:t>
      </w:r>
      <w:r>
        <w:rPr>
          <w:rFonts w:ascii="Times New Roman" w:hAnsi="Times New Roman" w:cs="Times New Roman"/>
          <w:sz w:val="22"/>
          <w:szCs w:val="22"/>
        </w:rPr>
        <w:t xml:space="preserve"> (</w:t>
      </w:r>
      <w:r w:rsidRPr="009020B6">
        <w:rPr>
          <w:rFonts w:ascii="Times New Roman" w:hAnsi="Times New Roman" w:cs="Times New Roman"/>
          <w:sz w:val="22"/>
          <w:szCs w:val="22"/>
        </w:rPr>
        <w:t xml:space="preserve">information requests from financial administrators and personnel working with </w:t>
      </w:r>
      <w:r>
        <w:rPr>
          <w:rFonts w:ascii="Times New Roman" w:hAnsi="Times New Roman" w:cs="Times New Roman"/>
          <w:sz w:val="22"/>
          <w:szCs w:val="22"/>
        </w:rPr>
        <w:t xml:space="preserve">the </w:t>
      </w:r>
      <w:r w:rsidRPr="009020B6">
        <w:rPr>
          <w:rFonts w:ascii="Times New Roman" w:hAnsi="Times New Roman" w:cs="Times New Roman"/>
          <w:sz w:val="22"/>
          <w:szCs w:val="22"/>
        </w:rPr>
        <w:t xml:space="preserve">Medicaid Agency and </w:t>
      </w:r>
      <w:r>
        <w:rPr>
          <w:rFonts w:ascii="Times New Roman" w:hAnsi="Times New Roman" w:cs="Times New Roman"/>
          <w:sz w:val="22"/>
          <w:szCs w:val="22"/>
        </w:rPr>
        <w:t>the</w:t>
      </w:r>
      <w:r w:rsidRPr="009020B6">
        <w:rPr>
          <w:rFonts w:ascii="Times New Roman" w:hAnsi="Times New Roman" w:cs="Times New Roman"/>
          <w:sz w:val="22"/>
          <w:szCs w:val="22"/>
        </w:rPr>
        <w:t xml:space="preserve"> MH Authority reporting and payment systems</w:t>
      </w:r>
      <w:r>
        <w:rPr>
          <w:rFonts w:ascii="Times New Roman" w:hAnsi="Times New Roman" w:cs="Times New Roman"/>
          <w:sz w:val="22"/>
          <w:szCs w:val="22"/>
        </w:rPr>
        <w:t>).</w:t>
      </w:r>
    </w:p>
    <w:p w14:paraId="2323566D" w14:textId="77777777" w:rsidR="00E66653" w:rsidRPr="009020B6" w:rsidRDefault="00E66653" w:rsidP="00E66653">
      <w:pPr>
        <w:pStyle w:val="ListParagraph"/>
        <w:numPr>
          <w:ilvl w:val="0"/>
          <w:numId w:val="14"/>
        </w:numPr>
        <w:tabs>
          <w:tab w:val="left" w:pos="-1440"/>
        </w:tabs>
        <w:spacing w:after="0" w:line="240" w:lineRule="auto"/>
        <w:rPr>
          <w:rFonts w:ascii="Times New Roman" w:hAnsi="Times New Roman" w:cs="Times New Roman"/>
          <w:sz w:val="22"/>
          <w:szCs w:val="22"/>
        </w:rPr>
      </w:pPr>
      <w:r w:rsidRPr="009020B6">
        <w:rPr>
          <w:rFonts w:ascii="Times New Roman" w:hAnsi="Times New Roman" w:cs="Times New Roman"/>
          <w:sz w:val="22"/>
          <w:szCs w:val="22"/>
        </w:rPr>
        <w:t xml:space="preserve">The </w:t>
      </w:r>
      <w:r w:rsidRPr="009020B6">
        <w:rPr>
          <w:rFonts w:ascii="Times New Roman" w:hAnsi="Times New Roman" w:cs="Times New Roman"/>
          <w:b/>
          <w:sz w:val="22"/>
          <w:szCs w:val="22"/>
        </w:rPr>
        <w:t xml:space="preserve">Child and Family Outcome </w:t>
      </w:r>
      <w:r>
        <w:rPr>
          <w:rFonts w:ascii="Times New Roman" w:hAnsi="Times New Roman" w:cs="Times New Roman"/>
          <w:b/>
          <w:sz w:val="22"/>
          <w:szCs w:val="22"/>
        </w:rPr>
        <w:t>Component</w:t>
      </w:r>
      <w:r w:rsidRPr="009020B6">
        <w:rPr>
          <w:rFonts w:ascii="Times New Roman" w:hAnsi="Times New Roman" w:cs="Times New Roman"/>
          <w:sz w:val="22"/>
          <w:szCs w:val="22"/>
        </w:rPr>
        <w:t xml:space="preserve"> will collect</w:t>
      </w:r>
      <w:r>
        <w:rPr>
          <w:rFonts w:ascii="Times New Roman" w:hAnsi="Times New Roman" w:cs="Times New Roman"/>
          <w:sz w:val="22"/>
          <w:szCs w:val="22"/>
        </w:rPr>
        <w:t xml:space="preserve"> demographic and background information, and</w:t>
      </w:r>
      <w:r w:rsidRPr="009020B6">
        <w:rPr>
          <w:rFonts w:ascii="Times New Roman" w:hAnsi="Times New Roman" w:cs="Times New Roman"/>
          <w:sz w:val="22"/>
          <w:szCs w:val="22"/>
        </w:rPr>
        <w:t xml:space="preserve"> longitudinal data on child clinical and functional outcomes, family outcomes, and child and family satisfaction with services.</w:t>
      </w:r>
    </w:p>
    <w:p w14:paraId="1DB750F7" w14:textId="77777777" w:rsidR="00E66653" w:rsidRPr="00D87880" w:rsidRDefault="00E66653" w:rsidP="006B22B9">
      <w:pPr>
        <w:tabs>
          <w:tab w:val="left" w:pos="-1440"/>
        </w:tabs>
        <w:spacing w:line="240" w:lineRule="auto"/>
        <w:ind w:left="1440"/>
        <w:rPr>
          <w:rFonts w:ascii="Times New Roman" w:hAnsi="Times New Roman" w:cs="Times New Roman"/>
          <w:sz w:val="22"/>
          <w:szCs w:val="22"/>
        </w:rPr>
      </w:pPr>
      <w:r>
        <w:rPr>
          <w:rFonts w:ascii="Times New Roman" w:hAnsi="Times New Roman" w:cs="Times New Roman"/>
          <w:i/>
          <w:sz w:val="22"/>
          <w:szCs w:val="22"/>
        </w:rPr>
        <w:t>Data collection activity</w:t>
      </w:r>
      <w:r w:rsidRPr="00D87880">
        <w:rPr>
          <w:rFonts w:ascii="Times New Roman" w:hAnsi="Times New Roman" w:cs="Times New Roman"/>
          <w:i/>
          <w:sz w:val="22"/>
          <w:szCs w:val="22"/>
        </w:rPr>
        <w:t>:</w:t>
      </w:r>
      <w:r w:rsidRPr="00D87880">
        <w:rPr>
          <w:rFonts w:ascii="Times New Roman" w:hAnsi="Times New Roman" w:cs="Times New Roman"/>
          <w:sz w:val="22"/>
          <w:szCs w:val="22"/>
        </w:rPr>
        <w:t xml:space="preserve">  </w:t>
      </w:r>
      <w:r>
        <w:rPr>
          <w:rFonts w:ascii="Times New Roman" w:hAnsi="Times New Roman" w:cs="Times New Roman"/>
          <w:sz w:val="22"/>
          <w:szCs w:val="22"/>
        </w:rPr>
        <w:t xml:space="preserve">The child and family outcome instruments include the Columbia Impairment Scale, Pediatric Symptom Checklist-17, and the shortened Caregiver Strain Questionnaire. These instruments will be added to the CDP </w:t>
      </w:r>
      <w:r w:rsidRPr="00B67B0E">
        <w:rPr>
          <w:rFonts w:ascii="Times New Roman" w:hAnsi="Times New Roman" w:cs="Times New Roman"/>
          <w:sz w:val="22"/>
          <w:szCs w:val="22"/>
        </w:rPr>
        <w:t>Client-Level Services Measures for Discretionary Programs, CMHS PROGRAM ONLY</w:t>
      </w:r>
      <w:r>
        <w:rPr>
          <w:rFonts w:ascii="Times New Roman" w:hAnsi="Times New Roman" w:cs="Times New Roman"/>
          <w:sz w:val="22"/>
          <w:szCs w:val="22"/>
        </w:rPr>
        <w:t xml:space="preserve"> instrument within the program-specific designated Section H..</w:t>
      </w:r>
    </w:p>
    <w:p w14:paraId="1CA9E481" w14:textId="1B546D63" w:rsidR="00E66653" w:rsidRDefault="00E66653" w:rsidP="00E66653">
      <w:pPr>
        <w:pStyle w:val="P1-StandPara"/>
        <w:spacing w:line="240" w:lineRule="auto"/>
        <w:jc w:val="left"/>
        <w:rPr>
          <w:sz w:val="22"/>
          <w:szCs w:val="22"/>
        </w:rPr>
      </w:pPr>
      <w:r w:rsidRPr="00D87880">
        <w:rPr>
          <w:sz w:val="22"/>
          <w:szCs w:val="22"/>
        </w:rPr>
        <w:t>Evaluation activities and their timing will differ by level of the Evaluation (i.e., jurisdiction, local system, or child</w:t>
      </w:r>
      <w:r>
        <w:rPr>
          <w:sz w:val="22"/>
          <w:szCs w:val="22"/>
        </w:rPr>
        <w:t>/youth</w:t>
      </w:r>
      <w:r w:rsidRPr="00D87880">
        <w:rPr>
          <w:sz w:val="22"/>
          <w:szCs w:val="22"/>
        </w:rPr>
        <w:t xml:space="preserve"> and family)</w:t>
      </w:r>
      <w:r>
        <w:rPr>
          <w:sz w:val="22"/>
          <w:szCs w:val="22"/>
        </w:rPr>
        <w:t xml:space="preserve"> and</w:t>
      </w:r>
      <w:r w:rsidRPr="00D87880">
        <w:rPr>
          <w:sz w:val="22"/>
          <w:szCs w:val="22"/>
        </w:rPr>
        <w:t xml:space="preserve"> type of grant (planning or implementation). Table </w:t>
      </w:r>
      <w:r>
        <w:rPr>
          <w:sz w:val="22"/>
          <w:szCs w:val="22"/>
        </w:rPr>
        <w:t>2</w:t>
      </w:r>
      <w:r w:rsidRPr="00D87880">
        <w:rPr>
          <w:sz w:val="22"/>
          <w:szCs w:val="22"/>
        </w:rPr>
        <w:t xml:space="preserve"> summarizes the planned evaluation questions by level of the Evaluation, </w:t>
      </w:r>
      <w:r>
        <w:rPr>
          <w:sz w:val="22"/>
          <w:szCs w:val="22"/>
        </w:rPr>
        <w:t>data collection activities</w:t>
      </w:r>
      <w:r w:rsidRPr="00D87880">
        <w:rPr>
          <w:sz w:val="22"/>
          <w:szCs w:val="22"/>
        </w:rPr>
        <w:t xml:space="preserve">, and grant cohort. </w:t>
      </w:r>
      <w:r>
        <w:rPr>
          <w:sz w:val="22"/>
          <w:szCs w:val="22"/>
        </w:rPr>
        <w:t>In that</w:t>
      </w:r>
      <w:r w:rsidRPr="00D87880">
        <w:rPr>
          <w:sz w:val="22"/>
          <w:szCs w:val="22"/>
        </w:rPr>
        <w:t xml:space="preserve"> their funding period is limited to one year</w:t>
      </w:r>
      <w:r>
        <w:rPr>
          <w:sz w:val="22"/>
          <w:szCs w:val="22"/>
        </w:rPr>
        <w:t xml:space="preserve"> and are not expected to deliver services during their funding period</w:t>
      </w:r>
      <w:r w:rsidRPr="00D87880">
        <w:rPr>
          <w:sz w:val="22"/>
          <w:szCs w:val="22"/>
        </w:rPr>
        <w:t>, planning grant</w:t>
      </w:r>
      <w:r>
        <w:rPr>
          <w:sz w:val="22"/>
          <w:szCs w:val="22"/>
        </w:rPr>
        <w:t>ee</w:t>
      </w:r>
      <w:r w:rsidRPr="00D87880">
        <w:rPr>
          <w:sz w:val="22"/>
          <w:szCs w:val="22"/>
        </w:rPr>
        <w:t xml:space="preserve">s will participate in fewer aspects of the Evaluation. In addition, respondents </w:t>
      </w:r>
      <w:r>
        <w:rPr>
          <w:sz w:val="22"/>
          <w:szCs w:val="22"/>
        </w:rPr>
        <w:t xml:space="preserve">for </w:t>
      </w:r>
      <w:r w:rsidRPr="00596E69">
        <w:rPr>
          <w:sz w:val="22"/>
          <w:szCs w:val="22"/>
        </w:rPr>
        <w:t xml:space="preserve">most data collection activities will be stakeholders involved with grantee planning and expansion efforts.  Child and family outcome instruments items and a portion of the SOCEA will include client (i.e., served children, youth, and young adults) and </w:t>
      </w:r>
      <w:r w:rsidR="00596E69" w:rsidRPr="00596E69">
        <w:rPr>
          <w:sz w:val="22"/>
          <w:szCs w:val="22"/>
        </w:rPr>
        <w:t>caregiver</w:t>
      </w:r>
      <w:r w:rsidRPr="00596E69">
        <w:rPr>
          <w:sz w:val="22"/>
          <w:szCs w:val="22"/>
        </w:rPr>
        <w:t xml:space="preserve"> respondents.</w:t>
      </w:r>
    </w:p>
    <w:p w14:paraId="3CAFFB5C" w14:textId="66998440" w:rsidR="00E66653" w:rsidRPr="00D87880" w:rsidRDefault="00E66653" w:rsidP="006B22B9">
      <w:pPr>
        <w:rPr>
          <w:rFonts w:ascii="Times New Roman" w:hAnsi="Times New Roman" w:cs="Times New Roman"/>
          <w:b/>
          <w:sz w:val="22"/>
          <w:szCs w:val="22"/>
        </w:rPr>
      </w:pPr>
      <w:r w:rsidRPr="00D87880">
        <w:rPr>
          <w:rFonts w:ascii="Times New Roman" w:hAnsi="Times New Roman" w:cs="Times New Roman"/>
          <w:b/>
          <w:sz w:val="22"/>
          <w:szCs w:val="22"/>
        </w:rPr>
        <w:t xml:space="preserve">Table </w:t>
      </w:r>
      <w:r>
        <w:rPr>
          <w:rFonts w:ascii="Times New Roman" w:hAnsi="Times New Roman" w:cs="Times New Roman"/>
          <w:b/>
          <w:sz w:val="22"/>
          <w:szCs w:val="22"/>
        </w:rPr>
        <w:t>2</w:t>
      </w:r>
      <w:r w:rsidRPr="00D87880">
        <w:rPr>
          <w:rFonts w:ascii="Times New Roman" w:hAnsi="Times New Roman" w:cs="Times New Roman"/>
          <w:b/>
          <w:sz w:val="22"/>
          <w:szCs w:val="22"/>
        </w:rPr>
        <w:t xml:space="preserve">. Evaluation levels, </w:t>
      </w:r>
      <w:r>
        <w:rPr>
          <w:rFonts w:ascii="Times New Roman" w:hAnsi="Times New Roman" w:cs="Times New Roman"/>
          <w:b/>
          <w:sz w:val="22"/>
          <w:szCs w:val="22"/>
        </w:rPr>
        <w:t>data collection activities</w:t>
      </w:r>
      <w:r w:rsidRPr="00D87880">
        <w:rPr>
          <w:rFonts w:ascii="Times New Roman" w:hAnsi="Times New Roman" w:cs="Times New Roman"/>
          <w:b/>
          <w:sz w:val="22"/>
          <w:szCs w:val="22"/>
        </w:rPr>
        <w:t>, and questions by grant cohort</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3232"/>
        <w:gridCol w:w="1458"/>
      </w:tblGrid>
      <w:tr w:rsidR="00E66653" w:rsidRPr="00D87880" w14:paraId="040A7D7E" w14:textId="77777777" w:rsidTr="00337C03">
        <w:trPr>
          <w:trHeight w:val="467"/>
          <w:tblHeader/>
        </w:trPr>
        <w:tc>
          <w:tcPr>
            <w:tcW w:w="5122" w:type="dxa"/>
            <w:shd w:val="clear" w:color="auto" w:fill="D9D9D9" w:themeFill="background1" w:themeFillShade="D9"/>
            <w:vAlign w:val="center"/>
          </w:tcPr>
          <w:p w14:paraId="464AD1BD" w14:textId="77777777" w:rsidR="00E66653" w:rsidRDefault="00E66653" w:rsidP="00337C03">
            <w:pPr>
              <w:spacing w:after="0" w:line="240" w:lineRule="auto"/>
              <w:jc w:val="center"/>
              <w:rPr>
                <w:rFonts w:ascii="Arial" w:hAnsi="Arial" w:cs="Arial"/>
                <w:b/>
              </w:rPr>
            </w:pPr>
            <w:r w:rsidRPr="00D87880">
              <w:rPr>
                <w:rFonts w:ascii="Arial" w:hAnsi="Arial" w:cs="Arial"/>
                <w:b/>
              </w:rPr>
              <w:t xml:space="preserve">Evaluation Levels, </w:t>
            </w:r>
            <w:r>
              <w:rPr>
                <w:rFonts w:ascii="Arial" w:hAnsi="Arial" w:cs="Arial"/>
                <w:b/>
              </w:rPr>
              <w:t>Data collection activities</w:t>
            </w:r>
            <w:r w:rsidRPr="00D87880">
              <w:rPr>
                <w:rFonts w:ascii="Arial" w:hAnsi="Arial" w:cs="Arial"/>
                <w:b/>
              </w:rPr>
              <w:t xml:space="preserve">, </w:t>
            </w:r>
          </w:p>
          <w:p w14:paraId="3F5D06EB" w14:textId="77777777" w:rsidR="00E66653" w:rsidRPr="00D87880" w:rsidRDefault="00E66653" w:rsidP="00337C03">
            <w:pPr>
              <w:spacing w:after="0" w:line="240" w:lineRule="auto"/>
              <w:jc w:val="center"/>
              <w:rPr>
                <w:rFonts w:ascii="Arial" w:hAnsi="Arial" w:cs="Arial"/>
              </w:rPr>
            </w:pPr>
            <w:r w:rsidRPr="00D87880">
              <w:rPr>
                <w:rFonts w:ascii="Arial" w:hAnsi="Arial" w:cs="Arial"/>
                <w:b/>
              </w:rPr>
              <w:t>&amp; Questions</w:t>
            </w:r>
          </w:p>
        </w:tc>
        <w:tc>
          <w:tcPr>
            <w:tcW w:w="4690" w:type="dxa"/>
            <w:gridSpan w:val="2"/>
            <w:tcBorders>
              <w:right w:val="single" w:sz="4" w:space="0" w:color="auto"/>
            </w:tcBorders>
            <w:shd w:val="clear" w:color="auto" w:fill="D9D9D9" w:themeFill="background1" w:themeFillShade="D9"/>
            <w:vAlign w:val="center"/>
          </w:tcPr>
          <w:p w14:paraId="6EDF353E" w14:textId="77777777" w:rsidR="00E66653" w:rsidRPr="00D87880" w:rsidRDefault="00E66653" w:rsidP="00337C03">
            <w:pPr>
              <w:spacing w:after="0" w:line="240" w:lineRule="auto"/>
              <w:jc w:val="center"/>
              <w:rPr>
                <w:rFonts w:ascii="Arial" w:hAnsi="Arial" w:cs="Arial"/>
                <w:b/>
              </w:rPr>
            </w:pPr>
            <w:r w:rsidRPr="00D87880">
              <w:rPr>
                <w:rFonts w:ascii="Arial" w:hAnsi="Arial" w:cs="Arial"/>
                <w:b/>
              </w:rPr>
              <w:t xml:space="preserve">*Grant </w:t>
            </w:r>
            <w:r>
              <w:rPr>
                <w:rFonts w:ascii="Arial" w:hAnsi="Arial" w:cs="Arial"/>
                <w:b/>
              </w:rPr>
              <w:t>Type</w:t>
            </w:r>
          </w:p>
        </w:tc>
      </w:tr>
      <w:tr w:rsidR="00E66653" w:rsidRPr="00D87880" w14:paraId="0754AFA6" w14:textId="77777777" w:rsidTr="006B22B9">
        <w:trPr>
          <w:trHeight w:val="404"/>
        </w:trPr>
        <w:tc>
          <w:tcPr>
            <w:tcW w:w="5122" w:type="dxa"/>
            <w:tcBorders>
              <w:right w:val="nil"/>
            </w:tcBorders>
            <w:shd w:val="clear" w:color="auto" w:fill="auto"/>
            <w:vAlign w:val="center"/>
          </w:tcPr>
          <w:p w14:paraId="217D08E4" w14:textId="77777777" w:rsidR="00E66653" w:rsidRPr="00D87880" w:rsidRDefault="00E66653" w:rsidP="00337C03">
            <w:pPr>
              <w:spacing w:after="0" w:line="240" w:lineRule="auto"/>
              <w:rPr>
                <w:rFonts w:ascii="Arial" w:hAnsi="Arial" w:cs="Arial"/>
              </w:rPr>
            </w:pPr>
            <w:r w:rsidRPr="00D87880">
              <w:rPr>
                <w:rFonts w:ascii="Arial" w:hAnsi="Arial" w:cs="Arial"/>
                <w:b/>
                <w:i/>
                <w:sz w:val="22"/>
                <w:szCs w:val="22"/>
              </w:rPr>
              <w:t>Jurisdiction Level</w:t>
            </w:r>
          </w:p>
        </w:tc>
        <w:tc>
          <w:tcPr>
            <w:tcW w:w="3232" w:type="dxa"/>
            <w:tcBorders>
              <w:left w:val="nil"/>
              <w:right w:val="nil"/>
            </w:tcBorders>
            <w:shd w:val="clear" w:color="auto" w:fill="auto"/>
          </w:tcPr>
          <w:p w14:paraId="54CADC8E" w14:textId="77777777" w:rsidR="00E66653" w:rsidRPr="00D87880" w:rsidRDefault="00E66653" w:rsidP="00337C03">
            <w:pPr>
              <w:spacing w:after="0" w:line="240" w:lineRule="auto"/>
              <w:rPr>
                <w:rFonts w:ascii="Arial" w:hAnsi="Arial" w:cs="Arial"/>
              </w:rPr>
            </w:pPr>
          </w:p>
        </w:tc>
        <w:tc>
          <w:tcPr>
            <w:tcW w:w="0" w:type="auto"/>
            <w:tcBorders>
              <w:left w:val="nil"/>
            </w:tcBorders>
            <w:shd w:val="clear" w:color="auto" w:fill="auto"/>
          </w:tcPr>
          <w:p w14:paraId="057C299A" w14:textId="77777777" w:rsidR="00E66653" w:rsidRPr="00D87880" w:rsidRDefault="00E66653" w:rsidP="00337C03">
            <w:pPr>
              <w:spacing w:after="0" w:line="240" w:lineRule="auto"/>
              <w:rPr>
                <w:rFonts w:ascii="Arial" w:hAnsi="Arial" w:cs="Arial"/>
              </w:rPr>
            </w:pPr>
          </w:p>
        </w:tc>
      </w:tr>
      <w:tr w:rsidR="00E66653" w:rsidRPr="00D87880" w14:paraId="5C5E726D" w14:textId="77777777" w:rsidTr="00337C03">
        <w:tc>
          <w:tcPr>
            <w:tcW w:w="5122" w:type="dxa"/>
            <w:shd w:val="clear" w:color="auto" w:fill="auto"/>
          </w:tcPr>
          <w:p w14:paraId="56E31758" w14:textId="7B9E37D4" w:rsidR="00E66653" w:rsidRPr="00D87880" w:rsidRDefault="0077206D" w:rsidP="00337C03">
            <w:pPr>
              <w:spacing w:after="0" w:line="240" w:lineRule="auto"/>
              <w:rPr>
                <w:rFonts w:ascii="Arial" w:hAnsi="Arial" w:cs="Arial"/>
              </w:rPr>
            </w:pPr>
            <w:r>
              <w:rPr>
                <w:rFonts w:ascii="Arial" w:hAnsi="Arial" w:cs="Arial"/>
              </w:rPr>
              <w:t>Stakeholder interviews</w:t>
            </w:r>
          </w:p>
        </w:tc>
        <w:tc>
          <w:tcPr>
            <w:tcW w:w="4690" w:type="dxa"/>
            <w:gridSpan w:val="2"/>
            <w:shd w:val="clear" w:color="auto" w:fill="auto"/>
          </w:tcPr>
          <w:p w14:paraId="610372F8" w14:textId="77777777" w:rsidR="00E66653" w:rsidRPr="00D87880" w:rsidRDefault="00E66653" w:rsidP="00337C03">
            <w:pPr>
              <w:spacing w:after="0" w:line="240" w:lineRule="auto"/>
              <w:rPr>
                <w:rFonts w:ascii="Arial" w:hAnsi="Arial" w:cs="Arial"/>
              </w:rPr>
            </w:pPr>
            <w:r>
              <w:rPr>
                <w:rFonts w:ascii="Arial" w:hAnsi="Arial" w:cs="Arial"/>
              </w:rPr>
              <w:t>P</w:t>
            </w:r>
            <w:r w:rsidRPr="00345A8F">
              <w:rPr>
                <w:rFonts w:ascii="Arial" w:hAnsi="Arial" w:cs="Arial"/>
              </w:rPr>
              <w:t xml:space="preserve">lanning </w:t>
            </w:r>
            <w:r w:rsidRPr="001A6350">
              <w:rPr>
                <w:rFonts w:ascii="Arial" w:hAnsi="Arial" w:cs="Arial"/>
              </w:rPr>
              <w:t xml:space="preserve">and implementation grants </w:t>
            </w:r>
          </w:p>
        </w:tc>
      </w:tr>
      <w:tr w:rsidR="00E66653" w:rsidRPr="00D87880" w14:paraId="18ECEDBB" w14:textId="77777777" w:rsidTr="006B22B9">
        <w:trPr>
          <w:trHeight w:val="1358"/>
        </w:trPr>
        <w:tc>
          <w:tcPr>
            <w:tcW w:w="9812" w:type="dxa"/>
            <w:gridSpan w:val="3"/>
            <w:shd w:val="clear" w:color="auto" w:fill="auto"/>
          </w:tcPr>
          <w:p w14:paraId="2E58B3BD" w14:textId="77777777" w:rsidR="00E66653" w:rsidRPr="00A05C4F" w:rsidRDefault="00E66653" w:rsidP="00337C03">
            <w:pPr>
              <w:spacing w:after="0" w:line="240" w:lineRule="auto"/>
              <w:ind w:left="450" w:hanging="450"/>
              <w:rPr>
                <w:rFonts w:ascii="Arial" w:hAnsi="Arial" w:cs="Arial"/>
              </w:rPr>
            </w:pPr>
            <w:r w:rsidRPr="00A05C4F">
              <w:rPr>
                <w:rFonts w:ascii="Arial" w:hAnsi="Arial" w:cs="Arial"/>
              </w:rPr>
              <w:t>Q1.</w:t>
            </w:r>
            <w:r w:rsidRPr="00A05C4F">
              <w:rPr>
                <w:rFonts w:ascii="Arial" w:hAnsi="Arial" w:cs="Arial"/>
              </w:rPr>
              <w:tab/>
              <w:t xml:space="preserve">What are the stated goals of the funded planning and/or implementation grants? </w:t>
            </w:r>
          </w:p>
          <w:p w14:paraId="1BF421F8" w14:textId="77777777" w:rsidR="00E66653" w:rsidRPr="00A05C4F" w:rsidRDefault="00E66653" w:rsidP="00337C03">
            <w:pPr>
              <w:spacing w:after="0" w:line="240" w:lineRule="auto"/>
              <w:ind w:left="450" w:hanging="450"/>
              <w:rPr>
                <w:rFonts w:ascii="Arial" w:hAnsi="Arial" w:cs="Arial"/>
              </w:rPr>
            </w:pPr>
            <w:r w:rsidRPr="00A05C4F">
              <w:rPr>
                <w:rFonts w:ascii="Arial" w:hAnsi="Arial" w:cs="Arial"/>
              </w:rPr>
              <w:t>Q2.</w:t>
            </w:r>
            <w:r w:rsidRPr="00A05C4F">
              <w:rPr>
                <w:rFonts w:ascii="Arial" w:hAnsi="Arial" w:cs="Arial"/>
              </w:rPr>
              <w:tab/>
              <w:t xml:space="preserve">What strategies and mechanisms did grantees plan to meet those goals? </w:t>
            </w:r>
          </w:p>
          <w:p w14:paraId="7FC7E56E" w14:textId="77777777" w:rsidR="00E66653" w:rsidRPr="00A05C4F" w:rsidRDefault="00E66653" w:rsidP="00337C03">
            <w:pPr>
              <w:spacing w:after="0" w:line="240" w:lineRule="auto"/>
              <w:ind w:left="450" w:hanging="450"/>
              <w:rPr>
                <w:rFonts w:ascii="Arial" w:hAnsi="Arial" w:cs="Arial"/>
              </w:rPr>
            </w:pPr>
            <w:r w:rsidRPr="00A05C4F">
              <w:rPr>
                <w:rFonts w:ascii="Arial" w:hAnsi="Arial" w:cs="Arial"/>
              </w:rPr>
              <w:t>Q3.</w:t>
            </w:r>
            <w:r w:rsidRPr="00A05C4F">
              <w:rPr>
                <w:rFonts w:ascii="Arial" w:hAnsi="Arial" w:cs="Arial"/>
              </w:rPr>
              <w:tab/>
              <w:t xml:space="preserve">In the process of implementing and expanding the SOC, what factors facilitated and what factors impeded implementation? </w:t>
            </w:r>
          </w:p>
          <w:p w14:paraId="32B9B1F6" w14:textId="77777777" w:rsidR="00E66653" w:rsidRPr="00A05C4F" w:rsidRDefault="00E66653" w:rsidP="00337C03">
            <w:pPr>
              <w:spacing w:after="0" w:line="240" w:lineRule="auto"/>
              <w:ind w:left="450" w:hanging="450"/>
              <w:rPr>
                <w:rFonts w:ascii="Arial" w:hAnsi="Arial" w:cs="Arial"/>
              </w:rPr>
            </w:pPr>
            <w:r w:rsidRPr="00A05C4F">
              <w:rPr>
                <w:rFonts w:ascii="Arial" w:hAnsi="Arial" w:cs="Arial"/>
              </w:rPr>
              <w:t>Q4.</w:t>
            </w:r>
            <w:r w:rsidRPr="00A05C4F">
              <w:rPr>
                <w:rFonts w:ascii="Arial" w:hAnsi="Arial" w:cs="Arial"/>
              </w:rPr>
              <w:tab/>
              <w:t>To what extent are SOC values embodied in the planning and implementation efforts?</w:t>
            </w:r>
          </w:p>
        </w:tc>
      </w:tr>
      <w:tr w:rsidR="00E66653" w:rsidRPr="00D87880" w14:paraId="1458BBCF" w14:textId="77777777" w:rsidTr="006B22B9">
        <w:trPr>
          <w:trHeight w:val="287"/>
        </w:trPr>
        <w:tc>
          <w:tcPr>
            <w:tcW w:w="5122" w:type="dxa"/>
            <w:shd w:val="clear" w:color="auto" w:fill="auto"/>
          </w:tcPr>
          <w:p w14:paraId="5468DDB9" w14:textId="39DE425D" w:rsidR="00E66653" w:rsidRPr="00A05C4F" w:rsidRDefault="00E66653" w:rsidP="00337C03">
            <w:pPr>
              <w:spacing w:after="0" w:line="240" w:lineRule="auto"/>
              <w:rPr>
                <w:rFonts w:ascii="Arial" w:hAnsi="Arial" w:cs="Arial"/>
              </w:rPr>
            </w:pPr>
            <w:r w:rsidRPr="00A05C4F">
              <w:rPr>
                <w:rFonts w:ascii="Arial" w:hAnsi="Arial" w:cs="Arial"/>
              </w:rPr>
              <w:t>Self-Assessment of Implementation Survey</w:t>
            </w:r>
            <w:r w:rsidR="00A05C4F" w:rsidRPr="00A05C4F">
              <w:rPr>
                <w:rFonts w:ascii="Arial" w:hAnsi="Arial" w:cs="Arial"/>
              </w:rPr>
              <w:t xml:space="preserve"> (SAIS)</w:t>
            </w:r>
          </w:p>
        </w:tc>
        <w:tc>
          <w:tcPr>
            <w:tcW w:w="4690" w:type="dxa"/>
            <w:gridSpan w:val="2"/>
            <w:shd w:val="clear" w:color="auto" w:fill="auto"/>
          </w:tcPr>
          <w:p w14:paraId="560EE44A" w14:textId="77777777" w:rsidR="00E66653" w:rsidRPr="00A05C4F" w:rsidRDefault="00E66653" w:rsidP="00337C03">
            <w:pPr>
              <w:tabs>
                <w:tab w:val="left" w:pos="1332"/>
              </w:tabs>
              <w:spacing w:after="0" w:line="240" w:lineRule="auto"/>
              <w:rPr>
                <w:rFonts w:ascii="Arial" w:hAnsi="Arial" w:cs="Arial"/>
              </w:rPr>
            </w:pPr>
            <w:r w:rsidRPr="00A05C4F">
              <w:rPr>
                <w:rFonts w:ascii="Arial" w:hAnsi="Arial" w:cs="Arial"/>
              </w:rPr>
              <w:t>Planning and implementation grants</w:t>
            </w:r>
          </w:p>
        </w:tc>
      </w:tr>
      <w:tr w:rsidR="00E66653" w:rsidRPr="00D87880" w14:paraId="2012A5D3" w14:textId="77777777" w:rsidTr="006B22B9">
        <w:trPr>
          <w:trHeight w:val="1358"/>
        </w:trPr>
        <w:tc>
          <w:tcPr>
            <w:tcW w:w="9812" w:type="dxa"/>
            <w:gridSpan w:val="3"/>
            <w:shd w:val="clear" w:color="auto" w:fill="auto"/>
          </w:tcPr>
          <w:p w14:paraId="2B29AE45" w14:textId="77777777" w:rsidR="00E66653" w:rsidRPr="00A05C4F" w:rsidRDefault="00E66653" w:rsidP="00337C03">
            <w:pPr>
              <w:pStyle w:val="P1-StandPara"/>
              <w:tabs>
                <w:tab w:val="left" w:pos="450"/>
              </w:tabs>
              <w:spacing w:after="0" w:line="240" w:lineRule="auto"/>
              <w:ind w:left="450" w:hanging="450"/>
              <w:jc w:val="left"/>
              <w:rPr>
                <w:rFonts w:ascii="Arial" w:hAnsi="Arial" w:cs="Arial"/>
                <w:sz w:val="20"/>
              </w:rPr>
            </w:pPr>
            <w:r w:rsidRPr="00A05C4F">
              <w:rPr>
                <w:rFonts w:ascii="Arial" w:hAnsi="Arial" w:cs="Arial"/>
                <w:sz w:val="20"/>
              </w:rPr>
              <w:t>Q1.</w:t>
            </w:r>
            <w:r w:rsidRPr="00A05C4F">
              <w:rPr>
                <w:rFonts w:ascii="Arial" w:hAnsi="Arial" w:cs="Arial"/>
                <w:sz w:val="20"/>
              </w:rPr>
              <w:tab/>
              <w:t>What mechanisms and strategies are utilized to implement and expand the SOC?</w:t>
            </w:r>
          </w:p>
          <w:p w14:paraId="5D9B5315" w14:textId="77777777" w:rsidR="00E66653" w:rsidRPr="00A05C4F" w:rsidRDefault="00E66653" w:rsidP="00337C03">
            <w:pPr>
              <w:spacing w:after="0" w:line="240" w:lineRule="auto"/>
              <w:ind w:left="446" w:hanging="446"/>
              <w:rPr>
                <w:rFonts w:ascii="Arial" w:hAnsi="Arial" w:cs="Arial"/>
              </w:rPr>
            </w:pPr>
            <w:r w:rsidRPr="00A05C4F">
              <w:rPr>
                <w:rFonts w:ascii="Arial" w:hAnsi="Arial" w:cs="Arial"/>
              </w:rPr>
              <w:t>Q2.  For each strategy/ mechanism, what is the current stage of implementation (e.g., fully implemented, partially implemented, initial implementation)?</w:t>
            </w:r>
          </w:p>
          <w:p w14:paraId="2ACF3BE6" w14:textId="77777777" w:rsidR="00E66653" w:rsidRPr="00A05C4F" w:rsidRDefault="00E66653" w:rsidP="00337C03">
            <w:pPr>
              <w:pStyle w:val="P1-StandPara"/>
              <w:tabs>
                <w:tab w:val="left" w:pos="450"/>
              </w:tabs>
              <w:spacing w:after="0" w:line="240" w:lineRule="auto"/>
              <w:ind w:left="450" w:hanging="450"/>
              <w:jc w:val="left"/>
              <w:rPr>
                <w:rFonts w:ascii="Arial" w:hAnsi="Arial" w:cs="Arial"/>
                <w:sz w:val="20"/>
              </w:rPr>
            </w:pPr>
            <w:r w:rsidRPr="00A05C4F">
              <w:rPr>
                <w:rFonts w:ascii="Arial" w:hAnsi="Arial" w:cs="Arial"/>
                <w:sz w:val="20"/>
              </w:rPr>
              <w:t>Q3.</w:t>
            </w:r>
            <w:r w:rsidRPr="00A05C4F">
              <w:rPr>
                <w:rFonts w:ascii="Arial" w:hAnsi="Arial" w:cs="Arial"/>
                <w:sz w:val="20"/>
              </w:rPr>
              <w:tab/>
              <w:t>To what extent do SOCs develop over time?</w:t>
            </w:r>
          </w:p>
          <w:p w14:paraId="6B39B647" w14:textId="77777777" w:rsidR="00E66653" w:rsidRPr="00A05C4F" w:rsidRDefault="00E66653" w:rsidP="00337C03">
            <w:pPr>
              <w:pStyle w:val="P1-StandPara"/>
              <w:tabs>
                <w:tab w:val="left" w:pos="450"/>
              </w:tabs>
              <w:spacing w:after="0" w:line="240" w:lineRule="auto"/>
              <w:ind w:left="450" w:hanging="450"/>
              <w:jc w:val="left"/>
              <w:rPr>
                <w:rFonts w:ascii="Arial" w:hAnsi="Arial" w:cs="Arial"/>
                <w:sz w:val="20"/>
              </w:rPr>
            </w:pPr>
            <w:r w:rsidRPr="00A05C4F">
              <w:rPr>
                <w:rFonts w:ascii="Arial" w:hAnsi="Arial" w:cs="Arial"/>
                <w:sz w:val="20"/>
              </w:rPr>
              <w:t>Q4.</w:t>
            </w:r>
            <w:r w:rsidRPr="00A05C4F">
              <w:rPr>
                <w:rFonts w:ascii="Arial" w:hAnsi="Arial" w:cs="Arial"/>
                <w:sz w:val="20"/>
              </w:rPr>
              <w:tab/>
              <w:t xml:space="preserve">What facilitators and impediments to SOC expansion do jurisdictions report? </w:t>
            </w:r>
          </w:p>
        </w:tc>
      </w:tr>
      <w:tr w:rsidR="00E66653" w:rsidRPr="00D87880" w14:paraId="0D77DB3C" w14:textId="77777777" w:rsidTr="00337C03">
        <w:tc>
          <w:tcPr>
            <w:tcW w:w="5122" w:type="dxa"/>
            <w:shd w:val="clear" w:color="auto" w:fill="auto"/>
          </w:tcPr>
          <w:p w14:paraId="06705604" w14:textId="77777777" w:rsidR="00E66653" w:rsidRPr="00D87880" w:rsidRDefault="00E66653" w:rsidP="00337C03">
            <w:pPr>
              <w:tabs>
                <w:tab w:val="center" w:pos="4680"/>
                <w:tab w:val="right" w:pos="9360"/>
              </w:tabs>
              <w:spacing w:after="0" w:line="240" w:lineRule="auto"/>
              <w:rPr>
                <w:rFonts w:ascii="Arial" w:hAnsi="Arial" w:cs="Arial"/>
              </w:rPr>
            </w:pPr>
            <w:r w:rsidRPr="00D87880">
              <w:rPr>
                <w:rFonts w:ascii="Arial" w:hAnsi="Arial" w:cs="Arial"/>
              </w:rPr>
              <w:t>Network Analysis Survey: Jurisdiction</w:t>
            </w:r>
          </w:p>
        </w:tc>
        <w:tc>
          <w:tcPr>
            <w:tcW w:w="4690" w:type="dxa"/>
            <w:gridSpan w:val="2"/>
            <w:shd w:val="clear" w:color="auto" w:fill="auto"/>
          </w:tcPr>
          <w:p w14:paraId="1EA07A13" w14:textId="77777777" w:rsidR="00E66653" w:rsidRPr="00D87880" w:rsidRDefault="00E66653" w:rsidP="00337C03">
            <w:pPr>
              <w:spacing w:after="0" w:line="240" w:lineRule="auto"/>
              <w:rPr>
                <w:rFonts w:ascii="Arial" w:hAnsi="Arial" w:cs="Arial"/>
              </w:rPr>
            </w:pPr>
            <w:r>
              <w:rPr>
                <w:rFonts w:ascii="Arial" w:hAnsi="Arial" w:cs="Arial"/>
              </w:rPr>
              <w:t>Implementation grants</w:t>
            </w:r>
          </w:p>
        </w:tc>
      </w:tr>
      <w:tr w:rsidR="00E66653" w:rsidRPr="00D87880" w14:paraId="57E68D64" w14:textId="77777777" w:rsidTr="006B22B9">
        <w:trPr>
          <w:trHeight w:val="854"/>
        </w:trPr>
        <w:tc>
          <w:tcPr>
            <w:tcW w:w="9812" w:type="dxa"/>
            <w:gridSpan w:val="3"/>
            <w:shd w:val="clear" w:color="auto" w:fill="auto"/>
          </w:tcPr>
          <w:p w14:paraId="4A224657" w14:textId="77777777" w:rsidR="00E66653" w:rsidRPr="002F5B9B" w:rsidRDefault="00E66653" w:rsidP="00337C03">
            <w:pPr>
              <w:pStyle w:val="P1-StandPara"/>
              <w:tabs>
                <w:tab w:val="left" w:pos="540"/>
              </w:tabs>
              <w:spacing w:after="0" w:line="240" w:lineRule="auto"/>
              <w:ind w:left="450" w:hanging="450"/>
              <w:jc w:val="left"/>
              <w:rPr>
                <w:rFonts w:ascii="Arial" w:hAnsi="Arial" w:cs="Arial"/>
                <w:sz w:val="20"/>
              </w:rPr>
            </w:pPr>
            <w:r w:rsidRPr="002F5B9B">
              <w:rPr>
                <w:rFonts w:ascii="Arial" w:hAnsi="Arial" w:cs="Arial"/>
                <w:sz w:val="20"/>
              </w:rPr>
              <w:t>Q1.</w:t>
            </w:r>
            <w:r w:rsidRPr="002F5B9B">
              <w:rPr>
                <w:rFonts w:ascii="Arial" w:hAnsi="Arial" w:cs="Arial"/>
                <w:sz w:val="20"/>
              </w:rPr>
              <w:tab/>
              <w:t>Are all key jurisdiction-level agencies/organizations collaborating to implement and expand the SOC?</w:t>
            </w:r>
          </w:p>
          <w:p w14:paraId="1FF164A1" w14:textId="77777777" w:rsidR="00E66653" w:rsidRPr="002F5B9B" w:rsidRDefault="00E66653" w:rsidP="00337C03">
            <w:pPr>
              <w:pStyle w:val="P1-StandPara"/>
              <w:tabs>
                <w:tab w:val="left" w:pos="540"/>
              </w:tabs>
              <w:spacing w:after="0" w:line="240" w:lineRule="auto"/>
              <w:ind w:left="450" w:hanging="450"/>
              <w:jc w:val="left"/>
              <w:rPr>
                <w:rFonts w:ascii="Arial" w:hAnsi="Arial" w:cs="Arial"/>
                <w:sz w:val="20"/>
              </w:rPr>
            </w:pPr>
            <w:r w:rsidRPr="002F5B9B">
              <w:rPr>
                <w:rFonts w:ascii="Arial" w:hAnsi="Arial" w:cs="Arial"/>
                <w:sz w:val="20"/>
              </w:rPr>
              <w:t>Q2.</w:t>
            </w:r>
            <w:r w:rsidRPr="002F5B9B">
              <w:rPr>
                <w:rFonts w:ascii="Arial" w:hAnsi="Arial" w:cs="Arial"/>
                <w:sz w:val="20"/>
              </w:rPr>
              <w:tab/>
              <w:t>What is the nature of the collaboration among child-serving jurisdiction-level agencies/organizations?</w:t>
            </w:r>
          </w:p>
          <w:p w14:paraId="0AAE32FB" w14:textId="77777777" w:rsidR="00E66653" w:rsidRPr="002F5B9B" w:rsidRDefault="00E66653" w:rsidP="00337C03">
            <w:pPr>
              <w:pStyle w:val="P1-StandPara"/>
              <w:tabs>
                <w:tab w:val="left" w:pos="540"/>
              </w:tabs>
              <w:spacing w:after="0" w:line="240" w:lineRule="auto"/>
              <w:ind w:left="450" w:hanging="450"/>
              <w:jc w:val="left"/>
              <w:rPr>
                <w:rFonts w:ascii="Arial" w:hAnsi="Arial" w:cs="Arial"/>
                <w:sz w:val="20"/>
              </w:rPr>
            </w:pPr>
            <w:r w:rsidRPr="002F5B9B">
              <w:rPr>
                <w:rFonts w:ascii="Arial" w:hAnsi="Arial" w:cs="Arial"/>
                <w:sz w:val="20"/>
              </w:rPr>
              <w:t>Q3.</w:t>
            </w:r>
            <w:r w:rsidRPr="002F5B9B">
              <w:rPr>
                <w:rFonts w:ascii="Arial" w:hAnsi="Arial" w:cs="Arial"/>
                <w:sz w:val="20"/>
              </w:rPr>
              <w:tab/>
              <w:t>How cohesive or fragmented is the overall system at the jurisdiction level?</w:t>
            </w:r>
          </w:p>
        </w:tc>
      </w:tr>
      <w:tr w:rsidR="00E66653" w:rsidRPr="00443E72" w14:paraId="5B52FB97" w14:textId="77777777" w:rsidTr="00337C03">
        <w:tc>
          <w:tcPr>
            <w:tcW w:w="5122" w:type="dxa"/>
            <w:shd w:val="clear" w:color="auto" w:fill="auto"/>
          </w:tcPr>
          <w:p w14:paraId="42CB16BC" w14:textId="77777777" w:rsidR="00E66653" w:rsidRPr="00FF5AA5" w:rsidRDefault="00E66653" w:rsidP="00337C03">
            <w:pPr>
              <w:tabs>
                <w:tab w:val="center" w:pos="4680"/>
                <w:tab w:val="right" w:pos="9360"/>
              </w:tabs>
              <w:spacing w:after="0" w:line="240" w:lineRule="auto"/>
              <w:rPr>
                <w:rFonts w:ascii="Arial" w:hAnsi="Arial" w:cs="Arial"/>
              </w:rPr>
            </w:pPr>
            <w:r w:rsidRPr="002F5B9B">
              <w:rPr>
                <w:rFonts w:ascii="Arial" w:hAnsi="Arial" w:cs="Arial"/>
              </w:rPr>
              <w:lastRenderedPageBreak/>
              <w:t>GIS</w:t>
            </w:r>
            <w:r>
              <w:rPr>
                <w:rFonts w:ascii="Arial" w:hAnsi="Arial" w:cs="Arial"/>
              </w:rPr>
              <w:t xml:space="preserve"> Component: Jurisdiction level</w:t>
            </w:r>
          </w:p>
        </w:tc>
        <w:tc>
          <w:tcPr>
            <w:tcW w:w="4690" w:type="dxa"/>
            <w:gridSpan w:val="2"/>
            <w:shd w:val="clear" w:color="auto" w:fill="auto"/>
          </w:tcPr>
          <w:p w14:paraId="0434093C" w14:textId="77777777" w:rsidR="00E66653" w:rsidRPr="002F5B9B" w:rsidRDefault="00E66653" w:rsidP="00337C03">
            <w:pPr>
              <w:spacing w:after="0" w:line="240" w:lineRule="auto"/>
              <w:rPr>
                <w:rFonts w:ascii="Arial" w:hAnsi="Arial" w:cs="Arial"/>
              </w:rPr>
            </w:pPr>
            <w:r>
              <w:rPr>
                <w:rFonts w:ascii="Arial" w:hAnsi="Arial" w:cs="Arial"/>
              </w:rPr>
              <w:t>Implementation grants</w:t>
            </w:r>
          </w:p>
        </w:tc>
      </w:tr>
      <w:tr w:rsidR="00E66653" w:rsidRPr="00D87880" w14:paraId="6281431E" w14:textId="77777777" w:rsidTr="00337C03">
        <w:tc>
          <w:tcPr>
            <w:tcW w:w="9812" w:type="dxa"/>
            <w:gridSpan w:val="3"/>
            <w:shd w:val="clear" w:color="auto" w:fill="auto"/>
          </w:tcPr>
          <w:p w14:paraId="198AC3EC" w14:textId="77777777" w:rsidR="00E66653" w:rsidRPr="000208AE" w:rsidRDefault="00E66653" w:rsidP="00337C03">
            <w:pPr>
              <w:pStyle w:val="P1-StandPara"/>
              <w:tabs>
                <w:tab w:val="left" w:pos="450"/>
              </w:tabs>
              <w:spacing w:after="0" w:line="240" w:lineRule="auto"/>
              <w:ind w:left="450" w:hanging="450"/>
              <w:jc w:val="left"/>
              <w:rPr>
                <w:rFonts w:ascii="Arial" w:hAnsi="Arial" w:cs="Arial"/>
                <w:sz w:val="20"/>
              </w:rPr>
            </w:pPr>
            <w:r w:rsidRPr="000208AE">
              <w:rPr>
                <w:rFonts w:ascii="Arial" w:hAnsi="Arial" w:cs="Arial"/>
                <w:sz w:val="20"/>
              </w:rPr>
              <w:t>Q1.</w:t>
            </w:r>
            <w:r w:rsidRPr="000208AE">
              <w:rPr>
                <w:rFonts w:ascii="Arial" w:hAnsi="Arial" w:cs="Arial"/>
                <w:sz w:val="20"/>
              </w:rPr>
              <w:tab/>
              <w:t>To what extent to are administrators and policymakers from partner agencies and organizations spread across the jurisdiction?</w:t>
            </w:r>
          </w:p>
          <w:p w14:paraId="1D0EF95E" w14:textId="3E8C0A0F" w:rsidR="00E66653" w:rsidRPr="000208AE" w:rsidRDefault="00E66653" w:rsidP="006B22B9">
            <w:pPr>
              <w:pStyle w:val="P1-StandPara"/>
              <w:tabs>
                <w:tab w:val="left" w:pos="450"/>
              </w:tabs>
              <w:spacing w:after="0" w:line="240" w:lineRule="auto"/>
              <w:ind w:left="450" w:hanging="450"/>
              <w:jc w:val="left"/>
              <w:rPr>
                <w:rFonts w:ascii="Arial" w:hAnsi="Arial" w:cs="Arial"/>
                <w:sz w:val="20"/>
              </w:rPr>
            </w:pPr>
            <w:r w:rsidRPr="000208AE">
              <w:rPr>
                <w:rFonts w:ascii="Arial" w:hAnsi="Arial" w:cs="Arial"/>
                <w:sz w:val="20"/>
              </w:rPr>
              <w:t>Q2.</w:t>
            </w:r>
            <w:r w:rsidRPr="000208AE">
              <w:rPr>
                <w:rFonts w:ascii="Arial" w:hAnsi="Arial" w:cs="Arial"/>
                <w:sz w:val="20"/>
              </w:rPr>
              <w:tab/>
              <w:t>Do some areas of the jurisdiction appear to be disproportionately represented (compared to population) in SOC expansion efforts?</w:t>
            </w:r>
          </w:p>
        </w:tc>
      </w:tr>
      <w:tr w:rsidR="00E66653" w:rsidRPr="006B22B9" w14:paraId="1F6340E5" w14:textId="77777777" w:rsidTr="00337C03">
        <w:tc>
          <w:tcPr>
            <w:tcW w:w="5122" w:type="dxa"/>
            <w:shd w:val="clear" w:color="auto" w:fill="auto"/>
          </w:tcPr>
          <w:p w14:paraId="13F8CA0A" w14:textId="77777777" w:rsidR="00E66653" w:rsidRPr="006B22B9" w:rsidRDefault="00E66653" w:rsidP="00337C03">
            <w:pPr>
              <w:spacing w:after="0" w:line="240" w:lineRule="auto"/>
              <w:rPr>
                <w:rFonts w:ascii="Arial" w:hAnsi="Arial" w:cs="Arial"/>
              </w:rPr>
            </w:pPr>
            <w:r w:rsidRPr="006B22B9">
              <w:rPr>
                <w:rFonts w:ascii="Arial" w:hAnsi="Arial" w:cs="Arial"/>
              </w:rPr>
              <w:t xml:space="preserve">Financial Mapping Interview </w:t>
            </w:r>
          </w:p>
        </w:tc>
        <w:tc>
          <w:tcPr>
            <w:tcW w:w="4690" w:type="dxa"/>
            <w:gridSpan w:val="2"/>
            <w:shd w:val="clear" w:color="auto" w:fill="auto"/>
          </w:tcPr>
          <w:p w14:paraId="4A6BA9F0" w14:textId="77777777" w:rsidR="00E66653" w:rsidRPr="006B22B9" w:rsidRDefault="00E66653" w:rsidP="00337C03">
            <w:pPr>
              <w:spacing w:after="0" w:line="240" w:lineRule="auto"/>
              <w:rPr>
                <w:rFonts w:ascii="Arial" w:hAnsi="Arial" w:cs="Arial"/>
              </w:rPr>
            </w:pPr>
            <w:r w:rsidRPr="006B22B9">
              <w:rPr>
                <w:rFonts w:ascii="Arial" w:hAnsi="Arial" w:cs="Arial"/>
              </w:rPr>
              <w:t>Implementation grants</w:t>
            </w:r>
          </w:p>
        </w:tc>
      </w:tr>
      <w:tr w:rsidR="00E66653" w:rsidRPr="006B22B9" w14:paraId="2F512F24" w14:textId="77777777" w:rsidTr="00337C03">
        <w:tc>
          <w:tcPr>
            <w:tcW w:w="9812" w:type="dxa"/>
            <w:gridSpan w:val="3"/>
            <w:shd w:val="clear" w:color="auto" w:fill="auto"/>
          </w:tcPr>
          <w:p w14:paraId="21B81D85" w14:textId="1D6AC016" w:rsidR="00E66653" w:rsidRPr="006B22B9" w:rsidRDefault="00E66653" w:rsidP="006B22B9">
            <w:pPr>
              <w:pStyle w:val="P1-StandPara"/>
              <w:tabs>
                <w:tab w:val="left" w:pos="450"/>
              </w:tabs>
              <w:spacing w:after="0" w:line="240" w:lineRule="auto"/>
              <w:ind w:left="450" w:hanging="450"/>
              <w:jc w:val="left"/>
              <w:rPr>
                <w:rFonts w:ascii="Arial" w:hAnsi="Arial" w:cs="Arial"/>
                <w:sz w:val="20"/>
              </w:rPr>
            </w:pPr>
            <w:r w:rsidRPr="006B22B9">
              <w:rPr>
                <w:rFonts w:ascii="Arial" w:hAnsi="Arial" w:cs="Arial"/>
                <w:sz w:val="20"/>
              </w:rPr>
              <w:t>Q1.</w:t>
            </w:r>
            <w:r w:rsidRPr="006B22B9">
              <w:rPr>
                <w:rFonts w:ascii="Arial" w:hAnsi="Arial" w:cs="Arial"/>
                <w:sz w:val="20"/>
              </w:rPr>
              <w:tab/>
              <w:t>What funding sources support the SOC expansion efforts and how do they change over time?</w:t>
            </w:r>
          </w:p>
        </w:tc>
      </w:tr>
      <w:tr w:rsidR="00E66653" w:rsidRPr="006B22B9" w14:paraId="34CCD554" w14:textId="77777777" w:rsidTr="00337C03">
        <w:tc>
          <w:tcPr>
            <w:tcW w:w="5122" w:type="dxa"/>
            <w:shd w:val="clear" w:color="auto" w:fill="auto"/>
          </w:tcPr>
          <w:p w14:paraId="588A37EA" w14:textId="77777777" w:rsidR="00E66653" w:rsidRPr="006B22B9" w:rsidRDefault="00E66653" w:rsidP="00337C03">
            <w:pPr>
              <w:spacing w:after="0" w:line="240" w:lineRule="auto"/>
              <w:rPr>
                <w:rFonts w:ascii="Arial" w:hAnsi="Arial" w:cs="Arial"/>
              </w:rPr>
            </w:pPr>
            <w:r w:rsidRPr="006B22B9">
              <w:rPr>
                <w:rFonts w:ascii="Arial" w:hAnsi="Arial" w:cs="Arial"/>
              </w:rPr>
              <w:t>Benchmark Tool</w:t>
            </w:r>
          </w:p>
        </w:tc>
        <w:tc>
          <w:tcPr>
            <w:tcW w:w="4690" w:type="dxa"/>
            <w:gridSpan w:val="2"/>
            <w:shd w:val="clear" w:color="auto" w:fill="auto"/>
          </w:tcPr>
          <w:p w14:paraId="499002EB" w14:textId="77777777" w:rsidR="00E66653" w:rsidRPr="006B22B9" w:rsidRDefault="00E66653" w:rsidP="00337C03">
            <w:pPr>
              <w:spacing w:after="0" w:line="240" w:lineRule="auto"/>
              <w:rPr>
                <w:rFonts w:ascii="Arial" w:hAnsi="Arial" w:cs="Arial"/>
              </w:rPr>
            </w:pPr>
            <w:r w:rsidRPr="006B22B9">
              <w:rPr>
                <w:rFonts w:ascii="Arial" w:hAnsi="Arial" w:cs="Arial"/>
              </w:rPr>
              <w:t>Implementation grants</w:t>
            </w:r>
          </w:p>
        </w:tc>
      </w:tr>
      <w:tr w:rsidR="00E66653" w:rsidRPr="00D87880" w14:paraId="1FAFAF08" w14:textId="77777777" w:rsidTr="00337C03">
        <w:tc>
          <w:tcPr>
            <w:tcW w:w="9812" w:type="dxa"/>
            <w:gridSpan w:val="3"/>
            <w:tcBorders>
              <w:bottom w:val="single" w:sz="4" w:space="0" w:color="auto"/>
            </w:tcBorders>
            <w:shd w:val="clear" w:color="auto" w:fill="auto"/>
          </w:tcPr>
          <w:p w14:paraId="4F12CF83" w14:textId="79B985FA" w:rsidR="00E66653" w:rsidRPr="002F5B9B" w:rsidRDefault="00E66653" w:rsidP="00825057">
            <w:pPr>
              <w:pStyle w:val="P1-StandPara"/>
              <w:tabs>
                <w:tab w:val="left" w:pos="450"/>
              </w:tabs>
              <w:spacing w:after="0" w:line="240" w:lineRule="auto"/>
              <w:ind w:left="450" w:hanging="450"/>
              <w:jc w:val="left"/>
              <w:rPr>
                <w:rFonts w:ascii="Arial" w:hAnsi="Arial" w:cs="Arial"/>
                <w:sz w:val="20"/>
              </w:rPr>
            </w:pPr>
            <w:r w:rsidRPr="006B22B9">
              <w:rPr>
                <w:rFonts w:ascii="Arial" w:hAnsi="Arial" w:cs="Arial"/>
                <w:sz w:val="20"/>
              </w:rPr>
              <w:t>Q</w:t>
            </w:r>
            <w:r w:rsidR="00825057">
              <w:rPr>
                <w:rFonts w:ascii="Arial" w:hAnsi="Arial" w:cs="Arial"/>
                <w:sz w:val="20"/>
              </w:rPr>
              <w:t>1</w:t>
            </w:r>
            <w:r w:rsidRPr="006B22B9">
              <w:rPr>
                <w:rFonts w:ascii="Arial" w:hAnsi="Arial" w:cs="Arial"/>
                <w:sz w:val="20"/>
              </w:rPr>
              <w:t>.</w:t>
            </w:r>
            <w:r w:rsidRPr="006B22B9">
              <w:rPr>
                <w:rFonts w:ascii="Arial" w:hAnsi="Arial" w:cs="Arial"/>
                <w:sz w:val="20"/>
              </w:rPr>
              <w:tab/>
              <w:t>How are children’s MH funds used and how do they change in all or selected jurisdictions?</w:t>
            </w:r>
          </w:p>
        </w:tc>
      </w:tr>
      <w:tr w:rsidR="00E66653" w:rsidRPr="00D87880" w14:paraId="3BEE155F" w14:textId="77777777" w:rsidTr="00337C03">
        <w:trPr>
          <w:trHeight w:val="458"/>
        </w:trPr>
        <w:tc>
          <w:tcPr>
            <w:tcW w:w="5122" w:type="dxa"/>
            <w:tcBorders>
              <w:top w:val="single" w:sz="4" w:space="0" w:color="auto"/>
              <w:left w:val="single" w:sz="4" w:space="0" w:color="auto"/>
              <w:bottom w:val="single" w:sz="4" w:space="0" w:color="auto"/>
              <w:right w:val="nil"/>
            </w:tcBorders>
            <w:shd w:val="clear" w:color="auto" w:fill="auto"/>
            <w:vAlign w:val="center"/>
          </w:tcPr>
          <w:p w14:paraId="31DA8299" w14:textId="77777777" w:rsidR="00E66653" w:rsidRPr="002F5B9B" w:rsidRDefault="00E66653" w:rsidP="00337C03">
            <w:pPr>
              <w:spacing w:after="0" w:line="240" w:lineRule="auto"/>
              <w:rPr>
                <w:rFonts w:ascii="Arial" w:hAnsi="Arial" w:cs="Arial"/>
                <w:b/>
                <w:i/>
                <w:sz w:val="22"/>
                <w:szCs w:val="22"/>
              </w:rPr>
            </w:pPr>
            <w:r w:rsidRPr="002F5B9B">
              <w:rPr>
                <w:rFonts w:ascii="Arial" w:hAnsi="Arial" w:cs="Arial"/>
                <w:b/>
                <w:i/>
                <w:sz w:val="22"/>
                <w:szCs w:val="22"/>
              </w:rPr>
              <w:t>Local System Level</w:t>
            </w:r>
          </w:p>
        </w:tc>
        <w:tc>
          <w:tcPr>
            <w:tcW w:w="4690" w:type="dxa"/>
            <w:gridSpan w:val="2"/>
            <w:tcBorders>
              <w:top w:val="single" w:sz="4" w:space="0" w:color="auto"/>
              <w:left w:val="nil"/>
              <w:bottom w:val="single" w:sz="4" w:space="0" w:color="auto"/>
              <w:right w:val="single" w:sz="4" w:space="0" w:color="auto"/>
            </w:tcBorders>
            <w:shd w:val="clear" w:color="auto" w:fill="auto"/>
          </w:tcPr>
          <w:p w14:paraId="26D1065E" w14:textId="77777777" w:rsidR="00E66653" w:rsidRPr="002F5B9B" w:rsidRDefault="00E66653" w:rsidP="00337C03">
            <w:pPr>
              <w:spacing w:after="0" w:line="240" w:lineRule="auto"/>
              <w:jc w:val="center"/>
              <w:rPr>
                <w:rFonts w:ascii="Arial" w:hAnsi="Arial" w:cs="Arial"/>
                <w:b/>
              </w:rPr>
            </w:pPr>
          </w:p>
        </w:tc>
      </w:tr>
      <w:tr w:rsidR="00E66653" w:rsidRPr="00D87880" w14:paraId="2180723A" w14:textId="77777777" w:rsidTr="00337C03">
        <w:tc>
          <w:tcPr>
            <w:tcW w:w="5122" w:type="dxa"/>
            <w:tcBorders>
              <w:top w:val="single" w:sz="4" w:space="0" w:color="auto"/>
            </w:tcBorders>
            <w:shd w:val="clear" w:color="auto" w:fill="auto"/>
          </w:tcPr>
          <w:p w14:paraId="37B6B375" w14:textId="77777777" w:rsidR="00E66653" w:rsidRPr="00D87880" w:rsidRDefault="00E66653" w:rsidP="00337C03">
            <w:pPr>
              <w:tabs>
                <w:tab w:val="center" w:pos="4680"/>
                <w:tab w:val="right" w:pos="9360"/>
              </w:tabs>
              <w:spacing w:after="0" w:line="240" w:lineRule="auto"/>
              <w:rPr>
                <w:rFonts w:ascii="Arial" w:hAnsi="Arial" w:cs="Arial"/>
              </w:rPr>
            </w:pPr>
            <w:r w:rsidRPr="00D87880">
              <w:rPr>
                <w:rFonts w:ascii="Arial" w:hAnsi="Arial" w:cs="Arial"/>
              </w:rPr>
              <w:t>SOCEA</w:t>
            </w:r>
          </w:p>
        </w:tc>
        <w:tc>
          <w:tcPr>
            <w:tcW w:w="4690" w:type="dxa"/>
            <w:gridSpan w:val="2"/>
            <w:tcBorders>
              <w:top w:val="single" w:sz="4" w:space="0" w:color="auto"/>
            </w:tcBorders>
            <w:shd w:val="clear" w:color="auto" w:fill="auto"/>
          </w:tcPr>
          <w:p w14:paraId="770F5017" w14:textId="03E15352" w:rsidR="00E66653" w:rsidRPr="00D87880" w:rsidRDefault="00E66653" w:rsidP="006C71CB">
            <w:pPr>
              <w:spacing w:after="0" w:line="240" w:lineRule="auto"/>
              <w:rPr>
                <w:rFonts w:ascii="Arial" w:hAnsi="Arial" w:cs="Arial"/>
              </w:rPr>
            </w:pPr>
            <w:r>
              <w:rPr>
                <w:rFonts w:ascii="Arial" w:hAnsi="Arial" w:cs="Arial"/>
              </w:rPr>
              <w:t>Implementation grants</w:t>
            </w:r>
            <w:r w:rsidRPr="00D87880">
              <w:rPr>
                <w:rFonts w:ascii="Arial" w:hAnsi="Arial" w:cs="Arial"/>
              </w:rPr>
              <w:t xml:space="preserve">: </w:t>
            </w:r>
            <w:r w:rsidR="006C71CB">
              <w:rPr>
                <w:rFonts w:ascii="Arial" w:hAnsi="Arial" w:cs="Arial"/>
              </w:rPr>
              <w:t>1</w:t>
            </w:r>
            <w:r w:rsidRPr="00D87880">
              <w:rPr>
                <w:rFonts w:ascii="Arial" w:hAnsi="Arial" w:cs="Arial"/>
              </w:rPr>
              <w:t xml:space="preserve"> local system per</w:t>
            </w:r>
            <w:r>
              <w:rPr>
                <w:rFonts w:ascii="Arial" w:hAnsi="Arial" w:cs="Arial"/>
              </w:rPr>
              <w:t xml:space="preserve"> grant</w:t>
            </w:r>
          </w:p>
        </w:tc>
      </w:tr>
      <w:tr w:rsidR="00E66653" w:rsidRPr="00D87880" w14:paraId="2CF3B528" w14:textId="77777777" w:rsidTr="00337C03">
        <w:tc>
          <w:tcPr>
            <w:tcW w:w="9812" w:type="dxa"/>
            <w:gridSpan w:val="3"/>
            <w:shd w:val="clear" w:color="auto" w:fill="auto"/>
          </w:tcPr>
          <w:p w14:paraId="57AAD5E3"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Q1.</w:t>
            </w:r>
            <w:r w:rsidRPr="00D87880">
              <w:rPr>
                <w:rFonts w:ascii="Arial" w:hAnsi="Arial" w:cs="Arial"/>
                <w:sz w:val="20"/>
              </w:rPr>
              <w:tab/>
              <w:t xml:space="preserve">What strategies and mechanisms do local systems employ to implement and expand </w:t>
            </w:r>
            <w:r>
              <w:rPr>
                <w:rFonts w:ascii="Arial" w:hAnsi="Arial" w:cs="Arial"/>
                <w:sz w:val="20"/>
              </w:rPr>
              <w:t xml:space="preserve">the </w:t>
            </w:r>
            <w:r w:rsidRPr="00D87880">
              <w:rPr>
                <w:rFonts w:ascii="Arial" w:hAnsi="Arial" w:cs="Arial"/>
                <w:sz w:val="20"/>
              </w:rPr>
              <w:t>SOC?</w:t>
            </w:r>
          </w:p>
          <w:p w14:paraId="4FDC55DB"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Q2.</w:t>
            </w:r>
            <w:r w:rsidRPr="00D87880">
              <w:rPr>
                <w:rFonts w:ascii="Arial" w:hAnsi="Arial" w:cs="Arial"/>
                <w:sz w:val="20"/>
              </w:rPr>
              <w:tab/>
              <w:t>How fully implemented are those strategies?</w:t>
            </w:r>
          </w:p>
          <w:p w14:paraId="52D69E14" w14:textId="77777777" w:rsidR="00E66653"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w:t>
            </w:r>
            <w:r>
              <w:rPr>
                <w:rFonts w:ascii="Arial" w:hAnsi="Arial" w:cs="Arial"/>
                <w:sz w:val="20"/>
              </w:rPr>
              <w:t>3</w:t>
            </w:r>
            <w:r w:rsidRPr="00D87880">
              <w:rPr>
                <w:rFonts w:ascii="Arial" w:hAnsi="Arial" w:cs="Arial"/>
                <w:sz w:val="20"/>
              </w:rPr>
              <w:t>.</w:t>
            </w:r>
            <w:r w:rsidRPr="00D87880">
              <w:rPr>
                <w:rFonts w:ascii="Arial" w:hAnsi="Arial" w:cs="Arial"/>
                <w:sz w:val="20"/>
              </w:rPr>
              <w:tab/>
              <w:t>To what extent do</w:t>
            </w:r>
            <w:r>
              <w:rPr>
                <w:rFonts w:ascii="Arial" w:hAnsi="Arial" w:cs="Arial"/>
                <w:sz w:val="20"/>
              </w:rPr>
              <w:t>es</w:t>
            </w:r>
            <w:r w:rsidRPr="00D87880">
              <w:rPr>
                <w:rFonts w:ascii="Arial" w:hAnsi="Arial" w:cs="Arial"/>
                <w:sz w:val="20"/>
              </w:rPr>
              <w:t xml:space="preserve"> SOC </w:t>
            </w:r>
            <w:r>
              <w:rPr>
                <w:rFonts w:ascii="Arial" w:hAnsi="Arial" w:cs="Arial"/>
                <w:sz w:val="20"/>
              </w:rPr>
              <w:t xml:space="preserve">implementation and </w:t>
            </w:r>
            <w:r w:rsidRPr="00D87880">
              <w:rPr>
                <w:rFonts w:ascii="Arial" w:hAnsi="Arial" w:cs="Arial"/>
                <w:sz w:val="20"/>
              </w:rPr>
              <w:t>expansion efforts embody SOC principles?</w:t>
            </w:r>
          </w:p>
          <w:p w14:paraId="0E7B5835"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w:t>
            </w:r>
            <w:r>
              <w:rPr>
                <w:rFonts w:ascii="Arial" w:hAnsi="Arial" w:cs="Arial"/>
                <w:sz w:val="20"/>
              </w:rPr>
              <w:t>4</w:t>
            </w:r>
            <w:r w:rsidRPr="00D87880">
              <w:rPr>
                <w:rFonts w:ascii="Arial" w:hAnsi="Arial" w:cs="Arial"/>
                <w:sz w:val="20"/>
              </w:rPr>
              <w:t>.</w:t>
            </w:r>
            <w:r w:rsidRPr="00D87880">
              <w:rPr>
                <w:rFonts w:ascii="Arial" w:hAnsi="Arial" w:cs="Arial"/>
                <w:sz w:val="20"/>
              </w:rPr>
              <w:tab/>
              <w:t xml:space="preserve">What barriers impede implementation </w:t>
            </w:r>
            <w:r>
              <w:rPr>
                <w:rFonts w:ascii="Arial" w:hAnsi="Arial" w:cs="Arial"/>
                <w:sz w:val="20"/>
              </w:rPr>
              <w:t>and expansion efforts</w:t>
            </w:r>
            <w:r w:rsidRPr="00D87880">
              <w:rPr>
                <w:rFonts w:ascii="Arial" w:hAnsi="Arial" w:cs="Arial"/>
                <w:sz w:val="20"/>
              </w:rPr>
              <w:t>? What factors facilitate implementation</w:t>
            </w:r>
            <w:r>
              <w:rPr>
                <w:rFonts w:ascii="Arial" w:hAnsi="Arial" w:cs="Arial"/>
                <w:sz w:val="20"/>
              </w:rPr>
              <w:t xml:space="preserve"> and expansion</w:t>
            </w:r>
            <w:r w:rsidRPr="00D87880">
              <w:rPr>
                <w:rFonts w:ascii="Arial" w:hAnsi="Arial" w:cs="Arial"/>
                <w:sz w:val="20"/>
              </w:rPr>
              <w:t>?</w:t>
            </w:r>
          </w:p>
        </w:tc>
      </w:tr>
      <w:tr w:rsidR="00E66653" w:rsidRPr="00D87880" w14:paraId="2EB0855B" w14:textId="77777777" w:rsidTr="00337C03">
        <w:trPr>
          <w:trHeight w:val="278"/>
        </w:trPr>
        <w:tc>
          <w:tcPr>
            <w:tcW w:w="5122" w:type="dxa"/>
            <w:shd w:val="clear" w:color="auto" w:fill="auto"/>
          </w:tcPr>
          <w:p w14:paraId="1C799973" w14:textId="77777777" w:rsidR="00E66653" w:rsidRPr="00DA0929" w:rsidRDefault="00E66653" w:rsidP="00337C03">
            <w:pPr>
              <w:spacing w:after="0" w:line="240" w:lineRule="auto"/>
              <w:rPr>
                <w:rFonts w:ascii="Arial" w:hAnsi="Arial" w:cs="Arial"/>
              </w:rPr>
            </w:pPr>
            <w:r w:rsidRPr="00DA0929">
              <w:rPr>
                <w:rFonts w:ascii="Arial" w:hAnsi="Arial" w:cs="Arial"/>
              </w:rPr>
              <w:t xml:space="preserve">Network Analysis Survey: Local </w:t>
            </w:r>
            <w:r>
              <w:rPr>
                <w:rFonts w:ascii="Arial" w:hAnsi="Arial" w:cs="Arial"/>
              </w:rPr>
              <w:t>service s</w:t>
            </w:r>
            <w:r w:rsidRPr="00DA0929">
              <w:rPr>
                <w:rFonts w:ascii="Arial" w:hAnsi="Arial" w:cs="Arial"/>
              </w:rPr>
              <w:t>ystem</w:t>
            </w:r>
            <w:r>
              <w:rPr>
                <w:rFonts w:ascii="Arial" w:hAnsi="Arial" w:cs="Arial"/>
              </w:rPr>
              <w:t xml:space="preserve"> level</w:t>
            </w:r>
          </w:p>
        </w:tc>
        <w:tc>
          <w:tcPr>
            <w:tcW w:w="4690" w:type="dxa"/>
            <w:gridSpan w:val="2"/>
            <w:shd w:val="clear" w:color="auto" w:fill="auto"/>
          </w:tcPr>
          <w:p w14:paraId="0000830F" w14:textId="77777777" w:rsidR="00E66653" w:rsidRPr="00DA0929" w:rsidRDefault="00E66653" w:rsidP="00337C03">
            <w:pPr>
              <w:spacing w:after="0" w:line="240" w:lineRule="auto"/>
              <w:rPr>
                <w:rFonts w:ascii="Arial" w:hAnsi="Arial" w:cs="Arial"/>
              </w:rPr>
            </w:pPr>
            <w:r>
              <w:rPr>
                <w:rFonts w:ascii="Arial" w:hAnsi="Arial" w:cs="Arial"/>
              </w:rPr>
              <w:t>Implementation grants:</w:t>
            </w:r>
            <w:r w:rsidRPr="00DA0929">
              <w:rPr>
                <w:rFonts w:ascii="Arial" w:hAnsi="Arial" w:cs="Arial"/>
              </w:rPr>
              <w:t xml:space="preserve"> 1 local system per </w:t>
            </w:r>
            <w:r>
              <w:rPr>
                <w:rFonts w:ascii="Arial" w:hAnsi="Arial" w:cs="Arial"/>
              </w:rPr>
              <w:t>grant</w:t>
            </w:r>
          </w:p>
        </w:tc>
      </w:tr>
      <w:tr w:rsidR="00E66653" w:rsidRPr="00D87880" w14:paraId="605C0E8F" w14:textId="77777777" w:rsidTr="00337C03">
        <w:tc>
          <w:tcPr>
            <w:tcW w:w="9812" w:type="dxa"/>
            <w:gridSpan w:val="3"/>
            <w:tcBorders>
              <w:bottom w:val="single" w:sz="4" w:space="0" w:color="auto"/>
            </w:tcBorders>
            <w:shd w:val="clear" w:color="auto" w:fill="auto"/>
          </w:tcPr>
          <w:p w14:paraId="44F8C2A9"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Q1.</w:t>
            </w:r>
            <w:r w:rsidRPr="00D87880">
              <w:rPr>
                <w:rFonts w:ascii="Arial" w:hAnsi="Arial" w:cs="Arial"/>
                <w:sz w:val="20"/>
              </w:rPr>
              <w:tab/>
              <w:t>Which agencies and organizations are collaborating to implement and expand the local SOC? Are all key child-serving agencies involved?</w:t>
            </w:r>
          </w:p>
          <w:p w14:paraId="1650A36A"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Q2.</w:t>
            </w:r>
            <w:r w:rsidRPr="00D87880">
              <w:rPr>
                <w:rFonts w:ascii="Arial" w:hAnsi="Arial" w:cs="Arial"/>
                <w:sz w:val="20"/>
              </w:rPr>
              <w:tab/>
              <w:t xml:space="preserve">What is the nature of the collaboration among child-serving agencies and organizations at the local system level? </w:t>
            </w:r>
          </w:p>
          <w:p w14:paraId="2E99E111"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Q3.</w:t>
            </w:r>
            <w:r w:rsidRPr="00D87880">
              <w:rPr>
                <w:rFonts w:ascii="Arial" w:hAnsi="Arial" w:cs="Arial"/>
                <w:sz w:val="20"/>
              </w:rPr>
              <w:tab/>
              <w:t>How cohesive or fragmented is the local service system?</w:t>
            </w:r>
          </w:p>
        </w:tc>
      </w:tr>
      <w:tr w:rsidR="00E66653" w:rsidRPr="004B3CD6" w14:paraId="3B3F8353" w14:textId="77777777" w:rsidTr="00337C03">
        <w:trPr>
          <w:trHeight w:val="260"/>
        </w:trPr>
        <w:tc>
          <w:tcPr>
            <w:tcW w:w="5122" w:type="dxa"/>
            <w:tcBorders>
              <w:top w:val="single" w:sz="4" w:space="0" w:color="auto"/>
              <w:left w:val="single" w:sz="4" w:space="0" w:color="auto"/>
              <w:bottom w:val="single" w:sz="4" w:space="0" w:color="auto"/>
              <w:right w:val="single" w:sz="4" w:space="0" w:color="auto"/>
            </w:tcBorders>
            <w:shd w:val="clear" w:color="auto" w:fill="auto"/>
          </w:tcPr>
          <w:p w14:paraId="46A7656E" w14:textId="77777777" w:rsidR="00E66653" w:rsidRPr="00E4444E" w:rsidRDefault="00E66653" w:rsidP="00337C03">
            <w:pPr>
              <w:spacing w:after="0" w:line="240" w:lineRule="auto"/>
              <w:rPr>
                <w:rFonts w:ascii="Arial" w:hAnsi="Arial" w:cs="Arial"/>
              </w:rPr>
            </w:pPr>
            <w:r w:rsidRPr="00E4444E">
              <w:rPr>
                <w:rFonts w:ascii="Arial" w:hAnsi="Arial" w:cs="Arial"/>
              </w:rPr>
              <w:t xml:space="preserve">GIS </w:t>
            </w:r>
            <w:r>
              <w:rPr>
                <w:rFonts w:ascii="Arial" w:hAnsi="Arial" w:cs="Arial"/>
              </w:rPr>
              <w:t>Component</w:t>
            </w:r>
            <w:r w:rsidRPr="00E4444E">
              <w:rPr>
                <w:rFonts w:ascii="Arial" w:hAnsi="Arial" w:cs="Arial"/>
              </w:rPr>
              <w:t>: Local level</w:t>
            </w:r>
          </w:p>
        </w:tc>
        <w:tc>
          <w:tcPr>
            <w:tcW w:w="4690" w:type="dxa"/>
            <w:gridSpan w:val="2"/>
            <w:tcBorders>
              <w:top w:val="single" w:sz="4" w:space="0" w:color="auto"/>
              <w:left w:val="single" w:sz="4" w:space="0" w:color="auto"/>
              <w:bottom w:val="single" w:sz="4" w:space="0" w:color="auto"/>
              <w:right w:val="single" w:sz="4" w:space="0" w:color="auto"/>
            </w:tcBorders>
            <w:shd w:val="clear" w:color="auto" w:fill="auto"/>
          </w:tcPr>
          <w:p w14:paraId="1EEB12DE" w14:textId="77777777" w:rsidR="00E66653" w:rsidRPr="004B3CD6" w:rsidRDefault="00E66653" w:rsidP="00337C03">
            <w:pPr>
              <w:spacing w:after="0" w:line="240" w:lineRule="auto"/>
              <w:rPr>
                <w:rFonts w:ascii="Arial" w:hAnsi="Arial" w:cs="Arial"/>
              </w:rPr>
            </w:pPr>
            <w:r>
              <w:rPr>
                <w:rFonts w:ascii="Arial" w:hAnsi="Arial" w:cs="Arial"/>
              </w:rPr>
              <w:t>Implementation grants</w:t>
            </w:r>
          </w:p>
        </w:tc>
      </w:tr>
      <w:tr w:rsidR="00E66653" w:rsidRPr="004B3CD6" w14:paraId="5809F640" w14:textId="77777777" w:rsidTr="00337C03">
        <w:trPr>
          <w:trHeight w:val="260"/>
        </w:trPr>
        <w:tc>
          <w:tcPr>
            <w:tcW w:w="9812" w:type="dxa"/>
            <w:gridSpan w:val="3"/>
            <w:tcBorders>
              <w:top w:val="single" w:sz="4" w:space="0" w:color="auto"/>
              <w:left w:val="single" w:sz="4" w:space="0" w:color="auto"/>
              <w:bottom w:val="single" w:sz="4" w:space="0" w:color="auto"/>
              <w:right w:val="single" w:sz="4" w:space="0" w:color="auto"/>
            </w:tcBorders>
            <w:shd w:val="clear" w:color="auto" w:fill="auto"/>
          </w:tcPr>
          <w:p w14:paraId="0E9DD53B" w14:textId="77777777" w:rsidR="00E66653" w:rsidRPr="00E4444E" w:rsidRDefault="00E66653" w:rsidP="00337C03">
            <w:pPr>
              <w:pStyle w:val="P1-StandPara"/>
              <w:tabs>
                <w:tab w:val="left" w:pos="450"/>
              </w:tabs>
              <w:spacing w:after="0" w:line="240" w:lineRule="auto"/>
              <w:ind w:left="450" w:hanging="450"/>
              <w:jc w:val="left"/>
              <w:rPr>
                <w:rFonts w:ascii="Arial" w:hAnsi="Arial" w:cs="Arial"/>
                <w:sz w:val="20"/>
              </w:rPr>
            </w:pPr>
            <w:r>
              <w:rPr>
                <w:rFonts w:ascii="Arial" w:hAnsi="Arial" w:cs="Arial"/>
                <w:sz w:val="20"/>
              </w:rPr>
              <w:t>Q1</w:t>
            </w:r>
            <w:r w:rsidRPr="002F5B9B">
              <w:rPr>
                <w:rFonts w:ascii="Arial" w:hAnsi="Arial" w:cs="Arial"/>
                <w:sz w:val="20"/>
              </w:rPr>
              <w:t>.</w:t>
            </w:r>
            <w:r w:rsidRPr="002F5B9B">
              <w:rPr>
                <w:rFonts w:ascii="Arial" w:hAnsi="Arial" w:cs="Arial"/>
                <w:sz w:val="20"/>
              </w:rPr>
              <w:tab/>
            </w:r>
            <w:r>
              <w:rPr>
                <w:rFonts w:ascii="Arial" w:hAnsi="Arial" w:cs="Arial"/>
                <w:sz w:val="20"/>
              </w:rPr>
              <w:t>To what extent a</w:t>
            </w:r>
            <w:r w:rsidRPr="002F5B9B">
              <w:rPr>
                <w:rFonts w:ascii="Arial" w:hAnsi="Arial" w:cs="Arial"/>
                <w:sz w:val="20"/>
              </w:rPr>
              <w:t xml:space="preserve">re agencies, organizations, and service providers involved in local service system </w:t>
            </w:r>
            <w:r>
              <w:rPr>
                <w:rFonts w:ascii="Arial" w:hAnsi="Arial" w:cs="Arial"/>
                <w:sz w:val="20"/>
              </w:rPr>
              <w:t xml:space="preserve">implementation and </w:t>
            </w:r>
            <w:r w:rsidRPr="002F5B9B">
              <w:rPr>
                <w:rFonts w:ascii="Arial" w:hAnsi="Arial" w:cs="Arial"/>
                <w:sz w:val="20"/>
              </w:rPr>
              <w:t>expansion efforts spread proportionately throu</w:t>
            </w:r>
            <w:r>
              <w:rPr>
                <w:rFonts w:ascii="Arial" w:hAnsi="Arial" w:cs="Arial"/>
                <w:sz w:val="20"/>
              </w:rPr>
              <w:t>ghout the local catchment area?</w:t>
            </w:r>
          </w:p>
        </w:tc>
      </w:tr>
      <w:tr w:rsidR="00E66653" w:rsidRPr="00D87880" w14:paraId="72DB1B21" w14:textId="77777777" w:rsidTr="00337C03">
        <w:trPr>
          <w:trHeight w:val="440"/>
        </w:trPr>
        <w:tc>
          <w:tcPr>
            <w:tcW w:w="5122" w:type="dxa"/>
            <w:tcBorders>
              <w:top w:val="single" w:sz="4" w:space="0" w:color="auto"/>
              <w:left w:val="single" w:sz="4" w:space="0" w:color="auto"/>
              <w:bottom w:val="single" w:sz="4" w:space="0" w:color="auto"/>
              <w:right w:val="nil"/>
            </w:tcBorders>
            <w:shd w:val="clear" w:color="auto" w:fill="auto"/>
            <w:vAlign w:val="center"/>
          </w:tcPr>
          <w:p w14:paraId="1138C979" w14:textId="77777777" w:rsidR="00E66653" w:rsidRPr="00D87880" w:rsidRDefault="00E66653" w:rsidP="00337C03">
            <w:pPr>
              <w:spacing w:after="0" w:line="240" w:lineRule="auto"/>
              <w:rPr>
                <w:rFonts w:ascii="Arial" w:hAnsi="Arial" w:cs="Arial"/>
                <w:b/>
                <w:i/>
                <w:sz w:val="22"/>
                <w:szCs w:val="22"/>
              </w:rPr>
            </w:pPr>
            <w:r w:rsidRPr="00D87880">
              <w:rPr>
                <w:rFonts w:ascii="Arial" w:hAnsi="Arial" w:cs="Arial"/>
                <w:b/>
                <w:i/>
                <w:sz w:val="22"/>
                <w:szCs w:val="22"/>
              </w:rPr>
              <w:t>Child and Family Level</w:t>
            </w:r>
          </w:p>
        </w:tc>
        <w:tc>
          <w:tcPr>
            <w:tcW w:w="4690" w:type="dxa"/>
            <w:gridSpan w:val="2"/>
            <w:tcBorders>
              <w:top w:val="single" w:sz="4" w:space="0" w:color="auto"/>
              <w:left w:val="nil"/>
              <w:bottom w:val="single" w:sz="4" w:space="0" w:color="auto"/>
              <w:right w:val="single" w:sz="4" w:space="0" w:color="auto"/>
            </w:tcBorders>
            <w:shd w:val="clear" w:color="auto" w:fill="auto"/>
          </w:tcPr>
          <w:p w14:paraId="4A95E0BA" w14:textId="77777777" w:rsidR="00E66653" w:rsidRPr="00D87880" w:rsidRDefault="00E66653" w:rsidP="00337C03">
            <w:pPr>
              <w:spacing w:after="0" w:line="240" w:lineRule="auto"/>
              <w:jc w:val="center"/>
              <w:rPr>
                <w:rFonts w:ascii="Arial" w:hAnsi="Arial" w:cs="Arial"/>
                <w:b/>
              </w:rPr>
            </w:pPr>
          </w:p>
        </w:tc>
      </w:tr>
      <w:tr w:rsidR="00E66653" w:rsidRPr="00D87880" w14:paraId="69B7D72F" w14:textId="77777777" w:rsidTr="00337C03">
        <w:tc>
          <w:tcPr>
            <w:tcW w:w="5122" w:type="dxa"/>
            <w:tcBorders>
              <w:bottom w:val="single" w:sz="4" w:space="0" w:color="auto"/>
            </w:tcBorders>
            <w:shd w:val="clear" w:color="auto" w:fill="auto"/>
          </w:tcPr>
          <w:p w14:paraId="5AACBFD7" w14:textId="77777777" w:rsidR="00E66653" w:rsidRPr="00D87880" w:rsidRDefault="00E66653" w:rsidP="00337C03">
            <w:pPr>
              <w:spacing w:after="0" w:line="240" w:lineRule="auto"/>
              <w:rPr>
                <w:rFonts w:ascii="Arial" w:hAnsi="Arial" w:cs="Arial"/>
              </w:rPr>
            </w:pPr>
            <w:r>
              <w:rPr>
                <w:rFonts w:ascii="Arial" w:hAnsi="Arial" w:cs="Arial"/>
              </w:rPr>
              <w:t>Child and family outcome instruments</w:t>
            </w:r>
          </w:p>
        </w:tc>
        <w:tc>
          <w:tcPr>
            <w:tcW w:w="4690" w:type="dxa"/>
            <w:gridSpan w:val="2"/>
            <w:tcBorders>
              <w:bottom w:val="single" w:sz="4" w:space="0" w:color="auto"/>
            </w:tcBorders>
            <w:shd w:val="clear" w:color="auto" w:fill="auto"/>
          </w:tcPr>
          <w:p w14:paraId="304888E0" w14:textId="7E7F38A0" w:rsidR="00E66653" w:rsidRPr="00D87880" w:rsidRDefault="00E66653" w:rsidP="00337C03">
            <w:pPr>
              <w:spacing w:after="0" w:line="240" w:lineRule="auto"/>
              <w:rPr>
                <w:rFonts w:ascii="Arial" w:hAnsi="Arial" w:cs="Arial"/>
              </w:rPr>
            </w:pPr>
            <w:r>
              <w:rPr>
                <w:rFonts w:ascii="Arial" w:hAnsi="Arial" w:cs="Arial"/>
              </w:rPr>
              <w:t>Implementation grants</w:t>
            </w:r>
            <w:r w:rsidRPr="00D87880">
              <w:rPr>
                <w:rFonts w:ascii="Arial" w:hAnsi="Arial" w:cs="Arial"/>
              </w:rPr>
              <w:t xml:space="preserve">: </w:t>
            </w:r>
            <w:r w:rsidR="007C17E1">
              <w:rPr>
                <w:rFonts w:ascii="Arial" w:hAnsi="Arial" w:cs="Arial"/>
              </w:rPr>
              <w:t>1</w:t>
            </w:r>
            <w:r w:rsidRPr="00D87880">
              <w:rPr>
                <w:rFonts w:ascii="Arial" w:hAnsi="Arial" w:cs="Arial"/>
              </w:rPr>
              <w:t xml:space="preserve"> local system per </w:t>
            </w:r>
            <w:r>
              <w:rPr>
                <w:rFonts w:ascii="Arial" w:hAnsi="Arial" w:cs="Arial"/>
              </w:rPr>
              <w:t>grant</w:t>
            </w:r>
          </w:p>
        </w:tc>
      </w:tr>
      <w:tr w:rsidR="00E66653" w:rsidRPr="00D87880" w14:paraId="6F0F7628" w14:textId="77777777" w:rsidTr="00337C03">
        <w:tc>
          <w:tcPr>
            <w:tcW w:w="9812" w:type="dxa"/>
            <w:gridSpan w:val="3"/>
            <w:tcBorders>
              <w:top w:val="single" w:sz="4" w:space="0" w:color="auto"/>
              <w:left w:val="single" w:sz="4" w:space="0" w:color="auto"/>
              <w:bottom w:val="single" w:sz="4" w:space="0" w:color="auto"/>
              <w:right w:val="single" w:sz="4" w:space="0" w:color="auto"/>
            </w:tcBorders>
            <w:shd w:val="clear" w:color="auto" w:fill="auto"/>
          </w:tcPr>
          <w:p w14:paraId="4CC70FCC"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Q1.</w:t>
            </w:r>
            <w:r w:rsidRPr="00D87880">
              <w:rPr>
                <w:rFonts w:ascii="Arial" w:hAnsi="Arial" w:cs="Arial"/>
                <w:sz w:val="20"/>
              </w:rPr>
              <w:tab/>
            </w:r>
            <w:r>
              <w:rPr>
                <w:rFonts w:ascii="Arial" w:hAnsi="Arial" w:cs="Arial"/>
                <w:sz w:val="20"/>
              </w:rPr>
              <w:t>What are the characteristics</w:t>
            </w:r>
            <w:r w:rsidRPr="00D87880">
              <w:rPr>
                <w:rFonts w:ascii="Arial" w:hAnsi="Arial" w:cs="Arial"/>
                <w:sz w:val="20"/>
              </w:rPr>
              <w:t xml:space="preserve"> (</w:t>
            </w:r>
            <w:r>
              <w:rPr>
                <w:rFonts w:ascii="Arial" w:hAnsi="Arial" w:cs="Arial"/>
                <w:sz w:val="20"/>
              </w:rPr>
              <w:t xml:space="preserve">i.e., </w:t>
            </w:r>
            <w:r w:rsidRPr="00D87880">
              <w:rPr>
                <w:rFonts w:ascii="Arial" w:hAnsi="Arial" w:cs="Arial"/>
                <w:sz w:val="20"/>
              </w:rPr>
              <w:t>demographics, family</w:t>
            </w:r>
            <w:r>
              <w:rPr>
                <w:rFonts w:ascii="Arial" w:hAnsi="Arial" w:cs="Arial"/>
                <w:sz w:val="20"/>
              </w:rPr>
              <w:t xml:space="preserve"> attributes</w:t>
            </w:r>
            <w:r w:rsidRPr="00D87880">
              <w:rPr>
                <w:rFonts w:ascii="Arial" w:hAnsi="Arial" w:cs="Arial"/>
                <w:sz w:val="20"/>
              </w:rPr>
              <w:t>, and clinical</w:t>
            </w:r>
            <w:r>
              <w:rPr>
                <w:rFonts w:ascii="Arial" w:hAnsi="Arial" w:cs="Arial"/>
                <w:sz w:val="20"/>
              </w:rPr>
              <w:t xml:space="preserve"> features</w:t>
            </w:r>
            <w:r w:rsidRPr="00D87880">
              <w:rPr>
                <w:rFonts w:ascii="Arial" w:hAnsi="Arial" w:cs="Arial"/>
                <w:sz w:val="20"/>
              </w:rPr>
              <w:t>)</w:t>
            </w:r>
            <w:r>
              <w:rPr>
                <w:rFonts w:ascii="Arial" w:hAnsi="Arial" w:cs="Arial"/>
                <w:sz w:val="20"/>
              </w:rPr>
              <w:t xml:space="preserve"> of children, youth, and families</w:t>
            </w:r>
            <w:r w:rsidRPr="00D87880">
              <w:rPr>
                <w:rFonts w:ascii="Arial" w:hAnsi="Arial" w:cs="Arial"/>
                <w:sz w:val="20"/>
              </w:rPr>
              <w:t xml:space="preserve"> served through the CMHI </w:t>
            </w:r>
            <w:r>
              <w:rPr>
                <w:rFonts w:ascii="Arial" w:hAnsi="Arial" w:cs="Arial"/>
                <w:sz w:val="20"/>
              </w:rPr>
              <w:t>SOCs</w:t>
            </w:r>
            <w:r w:rsidRPr="00D87880">
              <w:rPr>
                <w:rFonts w:ascii="Arial" w:hAnsi="Arial" w:cs="Arial"/>
                <w:sz w:val="20"/>
              </w:rPr>
              <w:t>?</w:t>
            </w:r>
          </w:p>
          <w:p w14:paraId="0BB5EA44"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Q2.</w:t>
            </w:r>
            <w:r w:rsidRPr="00D87880">
              <w:rPr>
                <w:rFonts w:ascii="Arial" w:hAnsi="Arial" w:cs="Arial"/>
                <w:sz w:val="20"/>
              </w:rPr>
              <w:tab/>
              <w:t>Do children</w:t>
            </w:r>
            <w:r>
              <w:rPr>
                <w:rFonts w:ascii="Arial" w:hAnsi="Arial" w:cs="Arial"/>
                <w:sz w:val="20"/>
              </w:rPr>
              <w:t>/youth</w:t>
            </w:r>
            <w:r w:rsidRPr="00D87880">
              <w:rPr>
                <w:rFonts w:ascii="Arial" w:hAnsi="Arial" w:cs="Arial"/>
                <w:sz w:val="20"/>
              </w:rPr>
              <w:t xml:space="preserve"> and families served experience improvements in outcomes?</w:t>
            </w:r>
          </w:p>
          <w:p w14:paraId="5CE8EE6B" w14:textId="77777777" w:rsidR="00E66653" w:rsidRPr="00D87880" w:rsidRDefault="00E66653" w:rsidP="00337C03">
            <w:pPr>
              <w:pStyle w:val="P1-StandPara"/>
              <w:tabs>
                <w:tab w:val="left" w:pos="450"/>
              </w:tabs>
              <w:spacing w:after="0" w:line="240" w:lineRule="auto"/>
              <w:ind w:left="450" w:hanging="450"/>
              <w:jc w:val="left"/>
              <w:rPr>
                <w:rFonts w:ascii="Arial" w:hAnsi="Arial" w:cs="Arial"/>
                <w:sz w:val="20"/>
              </w:rPr>
            </w:pPr>
            <w:r w:rsidRPr="00D87880">
              <w:rPr>
                <w:rFonts w:ascii="Arial" w:hAnsi="Arial" w:cs="Arial"/>
                <w:sz w:val="20"/>
              </w:rPr>
              <w:t>Q3.</w:t>
            </w:r>
            <w:r w:rsidRPr="00D87880">
              <w:rPr>
                <w:rFonts w:ascii="Arial" w:hAnsi="Arial" w:cs="Arial"/>
                <w:sz w:val="20"/>
              </w:rPr>
              <w:tab/>
              <w:t>To what extent do youth and families appraise their service experiences as consistent with SOC principles? Do they report being satisfied with the services they receive?</w:t>
            </w:r>
          </w:p>
        </w:tc>
      </w:tr>
      <w:tr w:rsidR="00E66653" w:rsidRPr="00D87880" w14:paraId="34F426B7" w14:textId="77777777" w:rsidTr="00337C03">
        <w:trPr>
          <w:trHeight w:val="440"/>
        </w:trPr>
        <w:tc>
          <w:tcPr>
            <w:tcW w:w="5122" w:type="dxa"/>
            <w:tcBorders>
              <w:top w:val="single" w:sz="4" w:space="0" w:color="auto"/>
              <w:left w:val="single" w:sz="4" w:space="0" w:color="auto"/>
              <w:bottom w:val="single" w:sz="4" w:space="0" w:color="auto"/>
              <w:right w:val="nil"/>
            </w:tcBorders>
            <w:shd w:val="clear" w:color="auto" w:fill="auto"/>
            <w:vAlign w:val="center"/>
          </w:tcPr>
          <w:p w14:paraId="3F34BCF7" w14:textId="77777777" w:rsidR="00E66653" w:rsidRPr="00D87880" w:rsidRDefault="00E66653" w:rsidP="00337C03">
            <w:pPr>
              <w:spacing w:after="0" w:line="240" w:lineRule="auto"/>
              <w:rPr>
                <w:rFonts w:ascii="Arial" w:hAnsi="Arial" w:cs="Arial"/>
                <w:b/>
                <w:i/>
                <w:sz w:val="22"/>
                <w:szCs w:val="22"/>
              </w:rPr>
            </w:pPr>
            <w:r w:rsidRPr="00D87880">
              <w:rPr>
                <w:rFonts w:ascii="Arial" w:hAnsi="Arial" w:cs="Arial"/>
                <w:b/>
                <w:i/>
                <w:sz w:val="22"/>
                <w:szCs w:val="22"/>
              </w:rPr>
              <w:t>Cross-Level Evaluation Questions</w:t>
            </w:r>
          </w:p>
        </w:tc>
        <w:tc>
          <w:tcPr>
            <w:tcW w:w="4690" w:type="dxa"/>
            <w:gridSpan w:val="2"/>
            <w:tcBorders>
              <w:top w:val="single" w:sz="4" w:space="0" w:color="auto"/>
              <w:left w:val="nil"/>
              <w:bottom w:val="single" w:sz="4" w:space="0" w:color="auto"/>
              <w:right w:val="single" w:sz="4" w:space="0" w:color="auto"/>
            </w:tcBorders>
            <w:shd w:val="clear" w:color="auto" w:fill="auto"/>
          </w:tcPr>
          <w:p w14:paraId="654220E0" w14:textId="77777777" w:rsidR="00E66653" w:rsidRPr="00D87880" w:rsidRDefault="00E66653" w:rsidP="00337C03">
            <w:pPr>
              <w:spacing w:after="0" w:line="240" w:lineRule="auto"/>
              <w:jc w:val="center"/>
              <w:rPr>
                <w:rFonts w:ascii="Arial" w:hAnsi="Arial" w:cs="Arial"/>
                <w:b/>
              </w:rPr>
            </w:pPr>
          </w:p>
        </w:tc>
      </w:tr>
      <w:tr w:rsidR="00E66653" w:rsidRPr="00D87880" w14:paraId="14706618" w14:textId="77777777" w:rsidTr="00337C03">
        <w:tc>
          <w:tcPr>
            <w:tcW w:w="9812" w:type="dxa"/>
            <w:gridSpan w:val="3"/>
            <w:tcBorders>
              <w:top w:val="single" w:sz="4" w:space="0" w:color="auto"/>
              <w:left w:val="single" w:sz="4" w:space="0" w:color="auto"/>
              <w:bottom w:val="single" w:sz="4" w:space="0" w:color="auto"/>
              <w:right w:val="single" w:sz="4" w:space="0" w:color="auto"/>
            </w:tcBorders>
            <w:shd w:val="clear" w:color="auto" w:fill="auto"/>
          </w:tcPr>
          <w:p w14:paraId="157DFF31" w14:textId="77777777" w:rsidR="00E66653" w:rsidRPr="00D87880" w:rsidRDefault="00E66653" w:rsidP="00337C03">
            <w:pPr>
              <w:pStyle w:val="P1-StandPara"/>
              <w:tabs>
                <w:tab w:val="left" w:pos="450"/>
              </w:tabs>
              <w:spacing w:before="120" w:after="0" w:line="240" w:lineRule="auto"/>
              <w:ind w:left="450" w:hanging="450"/>
              <w:jc w:val="left"/>
              <w:rPr>
                <w:rFonts w:ascii="Arial" w:hAnsi="Arial" w:cs="Arial"/>
                <w:sz w:val="20"/>
              </w:rPr>
            </w:pPr>
            <w:r w:rsidRPr="00D87880">
              <w:rPr>
                <w:rFonts w:ascii="Arial" w:hAnsi="Arial" w:cs="Arial"/>
                <w:sz w:val="20"/>
              </w:rPr>
              <w:t>Q1.</w:t>
            </w:r>
            <w:r w:rsidRPr="00D87880">
              <w:rPr>
                <w:rFonts w:ascii="Arial" w:hAnsi="Arial" w:cs="Arial"/>
                <w:sz w:val="20"/>
              </w:rPr>
              <w:tab/>
              <w:t>To what extent is jurisdiction-level implementation quality related to: (1) changes in local SOC expansion assessment scores; and (2) changes in local system network integration?</w:t>
            </w:r>
          </w:p>
          <w:p w14:paraId="1DB3C3EF" w14:textId="77777777" w:rsidR="00E66653" w:rsidRPr="00D87880" w:rsidRDefault="00E66653" w:rsidP="00337C03">
            <w:pPr>
              <w:pStyle w:val="P1-StandPara"/>
              <w:tabs>
                <w:tab w:val="left" w:pos="450"/>
              </w:tabs>
              <w:spacing w:line="240" w:lineRule="auto"/>
              <w:ind w:left="450" w:hanging="450"/>
              <w:jc w:val="left"/>
              <w:rPr>
                <w:rFonts w:ascii="Arial" w:hAnsi="Arial" w:cs="Arial"/>
                <w:sz w:val="20"/>
              </w:rPr>
            </w:pPr>
            <w:r w:rsidRPr="00D87880">
              <w:rPr>
                <w:rFonts w:ascii="Arial" w:hAnsi="Arial" w:cs="Arial"/>
                <w:sz w:val="20"/>
              </w:rPr>
              <w:t>Q2.</w:t>
            </w:r>
            <w:r w:rsidRPr="00D87880">
              <w:rPr>
                <w:rFonts w:ascii="Arial" w:hAnsi="Arial" w:cs="Arial"/>
                <w:sz w:val="20"/>
              </w:rPr>
              <w:tab/>
              <w:t xml:space="preserve">To what extent is </w:t>
            </w:r>
            <w:r>
              <w:rPr>
                <w:rFonts w:ascii="Arial" w:hAnsi="Arial" w:cs="Arial"/>
                <w:sz w:val="20"/>
              </w:rPr>
              <w:t xml:space="preserve">local service system of care development </w:t>
            </w:r>
            <w:r w:rsidRPr="00D87880">
              <w:rPr>
                <w:rFonts w:ascii="Arial" w:hAnsi="Arial" w:cs="Arial"/>
                <w:sz w:val="20"/>
              </w:rPr>
              <w:t>related to improved youth and family functioning?</w:t>
            </w:r>
          </w:p>
        </w:tc>
      </w:tr>
    </w:tbl>
    <w:p w14:paraId="37095806" w14:textId="71AC5D1D" w:rsidR="00E66653" w:rsidRPr="00D87880" w:rsidRDefault="00E66653" w:rsidP="00E66653">
      <w:pPr>
        <w:spacing w:line="240" w:lineRule="auto"/>
        <w:rPr>
          <w:rFonts w:ascii="Arial" w:hAnsi="Arial" w:cs="Arial"/>
          <w:sz w:val="18"/>
          <w:szCs w:val="18"/>
        </w:rPr>
      </w:pPr>
      <w:r w:rsidRPr="00362A91">
        <w:rPr>
          <w:rFonts w:ascii="Arial" w:hAnsi="Arial" w:cs="Arial"/>
          <w:sz w:val="18"/>
          <w:szCs w:val="18"/>
        </w:rPr>
        <w:t xml:space="preserve">NOTE. *All </w:t>
      </w:r>
      <w:r>
        <w:rPr>
          <w:rFonts w:ascii="Arial" w:hAnsi="Arial" w:cs="Arial"/>
          <w:sz w:val="18"/>
          <w:szCs w:val="18"/>
        </w:rPr>
        <w:t>data collection activities</w:t>
      </w:r>
      <w:r w:rsidRPr="00362A91">
        <w:rPr>
          <w:rFonts w:ascii="Arial" w:hAnsi="Arial" w:cs="Arial"/>
          <w:sz w:val="18"/>
          <w:szCs w:val="18"/>
        </w:rPr>
        <w:t xml:space="preserve"> are </w:t>
      </w:r>
      <w:r>
        <w:rPr>
          <w:rFonts w:ascii="Arial" w:hAnsi="Arial" w:cs="Arial"/>
          <w:sz w:val="18"/>
          <w:szCs w:val="18"/>
        </w:rPr>
        <w:t>conducted</w:t>
      </w:r>
      <w:r w:rsidRPr="00362A91">
        <w:rPr>
          <w:rFonts w:ascii="Arial" w:hAnsi="Arial" w:cs="Arial"/>
          <w:sz w:val="18"/>
          <w:szCs w:val="18"/>
        </w:rPr>
        <w:t xml:space="preserve"> with implementation grants. Only the first two </w:t>
      </w:r>
      <w:r>
        <w:rPr>
          <w:rFonts w:ascii="Arial" w:hAnsi="Arial" w:cs="Arial"/>
          <w:sz w:val="18"/>
          <w:szCs w:val="18"/>
        </w:rPr>
        <w:t>data collection activities</w:t>
      </w:r>
      <w:r w:rsidRPr="00362A91">
        <w:rPr>
          <w:rFonts w:ascii="Arial" w:hAnsi="Arial" w:cs="Arial"/>
          <w:sz w:val="18"/>
          <w:szCs w:val="18"/>
        </w:rPr>
        <w:t xml:space="preserve"> listed, </w:t>
      </w:r>
      <w:r w:rsidR="0077206D">
        <w:rPr>
          <w:rFonts w:ascii="Arial" w:hAnsi="Arial" w:cs="Arial"/>
          <w:sz w:val="18"/>
          <w:szCs w:val="18"/>
        </w:rPr>
        <w:t>Stakeholder interviews</w:t>
      </w:r>
      <w:r w:rsidRPr="00362A91">
        <w:rPr>
          <w:rFonts w:ascii="Arial" w:hAnsi="Arial" w:cs="Arial"/>
          <w:sz w:val="18"/>
          <w:szCs w:val="18"/>
        </w:rPr>
        <w:t xml:space="preserve"> and </w:t>
      </w:r>
      <w:r>
        <w:rPr>
          <w:rFonts w:ascii="Arial" w:hAnsi="Arial" w:cs="Arial"/>
          <w:sz w:val="18"/>
          <w:szCs w:val="18"/>
        </w:rPr>
        <w:t>SAIS,</w:t>
      </w:r>
      <w:r w:rsidRPr="00362A91">
        <w:rPr>
          <w:rFonts w:ascii="Arial" w:hAnsi="Arial" w:cs="Arial"/>
          <w:sz w:val="18"/>
          <w:szCs w:val="18"/>
        </w:rPr>
        <w:t xml:space="preserve"> also include planning grants.</w:t>
      </w:r>
    </w:p>
    <w:p w14:paraId="7C82A595" w14:textId="77777777" w:rsidR="00E66653" w:rsidRDefault="00E66653" w:rsidP="00E66653">
      <w:pPr>
        <w:spacing w:line="240" w:lineRule="auto"/>
        <w:ind w:left="720" w:hanging="360"/>
        <w:rPr>
          <w:rFonts w:ascii="Times New Roman" w:hAnsi="Times New Roman" w:cs="Times New Roman"/>
          <w:b/>
          <w:sz w:val="22"/>
          <w:szCs w:val="22"/>
        </w:rPr>
      </w:pPr>
    </w:p>
    <w:p w14:paraId="050EF13E" w14:textId="77777777" w:rsidR="00FE074C" w:rsidRPr="00646890" w:rsidRDefault="006130D6" w:rsidP="00A66BAD">
      <w:pPr>
        <w:spacing w:line="240" w:lineRule="auto"/>
        <w:rPr>
          <w:rFonts w:ascii="Times New Roman" w:hAnsi="Times New Roman" w:cs="Times New Roman"/>
          <w:b/>
          <w:sz w:val="22"/>
          <w:szCs w:val="22"/>
        </w:rPr>
      </w:pPr>
      <w:r w:rsidRPr="00646890">
        <w:rPr>
          <w:rFonts w:ascii="Times New Roman" w:hAnsi="Times New Roman" w:cs="Times New Roman"/>
          <w:b/>
          <w:sz w:val="22"/>
          <w:szCs w:val="22"/>
        </w:rPr>
        <w:t>2. PURPOSE AND USE OF THE INFORMATION</w:t>
      </w:r>
    </w:p>
    <w:p w14:paraId="294980A9" w14:textId="235D5CD6" w:rsidR="003905C5" w:rsidRDefault="003905C5" w:rsidP="00BA4CB1">
      <w:pPr>
        <w:tabs>
          <w:tab w:val="left" w:pos="-1440"/>
        </w:tabs>
        <w:spacing w:line="240" w:lineRule="auto"/>
        <w:rPr>
          <w:rFonts w:ascii="Times New Roman" w:hAnsi="Times New Roman" w:cs="Times New Roman"/>
          <w:sz w:val="22"/>
          <w:szCs w:val="22"/>
        </w:rPr>
      </w:pPr>
      <w:r w:rsidRPr="00646890">
        <w:rPr>
          <w:rFonts w:ascii="Times New Roman" w:hAnsi="Times New Roman" w:cs="Times New Roman"/>
          <w:sz w:val="22"/>
          <w:szCs w:val="22"/>
        </w:rPr>
        <w:t xml:space="preserve">At its core, the purpose of the Evaluation is to assess the </w:t>
      </w:r>
      <w:r w:rsidRPr="00071685">
        <w:rPr>
          <w:rFonts w:ascii="Times New Roman" w:hAnsi="Times New Roman" w:cs="Times New Roman"/>
          <w:sz w:val="22"/>
          <w:szCs w:val="22"/>
        </w:rPr>
        <w:t xml:space="preserve">success of the </w:t>
      </w:r>
      <w:r w:rsidR="00C160F8">
        <w:rPr>
          <w:rFonts w:ascii="Times New Roman" w:hAnsi="Times New Roman" w:cs="Times New Roman"/>
          <w:sz w:val="22"/>
          <w:szCs w:val="22"/>
        </w:rPr>
        <w:t xml:space="preserve">SOC </w:t>
      </w:r>
      <w:r w:rsidRPr="00071685">
        <w:rPr>
          <w:rFonts w:ascii="Times New Roman" w:hAnsi="Times New Roman" w:cs="Times New Roman"/>
          <w:sz w:val="22"/>
          <w:szCs w:val="22"/>
        </w:rPr>
        <w:t>planning and implementation grant</w:t>
      </w:r>
      <w:r w:rsidR="0077152E" w:rsidRPr="00071685">
        <w:rPr>
          <w:rFonts w:ascii="Times New Roman" w:hAnsi="Times New Roman" w:cs="Times New Roman"/>
          <w:sz w:val="22"/>
          <w:szCs w:val="22"/>
        </w:rPr>
        <w:t xml:space="preserve"> initiative</w:t>
      </w:r>
      <w:r w:rsidR="00C160F8">
        <w:rPr>
          <w:rFonts w:ascii="Times New Roman" w:hAnsi="Times New Roman" w:cs="Times New Roman"/>
          <w:sz w:val="22"/>
          <w:szCs w:val="22"/>
        </w:rPr>
        <w:t>s</w:t>
      </w:r>
      <w:r w:rsidR="0077152E" w:rsidRPr="00071685">
        <w:rPr>
          <w:rFonts w:ascii="Times New Roman" w:hAnsi="Times New Roman" w:cs="Times New Roman"/>
          <w:sz w:val="22"/>
          <w:szCs w:val="22"/>
        </w:rPr>
        <w:t>.</w:t>
      </w:r>
      <w:r w:rsidR="00905D9F" w:rsidRPr="00071685">
        <w:rPr>
          <w:rFonts w:ascii="Times New Roman" w:hAnsi="Times New Roman" w:cs="Times New Roman"/>
          <w:sz w:val="22"/>
          <w:szCs w:val="22"/>
        </w:rPr>
        <w:t xml:space="preserve"> </w:t>
      </w:r>
      <w:r w:rsidRPr="00071685">
        <w:rPr>
          <w:rFonts w:ascii="Times New Roman" w:hAnsi="Times New Roman" w:cs="Times New Roman"/>
          <w:sz w:val="22"/>
          <w:szCs w:val="22"/>
        </w:rPr>
        <w:t>This section describes how</w:t>
      </w:r>
      <w:r w:rsidR="0077152E" w:rsidRPr="00071685">
        <w:rPr>
          <w:rFonts w:ascii="Times New Roman" w:hAnsi="Times New Roman" w:cs="Times New Roman"/>
          <w:sz w:val="22"/>
          <w:szCs w:val="22"/>
        </w:rPr>
        <w:t>,</w:t>
      </w:r>
      <w:r w:rsidRPr="00071685">
        <w:rPr>
          <w:rFonts w:ascii="Times New Roman" w:hAnsi="Times New Roman" w:cs="Times New Roman"/>
          <w:sz w:val="22"/>
          <w:szCs w:val="22"/>
        </w:rPr>
        <w:t xml:space="preserve"> and for what purpose</w:t>
      </w:r>
      <w:r w:rsidR="0077152E" w:rsidRPr="00071685">
        <w:rPr>
          <w:rFonts w:ascii="Times New Roman" w:hAnsi="Times New Roman" w:cs="Times New Roman"/>
          <w:sz w:val="22"/>
          <w:szCs w:val="22"/>
        </w:rPr>
        <w:t>,</w:t>
      </w:r>
      <w:r w:rsidRPr="00071685">
        <w:rPr>
          <w:rFonts w:ascii="Times New Roman" w:hAnsi="Times New Roman" w:cs="Times New Roman"/>
          <w:sz w:val="22"/>
          <w:szCs w:val="22"/>
        </w:rPr>
        <w:t xml:space="preserve"> the information collected will be used by SAMHSA, CMHS, grantees</w:t>
      </w:r>
      <w:r w:rsidR="00EE49D5" w:rsidRPr="00071685">
        <w:rPr>
          <w:rFonts w:ascii="Times New Roman" w:hAnsi="Times New Roman" w:cs="Times New Roman"/>
          <w:sz w:val="22"/>
          <w:szCs w:val="22"/>
        </w:rPr>
        <w:t xml:space="preserve">, </w:t>
      </w:r>
      <w:r w:rsidR="00071685" w:rsidRPr="00071685">
        <w:rPr>
          <w:rFonts w:ascii="Times New Roman" w:hAnsi="Times New Roman" w:cs="Times New Roman"/>
          <w:sz w:val="22"/>
          <w:szCs w:val="22"/>
        </w:rPr>
        <w:t xml:space="preserve">and </w:t>
      </w:r>
      <w:r w:rsidR="00EE49D5" w:rsidRPr="00071685">
        <w:rPr>
          <w:rFonts w:ascii="Times New Roman" w:hAnsi="Times New Roman" w:cs="Times New Roman"/>
          <w:sz w:val="22"/>
          <w:szCs w:val="22"/>
        </w:rPr>
        <w:t>the practice community</w:t>
      </w:r>
      <w:r w:rsidRPr="00071685">
        <w:rPr>
          <w:rFonts w:ascii="Times New Roman" w:hAnsi="Times New Roman" w:cs="Times New Roman"/>
          <w:sz w:val="22"/>
          <w:szCs w:val="22"/>
        </w:rPr>
        <w:t>.</w:t>
      </w:r>
      <w:r w:rsidR="00862178" w:rsidRPr="00071685">
        <w:rPr>
          <w:rFonts w:ascii="Times New Roman" w:hAnsi="Times New Roman" w:cs="Times New Roman"/>
          <w:sz w:val="22"/>
          <w:szCs w:val="22"/>
        </w:rPr>
        <w:t xml:space="preserve"> </w:t>
      </w:r>
    </w:p>
    <w:p w14:paraId="0E5E6164" w14:textId="2B594726" w:rsidR="006B22B9" w:rsidRPr="003654E7" w:rsidRDefault="009E1EC4" w:rsidP="006B22B9">
      <w:pPr>
        <w:spacing w:line="240" w:lineRule="auto"/>
        <w:rPr>
          <w:rFonts w:ascii="Times New Roman" w:hAnsi="Times New Roman" w:cs="Times New Roman"/>
          <w:sz w:val="22"/>
          <w:szCs w:val="22"/>
        </w:rPr>
      </w:pPr>
      <w:r w:rsidRPr="003654E7">
        <w:rPr>
          <w:rFonts w:ascii="Times New Roman" w:hAnsi="Times New Roman" w:cs="Times New Roman"/>
          <w:sz w:val="22"/>
          <w:szCs w:val="22"/>
        </w:rPr>
        <w:t xml:space="preserve">To justify continued support for the SOC expansion grants, SAMHSA/CMHS requires evidence that grantees can support SOCs that are effective, cost-effective and sustainable in communities throughout </w:t>
      </w:r>
      <w:r w:rsidRPr="003654E7">
        <w:rPr>
          <w:rFonts w:ascii="Times New Roman" w:hAnsi="Times New Roman" w:cs="Times New Roman"/>
          <w:sz w:val="22"/>
          <w:szCs w:val="22"/>
        </w:rPr>
        <w:lastRenderedPageBreak/>
        <w:t xml:space="preserve">the country. </w:t>
      </w:r>
      <w:r w:rsidR="006B22B9" w:rsidRPr="003654E7">
        <w:rPr>
          <w:rFonts w:ascii="Times New Roman" w:hAnsi="Times New Roman"/>
          <w:sz w:val="22"/>
          <w:szCs w:val="22"/>
        </w:rPr>
        <w:t>SAMHSA/CMHS can use Evaluation findings to examine: 1) the extent to</w:t>
      </w:r>
      <w:r w:rsidR="003654E7" w:rsidRPr="003654E7">
        <w:rPr>
          <w:rFonts w:ascii="Times New Roman" w:hAnsi="Times New Roman"/>
          <w:sz w:val="22"/>
          <w:szCs w:val="22"/>
        </w:rPr>
        <w:t xml:space="preserve"> which</w:t>
      </w:r>
      <w:r w:rsidR="006B22B9" w:rsidRPr="003654E7">
        <w:rPr>
          <w:rFonts w:ascii="Times New Roman" w:hAnsi="Times New Roman"/>
          <w:sz w:val="22"/>
          <w:szCs w:val="22"/>
        </w:rPr>
        <w:t xml:space="preserve"> the program results in true expansion and sustainability of </w:t>
      </w:r>
      <w:r w:rsidR="003654E7">
        <w:rPr>
          <w:rFonts w:ascii="Times New Roman" w:hAnsi="Times New Roman"/>
          <w:sz w:val="22"/>
          <w:szCs w:val="22"/>
        </w:rPr>
        <w:t>SOC</w:t>
      </w:r>
      <w:r w:rsidR="006B22B9" w:rsidRPr="003654E7">
        <w:rPr>
          <w:rFonts w:ascii="Times New Roman" w:hAnsi="Times New Roman"/>
          <w:sz w:val="22"/>
          <w:szCs w:val="22"/>
        </w:rPr>
        <w:t xml:space="preserve"> service delivery; 2) which mechanisms and strategies are most effective for realizing broad program goals; and 3) whether the program results in improvement in child and family outcomes.</w:t>
      </w:r>
    </w:p>
    <w:p w14:paraId="03D9A286" w14:textId="77777777" w:rsidR="0080324E" w:rsidRPr="00D87880" w:rsidRDefault="0080324E" w:rsidP="0062607C">
      <w:pPr>
        <w:keepNext/>
        <w:tabs>
          <w:tab w:val="left" w:pos="-1440"/>
        </w:tabs>
        <w:spacing w:line="240" w:lineRule="auto"/>
        <w:rPr>
          <w:rFonts w:ascii="Times New Roman" w:hAnsi="Times New Roman" w:cs="Times New Roman"/>
          <w:sz w:val="22"/>
          <w:szCs w:val="22"/>
        </w:rPr>
      </w:pPr>
      <w:r w:rsidRPr="00071685">
        <w:rPr>
          <w:rFonts w:ascii="Times New Roman" w:hAnsi="Times New Roman" w:cs="Times New Roman"/>
          <w:b/>
          <w:sz w:val="22"/>
          <w:szCs w:val="22"/>
        </w:rPr>
        <w:t>SAMHSA</w:t>
      </w:r>
      <w:r w:rsidR="0025552A" w:rsidRPr="00071685">
        <w:rPr>
          <w:rFonts w:ascii="Times New Roman" w:hAnsi="Times New Roman" w:cs="Times New Roman"/>
          <w:b/>
          <w:sz w:val="22"/>
          <w:szCs w:val="22"/>
        </w:rPr>
        <w:t>/CMHS</w:t>
      </w:r>
    </w:p>
    <w:p w14:paraId="4F3C9AF6" w14:textId="0278A73E" w:rsidR="00EE49D5" w:rsidRPr="00D87880" w:rsidRDefault="0025552A" w:rsidP="00DA07DA">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Evaluation </w:t>
      </w:r>
      <w:r w:rsidR="00974970" w:rsidRPr="00D87880">
        <w:rPr>
          <w:rFonts w:ascii="Times New Roman" w:hAnsi="Times New Roman" w:cs="Times New Roman"/>
          <w:sz w:val="22"/>
          <w:szCs w:val="22"/>
        </w:rPr>
        <w:t>findings</w:t>
      </w:r>
      <w:r w:rsidRPr="00D87880">
        <w:rPr>
          <w:rFonts w:ascii="Times New Roman" w:hAnsi="Times New Roman" w:cs="Times New Roman"/>
          <w:sz w:val="22"/>
          <w:szCs w:val="22"/>
        </w:rPr>
        <w:t xml:space="preserve"> will be </w:t>
      </w:r>
      <w:r w:rsidR="00EE49D5" w:rsidRPr="00D87880">
        <w:rPr>
          <w:rFonts w:ascii="Times New Roman" w:hAnsi="Times New Roman" w:cs="Times New Roman"/>
          <w:sz w:val="22"/>
          <w:szCs w:val="22"/>
        </w:rPr>
        <w:t>useful to</w:t>
      </w:r>
      <w:r w:rsidRPr="00D87880">
        <w:rPr>
          <w:rFonts w:ascii="Times New Roman" w:hAnsi="Times New Roman" w:cs="Times New Roman"/>
          <w:sz w:val="22"/>
          <w:szCs w:val="22"/>
        </w:rPr>
        <w:t xml:space="preserve"> SAMHSA, CMHS </w:t>
      </w:r>
      <w:r w:rsidR="004925CD" w:rsidRPr="00D87880">
        <w:rPr>
          <w:rFonts w:ascii="Times New Roman" w:hAnsi="Times New Roman" w:cs="Times New Roman"/>
          <w:sz w:val="22"/>
          <w:szCs w:val="22"/>
        </w:rPr>
        <w:t>d</w:t>
      </w:r>
      <w:r w:rsidRPr="00D87880">
        <w:rPr>
          <w:rFonts w:ascii="Times New Roman" w:hAnsi="Times New Roman" w:cs="Times New Roman"/>
          <w:sz w:val="22"/>
          <w:szCs w:val="22"/>
        </w:rPr>
        <w:t>irectors, and</w:t>
      </w:r>
      <w:r w:rsidR="00EE49D5" w:rsidRPr="00D87880">
        <w:rPr>
          <w:rFonts w:ascii="Times New Roman" w:hAnsi="Times New Roman" w:cs="Times New Roman"/>
          <w:sz w:val="22"/>
          <w:szCs w:val="22"/>
        </w:rPr>
        <w:t xml:space="preserve"> Grant Project Officers (GPOs) </w:t>
      </w:r>
      <w:r w:rsidR="00974970" w:rsidRPr="00D87880">
        <w:rPr>
          <w:rFonts w:ascii="Times New Roman" w:hAnsi="Times New Roman" w:cs="Times New Roman"/>
          <w:sz w:val="22"/>
          <w:szCs w:val="22"/>
        </w:rPr>
        <w:t>by:</w:t>
      </w:r>
      <w:r w:rsidR="00862178" w:rsidRPr="00D87880">
        <w:rPr>
          <w:rFonts w:ascii="Times New Roman" w:hAnsi="Times New Roman" w:cs="Times New Roman"/>
          <w:sz w:val="22"/>
          <w:szCs w:val="22"/>
        </w:rPr>
        <w:t xml:space="preserve"> </w:t>
      </w:r>
      <w:r w:rsidR="00C54628" w:rsidRPr="00D87880">
        <w:rPr>
          <w:rFonts w:ascii="Times New Roman" w:hAnsi="Times New Roman" w:cs="Times New Roman"/>
          <w:sz w:val="22"/>
          <w:szCs w:val="22"/>
        </w:rPr>
        <w:t xml:space="preserve">(1) </w:t>
      </w:r>
      <w:r w:rsidR="004925CD" w:rsidRPr="00D87880">
        <w:rPr>
          <w:rFonts w:ascii="Times New Roman" w:hAnsi="Times New Roman" w:cs="Times New Roman"/>
          <w:sz w:val="22"/>
          <w:szCs w:val="22"/>
        </w:rPr>
        <w:t>fulfill</w:t>
      </w:r>
      <w:r w:rsidR="00974970" w:rsidRPr="00D87880">
        <w:rPr>
          <w:rFonts w:ascii="Times New Roman" w:hAnsi="Times New Roman" w:cs="Times New Roman"/>
          <w:sz w:val="22"/>
          <w:szCs w:val="22"/>
        </w:rPr>
        <w:t>ing</w:t>
      </w:r>
      <w:r w:rsidR="004925CD" w:rsidRPr="00D87880">
        <w:rPr>
          <w:rFonts w:ascii="Times New Roman" w:hAnsi="Times New Roman" w:cs="Times New Roman"/>
          <w:sz w:val="22"/>
          <w:szCs w:val="22"/>
        </w:rPr>
        <w:t xml:space="preserve"> the program’s legislatively mandated requirements to evaluate it</w:t>
      </w:r>
      <w:r w:rsidR="00874F4E">
        <w:rPr>
          <w:rFonts w:ascii="Times New Roman" w:hAnsi="Times New Roman" w:cs="Times New Roman"/>
          <w:sz w:val="22"/>
          <w:szCs w:val="22"/>
        </w:rPr>
        <w:t>s</w:t>
      </w:r>
      <w:r w:rsidR="004925CD" w:rsidRPr="00D87880">
        <w:rPr>
          <w:rFonts w:ascii="Times New Roman" w:hAnsi="Times New Roman" w:cs="Times New Roman"/>
          <w:sz w:val="22"/>
          <w:szCs w:val="22"/>
        </w:rPr>
        <w:t xml:space="preserve"> programs</w:t>
      </w:r>
      <w:r w:rsidR="00974970" w:rsidRPr="00D87880">
        <w:rPr>
          <w:rFonts w:ascii="Times New Roman" w:hAnsi="Times New Roman" w:cs="Times New Roman"/>
          <w:sz w:val="22"/>
          <w:szCs w:val="22"/>
        </w:rPr>
        <w:t>;</w:t>
      </w:r>
      <w:r w:rsidR="004925CD" w:rsidRPr="00D87880">
        <w:rPr>
          <w:rFonts w:ascii="Times New Roman" w:hAnsi="Times New Roman" w:cs="Times New Roman"/>
          <w:sz w:val="22"/>
          <w:szCs w:val="22"/>
        </w:rPr>
        <w:t xml:space="preserve"> </w:t>
      </w:r>
      <w:r w:rsidR="00C54628" w:rsidRPr="00D87880">
        <w:rPr>
          <w:rFonts w:ascii="Times New Roman" w:hAnsi="Times New Roman" w:cs="Times New Roman"/>
          <w:sz w:val="22"/>
          <w:szCs w:val="22"/>
        </w:rPr>
        <w:t xml:space="preserve">(2) </w:t>
      </w:r>
      <w:r w:rsidR="004925CD" w:rsidRPr="00D87880">
        <w:rPr>
          <w:rFonts w:ascii="Times New Roman" w:hAnsi="Times New Roman" w:cs="Times New Roman"/>
          <w:sz w:val="22"/>
          <w:szCs w:val="22"/>
        </w:rPr>
        <w:t>support</w:t>
      </w:r>
      <w:r w:rsidR="00974970" w:rsidRPr="00D87880">
        <w:rPr>
          <w:rFonts w:ascii="Times New Roman" w:hAnsi="Times New Roman" w:cs="Times New Roman"/>
          <w:sz w:val="22"/>
          <w:szCs w:val="22"/>
        </w:rPr>
        <w:t>ing</w:t>
      </w:r>
      <w:r w:rsidR="004925CD" w:rsidRPr="00D87880">
        <w:rPr>
          <w:rFonts w:ascii="Times New Roman" w:hAnsi="Times New Roman" w:cs="Times New Roman"/>
          <w:sz w:val="22"/>
          <w:szCs w:val="22"/>
        </w:rPr>
        <w:t xml:space="preserve"> several of SAMHSA’s Strategic Initiatives</w:t>
      </w:r>
      <w:r w:rsidR="00974970" w:rsidRPr="00D87880">
        <w:rPr>
          <w:rFonts w:ascii="Times New Roman" w:hAnsi="Times New Roman" w:cs="Times New Roman"/>
          <w:sz w:val="22"/>
          <w:szCs w:val="22"/>
        </w:rPr>
        <w:t xml:space="preserve">; and </w:t>
      </w:r>
      <w:r w:rsidR="00C54628" w:rsidRPr="00D87880">
        <w:rPr>
          <w:rFonts w:ascii="Times New Roman" w:hAnsi="Times New Roman" w:cs="Times New Roman"/>
          <w:sz w:val="22"/>
          <w:szCs w:val="22"/>
        </w:rPr>
        <w:t xml:space="preserve">(3) </w:t>
      </w:r>
      <w:r w:rsidR="00974970" w:rsidRPr="00D87880">
        <w:rPr>
          <w:rFonts w:ascii="Times New Roman" w:hAnsi="Times New Roman" w:cs="Times New Roman"/>
          <w:sz w:val="22"/>
          <w:szCs w:val="22"/>
        </w:rPr>
        <w:t>providing</w:t>
      </w:r>
      <w:r w:rsidR="004925CD" w:rsidRPr="00D87880">
        <w:rPr>
          <w:rFonts w:ascii="Times New Roman" w:hAnsi="Times New Roman" w:cs="Times New Roman"/>
          <w:sz w:val="22"/>
          <w:szCs w:val="22"/>
        </w:rPr>
        <w:t xml:space="preserve"> essential</w:t>
      </w:r>
      <w:r w:rsidR="00272B1B" w:rsidRPr="00D87880">
        <w:rPr>
          <w:rFonts w:ascii="Times New Roman" w:hAnsi="Times New Roman" w:cs="Times New Roman"/>
          <w:sz w:val="22"/>
          <w:szCs w:val="22"/>
        </w:rPr>
        <w:t xml:space="preserve"> program management and development</w:t>
      </w:r>
      <w:r w:rsidR="004925CD" w:rsidRPr="00D87880">
        <w:rPr>
          <w:rFonts w:ascii="Times New Roman" w:hAnsi="Times New Roman" w:cs="Times New Roman"/>
          <w:sz w:val="22"/>
          <w:szCs w:val="22"/>
        </w:rPr>
        <w:t xml:space="preserve"> information to CMHS </w:t>
      </w:r>
      <w:r w:rsidR="00272B1B" w:rsidRPr="00D87880">
        <w:rPr>
          <w:rFonts w:ascii="Times New Roman" w:hAnsi="Times New Roman" w:cs="Times New Roman"/>
          <w:sz w:val="22"/>
          <w:szCs w:val="22"/>
        </w:rPr>
        <w:t>leadership.</w:t>
      </w:r>
    </w:p>
    <w:p w14:paraId="6311B69E" w14:textId="57B90035" w:rsidR="00690F43" w:rsidRDefault="004925CD" w:rsidP="009020B6">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b/>
          <w:sz w:val="22"/>
          <w:szCs w:val="22"/>
        </w:rPr>
        <w:t>Legislative Requirements.</w:t>
      </w:r>
      <w:r w:rsidR="00862178" w:rsidRPr="00D87880">
        <w:rPr>
          <w:rFonts w:ascii="Times New Roman" w:hAnsi="Times New Roman" w:cs="Times New Roman"/>
          <w:sz w:val="22"/>
          <w:szCs w:val="22"/>
        </w:rPr>
        <w:t xml:space="preserve"> </w:t>
      </w:r>
      <w:r w:rsidR="00DF0FEB" w:rsidRPr="00690F43">
        <w:rPr>
          <w:rFonts w:ascii="Times New Roman" w:hAnsi="Times New Roman" w:cs="Times New Roman"/>
          <w:sz w:val="22"/>
          <w:szCs w:val="22"/>
        </w:rPr>
        <w:t>As described</w:t>
      </w:r>
      <w:r w:rsidR="00D2642C">
        <w:rPr>
          <w:rFonts w:ascii="Times New Roman" w:hAnsi="Times New Roman" w:cs="Times New Roman"/>
          <w:sz w:val="22"/>
          <w:szCs w:val="22"/>
        </w:rPr>
        <w:t xml:space="preserve"> under</w:t>
      </w:r>
      <w:r w:rsidR="00DF0FEB" w:rsidRPr="00690F43">
        <w:rPr>
          <w:rFonts w:ascii="Times New Roman" w:hAnsi="Times New Roman" w:cs="Times New Roman"/>
          <w:sz w:val="22"/>
          <w:szCs w:val="22"/>
        </w:rPr>
        <w:t xml:space="preserve"> </w:t>
      </w:r>
      <w:r w:rsidR="00DF0FEB" w:rsidRPr="006B22B9">
        <w:rPr>
          <w:rFonts w:ascii="Times New Roman" w:hAnsi="Times New Roman" w:cs="Times New Roman"/>
          <w:i/>
          <w:sz w:val="22"/>
          <w:szCs w:val="22"/>
        </w:rPr>
        <w:t>The Need for Evaluation</w:t>
      </w:r>
      <w:r w:rsidR="00D2642C">
        <w:rPr>
          <w:rFonts w:ascii="Times New Roman" w:hAnsi="Times New Roman" w:cs="Times New Roman"/>
          <w:b/>
          <w:sz w:val="22"/>
          <w:szCs w:val="22"/>
        </w:rPr>
        <w:t xml:space="preserve"> </w:t>
      </w:r>
      <w:r w:rsidR="00D2642C" w:rsidRPr="00FF5AA5">
        <w:rPr>
          <w:rFonts w:ascii="Times New Roman" w:hAnsi="Times New Roman" w:cs="Times New Roman"/>
          <w:sz w:val="22"/>
          <w:szCs w:val="22"/>
        </w:rPr>
        <w:t>(</w:t>
      </w:r>
      <w:r w:rsidR="006B22B9">
        <w:rPr>
          <w:rFonts w:ascii="Times New Roman" w:hAnsi="Times New Roman" w:cs="Times New Roman"/>
          <w:sz w:val="22"/>
          <w:szCs w:val="22"/>
        </w:rPr>
        <w:t>Section A.1b</w:t>
      </w:r>
      <w:r w:rsidR="00D2642C" w:rsidRPr="00FF5AA5">
        <w:rPr>
          <w:rFonts w:ascii="Times New Roman" w:hAnsi="Times New Roman" w:cs="Times New Roman"/>
          <w:sz w:val="22"/>
          <w:szCs w:val="22"/>
        </w:rPr>
        <w:t>)</w:t>
      </w:r>
      <w:r w:rsidR="00DF0FEB" w:rsidRPr="00690F43">
        <w:rPr>
          <w:rFonts w:ascii="Times New Roman" w:hAnsi="Times New Roman" w:cs="Times New Roman"/>
          <w:sz w:val="22"/>
          <w:szCs w:val="22"/>
        </w:rPr>
        <w:t xml:space="preserve">, </w:t>
      </w:r>
      <w:r w:rsidR="00C46359" w:rsidRPr="00690F43">
        <w:rPr>
          <w:rFonts w:ascii="Times New Roman" w:hAnsi="Times New Roman" w:cs="Times New Roman"/>
          <w:sz w:val="22"/>
          <w:szCs w:val="22"/>
        </w:rPr>
        <w:t xml:space="preserve">the Evaluation was designed </w:t>
      </w:r>
      <w:r w:rsidR="00D2642C" w:rsidRPr="00690F43">
        <w:rPr>
          <w:rFonts w:ascii="Times New Roman" w:hAnsi="Times New Roman" w:cs="Times New Roman"/>
          <w:sz w:val="22"/>
          <w:szCs w:val="22"/>
        </w:rPr>
        <w:t>to</w:t>
      </w:r>
      <w:r w:rsidR="00D2642C">
        <w:rPr>
          <w:rFonts w:ascii="Times New Roman" w:hAnsi="Times New Roman" w:cs="Times New Roman"/>
          <w:sz w:val="22"/>
          <w:szCs w:val="22"/>
        </w:rPr>
        <w:t xml:space="preserve"> respond to</w:t>
      </w:r>
      <w:r w:rsidR="00C46359" w:rsidRPr="00690F43">
        <w:rPr>
          <w:rFonts w:ascii="Times New Roman" w:hAnsi="Times New Roman" w:cs="Times New Roman"/>
          <w:sz w:val="22"/>
          <w:szCs w:val="22"/>
        </w:rPr>
        <w:t xml:space="preserve"> </w:t>
      </w:r>
      <w:r w:rsidR="008006F0" w:rsidRPr="00690F43">
        <w:rPr>
          <w:rFonts w:ascii="Times New Roman" w:hAnsi="Times New Roman" w:cs="Times New Roman"/>
          <w:sz w:val="22"/>
          <w:szCs w:val="22"/>
        </w:rPr>
        <w:t>the legislatively</w:t>
      </w:r>
      <w:r w:rsidR="00C46359" w:rsidRPr="00690F43">
        <w:rPr>
          <w:rFonts w:ascii="Times New Roman" w:hAnsi="Times New Roman" w:cs="Times New Roman"/>
          <w:sz w:val="22"/>
          <w:szCs w:val="22"/>
        </w:rPr>
        <w:t xml:space="preserve">-mandated requirement </w:t>
      </w:r>
      <w:r w:rsidR="00C560CE" w:rsidRPr="00690F43">
        <w:rPr>
          <w:rFonts w:ascii="Times New Roman" w:hAnsi="Times New Roman" w:cs="Times New Roman"/>
          <w:sz w:val="22"/>
          <w:szCs w:val="22"/>
        </w:rPr>
        <w:t xml:space="preserve">to </w:t>
      </w:r>
      <w:r w:rsidR="00460A2D" w:rsidRPr="00690F43">
        <w:rPr>
          <w:rFonts w:ascii="Times New Roman" w:hAnsi="Times New Roman" w:cs="Times New Roman"/>
          <w:sz w:val="22"/>
          <w:szCs w:val="22"/>
        </w:rPr>
        <w:t>evaluate</w:t>
      </w:r>
      <w:r w:rsidR="00C560CE" w:rsidRPr="00690F43">
        <w:rPr>
          <w:rFonts w:ascii="Times New Roman" w:hAnsi="Times New Roman" w:cs="Times New Roman"/>
          <w:sz w:val="22"/>
          <w:szCs w:val="22"/>
        </w:rPr>
        <w:t xml:space="preserve"> </w:t>
      </w:r>
      <w:r w:rsidR="00D2642C">
        <w:rPr>
          <w:rFonts w:ascii="Times New Roman" w:hAnsi="Times New Roman" w:cs="Times New Roman"/>
          <w:sz w:val="22"/>
          <w:szCs w:val="22"/>
        </w:rPr>
        <w:t>the CMHI</w:t>
      </w:r>
      <w:r w:rsidR="00C560CE" w:rsidRPr="00690F43">
        <w:rPr>
          <w:rFonts w:ascii="Times New Roman" w:hAnsi="Times New Roman" w:cs="Times New Roman"/>
          <w:sz w:val="22"/>
          <w:szCs w:val="22"/>
        </w:rPr>
        <w:t xml:space="preserve"> and to report program evaluation findings in</w:t>
      </w:r>
      <w:r w:rsidR="00C46359" w:rsidRPr="00690F43">
        <w:rPr>
          <w:rFonts w:ascii="Times New Roman" w:hAnsi="Times New Roman" w:cs="Times New Roman"/>
          <w:sz w:val="22"/>
          <w:szCs w:val="22"/>
        </w:rPr>
        <w:t xml:space="preserve"> annual reports to Congress and to the Secretary of HHS</w:t>
      </w:r>
      <w:r w:rsidR="00C560CE" w:rsidRPr="00690F43">
        <w:rPr>
          <w:rFonts w:ascii="Times New Roman" w:hAnsi="Times New Roman" w:cs="Times New Roman"/>
          <w:sz w:val="22"/>
          <w:szCs w:val="22"/>
        </w:rPr>
        <w:t>.</w:t>
      </w:r>
      <w:r w:rsidR="00862178" w:rsidRPr="00690F43">
        <w:rPr>
          <w:rFonts w:ascii="Times New Roman" w:hAnsi="Times New Roman" w:cs="Times New Roman"/>
          <w:sz w:val="22"/>
          <w:szCs w:val="22"/>
        </w:rPr>
        <w:t xml:space="preserve"> </w:t>
      </w:r>
      <w:r w:rsidR="009A2278" w:rsidRPr="00690F43">
        <w:rPr>
          <w:rFonts w:ascii="Times New Roman" w:hAnsi="Times New Roman" w:cs="Times New Roman"/>
          <w:sz w:val="22"/>
          <w:szCs w:val="22"/>
        </w:rPr>
        <w:t>Table</w:t>
      </w:r>
      <w:r w:rsidR="00692B2B">
        <w:rPr>
          <w:rFonts w:ascii="Times New Roman" w:hAnsi="Times New Roman" w:cs="Times New Roman"/>
          <w:sz w:val="22"/>
          <w:szCs w:val="22"/>
        </w:rPr>
        <w:t xml:space="preserve"> </w:t>
      </w:r>
      <w:r w:rsidR="00E66653">
        <w:rPr>
          <w:rFonts w:ascii="Times New Roman" w:hAnsi="Times New Roman" w:cs="Times New Roman"/>
          <w:sz w:val="22"/>
          <w:szCs w:val="22"/>
        </w:rPr>
        <w:t>3</w:t>
      </w:r>
      <w:r w:rsidR="009A2278" w:rsidRPr="00690F43">
        <w:rPr>
          <w:rFonts w:ascii="Times New Roman" w:hAnsi="Times New Roman" w:cs="Times New Roman"/>
          <w:sz w:val="22"/>
          <w:szCs w:val="22"/>
        </w:rPr>
        <w:t xml:space="preserve"> maps </w:t>
      </w:r>
      <w:r w:rsidR="00690F43">
        <w:rPr>
          <w:rFonts w:ascii="Times New Roman" w:hAnsi="Times New Roman" w:cs="Times New Roman"/>
          <w:sz w:val="22"/>
          <w:szCs w:val="22"/>
        </w:rPr>
        <w:t xml:space="preserve">proposed data collection </w:t>
      </w:r>
      <w:r w:rsidR="00690F43" w:rsidRPr="00690F43">
        <w:rPr>
          <w:rFonts w:ascii="Times New Roman" w:hAnsi="Times New Roman" w:cs="Times New Roman"/>
          <w:sz w:val="22"/>
          <w:szCs w:val="22"/>
        </w:rPr>
        <w:t>activities</w:t>
      </w:r>
      <w:r w:rsidR="009A2278" w:rsidRPr="00690F43">
        <w:rPr>
          <w:rFonts w:ascii="Times New Roman" w:hAnsi="Times New Roman" w:cs="Times New Roman"/>
          <w:sz w:val="22"/>
          <w:szCs w:val="22"/>
        </w:rPr>
        <w:t xml:space="preserve"> to public law and </w:t>
      </w:r>
      <w:r w:rsidR="008862EF" w:rsidRPr="00690F43">
        <w:rPr>
          <w:rFonts w:ascii="Times New Roman" w:hAnsi="Times New Roman" w:cs="Times New Roman"/>
          <w:sz w:val="22"/>
          <w:szCs w:val="22"/>
        </w:rPr>
        <w:t xml:space="preserve">to </w:t>
      </w:r>
      <w:r w:rsidR="00426523" w:rsidRPr="00690F43">
        <w:rPr>
          <w:rFonts w:ascii="Times New Roman" w:hAnsi="Times New Roman" w:cs="Times New Roman"/>
          <w:sz w:val="22"/>
          <w:szCs w:val="22"/>
        </w:rPr>
        <w:t>required activities</w:t>
      </w:r>
      <w:r w:rsidR="009A2278" w:rsidRPr="00690F43">
        <w:rPr>
          <w:rFonts w:ascii="Times New Roman" w:hAnsi="Times New Roman" w:cs="Times New Roman"/>
          <w:sz w:val="22"/>
          <w:szCs w:val="22"/>
        </w:rPr>
        <w:t xml:space="preserve"> delineated in the implementation grant request for application (RFA) </w:t>
      </w:r>
      <w:r w:rsidR="00071685">
        <w:rPr>
          <w:rFonts w:ascii="Times New Roman" w:hAnsi="Times New Roman" w:cs="Times New Roman"/>
          <w:sz w:val="22"/>
          <w:szCs w:val="22"/>
        </w:rPr>
        <w:t xml:space="preserve">(based on </w:t>
      </w:r>
      <w:r w:rsidR="00071685" w:rsidRPr="00071685">
        <w:rPr>
          <w:rFonts w:ascii="Times New Roman" w:hAnsi="Times New Roman" w:cs="Times New Roman"/>
          <w:sz w:val="22"/>
          <w:szCs w:val="22"/>
        </w:rPr>
        <w:t xml:space="preserve">the </w:t>
      </w:r>
      <w:r w:rsidR="00164B94" w:rsidRPr="00071685">
        <w:rPr>
          <w:rFonts w:ascii="Times New Roman" w:hAnsi="Times New Roman" w:cs="Times New Roman"/>
          <w:sz w:val="22"/>
          <w:szCs w:val="22"/>
        </w:rPr>
        <w:t>FY 2</w:t>
      </w:r>
      <w:r w:rsidR="009A2278" w:rsidRPr="00071685">
        <w:rPr>
          <w:rFonts w:ascii="Times New Roman" w:hAnsi="Times New Roman" w:cs="Times New Roman"/>
          <w:sz w:val="22"/>
          <w:szCs w:val="22"/>
        </w:rPr>
        <w:t>01</w:t>
      </w:r>
      <w:r w:rsidR="00426523" w:rsidRPr="00071685">
        <w:rPr>
          <w:rFonts w:ascii="Times New Roman" w:hAnsi="Times New Roman" w:cs="Times New Roman"/>
          <w:sz w:val="22"/>
          <w:szCs w:val="22"/>
        </w:rPr>
        <w:t>3</w:t>
      </w:r>
      <w:r w:rsidR="009A2278" w:rsidRPr="00071685">
        <w:rPr>
          <w:rFonts w:ascii="Times New Roman" w:hAnsi="Times New Roman" w:cs="Times New Roman"/>
          <w:sz w:val="22"/>
          <w:szCs w:val="22"/>
        </w:rPr>
        <w:t xml:space="preserve"> </w:t>
      </w:r>
      <w:r w:rsidR="00071685" w:rsidRPr="00E16790">
        <w:rPr>
          <w:rFonts w:ascii="Times New Roman" w:hAnsi="Times New Roman" w:cs="Times New Roman"/>
          <w:sz w:val="22"/>
          <w:szCs w:val="22"/>
        </w:rPr>
        <w:t>application)</w:t>
      </w:r>
      <w:r w:rsidR="009A2278" w:rsidRPr="00071685">
        <w:rPr>
          <w:rFonts w:ascii="Times New Roman" w:hAnsi="Times New Roman" w:cs="Times New Roman"/>
          <w:sz w:val="22"/>
          <w:szCs w:val="22"/>
        </w:rPr>
        <w:t>.</w:t>
      </w:r>
      <w:r w:rsidR="00795716" w:rsidRPr="00071685">
        <w:rPr>
          <w:rFonts w:ascii="Times New Roman" w:hAnsi="Times New Roman" w:cs="Times New Roman"/>
          <w:sz w:val="22"/>
          <w:szCs w:val="22"/>
        </w:rPr>
        <w:t xml:space="preserve"> In addition</w:t>
      </w:r>
      <w:r w:rsidR="00795716" w:rsidRPr="00D87880">
        <w:rPr>
          <w:rFonts w:ascii="Times New Roman" w:hAnsi="Times New Roman" w:cs="Times New Roman"/>
          <w:sz w:val="22"/>
          <w:szCs w:val="22"/>
        </w:rPr>
        <w:t xml:space="preserve">, </w:t>
      </w:r>
      <w:r w:rsidR="00545D7B">
        <w:rPr>
          <w:rFonts w:ascii="Times New Roman" w:hAnsi="Times New Roman" w:cs="Times New Roman"/>
          <w:sz w:val="22"/>
          <w:szCs w:val="22"/>
        </w:rPr>
        <w:t xml:space="preserve">the </w:t>
      </w:r>
      <w:r w:rsidR="00795716" w:rsidRPr="00D87880">
        <w:rPr>
          <w:rFonts w:ascii="Times New Roman" w:hAnsi="Times New Roman" w:cs="Times New Roman"/>
          <w:sz w:val="22"/>
          <w:szCs w:val="22"/>
        </w:rPr>
        <w:t>Evaluation address</w:t>
      </w:r>
      <w:r w:rsidR="00545D7B">
        <w:rPr>
          <w:rFonts w:ascii="Times New Roman" w:hAnsi="Times New Roman" w:cs="Times New Roman"/>
          <w:sz w:val="22"/>
          <w:szCs w:val="22"/>
        </w:rPr>
        <w:t>es</w:t>
      </w:r>
      <w:r w:rsidR="00795716" w:rsidRPr="00D87880">
        <w:rPr>
          <w:rFonts w:ascii="Times New Roman" w:hAnsi="Times New Roman" w:cs="Times New Roman"/>
          <w:sz w:val="22"/>
          <w:szCs w:val="22"/>
        </w:rPr>
        <w:t xml:space="preserve"> </w:t>
      </w:r>
      <w:r w:rsidR="00667AED">
        <w:rPr>
          <w:rFonts w:ascii="Times New Roman" w:hAnsi="Times New Roman" w:cs="Times New Roman"/>
          <w:sz w:val="22"/>
          <w:szCs w:val="22"/>
        </w:rPr>
        <w:t xml:space="preserve">the </w:t>
      </w:r>
      <w:r w:rsidR="00795716" w:rsidRPr="00D87880">
        <w:rPr>
          <w:rFonts w:ascii="Times New Roman" w:hAnsi="Times New Roman" w:cs="Times New Roman"/>
          <w:sz w:val="22"/>
          <w:szCs w:val="22"/>
        </w:rPr>
        <w:t xml:space="preserve">RFA requirement that grantees conduct </w:t>
      </w:r>
      <w:r w:rsidR="00B027F1" w:rsidRPr="00D87880">
        <w:rPr>
          <w:rFonts w:ascii="Times New Roman" w:hAnsi="Times New Roman" w:cs="Times New Roman"/>
          <w:sz w:val="22"/>
          <w:szCs w:val="22"/>
        </w:rPr>
        <w:t>Data Collection &amp; Performance Measurement</w:t>
      </w:r>
      <w:r w:rsidR="00795716" w:rsidRPr="00D87880">
        <w:rPr>
          <w:rFonts w:ascii="Times New Roman" w:hAnsi="Times New Roman" w:cs="Times New Roman"/>
          <w:sz w:val="22"/>
          <w:szCs w:val="22"/>
        </w:rPr>
        <w:t xml:space="preserve"> as well as </w:t>
      </w:r>
      <w:r w:rsidR="00B027F1" w:rsidRPr="00D87880">
        <w:rPr>
          <w:rFonts w:ascii="Times New Roman" w:hAnsi="Times New Roman" w:cs="Times New Roman"/>
          <w:sz w:val="22"/>
          <w:szCs w:val="22"/>
        </w:rPr>
        <w:t>Performance Assessment</w:t>
      </w:r>
      <w:r w:rsidR="00795716" w:rsidRPr="00D87880">
        <w:rPr>
          <w:rFonts w:ascii="Times New Roman" w:hAnsi="Times New Roman" w:cs="Times New Roman"/>
          <w:sz w:val="22"/>
          <w:szCs w:val="22"/>
        </w:rPr>
        <w:t>.</w:t>
      </w:r>
    </w:p>
    <w:p w14:paraId="3997B0C7" w14:textId="676A379C" w:rsidR="007A6351" w:rsidRPr="00D87880" w:rsidRDefault="007A6351" w:rsidP="007F6993">
      <w:pPr>
        <w:spacing w:after="0" w:line="240" w:lineRule="auto"/>
        <w:rPr>
          <w:rFonts w:ascii="Times New Roman" w:hAnsi="Times New Roman" w:cs="Times New Roman"/>
          <w:b/>
          <w:sz w:val="22"/>
          <w:szCs w:val="22"/>
        </w:rPr>
      </w:pPr>
      <w:r w:rsidRPr="00D87880">
        <w:rPr>
          <w:rFonts w:ascii="Times New Roman" w:hAnsi="Times New Roman" w:cs="Times New Roman"/>
          <w:b/>
          <w:sz w:val="22"/>
          <w:szCs w:val="22"/>
        </w:rPr>
        <w:t xml:space="preserve">Table </w:t>
      </w:r>
      <w:r w:rsidR="00E66653">
        <w:rPr>
          <w:rFonts w:ascii="Times New Roman" w:hAnsi="Times New Roman" w:cs="Times New Roman"/>
          <w:b/>
          <w:sz w:val="22"/>
          <w:szCs w:val="22"/>
        </w:rPr>
        <w:t>3</w:t>
      </w:r>
      <w:r w:rsidRPr="00D87880">
        <w:rPr>
          <w:rFonts w:ascii="Times New Roman" w:hAnsi="Times New Roman" w:cs="Times New Roman"/>
          <w:b/>
          <w:sz w:val="22"/>
          <w:szCs w:val="22"/>
        </w:rPr>
        <w:t xml:space="preserve">. Purpose of </w:t>
      </w:r>
      <w:r w:rsidR="001E0B1C">
        <w:rPr>
          <w:rFonts w:ascii="Times New Roman" w:hAnsi="Times New Roman" w:cs="Times New Roman"/>
          <w:b/>
          <w:sz w:val="22"/>
          <w:szCs w:val="22"/>
        </w:rPr>
        <w:t>data collection activities</w:t>
      </w:r>
      <w:r w:rsidRPr="00D87880">
        <w:rPr>
          <w:rFonts w:ascii="Times New Roman" w:hAnsi="Times New Roman" w:cs="Times New Roman"/>
          <w:b/>
          <w:sz w:val="22"/>
          <w:szCs w:val="22"/>
        </w:rPr>
        <w:t xml:space="preserve"> relative to public law and </w:t>
      </w:r>
      <w:r w:rsidR="00200530" w:rsidRPr="00D87880">
        <w:rPr>
          <w:rFonts w:ascii="Times New Roman" w:hAnsi="Times New Roman" w:cs="Times New Roman"/>
          <w:b/>
          <w:sz w:val="22"/>
          <w:szCs w:val="22"/>
        </w:rPr>
        <w:t>activities required of grantees</w:t>
      </w:r>
      <w:r w:rsidRPr="00D87880">
        <w:rPr>
          <w:rFonts w:ascii="Times New Roman" w:hAnsi="Times New Roman" w:cs="Times New Roman"/>
          <w:b/>
          <w:sz w:val="22"/>
          <w:szCs w:val="22"/>
        </w:rPr>
        <w:t xml:space="preserve"> </w:t>
      </w:r>
    </w:p>
    <w:tbl>
      <w:tblPr>
        <w:tblW w:w="0" w:type="auto"/>
        <w:jc w:val="center"/>
        <w:tblCellMar>
          <w:top w:w="29" w:type="dxa"/>
          <w:left w:w="43" w:type="dxa"/>
          <w:bottom w:w="29" w:type="dxa"/>
          <w:right w:w="43" w:type="dxa"/>
        </w:tblCellMar>
        <w:tblLook w:val="04A0" w:firstRow="1" w:lastRow="0" w:firstColumn="1" w:lastColumn="0" w:noHBand="0" w:noVBand="1"/>
      </w:tblPr>
      <w:tblGrid>
        <w:gridCol w:w="1616"/>
        <w:gridCol w:w="4229"/>
        <w:gridCol w:w="3616"/>
      </w:tblGrid>
      <w:tr w:rsidR="00D87880" w:rsidRPr="00D87880" w14:paraId="6612FA24" w14:textId="77777777" w:rsidTr="00540C94">
        <w:trPr>
          <w:cantSplit/>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9" w:type="dxa"/>
              <w:left w:w="58" w:type="dxa"/>
              <w:bottom w:w="29" w:type="dxa"/>
              <w:right w:w="58" w:type="dxa"/>
            </w:tcMar>
            <w:vAlign w:val="center"/>
          </w:tcPr>
          <w:p w14:paraId="0B6592EB" w14:textId="653D8183" w:rsidR="007A6351" w:rsidRPr="00D87880" w:rsidRDefault="001E0B1C" w:rsidP="00D2642C">
            <w:pPr>
              <w:spacing w:after="0" w:line="240" w:lineRule="auto"/>
              <w:ind w:right="132"/>
              <w:jc w:val="center"/>
              <w:rPr>
                <w:rFonts w:ascii="Arial" w:eastAsia="Calibri" w:hAnsi="Arial" w:cs="Arial"/>
              </w:rPr>
            </w:pPr>
            <w:r>
              <w:rPr>
                <w:rFonts w:ascii="Arial" w:hAnsi="Arial" w:cs="Arial"/>
                <w:b/>
                <w:bCs/>
              </w:rPr>
              <w:t>Data collection</w:t>
            </w:r>
          </w:p>
        </w:tc>
        <w:tc>
          <w:tcPr>
            <w:tcW w:w="4229" w:type="dxa"/>
            <w:tcBorders>
              <w:top w:val="single" w:sz="8" w:space="0" w:color="000000"/>
              <w:left w:val="nil"/>
              <w:bottom w:val="single" w:sz="8" w:space="0" w:color="000000"/>
              <w:right w:val="single" w:sz="8" w:space="0" w:color="000000"/>
            </w:tcBorders>
            <w:shd w:val="clear" w:color="auto" w:fill="D9D9D9" w:themeFill="background1" w:themeFillShade="D9"/>
            <w:tcMar>
              <w:top w:w="29" w:type="dxa"/>
              <w:left w:w="58" w:type="dxa"/>
              <w:bottom w:w="29" w:type="dxa"/>
              <w:right w:w="58" w:type="dxa"/>
            </w:tcMar>
            <w:vAlign w:val="center"/>
          </w:tcPr>
          <w:p w14:paraId="52C205EE" w14:textId="039E72A8" w:rsidR="007A6351" w:rsidRPr="00D87880" w:rsidRDefault="007A6351" w:rsidP="00667AED">
            <w:pPr>
              <w:spacing w:after="0" w:line="240" w:lineRule="auto"/>
              <w:ind w:right="132"/>
              <w:jc w:val="center"/>
              <w:rPr>
                <w:rFonts w:ascii="Arial" w:eastAsia="Calibri" w:hAnsi="Arial" w:cs="Arial"/>
                <w:b/>
                <w:bCs/>
              </w:rPr>
            </w:pPr>
            <w:r w:rsidRPr="00D87880">
              <w:rPr>
                <w:rFonts w:ascii="Arial" w:eastAsia="Calibri" w:hAnsi="Arial" w:cs="Arial"/>
                <w:b/>
                <w:bCs/>
              </w:rPr>
              <w:t xml:space="preserve">Public </w:t>
            </w:r>
            <w:r w:rsidR="00667AED">
              <w:rPr>
                <w:rFonts w:ascii="Arial" w:eastAsia="Calibri" w:hAnsi="Arial" w:cs="Arial"/>
                <w:b/>
                <w:bCs/>
              </w:rPr>
              <w:t>Health Services Act Requirements</w:t>
            </w:r>
          </w:p>
        </w:tc>
        <w:tc>
          <w:tcPr>
            <w:tcW w:w="3616"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237F4F53" w14:textId="2A5A8CCB" w:rsidR="007A6351" w:rsidRPr="00D87880" w:rsidRDefault="007A6351" w:rsidP="00472B60">
            <w:pPr>
              <w:spacing w:after="0" w:line="240" w:lineRule="auto"/>
              <w:ind w:right="132"/>
              <w:jc w:val="center"/>
              <w:rPr>
                <w:rFonts w:ascii="Arial" w:eastAsia="Calibri" w:hAnsi="Arial" w:cs="Arial"/>
                <w:b/>
                <w:bCs/>
              </w:rPr>
            </w:pPr>
            <w:r w:rsidRPr="00D87880">
              <w:rPr>
                <w:rFonts w:ascii="Arial" w:eastAsia="Calibri" w:hAnsi="Arial" w:cs="Arial"/>
                <w:b/>
                <w:bCs/>
              </w:rPr>
              <w:t>Implementation Grant RFA</w:t>
            </w:r>
            <w:r w:rsidR="00667AED">
              <w:rPr>
                <w:rFonts w:ascii="Arial" w:eastAsia="Calibri" w:hAnsi="Arial" w:cs="Arial"/>
                <w:b/>
                <w:bCs/>
              </w:rPr>
              <w:t xml:space="preserve"> Required Activities</w:t>
            </w:r>
          </w:p>
        </w:tc>
      </w:tr>
      <w:tr w:rsidR="00D87880" w:rsidRPr="00D87880" w14:paraId="03E891ED" w14:textId="77777777" w:rsidTr="00540C94">
        <w:trPr>
          <w:trHeight w:val="30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vAlign w:val="center"/>
          </w:tcPr>
          <w:p w14:paraId="011332DD" w14:textId="7C7D1FA3" w:rsidR="007A6351" w:rsidRPr="00D87880" w:rsidRDefault="0077206D" w:rsidP="00472B60">
            <w:pPr>
              <w:spacing w:after="0" w:line="240" w:lineRule="auto"/>
              <w:ind w:right="132"/>
              <w:rPr>
                <w:rFonts w:ascii="Arial" w:eastAsia="Calibri" w:hAnsi="Arial" w:cs="Arial"/>
              </w:rPr>
            </w:pPr>
            <w:r>
              <w:rPr>
                <w:rFonts w:ascii="Arial" w:eastAsia="Calibri" w:hAnsi="Arial" w:cs="Arial"/>
              </w:rPr>
              <w:t>Stakeholder interviews</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14:paraId="5892FE75" w14:textId="77777777" w:rsidR="007A6351" w:rsidRPr="00C93852" w:rsidRDefault="007A6351" w:rsidP="00472B60">
            <w:pPr>
              <w:spacing w:after="0" w:line="240" w:lineRule="auto"/>
              <w:ind w:right="132"/>
              <w:rPr>
                <w:rFonts w:ascii="Arial" w:hAnsi="Arial" w:cs="Arial"/>
              </w:rPr>
            </w:pPr>
            <w:r w:rsidRPr="00D87880">
              <w:rPr>
                <w:rFonts w:ascii="Arial" w:eastAsia="Calibri" w:hAnsi="Arial" w:cs="Arial"/>
                <w:b/>
                <w:bCs/>
              </w:rPr>
              <w:t>562(a)(3)</w:t>
            </w:r>
            <w:r w:rsidR="00C21415" w:rsidRPr="00D87880">
              <w:rPr>
                <w:rFonts w:ascii="Arial" w:eastAsia="Calibri" w:hAnsi="Arial" w:cs="Arial"/>
                <w:b/>
                <w:bCs/>
              </w:rPr>
              <w:t>:</w:t>
            </w:r>
            <w:r w:rsidR="00862178" w:rsidRPr="00D87880">
              <w:rPr>
                <w:rFonts w:ascii="Arial" w:eastAsia="Calibri" w:hAnsi="Arial" w:cs="Arial"/>
                <w:b/>
                <w:bCs/>
              </w:rPr>
              <w:t xml:space="preserve"> </w:t>
            </w:r>
            <w:r w:rsidR="008968E0" w:rsidRPr="00D87880">
              <w:rPr>
                <w:rFonts w:ascii="Arial" w:eastAsia="Calibri" w:hAnsi="Arial" w:cs="Arial"/>
                <w:bCs/>
              </w:rPr>
              <w:t>S</w:t>
            </w:r>
            <w:r w:rsidRPr="00D87880">
              <w:rPr>
                <w:rFonts w:ascii="Arial" w:hAnsi="Arial" w:cs="Arial"/>
              </w:rPr>
              <w:t>eek collaboration among all public</w:t>
            </w:r>
            <w:r w:rsidR="00F44749" w:rsidRPr="00D87880">
              <w:rPr>
                <w:rFonts w:ascii="Arial" w:hAnsi="Arial" w:cs="Arial"/>
              </w:rPr>
              <w:t xml:space="preserve"> </w:t>
            </w:r>
            <w:r w:rsidRPr="00D87880">
              <w:rPr>
                <w:rFonts w:ascii="Arial" w:hAnsi="Arial" w:cs="Arial"/>
              </w:rPr>
              <w:t>human service</w:t>
            </w:r>
            <w:r w:rsidR="00F44749" w:rsidRPr="00D87880">
              <w:rPr>
                <w:rFonts w:ascii="Arial" w:hAnsi="Arial" w:cs="Arial"/>
              </w:rPr>
              <w:t xml:space="preserve"> agencie</w:t>
            </w:r>
            <w:r w:rsidRPr="00D87880">
              <w:rPr>
                <w:rFonts w:ascii="Arial" w:hAnsi="Arial" w:cs="Arial"/>
              </w:rPr>
              <w:t>s in the community inc</w:t>
            </w:r>
            <w:r w:rsidR="00F44749" w:rsidRPr="00D87880">
              <w:rPr>
                <w:rFonts w:ascii="Arial" w:hAnsi="Arial" w:cs="Arial"/>
              </w:rPr>
              <w:t>l</w:t>
            </w:r>
            <w:r w:rsidRPr="00D87880">
              <w:rPr>
                <w:rFonts w:ascii="Arial" w:hAnsi="Arial" w:cs="Arial"/>
              </w:rPr>
              <w:t xml:space="preserve">uding </w:t>
            </w:r>
            <w:r w:rsidR="0022419A" w:rsidRPr="00D87880">
              <w:rPr>
                <w:rFonts w:ascii="Arial" w:hAnsi="Arial" w:cs="Arial"/>
              </w:rPr>
              <w:t xml:space="preserve">MH, </w:t>
            </w:r>
            <w:r w:rsidRPr="00C93852">
              <w:rPr>
                <w:rFonts w:ascii="Arial" w:hAnsi="Arial" w:cs="Arial"/>
              </w:rPr>
              <w:t xml:space="preserve">educational, child welfare, </w:t>
            </w:r>
            <w:r w:rsidR="0022419A" w:rsidRPr="00C93852">
              <w:rPr>
                <w:rFonts w:ascii="Arial" w:hAnsi="Arial" w:cs="Arial"/>
              </w:rPr>
              <w:t xml:space="preserve">and </w:t>
            </w:r>
            <w:r w:rsidRPr="00C93852">
              <w:rPr>
                <w:rFonts w:ascii="Arial" w:hAnsi="Arial" w:cs="Arial"/>
              </w:rPr>
              <w:t>juvenile justice services.</w:t>
            </w:r>
          </w:p>
          <w:p w14:paraId="1A38B4DC" w14:textId="2652C783" w:rsidR="007A6351" w:rsidRPr="00D87880" w:rsidRDefault="00426523" w:rsidP="00C93852">
            <w:pPr>
              <w:spacing w:after="0" w:line="240" w:lineRule="auto"/>
              <w:rPr>
                <w:rFonts w:ascii="Arial" w:hAnsi="Arial" w:cs="Arial"/>
              </w:rPr>
            </w:pPr>
            <w:r w:rsidRPr="00C93852">
              <w:rPr>
                <w:rFonts w:ascii="Arial" w:hAnsi="Arial" w:cs="Arial"/>
                <w:b/>
              </w:rPr>
              <w:t>562(2)(a-e</w:t>
            </w:r>
            <w:r w:rsidR="007A6351" w:rsidRPr="00C93852">
              <w:rPr>
                <w:rFonts w:ascii="Arial" w:hAnsi="Arial" w:cs="Arial"/>
                <w:b/>
              </w:rPr>
              <w:t>)</w:t>
            </w:r>
            <w:r w:rsidR="00C21415" w:rsidRPr="00C93852">
              <w:rPr>
                <w:rFonts w:ascii="Arial" w:hAnsi="Arial" w:cs="Arial"/>
                <w:b/>
              </w:rPr>
              <w:t>:</w:t>
            </w:r>
            <w:r w:rsidR="00862178" w:rsidRPr="00C93852">
              <w:rPr>
                <w:rFonts w:ascii="Arial" w:hAnsi="Arial" w:cs="Arial"/>
                <w:b/>
              </w:rPr>
              <w:t xml:space="preserve"> </w:t>
            </w:r>
            <w:r w:rsidR="00C5773F" w:rsidRPr="00C93852">
              <w:rPr>
                <w:rFonts w:ascii="Arial" w:hAnsi="Arial" w:cs="Arial"/>
              </w:rPr>
              <w:t>Provide</w:t>
            </w:r>
            <w:r w:rsidR="00C5773F" w:rsidRPr="00C93852">
              <w:rPr>
                <w:rFonts w:ascii="Arial" w:hAnsi="Arial" w:cs="Arial"/>
                <w:b/>
              </w:rPr>
              <w:t xml:space="preserve"> </w:t>
            </w:r>
            <w:r w:rsidR="00E644A6" w:rsidRPr="00C93852">
              <w:rPr>
                <w:rFonts w:ascii="Arial" w:hAnsi="Arial" w:cs="Arial"/>
              </w:rPr>
              <w:t xml:space="preserve">culturally appropriate </w:t>
            </w:r>
            <w:r w:rsidR="007A6351" w:rsidRPr="00C93852">
              <w:rPr>
                <w:rFonts w:ascii="Arial" w:hAnsi="Arial" w:cs="Arial"/>
              </w:rPr>
              <w:t xml:space="preserve">services </w:t>
            </w:r>
            <w:r w:rsidR="00C93852" w:rsidRPr="00C93852">
              <w:rPr>
                <w:rFonts w:ascii="Arial" w:hAnsi="Arial" w:cs="Arial"/>
              </w:rPr>
              <w:t>within the SOC</w:t>
            </w:r>
            <w:r w:rsidR="00862178" w:rsidRPr="00C93852">
              <w:rPr>
                <w:rFonts w:ascii="Arial" w:hAnsi="Arial" w:cs="Arial"/>
              </w:rPr>
              <w:t xml:space="preserve"> </w:t>
            </w:r>
            <w:r w:rsidR="007A6351" w:rsidRPr="00C93852">
              <w:rPr>
                <w:rFonts w:ascii="Arial" w:hAnsi="Arial" w:cs="Arial"/>
              </w:rPr>
              <w:t>without discrimination</w:t>
            </w:r>
            <w:r w:rsidR="007A6351" w:rsidRPr="00D87880">
              <w:rPr>
                <w:rFonts w:ascii="Arial" w:hAnsi="Arial" w:cs="Arial"/>
              </w:rPr>
              <w:t xml:space="preserve"> </w:t>
            </w:r>
            <w:r w:rsidR="008757B3" w:rsidRPr="00D87880">
              <w:rPr>
                <w:rFonts w:ascii="Arial" w:hAnsi="Arial" w:cs="Arial"/>
              </w:rPr>
              <w:t xml:space="preserve">and </w:t>
            </w:r>
            <w:r w:rsidR="007A6351" w:rsidRPr="00D87880">
              <w:rPr>
                <w:rFonts w:ascii="Arial" w:hAnsi="Arial" w:cs="Arial"/>
              </w:rPr>
              <w:t>in the least restrictive, most normative environment</w:t>
            </w:r>
            <w:r w:rsidR="008757B3" w:rsidRPr="00D87880">
              <w:rPr>
                <w:rFonts w:ascii="Arial" w:hAnsi="Arial" w:cs="Arial"/>
              </w:rPr>
              <w:t>.</w:t>
            </w:r>
            <w:r w:rsidR="00862178" w:rsidRPr="00D87880">
              <w:rPr>
                <w:rFonts w:ascii="Arial" w:hAnsi="Arial" w:cs="Arial"/>
              </w:rPr>
              <w:t xml:space="preserve"> </w:t>
            </w:r>
            <w:r w:rsidR="008757B3" w:rsidRPr="00D87880">
              <w:rPr>
                <w:rFonts w:ascii="Arial" w:hAnsi="Arial" w:cs="Arial"/>
              </w:rPr>
              <w:t>P</w:t>
            </w:r>
            <w:r w:rsidR="007A6351" w:rsidRPr="00D87880">
              <w:rPr>
                <w:rFonts w:ascii="Arial" w:hAnsi="Arial" w:cs="Arial"/>
              </w:rPr>
              <w:t xml:space="preserve">rovide outreach </w:t>
            </w:r>
            <w:r w:rsidR="008757B3" w:rsidRPr="00D87880">
              <w:rPr>
                <w:rFonts w:ascii="Arial" w:hAnsi="Arial" w:cs="Arial"/>
              </w:rPr>
              <w:t>regarding available</w:t>
            </w:r>
            <w:r w:rsidR="007A6351" w:rsidRPr="00D87880">
              <w:rPr>
                <w:rFonts w:ascii="Arial" w:hAnsi="Arial" w:cs="Arial"/>
              </w:rPr>
              <w:t xml:space="preserve"> services</w:t>
            </w:r>
            <w:r w:rsidR="008757B3" w:rsidRPr="00D87880">
              <w:rPr>
                <w:rFonts w:ascii="Arial" w:hAnsi="Arial" w:cs="Arial"/>
              </w:rPr>
              <w:t xml:space="preserve"> and identify</w:t>
            </w:r>
            <w:r w:rsidR="007A6351" w:rsidRPr="00D87880">
              <w:rPr>
                <w:rFonts w:ascii="Arial" w:hAnsi="Arial" w:cs="Arial"/>
              </w:rPr>
              <w:t xml:space="preserve"> children with Serious Emotional Disturbance </w:t>
            </w:r>
            <w:r w:rsidR="007E61DC" w:rsidRPr="00D87880">
              <w:rPr>
                <w:rFonts w:ascii="Arial" w:hAnsi="Arial" w:cs="Arial"/>
              </w:rPr>
              <w:t xml:space="preserve">(SED) </w:t>
            </w:r>
            <w:r w:rsidR="008757B3" w:rsidRPr="00D87880">
              <w:rPr>
                <w:rFonts w:ascii="Arial" w:hAnsi="Arial" w:cs="Arial"/>
              </w:rPr>
              <w:t>early.</w:t>
            </w:r>
          </w:p>
        </w:tc>
        <w:tc>
          <w:tcPr>
            <w:tcW w:w="3616" w:type="dxa"/>
            <w:tcBorders>
              <w:top w:val="single" w:sz="8" w:space="0" w:color="000000"/>
              <w:left w:val="nil"/>
              <w:bottom w:val="single" w:sz="8" w:space="0" w:color="000000"/>
              <w:right w:val="single" w:sz="8" w:space="0" w:color="000000"/>
            </w:tcBorders>
            <w:shd w:val="clear" w:color="auto" w:fill="auto"/>
          </w:tcPr>
          <w:p w14:paraId="0C7F1F83" w14:textId="77777777" w:rsidR="007A6351" w:rsidRPr="00D87880" w:rsidRDefault="00B97139" w:rsidP="00472B60">
            <w:pPr>
              <w:spacing w:after="0" w:line="240" w:lineRule="auto"/>
              <w:ind w:right="132"/>
              <w:rPr>
                <w:rFonts w:ascii="Arial" w:eastAsia="Calibri" w:hAnsi="Arial" w:cs="Arial"/>
                <w:b/>
                <w:bCs/>
              </w:rPr>
            </w:pPr>
            <w:r w:rsidRPr="00D87880">
              <w:rPr>
                <w:rFonts w:ascii="Arial" w:hAnsi="Arial" w:cs="Arial"/>
              </w:rPr>
              <w:t>Use</w:t>
            </w:r>
            <w:r w:rsidR="007A6351" w:rsidRPr="00D87880">
              <w:rPr>
                <w:rFonts w:ascii="Arial" w:hAnsi="Arial" w:cs="Arial"/>
              </w:rPr>
              <w:t xml:space="preserve"> SOC values throughout planning and implementation</w:t>
            </w:r>
            <w:r w:rsidRPr="00D87880">
              <w:rPr>
                <w:rFonts w:ascii="Arial" w:hAnsi="Arial" w:cs="Arial"/>
              </w:rPr>
              <w:t xml:space="preserve"> including </w:t>
            </w:r>
            <w:r w:rsidR="007A6351" w:rsidRPr="00D87880">
              <w:rPr>
                <w:rFonts w:ascii="Arial" w:hAnsi="Arial" w:cs="Arial"/>
              </w:rPr>
              <w:t>meaningful involvement by families and youth in governance and planning and implementation activities, establishing policies, administrative, and regulatory structures that support ongoing SOC implementation, provisions to ensure that SOC services, policies and programs are culturally and linguistically accessible.</w:t>
            </w:r>
            <w:r w:rsidR="00862178" w:rsidRPr="00D87880">
              <w:rPr>
                <w:rFonts w:ascii="Arial" w:hAnsi="Arial" w:cs="Arial"/>
              </w:rPr>
              <w:t xml:space="preserve"> </w:t>
            </w:r>
          </w:p>
        </w:tc>
      </w:tr>
      <w:tr w:rsidR="00D87880" w:rsidRPr="00D87880" w14:paraId="69824F51" w14:textId="77777777" w:rsidTr="00540C94">
        <w:trPr>
          <w:trHeight w:val="30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vAlign w:val="center"/>
          </w:tcPr>
          <w:p w14:paraId="0C32E075" w14:textId="77777777" w:rsidR="007A6351" w:rsidRPr="002F5B9B" w:rsidRDefault="007A6351" w:rsidP="00472B60">
            <w:pPr>
              <w:spacing w:after="0" w:line="240" w:lineRule="auto"/>
              <w:ind w:right="132"/>
              <w:rPr>
                <w:rFonts w:ascii="Arial" w:eastAsia="Calibri" w:hAnsi="Arial" w:cs="Arial"/>
              </w:rPr>
            </w:pPr>
            <w:r w:rsidRPr="002F5B9B">
              <w:rPr>
                <w:rFonts w:ascii="Arial" w:eastAsia="Calibri" w:hAnsi="Arial" w:cs="Arial"/>
              </w:rPr>
              <w:t>Network Analysis Survey</w:t>
            </w:r>
            <w:r w:rsidR="004E1D48" w:rsidRPr="002F5B9B">
              <w:rPr>
                <w:rFonts w:ascii="Arial" w:eastAsia="Calibri" w:hAnsi="Arial" w:cs="Arial"/>
              </w:rPr>
              <w:t>s</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14:paraId="16D99431" w14:textId="6733A507" w:rsidR="007A6351" w:rsidRPr="00D87880" w:rsidRDefault="007A6351" w:rsidP="00472B60">
            <w:pPr>
              <w:spacing w:after="0" w:line="240" w:lineRule="auto"/>
              <w:ind w:right="132"/>
              <w:rPr>
                <w:rFonts w:ascii="Arial" w:hAnsi="Arial" w:cs="Arial"/>
              </w:rPr>
            </w:pPr>
            <w:r w:rsidRPr="00D87880">
              <w:rPr>
                <w:rFonts w:ascii="Arial" w:hAnsi="Arial" w:cs="Arial"/>
                <w:b/>
              </w:rPr>
              <w:t>562(a)(3)</w:t>
            </w:r>
            <w:r w:rsidR="00C21415" w:rsidRPr="00D87880">
              <w:rPr>
                <w:rFonts w:ascii="Arial" w:hAnsi="Arial" w:cs="Arial"/>
                <w:b/>
              </w:rPr>
              <w:t>:</w:t>
            </w:r>
            <w:r w:rsidR="00862178" w:rsidRPr="00D87880">
              <w:rPr>
                <w:rFonts w:ascii="Arial" w:hAnsi="Arial" w:cs="Arial"/>
                <w:b/>
              </w:rPr>
              <w:t xml:space="preserve"> </w:t>
            </w:r>
            <w:r w:rsidR="009B55D6" w:rsidRPr="00D87880">
              <w:rPr>
                <w:rFonts w:ascii="Arial" w:hAnsi="Arial" w:cs="Arial"/>
              </w:rPr>
              <w:t xml:space="preserve">as cited for </w:t>
            </w:r>
            <w:r w:rsidR="0077206D">
              <w:rPr>
                <w:rFonts w:ascii="Arial" w:hAnsi="Arial" w:cs="Arial"/>
              </w:rPr>
              <w:t>Stakeholder interviews</w:t>
            </w:r>
          </w:p>
        </w:tc>
        <w:tc>
          <w:tcPr>
            <w:tcW w:w="3616" w:type="dxa"/>
            <w:tcBorders>
              <w:top w:val="single" w:sz="8" w:space="0" w:color="000000"/>
              <w:left w:val="nil"/>
              <w:bottom w:val="single" w:sz="8" w:space="0" w:color="000000"/>
              <w:right w:val="single" w:sz="8" w:space="0" w:color="000000"/>
            </w:tcBorders>
            <w:shd w:val="clear" w:color="auto" w:fill="auto"/>
          </w:tcPr>
          <w:p w14:paraId="3416CB4E" w14:textId="3479F513" w:rsidR="004E1D48" w:rsidRPr="00D87880" w:rsidRDefault="00B97139" w:rsidP="00445998">
            <w:pPr>
              <w:spacing w:after="0" w:line="240" w:lineRule="auto"/>
              <w:ind w:right="130"/>
              <w:rPr>
                <w:rFonts w:ascii="Arial" w:eastAsia="Calibri" w:hAnsi="Arial" w:cs="Arial"/>
                <w:b/>
                <w:bCs/>
              </w:rPr>
            </w:pPr>
            <w:r w:rsidRPr="00D87880">
              <w:rPr>
                <w:rFonts w:ascii="Arial" w:hAnsi="Arial" w:cs="Arial"/>
              </w:rPr>
              <w:t>C</w:t>
            </w:r>
            <w:r w:rsidR="007A6351" w:rsidRPr="00D87880">
              <w:rPr>
                <w:rFonts w:ascii="Arial" w:hAnsi="Arial" w:cs="Arial"/>
              </w:rPr>
              <w:t>ollaborat</w:t>
            </w:r>
            <w:r w:rsidRPr="00D87880">
              <w:rPr>
                <w:rFonts w:ascii="Arial" w:hAnsi="Arial" w:cs="Arial"/>
              </w:rPr>
              <w:t>e</w:t>
            </w:r>
            <w:r w:rsidR="007A6351" w:rsidRPr="00D87880">
              <w:rPr>
                <w:rFonts w:ascii="Arial" w:hAnsi="Arial" w:cs="Arial"/>
              </w:rPr>
              <w:t xml:space="preserve"> across child serving agencies and among critical providers of programs including those serving you</w:t>
            </w:r>
            <w:r w:rsidR="00445998">
              <w:rPr>
                <w:rFonts w:ascii="Arial" w:hAnsi="Arial" w:cs="Arial"/>
              </w:rPr>
              <w:t>th</w:t>
            </w:r>
            <w:r w:rsidR="007A6351" w:rsidRPr="00D87880">
              <w:rPr>
                <w:rFonts w:ascii="Arial" w:hAnsi="Arial" w:cs="Arial"/>
              </w:rPr>
              <w:t xml:space="preserve"> nearing adulthood.</w:t>
            </w:r>
            <w:r w:rsidR="00862178" w:rsidRPr="00D87880">
              <w:rPr>
                <w:rFonts w:ascii="Arial" w:hAnsi="Arial" w:cs="Arial"/>
              </w:rPr>
              <w:t xml:space="preserve"> </w:t>
            </w:r>
          </w:p>
        </w:tc>
      </w:tr>
      <w:tr w:rsidR="00D87880" w:rsidRPr="00D87880" w14:paraId="22074A4F" w14:textId="77777777" w:rsidTr="00540C94">
        <w:trPr>
          <w:trHeight w:val="1148"/>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vAlign w:val="center"/>
          </w:tcPr>
          <w:p w14:paraId="2947253E" w14:textId="58C24464" w:rsidR="007A6351" w:rsidRPr="002F5B9B" w:rsidRDefault="003E3167" w:rsidP="00CD3362">
            <w:pPr>
              <w:spacing w:after="0" w:line="240" w:lineRule="auto"/>
              <w:ind w:right="132"/>
              <w:rPr>
                <w:rFonts w:ascii="Arial" w:eastAsia="Calibri" w:hAnsi="Arial" w:cs="Arial"/>
              </w:rPr>
            </w:pPr>
            <w:r w:rsidRPr="002F5B9B">
              <w:rPr>
                <w:rFonts w:ascii="Arial" w:eastAsia="Calibri" w:hAnsi="Arial" w:cs="Arial"/>
              </w:rPr>
              <w:t>Self-Ass</w:t>
            </w:r>
            <w:r w:rsidR="00D87880" w:rsidRPr="002F5B9B">
              <w:rPr>
                <w:rFonts w:ascii="Arial" w:eastAsia="Calibri" w:hAnsi="Arial" w:cs="Arial"/>
              </w:rPr>
              <w:t>mt</w:t>
            </w:r>
            <w:r w:rsidRPr="002F5B9B">
              <w:rPr>
                <w:rFonts w:ascii="Arial" w:eastAsia="Calibri" w:hAnsi="Arial" w:cs="Arial"/>
              </w:rPr>
              <w:t xml:space="preserve">. of </w:t>
            </w:r>
            <w:r w:rsidR="003D11A4">
              <w:rPr>
                <w:rFonts w:ascii="Arial" w:eastAsia="Calibri" w:hAnsi="Arial" w:cs="Arial"/>
              </w:rPr>
              <w:t>Implementation Survey</w:t>
            </w:r>
            <w:r w:rsidRPr="002F5B9B">
              <w:rPr>
                <w:rFonts w:ascii="Arial" w:eastAsia="Calibri" w:hAnsi="Arial" w:cs="Arial"/>
              </w:rPr>
              <w:t xml:space="preserve"> </w:t>
            </w:r>
            <w:r w:rsidR="00CD3362">
              <w:rPr>
                <w:rFonts w:ascii="Arial" w:eastAsia="Calibri" w:hAnsi="Arial" w:cs="Arial"/>
              </w:rPr>
              <w:t xml:space="preserve">(SAIS) </w:t>
            </w:r>
            <w:r w:rsidR="00CA3072" w:rsidRPr="002F5B9B">
              <w:rPr>
                <w:rFonts w:ascii="Arial" w:eastAsia="Calibri" w:hAnsi="Arial" w:cs="Arial"/>
              </w:rPr>
              <w:t>&amp;</w:t>
            </w:r>
            <w:r w:rsidR="003D11A4">
              <w:rPr>
                <w:rFonts w:ascii="Arial" w:eastAsia="Calibri" w:hAnsi="Arial" w:cs="Arial"/>
              </w:rPr>
              <w:t xml:space="preserve"> </w:t>
            </w:r>
            <w:r w:rsidR="00667AED">
              <w:rPr>
                <w:rFonts w:ascii="Arial" w:eastAsia="Calibri" w:hAnsi="Arial" w:cs="Arial"/>
              </w:rPr>
              <w:t>GIS</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14:paraId="296C821C" w14:textId="48D14C94" w:rsidR="007A6351" w:rsidRPr="00D87880" w:rsidRDefault="007A6351" w:rsidP="00472B60">
            <w:pPr>
              <w:spacing w:after="0" w:line="240" w:lineRule="auto"/>
              <w:ind w:right="132"/>
              <w:rPr>
                <w:rFonts w:ascii="Arial" w:eastAsia="Calibri" w:hAnsi="Arial" w:cs="Arial"/>
                <w:b/>
                <w:bCs/>
              </w:rPr>
            </w:pPr>
            <w:r w:rsidRPr="00D87880">
              <w:rPr>
                <w:rFonts w:ascii="Arial" w:eastAsia="Calibri" w:hAnsi="Arial" w:cs="Arial"/>
                <w:b/>
                <w:bCs/>
              </w:rPr>
              <w:t>564(b)</w:t>
            </w:r>
            <w:r w:rsidR="008768C6" w:rsidRPr="00D87880">
              <w:rPr>
                <w:rFonts w:ascii="Arial" w:eastAsia="Calibri" w:hAnsi="Arial" w:cs="Arial"/>
                <w:b/>
                <w:bCs/>
              </w:rPr>
              <w:t>:</w:t>
            </w:r>
            <w:r w:rsidR="00862178" w:rsidRPr="00D87880">
              <w:rPr>
                <w:rFonts w:ascii="Arial" w:eastAsia="Calibri" w:hAnsi="Arial" w:cs="Arial"/>
                <w:b/>
                <w:bCs/>
              </w:rPr>
              <w:t xml:space="preserve"> </w:t>
            </w:r>
            <w:r w:rsidR="008768C6" w:rsidRPr="00D87880">
              <w:rPr>
                <w:rFonts w:ascii="Arial" w:eastAsia="Calibri" w:hAnsi="Arial" w:cs="Arial"/>
                <w:bCs/>
              </w:rPr>
              <w:t>Pl</w:t>
            </w:r>
            <w:r w:rsidRPr="00D87880">
              <w:rPr>
                <w:rFonts w:ascii="Arial" w:eastAsia="Calibri" w:hAnsi="Arial" w:cs="Arial"/>
                <w:bCs/>
              </w:rPr>
              <w:t>an for the development of a jur</w:t>
            </w:r>
            <w:r w:rsidR="008768C6" w:rsidRPr="00D87880">
              <w:rPr>
                <w:rFonts w:ascii="Arial" w:eastAsia="Calibri" w:hAnsi="Arial" w:cs="Arial"/>
                <w:bCs/>
              </w:rPr>
              <w:t>is</w:t>
            </w:r>
            <w:r w:rsidRPr="00D87880">
              <w:rPr>
                <w:rFonts w:ascii="Arial" w:eastAsia="Calibri" w:hAnsi="Arial" w:cs="Arial"/>
                <w:bCs/>
              </w:rPr>
              <w:t xml:space="preserve">diction-wide </w:t>
            </w:r>
            <w:r w:rsidR="0022419A" w:rsidRPr="00D87880">
              <w:rPr>
                <w:rFonts w:ascii="Arial" w:eastAsia="Calibri" w:hAnsi="Arial" w:cs="Arial"/>
                <w:bCs/>
              </w:rPr>
              <w:t>SOC</w:t>
            </w:r>
            <w:r w:rsidRPr="00D87880">
              <w:rPr>
                <w:rFonts w:ascii="Arial" w:eastAsia="Calibri" w:hAnsi="Arial" w:cs="Arial"/>
                <w:bCs/>
              </w:rPr>
              <w:t xml:space="preserve"> for community based services for children with an </w:t>
            </w:r>
            <w:r w:rsidR="007E61DC" w:rsidRPr="00D87880">
              <w:rPr>
                <w:rFonts w:ascii="Arial" w:eastAsia="Calibri" w:hAnsi="Arial" w:cs="Arial"/>
                <w:bCs/>
              </w:rPr>
              <w:t>SED</w:t>
            </w:r>
            <w:r w:rsidRPr="00D87880">
              <w:rPr>
                <w:rFonts w:ascii="Arial" w:eastAsia="Calibri" w:hAnsi="Arial" w:cs="Arial"/>
                <w:bCs/>
              </w:rPr>
              <w:t xml:space="preserve">…and </w:t>
            </w:r>
            <w:r w:rsidR="008768C6" w:rsidRPr="00D87880">
              <w:rPr>
                <w:rFonts w:ascii="Arial" w:eastAsia="Calibri" w:hAnsi="Arial" w:cs="Arial"/>
                <w:bCs/>
              </w:rPr>
              <w:t xml:space="preserve">address </w:t>
            </w:r>
            <w:r w:rsidRPr="00D87880">
              <w:rPr>
                <w:rFonts w:ascii="Arial" w:eastAsia="Calibri" w:hAnsi="Arial" w:cs="Arial"/>
                <w:bCs/>
              </w:rPr>
              <w:t>current gaps in community services</w:t>
            </w:r>
            <w:r w:rsidR="00164B94">
              <w:rPr>
                <w:rFonts w:ascii="Arial" w:eastAsia="Calibri" w:hAnsi="Arial" w:cs="Arial"/>
                <w:bCs/>
              </w:rPr>
              <w:t>.</w:t>
            </w:r>
            <w:r w:rsidRPr="00D87880">
              <w:rPr>
                <w:rFonts w:ascii="Arial" w:eastAsia="Calibri" w:hAnsi="Arial" w:cs="Arial"/>
                <w:b/>
                <w:bCs/>
              </w:rPr>
              <w:t xml:space="preserve"> </w:t>
            </w:r>
          </w:p>
        </w:tc>
        <w:tc>
          <w:tcPr>
            <w:tcW w:w="3616" w:type="dxa"/>
            <w:tcBorders>
              <w:top w:val="single" w:sz="8" w:space="0" w:color="000000"/>
              <w:left w:val="nil"/>
              <w:bottom w:val="single" w:sz="8" w:space="0" w:color="000000"/>
              <w:right w:val="single" w:sz="8" w:space="0" w:color="000000"/>
            </w:tcBorders>
            <w:shd w:val="clear" w:color="auto" w:fill="auto"/>
          </w:tcPr>
          <w:p w14:paraId="42C823B2" w14:textId="77777777" w:rsidR="00EC07BB" w:rsidRPr="00D87880" w:rsidRDefault="00EC07BB" w:rsidP="00472B60">
            <w:pPr>
              <w:spacing w:after="0" w:line="240" w:lineRule="auto"/>
              <w:ind w:right="132"/>
              <w:rPr>
                <w:rFonts w:ascii="Arial" w:hAnsi="Arial" w:cs="Arial"/>
              </w:rPr>
            </w:pPr>
            <w:r w:rsidRPr="00D87880">
              <w:rPr>
                <w:rFonts w:ascii="Arial" w:hAnsi="Arial" w:cs="Arial"/>
              </w:rPr>
              <w:t>Comply with HHS action plan to reduce racial/ethnic health disparities.</w:t>
            </w:r>
          </w:p>
          <w:p w14:paraId="130E2DFF" w14:textId="77777777" w:rsidR="007A6351" w:rsidRPr="00D87880" w:rsidRDefault="007A6351" w:rsidP="00472B60">
            <w:pPr>
              <w:spacing w:after="0" w:line="240" w:lineRule="auto"/>
              <w:ind w:right="132"/>
              <w:rPr>
                <w:rFonts w:ascii="Arial" w:hAnsi="Arial" w:cs="Arial"/>
              </w:rPr>
            </w:pPr>
            <w:r w:rsidRPr="00D87880">
              <w:rPr>
                <w:rFonts w:ascii="Arial" w:hAnsi="Arial" w:cs="Arial"/>
                <w:i/>
              </w:rPr>
              <w:t>Program Purpose</w:t>
            </w:r>
            <w:r w:rsidR="00B97139" w:rsidRPr="00D87880">
              <w:rPr>
                <w:rFonts w:ascii="Arial" w:hAnsi="Arial" w:cs="Arial"/>
              </w:rPr>
              <w:t>:</w:t>
            </w:r>
            <w:r w:rsidR="00B97139" w:rsidRPr="00D87880">
              <w:rPr>
                <w:rFonts w:ascii="Arial" w:hAnsi="Arial" w:cs="Arial"/>
                <w:b/>
              </w:rPr>
              <w:t xml:space="preserve"> </w:t>
            </w:r>
            <w:r w:rsidR="00B97139" w:rsidRPr="00D87880">
              <w:rPr>
                <w:rFonts w:ascii="Arial" w:hAnsi="Arial" w:cs="Arial"/>
              </w:rPr>
              <w:t>E</w:t>
            </w:r>
            <w:r w:rsidRPr="00D87880">
              <w:rPr>
                <w:rFonts w:ascii="Arial" w:hAnsi="Arial" w:cs="Arial"/>
              </w:rPr>
              <w:t>xpand services across geographi</w:t>
            </w:r>
            <w:r w:rsidR="00D038FF" w:rsidRPr="00D87880">
              <w:rPr>
                <w:rFonts w:ascii="Arial" w:hAnsi="Arial" w:cs="Arial"/>
              </w:rPr>
              <w:t xml:space="preserve">c areas </w:t>
            </w:r>
            <w:r w:rsidR="00445998">
              <w:rPr>
                <w:rFonts w:ascii="Arial" w:hAnsi="Arial" w:cs="Arial"/>
              </w:rPr>
              <w:t xml:space="preserve">and population groups </w:t>
            </w:r>
            <w:r w:rsidR="00D038FF" w:rsidRPr="00D87880">
              <w:rPr>
                <w:rFonts w:ascii="Arial" w:hAnsi="Arial" w:cs="Arial"/>
              </w:rPr>
              <w:t>within the jurisdiction</w:t>
            </w:r>
            <w:r w:rsidR="00B97139" w:rsidRPr="00D87880">
              <w:rPr>
                <w:rFonts w:ascii="Arial" w:hAnsi="Arial" w:cs="Arial"/>
              </w:rPr>
              <w:t>.</w:t>
            </w:r>
          </w:p>
        </w:tc>
      </w:tr>
      <w:tr w:rsidR="00D87880" w:rsidRPr="00D87880" w14:paraId="546D79DF" w14:textId="77777777" w:rsidTr="00540C94">
        <w:trPr>
          <w:trHeight w:val="1445"/>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vAlign w:val="center"/>
          </w:tcPr>
          <w:p w14:paraId="0CBA74CC" w14:textId="77777777" w:rsidR="007A6351" w:rsidRPr="002F5B9B" w:rsidRDefault="007A6351" w:rsidP="00472B60">
            <w:pPr>
              <w:spacing w:after="0" w:line="240" w:lineRule="auto"/>
              <w:ind w:right="132"/>
              <w:rPr>
                <w:rFonts w:ascii="Arial" w:eastAsia="Calibri" w:hAnsi="Arial" w:cs="Arial"/>
              </w:rPr>
            </w:pPr>
            <w:r w:rsidRPr="002F5B9B">
              <w:rPr>
                <w:rFonts w:ascii="Arial" w:eastAsia="Calibri" w:hAnsi="Arial" w:cs="Arial"/>
              </w:rPr>
              <w:t xml:space="preserve">Financial Mapping Interview </w:t>
            </w:r>
          </w:p>
          <w:p w14:paraId="681F5D25" w14:textId="77777777" w:rsidR="007A6351" w:rsidRPr="002F5B9B" w:rsidRDefault="007A6351" w:rsidP="00472B60">
            <w:pPr>
              <w:spacing w:after="0" w:line="240" w:lineRule="auto"/>
              <w:ind w:right="132"/>
              <w:rPr>
                <w:rFonts w:ascii="Arial" w:eastAsia="Calibri" w:hAnsi="Arial" w:cs="Arial"/>
              </w:rPr>
            </w:pPr>
            <w:r w:rsidRPr="002F5B9B">
              <w:rPr>
                <w:rFonts w:ascii="Arial" w:eastAsia="Calibri" w:hAnsi="Arial" w:cs="Arial"/>
              </w:rPr>
              <w:t>Benchmark Tool</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14:paraId="164546A3" w14:textId="77777777" w:rsidR="007A6351" w:rsidRPr="00D87880" w:rsidRDefault="002F32F9" w:rsidP="00472B60">
            <w:pPr>
              <w:spacing w:after="0" w:line="240" w:lineRule="auto"/>
              <w:rPr>
                <w:rFonts w:ascii="Arial" w:hAnsi="Arial" w:cs="Arial"/>
              </w:rPr>
            </w:pPr>
            <w:r>
              <w:rPr>
                <w:rFonts w:ascii="Arial" w:hAnsi="Arial" w:cs="Arial"/>
                <w:b/>
                <w:bCs/>
              </w:rPr>
              <w:t>564(f) &amp; 565(c):</w:t>
            </w:r>
            <w:r w:rsidRPr="00D87880">
              <w:rPr>
                <w:rFonts w:ascii="Arial" w:hAnsi="Arial" w:cs="Arial"/>
              </w:rPr>
              <w:t xml:space="preserve"> </w:t>
            </w:r>
            <w:r w:rsidR="00B537C9" w:rsidRPr="00D87880">
              <w:rPr>
                <w:rFonts w:ascii="Arial" w:hAnsi="Arial" w:cs="Arial"/>
              </w:rPr>
              <w:t>S</w:t>
            </w:r>
            <w:r w:rsidR="007A6351" w:rsidRPr="00D87880">
              <w:rPr>
                <w:rFonts w:ascii="Arial" w:hAnsi="Arial" w:cs="Arial"/>
              </w:rPr>
              <w:t xml:space="preserve">ubmit </w:t>
            </w:r>
            <w:r w:rsidR="006331AF" w:rsidRPr="00D87880">
              <w:rPr>
                <w:rFonts w:ascii="Arial" w:hAnsi="Arial" w:cs="Arial"/>
              </w:rPr>
              <w:t xml:space="preserve">report </w:t>
            </w:r>
            <w:r w:rsidR="007A6351" w:rsidRPr="00D87880">
              <w:rPr>
                <w:rFonts w:ascii="Arial" w:hAnsi="Arial" w:cs="Arial"/>
              </w:rPr>
              <w:t xml:space="preserve">to Secretary </w:t>
            </w:r>
            <w:r w:rsidR="006331AF" w:rsidRPr="00D87880">
              <w:rPr>
                <w:rFonts w:ascii="Arial" w:hAnsi="Arial" w:cs="Arial"/>
              </w:rPr>
              <w:t>descri</w:t>
            </w:r>
            <w:r w:rsidR="004B4370" w:rsidRPr="00D87880">
              <w:rPr>
                <w:rFonts w:ascii="Arial" w:hAnsi="Arial" w:cs="Arial"/>
              </w:rPr>
              <w:t xml:space="preserve">bing </w:t>
            </w:r>
            <w:r w:rsidR="007A6351" w:rsidRPr="00D87880">
              <w:rPr>
                <w:rFonts w:ascii="Arial" w:hAnsi="Arial" w:cs="Arial"/>
              </w:rPr>
              <w:t xml:space="preserve">types and costs of services provided, availability and use of third-party reimbursements, estimates of unmet </w:t>
            </w:r>
            <w:r w:rsidR="00E14D3F" w:rsidRPr="00D87880">
              <w:rPr>
                <w:rFonts w:ascii="Arial" w:hAnsi="Arial" w:cs="Arial"/>
              </w:rPr>
              <w:t xml:space="preserve">service </w:t>
            </w:r>
            <w:r w:rsidR="007A6351" w:rsidRPr="00D87880">
              <w:rPr>
                <w:rFonts w:ascii="Arial" w:hAnsi="Arial" w:cs="Arial"/>
              </w:rPr>
              <w:t>need</w:t>
            </w:r>
            <w:r w:rsidR="00E14D3F" w:rsidRPr="00D87880">
              <w:rPr>
                <w:rFonts w:ascii="Arial" w:hAnsi="Arial" w:cs="Arial"/>
              </w:rPr>
              <w:t>s</w:t>
            </w:r>
            <w:r w:rsidR="007A6351" w:rsidRPr="00D87880">
              <w:rPr>
                <w:rFonts w:ascii="Arial" w:hAnsi="Arial" w:cs="Arial"/>
              </w:rPr>
              <w:t xml:space="preserve">, and the effect of activities on </w:t>
            </w:r>
            <w:r w:rsidR="006331AF" w:rsidRPr="00D87880">
              <w:rPr>
                <w:rFonts w:ascii="Arial" w:hAnsi="Arial" w:cs="Arial"/>
              </w:rPr>
              <w:t xml:space="preserve">hospital/institution </w:t>
            </w:r>
            <w:r w:rsidR="007A6351" w:rsidRPr="00D87880">
              <w:rPr>
                <w:rFonts w:ascii="Arial" w:hAnsi="Arial" w:cs="Arial"/>
              </w:rPr>
              <w:t xml:space="preserve">utilization </w:t>
            </w:r>
            <w:r w:rsidR="006331AF" w:rsidRPr="00D87880">
              <w:rPr>
                <w:rFonts w:ascii="Arial" w:hAnsi="Arial" w:cs="Arial"/>
              </w:rPr>
              <w:t>rates</w:t>
            </w:r>
            <w:r w:rsidR="00862178" w:rsidRPr="00D87880">
              <w:rPr>
                <w:rFonts w:ascii="Arial" w:hAnsi="Arial" w:cs="Arial"/>
              </w:rPr>
              <w:t>.</w:t>
            </w:r>
            <w:r w:rsidR="007A6351" w:rsidRPr="00D87880">
              <w:rPr>
                <w:rFonts w:ascii="Arial" w:hAnsi="Arial" w:cs="Arial"/>
              </w:rPr>
              <w:t xml:space="preserve"> </w:t>
            </w:r>
          </w:p>
        </w:tc>
        <w:tc>
          <w:tcPr>
            <w:tcW w:w="3616" w:type="dxa"/>
            <w:tcBorders>
              <w:top w:val="single" w:sz="8" w:space="0" w:color="000000"/>
              <w:left w:val="nil"/>
              <w:bottom w:val="single" w:sz="8" w:space="0" w:color="000000"/>
              <w:right w:val="single" w:sz="8" w:space="0" w:color="000000"/>
            </w:tcBorders>
            <w:shd w:val="clear" w:color="auto" w:fill="auto"/>
          </w:tcPr>
          <w:p w14:paraId="7AB387CB" w14:textId="77777777" w:rsidR="007A6351" w:rsidRPr="00D87880" w:rsidRDefault="00B97139" w:rsidP="00472B60">
            <w:pPr>
              <w:spacing w:after="0" w:line="240" w:lineRule="auto"/>
              <w:rPr>
                <w:rFonts w:ascii="Arial" w:hAnsi="Arial" w:cs="Arial"/>
              </w:rPr>
            </w:pPr>
            <w:r w:rsidRPr="00D87880">
              <w:rPr>
                <w:rFonts w:ascii="Arial" w:hAnsi="Arial" w:cs="Arial"/>
              </w:rPr>
              <w:t>Develop</w:t>
            </w:r>
            <w:r w:rsidR="007A6351" w:rsidRPr="00D87880">
              <w:rPr>
                <w:rFonts w:ascii="Arial" w:hAnsi="Arial" w:cs="Arial"/>
              </w:rPr>
              <w:t xml:space="preserve"> financing approaches that promote a cross-agency service delivery system, create flexible funds, and develop </w:t>
            </w:r>
            <w:r w:rsidRPr="00D87880">
              <w:rPr>
                <w:rFonts w:ascii="Arial" w:hAnsi="Arial" w:cs="Arial"/>
              </w:rPr>
              <w:t>fiscally accountable approaches to care review.</w:t>
            </w:r>
            <w:r w:rsidR="00862178" w:rsidRPr="00D87880">
              <w:rPr>
                <w:rFonts w:ascii="Arial" w:hAnsi="Arial" w:cs="Arial"/>
              </w:rPr>
              <w:t xml:space="preserve"> </w:t>
            </w:r>
            <w:r w:rsidR="000E6D78" w:rsidRPr="00D87880">
              <w:rPr>
                <w:rFonts w:ascii="Arial" w:hAnsi="Arial" w:cs="Arial"/>
              </w:rPr>
              <w:t>Seek third-party reimbursement.</w:t>
            </w:r>
          </w:p>
        </w:tc>
      </w:tr>
    </w:tbl>
    <w:p w14:paraId="21F7AA49" w14:textId="77777777" w:rsidR="00540C94" w:rsidRDefault="00540C94">
      <w:r>
        <w:br w:type="page"/>
      </w:r>
    </w:p>
    <w:tbl>
      <w:tblPr>
        <w:tblW w:w="0" w:type="auto"/>
        <w:jc w:val="center"/>
        <w:tblCellMar>
          <w:top w:w="29" w:type="dxa"/>
          <w:left w:w="43" w:type="dxa"/>
          <w:bottom w:w="29" w:type="dxa"/>
          <w:right w:w="43" w:type="dxa"/>
        </w:tblCellMar>
        <w:tblLook w:val="04A0" w:firstRow="1" w:lastRow="0" w:firstColumn="1" w:lastColumn="0" w:noHBand="0" w:noVBand="1"/>
      </w:tblPr>
      <w:tblGrid>
        <w:gridCol w:w="1616"/>
        <w:gridCol w:w="4229"/>
        <w:gridCol w:w="3616"/>
      </w:tblGrid>
      <w:tr w:rsidR="00540C94" w:rsidRPr="00D87880" w14:paraId="2E8A3FA4" w14:textId="77777777" w:rsidTr="00540C94">
        <w:trPr>
          <w:cantSplit/>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9" w:type="dxa"/>
              <w:left w:w="58" w:type="dxa"/>
              <w:bottom w:w="29" w:type="dxa"/>
              <w:right w:w="58" w:type="dxa"/>
            </w:tcMar>
            <w:vAlign w:val="center"/>
          </w:tcPr>
          <w:p w14:paraId="6BB05B1A" w14:textId="08B85092" w:rsidR="00540C94" w:rsidRPr="00D87880" w:rsidRDefault="00540C94" w:rsidP="00404F7D">
            <w:pPr>
              <w:spacing w:after="0" w:line="240" w:lineRule="auto"/>
              <w:ind w:right="132"/>
              <w:jc w:val="center"/>
              <w:rPr>
                <w:rFonts w:ascii="Arial" w:eastAsia="Calibri" w:hAnsi="Arial" w:cs="Arial"/>
              </w:rPr>
            </w:pPr>
            <w:r>
              <w:rPr>
                <w:rFonts w:ascii="Arial" w:hAnsi="Arial" w:cs="Arial"/>
                <w:b/>
                <w:bCs/>
              </w:rPr>
              <w:lastRenderedPageBreak/>
              <w:t>Data collection</w:t>
            </w:r>
          </w:p>
        </w:tc>
        <w:tc>
          <w:tcPr>
            <w:tcW w:w="4229" w:type="dxa"/>
            <w:tcBorders>
              <w:top w:val="single" w:sz="8" w:space="0" w:color="000000"/>
              <w:left w:val="nil"/>
              <w:bottom w:val="single" w:sz="8" w:space="0" w:color="000000"/>
              <w:right w:val="single" w:sz="8" w:space="0" w:color="000000"/>
            </w:tcBorders>
            <w:shd w:val="clear" w:color="auto" w:fill="D9D9D9" w:themeFill="background1" w:themeFillShade="D9"/>
            <w:tcMar>
              <w:top w:w="29" w:type="dxa"/>
              <w:left w:w="58" w:type="dxa"/>
              <w:bottom w:w="29" w:type="dxa"/>
              <w:right w:w="58" w:type="dxa"/>
            </w:tcMar>
            <w:vAlign w:val="center"/>
          </w:tcPr>
          <w:p w14:paraId="67A3F026" w14:textId="77777777" w:rsidR="00540C94" w:rsidRPr="00D87880" w:rsidRDefault="00540C94" w:rsidP="00404F7D">
            <w:pPr>
              <w:spacing w:after="0" w:line="240" w:lineRule="auto"/>
              <w:ind w:right="132"/>
              <w:jc w:val="center"/>
              <w:rPr>
                <w:rFonts w:ascii="Arial" w:eastAsia="Calibri" w:hAnsi="Arial" w:cs="Arial"/>
                <w:b/>
                <w:bCs/>
              </w:rPr>
            </w:pPr>
            <w:r w:rsidRPr="00D87880">
              <w:rPr>
                <w:rFonts w:ascii="Arial" w:eastAsia="Calibri" w:hAnsi="Arial" w:cs="Arial"/>
                <w:b/>
                <w:bCs/>
              </w:rPr>
              <w:t xml:space="preserve">Public </w:t>
            </w:r>
            <w:r>
              <w:rPr>
                <w:rFonts w:ascii="Arial" w:eastAsia="Calibri" w:hAnsi="Arial" w:cs="Arial"/>
                <w:b/>
                <w:bCs/>
              </w:rPr>
              <w:t>Health Services Act Requirements</w:t>
            </w:r>
          </w:p>
        </w:tc>
        <w:tc>
          <w:tcPr>
            <w:tcW w:w="3616"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14:paraId="1740DDD0" w14:textId="77777777" w:rsidR="00540C94" w:rsidRPr="00D87880" w:rsidRDefault="00540C94" w:rsidP="00404F7D">
            <w:pPr>
              <w:spacing w:after="0" w:line="240" w:lineRule="auto"/>
              <w:ind w:right="132"/>
              <w:jc w:val="center"/>
              <w:rPr>
                <w:rFonts w:ascii="Arial" w:eastAsia="Calibri" w:hAnsi="Arial" w:cs="Arial"/>
                <w:b/>
                <w:bCs/>
              </w:rPr>
            </w:pPr>
            <w:r w:rsidRPr="00D87880">
              <w:rPr>
                <w:rFonts w:ascii="Arial" w:eastAsia="Calibri" w:hAnsi="Arial" w:cs="Arial"/>
                <w:b/>
                <w:bCs/>
              </w:rPr>
              <w:t>Implementation Grant RFA</w:t>
            </w:r>
            <w:r>
              <w:rPr>
                <w:rFonts w:ascii="Arial" w:eastAsia="Calibri" w:hAnsi="Arial" w:cs="Arial"/>
                <w:b/>
                <w:bCs/>
              </w:rPr>
              <w:t xml:space="preserve"> Required Activities</w:t>
            </w:r>
          </w:p>
        </w:tc>
      </w:tr>
      <w:tr w:rsidR="00D87880" w:rsidRPr="00D87880" w14:paraId="60E19D5D" w14:textId="77777777" w:rsidTr="00540C94">
        <w:trPr>
          <w:trHeight w:val="30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vAlign w:val="center"/>
          </w:tcPr>
          <w:p w14:paraId="7C2CC4FA" w14:textId="6C484326" w:rsidR="00586EE2" w:rsidRDefault="00586EE2" w:rsidP="00472B60">
            <w:pPr>
              <w:spacing w:after="0" w:line="240" w:lineRule="auto"/>
              <w:ind w:right="132"/>
              <w:rPr>
                <w:rFonts w:ascii="Arial" w:eastAsia="Calibri" w:hAnsi="Arial" w:cs="Arial"/>
              </w:rPr>
            </w:pPr>
            <w:r>
              <w:rPr>
                <w:rFonts w:ascii="Arial" w:eastAsia="Calibri" w:hAnsi="Arial" w:cs="Arial"/>
              </w:rPr>
              <w:t>System</w:t>
            </w:r>
            <w:r w:rsidR="00471066">
              <w:rPr>
                <w:rFonts w:ascii="Arial" w:eastAsia="Calibri" w:hAnsi="Arial" w:cs="Arial"/>
              </w:rPr>
              <w:t>s</w:t>
            </w:r>
            <w:r>
              <w:rPr>
                <w:rFonts w:ascii="Arial" w:eastAsia="Calibri" w:hAnsi="Arial" w:cs="Arial"/>
              </w:rPr>
              <w:t xml:space="preserve"> of Care Expansion Assessment </w:t>
            </w:r>
          </w:p>
          <w:p w14:paraId="06E934E9" w14:textId="0F3727E0" w:rsidR="007A6351" w:rsidRPr="00D87880" w:rsidRDefault="00586EE2" w:rsidP="00472B60">
            <w:pPr>
              <w:spacing w:after="0" w:line="240" w:lineRule="auto"/>
              <w:ind w:right="132"/>
              <w:rPr>
                <w:rFonts w:ascii="Arial" w:eastAsia="Calibri" w:hAnsi="Arial" w:cs="Arial"/>
              </w:rPr>
            </w:pPr>
            <w:r>
              <w:rPr>
                <w:rFonts w:ascii="Arial" w:eastAsia="Calibri" w:hAnsi="Arial" w:cs="Arial"/>
              </w:rPr>
              <w:t>(</w:t>
            </w:r>
            <w:r w:rsidR="007A6351" w:rsidRPr="00D87880">
              <w:rPr>
                <w:rFonts w:ascii="Arial" w:eastAsia="Calibri" w:hAnsi="Arial" w:cs="Arial"/>
              </w:rPr>
              <w:t>SOCEA</w:t>
            </w:r>
            <w:r>
              <w:rPr>
                <w:rFonts w:ascii="Arial" w:eastAsia="Calibri" w:hAnsi="Arial" w:cs="Arial"/>
              </w:rPr>
              <w:t>)</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14:paraId="3B9F7A67" w14:textId="5CDBA2FA" w:rsidR="00E1329B" w:rsidRDefault="00E1329B" w:rsidP="00472B60">
            <w:pPr>
              <w:spacing w:after="0" w:line="240" w:lineRule="auto"/>
              <w:rPr>
                <w:rFonts w:ascii="Arial" w:hAnsi="Arial" w:cs="Arial"/>
              </w:rPr>
            </w:pPr>
            <w:r>
              <w:rPr>
                <w:rFonts w:ascii="Arial" w:hAnsi="Arial" w:cs="Arial"/>
                <w:b/>
                <w:bCs/>
              </w:rPr>
              <w:t xml:space="preserve">564(f) &amp; 565(c)(1): </w:t>
            </w:r>
            <w:r>
              <w:rPr>
                <w:rFonts w:ascii="Arial" w:hAnsi="Arial" w:cs="Arial"/>
              </w:rPr>
              <w:t xml:space="preserve">Assess barriers </w:t>
            </w:r>
            <w:r>
              <w:rPr>
                <w:rStyle w:val="CommentReference"/>
              </w:rPr>
              <w:t> </w:t>
            </w:r>
            <w:r>
              <w:rPr>
                <w:rFonts w:ascii="Arial" w:hAnsi="Arial" w:cs="Arial"/>
              </w:rPr>
              <w:t>and achievements resulting from interagency collaboration in providing community-based services to children with a SED. Submit report to the Secretary assessing how the grant worked to establish a jurisdiction-wide SOC.</w:t>
            </w:r>
          </w:p>
          <w:p w14:paraId="70279E40" w14:textId="0E0DB1DB" w:rsidR="00E1329B" w:rsidRDefault="00E1329B" w:rsidP="00472B60">
            <w:pPr>
              <w:spacing w:after="0" w:line="240" w:lineRule="auto"/>
              <w:rPr>
                <w:rFonts w:ascii="Arial" w:hAnsi="Arial" w:cs="Arial"/>
              </w:rPr>
            </w:pPr>
            <w:r>
              <w:rPr>
                <w:rFonts w:ascii="Arial" w:hAnsi="Arial" w:cs="Arial"/>
                <w:b/>
                <w:bCs/>
              </w:rPr>
              <w:t>562(e)(1)(A)</w:t>
            </w:r>
            <w:r w:rsidR="00164B94">
              <w:rPr>
                <w:rFonts w:ascii="Arial" w:hAnsi="Arial" w:cs="Arial"/>
                <w:b/>
                <w:bCs/>
              </w:rPr>
              <w:t xml:space="preserve">: </w:t>
            </w:r>
            <w:r>
              <w:rPr>
                <w:rFonts w:ascii="Arial" w:hAnsi="Arial" w:cs="Arial"/>
              </w:rPr>
              <w:t>Child services provided th</w:t>
            </w:r>
            <w:r w:rsidR="004234BD">
              <w:rPr>
                <w:rFonts w:ascii="Arial" w:hAnsi="Arial" w:cs="Arial"/>
              </w:rPr>
              <w:t>r</w:t>
            </w:r>
            <w:r>
              <w:rPr>
                <w:rFonts w:ascii="Arial" w:hAnsi="Arial" w:cs="Arial"/>
              </w:rPr>
              <w:t>ough the system are coordinated and child’s needs are periodically reassessed.</w:t>
            </w:r>
          </w:p>
          <w:p w14:paraId="3AEEFF7A" w14:textId="70F08860" w:rsidR="00E1329B" w:rsidRDefault="00E1329B" w:rsidP="00472B60">
            <w:pPr>
              <w:spacing w:after="0" w:line="240" w:lineRule="auto"/>
              <w:rPr>
                <w:rFonts w:ascii="Arial" w:hAnsi="Arial" w:cs="Arial"/>
              </w:rPr>
            </w:pPr>
            <w:r w:rsidRPr="00E1329B">
              <w:rPr>
                <w:rFonts w:ascii="Arial" w:hAnsi="Arial" w:cs="Arial"/>
                <w:b/>
              </w:rPr>
              <w:t>562(e)(2)(A):</w:t>
            </w:r>
            <w:r>
              <w:rPr>
                <w:rFonts w:ascii="Arial" w:hAnsi="Arial" w:cs="Arial"/>
              </w:rPr>
              <w:t xml:space="preserve"> Services are provided in the cultural context that is most appropriate for the child and family involved</w:t>
            </w:r>
            <w:r w:rsidR="00164B94">
              <w:rPr>
                <w:rFonts w:ascii="Arial" w:hAnsi="Arial" w:cs="Arial"/>
              </w:rPr>
              <w:t>.</w:t>
            </w:r>
          </w:p>
          <w:p w14:paraId="7DCBB951" w14:textId="71B97E4E" w:rsidR="007A6351" w:rsidRPr="00D87880" w:rsidRDefault="00E1329B" w:rsidP="00472B60">
            <w:pPr>
              <w:spacing w:after="0" w:line="240" w:lineRule="auto"/>
              <w:rPr>
                <w:rFonts w:ascii="Arial" w:hAnsi="Arial" w:cs="Arial"/>
              </w:rPr>
            </w:pPr>
            <w:r>
              <w:rPr>
                <w:rFonts w:ascii="Arial" w:hAnsi="Arial" w:cs="Arial"/>
                <w:b/>
                <w:bCs/>
              </w:rPr>
              <w:t>565(c)(1)</w:t>
            </w:r>
            <w:r w:rsidR="00164B94">
              <w:rPr>
                <w:rFonts w:ascii="Arial" w:hAnsi="Arial" w:cs="Arial"/>
                <w:b/>
                <w:bCs/>
              </w:rPr>
              <w:t xml:space="preserve">: </w:t>
            </w:r>
            <w:r>
              <w:rPr>
                <w:rFonts w:ascii="Arial" w:hAnsi="Arial" w:cs="Arial"/>
              </w:rPr>
              <w:t>Parental</w:t>
            </w:r>
            <w:r>
              <w:rPr>
                <w:rFonts w:ascii="Arial" w:hAnsi="Arial" w:cs="Arial"/>
                <w:b/>
                <w:bCs/>
              </w:rPr>
              <w:t xml:space="preserve"> </w:t>
            </w:r>
            <w:r>
              <w:rPr>
                <w:rFonts w:ascii="Arial" w:hAnsi="Arial" w:cs="Arial"/>
              </w:rPr>
              <w:t>assessment of the SOC’s effectiveness.</w:t>
            </w:r>
          </w:p>
        </w:tc>
        <w:tc>
          <w:tcPr>
            <w:tcW w:w="3616" w:type="dxa"/>
            <w:tcBorders>
              <w:top w:val="single" w:sz="8" w:space="0" w:color="000000"/>
              <w:left w:val="nil"/>
              <w:bottom w:val="single" w:sz="8" w:space="0" w:color="000000"/>
              <w:right w:val="single" w:sz="8" w:space="0" w:color="000000"/>
            </w:tcBorders>
            <w:shd w:val="clear" w:color="auto" w:fill="auto"/>
          </w:tcPr>
          <w:p w14:paraId="0B915C01" w14:textId="77777777" w:rsidR="007A6351" w:rsidRPr="00D87880" w:rsidRDefault="00D038FF" w:rsidP="00472B60">
            <w:pPr>
              <w:spacing w:after="0" w:line="240" w:lineRule="auto"/>
              <w:rPr>
                <w:rFonts w:ascii="Arial" w:hAnsi="Arial" w:cs="Arial"/>
              </w:rPr>
            </w:pPr>
            <w:r w:rsidRPr="00D87880">
              <w:rPr>
                <w:rFonts w:ascii="Arial" w:hAnsi="Arial" w:cs="Arial"/>
              </w:rPr>
              <w:t xml:space="preserve">Deliver </w:t>
            </w:r>
            <w:r w:rsidR="00930081" w:rsidRPr="00D87880">
              <w:rPr>
                <w:rFonts w:ascii="Arial" w:hAnsi="Arial" w:cs="Arial"/>
              </w:rPr>
              <w:t xml:space="preserve">SOC </w:t>
            </w:r>
            <w:r w:rsidR="007A6351" w:rsidRPr="00D87880">
              <w:rPr>
                <w:rFonts w:ascii="Arial" w:hAnsi="Arial" w:cs="Arial"/>
              </w:rPr>
              <w:t>services within a family dr</w:t>
            </w:r>
            <w:r w:rsidR="00156943" w:rsidRPr="00D87880">
              <w:rPr>
                <w:rFonts w:ascii="Arial" w:hAnsi="Arial" w:cs="Arial"/>
              </w:rPr>
              <w:t>iven</w:t>
            </w:r>
            <w:r w:rsidR="00930081" w:rsidRPr="00D87880">
              <w:rPr>
                <w:rFonts w:ascii="Arial" w:hAnsi="Arial" w:cs="Arial"/>
              </w:rPr>
              <w:t>,</w:t>
            </w:r>
            <w:r w:rsidR="00156943" w:rsidRPr="00D87880">
              <w:rPr>
                <w:rFonts w:ascii="Arial" w:hAnsi="Arial" w:cs="Arial"/>
              </w:rPr>
              <w:t xml:space="preserve"> youth guided framework,</w:t>
            </w:r>
            <w:r w:rsidR="007A6351" w:rsidRPr="00D87880">
              <w:rPr>
                <w:rFonts w:ascii="Arial" w:hAnsi="Arial" w:cs="Arial"/>
              </w:rPr>
              <w:t xml:space="preserve"> </w:t>
            </w:r>
            <w:r w:rsidR="00156943" w:rsidRPr="00D87880">
              <w:rPr>
                <w:rFonts w:ascii="Arial" w:hAnsi="Arial" w:cs="Arial"/>
              </w:rPr>
              <w:t xml:space="preserve">with </w:t>
            </w:r>
            <w:r w:rsidR="007A6351" w:rsidRPr="00D87880">
              <w:rPr>
                <w:rFonts w:ascii="Arial" w:hAnsi="Arial" w:cs="Arial"/>
              </w:rPr>
              <w:t xml:space="preserve">families and youth </w:t>
            </w:r>
            <w:r w:rsidR="00930081" w:rsidRPr="00D87880">
              <w:rPr>
                <w:rFonts w:ascii="Arial" w:hAnsi="Arial" w:cs="Arial"/>
              </w:rPr>
              <w:t>as</w:t>
            </w:r>
            <w:r w:rsidR="007A6351" w:rsidRPr="00D87880">
              <w:rPr>
                <w:rFonts w:ascii="Arial" w:hAnsi="Arial" w:cs="Arial"/>
              </w:rPr>
              <w:t xml:space="preserve"> partners in planning and implementing activities</w:t>
            </w:r>
            <w:r w:rsidR="00930081" w:rsidRPr="00D87880">
              <w:rPr>
                <w:rFonts w:ascii="Arial" w:hAnsi="Arial" w:cs="Arial"/>
              </w:rPr>
              <w:t>,</w:t>
            </w:r>
            <w:r w:rsidR="007A6351" w:rsidRPr="00D87880">
              <w:rPr>
                <w:rFonts w:ascii="Arial" w:hAnsi="Arial" w:cs="Arial"/>
              </w:rPr>
              <w:t xml:space="preserve"> and </w:t>
            </w:r>
            <w:r w:rsidR="00872C06" w:rsidRPr="00D87880">
              <w:rPr>
                <w:rFonts w:ascii="Arial" w:hAnsi="Arial" w:cs="Arial"/>
              </w:rPr>
              <w:t xml:space="preserve">with </w:t>
            </w:r>
            <w:r w:rsidR="007A6351" w:rsidRPr="00D87880">
              <w:rPr>
                <w:rFonts w:ascii="Arial" w:hAnsi="Arial" w:cs="Arial"/>
              </w:rPr>
              <w:t>cultural</w:t>
            </w:r>
            <w:r w:rsidR="00930081" w:rsidRPr="00D87880">
              <w:rPr>
                <w:rFonts w:ascii="Arial" w:hAnsi="Arial" w:cs="Arial"/>
              </w:rPr>
              <w:t>ly</w:t>
            </w:r>
            <w:r w:rsidR="00872C06" w:rsidRPr="00D87880">
              <w:rPr>
                <w:rFonts w:ascii="Arial" w:hAnsi="Arial" w:cs="Arial"/>
              </w:rPr>
              <w:t>/</w:t>
            </w:r>
            <w:r w:rsidR="007A6351" w:rsidRPr="00D87880">
              <w:rPr>
                <w:rFonts w:ascii="Arial" w:hAnsi="Arial" w:cs="Arial"/>
              </w:rPr>
              <w:t>linguistic</w:t>
            </w:r>
            <w:r w:rsidR="00930081" w:rsidRPr="00D87880">
              <w:rPr>
                <w:rFonts w:ascii="Arial" w:hAnsi="Arial" w:cs="Arial"/>
              </w:rPr>
              <w:t xml:space="preserve">ally competent and evidence supported </w:t>
            </w:r>
            <w:r w:rsidR="00872C06" w:rsidRPr="00D87880">
              <w:rPr>
                <w:rFonts w:ascii="Arial" w:hAnsi="Arial" w:cs="Arial"/>
              </w:rPr>
              <w:t>services.</w:t>
            </w:r>
          </w:p>
          <w:p w14:paraId="62834457" w14:textId="77777777" w:rsidR="007A6351" w:rsidRPr="00D87880" w:rsidRDefault="007A6351" w:rsidP="00472B60">
            <w:pPr>
              <w:spacing w:after="0" w:line="240" w:lineRule="auto"/>
              <w:rPr>
                <w:rFonts w:ascii="Arial" w:hAnsi="Arial" w:cs="Arial"/>
              </w:rPr>
            </w:pPr>
          </w:p>
        </w:tc>
      </w:tr>
      <w:tr w:rsidR="00D87880" w:rsidRPr="00D87880" w14:paraId="72778726" w14:textId="77777777" w:rsidTr="00540C94">
        <w:trPr>
          <w:trHeight w:val="30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vAlign w:val="center"/>
          </w:tcPr>
          <w:p w14:paraId="4A5ED7DE" w14:textId="2157DF31" w:rsidR="007A6351" w:rsidRPr="00D87880" w:rsidRDefault="00B907E6">
            <w:pPr>
              <w:spacing w:after="0" w:line="240" w:lineRule="auto"/>
              <w:ind w:right="132"/>
              <w:rPr>
                <w:rFonts w:ascii="Arial" w:eastAsia="Calibri" w:hAnsi="Arial" w:cs="Arial"/>
                <w:b/>
                <w:bCs/>
              </w:rPr>
            </w:pPr>
            <w:r>
              <w:rPr>
                <w:rFonts w:ascii="Arial" w:eastAsia="Calibri" w:hAnsi="Arial" w:cs="Arial"/>
              </w:rPr>
              <w:t>Common Data Platform (CDP)</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14:paraId="338C4CBF" w14:textId="4C564049" w:rsidR="007A6351" w:rsidRPr="00D87880" w:rsidRDefault="004E048A">
            <w:pPr>
              <w:spacing w:after="0" w:line="240" w:lineRule="auto"/>
              <w:rPr>
                <w:rFonts w:ascii="Arial" w:hAnsi="Arial" w:cs="Arial"/>
              </w:rPr>
            </w:pPr>
            <w:r>
              <w:rPr>
                <w:rFonts w:ascii="Arial" w:hAnsi="Arial" w:cs="Arial"/>
                <w:b/>
                <w:bCs/>
              </w:rPr>
              <w:t>565(c)(1)</w:t>
            </w:r>
            <w:r w:rsidR="00670E0C" w:rsidRPr="00D87880">
              <w:rPr>
                <w:rFonts w:ascii="Arial" w:hAnsi="Arial" w:cs="Arial"/>
                <w:b/>
              </w:rPr>
              <w:t>:</w:t>
            </w:r>
            <w:r w:rsidR="00862178" w:rsidRPr="00D87880">
              <w:rPr>
                <w:rFonts w:ascii="Arial" w:hAnsi="Arial" w:cs="Arial"/>
                <w:b/>
              </w:rPr>
              <w:t xml:space="preserve"> </w:t>
            </w:r>
            <w:r w:rsidR="00670E0C" w:rsidRPr="00D87880">
              <w:rPr>
                <w:rFonts w:ascii="Arial" w:hAnsi="Arial" w:cs="Arial"/>
              </w:rPr>
              <w:t>S</w:t>
            </w:r>
            <w:r w:rsidR="007A6351" w:rsidRPr="00D87880">
              <w:rPr>
                <w:rFonts w:ascii="Arial" w:hAnsi="Arial" w:cs="Arial"/>
              </w:rPr>
              <w:t xml:space="preserve">ubmit </w:t>
            </w:r>
            <w:r w:rsidR="00623DA0" w:rsidRPr="00D87880">
              <w:rPr>
                <w:rFonts w:ascii="Arial" w:hAnsi="Arial" w:cs="Arial"/>
              </w:rPr>
              <w:t xml:space="preserve">a report to the Secretary describing </w:t>
            </w:r>
            <w:r w:rsidR="00670E0C" w:rsidRPr="00D87880">
              <w:rPr>
                <w:rFonts w:ascii="Arial" w:hAnsi="Arial" w:cs="Arial"/>
              </w:rPr>
              <w:t xml:space="preserve">grant </w:t>
            </w:r>
            <w:r w:rsidR="007A6351" w:rsidRPr="00D87880">
              <w:rPr>
                <w:rFonts w:ascii="Arial" w:hAnsi="Arial" w:cs="Arial"/>
              </w:rPr>
              <w:t>activities</w:t>
            </w:r>
            <w:r w:rsidR="00E37DEA" w:rsidRPr="00D87880">
              <w:rPr>
                <w:rFonts w:ascii="Arial" w:hAnsi="Arial" w:cs="Arial"/>
              </w:rPr>
              <w:t xml:space="preserve"> and </w:t>
            </w:r>
            <w:r w:rsidR="007A6351" w:rsidRPr="00D87880">
              <w:rPr>
                <w:rFonts w:ascii="Arial" w:hAnsi="Arial" w:cs="Arial"/>
              </w:rPr>
              <w:t>the number and demographics of children</w:t>
            </w:r>
            <w:r w:rsidR="0094403A">
              <w:rPr>
                <w:rFonts w:ascii="Arial" w:hAnsi="Arial" w:cs="Arial"/>
              </w:rPr>
              <w:t xml:space="preserve"> served by the </w:t>
            </w:r>
            <w:r w:rsidR="007A6351" w:rsidRPr="00D87880">
              <w:rPr>
                <w:rFonts w:ascii="Arial" w:hAnsi="Arial" w:cs="Arial"/>
              </w:rPr>
              <w:t>SOC.</w:t>
            </w:r>
            <w:r w:rsidR="00426523" w:rsidRPr="00D87880">
              <w:rPr>
                <w:rFonts w:ascii="Arial" w:hAnsi="Arial" w:cs="Arial"/>
              </w:rPr>
              <w:t xml:space="preserve"> </w:t>
            </w:r>
            <w:r w:rsidR="00670E0C" w:rsidRPr="00D87880">
              <w:rPr>
                <w:rFonts w:ascii="Arial" w:hAnsi="Arial" w:cs="Arial"/>
              </w:rPr>
              <w:t>A</w:t>
            </w:r>
            <w:r w:rsidR="007A6351" w:rsidRPr="00D87880">
              <w:rPr>
                <w:rFonts w:ascii="Arial" w:hAnsi="Arial" w:cs="Arial"/>
              </w:rPr>
              <w:t xml:space="preserve">ssess the </w:t>
            </w:r>
            <w:r w:rsidR="00670E0C" w:rsidRPr="00D87880">
              <w:rPr>
                <w:rFonts w:ascii="Arial" w:hAnsi="Arial" w:cs="Arial"/>
              </w:rPr>
              <w:t xml:space="preserve">SOC’s </w:t>
            </w:r>
            <w:r w:rsidR="007A6351" w:rsidRPr="00D87880">
              <w:rPr>
                <w:rFonts w:ascii="Arial" w:hAnsi="Arial" w:cs="Arial"/>
              </w:rPr>
              <w:t xml:space="preserve">effectiveness, including longitudinal </w:t>
            </w:r>
            <w:r w:rsidR="00CF5EE2" w:rsidRPr="00D87880">
              <w:rPr>
                <w:rFonts w:ascii="Arial" w:hAnsi="Arial" w:cs="Arial"/>
              </w:rPr>
              <w:t xml:space="preserve">service outcome </w:t>
            </w:r>
            <w:r w:rsidR="00B533F9">
              <w:rPr>
                <w:rFonts w:ascii="Arial" w:hAnsi="Arial" w:cs="Arial"/>
              </w:rPr>
              <w:t>assessments</w:t>
            </w:r>
            <w:r w:rsidR="00B533F9" w:rsidRPr="00D87880">
              <w:rPr>
                <w:rFonts w:ascii="Arial" w:hAnsi="Arial" w:cs="Arial"/>
              </w:rPr>
              <w:t xml:space="preserve"> </w:t>
            </w:r>
            <w:r w:rsidR="007A6351" w:rsidRPr="00D87880">
              <w:rPr>
                <w:rFonts w:ascii="Arial" w:hAnsi="Arial" w:cs="Arial"/>
              </w:rPr>
              <w:t xml:space="preserve">and </w:t>
            </w:r>
            <w:r w:rsidR="00670E0C" w:rsidRPr="00D87880">
              <w:rPr>
                <w:rFonts w:ascii="Arial" w:hAnsi="Arial" w:cs="Arial"/>
              </w:rPr>
              <w:t>parents</w:t>
            </w:r>
            <w:r w:rsidR="004234BD">
              <w:rPr>
                <w:rFonts w:ascii="Arial" w:hAnsi="Arial" w:cs="Arial"/>
              </w:rPr>
              <w:t>’</w:t>
            </w:r>
            <w:r w:rsidR="00670E0C" w:rsidRPr="00D87880">
              <w:rPr>
                <w:rFonts w:ascii="Arial" w:hAnsi="Arial" w:cs="Arial"/>
              </w:rPr>
              <w:t xml:space="preserve"> assessment of SOC </w:t>
            </w:r>
            <w:r w:rsidR="00B533F9">
              <w:rPr>
                <w:rFonts w:ascii="Arial" w:hAnsi="Arial" w:cs="Arial"/>
              </w:rPr>
              <w:t>e</w:t>
            </w:r>
            <w:r w:rsidR="007A6351" w:rsidRPr="00D87880">
              <w:rPr>
                <w:rFonts w:ascii="Arial" w:hAnsi="Arial" w:cs="Arial"/>
              </w:rPr>
              <w:t>ffectiveness.</w:t>
            </w:r>
          </w:p>
        </w:tc>
        <w:tc>
          <w:tcPr>
            <w:tcW w:w="3616" w:type="dxa"/>
            <w:tcBorders>
              <w:top w:val="single" w:sz="8" w:space="0" w:color="000000"/>
              <w:left w:val="nil"/>
              <w:bottom w:val="single" w:sz="8" w:space="0" w:color="000000"/>
              <w:right w:val="single" w:sz="8" w:space="0" w:color="000000"/>
            </w:tcBorders>
            <w:shd w:val="clear" w:color="auto" w:fill="auto"/>
          </w:tcPr>
          <w:p w14:paraId="286900D9" w14:textId="77777777" w:rsidR="007A6351" w:rsidRPr="00D87880" w:rsidRDefault="00245014" w:rsidP="00472B60">
            <w:pPr>
              <w:spacing w:after="0" w:line="240" w:lineRule="auto"/>
              <w:ind w:right="132"/>
              <w:rPr>
                <w:rFonts w:ascii="Arial" w:hAnsi="Arial" w:cs="Arial"/>
              </w:rPr>
            </w:pPr>
            <w:r w:rsidRPr="00D87880">
              <w:rPr>
                <w:rFonts w:ascii="Arial" w:hAnsi="Arial" w:cs="Arial"/>
              </w:rPr>
              <w:t>Serve</w:t>
            </w:r>
            <w:r w:rsidR="007A6351" w:rsidRPr="00D87880">
              <w:rPr>
                <w:rFonts w:ascii="Arial" w:hAnsi="Arial" w:cs="Arial"/>
              </w:rPr>
              <w:t xml:space="preserve"> children with a </w:t>
            </w:r>
            <w:r w:rsidR="007E61DC" w:rsidRPr="00D87880">
              <w:rPr>
                <w:rFonts w:ascii="Arial" w:hAnsi="Arial" w:cs="Arial"/>
              </w:rPr>
              <w:t>SED</w:t>
            </w:r>
            <w:r w:rsidRPr="00D87880">
              <w:rPr>
                <w:rFonts w:ascii="Arial" w:hAnsi="Arial" w:cs="Arial"/>
              </w:rPr>
              <w:t xml:space="preserve">; </w:t>
            </w:r>
            <w:r w:rsidR="007A6351" w:rsidRPr="00D87880">
              <w:rPr>
                <w:rFonts w:ascii="Arial" w:hAnsi="Arial" w:cs="Arial"/>
              </w:rPr>
              <w:t>comply with the HHS Action Plan to Reduce Racial and Ethnic Disparities</w:t>
            </w:r>
          </w:p>
          <w:p w14:paraId="5F5246EB" w14:textId="77777777" w:rsidR="007A6351" w:rsidRPr="00D87880" w:rsidRDefault="007A6351" w:rsidP="00472B60">
            <w:pPr>
              <w:spacing w:after="0" w:line="240" w:lineRule="auto"/>
              <w:ind w:right="132"/>
              <w:rPr>
                <w:rFonts w:ascii="Arial" w:eastAsia="Calibri" w:hAnsi="Arial" w:cs="Arial"/>
                <w:bCs/>
              </w:rPr>
            </w:pPr>
            <w:r w:rsidRPr="00D87880">
              <w:rPr>
                <w:rFonts w:ascii="Arial" w:hAnsi="Arial" w:cs="Arial"/>
                <w:i/>
              </w:rPr>
              <w:t>Data Collection &amp; Performance Measurement</w:t>
            </w:r>
            <w:r w:rsidR="00245014" w:rsidRPr="00D87880">
              <w:rPr>
                <w:rFonts w:ascii="Arial" w:hAnsi="Arial" w:cs="Arial"/>
              </w:rPr>
              <w:t>:</w:t>
            </w:r>
            <w:r w:rsidR="00862178" w:rsidRPr="00D87880">
              <w:rPr>
                <w:rFonts w:ascii="Arial" w:hAnsi="Arial" w:cs="Arial"/>
              </w:rPr>
              <w:t xml:space="preserve"> </w:t>
            </w:r>
            <w:r w:rsidR="00245014" w:rsidRPr="00D87880">
              <w:rPr>
                <w:rFonts w:ascii="Arial" w:hAnsi="Arial" w:cs="Arial"/>
              </w:rPr>
              <w:t>A</w:t>
            </w:r>
            <w:r w:rsidRPr="00D87880">
              <w:rPr>
                <w:rFonts w:ascii="Arial" w:hAnsi="Arial" w:cs="Arial"/>
              </w:rPr>
              <w:t>s</w:t>
            </w:r>
            <w:r w:rsidR="00245014" w:rsidRPr="00D87880">
              <w:rPr>
                <w:rFonts w:ascii="Arial" w:hAnsi="Arial" w:cs="Arial"/>
              </w:rPr>
              <w:t>sess</w:t>
            </w:r>
            <w:r w:rsidRPr="00D87880">
              <w:rPr>
                <w:rFonts w:ascii="Arial" w:hAnsi="Arial" w:cs="Arial"/>
              </w:rPr>
              <w:t xml:space="preserve"> longitudinal outcomes</w:t>
            </w:r>
            <w:r w:rsidR="00874F4E">
              <w:rPr>
                <w:rFonts w:ascii="Arial" w:hAnsi="Arial" w:cs="Arial"/>
              </w:rPr>
              <w:t>.</w:t>
            </w:r>
            <w:r w:rsidRPr="00D87880">
              <w:rPr>
                <w:rFonts w:ascii="Arial" w:hAnsi="Arial" w:cs="Arial"/>
              </w:rPr>
              <w:t xml:space="preserve"> </w:t>
            </w:r>
          </w:p>
        </w:tc>
      </w:tr>
    </w:tbl>
    <w:p w14:paraId="6E88BE94" w14:textId="5AA575F4" w:rsidR="007A6351" w:rsidRPr="00D87880" w:rsidRDefault="007A6351" w:rsidP="007A6351">
      <w:pPr>
        <w:rPr>
          <w:rFonts w:ascii="Arial" w:hAnsi="Arial" w:cs="Arial"/>
        </w:rPr>
      </w:pPr>
      <w:r w:rsidRPr="00D87880">
        <w:rPr>
          <w:rFonts w:ascii="Arial" w:hAnsi="Arial" w:cs="Arial"/>
          <w:u w:val="single"/>
        </w:rPr>
        <w:t>Note</w:t>
      </w:r>
      <w:r w:rsidRPr="00D87880">
        <w:rPr>
          <w:rFonts w:ascii="Arial" w:hAnsi="Arial" w:cs="Arial"/>
        </w:rPr>
        <w:t>.</w:t>
      </w:r>
      <w:r w:rsidR="00862178" w:rsidRPr="00D87880">
        <w:rPr>
          <w:rFonts w:ascii="Arial" w:hAnsi="Arial" w:cs="Arial"/>
        </w:rPr>
        <w:t xml:space="preserve"> </w:t>
      </w:r>
      <w:r w:rsidRPr="00D87880">
        <w:rPr>
          <w:rFonts w:ascii="Arial" w:hAnsi="Arial" w:cs="Arial"/>
        </w:rPr>
        <w:t xml:space="preserve">Public Law refers to Public Health Service Act Title V, Part E Public Law 102-321, Section 561-565, 42 U.S.C. </w:t>
      </w:r>
      <w:r w:rsidRPr="00486E80">
        <w:rPr>
          <w:rFonts w:ascii="Arial" w:hAnsi="Arial" w:cs="Arial"/>
        </w:rPr>
        <w:t>290ff-</w:t>
      </w:r>
      <w:r w:rsidR="00486E80" w:rsidRPr="00486E80">
        <w:rPr>
          <w:rFonts w:ascii="Arial" w:hAnsi="Arial" w:cs="Arial"/>
        </w:rPr>
        <w:t>4</w:t>
      </w:r>
      <w:r w:rsidRPr="00486E80">
        <w:rPr>
          <w:rFonts w:ascii="Arial" w:hAnsi="Arial" w:cs="Arial"/>
        </w:rPr>
        <w:t>.</w:t>
      </w:r>
      <w:r w:rsidR="00862178" w:rsidRPr="00D87880">
        <w:rPr>
          <w:rFonts w:ascii="Arial" w:hAnsi="Arial" w:cs="Arial"/>
        </w:rPr>
        <w:t xml:space="preserve"> </w:t>
      </w:r>
      <w:r w:rsidR="003D11A4">
        <w:rPr>
          <w:rFonts w:ascii="Arial" w:hAnsi="Arial" w:cs="Arial"/>
        </w:rPr>
        <w:t xml:space="preserve"> Assmt. = Assessment.</w:t>
      </w:r>
    </w:p>
    <w:p w14:paraId="0F0424B0" w14:textId="72C15DDA" w:rsidR="006A566B" w:rsidRPr="00D87880" w:rsidRDefault="00114304" w:rsidP="00E0068B">
      <w:pPr>
        <w:spacing w:line="240" w:lineRule="auto"/>
        <w:rPr>
          <w:rFonts w:ascii="Times New Roman" w:hAnsi="Times New Roman" w:cs="Times New Roman"/>
          <w:sz w:val="22"/>
          <w:szCs w:val="22"/>
        </w:rPr>
      </w:pPr>
      <w:r w:rsidRPr="00D87880">
        <w:rPr>
          <w:rFonts w:ascii="Times New Roman" w:hAnsi="Times New Roman" w:cs="Times New Roman"/>
          <w:b/>
          <w:sz w:val="22"/>
          <w:szCs w:val="22"/>
        </w:rPr>
        <w:t>SAMHSA’s Strategic Initiatives.</w:t>
      </w:r>
      <w:r w:rsidR="00862178" w:rsidRPr="00D87880">
        <w:rPr>
          <w:rFonts w:ascii="Times New Roman" w:hAnsi="Times New Roman" w:cs="Times New Roman"/>
          <w:sz w:val="22"/>
          <w:szCs w:val="22"/>
        </w:rPr>
        <w:t xml:space="preserve"> </w:t>
      </w:r>
      <w:r w:rsidR="0080324E" w:rsidRPr="00D87880">
        <w:rPr>
          <w:rFonts w:ascii="Times New Roman" w:hAnsi="Times New Roman" w:cs="Times New Roman"/>
          <w:sz w:val="22"/>
          <w:szCs w:val="22"/>
        </w:rPr>
        <w:t xml:space="preserve">In 2010, SAMHSA identified eight </w:t>
      </w:r>
      <w:r w:rsidR="005675AD" w:rsidRPr="00D87880">
        <w:rPr>
          <w:rFonts w:ascii="Times New Roman" w:hAnsi="Times New Roman" w:cs="Times New Roman"/>
          <w:sz w:val="22"/>
          <w:szCs w:val="22"/>
        </w:rPr>
        <w:t>S</w:t>
      </w:r>
      <w:r w:rsidR="0080324E" w:rsidRPr="00D87880">
        <w:rPr>
          <w:rFonts w:ascii="Times New Roman" w:hAnsi="Times New Roman" w:cs="Times New Roman"/>
          <w:sz w:val="22"/>
          <w:szCs w:val="22"/>
        </w:rPr>
        <w:t xml:space="preserve">trategic </w:t>
      </w:r>
      <w:r w:rsidR="005675AD" w:rsidRPr="00D87880">
        <w:rPr>
          <w:rFonts w:ascii="Times New Roman" w:hAnsi="Times New Roman" w:cs="Times New Roman"/>
          <w:sz w:val="22"/>
          <w:szCs w:val="22"/>
        </w:rPr>
        <w:t>I</w:t>
      </w:r>
      <w:r w:rsidR="0080324E" w:rsidRPr="00D87880">
        <w:rPr>
          <w:rFonts w:ascii="Times New Roman" w:hAnsi="Times New Roman" w:cs="Times New Roman"/>
          <w:sz w:val="22"/>
          <w:szCs w:val="22"/>
        </w:rPr>
        <w:t xml:space="preserve">nitiatives with input from stakeholders including Federal, </w:t>
      </w:r>
      <w:r w:rsidR="00EE5A6A" w:rsidRPr="00D87880">
        <w:rPr>
          <w:rFonts w:ascii="Times New Roman" w:hAnsi="Times New Roman" w:cs="Times New Roman"/>
          <w:sz w:val="22"/>
          <w:szCs w:val="22"/>
        </w:rPr>
        <w:t>S</w:t>
      </w:r>
      <w:r w:rsidR="0080324E" w:rsidRPr="00D87880">
        <w:rPr>
          <w:rFonts w:ascii="Times New Roman" w:hAnsi="Times New Roman" w:cs="Times New Roman"/>
          <w:sz w:val="22"/>
          <w:szCs w:val="22"/>
        </w:rPr>
        <w:t>tate and local leaders; constituency groups; advisory council members; members of Congress; people in recovery; and family members. These initiatives are designed to focus SAMHSA’s work on improving lives and capitalizing on emerging opportunities.</w:t>
      </w:r>
      <w:r w:rsidR="00862178" w:rsidRPr="00D87880">
        <w:rPr>
          <w:rFonts w:ascii="Times New Roman" w:hAnsi="Times New Roman" w:cs="Times New Roman"/>
          <w:sz w:val="22"/>
          <w:szCs w:val="22"/>
        </w:rPr>
        <w:t xml:space="preserve"> </w:t>
      </w:r>
      <w:r w:rsidR="00EE5A6A" w:rsidRPr="00D87880">
        <w:rPr>
          <w:rFonts w:ascii="Times New Roman" w:hAnsi="Times New Roman" w:cs="Times New Roman"/>
          <w:sz w:val="22"/>
          <w:szCs w:val="22"/>
        </w:rPr>
        <w:t>T</w:t>
      </w:r>
      <w:r w:rsidR="0080324E" w:rsidRPr="00D87880">
        <w:rPr>
          <w:rFonts w:ascii="Times New Roman" w:hAnsi="Times New Roman" w:cs="Times New Roman"/>
          <w:sz w:val="22"/>
          <w:szCs w:val="22"/>
        </w:rPr>
        <w:t xml:space="preserve">he </w:t>
      </w:r>
      <w:r w:rsidR="00A135A3" w:rsidRPr="00D87880">
        <w:rPr>
          <w:rFonts w:ascii="Times New Roman" w:hAnsi="Times New Roman" w:cs="Times New Roman"/>
          <w:sz w:val="22"/>
          <w:szCs w:val="22"/>
        </w:rPr>
        <w:t>Evaluation</w:t>
      </w:r>
      <w:r w:rsidR="0080324E" w:rsidRPr="00D87880">
        <w:rPr>
          <w:rFonts w:ascii="Times New Roman" w:hAnsi="Times New Roman" w:cs="Times New Roman"/>
          <w:sz w:val="22"/>
          <w:szCs w:val="22"/>
        </w:rPr>
        <w:t xml:space="preserve"> </w:t>
      </w:r>
      <w:r w:rsidR="00D475E8" w:rsidRPr="00D87880">
        <w:rPr>
          <w:rFonts w:ascii="Times New Roman" w:hAnsi="Times New Roman" w:cs="Times New Roman"/>
          <w:sz w:val="22"/>
          <w:szCs w:val="22"/>
        </w:rPr>
        <w:t>is relevant</w:t>
      </w:r>
      <w:r w:rsidR="0080324E" w:rsidRPr="00D87880">
        <w:rPr>
          <w:rFonts w:ascii="Times New Roman" w:hAnsi="Times New Roman" w:cs="Times New Roman"/>
          <w:sz w:val="22"/>
          <w:szCs w:val="22"/>
        </w:rPr>
        <w:t xml:space="preserve"> to </w:t>
      </w:r>
      <w:r w:rsidR="00A07771" w:rsidRPr="00D87880">
        <w:rPr>
          <w:rFonts w:ascii="Times New Roman" w:hAnsi="Times New Roman" w:cs="Times New Roman"/>
          <w:sz w:val="22"/>
          <w:szCs w:val="22"/>
        </w:rPr>
        <w:t>the following</w:t>
      </w:r>
      <w:r w:rsidR="00CF0A01" w:rsidRPr="00D87880">
        <w:rPr>
          <w:rFonts w:ascii="Times New Roman" w:hAnsi="Times New Roman" w:cs="Times New Roman"/>
          <w:sz w:val="22"/>
          <w:szCs w:val="22"/>
        </w:rPr>
        <w:t xml:space="preserve"> </w:t>
      </w:r>
      <w:r w:rsidR="00D8025A" w:rsidRPr="00D87880">
        <w:rPr>
          <w:rFonts w:ascii="Times New Roman" w:hAnsi="Times New Roman" w:cs="Times New Roman"/>
          <w:sz w:val="22"/>
          <w:szCs w:val="22"/>
        </w:rPr>
        <w:t>strategic initiatives</w:t>
      </w:r>
      <w:r w:rsidR="00ED7DDA" w:rsidRPr="00D87880">
        <w:rPr>
          <w:rFonts w:ascii="Times New Roman" w:hAnsi="Times New Roman" w:cs="Times New Roman"/>
          <w:sz w:val="22"/>
          <w:szCs w:val="22"/>
        </w:rPr>
        <w:t xml:space="preserve"> in the following ways</w:t>
      </w:r>
      <w:r w:rsidR="00D622D4"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p>
    <w:p w14:paraId="2D001D39" w14:textId="77777777" w:rsidR="006A566B" w:rsidRPr="00D87880" w:rsidRDefault="00A07771" w:rsidP="00CF0A01">
      <w:pPr>
        <w:pStyle w:val="ListParagraph"/>
        <w:numPr>
          <w:ilvl w:val="0"/>
          <w:numId w:val="38"/>
        </w:numPr>
        <w:spacing w:line="240" w:lineRule="auto"/>
        <w:rPr>
          <w:rFonts w:ascii="Times New Roman" w:hAnsi="Times New Roman" w:cs="Times New Roman"/>
          <w:sz w:val="22"/>
          <w:szCs w:val="22"/>
        </w:rPr>
      </w:pPr>
      <w:r w:rsidRPr="00D87880">
        <w:rPr>
          <w:rFonts w:ascii="Times New Roman" w:hAnsi="Times New Roman" w:cs="Times New Roman"/>
          <w:i/>
          <w:sz w:val="22"/>
          <w:szCs w:val="22"/>
        </w:rPr>
        <w:t>Trauma and Justice</w:t>
      </w:r>
      <w:r w:rsidRPr="00D87880">
        <w:rPr>
          <w:rFonts w:ascii="Times New Roman" w:hAnsi="Times New Roman" w:cs="Times New Roman"/>
          <w:sz w:val="22"/>
          <w:szCs w:val="22"/>
        </w:rPr>
        <w:t xml:space="preserve">, </w:t>
      </w:r>
      <w:r w:rsidR="00C02082" w:rsidRPr="00D87880">
        <w:rPr>
          <w:rFonts w:ascii="Times New Roman" w:hAnsi="Times New Roman" w:cs="Times New Roman"/>
          <w:sz w:val="22"/>
          <w:szCs w:val="22"/>
        </w:rPr>
        <w:t>by assessing client outcomes and services available and provided to</w:t>
      </w:r>
      <w:r w:rsidRPr="00D87880">
        <w:rPr>
          <w:rFonts w:ascii="Times New Roman" w:hAnsi="Times New Roman" w:cs="Times New Roman"/>
          <w:sz w:val="22"/>
          <w:szCs w:val="22"/>
        </w:rPr>
        <w:t xml:space="preserve"> individuals </w:t>
      </w:r>
      <w:r w:rsidR="00C02082" w:rsidRPr="00D87880">
        <w:rPr>
          <w:rFonts w:ascii="Times New Roman" w:hAnsi="Times New Roman" w:cs="Times New Roman"/>
          <w:sz w:val="22"/>
          <w:szCs w:val="22"/>
        </w:rPr>
        <w:t xml:space="preserve">who are (1) in need of trauma-informed services and (2) </w:t>
      </w:r>
      <w:r w:rsidRPr="00D87880">
        <w:rPr>
          <w:rFonts w:ascii="Times New Roman" w:hAnsi="Times New Roman" w:cs="Times New Roman"/>
          <w:sz w:val="22"/>
          <w:szCs w:val="22"/>
        </w:rPr>
        <w:t>involved with or at-risk for involvement with the juvenile or criminal justice systems;</w:t>
      </w:r>
    </w:p>
    <w:p w14:paraId="786DF0C4" w14:textId="77777777" w:rsidR="00A07771" w:rsidRPr="00D87880" w:rsidRDefault="0080324E" w:rsidP="00A07771">
      <w:pPr>
        <w:pStyle w:val="ListParagraph"/>
        <w:numPr>
          <w:ilvl w:val="0"/>
          <w:numId w:val="38"/>
        </w:numPr>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i/>
          <w:sz w:val="22"/>
          <w:szCs w:val="22"/>
        </w:rPr>
        <w:t>Recovery Support</w:t>
      </w:r>
      <w:r w:rsidR="00A07771" w:rsidRPr="00D87880">
        <w:rPr>
          <w:rFonts w:ascii="Times New Roman" w:hAnsi="Times New Roman" w:cs="Times New Roman"/>
          <w:sz w:val="22"/>
          <w:szCs w:val="22"/>
        </w:rPr>
        <w:t xml:space="preserve"> for individuals recovering from </w:t>
      </w:r>
      <w:r w:rsidR="00725929" w:rsidRPr="00D87880">
        <w:rPr>
          <w:rFonts w:ascii="Times New Roman" w:hAnsi="Times New Roman" w:cs="Times New Roman"/>
          <w:sz w:val="22"/>
          <w:szCs w:val="22"/>
        </w:rPr>
        <w:t>MH</w:t>
      </w:r>
      <w:r w:rsidR="00A07771" w:rsidRPr="00D87880">
        <w:rPr>
          <w:rFonts w:ascii="Times New Roman" w:hAnsi="Times New Roman" w:cs="Times New Roman"/>
          <w:sz w:val="22"/>
          <w:szCs w:val="22"/>
        </w:rPr>
        <w:t xml:space="preserve"> and substance use disorders.</w:t>
      </w:r>
      <w:r w:rsidR="00862178" w:rsidRPr="00D87880">
        <w:rPr>
          <w:rFonts w:ascii="Times New Roman" w:hAnsi="Times New Roman" w:cs="Times New Roman"/>
          <w:sz w:val="22"/>
          <w:szCs w:val="22"/>
        </w:rPr>
        <w:t xml:space="preserve"> </w:t>
      </w:r>
      <w:r w:rsidR="00A07771" w:rsidRPr="00D87880">
        <w:rPr>
          <w:rFonts w:ascii="Times New Roman" w:hAnsi="Times New Roman" w:cs="Times New Roman"/>
          <w:sz w:val="22"/>
          <w:szCs w:val="22"/>
        </w:rPr>
        <w:t>Evaluation findings will show SAMHSA the extent to which it is engaging consumers and their families in self-directed care, shared decision-making, and person-centered planning;</w:t>
      </w:r>
    </w:p>
    <w:p w14:paraId="2CBA7FF9" w14:textId="77777777" w:rsidR="00A07771" w:rsidRPr="00D87880" w:rsidRDefault="00C00A26" w:rsidP="00A07771">
      <w:pPr>
        <w:pStyle w:val="ListParagraph"/>
        <w:numPr>
          <w:ilvl w:val="0"/>
          <w:numId w:val="38"/>
        </w:numPr>
        <w:autoSpaceDE w:val="0"/>
        <w:autoSpaceDN w:val="0"/>
        <w:adjustRightInd w:val="0"/>
        <w:spacing w:line="240" w:lineRule="auto"/>
        <w:rPr>
          <w:rFonts w:ascii="Times New Roman" w:hAnsi="Times New Roman" w:cs="Times New Roman"/>
          <w:i/>
          <w:sz w:val="22"/>
          <w:szCs w:val="22"/>
        </w:rPr>
      </w:pPr>
      <w:r w:rsidRPr="00D87880">
        <w:rPr>
          <w:rFonts w:ascii="Times New Roman" w:hAnsi="Times New Roman" w:cs="Times New Roman"/>
          <w:i/>
          <w:sz w:val="22"/>
          <w:szCs w:val="22"/>
        </w:rPr>
        <w:t>Health Reform</w:t>
      </w:r>
      <w:r w:rsidRPr="00D87880">
        <w:rPr>
          <w:rFonts w:ascii="Times New Roman" w:hAnsi="Times New Roman" w:cs="Times New Roman"/>
          <w:sz w:val="22"/>
          <w:szCs w:val="22"/>
        </w:rPr>
        <w:t>, which emphasizes the need for integrated and coordinated care such as that promoted by the SOC model and assessed by the Evaluation; and</w:t>
      </w:r>
    </w:p>
    <w:p w14:paraId="09CC352C" w14:textId="77777777" w:rsidR="00391ED5" w:rsidRPr="00D87880" w:rsidRDefault="00391ED5" w:rsidP="00C00A26">
      <w:pPr>
        <w:pStyle w:val="ListParagraph"/>
        <w:numPr>
          <w:ilvl w:val="0"/>
          <w:numId w:val="38"/>
        </w:numPr>
        <w:spacing w:line="240" w:lineRule="auto"/>
        <w:rPr>
          <w:rFonts w:ascii="Times New Roman" w:hAnsi="Times New Roman" w:cs="Times New Roman"/>
          <w:sz w:val="22"/>
          <w:szCs w:val="22"/>
        </w:rPr>
      </w:pPr>
      <w:r w:rsidRPr="00D87880">
        <w:rPr>
          <w:rFonts w:ascii="Times New Roman" w:hAnsi="Times New Roman" w:cs="Times New Roman"/>
          <w:i/>
          <w:sz w:val="22"/>
          <w:szCs w:val="22"/>
        </w:rPr>
        <w:t>Data, Outcomes and Quality</w:t>
      </w:r>
      <w:r w:rsidRPr="00D87880">
        <w:rPr>
          <w:rFonts w:ascii="Times New Roman" w:hAnsi="Times New Roman" w:cs="Times New Roman"/>
          <w:sz w:val="22"/>
          <w:szCs w:val="22"/>
        </w:rPr>
        <w:t xml:space="preserve">, as Evaluation findings are intended to help improve the quality of SAMHSA’s </w:t>
      </w:r>
      <w:r w:rsidR="00813252" w:rsidRPr="00D87880">
        <w:rPr>
          <w:rFonts w:ascii="Times New Roman" w:hAnsi="Times New Roman" w:cs="Times New Roman"/>
          <w:sz w:val="22"/>
          <w:szCs w:val="22"/>
        </w:rPr>
        <w:t xml:space="preserve">CMHI </w:t>
      </w:r>
      <w:r w:rsidRPr="00D87880">
        <w:rPr>
          <w:rFonts w:ascii="Times New Roman" w:hAnsi="Times New Roman" w:cs="Times New Roman"/>
          <w:sz w:val="22"/>
          <w:szCs w:val="22"/>
        </w:rPr>
        <w:t>program</w:t>
      </w:r>
      <w:r w:rsidR="00C00A26" w:rsidRPr="00D87880">
        <w:rPr>
          <w:rFonts w:ascii="Times New Roman" w:hAnsi="Times New Roman" w:cs="Times New Roman"/>
          <w:sz w:val="22"/>
          <w:szCs w:val="22"/>
        </w:rPr>
        <w:t>.</w:t>
      </w:r>
    </w:p>
    <w:p w14:paraId="1A0DA157" w14:textId="354C83AB" w:rsidR="006409D2" w:rsidRDefault="006409D2">
      <w:pPr>
        <w:rPr>
          <w:rFonts w:ascii="Times New Roman" w:hAnsi="Times New Roman" w:cs="Times New Roman"/>
          <w:b/>
          <w:sz w:val="22"/>
          <w:szCs w:val="22"/>
        </w:rPr>
      </w:pPr>
      <w:r>
        <w:rPr>
          <w:rFonts w:ascii="Times New Roman" w:hAnsi="Times New Roman" w:cs="Times New Roman"/>
          <w:b/>
          <w:sz w:val="22"/>
          <w:szCs w:val="22"/>
        </w:rPr>
        <w:br w:type="page"/>
      </w:r>
    </w:p>
    <w:p w14:paraId="7A2097EC" w14:textId="6B22330E" w:rsidR="007A14F1" w:rsidRPr="00D87880" w:rsidRDefault="0080324E" w:rsidP="00365E28">
      <w:pPr>
        <w:spacing w:line="240" w:lineRule="auto"/>
        <w:rPr>
          <w:rFonts w:ascii="Times New Roman" w:hAnsi="Times New Roman" w:cs="Times New Roman"/>
          <w:sz w:val="22"/>
          <w:szCs w:val="22"/>
        </w:rPr>
      </w:pPr>
      <w:proofErr w:type="gramStart"/>
      <w:r w:rsidRPr="00D87880">
        <w:rPr>
          <w:rFonts w:ascii="Times New Roman" w:hAnsi="Times New Roman" w:cs="Times New Roman"/>
          <w:b/>
          <w:sz w:val="22"/>
          <w:szCs w:val="22"/>
        </w:rPr>
        <w:t>CMHS Leadership</w:t>
      </w:r>
      <w:r w:rsidR="00114304" w:rsidRPr="00D87880">
        <w:rPr>
          <w:rFonts w:ascii="Times New Roman" w:hAnsi="Times New Roman" w:cs="Times New Roman"/>
          <w:b/>
          <w:sz w:val="22"/>
          <w:szCs w:val="22"/>
        </w:rPr>
        <w:t>.</w:t>
      </w:r>
      <w:proofErr w:type="gramEnd"/>
      <w:r w:rsidR="00862178" w:rsidRPr="00D87880">
        <w:rPr>
          <w:rFonts w:ascii="Times New Roman" w:hAnsi="Times New Roman" w:cs="Times New Roman"/>
          <w:b/>
          <w:sz w:val="22"/>
          <w:szCs w:val="22"/>
        </w:rPr>
        <w:t xml:space="preserve"> </w:t>
      </w:r>
      <w:r w:rsidR="005F6F07" w:rsidRPr="00D87880">
        <w:rPr>
          <w:rFonts w:ascii="Times New Roman" w:hAnsi="Times New Roman" w:cs="Times New Roman"/>
          <w:sz w:val="22"/>
          <w:szCs w:val="22"/>
        </w:rPr>
        <w:t xml:space="preserve">SAMHSA/CMHS </w:t>
      </w:r>
      <w:r w:rsidR="0015008F" w:rsidRPr="00D87880">
        <w:rPr>
          <w:rFonts w:ascii="Times New Roman" w:hAnsi="Times New Roman" w:cs="Times New Roman"/>
          <w:sz w:val="22"/>
          <w:szCs w:val="22"/>
        </w:rPr>
        <w:t xml:space="preserve">directors and GPOs </w:t>
      </w:r>
      <w:r w:rsidR="005F6F07" w:rsidRPr="00D87880">
        <w:rPr>
          <w:rFonts w:ascii="Times New Roman" w:hAnsi="Times New Roman" w:cs="Times New Roman"/>
          <w:sz w:val="22"/>
          <w:szCs w:val="22"/>
        </w:rPr>
        <w:t xml:space="preserve">can use </w:t>
      </w:r>
      <w:r w:rsidR="00365E28" w:rsidRPr="00D87880">
        <w:rPr>
          <w:rFonts w:ascii="Times New Roman" w:hAnsi="Times New Roman" w:cs="Times New Roman"/>
          <w:sz w:val="22"/>
          <w:szCs w:val="22"/>
        </w:rPr>
        <w:t xml:space="preserve">Evaluation findings to address </w:t>
      </w:r>
      <w:r w:rsidR="0015008F" w:rsidRPr="00D87880">
        <w:rPr>
          <w:rFonts w:ascii="Times New Roman" w:hAnsi="Times New Roman" w:cs="Times New Roman"/>
          <w:sz w:val="22"/>
          <w:szCs w:val="22"/>
        </w:rPr>
        <w:t xml:space="preserve">program management </w:t>
      </w:r>
      <w:r w:rsidR="00365E28" w:rsidRPr="008D7D57">
        <w:rPr>
          <w:rFonts w:ascii="Times New Roman" w:hAnsi="Times New Roman" w:cs="Times New Roman"/>
          <w:sz w:val="22"/>
          <w:szCs w:val="22"/>
        </w:rPr>
        <w:t>priorities including accountability</w:t>
      </w:r>
      <w:r w:rsidR="0050341D" w:rsidRPr="008D7D57">
        <w:rPr>
          <w:rFonts w:ascii="Times New Roman" w:hAnsi="Times New Roman" w:cs="Times New Roman"/>
          <w:sz w:val="22"/>
          <w:szCs w:val="22"/>
        </w:rPr>
        <w:t xml:space="preserve"> (i.e., legislative requirements, as described in </w:t>
      </w:r>
      <w:r w:rsidR="008D7D57" w:rsidRPr="008D7D57">
        <w:rPr>
          <w:rFonts w:ascii="Times New Roman" w:hAnsi="Times New Roman" w:cs="Times New Roman"/>
          <w:sz w:val="22"/>
          <w:szCs w:val="22"/>
        </w:rPr>
        <w:t>Section 1.b</w:t>
      </w:r>
      <w:r w:rsidR="0050341D" w:rsidRPr="008D7D57">
        <w:rPr>
          <w:rFonts w:ascii="Times New Roman" w:hAnsi="Times New Roman" w:cs="Times New Roman"/>
          <w:sz w:val="22"/>
          <w:szCs w:val="22"/>
        </w:rPr>
        <w:t>)</w:t>
      </w:r>
      <w:r w:rsidR="00365E28" w:rsidRPr="008D7D57">
        <w:rPr>
          <w:rFonts w:ascii="Times New Roman" w:hAnsi="Times New Roman" w:cs="Times New Roman"/>
          <w:sz w:val="22"/>
          <w:szCs w:val="22"/>
        </w:rPr>
        <w:t>, program and policy planning, and program justification.</w:t>
      </w:r>
      <w:r w:rsidR="00862178" w:rsidRPr="008D7D57">
        <w:rPr>
          <w:rFonts w:ascii="Times New Roman" w:hAnsi="Times New Roman" w:cs="Times New Roman"/>
          <w:sz w:val="22"/>
          <w:szCs w:val="22"/>
        </w:rPr>
        <w:t xml:space="preserve"> </w:t>
      </w:r>
      <w:r w:rsidR="0015008F" w:rsidRPr="008D7D57">
        <w:rPr>
          <w:rFonts w:ascii="Times New Roman" w:hAnsi="Times New Roman" w:cs="Times New Roman"/>
          <w:sz w:val="22"/>
          <w:szCs w:val="22"/>
        </w:rPr>
        <w:t>For example</w:t>
      </w:r>
      <w:r w:rsidR="00CF5B50" w:rsidRPr="008D7D57">
        <w:rPr>
          <w:rFonts w:ascii="Times New Roman" w:hAnsi="Times New Roman" w:cs="Times New Roman"/>
          <w:sz w:val="22"/>
          <w:szCs w:val="22"/>
        </w:rPr>
        <w:t>, Evaluation findings can be used by CMHS leadership</w:t>
      </w:r>
      <w:r w:rsidR="00CF5B50" w:rsidRPr="00D87880">
        <w:rPr>
          <w:rFonts w:ascii="Times New Roman" w:hAnsi="Times New Roman" w:cs="Times New Roman"/>
          <w:sz w:val="22"/>
          <w:szCs w:val="22"/>
        </w:rPr>
        <w:t xml:space="preserve"> to</w:t>
      </w:r>
      <w:r w:rsidR="0015008F" w:rsidRPr="00D87880">
        <w:rPr>
          <w:rFonts w:ascii="Times New Roman" w:hAnsi="Times New Roman" w:cs="Times New Roman"/>
          <w:sz w:val="22"/>
          <w:szCs w:val="22"/>
        </w:rPr>
        <w:t>:</w:t>
      </w:r>
    </w:p>
    <w:p w14:paraId="4F7128C0" w14:textId="77777777" w:rsidR="007A14F1" w:rsidRPr="00D87880" w:rsidRDefault="00CF5B50" w:rsidP="007A14F1">
      <w:pPr>
        <w:pStyle w:val="ListParagraph"/>
        <w:numPr>
          <w:ilvl w:val="0"/>
          <w:numId w:val="26"/>
        </w:numPr>
        <w:spacing w:line="240" w:lineRule="auto"/>
        <w:rPr>
          <w:rFonts w:ascii="Times New Roman" w:hAnsi="Times New Roman" w:cs="Times New Roman"/>
          <w:sz w:val="22"/>
          <w:szCs w:val="22"/>
        </w:rPr>
      </w:pPr>
      <w:r w:rsidRPr="00D87880">
        <w:rPr>
          <w:rFonts w:ascii="Times New Roman" w:hAnsi="Times New Roman" w:cs="Times New Roman"/>
          <w:sz w:val="22"/>
          <w:szCs w:val="22"/>
        </w:rPr>
        <w:t>M</w:t>
      </w:r>
      <w:r w:rsidR="00104270" w:rsidRPr="00D87880">
        <w:rPr>
          <w:rFonts w:ascii="Times New Roman" w:hAnsi="Times New Roman" w:cs="Times New Roman"/>
          <w:sz w:val="22"/>
          <w:szCs w:val="22"/>
        </w:rPr>
        <w:t xml:space="preserve">onitor the progress of </w:t>
      </w:r>
      <w:r w:rsidR="0080324E" w:rsidRPr="00D87880">
        <w:rPr>
          <w:rFonts w:ascii="Times New Roman" w:hAnsi="Times New Roman" w:cs="Times New Roman"/>
          <w:sz w:val="22"/>
          <w:szCs w:val="22"/>
        </w:rPr>
        <w:t>funded activiti</w:t>
      </w:r>
      <w:r w:rsidR="00F14355" w:rsidRPr="00D87880">
        <w:rPr>
          <w:rFonts w:ascii="Times New Roman" w:hAnsi="Times New Roman" w:cs="Times New Roman"/>
          <w:sz w:val="22"/>
          <w:szCs w:val="22"/>
        </w:rPr>
        <w:t>es, which is essential for program monitoring, providing program TA, and program justification.</w:t>
      </w:r>
      <w:r w:rsidR="00862178" w:rsidRPr="00D87880">
        <w:rPr>
          <w:rFonts w:ascii="Times New Roman" w:hAnsi="Times New Roman" w:cs="Times New Roman"/>
          <w:sz w:val="22"/>
          <w:szCs w:val="22"/>
        </w:rPr>
        <w:t xml:space="preserve"> </w:t>
      </w:r>
    </w:p>
    <w:p w14:paraId="43353CDE" w14:textId="77777777" w:rsidR="00271C89" w:rsidRPr="00D87880" w:rsidRDefault="00CF5B50" w:rsidP="007A14F1">
      <w:pPr>
        <w:pStyle w:val="ListParagraph"/>
        <w:numPr>
          <w:ilvl w:val="0"/>
          <w:numId w:val="26"/>
        </w:numPr>
        <w:spacing w:line="240" w:lineRule="auto"/>
        <w:rPr>
          <w:rFonts w:ascii="Times New Roman" w:hAnsi="Times New Roman" w:cs="Times New Roman"/>
          <w:sz w:val="22"/>
          <w:szCs w:val="22"/>
        </w:rPr>
      </w:pPr>
      <w:r w:rsidRPr="00D87880">
        <w:rPr>
          <w:rFonts w:ascii="Times New Roman" w:hAnsi="Times New Roman" w:cs="Times New Roman"/>
          <w:sz w:val="22"/>
          <w:szCs w:val="22"/>
        </w:rPr>
        <w:t>I</w:t>
      </w:r>
      <w:r w:rsidR="0080324E" w:rsidRPr="00D87880">
        <w:rPr>
          <w:rFonts w:ascii="Times New Roman" w:hAnsi="Times New Roman" w:cs="Times New Roman"/>
          <w:sz w:val="22"/>
          <w:szCs w:val="22"/>
        </w:rPr>
        <w:t>nform both intra- and interagency program and policy planning</w:t>
      </w:r>
      <w:r w:rsidRPr="00D87880">
        <w:rPr>
          <w:rFonts w:ascii="Times New Roman" w:hAnsi="Times New Roman" w:cs="Times New Roman"/>
          <w:sz w:val="22"/>
          <w:szCs w:val="22"/>
        </w:rPr>
        <w:t>.</w:t>
      </w:r>
    </w:p>
    <w:p w14:paraId="6C6CF8CC" w14:textId="77777777" w:rsidR="00271C89" w:rsidRPr="00D87880" w:rsidRDefault="00271C89" w:rsidP="00271C89">
      <w:pPr>
        <w:pStyle w:val="ListParagraph"/>
        <w:numPr>
          <w:ilvl w:val="0"/>
          <w:numId w:val="26"/>
        </w:numPr>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Develop policies and provide guidance regarding </w:t>
      </w:r>
      <w:r w:rsidR="00CF5B50" w:rsidRPr="00D87880">
        <w:rPr>
          <w:rFonts w:ascii="Times New Roman" w:hAnsi="Times New Roman" w:cs="Times New Roman"/>
          <w:sz w:val="22"/>
          <w:szCs w:val="22"/>
        </w:rPr>
        <w:t>SOC</w:t>
      </w:r>
      <w:r w:rsidRPr="00D87880">
        <w:rPr>
          <w:rFonts w:ascii="Times New Roman" w:hAnsi="Times New Roman" w:cs="Times New Roman"/>
          <w:sz w:val="22"/>
          <w:szCs w:val="22"/>
        </w:rPr>
        <w:t xml:space="preserve"> </w:t>
      </w:r>
      <w:r w:rsidR="00CF5B50" w:rsidRPr="00D87880">
        <w:rPr>
          <w:rFonts w:ascii="Times New Roman" w:hAnsi="Times New Roman" w:cs="Times New Roman"/>
          <w:sz w:val="22"/>
          <w:szCs w:val="22"/>
        </w:rPr>
        <w:t>development.</w:t>
      </w:r>
    </w:p>
    <w:p w14:paraId="2B919662" w14:textId="77777777" w:rsidR="0074448F" w:rsidRPr="00D87880" w:rsidRDefault="0074448F" w:rsidP="0074448F">
      <w:pPr>
        <w:pStyle w:val="ListParagraph"/>
        <w:numPr>
          <w:ilvl w:val="0"/>
          <w:numId w:val="27"/>
        </w:num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Support TA activities to help grantees best meet program goals. </w:t>
      </w:r>
    </w:p>
    <w:p w14:paraId="0B42F337" w14:textId="43581273" w:rsidR="00271C89" w:rsidRPr="00D87880" w:rsidRDefault="00271C89" w:rsidP="00271C89">
      <w:pPr>
        <w:pStyle w:val="ListParagraph"/>
        <w:numPr>
          <w:ilvl w:val="0"/>
          <w:numId w:val="27"/>
        </w:numPr>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Support the many partners that work </w:t>
      </w:r>
      <w:r w:rsidR="00A37542" w:rsidRPr="00D87880">
        <w:rPr>
          <w:rFonts w:ascii="Times New Roman" w:hAnsi="Times New Roman" w:cs="Times New Roman"/>
          <w:sz w:val="22"/>
          <w:szCs w:val="22"/>
        </w:rPr>
        <w:t xml:space="preserve">on CMHI </w:t>
      </w:r>
      <w:r w:rsidRPr="00D87880">
        <w:rPr>
          <w:rFonts w:ascii="Times New Roman" w:hAnsi="Times New Roman" w:cs="Times New Roman"/>
          <w:sz w:val="22"/>
          <w:szCs w:val="22"/>
        </w:rPr>
        <w:t>in collaboration with CMHS, including the National Federation of Families for Children’s MH and Youth M.O.V.E.</w:t>
      </w:r>
      <w:r w:rsidR="00862178" w:rsidRPr="00D87880">
        <w:rPr>
          <w:rFonts w:ascii="Times New Roman" w:hAnsi="Times New Roman" w:cs="Times New Roman"/>
          <w:sz w:val="22"/>
          <w:szCs w:val="22"/>
        </w:rPr>
        <w:t xml:space="preserve"> </w:t>
      </w:r>
      <w:r w:rsidRPr="00D87880">
        <w:rPr>
          <w:rFonts w:ascii="Times New Roman" w:hAnsi="Times New Roman" w:cs="Times New Roman"/>
          <w:sz w:val="22"/>
          <w:szCs w:val="22"/>
        </w:rPr>
        <w:t xml:space="preserve">National in their efforts to help build </w:t>
      </w:r>
      <w:r w:rsidR="00DC5333" w:rsidRPr="00D87880">
        <w:rPr>
          <w:rFonts w:ascii="Times New Roman" w:hAnsi="Times New Roman" w:cs="Times New Roman"/>
          <w:sz w:val="22"/>
          <w:szCs w:val="22"/>
        </w:rPr>
        <w:t>SOC</w:t>
      </w:r>
      <w:r w:rsidRPr="00D87880">
        <w:rPr>
          <w:rFonts w:ascii="Times New Roman" w:hAnsi="Times New Roman" w:cs="Times New Roman"/>
          <w:sz w:val="22"/>
          <w:szCs w:val="22"/>
        </w:rPr>
        <w:t xml:space="preserve"> for children's MH services. </w:t>
      </w:r>
    </w:p>
    <w:p w14:paraId="1DFF231F" w14:textId="70AA6A90" w:rsidR="00B95EC0" w:rsidRPr="00D87880" w:rsidRDefault="00B95EC0" w:rsidP="0051571A">
      <w:pPr>
        <w:rPr>
          <w:rFonts w:ascii="Times New Roman" w:hAnsi="Times New Roman" w:cs="Times New Roman"/>
          <w:sz w:val="22"/>
          <w:szCs w:val="22"/>
        </w:rPr>
      </w:pPr>
      <w:r w:rsidRPr="00D87880">
        <w:rPr>
          <w:rFonts w:ascii="Times New Roman" w:hAnsi="Times New Roman" w:cs="Times New Roman"/>
          <w:sz w:val="22"/>
          <w:szCs w:val="22"/>
        </w:rPr>
        <w:t>Some Evaluation findings will be of use to both CMHS leadership and grantees such as (but not limited to) the following:</w:t>
      </w:r>
    </w:p>
    <w:p w14:paraId="553CE894" w14:textId="11F8C094" w:rsidR="00B01B3C" w:rsidRPr="00D87880" w:rsidRDefault="00B01B3C" w:rsidP="00A72C07">
      <w:pPr>
        <w:pStyle w:val="ListParagraph"/>
        <w:numPr>
          <w:ilvl w:val="0"/>
          <w:numId w:val="25"/>
        </w:numPr>
        <w:tabs>
          <w:tab w:val="left" w:pos="-1440"/>
        </w:tabs>
        <w:spacing w:after="0" w:line="240" w:lineRule="auto"/>
        <w:rPr>
          <w:rFonts w:ascii="Times New Roman" w:hAnsi="Times New Roman" w:cs="Times New Roman"/>
          <w:sz w:val="22"/>
          <w:szCs w:val="22"/>
        </w:rPr>
      </w:pPr>
      <w:r w:rsidRPr="00D87880">
        <w:rPr>
          <w:rFonts w:ascii="Times New Roman" w:hAnsi="Times New Roman" w:cs="Times New Roman"/>
          <w:sz w:val="22"/>
          <w:szCs w:val="22"/>
        </w:rPr>
        <w:t>Illustrat</w:t>
      </w:r>
      <w:r w:rsidR="00A72C07" w:rsidRPr="00D87880">
        <w:rPr>
          <w:rFonts w:ascii="Times New Roman" w:hAnsi="Times New Roman" w:cs="Times New Roman"/>
          <w:sz w:val="22"/>
          <w:szCs w:val="22"/>
        </w:rPr>
        <w:t>ing</w:t>
      </w:r>
      <w:r w:rsidRPr="00D87880">
        <w:rPr>
          <w:rFonts w:ascii="Times New Roman" w:hAnsi="Times New Roman" w:cs="Times New Roman"/>
          <w:sz w:val="22"/>
          <w:szCs w:val="22"/>
        </w:rPr>
        <w:t xml:space="preserve"> the development of </w:t>
      </w:r>
      <w:r w:rsidR="00DC5333" w:rsidRPr="00D87880">
        <w:rPr>
          <w:rFonts w:ascii="Times New Roman" w:hAnsi="Times New Roman" w:cs="Times New Roman"/>
          <w:sz w:val="22"/>
          <w:szCs w:val="22"/>
        </w:rPr>
        <w:t>SOC</w:t>
      </w:r>
      <w:r w:rsidR="0094403A">
        <w:rPr>
          <w:rFonts w:ascii="Times New Roman" w:hAnsi="Times New Roman" w:cs="Times New Roman"/>
          <w:sz w:val="22"/>
          <w:szCs w:val="22"/>
        </w:rPr>
        <w:t>s</w:t>
      </w:r>
      <w:r w:rsidRPr="00D87880">
        <w:rPr>
          <w:rFonts w:ascii="Times New Roman" w:hAnsi="Times New Roman" w:cs="Times New Roman"/>
          <w:sz w:val="22"/>
          <w:szCs w:val="22"/>
        </w:rPr>
        <w:t xml:space="preserve"> as they move toward offering integrated and comprehensive services; </w:t>
      </w:r>
    </w:p>
    <w:p w14:paraId="1CB34771" w14:textId="0F009B7A" w:rsidR="0078039C" w:rsidRPr="00D87880" w:rsidRDefault="0078039C" w:rsidP="00A72C07">
      <w:pPr>
        <w:pStyle w:val="ListParagraph"/>
        <w:numPr>
          <w:ilvl w:val="0"/>
          <w:numId w:val="25"/>
        </w:numPr>
        <w:tabs>
          <w:tab w:val="left" w:pos="-1440"/>
        </w:tabs>
        <w:spacing w:after="0" w:line="240" w:lineRule="auto"/>
        <w:rPr>
          <w:rFonts w:ascii="Times New Roman" w:hAnsi="Times New Roman" w:cs="Times New Roman"/>
          <w:sz w:val="22"/>
          <w:szCs w:val="22"/>
        </w:rPr>
      </w:pPr>
      <w:r w:rsidRPr="00D87880">
        <w:rPr>
          <w:rFonts w:ascii="Times New Roman" w:hAnsi="Times New Roman" w:cs="Times New Roman"/>
          <w:sz w:val="22"/>
          <w:szCs w:val="22"/>
        </w:rPr>
        <w:t>Provid</w:t>
      </w:r>
      <w:r w:rsidR="00A72C07" w:rsidRPr="00D87880">
        <w:rPr>
          <w:rFonts w:ascii="Times New Roman" w:hAnsi="Times New Roman" w:cs="Times New Roman"/>
          <w:sz w:val="22"/>
          <w:szCs w:val="22"/>
        </w:rPr>
        <w:t>ing</w:t>
      </w:r>
      <w:r w:rsidRPr="00D87880">
        <w:rPr>
          <w:rFonts w:ascii="Times New Roman" w:hAnsi="Times New Roman" w:cs="Times New Roman"/>
          <w:sz w:val="22"/>
          <w:szCs w:val="22"/>
        </w:rPr>
        <w:t xml:space="preserve"> detailed information on how to successfully bring </w:t>
      </w:r>
      <w:r w:rsidR="00DC5333" w:rsidRPr="00D87880">
        <w:rPr>
          <w:rFonts w:ascii="Times New Roman" w:hAnsi="Times New Roman" w:cs="Times New Roman"/>
          <w:sz w:val="22"/>
          <w:szCs w:val="22"/>
        </w:rPr>
        <w:t>SOC</w:t>
      </w:r>
      <w:r w:rsidR="0094403A">
        <w:rPr>
          <w:rFonts w:ascii="Times New Roman" w:hAnsi="Times New Roman" w:cs="Times New Roman"/>
          <w:sz w:val="22"/>
          <w:szCs w:val="22"/>
        </w:rPr>
        <w:t>s</w:t>
      </w:r>
      <w:r w:rsidRPr="00D87880">
        <w:rPr>
          <w:rFonts w:ascii="Times New Roman" w:hAnsi="Times New Roman" w:cs="Times New Roman"/>
          <w:sz w:val="22"/>
          <w:szCs w:val="22"/>
        </w:rPr>
        <w:t xml:space="preserve"> to scale and sustain them;</w:t>
      </w:r>
    </w:p>
    <w:p w14:paraId="63365535" w14:textId="25594328" w:rsidR="003A0A95" w:rsidRDefault="003A0A95" w:rsidP="00A72C07">
      <w:pPr>
        <w:pStyle w:val="ListParagraph"/>
        <w:numPr>
          <w:ilvl w:val="0"/>
          <w:numId w:val="24"/>
        </w:numPr>
        <w:tabs>
          <w:tab w:val="left" w:pos="-1440"/>
        </w:tabs>
        <w:spacing w:after="0" w:line="240" w:lineRule="auto"/>
        <w:rPr>
          <w:rFonts w:ascii="Times New Roman" w:hAnsi="Times New Roman" w:cs="Times New Roman"/>
          <w:sz w:val="22"/>
          <w:szCs w:val="22"/>
        </w:rPr>
      </w:pPr>
      <w:r>
        <w:rPr>
          <w:rFonts w:ascii="Times New Roman" w:hAnsi="Times New Roman" w:cs="Times New Roman"/>
          <w:sz w:val="22"/>
          <w:szCs w:val="22"/>
        </w:rPr>
        <w:t>Identify funding sources used by states to sustain or expand SOC</w:t>
      </w:r>
      <w:r w:rsidR="0094403A">
        <w:rPr>
          <w:rFonts w:ascii="Times New Roman" w:hAnsi="Times New Roman" w:cs="Times New Roman"/>
          <w:sz w:val="22"/>
          <w:szCs w:val="22"/>
        </w:rPr>
        <w:t>s</w:t>
      </w:r>
      <w:r>
        <w:rPr>
          <w:rFonts w:ascii="Times New Roman" w:hAnsi="Times New Roman" w:cs="Times New Roman"/>
          <w:sz w:val="22"/>
          <w:szCs w:val="22"/>
        </w:rPr>
        <w:t xml:space="preserve"> services;</w:t>
      </w:r>
    </w:p>
    <w:p w14:paraId="24C86D14" w14:textId="77777777" w:rsidR="00DF0FEB" w:rsidRPr="00D87880" w:rsidRDefault="00DF0FEB" w:rsidP="00A72C07">
      <w:pPr>
        <w:pStyle w:val="ListParagraph"/>
        <w:numPr>
          <w:ilvl w:val="0"/>
          <w:numId w:val="24"/>
        </w:numPr>
        <w:tabs>
          <w:tab w:val="left" w:pos="-1440"/>
        </w:tabs>
        <w:spacing w:after="0" w:line="240" w:lineRule="auto"/>
        <w:rPr>
          <w:rFonts w:ascii="Times New Roman" w:hAnsi="Times New Roman" w:cs="Times New Roman"/>
          <w:sz w:val="22"/>
          <w:szCs w:val="22"/>
        </w:rPr>
      </w:pPr>
      <w:r w:rsidRPr="00D87880">
        <w:rPr>
          <w:rFonts w:ascii="Times New Roman" w:hAnsi="Times New Roman" w:cs="Times New Roman"/>
          <w:sz w:val="22"/>
          <w:szCs w:val="22"/>
        </w:rPr>
        <w:t>Describ</w:t>
      </w:r>
      <w:r w:rsidR="00657F20" w:rsidRPr="00D87880">
        <w:rPr>
          <w:rFonts w:ascii="Times New Roman" w:hAnsi="Times New Roman" w:cs="Times New Roman"/>
          <w:sz w:val="22"/>
          <w:szCs w:val="22"/>
        </w:rPr>
        <w:t>ing</w:t>
      </w:r>
      <w:r w:rsidRPr="00D87880">
        <w:rPr>
          <w:rFonts w:ascii="Times New Roman" w:hAnsi="Times New Roman" w:cs="Times New Roman"/>
          <w:sz w:val="22"/>
          <w:szCs w:val="22"/>
        </w:rPr>
        <w:t xml:space="preserve"> experiences and implementation practices </w:t>
      </w:r>
      <w:r w:rsidR="00657F20" w:rsidRPr="00D87880">
        <w:rPr>
          <w:rFonts w:ascii="Times New Roman" w:hAnsi="Times New Roman" w:cs="Times New Roman"/>
          <w:sz w:val="22"/>
          <w:szCs w:val="22"/>
        </w:rPr>
        <w:t>(</w:t>
      </w:r>
      <w:r w:rsidRPr="00D87880">
        <w:rPr>
          <w:rFonts w:ascii="Times New Roman" w:hAnsi="Times New Roman" w:cs="Times New Roman"/>
          <w:sz w:val="22"/>
          <w:szCs w:val="22"/>
        </w:rPr>
        <w:t>across all grantees</w:t>
      </w:r>
      <w:r w:rsidR="00657F20" w:rsidRPr="00D87880">
        <w:rPr>
          <w:rFonts w:ascii="Times New Roman" w:hAnsi="Times New Roman" w:cs="Times New Roman"/>
          <w:sz w:val="22"/>
          <w:szCs w:val="22"/>
        </w:rPr>
        <w:t>);</w:t>
      </w:r>
    </w:p>
    <w:p w14:paraId="380D667E" w14:textId="77777777" w:rsidR="00DF0FEB" w:rsidRPr="00D87880" w:rsidRDefault="00DF0FEB" w:rsidP="00A72C07">
      <w:pPr>
        <w:pStyle w:val="ListParagraph"/>
        <w:numPr>
          <w:ilvl w:val="0"/>
          <w:numId w:val="24"/>
        </w:numPr>
        <w:tabs>
          <w:tab w:val="left" w:pos="-1440"/>
        </w:tabs>
        <w:spacing w:after="0" w:line="240" w:lineRule="auto"/>
        <w:rPr>
          <w:rFonts w:ascii="Times New Roman" w:hAnsi="Times New Roman" w:cs="Times New Roman"/>
          <w:sz w:val="22"/>
          <w:szCs w:val="22"/>
        </w:rPr>
      </w:pPr>
      <w:r w:rsidRPr="00D87880">
        <w:rPr>
          <w:rFonts w:ascii="Times New Roman" w:hAnsi="Times New Roman" w:cs="Times New Roman"/>
          <w:sz w:val="22"/>
          <w:szCs w:val="22"/>
        </w:rPr>
        <w:t>Identify</w:t>
      </w:r>
      <w:r w:rsidR="00657F20" w:rsidRPr="00D87880">
        <w:rPr>
          <w:rFonts w:ascii="Times New Roman" w:hAnsi="Times New Roman" w:cs="Times New Roman"/>
          <w:sz w:val="22"/>
          <w:szCs w:val="22"/>
        </w:rPr>
        <w:t>ing</w:t>
      </w:r>
      <w:r w:rsidRPr="00D87880">
        <w:rPr>
          <w:rFonts w:ascii="Times New Roman" w:hAnsi="Times New Roman" w:cs="Times New Roman"/>
          <w:sz w:val="22"/>
          <w:szCs w:val="22"/>
        </w:rPr>
        <w:t xml:space="preserve"> best practices and effective strategies</w:t>
      </w:r>
      <w:r w:rsidR="00657F20" w:rsidRPr="00D87880">
        <w:rPr>
          <w:rFonts w:ascii="Times New Roman" w:hAnsi="Times New Roman" w:cs="Times New Roman"/>
          <w:sz w:val="22"/>
          <w:szCs w:val="22"/>
        </w:rPr>
        <w:t>;</w:t>
      </w:r>
    </w:p>
    <w:p w14:paraId="7521BB86" w14:textId="77777777" w:rsidR="00DF0FEB" w:rsidRPr="00D87880" w:rsidRDefault="00DF0FEB" w:rsidP="00A72C07">
      <w:pPr>
        <w:pStyle w:val="ListParagraph"/>
        <w:numPr>
          <w:ilvl w:val="0"/>
          <w:numId w:val="24"/>
        </w:numPr>
        <w:tabs>
          <w:tab w:val="left" w:pos="-1440"/>
        </w:tabs>
        <w:spacing w:after="0" w:line="240" w:lineRule="auto"/>
        <w:rPr>
          <w:rFonts w:ascii="Times New Roman" w:hAnsi="Times New Roman" w:cs="Times New Roman"/>
          <w:sz w:val="22"/>
          <w:szCs w:val="22"/>
        </w:rPr>
      </w:pPr>
      <w:r w:rsidRPr="00D87880">
        <w:rPr>
          <w:rFonts w:ascii="Times New Roman" w:hAnsi="Times New Roman" w:cs="Times New Roman"/>
          <w:sz w:val="22"/>
          <w:szCs w:val="22"/>
        </w:rPr>
        <w:t>Understand</w:t>
      </w:r>
      <w:r w:rsidR="00657F20" w:rsidRPr="00D87880">
        <w:rPr>
          <w:rFonts w:ascii="Times New Roman" w:hAnsi="Times New Roman" w:cs="Times New Roman"/>
          <w:sz w:val="22"/>
          <w:szCs w:val="22"/>
        </w:rPr>
        <w:t>ing</w:t>
      </w:r>
      <w:r w:rsidRPr="00D87880">
        <w:rPr>
          <w:rFonts w:ascii="Times New Roman" w:hAnsi="Times New Roman" w:cs="Times New Roman"/>
          <w:sz w:val="22"/>
          <w:szCs w:val="22"/>
        </w:rPr>
        <w:t xml:space="preserve"> barriers and facilitators to successful implementation</w:t>
      </w:r>
      <w:r w:rsidR="00657F20" w:rsidRPr="00D87880">
        <w:rPr>
          <w:rFonts w:ascii="Times New Roman" w:hAnsi="Times New Roman" w:cs="Times New Roman"/>
          <w:sz w:val="22"/>
          <w:szCs w:val="22"/>
        </w:rPr>
        <w:t>;</w:t>
      </w:r>
    </w:p>
    <w:p w14:paraId="2A23F606" w14:textId="6C51084F" w:rsidR="00696A42" w:rsidRPr="00D87880" w:rsidRDefault="00696A42" w:rsidP="00A72C07">
      <w:pPr>
        <w:numPr>
          <w:ilvl w:val="0"/>
          <w:numId w:val="3"/>
        </w:numPr>
        <w:tabs>
          <w:tab w:val="left" w:pos="-1440"/>
          <w:tab w:val="left" w:pos="720"/>
        </w:tabs>
        <w:autoSpaceDE w:val="0"/>
        <w:autoSpaceDN w:val="0"/>
        <w:adjustRightInd w:val="0"/>
        <w:spacing w:after="0" w:line="240" w:lineRule="auto"/>
        <w:rPr>
          <w:rFonts w:ascii="Times New Roman" w:hAnsi="Times New Roman" w:cs="Times New Roman"/>
          <w:sz w:val="22"/>
          <w:szCs w:val="22"/>
        </w:rPr>
      </w:pPr>
      <w:r w:rsidRPr="00D87880">
        <w:rPr>
          <w:rFonts w:ascii="Times New Roman" w:hAnsi="Times New Roman" w:cs="Times New Roman"/>
          <w:sz w:val="22"/>
          <w:szCs w:val="22"/>
        </w:rPr>
        <w:t>Compar</w:t>
      </w:r>
      <w:r w:rsidR="00657F20" w:rsidRPr="00D87880">
        <w:rPr>
          <w:rFonts w:ascii="Times New Roman" w:hAnsi="Times New Roman" w:cs="Times New Roman"/>
          <w:sz w:val="22"/>
          <w:szCs w:val="22"/>
        </w:rPr>
        <w:t>ing</w:t>
      </w:r>
      <w:r w:rsidRPr="00D87880">
        <w:rPr>
          <w:rFonts w:ascii="Times New Roman" w:hAnsi="Times New Roman" w:cs="Times New Roman"/>
          <w:sz w:val="22"/>
          <w:szCs w:val="22"/>
        </w:rPr>
        <w:t xml:space="preserve"> access, utilization and expenditure patterns for children’s MH services </w:t>
      </w:r>
      <w:r w:rsidR="00657F20" w:rsidRPr="00D87880">
        <w:rPr>
          <w:rFonts w:ascii="Times New Roman" w:hAnsi="Times New Roman" w:cs="Times New Roman"/>
          <w:sz w:val="22"/>
          <w:szCs w:val="22"/>
        </w:rPr>
        <w:t xml:space="preserve">across states and other types of jurisdictions; </w:t>
      </w:r>
    </w:p>
    <w:p w14:paraId="2A8B0189" w14:textId="39171CFA" w:rsidR="008224C6" w:rsidRDefault="00696A42" w:rsidP="008224C6">
      <w:pPr>
        <w:numPr>
          <w:ilvl w:val="0"/>
          <w:numId w:val="25"/>
        </w:numPr>
        <w:autoSpaceDE w:val="0"/>
        <w:autoSpaceDN w:val="0"/>
        <w:adjustRightInd w:val="0"/>
        <w:spacing w:after="0" w:line="240" w:lineRule="auto"/>
        <w:rPr>
          <w:rFonts w:ascii="Times New Roman" w:hAnsi="Times New Roman" w:cs="Times New Roman"/>
          <w:sz w:val="22"/>
          <w:szCs w:val="22"/>
        </w:rPr>
      </w:pPr>
      <w:r w:rsidRPr="00D87880">
        <w:rPr>
          <w:rFonts w:ascii="Times New Roman" w:hAnsi="Times New Roman" w:cs="Times New Roman"/>
          <w:sz w:val="22"/>
          <w:szCs w:val="22"/>
        </w:rPr>
        <w:t>Docu</w:t>
      </w:r>
      <w:r w:rsidR="00657F20" w:rsidRPr="00D87880">
        <w:rPr>
          <w:rFonts w:ascii="Times New Roman" w:hAnsi="Times New Roman" w:cs="Times New Roman"/>
          <w:sz w:val="22"/>
          <w:szCs w:val="22"/>
        </w:rPr>
        <w:t>menting savings from reducing high-</w:t>
      </w:r>
      <w:r w:rsidRPr="00D87880">
        <w:rPr>
          <w:rFonts w:ascii="Times New Roman" w:hAnsi="Times New Roman" w:cs="Times New Roman"/>
          <w:sz w:val="22"/>
          <w:szCs w:val="22"/>
        </w:rPr>
        <w:t>cost</w:t>
      </w:r>
      <w:r w:rsidR="00657F20" w:rsidRPr="00D87880">
        <w:rPr>
          <w:rFonts w:ascii="Times New Roman" w:hAnsi="Times New Roman" w:cs="Times New Roman"/>
          <w:sz w:val="22"/>
          <w:szCs w:val="22"/>
        </w:rPr>
        <w:t>,</w:t>
      </w:r>
      <w:r w:rsidRPr="00D87880">
        <w:rPr>
          <w:rFonts w:ascii="Times New Roman" w:hAnsi="Times New Roman" w:cs="Times New Roman"/>
          <w:sz w:val="22"/>
          <w:szCs w:val="22"/>
        </w:rPr>
        <w:t xml:space="preserve"> out-of-home services that illustrate the business case for SOC</w:t>
      </w:r>
      <w:r w:rsidR="00716F4D">
        <w:rPr>
          <w:rFonts w:ascii="Times New Roman" w:hAnsi="Times New Roman" w:cs="Times New Roman"/>
          <w:sz w:val="22"/>
          <w:szCs w:val="22"/>
        </w:rPr>
        <w:t>s</w:t>
      </w:r>
      <w:r w:rsidR="008224C6">
        <w:rPr>
          <w:rFonts w:ascii="Times New Roman" w:hAnsi="Times New Roman" w:cs="Times New Roman"/>
          <w:sz w:val="22"/>
          <w:szCs w:val="22"/>
        </w:rPr>
        <w:t xml:space="preserve">; </w:t>
      </w:r>
    </w:p>
    <w:p w14:paraId="42C67E5A" w14:textId="2D43DE1C" w:rsidR="008224C6" w:rsidRPr="00D87880" w:rsidRDefault="008224C6" w:rsidP="008224C6">
      <w:pPr>
        <w:numPr>
          <w:ilvl w:val="0"/>
          <w:numId w:val="25"/>
        </w:numPr>
        <w:autoSpaceDE w:val="0"/>
        <w:autoSpaceDN w:val="0"/>
        <w:adjustRightInd w:val="0"/>
        <w:spacing w:after="0" w:line="240" w:lineRule="auto"/>
        <w:rPr>
          <w:rFonts w:ascii="Times New Roman" w:hAnsi="Times New Roman" w:cs="Times New Roman"/>
          <w:sz w:val="22"/>
          <w:szCs w:val="22"/>
        </w:rPr>
      </w:pPr>
      <w:r w:rsidRPr="00D87880">
        <w:rPr>
          <w:rFonts w:ascii="Times New Roman" w:hAnsi="Times New Roman" w:cs="Times New Roman"/>
          <w:sz w:val="22"/>
          <w:szCs w:val="22"/>
        </w:rPr>
        <w:t xml:space="preserve">Showing whether there are observable differences in child and family outcomes that can be plausibly linked to the SOC approach; </w:t>
      </w:r>
      <w:r>
        <w:rPr>
          <w:rFonts w:ascii="Times New Roman" w:hAnsi="Times New Roman" w:cs="Times New Roman"/>
          <w:sz w:val="22"/>
          <w:szCs w:val="22"/>
        </w:rPr>
        <w:t>and</w:t>
      </w:r>
    </w:p>
    <w:p w14:paraId="53EA1FFB" w14:textId="3B815971" w:rsidR="008224C6" w:rsidRPr="00D87880" w:rsidRDefault="008224C6" w:rsidP="008224C6">
      <w:pPr>
        <w:pStyle w:val="ListParagraph"/>
        <w:numPr>
          <w:ilvl w:val="0"/>
          <w:numId w:val="25"/>
        </w:numPr>
        <w:spacing w:after="0" w:line="240" w:lineRule="auto"/>
        <w:rPr>
          <w:rFonts w:ascii="Times New Roman" w:hAnsi="Times New Roman" w:cs="Times New Roman"/>
          <w:sz w:val="22"/>
          <w:szCs w:val="22"/>
        </w:rPr>
      </w:pPr>
      <w:r w:rsidRPr="00D87880">
        <w:rPr>
          <w:rFonts w:ascii="Times New Roman" w:hAnsi="Times New Roman" w:cs="Times New Roman"/>
          <w:sz w:val="22"/>
          <w:szCs w:val="22"/>
        </w:rPr>
        <w:t>Describing how children and families experience the service system and how they use services and supports (i.e., utilization patterns)</w:t>
      </w:r>
      <w:r>
        <w:rPr>
          <w:rFonts w:ascii="Times New Roman" w:hAnsi="Times New Roman" w:cs="Times New Roman"/>
          <w:sz w:val="22"/>
          <w:szCs w:val="22"/>
        </w:rPr>
        <w:t>.</w:t>
      </w:r>
      <w:r w:rsidRPr="00D87880">
        <w:rPr>
          <w:rFonts w:ascii="Times New Roman" w:hAnsi="Times New Roman" w:cs="Times New Roman"/>
          <w:sz w:val="22"/>
          <w:szCs w:val="22"/>
        </w:rPr>
        <w:t xml:space="preserve"> </w:t>
      </w:r>
    </w:p>
    <w:p w14:paraId="40A1FEB3" w14:textId="77777777" w:rsidR="00696A42" w:rsidRPr="00D87880" w:rsidRDefault="00696A42" w:rsidP="008224C6">
      <w:pPr>
        <w:tabs>
          <w:tab w:val="left" w:pos="-1440"/>
          <w:tab w:val="left" w:pos="720"/>
        </w:tabs>
        <w:autoSpaceDE w:val="0"/>
        <w:autoSpaceDN w:val="0"/>
        <w:adjustRightInd w:val="0"/>
        <w:spacing w:line="240" w:lineRule="auto"/>
        <w:ind w:left="360"/>
        <w:rPr>
          <w:rFonts w:ascii="Times New Roman" w:hAnsi="Times New Roman" w:cs="Times New Roman"/>
          <w:sz w:val="22"/>
          <w:szCs w:val="22"/>
        </w:rPr>
      </w:pPr>
    </w:p>
    <w:p w14:paraId="21B4ED8C" w14:textId="77777777" w:rsidR="00DF0FEB" w:rsidRPr="00D87880" w:rsidRDefault="00DF0FEB" w:rsidP="00DF0FEB">
      <w:pPr>
        <w:tabs>
          <w:tab w:val="left" w:pos="-1440"/>
        </w:tabs>
        <w:spacing w:line="240" w:lineRule="auto"/>
        <w:rPr>
          <w:rFonts w:ascii="Times New Roman" w:hAnsi="Times New Roman" w:cs="Times New Roman"/>
          <w:b/>
          <w:sz w:val="22"/>
          <w:szCs w:val="22"/>
        </w:rPr>
      </w:pPr>
      <w:r w:rsidRPr="00D87880">
        <w:rPr>
          <w:rFonts w:ascii="Times New Roman" w:hAnsi="Times New Roman" w:cs="Times New Roman"/>
          <w:b/>
          <w:sz w:val="22"/>
          <w:szCs w:val="22"/>
        </w:rPr>
        <w:t>Grantees and the Practice Community</w:t>
      </w:r>
    </w:p>
    <w:p w14:paraId="3509E981" w14:textId="77777777" w:rsidR="0080324E" w:rsidRPr="00D87880" w:rsidRDefault="003800B2" w:rsidP="0062607C">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Grantees and the practice community can use </w:t>
      </w:r>
      <w:r w:rsidR="00A135A3" w:rsidRPr="00D87880">
        <w:rPr>
          <w:rFonts w:ascii="Times New Roman" w:hAnsi="Times New Roman" w:cs="Times New Roman"/>
          <w:sz w:val="22"/>
          <w:szCs w:val="22"/>
        </w:rPr>
        <w:t>Evaluation</w:t>
      </w:r>
      <w:r w:rsidR="0080324E" w:rsidRPr="00D87880">
        <w:rPr>
          <w:rFonts w:ascii="Times New Roman" w:hAnsi="Times New Roman" w:cs="Times New Roman"/>
          <w:sz w:val="22"/>
          <w:szCs w:val="22"/>
        </w:rPr>
        <w:t xml:space="preserve"> </w:t>
      </w:r>
      <w:r w:rsidRPr="00D87880">
        <w:rPr>
          <w:rFonts w:ascii="Times New Roman" w:hAnsi="Times New Roman" w:cs="Times New Roman"/>
          <w:sz w:val="22"/>
          <w:szCs w:val="22"/>
        </w:rPr>
        <w:t xml:space="preserve">findings </w:t>
      </w:r>
      <w:r w:rsidR="0080324E" w:rsidRPr="00D87880">
        <w:rPr>
          <w:rFonts w:ascii="Times New Roman" w:hAnsi="Times New Roman" w:cs="Times New Roman"/>
          <w:sz w:val="22"/>
          <w:szCs w:val="22"/>
        </w:rPr>
        <w:t>to:</w:t>
      </w:r>
    </w:p>
    <w:p w14:paraId="584FC4F1" w14:textId="77777777" w:rsidR="0080324E" w:rsidRPr="00D87880" w:rsidRDefault="009123AF" w:rsidP="007A14F1">
      <w:pPr>
        <w:numPr>
          <w:ilvl w:val="0"/>
          <w:numId w:val="3"/>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I</w:t>
      </w:r>
      <w:r w:rsidR="0080324E" w:rsidRPr="00D87880">
        <w:rPr>
          <w:rFonts w:ascii="Times New Roman" w:hAnsi="Times New Roman" w:cs="Times New Roman"/>
          <w:sz w:val="22"/>
          <w:szCs w:val="22"/>
        </w:rPr>
        <w:t xml:space="preserve">mprove the implementation of their </w:t>
      </w:r>
      <w:r w:rsidR="00DC5333" w:rsidRPr="00D87880">
        <w:rPr>
          <w:rFonts w:ascii="Times New Roman" w:hAnsi="Times New Roman" w:cs="Times New Roman"/>
          <w:sz w:val="22"/>
          <w:szCs w:val="22"/>
        </w:rPr>
        <w:t>SOC</w:t>
      </w:r>
      <w:r w:rsidR="0080324E" w:rsidRPr="00D87880">
        <w:rPr>
          <w:rFonts w:ascii="Times New Roman" w:hAnsi="Times New Roman" w:cs="Times New Roman"/>
          <w:sz w:val="22"/>
          <w:szCs w:val="22"/>
        </w:rPr>
        <w:t xml:space="preserve"> and</w:t>
      </w:r>
      <w:r w:rsidRPr="00D87880">
        <w:rPr>
          <w:rFonts w:ascii="Times New Roman" w:hAnsi="Times New Roman" w:cs="Times New Roman"/>
          <w:sz w:val="22"/>
          <w:szCs w:val="22"/>
        </w:rPr>
        <w:t xml:space="preserve"> achieve the goals of the CMHI;</w:t>
      </w:r>
    </w:p>
    <w:p w14:paraId="07432B8B" w14:textId="77777777" w:rsidR="00E555E1" w:rsidRPr="00D87880" w:rsidRDefault="009123AF" w:rsidP="007A14F1">
      <w:pPr>
        <w:numPr>
          <w:ilvl w:val="0"/>
          <w:numId w:val="3"/>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I</w:t>
      </w:r>
      <w:r w:rsidR="0080324E" w:rsidRPr="00D87880">
        <w:rPr>
          <w:rFonts w:ascii="Times New Roman" w:hAnsi="Times New Roman" w:cs="Times New Roman"/>
          <w:sz w:val="22"/>
          <w:szCs w:val="22"/>
        </w:rPr>
        <w:t>mprove the</w:t>
      </w:r>
      <w:r w:rsidR="00E555E1" w:rsidRPr="00D87880">
        <w:rPr>
          <w:rFonts w:ascii="Times New Roman" w:hAnsi="Times New Roman" w:cs="Times New Roman"/>
          <w:sz w:val="22"/>
          <w:szCs w:val="22"/>
        </w:rPr>
        <w:t xml:space="preserve"> quality of the </w:t>
      </w:r>
      <w:r w:rsidR="0080324E" w:rsidRPr="00D87880">
        <w:rPr>
          <w:rFonts w:ascii="Times New Roman" w:hAnsi="Times New Roman" w:cs="Times New Roman"/>
          <w:sz w:val="22"/>
          <w:szCs w:val="22"/>
        </w:rPr>
        <w:t>services</w:t>
      </w:r>
      <w:r w:rsidR="00E555E1" w:rsidRPr="00D87880">
        <w:rPr>
          <w:rFonts w:ascii="Times New Roman" w:hAnsi="Times New Roman" w:cs="Times New Roman"/>
          <w:sz w:val="22"/>
          <w:szCs w:val="22"/>
        </w:rPr>
        <w:t xml:space="preserve"> they provide;</w:t>
      </w:r>
    </w:p>
    <w:p w14:paraId="36EA2CBE" w14:textId="77777777" w:rsidR="00E555E1" w:rsidRPr="00D87880" w:rsidRDefault="00E555E1" w:rsidP="007A14F1">
      <w:pPr>
        <w:numPr>
          <w:ilvl w:val="0"/>
          <w:numId w:val="3"/>
        </w:numPr>
        <w:tabs>
          <w:tab w:val="left" w:pos="-1440"/>
          <w:tab w:val="left" w:pos="90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Identify additional opportunities for financing SOC services</w:t>
      </w:r>
      <w:r w:rsidR="000E274B" w:rsidRPr="00D87880">
        <w:rPr>
          <w:rFonts w:ascii="Times New Roman" w:hAnsi="Times New Roman" w:cs="Times New Roman"/>
          <w:sz w:val="22"/>
          <w:szCs w:val="22"/>
        </w:rPr>
        <w:t xml:space="preserve"> and obtaining matching funds and adopt the financing strategies and funding sources associated with the most successful implementations of SOC services, all with the goal of SOC sustainability;</w:t>
      </w:r>
    </w:p>
    <w:p w14:paraId="50C3462C" w14:textId="77777777" w:rsidR="00696A42" w:rsidRPr="00D87880" w:rsidRDefault="00696A42" w:rsidP="007A14F1">
      <w:pPr>
        <w:numPr>
          <w:ilvl w:val="0"/>
          <w:numId w:val="3"/>
        </w:numPr>
        <w:tabs>
          <w:tab w:val="left" w:pos="-1440"/>
          <w:tab w:val="left" w:pos="90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Identify opportunities to further reduce </w:t>
      </w:r>
      <w:r w:rsidR="003B231B">
        <w:rPr>
          <w:rFonts w:ascii="Times New Roman" w:hAnsi="Times New Roman" w:cs="Times New Roman"/>
          <w:sz w:val="22"/>
          <w:szCs w:val="22"/>
        </w:rPr>
        <w:t xml:space="preserve">the </w:t>
      </w:r>
      <w:r w:rsidRPr="00D87880">
        <w:rPr>
          <w:rFonts w:ascii="Times New Roman" w:hAnsi="Times New Roman" w:cs="Times New Roman"/>
          <w:sz w:val="22"/>
          <w:szCs w:val="22"/>
        </w:rPr>
        <w:t>use of restrictive and expensive out-of-home services by strengthening SOC and community-based MH care;</w:t>
      </w:r>
    </w:p>
    <w:p w14:paraId="6E67D4F5" w14:textId="77777777" w:rsidR="0080324E" w:rsidRPr="00D87880" w:rsidRDefault="009123AF" w:rsidP="007A14F1">
      <w:pPr>
        <w:numPr>
          <w:ilvl w:val="0"/>
          <w:numId w:val="3"/>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L</w:t>
      </w:r>
      <w:r w:rsidR="0080324E" w:rsidRPr="00D87880">
        <w:rPr>
          <w:rFonts w:ascii="Times New Roman" w:hAnsi="Times New Roman" w:cs="Times New Roman"/>
          <w:sz w:val="22"/>
          <w:szCs w:val="22"/>
        </w:rPr>
        <w:t xml:space="preserve">earn what barriers </w:t>
      </w:r>
      <w:r w:rsidR="00657F20" w:rsidRPr="00D87880">
        <w:rPr>
          <w:rFonts w:ascii="Times New Roman" w:hAnsi="Times New Roman" w:cs="Times New Roman"/>
          <w:sz w:val="22"/>
          <w:szCs w:val="22"/>
        </w:rPr>
        <w:t>to treatment</w:t>
      </w:r>
      <w:r w:rsidR="00506CB2" w:rsidRPr="00D87880">
        <w:rPr>
          <w:rFonts w:ascii="Times New Roman" w:hAnsi="Times New Roman" w:cs="Times New Roman"/>
          <w:sz w:val="22"/>
          <w:szCs w:val="22"/>
        </w:rPr>
        <w:t xml:space="preserve"> and other essential services</w:t>
      </w:r>
      <w:r w:rsidR="00657F20" w:rsidRPr="00D87880">
        <w:rPr>
          <w:rFonts w:ascii="Times New Roman" w:hAnsi="Times New Roman" w:cs="Times New Roman"/>
          <w:sz w:val="22"/>
          <w:szCs w:val="22"/>
        </w:rPr>
        <w:t xml:space="preserve"> </w:t>
      </w:r>
      <w:r w:rsidR="0080324E" w:rsidRPr="00D87880">
        <w:rPr>
          <w:rFonts w:ascii="Times New Roman" w:hAnsi="Times New Roman" w:cs="Times New Roman"/>
          <w:sz w:val="22"/>
          <w:szCs w:val="22"/>
        </w:rPr>
        <w:t>children or youth and their families perceive and w</w:t>
      </w:r>
      <w:r w:rsidRPr="00D87880">
        <w:rPr>
          <w:rFonts w:ascii="Times New Roman" w:hAnsi="Times New Roman" w:cs="Times New Roman"/>
          <w:sz w:val="22"/>
          <w:szCs w:val="22"/>
        </w:rPr>
        <w:t>ork to eliminate such barriers;</w:t>
      </w:r>
    </w:p>
    <w:p w14:paraId="2061A614" w14:textId="77777777" w:rsidR="0080324E" w:rsidRPr="00D87880" w:rsidRDefault="009123AF" w:rsidP="007A14F1">
      <w:pPr>
        <w:numPr>
          <w:ilvl w:val="0"/>
          <w:numId w:val="3"/>
        </w:numPr>
        <w:tabs>
          <w:tab w:val="left" w:pos="-1440"/>
        </w:tabs>
        <w:autoSpaceDE w:val="0"/>
        <w:autoSpaceDN w:val="0"/>
        <w:adjustRightInd w:val="0"/>
        <w:spacing w:line="240" w:lineRule="auto"/>
        <w:rPr>
          <w:rFonts w:ascii="Times New Roman" w:hAnsi="Times New Roman" w:cs="Times New Roman"/>
          <w:sz w:val="22"/>
          <w:szCs w:val="22"/>
        </w:rPr>
      </w:pPr>
      <w:r w:rsidRPr="00D87880">
        <w:rPr>
          <w:rFonts w:ascii="Times New Roman" w:hAnsi="Times New Roman" w:cs="Times New Roman"/>
          <w:sz w:val="22"/>
          <w:szCs w:val="22"/>
        </w:rPr>
        <w:t>L</w:t>
      </w:r>
      <w:r w:rsidR="0080324E" w:rsidRPr="00D87880">
        <w:rPr>
          <w:rFonts w:ascii="Times New Roman" w:hAnsi="Times New Roman" w:cs="Times New Roman"/>
          <w:sz w:val="22"/>
          <w:szCs w:val="22"/>
        </w:rPr>
        <w:t>earn whether families experience services as the grantees intended and identify their programs’ strengths and weaknesses</w:t>
      </w:r>
      <w:r w:rsidRPr="00D87880">
        <w:rPr>
          <w:rFonts w:ascii="Times New Roman" w:hAnsi="Times New Roman" w:cs="Times New Roman"/>
          <w:sz w:val="22"/>
          <w:szCs w:val="22"/>
        </w:rPr>
        <w:t xml:space="preserve">; </w:t>
      </w:r>
    </w:p>
    <w:p w14:paraId="5D2D1678" w14:textId="77777777" w:rsidR="009020B6" w:rsidRPr="009020B6" w:rsidRDefault="009123AF" w:rsidP="009020B6">
      <w:pPr>
        <w:pStyle w:val="ListParagraph"/>
        <w:numPr>
          <w:ilvl w:val="0"/>
          <w:numId w:val="3"/>
        </w:numPr>
        <w:spacing w:line="240" w:lineRule="auto"/>
        <w:contextualSpacing w:val="0"/>
        <w:rPr>
          <w:rFonts w:ascii="Times New Roman" w:hAnsi="Times New Roman" w:cs="Times New Roman"/>
          <w:sz w:val="22"/>
          <w:szCs w:val="22"/>
        </w:rPr>
      </w:pPr>
      <w:r w:rsidRPr="00D87880">
        <w:rPr>
          <w:rFonts w:ascii="Times New Roman" w:hAnsi="Times New Roman" w:cs="Times New Roman"/>
          <w:sz w:val="22"/>
          <w:szCs w:val="22"/>
        </w:rPr>
        <w:t>H</w:t>
      </w:r>
      <w:r w:rsidR="0080324E" w:rsidRPr="00D87880">
        <w:rPr>
          <w:rFonts w:ascii="Times New Roman" w:hAnsi="Times New Roman" w:cs="Times New Roman"/>
          <w:sz w:val="22"/>
          <w:szCs w:val="22"/>
        </w:rPr>
        <w:t>elp identify gaps in system development and barriers to collaboration</w:t>
      </w:r>
      <w:r w:rsidR="005A60B1">
        <w:rPr>
          <w:rFonts w:ascii="Times New Roman" w:hAnsi="Times New Roman" w:cs="Times New Roman"/>
          <w:sz w:val="22"/>
          <w:szCs w:val="22"/>
        </w:rPr>
        <w:t>;</w:t>
      </w:r>
      <w:r w:rsidR="0080324E" w:rsidRPr="00D87880">
        <w:rPr>
          <w:rFonts w:ascii="Times New Roman" w:hAnsi="Times New Roman" w:cs="Times New Roman"/>
          <w:sz w:val="22"/>
          <w:szCs w:val="22"/>
        </w:rPr>
        <w:t xml:space="preserve"> </w:t>
      </w:r>
    </w:p>
    <w:p w14:paraId="25C3E531" w14:textId="77777777" w:rsidR="007E4526" w:rsidRPr="00D87880" w:rsidRDefault="005A60B1" w:rsidP="009020B6">
      <w:pPr>
        <w:pStyle w:val="ListParagraph"/>
        <w:numPr>
          <w:ilvl w:val="0"/>
          <w:numId w:val="3"/>
        </w:numPr>
        <w:spacing w:line="240" w:lineRule="auto"/>
        <w:contextualSpacing w:val="0"/>
        <w:rPr>
          <w:rFonts w:ascii="Times New Roman" w:hAnsi="Times New Roman" w:cs="Times New Roman"/>
          <w:sz w:val="22"/>
          <w:szCs w:val="22"/>
        </w:rPr>
      </w:pPr>
      <w:r>
        <w:rPr>
          <w:rFonts w:ascii="Times New Roman" w:hAnsi="Times New Roman" w:cs="Times New Roman"/>
          <w:sz w:val="22"/>
          <w:szCs w:val="22"/>
        </w:rPr>
        <w:t>M</w:t>
      </w:r>
      <w:r w:rsidR="0080324E" w:rsidRPr="00D87880">
        <w:rPr>
          <w:rFonts w:ascii="Times New Roman" w:hAnsi="Times New Roman" w:cs="Times New Roman"/>
          <w:sz w:val="22"/>
          <w:szCs w:val="22"/>
        </w:rPr>
        <w:t>ore effectively allocate personnel and fu</w:t>
      </w:r>
      <w:r w:rsidR="009123AF" w:rsidRPr="00D87880">
        <w:rPr>
          <w:rFonts w:ascii="Times New Roman" w:hAnsi="Times New Roman" w:cs="Times New Roman"/>
          <w:sz w:val="22"/>
          <w:szCs w:val="22"/>
        </w:rPr>
        <w:t>nding and prioritize activities</w:t>
      </w:r>
      <w:r w:rsidR="007E4526" w:rsidRPr="00D87880">
        <w:rPr>
          <w:rFonts w:ascii="Times New Roman" w:hAnsi="Times New Roman" w:cs="Times New Roman"/>
          <w:sz w:val="22"/>
          <w:szCs w:val="22"/>
        </w:rPr>
        <w:t xml:space="preserve">; and </w:t>
      </w:r>
    </w:p>
    <w:p w14:paraId="673C5C58" w14:textId="77777777" w:rsidR="007E4526" w:rsidRPr="00D87880" w:rsidRDefault="007E4526" w:rsidP="007A14F1">
      <w:pPr>
        <w:pStyle w:val="ListParagraph"/>
        <w:numPr>
          <w:ilvl w:val="0"/>
          <w:numId w:val="3"/>
        </w:num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Provide summary reports to their local steering committees or other advisory boards, support statewide expansion efforts, develop interagency partnerships, and obtain resources to sustain systems with interagency agreements. </w:t>
      </w:r>
    </w:p>
    <w:p w14:paraId="6F8CF7C5" w14:textId="77777777" w:rsidR="009C24F5" w:rsidRPr="00D87880" w:rsidRDefault="009C24F5" w:rsidP="00FC23B2">
      <w:pPr>
        <w:spacing w:line="240" w:lineRule="auto"/>
        <w:rPr>
          <w:rFonts w:ascii="Times New Roman" w:hAnsi="Times New Roman" w:cs="Times New Roman"/>
          <w:b/>
          <w:sz w:val="22"/>
          <w:szCs w:val="22"/>
        </w:rPr>
      </w:pPr>
    </w:p>
    <w:p w14:paraId="0E0A2799" w14:textId="77777777" w:rsidR="00920CBF" w:rsidRPr="00D87880" w:rsidRDefault="00920CBF" w:rsidP="00FC23B2">
      <w:pPr>
        <w:spacing w:line="240" w:lineRule="auto"/>
        <w:rPr>
          <w:rFonts w:ascii="Times New Roman" w:hAnsi="Times New Roman" w:cs="Times New Roman"/>
          <w:b/>
          <w:sz w:val="22"/>
          <w:szCs w:val="22"/>
        </w:rPr>
      </w:pPr>
      <w:r w:rsidRPr="00D87880">
        <w:rPr>
          <w:rFonts w:ascii="Times New Roman" w:hAnsi="Times New Roman" w:cs="Times New Roman"/>
          <w:b/>
          <w:sz w:val="22"/>
          <w:szCs w:val="22"/>
        </w:rPr>
        <w:t>3. USE OF INFORMATION TECHNOLOGY</w:t>
      </w:r>
    </w:p>
    <w:p w14:paraId="369DC2C4" w14:textId="77777777" w:rsidR="00817E92" w:rsidRPr="00D87880" w:rsidRDefault="00817E92" w:rsidP="00061DD3">
      <w:pPr>
        <w:spacing w:line="240" w:lineRule="auto"/>
        <w:rPr>
          <w:rFonts w:ascii="Times New Roman" w:hAnsi="Times New Roman" w:cs="Times New Roman"/>
          <w:sz w:val="22"/>
          <w:szCs w:val="22"/>
        </w:rPr>
      </w:pPr>
      <w:r w:rsidRPr="00D87880">
        <w:rPr>
          <w:rFonts w:ascii="Times New Roman" w:hAnsi="Times New Roman" w:cs="Times New Roman"/>
          <w:b/>
          <w:sz w:val="22"/>
          <w:szCs w:val="22"/>
        </w:rPr>
        <w:t>Web-Based CMHI Portal</w:t>
      </w:r>
      <w:r w:rsidR="00862178" w:rsidRPr="00D87880">
        <w:rPr>
          <w:rFonts w:ascii="Times New Roman" w:hAnsi="Times New Roman" w:cs="Times New Roman"/>
          <w:sz w:val="22"/>
          <w:szCs w:val="22"/>
        </w:rPr>
        <w:t xml:space="preserve"> </w:t>
      </w:r>
    </w:p>
    <w:p w14:paraId="5D45BD28" w14:textId="745142D9" w:rsidR="00061DD3" w:rsidRPr="00D87880" w:rsidRDefault="005E3606" w:rsidP="00456386">
      <w:p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A </w:t>
      </w:r>
      <w:r w:rsidR="00D35483" w:rsidRPr="00D87880">
        <w:rPr>
          <w:rFonts w:ascii="Times New Roman" w:hAnsi="Times New Roman" w:cs="Times New Roman"/>
          <w:sz w:val="22"/>
          <w:szCs w:val="22"/>
        </w:rPr>
        <w:t>web</w:t>
      </w:r>
      <w:r w:rsidRPr="00D87880">
        <w:rPr>
          <w:rFonts w:ascii="Times New Roman" w:hAnsi="Times New Roman" w:cs="Times New Roman"/>
          <w:sz w:val="22"/>
          <w:szCs w:val="22"/>
        </w:rPr>
        <w:t xml:space="preserve">-based CMHI portal will </w:t>
      </w:r>
      <w:r w:rsidR="00463B9A" w:rsidRPr="00D87880">
        <w:rPr>
          <w:rFonts w:ascii="Times New Roman" w:hAnsi="Times New Roman" w:cs="Times New Roman"/>
          <w:sz w:val="22"/>
          <w:szCs w:val="22"/>
        </w:rPr>
        <w:t xml:space="preserve">be </w:t>
      </w:r>
      <w:r w:rsidR="00E559B6" w:rsidRPr="00D87880">
        <w:rPr>
          <w:rFonts w:ascii="Times New Roman" w:hAnsi="Times New Roman" w:cs="Times New Roman"/>
          <w:sz w:val="22"/>
          <w:szCs w:val="22"/>
        </w:rPr>
        <w:t>developed</w:t>
      </w:r>
      <w:r w:rsidR="00463B9A" w:rsidRPr="00D87880">
        <w:rPr>
          <w:rFonts w:ascii="Times New Roman" w:hAnsi="Times New Roman" w:cs="Times New Roman"/>
          <w:sz w:val="22"/>
          <w:szCs w:val="22"/>
        </w:rPr>
        <w:t xml:space="preserve"> to </w:t>
      </w:r>
      <w:r w:rsidRPr="00D87880">
        <w:rPr>
          <w:rFonts w:ascii="Times New Roman" w:hAnsi="Times New Roman" w:cs="Times New Roman"/>
          <w:sz w:val="22"/>
          <w:szCs w:val="22"/>
        </w:rPr>
        <w:t xml:space="preserve">collect and manage </w:t>
      </w:r>
      <w:r w:rsidR="005D3DB7" w:rsidRPr="00D87880">
        <w:rPr>
          <w:rFonts w:ascii="Times New Roman" w:hAnsi="Times New Roman" w:cs="Times New Roman"/>
          <w:sz w:val="22"/>
          <w:szCs w:val="22"/>
        </w:rPr>
        <w:t xml:space="preserve">all </w:t>
      </w:r>
      <w:r w:rsidRPr="00D87880">
        <w:rPr>
          <w:rFonts w:ascii="Times New Roman" w:hAnsi="Times New Roman" w:cs="Times New Roman"/>
          <w:sz w:val="22"/>
          <w:szCs w:val="22"/>
        </w:rPr>
        <w:t xml:space="preserve">data </w:t>
      </w:r>
      <w:r w:rsidR="00164B94">
        <w:rPr>
          <w:rFonts w:ascii="Times New Roman" w:hAnsi="Times New Roman" w:cs="Times New Roman"/>
          <w:sz w:val="22"/>
          <w:szCs w:val="22"/>
        </w:rPr>
        <w:t>obtained</w:t>
      </w:r>
      <w:r w:rsidR="00164B94" w:rsidRPr="00D87880">
        <w:rPr>
          <w:rFonts w:ascii="Times New Roman" w:hAnsi="Times New Roman" w:cs="Times New Roman"/>
          <w:sz w:val="22"/>
          <w:szCs w:val="22"/>
        </w:rPr>
        <w:t xml:space="preserve"> </w:t>
      </w:r>
      <w:r w:rsidR="005D3DB7" w:rsidRPr="00D87880">
        <w:rPr>
          <w:rFonts w:ascii="Times New Roman" w:hAnsi="Times New Roman" w:cs="Times New Roman"/>
          <w:sz w:val="22"/>
          <w:szCs w:val="22"/>
        </w:rPr>
        <w:t xml:space="preserve">and submitted by grantees </w:t>
      </w:r>
      <w:r w:rsidRPr="00D87880">
        <w:rPr>
          <w:rFonts w:ascii="Times New Roman" w:hAnsi="Times New Roman" w:cs="Times New Roman"/>
          <w:sz w:val="22"/>
          <w:szCs w:val="22"/>
        </w:rPr>
        <w:t xml:space="preserve">at the </w:t>
      </w:r>
      <w:r w:rsidR="00463B9A" w:rsidRPr="00D87880">
        <w:rPr>
          <w:rFonts w:ascii="Times New Roman" w:hAnsi="Times New Roman" w:cs="Times New Roman"/>
          <w:bCs/>
          <w:sz w:val="22"/>
          <w:szCs w:val="22"/>
        </w:rPr>
        <w:t>jurisdiction, local system, and child and family</w:t>
      </w:r>
      <w:r w:rsidRPr="00D87880">
        <w:rPr>
          <w:rFonts w:ascii="Times New Roman" w:hAnsi="Times New Roman" w:cs="Times New Roman"/>
          <w:sz w:val="22"/>
          <w:szCs w:val="22"/>
        </w:rPr>
        <w:t xml:space="preserve"> levels.</w:t>
      </w:r>
      <w:r w:rsidR="00862178" w:rsidRPr="00D87880">
        <w:rPr>
          <w:rFonts w:ascii="Times New Roman" w:hAnsi="Times New Roman" w:cs="Times New Roman"/>
          <w:sz w:val="22"/>
          <w:szCs w:val="22"/>
        </w:rPr>
        <w:t xml:space="preserve"> </w:t>
      </w:r>
      <w:r w:rsidR="00E559B6" w:rsidRPr="00D87880">
        <w:rPr>
          <w:rFonts w:ascii="Times New Roman" w:hAnsi="Times New Roman" w:cs="Times New Roman"/>
          <w:sz w:val="22"/>
          <w:szCs w:val="22"/>
        </w:rPr>
        <w:t>The</w:t>
      </w:r>
      <w:r w:rsidR="00061DD3" w:rsidRPr="00D87880">
        <w:rPr>
          <w:rFonts w:ascii="Times New Roman" w:hAnsi="Times New Roman" w:cs="Times New Roman"/>
          <w:sz w:val="22"/>
          <w:szCs w:val="22"/>
        </w:rPr>
        <w:t xml:space="preserve"> CMHI portal will be designed to receive jurisdiction- </w:t>
      </w:r>
      <w:r w:rsidR="00061DD3" w:rsidRPr="0051571A">
        <w:rPr>
          <w:rFonts w:ascii="Times New Roman" w:hAnsi="Times New Roman" w:cs="Times New Roman"/>
          <w:sz w:val="22"/>
          <w:szCs w:val="22"/>
        </w:rPr>
        <w:t xml:space="preserve">and local </w:t>
      </w:r>
      <w:r w:rsidR="00061DD3" w:rsidRPr="0051571A">
        <w:rPr>
          <w:rFonts w:ascii="Times New Roman" w:hAnsi="Times New Roman" w:cs="Times New Roman"/>
          <w:bCs/>
          <w:sz w:val="22"/>
          <w:szCs w:val="22"/>
        </w:rPr>
        <w:t>system-level</w:t>
      </w:r>
      <w:r w:rsidR="00061DD3" w:rsidRPr="0051571A">
        <w:rPr>
          <w:rFonts w:ascii="Times New Roman" w:hAnsi="Times New Roman" w:cs="Times New Roman"/>
          <w:sz w:val="22"/>
          <w:szCs w:val="22"/>
        </w:rPr>
        <w:t xml:space="preserve"> data.</w:t>
      </w:r>
      <w:r w:rsidR="00862178" w:rsidRPr="0051571A">
        <w:rPr>
          <w:rFonts w:ascii="Times New Roman" w:hAnsi="Times New Roman" w:cs="Times New Roman"/>
          <w:sz w:val="22"/>
          <w:szCs w:val="22"/>
        </w:rPr>
        <w:t xml:space="preserve"> </w:t>
      </w:r>
      <w:r w:rsidR="006A25BD" w:rsidRPr="0051571A">
        <w:rPr>
          <w:rFonts w:ascii="Times New Roman" w:hAnsi="Times New Roman" w:cs="Times New Roman"/>
          <w:sz w:val="22"/>
          <w:szCs w:val="22"/>
        </w:rPr>
        <w:t xml:space="preserve">For </w:t>
      </w:r>
      <w:r w:rsidR="004B55B6" w:rsidRPr="0051571A">
        <w:rPr>
          <w:rFonts w:ascii="Times New Roman" w:hAnsi="Times New Roman" w:cs="Times New Roman"/>
          <w:sz w:val="22"/>
          <w:szCs w:val="22"/>
        </w:rPr>
        <w:t xml:space="preserve">the child and family </w:t>
      </w:r>
      <w:r w:rsidR="00C26507" w:rsidRPr="0051571A">
        <w:rPr>
          <w:rFonts w:ascii="Times New Roman" w:hAnsi="Times New Roman" w:cs="Times New Roman"/>
          <w:sz w:val="22"/>
          <w:szCs w:val="22"/>
        </w:rPr>
        <w:t xml:space="preserve">outcome </w:t>
      </w:r>
      <w:r w:rsidR="005B5E47" w:rsidRPr="0051571A">
        <w:rPr>
          <w:rFonts w:ascii="Times New Roman" w:hAnsi="Times New Roman" w:cs="Times New Roman"/>
          <w:sz w:val="22"/>
          <w:szCs w:val="22"/>
        </w:rPr>
        <w:t>component</w:t>
      </w:r>
      <w:r w:rsidR="004B55B6" w:rsidRPr="0051571A">
        <w:rPr>
          <w:rFonts w:ascii="Times New Roman" w:hAnsi="Times New Roman" w:cs="Times New Roman"/>
          <w:sz w:val="22"/>
          <w:szCs w:val="22"/>
        </w:rPr>
        <w:t xml:space="preserve">, </w:t>
      </w:r>
      <w:r w:rsidR="00070655" w:rsidRPr="0051571A">
        <w:rPr>
          <w:rFonts w:ascii="Times New Roman" w:hAnsi="Times New Roman" w:cs="Times New Roman"/>
          <w:sz w:val="22"/>
          <w:szCs w:val="22"/>
        </w:rPr>
        <w:t xml:space="preserve">the </w:t>
      </w:r>
      <w:r w:rsidR="00061DD3" w:rsidRPr="0051571A">
        <w:rPr>
          <w:rFonts w:ascii="Times New Roman" w:hAnsi="Times New Roman" w:cs="Times New Roman"/>
          <w:sz w:val="22"/>
          <w:szCs w:val="22"/>
        </w:rPr>
        <w:t xml:space="preserve">CMHI </w:t>
      </w:r>
      <w:r w:rsidR="00070655" w:rsidRPr="0051571A">
        <w:rPr>
          <w:rFonts w:ascii="Times New Roman" w:hAnsi="Times New Roman" w:cs="Times New Roman"/>
          <w:sz w:val="22"/>
          <w:szCs w:val="22"/>
        </w:rPr>
        <w:t xml:space="preserve">portal </w:t>
      </w:r>
      <w:r w:rsidR="00061DD3" w:rsidRPr="0051571A">
        <w:rPr>
          <w:rFonts w:ascii="Times New Roman" w:hAnsi="Times New Roman" w:cs="Times New Roman"/>
          <w:sz w:val="22"/>
          <w:szCs w:val="22"/>
        </w:rPr>
        <w:t>will incorporate the</w:t>
      </w:r>
      <w:r w:rsidR="00456386" w:rsidRPr="0051571A">
        <w:rPr>
          <w:rFonts w:ascii="Times New Roman" w:hAnsi="Times New Roman" w:cs="Times New Roman"/>
          <w:sz w:val="22"/>
          <w:szCs w:val="22"/>
        </w:rPr>
        <w:t xml:space="preserve"> Client-Level Services Measures for Discretionary Programs, CMHS PROGRAM ONLY </w:t>
      </w:r>
      <w:r w:rsidR="00BC6A4B" w:rsidRPr="0051571A">
        <w:rPr>
          <w:rFonts w:ascii="Times New Roman" w:hAnsi="Times New Roman" w:cs="Times New Roman"/>
          <w:sz w:val="22"/>
          <w:szCs w:val="22"/>
        </w:rPr>
        <w:t>from</w:t>
      </w:r>
      <w:r w:rsidR="00BC6A4B">
        <w:rPr>
          <w:rFonts w:ascii="Times New Roman" w:hAnsi="Times New Roman" w:cs="Times New Roman"/>
          <w:sz w:val="22"/>
          <w:szCs w:val="22"/>
        </w:rPr>
        <w:t xml:space="preserve"> the </w:t>
      </w:r>
      <w:r w:rsidR="00B907E6" w:rsidRPr="00D87880">
        <w:rPr>
          <w:rFonts w:ascii="Times New Roman" w:hAnsi="Times New Roman" w:cs="Times New Roman"/>
          <w:sz w:val="22"/>
          <w:szCs w:val="22"/>
        </w:rPr>
        <w:t xml:space="preserve">web-based </w:t>
      </w:r>
      <w:r w:rsidR="00B907E6" w:rsidRPr="00596E69">
        <w:rPr>
          <w:rFonts w:ascii="Times New Roman" w:hAnsi="Times New Roman" w:cs="Times New Roman"/>
          <w:sz w:val="22"/>
          <w:szCs w:val="22"/>
        </w:rPr>
        <w:t>Common Data Platform</w:t>
      </w:r>
      <w:r w:rsidR="005A4E57" w:rsidRPr="00596E69">
        <w:rPr>
          <w:rFonts w:ascii="Times New Roman" w:hAnsi="Times New Roman" w:cs="Times New Roman"/>
          <w:sz w:val="22"/>
          <w:szCs w:val="22"/>
        </w:rPr>
        <w:t xml:space="preserve"> (</w:t>
      </w:r>
      <w:r w:rsidR="00B907E6" w:rsidRPr="00596E69">
        <w:rPr>
          <w:rFonts w:ascii="Times New Roman" w:hAnsi="Times New Roman" w:cs="Times New Roman"/>
          <w:sz w:val="22"/>
          <w:szCs w:val="22"/>
        </w:rPr>
        <w:t>CDP</w:t>
      </w:r>
      <w:r w:rsidR="005A4E57" w:rsidRPr="00596E69">
        <w:rPr>
          <w:rFonts w:ascii="Times New Roman" w:hAnsi="Times New Roman" w:cs="Times New Roman"/>
          <w:sz w:val="22"/>
          <w:szCs w:val="22"/>
        </w:rPr>
        <w:t>)</w:t>
      </w:r>
      <w:r w:rsidR="00B907E6" w:rsidRPr="00596E69">
        <w:rPr>
          <w:rStyle w:val="FootnoteReference"/>
          <w:rFonts w:ascii="Times New Roman" w:hAnsi="Times New Roman" w:cs="Times New Roman"/>
          <w:sz w:val="22"/>
          <w:szCs w:val="22"/>
        </w:rPr>
        <w:footnoteReference w:id="4"/>
      </w:r>
      <w:r w:rsidR="00061DD3" w:rsidRPr="00596E69">
        <w:rPr>
          <w:rFonts w:ascii="Times New Roman" w:hAnsi="Times New Roman" w:cs="Times New Roman"/>
          <w:sz w:val="22"/>
          <w:szCs w:val="22"/>
        </w:rPr>
        <w:t xml:space="preserve"> data collection and reporting system </w:t>
      </w:r>
      <w:r w:rsidR="00070655" w:rsidRPr="00596E69">
        <w:rPr>
          <w:rFonts w:ascii="Times New Roman" w:hAnsi="Times New Roman" w:cs="Times New Roman"/>
          <w:sz w:val="22"/>
          <w:szCs w:val="22"/>
        </w:rPr>
        <w:t>and will</w:t>
      </w:r>
      <w:r w:rsidR="00061DD3" w:rsidRPr="00596E69">
        <w:rPr>
          <w:rFonts w:ascii="Times New Roman" w:hAnsi="Times New Roman" w:cs="Times New Roman"/>
          <w:sz w:val="22"/>
          <w:szCs w:val="22"/>
        </w:rPr>
        <w:t xml:space="preserve"> manage data at the </w:t>
      </w:r>
      <w:r w:rsidR="00061DD3" w:rsidRPr="00596E69">
        <w:rPr>
          <w:rFonts w:ascii="Times New Roman" w:hAnsi="Times New Roman" w:cs="Times New Roman"/>
          <w:bCs/>
          <w:sz w:val="22"/>
          <w:szCs w:val="22"/>
        </w:rPr>
        <w:t>client level</w:t>
      </w:r>
      <w:r w:rsidR="00061DD3" w:rsidRPr="00596E69">
        <w:rPr>
          <w:rFonts w:ascii="Times New Roman" w:hAnsi="Times New Roman" w:cs="Times New Roman"/>
          <w:sz w:val="22"/>
          <w:szCs w:val="22"/>
        </w:rPr>
        <w:t>.</w:t>
      </w:r>
      <w:r w:rsidR="00862178" w:rsidRPr="00596E69">
        <w:rPr>
          <w:rFonts w:ascii="Times New Roman" w:hAnsi="Times New Roman" w:cs="Times New Roman"/>
          <w:sz w:val="22"/>
          <w:szCs w:val="22"/>
        </w:rPr>
        <w:t xml:space="preserve"> </w:t>
      </w:r>
      <w:r w:rsidR="00DD44DE" w:rsidRPr="00596E69">
        <w:rPr>
          <w:rFonts w:ascii="Times New Roman" w:hAnsi="Times New Roman" w:cs="Times New Roman"/>
          <w:sz w:val="22"/>
          <w:szCs w:val="22"/>
        </w:rPr>
        <w:t xml:space="preserve">The </w:t>
      </w:r>
      <w:r w:rsidR="00BC6A4B" w:rsidRPr="00596E69">
        <w:rPr>
          <w:rFonts w:ascii="Times New Roman" w:hAnsi="Times New Roman" w:cs="Times New Roman"/>
          <w:sz w:val="22"/>
          <w:szCs w:val="22"/>
        </w:rPr>
        <w:t>CDP tool</w:t>
      </w:r>
      <w:r w:rsidR="00061DD3" w:rsidRPr="00596E69">
        <w:rPr>
          <w:rFonts w:ascii="Times New Roman" w:hAnsi="Times New Roman" w:cs="Times New Roman"/>
          <w:sz w:val="22"/>
          <w:szCs w:val="22"/>
        </w:rPr>
        <w:t xml:space="preserve"> will operate under the identifier, </w:t>
      </w:r>
      <w:r w:rsidR="00BC6A4B" w:rsidRPr="00596E69">
        <w:rPr>
          <w:rFonts w:ascii="Times New Roman" w:hAnsi="Times New Roman" w:cs="Times New Roman"/>
          <w:sz w:val="22"/>
          <w:szCs w:val="22"/>
        </w:rPr>
        <w:t>CDP</w:t>
      </w:r>
      <w:r w:rsidR="00061DD3" w:rsidRPr="00596E69">
        <w:rPr>
          <w:rFonts w:ascii="Times New Roman" w:hAnsi="Times New Roman" w:cs="Times New Roman"/>
          <w:sz w:val="22"/>
          <w:szCs w:val="22"/>
        </w:rPr>
        <w:t>, and will be accessed and utilized via the CMHI portal</w:t>
      </w:r>
      <w:r w:rsidR="00061DD3"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p>
    <w:p w14:paraId="57768D35" w14:textId="4DF792A2" w:rsidR="0074290A" w:rsidRPr="00D87880" w:rsidRDefault="00541FF8" w:rsidP="00541FF8">
      <w:p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The use of </w:t>
      </w:r>
      <w:r w:rsidR="00D35483" w:rsidRPr="00D87880">
        <w:rPr>
          <w:rFonts w:ascii="Times New Roman" w:hAnsi="Times New Roman" w:cs="Times New Roman"/>
          <w:sz w:val="22"/>
          <w:szCs w:val="22"/>
        </w:rPr>
        <w:t>web</w:t>
      </w:r>
      <w:r w:rsidRPr="00D87880">
        <w:rPr>
          <w:rFonts w:ascii="Times New Roman" w:hAnsi="Times New Roman" w:cs="Times New Roman"/>
          <w:sz w:val="22"/>
          <w:szCs w:val="22"/>
        </w:rPr>
        <w:t>-based surveys and forms decreases respondent burden, as compared to that required for alternative methods, such as a paper format, by allowing for direct transmission of the survey or form.</w:t>
      </w:r>
      <w:r w:rsidR="00862178" w:rsidRPr="00D87880">
        <w:rPr>
          <w:rFonts w:ascii="Times New Roman" w:hAnsi="Times New Roman" w:cs="Times New Roman"/>
          <w:sz w:val="22"/>
          <w:szCs w:val="22"/>
        </w:rPr>
        <w:t xml:space="preserve"> </w:t>
      </w:r>
      <w:r w:rsidR="0074290A" w:rsidRPr="00D87880">
        <w:rPr>
          <w:rFonts w:ascii="Times New Roman" w:hAnsi="Times New Roman" w:cs="Times New Roman"/>
          <w:sz w:val="22"/>
          <w:szCs w:val="22"/>
        </w:rPr>
        <w:t>R</w:t>
      </w:r>
      <w:r w:rsidRPr="00D87880">
        <w:rPr>
          <w:rFonts w:ascii="Times New Roman" w:hAnsi="Times New Roman" w:cs="Times New Roman"/>
          <w:sz w:val="22"/>
          <w:szCs w:val="22"/>
        </w:rPr>
        <w:t>espondents can complete the survey at a time and location that is convenient for them.</w:t>
      </w:r>
      <w:r w:rsidR="00862178" w:rsidRPr="00D87880">
        <w:rPr>
          <w:rFonts w:ascii="Times New Roman" w:hAnsi="Times New Roman" w:cs="Times New Roman"/>
          <w:sz w:val="22"/>
          <w:szCs w:val="22"/>
        </w:rPr>
        <w:t xml:space="preserve"> </w:t>
      </w:r>
      <w:r w:rsidR="00DD44DE" w:rsidRPr="00D87880">
        <w:rPr>
          <w:rFonts w:ascii="Times New Roman" w:hAnsi="Times New Roman" w:cs="Times New Roman"/>
          <w:sz w:val="22"/>
          <w:szCs w:val="22"/>
        </w:rPr>
        <w:t>In addition, t</w:t>
      </w:r>
      <w:r w:rsidR="0074290A" w:rsidRPr="00D87880">
        <w:rPr>
          <w:rFonts w:ascii="Times New Roman" w:hAnsi="Times New Roman" w:cs="Times New Roman"/>
          <w:sz w:val="22"/>
          <w:szCs w:val="22"/>
        </w:rPr>
        <w:t xml:space="preserve">he data entry and quality control mechanisms built into the </w:t>
      </w:r>
      <w:r w:rsidR="00D35483" w:rsidRPr="00D87880">
        <w:rPr>
          <w:rFonts w:ascii="Times New Roman" w:hAnsi="Times New Roman" w:cs="Times New Roman"/>
          <w:sz w:val="22"/>
          <w:szCs w:val="22"/>
        </w:rPr>
        <w:t>web</w:t>
      </w:r>
      <w:r w:rsidR="0074290A" w:rsidRPr="00D87880">
        <w:rPr>
          <w:rFonts w:ascii="Times New Roman" w:hAnsi="Times New Roman" w:cs="Times New Roman"/>
          <w:sz w:val="22"/>
          <w:szCs w:val="22"/>
        </w:rPr>
        <w:t>-based format reduce errors that might otherwise require</w:t>
      </w:r>
      <w:r w:rsidR="00D734CA" w:rsidRPr="00D87880">
        <w:rPr>
          <w:rFonts w:ascii="Times New Roman" w:hAnsi="Times New Roman" w:cs="Times New Roman"/>
          <w:sz w:val="22"/>
          <w:szCs w:val="22"/>
        </w:rPr>
        <w:t xml:space="preserve"> </w:t>
      </w:r>
      <w:r w:rsidR="008C652E" w:rsidRPr="00D87880">
        <w:rPr>
          <w:rFonts w:ascii="Times New Roman" w:hAnsi="Times New Roman" w:cs="Times New Roman"/>
          <w:sz w:val="22"/>
          <w:szCs w:val="22"/>
        </w:rPr>
        <w:t>follow-up</w:t>
      </w:r>
      <w:r w:rsidR="00D734CA" w:rsidRPr="00D87880">
        <w:rPr>
          <w:rFonts w:ascii="Times New Roman" w:hAnsi="Times New Roman" w:cs="Times New Roman"/>
          <w:sz w:val="22"/>
          <w:szCs w:val="22"/>
        </w:rPr>
        <w:t>, thus reducing burden</w:t>
      </w:r>
      <w:r w:rsidR="0074290A" w:rsidRPr="00D87880">
        <w:rPr>
          <w:rFonts w:ascii="Times New Roman" w:hAnsi="Times New Roman" w:cs="Times New Roman"/>
          <w:sz w:val="22"/>
          <w:szCs w:val="22"/>
        </w:rPr>
        <w:t xml:space="preserve"> compa</w:t>
      </w:r>
      <w:r w:rsidR="006C2CEA" w:rsidRPr="00D87880">
        <w:rPr>
          <w:rFonts w:ascii="Times New Roman" w:hAnsi="Times New Roman" w:cs="Times New Roman"/>
          <w:sz w:val="22"/>
          <w:szCs w:val="22"/>
        </w:rPr>
        <w:t>red to that required for a hard</w:t>
      </w:r>
      <w:r w:rsidR="0074290A" w:rsidRPr="00D87880">
        <w:rPr>
          <w:rFonts w:ascii="Times New Roman" w:hAnsi="Times New Roman" w:cs="Times New Roman"/>
          <w:sz w:val="22"/>
          <w:szCs w:val="22"/>
        </w:rPr>
        <w:t xml:space="preserve">copy </w:t>
      </w:r>
      <w:r w:rsidR="005D3DB7" w:rsidRPr="00D87880">
        <w:rPr>
          <w:rFonts w:ascii="Times New Roman" w:hAnsi="Times New Roman" w:cs="Times New Roman"/>
          <w:sz w:val="22"/>
          <w:szCs w:val="22"/>
        </w:rPr>
        <w:t>data collection</w:t>
      </w:r>
      <w:r w:rsidR="0074290A"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p>
    <w:p w14:paraId="7A1416BF" w14:textId="3BC1E4A2" w:rsidR="00541FF8" w:rsidRDefault="00541FF8" w:rsidP="00541FF8">
      <w:pPr>
        <w:spacing w:line="240" w:lineRule="auto"/>
        <w:rPr>
          <w:rFonts w:ascii="Times New Roman" w:hAnsi="Times New Roman" w:cs="Times New Roman"/>
          <w:sz w:val="22"/>
          <w:szCs w:val="22"/>
        </w:rPr>
      </w:pPr>
      <w:r w:rsidRPr="00D87880">
        <w:rPr>
          <w:rFonts w:ascii="Times New Roman" w:hAnsi="Times New Roman" w:cs="Times New Roman"/>
          <w:sz w:val="22"/>
          <w:szCs w:val="22"/>
        </w:rPr>
        <w:t>Finally, SAMHSA and its contractors</w:t>
      </w:r>
      <w:r w:rsidR="00AA6531">
        <w:rPr>
          <w:rFonts w:ascii="Times New Roman" w:hAnsi="Times New Roman" w:cs="Times New Roman"/>
          <w:sz w:val="22"/>
          <w:szCs w:val="22"/>
        </w:rPr>
        <w:t xml:space="preserve">, </w:t>
      </w:r>
      <w:r w:rsidR="00AA6531" w:rsidRPr="00FC2811">
        <w:rPr>
          <w:rFonts w:ascii="Times New Roman" w:hAnsi="Times New Roman" w:cs="Times New Roman"/>
          <w:sz w:val="22"/>
          <w:szCs w:val="22"/>
        </w:rPr>
        <w:t>together termed the National Evaluation Team (NET),</w:t>
      </w:r>
      <w:r w:rsidRPr="00FC2811">
        <w:rPr>
          <w:rFonts w:ascii="Times New Roman" w:hAnsi="Times New Roman" w:cs="Times New Roman"/>
          <w:sz w:val="22"/>
          <w:szCs w:val="22"/>
        </w:rPr>
        <w:t xml:space="preserve"> strive to</w:t>
      </w:r>
      <w:r w:rsidRPr="00D87880">
        <w:rPr>
          <w:rFonts w:ascii="Times New Roman" w:hAnsi="Times New Roman" w:cs="Times New Roman"/>
          <w:sz w:val="22"/>
          <w:szCs w:val="22"/>
        </w:rPr>
        <w:t xml:space="preserve"> ensure that all </w:t>
      </w:r>
      <w:r w:rsidR="00D35483" w:rsidRPr="00D87880">
        <w:rPr>
          <w:rFonts w:ascii="Times New Roman" w:hAnsi="Times New Roman" w:cs="Times New Roman"/>
          <w:sz w:val="22"/>
          <w:szCs w:val="22"/>
        </w:rPr>
        <w:t>web</w:t>
      </w:r>
      <w:r w:rsidRPr="00D87880">
        <w:rPr>
          <w:rFonts w:ascii="Times New Roman" w:hAnsi="Times New Roman" w:cs="Times New Roman"/>
          <w:sz w:val="22"/>
          <w:szCs w:val="22"/>
        </w:rPr>
        <w:t xml:space="preserve">-based solutions are fully compliant with Section 508 of the Rehabilitation Act. This includes ensuring that all posted documents are compliant or have a compliant alternative. </w:t>
      </w:r>
      <w:r w:rsidR="00AA6531">
        <w:rPr>
          <w:rFonts w:ascii="Times New Roman" w:hAnsi="Times New Roman" w:cs="Times New Roman"/>
          <w:sz w:val="22"/>
          <w:szCs w:val="22"/>
        </w:rPr>
        <w:t>The NET</w:t>
      </w:r>
      <w:r w:rsidRPr="00D87880">
        <w:rPr>
          <w:rFonts w:ascii="Times New Roman" w:hAnsi="Times New Roman" w:cs="Times New Roman"/>
          <w:sz w:val="22"/>
          <w:szCs w:val="22"/>
        </w:rPr>
        <w:t xml:space="preserve"> utilizes Adobe products that are capable of producing compliant PDF files </w:t>
      </w:r>
      <w:r w:rsidR="005D3DB7" w:rsidRPr="00D87880">
        <w:rPr>
          <w:rFonts w:ascii="Times New Roman" w:hAnsi="Times New Roman" w:cs="Times New Roman"/>
          <w:sz w:val="22"/>
          <w:szCs w:val="22"/>
        </w:rPr>
        <w:t>per the SAMHSA-</w:t>
      </w:r>
      <w:r w:rsidRPr="00D87880">
        <w:rPr>
          <w:rFonts w:ascii="Times New Roman" w:hAnsi="Times New Roman" w:cs="Times New Roman"/>
          <w:sz w:val="22"/>
          <w:szCs w:val="22"/>
        </w:rPr>
        <w:t xml:space="preserve">recommended process. The </w:t>
      </w:r>
      <w:r w:rsidR="00932D18" w:rsidRPr="00D87880">
        <w:rPr>
          <w:rFonts w:ascii="Times New Roman" w:hAnsi="Times New Roman" w:cs="Times New Roman"/>
          <w:sz w:val="22"/>
          <w:szCs w:val="22"/>
        </w:rPr>
        <w:t>NET</w:t>
      </w:r>
      <w:r w:rsidRPr="00D87880">
        <w:rPr>
          <w:rFonts w:ascii="Times New Roman" w:hAnsi="Times New Roman" w:cs="Times New Roman"/>
          <w:sz w:val="22"/>
          <w:szCs w:val="22"/>
        </w:rPr>
        <w:t xml:space="preserve"> has a thorough knowledge of Section 508 standards and employs accessibility specialists with experience in Section 508 compliance verification, including assessment with a variety of assistive technologies, including screen readers, screen magnifiers, and voice recognition software. </w:t>
      </w:r>
    </w:p>
    <w:p w14:paraId="24371C7B" w14:textId="4E3D01F1" w:rsidR="00C4272F" w:rsidRPr="00C4272F" w:rsidRDefault="00C4272F" w:rsidP="00C4272F">
      <w:pPr>
        <w:spacing w:line="240" w:lineRule="auto"/>
        <w:rPr>
          <w:rFonts w:ascii="Times New Roman" w:hAnsi="Times New Roman" w:cs="Times New Roman"/>
          <w:sz w:val="22"/>
          <w:szCs w:val="22"/>
        </w:rPr>
      </w:pPr>
      <w:r w:rsidRPr="00C4272F">
        <w:rPr>
          <w:rFonts w:ascii="Times New Roman" w:hAnsi="Times New Roman" w:cs="Times New Roman"/>
          <w:sz w:val="22"/>
          <w:szCs w:val="22"/>
        </w:rPr>
        <w:t>All Stakeholder Interviews and SOCEA data collection will be conducted by telephone, Skype, video-conferencing, etc. The Network Analysis Survey and SAIS will be conducted online. Child and Family Outcome Study data will be collected at the service site by local staff. Therefore, there is no need to use distance data collection methods. However, we anticipate that many communities will use the CDP computer-assisted personal interview software to collect data.</w:t>
      </w:r>
    </w:p>
    <w:p w14:paraId="1CE4DBF3" w14:textId="01158B6D" w:rsidR="00EB2AB6" w:rsidRPr="003F14CB" w:rsidRDefault="00EB2AB6" w:rsidP="00B31A26">
      <w:pPr>
        <w:spacing w:line="240" w:lineRule="auto"/>
        <w:rPr>
          <w:rFonts w:ascii="Times New Roman" w:hAnsi="Times New Roman"/>
          <w:sz w:val="22"/>
          <w:szCs w:val="22"/>
        </w:rPr>
      </w:pPr>
      <w:r w:rsidRPr="003F14CB">
        <w:rPr>
          <w:rFonts w:ascii="Times New Roman" w:hAnsi="Times New Roman"/>
          <w:b/>
          <w:bCs/>
          <w:sz w:val="22"/>
          <w:szCs w:val="22"/>
        </w:rPr>
        <w:t xml:space="preserve">Common Data Platform (CDP).  </w:t>
      </w:r>
      <w:r w:rsidRPr="003F14CB">
        <w:rPr>
          <w:rFonts w:ascii="Times New Roman" w:hAnsi="Times New Roman"/>
          <w:sz w:val="22"/>
          <w:szCs w:val="22"/>
        </w:rPr>
        <w:t>Instruments</w:t>
      </w:r>
      <w:r w:rsidRPr="003F14CB">
        <w:rPr>
          <w:rFonts w:ascii="Times New Roman" w:hAnsi="Times New Roman"/>
          <w:b/>
          <w:bCs/>
          <w:sz w:val="22"/>
          <w:szCs w:val="22"/>
        </w:rPr>
        <w:t xml:space="preserve"> </w:t>
      </w:r>
      <w:r w:rsidRPr="003F14CB">
        <w:rPr>
          <w:rFonts w:ascii="Times New Roman" w:hAnsi="Times New Roman"/>
          <w:sz w:val="22"/>
          <w:szCs w:val="22"/>
        </w:rPr>
        <w:t xml:space="preserve">for the CMHI Child and Family Outcome Component will be inserted into in Section H of the CDP and data will be entered via the web-based CMHI Portal. This OMB submission includes the CDP only insofar as it involves (1) Evaluation-related additions to CDP Section H; (2) for clients age 11 to 17, </w:t>
      </w:r>
      <w:r w:rsidRPr="003F14CB">
        <w:rPr>
          <w:rFonts w:ascii="Times New Roman" w:hAnsi="Times New Roman"/>
          <w:i/>
          <w:iCs/>
          <w:sz w:val="22"/>
          <w:szCs w:val="22"/>
        </w:rPr>
        <w:t>both</w:t>
      </w:r>
      <w:r w:rsidRPr="003F14CB">
        <w:rPr>
          <w:rFonts w:ascii="Times New Roman" w:hAnsi="Times New Roman"/>
          <w:sz w:val="22"/>
          <w:szCs w:val="22"/>
        </w:rPr>
        <w:t xml:space="preserve"> the youth and caregiver will be asked to complete the CDP tool, whereas SAMHSA grant requirements include completion of the CDP by </w:t>
      </w:r>
      <w:r w:rsidRPr="003F14CB">
        <w:rPr>
          <w:rFonts w:ascii="Times New Roman" w:hAnsi="Times New Roman"/>
          <w:i/>
          <w:iCs/>
          <w:sz w:val="22"/>
          <w:szCs w:val="22"/>
        </w:rPr>
        <w:t xml:space="preserve">either </w:t>
      </w:r>
      <w:r w:rsidRPr="003F14CB">
        <w:rPr>
          <w:rFonts w:ascii="Times New Roman" w:hAnsi="Times New Roman"/>
          <w:sz w:val="22"/>
          <w:szCs w:val="22"/>
        </w:rPr>
        <w:t xml:space="preserve">the youth </w:t>
      </w:r>
      <w:r w:rsidRPr="003F14CB">
        <w:rPr>
          <w:rFonts w:ascii="Times New Roman" w:hAnsi="Times New Roman"/>
          <w:i/>
          <w:iCs/>
          <w:sz w:val="22"/>
          <w:szCs w:val="22"/>
        </w:rPr>
        <w:t>or</w:t>
      </w:r>
      <w:r w:rsidRPr="003F14CB">
        <w:rPr>
          <w:rFonts w:ascii="Times New Roman" w:hAnsi="Times New Roman"/>
          <w:sz w:val="22"/>
          <w:szCs w:val="22"/>
        </w:rPr>
        <w:t xml:space="preserve"> the caregiver (i.e., overall grantee burden increases); and (3) collecting the CMHI Evaluation version of Section K (</w:t>
      </w:r>
      <w:r w:rsidRPr="003F14CB">
        <w:rPr>
          <w:rFonts w:ascii="Times New Roman" w:hAnsi="Times New Roman"/>
          <w:i/>
          <w:iCs/>
          <w:sz w:val="22"/>
          <w:szCs w:val="22"/>
        </w:rPr>
        <w:t>Services Received</w:t>
      </w:r>
      <w:r w:rsidRPr="003F14CB">
        <w:rPr>
          <w:rFonts w:ascii="Times New Roman" w:hAnsi="Times New Roman"/>
          <w:sz w:val="22"/>
          <w:szCs w:val="22"/>
        </w:rPr>
        <w:t>).  The CDP is described here only to provide context and a more comprehensive description of the Evaluation.</w:t>
      </w:r>
    </w:p>
    <w:p w14:paraId="3EF67A91" w14:textId="5795BD2C" w:rsidR="007613F1" w:rsidRPr="003F14CB" w:rsidRDefault="007613F1" w:rsidP="00B31A26">
      <w:pPr>
        <w:spacing w:line="240" w:lineRule="auto"/>
        <w:rPr>
          <w:rFonts w:ascii="Times New Roman" w:hAnsi="Times New Roman" w:cs="Times New Roman"/>
          <w:sz w:val="22"/>
          <w:szCs w:val="22"/>
        </w:rPr>
      </w:pPr>
      <w:r w:rsidRPr="003F14CB">
        <w:rPr>
          <w:rFonts w:ascii="Times New Roman" w:hAnsi="Times New Roman" w:cs="Times New Roman"/>
          <w:sz w:val="22"/>
          <w:szCs w:val="22"/>
        </w:rPr>
        <w:t xml:space="preserve">In compliance with the Government Performance Reporting Act (GPRA), SAMHSA requires all implementation grantees to provide National Outcome Measures (NOMs) reported through </w:t>
      </w:r>
      <w:r w:rsidR="00C63D46" w:rsidRPr="003F14CB">
        <w:rPr>
          <w:rFonts w:ascii="Times New Roman" w:hAnsi="Times New Roman" w:cs="Times New Roman"/>
          <w:sz w:val="22"/>
          <w:szCs w:val="22"/>
        </w:rPr>
        <w:t xml:space="preserve">the CDP </w:t>
      </w:r>
      <w:r w:rsidRPr="003F14CB">
        <w:rPr>
          <w:rFonts w:ascii="Times New Roman" w:hAnsi="Times New Roman" w:cs="Times New Roman"/>
          <w:sz w:val="22"/>
          <w:szCs w:val="22"/>
        </w:rPr>
        <w:t>for each client served.</w:t>
      </w:r>
      <w:r w:rsidR="00862178" w:rsidRPr="003F14CB">
        <w:rPr>
          <w:rFonts w:ascii="Times New Roman" w:hAnsi="Times New Roman" w:cs="Times New Roman"/>
          <w:sz w:val="22"/>
          <w:szCs w:val="22"/>
        </w:rPr>
        <w:t xml:space="preserve"> </w:t>
      </w:r>
      <w:r w:rsidRPr="003F14CB">
        <w:rPr>
          <w:rFonts w:ascii="Times New Roman" w:hAnsi="Times New Roman" w:cs="Times New Roman"/>
          <w:sz w:val="22"/>
          <w:szCs w:val="22"/>
        </w:rPr>
        <w:t xml:space="preserve">SAMHSA’s </w:t>
      </w:r>
      <w:r w:rsidR="00C63D46" w:rsidRPr="003F14CB">
        <w:rPr>
          <w:rFonts w:ascii="Times New Roman" w:hAnsi="Times New Roman" w:cs="Times New Roman"/>
          <w:sz w:val="22"/>
          <w:szCs w:val="22"/>
        </w:rPr>
        <w:t xml:space="preserve">CDP </w:t>
      </w:r>
      <w:r w:rsidRPr="003F14CB">
        <w:rPr>
          <w:rFonts w:ascii="Times New Roman" w:hAnsi="Times New Roman" w:cs="Times New Roman"/>
          <w:sz w:val="22"/>
          <w:szCs w:val="22"/>
        </w:rPr>
        <w:t xml:space="preserve">system is managed and operated through a separate contract with </w:t>
      </w:r>
      <w:r w:rsidR="00C63D46" w:rsidRPr="003F14CB">
        <w:rPr>
          <w:rFonts w:ascii="Times New Roman" w:hAnsi="Times New Roman" w:cs="Times New Roman"/>
          <w:sz w:val="22"/>
          <w:szCs w:val="22"/>
        </w:rPr>
        <w:t>a different contractor.</w:t>
      </w:r>
      <w:r w:rsidR="00862178" w:rsidRPr="003F14CB">
        <w:rPr>
          <w:rFonts w:ascii="Times New Roman" w:hAnsi="Times New Roman" w:cs="Times New Roman"/>
          <w:sz w:val="22"/>
          <w:szCs w:val="22"/>
        </w:rPr>
        <w:t xml:space="preserve"> </w:t>
      </w:r>
    </w:p>
    <w:p w14:paraId="10C8F282" w14:textId="71645426" w:rsidR="00991E2A" w:rsidRPr="00D87880" w:rsidRDefault="0055456F" w:rsidP="008C652E">
      <w:pPr>
        <w:pStyle w:val="FootnoteText"/>
        <w:spacing w:before="0" w:after="120" w:line="240" w:lineRule="auto"/>
        <w:ind w:left="0" w:firstLine="0"/>
        <w:jc w:val="left"/>
        <w:rPr>
          <w:sz w:val="22"/>
          <w:szCs w:val="22"/>
        </w:rPr>
      </w:pPr>
      <w:r w:rsidRPr="003F14CB">
        <w:rPr>
          <w:sz w:val="22"/>
          <w:szCs w:val="22"/>
        </w:rPr>
        <w:t xml:space="preserve">CDP </w:t>
      </w:r>
      <w:r w:rsidR="00991E2A" w:rsidRPr="003F14CB">
        <w:rPr>
          <w:sz w:val="22"/>
          <w:szCs w:val="22"/>
        </w:rPr>
        <w:t xml:space="preserve">is an integrated, Internet-based data input, management, and dissemination system, </w:t>
      </w:r>
      <w:r w:rsidRPr="003F14CB">
        <w:rPr>
          <w:sz w:val="22"/>
          <w:szCs w:val="22"/>
        </w:rPr>
        <w:t xml:space="preserve">seeking OMB </w:t>
      </w:r>
      <w:r w:rsidR="00991E2A" w:rsidRPr="003F14CB">
        <w:rPr>
          <w:sz w:val="22"/>
          <w:szCs w:val="22"/>
        </w:rPr>
        <w:t>approv</w:t>
      </w:r>
      <w:r w:rsidRPr="003F14CB">
        <w:rPr>
          <w:sz w:val="22"/>
          <w:szCs w:val="22"/>
        </w:rPr>
        <w:t>al</w:t>
      </w:r>
      <w:r w:rsidR="00991E2A" w:rsidRPr="003F14CB">
        <w:rPr>
          <w:sz w:val="22"/>
          <w:szCs w:val="22"/>
        </w:rPr>
        <w:t>.</w:t>
      </w:r>
      <w:r w:rsidR="00862178" w:rsidRPr="003F14CB">
        <w:rPr>
          <w:sz w:val="22"/>
          <w:szCs w:val="22"/>
        </w:rPr>
        <w:t xml:space="preserve"> </w:t>
      </w:r>
      <w:r w:rsidRPr="003F14CB">
        <w:rPr>
          <w:sz w:val="22"/>
          <w:szCs w:val="22"/>
        </w:rPr>
        <w:t>CDP</w:t>
      </w:r>
      <w:r w:rsidR="00991E2A" w:rsidRPr="003F14CB">
        <w:rPr>
          <w:sz w:val="22"/>
          <w:szCs w:val="22"/>
        </w:rPr>
        <w:t xml:space="preserve"> </w:t>
      </w:r>
      <w:r w:rsidRPr="003F14CB">
        <w:rPr>
          <w:sz w:val="22"/>
          <w:szCs w:val="22"/>
        </w:rPr>
        <w:t xml:space="preserve">will </w:t>
      </w:r>
      <w:r w:rsidR="00991E2A" w:rsidRPr="003F14CB">
        <w:rPr>
          <w:sz w:val="22"/>
          <w:szCs w:val="22"/>
        </w:rPr>
        <w:t>allow systematic data input</w:t>
      </w:r>
      <w:r w:rsidR="00991E2A" w:rsidRPr="0051571A">
        <w:rPr>
          <w:sz w:val="22"/>
          <w:szCs w:val="22"/>
        </w:rPr>
        <w:t xml:space="preserve">, immediate validation to identify data input flaws, and monitoring of data entry and evaluation in real time. It </w:t>
      </w:r>
      <w:r w:rsidRPr="0051571A">
        <w:rPr>
          <w:sz w:val="22"/>
          <w:szCs w:val="22"/>
        </w:rPr>
        <w:t xml:space="preserve">will </w:t>
      </w:r>
      <w:r w:rsidR="00991E2A" w:rsidRPr="0051571A">
        <w:rPr>
          <w:sz w:val="22"/>
          <w:szCs w:val="22"/>
        </w:rPr>
        <w:t xml:space="preserve">reduce processing time and provide the capability of creating interactive reports. The </w:t>
      </w:r>
      <w:r w:rsidRPr="0051571A">
        <w:rPr>
          <w:sz w:val="22"/>
          <w:szCs w:val="22"/>
        </w:rPr>
        <w:t>CDP will be</w:t>
      </w:r>
      <w:r w:rsidR="00991E2A" w:rsidRPr="0051571A">
        <w:rPr>
          <w:sz w:val="22"/>
          <w:szCs w:val="22"/>
        </w:rPr>
        <w:t xml:space="preserve"> secure and </w:t>
      </w:r>
      <w:r w:rsidR="00643217">
        <w:rPr>
          <w:sz w:val="22"/>
          <w:szCs w:val="22"/>
        </w:rPr>
        <w:t>will</w:t>
      </w:r>
      <w:r w:rsidR="00991E2A" w:rsidRPr="0051571A">
        <w:rPr>
          <w:sz w:val="22"/>
          <w:szCs w:val="22"/>
        </w:rPr>
        <w:t xml:space="preserve"> provi</w:t>
      </w:r>
      <w:r w:rsidR="00643217">
        <w:rPr>
          <w:sz w:val="22"/>
          <w:szCs w:val="22"/>
        </w:rPr>
        <w:t>de</w:t>
      </w:r>
      <w:r w:rsidR="00991E2A" w:rsidRPr="0051571A">
        <w:rPr>
          <w:sz w:val="22"/>
          <w:szCs w:val="22"/>
        </w:rPr>
        <w:t xml:space="preserve"> of different levels of password-protected access to </w:t>
      </w:r>
      <w:r w:rsidR="006A25BD" w:rsidRPr="0051571A">
        <w:rPr>
          <w:sz w:val="22"/>
          <w:szCs w:val="22"/>
        </w:rPr>
        <w:t xml:space="preserve">grant </w:t>
      </w:r>
      <w:r w:rsidR="00991E2A" w:rsidRPr="0051571A">
        <w:rPr>
          <w:sz w:val="22"/>
          <w:szCs w:val="22"/>
        </w:rPr>
        <w:t xml:space="preserve">and </w:t>
      </w:r>
      <w:r w:rsidR="006A25BD" w:rsidRPr="0051571A">
        <w:rPr>
          <w:sz w:val="22"/>
          <w:szCs w:val="22"/>
        </w:rPr>
        <w:t xml:space="preserve">program </w:t>
      </w:r>
      <w:r w:rsidR="00991E2A" w:rsidRPr="0051571A">
        <w:rPr>
          <w:sz w:val="22"/>
          <w:szCs w:val="22"/>
        </w:rPr>
        <w:t xml:space="preserve">data. Within </w:t>
      </w:r>
      <w:r w:rsidRPr="0051571A">
        <w:rPr>
          <w:sz w:val="22"/>
          <w:szCs w:val="22"/>
        </w:rPr>
        <w:t>CDP</w:t>
      </w:r>
      <w:r w:rsidR="00991E2A" w:rsidRPr="0051571A">
        <w:rPr>
          <w:sz w:val="22"/>
          <w:szCs w:val="22"/>
        </w:rPr>
        <w:t xml:space="preserve">, centralized data management systems </w:t>
      </w:r>
      <w:r w:rsidRPr="0051571A">
        <w:rPr>
          <w:sz w:val="22"/>
          <w:szCs w:val="22"/>
        </w:rPr>
        <w:t xml:space="preserve">will </w:t>
      </w:r>
      <w:r w:rsidR="00991E2A" w:rsidRPr="0051571A">
        <w:rPr>
          <w:sz w:val="22"/>
          <w:szCs w:val="22"/>
        </w:rPr>
        <w:t>facilitate automatic notifications to alert site evaluators when an interview is due, thereby eliminating the need for site-level duplication of effort and expense in the design of local tracking materials.</w:t>
      </w:r>
    </w:p>
    <w:p w14:paraId="080C12F0" w14:textId="6179957F" w:rsidR="00991E2A" w:rsidRPr="0051571A" w:rsidRDefault="00991E2A" w:rsidP="00991E2A">
      <w:pPr>
        <w:pStyle w:val="ListParagraph"/>
        <w:numPr>
          <w:ilvl w:val="0"/>
          <w:numId w:val="9"/>
        </w:numPr>
        <w:tabs>
          <w:tab w:val="clear" w:pos="360"/>
          <w:tab w:val="num" w:pos="720"/>
        </w:tabs>
        <w:spacing w:before="120" w:line="240" w:lineRule="auto"/>
        <w:ind w:left="720"/>
        <w:rPr>
          <w:rFonts w:ascii="Times New Roman" w:hAnsi="Times New Roman" w:cs="Times New Roman"/>
          <w:sz w:val="22"/>
          <w:szCs w:val="22"/>
        </w:rPr>
      </w:pPr>
      <w:r w:rsidRPr="00D87880">
        <w:rPr>
          <w:rFonts w:ascii="Times New Roman" w:hAnsi="Times New Roman" w:cs="Times New Roman"/>
          <w:i/>
          <w:sz w:val="22"/>
          <w:szCs w:val="22"/>
        </w:rPr>
        <w:t xml:space="preserve">Grantee </w:t>
      </w:r>
      <w:r w:rsidRPr="0051571A">
        <w:rPr>
          <w:rFonts w:ascii="Times New Roman" w:hAnsi="Times New Roman" w:cs="Times New Roman"/>
          <w:i/>
          <w:sz w:val="22"/>
          <w:szCs w:val="22"/>
        </w:rPr>
        <w:t>Training and TA.</w:t>
      </w:r>
      <w:r w:rsidR="00862178" w:rsidRPr="0051571A">
        <w:rPr>
          <w:rFonts w:ascii="Times New Roman" w:hAnsi="Times New Roman" w:cs="Times New Roman"/>
          <w:i/>
          <w:sz w:val="22"/>
          <w:szCs w:val="22"/>
        </w:rPr>
        <w:t xml:space="preserve"> </w:t>
      </w:r>
      <w:r w:rsidRPr="0051571A">
        <w:rPr>
          <w:rFonts w:ascii="Times New Roman" w:hAnsi="Times New Roman" w:cs="Times New Roman"/>
          <w:sz w:val="22"/>
          <w:szCs w:val="22"/>
        </w:rPr>
        <w:t xml:space="preserve">Grantees are trained and receive TA on </w:t>
      </w:r>
      <w:r w:rsidR="0055456F" w:rsidRPr="0051571A">
        <w:rPr>
          <w:rFonts w:ascii="Times New Roman" w:hAnsi="Times New Roman" w:cs="Times New Roman"/>
          <w:sz w:val="22"/>
          <w:szCs w:val="22"/>
        </w:rPr>
        <w:t xml:space="preserve">CDP </w:t>
      </w:r>
      <w:r w:rsidRPr="0051571A">
        <w:rPr>
          <w:rFonts w:ascii="Times New Roman" w:hAnsi="Times New Roman" w:cs="Times New Roman"/>
          <w:sz w:val="22"/>
          <w:szCs w:val="22"/>
        </w:rPr>
        <w:t xml:space="preserve">data collection, data entry, and use under the </w:t>
      </w:r>
      <w:r w:rsidR="0055456F" w:rsidRPr="0051571A">
        <w:rPr>
          <w:rFonts w:ascii="Times New Roman" w:hAnsi="Times New Roman" w:cs="Times New Roman"/>
          <w:sz w:val="22"/>
          <w:szCs w:val="22"/>
        </w:rPr>
        <w:t xml:space="preserve">CDP GDTA </w:t>
      </w:r>
      <w:r w:rsidRPr="0051571A">
        <w:rPr>
          <w:rFonts w:ascii="Times New Roman" w:hAnsi="Times New Roman" w:cs="Times New Roman"/>
          <w:sz w:val="22"/>
          <w:szCs w:val="22"/>
        </w:rPr>
        <w:t xml:space="preserve">contract. </w:t>
      </w:r>
    </w:p>
    <w:p w14:paraId="523F2D05" w14:textId="605A0195" w:rsidR="00991E2A" w:rsidRPr="0051571A" w:rsidRDefault="00991E2A" w:rsidP="00991E2A">
      <w:pPr>
        <w:numPr>
          <w:ilvl w:val="0"/>
          <w:numId w:val="9"/>
        </w:numPr>
        <w:tabs>
          <w:tab w:val="clear" w:pos="360"/>
          <w:tab w:val="left" w:pos="-1440"/>
          <w:tab w:val="num" w:pos="720"/>
          <w:tab w:val="left" w:pos="810"/>
        </w:tabs>
        <w:autoSpaceDE w:val="0"/>
        <w:autoSpaceDN w:val="0"/>
        <w:adjustRightInd w:val="0"/>
        <w:spacing w:line="240" w:lineRule="auto"/>
        <w:ind w:left="720"/>
        <w:rPr>
          <w:rFonts w:ascii="Times New Roman" w:hAnsi="Times New Roman" w:cs="Times New Roman"/>
          <w:sz w:val="22"/>
          <w:szCs w:val="22"/>
        </w:rPr>
      </w:pPr>
      <w:r w:rsidRPr="0051571A">
        <w:rPr>
          <w:rFonts w:ascii="Times New Roman" w:hAnsi="Times New Roman" w:cs="Times New Roman"/>
          <w:i/>
          <w:sz w:val="22"/>
          <w:szCs w:val="22"/>
        </w:rPr>
        <w:t>Data Input</w:t>
      </w:r>
      <w:r w:rsidRPr="0051571A">
        <w:rPr>
          <w:rFonts w:ascii="Times New Roman" w:hAnsi="Times New Roman" w:cs="Times New Roman"/>
          <w:sz w:val="22"/>
          <w:szCs w:val="22"/>
        </w:rPr>
        <w:t>.</w:t>
      </w:r>
      <w:r w:rsidR="00862178" w:rsidRPr="0051571A">
        <w:rPr>
          <w:rFonts w:ascii="Times New Roman" w:hAnsi="Times New Roman" w:cs="Times New Roman"/>
          <w:sz w:val="22"/>
          <w:szCs w:val="22"/>
        </w:rPr>
        <w:t xml:space="preserve"> </w:t>
      </w:r>
      <w:r w:rsidRPr="0051571A">
        <w:rPr>
          <w:rFonts w:ascii="Times New Roman" w:hAnsi="Times New Roman" w:cs="Times New Roman"/>
          <w:sz w:val="22"/>
          <w:szCs w:val="22"/>
        </w:rPr>
        <w:t xml:space="preserve">Child and family data from all clients served by grantees </w:t>
      </w:r>
      <w:r w:rsidR="0051571A">
        <w:rPr>
          <w:rFonts w:ascii="Times New Roman" w:hAnsi="Times New Roman" w:cs="Times New Roman"/>
          <w:sz w:val="22"/>
          <w:szCs w:val="22"/>
        </w:rPr>
        <w:t>will be</w:t>
      </w:r>
      <w:r w:rsidRPr="0051571A">
        <w:rPr>
          <w:rFonts w:ascii="Times New Roman" w:hAnsi="Times New Roman" w:cs="Times New Roman"/>
          <w:sz w:val="22"/>
          <w:szCs w:val="22"/>
        </w:rPr>
        <w:t xml:space="preserve"> entered directly into </w:t>
      </w:r>
      <w:r w:rsidR="0055456F" w:rsidRPr="0051571A">
        <w:rPr>
          <w:rFonts w:ascii="Times New Roman" w:hAnsi="Times New Roman" w:cs="Times New Roman"/>
          <w:sz w:val="22"/>
          <w:szCs w:val="22"/>
        </w:rPr>
        <w:t>CDP</w:t>
      </w:r>
      <w:r w:rsidRPr="0051571A">
        <w:rPr>
          <w:rFonts w:ascii="Times New Roman" w:hAnsi="Times New Roman" w:cs="Times New Roman"/>
          <w:sz w:val="22"/>
          <w:szCs w:val="22"/>
        </w:rPr>
        <w:t xml:space="preserve">. </w:t>
      </w:r>
      <w:r w:rsidR="0055456F" w:rsidRPr="0051571A">
        <w:rPr>
          <w:rFonts w:ascii="Times New Roman" w:hAnsi="Times New Roman" w:cs="Times New Roman"/>
          <w:sz w:val="22"/>
          <w:szCs w:val="22"/>
        </w:rPr>
        <w:t>CDP</w:t>
      </w:r>
      <w:r w:rsidRPr="0051571A">
        <w:rPr>
          <w:rFonts w:ascii="Times New Roman" w:hAnsi="Times New Roman" w:cs="Times New Roman"/>
          <w:sz w:val="22"/>
          <w:szCs w:val="22"/>
        </w:rPr>
        <w:t xml:space="preserve"> is designed to be </w:t>
      </w:r>
      <w:r w:rsidR="00635F91" w:rsidRPr="0051571A">
        <w:rPr>
          <w:rFonts w:ascii="Times New Roman" w:hAnsi="Times New Roman" w:cs="Times New Roman"/>
          <w:sz w:val="22"/>
          <w:szCs w:val="22"/>
        </w:rPr>
        <w:t xml:space="preserve">administered, data entered, and </w:t>
      </w:r>
      <w:r w:rsidRPr="0051571A">
        <w:rPr>
          <w:rFonts w:ascii="Times New Roman" w:hAnsi="Times New Roman" w:cs="Times New Roman"/>
          <w:sz w:val="22"/>
          <w:szCs w:val="22"/>
        </w:rPr>
        <w:t xml:space="preserve">used by intake staff or case managers often located at various agencies rather than at a central evaluation office. </w:t>
      </w:r>
      <w:r w:rsidR="00635F91" w:rsidRPr="0051571A">
        <w:rPr>
          <w:rFonts w:ascii="Times New Roman" w:hAnsi="Times New Roman" w:cs="Times New Roman"/>
          <w:sz w:val="22"/>
          <w:szCs w:val="22"/>
        </w:rPr>
        <w:t>(</w:t>
      </w:r>
      <w:r w:rsidR="00BB262A">
        <w:rPr>
          <w:rFonts w:ascii="Times New Roman" w:hAnsi="Times New Roman" w:cs="Times New Roman"/>
          <w:sz w:val="22"/>
          <w:szCs w:val="22"/>
        </w:rPr>
        <w:t xml:space="preserve">See Assurance of </w:t>
      </w:r>
      <w:r w:rsidR="00635F91" w:rsidRPr="0051571A">
        <w:rPr>
          <w:rFonts w:ascii="Times New Roman" w:hAnsi="Times New Roman" w:cs="Times New Roman"/>
          <w:sz w:val="22"/>
          <w:szCs w:val="22"/>
        </w:rPr>
        <w:t>Confidentiality</w:t>
      </w:r>
      <w:r w:rsidR="00BB262A">
        <w:rPr>
          <w:rFonts w:ascii="Times New Roman" w:hAnsi="Times New Roman" w:cs="Times New Roman"/>
          <w:sz w:val="22"/>
          <w:szCs w:val="22"/>
        </w:rPr>
        <w:t>,</w:t>
      </w:r>
      <w:r w:rsidR="00635F91" w:rsidRPr="0051571A">
        <w:rPr>
          <w:rFonts w:ascii="Times New Roman" w:hAnsi="Times New Roman" w:cs="Times New Roman"/>
          <w:sz w:val="22"/>
          <w:szCs w:val="22"/>
        </w:rPr>
        <w:t xml:space="preserve"> Section </w:t>
      </w:r>
      <w:r w:rsidR="006638FB">
        <w:rPr>
          <w:rFonts w:ascii="Times New Roman" w:hAnsi="Times New Roman" w:cs="Times New Roman"/>
          <w:sz w:val="22"/>
          <w:szCs w:val="22"/>
        </w:rPr>
        <w:t>10.)</w:t>
      </w:r>
      <w:r w:rsidR="00635F91" w:rsidRPr="0051571A">
        <w:rPr>
          <w:rFonts w:ascii="Times New Roman" w:hAnsi="Times New Roman" w:cs="Times New Roman"/>
          <w:sz w:val="22"/>
          <w:szCs w:val="22"/>
        </w:rPr>
        <w:t xml:space="preserve"> </w:t>
      </w:r>
      <w:r w:rsidRPr="0051571A">
        <w:rPr>
          <w:rFonts w:ascii="Times New Roman" w:hAnsi="Times New Roman" w:cs="Times New Roman"/>
          <w:sz w:val="22"/>
          <w:szCs w:val="22"/>
        </w:rPr>
        <w:t>The primary goal of this web-based data entry is to maximize the capture of descriptive information on all children served in SOC programs while minimizing burden.</w:t>
      </w:r>
      <w:r w:rsidR="00862178" w:rsidRPr="0051571A">
        <w:rPr>
          <w:rFonts w:ascii="Times New Roman" w:hAnsi="Times New Roman" w:cs="Times New Roman"/>
          <w:sz w:val="22"/>
          <w:szCs w:val="22"/>
        </w:rPr>
        <w:t xml:space="preserve"> </w:t>
      </w:r>
    </w:p>
    <w:p w14:paraId="5CAEFC9F" w14:textId="42E5C6AB" w:rsidR="00991E2A" w:rsidRPr="0051571A" w:rsidRDefault="00991E2A" w:rsidP="00991E2A">
      <w:pPr>
        <w:pStyle w:val="a"/>
        <w:numPr>
          <w:ilvl w:val="0"/>
          <w:numId w:val="9"/>
        </w:numPr>
        <w:tabs>
          <w:tab w:val="clear" w:pos="360"/>
          <w:tab w:val="num" w:pos="720"/>
          <w:tab w:val="left" w:pos="810"/>
        </w:tabs>
        <w:spacing w:after="120"/>
        <w:ind w:left="720"/>
        <w:rPr>
          <w:sz w:val="22"/>
          <w:szCs w:val="22"/>
        </w:rPr>
      </w:pPr>
      <w:r w:rsidRPr="0051571A">
        <w:rPr>
          <w:i/>
          <w:sz w:val="22"/>
          <w:szCs w:val="22"/>
        </w:rPr>
        <w:t>Data Monitoring, Management and Dissemination</w:t>
      </w:r>
      <w:r w:rsidRPr="0051571A">
        <w:rPr>
          <w:sz w:val="22"/>
          <w:szCs w:val="22"/>
        </w:rPr>
        <w:t xml:space="preserve">. </w:t>
      </w:r>
      <w:r w:rsidR="0055456F" w:rsidRPr="0051571A">
        <w:rPr>
          <w:sz w:val="22"/>
          <w:szCs w:val="22"/>
        </w:rPr>
        <w:t xml:space="preserve">CDP will </w:t>
      </w:r>
      <w:r w:rsidRPr="0051571A">
        <w:rPr>
          <w:sz w:val="22"/>
          <w:szCs w:val="22"/>
        </w:rPr>
        <w:t>monitor data quality and provide feedback to grantees.</w:t>
      </w:r>
      <w:r w:rsidR="00862178" w:rsidRPr="0051571A">
        <w:rPr>
          <w:sz w:val="22"/>
          <w:szCs w:val="22"/>
        </w:rPr>
        <w:t xml:space="preserve"> </w:t>
      </w:r>
      <w:r w:rsidRPr="0051571A">
        <w:rPr>
          <w:sz w:val="22"/>
          <w:szCs w:val="22"/>
        </w:rPr>
        <w:t xml:space="preserve">Basic validations are completed during the data entry process. In addition, every month missing data reports </w:t>
      </w:r>
      <w:r w:rsidR="0055456F" w:rsidRPr="0051571A">
        <w:rPr>
          <w:sz w:val="22"/>
          <w:szCs w:val="22"/>
        </w:rPr>
        <w:t xml:space="preserve">will be </w:t>
      </w:r>
      <w:r w:rsidRPr="0051571A">
        <w:rPr>
          <w:sz w:val="22"/>
          <w:szCs w:val="22"/>
        </w:rPr>
        <w:t>provided to grantees that detail any potential data errors or issues.</w:t>
      </w:r>
      <w:r w:rsidR="00862178" w:rsidRPr="0051571A">
        <w:rPr>
          <w:sz w:val="22"/>
          <w:szCs w:val="22"/>
        </w:rPr>
        <w:t xml:space="preserve"> </w:t>
      </w:r>
      <w:r w:rsidRPr="0051571A">
        <w:rPr>
          <w:sz w:val="22"/>
          <w:szCs w:val="22"/>
        </w:rPr>
        <w:t xml:space="preserve">Reporting features </w:t>
      </w:r>
      <w:r w:rsidR="0055456F" w:rsidRPr="0051571A">
        <w:rPr>
          <w:sz w:val="22"/>
          <w:szCs w:val="22"/>
        </w:rPr>
        <w:t xml:space="preserve">will </w:t>
      </w:r>
      <w:r w:rsidRPr="0051571A">
        <w:rPr>
          <w:sz w:val="22"/>
          <w:szCs w:val="22"/>
        </w:rPr>
        <w:t xml:space="preserve">support sites’ abilities to use their data for quality assurance monitoring and system improvement purposes. </w:t>
      </w:r>
      <w:r w:rsidR="0055456F" w:rsidRPr="0051571A">
        <w:rPr>
          <w:sz w:val="22"/>
          <w:szCs w:val="22"/>
        </w:rPr>
        <w:t xml:space="preserve">The CDP will </w:t>
      </w:r>
      <w:r w:rsidRPr="0051571A">
        <w:rPr>
          <w:sz w:val="22"/>
          <w:szCs w:val="22"/>
        </w:rPr>
        <w:t>make grantee-specific data available to grantees to help meet their local evaluation needs.</w:t>
      </w:r>
      <w:r w:rsidR="00862178" w:rsidRPr="0051571A">
        <w:rPr>
          <w:sz w:val="22"/>
          <w:szCs w:val="22"/>
        </w:rPr>
        <w:t xml:space="preserve"> </w:t>
      </w:r>
      <w:r w:rsidRPr="0051571A">
        <w:rPr>
          <w:sz w:val="22"/>
          <w:szCs w:val="22"/>
        </w:rPr>
        <w:t xml:space="preserve">Grantees </w:t>
      </w:r>
      <w:r w:rsidR="0055456F" w:rsidRPr="0051571A">
        <w:rPr>
          <w:sz w:val="22"/>
          <w:szCs w:val="22"/>
        </w:rPr>
        <w:t xml:space="preserve">will be able to </w:t>
      </w:r>
      <w:r w:rsidR="00C26507" w:rsidRPr="0051571A">
        <w:rPr>
          <w:sz w:val="22"/>
          <w:szCs w:val="22"/>
        </w:rPr>
        <w:t xml:space="preserve">edit their data and </w:t>
      </w:r>
      <w:r w:rsidR="0055456F" w:rsidRPr="0051571A">
        <w:rPr>
          <w:sz w:val="22"/>
          <w:szCs w:val="22"/>
        </w:rPr>
        <w:t xml:space="preserve">will immediately be able to see </w:t>
      </w:r>
      <w:r w:rsidR="00C26507" w:rsidRPr="0051571A">
        <w:rPr>
          <w:sz w:val="22"/>
          <w:szCs w:val="22"/>
        </w:rPr>
        <w:t xml:space="preserve">their data aggregated in reports or </w:t>
      </w:r>
      <w:r w:rsidRPr="0051571A">
        <w:rPr>
          <w:sz w:val="22"/>
          <w:szCs w:val="22"/>
        </w:rPr>
        <w:t xml:space="preserve">download </w:t>
      </w:r>
      <w:r w:rsidR="00C26507" w:rsidRPr="0051571A">
        <w:rPr>
          <w:sz w:val="22"/>
          <w:szCs w:val="22"/>
        </w:rPr>
        <w:t>it</w:t>
      </w:r>
      <w:r w:rsidRPr="0051571A">
        <w:rPr>
          <w:sz w:val="22"/>
          <w:szCs w:val="22"/>
        </w:rPr>
        <w:t>.</w:t>
      </w:r>
      <w:r w:rsidR="00862178" w:rsidRPr="0051571A">
        <w:rPr>
          <w:sz w:val="22"/>
          <w:szCs w:val="22"/>
        </w:rPr>
        <w:t xml:space="preserve"> </w:t>
      </w:r>
    </w:p>
    <w:p w14:paraId="401E3781" w14:textId="4A6D02D5" w:rsidR="00AB0E1C" w:rsidRPr="0051571A" w:rsidRDefault="00AB0E1C" w:rsidP="00991E2A">
      <w:pPr>
        <w:spacing w:line="240" w:lineRule="auto"/>
        <w:rPr>
          <w:rFonts w:ascii="Times New Roman" w:hAnsi="Times New Roman" w:cs="Times New Roman"/>
          <w:sz w:val="22"/>
          <w:szCs w:val="22"/>
        </w:rPr>
      </w:pPr>
      <w:r w:rsidRPr="0051571A">
        <w:rPr>
          <w:rFonts w:ascii="Times New Roman" w:hAnsi="Times New Roman" w:cs="Times New Roman"/>
          <w:sz w:val="22"/>
          <w:szCs w:val="22"/>
        </w:rPr>
        <w:t xml:space="preserve">The </w:t>
      </w:r>
      <w:r w:rsidR="00EC2A9A" w:rsidRPr="0051571A">
        <w:rPr>
          <w:rFonts w:ascii="Times New Roman" w:hAnsi="Times New Roman" w:cs="Times New Roman"/>
          <w:sz w:val="22"/>
          <w:szCs w:val="22"/>
        </w:rPr>
        <w:t>federally</w:t>
      </w:r>
      <w:r w:rsidR="0051571A">
        <w:rPr>
          <w:rFonts w:ascii="Times New Roman" w:hAnsi="Times New Roman" w:cs="Times New Roman"/>
          <w:sz w:val="22"/>
          <w:szCs w:val="22"/>
        </w:rPr>
        <w:t>-</w:t>
      </w:r>
      <w:r w:rsidRPr="0051571A">
        <w:rPr>
          <w:rFonts w:ascii="Times New Roman" w:hAnsi="Times New Roman" w:cs="Times New Roman"/>
          <w:sz w:val="22"/>
          <w:szCs w:val="22"/>
        </w:rPr>
        <w:t xml:space="preserve">required descriptive information includes the number of persons served by age, gender, race and ethnicity. This information is gathered using the </w:t>
      </w:r>
      <w:r w:rsidR="0055456F" w:rsidRPr="0051571A">
        <w:rPr>
          <w:rFonts w:ascii="Times New Roman" w:hAnsi="Times New Roman" w:cs="Times New Roman"/>
          <w:sz w:val="22"/>
          <w:szCs w:val="22"/>
        </w:rPr>
        <w:t>Client-Level Services Measures for Discretionary Programs, CMHS PROGRAM ONLY</w:t>
      </w:r>
      <w:r w:rsidRPr="0051571A">
        <w:rPr>
          <w:rFonts w:ascii="Times New Roman" w:hAnsi="Times New Roman" w:cs="Times New Roman"/>
          <w:sz w:val="22"/>
          <w:szCs w:val="22"/>
        </w:rPr>
        <w:t>.</w:t>
      </w:r>
      <w:r w:rsidR="00862178" w:rsidRPr="0051571A">
        <w:rPr>
          <w:rFonts w:ascii="Times New Roman" w:hAnsi="Times New Roman" w:cs="Times New Roman"/>
          <w:sz w:val="22"/>
          <w:szCs w:val="22"/>
        </w:rPr>
        <w:t xml:space="preserve"> </w:t>
      </w:r>
      <w:r w:rsidRPr="0051571A">
        <w:rPr>
          <w:rFonts w:ascii="Times New Roman" w:hAnsi="Times New Roman" w:cs="Times New Roman"/>
          <w:sz w:val="22"/>
          <w:szCs w:val="22"/>
        </w:rPr>
        <w:t xml:space="preserve">Other information collected by </w:t>
      </w:r>
      <w:r w:rsidR="0055456F" w:rsidRPr="0051571A">
        <w:rPr>
          <w:rFonts w:ascii="Times New Roman" w:hAnsi="Times New Roman" w:cs="Times New Roman"/>
          <w:sz w:val="22"/>
          <w:szCs w:val="22"/>
        </w:rPr>
        <w:t xml:space="preserve">CDP </w:t>
      </w:r>
      <w:r w:rsidRPr="0051571A">
        <w:rPr>
          <w:rFonts w:ascii="Times New Roman" w:hAnsi="Times New Roman" w:cs="Times New Roman"/>
          <w:sz w:val="22"/>
          <w:szCs w:val="22"/>
        </w:rPr>
        <w:t>includes the following:</w:t>
      </w:r>
    </w:p>
    <w:p w14:paraId="62441E3D" w14:textId="77777777" w:rsidR="005D34A6" w:rsidRPr="0051571A" w:rsidRDefault="00CC27B2"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Demographic information</w:t>
      </w:r>
    </w:p>
    <w:p w14:paraId="6A48E3D9" w14:textId="77777777" w:rsidR="00284F01" w:rsidRDefault="00284F01"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Education level and attendance</w:t>
      </w:r>
    </w:p>
    <w:p w14:paraId="1F878C14" w14:textId="2E159410" w:rsidR="00DB3592" w:rsidRPr="0051571A" w:rsidRDefault="00DB3592"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Pr>
          <w:rFonts w:ascii="Times New Roman" w:hAnsi="Times New Roman" w:cs="Times New Roman"/>
          <w:sz w:val="22"/>
          <w:szCs w:val="22"/>
        </w:rPr>
        <w:t xml:space="preserve">Employment </w:t>
      </w:r>
    </w:p>
    <w:p w14:paraId="0959E5EF" w14:textId="3735E251" w:rsidR="00284F01" w:rsidRPr="0051571A" w:rsidRDefault="00284F01"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 xml:space="preserve">Military status of </w:t>
      </w:r>
      <w:r w:rsidR="00EB0FDE" w:rsidRPr="0051571A">
        <w:rPr>
          <w:rFonts w:ascii="Times New Roman" w:hAnsi="Times New Roman" w:cs="Times New Roman"/>
          <w:sz w:val="22"/>
          <w:szCs w:val="22"/>
        </w:rPr>
        <w:t xml:space="preserve">the </w:t>
      </w:r>
      <w:r w:rsidR="00C26507" w:rsidRPr="0051571A">
        <w:rPr>
          <w:rFonts w:ascii="Times New Roman" w:hAnsi="Times New Roman" w:cs="Times New Roman"/>
          <w:sz w:val="22"/>
          <w:szCs w:val="22"/>
        </w:rPr>
        <w:t>client</w:t>
      </w:r>
      <w:r w:rsidR="00EB0FDE" w:rsidRPr="0051571A">
        <w:rPr>
          <w:rFonts w:ascii="Times New Roman" w:hAnsi="Times New Roman" w:cs="Times New Roman"/>
          <w:sz w:val="22"/>
          <w:szCs w:val="22"/>
        </w:rPr>
        <w:t xml:space="preserve"> and/or </w:t>
      </w:r>
      <w:r w:rsidRPr="0051571A">
        <w:rPr>
          <w:rFonts w:ascii="Times New Roman" w:hAnsi="Times New Roman" w:cs="Times New Roman"/>
          <w:sz w:val="22"/>
          <w:szCs w:val="22"/>
        </w:rPr>
        <w:t>family members</w:t>
      </w:r>
    </w:p>
    <w:p w14:paraId="58D6BD17" w14:textId="77777777" w:rsidR="00284F01" w:rsidRPr="0051571A" w:rsidRDefault="00284F01" w:rsidP="00284F01">
      <w:pPr>
        <w:pStyle w:val="ListParagraph"/>
        <w:numPr>
          <w:ilvl w:val="0"/>
          <w:numId w:val="31"/>
        </w:numPr>
        <w:spacing w:after="0" w:line="240" w:lineRule="auto"/>
        <w:rPr>
          <w:rFonts w:ascii="Times New Roman" w:hAnsi="Times New Roman" w:cs="Times New Roman"/>
          <w:sz w:val="22"/>
          <w:szCs w:val="22"/>
        </w:rPr>
      </w:pPr>
      <w:r w:rsidRPr="0051571A">
        <w:rPr>
          <w:rFonts w:ascii="Times New Roman" w:hAnsi="Times New Roman" w:cs="Times New Roman"/>
          <w:sz w:val="22"/>
          <w:szCs w:val="22"/>
        </w:rPr>
        <w:t>Family structure and living situation</w:t>
      </w:r>
    </w:p>
    <w:p w14:paraId="41210F32" w14:textId="77777777" w:rsidR="00284F01" w:rsidRPr="0051571A" w:rsidRDefault="00284F01"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Housing stability</w:t>
      </w:r>
    </w:p>
    <w:p w14:paraId="2C50C3F6" w14:textId="77777777" w:rsidR="00284F01" w:rsidRPr="0051571A" w:rsidRDefault="00284F01"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Social connectedness</w:t>
      </w:r>
    </w:p>
    <w:p w14:paraId="317A8331" w14:textId="77777777" w:rsidR="00284F01" w:rsidRPr="0051571A" w:rsidRDefault="00AB0E1C"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 xml:space="preserve">Overall physical </w:t>
      </w:r>
      <w:r w:rsidR="00284F01" w:rsidRPr="0051571A">
        <w:rPr>
          <w:rFonts w:ascii="Times New Roman" w:hAnsi="Times New Roman" w:cs="Times New Roman"/>
          <w:sz w:val="22"/>
          <w:szCs w:val="22"/>
        </w:rPr>
        <w:t>health</w:t>
      </w:r>
    </w:p>
    <w:p w14:paraId="4407CBF0" w14:textId="77777777" w:rsidR="00AB0E1C" w:rsidRPr="0051571A" w:rsidRDefault="00284F01"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 xml:space="preserve">Overall </w:t>
      </w:r>
      <w:r w:rsidR="007C1C7C" w:rsidRPr="0051571A">
        <w:rPr>
          <w:rFonts w:ascii="Times New Roman" w:hAnsi="Times New Roman" w:cs="Times New Roman"/>
          <w:sz w:val="22"/>
          <w:szCs w:val="22"/>
        </w:rPr>
        <w:t>MH</w:t>
      </w:r>
    </w:p>
    <w:p w14:paraId="7A27878E" w14:textId="77777777" w:rsidR="00AB0E1C" w:rsidRPr="0051571A" w:rsidRDefault="00AB0E1C"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sz w:val="22"/>
          <w:szCs w:val="22"/>
        </w:rPr>
      </w:pPr>
      <w:r w:rsidRPr="0051571A">
        <w:rPr>
          <w:rFonts w:ascii="Times New Roman" w:hAnsi="Times New Roman" w:cs="Times New Roman"/>
          <w:sz w:val="22"/>
          <w:szCs w:val="22"/>
        </w:rPr>
        <w:t>Substance use</w:t>
      </w:r>
    </w:p>
    <w:p w14:paraId="59885CD4" w14:textId="77777777" w:rsidR="00AB0E1C" w:rsidRPr="0051571A" w:rsidRDefault="00AB0E1C" w:rsidP="00284F01">
      <w:pPr>
        <w:keepNext/>
        <w:keepLines/>
        <w:widowControl w:val="0"/>
        <w:numPr>
          <w:ilvl w:val="0"/>
          <w:numId w:val="31"/>
        </w:numPr>
        <w:tabs>
          <w:tab w:val="left" w:pos="-1440"/>
          <w:tab w:val="left" w:pos="-720"/>
          <w:tab w:val="left" w:pos="0"/>
          <w:tab w:val="left" w:pos="2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Fonts w:ascii="Times New Roman" w:hAnsi="Times New Roman" w:cs="Times New Roman"/>
          <w:sz w:val="22"/>
          <w:szCs w:val="22"/>
        </w:rPr>
      </w:pPr>
      <w:r w:rsidRPr="0051571A">
        <w:rPr>
          <w:rFonts w:ascii="Times New Roman" w:hAnsi="Times New Roman" w:cs="Times New Roman"/>
          <w:sz w:val="22"/>
          <w:szCs w:val="22"/>
        </w:rPr>
        <w:t>Arrests</w:t>
      </w:r>
    </w:p>
    <w:p w14:paraId="5F5E0FCC" w14:textId="1F081956" w:rsidR="00E20B84" w:rsidRPr="00D10D16" w:rsidRDefault="00CB6964" w:rsidP="00271C93">
      <w:pPr>
        <w:spacing w:line="240" w:lineRule="auto"/>
        <w:rPr>
          <w:sz w:val="22"/>
          <w:szCs w:val="22"/>
        </w:rPr>
      </w:pPr>
      <w:r w:rsidRPr="00271C93">
        <w:rPr>
          <w:rFonts w:ascii="Times New Roman" w:hAnsi="Times New Roman" w:cs="Times New Roman"/>
          <w:b/>
          <w:sz w:val="22"/>
          <w:szCs w:val="22"/>
        </w:rPr>
        <w:t xml:space="preserve">Augmentations to </w:t>
      </w:r>
      <w:r w:rsidR="0055456F" w:rsidRPr="00271C93">
        <w:rPr>
          <w:rFonts w:ascii="Times New Roman" w:hAnsi="Times New Roman" w:cs="Times New Roman"/>
          <w:b/>
          <w:sz w:val="22"/>
          <w:szCs w:val="22"/>
        </w:rPr>
        <w:t>CDP</w:t>
      </w:r>
      <w:r w:rsidR="0055456F" w:rsidRPr="0051571A">
        <w:rPr>
          <w:rFonts w:ascii="Times New Roman" w:hAnsi="Times New Roman" w:cs="Times New Roman"/>
          <w:b/>
          <w:i/>
          <w:sz w:val="22"/>
          <w:szCs w:val="22"/>
        </w:rPr>
        <w:t xml:space="preserve"> </w:t>
      </w:r>
      <w:r w:rsidRPr="0051571A">
        <w:rPr>
          <w:rFonts w:ascii="Times New Roman" w:hAnsi="Times New Roman" w:cs="Times New Roman"/>
          <w:b/>
          <w:i/>
          <w:sz w:val="22"/>
          <w:szCs w:val="22"/>
        </w:rPr>
        <w:t>(Items a</w:t>
      </w:r>
      <w:r w:rsidR="009D2647" w:rsidRPr="0051571A">
        <w:rPr>
          <w:rFonts w:ascii="Times New Roman" w:hAnsi="Times New Roman" w:cs="Times New Roman"/>
          <w:b/>
          <w:i/>
          <w:sz w:val="22"/>
          <w:szCs w:val="22"/>
        </w:rPr>
        <w:t xml:space="preserve">dded by </w:t>
      </w:r>
      <w:r w:rsidR="00817E92" w:rsidRPr="0051571A">
        <w:rPr>
          <w:rFonts w:ascii="Times New Roman" w:hAnsi="Times New Roman" w:cs="Times New Roman"/>
          <w:b/>
          <w:i/>
          <w:sz w:val="22"/>
          <w:szCs w:val="22"/>
        </w:rPr>
        <w:t>Evaluation</w:t>
      </w:r>
      <w:r w:rsidR="009D2647" w:rsidRPr="0051571A">
        <w:rPr>
          <w:rFonts w:ascii="Times New Roman" w:hAnsi="Times New Roman" w:cs="Times New Roman"/>
          <w:b/>
          <w:i/>
          <w:sz w:val="22"/>
          <w:szCs w:val="22"/>
        </w:rPr>
        <w:t>)</w:t>
      </w:r>
      <w:r w:rsidR="00E20B84" w:rsidRPr="0051571A">
        <w:rPr>
          <w:rFonts w:ascii="Times New Roman" w:hAnsi="Times New Roman" w:cs="Times New Roman"/>
          <w:b/>
          <w:sz w:val="22"/>
          <w:szCs w:val="22"/>
        </w:rPr>
        <w:t>.</w:t>
      </w:r>
      <w:r w:rsidR="00862178" w:rsidRPr="0051571A">
        <w:rPr>
          <w:rFonts w:ascii="Times New Roman" w:hAnsi="Times New Roman" w:cs="Times New Roman"/>
          <w:b/>
          <w:sz w:val="22"/>
          <w:szCs w:val="22"/>
        </w:rPr>
        <w:t xml:space="preserve"> </w:t>
      </w:r>
      <w:r w:rsidR="00E83590" w:rsidRPr="0051571A">
        <w:rPr>
          <w:rFonts w:ascii="Times New Roman" w:hAnsi="Times New Roman" w:cs="Times New Roman"/>
          <w:sz w:val="22"/>
          <w:szCs w:val="22"/>
        </w:rPr>
        <w:t>The</w:t>
      </w:r>
      <w:r w:rsidR="00E83590" w:rsidRPr="0051571A">
        <w:rPr>
          <w:rFonts w:ascii="Times New Roman" w:hAnsi="Times New Roman" w:cs="Times New Roman"/>
          <w:b/>
          <w:sz w:val="22"/>
          <w:szCs w:val="22"/>
        </w:rPr>
        <w:t xml:space="preserve"> </w:t>
      </w:r>
      <w:r w:rsidR="0055456F" w:rsidRPr="00271C93">
        <w:rPr>
          <w:rFonts w:ascii="Times New Roman" w:hAnsi="Times New Roman" w:cs="Times New Roman"/>
          <w:i/>
          <w:sz w:val="22"/>
          <w:szCs w:val="22"/>
        </w:rPr>
        <w:t>Client-Level Services Measures for Discretionary Programs, CMHS PROGRAM ONLY</w:t>
      </w:r>
      <w:r w:rsidR="0055456F" w:rsidRPr="0051571A" w:rsidDel="0055456F">
        <w:rPr>
          <w:rFonts w:ascii="Times New Roman" w:hAnsi="Times New Roman" w:cs="Times New Roman"/>
          <w:b/>
          <w:sz w:val="22"/>
          <w:szCs w:val="22"/>
        </w:rPr>
        <w:t xml:space="preserve"> </w:t>
      </w:r>
      <w:r w:rsidR="0055456F" w:rsidRPr="0051571A">
        <w:rPr>
          <w:rFonts w:ascii="Times New Roman" w:hAnsi="Times New Roman" w:cs="Times New Roman"/>
          <w:sz w:val="22"/>
          <w:szCs w:val="22"/>
        </w:rPr>
        <w:t>CDP</w:t>
      </w:r>
      <w:r w:rsidR="00EC783C" w:rsidRPr="0051571A">
        <w:rPr>
          <w:rFonts w:ascii="Times New Roman" w:hAnsi="Times New Roman" w:cs="Times New Roman"/>
          <w:sz w:val="22"/>
          <w:szCs w:val="22"/>
        </w:rPr>
        <w:t xml:space="preserve"> </w:t>
      </w:r>
      <w:r w:rsidR="00E83590" w:rsidRPr="0051571A">
        <w:rPr>
          <w:rFonts w:ascii="Times New Roman" w:hAnsi="Times New Roman" w:cs="Times New Roman"/>
          <w:sz w:val="22"/>
          <w:szCs w:val="22"/>
        </w:rPr>
        <w:t xml:space="preserve">instrument </w:t>
      </w:r>
      <w:r w:rsidR="00EC783C" w:rsidRPr="0051571A">
        <w:rPr>
          <w:rFonts w:ascii="Times New Roman" w:hAnsi="Times New Roman" w:cs="Times New Roman"/>
          <w:sz w:val="22"/>
          <w:szCs w:val="22"/>
        </w:rPr>
        <w:t>includes a blank, place</w:t>
      </w:r>
      <w:r w:rsidR="00E83590" w:rsidRPr="0051571A">
        <w:rPr>
          <w:rFonts w:ascii="Times New Roman" w:hAnsi="Times New Roman" w:cs="Times New Roman"/>
          <w:sz w:val="22"/>
          <w:szCs w:val="22"/>
        </w:rPr>
        <w:t>-</w:t>
      </w:r>
      <w:r w:rsidR="00EC783C" w:rsidRPr="0051571A">
        <w:rPr>
          <w:rFonts w:ascii="Times New Roman" w:hAnsi="Times New Roman" w:cs="Times New Roman"/>
          <w:sz w:val="22"/>
          <w:szCs w:val="22"/>
        </w:rPr>
        <w:t xml:space="preserve">holding section (Section H) </w:t>
      </w:r>
      <w:r w:rsidR="00E83590" w:rsidRPr="0051571A">
        <w:rPr>
          <w:rFonts w:ascii="Times New Roman" w:hAnsi="Times New Roman" w:cs="Times New Roman"/>
          <w:sz w:val="22"/>
          <w:szCs w:val="22"/>
        </w:rPr>
        <w:t xml:space="preserve">where </w:t>
      </w:r>
      <w:r w:rsidR="00EC783C" w:rsidRPr="0051571A">
        <w:rPr>
          <w:rFonts w:ascii="Times New Roman" w:hAnsi="Times New Roman" w:cs="Times New Roman"/>
          <w:sz w:val="22"/>
          <w:szCs w:val="22"/>
        </w:rPr>
        <w:t xml:space="preserve">SAMHSA </w:t>
      </w:r>
      <w:r w:rsidR="00E83590" w:rsidRPr="0051571A">
        <w:rPr>
          <w:rFonts w:ascii="Times New Roman" w:hAnsi="Times New Roman" w:cs="Times New Roman"/>
          <w:sz w:val="22"/>
          <w:szCs w:val="22"/>
        </w:rPr>
        <w:t xml:space="preserve">can </w:t>
      </w:r>
      <w:r w:rsidR="00EC783C" w:rsidRPr="0051571A">
        <w:rPr>
          <w:rFonts w:ascii="Times New Roman" w:hAnsi="Times New Roman" w:cs="Times New Roman"/>
          <w:sz w:val="22"/>
          <w:szCs w:val="22"/>
        </w:rPr>
        <w:t xml:space="preserve">add </w:t>
      </w:r>
      <w:r w:rsidR="00E83590" w:rsidRPr="0051571A">
        <w:rPr>
          <w:rFonts w:ascii="Times New Roman" w:hAnsi="Times New Roman" w:cs="Times New Roman"/>
          <w:sz w:val="22"/>
          <w:szCs w:val="22"/>
        </w:rPr>
        <w:t>items</w:t>
      </w:r>
      <w:r w:rsidR="00EC783C" w:rsidRPr="0051571A">
        <w:rPr>
          <w:rFonts w:ascii="Times New Roman" w:hAnsi="Times New Roman" w:cs="Times New Roman"/>
          <w:sz w:val="22"/>
          <w:szCs w:val="22"/>
        </w:rPr>
        <w:t xml:space="preserve"> </w:t>
      </w:r>
      <w:r w:rsidR="00E83590" w:rsidRPr="0051571A">
        <w:rPr>
          <w:rFonts w:ascii="Times New Roman" w:hAnsi="Times New Roman" w:cs="Times New Roman"/>
          <w:sz w:val="22"/>
          <w:szCs w:val="22"/>
        </w:rPr>
        <w:t xml:space="preserve">to assess SAMHSA </w:t>
      </w:r>
      <w:r w:rsidR="008C52A2" w:rsidRPr="00D10D16">
        <w:rPr>
          <w:rFonts w:ascii="Times New Roman" w:hAnsi="Times New Roman" w:cs="Times New Roman"/>
          <w:sz w:val="22"/>
          <w:szCs w:val="22"/>
        </w:rPr>
        <w:t>grant initiatives</w:t>
      </w:r>
      <w:r w:rsidR="00EC783C" w:rsidRPr="00D10D16">
        <w:rPr>
          <w:rFonts w:ascii="Times New Roman" w:hAnsi="Times New Roman" w:cs="Times New Roman"/>
          <w:sz w:val="22"/>
          <w:szCs w:val="22"/>
        </w:rPr>
        <w:t>.</w:t>
      </w:r>
      <w:r w:rsidR="00862178" w:rsidRPr="00D10D16">
        <w:rPr>
          <w:rFonts w:ascii="Times New Roman" w:hAnsi="Times New Roman" w:cs="Times New Roman"/>
          <w:sz w:val="22"/>
          <w:szCs w:val="22"/>
        </w:rPr>
        <w:t xml:space="preserve"> </w:t>
      </w:r>
      <w:r w:rsidR="00E83590" w:rsidRPr="00D10D16">
        <w:rPr>
          <w:rFonts w:ascii="Times New Roman" w:hAnsi="Times New Roman" w:cs="Times New Roman"/>
          <w:sz w:val="22"/>
          <w:szCs w:val="22"/>
        </w:rPr>
        <w:t>This NET proposes to add</w:t>
      </w:r>
      <w:r w:rsidR="00395AF2" w:rsidRPr="00D10D16">
        <w:rPr>
          <w:rFonts w:ascii="Times New Roman" w:hAnsi="Times New Roman" w:cs="Times New Roman"/>
          <w:sz w:val="22"/>
          <w:szCs w:val="22"/>
        </w:rPr>
        <w:t xml:space="preserve"> </w:t>
      </w:r>
      <w:r w:rsidR="007575A8" w:rsidRPr="00D10D16">
        <w:rPr>
          <w:rFonts w:ascii="Times New Roman" w:hAnsi="Times New Roman" w:cs="Times New Roman"/>
          <w:sz w:val="22"/>
          <w:szCs w:val="22"/>
        </w:rPr>
        <w:t>a limited number of</w:t>
      </w:r>
      <w:r w:rsidR="00395AF2" w:rsidRPr="00D10D16">
        <w:rPr>
          <w:rFonts w:ascii="Times New Roman" w:hAnsi="Times New Roman" w:cs="Times New Roman"/>
          <w:sz w:val="22"/>
          <w:szCs w:val="22"/>
        </w:rPr>
        <w:t xml:space="preserve"> items </w:t>
      </w:r>
      <w:r w:rsidR="00E83590" w:rsidRPr="00D10D16">
        <w:rPr>
          <w:rFonts w:ascii="Times New Roman" w:hAnsi="Times New Roman" w:cs="Times New Roman"/>
          <w:sz w:val="22"/>
          <w:szCs w:val="22"/>
        </w:rPr>
        <w:t>to</w:t>
      </w:r>
      <w:r w:rsidR="00395AF2" w:rsidRPr="00D10D16">
        <w:rPr>
          <w:rFonts w:ascii="Times New Roman" w:hAnsi="Times New Roman" w:cs="Times New Roman"/>
          <w:sz w:val="22"/>
          <w:szCs w:val="22"/>
        </w:rPr>
        <w:t xml:space="preserve"> </w:t>
      </w:r>
      <w:r w:rsidR="0055456F" w:rsidRPr="00D10D16">
        <w:rPr>
          <w:rFonts w:ascii="Times New Roman" w:hAnsi="Times New Roman" w:cs="Times New Roman"/>
          <w:sz w:val="22"/>
          <w:szCs w:val="22"/>
        </w:rPr>
        <w:t xml:space="preserve">the CDP’s </w:t>
      </w:r>
      <w:r w:rsidR="0041059C" w:rsidRPr="00D10D16">
        <w:rPr>
          <w:rFonts w:ascii="Times New Roman" w:hAnsi="Times New Roman" w:cs="Times New Roman"/>
          <w:sz w:val="22"/>
          <w:szCs w:val="22"/>
        </w:rPr>
        <w:t>Section H</w:t>
      </w:r>
      <w:r w:rsidR="00E83590" w:rsidRPr="00D10D16">
        <w:rPr>
          <w:rFonts w:ascii="Times New Roman" w:hAnsi="Times New Roman" w:cs="Times New Roman"/>
          <w:sz w:val="22"/>
          <w:szCs w:val="22"/>
        </w:rPr>
        <w:t xml:space="preserve"> for the purpose of this Evaluation.  </w:t>
      </w:r>
    </w:p>
    <w:p w14:paraId="3690FCB2" w14:textId="00A3E3B3" w:rsidR="002B1BE0" w:rsidRPr="00D87880" w:rsidRDefault="00615812" w:rsidP="00864BDA">
      <w:pPr>
        <w:pStyle w:val="a"/>
        <w:tabs>
          <w:tab w:val="left" w:pos="720"/>
          <w:tab w:val="left" w:pos="810"/>
        </w:tabs>
        <w:spacing w:after="120"/>
        <w:ind w:left="0"/>
        <w:rPr>
          <w:sz w:val="22"/>
          <w:szCs w:val="22"/>
        </w:rPr>
      </w:pPr>
      <w:r w:rsidRPr="00D10D16">
        <w:rPr>
          <w:b/>
          <w:sz w:val="22"/>
          <w:szCs w:val="22"/>
        </w:rPr>
        <w:t>Other D</w:t>
      </w:r>
      <w:r w:rsidR="005D0BCB" w:rsidRPr="00D10D16">
        <w:rPr>
          <w:b/>
          <w:sz w:val="22"/>
          <w:szCs w:val="22"/>
        </w:rPr>
        <w:t xml:space="preserve">ata </w:t>
      </w:r>
      <w:r w:rsidRPr="00D10D16">
        <w:rPr>
          <w:b/>
          <w:sz w:val="22"/>
          <w:szCs w:val="22"/>
        </w:rPr>
        <w:t>C</w:t>
      </w:r>
      <w:r w:rsidR="00817E92" w:rsidRPr="00D10D16">
        <w:rPr>
          <w:b/>
          <w:sz w:val="22"/>
          <w:szCs w:val="22"/>
        </w:rPr>
        <w:t>ollected</w:t>
      </w:r>
      <w:r w:rsidR="006A2A47" w:rsidRPr="00D10D16">
        <w:rPr>
          <w:b/>
          <w:sz w:val="22"/>
          <w:szCs w:val="22"/>
        </w:rPr>
        <w:t xml:space="preserve"> via the CMHI Portal</w:t>
      </w:r>
      <w:r w:rsidR="005D0BCB" w:rsidRPr="00D10D16">
        <w:rPr>
          <w:b/>
          <w:sz w:val="22"/>
          <w:szCs w:val="22"/>
        </w:rPr>
        <w:t>.</w:t>
      </w:r>
      <w:r w:rsidR="00862178" w:rsidRPr="00D10D16">
        <w:rPr>
          <w:b/>
          <w:sz w:val="22"/>
          <w:szCs w:val="22"/>
        </w:rPr>
        <w:t xml:space="preserve"> </w:t>
      </w:r>
      <w:r w:rsidR="00F91DB7" w:rsidRPr="00D10D16">
        <w:rPr>
          <w:sz w:val="22"/>
          <w:szCs w:val="22"/>
        </w:rPr>
        <w:t xml:space="preserve">The </w:t>
      </w:r>
      <w:r w:rsidR="008B22BE" w:rsidRPr="00D10D16">
        <w:rPr>
          <w:sz w:val="22"/>
          <w:szCs w:val="22"/>
        </w:rPr>
        <w:t>Self-Assessment of Implementation Survey</w:t>
      </w:r>
      <w:r w:rsidR="00C40BC8" w:rsidRPr="00D10D16">
        <w:rPr>
          <w:sz w:val="22"/>
          <w:szCs w:val="22"/>
        </w:rPr>
        <w:t xml:space="preserve"> </w:t>
      </w:r>
      <w:r w:rsidR="00CD3362" w:rsidRPr="00D10D16">
        <w:rPr>
          <w:sz w:val="22"/>
          <w:szCs w:val="22"/>
        </w:rPr>
        <w:t xml:space="preserve">(SAIS) </w:t>
      </w:r>
      <w:r w:rsidR="00C40BC8" w:rsidRPr="00D10D16">
        <w:rPr>
          <w:sz w:val="22"/>
          <w:szCs w:val="22"/>
        </w:rPr>
        <w:t xml:space="preserve">and the </w:t>
      </w:r>
      <w:r w:rsidR="006A2A47" w:rsidRPr="00D10D16">
        <w:rPr>
          <w:sz w:val="22"/>
          <w:szCs w:val="22"/>
        </w:rPr>
        <w:t>Network Analysis Survey</w:t>
      </w:r>
      <w:r w:rsidR="00C40BC8" w:rsidRPr="00D10D16">
        <w:rPr>
          <w:sz w:val="22"/>
          <w:szCs w:val="22"/>
        </w:rPr>
        <w:t xml:space="preserve">s (at the jurisdiction and local levels) </w:t>
      </w:r>
      <w:r w:rsidR="00F91DB7" w:rsidRPr="00D10D16">
        <w:rPr>
          <w:sz w:val="22"/>
          <w:szCs w:val="22"/>
        </w:rPr>
        <w:t>will be completed</w:t>
      </w:r>
      <w:r w:rsidR="00F91DB7" w:rsidRPr="00D87880">
        <w:rPr>
          <w:sz w:val="22"/>
          <w:szCs w:val="22"/>
        </w:rPr>
        <w:t xml:space="preserve"> via the CMHI portal.</w:t>
      </w:r>
      <w:r w:rsidR="00862178" w:rsidRPr="00D87880">
        <w:rPr>
          <w:sz w:val="22"/>
          <w:szCs w:val="22"/>
        </w:rPr>
        <w:t xml:space="preserve"> </w:t>
      </w:r>
    </w:p>
    <w:p w14:paraId="733B0E9B" w14:textId="77777777" w:rsidR="00817E92" w:rsidRPr="00D87880" w:rsidRDefault="00AC20AB" w:rsidP="00991E2A">
      <w:pPr>
        <w:pStyle w:val="a"/>
        <w:tabs>
          <w:tab w:val="left" w:pos="-1080"/>
          <w:tab w:val="left" w:pos="-720"/>
          <w:tab w:val="left" w:pos="0"/>
          <w:tab w:val="left" w:pos="9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b/>
          <w:sz w:val="22"/>
          <w:szCs w:val="22"/>
        </w:rPr>
      </w:pPr>
      <w:r w:rsidRPr="00D87880">
        <w:rPr>
          <w:b/>
          <w:sz w:val="22"/>
          <w:szCs w:val="22"/>
        </w:rPr>
        <w:t>Training and TA</w:t>
      </w:r>
    </w:p>
    <w:p w14:paraId="3BAC3743" w14:textId="7236545D" w:rsidR="00991E2A" w:rsidRPr="00D87880" w:rsidRDefault="00AC20AB" w:rsidP="00991E2A">
      <w:pPr>
        <w:pStyle w:val="a"/>
        <w:tabs>
          <w:tab w:val="left" w:pos="-1080"/>
          <w:tab w:val="left" w:pos="-720"/>
          <w:tab w:val="left" w:pos="0"/>
          <w:tab w:val="left" w:pos="9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2"/>
          <w:szCs w:val="22"/>
        </w:rPr>
      </w:pPr>
      <w:r w:rsidRPr="00D87880">
        <w:rPr>
          <w:sz w:val="22"/>
          <w:szCs w:val="22"/>
        </w:rPr>
        <w:t xml:space="preserve">The </w:t>
      </w:r>
      <w:r w:rsidR="00932D18" w:rsidRPr="00D87880">
        <w:rPr>
          <w:sz w:val="22"/>
          <w:szCs w:val="22"/>
        </w:rPr>
        <w:t>NET</w:t>
      </w:r>
      <w:r w:rsidRPr="00D87880">
        <w:rPr>
          <w:sz w:val="22"/>
          <w:szCs w:val="22"/>
        </w:rPr>
        <w:t xml:space="preserve"> will provide training and TA support to sites to facilitate implementation of </w:t>
      </w:r>
      <w:r w:rsidR="00A135A3" w:rsidRPr="00D87880">
        <w:rPr>
          <w:sz w:val="22"/>
          <w:szCs w:val="22"/>
        </w:rPr>
        <w:t>the Evaluation</w:t>
      </w:r>
      <w:r w:rsidRPr="00D87880">
        <w:rPr>
          <w:sz w:val="22"/>
          <w:szCs w:val="22"/>
        </w:rPr>
        <w:t xml:space="preserve"> protocol and the use of evaluation results at the site </w:t>
      </w:r>
      <w:r w:rsidRPr="00D2255C">
        <w:rPr>
          <w:sz w:val="22"/>
          <w:szCs w:val="22"/>
        </w:rPr>
        <w:t xml:space="preserve">level. </w:t>
      </w:r>
      <w:r w:rsidR="002554C7" w:rsidRPr="00D2255C">
        <w:rPr>
          <w:sz w:val="22"/>
          <w:szCs w:val="22"/>
        </w:rPr>
        <w:t>Although s</w:t>
      </w:r>
      <w:r w:rsidRPr="00D2255C">
        <w:rPr>
          <w:sz w:val="22"/>
          <w:szCs w:val="22"/>
        </w:rPr>
        <w:t xml:space="preserve">ite personnel </w:t>
      </w:r>
      <w:r w:rsidR="00AC4E2E" w:rsidRPr="00D2255C">
        <w:rPr>
          <w:sz w:val="22"/>
          <w:szCs w:val="22"/>
        </w:rPr>
        <w:t xml:space="preserve">will </w:t>
      </w:r>
      <w:r w:rsidR="00B46060" w:rsidRPr="00D2255C">
        <w:rPr>
          <w:sz w:val="22"/>
          <w:szCs w:val="22"/>
        </w:rPr>
        <w:t xml:space="preserve">be </w:t>
      </w:r>
      <w:r w:rsidRPr="00D2255C">
        <w:rPr>
          <w:sz w:val="22"/>
          <w:szCs w:val="22"/>
        </w:rPr>
        <w:t xml:space="preserve">trained </w:t>
      </w:r>
      <w:r w:rsidR="0051571A" w:rsidRPr="00D2255C">
        <w:rPr>
          <w:sz w:val="22"/>
          <w:szCs w:val="22"/>
        </w:rPr>
        <w:t>on</w:t>
      </w:r>
      <w:r w:rsidRPr="00D2255C">
        <w:rPr>
          <w:sz w:val="22"/>
          <w:szCs w:val="22"/>
        </w:rPr>
        <w:t xml:space="preserve"> </w:t>
      </w:r>
      <w:r w:rsidR="00AC4E2E" w:rsidRPr="00D2255C">
        <w:rPr>
          <w:sz w:val="22"/>
          <w:szCs w:val="22"/>
        </w:rPr>
        <w:t>the CDP tool</w:t>
      </w:r>
      <w:r w:rsidR="0051571A" w:rsidRPr="00D2255C">
        <w:rPr>
          <w:sz w:val="22"/>
          <w:szCs w:val="22"/>
        </w:rPr>
        <w:t xml:space="preserve"> under a different contract</w:t>
      </w:r>
      <w:r w:rsidRPr="00D2255C">
        <w:rPr>
          <w:sz w:val="22"/>
          <w:szCs w:val="22"/>
        </w:rPr>
        <w:t xml:space="preserve">, the </w:t>
      </w:r>
      <w:r w:rsidR="00932D18" w:rsidRPr="00D2255C">
        <w:rPr>
          <w:sz w:val="22"/>
          <w:szCs w:val="22"/>
        </w:rPr>
        <w:t>NET</w:t>
      </w:r>
      <w:r w:rsidRPr="00D2255C">
        <w:rPr>
          <w:sz w:val="22"/>
          <w:szCs w:val="22"/>
        </w:rPr>
        <w:t xml:space="preserve"> will use w</w:t>
      </w:r>
      <w:r w:rsidRPr="00D87880">
        <w:rPr>
          <w:sz w:val="22"/>
          <w:szCs w:val="22"/>
        </w:rPr>
        <w:t xml:space="preserve">ebinars and TA to train </w:t>
      </w:r>
      <w:r w:rsidR="00872F5F" w:rsidRPr="00D87880">
        <w:rPr>
          <w:sz w:val="22"/>
          <w:szCs w:val="22"/>
        </w:rPr>
        <w:t>grantees</w:t>
      </w:r>
      <w:r w:rsidRPr="00D87880">
        <w:rPr>
          <w:sz w:val="22"/>
          <w:szCs w:val="22"/>
        </w:rPr>
        <w:t xml:space="preserve"> in </w:t>
      </w:r>
      <w:r w:rsidR="00B46060">
        <w:rPr>
          <w:sz w:val="22"/>
          <w:szCs w:val="22"/>
        </w:rPr>
        <w:t xml:space="preserve">the Section H component </w:t>
      </w:r>
      <w:r w:rsidRPr="00D87880">
        <w:rPr>
          <w:sz w:val="22"/>
          <w:szCs w:val="22"/>
        </w:rPr>
        <w:t>specific to th</w:t>
      </w:r>
      <w:r w:rsidR="005B5E47">
        <w:rPr>
          <w:sz w:val="22"/>
          <w:szCs w:val="22"/>
        </w:rPr>
        <w:t>e Evaluation</w:t>
      </w:r>
      <w:r w:rsidRPr="00D87880">
        <w:rPr>
          <w:sz w:val="22"/>
          <w:szCs w:val="22"/>
        </w:rPr>
        <w:t>.</w:t>
      </w:r>
      <w:r w:rsidR="00862178" w:rsidRPr="00D87880">
        <w:rPr>
          <w:sz w:val="22"/>
          <w:szCs w:val="22"/>
        </w:rPr>
        <w:t xml:space="preserve"> </w:t>
      </w:r>
      <w:r w:rsidR="00864BDA" w:rsidRPr="00D87880">
        <w:rPr>
          <w:sz w:val="22"/>
          <w:szCs w:val="22"/>
        </w:rPr>
        <w:t xml:space="preserve">In addition, </w:t>
      </w:r>
      <w:r w:rsidR="005A64E5" w:rsidRPr="00D87880">
        <w:rPr>
          <w:sz w:val="22"/>
          <w:szCs w:val="22"/>
        </w:rPr>
        <w:t xml:space="preserve">a site liaison will be assigned to every site providing SOC services that is also collecting </w:t>
      </w:r>
      <w:r w:rsidR="00037E9F">
        <w:rPr>
          <w:sz w:val="22"/>
          <w:szCs w:val="22"/>
        </w:rPr>
        <w:t>CDP</w:t>
      </w:r>
      <w:r w:rsidR="00037E9F" w:rsidRPr="00D87880">
        <w:rPr>
          <w:sz w:val="22"/>
          <w:szCs w:val="22"/>
        </w:rPr>
        <w:t xml:space="preserve"> </w:t>
      </w:r>
      <w:r w:rsidR="005A64E5" w:rsidRPr="00D87880">
        <w:rPr>
          <w:sz w:val="22"/>
          <w:szCs w:val="22"/>
        </w:rPr>
        <w:t>data.</w:t>
      </w:r>
      <w:r w:rsidR="00862178" w:rsidRPr="00D87880">
        <w:rPr>
          <w:sz w:val="22"/>
          <w:szCs w:val="22"/>
        </w:rPr>
        <w:t xml:space="preserve"> </w:t>
      </w:r>
      <w:r w:rsidR="00991E2A" w:rsidRPr="00D87880">
        <w:rPr>
          <w:sz w:val="22"/>
          <w:szCs w:val="22"/>
        </w:rPr>
        <w:t xml:space="preserve">To help ensure that data are in keeping with evaluation standards and to address any questions or concerns of the participating sites, site liaisons will work closely with local sites. </w:t>
      </w:r>
    </w:p>
    <w:p w14:paraId="58D0CED8" w14:textId="77777777" w:rsidR="00AC20AB" w:rsidRPr="00D87880" w:rsidRDefault="00AC20AB" w:rsidP="005B5CF9">
      <w:pPr>
        <w:spacing w:line="240" w:lineRule="auto"/>
        <w:rPr>
          <w:rFonts w:ascii="Times New Roman" w:hAnsi="Times New Roman" w:cs="Times New Roman"/>
          <w:b/>
          <w:sz w:val="22"/>
          <w:szCs w:val="22"/>
        </w:rPr>
      </w:pPr>
    </w:p>
    <w:p w14:paraId="5D9C1593" w14:textId="77777777" w:rsidR="00B479C3" w:rsidRPr="00D87880" w:rsidRDefault="00A46C68" w:rsidP="00B479C3">
      <w:pPr>
        <w:spacing w:line="240" w:lineRule="auto"/>
        <w:rPr>
          <w:rFonts w:ascii="Times New Roman" w:hAnsi="Times New Roman" w:cs="Times New Roman"/>
          <w:sz w:val="22"/>
          <w:szCs w:val="22"/>
        </w:rPr>
      </w:pPr>
      <w:r w:rsidRPr="00D87880">
        <w:rPr>
          <w:rFonts w:ascii="Times New Roman" w:hAnsi="Times New Roman" w:cs="Times New Roman"/>
          <w:b/>
          <w:sz w:val="22"/>
          <w:szCs w:val="22"/>
        </w:rPr>
        <w:t>4. EFFORTS TO IDENTIFY DUPLICATION</w:t>
      </w:r>
      <w:r w:rsidR="00862178" w:rsidRPr="00D87880">
        <w:rPr>
          <w:rFonts w:ascii="Times New Roman" w:hAnsi="Times New Roman" w:cs="Times New Roman"/>
          <w:b/>
          <w:sz w:val="22"/>
          <w:szCs w:val="22"/>
        </w:rPr>
        <w:t xml:space="preserve"> </w:t>
      </w:r>
    </w:p>
    <w:p w14:paraId="495B6861" w14:textId="77777777" w:rsidR="007B7A8B" w:rsidRPr="007B7A8B" w:rsidRDefault="007B7A8B" w:rsidP="007B7A8B">
      <w:pPr>
        <w:spacing w:line="240" w:lineRule="auto"/>
        <w:rPr>
          <w:sz w:val="22"/>
          <w:szCs w:val="22"/>
        </w:rPr>
      </w:pPr>
      <w:r w:rsidRPr="007B7A8B">
        <w:rPr>
          <w:rFonts w:ascii="Times New Roman" w:hAnsi="Times New Roman"/>
          <w:iCs/>
          <w:sz w:val="22"/>
          <w:szCs w:val="22"/>
        </w:rPr>
        <w:t>This Evaluation collects data that were not been collected previously in the National Evaluation of CMHI involving community-level grantees. Instead, this evaluation provides information specific to the current CMHI SOC expansion program, which federal legislation requires to be collected from the funded jurisdictions themselves. The Evaluation will serve as a primary mechanism through which the expansion of SOC will be understood, improved, and sustained</w:t>
      </w:r>
      <w:r w:rsidRPr="007B7A8B">
        <w:rPr>
          <w:rFonts w:ascii="Times New Roman" w:hAnsi="Times New Roman"/>
          <w:sz w:val="22"/>
          <w:szCs w:val="22"/>
        </w:rPr>
        <w:t>.</w:t>
      </w:r>
    </w:p>
    <w:p w14:paraId="7DB02B70" w14:textId="77777777" w:rsidR="009B0FF8" w:rsidRPr="009B0FF8" w:rsidRDefault="009B0FF8" w:rsidP="009B0FF8">
      <w:pPr>
        <w:spacing w:line="240" w:lineRule="auto"/>
        <w:rPr>
          <w:rFonts w:ascii="Times New Roman" w:hAnsi="Times New Roman" w:cs="Times New Roman"/>
          <w:sz w:val="22"/>
          <w:szCs w:val="22"/>
        </w:rPr>
      </w:pPr>
      <w:r w:rsidRPr="009B0FF8">
        <w:rPr>
          <w:rFonts w:ascii="Times New Roman" w:hAnsi="Times New Roman" w:cs="Times New Roman"/>
          <w:sz w:val="22"/>
          <w:szCs w:val="22"/>
        </w:rPr>
        <w:t>The Stakeholder Interviews and SOCEA data collection will all be conducted over telephone, Skype, video-conferencing, etc. The Network Analysis Survey and SAIS will be conducted online. Child and Family Outcome Study data will be collected at the service site by local staff. Therefore, there is no need to use distance data collection methods. However, we anticipate that many communities will use the CDP computer-assisted personal interview software to collect data.</w:t>
      </w:r>
    </w:p>
    <w:p w14:paraId="32CF60FD" w14:textId="77777777" w:rsidR="004773AD" w:rsidRPr="009B0FF8" w:rsidRDefault="004773AD" w:rsidP="00FC23B2">
      <w:pPr>
        <w:spacing w:line="240" w:lineRule="auto"/>
        <w:rPr>
          <w:rFonts w:ascii="Times New Roman" w:hAnsi="Times New Roman" w:cs="Times New Roman"/>
          <w:sz w:val="22"/>
          <w:szCs w:val="22"/>
        </w:rPr>
      </w:pPr>
    </w:p>
    <w:p w14:paraId="58C89211" w14:textId="77777777" w:rsidR="00A46C68" w:rsidRPr="00D87880" w:rsidRDefault="00A46C68" w:rsidP="00FC23B2">
      <w:pPr>
        <w:spacing w:line="240" w:lineRule="auto"/>
        <w:rPr>
          <w:rFonts w:ascii="Times New Roman" w:hAnsi="Times New Roman" w:cs="Times New Roman"/>
          <w:sz w:val="22"/>
          <w:szCs w:val="22"/>
        </w:rPr>
      </w:pPr>
      <w:r w:rsidRPr="009B0FF8">
        <w:rPr>
          <w:rFonts w:ascii="Times New Roman" w:hAnsi="Times New Roman" w:cs="Times New Roman"/>
          <w:b/>
          <w:sz w:val="22"/>
          <w:szCs w:val="22"/>
        </w:rPr>
        <w:t>5. INVOLVEMENT OF SMALL</w:t>
      </w:r>
      <w:r w:rsidRPr="00D87880">
        <w:rPr>
          <w:rFonts w:ascii="Times New Roman" w:hAnsi="Times New Roman" w:cs="Times New Roman"/>
          <w:b/>
          <w:sz w:val="22"/>
          <w:szCs w:val="22"/>
        </w:rPr>
        <w:t xml:space="preserve"> ENTITIES</w:t>
      </w:r>
    </w:p>
    <w:p w14:paraId="671DBF8B" w14:textId="77777777" w:rsidR="00137F9D" w:rsidRPr="00137F9D" w:rsidRDefault="00137F9D" w:rsidP="00137F9D">
      <w:pPr>
        <w:tabs>
          <w:tab w:val="left" w:pos="-1440"/>
        </w:tabs>
        <w:rPr>
          <w:rFonts w:ascii="Times New Roman" w:hAnsi="Times New Roman" w:cs="Times New Roman"/>
          <w:sz w:val="22"/>
          <w:szCs w:val="22"/>
        </w:rPr>
      </w:pPr>
      <w:r w:rsidRPr="00137F9D">
        <w:rPr>
          <w:rFonts w:ascii="Times New Roman" w:hAnsi="Times New Roman" w:cs="Times New Roman"/>
          <w:sz w:val="22"/>
          <w:szCs w:val="22"/>
        </w:rPr>
        <w:t xml:space="preserve">Individual grantees vary from small entities through large provider organizations.  Every effort has been made to minimize the number of data items collected to the least number required to accomplish the objectives of the effort and to meet evaluation reporting requirements and therefore, there is no significant impact involving small entities.  </w:t>
      </w:r>
    </w:p>
    <w:p w14:paraId="6F98406D" w14:textId="77777777" w:rsidR="004773AD" w:rsidRPr="00D87880" w:rsidRDefault="004773AD" w:rsidP="00FC23B2">
      <w:pPr>
        <w:spacing w:line="240" w:lineRule="auto"/>
        <w:rPr>
          <w:rFonts w:ascii="Times New Roman" w:hAnsi="Times New Roman" w:cs="Times New Roman"/>
          <w:sz w:val="22"/>
          <w:szCs w:val="22"/>
        </w:rPr>
      </w:pPr>
    </w:p>
    <w:p w14:paraId="3EEC7E7F" w14:textId="77777777" w:rsidR="00A46C68" w:rsidRPr="00D87880" w:rsidRDefault="00A46C68" w:rsidP="00672E58">
      <w:pPr>
        <w:spacing w:line="240" w:lineRule="auto"/>
        <w:rPr>
          <w:rFonts w:ascii="Times New Roman" w:hAnsi="Times New Roman" w:cs="Times New Roman"/>
          <w:b/>
          <w:sz w:val="22"/>
          <w:szCs w:val="22"/>
        </w:rPr>
      </w:pPr>
      <w:r w:rsidRPr="00D87880">
        <w:rPr>
          <w:rFonts w:ascii="Times New Roman" w:hAnsi="Times New Roman" w:cs="Times New Roman"/>
          <w:b/>
          <w:sz w:val="22"/>
          <w:szCs w:val="22"/>
        </w:rPr>
        <w:t>6. CONSEQUENCES IF INFORMAT</w:t>
      </w:r>
      <w:r w:rsidR="002246DA" w:rsidRPr="00D87880">
        <w:rPr>
          <w:rFonts w:ascii="Times New Roman" w:hAnsi="Times New Roman" w:cs="Times New Roman"/>
          <w:b/>
          <w:sz w:val="22"/>
          <w:szCs w:val="22"/>
        </w:rPr>
        <w:t>ION IS COLLECTED LESS FREQUENTLY</w:t>
      </w:r>
    </w:p>
    <w:p w14:paraId="11BDB35E" w14:textId="0163AC0C" w:rsidR="00A43D4B" w:rsidRPr="00D87880" w:rsidRDefault="00A43D4B" w:rsidP="009020B6">
      <w:pPr>
        <w:tabs>
          <w:tab w:val="left" w:pos="-1440"/>
        </w:tabs>
        <w:spacing w:line="240" w:lineRule="auto"/>
        <w:rPr>
          <w:rFonts w:ascii="Times New Roman" w:hAnsi="Times New Roman" w:cs="Times New Roman"/>
          <w:bCs/>
          <w:sz w:val="22"/>
          <w:szCs w:val="22"/>
        </w:rPr>
      </w:pPr>
      <w:r w:rsidRPr="00D87880">
        <w:rPr>
          <w:rFonts w:ascii="Times New Roman" w:hAnsi="Times New Roman" w:cs="Times New Roman"/>
          <w:bCs/>
          <w:sz w:val="22"/>
          <w:szCs w:val="22"/>
        </w:rPr>
        <w:t xml:space="preserve">The Evaluation was designed to keep the </w:t>
      </w:r>
      <w:r w:rsidR="0056417E">
        <w:rPr>
          <w:rFonts w:ascii="Times New Roman" w:hAnsi="Times New Roman" w:cs="Times New Roman"/>
          <w:bCs/>
          <w:sz w:val="22"/>
          <w:szCs w:val="22"/>
        </w:rPr>
        <w:t>burden</w:t>
      </w:r>
      <w:r w:rsidR="0056417E" w:rsidRPr="00D87880">
        <w:rPr>
          <w:rFonts w:ascii="Times New Roman" w:hAnsi="Times New Roman" w:cs="Times New Roman"/>
          <w:bCs/>
          <w:sz w:val="22"/>
          <w:szCs w:val="22"/>
        </w:rPr>
        <w:t xml:space="preserve"> </w:t>
      </w:r>
      <w:r w:rsidRPr="00D87880">
        <w:rPr>
          <w:rFonts w:ascii="Times New Roman" w:hAnsi="Times New Roman" w:cs="Times New Roman"/>
          <w:bCs/>
          <w:sz w:val="22"/>
          <w:szCs w:val="22"/>
        </w:rPr>
        <w:t>of data collection to a minimum.</w:t>
      </w:r>
      <w:r w:rsidR="00862178" w:rsidRPr="00D87880">
        <w:rPr>
          <w:rFonts w:ascii="Times New Roman" w:hAnsi="Times New Roman" w:cs="Times New Roman"/>
          <w:bCs/>
          <w:sz w:val="22"/>
          <w:szCs w:val="22"/>
        </w:rPr>
        <w:t xml:space="preserve"> </w:t>
      </w:r>
      <w:r w:rsidRPr="00D87880">
        <w:rPr>
          <w:rFonts w:ascii="Times New Roman" w:hAnsi="Times New Roman" w:cs="Times New Roman"/>
          <w:bCs/>
          <w:sz w:val="22"/>
          <w:szCs w:val="22"/>
        </w:rPr>
        <w:t xml:space="preserve">Table </w:t>
      </w:r>
      <w:r w:rsidR="00E66653">
        <w:rPr>
          <w:rFonts w:ascii="Times New Roman" w:hAnsi="Times New Roman" w:cs="Times New Roman"/>
          <w:bCs/>
          <w:sz w:val="22"/>
          <w:szCs w:val="22"/>
        </w:rPr>
        <w:t>4</w:t>
      </w:r>
      <w:r w:rsidRPr="00D87880">
        <w:rPr>
          <w:rFonts w:ascii="Times New Roman" w:hAnsi="Times New Roman" w:cs="Times New Roman"/>
          <w:bCs/>
          <w:sz w:val="22"/>
          <w:szCs w:val="22"/>
        </w:rPr>
        <w:t xml:space="preserve"> summarizes the maximum number of times each </w:t>
      </w:r>
      <w:r w:rsidR="001E0B1C">
        <w:rPr>
          <w:rFonts w:ascii="Times New Roman" w:hAnsi="Times New Roman" w:cs="Times New Roman"/>
          <w:bCs/>
          <w:sz w:val="22"/>
          <w:szCs w:val="22"/>
        </w:rPr>
        <w:t>data collection activity</w:t>
      </w:r>
      <w:r w:rsidRPr="00D87880">
        <w:rPr>
          <w:rFonts w:ascii="Times New Roman" w:hAnsi="Times New Roman" w:cs="Times New Roman"/>
          <w:bCs/>
          <w:sz w:val="22"/>
          <w:szCs w:val="22"/>
        </w:rPr>
        <w:t xml:space="preserve"> is proposed to be </w:t>
      </w:r>
      <w:r w:rsidR="001E0B1C">
        <w:rPr>
          <w:rFonts w:ascii="Times New Roman" w:hAnsi="Times New Roman" w:cs="Times New Roman"/>
          <w:bCs/>
          <w:sz w:val="22"/>
          <w:szCs w:val="22"/>
        </w:rPr>
        <w:t>conducted</w:t>
      </w:r>
      <w:r w:rsidRPr="00D87880">
        <w:rPr>
          <w:rFonts w:ascii="Times New Roman" w:hAnsi="Times New Roman" w:cs="Times New Roman"/>
          <w:bCs/>
          <w:sz w:val="22"/>
          <w:szCs w:val="22"/>
        </w:rPr>
        <w:t>.</w:t>
      </w:r>
      <w:r w:rsidR="00862178" w:rsidRPr="00D87880">
        <w:rPr>
          <w:rFonts w:ascii="Times New Roman" w:hAnsi="Times New Roman" w:cs="Times New Roman"/>
          <w:bCs/>
          <w:sz w:val="22"/>
          <w:szCs w:val="22"/>
        </w:rPr>
        <w:t xml:space="preserve"> </w:t>
      </w:r>
      <w:r w:rsidRPr="00D87880">
        <w:rPr>
          <w:rFonts w:ascii="Times New Roman" w:hAnsi="Times New Roman" w:cs="Times New Roman"/>
          <w:bCs/>
          <w:sz w:val="22"/>
          <w:szCs w:val="22"/>
        </w:rPr>
        <w:t xml:space="preserve">In some circumstances, </w:t>
      </w:r>
      <w:r w:rsidR="001E0B1C">
        <w:rPr>
          <w:rFonts w:ascii="Times New Roman" w:hAnsi="Times New Roman" w:cs="Times New Roman"/>
          <w:bCs/>
          <w:sz w:val="22"/>
          <w:szCs w:val="22"/>
        </w:rPr>
        <w:t>data collection activities</w:t>
      </w:r>
      <w:r w:rsidRPr="00D87880">
        <w:rPr>
          <w:rFonts w:ascii="Times New Roman" w:hAnsi="Times New Roman" w:cs="Times New Roman"/>
          <w:bCs/>
          <w:sz w:val="22"/>
          <w:szCs w:val="22"/>
        </w:rPr>
        <w:t xml:space="preserve"> will be </w:t>
      </w:r>
      <w:r w:rsidR="001E0B1C">
        <w:rPr>
          <w:rFonts w:ascii="Times New Roman" w:hAnsi="Times New Roman" w:cs="Times New Roman"/>
          <w:bCs/>
          <w:sz w:val="22"/>
          <w:szCs w:val="22"/>
        </w:rPr>
        <w:t>conducted</w:t>
      </w:r>
      <w:r w:rsidRPr="00D87880">
        <w:rPr>
          <w:rFonts w:ascii="Times New Roman" w:hAnsi="Times New Roman" w:cs="Times New Roman"/>
          <w:bCs/>
          <w:sz w:val="22"/>
          <w:szCs w:val="22"/>
        </w:rPr>
        <w:t xml:space="preserve"> less frequently than indicated.</w:t>
      </w:r>
      <w:r w:rsidR="00862178" w:rsidRPr="00D87880">
        <w:rPr>
          <w:rFonts w:ascii="Times New Roman" w:hAnsi="Times New Roman" w:cs="Times New Roman"/>
          <w:bCs/>
          <w:sz w:val="22"/>
          <w:szCs w:val="22"/>
        </w:rPr>
        <w:t xml:space="preserve"> </w:t>
      </w:r>
      <w:r w:rsidR="009F7639" w:rsidRPr="00D87880">
        <w:rPr>
          <w:rFonts w:ascii="Times New Roman" w:hAnsi="Times New Roman" w:cs="Times New Roman"/>
          <w:bCs/>
          <w:sz w:val="22"/>
          <w:szCs w:val="22"/>
        </w:rPr>
        <w:t xml:space="preserve">(More information on the data collection intervals is presented </w:t>
      </w:r>
      <w:r w:rsidR="009F7639" w:rsidRPr="004C3C20">
        <w:rPr>
          <w:rFonts w:ascii="Times New Roman" w:hAnsi="Times New Roman" w:cs="Times New Roman"/>
          <w:bCs/>
          <w:sz w:val="22"/>
          <w:szCs w:val="22"/>
        </w:rPr>
        <w:t xml:space="preserve">in Table </w:t>
      </w:r>
      <w:r w:rsidR="00F6685C" w:rsidRPr="004C3C20">
        <w:rPr>
          <w:rFonts w:ascii="Times New Roman" w:hAnsi="Times New Roman" w:cs="Times New Roman"/>
          <w:bCs/>
          <w:sz w:val="22"/>
          <w:szCs w:val="22"/>
        </w:rPr>
        <w:t>8</w:t>
      </w:r>
      <w:r w:rsidR="009F7639" w:rsidRPr="004C3C20">
        <w:rPr>
          <w:rFonts w:ascii="Times New Roman" w:hAnsi="Times New Roman" w:cs="Times New Roman"/>
          <w:bCs/>
          <w:sz w:val="22"/>
          <w:szCs w:val="22"/>
        </w:rPr>
        <w:t>.)</w:t>
      </w:r>
    </w:p>
    <w:p w14:paraId="4E9F8D0B" w14:textId="77777777" w:rsidR="008006F0" w:rsidRDefault="008006F0" w:rsidP="006F3381">
      <w:pPr>
        <w:tabs>
          <w:tab w:val="left" w:pos="-1440"/>
        </w:tabs>
        <w:rPr>
          <w:rFonts w:ascii="Times New Roman" w:hAnsi="Times New Roman" w:cs="Times New Roman"/>
          <w:b/>
          <w:bCs/>
          <w:sz w:val="22"/>
          <w:szCs w:val="22"/>
        </w:rPr>
      </w:pPr>
    </w:p>
    <w:p w14:paraId="2F1BF9C7" w14:textId="77777777" w:rsidR="006409D2" w:rsidRDefault="006409D2">
      <w:pPr>
        <w:rPr>
          <w:rFonts w:ascii="Times New Roman" w:hAnsi="Times New Roman" w:cs="Times New Roman"/>
          <w:b/>
          <w:bCs/>
          <w:sz w:val="22"/>
          <w:szCs w:val="22"/>
        </w:rPr>
      </w:pPr>
      <w:r>
        <w:rPr>
          <w:rFonts w:ascii="Times New Roman" w:hAnsi="Times New Roman" w:cs="Times New Roman"/>
          <w:b/>
          <w:bCs/>
          <w:sz w:val="22"/>
          <w:szCs w:val="22"/>
        </w:rPr>
        <w:br w:type="page"/>
      </w:r>
    </w:p>
    <w:p w14:paraId="3596DFD6" w14:textId="6AF0B350" w:rsidR="001108E7" w:rsidRPr="00D87880" w:rsidRDefault="00A43D4B" w:rsidP="006F3381">
      <w:pPr>
        <w:tabs>
          <w:tab w:val="left" w:pos="-1440"/>
        </w:tabs>
        <w:rPr>
          <w:rFonts w:ascii="Times New Roman" w:hAnsi="Times New Roman" w:cs="Times New Roman"/>
          <w:b/>
          <w:bCs/>
          <w:sz w:val="22"/>
          <w:szCs w:val="22"/>
        </w:rPr>
      </w:pPr>
      <w:r w:rsidRPr="00D87880">
        <w:rPr>
          <w:rFonts w:ascii="Times New Roman" w:hAnsi="Times New Roman" w:cs="Times New Roman"/>
          <w:b/>
          <w:bCs/>
          <w:sz w:val="22"/>
          <w:szCs w:val="22"/>
        </w:rPr>
        <w:t xml:space="preserve">Table </w:t>
      </w:r>
      <w:r w:rsidR="00E66653">
        <w:rPr>
          <w:rFonts w:ascii="Times New Roman" w:hAnsi="Times New Roman" w:cs="Times New Roman"/>
          <w:b/>
          <w:bCs/>
          <w:sz w:val="22"/>
          <w:szCs w:val="22"/>
        </w:rPr>
        <w:t>4</w:t>
      </w:r>
      <w:r w:rsidRPr="00D87880">
        <w:rPr>
          <w:rFonts w:ascii="Times New Roman" w:hAnsi="Times New Roman" w:cs="Times New Roman"/>
          <w:b/>
          <w:bCs/>
          <w:sz w:val="22"/>
          <w:szCs w:val="22"/>
        </w:rPr>
        <w:t>.</w:t>
      </w:r>
      <w:r w:rsidR="00862178" w:rsidRPr="00D87880">
        <w:rPr>
          <w:rFonts w:ascii="Times New Roman" w:hAnsi="Times New Roman" w:cs="Times New Roman"/>
          <w:b/>
          <w:bCs/>
          <w:sz w:val="22"/>
          <w:szCs w:val="22"/>
        </w:rPr>
        <w:t xml:space="preserve"> </w:t>
      </w:r>
      <w:r w:rsidRPr="00D87880">
        <w:rPr>
          <w:rFonts w:ascii="Times New Roman" w:hAnsi="Times New Roman" w:cs="Times New Roman"/>
          <w:b/>
          <w:bCs/>
          <w:sz w:val="22"/>
          <w:szCs w:val="22"/>
        </w:rPr>
        <w:t xml:space="preserve">The maximum number of times each </w:t>
      </w:r>
      <w:r w:rsidR="001E0B1C">
        <w:rPr>
          <w:rFonts w:ascii="Times New Roman" w:hAnsi="Times New Roman" w:cs="Times New Roman"/>
          <w:b/>
          <w:bCs/>
          <w:sz w:val="22"/>
          <w:szCs w:val="22"/>
        </w:rPr>
        <w:t>data collection activity</w:t>
      </w:r>
      <w:r w:rsidRPr="00D87880">
        <w:rPr>
          <w:rFonts w:ascii="Times New Roman" w:hAnsi="Times New Roman" w:cs="Times New Roman"/>
          <w:b/>
          <w:bCs/>
          <w:sz w:val="22"/>
          <w:szCs w:val="22"/>
        </w:rPr>
        <w:t xml:space="preserve"> is proposed to be administered</w:t>
      </w:r>
    </w:p>
    <w:tbl>
      <w:tblPr>
        <w:tblStyle w:val="TableGrid"/>
        <w:tblW w:w="0" w:type="auto"/>
        <w:tblLook w:val="04A0" w:firstRow="1" w:lastRow="0" w:firstColumn="1" w:lastColumn="0" w:noHBand="0" w:noVBand="1"/>
      </w:tblPr>
      <w:tblGrid>
        <w:gridCol w:w="3820"/>
        <w:gridCol w:w="4788"/>
      </w:tblGrid>
      <w:tr w:rsidR="00D87880" w:rsidRPr="00D87880" w14:paraId="467FE7E3" w14:textId="77777777" w:rsidTr="007C448E">
        <w:trPr>
          <w:trHeight w:val="422"/>
        </w:trPr>
        <w:tc>
          <w:tcPr>
            <w:tcW w:w="3820" w:type="dxa"/>
            <w:shd w:val="clear" w:color="auto" w:fill="D9D9D9" w:themeFill="background1" w:themeFillShade="D9"/>
            <w:vAlign w:val="center"/>
          </w:tcPr>
          <w:p w14:paraId="7815E18A" w14:textId="77777777" w:rsidR="001108E7" w:rsidRPr="00D87880" w:rsidRDefault="001108E7" w:rsidP="001108E7">
            <w:pPr>
              <w:tabs>
                <w:tab w:val="left" w:pos="-1440"/>
              </w:tabs>
              <w:jc w:val="center"/>
              <w:rPr>
                <w:rFonts w:ascii="Arial" w:hAnsi="Arial" w:cs="Arial"/>
                <w:bCs/>
              </w:rPr>
            </w:pPr>
            <w:r w:rsidRPr="00D87880">
              <w:rPr>
                <w:rFonts w:ascii="Arial" w:hAnsi="Arial" w:cs="Arial"/>
                <w:bCs/>
              </w:rPr>
              <w:t>Maximum Number of Administrations</w:t>
            </w:r>
          </w:p>
        </w:tc>
        <w:tc>
          <w:tcPr>
            <w:tcW w:w="4788" w:type="dxa"/>
            <w:shd w:val="clear" w:color="auto" w:fill="D9D9D9" w:themeFill="background1" w:themeFillShade="D9"/>
            <w:vAlign w:val="center"/>
          </w:tcPr>
          <w:p w14:paraId="7A7A724D" w14:textId="414D4B5E" w:rsidR="001108E7" w:rsidRPr="00D87880" w:rsidRDefault="00706767" w:rsidP="001108E7">
            <w:pPr>
              <w:tabs>
                <w:tab w:val="left" w:pos="-1440"/>
              </w:tabs>
              <w:jc w:val="center"/>
              <w:rPr>
                <w:rFonts w:ascii="Arial" w:hAnsi="Arial" w:cs="Arial"/>
                <w:bCs/>
              </w:rPr>
            </w:pPr>
            <w:r>
              <w:rPr>
                <w:rFonts w:ascii="Arial" w:hAnsi="Arial" w:cs="Arial"/>
                <w:bCs/>
              </w:rPr>
              <w:t>Data Collection Activity</w:t>
            </w:r>
          </w:p>
        </w:tc>
      </w:tr>
      <w:tr w:rsidR="00D87880" w:rsidRPr="00D87880" w14:paraId="5BEA311D" w14:textId="77777777" w:rsidTr="007C448E">
        <w:tc>
          <w:tcPr>
            <w:tcW w:w="3820" w:type="dxa"/>
            <w:vAlign w:val="center"/>
          </w:tcPr>
          <w:p w14:paraId="33EFC94E" w14:textId="77777777" w:rsidR="001108E7" w:rsidRPr="00834CF9" w:rsidRDefault="001108E7" w:rsidP="00DF24DB">
            <w:pPr>
              <w:tabs>
                <w:tab w:val="left" w:pos="-1440"/>
              </w:tabs>
              <w:rPr>
                <w:rFonts w:ascii="Arial" w:hAnsi="Arial" w:cs="Arial"/>
                <w:bCs/>
                <w:sz w:val="18"/>
                <w:szCs w:val="18"/>
              </w:rPr>
            </w:pPr>
            <w:r w:rsidRPr="00834CF9">
              <w:rPr>
                <w:rFonts w:ascii="Arial" w:hAnsi="Arial" w:cs="Arial"/>
                <w:bCs/>
                <w:sz w:val="18"/>
                <w:szCs w:val="18"/>
              </w:rPr>
              <w:t>Once</w:t>
            </w:r>
          </w:p>
        </w:tc>
        <w:tc>
          <w:tcPr>
            <w:tcW w:w="4788" w:type="dxa"/>
          </w:tcPr>
          <w:p w14:paraId="110A8703" w14:textId="2113AFD5" w:rsidR="00B84161" w:rsidRPr="00834CF9" w:rsidRDefault="00B84161" w:rsidP="00271C93">
            <w:pPr>
              <w:pStyle w:val="ListParagraph"/>
              <w:numPr>
                <w:ilvl w:val="0"/>
                <w:numId w:val="39"/>
              </w:numPr>
              <w:tabs>
                <w:tab w:val="left" w:pos="-1440"/>
              </w:tabs>
              <w:spacing w:before="240"/>
              <w:ind w:left="294" w:hanging="270"/>
              <w:rPr>
                <w:rFonts w:ascii="Arial" w:hAnsi="Arial" w:cs="Arial"/>
                <w:bCs/>
                <w:sz w:val="18"/>
                <w:szCs w:val="18"/>
              </w:rPr>
            </w:pPr>
            <w:r w:rsidRPr="00834CF9">
              <w:rPr>
                <w:rFonts w:ascii="Arial" w:hAnsi="Arial" w:cs="Arial"/>
                <w:bCs/>
                <w:sz w:val="18"/>
                <w:szCs w:val="18"/>
              </w:rPr>
              <w:t>GIS data</w:t>
            </w:r>
            <w:r w:rsidR="00177701" w:rsidRPr="00834CF9">
              <w:rPr>
                <w:rFonts w:ascii="Arial" w:hAnsi="Arial" w:cs="Arial"/>
                <w:bCs/>
                <w:sz w:val="18"/>
                <w:szCs w:val="18"/>
              </w:rPr>
              <w:t xml:space="preserve"> </w:t>
            </w:r>
            <w:r w:rsidR="00271C93">
              <w:rPr>
                <w:rFonts w:ascii="Arial" w:hAnsi="Arial" w:cs="Arial"/>
                <w:bCs/>
                <w:sz w:val="18"/>
                <w:szCs w:val="18"/>
              </w:rPr>
              <w:t>(</w:t>
            </w:r>
            <w:r w:rsidR="00177701" w:rsidRPr="00834CF9">
              <w:rPr>
                <w:rFonts w:ascii="Arial" w:hAnsi="Arial" w:cs="Arial"/>
                <w:bCs/>
                <w:sz w:val="18"/>
                <w:szCs w:val="18"/>
              </w:rPr>
              <w:t xml:space="preserve">child and </w:t>
            </w:r>
            <w:r w:rsidRPr="00834CF9">
              <w:rPr>
                <w:rFonts w:ascii="Arial" w:hAnsi="Arial" w:cs="Arial"/>
                <w:bCs/>
                <w:sz w:val="18"/>
                <w:szCs w:val="18"/>
              </w:rPr>
              <w:t>fami</w:t>
            </w:r>
            <w:r w:rsidR="00177701" w:rsidRPr="00834CF9">
              <w:rPr>
                <w:rFonts w:ascii="Arial" w:hAnsi="Arial" w:cs="Arial"/>
                <w:bCs/>
                <w:sz w:val="18"/>
                <w:szCs w:val="18"/>
              </w:rPr>
              <w:t>ly</w:t>
            </w:r>
            <w:r w:rsidR="006C03B9" w:rsidRPr="00834CF9">
              <w:rPr>
                <w:rFonts w:ascii="Arial" w:hAnsi="Arial" w:cs="Arial"/>
                <w:bCs/>
                <w:sz w:val="18"/>
                <w:szCs w:val="18"/>
              </w:rPr>
              <w:t xml:space="preserve"> </w:t>
            </w:r>
            <w:r w:rsidR="00271C93">
              <w:rPr>
                <w:rFonts w:ascii="Arial" w:hAnsi="Arial" w:cs="Arial"/>
                <w:bCs/>
                <w:sz w:val="18"/>
                <w:szCs w:val="18"/>
              </w:rPr>
              <w:t>level)</w:t>
            </w:r>
          </w:p>
        </w:tc>
      </w:tr>
      <w:tr w:rsidR="00D87880" w:rsidRPr="00D87880" w14:paraId="6893EFC2" w14:textId="77777777" w:rsidTr="007C448E">
        <w:tc>
          <w:tcPr>
            <w:tcW w:w="3820" w:type="dxa"/>
            <w:vAlign w:val="center"/>
          </w:tcPr>
          <w:p w14:paraId="426B1A20" w14:textId="77777777" w:rsidR="001108E7" w:rsidRPr="00834CF9" w:rsidRDefault="001108E7" w:rsidP="00DF24DB">
            <w:pPr>
              <w:tabs>
                <w:tab w:val="left" w:pos="-1440"/>
              </w:tabs>
              <w:rPr>
                <w:rFonts w:ascii="Arial" w:hAnsi="Arial" w:cs="Arial"/>
                <w:bCs/>
                <w:sz w:val="18"/>
                <w:szCs w:val="18"/>
              </w:rPr>
            </w:pPr>
            <w:r w:rsidRPr="00834CF9">
              <w:rPr>
                <w:rFonts w:ascii="Arial" w:hAnsi="Arial" w:cs="Arial"/>
                <w:bCs/>
                <w:sz w:val="18"/>
                <w:szCs w:val="18"/>
              </w:rPr>
              <w:t>Twice</w:t>
            </w:r>
          </w:p>
        </w:tc>
        <w:tc>
          <w:tcPr>
            <w:tcW w:w="4788" w:type="dxa"/>
          </w:tcPr>
          <w:p w14:paraId="784A3FDB" w14:textId="77777777" w:rsidR="0077206D" w:rsidRPr="00834CF9" w:rsidRDefault="0077206D" w:rsidP="0077206D">
            <w:pPr>
              <w:pStyle w:val="ListParagraph"/>
              <w:numPr>
                <w:ilvl w:val="0"/>
                <w:numId w:val="39"/>
              </w:numPr>
              <w:tabs>
                <w:tab w:val="left" w:pos="-1440"/>
              </w:tabs>
              <w:ind w:left="294" w:hanging="270"/>
              <w:rPr>
                <w:rFonts w:ascii="Arial" w:hAnsi="Arial" w:cs="Arial"/>
                <w:bCs/>
                <w:sz w:val="18"/>
                <w:szCs w:val="18"/>
              </w:rPr>
            </w:pPr>
            <w:r>
              <w:rPr>
                <w:rFonts w:ascii="Arial" w:hAnsi="Arial" w:cs="Arial"/>
                <w:bCs/>
                <w:sz w:val="18"/>
                <w:szCs w:val="18"/>
              </w:rPr>
              <w:t>Stakeholder interviews</w:t>
            </w:r>
          </w:p>
          <w:p w14:paraId="21D60961" w14:textId="77777777" w:rsidR="001108E7" w:rsidRPr="00834CF9" w:rsidRDefault="001108E7" w:rsidP="00A43D4B">
            <w:pPr>
              <w:pStyle w:val="ListParagraph"/>
              <w:numPr>
                <w:ilvl w:val="0"/>
                <w:numId w:val="39"/>
              </w:numPr>
              <w:tabs>
                <w:tab w:val="left" w:pos="-1440"/>
              </w:tabs>
              <w:ind w:left="294" w:hanging="270"/>
              <w:rPr>
                <w:rFonts w:ascii="Arial" w:hAnsi="Arial" w:cs="Arial"/>
                <w:bCs/>
                <w:sz w:val="18"/>
                <w:szCs w:val="18"/>
              </w:rPr>
            </w:pPr>
            <w:r w:rsidRPr="00834CF9">
              <w:rPr>
                <w:rFonts w:ascii="Arial" w:hAnsi="Arial" w:cs="Arial"/>
                <w:bCs/>
                <w:sz w:val="18"/>
                <w:szCs w:val="18"/>
              </w:rPr>
              <w:t>Network Analysis Surveys</w:t>
            </w:r>
          </w:p>
          <w:p w14:paraId="4F5310DD" w14:textId="77777777" w:rsidR="001108E7" w:rsidRPr="00834CF9" w:rsidRDefault="001108E7" w:rsidP="00A43D4B">
            <w:pPr>
              <w:pStyle w:val="ListParagraph"/>
              <w:numPr>
                <w:ilvl w:val="0"/>
                <w:numId w:val="39"/>
              </w:numPr>
              <w:tabs>
                <w:tab w:val="left" w:pos="-1440"/>
              </w:tabs>
              <w:ind w:left="294" w:hanging="270"/>
              <w:rPr>
                <w:rFonts w:ascii="Arial" w:hAnsi="Arial" w:cs="Arial"/>
                <w:bCs/>
                <w:sz w:val="18"/>
                <w:szCs w:val="18"/>
              </w:rPr>
            </w:pPr>
            <w:r w:rsidRPr="00834CF9">
              <w:rPr>
                <w:rFonts w:ascii="Arial" w:hAnsi="Arial" w:cs="Arial"/>
                <w:bCs/>
                <w:sz w:val="18"/>
                <w:szCs w:val="18"/>
              </w:rPr>
              <w:t>SOCEA</w:t>
            </w:r>
          </w:p>
          <w:p w14:paraId="40BAC2CE" w14:textId="77777777" w:rsidR="007C448E" w:rsidRPr="00834CF9" w:rsidRDefault="007C448E" w:rsidP="007C448E">
            <w:pPr>
              <w:pStyle w:val="ListParagraph"/>
              <w:numPr>
                <w:ilvl w:val="0"/>
                <w:numId w:val="39"/>
              </w:numPr>
              <w:tabs>
                <w:tab w:val="left" w:pos="-1440"/>
              </w:tabs>
              <w:ind w:left="294" w:hanging="270"/>
              <w:rPr>
                <w:rFonts w:ascii="Arial" w:hAnsi="Arial" w:cs="Arial"/>
                <w:sz w:val="18"/>
                <w:szCs w:val="18"/>
              </w:rPr>
            </w:pPr>
            <w:r w:rsidRPr="00834CF9">
              <w:rPr>
                <w:rFonts w:ascii="Arial" w:hAnsi="Arial" w:cs="Arial"/>
                <w:bCs/>
                <w:sz w:val="18"/>
                <w:szCs w:val="18"/>
              </w:rPr>
              <w:t xml:space="preserve">Financial Mapping Interview </w:t>
            </w:r>
          </w:p>
          <w:p w14:paraId="57D02E7A" w14:textId="77777777" w:rsidR="001108E7" w:rsidRPr="00834CF9" w:rsidRDefault="001108E7" w:rsidP="00A43D4B">
            <w:pPr>
              <w:pStyle w:val="ListParagraph"/>
              <w:numPr>
                <w:ilvl w:val="0"/>
                <w:numId w:val="39"/>
              </w:numPr>
              <w:tabs>
                <w:tab w:val="left" w:pos="-1440"/>
              </w:tabs>
              <w:ind w:left="294" w:hanging="270"/>
              <w:rPr>
                <w:rFonts w:ascii="Arial" w:hAnsi="Arial" w:cs="Arial"/>
                <w:bCs/>
                <w:sz w:val="18"/>
                <w:szCs w:val="18"/>
              </w:rPr>
            </w:pPr>
            <w:r w:rsidRPr="00834CF9">
              <w:rPr>
                <w:rFonts w:ascii="Arial" w:hAnsi="Arial" w:cs="Arial"/>
                <w:bCs/>
                <w:sz w:val="18"/>
                <w:szCs w:val="18"/>
              </w:rPr>
              <w:t>Benchmark Tool</w:t>
            </w:r>
          </w:p>
        </w:tc>
      </w:tr>
      <w:tr w:rsidR="003A6D6C" w:rsidRPr="00D87880" w14:paraId="22E41600" w14:textId="77777777" w:rsidTr="007C448E">
        <w:tc>
          <w:tcPr>
            <w:tcW w:w="3820" w:type="dxa"/>
            <w:vAlign w:val="center"/>
          </w:tcPr>
          <w:p w14:paraId="46E5A40A" w14:textId="6F03F9E7" w:rsidR="003A6D6C" w:rsidRPr="00834CF9" w:rsidRDefault="003A6D6C" w:rsidP="00834CF9">
            <w:pPr>
              <w:tabs>
                <w:tab w:val="left" w:pos="-1440"/>
              </w:tabs>
              <w:rPr>
                <w:rFonts w:ascii="Arial" w:hAnsi="Arial" w:cs="Arial"/>
                <w:bCs/>
                <w:sz w:val="18"/>
                <w:szCs w:val="18"/>
              </w:rPr>
            </w:pPr>
            <w:r w:rsidRPr="00834CF9">
              <w:rPr>
                <w:rFonts w:ascii="Arial" w:hAnsi="Arial" w:cs="Arial"/>
                <w:bCs/>
                <w:sz w:val="18"/>
                <w:szCs w:val="18"/>
              </w:rPr>
              <w:t xml:space="preserve">Up to </w:t>
            </w:r>
            <w:r w:rsidR="00834CF9" w:rsidRPr="00834CF9">
              <w:rPr>
                <w:rFonts w:ascii="Arial" w:hAnsi="Arial" w:cs="Arial"/>
                <w:bCs/>
                <w:sz w:val="18"/>
                <w:szCs w:val="18"/>
              </w:rPr>
              <w:t>t</w:t>
            </w:r>
            <w:r w:rsidRPr="00834CF9">
              <w:rPr>
                <w:rFonts w:ascii="Arial" w:hAnsi="Arial" w:cs="Arial"/>
                <w:bCs/>
                <w:sz w:val="18"/>
                <w:szCs w:val="18"/>
              </w:rPr>
              <w:t xml:space="preserve">hree times </w:t>
            </w:r>
          </w:p>
        </w:tc>
        <w:tc>
          <w:tcPr>
            <w:tcW w:w="4788" w:type="dxa"/>
          </w:tcPr>
          <w:p w14:paraId="72D2FA95" w14:textId="546F31D9" w:rsidR="003A6D6C" w:rsidRPr="00834CF9" w:rsidRDefault="003A6D6C" w:rsidP="003A6D6C">
            <w:pPr>
              <w:pStyle w:val="ListParagraph"/>
              <w:numPr>
                <w:ilvl w:val="0"/>
                <w:numId w:val="39"/>
              </w:numPr>
              <w:tabs>
                <w:tab w:val="left" w:pos="-1440"/>
              </w:tabs>
              <w:ind w:left="294" w:hanging="270"/>
              <w:rPr>
                <w:rFonts w:ascii="Arial" w:hAnsi="Arial" w:cs="Arial"/>
                <w:sz w:val="18"/>
                <w:szCs w:val="18"/>
              </w:rPr>
            </w:pPr>
            <w:r w:rsidRPr="00834CF9">
              <w:rPr>
                <w:rFonts w:ascii="Arial" w:hAnsi="Arial" w:cs="Arial"/>
                <w:bCs/>
                <w:sz w:val="18"/>
                <w:szCs w:val="18"/>
              </w:rPr>
              <w:t>Child and family outcome data</w:t>
            </w:r>
          </w:p>
        </w:tc>
      </w:tr>
      <w:tr w:rsidR="00D87880" w:rsidRPr="00D87880" w14:paraId="16894868" w14:textId="77777777" w:rsidTr="007C448E">
        <w:tc>
          <w:tcPr>
            <w:tcW w:w="3820" w:type="dxa"/>
            <w:vAlign w:val="center"/>
          </w:tcPr>
          <w:p w14:paraId="0E61E5D5" w14:textId="77777777" w:rsidR="001108E7" w:rsidRPr="00834CF9" w:rsidRDefault="007C448E" w:rsidP="007C448E">
            <w:pPr>
              <w:tabs>
                <w:tab w:val="left" w:pos="-1440"/>
              </w:tabs>
              <w:rPr>
                <w:rFonts w:ascii="Arial" w:hAnsi="Arial" w:cs="Arial"/>
                <w:bCs/>
                <w:sz w:val="18"/>
                <w:szCs w:val="18"/>
              </w:rPr>
            </w:pPr>
            <w:r w:rsidRPr="00834CF9">
              <w:rPr>
                <w:rFonts w:ascii="Arial" w:hAnsi="Arial" w:cs="Arial"/>
                <w:bCs/>
                <w:sz w:val="18"/>
                <w:szCs w:val="18"/>
              </w:rPr>
              <w:t>Up to f</w:t>
            </w:r>
            <w:r w:rsidR="001108E7" w:rsidRPr="00834CF9">
              <w:rPr>
                <w:rFonts w:ascii="Arial" w:hAnsi="Arial" w:cs="Arial"/>
                <w:bCs/>
                <w:sz w:val="18"/>
                <w:szCs w:val="18"/>
              </w:rPr>
              <w:t>our times</w:t>
            </w:r>
          </w:p>
        </w:tc>
        <w:tc>
          <w:tcPr>
            <w:tcW w:w="4788" w:type="dxa"/>
          </w:tcPr>
          <w:p w14:paraId="06A22C47" w14:textId="6302ED3F" w:rsidR="00BB4B94" w:rsidRPr="00834CF9" w:rsidRDefault="00CD3362" w:rsidP="00834CF9">
            <w:pPr>
              <w:pStyle w:val="ListParagraph"/>
              <w:numPr>
                <w:ilvl w:val="0"/>
                <w:numId w:val="39"/>
              </w:numPr>
              <w:tabs>
                <w:tab w:val="left" w:pos="-1440"/>
              </w:tabs>
              <w:ind w:left="294" w:hanging="270"/>
              <w:rPr>
                <w:rFonts w:ascii="Arial" w:hAnsi="Arial" w:cs="Arial"/>
                <w:bCs/>
                <w:sz w:val="18"/>
                <w:szCs w:val="18"/>
              </w:rPr>
            </w:pPr>
            <w:r w:rsidRPr="00834CF9">
              <w:rPr>
                <w:rFonts w:ascii="Arial" w:hAnsi="Arial" w:cs="Arial"/>
                <w:bCs/>
                <w:sz w:val="18"/>
                <w:szCs w:val="18"/>
              </w:rPr>
              <w:t>SAIS</w:t>
            </w:r>
          </w:p>
        </w:tc>
      </w:tr>
      <w:tr w:rsidR="003A6D6C" w:rsidRPr="00D87880" w14:paraId="0913D4DF" w14:textId="77777777" w:rsidTr="007C448E">
        <w:tc>
          <w:tcPr>
            <w:tcW w:w="3820" w:type="dxa"/>
            <w:vAlign w:val="center"/>
          </w:tcPr>
          <w:p w14:paraId="1CE782A1" w14:textId="130706E7" w:rsidR="003A6D6C" w:rsidRPr="00834CF9" w:rsidRDefault="003A6D6C" w:rsidP="00834CF9">
            <w:pPr>
              <w:tabs>
                <w:tab w:val="left" w:pos="-1440"/>
              </w:tabs>
              <w:rPr>
                <w:rFonts w:ascii="Arial" w:hAnsi="Arial" w:cs="Arial"/>
                <w:bCs/>
                <w:sz w:val="18"/>
                <w:szCs w:val="18"/>
              </w:rPr>
            </w:pPr>
            <w:r w:rsidRPr="00834CF9">
              <w:rPr>
                <w:rFonts w:ascii="Arial" w:hAnsi="Arial" w:cs="Arial"/>
                <w:bCs/>
                <w:sz w:val="18"/>
                <w:szCs w:val="18"/>
              </w:rPr>
              <w:t>Up to 1</w:t>
            </w:r>
            <w:r w:rsidR="00834CF9" w:rsidRPr="00834CF9">
              <w:rPr>
                <w:rFonts w:ascii="Arial" w:hAnsi="Arial" w:cs="Arial"/>
                <w:bCs/>
                <w:sz w:val="18"/>
                <w:szCs w:val="18"/>
              </w:rPr>
              <w:t>2</w:t>
            </w:r>
            <w:r w:rsidRPr="00834CF9">
              <w:rPr>
                <w:rFonts w:ascii="Arial" w:hAnsi="Arial" w:cs="Arial"/>
                <w:bCs/>
                <w:sz w:val="18"/>
                <w:szCs w:val="18"/>
              </w:rPr>
              <w:t xml:space="preserve"> times </w:t>
            </w:r>
            <w:r w:rsidR="00834CF9" w:rsidRPr="00834CF9">
              <w:rPr>
                <w:rFonts w:ascii="Arial" w:hAnsi="Arial" w:cs="Arial"/>
                <w:bCs/>
                <w:sz w:val="18"/>
                <w:szCs w:val="18"/>
              </w:rPr>
              <w:t xml:space="preserve">(quarterly or after each meeting event per grantee preference) </w:t>
            </w:r>
          </w:p>
        </w:tc>
        <w:tc>
          <w:tcPr>
            <w:tcW w:w="4788" w:type="dxa"/>
          </w:tcPr>
          <w:p w14:paraId="788B0A37" w14:textId="7762088D" w:rsidR="003A6D6C" w:rsidRPr="00834CF9" w:rsidRDefault="003A6D6C" w:rsidP="00834CF9">
            <w:pPr>
              <w:pStyle w:val="ListParagraph"/>
              <w:numPr>
                <w:ilvl w:val="0"/>
                <w:numId w:val="39"/>
              </w:numPr>
              <w:tabs>
                <w:tab w:val="left" w:pos="-1440"/>
              </w:tabs>
              <w:ind w:left="294" w:hanging="270"/>
              <w:rPr>
                <w:rFonts w:ascii="Arial" w:hAnsi="Arial" w:cs="Arial"/>
                <w:bCs/>
                <w:sz w:val="18"/>
                <w:szCs w:val="18"/>
              </w:rPr>
            </w:pPr>
            <w:r w:rsidRPr="00834CF9">
              <w:rPr>
                <w:rFonts w:ascii="Arial" w:hAnsi="Arial" w:cs="Arial"/>
                <w:bCs/>
                <w:sz w:val="18"/>
                <w:szCs w:val="18"/>
              </w:rPr>
              <w:t>GIS data</w:t>
            </w:r>
            <w:r w:rsidR="00834CF9" w:rsidRPr="00834CF9">
              <w:rPr>
                <w:rFonts w:ascii="Arial" w:hAnsi="Arial" w:cs="Arial"/>
                <w:bCs/>
                <w:sz w:val="18"/>
                <w:szCs w:val="18"/>
              </w:rPr>
              <w:t xml:space="preserve"> (jurisdiction and local system levels) </w:t>
            </w:r>
          </w:p>
        </w:tc>
      </w:tr>
    </w:tbl>
    <w:p w14:paraId="2BAB827E" w14:textId="53E255DE" w:rsidR="00315C88" w:rsidRDefault="00A43D4B" w:rsidP="009020B6">
      <w:pPr>
        <w:tabs>
          <w:tab w:val="left" w:pos="-1440"/>
        </w:tabs>
        <w:spacing w:before="120" w:line="240" w:lineRule="auto"/>
        <w:rPr>
          <w:rFonts w:ascii="Times New Roman" w:hAnsi="Times New Roman" w:cs="Times New Roman"/>
          <w:bCs/>
          <w:sz w:val="22"/>
          <w:szCs w:val="22"/>
        </w:rPr>
      </w:pPr>
      <w:r w:rsidRPr="0077206D">
        <w:rPr>
          <w:rFonts w:ascii="Times New Roman" w:hAnsi="Times New Roman" w:cs="Times New Roman"/>
          <w:bCs/>
          <w:sz w:val="22"/>
          <w:szCs w:val="22"/>
        </w:rPr>
        <w:t>A single collection is adequate for the GIS data.</w:t>
      </w:r>
      <w:r w:rsidR="00862178" w:rsidRPr="0077206D">
        <w:rPr>
          <w:rFonts w:ascii="Times New Roman" w:hAnsi="Times New Roman" w:cs="Times New Roman"/>
          <w:bCs/>
          <w:sz w:val="22"/>
          <w:szCs w:val="22"/>
        </w:rPr>
        <w:t xml:space="preserve"> </w:t>
      </w:r>
      <w:r w:rsidRPr="0077206D">
        <w:rPr>
          <w:rFonts w:ascii="Times New Roman" w:hAnsi="Times New Roman" w:cs="Times New Roman"/>
          <w:bCs/>
          <w:sz w:val="22"/>
          <w:szCs w:val="22"/>
        </w:rPr>
        <w:t xml:space="preserve">These data are descriptive and </w:t>
      </w:r>
      <w:r w:rsidR="00FE3994" w:rsidRPr="0077206D">
        <w:rPr>
          <w:rFonts w:ascii="Times New Roman" w:hAnsi="Times New Roman" w:cs="Times New Roman"/>
          <w:bCs/>
          <w:sz w:val="22"/>
          <w:szCs w:val="22"/>
        </w:rPr>
        <w:t xml:space="preserve">are </w:t>
      </w:r>
      <w:r w:rsidRPr="0077206D">
        <w:rPr>
          <w:rFonts w:ascii="Times New Roman" w:hAnsi="Times New Roman" w:cs="Times New Roman"/>
          <w:bCs/>
          <w:sz w:val="22"/>
          <w:szCs w:val="22"/>
        </w:rPr>
        <w:t>not expected t</w:t>
      </w:r>
      <w:r w:rsidR="00445998" w:rsidRPr="0077206D">
        <w:rPr>
          <w:rFonts w:ascii="Times New Roman" w:hAnsi="Times New Roman" w:cs="Times New Roman"/>
          <w:bCs/>
          <w:sz w:val="22"/>
          <w:szCs w:val="22"/>
        </w:rPr>
        <w:t>o</w:t>
      </w:r>
      <w:r w:rsidRPr="0077206D">
        <w:rPr>
          <w:rFonts w:ascii="Times New Roman" w:hAnsi="Times New Roman" w:cs="Times New Roman"/>
          <w:bCs/>
          <w:sz w:val="22"/>
          <w:szCs w:val="22"/>
        </w:rPr>
        <w:t xml:space="preserve"> change</w:t>
      </w:r>
      <w:r w:rsidRPr="00E1164C">
        <w:rPr>
          <w:rFonts w:ascii="Times New Roman" w:hAnsi="Times New Roman" w:cs="Times New Roman"/>
          <w:bCs/>
          <w:sz w:val="22"/>
          <w:szCs w:val="22"/>
        </w:rPr>
        <w:t xml:space="preserve"> significantly over the course of the Evaluation</w:t>
      </w:r>
      <w:r w:rsidR="003B59FB" w:rsidRPr="00E1164C">
        <w:rPr>
          <w:rFonts w:ascii="Times New Roman" w:hAnsi="Times New Roman" w:cs="Times New Roman"/>
          <w:bCs/>
          <w:sz w:val="22"/>
          <w:szCs w:val="22"/>
        </w:rPr>
        <w:t>.</w:t>
      </w:r>
      <w:r w:rsidR="003B59FB">
        <w:rPr>
          <w:rFonts w:ascii="Times New Roman" w:hAnsi="Times New Roman" w:cs="Times New Roman"/>
          <w:bCs/>
          <w:sz w:val="22"/>
          <w:szCs w:val="22"/>
        </w:rPr>
        <w:t xml:space="preserve"> GIS data for clients and families will be abstracted from client admission records</w:t>
      </w:r>
      <w:r w:rsidRPr="00AE7838">
        <w:rPr>
          <w:rFonts w:ascii="Times New Roman" w:hAnsi="Times New Roman" w:cs="Times New Roman"/>
          <w:bCs/>
          <w:sz w:val="22"/>
          <w:szCs w:val="22"/>
        </w:rPr>
        <w:t>.</w:t>
      </w:r>
      <w:r w:rsidR="002246DA" w:rsidRPr="00D87880">
        <w:rPr>
          <w:rFonts w:ascii="Times New Roman" w:hAnsi="Times New Roman" w:cs="Times New Roman"/>
          <w:bCs/>
          <w:sz w:val="22"/>
          <w:szCs w:val="22"/>
        </w:rPr>
        <w:t xml:space="preserve"> </w:t>
      </w:r>
    </w:p>
    <w:p w14:paraId="73629868" w14:textId="56437161" w:rsidR="003525FB" w:rsidRPr="00D87880" w:rsidRDefault="003525FB" w:rsidP="009020B6">
      <w:pPr>
        <w:tabs>
          <w:tab w:val="left" w:pos="-1440"/>
        </w:tabs>
        <w:spacing w:before="120" w:line="240" w:lineRule="auto"/>
        <w:rPr>
          <w:rFonts w:ascii="Times New Roman" w:hAnsi="Times New Roman" w:cs="Times New Roman"/>
          <w:bCs/>
          <w:sz w:val="22"/>
          <w:szCs w:val="22"/>
        </w:rPr>
      </w:pPr>
      <w:r>
        <w:rPr>
          <w:rFonts w:ascii="Times New Roman" w:hAnsi="Times New Roman" w:cs="Times New Roman"/>
          <w:bCs/>
          <w:sz w:val="22"/>
          <w:szCs w:val="22"/>
        </w:rPr>
        <w:t xml:space="preserve">Other data collections proposed for the </w:t>
      </w:r>
      <w:r w:rsidR="00732DD9">
        <w:rPr>
          <w:rFonts w:ascii="Times New Roman" w:hAnsi="Times New Roman" w:cs="Times New Roman"/>
          <w:bCs/>
          <w:sz w:val="22"/>
          <w:szCs w:val="22"/>
        </w:rPr>
        <w:t>E</w:t>
      </w:r>
      <w:r>
        <w:rPr>
          <w:rFonts w:ascii="Times New Roman" w:hAnsi="Times New Roman" w:cs="Times New Roman"/>
          <w:bCs/>
          <w:sz w:val="22"/>
          <w:szCs w:val="22"/>
        </w:rPr>
        <w:t xml:space="preserve">valuation need to be collected more than once to assess change over time. Successful programs are expected to expand SOCs and improve child and family outcomes. </w:t>
      </w:r>
    </w:p>
    <w:p w14:paraId="6DB9E4E7" w14:textId="2D051930" w:rsidR="00EC40C4" w:rsidRPr="00D87880" w:rsidRDefault="00A86931" w:rsidP="009020B6">
      <w:pPr>
        <w:tabs>
          <w:tab w:val="left" w:pos="-1440"/>
        </w:tabs>
        <w:spacing w:line="240" w:lineRule="auto"/>
        <w:rPr>
          <w:rFonts w:ascii="Times New Roman" w:hAnsi="Times New Roman" w:cs="Times New Roman"/>
          <w:bCs/>
          <w:sz w:val="22"/>
          <w:szCs w:val="22"/>
        </w:rPr>
      </w:pPr>
      <w:r w:rsidRPr="004E0686">
        <w:rPr>
          <w:rFonts w:ascii="Times New Roman" w:hAnsi="Times New Roman" w:cs="Times New Roman"/>
          <w:bCs/>
          <w:sz w:val="22"/>
          <w:szCs w:val="22"/>
        </w:rPr>
        <w:t xml:space="preserve">As shown in Table </w:t>
      </w:r>
      <w:r w:rsidR="00E66653" w:rsidRPr="00BA64D1">
        <w:rPr>
          <w:rFonts w:ascii="Times New Roman" w:hAnsi="Times New Roman" w:cs="Times New Roman"/>
          <w:bCs/>
          <w:sz w:val="22"/>
          <w:szCs w:val="22"/>
        </w:rPr>
        <w:t>4</w:t>
      </w:r>
      <w:r w:rsidR="008B2AC8" w:rsidRPr="004E0686">
        <w:rPr>
          <w:rFonts w:ascii="Times New Roman" w:hAnsi="Times New Roman" w:cs="Times New Roman"/>
          <w:bCs/>
          <w:sz w:val="22"/>
          <w:szCs w:val="22"/>
        </w:rPr>
        <w:t>, s</w:t>
      </w:r>
      <w:r w:rsidR="00EC40C4" w:rsidRPr="004E0686">
        <w:rPr>
          <w:rFonts w:ascii="Times New Roman" w:hAnsi="Times New Roman" w:cs="Times New Roman"/>
          <w:bCs/>
          <w:sz w:val="22"/>
          <w:szCs w:val="22"/>
        </w:rPr>
        <w:t xml:space="preserve">ome </w:t>
      </w:r>
      <w:r w:rsidR="00102763" w:rsidRPr="004E0686">
        <w:rPr>
          <w:rFonts w:ascii="Times New Roman" w:hAnsi="Times New Roman" w:cs="Times New Roman"/>
          <w:bCs/>
          <w:sz w:val="22"/>
          <w:szCs w:val="22"/>
        </w:rPr>
        <w:t xml:space="preserve">proposed </w:t>
      </w:r>
      <w:r w:rsidR="00EC40C4" w:rsidRPr="004E0686">
        <w:rPr>
          <w:rFonts w:ascii="Times New Roman" w:hAnsi="Times New Roman" w:cs="Times New Roman"/>
          <w:bCs/>
          <w:sz w:val="22"/>
          <w:szCs w:val="22"/>
        </w:rPr>
        <w:t xml:space="preserve">data collections are </w:t>
      </w:r>
      <w:r w:rsidR="00EC40C4" w:rsidRPr="004E0686">
        <w:rPr>
          <w:rFonts w:ascii="Times New Roman" w:hAnsi="Times New Roman" w:cs="Times New Roman"/>
          <w:bCs/>
          <w:sz w:val="22"/>
          <w:szCs w:val="22"/>
          <w:u w:val="single"/>
        </w:rPr>
        <w:t>twice</w:t>
      </w:r>
      <w:r w:rsidR="00EC40C4" w:rsidRPr="004E0686">
        <w:rPr>
          <w:rFonts w:ascii="Times New Roman" w:hAnsi="Times New Roman" w:cs="Times New Roman"/>
          <w:bCs/>
          <w:sz w:val="22"/>
          <w:szCs w:val="22"/>
        </w:rPr>
        <w:t>:</w:t>
      </w:r>
      <w:r w:rsidR="00862178" w:rsidRPr="004E0686">
        <w:rPr>
          <w:rFonts w:ascii="Times New Roman" w:hAnsi="Times New Roman" w:cs="Times New Roman"/>
          <w:bCs/>
          <w:sz w:val="22"/>
          <w:szCs w:val="22"/>
        </w:rPr>
        <w:t xml:space="preserve"> </w:t>
      </w:r>
      <w:r w:rsidR="00EC40C4" w:rsidRPr="004E0686">
        <w:rPr>
          <w:rFonts w:ascii="Times New Roman" w:hAnsi="Times New Roman" w:cs="Times New Roman"/>
          <w:bCs/>
          <w:sz w:val="22"/>
          <w:szCs w:val="22"/>
        </w:rPr>
        <w:t xml:space="preserve">within the first 12 to 18 months of the grant, with a </w:t>
      </w:r>
      <w:r w:rsidR="008C652E" w:rsidRPr="004E0686">
        <w:rPr>
          <w:rFonts w:ascii="Times New Roman" w:hAnsi="Times New Roman" w:cs="Times New Roman"/>
          <w:bCs/>
          <w:sz w:val="22"/>
          <w:szCs w:val="22"/>
        </w:rPr>
        <w:t>follow-</w:t>
      </w:r>
      <w:r w:rsidR="008C652E" w:rsidRPr="00E9580C">
        <w:rPr>
          <w:rFonts w:ascii="Times New Roman" w:hAnsi="Times New Roman" w:cs="Times New Roman"/>
          <w:bCs/>
          <w:sz w:val="22"/>
          <w:szCs w:val="22"/>
        </w:rPr>
        <w:t>up</w:t>
      </w:r>
      <w:r w:rsidR="00EC40C4" w:rsidRPr="00E9580C">
        <w:rPr>
          <w:rFonts w:ascii="Times New Roman" w:hAnsi="Times New Roman" w:cs="Times New Roman"/>
          <w:bCs/>
          <w:sz w:val="22"/>
          <w:szCs w:val="22"/>
        </w:rPr>
        <w:t xml:space="preserve"> </w:t>
      </w:r>
      <w:r w:rsidR="00CA5216" w:rsidRPr="00E9580C">
        <w:rPr>
          <w:rFonts w:ascii="Times New Roman" w:hAnsi="Times New Roman" w:cs="Times New Roman"/>
          <w:bCs/>
          <w:sz w:val="22"/>
          <w:szCs w:val="22"/>
        </w:rPr>
        <w:t xml:space="preserve">collection </w:t>
      </w:r>
      <w:r w:rsidR="00EC40C4" w:rsidRPr="00E9580C">
        <w:rPr>
          <w:rFonts w:ascii="Times New Roman" w:hAnsi="Times New Roman" w:cs="Times New Roman"/>
          <w:bCs/>
          <w:sz w:val="22"/>
          <w:szCs w:val="22"/>
        </w:rPr>
        <w:t>2 to 3 years later.</w:t>
      </w:r>
      <w:r w:rsidR="00862178" w:rsidRPr="00E9580C">
        <w:rPr>
          <w:rFonts w:ascii="Times New Roman" w:hAnsi="Times New Roman" w:cs="Times New Roman"/>
          <w:bCs/>
          <w:sz w:val="22"/>
          <w:szCs w:val="22"/>
        </w:rPr>
        <w:t xml:space="preserve"> </w:t>
      </w:r>
      <w:r w:rsidR="004E0686" w:rsidRPr="00E9580C">
        <w:rPr>
          <w:rFonts w:ascii="Times New Roman" w:hAnsi="Times New Roman" w:cs="Times New Roman"/>
          <w:bCs/>
          <w:sz w:val="22"/>
          <w:szCs w:val="22"/>
        </w:rPr>
        <w:t>These</w:t>
      </w:r>
      <w:r w:rsidR="004E0686">
        <w:rPr>
          <w:rFonts w:ascii="Times New Roman" w:hAnsi="Times New Roman" w:cs="Times New Roman"/>
          <w:bCs/>
          <w:sz w:val="22"/>
          <w:szCs w:val="22"/>
        </w:rPr>
        <w:t xml:space="preserve"> data collections are </w:t>
      </w:r>
      <w:r w:rsidR="00BD33A7">
        <w:rPr>
          <w:rFonts w:ascii="Times New Roman" w:hAnsi="Times New Roman" w:cs="Times New Roman"/>
          <w:bCs/>
          <w:sz w:val="22"/>
          <w:szCs w:val="22"/>
        </w:rPr>
        <w:t>as</w:t>
      </w:r>
      <w:r w:rsidR="004E0686">
        <w:rPr>
          <w:rFonts w:ascii="Times New Roman" w:hAnsi="Times New Roman" w:cs="Times New Roman"/>
          <w:bCs/>
          <w:sz w:val="22"/>
          <w:szCs w:val="22"/>
        </w:rPr>
        <w:t xml:space="preserve"> follow</w:t>
      </w:r>
      <w:r w:rsidR="00BD33A7">
        <w:rPr>
          <w:rFonts w:ascii="Times New Roman" w:hAnsi="Times New Roman" w:cs="Times New Roman"/>
          <w:bCs/>
          <w:sz w:val="22"/>
          <w:szCs w:val="22"/>
        </w:rPr>
        <w:t>s</w:t>
      </w:r>
      <w:r w:rsidR="004E0686">
        <w:rPr>
          <w:rFonts w:ascii="Times New Roman" w:hAnsi="Times New Roman" w:cs="Times New Roman"/>
          <w:bCs/>
          <w:sz w:val="22"/>
          <w:szCs w:val="22"/>
        </w:rPr>
        <w:t xml:space="preserve">: Network Analysis Surveys, SOCEA, Stakeholder Interviews, Financial Mapping Interviews, and the Benchmark Tools.  </w:t>
      </w:r>
      <w:r w:rsidR="00AF570F">
        <w:rPr>
          <w:rFonts w:ascii="Times New Roman" w:hAnsi="Times New Roman" w:cs="Times New Roman"/>
          <w:bCs/>
          <w:sz w:val="22"/>
          <w:szCs w:val="22"/>
        </w:rPr>
        <w:t xml:space="preserve">Documenting change over time </w:t>
      </w:r>
      <w:r w:rsidR="00CA5216" w:rsidRPr="00D87880">
        <w:rPr>
          <w:rFonts w:ascii="Times New Roman" w:hAnsi="Times New Roman" w:cs="Times New Roman"/>
          <w:bCs/>
          <w:sz w:val="22"/>
          <w:szCs w:val="22"/>
        </w:rPr>
        <w:t xml:space="preserve">is essential to evaluating </w:t>
      </w:r>
      <w:r w:rsidR="00093587">
        <w:rPr>
          <w:rFonts w:ascii="Times New Roman" w:hAnsi="Times New Roman" w:cs="Times New Roman"/>
          <w:bCs/>
          <w:sz w:val="22"/>
          <w:szCs w:val="22"/>
        </w:rPr>
        <w:t xml:space="preserve">grantees’ </w:t>
      </w:r>
      <w:r w:rsidR="00AF570F">
        <w:rPr>
          <w:rFonts w:ascii="Times New Roman" w:hAnsi="Times New Roman" w:cs="Times New Roman"/>
          <w:bCs/>
          <w:sz w:val="22"/>
          <w:szCs w:val="22"/>
        </w:rPr>
        <w:t xml:space="preserve">(and the grant program’s) </w:t>
      </w:r>
      <w:r w:rsidR="00CA5216" w:rsidRPr="00D87880">
        <w:rPr>
          <w:rFonts w:ascii="Times New Roman" w:hAnsi="Times New Roman" w:cs="Times New Roman"/>
          <w:bCs/>
          <w:sz w:val="22"/>
          <w:szCs w:val="22"/>
        </w:rPr>
        <w:t xml:space="preserve">effectiveness </w:t>
      </w:r>
      <w:r w:rsidR="00093587">
        <w:rPr>
          <w:rFonts w:ascii="Times New Roman" w:hAnsi="Times New Roman" w:cs="Times New Roman"/>
          <w:bCs/>
          <w:sz w:val="22"/>
          <w:szCs w:val="22"/>
        </w:rPr>
        <w:t>at expanding SOCs in their jurisdiction</w:t>
      </w:r>
      <w:r w:rsidR="00AF570F">
        <w:rPr>
          <w:rFonts w:ascii="Times New Roman" w:hAnsi="Times New Roman" w:cs="Times New Roman"/>
          <w:bCs/>
          <w:sz w:val="22"/>
          <w:szCs w:val="22"/>
        </w:rPr>
        <w:t xml:space="preserve">. Two </w:t>
      </w:r>
      <w:r w:rsidR="00AF570F" w:rsidRPr="00D87880">
        <w:rPr>
          <w:rFonts w:ascii="Times New Roman" w:hAnsi="Times New Roman" w:cs="Times New Roman"/>
          <w:bCs/>
          <w:sz w:val="22"/>
          <w:szCs w:val="22"/>
        </w:rPr>
        <w:t>data collection</w:t>
      </w:r>
      <w:r w:rsidR="00AF570F">
        <w:rPr>
          <w:rFonts w:ascii="Times New Roman" w:hAnsi="Times New Roman" w:cs="Times New Roman"/>
          <w:bCs/>
          <w:sz w:val="22"/>
          <w:szCs w:val="22"/>
        </w:rPr>
        <w:t>s</w:t>
      </w:r>
      <w:r w:rsidR="00F15D97" w:rsidRPr="00D87880">
        <w:rPr>
          <w:rFonts w:ascii="Times New Roman" w:hAnsi="Times New Roman" w:cs="Times New Roman"/>
          <w:bCs/>
          <w:sz w:val="22"/>
          <w:szCs w:val="22"/>
        </w:rPr>
        <w:t xml:space="preserve"> </w:t>
      </w:r>
      <w:r w:rsidR="00812E18" w:rsidRPr="00D87880">
        <w:rPr>
          <w:rFonts w:ascii="Times New Roman" w:hAnsi="Times New Roman" w:cs="Times New Roman"/>
          <w:bCs/>
          <w:sz w:val="22"/>
          <w:szCs w:val="22"/>
        </w:rPr>
        <w:t xml:space="preserve">is the minimum necessary to assess </w:t>
      </w:r>
      <w:r w:rsidR="00AF570F">
        <w:rPr>
          <w:rFonts w:ascii="Times New Roman" w:hAnsi="Times New Roman" w:cs="Times New Roman"/>
          <w:bCs/>
          <w:sz w:val="22"/>
          <w:szCs w:val="22"/>
        </w:rPr>
        <w:t xml:space="preserve">such </w:t>
      </w:r>
      <w:r w:rsidR="00812E18" w:rsidRPr="00D87880">
        <w:rPr>
          <w:rFonts w:ascii="Times New Roman" w:hAnsi="Times New Roman" w:cs="Times New Roman"/>
          <w:bCs/>
          <w:sz w:val="22"/>
          <w:szCs w:val="22"/>
        </w:rPr>
        <w:t>change.</w:t>
      </w:r>
      <w:r w:rsidR="00862178" w:rsidRPr="00D87880">
        <w:rPr>
          <w:rFonts w:ascii="Times New Roman" w:hAnsi="Times New Roman" w:cs="Times New Roman"/>
          <w:bCs/>
          <w:sz w:val="22"/>
          <w:szCs w:val="22"/>
        </w:rPr>
        <w:t xml:space="preserve"> </w:t>
      </w:r>
      <w:r w:rsidR="0087059B">
        <w:rPr>
          <w:rFonts w:ascii="Times New Roman" w:hAnsi="Times New Roman" w:cs="Times New Roman"/>
          <w:sz w:val="22"/>
          <w:szCs w:val="22"/>
        </w:rPr>
        <w:t xml:space="preserve"> </w:t>
      </w:r>
      <w:r w:rsidR="00DC5333" w:rsidRPr="00D87880">
        <w:rPr>
          <w:rFonts w:ascii="Times New Roman" w:hAnsi="Times New Roman" w:cs="Times New Roman"/>
          <w:sz w:val="22"/>
          <w:szCs w:val="22"/>
        </w:rPr>
        <w:t>SOC</w:t>
      </w:r>
      <w:r w:rsidR="00716F4D">
        <w:rPr>
          <w:rFonts w:ascii="Times New Roman" w:hAnsi="Times New Roman" w:cs="Times New Roman"/>
          <w:sz w:val="22"/>
          <w:szCs w:val="22"/>
        </w:rPr>
        <w:t>s</w:t>
      </w:r>
      <w:r w:rsidR="0082143E" w:rsidRPr="00D87880">
        <w:rPr>
          <w:rFonts w:ascii="Times New Roman" w:hAnsi="Times New Roman" w:cs="Times New Roman"/>
          <w:sz w:val="22"/>
          <w:szCs w:val="22"/>
        </w:rPr>
        <w:t xml:space="preserve"> change slowly, </w:t>
      </w:r>
      <w:r w:rsidR="0087059B">
        <w:rPr>
          <w:rFonts w:ascii="Times New Roman" w:hAnsi="Times New Roman" w:cs="Times New Roman"/>
          <w:sz w:val="22"/>
          <w:szCs w:val="22"/>
        </w:rPr>
        <w:t xml:space="preserve">so </w:t>
      </w:r>
      <w:r w:rsidR="0082143E" w:rsidRPr="00D87880">
        <w:rPr>
          <w:rFonts w:ascii="Times New Roman" w:hAnsi="Times New Roman" w:cs="Times New Roman"/>
          <w:sz w:val="22"/>
          <w:szCs w:val="22"/>
        </w:rPr>
        <w:t xml:space="preserve">collection of data </w:t>
      </w:r>
      <w:r w:rsidR="003B6910" w:rsidRPr="00D87880">
        <w:rPr>
          <w:rFonts w:ascii="Times New Roman" w:hAnsi="Times New Roman" w:cs="Times New Roman"/>
          <w:sz w:val="22"/>
          <w:szCs w:val="22"/>
        </w:rPr>
        <w:t>at this interval</w:t>
      </w:r>
      <w:r w:rsidR="0082143E" w:rsidRPr="00D87880">
        <w:rPr>
          <w:rFonts w:ascii="Times New Roman" w:hAnsi="Times New Roman" w:cs="Times New Roman"/>
          <w:sz w:val="22"/>
          <w:szCs w:val="22"/>
        </w:rPr>
        <w:t xml:space="preserve"> is sufficient to provide information on implementation, organizational involvement and relationships</w:t>
      </w:r>
      <w:r w:rsidR="003A0A95">
        <w:rPr>
          <w:rFonts w:ascii="Times New Roman" w:hAnsi="Times New Roman" w:cs="Times New Roman"/>
          <w:sz w:val="22"/>
          <w:szCs w:val="22"/>
        </w:rPr>
        <w:t>, and financing</w:t>
      </w:r>
      <w:r w:rsidR="0082143E" w:rsidRPr="00D87880">
        <w:rPr>
          <w:rFonts w:ascii="Times New Roman" w:hAnsi="Times New Roman" w:cs="Times New Roman"/>
          <w:sz w:val="22"/>
          <w:szCs w:val="22"/>
        </w:rPr>
        <w:t>. If these data were collected less frequently,</w:t>
      </w:r>
      <w:r w:rsidR="006C03B9">
        <w:rPr>
          <w:rFonts w:ascii="Times New Roman" w:hAnsi="Times New Roman" w:cs="Times New Roman"/>
          <w:sz w:val="22"/>
          <w:szCs w:val="22"/>
        </w:rPr>
        <w:t xml:space="preserve"> change could not be detected.</w:t>
      </w:r>
      <w:r w:rsidR="00862178" w:rsidRPr="00D87880">
        <w:rPr>
          <w:rFonts w:ascii="Times New Roman" w:hAnsi="Times New Roman" w:cs="Times New Roman"/>
          <w:sz w:val="22"/>
          <w:szCs w:val="22"/>
        </w:rPr>
        <w:t xml:space="preserve"> </w:t>
      </w:r>
      <w:r w:rsidR="00093587">
        <w:rPr>
          <w:rFonts w:ascii="Times New Roman" w:hAnsi="Times New Roman" w:cs="Times New Roman"/>
          <w:sz w:val="22"/>
          <w:szCs w:val="22"/>
        </w:rPr>
        <w:t xml:space="preserve">  </w:t>
      </w:r>
    </w:p>
    <w:p w14:paraId="0F8F568D" w14:textId="671D8B2A" w:rsidR="003C3AA8" w:rsidRPr="00C26507" w:rsidRDefault="003C3AA8" w:rsidP="00C227F6">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bCs/>
          <w:sz w:val="22"/>
          <w:szCs w:val="22"/>
        </w:rPr>
        <w:t xml:space="preserve">Data collection </w:t>
      </w:r>
      <w:r w:rsidR="00904EF1">
        <w:rPr>
          <w:rFonts w:ascii="Times New Roman" w:hAnsi="Times New Roman" w:cs="Times New Roman"/>
          <w:bCs/>
          <w:sz w:val="22"/>
          <w:szCs w:val="22"/>
        </w:rPr>
        <w:t>of</w:t>
      </w:r>
      <w:r w:rsidR="00904EF1" w:rsidRPr="00D87880">
        <w:rPr>
          <w:rFonts w:ascii="Times New Roman" w:hAnsi="Times New Roman" w:cs="Times New Roman"/>
          <w:bCs/>
          <w:sz w:val="22"/>
          <w:szCs w:val="22"/>
        </w:rPr>
        <w:t xml:space="preserve"> </w:t>
      </w:r>
      <w:r w:rsidRPr="00D87880">
        <w:rPr>
          <w:rFonts w:ascii="Times New Roman" w:hAnsi="Times New Roman" w:cs="Times New Roman"/>
          <w:bCs/>
          <w:sz w:val="22"/>
          <w:szCs w:val="22"/>
        </w:rPr>
        <w:t xml:space="preserve">the Child and Family Outcome </w:t>
      </w:r>
      <w:r w:rsidR="005B5E47">
        <w:rPr>
          <w:rFonts w:ascii="Times New Roman" w:hAnsi="Times New Roman" w:cs="Times New Roman"/>
          <w:bCs/>
          <w:sz w:val="22"/>
          <w:szCs w:val="22"/>
        </w:rPr>
        <w:t>Component</w:t>
      </w:r>
      <w:r w:rsidRPr="00D87880">
        <w:rPr>
          <w:rFonts w:ascii="Times New Roman" w:hAnsi="Times New Roman" w:cs="Times New Roman"/>
          <w:bCs/>
          <w:sz w:val="22"/>
          <w:szCs w:val="22"/>
        </w:rPr>
        <w:t xml:space="preserve"> is planned for</w:t>
      </w:r>
      <w:r w:rsidR="00262951" w:rsidRPr="00D87880">
        <w:rPr>
          <w:rFonts w:ascii="Times New Roman" w:hAnsi="Times New Roman" w:cs="Times New Roman"/>
          <w:bCs/>
          <w:sz w:val="22"/>
          <w:szCs w:val="22"/>
        </w:rPr>
        <w:t xml:space="preserve"> a maximum of </w:t>
      </w:r>
      <w:r w:rsidR="00660D99">
        <w:rPr>
          <w:rFonts w:ascii="Times New Roman" w:hAnsi="Times New Roman" w:cs="Times New Roman"/>
          <w:bCs/>
          <w:sz w:val="22"/>
          <w:szCs w:val="22"/>
        </w:rPr>
        <w:t>three</w:t>
      </w:r>
      <w:r w:rsidR="00660D99" w:rsidRPr="00D87880">
        <w:rPr>
          <w:rFonts w:ascii="Times New Roman" w:hAnsi="Times New Roman" w:cs="Times New Roman"/>
          <w:bCs/>
          <w:sz w:val="22"/>
          <w:szCs w:val="22"/>
        </w:rPr>
        <w:t xml:space="preserve"> </w:t>
      </w:r>
      <w:r w:rsidR="00262951" w:rsidRPr="00D87880">
        <w:rPr>
          <w:rFonts w:ascii="Times New Roman" w:hAnsi="Times New Roman" w:cs="Times New Roman"/>
          <w:bCs/>
          <w:sz w:val="22"/>
          <w:szCs w:val="22"/>
        </w:rPr>
        <w:t>data collection points.</w:t>
      </w:r>
      <w:r w:rsidR="00862178" w:rsidRPr="00D87880">
        <w:rPr>
          <w:rFonts w:ascii="Times New Roman" w:hAnsi="Times New Roman" w:cs="Times New Roman"/>
          <w:bCs/>
          <w:sz w:val="22"/>
          <w:szCs w:val="22"/>
        </w:rPr>
        <w:t xml:space="preserve"> </w:t>
      </w:r>
      <w:r w:rsidR="00262951" w:rsidRPr="00D87880">
        <w:rPr>
          <w:rFonts w:ascii="Times New Roman" w:hAnsi="Times New Roman" w:cs="Times New Roman"/>
          <w:bCs/>
          <w:sz w:val="22"/>
          <w:szCs w:val="22"/>
        </w:rPr>
        <w:t xml:space="preserve">All clients will be interviewed at </w:t>
      </w:r>
      <w:r w:rsidRPr="00D87880">
        <w:rPr>
          <w:rFonts w:ascii="Times New Roman" w:hAnsi="Times New Roman" w:cs="Times New Roman"/>
          <w:sz w:val="22"/>
          <w:szCs w:val="22"/>
          <w:u w:val="single"/>
        </w:rPr>
        <w:t>intake</w:t>
      </w:r>
      <w:r w:rsidR="00262951"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r w:rsidR="00262951" w:rsidRPr="00D87880">
        <w:rPr>
          <w:rFonts w:ascii="Times New Roman" w:hAnsi="Times New Roman" w:cs="Times New Roman"/>
          <w:sz w:val="22"/>
          <w:szCs w:val="22"/>
        </w:rPr>
        <w:t xml:space="preserve">Clients who are still </w:t>
      </w:r>
      <w:r w:rsidR="00262951" w:rsidRPr="00D87880">
        <w:rPr>
          <w:rFonts w:ascii="Times New Roman" w:hAnsi="Times New Roman" w:cs="Times New Roman"/>
          <w:sz w:val="22"/>
          <w:szCs w:val="22"/>
          <w:u w:val="single"/>
        </w:rPr>
        <w:t xml:space="preserve">receiving services at </w:t>
      </w:r>
      <w:r w:rsidRPr="00D87880">
        <w:rPr>
          <w:rFonts w:ascii="Times New Roman" w:hAnsi="Times New Roman" w:cs="Times New Roman"/>
          <w:sz w:val="22"/>
          <w:szCs w:val="22"/>
          <w:u w:val="single"/>
        </w:rPr>
        <w:t>6</w:t>
      </w:r>
      <w:r w:rsidR="00262951" w:rsidRPr="00D87880">
        <w:rPr>
          <w:rFonts w:ascii="Times New Roman" w:hAnsi="Times New Roman" w:cs="Times New Roman"/>
          <w:sz w:val="22"/>
          <w:szCs w:val="22"/>
          <w:u w:val="single"/>
        </w:rPr>
        <w:t xml:space="preserve">- </w:t>
      </w:r>
      <w:r w:rsidR="00BD6B64">
        <w:rPr>
          <w:rFonts w:ascii="Times New Roman" w:hAnsi="Times New Roman" w:cs="Times New Roman"/>
          <w:sz w:val="22"/>
          <w:szCs w:val="22"/>
          <w:u w:val="single"/>
        </w:rPr>
        <w:t>and</w:t>
      </w:r>
      <w:r w:rsidR="00262951" w:rsidRPr="00D87880">
        <w:rPr>
          <w:rFonts w:ascii="Times New Roman" w:hAnsi="Times New Roman" w:cs="Times New Roman"/>
          <w:sz w:val="22"/>
          <w:szCs w:val="22"/>
          <w:u w:val="single"/>
        </w:rPr>
        <w:t xml:space="preserve"> 12-</w:t>
      </w:r>
      <w:r w:rsidRPr="00D87880">
        <w:rPr>
          <w:rFonts w:ascii="Times New Roman" w:hAnsi="Times New Roman" w:cs="Times New Roman"/>
          <w:sz w:val="22"/>
          <w:szCs w:val="22"/>
          <w:u w:val="single"/>
        </w:rPr>
        <w:t>months</w:t>
      </w:r>
      <w:r w:rsidR="00262951" w:rsidRPr="00D87880">
        <w:rPr>
          <w:rFonts w:ascii="Times New Roman" w:hAnsi="Times New Roman" w:cs="Times New Roman"/>
          <w:sz w:val="22"/>
          <w:szCs w:val="22"/>
        </w:rPr>
        <w:t xml:space="preserve"> post-intake will also be interviewed at th</w:t>
      </w:r>
      <w:r w:rsidR="00434155">
        <w:rPr>
          <w:rFonts w:ascii="Times New Roman" w:hAnsi="Times New Roman" w:cs="Times New Roman"/>
          <w:sz w:val="22"/>
          <w:szCs w:val="22"/>
        </w:rPr>
        <w:t>ose intervals</w:t>
      </w:r>
      <w:r w:rsidR="00736024" w:rsidRPr="00D87880">
        <w:rPr>
          <w:rFonts w:ascii="Times New Roman" w:hAnsi="Times New Roman" w:cs="Times New Roman"/>
          <w:sz w:val="22"/>
          <w:szCs w:val="22"/>
        </w:rPr>
        <w:t xml:space="preserve">, </w:t>
      </w:r>
      <w:r w:rsidR="00BD6B64">
        <w:rPr>
          <w:rFonts w:ascii="Times New Roman" w:hAnsi="Times New Roman" w:cs="Times New Roman"/>
          <w:sz w:val="22"/>
          <w:szCs w:val="22"/>
        </w:rPr>
        <w:t xml:space="preserve">unless the client is discharged before either time point; in that case a discharge interview will be collected. </w:t>
      </w:r>
      <w:r w:rsidRPr="00D87880">
        <w:rPr>
          <w:rFonts w:ascii="Times New Roman" w:hAnsi="Times New Roman" w:cs="Times New Roman"/>
          <w:sz w:val="22"/>
          <w:szCs w:val="22"/>
        </w:rPr>
        <w:t>Clinicians who work with this population of children suggest that once children enter services, they are likely to experience detectable improvements within the first 6 months of services. Waiting 12 months to collect outcome data would</w:t>
      </w:r>
      <w:r w:rsidR="003B0440" w:rsidRPr="00D87880">
        <w:rPr>
          <w:rFonts w:ascii="Times New Roman" w:hAnsi="Times New Roman" w:cs="Times New Roman"/>
          <w:sz w:val="22"/>
          <w:szCs w:val="22"/>
        </w:rPr>
        <w:t xml:space="preserve"> </w:t>
      </w:r>
      <w:r w:rsidR="0065764D" w:rsidRPr="00D87880">
        <w:rPr>
          <w:rFonts w:ascii="Times New Roman" w:hAnsi="Times New Roman" w:cs="Times New Roman"/>
          <w:sz w:val="22"/>
          <w:szCs w:val="22"/>
        </w:rPr>
        <w:t xml:space="preserve">miss </w:t>
      </w:r>
      <w:r w:rsidRPr="00D87880">
        <w:rPr>
          <w:rFonts w:ascii="Times New Roman" w:hAnsi="Times New Roman" w:cs="Times New Roman"/>
          <w:sz w:val="22"/>
          <w:szCs w:val="22"/>
        </w:rPr>
        <w:t>important changes that are likely to happen in children who are still developing.</w:t>
      </w:r>
      <w:r w:rsidR="00862178" w:rsidRPr="00D87880">
        <w:rPr>
          <w:rFonts w:ascii="Times New Roman" w:hAnsi="Times New Roman" w:cs="Times New Roman"/>
          <w:sz w:val="22"/>
          <w:szCs w:val="22"/>
        </w:rPr>
        <w:t xml:space="preserve"> </w:t>
      </w:r>
      <w:r w:rsidR="0065764D" w:rsidRPr="00D87880">
        <w:rPr>
          <w:rFonts w:ascii="Times New Roman" w:hAnsi="Times New Roman" w:cs="Times New Roman"/>
          <w:sz w:val="22"/>
          <w:szCs w:val="22"/>
        </w:rPr>
        <w:t>In addition, w</w:t>
      </w:r>
      <w:r w:rsidRPr="00D87880">
        <w:rPr>
          <w:rFonts w:ascii="Times New Roman" w:hAnsi="Times New Roman" w:cs="Times New Roman"/>
          <w:sz w:val="22"/>
          <w:szCs w:val="22"/>
        </w:rPr>
        <w:t>hether improvement is sustained is important to demonstrate</w:t>
      </w:r>
      <w:r w:rsidRPr="00C26507">
        <w:rPr>
          <w:rFonts w:ascii="Times New Roman" w:hAnsi="Times New Roman" w:cs="Times New Roman"/>
          <w:sz w:val="22"/>
          <w:szCs w:val="22"/>
        </w:rPr>
        <w:t xml:space="preserve">. Assessing outcomes at 6 and 12 months allows </w:t>
      </w:r>
      <w:r w:rsidR="003B0440" w:rsidRPr="00C26507">
        <w:rPr>
          <w:rFonts w:ascii="Times New Roman" w:hAnsi="Times New Roman" w:cs="Times New Roman"/>
          <w:sz w:val="22"/>
          <w:szCs w:val="22"/>
        </w:rPr>
        <w:t>us to</w:t>
      </w:r>
      <w:r w:rsidRPr="00C26507">
        <w:rPr>
          <w:rFonts w:ascii="Times New Roman" w:hAnsi="Times New Roman" w:cs="Times New Roman"/>
          <w:sz w:val="22"/>
          <w:szCs w:val="22"/>
        </w:rPr>
        <w:t xml:space="preserve"> </w:t>
      </w:r>
      <w:r w:rsidR="005B5E47">
        <w:rPr>
          <w:rFonts w:ascii="Times New Roman" w:hAnsi="Times New Roman" w:cs="Times New Roman"/>
          <w:sz w:val="22"/>
          <w:szCs w:val="22"/>
        </w:rPr>
        <w:t>understand</w:t>
      </w:r>
      <w:r w:rsidR="005B5E47" w:rsidRPr="00C26507">
        <w:rPr>
          <w:rFonts w:ascii="Times New Roman" w:hAnsi="Times New Roman" w:cs="Times New Roman"/>
          <w:sz w:val="22"/>
          <w:szCs w:val="22"/>
        </w:rPr>
        <w:t xml:space="preserve"> </w:t>
      </w:r>
      <w:r w:rsidRPr="00C26507">
        <w:rPr>
          <w:rFonts w:ascii="Times New Roman" w:hAnsi="Times New Roman" w:cs="Times New Roman"/>
          <w:sz w:val="22"/>
          <w:szCs w:val="22"/>
        </w:rPr>
        <w:t>the course of improvement over time</w:t>
      </w:r>
      <w:r w:rsidR="00093587">
        <w:rPr>
          <w:rFonts w:ascii="Times New Roman" w:hAnsi="Times New Roman" w:cs="Times New Roman"/>
          <w:sz w:val="22"/>
          <w:szCs w:val="22"/>
        </w:rPr>
        <w:t xml:space="preserve">, and documenting such improvement (if evident) is important to demonstrating the effectiveness of the grant program. </w:t>
      </w:r>
    </w:p>
    <w:p w14:paraId="6066E075" w14:textId="26A168FB" w:rsidR="00D52570" w:rsidRPr="00D87880" w:rsidRDefault="00D52570" w:rsidP="00C227F6">
      <w:pPr>
        <w:tabs>
          <w:tab w:val="left" w:pos="-1440"/>
        </w:tabs>
        <w:spacing w:line="240" w:lineRule="auto"/>
        <w:rPr>
          <w:rFonts w:ascii="Times New Roman" w:hAnsi="Times New Roman" w:cs="Times New Roman"/>
          <w:sz w:val="22"/>
          <w:szCs w:val="22"/>
        </w:rPr>
      </w:pPr>
      <w:r w:rsidRPr="00C26507">
        <w:rPr>
          <w:rFonts w:ascii="Times New Roman" w:hAnsi="Times New Roman" w:cs="Times New Roman"/>
          <w:sz w:val="22"/>
          <w:szCs w:val="22"/>
        </w:rPr>
        <w:t>The NET will request GIS data quarterly</w:t>
      </w:r>
      <w:r w:rsidR="00134432">
        <w:rPr>
          <w:rFonts w:ascii="Times New Roman" w:hAnsi="Times New Roman" w:cs="Times New Roman"/>
          <w:sz w:val="22"/>
          <w:szCs w:val="22"/>
        </w:rPr>
        <w:t xml:space="preserve"> for jurisdiction and local system level implementation and planning events</w:t>
      </w:r>
      <w:r w:rsidRPr="00C26507">
        <w:rPr>
          <w:rFonts w:ascii="Times New Roman" w:hAnsi="Times New Roman" w:cs="Times New Roman"/>
          <w:sz w:val="22"/>
          <w:szCs w:val="22"/>
        </w:rPr>
        <w:t xml:space="preserve">. However, because these GIS data amount to little more than rosters of meeting attendees and their addresses, grantees </w:t>
      </w:r>
      <w:r w:rsidRPr="00C06DEC">
        <w:rPr>
          <w:rFonts w:ascii="Times New Roman" w:hAnsi="Times New Roman" w:cs="Times New Roman"/>
          <w:sz w:val="22"/>
          <w:szCs w:val="22"/>
        </w:rPr>
        <w:t xml:space="preserve">can submit the information </w:t>
      </w:r>
      <w:r w:rsidR="00573209" w:rsidRPr="00C06DEC">
        <w:rPr>
          <w:rFonts w:ascii="Times New Roman" w:hAnsi="Times New Roman" w:cs="Times New Roman"/>
          <w:sz w:val="22"/>
          <w:szCs w:val="22"/>
        </w:rPr>
        <w:t>as the events occur</w:t>
      </w:r>
      <w:r w:rsidRPr="00C06DEC">
        <w:rPr>
          <w:rFonts w:ascii="Times New Roman" w:hAnsi="Times New Roman" w:cs="Times New Roman"/>
          <w:sz w:val="22"/>
          <w:szCs w:val="22"/>
        </w:rPr>
        <w:t xml:space="preserve">,  or </w:t>
      </w:r>
      <w:r w:rsidR="001404E8" w:rsidRPr="00C06DEC">
        <w:rPr>
          <w:rFonts w:ascii="Times New Roman" w:hAnsi="Times New Roman" w:cs="Times New Roman"/>
          <w:sz w:val="22"/>
          <w:szCs w:val="22"/>
        </w:rPr>
        <w:t xml:space="preserve">quarterly whichever is most </w:t>
      </w:r>
      <w:r w:rsidRPr="00C06DEC">
        <w:rPr>
          <w:rFonts w:ascii="Times New Roman" w:hAnsi="Times New Roman" w:cs="Times New Roman"/>
          <w:sz w:val="22"/>
          <w:szCs w:val="22"/>
        </w:rPr>
        <w:t xml:space="preserve"> convenient to them.</w:t>
      </w:r>
      <w:r w:rsidR="003525FB" w:rsidRPr="00C06DEC">
        <w:rPr>
          <w:rFonts w:ascii="Times New Roman" w:hAnsi="Times New Roman" w:cs="Times New Roman"/>
          <w:sz w:val="22"/>
          <w:szCs w:val="22"/>
        </w:rPr>
        <w:t xml:space="preserve">  </w:t>
      </w:r>
      <w:r w:rsidR="00093587" w:rsidRPr="00C06DEC">
        <w:rPr>
          <w:rFonts w:ascii="Times New Roman" w:hAnsi="Times New Roman" w:cs="Times New Roman"/>
          <w:sz w:val="22"/>
          <w:szCs w:val="22"/>
        </w:rPr>
        <w:t xml:space="preserve">This form will be administered more than once to capture meeting information close to when the meeting occurs to ensure more accurate data and for the grantee’s convenience.  In many instances, we expect grantees to indicate that a new meeting has </w:t>
      </w:r>
      <w:r w:rsidR="00093587" w:rsidRPr="00C06DEC">
        <w:rPr>
          <w:rFonts w:ascii="Times New Roman" w:hAnsi="Times New Roman" w:cs="Times New Roman"/>
          <w:i/>
          <w:sz w:val="22"/>
          <w:szCs w:val="22"/>
        </w:rPr>
        <w:t xml:space="preserve">not </w:t>
      </w:r>
      <w:r w:rsidR="00093587" w:rsidRPr="00C06DEC">
        <w:rPr>
          <w:rFonts w:ascii="Times New Roman" w:hAnsi="Times New Roman" w:cs="Times New Roman"/>
          <w:sz w:val="22"/>
          <w:szCs w:val="22"/>
        </w:rPr>
        <w:t xml:space="preserve">taken place there </w:t>
      </w:r>
      <w:r w:rsidR="00C06DEC" w:rsidRPr="00C06DEC">
        <w:rPr>
          <w:rFonts w:ascii="Times New Roman" w:hAnsi="Times New Roman" w:cs="Times New Roman"/>
          <w:sz w:val="22"/>
          <w:szCs w:val="22"/>
        </w:rPr>
        <w:t>will be no data</w:t>
      </w:r>
      <w:r w:rsidR="00093587" w:rsidRPr="00C06DEC">
        <w:rPr>
          <w:rFonts w:ascii="Times New Roman" w:hAnsi="Times New Roman" w:cs="Times New Roman"/>
          <w:sz w:val="22"/>
          <w:szCs w:val="22"/>
        </w:rPr>
        <w:t xml:space="preserve"> to report.</w:t>
      </w:r>
      <w:r w:rsidR="00093587">
        <w:rPr>
          <w:rFonts w:ascii="Times New Roman" w:hAnsi="Times New Roman" w:cs="Times New Roman"/>
          <w:sz w:val="22"/>
          <w:szCs w:val="22"/>
        </w:rPr>
        <w:t xml:space="preserve"> </w:t>
      </w:r>
    </w:p>
    <w:p w14:paraId="08F8109B" w14:textId="77777777" w:rsidR="00B11623" w:rsidRDefault="00B11623" w:rsidP="002A0B04">
      <w:pPr>
        <w:tabs>
          <w:tab w:val="left" w:pos="-1440"/>
        </w:tabs>
        <w:rPr>
          <w:rFonts w:ascii="Times New Roman" w:hAnsi="Times New Roman" w:cs="Times New Roman"/>
          <w:sz w:val="22"/>
          <w:szCs w:val="22"/>
        </w:rPr>
      </w:pPr>
    </w:p>
    <w:p w14:paraId="00AA0982" w14:textId="3E96DA86" w:rsidR="00CE0125" w:rsidRPr="00E16790" w:rsidRDefault="008853AB" w:rsidP="00672E58">
      <w:pPr>
        <w:spacing w:line="240" w:lineRule="auto"/>
        <w:rPr>
          <w:rFonts w:ascii="Times New Roman" w:hAnsi="Times New Roman" w:cs="Times New Roman"/>
          <w:b/>
          <w:sz w:val="22"/>
          <w:szCs w:val="22"/>
        </w:rPr>
      </w:pPr>
      <w:r w:rsidRPr="00E16790">
        <w:rPr>
          <w:rFonts w:ascii="Times New Roman" w:hAnsi="Times New Roman" w:cs="Times New Roman"/>
          <w:b/>
          <w:sz w:val="22"/>
          <w:szCs w:val="22"/>
        </w:rPr>
        <w:t xml:space="preserve">7. </w:t>
      </w:r>
      <w:r w:rsidR="00791037" w:rsidRPr="008853AB">
        <w:rPr>
          <w:rFonts w:ascii="Times New Roman" w:hAnsi="Times New Roman" w:cs="Times New Roman"/>
          <w:b/>
          <w:sz w:val="22"/>
          <w:szCs w:val="22"/>
        </w:rPr>
        <w:t>CONS</w:t>
      </w:r>
      <w:r w:rsidR="00CE0125" w:rsidRPr="008853AB">
        <w:rPr>
          <w:rFonts w:ascii="Times New Roman" w:hAnsi="Times New Roman" w:cs="Times New Roman"/>
          <w:b/>
          <w:sz w:val="22"/>
          <w:szCs w:val="22"/>
        </w:rPr>
        <w:t>ISTENCY WITH GUIDELINES IN 5 CFR 1320.5(</w:t>
      </w:r>
      <w:r w:rsidR="00D76549" w:rsidRPr="008853AB">
        <w:rPr>
          <w:rFonts w:ascii="Times New Roman" w:hAnsi="Times New Roman" w:cs="Times New Roman"/>
          <w:b/>
          <w:sz w:val="22"/>
          <w:szCs w:val="22"/>
        </w:rPr>
        <w:t>d</w:t>
      </w:r>
      <w:r w:rsidR="00CE0125" w:rsidRPr="008853AB">
        <w:rPr>
          <w:rFonts w:ascii="Times New Roman" w:hAnsi="Times New Roman" w:cs="Times New Roman"/>
          <w:b/>
          <w:sz w:val="22"/>
          <w:szCs w:val="22"/>
        </w:rPr>
        <w:t>) (2)</w:t>
      </w:r>
      <w:r w:rsidR="00791037" w:rsidRPr="008853AB">
        <w:rPr>
          <w:rFonts w:ascii="Times New Roman" w:hAnsi="Times New Roman" w:cs="Times New Roman"/>
          <w:b/>
          <w:sz w:val="22"/>
          <w:szCs w:val="22"/>
        </w:rPr>
        <w:t xml:space="preserve"> </w:t>
      </w:r>
    </w:p>
    <w:p w14:paraId="163B6758" w14:textId="77777777" w:rsidR="006F3381" w:rsidRPr="00D87880" w:rsidRDefault="00347D81" w:rsidP="00672E58">
      <w:pPr>
        <w:spacing w:line="240" w:lineRule="auto"/>
        <w:rPr>
          <w:rFonts w:ascii="Times New Roman" w:hAnsi="Times New Roman" w:cs="Times New Roman"/>
          <w:sz w:val="22"/>
          <w:szCs w:val="22"/>
        </w:rPr>
      </w:pPr>
      <w:r w:rsidRPr="00D87880">
        <w:rPr>
          <w:rFonts w:ascii="Times New Roman" w:hAnsi="Times New Roman" w:cs="Times New Roman"/>
          <w:sz w:val="22"/>
          <w:szCs w:val="22"/>
        </w:rPr>
        <w:t>The data collection fully complies with the requirements of 5 CFR 1320.5(d) (2).</w:t>
      </w:r>
    </w:p>
    <w:p w14:paraId="7FF84766" w14:textId="77777777" w:rsidR="00347D81" w:rsidRPr="00D87880" w:rsidRDefault="00347D81" w:rsidP="00672E58">
      <w:pPr>
        <w:spacing w:line="240" w:lineRule="auto"/>
        <w:rPr>
          <w:rFonts w:ascii="Times New Roman" w:hAnsi="Times New Roman" w:cs="Times New Roman"/>
          <w:sz w:val="22"/>
          <w:szCs w:val="22"/>
        </w:rPr>
      </w:pPr>
    </w:p>
    <w:p w14:paraId="72D814BE" w14:textId="77777777" w:rsidR="00CE0125" w:rsidRPr="00D87880" w:rsidRDefault="00FA4EFD" w:rsidP="00672E58">
      <w:pPr>
        <w:spacing w:line="240" w:lineRule="auto"/>
        <w:rPr>
          <w:rFonts w:ascii="Times New Roman" w:hAnsi="Times New Roman" w:cs="Times New Roman"/>
          <w:b/>
          <w:sz w:val="22"/>
          <w:szCs w:val="22"/>
        </w:rPr>
      </w:pPr>
      <w:r w:rsidRPr="00D87880">
        <w:rPr>
          <w:rFonts w:ascii="Times New Roman" w:hAnsi="Times New Roman" w:cs="Times New Roman"/>
          <w:b/>
          <w:sz w:val="22"/>
          <w:szCs w:val="22"/>
        </w:rPr>
        <w:t>8</w:t>
      </w:r>
      <w:r w:rsidR="00791037" w:rsidRPr="00D87880">
        <w:rPr>
          <w:rFonts w:ascii="Times New Roman" w:hAnsi="Times New Roman" w:cs="Times New Roman"/>
          <w:b/>
          <w:sz w:val="22"/>
          <w:szCs w:val="22"/>
        </w:rPr>
        <w:t>. CONSULTATION OUTSIDE THE AGENCY</w:t>
      </w:r>
    </w:p>
    <w:p w14:paraId="3459ED73" w14:textId="35CBCB87" w:rsidR="008D29CB" w:rsidRDefault="008D29CB" w:rsidP="0071638F">
      <w:pPr>
        <w:spacing w:line="240" w:lineRule="auto"/>
        <w:rPr>
          <w:rFonts w:ascii="Times New Roman" w:hAnsi="Times New Roman" w:cs="Times New Roman"/>
          <w:sz w:val="22"/>
          <w:szCs w:val="22"/>
        </w:rPr>
      </w:pPr>
      <w:r>
        <w:rPr>
          <w:rFonts w:ascii="Times New Roman" w:hAnsi="Times New Roman" w:cs="Times New Roman"/>
          <w:sz w:val="22"/>
          <w:szCs w:val="22"/>
        </w:rPr>
        <w:t>The 60</w:t>
      </w:r>
      <w:r w:rsidR="008F0CA3">
        <w:rPr>
          <w:rFonts w:ascii="Times New Roman" w:hAnsi="Times New Roman" w:cs="Times New Roman"/>
          <w:sz w:val="22"/>
          <w:szCs w:val="22"/>
        </w:rPr>
        <w:t>-D</w:t>
      </w:r>
      <w:r>
        <w:rPr>
          <w:rFonts w:ascii="Times New Roman" w:hAnsi="Times New Roman" w:cs="Times New Roman"/>
          <w:sz w:val="22"/>
          <w:szCs w:val="22"/>
        </w:rPr>
        <w:t xml:space="preserve">ay FRN was published on </w:t>
      </w:r>
      <w:r w:rsidR="00815615" w:rsidRPr="008F0CA3">
        <w:rPr>
          <w:rFonts w:ascii="Times New Roman" w:hAnsi="Times New Roman" w:cs="Times New Roman"/>
          <w:sz w:val="22"/>
          <w:szCs w:val="22"/>
        </w:rPr>
        <w:t>October 2</w:t>
      </w:r>
      <w:r w:rsidR="00EE0E92" w:rsidRPr="008F0CA3">
        <w:rPr>
          <w:rFonts w:ascii="Times New Roman" w:hAnsi="Times New Roman" w:cs="Times New Roman"/>
          <w:sz w:val="22"/>
          <w:szCs w:val="22"/>
        </w:rPr>
        <w:t>, 2014 (79 FR</w:t>
      </w:r>
      <w:r w:rsidRPr="008F0CA3">
        <w:rPr>
          <w:rFonts w:ascii="Times New Roman" w:hAnsi="Times New Roman" w:cs="Times New Roman"/>
          <w:sz w:val="22"/>
          <w:szCs w:val="22"/>
        </w:rPr>
        <w:t>N</w:t>
      </w:r>
      <w:r w:rsidR="00EE0E92" w:rsidRPr="008F0CA3">
        <w:rPr>
          <w:rFonts w:ascii="Times New Roman" w:hAnsi="Times New Roman" w:cs="Times New Roman"/>
          <w:sz w:val="22"/>
          <w:szCs w:val="22"/>
        </w:rPr>
        <w:t xml:space="preserve"> </w:t>
      </w:r>
      <w:r w:rsidR="008F0CA3">
        <w:rPr>
          <w:rFonts w:ascii="Times New Roman" w:hAnsi="Times New Roman" w:cs="Times New Roman"/>
          <w:sz w:val="22"/>
          <w:szCs w:val="22"/>
        </w:rPr>
        <w:t>59498</w:t>
      </w:r>
      <w:r w:rsidRPr="008F0CA3">
        <w:rPr>
          <w:rFonts w:ascii="Times New Roman" w:hAnsi="Times New Roman" w:cs="Times New Roman"/>
          <w:sz w:val="22"/>
          <w:szCs w:val="22"/>
        </w:rPr>
        <w:t>).  No Comments were received.</w:t>
      </w:r>
      <w:r w:rsidR="008853AB" w:rsidRPr="008F0CA3">
        <w:rPr>
          <w:rFonts w:ascii="Times New Roman" w:hAnsi="Times New Roman" w:cs="Times New Roman"/>
          <w:sz w:val="22"/>
          <w:szCs w:val="22"/>
        </w:rPr>
        <w:t xml:space="preserve">  </w:t>
      </w:r>
      <w:r w:rsidR="008853AB">
        <w:rPr>
          <w:rFonts w:ascii="Times New Roman" w:hAnsi="Times New Roman" w:cs="Times New Roman"/>
          <w:sz w:val="22"/>
          <w:szCs w:val="22"/>
        </w:rPr>
        <w:t xml:space="preserve"> </w:t>
      </w:r>
    </w:p>
    <w:p w14:paraId="30C6CE7C" w14:textId="0E7C711E" w:rsidR="00971F95" w:rsidRPr="00682353" w:rsidRDefault="00565608" w:rsidP="00585DC4">
      <w:pPr>
        <w:rPr>
          <w:sz w:val="22"/>
          <w:szCs w:val="22"/>
        </w:rPr>
      </w:pPr>
      <w:r w:rsidRPr="00565608">
        <w:rPr>
          <w:rFonts w:ascii="Times New Roman" w:hAnsi="Times New Roman" w:cs="Times New Roman"/>
          <w:sz w:val="22"/>
          <w:szCs w:val="22"/>
        </w:rPr>
        <w:t xml:space="preserve">Both external and internal stakeholders were consulted in the development of these indicators, the data collection methodology, and the associated burden. SAMHSA obtained feedback and consultation regarding the availability of data, methods and frequency of collection, and the appropriateness of data </w:t>
      </w:r>
      <w:r w:rsidRPr="005559B0">
        <w:rPr>
          <w:rFonts w:ascii="Times New Roman" w:hAnsi="Times New Roman" w:cs="Times New Roman"/>
          <w:sz w:val="22"/>
          <w:szCs w:val="22"/>
        </w:rPr>
        <w:t xml:space="preserve">elements. </w:t>
      </w:r>
      <w:r w:rsidR="00BF2F1E" w:rsidRPr="00585DC4">
        <w:rPr>
          <w:rFonts w:ascii="Times New Roman" w:hAnsi="Times New Roman" w:cs="Times New Roman"/>
          <w:sz w:val="22"/>
          <w:szCs w:val="22"/>
        </w:rPr>
        <w:t xml:space="preserve">Section B.5 lists the consultants with their contact information and area of expertise based on which they provided consultation for the relevant evaluation component. </w:t>
      </w:r>
      <w:r w:rsidR="00D77D20" w:rsidRPr="00585DC4">
        <w:rPr>
          <w:rFonts w:ascii="Times New Roman" w:hAnsi="Times New Roman" w:cs="Times New Roman"/>
          <w:sz w:val="22"/>
          <w:szCs w:val="22"/>
        </w:rPr>
        <w:t>More information describing outside consultations follows.</w:t>
      </w:r>
    </w:p>
    <w:p w14:paraId="55EC3BE5" w14:textId="60C024A2" w:rsidR="00700139" w:rsidRPr="005559B0" w:rsidRDefault="00700139" w:rsidP="00971F95">
      <w:pPr>
        <w:pStyle w:val="BodyTextIndent"/>
        <w:widowControl/>
        <w:tabs>
          <w:tab w:val="left" w:pos="-1440"/>
        </w:tabs>
        <w:spacing w:after="120"/>
        <w:ind w:left="0"/>
        <w:rPr>
          <w:sz w:val="22"/>
          <w:szCs w:val="22"/>
        </w:rPr>
      </w:pPr>
      <w:r w:rsidRPr="005559B0">
        <w:rPr>
          <w:rStyle w:val="minorhead"/>
          <w:rFonts w:ascii="Times New Roman" w:hAnsi="Times New Roman" w:cs="Times New Roman"/>
          <w:sz w:val="22"/>
          <w:szCs w:val="22"/>
        </w:rPr>
        <w:t>Federal Consultation</w:t>
      </w:r>
      <w:r w:rsidR="00511D6B" w:rsidRPr="005559B0">
        <w:rPr>
          <w:rStyle w:val="minorhead"/>
          <w:rFonts w:ascii="Times New Roman" w:hAnsi="Times New Roman" w:cs="Times New Roman"/>
          <w:sz w:val="22"/>
          <w:szCs w:val="22"/>
        </w:rPr>
        <w:t>.</w:t>
      </w:r>
      <w:r w:rsidR="00862178" w:rsidRPr="005559B0">
        <w:rPr>
          <w:rStyle w:val="minorhead"/>
          <w:rFonts w:ascii="Times New Roman" w:hAnsi="Times New Roman" w:cs="Times New Roman"/>
          <w:sz w:val="22"/>
          <w:szCs w:val="22"/>
        </w:rPr>
        <w:t xml:space="preserve"> </w:t>
      </w:r>
      <w:r w:rsidRPr="005559B0">
        <w:rPr>
          <w:sz w:val="22"/>
          <w:szCs w:val="22"/>
        </w:rPr>
        <w:t>SAMHSA requires the Center for Substance Abuse Treatment (CSAT)</w:t>
      </w:r>
      <w:r w:rsidR="00AF570F" w:rsidRPr="005559B0">
        <w:rPr>
          <w:sz w:val="22"/>
          <w:szCs w:val="22"/>
        </w:rPr>
        <w:t>,</w:t>
      </w:r>
      <w:r w:rsidRPr="005559B0">
        <w:rPr>
          <w:sz w:val="22"/>
          <w:szCs w:val="22"/>
        </w:rPr>
        <w:t xml:space="preserve"> the Center for Substance Abuse Prevention (CSAP),</w:t>
      </w:r>
      <w:r w:rsidR="00565608" w:rsidRPr="005559B0">
        <w:rPr>
          <w:sz w:val="22"/>
          <w:szCs w:val="22"/>
        </w:rPr>
        <w:t xml:space="preserve"> and </w:t>
      </w:r>
      <w:r w:rsidR="00AF570F" w:rsidRPr="005559B0">
        <w:rPr>
          <w:sz w:val="22"/>
          <w:szCs w:val="22"/>
        </w:rPr>
        <w:t>the Center for Behavioral Health Statistics and Quality (</w:t>
      </w:r>
      <w:r w:rsidR="00565608" w:rsidRPr="005559B0">
        <w:rPr>
          <w:sz w:val="22"/>
          <w:szCs w:val="22"/>
        </w:rPr>
        <w:t>CBHSQ</w:t>
      </w:r>
      <w:r w:rsidR="00AF570F" w:rsidRPr="005559B0">
        <w:rPr>
          <w:sz w:val="22"/>
          <w:szCs w:val="22"/>
        </w:rPr>
        <w:t>)</w:t>
      </w:r>
      <w:r w:rsidRPr="005559B0">
        <w:rPr>
          <w:sz w:val="22"/>
          <w:szCs w:val="22"/>
        </w:rPr>
        <w:t xml:space="preserve"> review of the </w:t>
      </w:r>
      <w:r w:rsidRPr="005559B0">
        <w:rPr>
          <w:i/>
          <w:sz w:val="22"/>
          <w:szCs w:val="22"/>
        </w:rPr>
        <w:t xml:space="preserve">Annual Report to Congress on the Evaluation of the Comprehensive Community </w:t>
      </w:r>
      <w:r w:rsidR="00126D60" w:rsidRPr="005559B0">
        <w:rPr>
          <w:i/>
          <w:sz w:val="22"/>
          <w:szCs w:val="22"/>
        </w:rPr>
        <w:t>MH</w:t>
      </w:r>
      <w:r w:rsidRPr="005559B0">
        <w:rPr>
          <w:i/>
          <w:sz w:val="22"/>
          <w:szCs w:val="22"/>
        </w:rPr>
        <w:t xml:space="preserve"> Services for Children and Their Families Program</w:t>
      </w:r>
      <w:r w:rsidR="001E6FF0" w:rsidRPr="005559B0">
        <w:rPr>
          <w:sz w:val="22"/>
          <w:szCs w:val="22"/>
        </w:rPr>
        <w:t xml:space="preserve">, for which </w:t>
      </w:r>
      <w:r w:rsidR="00A135A3" w:rsidRPr="005559B0">
        <w:rPr>
          <w:sz w:val="22"/>
          <w:szCs w:val="22"/>
        </w:rPr>
        <w:t>the Evaluation</w:t>
      </w:r>
      <w:r w:rsidR="001E6FF0" w:rsidRPr="005559B0">
        <w:rPr>
          <w:sz w:val="22"/>
          <w:szCs w:val="22"/>
        </w:rPr>
        <w:t xml:space="preserve"> must provide a supplemental chapter each year</w:t>
      </w:r>
      <w:r w:rsidRPr="005559B0">
        <w:rPr>
          <w:sz w:val="22"/>
          <w:szCs w:val="22"/>
        </w:rPr>
        <w:t xml:space="preserve">. </w:t>
      </w:r>
    </w:p>
    <w:p w14:paraId="51B4E3E0" w14:textId="02C22180" w:rsidR="008006F0" w:rsidRDefault="00700139" w:rsidP="008006F0">
      <w:pPr>
        <w:tabs>
          <w:tab w:val="left" w:pos="-1440"/>
        </w:tabs>
        <w:spacing w:line="240" w:lineRule="auto"/>
        <w:rPr>
          <w:rStyle w:val="minorhead"/>
          <w:rFonts w:ascii="Times New Roman" w:hAnsi="Times New Roman" w:cs="Times New Roman"/>
          <w:b w:val="0"/>
          <w:sz w:val="22"/>
          <w:szCs w:val="22"/>
        </w:rPr>
      </w:pPr>
      <w:r w:rsidRPr="005559B0">
        <w:rPr>
          <w:rStyle w:val="minorhead"/>
          <w:rFonts w:ascii="Times New Roman" w:hAnsi="Times New Roman" w:cs="Times New Roman"/>
          <w:sz w:val="22"/>
          <w:szCs w:val="22"/>
        </w:rPr>
        <w:t>Expert Consultation</w:t>
      </w:r>
      <w:r w:rsidR="00511D6B" w:rsidRPr="005559B0">
        <w:rPr>
          <w:rStyle w:val="minorhead"/>
          <w:rFonts w:ascii="Times New Roman" w:hAnsi="Times New Roman" w:cs="Times New Roman"/>
          <w:sz w:val="22"/>
          <w:szCs w:val="22"/>
        </w:rPr>
        <w:t>.</w:t>
      </w:r>
      <w:r w:rsidR="00862178" w:rsidRPr="005559B0">
        <w:rPr>
          <w:rStyle w:val="minorhead"/>
          <w:rFonts w:ascii="Times New Roman" w:hAnsi="Times New Roman" w:cs="Times New Roman"/>
          <w:sz w:val="22"/>
          <w:szCs w:val="22"/>
        </w:rPr>
        <w:t xml:space="preserve"> </w:t>
      </w:r>
      <w:r w:rsidR="0071638F" w:rsidRPr="005559B0">
        <w:rPr>
          <w:rStyle w:val="minorhead"/>
          <w:rFonts w:ascii="Times New Roman" w:hAnsi="Times New Roman" w:cs="Times New Roman"/>
          <w:b w:val="0"/>
          <w:sz w:val="22"/>
          <w:szCs w:val="22"/>
        </w:rPr>
        <w:t xml:space="preserve">The </w:t>
      </w:r>
      <w:r w:rsidR="00932D18" w:rsidRPr="005559B0">
        <w:rPr>
          <w:rStyle w:val="minorhead"/>
          <w:rFonts w:ascii="Times New Roman" w:hAnsi="Times New Roman" w:cs="Times New Roman"/>
          <w:b w:val="0"/>
          <w:sz w:val="22"/>
          <w:szCs w:val="22"/>
        </w:rPr>
        <w:t>NET</w:t>
      </w:r>
      <w:r w:rsidR="0071638F" w:rsidRPr="005559B0">
        <w:rPr>
          <w:rStyle w:val="minorhead"/>
          <w:rFonts w:ascii="Times New Roman" w:hAnsi="Times New Roman" w:cs="Times New Roman"/>
          <w:b w:val="0"/>
          <w:sz w:val="22"/>
          <w:szCs w:val="22"/>
        </w:rPr>
        <w:t xml:space="preserve"> includes and has consultation agreements with experts in areas relevant to </w:t>
      </w:r>
      <w:r w:rsidR="00A135A3" w:rsidRPr="005559B0">
        <w:rPr>
          <w:rStyle w:val="minorhead"/>
          <w:rFonts w:ascii="Times New Roman" w:hAnsi="Times New Roman" w:cs="Times New Roman"/>
          <w:b w:val="0"/>
          <w:sz w:val="22"/>
          <w:szCs w:val="22"/>
        </w:rPr>
        <w:t>the Evaluation</w:t>
      </w:r>
      <w:r w:rsidR="00D21560" w:rsidRPr="005559B0">
        <w:rPr>
          <w:rStyle w:val="minorhead"/>
          <w:rFonts w:ascii="Times New Roman" w:hAnsi="Times New Roman" w:cs="Times New Roman"/>
          <w:b w:val="0"/>
          <w:sz w:val="22"/>
          <w:szCs w:val="22"/>
        </w:rPr>
        <w:t xml:space="preserve">, including child </w:t>
      </w:r>
      <w:r w:rsidR="00126D60" w:rsidRPr="005559B0">
        <w:rPr>
          <w:rStyle w:val="minorhead"/>
          <w:rFonts w:ascii="Times New Roman" w:hAnsi="Times New Roman" w:cs="Times New Roman"/>
          <w:b w:val="0"/>
          <w:sz w:val="22"/>
          <w:szCs w:val="22"/>
        </w:rPr>
        <w:t>MH</w:t>
      </w:r>
      <w:r w:rsidR="00D21560" w:rsidRPr="005559B0">
        <w:rPr>
          <w:rStyle w:val="minorhead"/>
          <w:rFonts w:ascii="Times New Roman" w:hAnsi="Times New Roman" w:cs="Times New Roman"/>
          <w:b w:val="0"/>
          <w:sz w:val="22"/>
          <w:szCs w:val="22"/>
        </w:rPr>
        <w:t xml:space="preserve"> services research, child and family psychology, SOC</w:t>
      </w:r>
      <w:r w:rsidR="00434155" w:rsidRPr="005559B0">
        <w:rPr>
          <w:rStyle w:val="minorhead"/>
          <w:rFonts w:ascii="Times New Roman" w:hAnsi="Times New Roman" w:cs="Times New Roman"/>
          <w:b w:val="0"/>
          <w:sz w:val="22"/>
          <w:szCs w:val="22"/>
        </w:rPr>
        <w:t>s</w:t>
      </w:r>
      <w:r w:rsidR="00D21560" w:rsidRPr="005559B0">
        <w:rPr>
          <w:rStyle w:val="minorhead"/>
          <w:rFonts w:ascii="Times New Roman" w:hAnsi="Times New Roman" w:cs="Times New Roman"/>
          <w:b w:val="0"/>
          <w:sz w:val="22"/>
          <w:szCs w:val="22"/>
        </w:rPr>
        <w:t xml:space="preserve">, program evaluation, measurement, quantitative and qualitative analysis, </w:t>
      </w:r>
      <w:r w:rsidR="003A0A95" w:rsidRPr="005559B0">
        <w:rPr>
          <w:rStyle w:val="minorhead"/>
          <w:rFonts w:ascii="Times New Roman" w:hAnsi="Times New Roman" w:cs="Times New Roman"/>
          <w:b w:val="0"/>
          <w:sz w:val="22"/>
          <w:szCs w:val="22"/>
        </w:rPr>
        <w:t xml:space="preserve">economics, </w:t>
      </w:r>
      <w:r w:rsidR="00D35483" w:rsidRPr="005559B0">
        <w:rPr>
          <w:rStyle w:val="minorhead"/>
          <w:rFonts w:ascii="Times New Roman" w:hAnsi="Times New Roman" w:cs="Times New Roman"/>
          <w:b w:val="0"/>
          <w:sz w:val="22"/>
          <w:szCs w:val="22"/>
        </w:rPr>
        <w:t>web</w:t>
      </w:r>
      <w:r w:rsidR="00D21560" w:rsidRPr="005559B0">
        <w:rPr>
          <w:rStyle w:val="minorhead"/>
          <w:rFonts w:ascii="Times New Roman" w:hAnsi="Times New Roman" w:cs="Times New Roman"/>
          <w:b w:val="0"/>
          <w:sz w:val="22"/>
          <w:szCs w:val="22"/>
        </w:rPr>
        <w:t xml:space="preserve"> site development and usability testing, and research within Native American communities.</w:t>
      </w:r>
      <w:r w:rsidR="00862178" w:rsidRPr="005559B0">
        <w:rPr>
          <w:rStyle w:val="minorhead"/>
          <w:rFonts w:ascii="Times New Roman" w:hAnsi="Times New Roman" w:cs="Times New Roman"/>
          <w:b w:val="0"/>
          <w:sz w:val="22"/>
          <w:szCs w:val="22"/>
        </w:rPr>
        <w:t xml:space="preserve"> </w:t>
      </w:r>
      <w:r w:rsidR="00D21560" w:rsidRPr="005559B0">
        <w:rPr>
          <w:rStyle w:val="minorhead"/>
          <w:rFonts w:ascii="Times New Roman" w:hAnsi="Times New Roman" w:cs="Times New Roman"/>
          <w:b w:val="0"/>
          <w:sz w:val="22"/>
          <w:szCs w:val="22"/>
        </w:rPr>
        <w:t xml:space="preserve">In addition, </w:t>
      </w:r>
      <w:r w:rsidR="00CD793E" w:rsidRPr="005559B0">
        <w:rPr>
          <w:rStyle w:val="minorhead"/>
          <w:rFonts w:ascii="Times New Roman" w:hAnsi="Times New Roman" w:cs="Times New Roman"/>
          <w:b w:val="0"/>
          <w:sz w:val="22"/>
          <w:szCs w:val="22"/>
        </w:rPr>
        <w:t xml:space="preserve">the evaluation </w:t>
      </w:r>
      <w:r w:rsidR="00D21560" w:rsidRPr="005559B0">
        <w:rPr>
          <w:rStyle w:val="minorhead"/>
          <w:rFonts w:ascii="Times New Roman" w:hAnsi="Times New Roman" w:cs="Times New Roman"/>
          <w:b w:val="0"/>
          <w:sz w:val="22"/>
          <w:szCs w:val="22"/>
        </w:rPr>
        <w:t xml:space="preserve">team includes individuals who were involved with </w:t>
      </w:r>
      <w:r w:rsidR="00A135A3" w:rsidRPr="005559B0">
        <w:rPr>
          <w:rStyle w:val="minorhead"/>
          <w:rFonts w:ascii="Times New Roman" w:hAnsi="Times New Roman" w:cs="Times New Roman"/>
          <w:b w:val="0"/>
          <w:sz w:val="22"/>
          <w:szCs w:val="22"/>
        </w:rPr>
        <w:t>prior National Evaluation</w:t>
      </w:r>
      <w:r w:rsidR="00D21560" w:rsidRPr="005559B0">
        <w:rPr>
          <w:rStyle w:val="minorhead"/>
          <w:rFonts w:ascii="Times New Roman" w:hAnsi="Times New Roman" w:cs="Times New Roman"/>
          <w:b w:val="0"/>
          <w:sz w:val="22"/>
          <w:szCs w:val="22"/>
        </w:rPr>
        <w:t xml:space="preserve"> of CMHI</w:t>
      </w:r>
      <w:r w:rsidR="00386F7F" w:rsidRPr="005559B0">
        <w:rPr>
          <w:rStyle w:val="minorhead"/>
          <w:rFonts w:ascii="Times New Roman" w:hAnsi="Times New Roman" w:cs="Times New Roman"/>
          <w:b w:val="0"/>
          <w:sz w:val="22"/>
          <w:szCs w:val="22"/>
        </w:rPr>
        <w:t xml:space="preserve"> and </w:t>
      </w:r>
      <w:r w:rsidR="00AC4E2E">
        <w:rPr>
          <w:rStyle w:val="minorhead"/>
          <w:rFonts w:ascii="Times New Roman" w:hAnsi="Times New Roman" w:cs="Times New Roman"/>
          <w:b w:val="0"/>
          <w:sz w:val="22"/>
          <w:szCs w:val="22"/>
        </w:rPr>
        <w:t xml:space="preserve">prior </w:t>
      </w:r>
      <w:r w:rsidR="00037E9F">
        <w:rPr>
          <w:rStyle w:val="minorhead"/>
          <w:rFonts w:ascii="Times New Roman" w:hAnsi="Times New Roman" w:cs="Times New Roman"/>
          <w:b w:val="0"/>
          <w:sz w:val="22"/>
          <w:szCs w:val="22"/>
        </w:rPr>
        <w:t>collection of GPRA data</w:t>
      </w:r>
      <w:r w:rsidR="00B67B0E">
        <w:rPr>
          <w:rStyle w:val="minorhead"/>
          <w:rFonts w:ascii="Times New Roman" w:hAnsi="Times New Roman" w:cs="Times New Roman"/>
          <w:b w:val="0"/>
          <w:sz w:val="22"/>
          <w:szCs w:val="22"/>
        </w:rPr>
        <w:t>.</w:t>
      </w:r>
    </w:p>
    <w:p w14:paraId="1CDA3260" w14:textId="7A265696" w:rsidR="001B2159" w:rsidRDefault="00E76AF9" w:rsidP="00BC2C84">
      <w:pPr>
        <w:spacing w:line="240" w:lineRule="auto"/>
        <w:ind w:right="132"/>
        <w:rPr>
          <w:rFonts w:ascii="Times New Roman" w:hAnsi="Times New Roman" w:cs="Times New Roman"/>
          <w:sz w:val="22"/>
          <w:szCs w:val="22"/>
        </w:rPr>
      </w:pPr>
      <w:r w:rsidRPr="00D87880">
        <w:rPr>
          <w:rStyle w:val="minorhead"/>
          <w:rFonts w:ascii="Times New Roman" w:hAnsi="Times New Roman" w:cs="Times New Roman"/>
          <w:sz w:val="22"/>
          <w:szCs w:val="22"/>
        </w:rPr>
        <w:t>Grantee</w:t>
      </w:r>
      <w:r w:rsidR="00700139" w:rsidRPr="00D87880">
        <w:rPr>
          <w:rStyle w:val="minorhead"/>
          <w:rFonts w:ascii="Times New Roman" w:hAnsi="Times New Roman" w:cs="Times New Roman"/>
          <w:sz w:val="22"/>
          <w:szCs w:val="22"/>
        </w:rPr>
        <w:t xml:space="preserve"> Consultation</w:t>
      </w:r>
      <w:r w:rsidR="00511D6B" w:rsidRPr="00D87880">
        <w:rPr>
          <w:rStyle w:val="minorhead"/>
          <w:rFonts w:ascii="Times New Roman" w:hAnsi="Times New Roman" w:cs="Times New Roman"/>
          <w:sz w:val="22"/>
          <w:szCs w:val="22"/>
        </w:rPr>
        <w:t>.</w:t>
      </w:r>
      <w:r w:rsidR="00862178" w:rsidRPr="00D87880">
        <w:rPr>
          <w:rStyle w:val="minorhead"/>
          <w:rFonts w:ascii="Times New Roman" w:hAnsi="Times New Roman" w:cs="Times New Roman"/>
          <w:sz w:val="22"/>
          <w:szCs w:val="22"/>
        </w:rPr>
        <w:t xml:space="preserve"> </w:t>
      </w:r>
      <w:r w:rsidR="00700139" w:rsidRPr="00D87880">
        <w:rPr>
          <w:rFonts w:ascii="Times New Roman" w:hAnsi="Times New Roman" w:cs="Times New Roman"/>
          <w:sz w:val="22"/>
          <w:szCs w:val="22"/>
        </w:rPr>
        <w:t>Previously funded grantees have provide</w:t>
      </w:r>
      <w:r w:rsidR="00FC27F4" w:rsidRPr="00D87880">
        <w:rPr>
          <w:rFonts w:ascii="Times New Roman" w:hAnsi="Times New Roman" w:cs="Times New Roman"/>
          <w:sz w:val="22"/>
          <w:szCs w:val="22"/>
        </w:rPr>
        <w:t>d</w:t>
      </w:r>
      <w:r w:rsidR="00700139" w:rsidRPr="00D87880">
        <w:rPr>
          <w:rFonts w:ascii="Times New Roman" w:hAnsi="Times New Roman" w:cs="Times New Roman"/>
          <w:sz w:val="22"/>
          <w:szCs w:val="22"/>
        </w:rPr>
        <w:t xml:space="preserve"> input for </w:t>
      </w:r>
      <w:r w:rsidR="00A135A3" w:rsidRPr="00D87880">
        <w:rPr>
          <w:rFonts w:ascii="Times New Roman" w:hAnsi="Times New Roman" w:cs="Times New Roman"/>
          <w:sz w:val="22"/>
          <w:szCs w:val="22"/>
        </w:rPr>
        <w:t>the Evaluation</w:t>
      </w:r>
      <w:r w:rsidR="00700139" w:rsidRPr="00D87880">
        <w:rPr>
          <w:rFonts w:ascii="Times New Roman" w:hAnsi="Times New Roman" w:cs="Times New Roman"/>
          <w:sz w:val="22"/>
          <w:szCs w:val="22"/>
        </w:rPr>
        <w:t xml:space="preserve">. </w:t>
      </w:r>
      <w:r w:rsidR="00FC27F4" w:rsidRPr="00D87880">
        <w:rPr>
          <w:rFonts w:ascii="Times New Roman" w:hAnsi="Times New Roman" w:cs="Times New Roman"/>
          <w:sz w:val="22"/>
          <w:szCs w:val="22"/>
        </w:rPr>
        <w:t xml:space="preserve">Grantees </w:t>
      </w:r>
      <w:r w:rsidR="00434155">
        <w:rPr>
          <w:rFonts w:ascii="Times New Roman" w:hAnsi="Times New Roman" w:cs="Times New Roman"/>
          <w:sz w:val="22"/>
          <w:szCs w:val="22"/>
        </w:rPr>
        <w:t>we</w:t>
      </w:r>
      <w:r w:rsidR="00FC27F4" w:rsidRPr="00176B09">
        <w:rPr>
          <w:rFonts w:ascii="Times New Roman" w:hAnsi="Times New Roman" w:cs="Times New Roman"/>
          <w:sz w:val="22"/>
          <w:szCs w:val="22"/>
        </w:rPr>
        <w:t>re involved in the pilot</w:t>
      </w:r>
      <w:r w:rsidR="00434155">
        <w:rPr>
          <w:rFonts w:ascii="Times New Roman" w:hAnsi="Times New Roman" w:cs="Times New Roman"/>
          <w:sz w:val="22"/>
          <w:szCs w:val="22"/>
        </w:rPr>
        <w:t>-</w:t>
      </w:r>
      <w:r w:rsidR="00FC27F4" w:rsidRPr="00176B09">
        <w:rPr>
          <w:rFonts w:ascii="Times New Roman" w:hAnsi="Times New Roman" w:cs="Times New Roman"/>
          <w:sz w:val="22"/>
          <w:szCs w:val="22"/>
        </w:rPr>
        <w:t>testing of</w:t>
      </w:r>
      <w:r w:rsidR="00511D6B" w:rsidRPr="00176B09">
        <w:rPr>
          <w:rFonts w:ascii="Times New Roman" w:hAnsi="Times New Roman" w:cs="Times New Roman"/>
          <w:sz w:val="22"/>
          <w:szCs w:val="22"/>
        </w:rPr>
        <w:t xml:space="preserve"> </w:t>
      </w:r>
      <w:r w:rsidR="0086425C" w:rsidRPr="00176B09">
        <w:rPr>
          <w:rFonts w:ascii="Times New Roman" w:hAnsi="Times New Roman" w:cs="Times New Roman"/>
          <w:sz w:val="22"/>
          <w:szCs w:val="22"/>
        </w:rPr>
        <w:t xml:space="preserve">the </w:t>
      </w:r>
      <w:r w:rsidR="0077206D">
        <w:rPr>
          <w:rFonts w:ascii="Times New Roman" w:hAnsi="Times New Roman" w:cs="Times New Roman"/>
          <w:sz w:val="22"/>
          <w:szCs w:val="22"/>
        </w:rPr>
        <w:t>Stakeholder interviews</w:t>
      </w:r>
      <w:r w:rsidR="001B3B3E" w:rsidRPr="00176B09">
        <w:rPr>
          <w:rFonts w:ascii="Times New Roman" w:hAnsi="Times New Roman" w:cs="Times New Roman"/>
          <w:sz w:val="22"/>
          <w:szCs w:val="22"/>
        </w:rPr>
        <w:t xml:space="preserve">, </w:t>
      </w:r>
      <w:r w:rsidR="00CD3362">
        <w:rPr>
          <w:rFonts w:ascii="Times New Roman" w:hAnsi="Times New Roman" w:cs="Times New Roman"/>
          <w:sz w:val="22"/>
          <w:szCs w:val="22"/>
        </w:rPr>
        <w:t>SAIS</w:t>
      </w:r>
      <w:r w:rsidR="001B3B3E" w:rsidRPr="00176B09">
        <w:rPr>
          <w:rFonts w:ascii="Times New Roman" w:hAnsi="Times New Roman" w:cs="Times New Roman"/>
          <w:sz w:val="22"/>
          <w:szCs w:val="22"/>
        </w:rPr>
        <w:t xml:space="preserve">, </w:t>
      </w:r>
      <w:r w:rsidR="006A2A47" w:rsidRPr="00176B09">
        <w:rPr>
          <w:rFonts w:ascii="Times New Roman" w:hAnsi="Times New Roman" w:cs="Times New Roman"/>
          <w:sz w:val="22"/>
          <w:szCs w:val="22"/>
        </w:rPr>
        <w:t>Network Analysis Survey</w:t>
      </w:r>
      <w:r w:rsidR="00176B09" w:rsidRPr="00176B09">
        <w:rPr>
          <w:rFonts w:ascii="Times New Roman" w:hAnsi="Times New Roman" w:cs="Times New Roman"/>
          <w:sz w:val="22"/>
          <w:szCs w:val="22"/>
        </w:rPr>
        <w:t>s</w:t>
      </w:r>
      <w:r w:rsidR="00176B09" w:rsidRPr="00AF570F">
        <w:rPr>
          <w:rFonts w:ascii="Times New Roman" w:hAnsi="Times New Roman" w:cs="Times New Roman"/>
          <w:sz w:val="22"/>
          <w:szCs w:val="22"/>
        </w:rPr>
        <w:t xml:space="preserve">, </w:t>
      </w:r>
      <w:r w:rsidR="001B3B3E" w:rsidRPr="00AF570F">
        <w:rPr>
          <w:rFonts w:ascii="Times New Roman" w:hAnsi="Times New Roman" w:cs="Times New Roman"/>
          <w:sz w:val="22"/>
          <w:szCs w:val="22"/>
        </w:rPr>
        <w:t xml:space="preserve">the </w:t>
      </w:r>
      <w:r w:rsidR="00783390" w:rsidRPr="00BC2C84">
        <w:rPr>
          <w:rFonts w:ascii="Times New Roman" w:eastAsia="Calibri" w:hAnsi="Times New Roman" w:cs="Times New Roman"/>
          <w:sz w:val="22"/>
          <w:szCs w:val="22"/>
        </w:rPr>
        <w:t xml:space="preserve">System of Care Expansion Assessment </w:t>
      </w:r>
      <w:r w:rsidR="00783390" w:rsidRPr="00AF570F">
        <w:rPr>
          <w:rFonts w:ascii="Times New Roman" w:hAnsi="Times New Roman" w:cs="Times New Roman"/>
          <w:sz w:val="22"/>
          <w:szCs w:val="22"/>
        </w:rPr>
        <w:t>(</w:t>
      </w:r>
      <w:r w:rsidR="001B3B3E" w:rsidRPr="00AF570F">
        <w:rPr>
          <w:rFonts w:ascii="Times New Roman" w:hAnsi="Times New Roman" w:cs="Times New Roman"/>
          <w:sz w:val="22"/>
          <w:szCs w:val="22"/>
        </w:rPr>
        <w:t>SOCEA</w:t>
      </w:r>
      <w:r w:rsidR="00783390">
        <w:rPr>
          <w:rFonts w:ascii="Times New Roman" w:hAnsi="Times New Roman" w:cs="Times New Roman"/>
          <w:sz w:val="22"/>
          <w:szCs w:val="22"/>
        </w:rPr>
        <w:t>)</w:t>
      </w:r>
      <w:r w:rsidR="00DA27D8" w:rsidRPr="00176B09">
        <w:rPr>
          <w:rFonts w:ascii="Times New Roman" w:hAnsi="Times New Roman" w:cs="Times New Roman"/>
          <w:sz w:val="22"/>
          <w:szCs w:val="22"/>
        </w:rPr>
        <w:t>,</w:t>
      </w:r>
      <w:r w:rsidR="00176B09" w:rsidRPr="00176B09">
        <w:rPr>
          <w:rFonts w:ascii="Times New Roman" w:hAnsi="Times New Roman" w:cs="Times New Roman"/>
          <w:sz w:val="22"/>
          <w:szCs w:val="22"/>
        </w:rPr>
        <w:t xml:space="preserve"> and the Financial Mapping</w:t>
      </w:r>
      <w:r w:rsidR="00DA27D8" w:rsidRPr="00176B09">
        <w:rPr>
          <w:rFonts w:ascii="Times New Roman" w:hAnsi="Times New Roman" w:cs="Times New Roman"/>
          <w:sz w:val="22"/>
          <w:szCs w:val="22"/>
        </w:rPr>
        <w:t xml:space="preserve"> as </w:t>
      </w:r>
      <w:r w:rsidR="00DA27D8" w:rsidRPr="008D7D57">
        <w:rPr>
          <w:rFonts w:ascii="Times New Roman" w:hAnsi="Times New Roman" w:cs="Times New Roman"/>
          <w:sz w:val="22"/>
          <w:szCs w:val="22"/>
        </w:rPr>
        <w:t>described in Section B4</w:t>
      </w:r>
      <w:r w:rsidR="0086425C" w:rsidRPr="008D7D57">
        <w:rPr>
          <w:rFonts w:ascii="Times New Roman" w:hAnsi="Times New Roman" w:cs="Times New Roman"/>
          <w:sz w:val="22"/>
          <w:szCs w:val="22"/>
        </w:rPr>
        <w:t>.</w:t>
      </w:r>
      <w:r w:rsidR="00862178" w:rsidRPr="008D7D57">
        <w:rPr>
          <w:rFonts w:ascii="Times New Roman" w:hAnsi="Times New Roman" w:cs="Times New Roman"/>
          <w:sz w:val="22"/>
          <w:szCs w:val="22"/>
        </w:rPr>
        <w:t xml:space="preserve"> </w:t>
      </w:r>
      <w:r w:rsidR="00700139" w:rsidRPr="008D7D57">
        <w:rPr>
          <w:rFonts w:ascii="Times New Roman" w:hAnsi="Times New Roman" w:cs="Times New Roman"/>
          <w:sz w:val="22"/>
          <w:szCs w:val="22"/>
        </w:rPr>
        <w:t xml:space="preserve">Additional input </w:t>
      </w:r>
      <w:r w:rsidR="00511D6B" w:rsidRPr="008D7D57">
        <w:rPr>
          <w:rFonts w:ascii="Times New Roman" w:hAnsi="Times New Roman" w:cs="Times New Roman"/>
          <w:sz w:val="22"/>
          <w:szCs w:val="22"/>
        </w:rPr>
        <w:t xml:space="preserve">regarding evaluation processes and data utilization will be sought </w:t>
      </w:r>
      <w:r w:rsidR="00700139" w:rsidRPr="008D7D57">
        <w:rPr>
          <w:rFonts w:ascii="Times New Roman" w:hAnsi="Times New Roman" w:cs="Times New Roman"/>
          <w:sz w:val="22"/>
          <w:szCs w:val="22"/>
        </w:rPr>
        <w:t>fr</w:t>
      </w:r>
      <w:r w:rsidR="00700139" w:rsidRPr="00D87880">
        <w:rPr>
          <w:rFonts w:ascii="Times New Roman" w:hAnsi="Times New Roman" w:cs="Times New Roman"/>
          <w:sz w:val="22"/>
          <w:szCs w:val="22"/>
        </w:rPr>
        <w:t xml:space="preserve">om grantees </w:t>
      </w:r>
      <w:r w:rsidR="00FC27F4" w:rsidRPr="00D87880">
        <w:rPr>
          <w:rFonts w:ascii="Times New Roman" w:hAnsi="Times New Roman" w:cs="Times New Roman"/>
          <w:sz w:val="22"/>
          <w:szCs w:val="22"/>
        </w:rPr>
        <w:t xml:space="preserve">through conference calls with the </w:t>
      </w:r>
      <w:r w:rsidR="00932D18" w:rsidRPr="00D87880">
        <w:rPr>
          <w:rFonts w:ascii="Times New Roman" w:hAnsi="Times New Roman" w:cs="Times New Roman"/>
          <w:sz w:val="22"/>
          <w:szCs w:val="22"/>
        </w:rPr>
        <w:t>NET</w:t>
      </w:r>
      <w:r w:rsidR="00FC27F4" w:rsidRPr="00D87880">
        <w:rPr>
          <w:rFonts w:ascii="Times New Roman" w:hAnsi="Times New Roman" w:cs="Times New Roman"/>
          <w:sz w:val="22"/>
          <w:szCs w:val="22"/>
        </w:rPr>
        <w:t xml:space="preserve"> and </w:t>
      </w:r>
      <w:r w:rsidR="00511D6B" w:rsidRPr="00D87880">
        <w:rPr>
          <w:rFonts w:ascii="Times New Roman" w:hAnsi="Times New Roman" w:cs="Times New Roman"/>
          <w:sz w:val="22"/>
          <w:szCs w:val="22"/>
        </w:rPr>
        <w:t>regular contacts with individual</w:t>
      </w:r>
      <w:r w:rsidR="00FC27F4" w:rsidRPr="00D87880">
        <w:rPr>
          <w:rFonts w:ascii="Times New Roman" w:hAnsi="Times New Roman" w:cs="Times New Roman"/>
          <w:sz w:val="22"/>
          <w:szCs w:val="22"/>
        </w:rPr>
        <w:t xml:space="preserve"> site liaisons</w:t>
      </w:r>
      <w:r w:rsidR="00700139" w:rsidRPr="00D87880">
        <w:rPr>
          <w:rFonts w:ascii="Times New Roman" w:hAnsi="Times New Roman" w:cs="Times New Roman"/>
          <w:sz w:val="22"/>
          <w:szCs w:val="22"/>
        </w:rPr>
        <w:t xml:space="preserve">. </w:t>
      </w:r>
    </w:p>
    <w:p w14:paraId="78EF53B3" w14:textId="79CB5A59" w:rsidR="00700139" w:rsidRDefault="00511D6B" w:rsidP="001B2159">
      <w:pPr>
        <w:tabs>
          <w:tab w:val="left" w:pos="-1440"/>
        </w:tabs>
        <w:spacing w:line="240" w:lineRule="auto"/>
        <w:rPr>
          <w:rFonts w:ascii="Times New Roman" w:hAnsi="Times New Roman" w:cs="Times New Roman"/>
          <w:sz w:val="22"/>
          <w:szCs w:val="22"/>
        </w:rPr>
      </w:pPr>
      <w:r w:rsidRPr="00D87880">
        <w:rPr>
          <w:rStyle w:val="minorhead"/>
          <w:rFonts w:ascii="Times New Roman" w:hAnsi="Times New Roman" w:cs="Times New Roman"/>
          <w:sz w:val="22"/>
          <w:szCs w:val="22"/>
        </w:rPr>
        <w:t xml:space="preserve">Youth and </w:t>
      </w:r>
      <w:r w:rsidR="00700139" w:rsidRPr="00D87880">
        <w:rPr>
          <w:rStyle w:val="minorhead"/>
          <w:rFonts w:ascii="Times New Roman" w:hAnsi="Times New Roman" w:cs="Times New Roman"/>
          <w:sz w:val="22"/>
          <w:szCs w:val="22"/>
        </w:rPr>
        <w:t>Family Consultation</w:t>
      </w:r>
      <w:r w:rsidRPr="00D87880">
        <w:rPr>
          <w:rStyle w:val="minorhead"/>
          <w:rFonts w:ascii="Times New Roman" w:hAnsi="Times New Roman" w:cs="Times New Roman"/>
          <w:sz w:val="22"/>
          <w:szCs w:val="22"/>
        </w:rPr>
        <w:t>.</w:t>
      </w:r>
      <w:r w:rsidR="00862178" w:rsidRPr="00D87880">
        <w:rPr>
          <w:rStyle w:val="minorhead"/>
          <w:rFonts w:ascii="Times New Roman" w:hAnsi="Times New Roman" w:cs="Times New Roman"/>
          <w:sz w:val="22"/>
          <w:szCs w:val="22"/>
        </w:rPr>
        <w:t xml:space="preserve"> </w:t>
      </w:r>
      <w:r w:rsidR="00A03CF0" w:rsidRPr="00D87880">
        <w:rPr>
          <w:rFonts w:ascii="Times New Roman" w:hAnsi="Times New Roman" w:cs="Times New Roman"/>
          <w:sz w:val="22"/>
          <w:szCs w:val="22"/>
        </w:rPr>
        <w:t xml:space="preserve">The National Federation of Families forms an integral part of the </w:t>
      </w:r>
      <w:r w:rsidR="00932D18" w:rsidRPr="00D87880">
        <w:rPr>
          <w:rFonts w:ascii="Times New Roman" w:hAnsi="Times New Roman" w:cs="Times New Roman"/>
          <w:sz w:val="22"/>
          <w:szCs w:val="22"/>
        </w:rPr>
        <w:t>NET</w:t>
      </w:r>
      <w:r w:rsidR="00A03CF0" w:rsidRPr="00D87880">
        <w:rPr>
          <w:rFonts w:ascii="Times New Roman" w:hAnsi="Times New Roman" w:cs="Times New Roman"/>
          <w:sz w:val="22"/>
          <w:szCs w:val="22"/>
        </w:rPr>
        <w:t xml:space="preserve"> and </w:t>
      </w:r>
      <w:r w:rsidR="00434155">
        <w:rPr>
          <w:rFonts w:ascii="Times New Roman" w:hAnsi="Times New Roman" w:cs="Times New Roman"/>
          <w:sz w:val="22"/>
          <w:szCs w:val="22"/>
        </w:rPr>
        <w:t>actively participated in the development of all instrumentation</w:t>
      </w:r>
      <w:r w:rsidR="00700139" w:rsidRPr="00D87880">
        <w:rPr>
          <w:rFonts w:ascii="Times New Roman" w:hAnsi="Times New Roman" w:cs="Times New Roman"/>
          <w:sz w:val="22"/>
          <w:szCs w:val="22"/>
        </w:rPr>
        <w:t xml:space="preserve">. </w:t>
      </w:r>
      <w:r w:rsidR="00A03CF0" w:rsidRPr="00D87880">
        <w:rPr>
          <w:rFonts w:ascii="Times New Roman" w:hAnsi="Times New Roman" w:cs="Times New Roman"/>
          <w:sz w:val="22"/>
          <w:szCs w:val="22"/>
        </w:rPr>
        <w:t>The Federation</w:t>
      </w:r>
      <w:r w:rsidR="00700139" w:rsidRPr="00D87880">
        <w:rPr>
          <w:rFonts w:ascii="Times New Roman" w:hAnsi="Times New Roman" w:cs="Times New Roman"/>
          <w:sz w:val="22"/>
          <w:szCs w:val="22"/>
        </w:rPr>
        <w:t xml:space="preserve"> also </w:t>
      </w:r>
      <w:r w:rsidR="00434155">
        <w:rPr>
          <w:rFonts w:ascii="Times New Roman" w:hAnsi="Times New Roman" w:cs="Times New Roman"/>
          <w:sz w:val="22"/>
          <w:szCs w:val="22"/>
        </w:rPr>
        <w:t xml:space="preserve">helped develop </w:t>
      </w:r>
      <w:r w:rsidR="001E0B1C">
        <w:rPr>
          <w:rFonts w:ascii="Times New Roman" w:hAnsi="Times New Roman" w:cs="Times New Roman"/>
          <w:sz w:val="22"/>
          <w:szCs w:val="22"/>
        </w:rPr>
        <w:t xml:space="preserve">data collection </w:t>
      </w:r>
      <w:r w:rsidR="00434155">
        <w:rPr>
          <w:rFonts w:ascii="Times New Roman" w:hAnsi="Times New Roman" w:cs="Times New Roman"/>
          <w:sz w:val="22"/>
          <w:szCs w:val="22"/>
        </w:rPr>
        <w:t>procedures and training resources.</w:t>
      </w:r>
      <w:r w:rsidR="00700139" w:rsidRPr="00D87880">
        <w:rPr>
          <w:rFonts w:ascii="Times New Roman" w:hAnsi="Times New Roman" w:cs="Times New Roman"/>
          <w:sz w:val="22"/>
          <w:szCs w:val="22"/>
        </w:rPr>
        <w:t xml:space="preserve"> </w:t>
      </w:r>
      <w:r w:rsidR="00A03CF0" w:rsidRPr="00D87880">
        <w:rPr>
          <w:rFonts w:ascii="Times New Roman" w:hAnsi="Times New Roman" w:cs="Times New Roman"/>
          <w:sz w:val="22"/>
          <w:szCs w:val="22"/>
        </w:rPr>
        <w:t xml:space="preserve">Similarly, Youth M.O.V.E. has been involved in all aspects of planning </w:t>
      </w:r>
      <w:r w:rsidR="00A135A3" w:rsidRPr="00D87880">
        <w:rPr>
          <w:rFonts w:ascii="Times New Roman" w:hAnsi="Times New Roman" w:cs="Times New Roman"/>
          <w:sz w:val="22"/>
          <w:szCs w:val="22"/>
        </w:rPr>
        <w:t>the Evaluation</w:t>
      </w:r>
      <w:r w:rsidR="00A03CF0" w:rsidRPr="00D87880">
        <w:rPr>
          <w:rFonts w:ascii="Times New Roman" w:hAnsi="Times New Roman" w:cs="Times New Roman"/>
          <w:sz w:val="22"/>
          <w:szCs w:val="22"/>
        </w:rPr>
        <w:t xml:space="preserve">, </w:t>
      </w:r>
      <w:r w:rsidR="00434155">
        <w:rPr>
          <w:rFonts w:ascii="Times New Roman" w:hAnsi="Times New Roman" w:cs="Times New Roman"/>
          <w:sz w:val="22"/>
          <w:szCs w:val="22"/>
        </w:rPr>
        <w:t>including development of instruments, procedures and training materials. These contributions</w:t>
      </w:r>
      <w:r w:rsidR="00434155" w:rsidRPr="00D87880">
        <w:rPr>
          <w:rFonts w:ascii="Times New Roman" w:hAnsi="Times New Roman" w:cs="Times New Roman"/>
          <w:sz w:val="22"/>
          <w:szCs w:val="22"/>
        </w:rPr>
        <w:t xml:space="preserve"> </w:t>
      </w:r>
      <w:r w:rsidR="00434155">
        <w:rPr>
          <w:rFonts w:ascii="Times New Roman" w:hAnsi="Times New Roman" w:cs="Times New Roman"/>
          <w:sz w:val="22"/>
          <w:szCs w:val="22"/>
        </w:rPr>
        <w:t xml:space="preserve">helped </w:t>
      </w:r>
      <w:r w:rsidR="00434155" w:rsidRPr="00D87880">
        <w:rPr>
          <w:rFonts w:ascii="Times New Roman" w:hAnsi="Times New Roman" w:cs="Times New Roman"/>
          <w:sz w:val="22"/>
          <w:szCs w:val="22"/>
        </w:rPr>
        <w:t xml:space="preserve">ensure sensitivity to parent </w:t>
      </w:r>
      <w:r w:rsidR="00434155">
        <w:rPr>
          <w:rFonts w:ascii="Times New Roman" w:hAnsi="Times New Roman" w:cs="Times New Roman"/>
          <w:sz w:val="22"/>
          <w:szCs w:val="22"/>
        </w:rPr>
        <w:t xml:space="preserve">and youth </w:t>
      </w:r>
      <w:r w:rsidR="00434155" w:rsidRPr="00D87880">
        <w:rPr>
          <w:rFonts w:ascii="Times New Roman" w:hAnsi="Times New Roman" w:cs="Times New Roman"/>
          <w:sz w:val="22"/>
          <w:szCs w:val="22"/>
        </w:rPr>
        <w:t>issues and concerns</w:t>
      </w:r>
      <w:r w:rsidR="00434155">
        <w:rPr>
          <w:rFonts w:ascii="Times New Roman" w:hAnsi="Times New Roman" w:cs="Times New Roman"/>
          <w:sz w:val="22"/>
          <w:szCs w:val="22"/>
        </w:rPr>
        <w:t xml:space="preserve">, </w:t>
      </w:r>
      <w:r w:rsidR="00434155" w:rsidRPr="00D87880">
        <w:rPr>
          <w:rFonts w:ascii="Times New Roman" w:hAnsi="Times New Roman" w:cs="Times New Roman"/>
          <w:sz w:val="22"/>
          <w:szCs w:val="22"/>
        </w:rPr>
        <w:t>maximize</w:t>
      </w:r>
      <w:r w:rsidR="00434155">
        <w:rPr>
          <w:rFonts w:ascii="Times New Roman" w:hAnsi="Times New Roman" w:cs="Times New Roman"/>
          <w:sz w:val="22"/>
          <w:szCs w:val="22"/>
        </w:rPr>
        <w:t>d</w:t>
      </w:r>
      <w:r w:rsidR="00434155" w:rsidRPr="00D87880">
        <w:rPr>
          <w:rFonts w:ascii="Times New Roman" w:hAnsi="Times New Roman" w:cs="Times New Roman"/>
          <w:sz w:val="22"/>
          <w:szCs w:val="22"/>
        </w:rPr>
        <w:t xml:space="preserve"> clarity of meaning</w:t>
      </w:r>
      <w:r w:rsidR="00856F0D">
        <w:rPr>
          <w:rFonts w:ascii="Times New Roman" w:hAnsi="Times New Roman" w:cs="Times New Roman"/>
          <w:sz w:val="22"/>
          <w:szCs w:val="22"/>
        </w:rPr>
        <w:t xml:space="preserve">, and strengthened the </w:t>
      </w:r>
      <w:r w:rsidR="00434155" w:rsidRPr="00D87880">
        <w:rPr>
          <w:rFonts w:ascii="Times New Roman" w:hAnsi="Times New Roman" w:cs="Times New Roman"/>
          <w:sz w:val="22"/>
          <w:szCs w:val="22"/>
        </w:rPr>
        <w:t xml:space="preserve">feasibility of administering the questionnaires. </w:t>
      </w:r>
      <w:r w:rsidR="00A03CF0" w:rsidRPr="00D87880">
        <w:rPr>
          <w:rFonts w:ascii="Times New Roman" w:hAnsi="Times New Roman" w:cs="Times New Roman"/>
          <w:sz w:val="22"/>
          <w:szCs w:val="22"/>
        </w:rPr>
        <w:t xml:space="preserve">Both groups will continue to be involved in all aspects of </w:t>
      </w:r>
      <w:r w:rsidR="00A135A3" w:rsidRPr="00D87880">
        <w:rPr>
          <w:rFonts w:ascii="Times New Roman" w:hAnsi="Times New Roman" w:cs="Times New Roman"/>
          <w:sz w:val="22"/>
          <w:szCs w:val="22"/>
        </w:rPr>
        <w:t>this Evaluation</w:t>
      </w:r>
      <w:r w:rsidR="00A03CF0" w:rsidRPr="00D87880">
        <w:rPr>
          <w:rFonts w:ascii="Times New Roman" w:hAnsi="Times New Roman" w:cs="Times New Roman"/>
          <w:sz w:val="22"/>
          <w:szCs w:val="22"/>
        </w:rPr>
        <w:t>.</w:t>
      </w:r>
    </w:p>
    <w:p w14:paraId="7E3E8C76" w14:textId="77777777" w:rsidR="0087059B" w:rsidRPr="00D87880" w:rsidRDefault="0087059B" w:rsidP="001B2159">
      <w:pPr>
        <w:tabs>
          <w:tab w:val="left" w:pos="-1440"/>
        </w:tabs>
        <w:spacing w:line="240" w:lineRule="auto"/>
        <w:rPr>
          <w:rFonts w:ascii="Times New Roman" w:hAnsi="Times New Roman" w:cs="Times New Roman"/>
          <w:sz w:val="22"/>
          <w:szCs w:val="22"/>
        </w:rPr>
      </w:pPr>
    </w:p>
    <w:p w14:paraId="71091275" w14:textId="77777777" w:rsidR="00791037" w:rsidRPr="00D87880" w:rsidRDefault="00791037" w:rsidP="00C35583">
      <w:pPr>
        <w:spacing w:line="240" w:lineRule="auto"/>
        <w:rPr>
          <w:rFonts w:ascii="Times New Roman" w:hAnsi="Times New Roman" w:cs="Times New Roman"/>
          <w:b/>
          <w:sz w:val="22"/>
          <w:szCs w:val="22"/>
        </w:rPr>
      </w:pPr>
      <w:r w:rsidRPr="00D87880">
        <w:rPr>
          <w:rFonts w:ascii="Times New Roman" w:hAnsi="Times New Roman" w:cs="Times New Roman"/>
          <w:b/>
          <w:sz w:val="22"/>
          <w:szCs w:val="22"/>
        </w:rPr>
        <w:t>9. P</w:t>
      </w:r>
      <w:r w:rsidR="00962DD0" w:rsidRPr="00D87880">
        <w:rPr>
          <w:rFonts w:ascii="Times New Roman" w:hAnsi="Times New Roman" w:cs="Times New Roman"/>
          <w:b/>
          <w:sz w:val="22"/>
          <w:szCs w:val="22"/>
        </w:rPr>
        <w:t>AYMENT TO RESPONDENTS</w:t>
      </w:r>
    </w:p>
    <w:p w14:paraId="394E423E" w14:textId="3D30E4D4" w:rsidR="00137F9D" w:rsidRPr="00D87880" w:rsidRDefault="00137F9D" w:rsidP="00672E58">
      <w:pPr>
        <w:spacing w:line="240" w:lineRule="auto"/>
        <w:rPr>
          <w:rFonts w:ascii="Times New Roman" w:hAnsi="Times New Roman" w:cs="Times New Roman"/>
          <w:sz w:val="22"/>
          <w:szCs w:val="22"/>
        </w:rPr>
      </w:pPr>
      <w:r w:rsidRPr="00137F9D">
        <w:rPr>
          <w:rFonts w:ascii="Times New Roman" w:hAnsi="Times New Roman" w:cs="Times New Roman"/>
          <w:sz w:val="22"/>
          <w:szCs w:val="22"/>
        </w:rPr>
        <w:t>No monetary incentives are provided to respondents.</w:t>
      </w:r>
    </w:p>
    <w:p w14:paraId="5B013C25" w14:textId="77777777" w:rsidR="0055326D" w:rsidRPr="00D87880" w:rsidRDefault="0055326D" w:rsidP="00672E58">
      <w:pPr>
        <w:spacing w:line="240" w:lineRule="auto"/>
        <w:rPr>
          <w:rFonts w:ascii="Times New Roman" w:hAnsi="Times New Roman" w:cs="Times New Roman"/>
          <w:sz w:val="22"/>
          <w:szCs w:val="22"/>
        </w:rPr>
      </w:pPr>
    </w:p>
    <w:p w14:paraId="2D5F9E43" w14:textId="77777777" w:rsidR="00B60B35" w:rsidRPr="00F27632" w:rsidRDefault="00B60B35" w:rsidP="00B60B35">
      <w:pPr>
        <w:spacing w:line="240" w:lineRule="auto"/>
        <w:rPr>
          <w:rFonts w:ascii="Times New Roman" w:hAnsi="Times New Roman" w:cs="Times New Roman"/>
          <w:sz w:val="22"/>
          <w:szCs w:val="22"/>
        </w:rPr>
      </w:pPr>
      <w:r w:rsidRPr="00D87880">
        <w:rPr>
          <w:rFonts w:ascii="Times New Roman" w:hAnsi="Times New Roman" w:cs="Times New Roman"/>
          <w:b/>
          <w:sz w:val="22"/>
          <w:szCs w:val="22"/>
        </w:rPr>
        <w:t>10. ASSURANCE OF CONFIDENTIALITY</w:t>
      </w:r>
      <w:r>
        <w:rPr>
          <w:rFonts w:ascii="Times New Roman" w:hAnsi="Times New Roman" w:cs="Times New Roman"/>
          <w:b/>
          <w:sz w:val="22"/>
          <w:szCs w:val="22"/>
        </w:rPr>
        <w:tab/>
      </w:r>
    </w:p>
    <w:p w14:paraId="484741A3" w14:textId="072E84FD" w:rsidR="00B60B35" w:rsidRDefault="0087059B" w:rsidP="00B60B35">
      <w:pPr>
        <w:spacing w:line="240" w:lineRule="auto"/>
        <w:rPr>
          <w:rFonts w:ascii="Times New Roman" w:hAnsi="Times New Roman" w:cs="Times New Roman"/>
          <w:sz w:val="22"/>
          <w:szCs w:val="22"/>
        </w:rPr>
      </w:pPr>
      <w:r w:rsidRPr="008F0CA3">
        <w:rPr>
          <w:rFonts w:ascii="Times New Roman" w:hAnsi="Times New Roman" w:cs="Times New Roman"/>
          <w:sz w:val="22"/>
          <w:szCs w:val="22"/>
        </w:rPr>
        <w:t xml:space="preserve">SAMHSA is seeking a SORN and PIA to protect </w:t>
      </w:r>
      <w:r w:rsidR="00B60B35" w:rsidRPr="008F0CA3">
        <w:rPr>
          <w:rFonts w:ascii="Times New Roman" w:hAnsi="Times New Roman" w:cs="Times New Roman"/>
          <w:sz w:val="22"/>
          <w:szCs w:val="22"/>
        </w:rPr>
        <w:t>participants</w:t>
      </w:r>
      <w:r w:rsidRPr="008F0CA3">
        <w:rPr>
          <w:rFonts w:ascii="Times New Roman" w:hAnsi="Times New Roman" w:cs="Times New Roman"/>
          <w:sz w:val="22"/>
          <w:szCs w:val="22"/>
        </w:rPr>
        <w:t>.  In addition</w:t>
      </w:r>
      <w:r w:rsidR="00B60B35" w:rsidRPr="008F0CA3">
        <w:rPr>
          <w:rFonts w:ascii="Times New Roman" w:hAnsi="Times New Roman" w:cs="Times New Roman"/>
          <w:sz w:val="22"/>
          <w:szCs w:val="22"/>
        </w:rPr>
        <w:t>,</w:t>
      </w:r>
      <w:r w:rsidR="00815615" w:rsidRPr="008F0CA3" w:rsidDel="00815615">
        <w:rPr>
          <w:rFonts w:ascii="Times New Roman" w:hAnsi="Times New Roman" w:cs="Times New Roman"/>
          <w:sz w:val="22"/>
          <w:szCs w:val="22"/>
        </w:rPr>
        <w:t xml:space="preserve"> </w:t>
      </w:r>
      <w:r w:rsidR="00B60B35" w:rsidRPr="008F0CA3">
        <w:rPr>
          <w:rFonts w:ascii="Times New Roman" w:hAnsi="Times New Roman" w:cs="Times New Roman"/>
          <w:sz w:val="22"/>
          <w:szCs w:val="22"/>
        </w:rPr>
        <w:t xml:space="preserve">has already obtained Westat IRB approval to pilot </w:t>
      </w:r>
      <w:r w:rsidR="00C50A3C" w:rsidRPr="008F0CA3">
        <w:rPr>
          <w:rFonts w:ascii="Times New Roman" w:hAnsi="Times New Roman" w:cs="Times New Roman"/>
          <w:sz w:val="22"/>
          <w:szCs w:val="22"/>
        </w:rPr>
        <w:t xml:space="preserve">test </w:t>
      </w:r>
      <w:r w:rsidR="00B60B35" w:rsidRPr="008F0CA3">
        <w:rPr>
          <w:rFonts w:ascii="Times New Roman" w:hAnsi="Times New Roman" w:cs="Times New Roman"/>
          <w:sz w:val="22"/>
          <w:szCs w:val="22"/>
        </w:rPr>
        <w:t>the evaluation tools, as described in Section B.4</w:t>
      </w:r>
      <w:r w:rsidR="00815615" w:rsidRPr="008F0CA3">
        <w:rPr>
          <w:rFonts w:ascii="Times New Roman" w:hAnsi="Times New Roman" w:cs="Times New Roman"/>
          <w:sz w:val="22"/>
          <w:szCs w:val="22"/>
        </w:rPr>
        <w:t>, and to conduct the Evaluation, with one exception</w:t>
      </w:r>
      <w:r w:rsidR="00B60B35" w:rsidRPr="008F0CA3">
        <w:rPr>
          <w:rFonts w:ascii="Times New Roman" w:hAnsi="Times New Roman" w:cs="Times New Roman"/>
          <w:sz w:val="22"/>
          <w:szCs w:val="22"/>
        </w:rPr>
        <w:t xml:space="preserve">. </w:t>
      </w:r>
      <w:r w:rsidRPr="008F0CA3">
        <w:rPr>
          <w:rFonts w:ascii="Times New Roman" w:hAnsi="Times New Roman" w:cs="Times New Roman"/>
          <w:sz w:val="22"/>
          <w:szCs w:val="22"/>
        </w:rPr>
        <w:t xml:space="preserve"> </w:t>
      </w:r>
      <w:r w:rsidR="00815615" w:rsidRPr="008F0CA3">
        <w:rPr>
          <w:rFonts w:ascii="Times New Roman" w:hAnsi="Times New Roman" w:cs="Times New Roman"/>
          <w:sz w:val="22"/>
          <w:szCs w:val="22"/>
        </w:rPr>
        <w:t>The NET is in the process of obtaining approval from Westat’s IRB to collection data from children and families using the SOCEA. (</w:t>
      </w:r>
      <w:r w:rsidR="00B60B35" w:rsidRPr="008F12C6">
        <w:rPr>
          <w:rFonts w:ascii="Times New Roman" w:hAnsi="Times New Roman" w:cs="Times New Roman"/>
          <w:sz w:val="22"/>
          <w:szCs w:val="22"/>
        </w:rPr>
        <w:t>Further, the NET will conform to all requirements of the Privacy Act of 1974, under the System of Records: Alcohol, Drug, and</w:t>
      </w:r>
      <w:r w:rsidR="00B60B35" w:rsidRPr="00D87880">
        <w:rPr>
          <w:rFonts w:ascii="Times New Roman" w:hAnsi="Times New Roman" w:cs="Times New Roman"/>
          <w:sz w:val="22"/>
          <w:szCs w:val="22"/>
        </w:rPr>
        <w:t xml:space="preserve"> MH Epidemiological, and Biometric Research Data, DHHS, #09–30–0036; the most recent publication in the Federal Register occurred on January 19, 1999 (64 FR 2914).</w:t>
      </w:r>
      <w:r w:rsidR="00D754CA">
        <w:rPr>
          <w:rFonts w:ascii="Times New Roman" w:hAnsi="Times New Roman" w:cs="Times New Roman"/>
          <w:sz w:val="22"/>
          <w:szCs w:val="22"/>
        </w:rPr>
        <w:t>)</w:t>
      </w:r>
    </w:p>
    <w:p w14:paraId="0B42BB66" w14:textId="5D694C96" w:rsidR="0027494C" w:rsidRPr="00EF630D" w:rsidRDefault="00625DAA" w:rsidP="00B60B35">
      <w:pPr>
        <w:spacing w:line="240" w:lineRule="auto"/>
        <w:rPr>
          <w:rFonts w:ascii="Times New Roman" w:hAnsi="Times New Roman" w:cs="Times New Roman"/>
          <w:sz w:val="22"/>
          <w:szCs w:val="22"/>
        </w:rPr>
      </w:pPr>
      <w:r w:rsidRPr="00625DAA">
        <w:rPr>
          <w:rFonts w:ascii="Times New Roman" w:hAnsi="Times New Roman" w:cs="Times New Roman"/>
          <w:sz w:val="22"/>
          <w:szCs w:val="22"/>
        </w:rPr>
        <w:t xml:space="preserve">All </w:t>
      </w:r>
      <w:r>
        <w:rPr>
          <w:rFonts w:ascii="Times New Roman" w:hAnsi="Times New Roman" w:cs="Times New Roman"/>
          <w:sz w:val="22"/>
          <w:szCs w:val="22"/>
        </w:rPr>
        <w:t>members of the NET</w:t>
      </w:r>
      <w:r w:rsidRPr="00625DAA">
        <w:rPr>
          <w:rFonts w:ascii="Times New Roman" w:hAnsi="Times New Roman" w:cs="Times New Roman"/>
          <w:sz w:val="22"/>
          <w:szCs w:val="22"/>
        </w:rPr>
        <w:t xml:space="preserve"> shall receive general awareness training and role-based</w:t>
      </w:r>
      <w:r>
        <w:rPr>
          <w:rFonts w:ascii="Times New Roman" w:hAnsi="Times New Roman" w:cs="Times New Roman"/>
          <w:sz w:val="22"/>
          <w:szCs w:val="22"/>
        </w:rPr>
        <w:t xml:space="preserve"> </w:t>
      </w:r>
      <w:r w:rsidRPr="00625DAA">
        <w:rPr>
          <w:rFonts w:ascii="Times New Roman" w:hAnsi="Times New Roman" w:cs="Times New Roman"/>
          <w:sz w:val="22"/>
          <w:szCs w:val="22"/>
        </w:rPr>
        <w:t xml:space="preserve">training, commensurate with the responsibilities required to perform the </w:t>
      </w:r>
      <w:r>
        <w:rPr>
          <w:rFonts w:ascii="Times New Roman" w:hAnsi="Times New Roman" w:cs="Times New Roman"/>
          <w:sz w:val="22"/>
          <w:szCs w:val="22"/>
        </w:rPr>
        <w:t>tasks of</w:t>
      </w:r>
      <w:r w:rsidRPr="00625DAA">
        <w:rPr>
          <w:rFonts w:ascii="Times New Roman" w:hAnsi="Times New Roman" w:cs="Times New Roman"/>
          <w:sz w:val="22"/>
          <w:szCs w:val="22"/>
        </w:rPr>
        <w:t xml:space="preserve"> the </w:t>
      </w:r>
      <w:r>
        <w:rPr>
          <w:rFonts w:ascii="Times New Roman" w:hAnsi="Times New Roman" w:cs="Times New Roman"/>
          <w:sz w:val="22"/>
          <w:szCs w:val="22"/>
        </w:rPr>
        <w:t xml:space="preserve">project. </w:t>
      </w:r>
      <w:r w:rsidR="002D0CD1">
        <w:rPr>
          <w:rFonts w:ascii="Times New Roman" w:hAnsi="Times New Roman" w:cs="Times New Roman"/>
          <w:sz w:val="22"/>
          <w:szCs w:val="22"/>
        </w:rPr>
        <w:t>The NET</w:t>
      </w:r>
      <w:r>
        <w:rPr>
          <w:rFonts w:ascii="Times New Roman" w:hAnsi="Times New Roman" w:cs="Times New Roman"/>
          <w:sz w:val="22"/>
          <w:szCs w:val="22"/>
        </w:rPr>
        <w:t xml:space="preserve"> will</w:t>
      </w:r>
      <w:r w:rsidRPr="00625DAA">
        <w:rPr>
          <w:rFonts w:ascii="Times New Roman" w:hAnsi="Times New Roman" w:cs="Times New Roman"/>
          <w:sz w:val="22"/>
          <w:szCs w:val="22"/>
        </w:rPr>
        <w:t xml:space="preserve"> be responsible for ensuring </w:t>
      </w:r>
      <w:r>
        <w:rPr>
          <w:rFonts w:ascii="Times New Roman" w:hAnsi="Times New Roman" w:cs="Times New Roman"/>
          <w:sz w:val="22"/>
          <w:szCs w:val="22"/>
        </w:rPr>
        <w:t xml:space="preserve">that </w:t>
      </w:r>
      <w:r w:rsidRPr="00625DAA">
        <w:rPr>
          <w:rFonts w:ascii="Times New Roman" w:hAnsi="Times New Roman" w:cs="Times New Roman"/>
          <w:sz w:val="22"/>
          <w:szCs w:val="22"/>
        </w:rPr>
        <w:t xml:space="preserve">each </w:t>
      </w:r>
      <w:r w:rsidR="002D0CD1">
        <w:rPr>
          <w:rFonts w:ascii="Times New Roman" w:hAnsi="Times New Roman" w:cs="Times New Roman"/>
          <w:sz w:val="22"/>
          <w:szCs w:val="22"/>
        </w:rPr>
        <w:t>member of the team</w:t>
      </w:r>
      <w:r w:rsidRPr="00625DAA">
        <w:rPr>
          <w:rFonts w:ascii="Times New Roman" w:hAnsi="Times New Roman" w:cs="Times New Roman"/>
          <w:sz w:val="22"/>
          <w:szCs w:val="22"/>
        </w:rPr>
        <w:t xml:space="preserve"> has completed the SAMHSA</w:t>
      </w:r>
      <w:r>
        <w:rPr>
          <w:rFonts w:ascii="Times New Roman" w:hAnsi="Times New Roman" w:cs="Times New Roman"/>
          <w:sz w:val="22"/>
          <w:szCs w:val="22"/>
        </w:rPr>
        <w:t xml:space="preserve"> </w:t>
      </w:r>
      <w:r w:rsidRPr="00625DAA">
        <w:rPr>
          <w:rFonts w:ascii="Times New Roman" w:hAnsi="Times New Roman" w:cs="Times New Roman"/>
          <w:sz w:val="22"/>
          <w:szCs w:val="22"/>
        </w:rPr>
        <w:t>Security Awareness Training as required by the agency</w:t>
      </w:r>
      <w:r>
        <w:rPr>
          <w:rFonts w:ascii="Times New Roman" w:hAnsi="Times New Roman" w:cs="Times New Roman"/>
          <w:sz w:val="22"/>
          <w:szCs w:val="22"/>
        </w:rPr>
        <w:t xml:space="preserve">, </w:t>
      </w:r>
      <w:r w:rsidR="00777249">
        <w:rPr>
          <w:rFonts w:ascii="Times New Roman" w:hAnsi="Times New Roman" w:cs="Times New Roman"/>
          <w:sz w:val="22"/>
          <w:szCs w:val="22"/>
        </w:rPr>
        <w:t>as well as</w:t>
      </w:r>
      <w:r>
        <w:rPr>
          <w:rFonts w:ascii="Times New Roman" w:hAnsi="Times New Roman" w:cs="Times New Roman"/>
          <w:sz w:val="22"/>
          <w:szCs w:val="22"/>
        </w:rPr>
        <w:t xml:space="preserve"> Human Subjects Research Training</w:t>
      </w:r>
      <w:r w:rsidRPr="00625DAA">
        <w:rPr>
          <w:rFonts w:ascii="Times New Roman" w:hAnsi="Times New Roman" w:cs="Times New Roman"/>
          <w:sz w:val="22"/>
          <w:szCs w:val="22"/>
        </w:rPr>
        <w:t xml:space="preserve"> </w:t>
      </w:r>
      <w:r>
        <w:rPr>
          <w:rFonts w:ascii="Times New Roman" w:hAnsi="Times New Roman" w:cs="Times New Roman"/>
          <w:sz w:val="22"/>
          <w:szCs w:val="22"/>
        </w:rPr>
        <w:t>prior to performing any project</w:t>
      </w:r>
      <w:r w:rsidRPr="00625DAA">
        <w:rPr>
          <w:rFonts w:ascii="Times New Roman" w:hAnsi="Times New Roman" w:cs="Times New Roman"/>
          <w:sz w:val="22"/>
          <w:szCs w:val="22"/>
        </w:rPr>
        <w:t xml:space="preserve"> work or accessing</w:t>
      </w:r>
      <w:r>
        <w:rPr>
          <w:rFonts w:ascii="Times New Roman" w:hAnsi="Times New Roman" w:cs="Times New Roman"/>
          <w:sz w:val="22"/>
          <w:szCs w:val="22"/>
        </w:rPr>
        <w:t xml:space="preserve"> </w:t>
      </w:r>
      <w:r w:rsidRPr="00625DAA">
        <w:rPr>
          <w:rFonts w:ascii="Times New Roman" w:hAnsi="Times New Roman" w:cs="Times New Roman"/>
          <w:sz w:val="22"/>
          <w:szCs w:val="22"/>
        </w:rPr>
        <w:t>any system, and on an annual basis thereafter, througho</w:t>
      </w:r>
      <w:r w:rsidR="00777249">
        <w:rPr>
          <w:rFonts w:ascii="Times New Roman" w:hAnsi="Times New Roman" w:cs="Times New Roman"/>
          <w:sz w:val="22"/>
          <w:szCs w:val="22"/>
        </w:rPr>
        <w:t xml:space="preserve">ut the period of </w:t>
      </w:r>
      <w:r w:rsidRPr="00625DAA">
        <w:rPr>
          <w:rFonts w:ascii="Times New Roman" w:hAnsi="Times New Roman" w:cs="Times New Roman"/>
          <w:sz w:val="22"/>
          <w:szCs w:val="22"/>
        </w:rPr>
        <w:t xml:space="preserve">the </w:t>
      </w:r>
      <w:r>
        <w:rPr>
          <w:rFonts w:ascii="Times New Roman" w:hAnsi="Times New Roman" w:cs="Times New Roman"/>
          <w:sz w:val="22"/>
          <w:szCs w:val="22"/>
        </w:rPr>
        <w:t xml:space="preserve">project. </w:t>
      </w:r>
      <w:r w:rsidR="002D0CD1">
        <w:rPr>
          <w:rFonts w:ascii="Times New Roman" w:hAnsi="Times New Roman" w:cs="Times New Roman"/>
          <w:sz w:val="22"/>
          <w:szCs w:val="22"/>
        </w:rPr>
        <w:t>The NET</w:t>
      </w:r>
      <w:r>
        <w:rPr>
          <w:rFonts w:ascii="Times New Roman" w:hAnsi="Times New Roman" w:cs="Times New Roman"/>
          <w:sz w:val="22"/>
          <w:szCs w:val="22"/>
        </w:rPr>
        <w:t xml:space="preserve"> will</w:t>
      </w:r>
      <w:r w:rsidRPr="00625DAA">
        <w:rPr>
          <w:rFonts w:ascii="Times New Roman" w:hAnsi="Times New Roman" w:cs="Times New Roman"/>
          <w:sz w:val="22"/>
          <w:szCs w:val="22"/>
        </w:rPr>
        <w:t xml:space="preserve"> maintain a list of all in</w:t>
      </w:r>
      <w:r>
        <w:rPr>
          <w:rFonts w:ascii="Times New Roman" w:hAnsi="Times New Roman" w:cs="Times New Roman"/>
          <w:sz w:val="22"/>
          <w:szCs w:val="22"/>
        </w:rPr>
        <w:t>dividuals who have completed these</w:t>
      </w:r>
      <w:r w:rsidRPr="00625DAA">
        <w:rPr>
          <w:rFonts w:ascii="Times New Roman" w:hAnsi="Times New Roman" w:cs="Times New Roman"/>
          <w:sz w:val="22"/>
          <w:szCs w:val="22"/>
        </w:rPr>
        <w:t xml:space="preserve"> training</w:t>
      </w:r>
      <w:r>
        <w:rPr>
          <w:rFonts w:ascii="Times New Roman" w:hAnsi="Times New Roman" w:cs="Times New Roman"/>
          <w:sz w:val="22"/>
          <w:szCs w:val="22"/>
        </w:rPr>
        <w:t>s</w:t>
      </w:r>
      <w:r w:rsidRPr="00625DAA">
        <w:rPr>
          <w:rFonts w:ascii="Times New Roman" w:hAnsi="Times New Roman" w:cs="Times New Roman"/>
          <w:sz w:val="22"/>
          <w:szCs w:val="22"/>
        </w:rPr>
        <w:t xml:space="preserve"> and shall submit</w:t>
      </w:r>
      <w:r>
        <w:rPr>
          <w:rFonts w:ascii="Times New Roman" w:hAnsi="Times New Roman" w:cs="Times New Roman"/>
          <w:sz w:val="22"/>
          <w:szCs w:val="22"/>
        </w:rPr>
        <w:t xml:space="preserve"> </w:t>
      </w:r>
      <w:r w:rsidRPr="00625DAA">
        <w:rPr>
          <w:rFonts w:ascii="Times New Roman" w:hAnsi="Times New Roman" w:cs="Times New Roman"/>
          <w:sz w:val="22"/>
          <w:szCs w:val="22"/>
        </w:rPr>
        <w:t xml:space="preserve">this list to the Project Officer upon request. As a part of this training, </w:t>
      </w:r>
      <w:r w:rsidR="002D0CD1">
        <w:rPr>
          <w:rFonts w:ascii="Times New Roman" w:hAnsi="Times New Roman" w:cs="Times New Roman"/>
          <w:sz w:val="22"/>
          <w:szCs w:val="22"/>
        </w:rPr>
        <w:t>the NET</w:t>
      </w:r>
      <w:r w:rsidRPr="00625DAA">
        <w:rPr>
          <w:rFonts w:ascii="Times New Roman" w:hAnsi="Times New Roman" w:cs="Times New Roman"/>
          <w:sz w:val="22"/>
          <w:szCs w:val="22"/>
        </w:rPr>
        <w:t xml:space="preserve"> shall ensure that all</w:t>
      </w:r>
      <w:r>
        <w:rPr>
          <w:rFonts w:ascii="Times New Roman" w:hAnsi="Times New Roman" w:cs="Times New Roman"/>
          <w:sz w:val="22"/>
          <w:szCs w:val="22"/>
        </w:rPr>
        <w:t xml:space="preserve"> </w:t>
      </w:r>
      <w:r w:rsidRPr="00625DAA">
        <w:rPr>
          <w:rFonts w:ascii="Times New Roman" w:hAnsi="Times New Roman" w:cs="Times New Roman"/>
          <w:sz w:val="22"/>
          <w:szCs w:val="22"/>
        </w:rPr>
        <w:t>staff read, agree to, and sign the HHS Rules of Behavior.</w:t>
      </w:r>
      <w:r w:rsidR="009E4A9D">
        <w:rPr>
          <w:rFonts w:ascii="Times New Roman" w:hAnsi="Times New Roman" w:cs="Times New Roman"/>
          <w:sz w:val="22"/>
          <w:szCs w:val="22"/>
        </w:rPr>
        <w:t xml:space="preserve"> The NET</w:t>
      </w:r>
      <w:r w:rsidR="009E4A9D" w:rsidRPr="009E4A9D">
        <w:rPr>
          <w:rFonts w:ascii="Times New Roman" w:hAnsi="Times New Roman" w:cs="Times New Roman"/>
          <w:sz w:val="22"/>
          <w:szCs w:val="22"/>
        </w:rPr>
        <w:t xml:space="preserve"> shall</w:t>
      </w:r>
      <w:r w:rsidR="009E4A9D">
        <w:rPr>
          <w:rFonts w:ascii="Times New Roman" w:hAnsi="Times New Roman" w:cs="Times New Roman"/>
          <w:sz w:val="22"/>
          <w:szCs w:val="22"/>
        </w:rPr>
        <w:t xml:space="preserve"> also</w:t>
      </w:r>
      <w:r w:rsidR="009E4A9D" w:rsidRPr="009E4A9D">
        <w:rPr>
          <w:rFonts w:ascii="Times New Roman" w:hAnsi="Times New Roman" w:cs="Times New Roman"/>
          <w:sz w:val="22"/>
          <w:szCs w:val="22"/>
        </w:rPr>
        <w:t xml:space="preserve"> ensure</w:t>
      </w:r>
      <w:r w:rsidR="009E4A9D">
        <w:rPr>
          <w:rFonts w:ascii="Times New Roman" w:hAnsi="Times New Roman" w:cs="Times New Roman"/>
          <w:sz w:val="22"/>
          <w:szCs w:val="22"/>
        </w:rPr>
        <w:t xml:space="preserve"> that</w:t>
      </w:r>
      <w:r w:rsidR="009E4A9D" w:rsidRPr="009E4A9D">
        <w:rPr>
          <w:rFonts w:ascii="Times New Roman" w:hAnsi="Times New Roman" w:cs="Times New Roman"/>
          <w:sz w:val="22"/>
          <w:szCs w:val="22"/>
        </w:rPr>
        <w:t xml:space="preserve"> all staff have the required level of secur</w:t>
      </w:r>
      <w:r w:rsidR="009E4A9D">
        <w:rPr>
          <w:rFonts w:ascii="Times New Roman" w:hAnsi="Times New Roman" w:cs="Times New Roman"/>
          <w:sz w:val="22"/>
          <w:szCs w:val="22"/>
        </w:rPr>
        <w:t xml:space="preserve">ity clearance </w:t>
      </w:r>
      <w:r w:rsidR="009E4A9D" w:rsidRPr="009E4A9D">
        <w:rPr>
          <w:rFonts w:ascii="Times New Roman" w:hAnsi="Times New Roman" w:cs="Times New Roman"/>
          <w:sz w:val="22"/>
          <w:szCs w:val="22"/>
        </w:rPr>
        <w:t xml:space="preserve">commensurate with the sensitivity of the information being stored, </w:t>
      </w:r>
      <w:r w:rsidR="009E4A9D" w:rsidRPr="00EF630D">
        <w:rPr>
          <w:rFonts w:ascii="Times New Roman" w:hAnsi="Times New Roman" w:cs="Times New Roman"/>
          <w:sz w:val="22"/>
          <w:szCs w:val="22"/>
        </w:rPr>
        <w:t>processed, transmitted or otherwise handled by the System or required to perform the</w:t>
      </w:r>
      <w:r w:rsidR="002D0CD1" w:rsidRPr="00EF630D">
        <w:rPr>
          <w:rFonts w:ascii="Times New Roman" w:hAnsi="Times New Roman" w:cs="Times New Roman"/>
          <w:sz w:val="22"/>
          <w:szCs w:val="22"/>
        </w:rPr>
        <w:t xml:space="preserve"> tasks of the project</w:t>
      </w:r>
      <w:r w:rsidR="009E4A9D" w:rsidRPr="00EF630D">
        <w:rPr>
          <w:rFonts w:ascii="Times New Roman" w:hAnsi="Times New Roman" w:cs="Times New Roman"/>
          <w:sz w:val="22"/>
          <w:szCs w:val="22"/>
        </w:rPr>
        <w:t xml:space="preserve">. At the minimum, all </w:t>
      </w:r>
      <w:r w:rsidR="002D0CD1" w:rsidRPr="00EF630D">
        <w:rPr>
          <w:rFonts w:ascii="Times New Roman" w:hAnsi="Times New Roman" w:cs="Times New Roman"/>
          <w:sz w:val="22"/>
          <w:szCs w:val="22"/>
        </w:rPr>
        <w:t xml:space="preserve">members of the team </w:t>
      </w:r>
      <w:r w:rsidR="009E4A9D" w:rsidRPr="00EF630D">
        <w:rPr>
          <w:rFonts w:ascii="Times New Roman" w:hAnsi="Times New Roman" w:cs="Times New Roman"/>
          <w:sz w:val="22"/>
          <w:szCs w:val="22"/>
        </w:rPr>
        <w:t xml:space="preserve"> shall be subjected to a Public Trust background check and be granted a Public Trust clearance before access to the System or other HHS resources is granted.</w:t>
      </w:r>
      <w:r w:rsidR="0027494C" w:rsidRPr="00EF630D">
        <w:rPr>
          <w:rFonts w:ascii="Times New Roman" w:hAnsi="Times New Roman" w:cs="Times New Roman"/>
          <w:sz w:val="22"/>
          <w:szCs w:val="22"/>
        </w:rPr>
        <w:t xml:space="preserve"> </w:t>
      </w:r>
    </w:p>
    <w:p w14:paraId="318EF13D" w14:textId="201ADD44" w:rsidR="00625DAA" w:rsidRDefault="0027494C" w:rsidP="007079D5">
      <w:pPr>
        <w:spacing w:line="240" w:lineRule="auto"/>
        <w:rPr>
          <w:rFonts w:ascii="Times New Roman" w:hAnsi="Times New Roman" w:cs="Times New Roman"/>
          <w:sz w:val="22"/>
          <w:szCs w:val="22"/>
        </w:rPr>
      </w:pPr>
      <w:r w:rsidRPr="00EF630D">
        <w:rPr>
          <w:rFonts w:ascii="Times New Roman" w:hAnsi="Times New Roman" w:cs="Times New Roman"/>
          <w:sz w:val="22"/>
          <w:szCs w:val="22"/>
        </w:rPr>
        <w:t xml:space="preserve">The NET shall </w:t>
      </w:r>
      <w:r w:rsidR="00BB262A" w:rsidRPr="00EF630D">
        <w:rPr>
          <w:rFonts w:ascii="Times New Roman" w:hAnsi="Times New Roman" w:cs="Times New Roman"/>
          <w:sz w:val="22"/>
          <w:szCs w:val="22"/>
        </w:rPr>
        <w:t>make efforts to guard</w:t>
      </w:r>
      <w:r w:rsidRPr="00EF630D">
        <w:rPr>
          <w:rFonts w:ascii="Times New Roman" w:hAnsi="Times New Roman" w:cs="Times New Roman"/>
          <w:sz w:val="22"/>
          <w:szCs w:val="22"/>
        </w:rPr>
        <w:t xml:space="preserve"> the names of respondents, all information or opinions collected in the course of interviews, and any information about respondents </w:t>
      </w:r>
      <w:r w:rsidR="004A6F7D" w:rsidRPr="00EF630D">
        <w:rPr>
          <w:rFonts w:ascii="Times New Roman" w:hAnsi="Times New Roman" w:cs="Times New Roman"/>
          <w:sz w:val="22"/>
          <w:szCs w:val="22"/>
        </w:rPr>
        <w:t>learned</w:t>
      </w:r>
      <w:r w:rsidRPr="00EF630D">
        <w:rPr>
          <w:rFonts w:ascii="Times New Roman" w:hAnsi="Times New Roman" w:cs="Times New Roman"/>
          <w:sz w:val="22"/>
          <w:szCs w:val="22"/>
        </w:rPr>
        <w:t xml:space="preserve"> incidentally during the project. </w:t>
      </w:r>
      <w:r w:rsidR="00BB262A" w:rsidRPr="00EF630D">
        <w:rPr>
          <w:rFonts w:ascii="Times New Roman" w:hAnsi="Times New Roman" w:cs="Times New Roman"/>
          <w:sz w:val="22"/>
          <w:szCs w:val="22"/>
        </w:rPr>
        <w:t>Hard copies of s</w:t>
      </w:r>
      <w:r w:rsidR="007079D5" w:rsidRPr="00EF630D">
        <w:rPr>
          <w:rFonts w:ascii="Times New Roman" w:hAnsi="Times New Roman" w:cs="Times New Roman"/>
          <w:sz w:val="22"/>
          <w:szCs w:val="22"/>
        </w:rPr>
        <w:t xml:space="preserve">urvey data </w:t>
      </w:r>
      <w:r w:rsidR="00777249" w:rsidRPr="00EF630D">
        <w:rPr>
          <w:rFonts w:ascii="Times New Roman" w:hAnsi="Times New Roman" w:cs="Times New Roman"/>
          <w:sz w:val="22"/>
          <w:szCs w:val="22"/>
        </w:rPr>
        <w:t>and</w:t>
      </w:r>
      <w:r w:rsidR="007079D5" w:rsidRPr="00EF630D">
        <w:rPr>
          <w:rFonts w:ascii="Times New Roman" w:hAnsi="Times New Roman" w:cs="Times New Roman"/>
          <w:sz w:val="22"/>
          <w:szCs w:val="22"/>
        </w:rPr>
        <w:t xml:space="preserve"> notes containing personal identifiers shall be kept in a locked containers or a locked room when not being used</w:t>
      </w:r>
      <w:r w:rsidRPr="00EF630D">
        <w:rPr>
          <w:rFonts w:ascii="Times New Roman" w:hAnsi="Times New Roman" w:cs="Times New Roman"/>
          <w:sz w:val="22"/>
          <w:szCs w:val="22"/>
        </w:rPr>
        <w:t>. Reasonable caution</w:t>
      </w:r>
      <w:r w:rsidR="001A154D" w:rsidRPr="00EF630D">
        <w:rPr>
          <w:rFonts w:ascii="Times New Roman" w:hAnsi="Times New Roman" w:cs="Times New Roman"/>
          <w:sz w:val="22"/>
          <w:szCs w:val="22"/>
        </w:rPr>
        <w:t xml:space="preserve"> </w:t>
      </w:r>
      <w:r w:rsidRPr="00EF630D">
        <w:rPr>
          <w:rFonts w:ascii="Times New Roman" w:hAnsi="Times New Roman" w:cs="Times New Roman"/>
          <w:sz w:val="22"/>
          <w:szCs w:val="22"/>
        </w:rPr>
        <w:t>shall be exercis</w:t>
      </w:r>
      <w:r w:rsidR="001A154D" w:rsidRPr="00EF630D">
        <w:rPr>
          <w:rFonts w:ascii="Times New Roman" w:hAnsi="Times New Roman" w:cs="Times New Roman"/>
          <w:sz w:val="22"/>
          <w:szCs w:val="22"/>
        </w:rPr>
        <w:t>ed in</w:t>
      </w:r>
      <w:r w:rsidR="001A154D">
        <w:rPr>
          <w:rFonts w:ascii="Times New Roman" w:hAnsi="Times New Roman" w:cs="Times New Roman"/>
          <w:sz w:val="22"/>
          <w:szCs w:val="22"/>
        </w:rPr>
        <w:t xml:space="preserve"> limiting access to </w:t>
      </w:r>
      <w:r w:rsidRPr="0027494C">
        <w:rPr>
          <w:rFonts w:ascii="Times New Roman" w:hAnsi="Times New Roman" w:cs="Times New Roman"/>
          <w:sz w:val="22"/>
          <w:szCs w:val="22"/>
        </w:rPr>
        <w:t>data to only those persons who are working on the</w:t>
      </w:r>
      <w:r w:rsidR="001A154D">
        <w:rPr>
          <w:rFonts w:ascii="Times New Roman" w:hAnsi="Times New Roman" w:cs="Times New Roman"/>
          <w:sz w:val="22"/>
          <w:szCs w:val="22"/>
        </w:rPr>
        <w:t xml:space="preserve"> </w:t>
      </w:r>
      <w:r w:rsidRPr="0027494C">
        <w:rPr>
          <w:rFonts w:ascii="Times New Roman" w:hAnsi="Times New Roman" w:cs="Times New Roman"/>
          <w:sz w:val="22"/>
          <w:szCs w:val="22"/>
        </w:rPr>
        <w:t>project</w:t>
      </w:r>
      <w:r w:rsidR="001A154D">
        <w:rPr>
          <w:rFonts w:ascii="Times New Roman" w:hAnsi="Times New Roman" w:cs="Times New Roman"/>
          <w:sz w:val="22"/>
          <w:szCs w:val="22"/>
        </w:rPr>
        <w:t xml:space="preserve"> </w:t>
      </w:r>
      <w:r w:rsidR="001A154D" w:rsidRPr="001A154D">
        <w:rPr>
          <w:rFonts w:ascii="Times New Roman" w:hAnsi="Times New Roman" w:cs="Times New Roman"/>
          <w:sz w:val="22"/>
          <w:szCs w:val="22"/>
        </w:rPr>
        <w:t xml:space="preserve">and who have been instructed in </w:t>
      </w:r>
      <w:r w:rsidR="00BB262A">
        <w:rPr>
          <w:rFonts w:ascii="Times New Roman" w:hAnsi="Times New Roman" w:cs="Times New Roman"/>
          <w:sz w:val="22"/>
          <w:szCs w:val="22"/>
        </w:rPr>
        <w:t xml:space="preserve">appropriate Human Subjects </w:t>
      </w:r>
      <w:r w:rsidR="001A154D">
        <w:rPr>
          <w:rFonts w:ascii="Times New Roman" w:hAnsi="Times New Roman" w:cs="Times New Roman"/>
          <w:sz w:val="22"/>
          <w:szCs w:val="22"/>
        </w:rPr>
        <w:t xml:space="preserve">requirements for the </w:t>
      </w:r>
      <w:r w:rsidR="001A154D" w:rsidRPr="001A154D">
        <w:rPr>
          <w:rFonts w:ascii="Times New Roman" w:hAnsi="Times New Roman" w:cs="Times New Roman"/>
          <w:sz w:val="22"/>
          <w:szCs w:val="22"/>
        </w:rPr>
        <w:t>project.</w:t>
      </w:r>
    </w:p>
    <w:p w14:paraId="37B83312" w14:textId="41A74202" w:rsidR="00777249" w:rsidRDefault="00402185" w:rsidP="007079D5">
      <w:pPr>
        <w:spacing w:line="240" w:lineRule="auto"/>
        <w:rPr>
          <w:rFonts w:ascii="Times New Roman" w:hAnsi="Times New Roman" w:cs="Times New Roman"/>
          <w:bCs/>
          <w:sz w:val="22"/>
          <w:szCs w:val="22"/>
        </w:rPr>
      </w:pPr>
      <w:r w:rsidRPr="00402185">
        <w:rPr>
          <w:rFonts w:ascii="Times New Roman" w:hAnsi="Times New Roman" w:cs="Times New Roman"/>
          <w:bCs/>
          <w:sz w:val="22"/>
          <w:szCs w:val="22"/>
        </w:rPr>
        <w:t xml:space="preserve">Only authorized users, which include </w:t>
      </w:r>
      <w:r w:rsidR="00C34318">
        <w:rPr>
          <w:rFonts w:ascii="Times New Roman" w:hAnsi="Times New Roman" w:cs="Times New Roman"/>
          <w:bCs/>
          <w:sz w:val="22"/>
          <w:szCs w:val="22"/>
        </w:rPr>
        <w:t>g</w:t>
      </w:r>
      <w:r w:rsidRPr="00402185">
        <w:rPr>
          <w:rFonts w:ascii="Times New Roman" w:hAnsi="Times New Roman" w:cs="Times New Roman"/>
          <w:bCs/>
          <w:sz w:val="22"/>
          <w:szCs w:val="22"/>
        </w:rPr>
        <w:t xml:space="preserve">rantees, GPOs, Branch Chiefs, Division Directors, the Contract Officer’s Representative (COR) and a small number of the </w:t>
      </w:r>
      <w:r w:rsidR="00C34318">
        <w:rPr>
          <w:rFonts w:ascii="Times New Roman" w:hAnsi="Times New Roman" w:cs="Times New Roman"/>
          <w:bCs/>
          <w:sz w:val="22"/>
          <w:szCs w:val="22"/>
        </w:rPr>
        <w:t>NET</w:t>
      </w:r>
      <w:r w:rsidRPr="00402185">
        <w:rPr>
          <w:rFonts w:ascii="Times New Roman" w:hAnsi="Times New Roman" w:cs="Times New Roman"/>
          <w:bCs/>
          <w:sz w:val="22"/>
          <w:szCs w:val="22"/>
        </w:rPr>
        <w:t xml:space="preserve"> will have authorized access to the main modules of </w:t>
      </w:r>
      <w:r w:rsidR="00777249">
        <w:rPr>
          <w:rFonts w:ascii="Times New Roman" w:hAnsi="Times New Roman" w:cs="Times New Roman"/>
          <w:bCs/>
          <w:sz w:val="22"/>
          <w:szCs w:val="22"/>
        </w:rPr>
        <w:t>the web-based CMI P</w:t>
      </w:r>
      <w:r w:rsidRPr="00402185">
        <w:rPr>
          <w:rFonts w:ascii="Times New Roman" w:hAnsi="Times New Roman" w:cs="Times New Roman"/>
          <w:bCs/>
          <w:sz w:val="22"/>
          <w:szCs w:val="22"/>
        </w:rPr>
        <w:t xml:space="preserve">ortal. To enter the restricted sections of the site, users must successfully login with their credentials. </w:t>
      </w:r>
      <w:r w:rsidR="00777249">
        <w:rPr>
          <w:rFonts w:ascii="Times New Roman" w:hAnsi="Times New Roman" w:cs="Times New Roman"/>
          <w:bCs/>
          <w:sz w:val="22"/>
          <w:szCs w:val="22"/>
        </w:rPr>
        <w:t>The NET and g</w:t>
      </w:r>
      <w:r w:rsidRPr="00402185">
        <w:rPr>
          <w:rFonts w:ascii="Times New Roman" w:hAnsi="Times New Roman" w:cs="Times New Roman"/>
          <w:bCs/>
          <w:sz w:val="22"/>
          <w:szCs w:val="22"/>
        </w:rPr>
        <w:t xml:space="preserve">rantees are responsible for entering, reviewing, and modifying performance data in the Data Entry section. </w:t>
      </w:r>
      <w:r w:rsidR="00777249">
        <w:rPr>
          <w:rFonts w:ascii="Times New Roman" w:hAnsi="Times New Roman" w:cs="Times New Roman"/>
          <w:bCs/>
          <w:sz w:val="22"/>
          <w:szCs w:val="22"/>
        </w:rPr>
        <w:t>The NET</w:t>
      </w:r>
      <w:r w:rsidRPr="00402185">
        <w:rPr>
          <w:rFonts w:ascii="Times New Roman" w:hAnsi="Times New Roman" w:cs="Times New Roman"/>
          <w:bCs/>
          <w:sz w:val="22"/>
          <w:szCs w:val="22"/>
        </w:rPr>
        <w:t>’s System Administrators have additional system rights, which include posting announcements, setting up programs and grants, and adding/updating users’ accounts. Account and administrative sections houses information specific to Grantees and Programs; this information may be sensitive, and is therefore password-protected. All Evaluation team members having access to system components or data are authorized for such access. Access to system information is controlled by creating/removing accounts and access groups, assigning rights to accounts and access groups, assigning accounts to access groups, granting access through physical access controls, and granting permission for access, transport or storage of information.</w:t>
      </w:r>
      <w:r w:rsidR="007079D5">
        <w:rPr>
          <w:rFonts w:ascii="Times New Roman" w:hAnsi="Times New Roman" w:cs="Times New Roman"/>
          <w:bCs/>
          <w:sz w:val="22"/>
          <w:szCs w:val="22"/>
        </w:rPr>
        <w:t xml:space="preserve"> </w:t>
      </w:r>
    </w:p>
    <w:p w14:paraId="0B83871C" w14:textId="334A7CAE" w:rsidR="00402185" w:rsidRDefault="007079D5" w:rsidP="007079D5">
      <w:pPr>
        <w:spacing w:line="240" w:lineRule="auto"/>
        <w:rPr>
          <w:rFonts w:ascii="Times New Roman" w:hAnsi="Times New Roman" w:cs="Times New Roman"/>
          <w:bCs/>
          <w:sz w:val="22"/>
          <w:szCs w:val="22"/>
        </w:rPr>
      </w:pPr>
      <w:r>
        <w:rPr>
          <w:rFonts w:ascii="Times New Roman" w:hAnsi="Times New Roman" w:cs="Times New Roman"/>
          <w:bCs/>
          <w:sz w:val="22"/>
          <w:szCs w:val="22"/>
        </w:rPr>
        <w:t>S</w:t>
      </w:r>
      <w:r w:rsidRPr="007079D5">
        <w:rPr>
          <w:rFonts w:ascii="Times New Roman" w:hAnsi="Times New Roman" w:cs="Times New Roman"/>
          <w:bCs/>
          <w:sz w:val="22"/>
          <w:szCs w:val="22"/>
        </w:rPr>
        <w:t>erial numbers shall be assigned to respondents prior to</w:t>
      </w:r>
      <w:r>
        <w:rPr>
          <w:rFonts w:ascii="Times New Roman" w:hAnsi="Times New Roman" w:cs="Times New Roman"/>
          <w:bCs/>
          <w:sz w:val="22"/>
          <w:szCs w:val="22"/>
        </w:rPr>
        <w:t xml:space="preserve"> creating a machine-processible </w:t>
      </w:r>
      <w:r w:rsidRPr="007079D5">
        <w:rPr>
          <w:rFonts w:ascii="Times New Roman" w:hAnsi="Times New Roman" w:cs="Times New Roman"/>
          <w:bCs/>
          <w:sz w:val="22"/>
          <w:szCs w:val="22"/>
        </w:rPr>
        <w:t>record and identifiers such as name,</w:t>
      </w:r>
      <w:r>
        <w:rPr>
          <w:rFonts w:ascii="Times New Roman" w:hAnsi="Times New Roman" w:cs="Times New Roman"/>
          <w:bCs/>
          <w:sz w:val="22"/>
          <w:szCs w:val="22"/>
        </w:rPr>
        <w:t xml:space="preserve"> dates of birth and</w:t>
      </w:r>
      <w:r w:rsidRPr="007079D5">
        <w:rPr>
          <w:rFonts w:ascii="Times New Roman" w:hAnsi="Times New Roman" w:cs="Times New Roman"/>
          <w:bCs/>
          <w:sz w:val="22"/>
          <w:szCs w:val="22"/>
        </w:rPr>
        <w:t xml:space="preserve"> address</w:t>
      </w:r>
      <w:r>
        <w:rPr>
          <w:rFonts w:ascii="Times New Roman" w:hAnsi="Times New Roman" w:cs="Times New Roman"/>
          <w:bCs/>
          <w:sz w:val="22"/>
          <w:szCs w:val="22"/>
        </w:rPr>
        <w:t>es</w:t>
      </w:r>
      <w:r w:rsidR="00777249">
        <w:rPr>
          <w:rFonts w:ascii="Times New Roman" w:hAnsi="Times New Roman" w:cs="Times New Roman"/>
          <w:bCs/>
          <w:sz w:val="22"/>
          <w:szCs w:val="22"/>
        </w:rPr>
        <w:t>, which shall not ordinarily</w:t>
      </w:r>
      <w:r w:rsidRPr="007079D5">
        <w:rPr>
          <w:rFonts w:ascii="Times New Roman" w:hAnsi="Times New Roman" w:cs="Times New Roman"/>
          <w:bCs/>
          <w:sz w:val="22"/>
          <w:szCs w:val="22"/>
        </w:rPr>
        <w:t xml:space="preserve"> be a</w:t>
      </w:r>
      <w:r>
        <w:rPr>
          <w:rFonts w:ascii="Times New Roman" w:hAnsi="Times New Roman" w:cs="Times New Roman"/>
          <w:bCs/>
          <w:sz w:val="22"/>
          <w:szCs w:val="22"/>
        </w:rPr>
        <w:t xml:space="preserve"> </w:t>
      </w:r>
      <w:r w:rsidRPr="007079D5">
        <w:rPr>
          <w:rFonts w:ascii="Times New Roman" w:hAnsi="Times New Roman" w:cs="Times New Roman"/>
          <w:bCs/>
          <w:sz w:val="22"/>
          <w:szCs w:val="22"/>
        </w:rPr>
        <w:t>part of the machine record. When identifiers are part of the machi</w:t>
      </w:r>
      <w:r>
        <w:rPr>
          <w:rFonts w:ascii="Times New Roman" w:hAnsi="Times New Roman" w:cs="Times New Roman"/>
          <w:bCs/>
          <w:sz w:val="22"/>
          <w:szCs w:val="22"/>
        </w:rPr>
        <w:t>ne data record, the NET’s data processing manager</w:t>
      </w:r>
      <w:r w:rsidR="00BB262A">
        <w:rPr>
          <w:rFonts w:ascii="Times New Roman" w:hAnsi="Times New Roman" w:cs="Times New Roman"/>
          <w:bCs/>
          <w:sz w:val="22"/>
          <w:szCs w:val="22"/>
        </w:rPr>
        <w:t>,</w:t>
      </w:r>
      <w:r w:rsidRPr="007079D5">
        <w:rPr>
          <w:rFonts w:ascii="Times New Roman" w:hAnsi="Times New Roman" w:cs="Times New Roman"/>
          <w:bCs/>
          <w:sz w:val="22"/>
          <w:szCs w:val="22"/>
        </w:rPr>
        <w:t xml:space="preserve"> </w:t>
      </w:r>
      <w:r w:rsidR="00BB262A" w:rsidRPr="007079D5">
        <w:rPr>
          <w:rFonts w:ascii="Times New Roman" w:hAnsi="Times New Roman" w:cs="Times New Roman"/>
          <w:bCs/>
          <w:sz w:val="22"/>
          <w:szCs w:val="22"/>
        </w:rPr>
        <w:t>in</w:t>
      </w:r>
      <w:r w:rsidR="00BB262A">
        <w:rPr>
          <w:rFonts w:ascii="Times New Roman" w:hAnsi="Times New Roman" w:cs="Times New Roman"/>
          <w:bCs/>
          <w:sz w:val="22"/>
          <w:szCs w:val="22"/>
        </w:rPr>
        <w:t xml:space="preserve"> </w:t>
      </w:r>
      <w:r w:rsidR="00BB262A" w:rsidRPr="007079D5">
        <w:rPr>
          <w:rFonts w:ascii="Times New Roman" w:hAnsi="Times New Roman" w:cs="Times New Roman"/>
          <w:bCs/>
          <w:sz w:val="22"/>
          <w:szCs w:val="22"/>
        </w:rPr>
        <w:t>consultation with the project director</w:t>
      </w:r>
      <w:r w:rsidR="00580E0E">
        <w:rPr>
          <w:rFonts w:ascii="Times New Roman" w:hAnsi="Times New Roman" w:cs="Times New Roman"/>
          <w:bCs/>
          <w:sz w:val="22"/>
          <w:szCs w:val="22"/>
        </w:rPr>
        <w:t>, will</w:t>
      </w:r>
      <w:r w:rsidRPr="007079D5">
        <w:rPr>
          <w:rFonts w:ascii="Times New Roman" w:hAnsi="Times New Roman" w:cs="Times New Roman"/>
          <w:bCs/>
          <w:sz w:val="22"/>
          <w:szCs w:val="22"/>
        </w:rPr>
        <w:t xml:space="preserve"> determin</w:t>
      </w:r>
      <w:r w:rsidR="00580E0E">
        <w:rPr>
          <w:rFonts w:ascii="Times New Roman" w:hAnsi="Times New Roman" w:cs="Times New Roman"/>
          <w:bCs/>
          <w:sz w:val="22"/>
          <w:szCs w:val="22"/>
        </w:rPr>
        <w:t>e</w:t>
      </w:r>
      <w:r w:rsidRPr="007079D5">
        <w:rPr>
          <w:rFonts w:ascii="Times New Roman" w:hAnsi="Times New Roman" w:cs="Times New Roman"/>
          <w:bCs/>
          <w:sz w:val="22"/>
          <w:szCs w:val="22"/>
        </w:rPr>
        <w:t xml:space="preserve"> adequate </w:t>
      </w:r>
      <w:r w:rsidRPr="00EF630D">
        <w:rPr>
          <w:rFonts w:ascii="Times New Roman" w:hAnsi="Times New Roman" w:cs="Times New Roman"/>
          <w:bCs/>
          <w:sz w:val="22"/>
          <w:szCs w:val="22"/>
        </w:rPr>
        <w:t xml:space="preserve">measures </w:t>
      </w:r>
      <w:r w:rsidR="00BB262A" w:rsidRPr="00EF630D">
        <w:rPr>
          <w:rFonts w:ascii="Times New Roman" w:hAnsi="Times New Roman" w:cs="Times New Roman"/>
          <w:bCs/>
          <w:sz w:val="22"/>
          <w:szCs w:val="22"/>
        </w:rPr>
        <w:t>to</w:t>
      </w:r>
      <w:r w:rsidR="00580E0E" w:rsidRPr="00EF630D">
        <w:rPr>
          <w:rFonts w:ascii="Times New Roman" w:hAnsi="Times New Roman" w:cs="Times New Roman"/>
          <w:bCs/>
          <w:sz w:val="22"/>
          <w:szCs w:val="22"/>
        </w:rPr>
        <w:t xml:space="preserve"> limit who had access to </w:t>
      </w:r>
      <w:r w:rsidR="00580E0E" w:rsidRPr="00354239">
        <w:rPr>
          <w:rFonts w:ascii="Times New Roman" w:hAnsi="Times New Roman" w:cs="Times New Roman"/>
          <w:bCs/>
          <w:sz w:val="22"/>
          <w:szCs w:val="22"/>
        </w:rPr>
        <w:t>them.</w:t>
      </w:r>
      <w:r w:rsidRPr="007079D5">
        <w:rPr>
          <w:rFonts w:ascii="Times New Roman" w:hAnsi="Times New Roman" w:cs="Times New Roman"/>
          <w:bCs/>
          <w:sz w:val="22"/>
          <w:szCs w:val="22"/>
        </w:rPr>
        <w:t xml:space="preserve"> </w:t>
      </w:r>
    </w:p>
    <w:p w14:paraId="5CB26EED" w14:textId="022F6A06" w:rsidR="0094408F" w:rsidRPr="0094408F" w:rsidRDefault="0094408F" w:rsidP="0094408F">
      <w:pPr>
        <w:spacing w:line="240" w:lineRule="auto"/>
        <w:rPr>
          <w:rFonts w:ascii="Times New Roman" w:hAnsi="Times New Roman" w:cs="Times New Roman"/>
          <w:bCs/>
          <w:sz w:val="22"/>
          <w:szCs w:val="22"/>
        </w:rPr>
      </w:pPr>
      <w:r w:rsidRPr="0094408F">
        <w:rPr>
          <w:rFonts w:ascii="Times New Roman" w:hAnsi="Times New Roman" w:cs="Times New Roman"/>
          <w:bCs/>
          <w:sz w:val="22"/>
          <w:szCs w:val="22"/>
        </w:rPr>
        <w:t>Electronic files and audio files wil</w:t>
      </w:r>
      <w:r>
        <w:rPr>
          <w:rFonts w:ascii="Times New Roman" w:hAnsi="Times New Roman" w:cs="Times New Roman"/>
          <w:bCs/>
          <w:sz w:val="22"/>
          <w:szCs w:val="22"/>
        </w:rPr>
        <w:t>l be</w:t>
      </w:r>
      <w:r w:rsidRPr="0094408F">
        <w:rPr>
          <w:rFonts w:ascii="Times New Roman" w:hAnsi="Times New Roman" w:cs="Times New Roman"/>
          <w:bCs/>
          <w:sz w:val="22"/>
          <w:szCs w:val="22"/>
        </w:rPr>
        <w:t xml:space="preserve"> accessible only to project staff and under passwo</w:t>
      </w:r>
      <w:r>
        <w:rPr>
          <w:rFonts w:ascii="Times New Roman" w:hAnsi="Times New Roman" w:cs="Times New Roman"/>
          <w:bCs/>
          <w:sz w:val="22"/>
          <w:szCs w:val="22"/>
        </w:rPr>
        <w:t>rd protection. Access to</w:t>
      </w:r>
      <w:r w:rsidRPr="0094408F">
        <w:rPr>
          <w:rFonts w:ascii="Times New Roman" w:hAnsi="Times New Roman" w:cs="Times New Roman"/>
          <w:bCs/>
          <w:sz w:val="22"/>
          <w:szCs w:val="22"/>
        </w:rPr>
        <w:t xml:space="preserve"> network-based data files is controlled through the use of Access Control Lists or directory- and file-access rights based on user account ID and the associated user group designation, which is maintained by the system administrator. Access control on the PC is achieved for the most part by sound file management procedures by each user. Staff is instructed on the proper use of PCs for the storage, transfer, and use of sensitive information and the tools available, such as encryption. </w:t>
      </w:r>
    </w:p>
    <w:p w14:paraId="70ADE720" w14:textId="0EF4D4C2" w:rsidR="00B60B35" w:rsidRDefault="00B60B35" w:rsidP="00B60B35">
      <w:pPr>
        <w:spacing w:line="240" w:lineRule="auto"/>
        <w:rPr>
          <w:rFonts w:ascii="Times New Roman" w:hAnsi="Times New Roman" w:cs="Times New Roman"/>
          <w:sz w:val="22"/>
          <w:szCs w:val="22"/>
        </w:rPr>
      </w:pPr>
      <w:r>
        <w:rPr>
          <w:rFonts w:ascii="Times New Roman" w:hAnsi="Times New Roman" w:cs="Times New Roman"/>
          <w:sz w:val="22"/>
          <w:szCs w:val="22"/>
        </w:rPr>
        <w:t xml:space="preserve">This data collection involves three general sources of data: 1) clients and families; 2) other stakeholders asked to respond based on their </w:t>
      </w:r>
      <w:r w:rsidRPr="00E16790">
        <w:rPr>
          <w:rFonts w:ascii="Times New Roman" w:hAnsi="Times New Roman" w:cs="Times New Roman"/>
          <w:sz w:val="22"/>
          <w:szCs w:val="22"/>
        </w:rPr>
        <w:t xml:space="preserve">professional roles, </w:t>
      </w:r>
      <w:r w:rsidRPr="00E16790">
        <w:rPr>
          <w:rFonts w:ascii="Times New Roman" w:hAnsi="Times New Roman" w:cs="Times New Roman"/>
          <w:i/>
          <w:sz w:val="22"/>
          <w:szCs w:val="22"/>
        </w:rPr>
        <w:t xml:space="preserve">not </w:t>
      </w:r>
      <w:r w:rsidRPr="00E16790">
        <w:rPr>
          <w:rFonts w:ascii="Times New Roman" w:hAnsi="Times New Roman" w:cs="Times New Roman"/>
          <w:sz w:val="22"/>
          <w:szCs w:val="22"/>
        </w:rPr>
        <w:t xml:space="preserve">their personal thoughts or feelings; and 3) administrative data. </w:t>
      </w:r>
      <w:r w:rsidR="003E0A15" w:rsidRPr="00E16790">
        <w:rPr>
          <w:rFonts w:ascii="Times New Roman" w:hAnsi="Times New Roman" w:cs="Times New Roman"/>
          <w:sz w:val="22"/>
          <w:szCs w:val="22"/>
        </w:rPr>
        <w:t>Informed consent forms and/or scripts are included in the attachments along with the corresponding instrument</w:t>
      </w:r>
      <w:r w:rsidRPr="00E16790">
        <w:rPr>
          <w:rFonts w:ascii="Times New Roman" w:hAnsi="Times New Roman" w:cs="Times New Roman"/>
          <w:sz w:val="22"/>
          <w:szCs w:val="22"/>
        </w:rPr>
        <w:t>.</w:t>
      </w:r>
      <w:r>
        <w:rPr>
          <w:rFonts w:ascii="Times New Roman" w:hAnsi="Times New Roman" w:cs="Times New Roman"/>
          <w:sz w:val="22"/>
          <w:szCs w:val="22"/>
        </w:rPr>
        <w:t xml:space="preserve"> </w:t>
      </w:r>
    </w:p>
    <w:p w14:paraId="5A889974" w14:textId="3FB95D46" w:rsidR="00B60B35" w:rsidRDefault="00B60B35" w:rsidP="00B60B35">
      <w:pPr>
        <w:spacing w:line="240" w:lineRule="auto"/>
        <w:rPr>
          <w:rFonts w:ascii="Times New Roman" w:hAnsi="Times New Roman" w:cs="Times New Roman"/>
          <w:sz w:val="22"/>
          <w:szCs w:val="22"/>
        </w:rPr>
      </w:pPr>
      <w:r w:rsidRPr="00DA69AC">
        <w:rPr>
          <w:rFonts w:ascii="Times New Roman" w:hAnsi="Times New Roman" w:cs="Times New Roman"/>
          <w:b/>
          <w:sz w:val="22"/>
          <w:szCs w:val="22"/>
        </w:rPr>
        <w:t>C</w:t>
      </w:r>
      <w:r>
        <w:rPr>
          <w:rFonts w:ascii="Times New Roman" w:hAnsi="Times New Roman" w:cs="Times New Roman"/>
          <w:b/>
          <w:sz w:val="22"/>
          <w:szCs w:val="22"/>
        </w:rPr>
        <w:t>lients and families</w:t>
      </w:r>
      <w:r w:rsidRPr="00DA69AC">
        <w:rPr>
          <w:rFonts w:ascii="Times New Roman" w:hAnsi="Times New Roman" w:cs="Times New Roman"/>
          <w:b/>
          <w:sz w:val="22"/>
          <w:szCs w:val="22"/>
        </w:rPr>
        <w:t>.</w:t>
      </w:r>
      <w:r>
        <w:rPr>
          <w:rFonts w:ascii="Times New Roman" w:hAnsi="Times New Roman" w:cs="Times New Roman"/>
          <w:sz w:val="22"/>
          <w:szCs w:val="22"/>
        </w:rPr>
        <w:t xml:space="preserve"> </w:t>
      </w:r>
      <w:r w:rsidRPr="00596529">
        <w:rPr>
          <w:rFonts w:ascii="Times New Roman" w:hAnsi="Times New Roman" w:cs="Times New Roman"/>
          <w:sz w:val="22"/>
          <w:szCs w:val="22"/>
        </w:rPr>
        <w:t xml:space="preserve">Client records at the sites are also covered under </w:t>
      </w:r>
      <w:r>
        <w:rPr>
          <w:rFonts w:ascii="Times New Roman" w:hAnsi="Times New Roman" w:cs="Times New Roman"/>
          <w:sz w:val="22"/>
          <w:szCs w:val="22"/>
        </w:rPr>
        <w:t>the aforementioned</w:t>
      </w:r>
      <w:r w:rsidRPr="00596529">
        <w:rPr>
          <w:rFonts w:ascii="Times New Roman" w:hAnsi="Times New Roman" w:cs="Times New Roman"/>
          <w:sz w:val="22"/>
          <w:szCs w:val="22"/>
        </w:rPr>
        <w:t xml:space="preserve"> Privacy Act System of Records.</w:t>
      </w:r>
      <w:r w:rsidRPr="00D87880">
        <w:rPr>
          <w:rFonts w:ascii="Times New Roman" w:hAnsi="Times New Roman" w:cs="Times New Roman"/>
          <w:sz w:val="22"/>
          <w:szCs w:val="22"/>
        </w:rPr>
        <w:t xml:space="preserve"> </w:t>
      </w:r>
      <w:r>
        <w:rPr>
          <w:rFonts w:ascii="Times New Roman" w:hAnsi="Times New Roman" w:cs="Times New Roman"/>
          <w:sz w:val="22"/>
          <w:szCs w:val="22"/>
        </w:rPr>
        <w:t xml:space="preserve">Client and family data will be collected for the 1) child and family outcome </w:t>
      </w:r>
      <w:r w:rsidR="005B5E47">
        <w:rPr>
          <w:rFonts w:ascii="Times New Roman" w:hAnsi="Times New Roman" w:cs="Times New Roman"/>
          <w:sz w:val="22"/>
          <w:szCs w:val="22"/>
        </w:rPr>
        <w:t>component</w:t>
      </w:r>
      <w:r>
        <w:rPr>
          <w:rFonts w:ascii="Times New Roman" w:hAnsi="Times New Roman" w:cs="Times New Roman"/>
          <w:sz w:val="22"/>
          <w:szCs w:val="22"/>
        </w:rPr>
        <w:t xml:space="preserve">, 2) SOCEA, and 3) GIS </w:t>
      </w:r>
      <w:r w:rsidR="005B5E47">
        <w:rPr>
          <w:rFonts w:ascii="Times New Roman" w:hAnsi="Times New Roman" w:cs="Times New Roman"/>
          <w:sz w:val="22"/>
          <w:szCs w:val="22"/>
        </w:rPr>
        <w:t>Component</w:t>
      </w:r>
      <w:r>
        <w:rPr>
          <w:rFonts w:ascii="Times New Roman" w:hAnsi="Times New Roman" w:cs="Times New Roman"/>
          <w:sz w:val="22"/>
          <w:szCs w:val="22"/>
        </w:rPr>
        <w:t xml:space="preserve"> at the child and family level.</w:t>
      </w:r>
    </w:p>
    <w:p w14:paraId="4573E775" w14:textId="320C42FC" w:rsidR="00B60B35" w:rsidRDefault="00B60B35" w:rsidP="00B60B35">
      <w:pPr>
        <w:spacing w:line="240" w:lineRule="auto"/>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b/>
          <w:i/>
          <w:sz w:val="22"/>
          <w:szCs w:val="22"/>
        </w:rPr>
        <w:t xml:space="preserve">Child and family outcome </w:t>
      </w:r>
      <w:r w:rsidR="005B5E47">
        <w:rPr>
          <w:rFonts w:ascii="Times New Roman" w:hAnsi="Times New Roman" w:cs="Times New Roman"/>
          <w:b/>
          <w:i/>
          <w:sz w:val="22"/>
          <w:szCs w:val="22"/>
        </w:rPr>
        <w:t>component</w:t>
      </w:r>
      <w:r>
        <w:rPr>
          <w:rFonts w:ascii="Times New Roman" w:hAnsi="Times New Roman" w:cs="Times New Roman"/>
          <w:b/>
          <w:i/>
          <w:sz w:val="22"/>
          <w:szCs w:val="22"/>
        </w:rPr>
        <w:t xml:space="preserve">. </w:t>
      </w:r>
      <w:r w:rsidR="00764E1A">
        <w:rPr>
          <w:rFonts w:ascii="Times New Roman" w:hAnsi="Times New Roman" w:cs="Times New Roman"/>
          <w:b/>
          <w:i/>
          <w:sz w:val="22"/>
          <w:szCs w:val="22"/>
        </w:rPr>
        <w:t xml:space="preserve"> </w:t>
      </w:r>
      <w:r w:rsidR="00764E1A">
        <w:rPr>
          <w:rFonts w:ascii="Times New Roman" w:hAnsi="Times New Roman" w:cs="Times New Roman"/>
          <w:sz w:val="22"/>
          <w:szCs w:val="22"/>
        </w:rPr>
        <w:t xml:space="preserve">Access to the CMHI </w:t>
      </w:r>
      <w:r w:rsidR="00643217">
        <w:rPr>
          <w:rFonts w:ascii="Times New Roman" w:hAnsi="Times New Roman" w:cs="Times New Roman"/>
          <w:sz w:val="22"/>
          <w:szCs w:val="22"/>
        </w:rPr>
        <w:t>web</w:t>
      </w:r>
      <w:r w:rsidR="00764E1A">
        <w:rPr>
          <w:rFonts w:ascii="Times New Roman" w:hAnsi="Times New Roman" w:cs="Times New Roman"/>
          <w:sz w:val="22"/>
          <w:szCs w:val="22"/>
        </w:rPr>
        <w:t xml:space="preserve">-based portal will be password protected and data encryption will be used to enhance security. </w:t>
      </w:r>
      <w:r>
        <w:rPr>
          <w:rFonts w:ascii="Times New Roman" w:hAnsi="Times New Roman" w:cs="Times New Roman"/>
          <w:b/>
          <w:i/>
          <w:sz w:val="22"/>
          <w:szCs w:val="22"/>
        </w:rPr>
        <w:t xml:space="preserve"> </w:t>
      </w:r>
      <w:r w:rsidRPr="00D87880">
        <w:rPr>
          <w:rFonts w:ascii="Times New Roman" w:hAnsi="Times New Roman" w:cs="Times New Roman"/>
          <w:sz w:val="22"/>
          <w:szCs w:val="22"/>
        </w:rPr>
        <w:t xml:space="preserve">No information </w:t>
      </w:r>
      <w:r>
        <w:rPr>
          <w:rFonts w:ascii="Times New Roman" w:hAnsi="Times New Roman" w:cs="Times New Roman"/>
          <w:sz w:val="22"/>
          <w:szCs w:val="22"/>
        </w:rPr>
        <w:t xml:space="preserve">that can potentially be used to identify a client </w:t>
      </w:r>
      <w:r w:rsidRPr="00D87880">
        <w:rPr>
          <w:rFonts w:ascii="Times New Roman" w:hAnsi="Times New Roman" w:cs="Times New Roman"/>
          <w:sz w:val="22"/>
          <w:szCs w:val="22"/>
        </w:rPr>
        <w:t>will be included in these data files other than the child/</w:t>
      </w:r>
      <w:r w:rsidRPr="003838BA">
        <w:rPr>
          <w:rFonts w:ascii="Times New Roman" w:hAnsi="Times New Roman" w:cs="Times New Roman"/>
          <w:sz w:val="22"/>
          <w:szCs w:val="22"/>
        </w:rPr>
        <w:t>youth</w:t>
      </w:r>
      <w:r>
        <w:rPr>
          <w:rFonts w:ascii="Times New Roman" w:hAnsi="Times New Roman" w:cs="Times New Roman"/>
          <w:sz w:val="22"/>
          <w:szCs w:val="22"/>
        </w:rPr>
        <w:t>/young adult</w:t>
      </w:r>
      <w:r w:rsidRPr="003838BA">
        <w:rPr>
          <w:rFonts w:ascii="Times New Roman" w:hAnsi="Times New Roman" w:cs="Times New Roman"/>
          <w:sz w:val="22"/>
          <w:szCs w:val="22"/>
        </w:rPr>
        <w:t>’s unique evaluation identification number (</w:t>
      </w:r>
      <w:r>
        <w:rPr>
          <w:rFonts w:ascii="Times New Roman" w:hAnsi="Times New Roman" w:cs="Times New Roman"/>
          <w:sz w:val="22"/>
          <w:szCs w:val="22"/>
        </w:rPr>
        <w:t>referred to hereafter as the</w:t>
      </w:r>
      <w:r w:rsidRPr="003838BA">
        <w:rPr>
          <w:rFonts w:ascii="Times New Roman" w:hAnsi="Times New Roman" w:cs="Times New Roman"/>
          <w:sz w:val="22"/>
          <w:szCs w:val="22"/>
        </w:rPr>
        <w:t xml:space="preserve"> unique ID). </w:t>
      </w:r>
      <w:r w:rsidR="00856F0D">
        <w:rPr>
          <w:rFonts w:ascii="Times New Roman" w:hAnsi="Times New Roman" w:cs="Times New Roman"/>
          <w:sz w:val="22"/>
          <w:szCs w:val="22"/>
        </w:rPr>
        <w:t xml:space="preserve">No member of the NET will ever have access to information that can link the unique ID to personal identification information. </w:t>
      </w:r>
      <w:r w:rsidRPr="003838BA">
        <w:rPr>
          <w:rFonts w:ascii="Times New Roman" w:hAnsi="Times New Roman" w:cs="Times New Roman"/>
          <w:sz w:val="22"/>
          <w:szCs w:val="22"/>
        </w:rPr>
        <w:t xml:space="preserve">Further, the project </w:t>
      </w:r>
      <w:r w:rsidR="00716153">
        <w:rPr>
          <w:rFonts w:ascii="Times New Roman" w:hAnsi="Times New Roman" w:cs="Times New Roman"/>
          <w:sz w:val="22"/>
          <w:szCs w:val="22"/>
        </w:rPr>
        <w:t>will</w:t>
      </w:r>
      <w:r w:rsidRPr="003838BA">
        <w:rPr>
          <w:rFonts w:ascii="Times New Roman" w:hAnsi="Times New Roman" w:cs="Times New Roman"/>
          <w:sz w:val="22"/>
          <w:szCs w:val="22"/>
        </w:rPr>
        <w:t xml:space="preserve"> ope</w:t>
      </w:r>
      <w:r w:rsidRPr="00D87880">
        <w:rPr>
          <w:rFonts w:ascii="Times New Roman" w:hAnsi="Times New Roman" w:cs="Times New Roman"/>
          <w:sz w:val="22"/>
          <w:szCs w:val="22"/>
        </w:rPr>
        <w:t xml:space="preserve">rate under an ADP/IT security plan approved by CMHS </w:t>
      </w:r>
      <w:r w:rsidR="00643217">
        <w:rPr>
          <w:rFonts w:ascii="Times New Roman" w:hAnsi="Times New Roman" w:cs="Times New Roman"/>
          <w:sz w:val="22"/>
          <w:szCs w:val="22"/>
        </w:rPr>
        <w:t>for</w:t>
      </w:r>
      <w:r w:rsidRPr="00D87880">
        <w:rPr>
          <w:rFonts w:ascii="Times New Roman" w:hAnsi="Times New Roman" w:cs="Times New Roman"/>
          <w:sz w:val="22"/>
          <w:szCs w:val="22"/>
        </w:rPr>
        <w:t xml:space="preserve"> project data. </w:t>
      </w:r>
    </w:p>
    <w:p w14:paraId="0A835810" w14:textId="12DC4888" w:rsidR="00B60B35" w:rsidRPr="00D87880" w:rsidRDefault="00B60B35" w:rsidP="00B60B35">
      <w:pPr>
        <w:pStyle w:val="BodyTextIndent"/>
        <w:widowControl/>
        <w:spacing w:after="120"/>
        <w:ind w:left="0"/>
        <w:rPr>
          <w:sz w:val="22"/>
          <w:szCs w:val="22"/>
        </w:rPr>
      </w:pPr>
      <w:r w:rsidRPr="00D87880">
        <w:rPr>
          <w:sz w:val="22"/>
          <w:szCs w:val="22"/>
        </w:rPr>
        <w:t xml:space="preserve">The Evaluation requires collecting descriptive and outcome data from children, </w:t>
      </w:r>
      <w:r>
        <w:rPr>
          <w:sz w:val="22"/>
          <w:szCs w:val="22"/>
        </w:rPr>
        <w:t xml:space="preserve">youth, </w:t>
      </w:r>
      <w:r w:rsidRPr="00D87880">
        <w:rPr>
          <w:sz w:val="22"/>
          <w:szCs w:val="22"/>
        </w:rPr>
        <w:t>young adults and caregivers. Each grantee will be strongly encouraged to obtain local IRB approval for the informed consent and assent procedures and data collection activities</w:t>
      </w:r>
      <w:r w:rsidR="00856F0D">
        <w:rPr>
          <w:sz w:val="22"/>
          <w:szCs w:val="22"/>
        </w:rPr>
        <w:t xml:space="preserve"> </w:t>
      </w:r>
      <w:r w:rsidR="00856F0D" w:rsidRPr="0021109D">
        <w:rPr>
          <w:sz w:val="22"/>
          <w:szCs w:val="22"/>
        </w:rPr>
        <w:t>they</w:t>
      </w:r>
      <w:r w:rsidRPr="0021109D">
        <w:rPr>
          <w:sz w:val="22"/>
          <w:szCs w:val="22"/>
        </w:rPr>
        <w:t xml:space="preserve"> perform for this Evaluation with children and their families. In addition, grantees will be encouraged to obtain a Certificate of Confidentiality, authorized by Section 301(d) of the Public Health Service Act. This certificate </w:t>
      </w:r>
      <w:r w:rsidR="00790586">
        <w:rPr>
          <w:sz w:val="22"/>
          <w:szCs w:val="22"/>
        </w:rPr>
        <w:t xml:space="preserve">will keep the data private to </w:t>
      </w:r>
      <w:r w:rsidR="007E6E5D" w:rsidRPr="0021109D">
        <w:rPr>
          <w:sz w:val="22"/>
          <w:szCs w:val="22"/>
        </w:rPr>
        <w:t xml:space="preserve">the extent </w:t>
      </w:r>
      <w:r w:rsidR="00790586">
        <w:rPr>
          <w:sz w:val="22"/>
          <w:szCs w:val="22"/>
        </w:rPr>
        <w:t xml:space="preserve">provided </w:t>
      </w:r>
      <w:r w:rsidR="007E6E5D" w:rsidRPr="0021109D">
        <w:rPr>
          <w:sz w:val="22"/>
          <w:szCs w:val="22"/>
        </w:rPr>
        <w:t xml:space="preserve">by law, </w:t>
      </w:r>
      <w:r w:rsidR="00790586">
        <w:rPr>
          <w:sz w:val="22"/>
          <w:szCs w:val="22"/>
        </w:rPr>
        <w:t xml:space="preserve">protecting the investigator(s) </w:t>
      </w:r>
      <w:r w:rsidR="007E6E5D" w:rsidRPr="0021109D">
        <w:rPr>
          <w:sz w:val="22"/>
          <w:szCs w:val="22"/>
        </w:rPr>
        <w:t xml:space="preserve">from </w:t>
      </w:r>
      <w:r w:rsidRPr="0021109D">
        <w:rPr>
          <w:sz w:val="22"/>
          <w:szCs w:val="22"/>
        </w:rPr>
        <w:t>civil and criminal subpoena</w:t>
      </w:r>
      <w:r w:rsidR="008B0358" w:rsidRPr="0021109D">
        <w:rPr>
          <w:sz w:val="22"/>
          <w:szCs w:val="22"/>
        </w:rPr>
        <w:t xml:space="preserve"> </w:t>
      </w:r>
      <w:r w:rsidR="007E6E5D" w:rsidRPr="0021109D">
        <w:rPr>
          <w:sz w:val="22"/>
          <w:szCs w:val="22"/>
        </w:rPr>
        <w:t>to identify</w:t>
      </w:r>
      <w:r w:rsidR="007E6E5D">
        <w:rPr>
          <w:sz w:val="22"/>
          <w:szCs w:val="22"/>
        </w:rPr>
        <w:t xml:space="preserve"> participants in court</w:t>
      </w:r>
      <w:r w:rsidRPr="00D87880">
        <w:rPr>
          <w:sz w:val="22"/>
          <w:szCs w:val="22"/>
        </w:rPr>
        <w:t>.</w:t>
      </w:r>
      <w:r w:rsidR="00F624D0">
        <w:rPr>
          <w:sz w:val="22"/>
          <w:szCs w:val="22"/>
        </w:rPr>
        <w:t xml:space="preserve"> </w:t>
      </w:r>
      <w:r w:rsidR="007E6E5D">
        <w:rPr>
          <w:sz w:val="22"/>
          <w:szCs w:val="22"/>
        </w:rPr>
        <w:t xml:space="preserve"> </w:t>
      </w:r>
      <w:r w:rsidR="00F624D0">
        <w:rPr>
          <w:sz w:val="22"/>
          <w:szCs w:val="22"/>
        </w:rPr>
        <w:t xml:space="preserve">As noted previously, </w:t>
      </w:r>
      <w:r w:rsidR="00F624D0" w:rsidRPr="00E16790">
        <w:rPr>
          <w:sz w:val="22"/>
          <w:szCs w:val="22"/>
        </w:rPr>
        <w:t>consent forms and/or scripts are included in the attachments along with the corresponding instrument.</w:t>
      </w:r>
    </w:p>
    <w:p w14:paraId="6BD60825" w14:textId="09F0BD20" w:rsidR="00B60B35" w:rsidRDefault="00B60B35" w:rsidP="00B60B35">
      <w:pPr>
        <w:pStyle w:val="BodyTextIndent"/>
        <w:widowControl/>
        <w:spacing w:after="120"/>
        <w:ind w:left="0"/>
        <w:rPr>
          <w:sz w:val="22"/>
          <w:szCs w:val="22"/>
        </w:rPr>
      </w:pPr>
      <w:r w:rsidRPr="00D87880">
        <w:rPr>
          <w:sz w:val="22"/>
          <w:szCs w:val="22"/>
        </w:rPr>
        <w:t xml:space="preserve">Each grantee will develop and implement an active </w:t>
      </w:r>
      <w:r w:rsidR="00856F0D">
        <w:rPr>
          <w:sz w:val="22"/>
          <w:szCs w:val="22"/>
        </w:rPr>
        <w:t xml:space="preserve">informed </w:t>
      </w:r>
      <w:r w:rsidRPr="00D87880">
        <w:rPr>
          <w:sz w:val="22"/>
          <w:szCs w:val="22"/>
        </w:rPr>
        <w:t xml:space="preserve">consent procedure that informs the participants of the purpose of the Evaluation, describes what their participation entails, and addresses </w:t>
      </w:r>
      <w:r w:rsidR="00643217">
        <w:rPr>
          <w:sz w:val="22"/>
          <w:szCs w:val="22"/>
        </w:rPr>
        <w:t>the security measures</w:t>
      </w:r>
      <w:r w:rsidRPr="00E73F04">
        <w:rPr>
          <w:sz w:val="22"/>
          <w:szCs w:val="22"/>
        </w:rPr>
        <w:t xml:space="preserve"> described above. In addition, respondents will be informed </w:t>
      </w:r>
      <w:r>
        <w:rPr>
          <w:sz w:val="22"/>
          <w:szCs w:val="22"/>
        </w:rPr>
        <w:t>that their</w:t>
      </w:r>
      <w:r w:rsidRPr="00E73F04">
        <w:rPr>
          <w:sz w:val="22"/>
          <w:szCs w:val="22"/>
        </w:rPr>
        <w:t xml:space="preserve"> participation is voluntary, </w:t>
      </w:r>
      <w:r w:rsidR="00856F0D">
        <w:rPr>
          <w:sz w:val="22"/>
          <w:szCs w:val="22"/>
        </w:rPr>
        <w:t xml:space="preserve">that they have </w:t>
      </w:r>
      <w:r>
        <w:rPr>
          <w:sz w:val="22"/>
          <w:szCs w:val="22"/>
        </w:rPr>
        <w:t>the</w:t>
      </w:r>
      <w:r w:rsidRPr="00E73F04">
        <w:rPr>
          <w:sz w:val="22"/>
          <w:szCs w:val="22"/>
        </w:rPr>
        <w:t xml:space="preserve"> right to discontinue participation at any time </w:t>
      </w:r>
      <w:r w:rsidR="00856F0D">
        <w:rPr>
          <w:sz w:val="22"/>
          <w:szCs w:val="22"/>
        </w:rPr>
        <w:t xml:space="preserve">without impacting services they receive, </w:t>
      </w:r>
      <w:r w:rsidRPr="00E73F04">
        <w:rPr>
          <w:sz w:val="22"/>
          <w:szCs w:val="22"/>
        </w:rPr>
        <w:t xml:space="preserve">and </w:t>
      </w:r>
      <w:r w:rsidR="00856F0D">
        <w:rPr>
          <w:sz w:val="22"/>
          <w:szCs w:val="22"/>
        </w:rPr>
        <w:t xml:space="preserve">of </w:t>
      </w:r>
      <w:r w:rsidRPr="00E73F04">
        <w:rPr>
          <w:sz w:val="22"/>
          <w:szCs w:val="22"/>
        </w:rPr>
        <w:t xml:space="preserve">the </w:t>
      </w:r>
      <w:r w:rsidRPr="00E73F04">
        <w:rPr>
          <w:color w:val="000000"/>
          <w:sz w:val="22"/>
          <w:szCs w:val="22"/>
        </w:rPr>
        <w:t>risks and benefits of participation</w:t>
      </w:r>
      <w:r>
        <w:rPr>
          <w:color w:val="000000"/>
          <w:sz w:val="22"/>
          <w:szCs w:val="22"/>
        </w:rPr>
        <w:t>.</w:t>
      </w:r>
      <w:r w:rsidRPr="00D87880">
        <w:rPr>
          <w:sz w:val="22"/>
          <w:szCs w:val="22"/>
        </w:rPr>
        <w:t xml:space="preserve"> Informed assent will be obtained from participating olde</w:t>
      </w:r>
      <w:r w:rsidR="000813BF">
        <w:rPr>
          <w:sz w:val="22"/>
          <w:szCs w:val="22"/>
        </w:rPr>
        <w:t>r children and adolescents (age</w:t>
      </w:r>
      <w:r w:rsidRPr="00D87880">
        <w:rPr>
          <w:sz w:val="22"/>
          <w:szCs w:val="22"/>
        </w:rPr>
        <w:t xml:space="preserve"> 11–17 years). In addition, informed consent will be obtained from </w:t>
      </w:r>
      <w:r>
        <w:rPr>
          <w:sz w:val="22"/>
          <w:szCs w:val="22"/>
        </w:rPr>
        <w:t>you</w:t>
      </w:r>
      <w:r w:rsidR="009B3C4A">
        <w:rPr>
          <w:sz w:val="22"/>
          <w:szCs w:val="22"/>
        </w:rPr>
        <w:t>ng adults</w:t>
      </w:r>
      <w:r w:rsidRPr="00D87880">
        <w:rPr>
          <w:sz w:val="22"/>
          <w:szCs w:val="22"/>
        </w:rPr>
        <w:t xml:space="preserve"> age 18 and older. Written informed consent or assent will be obtained from children and families at the point of entry into services</w:t>
      </w:r>
      <w:r w:rsidR="00856F0D">
        <w:rPr>
          <w:sz w:val="22"/>
          <w:szCs w:val="22"/>
        </w:rPr>
        <w:t xml:space="preserve"> and before the collection of evaluation data</w:t>
      </w:r>
      <w:r w:rsidRPr="00D87880">
        <w:rPr>
          <w:sz w:val="22"/>
          <w:szCs w:val="22"/>
        </w:rPr>
        <w:t xml:space="preserve">. </w:t>
      </w:r>
      <w:r w:rsidR="00856F0D" w:rsidRPr="00D87880">
        <w:rPr>
          <w:sz w:val="22"/>
          <w:szCs w:val="22"/>
        </w:rPr>
        <w:t xml:space="preserve">Grantees are instructed to determine whether updates to consents are required at each data collection point, </w:t>
      </w:r>
      <w:r w:rsidR="00856F0D">
        <w:rPr>
          <w:sz w:val="22"/>
          <w:szCs w:val="22"/>
        </w:rPr>
        <w:t>as</w:t>
      </w:r>
      <w:r w:rsidR="00856F0D" w:rsidRPr="00D87880">
        <w:rPr>
          <w:sz w:val="22"/>
          <w:szCs w:val="22"/>
        </w:rPr>
        <w:t xml:space="preserve"> the legal custody of a child may change, a child may become old enough to participate in a youth interview, a youth may become an emancipated minor or age up into adult status, and local IRBs may have requirements for regular updates.</w:t>
      </w:r>
    </w:p>
    <w:p w14:paraId="0D036556" w14:textId="0B35E8D1" w:rsidR="00B60B35" w:rsidRPr="003838BA" w:rsidRDefault="00B60B35" w:rsidP="00B60B35">
      <w:p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In all grantee sites, </w:t>
      </w:r>
      <w:r w:rsidR="00D25D6A">
        <w:rPr>
          <w:rFonts w:ascii="Times New Roman" w:hAnsi="Times New Roman" w:cs="Times New Roman"/>
          <w:sz w:val="22"/>
          <w:szCs w:val="22"/>
        </w:rPr>
        <w:t xml:space="preserve">child/youth and family outcome </w:t>
      </w:r>
      <w:r w:rsidR="005B5E47">
        <w:rPr>
          <w:rFonts w:ascii="Times New Roman" w:hAnsi="Times New Roman" w:cs="Times New Roman"/>
          <w:sz w:val="22"/>
          <w:szCs w:val="22"/>
        </w:rPr>
        <w:t>component</w:t>
      </w:r>
      <w:r w:rsidR="00D25D6A">
        <w:rPr>
          <w:rFonts w:ascii="Times New Roman" w:hAnsi="Times New Roman" w:cs="Times New Roman"/>
          <w:sz w:val="22"/>
          <w:szCs w:val="22"/>
        </w:rPr>
        <w:t xml:space="preserve"> </w:t>
      </w:r>
      <w:r w:rsidRPr="00D87880">
        <w:rPr>
          <w:rFonts w:ascii="Times New Roman" w:hAnsi="Times New Roman" w:cs="Times New Roman"/>
          <w:sz w:val="22"/>
          <w:szCs w:val="22"/>
        </w:rPr>
        <w:t xml:space="preserve">data are collected by site staff. These staff members are responsible for developing procedures to </w:t>
      </w:r>
      <w:r w:rsidR="00FC1124" w:rsidRPr="00354239">
        <w:rPr>
          <w:rFonts w:ascii="Times New Roman" w:hAnsi="Times New Roman" w:cs="Times New Roman"/>
          <w:sz w:val="22"/>
          <w:szCs w:val="22"/>
        </w:rPr>
        <w:t>guard</w:t>
      </w:r>
      <w:r w:rsidR="00FC1124">
        <w:rPr>
          <w:rFonts w:ascii="Times New Roman" w:hAnsi="Times New Roman" w:cs="Times New Roman"/>
          <w:sz w:val="22"/>
          <w:szCs w:val="22"/>
        </w:rPr>
        <w:t xml:space="preserve"> </w:t>
      </w:r>
      <w:r w:rsidR="00FC1124" w:rsidRPr="00D87880">
        <w:rPr>
          <w:rFonts w:ascii="Times New Roman" w:hAnsi="Times New Roman" w:cs="Times New Roman"/>
          <w:sz w:val="22"/>
          <w:szCs w:val="22"/>
        </w:rPr>
        <w:t xml:space="preserve">Evaluation </w:t>
      </w:r>
      <w:r w:rsidR="00FC1124">
        <w:rPr>
          <w:rFonts w:ascii="Times New Roman" w:hAnsi="Times New Roman" w:cs="Times New Roman"/>
          <w:sz w:val="22"/>
          <w:szCs w:val="22"/>
        </w:rPr>
        <w:t>data during</w:t>
      </w:r>
      <w:r w:rsidRPr="00D87880">
        <w:rPr>
          <w:rFonts w:ascii="Times New Roman" w:hAnsi="Times New Roman" w:cs="Times New Roman"/>
          <w:sz w:val="22"/>
          <w:szCs w:val="22"/>
        </w:rPr>
        <w:t xml:space="preserve"> data collection, storage of data, and reporting of all information obtained through data collection activities. </w:t>
      </w:r>
      <w:r>
        <w:rPr>
          <w:rFonts w:ascii="Times New Roman" w:hAnsi="Times New Roman" w:cs="Times New Roman"/>
          <w:sz w:val="22"/>
          <w:szCs w:val="22"/>
        </w:rPr>
        <w:t xml:space="preserve">(Please recall </w:t>
      </w:r>
      <w:r w:rsidRPr="008D7D57">
        <w:rPr>
          <w:rFonts w:ascii="Times New Roman" w:hAnsi="Times New Roman" w:cs="Times New Roman"/>
          <w:sz w:val="22"/>
          <w:szCs w:val="22"/>
        </w:rPr>
        <w:t>from Section A.3, these client-level data will be transmitted to the client via the secure CMHI Portal online system.) These procedures include limiting the number of individuals who have access to identifying</w:t>
      </w:r>
      <w:r w:rsidRPr="003838BA">
        <w:rPr>
          <w:rFonts w:ascii="Times New Roman" w:hAnsi="Times New Roman" w:cs="Times New Roman"/>
          <w:sz w:val="22"/>
          <w:szCs w:val="22"/>
        </w:rPr>
        <w:t xml:space="preserve"> information, using locked files to store hardcopy forms, assigning unique IDs to each participant to ensure anonymity, and implementing guidelines pertaining to data reporting and dissemination.</w:t>
      </w:r>
    </w:p>
    <w:p w14:paraId="56534B50" w14:textId="1A3BF1ED" w:rsidR="00B60B35" w:rsidRPr="003838BA" w:rsidRDefault="00B60B35" w:rsidP="00B60B35">
      <w:pPr>
        <w:tabs>
          <w:tab w:val="left" w:pos="-1440"/>
        </w:tabs>
        <w:spacing w:line="240" w:lineRule="auto"/>
        <w:rPr>
          <w:rFonts w:ascii="Times New Roman" w:hAnsi="Times New Roman" w:cs="Times New Roman"/>
          <w:sz w:val="22"/>
          <w:szCs w:val="22"/>
        </w:rPr>
      </w:pPr>
      <w:r w:rsidRPr="003838BA">
        <w:rPr>
          <w:rFonts w:ascii="Times New Roman" w:hAnsi="Times New Roman" w:cs="Times New Roman"/>
          <w:sz w:val="22"/>
          <w:szCs w:val="22"/>
        </w:rPr>
        <w:tab/>
      </w:r>
      <w:r w:rsidRPr="003838BA">
        <w:rPr>
          <w:rFonts w:ascii="Times New Roman" w:hAnsi="Times New Roman" w:cs="Times New Roman"/>
          <w:b/>
          <w:i/>
          <w:sz w:val="22"/>
          <w:szCs w:val="22"/>
        </w:rPr>
        <w:t xml:space="preserve">GIS </w:t>
      </w:r>
      <w:r w:rsidR="005B5E47">
        <w:rPr>
          <w:rFonts w:ascii="Times New Roman" w:hAnsi="Times New Roman" w:cs="Times New Roman"/>
          <w:b/>
          <w:i/>
          <w:sz w:val="22"/>
          <w:szCs w:val="22"/>
        </w:rPr>
        <w:t>Component</w:t>
      </w:r>
      <w:r w:rsidRPr="003838BA">
        <w:rPr>
          <w:rFonts w:ascii="Times New Roman" w:hAnsi="Times New Roman" w:cs="Times New Roman"/>
          <w:b/>
          <w:i/>
          <w:sz w:val="22"/>
          <w:szCs w:val="22"/>
        </w:rPr>
        <w:t xml:space="preserve"> at the child and family level. </w:t>
      </w:r>
      <w:r w:rsidRPr="003838BA">
        <w:rPr>
          <w:rFonts w:ascii="Times New Roman" w:hAnsi="Times New Roman" w:cs="Times New Roman"/>
          <w:sz w:val="22"/>
          <w:szCs w:val="22"/>
        </w:rPr>
        <w:t xml:space="preserve"> Site staff will use </w:t>
      </w:r>
      <w:r>
        <w:rPr>
          <w:rFonts w:ascii="Times New Roman" w:hAnsi="Times New Roman" w:cs="Times New Roman"/>
          <w:sz w:val="22"/>
          <w:szCs w:val="22"/>
        </w:rPr>
        <w:t xml:space="preserve">the </w:t>
      </w:r>
      <w:r w:rsidRPr="003838BA">
        <w:rPr>
          <w:rFonts w:ascii="Times New Roman" w:hAnsi="Times New Roman" w:cs="Times New Roman"/>
          <w:sz w:val="22"/>
          <w:szCs w:val="22"/>
        </w:rPr>
        <w:t xml:space="preserve">clients’ address </w:t>
      </w:r>
      <w:r>
        <w:rPr>
          <w:rFonts w:ascii="Times New Roman" w:hAnsi="Times New Roman" w:cs="Times New Roman"/>
          <w:sz w:val="22"/>
          <w:szCs w:val="22"/>
        </w:rPr>
        <w:t>obtained from</w:t>
      </w:r>
      <w:r w:rsidRPr="003838BA">
        <w:rPr>
          <w:rFonts w:ascii="Times New Roman" w:hAnsi="Times New Roman" w:cs="Times New Roman"/>
          <w:sz w:val="22"/>
          <w:szCs w:val="22"/>
        </w:rPr>
        <w:t xml:space="preserve"> their clinical record to determine the Census </w:t>
      </w:r>
      <w:r>
        <w:rPr>
          <w:rFonts w:ascii="Times New Roman" w:hAnsi="Times New Roman" w:cs="Times New Roman"/>
          <w:sz w:val="22"/>
          <w:szCs w:val="22"/>
        </w:rPr>
        <w:t>block</w:t>
      </w:r>
      <w:r w:rsidRPr="003838BA">
        <w:rPr>
          <w:rFonts w:ascii="Times New Roman" w:hAnsi="Times New Roman" w:cs="Times New Roman"/>
          <w:sz w:val="22"/>
          <w:szCs w:val="22"/>
        </w:rPr>
        <w:t xml:space="preserve"> group of their residence.</w:t>
      </w:r>
      <w:r w:rsidR="00EC3462">
        <w:rPr>
          <w:rFonts w:ascii="Times New Roman" w:hAnsi="Times New Roman" w:cs="Times New Roman"/>
          <w:sz w:val="22"/>
          <w:szCs w:val="22"/>
        </w:rPr>
        <w:t xml:space="preserve"> </w:t>
      </w:r>
      <w:r>
        <w:rPr>
          <w:rFonts w:ascii="Times New Roman" w:hAnsi="Times New Roman" w:cs="Times New Roman"/>
          <w:sz w:val="22"/>
          <w:szCs w:val="22"/>
        </w:rPr>
        <w:t xml:space="preserve">(The NET will provide sites with a program to convert </w:t>
      </w:r>
      <w:r w:rsidR="00D25D6A">
        <w:rPr>
          <w:rFonts w:ascii="Times New Roman" w:hAnsi="Times New Roman" w:cs="Times New Roman"/>
          <w:sz w:val="22"/>
          <w:szCs w:val="22"/>
        </w:rPr>
        <w:t xml:space="preserve">home </w:t>
      </w:r>
      <w:r>
        <w:rPr>
          <w:rFonts w:ascii="Times New Roman" w:hAnsi="Times New Roman" w:cs="Times New Roman"/>
          <w:sz w:val="22"/>
          <w:szCs w:val="22"/>
        </w:rPr>
        <w:t>address</w:t>
      </w:r>
      <w:r w:rsidR="00D25D6A">
        <w:rPr>
          <w:rFonts w:ascii="Times New Roman" w:hAnsi="Times New Roman" w:cs="Times New Roman"/>
          <w:sz w:val="22"/>
          <w:szCs w:val="22"/>
        </w:rPr>
        <w:t>es</w:t>
      </w:r>
      <w:r>
        <w:rPr>
          <w:rFonts w:ascii="Times New Roman" w:hAnsi="Times New Roman" w:cs="Times New Roman"/>
          <w:sz w:val="22"/>
          <w:szCs w:val="22"/>
        </w:rPr>
        <w:t xml:space="preserve"> to Census block group</w:t>
      </w:r>
      <w:r w:rsidR="00D25D6A">
        <w:rPr>
          <w:rFonts w:ascii="Times New Roman" w:hAnsi="Times New Roman" w:cs="Times New Roman"/>
          <w:sz w:val="22"/>
          <w:szCs w:val="22"/>
        </w:rPr>
        <w:t xml:space="preserve"> designation.</w:t>
      </w:r>
      <w:r w:rsidR="009B3C4A">
        <w:rPr>
          <w:rFonts w:ascii="Times New Roman" w:hAnsi="Times New Roman" w:cs="Times New Roman"/>
          <w:sz w:val="22"/>
          <w:szCs w:val="22"/>
        </w:rPr>
        <w:t>)</w:t>
      </w:r>
      <w:r w:rsidR="00D25D6A">
        <w:rPr>
          <w:rFonts w:ascii="Times New Roman" w:hAnsi="Times New Roman" w:cs="Times New Roman"/>
          <w:sz w:val="22"/>
          <w:szCs w:val="22"/>
        </w:rPr>
        <w:t xml:space="preserve"> The NET </w:t>
      </w:r>
      <w:r>
        <w:rPr>
          <w:rFonts w:ascii="Times New Roman" w:hAnsi="Times New Roman" w:cs="Times New Roman"/>
          <w:sz w:val="22"/>
          <w:szCs w:val="22"/>
        </w:rPr>
        <w:t>will only</w:t>
      </w:r>
      <w:r w:rsidR="00D25D6A">
        <w:rPr>
          <w:rFonts w:ascii="Times New Roman" w:hAnsi="Times New Roman" w:cs="Times New Roman"/>
          <w:sz w:val="22"/>
          <w:szCs w:val="22"/>
        </w:rPr>
        <w:t xml:space="preserve"> receive</w:t>
      </w:r>
      <w:r>
        <w:rPr>
          <w:rFonts w:ascii="Times New Roman" w:hAnsi="Times New Roman" w:cs="Times New Roman"/>
          <w:sz w:val="22"/>
          <w:szCs w:val="22"/>
        </w:rPr>
        <w:t xml:space="preserve"> Census block group </w:t>
      </w:r>
      <w:r w:rsidR="00D25D6A">
        <w:rPr>
          <w:rFonts w:ascii="Times New Roman" w:hAnsi="Times New Roman" w:cs="Times New Roman"/>
          <w:sz w:val="22"/>
          <w:szCs w:val="22"/>
        </w:rPr>
        <w:t>data, not home addresses</w:t>
      </w:r>
      <w:r w:rsidR="009B3C4A">
        <w:rPr>
          <w:rFonts w:ascii="Times New Roman" w:hAnsi="Times New Roman" w:cs="Times New Roman"/>
          <w:sz w:val="22"/>
          <w:szCs w:val="22"/>
        </w:rPr>
        <w:t>.</w:t>
      </w:r>
      <w:r>
        <w:rPr>
          <w:rFonts w:ascii="Times New Roman" w:hAnsi="Times New Roman" w:cs="Times New Roman"/>
          <w:sz w:val="22"/>
          <w:szCs w:val="22"/>
        </w:rPr>
        <w:t xml:space="preserve"> </w:t>
      </w:r>
    </w:p>
    <w:p w14:paraId="547D294F" w14:textId="19DF43C8" w:rsidR="00B60B35" w:rsidRPr="0096484C" w:rsidRDefault="00B60B35" w:rsidP="00B60B35">
      <w:pPr>
        <w:spacing w:line="240" w:lineRule="auto"/>
        <w:rPr>
          <w:rFonts w:ascii="Times New Roman" w:hAnsi="Times New Roman" w:cs="Times New Roman"/>
          <w:sz w:val="22"/>
          <w:szCs w:val="22"/>
        </w:rPr>
      </w:pPr>
      <w:r w:rsidRPr="003838BA">
        <w:rPr>
          <w:rFonts w:ascii="Times New Roman" w:hAnsi="Times New Roman" w:cs="Times New Roman"/>
          <w:b/>
          <w:i/>
          <w:sz w:val="22"/>
          <w:szCs w:val="22"/>
        </w:rPr>
        <w:tab/>
      </w:r>
      <w:r w:rsidR="00764E1A">
        <w:rPr>
          <w:rFonts w:ascii="Times New Roman" w:hAnsi="Times New Roman" w:cs="Times New Roman"/>
          <w:b/>
          <w:i/>
          <w:sz w:val="22"/>
          <w:szCs w:val="22"/>
        </w:rPr>
        <w:t>System</w:t>
      </w:r>
      <w:r w:rsidR="00333D11">
        <w:rPr>
          <w:rFonts w:ascii="Times New Roman" w:hAnsi="Times New Roman" w:cs="Times New Roman"/>
          <w:b/>
          <w:i/>
          <w:sz w:val="22"/>
          <w:szCs w:val="22"/>
        </w:rPr>
        <w:t>s</w:t>
      </w:r>
      <w:r w:rsidR="00764E1A">
        <w:rPr>
          <w:rFonts w:ascii="Times New Roman" w:hAnsi="Times New Roman" w:cs="Times New Roman"/>
          <w:b/>
          <w:i/>
          <w:sz w:val="22"/>
          <w:szCs w:val="22"/>
        </w:rPr>
        <w:t xml:space="preserve"> of Care Expansion Evaluation (S</w:t>
      </w:r>
      <w:r w:rsidRPr="006A2BBD">
        <w:rPr>
          <w:rFonts w:ascii="Times New Roman" w:hAnsi="Times New Roman" w:cs="Times New Roman"/>
          <w:b/>
          <w:i/>
          <w:sz w:val="22"/>
          <w:szCs w:val="22"/>
        </w:rPr>
        <w:t>OCEA</w:t>
      </w:r>
      <w:r w:rsidR="00764E1A">
        <w:rPr>
          <w:rFonts w:ascii="Times New Roman" w:hAnsi="Times New Roman" w:cs="Times New Roman"/>
          <w:b/>
          <w:i/>
          <w:sz w:val="22"/>
          <w:szCs w:val="22"/>
        </w:rPr>
        <w:t>)</w:t>
      </w:r>
      <w:r w:rsidRPr="006A2BBD">
        <w:rPr>
          <w:rFonts w:ascii="Times New Roman" w:hAnsi="Times New Roman" w:cs="Times New Roman"/>
          <w:b/>
          <w:i/>
          <w:sz w:val="22"/>
          <w:szCs w:val="22"/>
        </w:rPr>
        <w:t xml:space="preserve"> with clients and families</w:t>
      </w:r>
      <w:r w:rsidRPr="006A2BBD">
        <w:rPr>
          <w:rFonts w:ascii="Times New Roman" w:hAnsi="Times New Roman" w:cs="Times New Roman"/>
          <w:sz w:val="22"/>
          <w:szCs w:val="22"/>
        </w:rPr>
        <w:t xml:space="preserve">.  A limited number of clients and families </w:t>
      </w:r>
      <w:r w:rsidR="00363D39">
        <w:rPr>
          <w:rFonts w:ascii="Times New Roman" w:hAnsi="Times New Roman" w:cs="Times New Roman"/>
          <w:sz w:val="22"/>
          <w:szCs w:val="22"/>
        </w:rPr>
        <w:t xml:space="preserve">who are actively receiving services through the SOC </w:t>
      </w:r>
      <w:r w:rsidRPr="006A2BBD">
        <w:rPr>
          <w:rFonts w:ascii="Times New Roman" w:hAnsi="Times New Roman" w:cs="Times New Roman"/>
          <w:sz w:val="22"/>
          <w:szCs w:val="22"/>
        </w:rPr>
        <w:t>will be interviewed by the NET using the SOCEA.  NET staff will administer the SOCEA by telephone</w:t>
      </w:r>
      <w:r w:rsidR="00363D39">
        <w:rPr>
          <w:rFonts w:ascii="Times New Roman" w:hAnsi="Times New Roman" w:cs="Times New Roman"/>
          <w:sz w:val="22"/>
          <w:szCs w:val="22"/>
        </w:rPr>
        <w:t xml:space="preserve">, Skype, or video-conference. The interviewer will conduct the informed consent </w:t>
      </w:r>
      <w:r w:rsidR="00363D39" w:rsidRPr="00967C0E">
        <w:rPr>
          <w:rFonts w:ascii="Times New Roman" w:hAnsi="Times New Roman" w:cs="Times New Roman"/>
          <w:sz w:val="22"/>
          <w:szCs w:val="22"/>
        </w:rPr>
        <w:t xml:space="preserve">process before beginning the interview </w:t>
      </w:r>
      <w:r w:rsidRPr="00BE18B8">
        <w:rPr>
          <w:rFonts w:ascii="Times New Roman" w:hAnsi="Times New Roman" w:cs="Times New Roman"/>
          <w:sz w:val="22"/>
          <w:szCs w:val="22"/>
        </w:rPr>
        <w:t>seek</w:t>
      </w:r>
      <w:r w:rsidR="00363D39" w:rsidRPr="00967C0E">
        <w:rPr>
          <w:rFonts w:ascii="Times New Roman" w:hAnsi="Times New Roman" w:cs="Times New Roman"/>
          <w:sz w:val="22"/>
          <w:szCs w:val="22"/>
        </w:rPr>
        <w:t>ing</w:t>
      </w:r>
      <w:r w:rsidRPr="00967C0E">
        <w:rPr>
          <w:rFonts w:ascii="Times New Roman" w:hAnsi="Times New Roman" w:cs="Times New Roman"/>
          <w:sz w:val="22"/>
          <w:szCs w:val="22"/>
        </w:rPr>
        <w:t xml:space="preserve"> respondent permission to </w:t>
      </w:r>
      <w:r w:rsidR="00363D39" w:rsidRPr="00967C0E">
        <w:rPr>
          <w:rFonts w:ascii="Times New Roman" w:hAnsi="Times New Roman" w:cs="Times New Roman"/>
          <w:sz w:val="22"/>
          <w:szCs w:val="22"/>
        </w:rPr>
        <w:t xml:space="preserve">conduct and </w:t>
      </w:r>
      <w:r w:rsidRPr="00967C0E">
        <w:rPr>
          <w:rFonts w:ascii="Times New Roman" w:hAnsi="Times New Roman" w:cs="Times New Roman"/>
          <w:sz w:val="22"/>
          <w:szCs w:val="22"/>
        </w:rPr>
        <w:t>audio</w:t>
      </w:r>
      <w:r w:rsidR="00363D39" w:rsidRPr="00967C0E">
        <w:rPr>
          <w:rFonts w:ascii="Times New Roman" w:hAnsi="Times New Roman" w:cs="Times New Roman"/>
          <w:sz w:val="22"/>
          <w:szCs w:val="22"/>
        </w:rPr>
        <w:t>-</w:t>
      </w:r>
      <w:r w:rsidRPr="00967C0E">
        <w:rPr>
          <w:rFonts w:ascii="Times New Roman" w:hAnsi="Times New Roman" w:cs="Times New Roman"/>
          <w:sz w:val="22"/>
          <w:szCs w:val="22"/>
        </w:rPr>
        <w:t>record the interview</w:t>
      </w:r>
      <w:r w:rsidR="00967C0E" w:rsidRPr="00BA6099">
        <w:rPr>
          <w:rFonts w:ascii="Times New Roman" w:hAnsi="Times New Roman" w:cs="Times New Roman"/>
          <w:sz w:val="22"/>
          <w:szCs w:val="22"/>
        </w:rPr>
        <w:t>, and parental permission for youth respondents</w:t>
      </w:r>
      <w:r w:rsidR="00363D39" w:rsidRPr="00967C0E">
        <w:rPr>
          <w:rFonts w:ascii="Times New Roman" w:hAnsi="Times New Roman" w:cs="Times New Roman"/>
          <w:sz w:val="22"/>
          <w:szCs w:val="22"/>
        </w:rPr>
        <w:t xml:space="preserve">. </w:t>
      </w:r>
      <w:r w:rsidR="00E454EF" w:rsidRPr="00BE18B8">
        <w:rPr>
          <w:rFonts w:ascii="Times New Roman" w:hAnsi="Times New Roman" w:cs="Times New Roman"/>
          <w:sz w:val="22"/>
          <w:szCs w:val="22"/>
        </w:rPr>
        <w:t xml:space="preserve"> </w:t>
      </w:r>
      <w:r w:rsidR="00363D39" w:rsidRPr="00967C0E">
        <w:rPr>
          <w:rFonts w:ascii="Times New Roman" w:hAnsi="Times New Roman" w:cs="Times New Roman"/>
          <w:sz w:val="22"/>
          <w:szCs w:val="22"/>
        </w:rPr>
        <w:t>Audio-recordings will be used</w:t>
      </w:r>
      <w:r w:rsidRPr="00967C0E">
        <w:rPr>
          <w:rFonts w:ascii="Times New Roman" w:hAnsi="Times New Roman" w:cs="Times New Roman"/>
          <w:sz w:val="22"/>
          <w:szCs w:val="22"/>
        </w:rPr>
        <w:t xml:space="preserve"> for the purpose of clarification and possibl</w:t>
      </w:r>
      <w:r w:rsidR="00363D39" w:rsidRPr="00967C0E">
        <w:rPr>
          <w:rFonts w:ascii="Times New Roman" w:hAnsi="Times New Roman" w:cs="Times New Roman"/>
          <w:sz w:val="22"/>
          <w:szCs w:val="22"/>
        </w:rPr>
        <w:t>e</w:t>
      </w:r>
      <w:r w:rsidRPr="00967C0E">
        <w:rPr>
          <w:rFonts w:ascii="Times New Roman" w:hAnsi="Times New Roman" w:cs="Times New Roman"/>
          <w:sz w:val="22"/>
          <w:szCs w:val="22"/>
        </w:rPr>
        <w:t xml:space="preserve"> transcription.  Verbal consent will be obtained to 1) participate in the interview</w:t>
      </w:r>
      <w:r w:rsidRPr="006A2BBD">
        <w:rPr>
          <w:rFonts w:ascii="Times New Roman" w:hAnsi="Times New Roman" w:cs="Times New Roman"/>
          <w:sz w:val="22"/>
          <w:szCs w:val="22"/>
        </w:rPr>
        <w:t xml:space="preserve"> and 2)</w:t>
      </w:r>
      <w:r>
        <w:rPr>
          <w:rFonts w:ascii="Times New Roman" w:hAnsi="Times New Roman" w:cs="Times New Roman"/>
          <w:sz w:val="22"/>
          <w:szCs w:val="22"/>
        </w:rPr>
        <w:t xml:space="preserve"> for the interview to be audiotaped</w:t>
      </w:r>
      <w:r w:rsidRPr="006A2BBD">
        <w:rPr>
          <w:rFonts w:ascii="Times New Roman" w:hAnsi="Times New Roman" w:cs="Times New Roman"/>
          <w:sz w:val="22"/>
          <w:szCs w:val="22"/>
        </w:rPr>
        <w:t xml:space="preserve">. </w:t>
      </w:r>
      <w:r>
        <w:rPr>
          <w:rFonts w:ascii="Times New Roman" w:hAnsi="Times New Roman" w:cs="Times New Roman"/>
          <w:sz w:val="22"/>
          <w:szCs w:val="22"/>
        </w:rPr>
        <w:t xml:space="preserve"> Audio recordings </w:t>
      </w:r>
      <w:r w:rsidR="00D25D6A">
        <w:rPr>
          <w:rFonts w:ascii="Times New Roman" w:hAnsi="Times New Roman" w:cs="Times New Roman"/>
          <w:sz w:val="22"/>
          <w:szCs w:val="22"/>
        </w:rPr>
        <w:t xml:space="preserve">and hard copies of interviews </w:t>
      </w:r>
      <w:r>
        <w:rPr>
          <w:rFonts w:ascii="Times New Roman" w:hAnsi="Times New Roman" w:cs="Times New Roman"/>
          <w:sz w:val="22"/>
          <w:szCs w:val="22"/>
        </w:rPr>
        <w:t>will be destroyed at the end of the Evaluation, in consultation with the Westat IRB.</w:t>
      </w:r>
      <w:r w:rsidR="00D25D6A">
        <w:rPr>
          <w:rFonts w:ascii="Times New Roman" w:hAnsi="Times New Roman" w:cs="Times New Roman"/>
          <w:sz w:val="22"/>
          <w:szCs w:val="22"/>
        </w:rPr>
        <w:t xml:space="preserve"> </w:t>
      </w:r>
    </w:p>
    <w:p w14:paraId="60A68F18" w14:textId="33523344" w:rsidR="00B60B35" w:rsidRPr="00E01AFF" w:rsidRDefault="00B60B35" w:rsidP="00B60B35">
      <w:pPr>
        <w:spacing w:line="240" w:lineRule="auto"/>
        <w:rPr>
          <w:rFonts w:ascii="Times New Roman" w:hAnsi="Times New Roman" w:cs="Times New Roman"/>
          <w:sz w:val="22"/>
          <w:szCs w:val="22"/>
        </w:rPr>
      </w:pPr>
      <w:r>
        <w:rPr>
          <w:rFonts w:ascii="Times New Roman" w:hAnsi="Times New Roman" w:cs="Times New Roman"/>
          <w:b/>
          <w:sz w:val="22"/>
          <w:szCs w:val="22"/>
        </w:rPr>
        <w:t>Other Stakeholders in their Professional Roles.</w:t>
      </w:r>
      <w:r>
        <w:rPr>
          <w:rFonts w:ascii="Times New Roman" w:hAnsi="Times New Roman" w:cs="Times New Roman"/>
          <w:sz w:val="22"/>
          <w:szCs w:val="22"/>
        </w:rPr>
        <w:t xml:space="preserve">  Most types of data collection </w:t>
      </w:r>
      <w:r w:rsidR="00625DAA">
        <w:rPr>
          <w:rFonts w:ascii="Times New Roman" w:hAnsi="Times New Roman" w:cs="Times New Roman"/>
          <w:sz w:val="22"/>
          <w:szCs w:val="22"/>
        </w:rPr>
        <w:t>activities in</w:t>
      </w:r>
      <w:r>
        <w:rPr>
          <w:rFonts w:ascii="Times New Roman" w:hAnsi="Times New Roman" w:cs="Times New Roman"/>
          <w:sz w:val="22"/>
          <w:szCs w:val="22"/>
        </w:rPr>
        <w:t xml:space="preserve"> the Evaluation involve professional stakeholders, including child and family advocacy representatives, as respondents.  Data collection will be conducted and/or coordinated by NET staff.  These data collection activities will be conducted by 1) telephone interviews or 2) web-based surveys (via the CMHI portal).  </w:t>
      </w:r>
      <w:r w:rsidRPr="00E01AFF">
        <w:rPr>
          <w:rFonts w:ascii="Times New Roman" w:hAnsi="Times New Roman" w:cs="Times New Roman"/>
          <w:sz w:val="22"/>
          <w:szCs w:val="22"/>
        </w:rPr>
        <w:t>Specifics related to each of these data collection activities are discussed here.</w:t>
      </w:r>
    </w:p>
    <w:p w14:paraId="70CC6BED" w14:textId="34FA5403" w:rsidR="00B60B35" w:rsidRPr="00E16790" w:rsidRDefault="00B60B35" w:rsidP="00B60B35">
      <w:pPr>
        <w:spacing w:line="240" w:lineRule="auto"/>
        <w:ind w:firstLine="720"/>
        <w:rPr>
          <w:rFonts w:ascii="Times New Roman" w:hAnsi="Times New Roman" w:cs="Times New Roman"/>
          <w:color w:val="000000"/>
          <w:sz w:val="22"/>
          <w:szCs w:val="22"/>
        </w:rPr>
      </w:pPr>
      <w:r w:rsidRPr="00E01A8D">
        <w:rPr>
          <w:rFonts w:ascii="Times New Roman" w:hAnsi="Times New Roman" w:cs="Times New Roman"/>
          <w:b/>
          <w:i/>
          <w:sz w:val="22"/>
          <w:szCs w:val="22"/>
        </w:rPr>
        <w:t xml:space="preserve">Telephone Interviews.  </w:t>
      </w:r>
      <w:r w:rsidR="0087059B" w:rsidRPr="00E01A8D">
        <w:rPr>
          <w:rFonts w:ascii="Times New Roman" w:hAnsi="Times New Roman" w:cs="Times New Roman"/>
          <w:color w:val="000000"/>
          <w:sz w:val="22"/>
          <w:szCs w:val="22"/>
        </w:rPr>
        <w:t>R</w:t>
      </w:r>
      <w:r w:rsidRPr="00E01A8D">
        <w:rPr>
          <w:rFonts w:ascii="Times New Roman" w:hAnsi="Times New Roman" w:cs="Times New Roman"/>
          <w:color w:val="000000"/>
          <w:sz w:val="22"/>
          <w:szCs w:val="22"/>
        </w:rPr>
        <w:t>espondents’ identities will be known</w:t>
      </w:r>
      <w:r w:rsidR="00967C0E" w:rsidRPr="00E01A8D">
        <w:rPr>
          <w:rFonts w:ascii="Times New Roman" w:hAnsi="Times New Roman" w:cs="Times New Roman"/>
          <w:color w:val="000000"/>
          <w:sz w:val="22"/>
          <w:szCs w:val="22"/>
        </w:rPr>
        <w:t xml:space="preserve"> (for all but </w:t>
      </w:r>
      <w:r w:rsidR="00BE18B8" w:rsidRPr="00E01A8D">
        <w:rPr>
          <w:rFonts w:ascii="Times New Roman" w:hAnsi="Times New Roman" w:cs="Times New Roman"/>
          <w:color w:val="000000"/>
          <w:sz w:val="22"/>
          <w:szCs w:val="22"/>
        </w:rPr>
        <w:t>youth</w:t>
      </w:r>
      <w:r w:rsidR="00967C0E" w:rsidRPr="00E01A8D">
        <w:rPr>
          <w:rFonts w:ascii="Times New Roman" w:hAnsi="Times New Roman" w:cs="Times New Roman"/>
          <w:color w:val="000000"/>
          <w:sz w:val="22"/>
          <w:szCs w:val="22"/>
        </w:rPr>
        <w:t xml:space="preserve"> and </w:t>
      </w:r>
      <w:r w:rsidR="00BE18B8" w:rsidRPr="00E01A8D">
        <w:rPr>
          <w:rFonts w:ascii="Times New Roman" w:hAnsi="Times New Roman" w:cs="Times New Roman"/>
          <w:color w:val="000000"/>
          <w:sz w:val="22"/>
          <w:szCs w:val="22"/>
        </w:rPr>
        <w:t xml:space="preserve">caregiver </w:t>
      </w:r>
      <w:r w:rsidR="00967C0E" w:rsidRPr="00E01A8D">
        <w:rPr>
          <w:rFonts w:ascii="Times New Roman" w:hAnsi="Times New Roman" w:cs="Times New Roman"/>
          <w:color w:val="000000"/>
          <w:sz w:val="22"/>
          <w:szCs w:val="22"/>
        </w:rPr>
        <w:t>respondents)</w:t>
      </w:r>
      <w:r w:rsidRPr="00E01A8D">
        <w:rPr>
          <w:rFonts w:ascii="Times New Roman" w:hAnsi="Times New Roman" w:cs="Times New Roman"/>
          <w:color w:val="000000"/>
          <w:sz w:val="22"/>
          <w:szCs w:val="22"/>
        </w:rPr>
        <w:t xml:space="preserve">, </w:t>
      </w:r>
      <w:r w:rsidR="0087059B" w:rsidRPr="00E01A8D">
        <w:rPr>
          <w:rFonts w:ascii="Times New Roman" w:hAnsi="Times New Roman" w:cs="Times New Roman"/>
          <w:color w:val="000000"/>
          <w:sz w:val="22"/>
          <w:szCs w:val="22"/>
        </w:rPr>
        <w:t xml:space="preserve">so </w:t>
      </w:r>
      <w:r w:rsidRPr="00E01A8D">
        <w:rPr>
          <w:rFonts w:ascii="Times New Roman" w:hAnsi="Times New Roman" w:cs="Times New Roman"/>
          <w:color w:val="000000"/>
          <w:sz w:val="22"/>
          <w:szCs w:val="22"/>
        </w:rPr>
        <w:t>to ensure participants’ rights, an active informed consent process will occur. NET staff will obtain v</w:t>
      </w:r>
      <w:r w:rsidRPr="00E01A8D">
        <w:rPr>
          <w:rFonts w:ascii="Times New Roman" w:hAnsi="Times New Roman" w:cs="Times New Roman"/>
          <w:sz w:val="22"/>
          <w:szCs w:val="22"/>
        </w:rPr>
        <w:t>erbal consent for telephone interviews using the consent scripts in</w:t>
      </w:r>
      <w:r w:rsidR="003E0A15" w:rsidRPr="00E01A8D">
        <w:rPr>
          <w:rFonts w:ascii="Times New Roman" w:hAnsi="Times New Roman" w:cs="Times New Roman"/>
          <w:sz w:val="22"/>
          <w:szCs w:val="22"/>
        </w:rPr>
        <w:t>cluded in the attachments with the corresponding instrument</w:t>
      </w:r>
      <w:r w:rsidRPr="00E01A8D">
        <w:rPr>
          <w:rFonts w:ascii="Times New Roman" w:hAnsi="Times New Roman" w:cs="Times New Roman"/>
          <w:sz w:val="22"/>
          <w:szCs w:val="22"/>
        </w:rPr>
        <w:t>.  Data collection activities falling into this category include the following:</w:t>
      </w:r>
      <w:r w:rsidRPr="00E16790">
        <w:rPr>
          <w:rFonts w:ascii="Times New Roman" w:hAnsi="Times New Roman" w:cs="Times New Roman"/>
          <w:sz w:val="22"/>
          <w:szCs w:val="22"/>
        </w:rPr>
        <w:t xml:space="preserve">  </w:t>
      </w:r>
    </w:p>
    <w:p w14:paraId="6D5545A0" w14:textId="659187DF" w:rsidR="00B60B35" w:rsidRPr="00E16790" w:rsidRDefault="0077206D" w:rsidP="00B60B35">
      <w:pPr>
        <w:pStyle w:val="ListParagraph"/>
        <w:numPr>
          <w:ilvl w:val="0"/>
          <w:numId w:val="49"/>
        </w:numPr>
        <w:spacing w:line="240" w:lineRule="auto"/>
        <w:rPr>
          <w:rFonts w:ascii="Times New Roman" w:hAnsi="Times New Roman" w:cs="Times New Roman"/>
          <w:sz w:val="22"/>
          <w:szCs w:val="22"/>
        </w:rPr>
      </w:pPr>
      <w:r>
        <w:rPr>
          <w:rFonts w:ascii="Times New Roman" w:hAnsi="Times New Roman" w:cs="Times New Roman"/>
          <w:sz w:val="22"/>
          <w:szCs w:val="22"/>
        </w:rPr>
        <w:t>Stakeholder interviews</w:t>
      </w:r>
      <w:r w:rsidR="00B60B35" w:rsidRPr="00E16790">
        <w:rPr>
          <w:rFonts w:ascii="Times New Roman" w:hAnsi="Times New Roman" w:cs="Times New Roman"/>
          <w:sz w:val="22"/>
          <w:szCs w:val="22"/>
        </w:rPr>
        <w:t>,</w:t>
      </w:r>
      <w:r w:rsidR="00B60B35" w:rsidRPr="00E16790">
        <w:rPr>
          <w:rFonts w:ascii="Times New Roman" w:hAnsi="Times New Roman" w:cs="Times New Roman"/>
          <w:sz w:val="22"/>
          <w:szCs w:val="22"/>
        </w:rPr>
        <w:tab/>
      </w:r>
    </w:p>
    <w:p w14:paraId="7B5D05EE" w14:textId="77777777" w:rsidR="00B60B35" w:rsidRPr="00C025C1" w:rsidRDefault="00B60B35" w:rsidP="00B60B35">
      <w:pPr>
        <w:pStyle w:val="ListParagraph"/>
        <w:numPr>
          <w:ilvl w:val="0"/>
          <w:numId w:val="49"/>
        </w:numPr>
        <w:spacing w:line="240" w:lineRule="auto"/>
        <w:rPr>
          <w:rFonts w:ascii="Times New Roman" w:hAnsi="Times New Roman" w:cs="Times New Roman"/>
          <w:sz w:val="22"/>
          <w:szCs w:val="22"/>
        </w:rPr>
      </w:pPr>
      <w:r w:rsidRPr="00C025C1">
        <w:rPr>
          <w:rFonts w:ascii="Times New Roman" w:hAnsi="Times New Roman" w:cs="Times New Roman"/>
          <w:sz w:val="22"/>
          <w:szCs w:val="22"/>
        </w:rPr>
        <w:t>Financial Mapping Interview</w:t>
      </w:r>
      <w:r>
        <w:rPr>
          <w:rFonts w:ascii="Times New Roman" w:hAnsi="Times New Roman" w:cs="Times New Roman"/>
          <w:sz w:val="22"/>
          <w:szCs w:val="22"/>
        </w:rPr>
        <w:t>, and</w:t>
      </w:r>
      <w:r w:rsidRPr="00C025C1">
        <w:rPr>
          <w:rFonts w:ascii="Times New Roman" w:hAnsi="Times New Roman" w:cs="Times New Roman"/>
          <w:b/>
          <w:i/>
          <w:sz w:val="22"/>
          <w:szCs w:val="22"/>
        </w:rPr>
        <w:t xml:space="preserve"> </w:t>
      </w:r>
    </w:p>
    <w:p w14:paraId="3AB97093" w14:textId="0CDDF784" w:rsidR="00B60B35" w:rsidRPr="0096484C" w:rsidRDefault="00B60B35" w:rsidP="00B60B35">
      <w:pPr>
        <w:pStyle w:val="ListParagraph"/>
        <w:numPr>
          <w:ilvl w:val="0"/>
          <w:numId w:val="49"/>
        </w:numPr>
        <w:spacing w:line="240" w:lineRule="auto"/>
        <w:rPr>
          <w:rFonts w:ascii="Times New Roman" w:hAnsi="Times New Roman" w:cs="Times New Roman"/>
          <w:sz w:val="22"/>
          <w:szCs w:val="22"/>
        </w:rPr>
      </w:pPr>
      <w:r w:rsidRPr="00C025C1">
        <w:rPr>
          <w:rFonts w:ascii="Times New Roman" w:hAnsi="Times New Roman" w:cs="Times New Roman"/>
          <w:sz w:val="22"/>
          <w:szCs w:val="22"/>
        </w:rPr>
        <w:t>SOCEA with other stakeholders</w:t>
      </w:r>
      <w:r w:rsidR="00DB3592">
        <w:rPr>
          <w:rFonts w:ascii="Times New Roman" w:hAnsi="Times New Roman" w:cs="Times New Roman"/>
          <w:sz w:val="22"/>
          <w:szCs w:val="22"/>
        </w:rPr>
        <w:t xml:space="preserve"> (i.e., stakeholders other than youth and caregivers)</w:t>
      </w:r>
      <w:r>
        <w:rPr>
          <w:rFonts w:ascii="Times New Roman" w:hAnsi="Times New Roman" w:cs="Times New Roman"/>
          <w:sz w:val="22"/>
          <w:szCs w:val="22"/>
        </w:rPr>
        <w:t>.</w:t>
      </w:r>
      <w:r w:rsidRPr="0096484C">
        <w:rPr>
          <w:rFonts w:ascii="Times New Roman" w:hAnsi="Times New Roman" w:cs="Times New Roman"/>
          <w:sz w:val="22"/>
          <w:szCs w:val="22"/>
          <w:highlight w:val="yellow"/>
        </w:rPr>
        <w:t xml:space="preserve"> </w:t>
      </w:r>
    </w:p>
    <w:p w14:paraId="36E6CF67" w14:textId="49E4CA95" w:rsidR="00B60B35" w:rsidRDefault="00B60B35" w:rsidP="00201FD3">
      <w:pPr>
        <w:rPr>
          <w:rFonts w:ascii="Times New Roman" w:hAnsi="Times New Roman" w:cs="Times New Roman"/>
          <w:sz w:val="22"/>
          <w:szCs w:val="22"/>
        </w:rPr>
      </w:pPr>
      <w:r w:rsidRPr="0096484C">
        <w:rPr>
          <w:rFonts w:ascii="Times New Roman" w:hAnsi="Times New Roman" w:cs="Times New Roman"/>
          <w:sz w:val="22"/>
          <w:szCs w:val="22"/>
        </w:rPr>
        <w:t xml:space="preserve">Some telephone interviews will be </w:t>
      </w:r>
      <w:r w:rsidR="008C652E">
        <w:rPr>
          <w:rFonts w:ascii="Times New Roman" w:hAnsi="Times New Roman" w:cs="Times New Roman"/>
          <w:sz w:val="22"/>
          <w:szCs w:val="22"/>
        </w:rPr>
        <w:t>audio</w:t>
      </w:r>
      <w:r w:rsidR="008C652E" w:rsidRPr="0096484C">
        <w:rPr>
          <w:rFonts w:ascii="Times New Roman" w:hAnsi="Times New Roman" w:cs="Times New Roman"/>
          <w:sz w:val="22"/>
          <w:szCs w:val="22"/>
        </w:rPr>
        <w:t xml:space="preserve"> recorded</w:t>
      </w:r>
      <w:r w:rsidRPr="0096484C">
        <w:rPr>
          <w:rFonts w:ascii="Times New Roman" w:hAnsi="Times New Roman" w:cs="Times New Roman"/>
          <w:sz w:val="22"/>
          <w:szCs w:val="22"/>
        </w:rPr>
        <w:t xml:space="preserve">.  </w:t>
      </w:r>
      <w:r>
        <w:rPr>
          <w:rFonts w:ascii="Times New Roman" w:hAnsi="Times New Roman" w:cs="Times New Roman"/>
          <w:sz w:val="22"/>
          <w:szCs w:val="22"/>
        </w:rPr>
        <w:t xml:space="preserve">Separate informed consent will be obtained to audiotape these interviews.  As mentioned previously, </w:t>
      </w:r>
      <w:r w:rsidR="00967C0E">
        <w:rPr>
          <w:rFonts w:ascii="Times New Roman" w:hAnsi="Times New Roman" w:cs="Times New Roman"/>
          <w:sz w:val="22"/>
          <w:szCs w:val="22"/>
        </w:rPr>
        <w:t xml:space="preserve">audio </w:t>
      </w:r>
      <w:r>
        <w:rPr>
          <w:rFonts w:ascii="Times New Roman" w:hAnsi="Times New Roman" w:cs="Times New Roman"/>
          <w:sz w:val="22"/>
          <w:szCs w:val="22"/>
        </w:rPr>
        <w:t>recordings will be destroyed at the end of the Evaluation, in consultation with the Westat IRB.</w:t>
      </w:r>
      <w:r w:rsidR="00BE2E52">
        <w:rPr>
          <w:rFonts w:ascii="Times New Roman" w:hAnsi="Times New Roman" w:cs="Times New Roman"/>
          <w:sz w:val="22"/>
          <w:szCs w:val="22"/>
        </w:rPr>
        <w:t xml:space="preserve"> </w:t>
      </w:r>
      <w:r>
        <w:rPr>
          <w:rFonts w:ascii="Times New Roman" w:hAnsi="Times New Roman" w:cs="Times New Roman"/>
          <w:b/>
          <w:i/>
          <w:sz w:val="22"/>
          <w:szCs w:val="22"/>
        </w:rPr>
        <w:t xml:space="preserve">Web-based Surveys.  </w:t>
      </w:r>
      <w:r>
        <w:rPr>
          <w:rFonts w:ascii="Times New Roman" w:hAnsi="Times New Roman" w:cs="Times New Roman"/>
          <w:sz w:val="22"/>
          <w:szCs w:val="22"/>
        </w:rPr>
        <w:t xml:space="preserve">As described </w:t>
      </w:r>
      <w:r w:rsidR="00932051">
        <w:rPr>
          <w:rFonts w:ascii="Times New Roman" w:hAnsi="Times New Roman" w:cs="Times New Roman"/>
          <w:sz w:val="22"/>
          <w:szCs w:val="22"/>
        </w:rPr>
        <w:t>previously</w:t>
      </w:r>
      <w:r>
        <w:rPr>
          <w:rFonts w:ascii="Times New Roman" w:hAnsi="Times New Roman" w:cs="Times New Roman"/>
          <w:sz w:val="22"/>
          <w:szCs w:val="22"/>
        </w:rPr>
        <w:t xml:space="preserve">, the CMHI Portal will be used for web-based </w:t>
      </w:r>
      <w:r w:rsidR="008C652E">
        <w:rPr>
          <w:rFonts w:ascii="Times New Roman" w:hAnsi="Times New Roman" w:cs="Times New Roman"/>
          <w:sz w:val="22"/>
          <w:szCs w:val="22"/>
        </w:rPr>
        <w:t>data collection</w:t>
      </w:r>
      <w:r>
        <w:rPr>
          <w:rFonts w:ascii="Times New Roman" w:hAnsi="Times New Roman" w:cs="Times New Roman"/>
          <w:sz w:val="22"/>
          <w:szCs w:val="22"/>
        </w:rPr>
        <w:t xml:space="preserve">.  Data collection activities falling into this category include the following:  </w:t>
      </w:r>
    </w:p>
    <w:p w14:paraId="4FAF81CD" w14:textId="51B5AF77" w:rsidR="00B60B35" w:rsidRDefault="00CD3362" w:rsidP="00B60B35">
      <w:pPr>
        <w:pStyle w:val="ListParagraph"/>
        <w:numPr>
          <w:ilvl w:val="0"/>
          <w:numId w:val="49"/>
        </w:numPr>
        <w:spacing w:line="240" w:lineRule="auto"/>
        <w:rPr>
          <w:rFonts w:ascii="Times New Roman" w:hAnsi="Times New Roman" w:cs="Times New Roman"/>
          <w:sz w:val="22"/>
          <w:szCs w:val="22"/>
        </w:rPr>
      </w:pPr>
      <w:r>
        <w:rPr>
          <w:rFonts w:ascii="Times New Roman" w:hAnsi="Times New Roman" w:cs="Times New Roman"/>
          <w:sz w:val="22"/>
          <w:szCs w:val="22"/>
        </w:rPr>
        <w:t>SAIS</w:t>
      </w:r>
      <w:r w:rsidR="00B60B35">
        <w:rPr>
          <w:rFonts w:ascii="Times New Roman" w:hAnsi="Times New Roman" w:cs="Times New Roman"/>
          <w:sz w:val="22"/>
          <w:szCs w:val="22"/>
        </w:rPr>
        <w:t xml:space="preserve"> and</w:t>
      </w:r>
    </w:p>
    <w:p w14:paraId="1B137815" w14:textId="77777777" w:rsidR="00B60B35" w:rsidRPr="00BD2B1E" w:rsidRDefault="00B60B35" w:rsidP="00B60B35">
      <w:pPr>
        <w:pStyle w:val="ListParagraph"/>
        <w:numPr>
          <w:ilvl w:val="0"/>
          <w:numId w:val="49"/>
        </w:numPr>
        <w:spacing w:line="240" w:lineRule="auto"/>
        <w:rPr>
          <w:rFonts w:ascii="Times New Roman" w:hAnsi="Times New Roman" w:cs="Times New Roman"/>
          <w:sz w:val="22"/>
          <w:szCs w:val="22"/>
        </w:rPr>
      </w:pPr>
      <w:r w:rsidRPr="00BD2B1E">
        <w:rPr>
          <w:rFonts w:ascii="Times New Roman" w:hAnsi="Times New Roman" w:cs="Times New Roman"/>
          <w:sz w:val="22"/>
          <w:szCs w:val="22"/>
        </w:rPr>
        <w:t>N</w:t>
      </w:r>
      <w:r>
        <w:rPr>
          <w:rFonts w:ascii="Times New Roman" w:hAnsi="Times New Roman" w:cs="Times New Roman"/>
          <w:sz w:val="22"/>
          <w:szCs w:val="22"/>
        </w:rPr>
        <w:t>etwork Analysis Surveys.</w:t>
      </w:r>
    </w:p>
    <w:p w14:paraId="54F2729A" w14:textId="6CA07B21" w:rsidR="00B60B35" w:rsidRDefault="0087059B" w:rsidP="00B60B35">
      <w:pPr>
        <w:spacing w:line="240" w:lineRule="auto"/>
        <w:rPr>
          <w:rFonts w:ascii="Times New Roman" w:hAnsi="Times New Roman" w:cs="Times New Roman"/>
          <w:color w:val="000000"/>
          <w:sz w:val="22"/>
          <w:szCs w:val="22"/>
        </w:rPr>
      </w:pPr>
      <w:r>
        <w:rPr>
          <w:rFonts w:ascii="Times New Roman" w:hAnsi="Times New Roman" w:cs="Times New Roman"/>
          <w:color w:val="000000"/>
          <w:sz w:val="22"/>
          <w:szCs w:val="22"/>
        </w:rPr>
        <w:t>R</w:t>
      </w:r>
      <w:r w:rsidR="00B60B35" w:rsidRPr="00D97A72">
        <w:rPr>
          <w:rFonts w:ascii="Times New Roman" w:hAnsi="Times New Roman" w:cs="Times New Roman"/>
          <w:color w:val="000000"/>
          <w:sz w:val="22"/>
          <w:szCs w:val="22"/>
        </w:rPr>
        <w:t>espondents’ identities will be known,</w:t>
      </w:r>
      <w:r>
        <w:rPr>
          <w:rFonts w:ascii="Times New Roman" w:hAnsi="Times New Roman" w:cs="Times New Roman"/>
          <w:color w:val="000000"/>
          <w:sz w:val="22"/>
          <w:szCs w:val="22"/>
        </w:rPr>
        <w:t xml:space="preserve"> so</w:t>
      </w:r>
      <w:r w:rsidR="00B60B35" w:rsidRPr="00D97A72">
        <w:rPr>
          <w:rFonts w:ascii="Times New Roman" w:hAnsi="Times New Roman" w:cs="Times New Roman"/>
          <w:color w:val="000000"/>
          <w:sz w:val="22"/>
          <w:szCs w:val="22"/>
        </w:rPr>
        <w:t xml:space="preserve"> to ensure participants’ rights, an active informed consent process will occur. Potential participants will be contacted </w:t>
      </w:r>
      <w:r w:rsidR="00B60B35" w:rsidRPr="006B4F14">
        <w:rPr>
          <w:rFonts w:ascii="Times New Roman" w:hAnsi="Times New Roman" w:cs="Times New Roman"/>
          <w:color w:val="000000"/>
          <w:sz w:val="22"/>
          <w:szCs w:val="22"/>
        </w:rPr>
        <w:t xml:space="preserve">by mail, email, or telephone to explain the survey.  Survey explanation will include the voluntary nature of survey completion, </w:t>
      </w:r>
      <w:r w:rsidR="00643217">
        <w:rPr>
          <w:rFonts w:ascii="Times New Roman" w:hAnsi="Times New Roman" w:cs="Times New Roman"/>
          <w:color w:val="000000"/>
          <w:sz w:val="22"/>
          <w:szCs w:val="22"/>
        </w:rPr>
        <w:t>treatment</w:t>
      </w:r>
      <w:r w:rsidR="00643217" w:rsidRPr="006B4F14">
        <w:rPr>
          <w:rFonts w:ascii="Times New Roman" w:hAnsi="Times New Roman" w:cs="Times New Roman"/>
          <w:color w:val="000000"/>
          <w:sz w:val="22"/>
          <w:szCs w:val="22"/>
        </w:rPr>
        <w:t xml:space="preserve"> </w:t>
      </w:r>
      <w:r w:rsidR="00B60B35" w:rsidRPr="006B4F14">
        <w:rPr>
          <w:rFonts w:ascii="Times New Roman" w:hAnsi="Times New Roman" w:cs="Times New Roman"/>
          <w:color w:val="000000"/>
          <w:sz w:val="22"/>
          <w:szCs w:val="22"/>
        </w:rPr>
        <w:t xml:space="preserve">of responses, and the risks, benefits, and rights as respondents. Participants will be asked to indicate, by checking a box on the Web survey that they agree to participate in the </w:t>
      </w:r>
      <w:r w:rsidR="005B5E47">
        <w:rPr>
          <w:rFonts w:ascii="Times New Roman" w:hAnsi="Times New Roman" w:cs="Times New Roman"/>
          <w:color w:val="000000"/>
          <w:sz w:val="22"/>
          <w:szCs w:val="22"/>
        </w:rPr>
        <w:t>Evaluation</w:t>
      </w:r>
      <w:r w:rsidR="005B5E47" w:rsidRPr="006B4F14">
        <w:rPr>
          <w:rFonts w:ascii="Times New Roman" w:hAnsi="Times New Roman" w:cs="Times New Roman"/>
          <w:color w:val="000000"/>
          <w:sz w:val="22"/>
          <w:szCs w:val="22"/>
        </w:rPr>
        <w:t xml:space="preserve"> </w:t>
      </w:r>
      <w:r w:rsidR="00B60B35" w:rsidRPr="006B4F14">
        <w:rPr>
          <w:rFonts w:ascii="Times New Roman" w:hAnsi="Times New Roman" w:cs="Times New Roman"/>
          <w:color w:val="000000"/>
          <w:sz w:val="22"/>
          <w:szCs w:val="22"/>
        </w:rPr>
        <w:t xml:space="preserve">before they complete and </w:t>
      </w:r>
      <w:r w:rsidR="008B5808">
        <w:rPr>
          <w:rFonts w:ascii="Times New Roman" w:hAnsi="Times New Roman" w:cs="Times New Roman"/>
          <w:color w:val="000000"/>
          <w:sz w:val="22"/>
          <w:szCs w:val="22"/>
        </w:rPr>
        <w:t>submit</w:t>
      </w:r>
      <w:r w:rsidR="008B5808" w:rsidRPr="006B4F14">
        <w:rPr>
          <w:rFonts w:ascii="Times New Roman" w:hAnsi="Times New Roman" w:cs="Times New Roman"/>
          <w:color w:val="000000"/>
          <w:sz w:val="22"/>
          <w:szCs w:val="22"/>
        </w:rPr>
        <w:t xml:space="preserve"> </w:t>
      </w:r>
      <w:r w:rsidR="00B60B35" w:rsidRPr="006B4F14">
        <w:rPr>
          <w:rFonts w:ascii="Times New Roman" w:hAnsi="Times New Roman" w:cs="Times New Roman"/>
          <w:color w:val="000000"/>
          <w:sz w:val="22"/>
          <w:szCs w:val="22"/>
        </w:rPr>
        <w:t xml:space="preserve">the survey. Information about the </w:t>
      </w:r>
      <w:r w:rsidR="005B5E47">
        <w:rPr>
          <w:rFonts w:ascii="Times New Roman" w:hAnsi="Times New Roman" w:cs="Times New Roman"/>
          <w:color w:val="000000"/>
          <w:sz w:val="22"/>
          <w:szCs w:val="22"/>
        </w:rPr>
        <w:t>Evaluation</w:t>
      </w:r>
      <w:r w:rsidR="00B60B35" w:rsidRPr="006B4F14">
        <w:rPr>
          <w:rFonts w:ascii="Times New Roman" w:hAnsi="Times New Roman" w:cs="Times New Roman"/>
          <w:color w:val="000000"/>
          <w:sz w:val="22"/>
          <w:szCs w:val="22"/>
        </w:rPr>
        <w:t xml:space="preserve"> and participant rights will be presented</w:t>
      </w:r>
      <w:r w:rsidR="00B60B35" w:rsidRPr="00D97A72">
        <w:rPr>
          <w:rFonts w:ascii="Times New Roman" w:hAnsi="Times New Roman" w:cs="Times New Roman"/>
          <w:color w:val="000000"/>
          <w:sz w:val="22"/>
          <w:szCs w:val="22"/>
        </w:rPr>
        <w:t xml:space="preserve"> in the Web survey prior to the check box indicating consent to participate. The letter and the Web survey will also provide contact information if the survey recipient has questions or desires clarification prior to participation. If the individual does not have Internet access, alternative administration methods will be used such as 1) a packet sent by regular mail containing a cover letter, an informed consent form, a survey, and a return envelope (</w:t>
      </w:r>
      <w:r w:rsidR="00B60B35">
        <w:rPr>
          <w:rFonts w:ascii="Times New Roman" w:hAnsi="Times New Roman" w:cs="Times New Roman"/>
          <w:color w:val="000000"/>
          <w:sz w:val="22"/>
          <w:szCs w:val="22"/>
        </w:rPr>
        <w:t>t</w:t>
      </w:r>
      <w:r w:rsidR="00B60B35" w:rsidRPr="00D97A72">
        <w:rPr>
          <w:rFonts w:ascii="Times New Roman" w:hAnsi="Times New Roman" w:cs="Times New Roman"/>
          <w:color w:val="000000"/>
          <w:sz w:val="22"/>
          <w:szCs w:val="22"/>
        </w:rPr>
        <w:t xml:space="preserve">he cover letter will indicate that the respondent is to return the informed consent form and the </w:t>
      </w:r>
      <w:r w:rsidR="00397FCA">
        <w:rPr>
          <w:rFonts w:ascii="Times New Roman" w:hAnsi="Times New Roman" w:cs="Times New Roman"/>
          <w:color w:val="000000"/>
          <w:sz w:val="22"/>
          <w:szCs w:val="22"/>
        </w:rPr>
        <w:t xml:space="preserve">completed </w:t>
      </w:r>
      <w:r w:rsidR="00B60B35" w:rsidRPr="00D97A72">
        <w:rPr>
          <w:rFonts w:ascii="Times New Roman" w:hAnsi="Times New Roman" w:cs="Times New Roman"/>
          <w:color w:val="000000"/>
          <w:sz w:val="22"/>
          <w:szCs w:val="22"/>
        </w:rPr>
        <w:t>survey</w:t>
      </w:r>
      <w:r w:rsidR="00397FCA">
        <w:rPr>
          <w:rFonts w:ascii="Times New Roman" w:hAnsi="Times New Roman" w:cs="Times New Roman"/>
          <w:color w:val="000000"/>
          <w:sz w:val="22"/>
          <w:szCs w:val="22"/>
        </w:rPr>
        <w:t xml:space="preserve"> in separate envelopes enclosed in the packet</w:t>
      </w:r>
      <w:r w:rsidR="00B60B35" w:rsidRPr="00D97A72">
        <w:rPr>
          <w:rFonts w:ascii="Times New Roman" w:hAnsi="Times New Roman" w:cs="Times New Roman"/>
          <w:color w:val="000000"/>
          <w:sz w:val="22"/>
          <w:szCs w:val="22"/>
        </w:rPr>
        <w:t>) or 2) the survey will be administered by telephone interview following the procedures detailed previously.</w:t>
      </w:r>
      <w:r w:rsidR="00B60B35">
        <w:rPr>
          <w:rFonts w:ascii="Times New Roman" w:hAnsi="Times New Roman" w:cs="Times New Roman"/>
          <w:color w:val="000000"/>
          <w:sz w:val="22"/>
          <w:szCs w:val="22"/>
        </w:rPr>
        <w:t xml:space="preserve"> </w:t>
      </w:r>
    </w:p>
    <w:p w14:paraId="742367E4" w14:textId="256C81A8" w:rsidR="00B60B35" w:rsidRPr="005E028C" w:rsidRDefault="00B60B35" w:rsidP="00B60B35">
      <w:pPr>
        <w:spacing w:line="240" w:lineRule="auto"/>
        <w:rPr>
          <w:rFonts w:ascii="Times New Roman" w:hAnsi="Times New Roman" w:cs="Times New Roman"/>
          <w:color w:val="000000"/>
          <w:sz w:val="22"/>
          <w:szCs w:val="22"/>
        </w:rPr>
      </w:pPr>
      <w:r w:rsidRPr="00F8573A">
        <w:rPr>
          <w:rFonts w:ascii="Times New Roman" w:hAnsi="Times New Roman" w:cs="Times New Roman"/>
          <w:b/>
          <w:sz w:val="22"/>
          <w:szCs w:val="22"/>
        </w:rPr>
        <w:t xml:space="preserve">Administrative Data.  </w:t>
      </w:r>
      <w:r w:rsidRPr="005E028C">
        <w:rPr>
          <w:rFonts w:ascii="Times New Roman" w:hAnsi="Times New Roman" w:cs="Times New Roman"/>
          <w:color w:val="000000"/>
          <w:sz w:val="22"/>
          <w:szCs w:val="22"/>
        </w:rPr>
        <w:t xml:space="preserve">When electronic data are transferred to the NET, data files will be encrypted to </w:t>
      </w:r>
      <w:r w:rsidR="001B42FA">
        <w:rPr>
          <w:rFonts w:ascii="Times New Roman" w:hAnsi="Times New Roman" w:cs="Times New Roman"/>
          <w:color w:val="000000"/>
          <w:sz w:val="22"/>
          <w:szCs w:val="22"/>
        </w:rPr>
        <w:t>make</w:t>
      </w:r>
      <w:r w:rsidR="001B42FA" w:rsidRPr="005E028C">
        <w:rPr>
          <w:rFonts w:ascii="Times New Roman" w:hAnsi="Times New Roman" w:cs="Times New Roman"/>
          <w:color w:val="000000"/>
          <w:sz w:val="22"/>
          <w:szCs w:val="22"/>
        </w:rPr>
        <w:t xml:space="preserve"> </w:t>
      </w:r>
      <w:r w:rsidRPr="005E028C">
        <w:rPr>
          <w:rFonts w:ascii="Times New Roman" w:hAnsi="Times New Roman" w:cs="Times New Roman"/>
          <w:color w:val="000000"/>
          <w:sz w:val="22"/>
          <w:szCs w:val="22"/>
        </w:rPr>
        <w:t xml:space="preserve">the information </w:t>
      </w:r>
      <w:r w:rsidR="001B42FA">
        <w:rPr>
          <w:rFonts w:ascii="Times New Roman" w:hAnsi="Times New Roman" w:cs="Times New Roman"/>
          <w:color w:val="000000"/>
          <w:sz w:val="22"/>
          <w:szCs w:val="22"/>
        </w:rPr>
        <w:t xml:space="preserve">indecipherable </w:t>
      </w:r>
      <w:r w:rsidRPr="005E028C">
        <w:rPr>
          <w:rFonts w:ascii="Times New Roman" w:hAnsi="Times New Roman" w:cs="Times New Roman"/>
          <w:color w:val="000000"/>
          <w:sz w:val="22"/>
          <w:szCs w:val="22"/>
        </w:rPr>
        <w:t xml:space="preserve">during </w:t>
      </w:r>
      <w:r w:rsidRPr="008D7D57">
        <w:rPr>
          <w:rFonts w:ascii="Times New Roman" w:hAnsi="Times New Roman" w:cs="Times New Roman"/>
          <w:color w:val="000000"/>
          <w:sz w:val="22"/>
          <w:szCs w:val="22"/>
        </w:rPr>
        <w:t xml:space="preserve">electronic transfer. </w:t>
      </w:r>
      <w:r w:rsidRPr="008D7D57">
        <w:rPr>
          <w:rFonts w:ascii="Times New Roman" w:hAnsi="Times New Roman" w:cs="Times New Roman"/>
          <w:sz w:val="22"/>
          <w:szCs w:val="22"/>
        </w:rPr>
        <w:t xml:space="preserve">Data will be transmitted securely and all </w:t>
      </w:r>
      <w:r w:rsidR="001B42FA">
        <w:rPr>
          <w:rFonts w:ascii="Times New Roman" w:hAnsi="Times New Roman" w:cs="Times New Roman"/>
          <w:sz w:val="22"/>
          <w:szCs w:val="22"/>
        </w:rPr>
        <w:t xml:space="preserve">caution will be used, as </w:t>
      </w:r>
      <w:r w:rsidRPr="008D7D57">
        <w:rPr>
          <w:rFonts w:ascii="Times New Roman" w:hAnsi="Times New Roman" w:cs="Times New Roman"/>
          <w:sz w:val="22"/>
          <w:szCs w:val="22"/>
        </w:rPr>
        <w:t xml:space="preserve">described in Section A.3, </w:t>
      </w:r>
      <w:r w:rsidRPr="008D7D57">
        <w:rPr>
          <w:rFonts w:ascii="Times New Roman" w:hAnsi="Times New Roman" w:cs="Times New Roman"/>
          <w:i/>
          <w:sz w:val="22"/>
          <w:szCs w:val="22"/>
        </w:rPr>
        <w:t>Use of Information Technology.</w:t>
      </w:r>
      <w:r w:rsidRPr="008D7D57">
        <w:rPr>
          <w:rFonts w:ascii="Times New Roman" w:hAnsi="Times New Roman" w:cs="Times New Roman"/>
          <w:sz w:val="22"/>
          <w:szCs w:val="22"/>
        </w:rPr>
        <w:t xml:space="preserve">  The term, administrative data, is used loosely here to refer to 1) Financial Mapping</w:t>
      </w:r>
      <w:r>
        <w:rPr>
          <w:rFonts w:ascii="Times New Roman" w:hAnsi="Times New Roman" w:cs="Times New Roman"/>
          <w:sz w:val="22"/>
          <w:szCs w:val="22"/>
        </w:rPr>
        <w:t xml:space="preserve"> and Benchmark Data and 2) GIS data from meeting participants.</w:t>
      </w:r>
    </w:p>
    <w:p w14:paraId="0D558FE4" w14:textId="24B7D9A4" w:rsidR="00B60B35" w:rsidRDefault="00B60B35" w:rsidP="00B60B35">
      <w:pPr>
        <w:spacing w:line="240" w:lineRule="auto"/>
        <w:ind w:firstLine="720"/>
        <w:rPr>
          <w:rFonts w:ascii="Times New Roman" w:hAnsi="Times New Roman" w:cs="Times New Roman"/>
          <w:color w:val="000000"/>
          <w:sz w:val="22"/>
          <w:szCs w:val="22"/>
          <w:highlight w:val="yellow"/>
        </w:rPr>
      </w:pPr>
      <w:r w:rsidRPr="003218B8">
        <w:rPr>
          <w:rFonts w:ascii="Times New Roman" w:hAnsi="Times New Roman" w:cs="Times New Roman"/>
          <w:b/>
          <w:i/>
          <w:sz w:val="22"/>
          <w:szCs w:val="22"/>
        </w:rPr>
        <w:t xml:space="preserve">Financial Mapping and Benchmark </w:t>
      </w:r>
      <w:r>
        <w:rPr>
          <w:rFonts w:ascii="Times New Roman" w:hAnsi="Times New Roman" w:cs="Times New Roman"/>
          <w:b/>
          <w:i/>
          <w:sz w:val="22"/>
          <w:szCs w:val="22"/>
        </w:rPr>
        <w:t>Data</w:t>
      </w:r>
      <w:r w:rsidRPr="003218B8">
        <w:rPr>
          <w:rFonts w:ascii="Times New Roman" w:hAnsi="Times New Roman" w:cs="Times New Roman"/>
          <w:sz w:val="22"/>
          <w:szCs w:val="22"/>
        </w:rPr>
        <w:t xml:space="preserve">.  For these data analysis activities, NET staff will request </w:t>
      </w:r>
      <w:r w:rsidRPr="005E028C">
        <w:rPr>
          <w:rFonts w:ascii="Times New Roman" w:hAnsi="Times New Roman" w:cs="Times New Roman"/>
          <w:b/>
          <w:i/>
          <w:sz w:val="22"/>
          <w:szCs w:val="22"/>
        </w:rPr>
        <w:t>deidentified</w:t>
      </w:r>
      <w:r w:rsidRPr="003218B8">
        <w:rPr>
          <w:rFonts w:ascii="Times New Roman" w:hAnsi="Times New Roman" w:cs="Times New Roman"/>
          <w:sz w:val="22"/>
          <w:szCs w:val="22"/>
        </w:rPr>
        <w:t xml:space="preserve"> financial service and other cost data.</w:t>
      </w:r>
      <w:r>
        <w:rPr>
          <w:rFonts w:ascii="Times New Roman" w:hAnsi="Times New Roman" w:cs="Times New Roman"/>
          <w:sz w:val="22"/>
          <w:szCs w:val="22"/>
        </w:rPr>
        <w:t xml:space="preserve"> Westat IRB approval will be obtained for all data collection activities, including these, prior to commencing data collection.  </w:t>
      </w:r>
      <w:r w:rsidRPr="00C43E04">
        <w:rPr>
          <w:rFonts w:ascii="Times New Roman" w:hAnsi="Times New Roman" w:cs="Times New Roman"/>
          <w:color w:val="000000"/>
          <w:sz w:val="22"/>
          <w:szCs w:val="22"/>
          <w:highlight w:val="yellow"/>
        </w:rPr>
        <w:t xml:space="preserve"> </w:t>
      </w:r>
    </w:p>
    <w:p w14:paraId="267DCD42" w14:textId="4EB6D2A3" w:rsidR="00B60B35" w:rsidRDefault="00B60B35" w:rsidP="00B60B35">
      <w:pPr>
        <w:spacing w:line="240" w:lineRule="auto"/>
        <w:rPr>
          <w:rFonts w:ascii="Times New Roman" w:hAnsi="Times New Roman" w:cs="Times New Roman"/>
          <w:sz w:val="22"/>
          <w:szCs w:val="22"/>
        </w:rPr>
      </w:pPr>
      <w:r>
        <w:rPr>
          <w:rFonts w:ascii="Times New Roman" w:hAnsi="Times New Roman" w:cs="Times New Roman"/>
          <w:b/>
          <w:i/>
          <w:sz w:val="22"/>
          <w:szCs w:val="22"/>
        </w:rPr>
        <w:tab/>
        <w:t>GIS Data from Meeting Participants.</w:t>
      </w:r>
      <w:r>
        <w:rPr>
          <w:rFonts w:ascii="Times New Roman" w:hAnsi="Times New Roman" w:cs="Times New Roman"/>
          <w:sz w:val="22"/>
          <w:szCs w:val="22"/>
        </w:rPr>
        <w:t xml:space="preserve">  NET staff will request rosters of professional meeting </w:t>
      </w:r>
      <w:r w:rsidR="000E14BF">
        <w:rPr>
          <w:rFonts w:ascii="Times New Roman" w:hAnsi="Times New Roman" w:cs="Times New Roman"/>
          <w:sz w:val="22"/>
          <w:szCs w:val="22"/>
        </w:rPr>
        <w:t xml:space="preserve">and training </w:t>
      </w:r>
      <w:r>
        <w:rPr>
          <w:rFonts w:ascii="Times New Roman" w:hAnsi="Times New Roman" w:cs="Times New Roman"/>
          <w:sz w:val="22"/>
          <w:szCs w:val="22"/>
        </w:rPr>
        <w:t xml:space="preserve">participants and their addresses to calculate Census block group. </w:t>
      </w:r>
      <w:r w:rsidR="0027494C">
        <w:rPr>
          <w:rFonts w:ascii="Times New Roman" w:hAnsi="Times New Roman" w:cs="Times New Roman"/>
          <w:sz w:val="22"/>
          <w:szCs w:val="22"/>
        </w:rPr>
        <w:t>Hard copies of the forms used to collect GIS data from meeting participants will be stored in locked cabinets</w:t>
      </w:r>
      <w:r w:rsidR="00213756">
        <w:rPr>
          <w:rFonts w:ascii="Times New Roman" w:hAnsi="Times New Roman" w:cs="Times New Roman"/>
          <w:sz w:val="22"/>
          <w:szCs w:val="22"/>
        </w:rPr>
        <w:t xml:space="preserve"> or rooms</w:t>
      </w:r>
      <w:r w:rsidR="0027494C">
        <w:rPr>
          <w:rFonts w:ascii="Times New Roman" w:hAnsi="Times New Roman" w:cs="Times New Roman"/>
          <w:sz w:val="22"/>
          <w:szCs w:val="22"/>
        </w:rPr>
        <w:t>.</w:t>
      </w:r>
      <w:r>
        <w:rPr>
          <w:rFonts w:ascii="Times New Roman" w:hAnsi="Times New Roman" w:cs="Times New Roman"/>
          <w:sz w:val="22"/>
          <w:szCs w:val="22"/>
        </w:rPr>
        <w:t xml:space="preserve"> </w:t>
      </w:r>
      <w:r w:rsidR="00213756" w:rsidRPr="00213756">
        <w:rPr>
          <w:rFonts w:ascii="Times New Roman" w:hAnsi="Times New Roman" w:cs="Times New Roman"/>
          <w:sz w:val="22"/>
          <w:szCs w:val="22"/>
        </w:rPr>
        <w:t xml:space="preserve">Reasonable caution shall be exercised in limiting access to data to only those persons who are working on the project and who have been instructed in the applicable </w:t>
      </w:r>
      <w:r w:rsidR="008B0358">
        <w:rPr>
          <w:rFonts w:ascii="Times New Roman" w:hAnsi="Times New Roman" w:cs="Times New Roman"/>
          <w:sz w:val="22"/>
          <w:szCs w:val="22"/>
        </w:rPr>
        <w:t>Human Subjects</w:t>
      </w:r>
      <w:r w:rsidR="008B0358" w:rsidRPr="00213756">
        <w:rPr>
          <w:rFonts w:ascii="Times New Roman" w:hAnsi="Times New Roman" w:cs="Times New Roman"/>
          <w:sz w:val="22"/>
          <w:szCs w:val="22"/>
        </w:rPr>
        <w:t xml:space="preserve"> </w:t>
      </w:r>
      <w:r w:rsidR="00213756" w:rsidRPr="00213756">
        <w:rPr>
          <w:rFonts w:ascii="Times New Roman" w:hAnsi="Times New Roman" w:cs="Times New Roman"/>
          <w:sz w:val="22"/>
          <w:szCs w:val="22"/>
        </w:rPr>
        <w:t>requirements for the project.</w:t>
      </w:r>
      <w:r w:rsidR="00213756">
        <w:rPr>
          <w:rFonts w:ascii="Times New Roman" w:hAnsi="Times New Roman" w:cs="Times New Roman"/>
          <w:sz w:val="22"/>
          <w:szCs w:val="22"/>
        </w:rPr>
        <w:t xml:space="preserve"> </w:t>
      </w:r>
      <w:r>
        <w:rPr>
          <w:rFonts w:ascii="Times New Roman" w:hAnsi="Times New Roman" w:cs="Times New Roman"/>
          <w:sz w:val="22"/>
          <w:szCs w:val="22"/>
        </w:rPr>
        <w:t>Address lists will be destroyed</w:t>
      </w:r>
      <w:r w:rsidR="00213756">
        <w:rPr>
          <w:rFonts w:ascii="Times New Roman" w:hAnsi="Times New Roman" w:cs="Times New Roman"/>
          <w:sz w:val="22"/>
          <w:szCs w:val="22"/>
        </w:rPr>
        <w:t xml:space="preserve"> by shredding hard copies of forms</w:t>
      </w:r>
      <w:r>
        <w:rPr>
          <w:rFonts w:ascii="Times New Roman" w:hAnsi="Times New Roman" w:cs="Times New Roman"/>
          <w:sz w:val="22"/>
          <w:szCs w:val="22"/>
        </w:rPr>
        <w:t xml:space="preserve"> once Census block group is determined.  </w:t>
      </w:r>
    </w:p>
    <w:p w14:paraId="433835FE" w14:textId="77777777" w:rsidR="00B60B35" w:rsidRPr="00D87880" w:rsidRDefault="00B60B35" w:rsidP="00B60B35">
      <w:pPr>
        <w:spacing w:line="240" w:lineRule="auto"/>
        <w:rPr>
          <w:rFonts w:ascii="Times New Roman" w:hAnsi="Times New Roman" w:cs="Times New Roman"/>
          <w:b/>
          <w:sz w:val="22"/>
          <w:szCs w:val="22"/>
        </w:rPr>
      </w:pPr>
    </w:p>
    <w:p w14:paraId="5E7C2305" w14:textId="77777777" w:rsidR="00B60B35" w:rsidRDefault="00B60B35" w:rsidP="00B60B35">
      <w:pPr>
        <w:spacing w:line="240" w:lineRule="auto"/>
        <w:rPr>
          <w:rFonts w:ascii="Times New Roman" w:hAnsi="Times New Roman" w:cs="Times New Roman"/>
          <w:sz w:val="22"/>
          <w:szCs w:val="22"/>
          <w:highlight w:val="yellow"/>
        </w:rPr>
      </w:pPr>
      <w:r w:rsidRPr="00D87880">
        <w:rPr>
          <w:rFonts w:ascii="Times New Roman" w:hAnsi="Times New Roman" w:cs="Times New Roman"/>
          <w:b/>
          <w:sz w:val="22"/>
          <w:szCs w:val="22"/>
        </w:rPr>
        <w:t>11. QUESTIONS OF A SENSITIVE NATURE</w:t>
      </w:r>
      <w:r>
        <w:rPr>
          <w:rFonts w:ascii="Times New Roman" w:hAnsi="Times New Roman" w:cs="Times New Roman"/>
          <w:b/>
          <w:sz w:val="22"/>
          <w:szCs w:val="22"/>
        </w:rPr>
        <w:t xml:space="preserve">  </w:t>
      </w:r>
    </w:p>
    <w:p w14:paraId="5B58572C" w14:textId="7D5B2E3B" w:rsidR="00B60B35" w:rsidRPr="00FA0B5C" w:rsidRDefault="0087059B" w:rsidP="00B60B35">
      <w:pPr>
        <w:tabs>
          <w:tab w:val="left" w:pos="-1440"/>
        </w:tabs>
        <w:spacing w:line="240" w:lineRule="auto"/>
        <w:rPr>
          <w:rFonts w:ascii="Times New Roman" w:hAnsi="Times New Roman" w:cs="Times New Roman"/>
          <w:sz w:val="22"/>
          <w:szCs w:val="22"/>
        </w:rPr>
      </w:pPr>
      <w:r>
        <w:rPr>
          <w:rFonts w:ascii="Times New Roman" w:hAnsi="Times New Roman" w:cs="Times New Roman"/>
          <w:sz w:val="22"/>
          <w:szCs w:val="22"/>
        </w:rPr>
        <w:t>In that</w:t>
      </w:r>
      <w:r w:rsidRPr="00D87880">
        <w:rPr>
          <w:rFonts w:ascii="Times New Roman" w:hAnsi="Times New Roman" w:cs="Times New Roman"/>
          <w:sz w:val="22"/>
          <w:szCs w:val="22"/>
        </w:rPr>
        <w:t xml:space="preserve"> </w:t>
      </w:r>
      <w:r w:rsidR="00B60B35" w:rsidRPr="00D87880">
        <w:rPr>
          <w:rFonts w:ascii="Times New Roman" w:hAnsi="Times New Roman" w:cs="Times New Roman"/>
          <w:sz w:val="22"/>
          <w:szCs w:val="22"/>
        </w:rPr>
        <w:t>this project</w:t>
      </w:r>
      <w:r w:rsidR="00B60B35">
        <w:rPr>
          <w:rFonts w:ascii="Times New Roman" w:hAnsi="Times New Roman" w:cs="Times New Roman"/>
          <w:sz w:val="22"/>
          <w:szCs w:val="22"/>
        </w:rPr>
        <w:t xml:space="preserve"> pertains to</w:t>
      </w:r>
      <w:r w:rsidR="00B60B35" w:rsidRPr="00D87880">
        <w:rPr>
          <w:rFonts w:ascii="Times New Roman" w:hAnsi="Times New Roman" w:cs="Times New Roman"/>
          <w:sz w:val="22"/>
          <w:szCs w:val="22"/>
        </w:rPr>
        <w:t xml:space="preserve"> services to children with SED and their families, it is necessary to ask questions that are potentially sensitive</w:t>
      </w:r>
      <w:r w:rsidR="000E14BF">
        <w:rPr>
          <w:rFonts w:ascii="Times New Roman" w:hAnsi="Times New Roman" w:cs="Times New Roman"/>
          <w:sz w:val="22"/>
          <w:szCs w:val="22"/>
        </w:rPr>
        <w:t xml:space="preserve"> as part of the Child/Youth and Family Outcome </w:t>
      </w:r>
      <w:r w:rsidR="005B5E47">
        <w:rPr>
          <w:rFonts w:ascii="Times New Roman" w:hAnsi="Times New Roman" w:cs="Times New Roman"/>
          <w:sz w:val="22"/>
          <w:szCs w:val="22"/>
        </w:rPr>
        <w:t>Component</w:t>
      </w:r>
      <w:r w:rsidR="00B60B35" w:rsidRPr="00D87880">
        <w:rPr>
          <w:rFonts w:ascii="Times New Roman" w:hAnsi="Times New Roman" w:cs="Times New Roman"/>
          <w:sz w:val="22"/>
          <w:szCs w:val="22"/>
        </w:rPr>
        <w:t xml:space="preserve">. However, only information that is central to the </w:t>
      </w:r>
      <w:r w:rsidR="005B5E47">
        <w:rPr>
          <w:rFonts w:ascii="Times New Roman" w:hAnsi="Times New Roman" w:cs="Times New Roman"/>
          <w:sz w:val="22"/>
          <w:szCs w:val="22"/>
        </w:rPr>
        <w:t>Evaluation</w:t>
      </w:r>
      <w:r w:rsidR="005B5E47" w:rsidRPr="00D87880">
        <w:rPr>
          <w:rFonts w:ascii="Times New Roman" w:hAnsi="Times New Roman" w:cs="Times New Roman"/>
          <w:sz w:val="22"/>
          <w:szCs w:val="22"/>
        </w:rPr>
        <w:t xml:space="preserve"> </w:t>
      </w:r>
      <w:r w:rsidR="00B60B35" w:rsidRPr="00D87880">
        <w:rPr>
          <w:rFonts w:ascii="Times New Roman" w:hAnsi="Times New Roman" w:cs="Times New Roman"/>
          <w:sz w:val="22"/>
          <w:szCs w:val="22"/>
        </w:rPr>
        <w:t xml:space="preserve">is being sought. Some questions asked of </w:t>
      </w:r>
      <w:r w:rsidR="00B60B35" w:rsidRPr="00430013">
        <w:rPr>
          <w:rFonts w:ascii="Times New Roman" w:hAnsi="Times New Roman" w:cs="Times New Roman"/>
          <w:sz w:val="22"/>
          <w:szCs w:val="22"/>
        </w:rPr>
        <w:t xml:space="preserve">children, young adults, and caregivers address dimensions such as child emotions, behavior, social functioning. </w:t>
      </w:r>
      <w:r w:rsidR="00430013" w:rsidRPr="00430013">
        <w:rPr>
          <w:rFonts w:ascii="Times New Roman" w:hAnsi="Times New Roman" w:cs="Times New Roman"/>
          <w:sz w:val="22"/>
          <w:szCs w:val="22"/>
        </w:rPr>
        <w:t xml:space="preserve">In addition, young adults age 18 to 21 will be asked about their experience with violence and trauma, but no other respondents.  (The violence and trauma items were taken from the TRAC adult instrument already approved by OMB (OMB No. 0930-0285).  </w:t>
      </w:r>
      <w:r w:rsidR="00B60B35" w:rsidRPr="00430013">
        <w:rPr>
          <w:rFonts w:ascii="Times New Roman" w:hAnsi="Times New Roman" w:cs="Times New Roman"/>
          <w:sz w:val="22"/>
          <w:szCs w:val="22"/>
        </w:rPr>
        <w:t xml:space="preserve">The answers to these questions will be used to determine baseline status and to measure change in these areas experienced after receiving SOC services. </w:t>
      </w:r>
      <w:r w:rsidRPr="00430013">
        <w:rPr>
          <w:rFonts w:ascii="Times New Roman" w:hAnsi="Times New Roman" w:cs="Times New Roman"/>
          <w:sz w:val="22"/>
          <w:szCs w:val="22"/>
        </w:rPr>
        <w:t>E</w:t>
      </w:r>
      <w:r w:rsidR="00B60B35" w:rsidRPr="00430013">
        <w:rPr>
          <w:rFonts w:ascii="Times New Roman" w:hAnsi="Times New Roman" w:cs="Times New Roman"/>
          <w:sz w:val="22"/>
          <w:szCs w:val="22"/>
        </w:rPr>
        <w:t>ach grantee must keep data on child and family status and service use, as well as treatment records and other related information</w:t>
      </w:r>
      <w:r w:rsidRPr="00430013">
        <w:rPr>
          <w:rFonts w:ascii="Times New Roman" w:hAnsi="Times New Roman" w:cs="Times New Roman"/>
          <w:sz w:val="22"/>
          <w:szCs w:val="22"/>
        </w:rPr>
        <w:t>.</w:t>
      </w:r>
      <w:r w:rsidRPr="00FA0B5C">
        <w:rPr>
          <w:rFonts w:ascii="Times New Roman" w:hAnsi="Times New Roman" w:cs="Times New Roman"/>
          <w:sz w:val="22"/>
          <w:szCs w:val="22"/>
        </w:rPr>
        <w:t xml:space="preserve">  For these reasons</w:t>
      </w:r>
      <w:r w:rsidR="00B60B35" w:rsidRPr="00FA0B5C">
        <w:rPr>
          <w:rFonts w:ascii="Times New Roman" w:hAnsi="Times New Roman" w:cs="Times New Roman"/>
          <w:sz w:val="22"/>
          <w:szCs w:val="22"/>
        </w:rPr>
        <w:t>, the data collection required for the Evaluation is not introducing new, sensitive domains of inquiry, but is paralleling standard procedures in the field of children’s MH.</w:t>
      </w:r>
    </w:p>
    <w:p w14:paraId="67152373" w14:textId="603714EE" w:rsidR="00B60B35" w:rsidRPr="00D87880" w:rsidRDefault="00B60B35" w:rsidP="00B60B35">
      <w:pPr>
        <w:tabs>
          <w:tab w:val="left" w:pos="-1440"/>
        </w:tabs>
        <w:spacing w:line="240" w:lineRule="auto"/>
        <w:rPr>
          <w:rFonts w:ascii="Times New Roman" w:hAnsi="Times New Roman" w:cs="Times New Roman"/>
          <w:sz w:val="22"/>
          <w:szCs w:val="22"/>
        </w:rPr>
      </w:pPr>
      <w:r w:rsidRPr="00D87880">
        <w:rPr>
          <w:rFonts w:ascii="Times New Roman" w:hAnsi="Times New Roman" w:cs="Times New Roman"/>
          <w:sz w:val="22"/>
          <w:szCs w:val="22"/>
        </w:rPr>
        <w:t>In addition to information on child clinical status and social function</w:t>
      </w:r>
      <w:r>
        <w:rPr>
          <w:rFonts w:ascii="Times New Roman" w:hAnsi="Times New Roman" w:cs="Times New Roman"/>
          <w:sz w:val="22"/>
          <w:szCs w:val="22"/>
        </w:rPr>
        <w:t>ing</w:t>
      </w:r>
      <w:r w:rsidRPr="00D87880">
        <w:rPr>
          <w:rFonts w:ascii="Times New Roman" w:hAnsi="Times New Roman" w:cs="Times New Roman"/>
          <w:sz w:val="22"/>
          <w:szCs w:val="22"/>
        </w:rPr>
        <w:t>, other questions of a sensitive nature will be asked of families. These include questions related to caregiver strain</w:t>
      </w:r>
      <w:r w:rsidR="000147A2">
        <w:rPr>
          <w:rFonts w:ascii="Times New Roman" w:hAnsi="Times New Roman" w:cs="Times New Roman"/>
          <w:sz w:val="22"/>
          <w:szCs w:val="22"/>
        </w:rPr>
        <w:t xml:space="preserve"> associated with raising a child with SED.</w:t>
      </w:r>
      <w:r>
        <w:rPr>
          <w:rFonts w:ascii="Times New Roman" w:hAnsi="Times New Roman" w:cs="Times New Roman"/>
          <w:sz w:val="22"/>
          <w:szCs w:val="22"/>
        </w:rPr>
        <w:t xml:space="preserve"> These questions</w:t>
      </w:r>
      <w:r w:rsidRPr="00D87880">
        <w:rPr>
          <w:rFonts w:ascii="Times New Roman" w:hAnsi="Times New Roman" w:cs="Times New Roman"/>
          <w:sz w:val="22"/>
          <w:szCs w:val="22"/>
        </w:rPr>
        <w:t xml:space="preserve"> are included in order to </w:t>
      </w:r>
      <w:r w:rsidR="000147A2">
        <w:rPr>
          <w:rFonts w:ascii="Times New Roman" w:hAnsi="Times New Roman" w:cs="Times New Roman"/>
          <w:sz w:val="22"/>
          <w:szCs w:val="22"/>
        </w:rPr>
        <w:t>assess the extent to which caregiver strain is reduced after the child/youth and family receive SOC services</w:t>
      </w:r>
      <w:r w:rsidRPr="00D87880">
        <w:rPr>
          <w:rFonts w:ascii="Times New Roman" w:hAnsi="Times New Roman" w:cs="Times New Roman"/>
          <w:sz w:val="22"/>
          <w:szCs w:val="22"/>
        </w:rPr>
        <w:t xml:space="preserve">. Moreover, family representatives who have consulted with the NET consistently identify a lack of information on family </w:t>
      </w:r>
      <w:r w:rsidR="000147A2">
        <w:rPr>
          <w:rFonts w:ascii="Times New Roman" w:hAnsi="Times New Roman" w:cs="Times New Roman"/>
          <w:sz w:val="22"/>
          <w:szCs w:val="22"/>
        </w:rPr>
        <w:t>outcomes</w:t>
      </w:r>
      <w:r w:rsidRPr="00D87880">
        <w:rPr>
          <w:rFonts w:ascii="Times New Roman" w:hAnsi="Times New Roman" w:cs="Times New Roman"/>
          <w:sz w:val="22"/>
          <w:szCs w:val="22"/>
        </w:rPr>
        <w:t xml:space="preserve"> as a weakness in previous </w:t>
      </w:r>
      <w:r w:rsidR="00B533F9">
        <w:rPr>
          <w:rFonts w:ascii="Times New Roman" w:hAnsi="Times New Roman" w:cs="Times New Roman"/>
          <w:sz w:val="22"/>
          <w:szCs w:val="22"/>
        </w:rPr>
        <w:t xml:space="preserve">evaluations and </w:t>
      </w:r>
      <w:r w:rsidRPr="00D87880">
        <w:rPr>
          <w:rFonts w:ascii="Times New Roman" w:hAnsi="Times New Roman" w:cs="Times New Roman"/>
          <w:sz w:val="22"/>
          <w:szCs w:val="22"/>
        </w:rPr>
        <w:t>studies.</w:t>
      </w:r>
    </w:p>
    <w:p w14:paraId="30FDE545" w14:textId="64CB7BFE" w:rsidR="00B60B35" w:rsidRPr="003838BA" w:rsidRDefault="00B60B35" w:rsidP="00B60B35">
      <w:pPr>
        <w:spacing w:line="240" w:lineRule="auto"/>
        <w:rPr>
          <w:rFonts w:ascii="Times New Roman" w:eastAsiaTheme="minorHAnsi" w:hAnsi="Times New Roman" w:cs="Times New Roman"/>
          <w:color w:val="000000"/>
          <w:sz w:val="22"/>
          <w:szCs w:val="22"/>
        </w:rPr>
      </w:pPr>
      <w:r w:rsidRPr="00422451">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NET</w:t>
      </w:r>
      <w:r w:rsidRPr="00422451">
        <w:rPr>
          <w:rFonts w:ascii="Times New Roman" w:hAnsi="Times New Roman" w:cs="Times New Roman"/>
          <w:color w:val="000000"/>
          <w:sz w:val="22"/>
          <w:szCs w:val="22"/>
        </w:rPr>
        <w:t xml:space="preserve"> will train grantees to include specific language in their consent and assent forms to describe the data collection activities and information that will be accessed through the client’s and family’s records and shared with the NET. Although grant communities may work with personally identifiable information to extract and link electronic records, no</w:t>
      </w:r>
      <w:r w:rsidRPr="008E17E2">
        <w:rPr>
          <w:rFonts w:ascii="Times New Roman" w:hAnsi="Times New Roman" w:cs="Times New Roman"/>
          <w:color w:val="000000"/>
          <w:sz w:val="22"/>
          <w:szCs w:val="22"/>
        </w:rPr>
        <w:t xml:space="preserve"> personally identif</w:t>
      </w:r>
      <w:r>
        <w:rPr>
          <w:rFonts w:ascii="Times New Roman" w:hAnsi="Times New Roman" w:cs="Times New Roman"/>
          <w:color w:val="000000"/>
          <w:sz w:val="22"/>
          <w:szCs w:val="22"/>
        </w:rPr>
        <w:t>iable</w:t>
      </w:r>
      <w:r w:rsidRPr="008E17E2">
        <w:rPr>
          <w:rFonts w:ascii="Times New Roman" w:hAnsi="Times New Roman" w:cs="Times New Roman"/>
          <w:color w:val="000000"/>
          <w:sz w:val="22"/>
          <w:szCs w:val="22"/>
        </w:rPr>
        <w:t xml:space="preserve"> information will be included in any data transferred to the NET</w:t>
      </w:r>
      <w:r w:rsidRPr="003838BA">
        <w:rPr>
          <w:rFonts w:ascii="Times New Roman" w:hAnsi="Times New Roman" w:cs="Times New Roman"/>
          <w:color w:val="000000"/>
          <w:sz w:val="22"/>
          <w:szCs w:val="22"/>
        </w:rPr>
        <w:t>, other than the client’s unique ID.</w:t>
      </w:r>
    </w:p>
    <w:p w14:paraId="17515086" w14:textId="56BB916D" w:rsidR="00B60B35" w:rsidRDefault="00B60B35" w:rsidP="00B60B35">
      <w:pPr>
        <w:spacing w:line="240" w:lineRule="auto"/>
        <w:rPr>
          <w:rFonts w:ascii="Times New Roman" w:hAnsi="Times New Roman" w:cs="Times New Roman"/>
          <w:sz w:val="22"/>
          <w:szCs w:val="22"/>
        </w:rPr>
      </w:pPr>
      <w:r w:rsidRPr="00D87880">
        <w:rPr>
          <w:rFonts w:ascii="Times New Roman" w:hAnsi="Times New Roman" w:cs="Times New Roman"/>
          <w:sz w:val="22"/>
          <w:szCs w:val="22"/>
        </w:rPr>
        <w:t>Before collecting data, each grantee will obtain active consent from caregivers</w:t>
      </w:r>
      <w:r>
        <w:rPr>
          <w:rFonts w:ascii="Times New Roman" w:hAnsi="Times New Roman" w:cs="Times New Roman"/>
          <w:sz w:val="22"/>
          <w:szCs w:val="22"/>
        </w:rPr>
        <w:t xml:space="preserve"> and young adults age 18 to 21</w:t>
      </w:r>
      <w:r w:rsidRPr="00D87880">
        <w:rPr>
          <w:rFonts w:ascii="Times New Roman" w:hAnsi="Times New Roman" w:cs="Times New Roman"/>
          <w:sz w:val="22"/>
          <w:szCs w:val="22"/>
        </w:rPr>
        <w:t xml:space="preserve">. In addition, assent </w:t>
      </w:r>
      <w:r>
        <w:rPr>
          <w:rFonts w:ascii="Times New Roman" w:hAnsi="Times New Roman" w:cs="Times New Roman"/>
          <w:sz w:val="22"/>
          <w:szCs w:val="22"/>
        </w:rPr>
        <w:t>will be obtained from children and adolescents</w:t>
      </w:r>
      <w:r w:rsidRPr="00D87880">
        <w:rPr>
          <w:rFonts w:ascii="Times New Roman" w:hAnsi="Times New Roman" w:cs="Times New Roman"/>
          <w:sz w:val="22"/>
          <w:szCs w:val="22"/>
        </w:rPr>
        <w:t>. In that process</w:t>
      </w:r>
      <w:r>
        <w:rPr>
          <w:rFonts w:ascii="Times New Roman" w:hAnsi="Times New Roman" w:cs="Times New Roman"/>
          <w:sz w:val="22"/>
          <w:szCs w:val="22"/>
        </w:rPr>
        <w:t>,</w:t>
      </w:r>
      <w:r w:rsidRPr="00D87880">
        <w:rPr>
          <w:rFonts w:ascii="Times New Roman" w:hAnsi="Times New Roman" w:cs="Times New Roman"/>
          <w:sz w:val="22"/>
          <w:szCs w:val="22"/>
        </w:rPr>
        <w:t xml:space="preserve"> respondents will be made aware that the information they provide will be strictly </w:t>
      </w:r>
      <w:r w:rsidR="001B42FA">
        <w:rPr>
          <w:rFonts w:ascii="Times New Roman" w:hAnsi="Times New Roman" w:cs="Times New Roman"/>
          <w:sz w:val="22"/>
          <w:szCs w:val="22"/>
        </w:rPr>
        <w:t xml:space="preserve">guarded </w:t>
      </w:r>
      <w:r w:rsidRPr="00D87880">
        <w:rPr>
          <w:rFonts w:ascii="Times New Roman" w:hAnsi="Times New Roman" w:cs="Times New Roman"/>
          <w:sz w:val="22"/>
          <w:szCs w:val="22"/>
        </w:rPr>
        <w:t>and that they can withdraw their participation at any time</w:t>
      </w:r>
      <w:r>
        <w:rPr>
          <w:rFonts w:ascii="Times New Roman" w:hAnsi="Times New Roman" w:cs="Times New Roman"/>
          <w:sz w:val="22"/>
          <w:szCs w:val="22"/>
        </w:rPr>
        <w:t xml:space="preserve"> without any adverse effects on the </w:t>
      </w:r>
      <w:r w:rsidRPr="00E16790">
        <w:rPr>
          <w:rFonts w:ascii="Times New Roman" w:hAnsi="Times New Roman" w:cs="Times New Roman"/>
          <w:sz w:val="22"/>
          <w:szCs w:val="22"/>
        </w:rPr>
        <w:t xml:space="preserve">services they receive. Similarly, respondents can freely choose to refrain from answering any questions they find objectionable. </w:t>
      </w:r>
      <w:r w:rsidR="003E0A15" w:rsidRPr="00E16790">
        <w:rPr>
          <w:rFonts w:ascii="Times New Roman" w:hAnsi="Times New Roman" w:cs="Times New Roman"/>
          <w:sz w:val="22"/>
          <w:szCs w:val="22"/>
        </w:rPr>
        <w:t xml:space="preserve">Consent forms and scripts are included </w:t>
      </w:r>
      <w:r w:rsidR="003E0A15">
        <w:rPr>
          <w:rFonts w:ascii="Times New Roman" w:hAnsi="Times New Roman" w:cs="Times New Roman"/>
          <w:sz w:val="22"/>
          <w:szCs w:val="22"/>
        </w:rPr>
        <w:t xml:space="preserve">in the attachments along </w:t>
      </w:r>
      <w:r w:rsidR="003E0A15" w:rsidRPr="00E16790">
        <w:rPr>
          <w:rFonts w:ascii="Times New Roman" w:hAnsi="Times New Roman" w:cs="Times New Roman"/>
          <w:sz w:val="22"/>
          <w:szCs w:val="22"/>
        </w:rPr>
        <w:t xml:space="preserve">with </w:t>
      </w:r>
      <w:r w:rsidR="003E0A15">
        <w:rPr>
          <w:rFonts w:ascii="Times New Roman" w:hAnsi="Times New Roman" w:cs="Times New Roman"/>
          <w:sz w:val="22"/>
          <w:szCs w:val="22"/>
        </w:rPr>
        <w:t xml:space="preserve">the corresponding </w:t>
      </w:r>
      <w:r w:rsidR="003E0A15" w:rsidRPr="00E16790">
        <w:rPr>
          <w:rFonts w:ascii="Times New Roman" w:hAnsi="Times New Roman" w:cs="Times New Roman"/>
          <w:sz w:val="22"/>
          <w:szCs w:val="22"/>
        </w:rPr>
        <w:t>instrument.</w:t>
      </w:r>
    </w:p>
    <w:p w14:paraId="258AF0F5" w14:textId="00127555" w:rsidR="00B60B35" w:rsidRPr="00422451" w:rsidRDefault="00B60B35" w:rsidP="00B60B35">
      <w:pPr>
        <w:spacing w:line="240" w:lineRule="auto"/>
      </w:pPr>
      <w:r>
        <w:rPr>
          <w:rFonts w:ascii="Times New Roman" w:hAnsi="Times New Roman" w:cs="Times New Roman"/>
          <w:sz w:val="22"/>
          <w:szCs w:val="22"/>
        </w:rPr>
        <w:t xml:space="preserve">Only aggregated information will be disseminated.  The primary dissemination vehicles are the Report to Congress and the Report to the Secretary of HHS, though there may be other dissemination efforts as well.  </w:t>
      </w:r>
      <w:r w:rsidR="00E94F8D">
        <w:rPr>
          <w:rFonts w:ascii="Times New Roman" w:hAnsi="Times New Roman" w:cs="Times New Roman"/>
          <w:sz w:val="22"/>
          <w:szCs w:val="22"/>
        </w:rPr>
        <w:t xml:space="preserve">SAMHSA </w:t>
      </w:r>
      <w:r>
        <w:rPr>
          <w:rFonts w:ascii="Times New Roman" w:hAnsi="Times New Roman" w:cs="Times New Roman"/>
          <w:sz w:val="22"/>
          <w:szCs w:val="22"/>
        </w:rPr>
        <w:t>will be careful to avoid disseminating small numbers with demographic information that might be used to deduce the identity of individual respondents.</w:t>
      </w:r>
      <w:r w:rsidR="006771DB">
        <w:rPr>
          <w:rFonts w:ascii="Times New Roman" w:hAnsi="Times New Roman" w:cs="Times New Roman"/>
          <w:sz w:val="22"/>
          <w:szCs w:val="22"/>
        </w:rPr>
        <w:t xml:space="preserve">  Specific rules used to avoid such dissemination will be determined in consultation with NET statisticians, but typically involve suppressing </w:t>
      </w:r>
      <w:r w:rsidR="00A063D4">
        <w:rPr>
          <w:rFonts w:ascii="Times New Roman" w:hAnsi="Times New Roman" w:cs="Times New Roman"/>
          <w:sz w:val="22"/>
          <w:szCs w:val="22"/>
        </w:rPr>
        <w:t>data where a small number of respondents would otherwise appear in a table shell or text.</w:t>
      </w:r>
    </w:p>
    <w:p w14:paraId="5E4ABD65" w14:textId="77777777" w:rsidR="00B60B35" w:rsidRDefault="00B60B35" w:rsidP="00B60B35"/>
    <w:p w14:paraId="08B42C66" w14:textId="77777777" w:rsidR="00C26507" w:rsidRDefault="00962DD0" w:rsidP="00C26507">
      <w:pPr>
        <w:spacing w:line="240" w:lineRule="auto"/>
        <w:rPr>
          <w:rFonts w:ascii="Times New Roman" w:hAnsi="Times New Roman" w:cs="Times New Roman"/>
          <w:sz w:val="22"/>
          <w:szCs w:val="22"/>
        </w:rPr>
      </w:pPr>
      <w:r w:rsidRPr="00D87880">
        <w:rPr>
          <w:rFonts w:ascii="Times New Roman" w:hAnsi="Times New Roman" w:cs="Times New Roman"/>
          <w:b/>
          <w:sz w:val="22"/>
          <w:szCs w:val="22"/>
        </w:rPr>
        <w:t>12. ESTIMATES OF ANNUALIZED HOUR BURDEN</w:t>
      </w:r>
      <w:r w:rsidR="00F27632">
        <w:rPr>
          <w:rFonts w:ascii="Times New Roman" w:hAnsi="Times New Roman" w:cs="Times New Roman"/>
          <w:b/>
          <w:sz w:val="22"/>
          <w:szCs w:val="22"/>
        </w:rPr>
        <w:tab/>
      </w:r>
    </w:p>
    <w:p w14:paraId="441D99C5" w14:textId="77DD00AE" w:rsidR="00E24D14" w:rsidRDefault="00340EBE" w:rsidP="00201FD3">
      <w:pPr>
        <w:tabs>
          <w:tab w:val="left" w:pos="-1440"/>
        </w:tabs>
        <w:spacing w:line="240" w:lineRule="auto"/>
        <w:rPr>
          <w:rFonts w:ascii="Times New Roman" w:hAnsi="Times New Roman" w:cs="Times New Roman"/>
          <w:sz w:val="22"/>
          <w:szCs w:val="22"/>
          <w:highlight w:val="yellow"/>
        </w:rPr>
      </w:pPr>
      <w:r w:rsidRPr="000C1732">
        <w:rPr>
          <w:rFonts w:ascii="Times New Roman" w:hAnsi="Times New Roman" w:cs="Times New Roman"/>
          <w:sz w:val="22"/>
          <w:szCs w:val="22"/>
        </w:rPr>
        <w:t xml:space="preserve">SAMHSA is requesting </w:t>
      </w:r>
      <w:r w:rsidR="00CE305D" w:rsidRPr="000C1732">
        <w:rPr>
          <w:rFonts w:ascii="Times New Roman" w:hAnsi="Times New Roman" w:cs="Times New Roman"/>
          <w:sz w:val="22"/>
          <w:szCs w:val="22"/>
        </w:rPr>
        <w:t xml:space="preserve">an estimated average annual total burden of </w:t>
      </w:r>
      <w:r w:rsidR="00D80328">
        <w:rPr>
          <w:rFonts w:ascii="Times New Roman" w:hAnsi="Times New Roman" w:cs="Times New Roman"/>
          <w:sz w:val="22"/>
          <w:szCs w:val="22"/>
        </w:rPr>
        <w:t>11,</w:t>
      </w:r>
      <w:r w:rsidR="00616D34">
        <w:rPr>
          <w:rFonts w:ascii="Times New Roman" w:hAnsi="Times New Roman" w:cs="Times New Roman"/>
          <w:sz w:val="22"/>
          <w:szCs w:val="22"/>
        </w:rPr>
        <w:t>958</w:t>
      </w:r>
      <w:r w:rsidRPr="000C1732">
        <w:rPr>
          <w:rFonts w:ascii="Times New Roman" w:hAnsi="Times New Roman" w:cs="Times New Roman"/>
          <w:sz w:val="22"/>
          <w:szCs w:val="22"/>
        </w:rPr>
        <w:t xml:space="preserve"> hours for this submission. </w:t>
      </w:r>
      <w:r w:rsidR="00CE305D" w:rsidRPr="000C1732">
        <w:rPr>
          <w:rFonts w:ascii="Times New Roman" w:hAnsi="Times New Roman" w:cs="Times New Roman"/>
          <w:sz w:val="22"/>
          <w:szCs w:val="22"/>
        </w:rPr>
        <w:t xml:space="preserve">Table </w:t>
      </w:r>
      <w:r w:rsidR="00E66653">
        <w:rPr>
          <w:rFonts w:ascii="Times New Roman" w:hAnsi="Times New Roman" w:cs="Times New Roman"/>
          <w:sz w:val="22"/>
          <w:szCs w:val="22"/>
        </w:rPr>
        <w:t>5</w:t>
      </w:r>
      <w:r w:rsidR="00CE305D" w:rsidRPr="000C1732">
        <w:rPr>
          <w:rFonts w:ascii="Times New Roman" w:hAnsi="Times New Roman" w:cs="Times New Roman"/>
          <w:sz w:val="22"/>
          <w:szCs w:val="22"/>
        </w:rPr>
        <w:t xml:space="preserve"> </w:t>
      </w:r>
      <w:r w:rsidR="0088453D" w:rsidRPr="000C1732">
        <w:rPr>
          <w:rFonts w:ascii="Times New Roman" w:hAnsi="Times New Roman" w:cs="Times New Roman"/>
          <w:sz w:val="22"/>
          <w:szCs w:val="22"/>
        </w:rPr>
        <w:t>display</w:t>
      </w:r>
      <w:r w:rsidR="000C1732" w:rsidRPr="00E16790">
        <w:rPr>
          <w:rFonts w:ascii="Times New Roman" w:hAnsi="Times New Roman" w:cs="Times New Roman"/>
          <w:sz w:val="22"/>
          <w:szCs w:val="22"/>
        </w:rPr>
        <w:t>s</w:t>
      </w:r>
      <w:r w:rsidR="00CE305D" w:rsidRPr="000C1732">
        <w:rPr>
          <w:rFonts w:ascii="Times New Roman" w:hAnsi="Times New Roman" w:cs="Times New Roman"/>
          <w:sz w:val="22"/>
          <w:szCs w:val="22"/>
        </w:rPr>
        <w:t xml:space="preserve"> </w:t>
      </w:r>
      <w:r w:rsidR="00CE305D" w:rsidRPr="00E01AFF">
        <w:rPr>
          <w:rFonts w:ascii="Times New Roman" w:hAnsi="Times New Roman" w:cs="Times New Roman"/>
          <w:sz w:val="22"/>
          <w:szCs w:val="22"/>
        </w:rPr>
        <w:t xml:space="preserve">the annual burden </w:t>
      </w:r>
      <w:r w:rsidR="00E01AFF" w:rsidRPr="00E16790">
        <w:rPr>
          <w:rFonts w:ascii="Times New Roman" w:hAnsi="Times New Roman" w:cs="Times New Roman"/>
          <w:sz w:val="22"/>
          <w:szCs w:val="22"/>
        </w:rPr>
        <w:t>estimates for the Evaluation</w:t>
      </w:r>
      <w:r w:rsidR="000C1732" w:rsidRPr="00E16790">
        <w:rPr>
          <w:rFonts w:ascii="Times New Roman" w:hAnsi="Times New Roman" w:cs="Times New Roman"/>
          <w:sz w:val="22"/>
          <w:szCs w:val="22"/>
        </w:rPr>
        <w:t>.</w:t>
      </w:r>
      <w:r w:rsidR="00B26220" w:rsidRPr="00E01AFF">
        <w:rPr>
          <w:rFonts w:ascii="Times New Roman" w:hAnsi="Times New Roman" w:cs="Times New Roman"/>
          <w:sz w:val="22"/>
          <w:szCs w:val="22"/>
        </w:rPr>
        <w:t xml:space="preserve"> </w:t>
      </w:r>
      <w:r w:rsidR="000C1732" w:rsidRPr="00E16790">
        <w:rPr>
          <w:rFonts w:ascii="Times New Roman" w:hAnsi="Times New Roman" w:cs="Times New Roman"/>
          <w:sz w:val="22"/>
          <w:szCs w:val="22"/>
        </w:rPr>
        <w:t xml:space="preserve">Table </w:t>
      </w:r>
      <w:r w:rsidR="00E66653">
        <w:rPr>
          <w:rFonts w:ascii="Times New Roman" w:hAnsi="Times New Roman" w:cs="Times New Roman"/>
          <w:sz w:val="22"/>
          <w:szCs w:val="22"/>
        </w:rPr>
        <w:t>6</w:t>
      </w:r>
      <w:r w:rsidR="000C1732" w:rsidRPr="00E16790">
        <w:rPr>
          <w:rFonts w:ascii="Times New Roman" w:hAnsi="Times New Roman" w:cs="Times New Roman"/>
          <w:sz w:val="22"/>
          <w:szCs w:val="22"/>
        </w:rPr>
        <w:t xml:space="preserve"> summarizes the combined burden associated with the initial three years of data collection for the National SOC Expansion Evaluation, summarized across planning and implementation grants.</w:t>
      </w:r>
    </w:p>
    <w:p w14:paraId="5F7402FB" w14:textId="77777777" w:rsidR="00E24D14" w:rsidRDefault="00E24D14">
      <w:pPr>
        <w:rPr>
          <w:rFonts w:ascii="Times New Roman" w:hAnsi="Times New Roman" w:cs="Times New Roman"/>
          <w:sz w:val="22"/>
          <w:szCs w:val="22"/>
          <w:highlight w:val="yellow"/>
        </w:rPr>
        <w:sectPr w:rsidR="00E24D14" w:rsidSect="00E24D14">
          <w:footerReference w:type="default" r:id="rId18"/>
          <w:type w:val="continuous"/>
          <w:pgSz w:w="12240" w:h="15840"/>
          <w:pgMar w:top="1440" w:right="1440" w:bottom="1440" w:left="1440" w:header="720" w:footer="720" w:gutter="0"/>
          <w:cols w:space="720"/>
          <w:docGrid w:linePitch="360"/>
        </w:sectPr>
      </w:pPr>
    </w:p>
    <w:p w14:paraId="5DB0A53B" w14:textId="3595A789" w:rsidR="00E24D14" w:rsidRPr="00621B49" w:rsidRDefault="00A86931" w:rsidP="00C34318">
      <w:pPr>
        <w:spacing w:after="0"/>
        <w:rPr>
          <w:rFonts w:ascii="Times New Roman" w:hAnsi="Times New Roman" w:cs="Times New Roman"/>
          <w:b/>
          <w:sz w:val="22"/>
          <w:szCs w:val="22"/>
        </w:rPr>
      </w:pPr>
      <w:r w:rsidRPr="00621B49">
        <w:rPr>
          <w:rFonts w:ascii="Times New Roman" w:hAnsi="Times New Roman" w:cs="Times New Roman"/>
          <w:b/>
          <w:sz w:val="22"/>
          <w:szCs w:val="22"/>
        </w:rPr>
        <w:t xml:space="preserve">Table </w:t>
      </w:r>
      <w:r w:rsidR="00E66653">
        <w:rPr>
          <w:rFonts w:ascii="Times New Roman" w:hAnsi="Times New Roman" w:cs="Times New Roman"/>
          <w:b/>
          <w:sz w:val="22"/>
          <w:szCs w:val="22"/>
        </w:rPr>
        <w:t>5</w:t>
      </w:r>
      <w:r w:rsidR="00E24D14" w:rsidRPr="00621B49">
        <w:rPr>
          <w:rFonts w:ascii="Times New Roman" w:hAnsi="Times New Roman" w:cs="Times New Roman"/>
          <w:b/>
          <w:sz w:val="22"/>
          <w:szCs w:val="22"/>
        </w:rPr>
        <w:t xml:space="preserve">.  Estimated </w:t>
      </w:r>
      <w:r w:rsidR="00363F4A" w:rsidRPr="00621B49">
        <w:rPr>
          <w:rFonts w:ascii="Times New Roman" w:hAnsi="Times New Roman" w:cs="Times New Roman"/>
          <w:b/>
          <w:sz w:val="22"/>
          <w:szCs w:val="22"/>
        </w:rPr>
        <w:t>average annual burden</w:t>
      </w:r>
    </w:p>
    <w:tbl>
      <w:tblPr>
        <w:tblStyle w:val="TableGrid"/>
        <w:tblW w:w="13788" w:type="dxa"/>
        <w:tblLayout w:type="fixed"/>
        <w:tblLook w:val="04A0" w:firstRow="1" w:lastRow="0" w:firstColumn="1" w:lastColumn="0" w:noHBand="0" w:noVBand="1"/>
      </w:tblPr>
      <w:tblGrid>
        <w:gridCol w:w="2178"/>
        <w:gridCol w:w="2700"/>
        <w:gridCol w:w="1530"/>
        <w:gridCol w:w="1637"/>
        <w:gridCol w:w="1219"/>
        <w:gridCol w:w="1115"/>
        <w:gridCol w:w="1077"/>
        <w:gridCol w:w="1165"/>
        <w:gridCol w:w="1167"/>
      </w:tblGrid>
      <w:tr w:rsidR="00E16790" w:rsidRPr="00B73199" w14:paraId="7ED5E069" w14:textId="77777777" w:rsidTr="009204F7">
        <w:trPr>
          <w:trHeight w:val="764"/>
          <w:tblHeader/>
        </w:trPr>
        <w:tc>
          <w:tcPr>
            <w:tcW w:w="2178" w:type="dxa"/>
            <w:tcBorders>
              <w:bottom w:val="single" w:sz="4" w:space="0" w:color="auto"/>
            </w:tcBorders>
            <w:shd w:val="clear" w:color="auto" w:fill="D9D9D9" w:themeFill="background1" w:themeFillShade="D9"/>
            <w:vAlign w:val="center"/>
          </w:tcPr>
          <w:p w14:paraId="6EDF9FC4" w14:textId="08F0F436" w:rsidR="00CB5BDD" w:rsidRPr="00B73199" w:rsidRDefault="00E24D14" w:rsidP="00927366">
            <w:pPr>
              <w:jc w:val="center"/>
              <w:rPr>
                <w:rFonts w:ascii="Arial" w:hAnsi="Arial" w:cs="Arial"/>
                <w:b/>
                <w:sz w:val="18"/>
                <w:szCs w:val="18"/>
              </w:rPr>
            </w:pPr>
            <w:r w:rsidRPr="00B73199">
              <w:rPr>
                <w:rFonts w:ascii="Arial" w:hAnsi="Arial" w:cs="Arial"/>
                <w:b/>
                <w:sz w:val="18"/>
                <w:szCs w:val="18"/>
              </w:rPr>
              <w:t>Instrument/</w:t>
            </w:r>
          </w:p>
          <w:p w14:paraId="4AF6CDDB" w14:textId="1401178B" w:rsidR="00E24D14" w:rsidRPr="00B73199" w:rsidRDefault="00E24D14" w:rsidP="00927366">
            <w:pPr>
              <w:jc w:val="center"/>
              <w:rPr>
                <w:rFonts w:ascii="Arial" w:hAnsi="Arial" w:cs="Arial"/>
                <w:b/>
                <w:sz w:val="18"/>
                <w:szCs w:val="18"/>
              </w:rPr>
            </w:pPr>
            <w:r w:rsidRPr="00B73199">
              <w:rPr>
                <w:rFonts w:ascii="Arial" w:hAnsi="Arial" w:cs="Arial"/>
                <w:b/>
                <w:sz w:val="18"/>
                <w:szCs w:val="18"/>
              </w:rPr>
              <w:t>Data Collection Activity</w:t>
            </w:r>
          </w:p>
        </w:tc>
        <w:tc>
          <w:tcPr>
            <w:tcW w:w="2700" w:type="dxa"/>
            <w:tcBorders>
              <w:bottom w:val="single" w:sz="4" w:space="0" w:color="auto"/>
            </w:tcBorders>
            <w:shd w:val="clear" w:color="auto" w:fill="D9D9D9" w:themeFill="background1" w:themeFillShade="D9"/>
            <w:vAlign w:val="center"/>
          </w:tcPr>
          <w:p w14:paraId="7944230C" w14:textId="7C12AD29" w:rsidR="00E24D14" w:rsidRPr="00B73199" w:rsidRDefault="00E24D14" w:rsidP="00927366">
            <w:pPr>
              <w:jc w:val="center"/>
              <w:rPr>
                <w:rFonts w:ascii="Arial" w:hAnsi="Arial" w:cs="Arial"/>
                <w:b/>
                <w:sz w:val="18"/>
                <w:szCs w:val="18"/>
              </w:rPr>
            </w:pPr>
            <w:r w:rsidRPr="00B73199">
              <w:rPr>
                <w:rFonts w:ascii="Arial" w:hAnsi="Arial" w:cs="Arial"/>
                <w:b/>
                <w:sz w:val="18"/>
                <w:szCs w:val="18"/>
              </w:rPr>
              <w:t>Re</w:t>
            </w:r>
            <w:r w:rsidR="00C31B26" w:rsidRPr="00B73199">
              <w:rPr>
                <w:rFonts w:ascii="Arial" w:hAnsi="Arial" w:cs="Arial"/>
                <w:b/>
                <w:sz w:val="18"/>
                <w:szCs w:val="18"/>
              </w:rPr>
              <w:t>spondent</w:t>
            </w:r>
          </w:p>
        </w:tc>
        <w:tc>
          <w:tcPr>
            <w:tcW w:w="1530" w:type="dxa"/>
            <w:tcBorders>
              <w:bottom w:val="single" w:sz="4" w:space="0" w:color="auto"/>
            </w:tcBorders>
            <w:shd w:val="clear" w:color="auto" w:fill="D9D9D9" w:themeFill="background1" w:themeFillShade="D9"/>
            <w:vAlign w:val="center"/>
          </w:tcPr>
          <w:p w14:paraId="4601710E" w14:textId="5DFB47C1" w:rsidR="00E24D14" w:rsidRPr="007B0ED3" w:rsidRDefault="00E24D14" w:rsidP="00927366">
            <w:pPr>
              <w:jc w:val="center"/>
              <w:rPr>
                <w:rFonts w:ascii="Arial" w:hAnsi="Arial" w:cs="Arial"/>
                <w:b/>
                <w:sz w:val="18"/>
                <w:szCs w:val="18"/>
              </w:rPr>
            </w:pPr>
            <w:r w:rsidRPr="00870BF5">
              <w:rPr>
                <w:rFonts w:ascii="Arial" w:hAnsi="Arial" w:cs="Arial"/>
                <w:b/>
                <w:sz w:val="18"/>
                <w:szCs w:val="18"/>
              </w:rPr>
              <w:t>Number of  Respondents</w:t>
            </w:r>
          </w:p>
        </w:tc>
        <w:tc>
          <w:tcPr>
            <w:tcW w:w="1637" w:type="dxa"/>
            <w:tcBorders>
              <w:bottom w:val="single" w:sz="4" w:space="0" w:color="auto"/>
            </w:tcBorders>
            <w:shd w:val="clear" w:color="auto" w:fill="D9D9D9" w:themeFill="background1" w:themeFillShade="D9"/>
            <w:vAlign w:val="center"/>
          </w:tcPr>
          <w:p w14:paraId="405AFCEE" w14:textId="4FA57DF0" w:rsidR="00E24D14" w:rsidRPr="007B0ED3" w:rsidRDefault="00E24D14" w:rsidP="00927366">
            <w:pPr>
              <w:jc w:val="center"/>
              <w:rPr>
                <w:rFonts w:ascii="Arial" w:hAnsi="Arial" w:cs="Arial"/>
                <w:b/>
                <w:sz w:val="18"/>
                <w:szCs w:val="18"/>
              </w:rPr>
            </w:pPr>
            <w:r w:rsidRPr="007B0ED3">
              <w:rPr>
                <w:rFonts w:ascii="Arial" w:hAnsi="Arial" w:cs="Arial"/>
                <w:b/>
                <w:sz w:val="18"/>
                <w:szCs w:val="18"/>
              </w:rPr>
              <w:t>Responses per Respondent</w:t>
            </w:r>
          </w:p>
        </w:tc>
        <w:tc>
          <w:tcPr>
            <w:tcW w:w="1219" w:type="dxa"/>
            <w:tcBorders>
              <w:bottom w:val="single" w:sz="4" w:space="0" w:color="auto"/>
            </w:tcBorders>
            <w:shd w:val="clear" w:color="auto" w:fill="D9D9D9" w:themeFill="background1" w:themeFillShade="D9"/>
            <w:vAlign w:val="center"/>
          </w:tcPr>
          <w:p w14:paraId="7DA5FDF0" w14:textId="362457E7" w:rsidR="00E24D14" w:rsidRPr="007B0ED3" w:rsidRDefault="00E24D14" w:rsidP="00927366">
            <w:pPr>
              <w:jc w:val="center"/>
              <w:rPr>
                <w:rFonts w:ascii="Arial" w:hAnsi="Arial" w:cs="Arial"/>
                <w:b/>
                <w:sz w:val="18"/>
                <w:szCs w:val="18"/>
              </w:rPr>
            </w:pPr>
            <w:r w:rsidRPr="00870BF5">
              <w:rPr>
                <w:rFonts w:ascii="Arial" w:hAnsi="Arial" w:cs="Arial"/>
                <w:b/>
                <w:sz w:val="18"/>
                <w:szCs w:val="18"/>
              </w:rPr>
              <w:t>Total Number of Responses</w:t>
            </w:r>
          </w:p>
        </w:tc>
        <w:tc>
          <w:tcPr>
            <w:tcW w:w="1115" w:type="dxa"/>
            <w:tcBorders>
              <w:bottom w:val="single" w:sz="4" w:space="0" w:color="auto"/>
            </w:tcBorders>
            <w:shd w:val="clear" w:color="auto" w:fill="D9D9D9" w:themeFill="background1" w:themeFillShade="D9"/>
            <w:vAlign w:val="center"/>
          </w:tcPr>
          <w:p w14:paraId="640BEB54" w14:textId="45A4BBDB" w:rsidR="00E24D14" w:rsidRPr="007B0ED3" w:rsidRDefault="00E24D14" w:rsidP="00927366">
            <w:pPr>
              <w:jc w:val="center"/>
              <w:rPr>
                <w:rFonts w:ascii="Arial" w:hAnsi="Arial" w:cs="Arial"/>
                <w:b/>
                <w:sz w:val="18"/>
                <w:szCs w:val="18"/>
              </w:rPr>
            </w:pPr>
            <w:r w:rsidRPr="007B0ED3">
              <w:rPr>
                <w:rFonts w:ascii="Arial" w:hAnsi="Arial" w:cs="Arial"/>
                <w:b/>
                <w:sz w:val="18"/>
                <w:szCs w:val="18"/>
              </w:rPr>
              <w:t>Hours per Response</w:t>
            </w:r>
          </w:p>
        </w:tc>
        <w:tc>
          <w:tcPr>
            <w:tcW w:w="1077" w:type="dxa"/>
            <w:tcBorders>
              <w:bottom w:val="single" w:sz="4" w:space="0" w:color="auto"/>
            </w:tcBorders>
            <w:shd w:val="clear" w:color="auto" w:fill="D9D9D9" w:themeFill="background1" w:themeFillShade="D9"/>
            <w:vAlign w:val="center"/>
          </w:tcPr>
          <w:p w14:paraId="384FDB32" w14:textId="15A2F3E6" w:rsidR="00E24D14" w:rsidRPr="007B0ED3" w:rsidRDefault="00E24D14" w:rsidP="00927366">
            <w:pPr>
              <w:jc w:val="center"/>
              <w:rPr>
                <w:rFonts w:ascii="Arial" w:hAnsi="Arial" w:cs="Arial"/>
                <w:b/>
                <w:sz w:val="18"/>
                <w:szCs w:val="18"/>
              </w:rPr>
            </w:pPr>
            <w:r w:rsidRPr="00870BF5">
              <w:rPr>
                <w:rFonts w:ascii="Arial" w:hAnsi="Arial" w:cs="Arial"/>
                <w:b/>
                <w:sz w:val="18"/>
                <w:szCs w:val="18"/>
              </w:rPr>
              <w:t>Total Annual Burden Hours</w:t>
            </w:r>
          </w:p>
        </w:tc>
        <w:tc>
          <w:tcPr>
            <w:tcW w:w="1165" w:type="dxa"/>
            <w:tcBorders>
              <w:bottom w:val="single" w:sz="4" w:space="0" w:color="auto"/>
            </w:tcBorders>
            <w:shd w:val="clear" w:color="auto" w:fill="D9D9D9" w:themeFill="background1" w:themeFillShade="D9"/>
            <w:vAlign w:val="center"/>
          </w:tcPr>
          <w:p w14:paraId="6A98D34B" w14:textId="15011687" w:rsidR="00E24D14" w:rsidRPr="007B0ED3" w:rsidRDefault="00E24D14" w:rsidP="00927366">
            <w:pPr>
              <w:jc w:val="center"/>
              <w:rPr>
                <w:rFonts w:ascii="Arial" w:hAnsi="Arial" w:cs="Arial"/>
                <w:b/>
                <w:sz w:val="18"/>
                <w:szCs w:val="18"/>
              </w:rPr>
            </w:pPr>
            <w:r w:rsidRPr="007B0ED3">
              <w:rPr>
                <w:rFonts w:ascii="Arial" w:hAnsi="Arial" w:cs="Arial"/>
                <w:b/>
                <w:sz w:val="18"/>
                <w:szCs w:val="18"/>
              </w:rPr>
              <w:t>Hourly Wage</w:t>
            </w:r>
          </w:p>
        </w:tc>
        <w:tc>
          <w:tcPr>
            <w:tcW w:w="1167" w:type="dxa"/>
            <w:tcBorders>
              <w:bottom w:val="single" w:sz="4" w:space="0" w:color="auto"/>
            </w:tcBorders>
            <w:shd w:val="clear" w:color="auto" w:fill="D9D9D9" w:themeFill="background1" w:themeFillShade="D9"/>
            <w:vAlign w:val="center"/>
          </w:tcPr>
          <w:p w14:paraId="03EEE50D" w14:textId="65C9ECD1" w:rsidR="00E24D14" w:rsidRPr="007B0ED3" w:rsidRDefault="00E24D14" w:rsidP="00927366">
            <w:pPr>
              <w:jc w:val="center"/>
              <w:rPr>
                <w:rFonts w:ascii="Arial" w:hAnsi="Arial" w:cs="Arial"/>
                <w:b/>
                <w:sz w:val="18"/>
                <w:szCs w:val="18"/>
              </w:rPr>
            </w:pPr>
            <w:r w:rsidRPr="00870BF5">
              <w:rPr>
                <w:rFonts w:ascii="Arial" w:hAnsi="Arial" w:cs="Arial"/>
                <w:b/>
                <w:sz w:val="18"/>
                <w:szCs w:val="18"/>
              </w:rPr>
              <w:t>Total Cost</w:t>
            </w:r>
          </w:p>
        </w:tc>
      </w:tr>
      <w:tr w:rsidR="0016295F" w:rsidRPr="00B73199" w14:paraId="4044B81F" w14:textId="77777777" w:rsidTr="009204F7">
        <w:tc>
          <w:tcPr>
            <w:tcW w:w="4878"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57D0B8B" w14:textId="574BC1C0" w:rsidR="007A6282" w:rsidRPr="00B73199" w:rsidRDefault="007A6282" w:rsidP="00927366">
            <w:pPr>
              <w:rPr>
                <w:rFonts w:ascii="Arial" w:hAnsi="Arial" w:cs="Arial"/>
                <w:sz w:val="18"/>
                <w:szCs w:val="18"/>
              </w:rPr>
            </w:pPr>
            <w:r w:rsidRPr="00B73199">
              <w:rPr>
                <w:rFonts w:ascii="Arial" w:hAnsi="Arial" w:cs="Arial"/>
                <w:b/>
                <w:sz w:val="18"/>
                <w:szCs w:val="18"/>
              </w:rPr>
              <w:t xml:space="preserve">Implementation </w:t>
            </w:r>
            <w:r w:rsidR="00020984" w:rsidRPr="00B73199">
              <w:rPr>
                <w:rFonts w:ascii="Arial" w:hAnsi="Arial" w:cs="Arial"/>
                <w:b/>
                <w:sz w:val="18"/>
                <w:szCs w:val="18"/>
              </w:rPr>
              <w:t>A</w:t>
            </w:r>
            <w:r w:rsidRPr="00B73199">
              <w:rPr>
                <w:rFonts w:ascii="Arial" w:hAnsi="Arial" w:cs="Arial"/>
                <w:b/>
                <w:sz w:val="18"/>
                <w:szCs w:val="18"/>
              </w:rPr>
              <w:t>ssessment</w:t>
            </w:r>
          </w:p>
        </w:tc>
        <w:tc>
          <w:tcPr>
            <w:tcW w:w="1530" w:type="dxa"/>
            <w:tcBorders>
              <w:top w:val="single" w:sz="4" w:space="0" w:color="auto"/>
              <w:left w:val="nil"/>
              <w:bottom w:val="single" w:sz="4" w:space="0" w:color="auto"/>
              <w:right w:val="nil"/>
            </w:tcBorders>
            <w:shd w:val="clear" w:color="auto" w:fill="D9D9D9" w:themeFill="background1" w:themeFillShade="D9"/>
          </w:tcPr>
          <w:p w14:paraId="3930B07C" w14:textId="77777777" w:rsidR="007A6282" w:rsidRPr="00B73199" w:rsidRDefault="007A6282" w:rsidP="00927366">
            <w:pPr>
              <w:rPr>
                <w:rFonts w:ascii="Arial" w:hAnsi="Arial" w:cs="Arial"/>
                <w:sz w:val="18"/>
                <w:szCs w:val="18"/>
              </w:rPr>
            </w:pPr>
          </w:p>
        </w:tc>
        <w:tc>
          <w:tcPr>
            <w:tcW w:w="1637" w:type="dxa"/>
            <w:tcBorders>
              <w:top w:val="single" w:sz="4" w:space="0" w:color="auto"/>
              <w:left w:val="nil"/>
              <w:bottom w:val="single" w:sz="4" w:space="0" w:color="auto"/>
              <w:right w:val="nil"/>
            </w:tcBorders>
            <w:shd w:val="clear" w:color="auto" w:fill="D9D9D9" w:themeFill="background1" w:themeFillShade="D9"/>
          </w:tcPr>
          <w:p w14:paraId="1BEF487C" w14:textId="77777777" w:rsidR="007A6282" w:rsidRPr="00B73199" w:rsidRDefault="007A6282" w:rsidP="00927366">
            <w:pPr>
              <w:rPr>
                <w:rFonts w:ascii="Arial" w:hAnsi="Arial" w:cs="Arial"/>
                <w:sz w:val="18"/>
                <w:szCs w:val="18"/>
              </w:rPr>
            </w:pPr>
          </w:p>
        </w:tc>
        <w:tc>
          <w:tcPr>
            <w:tcW w:w="1219" w:type="dxa"/>
            <w:tcBorders>
              <w:top w:val="single" w:sz="4" w:space="0" w:color="auto"/>
              <w:left w:val="nil"/>
              <w:bottom w:val="single" w:sz="4" w:space="0" w:color="auto"/>
              <w:right w:val="nil"/>
            </w:tcBorders>
            <w:shd w:val="clear" w:color="auto" w:fill="D9D9D9" w:themeFill="background1" w:themeFillShade="D9"/>
          </w:tcPr>
          <w:p w14:paraId="45BC82CE" w14:textId="77777777" w:rsidR="007A6282" w:rsidRPr="00B73199" w:rsidRDefault="007A6282" w:rsidP="00927366">
            <w:pPr>
              <w:rPr>
                <w:rFonts w:ascii="Arial" w:hAnsi="Arial" w:cs="Arial"/>
                <w:sz w:val="18"/>
                <w:szCs w:val="18"/>
              </w:rPr>
            </w:pPr>
          </w:p>
        </w:tc>
        <w:tc>
          <w:tcPr>
            <w:tcW w:w="1115" w:type="dxa"/>
            <w:tcBorders>
              <w:top w:val="single" w:sz="4" w:space="0" w:color="auto"/>
              <w:left w:val="nil"/>
              <w:bottom w:val="single" w:sz="4" w:space="0" w:color="auto"/>
              <w:right w:val="nil"/>
            </w:tcBorders>
            <w:shd w:val="clear" w:color="auto" w:fill="D9D9D9" w:themeFill="background1" w:themeFillShade="D9"/>
          </w:tcPr>
          <w:p w14:paraId="6BF2F6CB" w14:textId="77777777" w:rsidR="007A6282" w:rsidRPr="00B73199" w:rsidRDefault="007A6282" w:rsidP="00927366">
            <w:pPr>
              <w:rPr>
                <w:rFonts w:ascii="Arial" w:hAnsi="Arial" w:cs="Arial"/>
                <w:sz w:val="18"/>
                <w:szCs w:val="18"/>
              </w:rPr>
            </w:pPr>
          </w:p>
        </w:tc>
        <w:tc>
          <w:tcPr>
            <w:tcW w:w="1077" w:type="dxa"/>
            <w:tcBorders>
              <w:top w:val="single" w:sz="4" w:space="0" w:color="auto"/>
              <w:left w:val="nil"/>
              <w:bottom w:val="single" w:sz="4" w:space="0" w:color="auto"/>
              <w:right w:val="nil"/>
            </w:tcBorders>
            <w:shd w:val="clear" w:color="auto" w:fill="D9D9D9" w:themeFill="background1" w:themeFillShade="D9"/>
          </w:tcPr>
          <w:p w14:paraId="62F2C168" w14:textId="77777777" w:rsidR="007A6282" w:rsidRPr="00B73199" w:rsidRDefault="007A6282" w:rsidP="00927366">
            <w:pPr>
              <w:rPr>
                <w:rFonts w:ascii="Arial" w:hAnsi="Arial" w:cs="Arial"/>
                <w:sz w:val="18"/>
                <w:szCs w:val="18"/>
              </w:rPr>
            </w:pPr>
          </w:p>
        </w:tc>
        <w:tc>
          <w:tcPr>
            <w:tcW w:w="1165" w:type="dxa"/>
            <w:tcBorders>
              <w:top w:val="single" w:sz="4" w:space="0" w:color="auto"/>
              <w:left w:val="nil"/>
              <w:bottom w:val="single" w:sz="4" w:space="0" w:color="auto"/>
              <w:right w:val="nil"/>
            </w:tcBorders>
            <w:shd w:val="clear" w:color="auto" w:fill="D9D9D9" w:themeFill="background1" w:themeFillShade="D9"/>
          </w:tcPr>
          <w:p w14:paraId="15F28FC5" w14:textId="77777777" w:rsidR="007A6282" w:rsidRPr="00B73199" w:rsidRDefault="007A6282" w:rsidP="00927366">
            <w:pPr>
              <w:rPr>
                <w:rFonts w:ascii="Arial" w:hAnsi="Arial" w:cs="Arial"/>
                <w:sz w:val="18"/>
                <w:szCs w:val="18"/>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tcPr>
          <w:p w14:paraId="15823C01" w14:textId="77777777" w:rsidR="007A6282" w:rsidRPr="00B73199" w:rsidRDefault="007A6282" w:rsidP="00927366">
            <w:pPr>
              <w:rPr>
                <w:rFonts w:ascii="Arial" w:hAnsi="Arial" w:cs="Arial"/>
                <w:sz w:val="18"/>
                <w:szCs w:val="18"/>
              </w:rPr>
            </w:pPr>
          </w:p>
        </w:tc>
      </w:tr>
      <w:tr w:rsidR="000E7641" w:rsidRPr="00B73199" w14:paraId="4F6F96D5" w14:textId="77777777" w:rsidTr="009204F7">
        <w:tc>
          <w:tcPr>
            <w:tcW w:w="2178" w:type="dxa"/>
            <w:vMerge w:val="restart"/>
            <w:tcBorders>
              <w:top w:val="single" w:sz="4" w:space="0" w:color="auto"/>
            </w:tcBorders>
            <w:vAlign w:val="center"/>
          </w:tcPr>
          <w:p w14:paraId="3E0D1F87" w14:textId="0CC0C983" w:rsidR="000E7641" w:rsidRPr="00B73199" w:rsidRDefault="00E04112" w:rsidP="00F511EA">
            <w:pPr>
              <w:rPr>
                <w:rFonts w:ascii="Arial" w:hAnsi="Arial" w:cs="Arial"/>
                <w:sz w:val="18"/>
                <w:szCs w:val="18"/>
              </w:rPr>
            </w:pPr>
            <w:r>
              <w:rPr>
                <w:rFonts w:ascii="Arial" w:eastAsia="Times New Roman" w:hAnsi="Arial" w:cs="Arial"/>
                <w:color w:val="000000"/>
                <w:sz w:val="18"/>
                <w:szCs w:val="18"/>
              </w:rPr>
              <w:t>Stakeholder In</w:t>
            </w:r>
            <w:r w:rsidR="000E7641">
              <w:rPr>
                <w:rFonts w:ascii="Arial" w:eastAsia="Times New Roman" w:hAnsi="Arial" w:cs="Arial"/>
                <w:color w:val="000000"/>
                <w:sz w:val="18"/>
                <w:szCs w:val="18"/>
              </w:rPr>
              <w:t>terviews</w:t>
            </w:r>
            <w:r w:rsidR="000E7641" w:rsidRPr="004C3C20">
              <w:rPr>
                <w:rFonts w:ascii="Arial" w:eastAsia="Times New Roman" w:hAnsi="Arial" w:cs="Arial"/>
                <w:color w:val="000000"/>
                <w:sz w:val="18"/>
                <w:szCs w:val="18"/>
                <w:vertAlign w:val="superscript"/>
              </w:rPr>
              <w:t>a</w:t>
            </w:r>
          </w:p>
        </w:tc>
        <w:tc>
          <w:tcPr>
            <w:tcW w:w="2700" w:type="dxa"/>
            <w:tcBorders>
              <w:top w:val="single" w:sz="4" w:space="0" w:color="auto"/>
            </w:tcBorders>
            <w:vAlign w:val="center"/>
          </w:tcPr>
          <w:p w14:paraId="187F6632" w14:textId="0647A1D1" w:rsidR="000E7641" w:rsidRPr="00BF5FBA" w:rsidRDefault="000E7641" w:rsidP="008E1EAF">
            <w:pPr>
              <w:rPr>
                <w:rFonts w:ascii="Arial Narrow" w:hAnsi="Arial Narrow" w:cs="Arial"/>
                <w:sz w:val="18"/>
                <w:szCs w:val="18"/>
              </w:rPr>
            </w:pPr>
            <w:r w:rsidRPr="00BF5FBA">
              <w:rPr>
                <w:rFonts w:ascii="Arial Narrow" w:eastAsia="Times New Roman" w:hAnsi="Arial Narrow" w:cs="Arial"/>
                <w:color w:val="000000"/>
                <w:sz w:val="18"/>
                <w:szCs w:val="18"/>
              </w:rPr>
              <w:t xml:space="preserve">Project Director </w:t>
            </w:r>
          </w:p>
        </w:tc>
        <w:tc>
          <w:tcPr>
            <w:tcW w:w="1530" w:type="dxa"/>
            <w:tcBorders>
              <w:top w:val="single" w:sz="4" w:space="0" w:color="auto"/>
            </w:tcBorders>
            <w:vAlign w:val="center"/>
          </w:tcPr>
          <w:p w14:paraId="6A805212" w14:textId="5AFF61C8"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57</w:t>
            </w:r>
          </w:p>
        </w:tc>
        <w:tc>
          <w:tcPr>
            <w:tcW w:w="1637" w:type="dxa"/>
            <w:tcBorders>
              <w:top w:val="single" w:sz="4" w:space="0" w:color="auto"/>
            </w:tcBorders>
            <w:vAlign w:val="center"/>
          </w:tcPr>
          <w:p w14:paraId="57D9686F" w14:textId="15D0B995" w:rsidR="000E7641" w:rsidRPr="00E04112" w:rsidRDefault="000E7641" w:rsidP="00A74EAA">
            <w:pPr>
              <w:spacing w:after="120" w:line="264" w:lineRule="auto"/>
              <w:jc w:val="right"/>
              <w:rPr>
                <w:rFonts w:ascii="Arial" w:hAnsi="Arial" w:cs="Arial"/>
                <w:sz w:val="18"/>
                <w:szCs w:val="18"/>
              </w:rPr>
            </w:pPr>
            <w:r w:rsidRPr="00E04112">
              <w:rPr>
                <w:rFonts w:ascii="Arial" w:hAnsi="Arial" w:cs="Arial"/>
                <w:color w:val="000000"/>
                <w:sz w:val="18"/>
                <w:szCs w:val="18"/>
              </w:rPr>
              <w:t>1</w:t>
            </w:r>
          </w:p>
        </w:tc>
        <w:tc>
          <w:tcPr>
            <w:tcW w:w="1219" w:type="dxa"/>
            <w:tcBorders>
              <w:top w:val="single" w:sz="4" w:space="0" w:color="auto"/>
            </w:tcBorders>
            <w:vAlign w:val="center"/>
          </w:tcPr>
          <w:p w14:paraId="4A8859BE" w14:textId="12572288"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57</w:t>
            </w:r>
          </w:p>
        </w:tc>
        <w:tc>
          <w:tcPr>
            <w:tcW w:w="1115" w:type="dxa"/>
            <w:tcBorders>
              <w:top w:val="single" w:sz="4" w:space="0" w:color="auto"/>
            </w:tcBorders>
            <w:vAlign w:val="center"/>
          </w:tcPr>
          <w:p w14:paraId="6BE7ABAE" w14:textId="33D46BF6"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1.6</w:t>
            </w:r>
          </w:p>
        </w:tc>
        <w:tc>
          <w:tcPr>
            <w:tcW w:w="1077" w:type="dxa"/>
            <w:tcBorders>
              <w:top w:val="single" w:sz="4" w:space="0" w:color="auto"/>
            </w:tcBorders>
            <w:vAlign w:val="center"/>
          </w:tcPr>
          <w:p w14:paraId="31B2345D" w14:textId="773E8AD0"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90</w:t>
            </w:r>
          </w:p>
        </w:tc>
        <w:tc>
          <w:tcPr>
            <w:tcW w:w="1165" w:type="dxa"/>
            <w:tcBorders>
              <w:top w:val="single" w:sz="4" w:space="0" w:color="auto"/>
            </w:tcBorders>
            <w:vAlign w:val="center"/>
          </w:tcPr>
          <w:p w14:paraId="1C8F9AE5" w14:textId="0AFF2E67" w:rsidR="000E7641" w:rsidRPr="00E04112" w:rsidRDefault="000E7641" w:rsidP="00A74EAA">
            <w:pPr>
              <w:spacing w:after="120" w:line="264" w:lineRule="auto"/>
              <w:jc w:val="right"/>
              <w:rPr>
                <w:rFonts w:ascii="Arial" w:hAnsi="Arial" w:cs="Arial"/>
                <w:sz w:val="18"/>
                <w:szCs w:val="18"/>
              </w:rPr>
            </w:pPr>
            <w:r w:rsidRPr="00E04112">
              <w:rPr>
                <w:rFonts w:ascii="Arial" w:hAnsi="Arial" w:cs="Arial"/>
                <w:color w:val="000000"/>
                <w:sz w:val="18"/>
                <w:szCs w:val="18"/>
              </w:rPr>
              <w:t>$26.44</w:t>
            </w:r>
          </w:p>
        </w:tc>
        <w:tc>
          <w:tcPr>
            <w:tcW w:w="1167" w:type="dxa"/>
            <w:tcBorders>
              <w:top w:val="single" w:sz="4" w:space="0" w:color="auto"/>
            </w:tcBorders>
            <w:vAlign w:val="center"/>
          </w:tcPr>
          <w:p w14:paraId="4C360521" w14:textId="77A85D06"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 xml:space="preserve">$2,375 </w:t>
            </w:r>
          </w:p>
        </w:tc>
      </w:tr>
      <w:tr w:rsidR="000E7641" w:rsidRPr="00B73199" w14:paraId="67ADFAF1" w14:textId="77777777" w:rsidTr="009204F7">
        <w:tc>
          <w:tcPr>
            <w:tcW w:w="2178" w:type="dxa"/>
            <w:vMerge/>
            <w:tcBorders>
              <w:top w:val="single" w:sz="4" w:space="0" w:color="auto"/>
            </w:tcBorders>
            <w:vAlign w:val="center"/>
          </w:tcPr>
          <w:p w14:paraId="47AFDCA0" w14:textId="77777777" w:rsidR="000E7641" w:rsidRPr="004C3C20" w:rsidRDefault="000E7641" w:rsidP="004C3C20">
            <w:pPr>
              <w:rPr>
                <w:rFonts w:ascii="Arial" w:eastAsia="Times New Roman" w:hAnsi="Arial" w:cs="Arial"/>
                <w:color w:val="000000"/>
                <w:sz w:val="18"/>
                <w:szCs w:val="18"/>
              </w:rPr>
            </w:pPr>
          </w:p>
        </w:tc>
        <w:tc>
          <w:tcPr>
            <w:tcW w:w="2700" w:type="dxa"/>
            <w:tcBorders>
              <w:top w:val="single" w:sz="4" w:space="0" w:color="auto"/>
            </w:tcBorders>
            <w:vAlign w:val="center"/>
          </w:tcPr>
          <w:p w14:paraId="40AFC0A3" w14:textId="0047E529" w:rsidR="000E7641" w:rsidRPr="00BF5FBA" w:rsidRDefault="000E7641" w:rsidP="00CD0164">
            <w:pPr>
              <w:rPr>
                <w:rFonts w:ascii="Arial Narrow" w:eastAsia="Times New Roman" w:hAnsi="Arial Narrow" w:cs="Arial"/>
                <w:color w:val="000000"/>
                <w:sz w:val="18"/>
                <w:szCs w:val="18"/>
              </w:rPr>
            </w:pPr>
            <w:r w:rsidRPr="00BF5FBA">
              <w:rPr>
                <w:rFonts w:ascii="Arial Narrow" w:eastAsia="Times New Roman" w:hAnsi="Arial Narrow" w:cs="Arial"/>
                <w:color w:val="000000"/>
                <w:sz w:val="18"/>
                <w:szCs w:val="18"/>
              </w:rPr>
              <w:t>Family Org</w:t>
            </w:r>
            <w:r>
              <w:rPr>
                <w:rFonts w:ascii="Arial Narrow" w:eastAsia="Times New Roman" w:hAnsi="Arial Narrow" w:cs="Arial"/>
                <w:color w:val="000000"/>
                <w:sz w:val="18"/>
                <w:szCs w:val="18"/>
              </w:rPr>
              <w:t>anization Representative</w:t>
            </w:r>
          </w:p>
        </w:tc>
        <w:tc>
          <w:tcPr>
            <w:tcW w:w="1530" w:type="dxa"/>
            <w:tcBorders>
              <w:top w:val="single" w:sz="4" w:space="0" w:color="auto"/>
            </w:tcBorders>
            <w:vAlign w:val="center"/>
          </w:tcPr>
          <w:p w14:paraId="317E173D" w14:textId="35605496"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57</w:t>
            </w:r>
          </w:p>
        </w:tc>
        <w:tc>
          <w:tcPr>
            <w:tcW w:w="1637" w:type="dxa"/>
            <w:tcBorders>
              <w:top w:val="single" w:sz="4" w:space="0" w:color="auto"/>
            </w:tcBorders>
            <w:vAlign w:val="center"/>
          </w:tcPr>
          <w:p w14:paraId="4D4E59D3" w14:textId="28E11973" w:rsidR="000E7641" w:rsidRPr="00E04112" w:rsidRDefault="000E7641"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1</w:t>
            </w:r>
          </w:p>
        </w:tc>
        <w:tc>
          <w:tcPr>
            <w:tcW w:w="1219" w:type="dxa"/>
            <w:tcBorders>
              <w:top w:val="single" w:sz="4" w:space="0" w:color="auto"/>
            </w:tcBorders>
            <w:vAlign w:val="center"/>
          </w:tcPr>
          <w:p w14:paraId="51D8C540" w14:textId="4B99BE1B"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57</w:t>
            </w:r>
          </w:p>
        </w:tc>
        <w:tc>
          <w:tcPr>
            <w:tcW w:w="1115" w:type="dxa"/>
            <w:tcBorders>
              <w:top w:val="single" w:sz="4" w:space="0" w:color="auto"/>
            </w:tcBorders>
            <w:vAlign w:val="center"/>
          </w:tcPr>
          <w:p w14:paraId="0413FAAD" w14:textId="641EF3D0"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1.6</w:t>
            </w:r>
          </w:p>
        </w:tc>
        <w:tc>
          <w:tcPr>
            <w:tcW w:w="1077" w:type="dxa"/>
            <w:tcBorders>
              <w:top w:val="single" w:sz="4" w:space="0" w:color="auto"/>
            </w:tcBorders>
            <w:vAlign w:val="center"/>
          </w:tcPr>
          <w:p w14:paraId="0D846AD5" w14:textId="127C62E2"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90</w:t>
            </w:r>
          </w:p>
        </w:tc>
        <w:tc>
          <w:tcPr>
            <w:tcW w:w="1165" w:type="dxa"/>
            <w:tcBorders>
              <w:top w:val="single" w:sz="4" w:space="0" w:color="auto"/>
            </w:tcBorders>
            <w:vAlign w:val="center"/>
          </w:tcPr>
          <w:p w14:paraId="2C0338C2" w14:textId="7AA3E4BB" w:rsidR="000E7641" w:rsidRPr="00E04112" w:rsidRDefault="000E7641"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$21.55</w:t>
            </w:r>
          </w:p>
        </w:tc>
        <w:tc>
          <w:tcPr>
            <w:tcW w:w="1167" w:type="dxa"/>
            <w:tcBorders>
              <w:top w:val="single" w:sz="4" w:space="0" w:color="auto"/>
            </w:tcBorders>
            <w:vAlign w:val="center"/>
          </w:tcPr>
          <w:p w14:paraId="12A539FB" w14:textId="11059862"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 xml:space="preserve">$1,936 </w:t>
            </w:r>
          </w:p>
        </w:tc>
      </w:tr>
      <w:tr w:rsidR="000E7641" w:rsidRPr="00B73199" w14:paraId="271A623E" w14:textId="77777777" w:rsidTr="009204F7">
        <w:tc>
          <w:tcPr>
            <w:tcW w:w="2178" w:type="dxa"/>
            <w:vMerge/>
            <w:tcBorders>
              <w:top w:val="single" w:sz="4" w:space="0" w:color="auto"/>
            </w:tcBorders>
            <w:vAlign w:val="center"/>
          </w:tcPr>
          <w:p w14:paraId="61F977D8" w14:textId="77777777" w:rsidR="000E7641" w:rsidRPr="004C3C20" w:rsidRDefault="000E7641" w:rsidP="004C3C20">
            <w:pPr>
              <w:rPr>
                <w:rFonts w:ascii="Arial" w:eastAsia="Times New Roman" w:hAnsi="Arial" w:cs="Arial"/>
                <w:color w:val="000000"/>
                <w:sz w:val="18"/>
                <w:szCs w:val="18"/>
              </w:rPr>
            </w:pPr>
          </w:p>
        </w:tc>
        <w:tc>
          <w:tcPr>
            <w:tcW w:w="2700" w:type="dxa"/>
            <w:tcBorders>
              <w:top w:val="single" w:sz="4" w:space="0" w:color="auto"/>
            </w:tcBorders>
            <w:vAlign w:val="center"/>
          </w:tcPr>
          <w:p w14:paraId="3A778DAF" w14:textId="5E594456" w:rsidR="000E7641" w:rsidRPr="00B742E4" w:rsidRDefault="000E7641" w:rsidP="008E1EAF">
            <w:pPr>
              <w:rPr>
                <w:rFonts w:ascii="Arial Narrow" w:eastAsia="Times New Roman" w:hAnsi="Arial Narrow" w:cs="Arial"/>
                <w:color w:val="000000"/>
                <w:sz w:val="18"/>
                <w:szCs w:val="18"/>
              </w:rPr>
            </w:pPr>
            <w:r w:rsidRPr="00B742E4">
              <w:rPr>
                <w:rFonts w:ascii="Arial Narrow" w:eastAsia="Times New Roman" w:hAnsi="Arial Narrow" w:cs="Arial"/>
                <w:color w:val="000000"/>
                <w:sz w:val="18"/>
                <w:szCs w:val="18"/>
              </w:rPr>
              <w:t>Youth Organization Representative</w:t>
            </w:r>
          </w:p>
        </w:tc>
        <w:tc>
          <w:tcPr>
            <w:tcW w:w="1530" w:type="dxa"/>
            <w:tcBorders>
              <w:top w:val="single" w:sz="4" w:space="0" w:color="auto"/>
            </w:tcBorders>
            <w:vAlign w:val="center"/>
          </w:tcPr>
          <w:p w14:paraId="178341DA" w14:textId="48EA364B"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57</w:t>
            </w:r>
          </w:p>
        </w:tc>
        <w:tc>
          <w:tcPr>
            <w:tcW w:w="1637" w:type="dxa"/>
            <w:tcBorders>
              <w:top w:val="single" w:sz="4" w:space="0" w:color="auto"/>
            </w:tcBorders>
            <w:vAlign w:val="center"/>
          </w:tcPr>
          <w:p w14:paraId="2182026B" w14:textId="349F472E" w:rsidR="000E7641" w:rsidRPr="00E04112" w:rsidRDefault="000E7641"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1</w:t>
            </w:r>
          </w:p>
        </w:tc>
        <w:tc>
          <w:tcPr>
            <w:tcW w:w="1219" w:type="dxa"/>
            <w:tcBorders>
              <w:top w:val="single" w:sz="4" w:space="0" w:color="auto"/>
            </w:tcBorders>
            <w:vAlign w:val="center"/>
          </w:tcPr>
          <w:p w14:paraId="13A37B85" w14:textId="5C31ABF1"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57</w:t>
            </w:r>
          </w:p>
        </w:tc>
        <w:tc>
          <w:tcPr>
            <w:tcW w:w="1115" w:type="dxa"/>
            <w:tcBorders>
              <w:top w:val="single" w:sz="4" w:space="0" w:color="auto"/>
            </w:tcBorders>
            <w:vAlign w:val="center"/>
          </w:tcPr>
          <w:p w14:paraId="01C65D16" w14:textId="789E2E70"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1.</w:t>
            </w:r>
            <w:r w:rsidRPr="00E04112">
              <w:rPr>
                <w:rFonts w:ascii="Arial" w:hAnsi="Arial" w:cs="Arial"/>
                <w:color w:val="000000"/>
                <w:sz w:val="18"/>
                <w:szCs w:val="18"/>
              </w:rPr>
              <w:t>6</w:t>
            </w:r>
          </w:p>
        </w:tc>
        <w:tc>
          <w:tcPr>
            <w:tcW w:w="1077" w:type="dxa"/>
            <w:tcBorders>
              <w:top w:val="single" w:sz="4" w:space="0" w:color="auto"/>
            </w:tcBorders>
            <w:vAlign w:val="center"/>
          </w:tcPr>
          <w:p w14:paraId="31EDB836" w14:textId="6768827C" w:rsidR="000E7641" w:rsidRPr="00E04112" w:rsidRDefault="000E7641"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90</w:t>
            </w:r>
          </w:p>
        </w:tc>
        <w:tc>
          <w:tcPr>
            <w:tcW w:w="1165" w:type="dxa"/>
            <w:tcBorders>
              <w:top w:val="single" w:sz="4" w:space="0" w:color="auto"/>
            </w:tcBorders>
            <w:vAlign w:val="center"/>
          </w:tcPr>
          <w:p w14:paraId="07C0B156" w14:textId="7C8AC66D" w:rsidR="000E7641" w:rsidRPr="00E04112" w:rsidRDefault="000E7641"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$21.55</w:t>
            </w:r>
          </w:p>
        </w:tc>
        <w:tc>
          <w:tcPr>
            <w:tcW w:w="1167" w:type="dxa"/>
            <w:tcBorders>
              <w:top w:val="single" w:sz="4" w:space="0" w:color="auto"/>
            </w:tcBorders>
            <w:vAlign w:val="center"/>
          </w:tcPr>
          <w:p w14:paraId="065FDFD3" w14:textId="1EB39BFB" w:rsidR="000E7641" w:rsidRPr="00E04112" w:rsidRDefault="000E7641"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 xml:space="preserve">$1,936 </w:t>
            </w:r>
          </w:p>
        </w:tc>
      </w:tr>
      <w:tr w:rsidR="000E7641" w:rsidRPr="00B73199" w14:paraId="4D1C094C" w14:textId="77777777" w:rsidTr="009204F7">
        <w:trPr>
          <w:trHeight w:val="224"/>
        </w:trPr>
        <w:tc>
          <w:tcPr>
            <w:tcW w:w="2178" w:type="dxa"/>
            <w:vMerge/>
            <w:vAlign w:val="center"/>
          </w:tcPr>
          <w:p w14:paraId="06FA4D0A" w14:textId="5E99E996" w:rsidR="000E7641" w:rsidRPr="00B73199" w:rsidRDefault="000E7641" w:rsidP="00927366">
            <w:pPr>
              <w:rPr>
                <w:rFonts w:ascii="Arial" w:hAnsi="Arial" w:cs="Arial"/>
                <w:sz w:val="18"/>
                <w:szCs w:val="18"/>
              </w:rPr>
            </w:pPr>
          </w:p>
        </w:tc>
        <w:tc>
          <w:tcPr>
            <w:tcW w:w="2700" w:type="dxa"/>
            <w:vAlign w:val="center"/>
          </w:tcPr>
          <w:p w14:paraId="4B6A1C13" w14:textId="13652863" w:rsidR="000E7641" w:rsidRPr="00DE3481" w:rsidRDefault="000E7641" w:rsidP="00927366">
            <w:pPr>
              <w:rPr>
                <w:rFonts w:ascii="Arial Narrow" w:hAnsi="Arial Narrow" w:cs="Arial"/>
                <w:sz w:val="18"/>
                <w:szCs w:val="18"/>
                <w:vertAlign w:val="superscript"/>
              </w:rPr>
            </w:pPr>
            <w:r w:rsidRPr="00BF5FBA">
              <w:rPr>
                <w:rFonts w:ascii="Arial Narrow" w:eastAsia="Times New Roman" w:hAnsi="Arial Narrow" w:cs="Arial"/>
                <w:color w:val="000000"/>
                <w:sz w:val="18"/>
                <w:szCs w:val="18"/>
              </w:rPr>
              <w:t>Core Agency Partners</w:t>
            </w:r>
            <w:r>
              <w:rPr>
                <w:rFonts w:ascii="Arial Narrow" w:eastAsia="Times New Roman" w:hAnsi="Arial Narrow" w:cs="Arial"/>
                <w:color w:val="000000"/>
                <w:sz w:val="18"/>
                <w:szCs w:val="18"/>
                <w:vertAlign w:val="superscript"/>
              </w:rPr>
              <w:t>b</w:t>
            </w:r>
          </w:p>
        </w:tc>
        <w:tc>
          <w:tcPr>
            <w:tcW w:w="1530" w:type="dxa"/>
            <w:vAlign w:val="center"/>
          </w:tcPr>
          <w:p w14:paraId="40C3DB85" w14:textId="2F62BC5E"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287</w:t>
            </w:r>
          </w:p>
        </w:tc>
        <w:tc>
          <w:tcPr>
            <w:tcW w:w="1637" w:type="dxa"/>
            <w:vAlign w:val="center"/>
          </w:tcPr>
          <w:p w14:paraId="34C95642" w14:textId="7DB73D22" w:rsidR="000E7641" w:rsidRPr="00E04112" w:rsidRDefault="000E7641" w:rsidP="00A74EAA">
            <w:pPr>
              <w:spacing w:after="120" w:line="264" w:lineRule="auto"/>
              <w:jc w:val="right"/>
              <w:rPr>
                <w:rFonts w:ascii="Arial" w:hAnsi="Arial" w:cs="Arial"/>
                <w:sz w:val="18"/>
                <w:szCs w:val="18"/>
              </w:rPr>
            </w:pPr>
            <w:r w:rsidRPr="00E04112">
              <w:rPr>
                <w:rFonts w:ascii="Arial" w:hAnsi="Arial" w:cs="Arial"/>
                <w:color w:val="000000"/>
                <w:sz w:val="18"/>
                <w:szCs w:val="18"/>
              </w:rPr>
              <w:t>1</w:t>
            </w:r>
          </w:p>
        </w:tc>
        <w:tc>
          <w:tcPr>
            <w:tcW w:w="1219" w:type="dxa"/>
            <w:vAlign w:val="center"/>
          </w:tcPr>
          <w:p w14:paraId="2AFEECC2" w14:textId="79E13C82"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287</w:t>
            </w:r>
          </w:p>
        </w:tc>
        <w:tc>
          <w:tcPr>
            <w:tcW w:w="1115" w:type="dxa"/>
            <w:vAlign w:val="center"/>
          </w:tcPr>
          <w:p w14:paraId="10CD8C98" w14:textId="50DB49AD"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1.3</w:t>
            </w:r>
          </w:p>
        </w:tc>
        <w:tc>
          <w:tcPr>
            <w:tcW w:w="1077" w:type="dxa"/>
            <w:vAlign w:val="center"/>
          </w:tcPr>
          <w:p w14:paraId="38976CF3" w14:textId="07A654D5"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358</w:t>
            </w:r>
          </w:p>
        </w:tc>
        <w:tc>
          <w:tcPr>
            <w:tcW w:w="1165" w:type="dxa"/>
            <w:vAlign w:val="center"/>
          </w:tcPr>
          <w:p w14:paraId="243B75EE" w14:textId="46ABE02F" w:rsidR="000E7641" w:rsidRPr="00E04112" w:rsidRDefault="000E7641" w:rsidP="00A74EAA">
            <w:pPr>
              <w:spacing w:after="120" w:line="264" w:lineRule="auto"/>
              <w:jc w:val="right"/>
              <w:rPr>
                <w:rFonts w:ascii="Arial" w:hAnsi="Arial" w:cs="Arial"/>
                <w:sz w:val="18"/>
                <w:szCs w:val="18"/>
              </w:rPr>
            </w:pPr>
            <w:r w:rsidRPr="00E04112">
              <w:rPr>
                <w:rFonts w:ascii="Arial" w:hAnsi="Arial" w:cs="Arial"/>
                <w:color w:val="000000"/>
                <w:sz w:val="18"/>
                <w:szCs w:val="18"/>
              </w:rPr>
              <w:t>$26.44</w:t>
            </w:r>
          </w:p>
        </w:tc>
        <w:tc>
          <w:tcPr>
            <w:tcW w:w="1167" w:type="dxa"/>
            <w:vAlign w:val="center"/>
          </w:tcPr>
          <w:p w14:paraId="1827E229" w14:textId="6B739E62" w:rsidR="000E7641" w:rsidRPr="00E04112" w:rsidRDefault="000E7641" w:rsidP="00A74EAA">
            <w:pPr>
              <w:spacing w:after="120" w:line="264" w:lineRule="auto"/>
              <w:jc w:val="right"/>
              <w:rPr>
                <w:rFonts w:ascii="Arial" w:hAnsi="Arial" w:cs="Arial"/>
                <w:sz w:val="18"/>
                <w:szCs w:val="18"/>
              </w:rPr>
            </w:pPr>
            <w:r w:rsidRPr="00F511EA">
              <w:rPr>
                <w:rFonts w:ascii="Arial" w:hAnsi="Arial" w:cs="Arial"/>
                <w:color w:val="000000"/>
                <w:sz w:val="18"/>
                <w:szCs w:val="18"/>
              </w:rPr>
              <w:t xml:space="preserve">$9,474 </w:t>
            </w:r>
          </w:p>
        </w:tc>
      </w:tr>
      <w:tr w:rsidR="0016295F" w:rsidRPr="00B73199" w14:paraId="039480F6" w14:textId="77777777" w:rsidTr="00DB3592">
        <w:tc>
          <w:tcPr>
            <w:tcW w:w="2178" w:type="dxa"/>
            <w:vAlign w:val="center"/>
          </w:tcPr>
          <w:p w14:paraId="479D909C" w14:textId="5DF45F1D" w:rsidR="00977DAF" w:rsidRPr="00F511EA" w:rsidRDefault="00CD3362" w:rsidP="00F511EA">
            <w:pPr>
              <w:spacing w:line="264" w:lineRule="auto"/>
              <w:rPr>
                <w:rFonts w:ascii="Arial" w:hAnsi="Arial" w:cs="Arial"/>
                <w:sz w:val="18"/>
                <w:szCs w:val="18"/>
                <w:highlight w:val="yellow"/>
              </w:rPr>
            </w:pPr>
            <w:r w:rsidRPr="009560A4">
              <w:rPr>
                <w:rFonts w:ascii="Arial" w:eastAsia="Times New Roman" w:hAnsi="Arial" w:cs="Arial"/>
                <w:color w:val="000000"/>
                <w:sz w:val="18"/>
                <w:szCs w:val="18"/>
              </w:rPr>
              <w:t>SAIS</w:t>
            </w:r>
            <w:r w:rsidR="004C3C20" w:rsidRPr="009560A4">
              <w:rPr>
                <w:rFonts w:ascii="Arial" w:eastAsia="Times New Roman" w:hAnsi="Arial" w:cs="Arial"/>
                <w:color w:val="000000"/>
                <w:sz w:val="18"/>
                <w:szCs w:val="18"/>
                <w:vertAlign w:val="superscript"/>
              </w:rPr>
              <w:t>a</w:t>
            </w:r>
          </w:p>
        </w:tc>
        <w:tc>
          <w:tcPr>
            <w:tcW w:w="2700" w:type="dxa"/>
            <w:vAlign w:val="center"/>
          </w:tcPr>
          <w:p w14:paraId="02C18F03" w14:textId="0A68D705" w:rsidR="00977DAF" w:rsidRPr="004C3C20" w:rsidRDefault="00977DAF" w:rsidP="00927366">
            <w:pPr>
              <w:rPr>
                <w:rFonts w:ascii="Arial Narrow" w:hAnsi="Arial Narrow" w:cs="Arial"/>
                <w:sz w:val="18"/>
                <w:szCs w:val="18"/>
              </w:rPr>
            </w:pPr>
            <w:r w:rsidRPr="004C3C20">
              <w:rPr>
                <w:rFonts w:ascii="Arial Narrow" w:eastAsia="Times New Roman" w:hAnsi="Arial Narrow" w:cs="Arial"/>
                <w:color w:val="000000"/>
                <w:sz w:val="18"/>
                <w:szCs w:val="18"/>
              </w:rPr>
              <w:t>Grant leadership</w:t>
            </w:r>
          </w:p>
        </w:tc>
        <w:tc>
          <w:tcPr>
            <w:tcW w:w="1530" w:type="dxa"/>
          </w:tcPr>
          <w:p w14:paraId="56980D80" w14:textId="131120D6" w:rsidR="00977DAF" w:rsidRPr="00E04112" w:rsidRDefault="009560A4" w:rsidP="00DB3592">
            <w:pPr>
              <w:spacing w:after="120" w:line="264" w:lineRule="auto"/>
              <w:jc w:val="right"/>
              <w:rPr>
                <w:rFonts w:ascii="Arial" w:hAnsi="Arial" w:cs="Arial"/>
                <w:color w:val="000000"/>
                <w:sz w:val="18"/>
                <w:szCs w:val="18"/>
              </w:rPr>
            </w:pPr>
            <w:r w:rsidRPr="00E04112">
              <w:rPr>
                <w:rFonts w:ascii="Arial" w:hAnsi="Arial" w:cs="Arial"/>
                <w:color w:val="000000"/>
                <w:sz w:val="18"/>
                <w:szCs w:val="18"/>
              </w:rPr>
              <w:t>1,540</w:t>
            </w:r>
          </w:p>
        </w:tc>
        <w:tc>
          <w:tcPr>
            <w:tcW w:w="1637" w:type="dxa"/>
          </w:tcPr>
          <w:p w14:paraId="224AD62C" w14:textId="132560BA" w:rsidR="00977DAF" w:rsidRPr="00E04112" w:rsidRDefault="00BA24CE" w:rsidP="00DB3592">
            <w:pPr>
              <w:spacing w:line="264" w:lineRule="auto"/>
              <w:jc w:val="right"/>
              <w:rPr>
                <w:rFonts w:ascii="Arial" w:hAnsi="Arial" w:cs="Arial"/>
                <w:sz w:val="18"/>
                <w:szCs w:val="18"/>
              </w:rPr>
            </w:pPr>
            <w:r w:rsidRPr="00E04112">
              <w:rPr>
                <w:rFonts w:ascii="Arial" w:hAnsi="Arial" w:cs="Arial"/>
                <w:sz w:val="18"/>
                <w:szCs w:val="18"/>
              </w:rPr>
              <w:t>1</w:t>
            </w:r>
            <w:r w:rsidR="008758FB" w:rsidRPr="00E04112">
              <w:rPr>
                <w:rFonts w:ascii="Arial" w:hAnsi="Arial" w:cs="Arial"/>
                <w:sz w:val="18"/>
                <w:szCs w:val="18"/>
              </w:rPr>
              <w:t>.</w:t>
            </w:r>
            <w:r w:rsidR="009560A4" w:rsidRPr="00E04112">
              <w:rPr>
                <w:rFonts w:ascii="Arial" w:hAnsi="Arial" w:cs="Arial"/>
                <w:sz w:val="18"/>
                <w:szCs w:val="18"/>
              </w:rPr>
              <w:t>93</w:t>
            </w:r>
          </w:p>
        </w:tc>
        <w:tc>
          <w:tcPr>
            <w:tcW w:w="1219" w:type="dxa"/>
          </w:tcPr>
          <w:p w14:paraId="2C072B54" w14:textId="1BFC6EC7" w:rsidR="00977DAF" w:rsidRPr="00E04112" w:rsidRDefault="009560A4" w:rsidP="00DB3592">
            <w:pPr>
              <w:spacing w:after="120" w:line="264" w:lineRule="auto"/>
              <w:jc w:val="right"/>
              <w:rPr>
                <w:rFonts w:ascii="Arial" w:hAnsi="Arial" w:cs="Arial"/>
                <w:sz w:val="18"/>
                <w:szCs w:val="18"/>
              </w:rPr>
            </w:pPr>
            <w:r w:rsidRPr="00E04112">
              <w:rPr>
                <w:rFonts w:ascii="Arial" w:hAnsi="Arial" w:cs="Arial"/>
                <w:color w:val="000000"/>
                <w:sz w:val="18"/>
                <w:szCs w:val="18"/>
              </w:rPr>
              <w:t>2,970</w:t>
            </w:r>
          </w:p>
        </w:tc>
        <w:tc>
          <w:tcPr>
            <w:tcW w:w="1115" w:type="dxa"/>
          </w:tcPr>
          <w:p w14:paraId="2A160B16" w14:textId="40F440DA" w:rsidR="00977DAF" w:rsidRPr="00E04112" w:rsidRDefault="00B75A91" w:rsidP="00DB3592">
            <w:pPr>
              <w:spacing w:after="120" w:line="264" w:lineRule="auto"/>
              <w:jc w:val="right"/>
              <w:rPr>
                <w:rFonts w:ascii="Arial" w:hAnsi="Arial" w:cs="Arial"/>
                <w:color w:val="000000"/>
                <w:sz w:val="18"/>
                <w:szCs w:val="18"/>
              </w:rPr>
            </w:pPr>
            <w:r w:rsidRPr="00E04112">
              <w:rPr>
                <w:rFonts w:ascii="Arial" w:hAnsi="Arial" w:cs="Arial"/>
                <w:color w:val="000000"/>
                <w:sz w:val="18"/>
                <w:szCs w:val="18"/>
              </w:rPr>
              <w:t>0.82</w:t>
            </w:r>
          </w:p>
        </w:tc>
        <w:tc>
          <w:tcPr>
            <w:tcW w:w="1077" w:type="dxa"/>
          </w:tcPr>
          <w:p w14:paraId="2AB40F1B" w14:textId="3E328C67" w:rsidR="00977DAF" w:rsidRPr="00E04112" w:rsidRDefault="009560A4" w:rsidP="00DB3592">
            <w:pPr>
              <w:spacing w:after="120" w:line="264" w:lineRule="auto"/>
              <w:jc w:val="right"/>
              <w:rPr>
                <w:rFonts w:ascii="Arial" w:hAnsi="Arial" w:cs="Arial"/>
                <w:color w:val="000000"/>
                <w:sz w:val="18"/>
                <w:szCs w:val="18"/>
              </w:rPr>
            </w:pPr>
            <w:r w:rsidRPr="00E04112">
              <w:rPr>
                <w:rFonts w:ascii="Arial" w:hAnsi="Arial" w:cs="Arial"/>
                <w:color w:val="000000"/>
                <w:sz w:val="18"/>
                <w:szCs w:val="18"/>
              </w:rPr>
              <w:t>2,426</w:t>
            </w:r>
          </w:p>
        </w:tc>
        <w:tc>
          <w:tcPr>
            <w:tcW w:w="1165" w:type="dxa"/>
          </w:tcPr>
          <w:p w14:paraId="58B4368E" w14:textId="4F26B9C3" w:rsidR="00977DAF" w:rsidRPr="00E04112" w:rsidRDefault="00E910BA" w:rsidP="00DB3592">
            <w:pPr>
              <w:spacing w:after="120" w:line="264" w:lineRule="auto"/>
              <w:jc w:val="right"/>
              <w:rPr>
                <w:rFonts w:ascii="Arial" w:hAnsi="Arial" w:cs="Arial"/>
                <w:sz w:val="18"/>
                <w:szCs w:val="18"/>
              </w:rPr>
            </w:pPr>
            <w:r w:rsidRPr="00E04112">
              <w:rPr>
                <w:rFonts w:ascii="Arial" w:hAnsi="Arial" w:cs="Arial"/>
                <w:color w:val="000000"/>
                <w:sz w:val="18"/>
                <w:szCs w:val="18"/>
              </w:rPr>
              <w:t>$26.44</w:t>
            </w:r>
          </w:p>
        </w:tc>
        <w:tc>
          <w:tcPr>
            <w:tcW w:w="1167" w:type="dxa"/>
          </w:tcPr>
          <w:p w14:paraId="149DC4D3" w14:textId="34412987" w:rsidR="00BA24CE" w:rsidRPr="00E04112" w:rsidRDefault="00D159ED" w:rsidP="00DB3592">
            <w:pPr>
              <w:jc w:val="right"/>
              <w:rPr>
                <w:rFonts w:ascii="Arial" w:hAnsi="Arial" w:cs="Arial"/>
                <w:color w:val="000000"/>
                <w:sz w:val="18"/>
                <w:szCs w:val="18"/>
              </w:rPr>
            </w:pPr>
            <w:r w:rsidRPr="00E04112">
              <w:rPr>
                <w:rFonts w:ascii="Arial" w:hAnsi="Arial" w:cs="Arial"/>
                <w:color w:val="000000"/>
                <w:sz w:val="18"/>
                <w:szCs w:val="18"/>
              </w:rPr>
              <w:t>$</w:t>
            </w:r>
            <w:r w:rsidR="009560A4" w:rsidRPr="00E04112">
              <w:rPr>
                <w:rFonts w:ascii="Arial" w:hAnsi="Arial" w:cs="Arial"/>
                <w:color w:val="000000"/>
                <w:sz w:val="18"/>
                <w:szCs w:val="18"/>
              </w:rPr>
              <w:t>64,130</w:t>
            </w:r>
            <w:r w:rsidR="00B75A91" w:rsidRPr="00E04112">
              <w:rPr>
                <w:rFonts w:ascii="Arial" w:hAnsi="Arial" w:cs="Arial"/>
                <w:color w:val="000000"/>
                <w:sz w:val="18"/>
                <w:szCs w:val="18"/>
              </w:rPr>
              <w:t xml:space="preserve"> </w:t>
            </w:r>
          </w:p>
        </w:tc>
      </w:tr>
      <w:tr w:rsidR="007A5299" w:rsidRPr="00B73199" w14:paraId="01FAB782" w14:textId="77777777" w:rsidTr="00DB3592">
        <w:tc>
          <w:tcPr>
            <w:tcW w:w="2178" w:type="dxa"/>
            <w:vMerge w:val="restart"/>
            <w:vAlign w:val="center"/>
          </w:tcPr>
          <w:p w14:paraId="73241A95" w14:textId="174E8CC3" w:rsidR="007A5299" w:rsidRPr="00B73199" w:rsidRDefault="007A5299" w:rsidP="00927366">
            <w:pPr>
              <w:rPr>
                <w:rFonts w:ascii="Arial" w:eastAsia="Times New Roman" w:hAnsi="Arial" w:cs="Arial"/>
                <w:color w:val="000000"/>
                <w:sz w:val="18"/>
                <w:szCs w:val="18"/>
              </w:rPr>
            </w:pPr>
            <w:r w:rsidRPr="00FE0DE1">
              <w:rPr>
                <w:rFonts w:ascii="Arial" w:eastAsia="Times New Roman" w:hAnsi="Arial" w:cs="Arial"/>
                <w:color w:val="000000"/>
                <w:sz w:val="18"/>
                <w:szCs w:val="18"/>
              </w:rPr>
              <w:t>SOCEA</w:t>
            </w:r>
          </w:p>
        </w:tc>
        <w:tc>
          <w:tcPr>
            <w:tcW w:w="2700" w:type="dxa"/>
            <w:vAlign w:val="center"/>
          </w:tcPr>
          <w:p w14:paraId="23E95698" w14:textId="77777777" w:rsidR="007A5299" w:rsidRDefault="007A5299" w:rsidP="00927366">
            <w:pPr>
              <w:rPr>
                <w:rFonts w:ascii="Arial Narrow" w:eastAsia="Times New Roman" w:hAnsi="Arial Narrow" w:cs="Arial"/>
                <w:color w:val="000000"/>
                <w:sz w:val="18"/>
                <w:szCs w:val="18"/>
              </w:rPr>
            </w:pPr>
            <w:r w:rsidRPr="00BF5FBA">
              <w:rPr>
                <w:rFonts w:ascii="Arial Narrow" w:eastAsia="Times New Roman" w:hAnsi="Arial Narrow" w:cs="Arial"/>
                <w:color w:val="000000"/>
                <w:sz w:val="18"/>
                <w:szCs w:val="18"/>
              </w:rPr>
              <w:t xml:space="preserve">Project Director &amp; </w:t>
            </w:r>
            <w:r>
              <w:rPr>
                <w:rFonts w:ascii="Arial Narrow" w:eastAsia="Times New Roman" w:hAnsi="Arial Narrow" w:cs="Arial"/>
                <w:color w:val="000000"/>
                <w:sz w:val="18"/>
                <w:szCs w:val="18"/>
              </w:rPr>
              <w:t xml:space="preserve">Representatives </w:t>
            </w:r>
          </w:p>
          <w:p w14:paraId="4B1CAF54" w14:textId="49ABBB77" w:rsidR="007A5299" w:rsidRPr="00BF5FBA" w:rsidRDefault="007A5299" w:rsidP="00927366">
            <w:pPr>
              <w:rPr>
                <w:rFonts w:ascii="Arial Narrow" w:hAnsi="Arial Narrow" w:cs="Arial"/>
                <w:sz w:val="18"/>
                <w:szCs w:val="18"/>
              </w:rPr>
            </w:pPr>
            <w:r>
              <w:rPr>
                <w:rFonts w:ascii="Arial Narrow" w:eastAsia="Times New Roman" w:hAnsi="Arial Narrow" w:cs="Arial"/>
                <w:color w:val="000000"/>
                <w:sz w:val="18"/>
                <w:szCs w:val="18"/>
              </w:rPr>
              <w:t xml:space="preserve">from </w:t>
            </w:r>
            <w:r w:rsidRPr="00BF5FBA">
              <w:rPr>
                <w:rFonts w:ascii="Arial Narrow" w:eastAsia="Times New Roman" w:hAnsi="Arial Narrow" w:cs="Arial"/>
                <w:color w:val="000000"/>
                <w:sz w:val="18"/>
                <w:szCs w:val="18"/>
              </w:rPr>
              <w:t>Family &amp; Youth Org</w:t>
            </w:r>
            <w:r>
              <w:rPr>
                <w:rFonts w:ascii="Arial Narrow" w:eastAsia="Times New Roman" w:hAnsi="Arial Narrow" w:cs="Arial"/>
                <w:color w:val="000000"/>
                <w:sz w:val="18"/>
                <w:szCs w:val="18"/>
              </w:rPr>
              <w:t>anizations</w:t>
            </w:r>
          </w:p>
        </w:tc>
        <w:tc>
          <w:tcPr>
            <w:tcW w:w="1530" w:type="dxa"/>
          </w:tcPr>
          <w:p w14:paraId="267F0441" w14:textId="42E2FF47" w:rsidR="007A5299" w:rsidRPr="00E04112" w:rsidRDefault="007A5299" w:rsidP="00DB3592">
            <w:pPr>
              <w:jc w:val="right"/>
              <w:rPr>
                <w:rFonts w:ascii="Arial" w:hAnsi="Arial" w:cs="Arial"/>
                <w:sz w:val="18"/>
                <w:szCs w:val="18"/>
              </w:rPr>
            </w:pPr>
            <w:r w:rsidRPr="00F511EA">
              <w:rPr>
                <w:rFonts w:ascii="Arial" w:hAnsi="Arial" w:cs="Arial"/>
                <w:color w:val="000000"/>
                <w:sz w:val="18"/>
                <w:szCs w:val="18"/>
              </w:rPr>
              <w:t>143</w:t>
            </w:r>
          </w:p>
        </w:tc>
        <w:tc>
          <w:tcPr>
            <w:tcW w:w="1637" w:type="dxa"/>
          </w:tcPr>
          <w:p w14:paraId="71D30A2D" w14:textId="1235EB46" w:rsidR="007A5299" w:rsidRPr="00E04112" w:rsidRDefault="007A5299" w:rsidP="00DB3592">
            <w:pPr>
              <w:jc w:val="right"/>
              <w:rPr>
                <w:rFonts w:ascii="Arial" w:hAnsi="Arial" w:cs="Arial"/>
                <w:sz w:val="18"/>
                <w:szCs w:val="18"/>
              </w:rPr>
            </w:pPr>
            <w:r w:rsidRPr="00E04112">
              <w:rPr>
                <w:rFonts w:ascii="Arial" w:hAnsi="Arial" w:cs="Arial"/>
                <w:sz w:val="18"/>
                <w:szCs w:val="18"/>
              </w:rPr>
              <w:t>1</w:t>
            </w:r>
          </w:p>
        </w:tc>
        <w:tc>
          <w:tcPr>
            <w:tcW w:w="1219" w:type="dxa"/>
          </w:tcPr>
          <w:p w14:paraId="483A5503" w14:textId="19681B77" w:rsidR="007A5299" w:rsidRPr="00E04112" w:rsidRDefault="007A5299" w:rsidP="00DB3592">
            <w:pPr>
              <w:jc w:val="right"/>
              <w:rPr>
                <w:rFonts w:ascii="Arial" w:hAnsi="Arial" w:cs="Arial"/>
                <w:sz w:val="18"/>
                <w:szCs w:val="18"/>
              </w:rPr>
            </w:pPr>
            <w:r w:rsidRPr="00F511EA">
              <w:rPr>
                <w:rFonts w:ascii="Arial" w:hAnsi="Arial" w:cs="Arial"/>
                <w:color w:val="000000"/>
                <w:sz w:val="18"/>
                <w:szCs w:val="18"/>
              </w:rPr>
              <w:t>143</w:t>
            </w:r>
          </w:p>
        </w:tc>
        <w:tc>
          <w:tcPr>
            <w:tcW w:w="1115" w:type="dxa"/>
          </w:tcPr>
          <w:p w14:paraId="00DC26E4" w14:textId="644D9C89" w:rsidR="007A5299" w:rsidRPr="00E04112" w:rsidRDefault="007A5299" w:rsidP="00DB3592">
            <w:pPr>
              <w:jc w:val="right"/>
              <w:rPr>
                <w:rFonts w:ascii="Arial" w:hAnsi="Arial" w:cs="Arial"/>
                <w:sz w:val="18"/>
                <w:szCs w:val="18"/>
              </w:rPr>
            </w:pPr>
            <w:r w:rsidRPr="00E04112">
              <w:rPr>
                <w:rFonts w:ascii="Arial" w:hAnsi="Arial" w:cs="Arial"/>
                <w:color w:val="000000"/>
                <w:sz w:val="18"/>
                <w:szCs w:val="18"/>
              </w:rPr>
              <w:t>1.5</w:t>
            </w:r>
          </w:p>
        </w:tc>
        <w:tc>
          <w:tcPr>
            <w:tcW w:w="1077" w:type="dxa"/>
          </w:tcPr>
          <w:p w14:paraId="18CCA14B" w14:textId="49F26172" w:rsidR="007A5299" w:rsidRPr="00E04112" w:rsidRDefault="007A5299" w:rsidP="00DB3592">
            <w:pPr>
              <w:jc w:val="right"/>
              <w:rPr>
                <w:rFonts w:ascii="Arial" w:hAnsi="Arial" w:cs="Arial"/>
                <w:sz w:val="18"/>
                <w:szCs w:val="18"/>
              </w:rPr>
            </w:pPr>
            <w:r w:rsidRPr="00F511EA">
              <w:rPr>
                <w:rFonts w:ascii="Arial" w:hAnsi="Arial" w:cs="Arial"/>
                <w:color w:val="000000"/>
                <w:sz w:val="18"/>
                <w:szCs w:val="18"/>
              </w:rPr>
              <w:t>215</w:t>
            </w:r>
          </w:p>
        </w:tc>
        <w:tc>
          <w:tcPr>
            <w:tcW w:w="1165" w:type="dxa"/>
          </w:tcPr>
          <w:p w14:paraId="7D547104" w14:textId="1BB15625" w:rsidR="007A5299" w:rsidRPr="00E04112" w:rsidRDefault="007A5299" w:rsidP="00DB3592">
            <w:pPr>
              <w:jc w:val="right"/>
              <w:rPr>
                <w:rFonts w:ascii="Arial" w:hAnsi="Arial" w:cs="Arial"/>
                <w:sz w:val="18"/>
                <w:szCs w:val="18"/>
              </w:rPr>
            </w:pPr>
            <w:r w:rsidRPr="00E04112">
              <w:rPr>
                <w:rFonts w:ascii="Arial" w:hAnsi="Arial" w:cs="Arial"/>
                <w:color w:val="000000"/>
                <w:sz w:val="18"/>
                <w:szCs w:val="18"/>
              </w:rPr>
              <w:t>$26.44</w:t>
            </w:r>
          </w:p>
        </w:tc>
        <w:tc>
          <w:tcPr>
            <w:tcW w:w="1167" w:type="dxa"/>
          </w:tcPr>
          <w:p w14:paraId="2B80A9B1" w14:textId="72913B9C" w:rsidR="007A5299" w:rsidRPr="00E04112" w:rsidRDefault="007A5299" w:rsidP="00DB3592">
            <w:pPr>
              <w:jc w:val="right"/>
              <w:rPr>
                <w:rFonts w:ascii="Arial" w:hAnsi="Arial" w:cs="Arial"/>
                <w:sz w:val="18"/>
                <w:szCs w:val="18"/>
              </w:rPr>
            </w:pPr>
            <w:r w:rsidRPr="00F511EA">
              <w:rPr>
                <w:rFonts w:ascii="Arial" w:hAnsi="Arial" w:cs="Arial"/>
                <w:color w:val="000000"/>
                <w:sz w:val="18"/>
                <w:szCs w:val="18"/>
              </w:rPr>
              <w:t xml:space="preserve">$5,671 </w:t>
            </w:r>
          </w:p>
        </w:tc>
      </w:tr>
      <w:tr w:rsidR="007A5299" w:rsidRPr="00B73199" w14:paraId="37D5845D" w14:textId="77777777" w:rsidTr="00F511EA">
        <w:tc>
          <w:tcPr>
            <w:tcW w:w="2178" w:type="dxa"/>
            <w:vMerge/>
            <w:vAlign w:val="center"/>
          </w:tcPr>
          <w:p w14:paraId="0A5E9F4A" w14:textId="0D1D2F3A" w:rsidR="007A5299" w:rsidRPr="00B73199" w:rsidRDefault="007A5299" w:rsidP="00927366">
            <w:pPr>
              <w:rPr>
                <w:rFonts w:ascii="Arial" w:eastAsia="Times New Roman" w:hAnsi="Arial" w:cs="Arial"/>
                <w:color w:val="000000"/>
                <w:sz w:val="18"/>
                <w:szCs w:val="18"/>
              </w:rPr>
            </w:pPr>
          </w:p>
        </w:tc>
        <w:tc>
          <w:tcPr>
            <w:tcW w:w="2700" w:type="dxa"/>
            <w:vAlign w:val="center"/>
          </w:tcPr>
          <w:p w14:paraId="6B11A20A" w14:textId="3542B404" w:rsidR="007A5299" w:rsidRPr="00BF5FBA" w:rsidRDefault="007A5299" w:rsidP="00927366">
            <w:pPr>
              <w:rPr>
                <w:rFonts w:ascii="Arial Narrow" w:hAnsi="Arial Narrow" w:cs="Arial"/>
                <w:sz w:val="18"/>
                <w:szCs w:val="18"/>
              </w:rPr>
            </w:pPr>
            <w:r w:rsidRPr="00BF5FBA">
              <w:rPr>
                <w:rFonts w:ascii="Arial Narrow" w:eastAsia="Times New Roman" w:hAnsi="Arial Narrow" w:cs="Arial"/>
                <w:color w:val="000000"/>
                <w:sz w:val="18"/>
                <w:szCs w:val="18"/>
              </w:rPr>
              <w:t>Core Agency Rep, Service Providers</w:t>
            </w:r>
          </w:p>
        </w:tc>
        <w:tc>
          <w:tcPr>
            <w:tcW w:w="1530" w:type="dxa"/>
            <w:vAlign w:val="center"/>
          </w:tcPr>
          <w:p w14:paraId="1E824765" w14:textId="48A8D0C6"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429</w:t>
            </w:r>
          </w:p>
        </w:tc>
        <w:tc>
          <w:tcPr>
            <w:tcW w:w="1637" w:type="dxa"/>
            <w:vAlign w:val="bottom"/>
          </w:tcPr>
          <w:p w14:paraId="06F9BC4C" w14:textId="398FAA6E" w:rsidR="007A5299" w:rsidRPr="00E04112" w:rsidRDefault="007A5299" w:rsidP="00A74EAA">
            <w:pPr>
              <w:spacing w:after="120" w:line="264" w:lineRule="auto"/>
              <w:jc w:val="right"/>
              <w:rPr>
                <w:rFonts w:ascii="Arial" w:hAnsi="Arial" w:cs="Arial"/>
                <w:sz w:val="18"/>
                <w:szCs w:val="18"/>
              </w:rPr>
            </w:pPr>
            <w:r w:rsidRPr="00E04112">
              <w:rPr>
                <w:rFonts w:ascii="Arial" w:hAnsi="Arial" w:cs="Arial"/>
                <w:sz w:val="18"/>
                <w:szCs w:val="18"/>
              </w:rPr>
              <w:t>1</w:t>
            </w:r>
          </w:p>
        </w:tc>
        <w:tc>
          <w:tcPr>
            <w:tcW w:w="1219" w:type="dxa"/>
            <w:vAlign w:val="center"/>
          </w:tcPr>
          <w:p w14:paraId="35B9517A" w14:textId="0F5E1493"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429</w:t>
            </w:r>
          </w:p>
        </w:tc>
        <w:tc>
          <w:tcPr>
            <w:tcW w:w="1115" w:type="dxa"/>
            <w:vAlign w:val="bottom"/>
          </w:tcPr>
          <w:p w14:paraId="2177930F" w14:textId="202E1A03" w:rsidR="007A5299" w:rsidRPr="00E04112" w:rsidRDefault="007A5299" w:rsidP="00A74EAA">
            <w:pPr>
              <w:spacing w:after="120" w:line="264" w:lineRule="auto"/>
              <w:jc w:val="right"/>
              <w:rPr>
                <w:rFonts w:ascii="Arial" w:hAnsi="Arial" w:cs="Arial"/>
                <w:sz w:val="18"/>
                <w:szCs w:val="18"/>
              </w:rPr>
            </w:pPr>
            <w:r w:rsidRPr="00E04112">
              <w:rPr>
                <w:rFonts w:ascii="Arial" w:hAnsi="Arial" w:cs="Arial"/>
                <w:color w:val="000000"/>
                <w:sz w:val="18"/>
                <w:szCs w:val="18"/>
              </w:rPr>
              <w:t>1.0</w:t>
            </w:r>
          </w:p>
        </w:tc>
        <w:tc>
          <w:tcPr>
            <w:tcW w:w="1077" w:type="dxa"/>
            <w:vAlign w:val="center"/>
          </w:tcPr>
          <w:p w14:paraId="035162D8" w14:textId="2747FA4F"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533</w:t>
            </w:r>
          </w:p>
        </w:tc>
        <w:tc>
          <w:tcPr>
            <w:tcW w:w="1165" w:type="dxa"/>
            <w:vAlign w:val="bottom"/>
          </w:tcPr>
          <w:p w14:paraId="6449BB61" w14:textId="7D428262" w:rsidR="007A5299" w:rsidRPr="00E04112" w:rsidRDefault="007A5299" w:rsidP="00A74EAA">
            <w:pPr>
              <w:spacing w:after="120" w:line="264" w:lineRule="auto"/>
              <w:jc w:val="right"/>
              <w:rPr>
                <w:rFonts w:ascii="Arial" w:hAnsi="Arial" w:cs="Arial"/>
                <w:sz w:val="18"/>
                <w:szCs w:val="18"/>
              </w:rPr>
            </w:pPr>
            <w:r w:rsidRPr="00E04112">
              <w:rPr>
                <w:rFonts w:ascii="Arial" w:hAnsi="Arial" w:cs="Arial"/>
                <w:color w:val="000000"/>
                <w:sz w:val="18"/>
                <w:szCs w:val="18"/>
              </w:rPr>
              <w:t>$26.44</w:t>
            </w:r>
          </w:p>
        </w:tc>
        <w:tc>
          <w:tcPr>
            <w:tcW w:w="1167" w:type="dxa"/>
            <w:vAlign w:val="center"/>
          </w:tcPr>
          <w:p w14:paraId="7BA659F2" w14:textId="0F5A774D" w:rsidR="007A5299" w:rsidRPr="00E04112" w:rsidRDefault="007A5299" w:rsidP="005C23C3">
            <w:pPr>
              <w:spacing w:after="120" w:line="264" w:lineRule="auto"/>
              <w:jc w:val="right"/>
              <w:rPr>
                <w:rFonts w:ascii="Arial" w:hAnsi="Arial" w:cs="Arial"/>
                <w:sz w:val="18"/>
                <w:szCs w:val="18"/>
              </w:rPr>
            </w:pPr>
            <w:r w:rsidRPr="00F511EA">
              <w:rPr>
                <w:rFonts w:ascii="Arial" w:hAnsi="Arial" w:cs="Arial"/>
                <w:color w:val="000000"/>
                <w:sz w:val="18"/>
                <w:szCs w:val="18"/>
              </w:rPr>
              <w:t xml:space="preserve">$14,079 </w:t>
            </w:r>
          </w:p>
        </w:tc>
      </w:tr>
      <w:tr w:rsidR="007A5299" w:rsidRPr="00B73199" w14:paraId="7B7AFAAD" w14:textId="77777777" w:rsidTr="00F511EA">
        <w:tc>
          <w:tcPr>
            <w:tcW w:w="2178" w:type="dxa"/>
            <w:vMerge/>
            <w:vAlign w:val="center"/>
          </w:tcPr>
          <w:p w14:paraId="1543A965" w14:textId="33A98EC6" w:rsidR="007A5299" w:rsidRPr="00B73199" w:rsidRDefault="007A5299" w:rsidP="00927366">
            <w:pPr>
              <w:rPr>
                <w:rFonts w:ascii="Arial" w:eastAsia="Times New Roman" w:hAnsi="Arial" w:cs="Arial"/>
                <w:color w:val="000000"/>
                <w:sz w:val="18"/>
                <w:szCs w:val="18"/>
              </w:rPr>
            </w:pPr>
          </w:p>
        </w:tc>
        <w:tc>
          <w:tcPr>
            <w:tcW w:w="2700" w:type="dxa"/>
            <w:vAlign w:val="center"/>
          </w:tcPr>
          <w:p w14:paraId="5FC657B7" w14:textId="1C4CD3A7" w:rsidR="007A5299" w:rsidRPr="00BF5FBA" w:rsidRDefault="007A5299" w:rsidP="00927366">
            <w:pPr>
              <w:rPr>
                <w:rFonts w:ascii="Arial Narrow" w:hAnsi="Arial Narrow" w:cs="Arial"/>
                <w:sz w:val="18"/>
                <w:szCs w:val="18"/>
              </w:rPr>
            </w:pPr>
            <w:r w:rsidRPr="00BF5FBA">
              <w:rPr>
                <w:rFonts w:ascii="Arial Narrow" w:eastAsia="Times New Roman" w:hAnsi="Arial Narrow" w:cs="Arial"/>
                <w:color w:val="000000"/>
                <w:sz w:val="18"/>
                <w:szCs w:val="18"/>
              </w:rPr>
              <w:t>Care Coordinators</w:t>
            </w:r>
          </w:p>
        </w:tc>
        <w:tc>
          <w:tcPr>
            <w:tcW w:w="1530" w:type="dxa"/>
            <w:vAlign w:val="center"/>
          </w:tcPr>
          <w:p w14:paraId="571FE105" w14:textId="1C9F8D35"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95</w:t>
            </w:r>
          </w:p>
        </w:tc>
        <w:tc>
          <w:tcPr>
            <w:tcW w:w="1637" w:type="dxa"/>
            <w:vAlign w:val="bottom"/>
          </w:tcPr>
          <w:p w14:paraId="7D0858FA" w14:textId="578A1B2C" w:rsidR="007A5299" w:rsidRPr="00E04112" w:rsidRDefault="007A5299" w:rsidP="00A74EAA">
            <w:pPr>
              <w:spacing w:after="120" w:line="264" w:lineRule="auto"/>
              <w:jc w:val="right"/>
              <w:rPr>
                <w:rFonts w:ascii="Arial" w:hAnsi="Arial" w:cs="Arial"/>
                <w:sz w:val="18"/>
                <w:szCs w:val="18"/>
              </w:rPr>
            </w:pPr>
            <w:r w:rsidRPr="00E04112">
              <w:rPr>
                <w:rFonts w:ascii="Arial" w:hAnsi="Arial" w:cs="Arial"/>
                <w:sz w:val="18"/>
                <w:szCs w:val="18"/>
              </w:rPr>
              <w:t>1</w:t>
            </w:r>
          </w:p>
        </w:tc>
        <w:tc>
          <w:tcPr>
            <w:tcW w:w="1219" w:type="dxa"/>
            <w:vAlign w:val="center"/>
          </w:tcPr>
          <w:p w14:paraId="444A58B2" w14:textId="2FF8E1A1"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95</w:t>
            </w:r>
          </w:p>
        </w:tc>
        <w:tc>
          <w:tcPr>
            <w:tcW w:w="1115" w:type="dxa"/>
            <w:vAlign w:val="bottom"/>
          </w:tcPr>
          <w:p w14:paraId="73397176" w14:textId="6ACA8F8E" w:rsidR="007A5299" w:rsidRPr="00E04112" w:rsidRDefault="007A5299" w:rsidP="00A74EAA">
            <w:pPr>
              <w:spacing w:after="120" w:line="264" w:lineRule="auto"/>
              <w:jc w:val="right"/>
              <w:rPr>
                <w:rFonts w:ascii="Arial" w:hAnsi="Arial" w:cs="Arial"/>
                <w:sz w:val="18"/>
                <w:szCs w:val="18"/>
              </w:rPr>
            </w:pPr>
            <w:r w:rsidRPr="00E04112">
              <w:rPr>
                <w:rFonts w:ascii="Arial" w:hAnsi="Arial" w:cs="Arial"/>
                <w:color w:val="000000"/>
                <w:sz w:val="18"/>
                <w:szCs w:val="18"/>
              </w:rPr>
              <w:t>1.7</w:t>
            </w:r>
          </w:p>
        </w:tc>
        <w:tc>
          <w:tcPr>
            <w:tcW w:w="1077" w:type="dxa"/>
            <w:vAlign w:val="center"/>
          </w:tcPr>
          <w:p w14:paraId="7DC2C309" w14:textId="79F499E1"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162</w:t>
            </w:r>
          </w:p>
        </w:tc>
        <w:tc>
          <w:tcPr>
            <w:tcW w:w="1165" w:type="dxa"/>
            <w:vAlign w:val="bottom"/>
          </w:tcPr>
          <w:p w14:paraId="33C1242F" w14:textId="3010F3CC" w:rsidR="007A5299" w:rsidRPr="00E04112" w:rsidRDefault="007A5299" w:rsidP="00A74EAA">
            <w:pPr>
              <w:spacing w:after="120" w:line="264" w:lineRule="auto"/>
              <w:jc w:val="right"/>
              <w:rPr>
                <w:rFonts w:ascii="Arial" w:hAnsi="Arial" w:cs="Arial"/>
                <w:sz w:val="18"/>
                <w:szCs w:val="18"/>
              </w:rPr>
            </w:pPr>
            <w:r w:rsidRPr="00E04112">
              <w:rPr>
                <w:rFonts w:ascii="Arial" w:hAnsi="Arial" w:cs="Arial"/>
                <w:sz w:val="18"/>
                <w:szCs w:val="18"/>
              </w:rPr>
              <w:t>$21.55</w:t>
            </w:r>
          </w:p>
        </w:tc>
        <w:tc>
          <w:tcPr>
            <w:tcW w:w="1167" w:type="dxa"/>
            <w:vAlign w:val="center"/>
          </w:tcPr>
          <w:p w14:paraId="1395F8EB" w14:textId="37C03603"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 xml:space="preserve">$3,493 </w:t>
            </w:r>
          </w:p>
        </w:tc>
      </w:tr>
      <w:tr w:rsidR="007A5299" w:rsidRPr="00B73199" w14:paraId="4589B3E0" w14:textId="77777777" w:rsidTr="00F511EA">
        <w:tc>
          <w:tcPr>
            <w:tcW w:w="2178" w:type="dxa"/>
            <w:vMerge/>
            <w:vAlign w:val="center"/>
          </w:tcPr>
          <w:p w14:paraId="37EFBE9A" w14:textId="0AD71F72" w:rsidR="007A5299" w:rsidRPr="00B73199" w:rsidRDefault="007A5299" w:rsidP="00927366">
            <w:pPr>
              <w:rPr>
                <w:rFonts w:ascii="Arial" w:eastAsia="Times New Roman" w:hAnsi="Arial" w:cs="Arial"/>
                <w:color w:val="000000"/>
                <w:sz w:val="18"/>
                <w:szCs w:val="18"/>
              </w:rPr>
            </w:pPr>
          </w:p>
        </w:tc>
        <w:tc>
          <w:tcPr>
            <w:tcW w:w="2700" w:type="dxa"/>
            <w:vAlign w:val="center"/>
          </w:tcPr>
          <w:p w14:paraId="036FE840" w14:textId="4A607C1E" w:rsidR="007A5299" w:rsidRPr="00BF5FBA" w:rsidRDefault="007A5299" w:rsidP="00927366">
            <w:pPr>
              <w:rPr>
                <w:rFonts w:ascii="Arial Narrow" w:hAnsi="Arial Narrow" w:cs="Arial"/>
                <w:sz w:val="18"/>
                <w:szCs w:val="18"/>
              </w:rPr>
            </w:pPr>
            <w:r w:rsidRPr="00BF5FBA">
              <w:rPr>
                <w:rFonts w:ascii="Arial Narrow" w:eastAsia="Times New Roman" w:hAnsi="Arial Narrow" w:cs="Arial"/>
                <w:color w:val="000000"/>
                <w:sz w:val="18"/>
                <w:szCs w:val="18"/>
              </w:rPr>
              <w:t>Caregivers</w:t>
            </w:r>
          </w:p>
        </w:tc>
        <w:tc>
          <w:tcPr>
            <w:tcW w:w="1530" w:type="dxa"/>
            <w:vAlign w:val="center"/>
          </w:tcPr>
          <w:p w14:paraId="772D8B9B" w14:textId="63E4F2DF"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95</w:t>
            </w:r>
          </w:p>
        </w:tc>
        <w:tc>
          <w:tcPr>
            <w:tcW w:w="1637" w:type="dxa"/>
            <w:vAlign w:val="bottom"/>
          </w:tcPr>
          <w:p w14:paraId="2951A788" w14:textId="68413F53" w:rsidR="007A5299" w:rsidRPr="00E04112" w:rsidRDefault="007A5299" w:rsidP="00A74EAA">
            <w:pPr>
              <w:spacing w:after="120" w:line="264" w:lineRule="auto"/>
              <w:jc w:val="right"/>
              <w:rPr>
                <w:rFonts w:ascii="Arial" w:hAnsi="Arial" w:cs="Arial"/>
                <w:sz w:val="18"/>
                <w:szCs w:val="18"/>
              </w:rPr>
            </w:pPr>
            <w:r w:rsidRPr="00E04112">
              <w:rPr>
                <w:rFonts w:ascii="Arial" w:hAnsi="Arial" w:cs="Arial"/>
                <w:sz w:val="18"/>
                <w:szCs w:val="18"/>
              </w:rPr>
              <w:t>1</w:t>
            </w:r>
          </w:p>
        </w:tc>
        <w:tc>
          <w:tcPr>
            <w:tcW w:w="1219" w:type="dxa"/>
            <w:vAlign w:val="center"/>
          </w:tcPr>
          <w:p w14:paraId="3C94C760" w14:textId="6146306C"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95</w:t>
            </w:r>
          </w:p>
        </w:tc>
        <w:tc>
          <w:tcPr>
            <w:tcW w:w="1115" w:type="dxa"/>
            <w:vAlign w:val="bottom"/>
          </w:tcPr>
          <w:p w14:paraId="32B185D8" w14:textId="1E3FBD2D" w:rsidR="007A5299" w:rsidRPr="00E04112" w:rsidRDefault="007A5299" w:rsidP="00A74EAA">
            <w:pPr>
              <w:spacing w:after="120" w:line="264" w:lineRule="auto"/>
              <w:jc w:val="right"/>
              <w:rPr>
                <w:rFonts w:ascii="Arial" w:hAnsi="Arial" w:cs="Arial"/>
                <w:sz w:val="18"/>
                <w:szCs w:val="18"/>
              </w:rPr>
            </w:pPr>
            <w:r w:rsidRPr="00E04112">
              <w:rPr>
                <w:rFonts w:ascii="Arial" w:hAnsi="Arial" w:cs="Arial"/>
                <w:color w:val="000000"/>
                <w:sz w:val="18"/>
                <w:szCs w:val="18"/>
              </w:rPr>
              <w:t>0.75</w:t>
            </w:r>
          </w:p>
        </w:tc>
        <w:tc>
          <w:tcPr>
            <w:tcW w:w="1077" w:type="dxa"/>
            <w:vAlign w:val="center"/>
          </w:tcPr>
          <w:p w14:paraId="5F686C62" w14:textId="5CBC9026"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106</w:t>
            </w:r>
          </w:p>
        </w:tc>
        <w:tc>
          <w:tcPr>
            <w:tcW w:w="1165" w:type="dxa"/>
            <w:vAlign w:val="bottom"/>
          </w:tcPr>
          <w:p w14:paraId="4412DF4A" w14:textId="1565B6EC" w:rsidR="007A5299" w:rsidRPr="00E04112" w:rsidRDefault="007A5299" w:rsidP="00A74EAA">
            <w:pPr>
              <w:spacing w:after="120" w:line="264" w:lineRule="auto"/>
              <w:jc w:val="right"/>
              <w:rPr>
                <w:rFonts w:ascii="Arial" w:hAnsi="Arial" w:cs="Arial"/>
                <w:sz w:val="18"/>
                <w:szCs w:val="18"/>
              </w:rPr>
            </w:pPr>
            <w:r w:rsidRPr="00E04112">
              <w:rPr>
                <w:rFonts w:ascii="Arial" w:hAnsi="Arial" w:cs="Arial"/>
                <w:color w:val="000000"/>
                <w:sz w:val="18"/>
                <w:szCs w:val="18"/>
              </w:rPr>
              <w:t>$11.47</w:t>
            </w:r>
          </w:p>
        </w:tc>
        <w:tc>
          <w:tcPr>
            <w:tcW w:w="1167" w:type="dxa"/>
            <w:vAlign w:val="center"/>
          </w:tcPr>
          <w:p w14:paraId="230D051B" w14:textId="48F2F7BE"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 xml:space="preserve">$1,216 </w:t>
            </w:r>
          </w:p>
        </w:tc>
      </w:tr>
      <w:tr w:rsidR="007A5299" w:rsidRPr="00B73199" w14:paraId="0CA2E9C6" w14:textId="77777777" w:rsidTr="00F511EA">
        <w:tc>
          <w:tcPr>
            <w:tcW w:w="2178" w:type="dxa"/>
            <w:vMerge/>
            <w:tcBorders>
              <w:bottom w:val="single" w:sz="4" w:space="0" w:color="auto"/>
            </w:tcBorders>
            <w:vAlign w:val="center"/>
          </w:tcPr>
          <w:p w14:paraId="4EC674C3" w14:textId="79DDFFE6" w:rsidR="007A5299" w:rsidRPr="00B73199" w:rsidRDefault="007A5299" w:rsidP="00927366">
            <w:pPr>
              <w:rPr>
                <w:rFonts w:ascii="Arial" w:eastAsia="Times New Roman" w:hAnsi="Arial" w:cs="Arial"/>
                <w:color w:val="000000"/>
                <w:sz w:val="18"/>
                <w:szCs w:val="18"/>
              </w:rPr>
            </w:pPr>
          </w:p>
        </w:tc>
        <w:tc>
          <w:tcPr>
            <w:tcW w:w="2700" w:type="dxa"/>
            <w:tcBorders>
              <w:bottom w:val="single" w:sz="4" w:space="0" w:color="auto"/>
            </w:tcBorders>
            <w:vAlign w:val="center"/>
          </w:tcPr>
          <w:p w14:paraId="2E7A3542" w14:textId="2C170A1E" w:rsidR="007A5299" w:rsidRPr="00BF5FBA" w:rsidRDefault="007A5299" w:rsidP="008C59A7">
            <w:pPr>
              <w:rPr>
                <w:rFonts w:ascii="Arial Narrow" w:hAnsi="Arial Narrow" w:cs="Arial"/>
                <w:sz w:val="18"/>
                <w:szCs w:val="18"/>
              </w:rPr>
            </w:pPr>
            <w:r w:rsidRPr="00BF5FBA">
              <w:rPr>
                <w:rFonts w:ascii="Arial Narrow" w:eastAsia="Times New Roman" w:hAnsi="Arial Narrow" w:cs="Arial"/>
                <w:color w:val="000000"/>
                <w:sz w:val="18"/>
                <w:szCs w:val="18"/>
              </w:rPr>
              <w:t>Clients 1</w:t>
            </w:r>
            <w:r>
              <w:rPr>
                <w:rFonts w:ascii="Arial Narrow" w:eastAsia="Times New Roman" w:hAnsi="Arial Narrow" w:cs="Arial"/>
                <w:color w:val="000000"/>
                <w:sz w:val="18"/>
                <w:szCs w:val="18"/>
              </w:rPr>
              <w:t>4</w:t>
            </w:r>
            <w:r w:rsidRPr="00BF5FBA">
              <w:rPr>
                <w:rFonts w:ascii="Arial Narrow" w:eastAsia="Times New Roman" w:hAnsi="Arial Narrow" w:cs="Arial"/>
                <w:color w:val="000000"/>
                <w:sz w:val="18"/>
                <w:szCs w:val="18"/>
              </w:rPr>
              <w:t>-21</w:t>
            </w:r>
          </w:p>
        </w:tc>
        <w:tc>
          <w:tcPr>
            <w:tcW w:w="1530" w:type="dxa"/>
            <w:tcBorders>
              <w:bottom w:val="single" w:sz="4" w:space="0" w:color="auto"/>
            </w:tcBorders>
            <w:vAlign w:val="center"/>
          </w:tcPr>
          <w:p w14:paraId="2159E558" w14:textId="0AEBEF6D"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95</w:t>
            </w:r>
          </w:p>
        </w:tc>
        <w:tc>
          <w:tcPr>
            <w:tcW w:w="1637" w:type="dxa"/>
            <w:tcBorders>
              <w:bottom w:val="single" w:sz="4" w:space="0" w:color="auto"/>
            </w:tcBorders>
            <w:vAlign w:val="bottom"/>
          </w:tcPr>
          <w:p w14:paraId="10C01592" w14:textId="2A2732EA" w:rsidR="007A5299" w:rsidRPr="00E04112" w:rsidRDefault="007A5299" w:rsidP="00A74EAA">
            <w:pPr>
              <w:spacing w:after="120" w:line="264" w:lineRule="auto"/>
              <w:jc w:val="right"/>
              <w:rPr>
                <w:rFonts w:ascii="Arial" w:hAnsi="Arial" w:cs="Arial"/>
                <w:sz w:val="18"/>
                <w:szCs w:val="18"/>
              </w:rPr>
            </w:pPr>
            <w:r w:rsidRPr="00E04112">
              <w:rPr>
                <w:rFonts w:ascii="Arial" w:hAnsi="Arial" w:cs="Arial"/>
                <w:sz w:val="18"/>
                <w:szCs w:val="18"/>
              </w:rPr>
              <w:t>1</w:t>
            </w:r>
          </w:p>
        </w:tc>
        <w:tc>
          <w:tcPr>
            <w:tcW w:w="1219" w:type="dxa"/>
            <w:tcBorders>
              <w:bottom w:val="single" w:sz="4" w:space="0" w:color="auto"/>
            </w:tcBorders>
            <w:vAlign w:val="center"/>
          </w:tcPr>
          <w:p w14:paraId="34084926" w14:textId="184CE9DD"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95</w:t>
            </w:r>
          </w:p>
        </w:tc>
        <w:tc>
          <w:tcPr>
            <w:tcW w:w="1115" w:type="dxa"/>
            <w:tcBorders>
              <w:bottom w:val="single" w:sz="4" w:space="0" w:color="auto"/>
            </w:tcBorders>
            <w:vAlign w:val="bottom"/>
          </w:tcPr>
          <w:p w14:paraId="3CEAF8BE" w14:textId="2734CFB4" w:rsidR="007A5299" w:rsidRPr="00E04112" w:rsidRDefault="007A5299" w:rsidP="00A74EAA">
            <w:pPr>
              <w:spacing w:after="120" w:line="264" w:lineRule="auto"/>
              <w:jc w:val="right"/>
              <w:rPr>
                <w:rFonts w:ascii="Arial" w:hAnsi="Arial" w:cs="Arial"/>
                <w:sz w:val="18"/>
                <w:szCs w:val="18"/>
              </w:rPr>
            </w:pPr>
            <w:r w:rsidRPr="00E04112">
              <w:rPr>
                <w:rFonts w:ascii="Arial" w:hAnsi="Arial" w:cs="Arial"/>
                <w:color w:val="000000"/>
                <w:sz w:val="18"/>
                <w:szCs w:val="18"/>
              </w:rPr>
              <w:t>0.5</w:t>
            </w:r>
          </w:p>
        </w:tc>
        <w:tc>
          <w:tcPr>
            <w:tcW w:w="1077" w:type="dxa"/>
            <w:tcBorders>
              <w:bottom w:val="single" w:sz="4" w:space="0" w:color="auto"/>
            </w:tcBorders>
            <w:vAlign w:val="center"/>
          </w:tcPr>
          <w:p w14:paraId="1D5564DF" w14:textId="59B47EC7"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48</w:t>
            </w:r>
          </w:p>
        </w:tc>
        <w:tc>
          <w:tcPr>
            <w:tcW w:w="1165" w:type="dxa"/>
            <w:tcBorders>
              <w:bottom w:val="single" w:sz="4" w:space="0" w:color="auto"/>
            </w:tcBorders>
            <w:vAlign w:val="bottom"/>
          </w:tcPr>
          <w:p w14:paraId="700B7C4D" w14:textId="7A273F17" w:rsidR="007A5299" w:rsidRPr="00E04112" w:rsidRDefault="007A5299" w:rsidP="00A74EAA">
            <w:pPr>
              <w:spacing w:after="120" w:line="264" w:lineRule="auto"/>
              <w:jc w:val="right"/>
              <w:rPr>
                <w:rFonts w:ascii="Arial" w:hAnsi="Arial" w:cs="Arial"/>
                <w:sz w:val="18"/>
                <w:szCs w:val="18"/>
                <w:vertAlign w:val="superscript"/>
              </w:rPr>
            </w:pPr>
            <w:r w:rsidRPr="00E04112">
              <w:rPr>
                <w:rFonts w:ascii="Arial" w:hAnsi="Arial" w:cs="Arial"/>
                <w:color w:val="000000"/>
                <w:sz w:val="18"/>
                <w:szCs w:val="18"/>
              </w:rPr>
              <w:t>$7.25</w:t>
            </w:r>
          </w:p>
        </w:tc>
        <w:tc>
          <w:tcPr>
            <w:tcW w:w="1167" w:type="dxa"/>
            <w:tcBorders>
              <w:bottom w:val="single" w:sz="4" w:space="0" w:color="auto"/>
            </w:tcBorders>
            <w:vAlign w:val="center"/>
          </w:tcPr>
          <w:p w14:paraId="03AC8625" w14:textId="7C707AAC" w:rsidR="007A5299" w:rsidRPr="00E04112" w:rsidRDefault="007A5299" w:rsidP="00A74EAA">
            <w:pPr>
              <w:spacing w:after="120" w:line="264" w:lineRule="auto"/>
              <w:jc w:val="right"/>
              <w:rPr>
                <w:rFonts w:ascii="Arial" w:hAnsi="Arial" w:cs="Arial"/>
                <w:sz w:val="18"/>
                <w:szCs w:val="18"/>
              </w:rPr>
            </w:pPr>
            <w:r w:rsidRPr="00F511EA">
              <w:rPr>
                <w:rFonts w:ascii="Arial" w:hAnsi="Arial" w:cs="Arial"/>
                <w:color w:val="000000"/>
                <w:sz w:val="18"/>
                <w:szCs w:val="18"/>
              </w:rPr>
              <w:t xml:space="preserve">$346 </w:t>
            </w:r>
          </w:p>
        </w:tc>
      </w:tr>
      <w:tr w:rsidR="0016295F" w:rsidRPr="00B73199" w14:paraId="557E743E" w14:textId="77777777" w:rsidTr="009204F7">
        <w:tc>
          <w:tcPr>
            <w:tcW w:w="487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4D71B0FA" w14:textId="3ED874AA" w:rsidR="007A6282" w:rsidRPr="00B73199" w:rsidRDefault="007A6282" w:rsidP="00B9580D">
            <w:pPr>
              <w:rPr>
                <w:rFonts w:ascii="Arial" w:hAnsi="Arial" w:cs="Arial"/>
                <w:sz w:val="18"/>
                <w:szCs w:val="18"/>
              </w:rPr>
            </w:pPr>
            <w:r w:rsidRPr="00B73199">
              <w:rPr>
                <w:rFonts w:ascii="Arial" w:hAnsi="Arial" w:cs="Arial"/>
                <w:b/>
                <w:sz w:val="18"/>
                <w:szCs w:val="18"/>
              </w:rPr>
              <w:t>Network Analysis Survey</w:t>
            </w:r>
            <w:r w:rsidR="00892446">
              <w:rPr>
                <w:rFonts w:ascii="Arial" w:hAnsi="Arial" w:cs="Arial"/>
                <w:b/>
                <w:sz w:val="18"/>
                <w:szCs w:val="18"/>
              </w:rPr>
              <w:t xml:space="preserve"> </w:t>
            </w:r>
          </w:p>
        </w:tc>
        <w:tc>
          <w:tcPr>
            <w:tcW w:w="1530" w:type="dxa"/>
            <w:tcBorders>
              <w:top w:val="single" w:sz="4" w:space="0" w:color="auto"/>
              <w:left w:val="nil"/>
              <w:bottom w:val="single" w:sz="4" w:space="0" w:color="auto"/>
              <w:right w:val="nil"/>
            </w:tcBorders>
            <w:shd w:val="clear" w:color="auto" w:fill="D9D9D9" w:themeFill="background1" w:themeFillShade="D9"/>
            <w:vAlign w:val="bottom"/>
          </w:tcPr>
          <w:p w14:paraId="1D9F4BAD" w14:textId="77777777" w:rsidR="007A6282" w:rsidRPr="00E04112" w:rsidRDefault="007A6282" w:rsidP="00A74EAA">
            <w:pPr>
              <w:spacing w:after="120" w:line="264" w:lineRule="auto"/>
              <w:jc w:val="right"/>
              <w:rPr>
                <w:rFonts w:ascii="Arial" w:hAnsi="Arial" w:cs="Arial"/>
                <w:sz w:val="18"/>
                <w:szCs w:val="18"/>
              </w:rPr>
            </w:pPr>
          </w:p>
        </w:tc>
        <w:tc>
          <w:tcPr>
            <w:tcW w:w="1637" w:type="dxa"/>
            <w:tcBorders>
              <w:top w:val="single" w:sz="4" w:space="0" w:color="auto"/>
              <w:left w:val="nil"/>
              <w:bottom w:val="single" w:sz="4" w:space="0" w:color="auto"/>
              <w:right w:val="nil"/>
            </w:tcBorders>
            <w:shd w:val="clear" w:color="auto" w:fill="D9D9D9" w:themeFill="background1" w:themeFillShade="D9"/>
            <w:vAlign w:val="bottom"/>
          </w:tcPr>
          <w:p w14:paraId="0326F20F" w14:textId="77777777" w:rsidR="007A6282" w:rsidRPr="00E04112" w:rsidRDefault="007A6282" w:rsidP="00A74EAA">
            <w:pPr>
              <w:spacing w:after="120" w:line="264" w:lineRule="auto"/>
              <w:jc w:val="right"/>
              <w:rPr>
                <w:rFonts w:ascii="Arial" w:hAnsi="Arial" w:cs="Arial"/>
                <w:sz w:val="18"/>
                <w:szCs w:val="18"/>
              </w:rPr>
            </w:pPr>
          </w:p>
        </w:tc>
        <w:tc>
          <w:tcPr>
            <w:tcW w:w="1219" w:type="dxa"/>
            <w:tcBorders>
              <w:top w:val="single" w:sz="4" w:space="0" w:color="auto"/>
              <w:left w:val="nil"/>
              <w:bottom w:val="single" w:sz="4" w:space="0" w:color="auto"/>
              <w:right w:val="nil"/>
            </w:tcBorders>
            <w:shd w:val="clear" w:color="auto" w:fill="D9D9D9" w:themeFill="background1" w:themeFillShade="D9"/>
            <w:vAlign w:val="bottom"/>
          </w:tcPr>
          <w:p w14:paraId="0820E47F" w14:textId="77777777" w:rsidR="007A6282" w:rsidRPr="00E04112" w:rsidRDefault="007A6282" w:rsidP="00A74EAA">
            <w:pPr>
              <w:spacing w:after="120" w:line="264" w:lineRule="auto"/>
              <w:jc w:val="right"/>
              <w:rPr>
                <w:rFonts w:ascii="Arial" w:hAnsi="Arial" w:cs="Arial"/>
                <w:sz w:val="18"/>
                <w:szCs w:val="18"/>
              </w:rPr>
            </w:pPr>
          </w:p>
        </w:tc>
        <w:tc>
          <w:tcPr>
            <w:tcW w:w="1115" w:type="dxa"/>
            <w:tcBorders>
              <w:top w:val="single" w:sz="4" w:space="0" w:color="auto"/>
              <w:left w:val="nil"/>
              <w:bottom w:val="single" w:sz="4" w:space="0" w:color="auto"/>
              <w:right w:val="nil"/>
            </w:tcBorders>
            <w:shd w:val="clear" w:color="auto" w:fill="D9D9D9" w:themeFill="background1" w:themeFillShade="D9"/>
            <w:vAlign w:val="bottom"/>
          </w:tcPr>
          <w:p w14:paraId="70EA94B5" w14:textId="77777777" w:rsidR="007A6282" w:rsidRPr="00E04112" w:rsidRDefault="007A6282" w:rsidP="00A74EAA">
            <w:pPr>
              <w:spacing w:after="120" w:line="264" w:lineRule="auto"/>
              <w:jc w:val="right"/>
              <w:rPr>
                <w:rFonts w:ascii="Arial" w:hAnsi="Arial" w:cs="Arial"/>
                <w:sz w:val="18"/>
                <w:szCs w:val="18"/>
              </w:rPr>
            </w:pPr>
          </w:p>
        </w:tc>
        <w:tc>
          <w:tcPr>
            <w:tcW w:w="1077" w:type="dxa"/>
            <w:tcBorders>
              <w:top w:val="single" w:sz="4" w:space="0" w:color="auto"/>
              <w:left w:val="nil"/>
              <w:bottom w:val="single" w:sz="4" w:space="0" w:color="auto"/>
              <w:right w:val="nil"/>
            </w:tcBorders>
            <w:shd w:val="clear" w:color="auto" w:fill="D9D9D9" w:themeFill="background1" w:themeFillShade="D9"/>
            <w:vAlign w:val="bottom"/>
          </w:tcPr>
          <w:p w14:paraId="7257D9E7" w14:textId="77777777" w:rsidR="007A6282" w:rsidRPr="00E04112" w:rsidRDefault="007A6282" w:rsidP="00A74EAA">
            <w:pPr>
              <w:spacing w:after="120" w:line="264" w:lineRule="auto"/>
              <w:jc w:val="right"/>
              <w:rPr>
                <w:rFonts w:ascii="Arial" w:hAnsi="Arial" w:cs="Arial"/>
                <w:sz w:val="18"/>
                <w:szCs w:val="18"/>
              </w:rPr>
            </w:pPr>
          </w:p>
        </w:tc>
        <w:tc>
          <w:tcPr>
            <w:tcW w:w="1165" w:type="dxa"/>
            <w:tcBorders>
              <w:top w:val="single" w:sz="4" w:space="0" w:color="auto"/>
              <w:left w:val="nil"/>
              <w:bottom w:val="single" w:sz="4" w:space="0" w:color="auto"/>
              <w:right w:val="nil"/>
            </w:tcBorders>
            <w:shd w:val="clear" w:color="auto" w:fill="D9D9D9" w:themeFill="background1" w:themeFillShade="D9"/>
            <w:vAlign w:val="bottom"/>
          </w:tcPr>
          <w:p w14:paraId="2F4F7512" w14:textId="77777777" w:rsidR="007A6282" w:rsidRPr="00E04112" w:rsidRDefault="007A6282" w:rsidP="00A74EAA">
            <w:pPr>
              <w:spacing w:after="120" w:line="264" w:lineRule="auto"/>
              <w:jc w:val="right"/>
              <w:rPr>
                <w:rFonts w:ascii="Arial" w:hAnsi="Arial" w:cs="Arial"/>
                <w:sz w:val="18"/>
                <w:szCs w:val="18"/>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64AFAA6" w14:textId="77777777" w:rsidR="007A6282" w:rsidRPr="00E04112" w:rsidRDefault="007A6282" w:rsidP="00A74EAA">
            <w:pPr>
              <w:spacing w:after="120" w:line="264" w:lineRule="auto"/>
              <w:jc w:val="right"/>
              <w:rPr>
                <w:rFonts w:ascii="Arial" w:hAnsi="Arial" w:cs="Arial"/>
                <w:sz w:val="18"/>
                <w:szCs w:val="18"/>
              </w:rPr>
            </w:pPr>
          </w:p>
        </w:tc>
      </w:tr>
      <w:tr w:rsidR="00B75A91" w:rsidRPr="00B73199" w14:paraId="17A54760" w14:textId="77777777" w:rsidTr="009204F7">
        <w:tc>
          <w:tcPr>
            <w:tcW w:w="2178" w:type="dxa"/>
            <w:tcBorders>
              <w:top w:val="single" w:sz="4" w:space="0" w:color="auto"/>
            </w:tcBorders>
            <w:vAlign w:val="center"/>
          </w:tcPr>
          <w:p w14:paraId="6F3E425E" w14:textId="14DF1110" w:rsidR="00B75A91" w:rsidRPr="001D39BB" w:rsidRDefault="00B75A91" w:rsidP="00927366">
            <w:pPr>
              <w:rPr>
                <w:rFonts w:ascii="Arial" w:hAnsi="Arial" w:cs="Arial"/>
                <w:sz w:val="18"/>
                <w:szCs w:val="18"/>
              </w:rPr>
            </w:pPr>
            <w:r w:rsidRPr="001D39BB">
              <w:rPr>
                <w:rFonts w:ascii="Arial" w:eastAsia="Times New Roman" w:hAnsi="Arial" w:cs="Arial"/>
                <w:color w:val="000000"/>
                <w:sz w:val="18"/>
                <w:szCs w:val="18"/>
              </w:rPr>
              <w:t>Jurisdiction</w:t>
            </w:r>
          </w:p>
        </w:tc>
        <w:tc>
          <w:tcPr>
            <w:tcW w:w="2700" w:type="dxa"/>
            <w:tcBorders>
              <w:top w:val="single" w:sz="4" w:space="0" w:color="auto"/>
            </w:tcBorders>
            <w:vAlign w:val="center"/>
          </w:tcPr>
          <w:p w14:paraId="4284F3CE" w14:textId="5B069AA6" w:rsidR="00B75A91" w:rsidRPr="001D39BB" w:rsidRDefault="00B75A91" w:rsidP="00927366">
            <w:pPr>
              <w:rPr>
                <w:rFonts w:ascii="Arial Narrow" w:hAnsi="Arial Narrow" w:cs="Arial"/>
                <w:sz w:val="18"/>
                <w:szCs w:val="18"/>
              </w:rPr>
            </w:pPr>
            <w:r w:rsidRPr="001D39BB">
              <w:rPr>
                <w:rFonts w:ascii="Arial Narrow" w:eastAsia="Times New Roman" w:hAnsi="Arial Narrow" w:cs="Arial"/>
                <w:color w:val="000000"/>
                <w:sz w:val="18"/>
                <w:szCs w:val="18"/>
              </w:rPr>
              <w:t>Grant leadership</w:t>
            </w:r>
          </w:p>
        </w:tc>
        <w:tc>
          <w:tcPr>
            <w:tcW w:w="1530" w:type="dxa"/>
            <w:tcBorders>
              <w:top w:val="single" w:sz="4" w:space="0" w:color="auto"/>
            </w:tcBorders>
            <w:vAlign w:val="bottom"/>
          </w:tcPr>
          <w:p w14:paraId="0189EFA5" w14:textId="1A61CE57" w:rsidR="00B75A91" w:rsidRPr="00E04112" w:rsidRDefault="00B75A91" w:rsidP="008225E7">
            <w:pPr>
              <w:spacing w:after="120" w:line="264" w:lineRule="auto"/>
              <w:jc w:val="right"/>
              <w:rPr>
                <w:rFonts w:ascii="Arial" w:hAnsi="Arial" w:cs="Arial"/>
                <w:color w:val="000000"/>
                <w:sz w:val="18"/>
                <w:szCs w:val="18"/>
              </w:rPr>
            </w:pPr>
            <w:r w:rsidRPr="00E04112">
              <w:rPr>
                <w:rFonts w:ascii="Arial" w:hAnsi="Arial" w:cs="Arial"/>
                <w:color w:val="000000"/>
                <w:sz w:val="18"/>
                <w:szCs w:val="18"/>
              </w:rPr>
              <w:t>35</w:t>
            </w:r>
            <w:r w:rsidR="008225E7" w:rsidRPr="00E04112">
              <w:rPr>
                <w:rFonts w:ascii="Arial" w:hAnsi="Arial" w:cs="Arial"/>
                <w:color w:val="000000"/>
                <w:sz w:val="18"/>
                <w:szCs w:val="18"/>
              </w:rPr>
              <w:t>3</w:t>
            </w:r>
          </w:p>
        </w:tc>
        <w:tc>
          <w:tcPr>
            <w:tcW w:w="1637" w:type="dxa"/>
            <w:tcBorders>
              <w:top w:val="single" w:sz="4" w:space="0" w:color="auto"/>
            </w:tcBorders>
            <w:vAlign w:val="bottom"/>
          </w:tcPr>
          <w:p w14:paraId="23BB3D33" w14:textId="4314D618" w:rsidR="00B75A91" w:rsidRPr="00E04112" w:rsidRDefault="00B75A91" w:rsidP="00A74EAA">
            <w:pPr>
              <w:spacing w:after="120" w:line="264" w:lineRule="auto"/>
              <w:jc w:val="right"/>
              <w:rPr>
                <w:rFonts w:ascii="Arial" w:hAnsi="Arial" w:cs="Arial"/>
                <w:sz w:val="18"/>
                <w:szCs w:val="18"/>
              </w:rPr>
            </w:pPr>
            <w:r w:rsidRPr="00E04112">
              <w:rPr>
                <w:rFonts w:ascii="Arial" w:hAnsi="Arial" w:cs="Arial"/>
                <w:color w:val="000000"/>
                <w:sz w:val="18"/>
                <w:szCs w:val="18"/>
              </w:rPr>
              <w:t>1</w:t>
            </w:r>
          </w:p>
        </w:tc>
        <w:tc>
          <w:tcPr>
            <w:tcW w:w="1219" w:type="dxa"/>
            <w:tcBorders>
              <w:top w:val="single" w:sz="4" w:space="0" w:color="auto"/>
            </w:tcBorders>
            <w:vAlign w:val="bottom"/>
          </w:tcPr>
          <w:p w14:paraId="6127801A" w14:textId="680FA7FB" w:rsidR="00B75A91" w:rsidRPr="00E04112" w:rsidRDefault="00B75A91" w:rsidP="008225E7">
            <w:pPr>
              <w:spacing w:after="120" w:line="264" w:lineRule="auto"/>
              <w:jc w:val="right"/>
              <w:rPr>
                <w:rFonts w:ascii="Arial" w:hAnsi="Arial" w:cs="Arial"/>
                <w:sz w:val="18"/>
                <w:szCs w:val="18"/>
              </w:rPr>
            </w:pPr>
            <w:r w:rsidRPr="00E04112">
              <w:rPr>
                <w:rFonts w:ascii="Arial" w:hAnsi="Arial" w:cs="Arial"/>
                <w:color w:val="000000"/>
                <w:sz w:val="18"/>
                <w:szCs w:val="18"/>
              </w:rPr>
              <w:t>35</w:t>
            </w:r>
            <w:r w:rsidR="008225E7" w:rsidRPr="00E04112">
              <w:rPr>
                <w:rFonts w:ascii="Arial" w:hAnsi="Arial" w:cs="Arial"/>
                <w:color w:val="000000"/>
                <w:sz w:val="18"/>
                <w:szCs w:val="18"/>
              </w:rPr>
              <w:t>3</w:t>
            </w:r>
          </w:p>
        </w:tc>
        <w:tc>
          <w:tcPr>
            <w:tcW w:w="1115" w:type="dxa"/>
            <w:tcBorders>
              <w:top w:val="single" w:sz="4" w:space="0" w:color="auto"/>
            </w:tcBorders>
            <w:vAlign w:val="bottom"/>
          </w:tcPr>
          <w:p w14:paraId="436A6217" w14:textId="3C37D765" w:rsidR="00B75A91" w:rsidRPr="00E04112" w:rsidRDefault="00B75A91" w:rsidP="00A74EAA">
            <w:pPr>
              <w:spacing w:after="120" w:line="264" w:lineRule="auto"/>
              <w:jc w:val="right"/>
              <w:rPr>
                <w:rFonts w:ascii="Arial" w:hAnsi="Arial" w:cs="Arial"/>
                <w:sz w:val="18"/>
                <w:szCs w:val="18"/>
              </w:rPr>
            </w:pPr>
            <w:r w:rsidRPr="00E04112">
              <w:rPr>
                <w:rFonts w:ascii="Arial" w:hAnsi="Arial" w:cs="Arial"/>
                <w:color w:val="000000"/>
                <w:sz w:val="18"/>
                <w:szCs w:val="18"/>
              </w:rPr>
              <w:t>0.4</w:t>
            </w:r>
          </w:p>
        </w:tc>
        <w:tc>
          <w:tcPr>
            <w:tcW w:w="1077" w:type="dxa"/>
            <w:tcBorders>
              <w:top w:val="single" w:sz="4" w:space="0" w:color="auto"/>
            </w:tcBorders>
            <w:vAlign w:val="bottom"/>
          </w:tcPr>
          <w:p w14:paraId="6341D928" w14:textId="5AA4182C" w:rsidR="00B75A91" w:rsidRPr="00E04112" w:rsidRDefault="00B75A91" w:rsidP="008225E7">
            <w:pPr>
              <w:spacing w:after="120" w:line="264" w:lineRule="auto"/>
              <w:jc w:val="right"/>
              <w:rPr>
                <w:rFonts w:ascii="Arial" w:hAnsi="Arial" w:cs="Arial"/>
                <w:color w:val="000000"/>
                <w:sz w:val="18"/>
                <w:szCs w:val="18"/>
              </w:rPr>
            </w:pPr>
            <w:r w:rsidRPr="00E04112">
              <w:rPr>
                <w:rFonts w:ascii="Arial" w:hAnsi="Arial" w:cs="Arial"/>
                <w:color w:val="000000"/>
                <w:sz w:val="18"/>
                <w:szCs w:val="18"/>
              </w:rPr>
              <w:t>14</w:t>
            </w:r>
            <w:r w:rsidR="008225E7" w:rsidRPr="00E04112">
              <w:rPr>
                <w:rFonts w:ascii="Arial" w:hAnsi="Arial" w:cs="Arial"/>
                <w:color w:val="000000"/>
                <w:sz w:val="18"/>
                <w:szCs w:val="18"/>
              </w:rPr>
              <w:t>7</w:t>
            </w:r>
          </w:p>
        </w:tc>
        <w:tc>
          <w:tcPr>
            <w:tcW w:w="1165" w:type="dxa"/>
            <w:tcBorders>
              <w:top w:val="single" w:sz="4" w:space="0" w:color="auto"/>
            </w:tcBorders>
            <w:vAlign w:val="bottom"/>
          </w:tcPr>
          <w:p w14:paraId="7034B456" w14:textId="14F75AF2" w:rsidR="00B75A91" w:rsidRPr="00E04112" w:rsidRDefault="00B75A91" w:rsidP="00A74EAA">
            <w:pPr>
              <w:spacing w:after="120" w:line="264" w:lineRule="auto"/>
              <w:jc w:val="right"/>
              <w:rPr>
                <w:rFonts w:ascii="Arial" w:hAnsi="Arial" w:cs="Arial"/>
                <w:sz w:val="18"/>
                <w:szCs w:val="18"/>
              </w:rPr>
            </w:pPr>
            <w:r w:rsidRPr="00E04112">
              <w:rPr>
                <w:rFonts w:ascii="Arial" w:hAnsi="Arial" w:cs="Arial"/>
                <w:color w:val="000000"/>
                <w:sz w:val="18"/>
                <w:szCs w:val="18"/>
              </w:rPr>
              <w:t>$26.44</w:t>
            </w:r>
          </w:p>
        </w:tc>
        <w:tc>
          <w:tcPr>
            <w:tcW w:w="1167" w:type="dxa"/>
            <w:tcBorders>
              <w:top w:val="single" w:sz="4" w:space="0" w:color="auto"/>
            </w:tcBorders>
            <w:vAlign w:val="bottom"/>
          </w:tcPr>
          <w:p w14:paraId="30F73B28" w14:textId="7983B62A" w:rsidR="00B75A91" w:rsidRPr="00E04112" w:rsidRDefault="00B75A91" w:rsidP="008225E7">
            <w:pPr>
              <w:spacing w:after="120" w:line="264" w:lineRule="auto"/>
              <w:jc w:val="right"/>
              <w:rPr>
                <w:rFonts w:ascii="Arial" w:hAnsi="Arial" w:cs="Arial"/>
                <w:color w:val="000000"/>
                <w:sz w:val="18"/>
                <w:szCs w:val="18"/>
              </w:rPr>
            </w:pPr>
            <w:r w:rsidRPr="00E04112">
              <w:rPr>
                <w:rFonts w:ascii="Arial" w:hAnsi="Arial" w:cs="Arial"/>
                <w:color w:val="000000"/>
                <w:sz w:val="18"/>
                <w:szCs w:val="18"/>
              </w:rPr>
              <w:t>$3,</w:t>
            </w:r>
            <w:r w:rsidR="008225E7" w:rsidRPr="00E04112">
              <w:rPr>
                <w:rFonts w:ascii="Arial" w:hAnsi="Arial" w:cs="Arial"/>
                <w:color w:val="000000"/>
                <w:sz w:val="18"/>
                <w:szCs w:val="18"/>
              </w:rPr>
              <w:t>893</w:t>
            </w:r>
          </w:p>
        </w:tc>
      </w:tr>
      <w:tr w:rsidR="001D39BB" w:rsidRPr="00B73199" w14:paraId="67CF3A84" w14:textId="77777777" w:rsidTr="009204F7">
        <w:tc>
          <w:tcPr>
            <w:tcW w:w="2178" w:type="dxa"/>
            <w:tcBorders>
              <w:bottom w:val="single" w:sz="4" w:space="0" w:color="auto"/>
            </w:tcBorders>
            <w:vAlign w:val="center"/>
          </w:tcPr>
          <w:p w14:paraId="27585B39" w14:textId="6E1E0083" w:rsidR="001D39BB" w:rsidRPr="001D39BB" w:rsidRDefault="001D39BB" w:rsidP="00927366">
            <w:pPr>
              <w:spacing w:line="264" w:lineRule="auto"/>
              <w:rPr>
                <w:rFonts w:ascii="Arial" w:hAnsi="Arial" w:cs="Arial"/>
                <w:sz w:val="18"/>
                <w:szCs w:val="18"/>
              </w:rPr>
            </w:pPr>
            <w:r w:rsidRPr="001D39BB">
              <w:rPr>
                <w:rFonts w:ascii="Arial" w:hAnsi="Arial" w:cs="Arial"/>
                <w:sz w:val="18"/>
                <w:szCs w:val="18"/>
              </w:rPr>
              <w:t>Local system</w:t>
            </w:r>
          </w:p>
        </w:tc>
        <w:tc>
          <w:tcPr>
            <w:tcW w:w="2700" w:type="dxa"/>
            <w:tcBorders>
              <w:bottom w:val="single" w:sz="4" w:space="0" w:color="auto"/>
            </w:tcBorders>
            <w:vAlign w:val="center"/>
          </w:tcPr>
          <w:p w14:paraId="03B06B02" w14:textId="2767BF07" w:rsidR="001D39BB" w:rsidRPr="001D39BB" w:rsidRDefault="001D39BB" w:rsidP="00927366">
            <w:pPr>
              <w:spacing w:line="264" w:lineRule="auto"/>
              <w:rPr>
                <w:rFonts w:ascii="Arial Narrow" w:hAnsi="Arial Narrow" w:cs="Arial"/>
                <w:sz w:val="18"/>
                <w:szCs w:val="18"/>
              </w:rPr>
            </w:pPr>
            <w:r w:rsidRPr="001D39BB">
              <w:rPr>
                <w:rFonts w:ascii="Arial Narrow" w:eastAsia="Times New Roman" w:hAnsi="Arial Narrow" w:cs="Arial"/>
                <w:color w:val="000000"/>
                <w:sz w:val="18"/>
                <w:szCs w:val="18"/>
              </w:rPr>
              <w:t>Local providers of direct services</w:t>
            </w:r>
          </w:p>
        </w:tc>
        <w:tc>
          <w:tcPr>
            <w:tcW w:w="1530" w:type="dxa"/>
            <w:tcBorders>
              <w:bottom w:val="single" w:sz="4" w:space="0" w:color="auto"/>
            </w:tcBorders>
            <w:vAlign w:val="bottom"/>
          </w:tcPr>
          <w:p w14:paraId="2205E247" w14:textId="25354211" w:rsidR="001D39BB" w:rsidRPr="00E04112" w:rsidRDefault="00207D28" w:rsidP="00A74EAA">
            <w:pPr>
              <w:spacing w:after="120" w:line="264" w:lineRule="auto"/>
              <w:jc w:val="right"/>
              <w:rPr>
                <w:rFonts w:ascii="Arial" w:hAnsi="Arial" w:cs="Arial"/>
                <w:color w:val="000000"/>
                <w:sz w:val="18"/>
                <w:szCs w:val="18"/>
              </w:rPr>
            </w:pPr>
            <w:r>
              <w:rPr>
                <w:rFonts w:ascii="Arial" w:hAnsi="Arial" w:cs="Arial"/>
                <w:color w:val="000000"/>
                <w:sz w:val="18"/>
                <w:szCs w:val="18"/>
              </w:rPr>
              <w:t>707</w:t>
            </w:r>
          </w:p>
        </w:tc>
        <w:tc>
          <w:tcPr>
            <w:tcW w:w="1637" w:type="dxa"/>
            <w:tcBorders>
              <w:bottom w:val="single" w:sz="4" w:space="0" w:color="auto"/>
            </w:tcBorders>
            <w:vAlign w:val="bottom"/>
          </w:tcPr>
          <w:p w14:paraId="56C67A42" w14:textId="56831365" w:rsidR="001D39BB" w:rsidRPr="00E04112" w:rsidRDefault="001D39BB" w:rsidP="00A74EAA">
            <w:pPr>
              <w:spacing w:after="120" w:line="264" w:lineRule="auto"/>
              <w:jc w:val="right"/>
              <w:rPr>
                <w:rFonts w:ascii="Arial" w:hAnsi="Arial" w:cs="Arial"/>
                <w:sz w:val="18"/>
                <w:szCs w:val="18"/>
              </w:rPr>
            </w:pPr>
            <w:r w:rsidRPr="00E04112">
              <w:rPr>
                <w:rFonts w:ascii="Arial" w:hAnsi="Arial" w:cs="Arial"/>
                <w:color w:val="000000"/>
                <w:sz w:val="18"/>
                <w:szCs w:val="18"/>
              </w:rPr>
              <w:t>1</w:t>
            </w:r>
          </w:p>
        </w:tc>
        <w:tc>
          <w:tcPr>
            <w:tcW w:w="1219" w:type="dxa"/>
            <w:tcBorders>
              <w:bottom w:val="single" w:sz="4" w:space="0" w:color="auto"/>
            </w:tcBorders>
            <w:vAlign w:val="bottom"/>
          </w:tcPr>
          <w:p w14:paraId="174D2639" w14:textId="4EF319A7" w:rsidR="001D39BB" w:rsidRPr="00E04112" w:rsidRDefault="00207D28" w:rsidP="00A74EAA">
            <w:pPr>
              <w:spacing w:after="120" w:line="264" w:lineRule="auto"/>
              <w:jc w:val="right"/>
              <w:rPr>
                <w:rFonts w:ascii="Arial" w:hAnsi="Arial" w:cs="Arial"/>
                <w:sz w:val="18"/>
                <w:szCs w:val="18"/>
              </w:rPr>
            </w:pPr>
            <w:r>
              <w:rPr>
                <w:rFonts w:ascii="Arial" w:hAnsi="Arial" w:cs="Arial"/>
                <w:color w:val="000000"/>
                <w:sz w:val="18"/>
                <w:szCs w:val="18"/>
              </w:rPr>
              <w:t>707</w:t>
            </w:r>
          </w:p>
        </w:tc>
        <w:tc>
          <w:tcPr>
            <w:tcW w:w="1115" w:type="dxa"/>
            <w:tcBorders>
              <w:bottom w:val="single" w:sz="4" w:space="0" w:color="auto"/>
            </w:tcBorders>
            <w:vAlign w:val="bottom"/>
          </w:tcPr>
          <w:p w14:paraId="05C00FEF" w14:textId="72B5A3ED" w:rsidR="001D39BB" w:rsidRPr="00E04112" w:rsidRDefault="001D39BB" w:rsidP="00A74EAA">
            <w:pPr>
              <w:spacing w:after="120" w:line="264" w:lineRule="auto"/>
              <w:jc w:val="right"/>
              <w:rPr>
                <w:rFonts w:ascii="Arial" w:hAnsi="Arial" w:cs="Arial"/>
                <w:sz w:val="18"/>
                <w:szCs w:val="18"/>
              </w:rPr>
            </w:pPr>
            <w:r w:rsidRPr="00E04112">
              <w:rPr>
                <w:rFonts w:ascii="Arial" w:hAnsi="Arial" w:cs="Arial"/>
                <w:color w:val="000000"/>
                <w:sz w:val="18"/>
                <w:szCs w:val="18"/>
              </w:rPr>
              <w:t>0.4</w:t>
            </w:r>
          </w:p>
        </w:tc>
        <w:tc>
          <w:tcPr>
            <w:tcW w:w="1077" w:type="dxa"/>
            <w:tcBorders>
              <w:bottom w:val="single" w:sz="4" w:space="0" w:color="auto"/>
            </w:tcBorders>
            <w:vAlign w:val="bottom"/>
          </w:tcPr>
          <w:p w14:paraId="342FF248" w14:textId="4EFF8B13" w:rsidR="001D39BB" w:rsidRPr="00E04112" w:rsidRDefault="00207D28" w:rsidP="00A74EAA">
            <w:pPr>
              <w:spacing w:after="120" w:line="264" w:lineRule="auto"/>
              <w:jc w:val="right"/>
              <w:rPr>
                <w:rFonts w:ascii="Arial" w:hAnsi="Arial" w:cs="Arial"/>
                <w:sz w:val="18"/>
                <w:szCs w:val="18"/>
              </w:rPr>
            </w:pPr>
            <w:r>
              <w:rPr>
                <w:rFonts w:ascii="Arial" w:hAnsi="Arial" w:cs="Arial"/>
                <w:color w:val="000000"/>
                <w:sz w:val="18"/>
                <w:szCs w:val="18"/>
              </w:rPr>
              <w:t>294</w:t>
            </w:r>
          </w:p>
        </w:tc>
        <w:tc>
          <w:tcPr>
            <w:tcW w:w="1165" w:type="dxa"/>
            <w:tcBorders>
              <w:bottom w:val="single" w:sz="4" w:space="0" w:color="auto"/>
            </w:tcBorders>
            <w:vAlign w:val="bottom"/>
          </w:tcPr>
          <w:p w14:paraId="2E6E7F50" w14:textId="7DB24AE8" w:rsidR="001D39BB" w:rsidRPr="00E04112" w:rsidRDefault="001D39BB" w:rsidP="00A74EAA">
            <w:pPr>
              <w:spacing w:after="120" w:line="264" w:lineRule="auto"/>
              <w:jc w:val="right"/>
              <w:rPr>
                <w:rFonts w:ascii="Arial" w:hAnsi="Arial" w:cs="Arial"/>
                <w:sz w:val="18"/>
                <w:szCs w:val="18"/>
              </w:rPr>
            </w:pPr>
            <w:r w:rsidRPr="00E04112">
              <w:rPr>
                <w:rFonts w:ascii="Arial" w:hAnsi="Arial" w:cs="Arial"/>
                <w:sz w:val="18"/>
                <w:szCs w:val="18"/>
              </w:rPr>
              <w:t>$21.55</w:t>
            </w:r>
          </w:p>
        </w:tc>
        <w:tc>
          <w:tcPr>
            <w:tcW w:w="1167" w:type="dxa"/>
            <w:tcBorders>
              <w:bottom w:val="single" w:sz="4" w:space="0" w:color="auto"/>
            </w:tcBorders>
            <w:vAlign w:val="bottom"/>
          </w:tcPr>
          <w:p w14:paraId="6016DAA8" w14:textId="180941A3" w:rsidR="001D39BB" w:rsidRPr="00E04112" w:rsidRDefault="001D39BB" w:rsidP="00207D28">
            <w:pPr>
              <w:spacing w:after="120" w:line="264" w:lineRule="auto"/>
              <w:jc w:val="right"/>
              <w:rPr>
                <w:rFonts w:ascii="Arial" w:hAnsi="Arial" w:cs="Arial"/>
                <w:color w:val="000000"/>
                <w:sz w:val="18"/>
                <w:szCs w:val="18"/>
              </w:rPr>
            </w:pPr>
            <w:r w:rsidRPr="00E04112">
              <w:rPr>
                <w:rFonts w:ascii="Arial" w:hAnsi="Arial" w:cs="Arial"/>
                <w:color w:val="000000"/>
                <w:sz w:val="18"/>
                <w:szCs w:val="18"/>
              </w:rPr>
              <w:t>$</w:t>
            </w:r>
            <w:r w:rsidR="00207D28">
              <w:rPr>
                <w:rFonts w:ascii="Arial" w:hAnsi="Arial" w:cs="Arial"/>
                <w:color w:val="000000"/>
                <w:sz w:val="18"/>
                <w:szCs w:val="18"/>
              </w:rPr>
              <w:t>6,345</w:t>
            </w:r>
          </w:p>
        </w:tc>
      </w:tr>
      <w:tr w:rsidR="00C06009" w:rsidRPr="00B73199" w14:paraId="1700BA75" w14:textId="77777777" w:rsidTr="009204F7">
        <w:tc>
          <w:tcPr>
            <w:tcW w:w="6408" w:type="dxa"/>
            <w:gridSpan w:val="3"/>
            <w:tcBorders>
              <w:top w:val="single" w:sz="4" w:space="0" w:color="auto"/>
              <w:left w:val="single" w:sz="4" w:space="0" w:color="auto"/>
              <w:bottom w:val="single" w:sz="4" w:space="0" w:color="auto"/>
              <w:right w:val="nil"/>
            </w:tcBorders>
            <w:shd w:val="clear" w:color="auto" w:fill="D9D9D9" w:themeFill="background1" w:themeFillShade="D9"/>
            <w:vAlign w:val="bottom"/>
          </w:tcPr>
          <w:p w14:paraId="7367BBB1" w14:textId="04DBA127" w:rsidR="00C06009" w:rsidRPr="001D39BB" w:rsidRDefault="00C06009" w:rsidP="008758FB">
            <w:pPr>
              <w:rPr>
                <w:rFonts w:ascii="Arial" w:hAnsi="Arial" w:cs="Arial"/>
                <w:sz w:val="18"/>
                <w:szCs w:val="18"/>
              </w:rPr>
            </w:pPr>
            <w:r w:rsidRPr="001D39BB">
              <w:rPr>
                <w:rFonts w:ascii="Arial" w:hAnsi="Arial" w:cs="Arial"/>
                <w:b/>
                <w:sz w:val="18"/>
                <w:szCs w:val="18"/>
              </w:rPr>
              <w:t>GIS</w:t>
            </w:r>
            <w:r w:rsidR="00E2582A" w:rsidRPr="001D39BB">
              <w:rPr>
                <w:rFonts w:ascii="Arial" w:hAnsi="Arial" w:cs="Arial"/>
                <w:b/>
                <w:sz w:val="18"/>
                <w:szCs w:val="18"/>
              </w:rPr>
              <w:t xml:space="preserve"> Component</w:t>
            </w:r>
            <w:r w:rsidRPr="001D39BB">
              <w:rPr>
                <w:rFonts w:ascii="Arial" w:hAnsi="Arial" w:cs="Arial"/>
                <w:b/>
                <w:sz w:val="18"/>
                <w:szCs w:val="18"/>
              </w:rPr>
              <w:t>:  Group Collaborative Events for GIS Analysis Form</w:t>
            </w:r>
          </w:p>
        </w:tc>
        <w:tc>
          <w:tcPr>
            <w:tcW w:w="1637" w:type="dxa"/>
            <w:tcBorders>
              <w:top w:val="single" w:sz="4" w:space="0" w:color="auto"/>
              <w:left w:val="nil"/>
              <w:bottom w:val="single" w:sz="4" w:space="0" w:color="auto"/>
              <w:right w:val="nil"/>
            </w:tcBorders>
            <w:shd w:val="clear" w:color="auto" w:fill="D9D9D9" w:themeFill="background1" w:themeFillShade="D9"/>
            <w:vAlign w:val="bottom"/>
          </w:tcPr>
          <w:p w14:paraId="6D986CF5" w14:textId="77777777" w:rsidR="00C06009" w:rsidRPr="001D39BB" w:rsidRDefault="00C06009" w:rsidP="00A74EAA">
            <w:pPr>
              <w:jc w:val="right"/>
              <w:rPr>
                <w:rFonts w:ascii="Arial" w:hAnsi="Arial" w:cs="Arial"/>
                <w:sz w:val="18"/>
                <w:szCs w:val="18"/>
              </w:rPr>
            </w:pPr>
          </w:p>
        </w:tc>
        <w:tc>
          <w:tcPr>
            <w:tcW w:w="1219" w:type="dxa"/>
            <w:tcBorders>
              <w:top w:val="single" w:sz="4" w:space="0" w:color="auto"/>
              <w:left w:val="nil"/>
              <w:bottom w:val="single" w:sz="4" w:space="0" w:color="auto"/>
              <w:right w:val="nil"/>
            </w:tcBorders>
            <w:shd w:val="clear" w:color="auto" w:fill="D9D9D9" w:themeFill="background1" w:themeFillShade="D9"/>
            <w:vAlign w:val="bottom"/>
          </w:tcPr>
          <w:p w14:paraId="0B98F65B" w14:textId="77777777" w:rsidR="00C06009" w:rsidRPr="001D39BB" w:rsidRDefault="00C06009" w:rsidP="00A74EAA">
            <w:pPr>
              <w:jc w:val="right"/>
              <w:rPr>
                <w:rFonts w:ascii="Arial" w:hAnsi="Arial" w:cs="Arial"/>
                <w:sz w:val="18"/>
                <w:szCs w:val="18"/>
              </w:rPr>
            </w:pPr>
          </w:p>
        </w:tc>
        <w:tc>
          <w:tcPr>
            <w:tcW w:w="1115" w:type="dxa"/>
            <w:tcBorders>
              <w:top w:val="single" w:sz="4" w:space="0" w:color="auto"/>
              <w:left w:val="nil"/>
              <w:bottom w:val="single" w:sz="4" w:space="0" w:color="auto"/>
              <w:right w:val="nil"/>
            </w:tcBorders>
            <w:shd w:val="clear" w:color="auto" w:fill="D9D9D9" w:themeFill="background1" w:themeFillShade="D9"/>
            <w:vAlign w:val="bottom"/>
          </w:tcPr>
          <w:p w14:paraId="062FC493" w14:textId="77777777" w:rsidR="00C06009" w:rsidRPr="001D39BB" w:rsidRDefault="00C06009" w:rsidP="00A74EAA">
            <w:pPr>
              <w:jc w:val="right"/>
              <w:rPr>
                <w:rFonts w:ascii="Arial" w:hAnsi="Arial" w:cs="Arial"/>
                <w:sz w:val="18"/>
                <w:szCs w:val="18"/>
              </w:rPr>
            </w:pPr>
          </w:p>
        </w:tc>
        <w:tc>
          <w:tcPr>
            <w:tcW w:w="1077" w:type="dxa"/>
            <w:tcBorders>
              <w:top w:val="single" w:sz="4" w:space="0" w:color="auto"/>
              <w:left w:val="nil"/>
              <w:bottom w:val="single" w:sz="4" w:space="0" w:color="auto"/>
              <w:right w:val="nil"/>
            </w:tcBorders>
            <w:shd w:val="clear" w:color="auto" w:fill="D9D9D9" w:themeFill="background1" w:themeFillShade="D9"/>
            <w:vAlign w:val="bottom"/>
          </w:tcPr>
          <w:p w14:paraId="7194E1C3" w14:textId="77777777" w:rsidR="00C06009" w:rsidRPr="001D39BB" w:rsidRDefault="00C06009" w:rsidP="00A74EAA">
            <w:pPr>
              <w:jc w:val="right"/>
              <w:rPr>
                <w:rFonts w:ascii="Arial" w:hAnsi="Arial" w:cs="Arial"/>
                <w:sz w:val="18"/>
                <w:szCs w:val="18"/>
              </w:rPr>
            </w:pPr>
          </w:p>
        </w:tc>
        <w:tc>
          <w:tcPr>
            <w:tcW w:w="1165" w:type="dxa"/>
            <w:tcBorders>
              <w:top w:val="single" w:sz="4" w:space="0" w:color="auto"/>
              <w:left w:val="nil"/>
              <w:bottom w:val="single" w:sz="4" w:space="0" w:color="auto"/>
              <w:right w:val="nil"/>
            </w:tcBorders>
            <w:shd w:val="clear" w:color="auto" w:fill="D9D9D9" w:themeFill="background1" w:themeFillShade="D9"/>
            <w:vAlign w:val="bottom"/>
          </w:tcPr>
          <w:p w14:paraId="77A5F60A" w14:textId="77777777" w:rsidR="00C06009" w:rsidRPr="001D39BB" w:rsidRDefault="00C06009" w:rsidP="00A74EAA">
            <w:pPr>
              <w:jc w:val="right"/>
              <w:rPr>
                <w:rFonts w:ascii="Arial" w:hAnsi="Arial" w:cs="Arial"/>
                <w:sz w:val="18"/>
                <w:szCs w:val="18"/>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34DCD5BE" w14:textId="77777777" w:rsidR="00C06009" w:rsidRPr="001D39BB" w:rsidRDefault="00C06009" w:rsidP="00A74EAA">
            <w:pPr>
              <w:jc w:val="right"/>
              <w:rPr>
                <w:rFonts w:ascii="Arial" w:hAnsi="Arial" w:cs="Arial"/>
                <w:sz w:val="18"/>
                <w:szCs w:val="18"/>
              </w:rPr>
            </w:pPr>
          </w:p>
        </w:tc>
      </w:tr>
      <w:tr w:rsidR="00B75A91" w:rsidRPr="00B73199" w14:paraId="62F958AC" w14:textId="77777777" w:rsidTr="009204F7">
        <w:tc>
          <w:tcPr>
            <w:tcW w:w="2178" w:type="dxa"/>
            <w:tcBorders>
              <w:bottom w:val="single" w:sz="4" w:space="0" w:color="auto"/>
            </w:tcBorders>
            <w:vAlign w:val="center"/>
          </w:tcPr>
          <w:p w14:paraId="15F3CE25" w14:textId="5B4A1F65" w:rsidR="00B75A91" w:rsidRPr="001D39BB" w:rsidRDefault="00B75A91" w:rsidP="00927366">
            <w:pPr>
              <w:rPr>
                <w:rFonts w:ascii="Arial" w:hAnsi="Arial" w:cs="Arial"/>
                <w:sz w:val="18"/>
                <w:szCs w:val="18"/>
              </w:rPr>
            </w:pPr>
            <w:r w:rsidRPr="001D39BB">
              <w:rPr>
                <w:rFonts w:ascii="Arial" w:eastAsia="Times New Roman" w:hAnsi="Arial" w:cs="Arial"/>
                <w:color w:val="000000"/>
                <w:sz w:val="18"/>
                <w:szCs w:val="18"/>
              </w:rPr>
              <w:t>Jurisdiction</w:t>
            </w:r>
          </w:p>
        </w:tc>
        <w:tc>
          <w:tcPr>
            <w:tcW w:w="2700" w:type="dxa"/>
            <w:tcBorders>
              <w:bottom w:val="single" w:sz="4" w:space="0" w:color="auto"/>
            </w:tcBorders>
            <w:vAlign w:val="center"/>
          </w:tcPr>
          <w:p w14:paraId="453819F0" w14:textId="4B49645E" w:rsidR="00B75A91" w:rsidRPr="001D39BB" w:rsidRDefault="00B75A91" w:rsidP="00927366">
            <w:pPr>
              <w:rPr>
                <w:rFonts w:ascii="Arial Narrow" w:eastAsia="Times New Roman" w:hAnsi="Arial Narrow" w:cs="Arial"/>
                <w:color w:val="000000"/>
                <w:sz w:val="18"/>
                <w:szCs w:val="18"/>
              </w:rPr>
            </w:pPr>
            <w:r w:rsidRPr="001D39BB">
              <w:rPr>
                <w:rFonts w:ascii="Arial Narrow" w:eastAsia="Times New Roman" w:hAnsi="Arial Narrow" w:cs="Arial"/>
                <w:color w:val="000000"/>
                <w:sz w:val="18"/>
                <w:szCs w:val="18"/>
              </w:rPr>
              <w:t>Grant administrator/Project Director</w:t>
            </w:r>
          </w:p>
        </w:tc>
        <w:tc>
          <w:tcPr>
            <w:tcW w:w="1530" w:type="dxa"/>
            <w:tcBorders>
              <w:bottom w:val="single" w:sz="4" w:space="0" w:color="auto"/>
            </w:tcBorders>
            <w:vAlign w:val="bottom"/>
          </w:tcPr>
          <w:p w14:paraId="1447E462" w14:textId="2553AAC5" w:rsidR="00B75A91" w:rsidRPr="00E04112" w:rsidRDefault="00085494" w:rsidP="00EF4F0E">
            <w:pPr>
              <w:spacing w:after="120" w:line="264" w:lineRule="auto"/>
              <w:jc w:val="right"/>
              <w:rPr>
                <w:rFonts w:ascii="Arial" w:hAnsi="Arial" w:cs="Arial"/>
                <w:sz w:val="18"/>
                <w:szCs w:val="18"/>
              </w:rPr>
            </w:pPr>
            <w:r w:rsidRPr="00E04112">
              <w:rPr>
                <w:rFonts w:ascii="Arial" w:hAnsi="Arial" w:cs="Arial"/>
                <w:sz w:val="18"/>
                <w:szCs w:val="18"/>
              </w:rPr>
              <w:t>10</w:t>
            </w:r>
            <w:r w:rsidR="00EF4F0E" w:rsidRPr="00E04112">
              <w:rPr>
                <w:rFonts w:ascii="Arial" w:hAnsi="Arial" w:cs="Arial"/>
                <w:sz w:val="18"/>
                <w:szCs w:val="18"/>
              </w:rPr>
              <w:t>6</w:t>
            </w:r>
          </w:p>
        </w:tc>
        <w:tc>
          <w:tcPr>
            <w:tcW w:w="1637" w:type="dxa"/>
            <w:tcBorders>
              <w:bottom w:val="single" w:sz="4" w:space="0" w:color="auto"/>
            </w:tcBorders>
            <w:vAlign w:val="bottom"/>
          </w:tcPr>
          <w:p w14:paraId="25112F10" w14:textId="36411651" w:rsidR="00B75A91" w:rsidRPr="00E04112" w:rsidRDefault="00B75A91" w:rsidP="00A74EAA">
            <w:pPr>
              <w:spacing w:after="120" w:line="264" w:lineRule="auto"/>
              <w:jc w:val="right"/>
              <w:rPr>
                <w:rFonts w:ascii="Arial" w:hAnsi="Arial" w:cs="Arial"/>
                <w:sz w:val="18"/>
                <w:szCs w:val="18"/>
              </w:rPr>
            </w:pPr>
            <w:r w:rsidRPr="00E04112">
              <w:rPr>
                <w:rFonts w:ascii="Arial" w:hAnsi="Arial" w:cs="Arial"/>
                <w:color w:val="000000"/>
                <w:sz w:val="18"/>
                <w:szCs w:val="18"/>
              </w:rPr>
              <w:t>4</w:t>
            </w:r>
          </w:p>
        </w:tc>
        <w:tc>
          <w:tcPr>
            <w:tcW w:w="1219" w:type="dxa"/>
            <w:tcBorders>
              <w:bottom w:val="single" w:sz="4" w:space="0" w:color="auto"/>
            </w:tcBorders>
            <w:vAlign w:val="bottom"/>
          </w:tcPr>
          <w:p w14:paraId="1F4739C7" w14:textId="11A5EEBA" w:rsidR="00B75A91" w:rsidRPr="00E04112" w:rsidRDefault="0017539F" w:rsidP="00EF4F0E">
            <w:pPr>
              <w:spacing w:after="120" w:line="264" w:lineRule="auto"/>
              <w:jc w:val="right"/>
              <w:rPr>
                <w:rFonts w:ascii="Arial" w:hAnsi="Arial" w:cs="Arial"/>
                <w:sz w:val="18"/>
                <w:szCs w:val="18"/>
              </w:rPr>
            </w:pPr>
            <w:r w:rsidRPr="00E04112">
              <w:rPr>
                <w:rFonts w:ascii="Arial" w:hAnsi="Arial" w:cs="Arial"/>
                <w:sz w:val="18"/>
                <w:szCs w:val="18"/>
              </w:rPr>
              <w:t>42</w:t>
            </w:r>
            <w:r w:rsidR="00EF4F0E" w:rsidRPr="00E04112">
              <w:rPr>
                <w:rFonts w:ascii="Arial" w:hAnsi="Arial" w:cs="Arial"/>
                <w:sz w:val="18"/>
                <w:szCs w:val="18"/>
              </w:rPr>
              <w:t>4</w:t>
            </w:r>
          </w:p>
        </w:tc>
        <w:tc>
          <w:tcPr>
            <w:tcW w:w="1115" w:type="dxa"/>
            <w:tcBorders>
              <w:bottom w:val="single" w:sz="4" w:space="0" w:color="auto"/>
            </w:tcBorders>
            <w:vAlign w:val="bottom"/>
          </w:tcPr>
          <w:p w14:paraId="0A804D48" w14:textId="6C143B58" w:rsidR="00B75A91" w:rsidRPr="00E04112" w:rsidRDefault="00B75A91" w:rsidP="00A74EAA">
            <w:pPr>
              <w:spacing w:after="120" w:line="264" w:lineRule="auto"/>
              <w:jc w:val="right"/>
              <w:rPr>
                <w:rFonts w:ascii="Arial" w:hAnsi="Arial" w:cs="Arial"/>
                <w:sz w:val="18"/>
                <w:szCs w:val="18"/>
              </w:rPr>
            </w:pPr>
            <w:r w:rsidRPr="00E04112">
              <w:rPr>
                <w:rFonts w:ascii="Arial" w:hAnsi="Arial" w:cs="Arial"/>
                <w:sz w:val="18"/>
                <w:szCs w:val="18"/>
              </w:rPr>
              <w:t>0.25</w:t>
            </w:r>
          </w:p>
        </w:tc>
        <w:tc>
          <w:tcPr>
            <w:tcW w:w="1077" w:type="dxa"/>
            <w:tcBorders>
              <w:bottom w:val="single" w:sz="4" w:space="0" w:color="auto"/>
            </w:tcBorders>
            <w:vAlign w:val="bottom"/>
          </w:tcPr>
          <w:p w14:paraId="7721694B" w14:textId="6D5F5A3C" w:rsidR="00B75A91" w:rsidRPr="00E04112" w:rsidRDefault="0017539F" w:rsidP="00EF4F0E">
            <w:pPr>
              <w:spacing w:after="120" w:line="264" w:lineRule="auto"/>
              <w:jc w:val="right"/>
              <w:rPr>
                <w:rFonts w:ascii="Arial" w:hAnsi="Arial" w:cs="Arial"/>
                <w:sz w:val="18"/>
                <w:szCs w:val="18"/>
              </w:rPr>
            </w:pPr>
            <w:r w:rsidRPr="00E04112">
              <w:rPr>
                <w:rFonts w:ascii="Arial" w:hAnsi="Arial" w:cs="Arial"/>
                <w:sz w:val="18"/>
                <w:szCs w:val="18"/>
              </w:rPr>
              <w:t>10</w:t>
            </w:r>
            <w:r w:rsidR="00EF4F0E" w:rsidRPr="00E04112">
              <w:rPr>
                <w:rFonts w:ascii="Arial" w:hAnsi="Arial" w:cs="Arial"/>
                <w:sz w:val="18"/>
                <w:szCs w:val="18"/>
              </w:rPr>
              <w:t>6</w:t>
            </w:r>
          </w:p>
        </w:tc>
        <w:tc>
          <w:tcPr>
            <w:tcW w:w="1165" w:type="dxa"/>
            <w:tcBorders>
              <w:bottom w:val="single" w:sz="4" w:space="0" w:color="auto"/>
            </w:tcBorders>
            <w:vAlign w:val="bottom"/>
          </w:tcPr>
          <w:p w14:paraId="57D14D8B" w14:textId="3FB53AC6" w:rsidR="00B75A91" w:rsidRPr="00E04112" w:rsidRDefault="00B75A91" w:rsidP="00A74EAA">
            <w:pPr>
              <w:spacing w:after="120" w:line="264" w:lineRule="auto"/>
              <w:jc w:val="right"/>
              <w:rPr>
                <w:rFonts w:ascii="Arial" w:hAnsi="Arial" w:cs="Arial"/>
                <w:sz w:val="18"/>
                <w:szCs w:val="18"/>
              </w:rPr>
            </w:pPr>
            <w:r w:rsidRPr="00E04112">
              <w:rPr>
                <w:rFonts w:ascii="Arial" w:hAnsi="Arial" w:cs="Arial"/>
                <w:sz w:val="18"/>
                <w:szCs w:val="18"/>
              </w:rPr>
              <w:t>$21.55</w:t>
            </w:r>
          </w:p>
        </w:tc>
        <w:tc>
          <w:tcPr>
            <w:tcW w:w="1167" w:type="dxa"/>
            <w:tcBorders>
              <w:bottom w:val="single" w:sz="4" w:space="0" w:color="auto"/>
            </w:tcBorders>
            <w:vAlign w:val="bottom"/>
          </w:tcPr>
          <w:p w14:paraId="1398AB89" w14:textId="5F3F9A88" w:rsidR="00B75A91" w:rsidRPr="00E04112" w:rsidRDefault="00D159ED" w:rsidP="00EF4F0E">
            <w:pPr>
              <w:spacing w:after="120" w:line="264" w:lineRule="auto"/>
              <w:jc w:val="right"/>
              <w:rPr>
                <w:rFonts w:ascii="Arial" w:hAnsi="Arial" w:cs="Arial"/>
                <w:color w:val="000000"/>
                <w:sz w:val="18"/>
                <w:szCs w:val="18"/>
              </w:rPr>
            </w:pPr>
            <w:r w:rsidRPr="00E04112">
              <w:rPr>
                <w:rFonts w:ascii="Arial" w:hAnsi="Arial" w:cs="Arial"/>
                <w:color w:val="000000"/>
                <w:sz w:val="18"/>
                <w:szCs w:val="18"/>
              </w:rPr>
              <w:t>$</w:t>
            </w:r>
            <w:r w:rsidR="0017539F" w:rsidRPr="00E04112">
              <w:rPr>
                <w:rFonts w:ascii="Arial" w:hAnsi="Arial" w:cs="Arial"/>
                <w:color w:val="000000"/>
                <w:sz w:val="18"/>
                <w:szCs w:val="18"/>
              </w:rPr>
              <w:t>2,8</w:t>
            </w:r>
            <w:r w:rsidR="00EF4F0E" w:rsidRPr="00E04112">
              <w:rPr>
                <w:rFonts w:ascii="Arial" w:hAnsi="Arial" w:cs="Arial"/>
                <w:color w:val="000000"/>
                <w:sz w:val="18"/>
                <w:szCs w:val="18"/>
              </w:rPr>
              <w:t>03</w:t>
            </w:r>
          </w:p>
        </w:tc>
      </w:tr>
      <w:tr w:rsidR="00EF4F0E" w:rsidRPr="00B73199" w14:paraId="5F681190" w14:textId="77777777" w:rsidTr="009204F7">
        <w:tc>
          <w:tcPr>
            <w:tcW w:w="2178" w:type="dxa"/>
            <w:tcBorders>
              <w:bottom w:val="single" w:sz="4" w:space="0" w:color="auto"/>
            </w:tcBorders>
            <w:vAlign w:val="center"/>
          </w:tcPr>
          <w:p w14:paraId="4B38AADA" w14:textId="45A35DBA" w:rsidR="00EF4F0E" w:rsidRPr="001D39BB" w:rsidRDefault="00EF4F0E" w:rsidP="00927366">
            <w:pPr>
              <w:rPr>
                <w:rFonts w:ascii="Arial" w:hAnsi="Arial" w:cs="Arial"/>
                <w:sz w:val="18"/>
                <w:szCs w:val="18"/>
              </w:rPr>
            </w:pPr>
            <w:r w:rsidRPr="001D39BB">
              <w:rPr>
                <w:rFonts w:ascii="Arial" w:hAnsi="Arial" w:cs="Arial"/>
                <w:sz w:val="18"/>
                <w:szCs w:val="18"/>
              </w:rPr>
              <w:t>Local system</w:t>
            </w:r>
          </w:p>
        </w:tc>
        <w:tc>
          <w:tcPr>
            <w:tcW w:w="2700" w:type="dxa"/>
            <w:tcBorders>
              <w:bottom w:val="single" w:sz="4" w:space="0" w:color="auto"/>
            </w:tcBorders>
            <w:vAlign w:val="center"/>
          </w:tcPr>
          <w:p w14:paraId="57FF47EF" w14:textId="6D677797" w:rsidR="00EF4F0E" w:rsidRPr="001D39BB" w:rsidRDefault="00EF4F0E" w:rsidP="00927366">
            <w:pPr>
              <w:rPr>
                <w:rFonts w:ascii="Arial Narrow" w:eastAsia="Times New Roman" w:hAnsi="Arial Narrow" w:cs="Arial"/>
                <w:color w:val="000000"/>
                <w:sz w:val="18"/>
                <w:szCs w:val="18"/>
              </w:rPr>
            </w:pPr>
            <w:r w:rsidRPr="001D39BB">
              <w:rPr>
                <w:rFonts w:ascii="Arial Narrow" w:eastAsia="Times New Roman" w:hAnsi="Arial Narrow" w:cs="Arial"/>
                <w:color w:val="000000"/>
                <w:sz w:val="18"/>
                <w:szCs w:val="18"/>
              </w:rPr>
              <w:t>Local administrator/Project Director</w:t>
            </w:r>
          </w:p>
        </w:tc>
        <w:tc>
          <w:tcPr>
            <w:tcW w:w="1530" w:type="dxa"/>
            <w:tcBorders>
              <w:bottom w:val="single" w:sz="4" w:space="0" w:color="auto"/>
            </w:tcBorders>
            <w:vAlign w:val="bottom"/>
          </w:tcPr>
          <w:p w14:paraId="77777463" w14:textId="13ABB4BF" w:rsidR="00EF4F0E" w:rsidRPr="00E04112" w:rsidRDefault="00EF4F0E" w:rsidP="00A74EAA">
            <w:pPr>
              <w:spacing w:after="120" w:line="264" w:lineRule="auto"/>
              <w:jc w:val="right"/>
              <w:rPr>
                <w:rFonts w:ascii="Arial" w:hAnsi="Arial" w:cs="Arial"/>
                <w:sz w:val="18"/>
                <w:szCs w:val="18"/>
              </w:rPr>
            </w:pPr>
            <w:r w:rsidRPr="00E04112">
              <w:rPr>
                <w:rFonts w:ascii="Arial" w:hAnsi="Arial" w:cs="Arial"/>
                <w:sz w:val="18"/>
                <w:szCs w:val="18"/>
              </w:rPr>
              <w:t>106</w:t>
            </w:r>
          </w:p>
        </w:tc>
        <w:tc>
          <w:tcPr>
            <w:tcW w:w="1637" w:type="dxa"/>
            <w:tcBorders>
              <w:bottom w:val="single" w:sz="4" w:space="0" w:color="auto"/>
            </w:tcBorders>
            <w:vAlign w:val="bottom"/>
          </w:tcPr>
          <w:p w14:paraId="3CB8EEA1" w14:textId="1BD7BC0E" w:rsidR="00EF4F0E" w:rsidRPr="00E04112" w:rsidRDefault="00EF4F0E" w:rsidP="00A74EAA">
            <w:pPr>
              <w:spacing w:after="120" w:line="264" w:lineRule="auto"/>
              <w:jc w:val="right"/>
              <w:rPr>
                <w:rFonts w:ascii="Arial" w:hAnsi="Arial" w:cs="Arial"/>
                <w:sz w:val="18"/>
                <w:szCs w:val="18"/>
              </w:rPr>
            </w:pPr>
            <w:r w:rsidRPr="00E04112">
              <w:rPr>
                <w:rFonts w:ascii="Arial" w:hAnsi="Arial" w:cs="Arial"/>
                <w:color w:val="000000"/>
                <w:sz w:val="18"/>
                <w:szCs w:val="18"/>
              </w:rPr>
              <w:t>4</w:t>
            </w:r>
          </w:p>
        </w:tc>
        <w:tc>
          <w:tcPr>
            <w:tcW w:w="1219" w:type="dxa"/>
            <w:tcBorders>
              <w:bottom w:val="single" w:sz="4" w:space="0" w:color="auto"/>
            </w:tcBorders>
            <w:vAlign w:val="bottom"/>
          </w:tcPr>
          <w:p w14:paraId="1DA76949" w14:textId="0BFB4FD2" w:rsidR="00EF4F0E" w:rsidRPr="00E04112" w:rsidRDefault="00EF4F0E" w:rsidP="00A74EAA">
            <w:pPr>
              <w:spacing w:after="120" w:line="264" w:lineRule="auto"/>
              <w:jc w:val="right"/>
              <w:rPr>
                <w:rFonts w:ascii="Arial" w:hAnsi="Arial" w:cs="Arial"/>
                <w:sz w:val="18"/>
                <w:szCs w:val="18"/>
              </w:rPr>
            </w:pPr>
            <w:r w:rsidRPr="00E04112">
              <w:rPr>
                <w:rFonts w:ascii="Arial" w:hAnsi="Arial" w:cs="Arial"/>
                <w:sz w:val="18"/>
                <w:szCs w:val="18"/>
              </w:rPr>
              <w:t>424</w:t>
            </w:r>
          </w:p>
        </w:tc>
        <w:tc>
          <w:tcPr>
            <w:tcW w:w="1115" w:type="dxa"/>
            <w:tcBorders>
              <w:bottom w:val="single" w:sz="4" w:space="0" w:color="auto"/>
            </w:tcBorders>
            <w:vAlign w:val="bottom"/>
          </w:tcPr>
          <w:p w14:paraId="3A7EE458" w14:textId="69280ECC" w:rsidR="00EF4F0E" w:rsidRPr="00E04112" w:rsidRDefault="00EF4F0E" w:rsidP="00A74EAA">
            <w:pPr>
              <w:spacing w:after="120" w:line="264" w:lineRule="auto"/>
              <w:jc w:val="right"/>
              <w:rPr>
                <w:rFonts w:ascii="Arial" w:hAnsi="Arial" w:cs="Arial"/>
                <w:sz w:val="18"/>
                <w:szCs w:val="18"/>
              </w:rPr>
            </w:pPr>
            <w:r w:rsidRPr="00E04112">
              <w:rPr>
                <w:rFonts w:ascii="Arial" w:hAnsi="Arial" w:cs="Arial"/>
                <w:sz w:val="18"/>
                <w:szCs w:val="18"/>
              </w:rPr>
              <w:t>0.25</w:t>
            </w:r>
          </w:p>
        </w:tc>
        <w:tc>
          <w:tcPr>
            <w:tcW w:w="1077" w:type="dxa"/>
            <w:tcBorders>
              <w:bottom w:val="single" w:sz="4" w:space="0" w:color="auto"/>
            </w:tcBorders>
            <w:vAlign w:val="bottom"/>
          </w:tcPr>
          <w:p w14:paraId="310AE11B" w14:textId="0595BFEC" w:rsidR="00EF4F0E" w:rsidRPr="00E04112" w:rsidRDefault="00EF4F0E" w:rsidP="00A74EAA">
            <w:pPr>
              <w:spacing w:after="120" w:line="264" w:lineRule="auto"/>
              <w:jc w:val="right"/>
              <w:rPr>
                <w:rFonts w:ascii="Arial" w:hAnsi="Arial" w:cs="Arial"/>
                <w:sz w:val="18"/>
                <w:szCs w:val="18"/>
              </w:rPr>
            </w:pPr>
            <w:r w:rsidRPr="00E04112">
              <w:rPr>
                <w:rFonts w:ascii="Arial" w:hAnsi="Arial" w:cs="Arial"/>
                <w:sz w:val="18"/>
                <w:szCs w:val="18"/>
              </w:rPr>
              <w:t>106</w:t>
            </w:r>
          </w:p>
        </w:tc>
        <w:tc>
          <w:tcPr>
            <w:tcW w:w="1165" w:type="dxa"/>
            <w:tcBorders>
              <w:bottom w:val="single" w:sz="4" w:space="0" w:color="auto"/>
            </w:tcBorders>
            <w:vAlign w:val="bottom"/>
          </w:tcPr>
          <w:p w14:paraId="096A9A2F" w14:textId="0D70C6C5" w:rsidR="00EF4F0E" w:rsidRPr="00E04112" w:rsidRDefault="00EF4F0E" w:rsidP="00A74EAA">
            <w:pPr>
              <w:spacing w:after="120" w:line="264" w:lineRule="auto"/>
              <w:jc w:val="right"/>
              <w:rPr>
                <w:rFonts w:ascii="Arial" w:hAnsi="Arial" w:cs="Arial"/>
                <w:sz w:val="18"/>
                <w:szCs w:val="18"/>
              </w:rPr>
            </w:pPr>
            <w:r w:rsidRPr="00E04112">
              <w:rPr>
                <w:rFonts w:ascii="Arial" w:hAnsi="Arial" w:cs="Arial"/>
                <w:sz w:val="18"/>
                <w:szCs w:val="18"/>
              </w:rPr>
              <w:t>$21.55</w:t>
            </w:r>
          </w:p>
        </w:tc>
        <w:tc>
          <w:tcPr>
            <w:tcW w:w="1167" w:type="dxa"/>
            <w:tcBorders>
              <w:bottom w:val="single" w:sz="4" w:space="0" w:color="auto"/>
            </w:tcBorders>
            <w:vAlign w:val="bottom"/>
          </w:tcPr>
          <w:p w14:paraId="59A9BA97" w14:textId="4871F8B6" w:rsidR="00EF4F0E" w:rsidRPr="00E04112" w:rsidRDefault="00EF4F0E"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$2,803</w:t>
            </w:r>
          </w:p>
        </w:tc>
      </w:tr>
      <w:tr w:rsidR="00B9580D" w:rsidRPr="00B73199" w14:paraId="770BF2DF" w14:textId="77777777" w:rsidTr="009204F7">
        <w:tc>
          <w:tcPr>
            <w:tcW w:w="487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22E7FBCF" w14:textId="57CA776E" w:rsidR="00B9580D" w:rsidRPr="00B73199" w:rsidRDefault="00B9580D" w:rsidP="00927366">
            <w:pPr>
              <w:spacing w:line="264" w:lineRule="auto"/>
              <w:rPr>
                <w:rFonts w:ascii="Arial" w:hAnsi="Arial" w:cs="Arial"/>
                <w:sz w:val="18"/>
                <w:szCs w:val="18"/>
              </w:rPr>
            </w:pPr>
            <w:r w:rsidRPr="00B73199">
              <w:rPr>
                <w:rFonts w:ascii="Arial" w:hAnsi="Arial" w:cs="Arial"/>
                <w:b/>
                <w:sz w:val="18"/>
                <w:szCs w:val="18"/>
              </w:rPr>
              <w:t>Financial Mapping and Benchmark Components</w:t>
            </w:r>
          </w:p>
        </w:tc>
        <w:tc>
          <w:tcPr>
            <w:tcW w:w="1530" w:type="dxa"/>
            <w:tcBorders>
              <w:top w:val="single" w:sz="4" w:space="0" w:color="auto"/>
              <w:left w:val="nil"/>
              <w:bottom w:val="single" w:sz="4" w:space="0" w:color="auto"/>
              <w:right w:val="nil"/>
            </w:tcBorders>
            <w:shd w:val="clear" w:color="auto" w:fill="D9D9D9" w:themeFill="background1" w:themeFillShade="D9"/>
            <w:vAlign w:val="bottom"/>
          </w:tcPr>
          <w:p w14:paraId="38B3EA39" w14:textId="77777777" w:rsidR="00B9580D" w:rsidRPr="00E04112" w:rsidRDefault="00B9580D" w:rsidP="00A74EAA">
            <w:pPr>
              <w:spacing w:after="120" w:line="264" w:lineRule="auto"/>
              <w:jc w:val="right"/>
              <w:rPr>
                <w:rFonts w:ascii="Arial" w:hAnsi="Arial" w:cs="Arial"/>
                <w:sz w:val="18"/>
                <w:szCs w:val="18"/>
              </w:rPr>
            </w:pPr>
          </w:p>
        </w:tc>
        <w:tc>
          <w:tcPr>
            <w:tcW w:w="1637" w:type="dxa"/>
            <w:tcBorders>
              <w:top w:val="single" w:sz="4" w:space="0" w:color="auto"/>
              <w:left w:val="nil"/>
              <w:bottom w:val="single" w:sz="4" w:space="0" w:color="auto"/>
              <w:right w:val="nil"/>
            </w:tcBorders>
            <w:shd w:val="clear" w:color="auto" w:fill="D9D9D9" w:themeFill="background1" w:themeFillShade="D9"/>
            <w:vAlign w:val="bottom"/>
          </w:tcPr>
          <w:p w14:paraId="692D651F" w14:textId="77777777" w:rsidR="00B9580D" w:rsidRPr="00E04112" w:rsidRDefault="00B9580D" w:rsidP="00A74EAA">
            <w:pPr>
              <w:spacing w:after="120" w:line="264" w:lineRule="auto"/>
              <w:jc w:val="right"/>
              <w:rPr>
                <w:rFonts w:ascii="Arial" w:hAnsi="Arial" w:cs="Arial"/>
                <w:sz w:val="18"/>
                <w:szCs w:val="18"/>
              </w:rPr>
            </w:pPr>
          </w:p>
        </w:tc>
        <w:tc>
          <w:tcPr>
            <w:tcW w:w="1219" w:type="dxa"/>
            <w:tcBorders>
              <w:top w:val="single" w:sz="4" w:space="0" w:color="auto"/>
              <w:left w:val="nil"/>
              <w:bottom w:val="single" w:sz="4" w:space="0" w:color="auto"/>
              <w:right w:val="nil"/>
            </w:tcBorders>
            <w:shd w:val="clear" w:color="auto" w:fill="D9D9D9" w:themeFill="background1" w:themeFillShade="D9"/>
            <w:vAlign w:val="bottom"/>
          </w:tcPr>
          <w:p w14:paraId="0D8D3CFE" w14:textId="77777777" w:rsidR="00B9580D" w:rsidRPr="00E04112" w:rsidRDefault="00B9580D" w:rsidP="00A74EAA">
            <w:pPr>
              <w:spacing w:after="120" w:line="264" w:lineRule="auto"/>
              <w:jc w:val="right"/>
              <w:rPr>
                <w:rFonts w:ascii="Arial" w:hAnsi="Arial" w:cs="Arial"/>
                <w:sz w:val="18"/>
                <w:szCs w:val="18"/>
              </w:rPr>
            </w:pPr>
          </w:p>
        </w:tc>
        <w:tc>
          <w:tcPr>
            <w:tcW w:w="1115" w:type="dxa"/>
            <w:tcBorders>
              <w:top w:val="single" w:sz="4" w:space="0" w:color="auto"/>
              <w:left w:val="nil"/>
              <w:bottom w:val="single" w:sz="4" w:space="0" w:color="auto"/>
              <w:right w:val="nil"/>
            </w:tcBorders>
            <w:shd w:val="clear" w:color="auto" w:fill="D9D9D9" w:themeFill="background1" w:themeFillShade="D9"/>
            <w:vAlign w:val="bottom"/>
          </w:tcPr>
          <w:p w14:paraId="7E6990DF" w14:textId="77777777" w:rsidR="00B9580D" w:rsidRPr="00E04112" w:rsidRDefault="00B9580D" w:rsidP="00A74EAA">
            <w:pPr>
              <w:spacing w:after="120" w:line="264" w:lineRule="auto"/>
              <w:jc w:val="right"/>
              <w:rPr>
                <w:rFonts w:ascii="Arial" w:hAnsi="Arial" w:cs="Arial"/>
                <w:sz w:val="18"/>
                <w:szCs w:val="18"/>
              </w:rPr>
            </w:pPr>
          </w:p>
        </w:tc>
        <w:tc>
          <w:tcPr>
            <w:tcW w:w="1077" w:type="dxa"/>
            <w:tcBorders>
              <w:top w:val="single" w:sz="4" w:space="0" w:color="auto"/>
              <w:left w:val="nil"/>
              <w:bottom w:val="single" w:sz="4" w:space="0" w:color="auto"/>
              <w:right w:val="nil"/>
            </w:tcBorders>
            <w:shd w:val="clear" w:color="auto" w:fill="D9D9D9" w:themeFill="background1" w:themeFillShade="D9"/>
            <w:vAlign w:val="bottom"/>
          </w:tcPr>
          <w:p w14:paraId="32E7A87C" w14:textId="77777777" w:rsidR="00B9580D" w:rsidRPr="00E04112" w:rsidRDefault="00B9580D" w:rsidP="00A74EAA">
            <w:pPr>
              <w:spacing w:after="120" w:line="264" w:lineRule="auto"/>
              <w:jc w:val="right"/>
              <w:rPr>
                <w:rFonts w:ascii="Arial" w:hAnsi="Arial" w:cs="Arial"/>
                <w:sz w:val="18"/>
                <w:szCs w:val="18"/>
              </w:rPr>
            </w:pPr>
          </w:p>
        </w:tc>
        <w:tc>
          <w:tcPr>
            <w:tcW w:w="1165" w:type="dxa"/>
            <w:tcBorders>
              <w:top w:val="single" w:sz="4" w:space="0" w:color="auto"/>
              <w:left w:val="nil"/>
              <w:bottom w:val="single" w:sz="4" w:space="0" w:color="auto"/>
              <w:right w:val="nil"/>
            </w:tcBorders>
            <w:shd w:val="clear" w:color="auto" w:fill="D9D9D9" w:themeFill="background1" w:themeFillShade="D9"/>
            <w:vAlign w:val="bottom"/>
          </w:tcPr>
          <w:p w14:paraId="7C375F0E" w14:textId="77777777" w:rsidR="00B9580D" w:rsidRPr="00E04112" w:rsidRDefault="00B9580D" w:rsidP="00A74EAA">
            <w:pPr>
              <w:spacing w:after="120" w:line="264" w:lineRule="auto"/>
              <w:jc w:val="right"/>
              <w:rPr>
                <w:rFonts w:ascii="Arial" w:hAnsi="Arial" w:cs="Arial"/>
                <w:sz w:val="18"/>
                <w:szCs w:val="18"/>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73469D42" w14:textId="77777777" w:rsidR="00B9580D" w:rsidRPr="00E04112" w:rsidRDefault="00B9580D" w:rsidP="00A74EAA">
            <w:pPr>
              <w:spacing w:after="120" w:line="264" w:lineRule="auto"/>
              <w:jc w:val="right"/>
              <w:rPr>
                <w:rFonts w:ascii="Arial" w:hAnsi="Arial" w:cs="Arial"/>
                <w:sz w:val="18"/>
                <w:szCs w:val="18"/>
              </w:rPr>
            </w:pPr>
          </w:p>
        </w:tc>
      </w:tr>
      <w:tr w:rsidR="00F57FC1" w:rsidRPr="00B73199" w14:paraId="3126BDBA" w14:textId="77777777" w:rsidTr="009204F7">
        <w:tc>
          <w:tcPr>
            <w:tcW w:w="2178" w:type="dxa"/>
            <w:vMerge w:val="restart"/>
            <w:tcBorders>
              <w:top w:val="single" w:sz="4" w:space="0" w:color="auto"/>
            </w:tcBorders>
            <w:vAlign w:val="center"/>
          </w:tcPr>
          <w:p w14:paraId="1404D1D7" w14:textId="221EA7EF" w:rsidR="00F57FC1" w:rsidRPr="00B73199" w:rsidRDefault="00F57FC1" w:rsidP="00927366">
            <w:pPr>
              <w:spacing w:line="264" w:lineRule="auto"/>
              <w:rPr>
                <w:rFonts w:ascii="Arial" w:hAnsi="Arial" w:cs="Arial"/>
                <w:sz w:val="18"/>
                <w:szCs w:val="18"/>
              </w:rPr>
            </w:pPr>
            <w:r w:rsidRPr="008A0844">
              <w:rPr>
                <w:rFonts w:ascii="Arial" w:hAnsi="Arial" w:cs="Arial"/>
                <w:sz w:val="18"/>
                <w:szCs w:val="18"/>
              </w:rPr>
              <w:t>Financial Mapping Interview</w:t>
            </w:r>
          </w:p>
        </w:tc>
        <w:tc>
          <w:tcPr>
            <w:tcW w:w="2700" w:type="dxa"/>
            <w:tcBorders>
              <w:top w:val="single" w:sz="4" w:space="0" w:color="auto"/>
            </w:tcBorders>
            <w:vAlign w:val="center"/>
          </w:tcPr>
          <w:p w14:paraId="440C0A7A" w14:textId="77777777" w:rsidR="00F57FC1" w:rsidRDefault="00F57FC1" w:rsidP="008E1EAF">
            <w:pPr>
              <w:spacing w:line="264" w:lineRule="auto"/>
              <w:rPr>
                <w:rFonts w:ascii="Arial Narrow" w:eastAsia="Times New Roman" w:hAnsi="Arial Narrow" w:cs="Arial"/>
                <w:color w:val="000000"/>
                <w:sz w:val="18"/>
                <w:szCs w:val="18"/>
              </w:rPr>
            </w:pPr>
            <w:r w:rsidRPr="00BF5FBA">
              <w:rPr>
                <w:rFonts w:ascii="Arial Narrow" w:eastAsia="Times New Roman" w:hAnsi="Arial Narrow" w:cs="Arial"/>
                <w:color w:val="000000"/>
                <w:sz w:val="18"/>
                <w:szCs w:val="18"/>
              </w:rPr>
              <w:t xml:space="preserve">Financial administrators at: </w:t>
            </w:r>
          </w:p>
          <w:p w14:paraId="17F2F090" w14:textId="1CFAB76D" w:rsidR="00F57FC1" w:rsidRPr="00BF5FBA" w:rsidRDefault="00F57FC1" w:rsidP="008E1EAF">
            <w:pPr>
              <w:spacing w:line="264" w:lineRule="auto"/>
              <w:rPr>
                <w:rFonts w:ascii="Arial Narrow" w:eastAsia="Times New Roman" w:hAnsi="Arial Narrow" w:cs="Arial"/>
                <w:color w:val="000000"/>
                <w:sz w:val="18"/>
                <w:szCs w:val="18"/>
              </w:rPr>
            </w:pPr>
            <w:r w:rsidRPr="00BF5FBA">
              <w:rPr>
                <w:rFonts w:ascii="Arial Narrow" w:eastAsia="Times New Roman" w:hAnsi="Arial Narrow" w:cs="Arial"/>
                <w:color w:val="000000"/>
                <w:sz w:val="18"/>
                <w:szCs w:val="18"/>
              </w:rPr>
              <w:t xml:space="preserve">Medicaid Agencies &amp; MH Authorities </w:t>
            </w:r>
          </w:p>
        </w:tc>
        <w:tc>
          <w:tcPr>
            <w:tcW w:w="1530" w:type="dxa"/>
            <w:tcBorders>
              <w:top w:val="single" w:sz="4" w:space="0" w:color="auto"/>
            </w:tcBorders>
            <w:vAlign w:val="bottom"/>
          </w:tcPr>
          <w:p w14:paraId="5E03746A" w14:textId="1AA64D87" w:rsidR="00F57FC1" w:rsidRPr="00E04112" w:rsidRDefault="00F57FC1" w:rsidP="00CF2B75">
            <w:pPr>
              <w:spacing w:after="120" w:line="264" w:lineRule="auto"/>
              <w:jc w:val="right"/>
              <w:rPr>
                <w:rFonts w:ascii="Arial" w:hAnsi="Arial" w:cs="Arial"/>
                <w:sz w:val="18"/>
                <w:szCs w:val="18"/>
              </w:rPr>
            </w:pPr>
            <w:r w:rsidRPr="00E04112">
              <w:rPr>
                <w:rFonts w:ascii="Arial" w:hAnsi="Arial" w:cs="Arial"/>
                <w:color w:val="000000"/>
                <w:sz w:val="18"/>
                <w:szCs w:val="18"/>
              </w:rPr>
              <w:t>9</w:t>
            </w:r>
            <w:r w:rsidR="00CF2B75" w:rsidRPr="00E04112">
              <w:rPr>
                <w:rFonts w:ascii="Arial" w:hAnsi="Arial" w:cs="Arial"/>
                <w:color w:val="000000"/>
                <w:sz w:val="18"/>
                <w:szCs w:val="18"/>
              </w:rPr>
              <w:t>7</w:t>
            </w:r>
          </w:p>
        </w:tc>
        <w:tc>
          <w:tcPr>
            <w:tcW w:w="1637" w:type="dxa"/>
            <w:tcBorders>
              <w:top w:val="single" w:sz="4" w:space="0" w:color="auto"/>
            </w:tcBorders>
            <w:vAlign w:val="bottom"/>
          </w:tcPr>
          <w:p w14:paraId="4595F7E0" w14:textId="45FE4C94" w:rsidR="00F57FC1" w:rsidRPr="00E04112" w:rsidRDefault="00F57FC1" w:rsidP="00A74EAA">
            <w:pPr>
              <w:spacing w:after="120" w:line="264" w:lineRule="auto"/>
              <w:jc w:val="right"/>
              <w:rPr>
                <w:rFonts w:ascii="Arial" w:hAnsi="Arial" w:cs="Arial"/>
                <w:sz w:val="18"/>
                <w:szCs w:val="18"/>
              </w:rPr>
            </w:pPr>
            <w:r w:rsidRPr="00E04112">
              <w:rPr>
                <w:rFonts w:ascii="Arial" w:hAnsi="Arial" w:cs="Arial"/>
                <w:sz w:val="18"/>
                <w:szCs w:val="18"/>
              </w:rPr>
              <w:t>1</w:t>
            </w:r>
          </w:p>
        </w:tc>
        <w:tc>
          <w:tcPr>
            <w:tcW w:w="1219" w:type="dxa"/>
            <w:tcBorders>
              <w:top w:val="single" w:sz="4" w:space="0" w:color="auto"/>
            </w:tcBorders>
            <w:vAlign w:val="bottom"/>
          </w:tcPr>
          <w:p w14:paraId="25531F66" w14:textId="00EA9E94" w:rsidR="00F57FC1" w:rsidRPr="00E04112" w:rsidRDefault="00F57FC1" w:rsidP="00CF2B75">
            <w:pPr>
              <w:spacing w:after="120" w:line="264" w:lineRule="auto"/>
              <w:jc w:val="right"/>
              <w:rPr>
                <w:rFonts w:ascii="Arial" w:hAnsi="Arial" w:cs="Arial"/>
                <w:sz w:val="18"/>
                <w:szCs w:val="18"/>
              </w:rPr>
            </w:pPr>
            <w:r w:rsidRPr="00E04112">
              <w:rPr>
                <w:rFonts w:ascii="Arial" w:hAnsi="Arial" w:cs="Arial"/>
                <w:color w:val="000000"/>
                <w:sz w:val="18"/>
                <w:szCs w:val="18"/>
              </w:rPr>
              <w:t>9</w:t>
            </w:r>
            <w:r w:rsidR="00CF2B75" w:rsidRPr="00E04112">
              <w:rPr>
                <w:rFonts w:ascii="Arial" w:hAnsi="Arial" w:cs="Arial"/>
                <w:color w:val="000000"/>
                <w:sz w:val="18"/>
                <w:szCs w:val="18"/>
              </w:rPr>
              <w:t>7</w:t>
            </w:r>
          </w:p>
        </w:tc>
        <w:tc>
          <w:tcPr>
            <w:tcW w:w="1115" w:type="dxa"/>
            <w:tcBorders>
              <w:top w:val="single" w:sz="4" w:space="0" w:color="auto"/>
            </w:tcBorders>
            <w:vAlign w:val="bottom"/>
          </w:tcPr>
          <w:p w14:paraId="00E8496D" w14:textId="2D912C48" w:rsidR="00F57FC1" w:rsidRPr="00E04112" w:rsidRDefault="00F57FC1" w:rsidP="00A74EAA">
            <w:pPr>
              <w:spacing w:after="120" w:line="264" w:lineRule="auto"/>
              <w:jc w:val="right"/>
              <w:rPr>
                <w:rFonts w:ascii="Arial" w:hAnsi="Arial" w:cs="Arial"/>
                <w:sz w:val="18"/>
                <w:szCs w:val="18"/>
              </w:rPr>
            </w:pPr>
            <w:r w:rsidRPr="00E04112">
              <w:rPr>
                <w:rFonts w:ascii="Arial" w:hAnsi="Arial" w:cs="Arial"/>
                <w:sz w:val="18"/>
                <w:szCs w:val="18"/>
              </w:rPr>
              <w:t>2.0</w:t>
            </w:r>
          </w:p>
        </w:tc>
        <w:tc>
          <w:tcPr>
            <w:tcW w:w="1077" w:type="dxa"/>
            <w:tcBorders>
              <w:top w:val="single" w:sz="4" w:space="0" w:color="auto"/>
            </w:tcBorders>
            <w:vAlign w:val="bottom"/>
          </w:tcPr>
          <w:p w14:paraId="6A558501" w14:textId="3020A42B" w:rsidR="00F57FC1" w:rsidRPr="00E04112" w:rsidRDefault="00F57FC1" w:rsidP="00CF2B75">
            <w:pPr>
              <w:spacing w:after="120" w:line="264" w:lineRule="auto"/>
              <w:jc w:val="right"/>
              <w:rPr>
                <w:rFonts w:ascii="Arial" w:hAnsi="Arial" w:cs="Arial"/>
                <w:sz w:val="18"/>
                <w:szCs w:val="18"/>
              </w:rPr>
            </w:pPr>
            <w:r w:rsidRPr="00E04112">
              <w:rPr>
                <w:rFonts w:ascii="Arial" w:hAnsi="Arial" w:cs="Arial"/>
                <w:color w:val="000000"/>
                <w:sz w:val="18"/>
                <w:szCs w:val="18"/>
              </w:rPr>
              <w:t>2</w:t>
            </w:r>
            <w:r w:rsidR="00CF2B75" w:rsidRPr="00E04112">
              <w:rPr>
                <w:rFonts w:ascii="Arial" w:hAnsi="Arial" w:cs="Arial"/>
                <w:color w:val="000000"/>
                <w:sz w:val="18"/>
                <w:szCs w:val="18"/>
              </w:rPr>
              <w:t>17</w:t>
            </w:r>
          </w:p>
        </w:tc>
        <w:tc>
          <w:tcPr>
            <w:tcW w:w="1165" w:type="dxa"/>
            <w:tcBorders>
              <w:top w:val="single" w:sz="4" w:space="0" w:color="auto"/>
            </w:tcBorders>
            <w:vAlign w:val="bottom"/>
          </w:tcPr>
          <w:p w14:paraId="6DDC7039" w14:textId="1CA46555" w:rsidR="00F57FC1" w:rsidRPr="00E04112" w:rsidRDefault="00F57FC1" w:rsidP="00A74EAA">
            <w:pPr>
              <w:spacing w:after="120" w:line="264" w:lineRule="auto"/>
              <w:jc w:val="right"/>
              <w:rPr>
                <w:rFonts w:ascii="Arial" w:hAnsi="Arial" w:cs="Arial"/>
                <w:sz w:val="18"/>
                <w:szCs w:val="18"/>
              </w:rPr>
            </w:pPr>
            <w:r w:rsidRPr="00E04112">
              <w:rPr>
                <w:rFonts w:ascii="Arial" w:hAnsi="Arial" w:cs="Arial"/>
                <w:color w:val="000000"/>
                <w:sz w:val="18"/>
                <w:szCs w:val="18"/>
              </w:rPr>
              <w:t>$26.44</w:t>
            </w:r>
          </w:p>
        </w:tc>
        <w:tc>
          <w:tcPr>
            <w:tcW w:w="1167" w:type="dxa"/>
            <w:tcBorders>
              <w:top w:val="single" w:sz="4" w:space="0" w:color="auto"/>
            </w:tcBorders>
            <w:vAlign w:val="bottom"/>
          </w:tcPr>
          <w:p w14:paraId="3CCA1F7C" w14:textId="742002F0" w:rsidR="00F57FC1" w:rsidRPr="00E04112" w:rsidRDefault="00F57FC1" w:rsidP="00CF2B75">
            <w:pPr>
              <w:spacing w:after="120" w:line="264" w:lineRule="auto"/>
              <w:jc w:val="right"/>
              <w:rPr>
                <w:rFonts w:ascii="Arial" w:hAnsi="Arial" w:cs="Arial"/>
                <w:sz w:val="18"/>
                <w:szCs w:val="18"/>
              </w:rPr>
            </w:pPr>
            <w:r w:rsidRPr="00E04112">
              <w:rPr>
                <w:rFonts w:ascii="Arial" w:hAnsi="Arial" w:cs="Arial"/>
                <w:color w:val="000000"/>
                <w:sz w:val="18"/>
                <w:szCs w:val="18"/>
              </w:rPr>
              <w:t>$5,</w:t>
            </w:r>
            <w:r w:rsidR="00CF2B75" w:rsidRPr="00E04112">
              <w:rPr>
                <w:rFonts w:ascii="Arial" w:hAnsi="Arial" w:cs="Arial"/>
                <w:color w:val="000000"/>
                <w:sz w:val="18"/>
                <w:szCs w:val="18"/>
              </w:rPr>
              <w:t>737</w:t>
            </w:r>
            <w:r w:rsidRPr="00E04112">
              <w:rPr>
                <w:rFonts w:ascii="Arial" w:hAnsi="Arial" w:cs="Arial"/>
                <w:color w:val="000000"/>
                <w:sz w:val="18"/>
                <w:szCs w:val="18"/>
              </w:rPr>
              <w:t xml:space="preserve"> </w:t>
            </w:r>
          </w:p>
        </w:tc>
      </w:tr>
      <w:tr w:rsidR="00F57FC1" w:rsidRPr="00B73199" w14:paraId="1446A559" w14:textId="77777777" w:rsidTr="009204F7">
        <w:tc>
          <w:tcPr>
            <w:tcW w:w="2178" w:type="dxa"/>
            <w:vMerge/>
            <w:vAlign w:val="center"/>
          </w:tcPr>
          <w:p w14:paraId="36494EB4" w14:textId="4389C714" w:rsidR="00F57FC1" w:rsidRPr="00B73199" w:rsidRDefault="00F57FC1" w:rsidP="00927366">
            <w:pPr>
              <w:spacing w:line="264" w:lineRule="auto"/>
              <w:rPr>
                <w:rFonts w:ascii="Arial" w:eastAsia="Times New Roman" w:hAnsi="Arial" w:cs="Arial"/>
                <w:color w:val="000000"/>
                <w:sz w:val="18"/>
                <w:szCs w:val="18"/>
              </w:rPr>
            </w:pPr>
          </w:p>
        </w:tc>
        <w:tc>
          <w:tcPr>
            <w:tcW w:w="2700" w:type="dxa"/>
            <w:vAlign w:val="center"/>
          </w:tcPr>
          <w:p w14:paraId="355D29D4" w14:textId="4E7180F8" w:rsidR="00F57FC1" w:rsidRPr="00BF5FBA" w:rsidRDefault="00F57FC1" w:rsidP="008E1EAF">
            <w:pPr>
              <w:spacing w:line="264" w:lineRule="auto"/>
              <w:rPr>
                <w:rFonts w:ascii="Arial Narrow" w:eastAsia="Times New Roman" w:hAnsi="Arial Narrow" w:cs="Arial"/>
                <w:color w:val="000000"/>
                <w:sz w:val="18"/>
                <w:szCs w:val="18"/>
              </w:rPr>
            </w:pPr>
            <w:r w:rsidRPr="00BF5FBA">
              <w:rPr>
                <w:rFonts w:ascii="Arial Narrow" w:eastAsia="Times New Roman" w:hAnsi="Arial Narrow" w:cs="Arial"/>
                <w:color w:val="000000"/>
                <w:sz w:val="18"/>
                <w:szCs w:val="18"/>
              </w:rPr>
              <w:t>Financial administrators at: Trade associations &amp; Family organizations</w:t>
            </w:r>
          </w:p>
        </w:tc>
        <w:tc>
          <w:tcPr>
            <w:tcW w:w="1530" w:type="dxa"/>
            <w:vAlign w:val="bottom"/>
          </w:tcPr>
          <w:p w14:paraId="521A8D12" w14:textId="491082C7" w:rsidR="00F57FC1" w:rsidRPr="00E04112" w:rsidRDefault="00F57FC1">
            <w:pPr>
              <w:spacing w:after="120" w:line="264" w:lineRule="auto"/>
              <w:jc w:val="right"/>
              <w:rPr>
                <w:rFonts w:ascii="Arial" w:hAnsi="Arial" w:cs="Arial"/>
                <w:sz w:val="18"/>
                <w:szCs w:val="18"/>
              </w:rPr>
            </w:pPr>
            <w:r w:rsidRPr="00E04112">
              <w:rPr>
                <w:rFonts w:ascii="Arial" w:hAnsi="Arial" w:cs="Arial"/>
                <w:color w:val="000000"/>
                <w:sz w:val="18"/>
                <w:szCs w:val="18"/>
              </w:rPr>
              <w:t>3</w:t>
            </w:r>
            <w:r w:rsidR="00F511EA">
              <w:rPr>
                <w:rFonts w:ascii="Arial" w:hAnsi="Arial" w:cs="Arial"/>
                <w:color w:val="000000"/>
                <w:sz w:val="18"/>
                <w:szCs w:val="18"/>
              </w:rPr>
              <w:t>2</w:t>
            </w:r>
          </w:p>
        </w:tc>
        <w:tc>
          <w:tcPr>
            <w:tcW w:w="1637" w:type="dxa"/>
            <w:vAlign w:val="bottom"/>
          </w:tcPr>
          <w:p w14:paraId="5FA2CA52" w14:textId="47CCB237" w:rsidR="00F57FC1" w:rsidRPr="00E04112" w:rsidRDefault="00F57FC1" w:rsidP="00A74EAA">
            <w:pPr>
              <w:spacing w:after="120" w:line="264" w:lineRule="auto"/>
              <w:jc w:val="right"/>
              <w:rPr>
                <w:rFonts w:ascii="Arial" w:hAnsi="Arial" w:cs="Arial"/>
                <w:sz w:val="18"/>
                <w:szCs w:val="18"/>
              </w:rPr>
            </w:pPr>
            <w:r w:rsidRPr="00E04112">
              <w:rPr>
                <w:rFonts w:ascii="Arial" w:hAnsi="Arial" w:cs="Arial"/>
                <w:sz w:val="18"/>
                <w:szCs w:val="18"/>
              </w:rPr>
              <w:t>1</w:t>
            </w:r>
          </w:p>
        </w:tc>
        <w:tc>
          <w:tcPr>
            <w:tcW w:w="1219" w:type="dxa"/>
            <w:vAlign w:val="bottom"/>
          </w:tcPr>
          <w:p w14:paraId="0338A361" w14:textId="1975F2B9" w:rsidR="00F57FC1" w:rsidRPr="00E04112" w:rsidRDefault="00F57FC1">
            <w:pPr>
              <w:spacing w:after="120" w:line="264" w:lineRule="auto"/>
              <w:jc w:val="right"/>
              <w:rPr>
                <w:rFonts w:ascii="Arial" w:hAnsi="Arial" w:cs="Arial"/>
                <w:sz w:val="18"/>
                <w:szCs w:val="18"/>
              </w:rPr>
            </w:pPr>
            <w:r w:rsidRPr="00E04112">
              <w:rPr>
                <w:rFonts w:ascii="Arial" w:hAnsi="Arial" w:cs="Arial"/>
                <w:color w:val="000000"/>
                <w:sz w:val="18"/>
                <w:szCs w:val="18"/>
              </w:rPr>
              <w:t>3</w:t>
            </w:r>
            <w:r w:rsidR="00F511EA">
              <w:rPr>
                <w:rFonts w:ascii="Arial" w:hAnsi="Arial" w:cs="Arial"/>
                <w:color w:val="000000"/>
                <w:sz w:val="18"/>
                <w:szCs w:val="18"/>
              </w:rPr>
              <w:t>2</w:t>
            </w:r>
          </w:p>
        </w:tc>
        <w:tc>
          <w:tcPr>
            <w:tcW w:w="1115" w:type="dxa"/>
            <w:vAlign w:val="bottom"/>
          </w:tcPr>
          <w:p w14:paraId="2EE06FD2" w14:textId="229C9EEF" w:rsidR="00F57FC1" w:rsidRPr="00E04112" w:rsidRDefault="00F57FC1" w:rsidP="00A74EAA">
            <w:pPr>
              <w:spacing w:after="120" w:line="264" w:lineRule="auto"/>
              <w:jc w:val="right"/>
              <w:rPr>
                <w:rFonts w:ascii="Arial" w:hAnsi="Arial" w:cs="Arial"/>
                <w:sz w:val="18"/>
                <w:szCs w:val="18"/>
              </w:rPr>
            </w:pPr>
            <w:r w:rsidRPr="00E04112">
              <w:rPr>
                <w:rFonts w:ascii="Arial" w:hAnsi="Arial" w:cs="Arial"/>
                <w:sz w:val="18"/>
                <w:szCs w:val="18"/>
              </w:rPr>
              <w:t>1.5</w:t>
            </w:r>
          </w:p>
        </w:tc>
        <w:tc>
          <w:tcPr>
            <w:tcW w:w="1077" w:type="dxa"/>
            <w:vAlign w:val="bottom"/>
          </w:tcPr>
          <w:p w14:paraId="732E8BE0" w14:textId="0C340C56" w:rsidR="00F57FC1" w:rsidRPr="00E04112" w:rsidRDefault="00F57FC1" w:rsidP="00CF2B75">
            <w:pPr>
              <w:spacing w:after="120" w:line="264" w:lineRule="auto"/>
              <w:jc w:val="right"/>
              <w:rPr>
                <w:rFonts w:ascii="Arial" w:hAnsi="Arial" w:cs="Arial"/>
                <w:sz w:val="18"/>
                <w:szCs w:val="18"/>
              </w:rPr>
            </w:pPr>
            <w:r w:rsidRPr="00E04112">
              <w:rPr>
                <w:rFonts w:ascii="Arial" w:hAnsi="Arial" w:cs="Arial"/>
                <w:color w:val="000000"/>
                <w:sz w:val="18"/>
                <w:szCs w:val="18"/>
              </w:rPr>
              <w:t>5</w:t>
            </w:r>
            <w:r w:rsidR="00CF2B75" w:rsidRPr="00E04112">
              <w:rPr>
                <w:rFonts w:ascii="Arial" w:hAnsi="Arial" w:cs="Arial"/>
                <w:color w:val="000000"/>
                <w:sz w:val="18"/>
                <w:szCs w:val="18"/>
              </w:rPr>
              <w:t>2</w:t>
            </w:r>
          </w:p>
        </w:tc>
        <w:tc>
          <w:tcPr>
            <w:tcW w:w="1165" w:type="dxa"/>
            <w:vAlign w:val="bottom"/>
          </w:tcPr>
          <w:p w14:paraId="5BB9173F" w14:textId="47598BAD" w:rsidR="00F57FC1" w:rsidRPr="00E04112" w:rsidRDefault="00F57FC1" w:rsidP="00A74EAA">
            <w:pPr>
              <w:spacing w:after="120" w:line="264" w:lineRule="auto"/>
              <w:jc w:val="right"/>
              <w:rPr>
                <w:rFonts w:ascii="Arial" w:hAnsi="Arial" w:cs="Arial"/>
                <w:sz w:val="18"/>
                <w:szCs w:val="18"/>
              </w:rPr>
            </w:pPr>
            <w:r w:rsidRPr="00E04112">
              <w:rPr>
                <w:rFonts w:ascii="Arial" w:hAnsi="Arial" w:cs="Arial"/>
                <w:color w:val="000000"/>
                <w:sz w:val="18"/>
                <w:szCs w:val="18"/>
              </w:rPr>
              <w:t>$26.44</w:t>
            </w:r>
          </w:p>
        </w:tc>
        <w:tc>
          <w:tcPr>
            <w:tcW w:w="1167" w:type="dxa"/>
            <w:vAlign w:val="bottom"/>
          </w:tcPr>
          <w:p w14:paraId="66BDA3ED" w14:textId="0A8BFD51" w:rsidR="00F57FC1" w:rsidRPr="00E04112" w:rsidRDefault="00F57FC1" w:rsidP="00CF2B75">
            <w:pPr>
              <w:spacing w:after="120" w:line="264" w:lineRule="auto"/>
              <w:jc w:val="right"/>
              <w:rPr>
                <w:rFonts w:ascii="Arial" w:hAnsi="Arial" w:cs="Arial"/>
                <w:sz w:val="18"/>
                <w:szCs w:val="18"/>
              </w:rPr>
            </w:pPr>
            <w:r w:rsidRPr="00E04112">
              <w:rPr>
                <w:rFonts w:ascii="Arial" w:hAnsi="Arial" w:cs="Arial"/>
                <w:color w:val="000000"/>
                <w:sz w:val="18"/>
                <w:szCs w:val="18"/>
              </w:rPr>
              <w:t>$1,</w:t>
            </w:r>
            <w:r w:rsidR="00CF2B75" w:rsidRPr="00E04112">
              <w:rPr>
                <w:rFonts w:ascii="Arial" w:hAnsi="Arial" w:cs="Arial"/>
                <w:color w:val="000000"/>
                <w:sz w:val="18"/>
                <w:szCs w:val="18"/>
              </w:rPr>
              <w:t>384</w:t>
            </w:r>
            <w:r w:rsidRPr="00E04112">
              <w:rPr>
                <w:rFonts w:ascii="Arial" w:hAnsi="Arial" w:cs="Arial"/>
                <w:color w:val="000000"/>
                <w:sz w:val="18"/>
                <w:szCs w:val="18"/>
              </w:rPr>
              <w:t xml:space="preserve"> </w:t>
            </w:r>
          </w:p>
        </w:tc>
      </w:tr>
      <w:tr w:rsidR="00B9580D" w:rsidRPr="00B73199" w14:paraId="070591E6" w14:textId="77777777" w:rsidTr="00BA6099">
        <w:tc>
          <w:tcPr>
            <w:tcW w:w="2178" w:type="dxa"/>
          </w:tcPr>
          <w:p w14:paraId="75421089" w14:textId="5FC877BC" w:rsidR="00B9580D" w:rsidRPr="00B73199" w:rsidRDefault="00B9580D" w:rsidP="00201FD3">
            <w:pPr>
              <w:spacing w:line="264" w:lineRule="auto"/>
              <w:rPr>
                <w:rFonts w:ascii="Arial" w:hAnsi="Arial" w:cs="Arial"/>
                <w:sz w:val="18"/>
                <w:szCs w:val="18"/>
              </w:rPr>
            </w:pPr>
            <w:r w:rsidRPr="00B73199">
              <w:rPr>
                <w:rFonts w:ascii="Arial" w:hAnsi="Arial" w:cs="Arial"/>
                <w:sz w:val="18"/>
                <w:szCs w:val="18"/>
              </w:rPr>
              <w:t>Benchmark Tool</w:t>
            </w:r>
          </w:p>
        </w:tc>
        <w:tc>
          <w:tcPr>
            <w:tcW w:w="2700" w:type="dxa"/>
          </w:tcPr>
          <w:p w14:paraId="49D30BDC" w14:textId="77777777" w:rsidR="00B9580D" w:rsidRDefault="00B9580D" w:rsidP="00201FD3">
            <w:pPr>
              <w:spacing w:line="264" w:lineRule="auto"/>
              <w:rPr>
                <w:rFonts w:ascii="Arial Narrow" w:eastAsia="Times New Roman" w:hAnsi="Arial Narrow" w:cs="Arial"/>
                <w:color w:val="000000"/>
                <w:sz w:val="18"/>
                <w:szCs w:val="18"/>
              </w:rPr>
            </w:pPr>
            <w:r w:rsidRPr="00BF5FBA">
              <w:rPr>
                <w:rFonts w:ascii="Arial Narrow" w:eastAsia="Times New Roman" w:hAnsi="Arial Narrow" w:cs="Arial"/>
                <w:color w:val="000000"/>
                <w:sz w:val="18"/>
                <w:szCs w:val="18"/>
              </w:rPr>
              <w:t xml:space="preserve">Payment/reporting personnel at: </w:t>
            </w:r>
          </w:p>
          <w:p w14:paraId="3001082C" w14:textId="77777777" w:rsidR="00B9580D" w:rsidRDefault="00B9580D" w:rsidP="00201FD3">
            <w:pPr>
              <w:spacing w:line="264" w:lineRule="auto"/>
              <w:rPr>
                <w:rFonts w:ascii="Arial Narrow" w:eastAsia="Times New Roman" w:hAnsi="Arial Narrow" w:cs="Arial"/>
                <w:color w:val="000000"/>
                <w:sz w:val="18"/>
                <w:szCs w:val="18"/>
              </w:rPr>
            </w:pPr>
            <w:r w:rsidRPr="00BF5FBA">
              <w:rPr>
                <w:rFonts w:ascii="Arial Narrow" w:eastAsia="Times New Roman" w:hAnsi="Arial Narrow" w:cs="Arial"/>
                <w:color w:val="000000"/>
                <w:sz w:val="18"/>
                <w:szCs w:val="18"/>
              </w:rPr>
              <w:t>Medicaid Agencies &amp; MH Authorities</w:t>
            </w:r>
          </w:p>
          <w:p w14:paraId="32A340C3" w14:textId="77777777" w:rsidR="00F511EA" w:rsidRDefault="00F511EA" w:rsidP="00201FD3">
            <w:pPr>
              <w:spacing w:line="264" w:lineRule="auto"/>
              <w:rPr>
                <w:rFonts w:ascii="Arial Narrow" w:eastAsia="Times New Roman" w:hAnsi="Arial Narrow" w:cs="Arial"/>
                <w:color w:val="000000"/>
                <w:sz w:val="18"/>
                <w:szCs w:val="18"/>
              </w:rPr>
            </w:pPr>
          </w:p>
          <w:p w14:paraId="0281435F" w14:textId="407ADA0D" w:rsidR="00F511EA" w:rsidRPr="00BF5FBA" w:rsidRDefault="00F511EA" w:rsidP="00201FD3">
            <w:pPr>
              <w:spacing w:line="264" w:lineRule="auto"/>
              <w:rPr>
                <w:rFonts w:ascii="Arial Narrow" w:eastAsia="Times New Roman" w:hAnsi="Arial Narrow" w:cs="Arial"/>
                <w:color w:val="000000"/>
                <w:sz w:val="18"/>
                <w:szCs w:val="18"/>
              </w:rPr>
            </w:pPr>
          </w:p>
        </w:tc>
        <w:tc>
          <w:tcPr>
            <w:tcW w:w="1530" w:type="dxa"/>
          </w:tcPr>
          <w:p w14:paraId="340240B2" w14:textId="16679DCF" w:rsidR="00B9580D" w:rsidRPr="00E04112" w:rsidRDefault="00B9580D">
            <w:pPr>
              <w:spacing w:after="120" w:line="264" w:lineRule="auto"/>
              <w:jc w:val="right"/>
              <w:rPr>
                <w:rFonts w:ascii="Arial" w:hAnsi="Arial" w:cs="Arial"/>
                <w:color w:val="000000"/>
                <w:sz w:val="18"/>
                <w:szCs w:val="18"/>
              </w:rPr>
            </w:pPr>
            <w:r w:rsidRPr="00E04112">
              <w:rPr>
                <w:rFonts w:ascii="Arial" w:hAnsi="Arial" w:cs="Arial"/>
                <w:color w:val="000000"/>
                <w:sz w:val="18"/>
                <w:szCs w:val="18"/>
              </w:rPr>
              <w:t>24</w:t>
            </w:r>
          </w:p>
        </w:tc>
        <w:tc>
          <w:tcPr>
            <w:tcW w:w="1637" w:type="dxa"/>
          </w:tcPr>
          <w:p w14:paraId="5578B472" w14:textId="12DDC9C4" w:rsidR="00B9580D" w:rsidRPr="00E04112" w:rsidRDefault="00B9580D">
            <w:pPr>
              <w:spacing w:after="120" w:line="264" w:lineRule="auto"/>
              <w:jc w:val="right"/>
              <w:rPr>
                <w:rFonts w:ascii="Arial" w:hAnsi="Arial" w:cs="Arial"/>
                <w:sz w:val="18"/>
                <w:szCs w:val="18"/>
              </w:rPr>
            </w:pPr>
            <w:r w:rsidRPr="00E04112">
              <w:rPr>
                <w:rFonts w:ascii="Arial" w:hAnsi="Arial" w:cs="Arial"/>
                <w:sz w:val="18"/>
                <w:szCs w:val="18"/>
              </w:rPr>
              <w:t>1</w:t>
            </w:r>
          </w:p>
        </w:tc>
        <w:tc>
          <w:tcPr>
            <w:tcW w:w="1219" w:type="dxa"/>
          </w:tcPr>
          <w:p w14:paraId="12AF6AB5" w14:textId="660CFD0A" w:rsidR="00B9580D" w:rsidRPr="00E04112" w:rsidRDefault="00B9580D">
            <w:pPr>
              <w:spacing w:after="120" w:line="264" w:lineRule="auto"/>
              <w:jc w:val="right"/>
              <w:rPr>
                <w:rFonts w:ascii="Arial" w:hAnsi="Arial" w:cs="Arial"/>
                <w:sz w:val="18"/>
                <w:szCs w:val="18"/>
              </w:rPr>
            </w:pPr>
            <w:r w:rsidRPr="00E04112">
              <w:rPr>
                <w:rFonts w:ascii="Arial" w:hAnsi="Arial" w:cs="Arial"/>
                <w:sz w:val="18"/>
                <w:szCs w:val="18"/>
              </w:rPr>
              <w:t>24</w:t>
            </w:r>
          </w:p>
        </w:tc>
        <w:tc>
          <w:tcPr>
            <w:tcW w:w="1115" w:type="dxa"/>
          </w:tcPr>
          <w:p w14:paraId="6E9D6DCE" w14:textId="32006C23" w:rsidR="00B9580D" w:rsidRPr="00E04112" w:rsidRDefault="00B9580D">
            <w:pPr>
              <w:spacing w:after="120" w:line="264" w:lineRule="auto"/>
              <w:jc w:val="right"/>
              <w:rPr>
                <w:rFonts w:ascii="Arial" w:hAnsi="Arial" w:cs="Arial"/>
                <w:sz w:val="18"/>
                <w:szCs w:val="18"/>
              </w:rPr>
            </w:pPr>
            <w:r w:rsidRPr="00E04112">
              <w:rPr>
                <w:rFonts w:ascii="Arial" w:hAnsi="Arial" w:cs="Arial"/>
                <w:sz w:val="18"/>
                <w:szCs w:val="18"/>
              </w:rPr>
              <w:t>40.0</w:t>
            </w:r>
          </w:p>
        </w:tc>
        <w:tc>
          <w:tcPr>
            <w:tcW w:w="1077" w:type="dxa"/>
          </w:tcPr>
          <w:p w14:paraId="288A5FB0" w14:textId="1B545954" w:rsidR="00B9580D" w:rsidRPr="00E04112" w:rsidRDefault="00B9580D">
            <w:pPr>
              <w:spacing w:after="120" w:line="264" w:lineRule="auto"/>
              <w:jc w:val="right"/>
              <w:rPr>
                <w:rFonts w:ascii="Arial" w:hAnsi="Arial" w:cs="Arial"/>
                <w:sz w:val="18"/>
                <w:szCs w:val="18"/>
              </w:rPr>
            </w:pPr>
            <w:r w:rsidRPr="00E04112">
              <w:rPr>
                <w:rFonts w:ascii="Arial" w:hAnsi="Arial" w:cs="Arial"/>
                <w:sz w:val="18"/>
                <w:szCs w:val="18"/>
              </w:rPr>
              <w:t>960</w:t>
            </w:r>
          </w:p>
        </w:tc>
        <w:tc>
          <w:tcPr>
            <w:tcW w:w="1165" w:type="dxa"/>
          </w:tcPr>
          <w:p w14:paraId="5F85B355" w14:textId="113E9DF6" w:rsidR="00B9580D" w:rsidRPr="00E04112" w:rsidRDefault="00B9580D">
            <w:pPr>
              <w:spacing w:after="120" w:line="264" w:lineRule="auto"/>
              <w:jc w:val="right"/>
              <w:rPr>
                <w:rFonts w:ascii="Arial" w:hAnsi="Arial" w:cs="Arial"/>
                <w:sz w:val="18"/>
                <w:szCs w:val="18"/>
              </w:rPr>
            </w:pPr>
            <w:r w:rsidRPr="00E04112">
              <w:rPr>
                <w:rFonts w:ascii="Arial" w:hAnsi="Arial" w:cs="Arial"/>
                <w:color w:val="000000"/>
                <w:sz w:val="18"/>
                <w:szCs w:val="18"/>
              </w:rPr>
              <w:t>$21.55</w:t>
            </w:r>
          </w:p>
        </w:tc>
        <w:tc>
          <w:tcPr>
            <w:tcW w:w="1167" w:type="dxa"/>
          </w:tcPr>
          <w:p w14:paraId="273DC043" w14:textId="60899047" w:rsidR="00B9580D" w:rsidRPr="00E04112" w:rsidRDefault="00B9580D">
            <w:pPr>
              <w:spacing w:after="120" w:line="264" w:lineRule="auto"/>
              <w:jc w:val="right"/>
              <w:rPr>
                <w:rFonts w:ascii="Arial" w:hAnsi="Arial" w:cs="Arial"/>
                <w:color w:val="000000"/>
                <w:sz w:val="18"/>
                <w:szCs w:val="18"/>
              </w:rPr>
            </w:pPr>
            <w:r w:rsidRPr="00E04112">
              <w:rPr>
                <w:rFonts w:ascii="Arial" w:hAnsi="Arial" w:cs="Arial"/>
                <w:color w:val="000000"/>
                <w:sz w:val="18"/>
                <w:szCs w:val="18"/>
              </w:rPr>
              <w:t>$20,688</w:t>
            </w:r>
          </w:p>
        </w:tc>
      </w:tr>
      <w:tr w:rsidR="00B9580D" w:rsidRPr="00B73199" w14:paraId="2A5D3B51" w14:textId="77777777" w:rsidTr="009204F7">
        <w:tc>
          <w:tcPr>
            <w:tcW w:w="487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14:paraId="4E071746" w14:textId="6A72C2A9" w:rsidR="00B9580D" w:rsidRPr="00B73199" w:rsidRDefault="00B9580D" w:rsidP="00927366">
            <w:pPr>
              <w:spacing w:line="264" w:lineRule="auto"/>
              <w:rPr>
                <w:rFonts w:ascii="Arial" w:hAnsi="Arial" w:cs="Arial"/>
                <w:b/>
                <w:sz w:val="18"/>
                <w:szCs w:val="18"/>
              </w:rPr>
            </w:pPr>
            <w:r w:rsidRPr="00B73199">
              <w:rPr>
                <w:rFonts w:ascii="Arial" w:hAnsi="Arial" w:cs="Arial"/>
                <w:b/>
                <w:sz w:val="18"/>
                <w:szCs w:val="18"/>
              </w:rPr>
              <w:t>Child and Family Outcome Component</w:t>
            </w:r>
          </w:p>
        </w:tc>
        <w:tc>
          <w:tcPr>
            <w:tcW w:w="1530" w:type="dxa"/>
            <w:tcBorders>
              <w:top w:val="single" w:sz="4" w:space="0" w:color="auto"/>
              <w:left w:val="nil"/>
              <w:bottom w:val="single" w:sz="4" w:space="0" w:color="auto"/>
              <w:right w:val="nil"/>
            </w:tcBorders>
            <w:shd w:val="clear" w:color="auto" w:fill="D9D9D9" w:themeFill="background1" w:themeFillShade="D9"/>
          </w:tcPr>
          <w:p w14:paraId="0114C4C8" w14:textId="77777777" w:rsidR="00B9580D" w:rsidRPr="00E04112" w:rsidRDefault="00B9580D" w:rsidP="00927366">
            <w:pPr>
              <w:spacing w:after="120" w:line="264" w:lineRule="auto"/>
              <w:rPr>
                <w:rFonts w:ascii="Arial" w:hAnsi="Arial" w:cs="Arial"/>
                <w:b/>
                <w:sz w:val="18"/>
                <w:szCs w:val="18"/>
              </w:rPr>
            </w:pPr>
          </w:p>
        </w:tc>
        <w:tc>
          <w:tcPr>
            <w:tcW w:w="1637" w:type="dxa"/>
            <w:tcBorders>
              <w:top w:val="single" w:sz="4" w:space="0" w:color="auto"/>
              <w:left w:val="nil"/>
              <w:bottom w:val="single" w:sz="4" w:space="0" w:color="auto"/>
              <w:right w:val="nil"/>
            </w:tcBorders>
            <w:shd w:val="clear" w:color="auto" w:fill="D9D9D9" w:themeFill="background1" w:themeFillShade="D9"/>
          </w:tcPr>
          <w:p w14:paraId="14CDD2CC" w14:textId="77777777" w:rsidR="00B9580D" w:rsidRPr="00E04112" w:rsidRDefault="00B9580D" w:rsidP="00927366">
            <w:pPr>
              <w:spacing w:after="120" w:line="264" w:lineRule="auto"/>
              <w:jc w:val="right"/>
              <w:rPr>
                <w:rFonts w:ascii="Arial" w:hAnsi="Arial" w:cs="Arial"/>
                <w:b/>
                <w:sz w:val="18"/>
                <w:szCs w:val="18"/>
              </w:rPr>
            </w:pPr>
          </w:p>
        </w:tc>
        <w:tc>
          <w:tcPr>
            <w:tcW w:w="1219" w:type="dxa"/>
            <w:tcBorders>
              <w:top w:val="single" w:sz="4" w:space="0" w:color="auto"/>
              <w:left w:val="nil"/>
              <w:bottom w:val="single" w:sz="4" w:space="0" w:color="auto"/>
              <w:right w:val="nil"/>
            </w:tcBorders>
            <w:shd w:val="clear" w:color="auto" w:fill="D9D9D9" w:themeFill="background1" w:themeFillShade="D9"/>
          </w:tcPr>
          <w:p w14:paraId="371CA10C" w14:textId="77777777" w:rsidR="00B9580D" w:rsidRPr="00E04112" w:rsidRDefault="00B9580D" w:rsidP="00927366">
            <w:pPr>
              <w:spacing w:after="120" w:line="264" w:lineRule="auto"/>
              <w:jc w:val="right"/>
              <w:rPr>
                <w:rFonts w:ascii="Arial" w:hAnsi="Arial" w:cs="Arial"/>
                <w:b/>
                <w:sz w:val="18"/>
                <w:szCs w:val="18"/>
              </w:rPr>
            </w:pPr>
          </w:p>
        </w:tc>
        <w:tc>
          <w:tcPr>
            <w:tcW w:w="1115" w:type="dxa"/>
            <w:tcBorders>
              <w:top w:val="single" w:sz="4" w:space="0" w:color="auto"/>
              <w:left w:val="nil"/>
              <w:bottom w:val="single" w:sz="4" w:space="0" w:color="auto"/>
              <w:right w:val="nil"/>
            </w:tcBorders>
            <w:shd w:val="clear" w:color="auto" w:fill="D9D9D9" w:themeFill="background1" w:themeFillShade="D9"/>
          </w:tcPr>
          <w:p w14:paraId="605B0C88" w14:textId="77777777" w:rsidR="00B9580D" w:rsidRPr="00E04112" w:rsidRDefault="00B9580D" w:rsidP="00927366">
            <w:pPr>
              <w:spacing w:after="120" w:line="264" w:lineRule="auto"/>
              <w:jc w:val="right"/>
              <w:rPr>
                <w:rFonts w:ascii="Arial" w:hAnsi="Arial" w:cs="Arial"/>
                <w:b/>
                <w:sz w:val="18"/>
                <w:szCs w:val="18"/>
              </w:rPr>
            </w:pPr>
          </w:p>
        </w:tc>
        <w:tc>
          <w:tcPr>
            <w:tcW w:w="1077" w:type="dxa"/>
            <w:tcBorders>
              <w:top w:val="single" w:sz="4" w:space="0" w:color="auto"/>
              <w:left w:val="nil"/>
              <w:bottom w:val="single" w:sz="4" w:space="0" w:color="auto"/>
              <w:right w:val="nil"/>
            </w:tcBorders>
            <w:shd w:val="clear" w:color="auto" w:fill="D9D9D9" w:themeFill="background1" w:themeFillShade="D9"/>
          </w:tcPr>
          <w:p w14:paraId="1FFCA45C" w14:textId="77777777" w:rsidR="00B9580D" w:rsidRPr="00E04112" w:rsidRDefault="00B9580D" w:rsidP="00927366">
            <w:pPr>
              <w:spacing w:after="120" w:line="264" w:lineRule="auto"/>
              <w:jc w:val="right"/>
              <w:rPr>
                <w:rFonts w:ascii="Arial" w:hAnsi="Arial" w:cs="Arial"/>
                <w:b/>
                <w:sz w:val="18"/>
                <w:szCs w:val="18"/>
              </w:rPr>
            </w:pPr>
          </w:p>
        </w:tc>
        <w:tc>
          <w:tcPr>
            <w:tcW w:w="1165" w:type="dxa"/>
            <w:tcBorders>
              <w:top w:val="single" w:sz="4" w:space="0" w:color="auto"/>
              <w:left w:val="nil"/>
              <w:bottom w:val="single" w:sz="4" w:space="0" w:color="auto"/>
              <w:right w:val="nil"/>
            </w:tcBorders>
            <w:shd w:val="clear" w:color="auto" w:fill="D9D9D9" w:themeFill="background1" w:themeFillShade="D9"/>
          </w:tcPr>
          <w:p w14:paraId="3A3A26ED" w14:textId="77777777" w:rsidR="00B9580D" w:rsidRPr="00E04112" w:rsidRDefault="00B9580D" w:rsidP="00927366">
            <w:pPr>
              <w:spacing w:after="120" w:line="264" w:lineRule="auto"/>
              <w:jc w:val="right"/>
              <w:rPr>
                <w:rFonts w:ascii="Arial" w:hAnsi="Arial" w:cs="Arial"/>
                <w:b/>
                <w:sz w:val="18"/>
                <w:szCs w:val="18"/>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tcPr>
          <w:p w14:paraId="63F43334" w14:textId="77777777" w:rsidR="00B9580D" w:rsidRPr="00E04112" w:rsidRDefault="00B9580D" w:rsidP="00927366">
            <w:pPr>
              <w:spacing w:after="120" w:line="264" w:lineRule="auto"/>
              <w:jc w:val="right"/>
              <w:rPr>
                <w:rFonts w:ascii="Arial" w:hAnsi="Arial" w:cs="Arial"/>
                <w:b/>
                <w:sz w:val="18"/>
                <w:szCs w:val="18"/>
              </w:rPr>
            </w:pPr>
          </w:p>
        </w:tc>
      </w:tr>
      <w:tr w:rsidR="009204F7" w:rsidRPr="00B73199" w14:paraId="7A242716" w14:textId="77777777" w:rsidTr="009204F7">
        <w:tc>
          <w:tcPr>
            <w:tcW w:w="2178" w:type="dxa"/>
            <w:vMerge w:val="restart"/>
            <w:tcBorders>
              <w:top w:val="single" w:sz="4" w:space="0" w:color="auto"/>
            </w:tcBorders>
            <w:vAlign w:val="center"/>
          </w:tcPr>
          <w:p w14:paraId="55B95BB4" w14:textId="27797B53" w:rsidR="009204F7" w:rsidRPr="00771351" w:rsidRDefault="009204F7" w:rsidP="00176A71">
            <w:pPr>
              <w:rPr>
                <w:rFonts w:ascii="Arial" w:hAnsi="Arial" w:cs="Arial"/>
                <w:sz w:val="18"/>
                <w:szCs w:val="18"/>
                <w:vertAlign w:val="superscript"/>
              </w:rPr>
            </w:pPr>
            <w:r w:rsidRPr="00771351">
              <w:rPr>
                <w:rFonts w:ascii="Arial" w:hAnsi="Arial" w:cs="Arial"/>
                <w:color w:val="000000"/>
                <w:sz w:val="18"/>
                <w:szCs w:val="18"/>
              </w:rPr>
              <w:t>Background Information (CDP)</w:t>
            </w:r>
            <w:r w:rsidRPr="00771351">
              <w:rPr>
                <w:rFonts w:ascii="Arial" w:hAnsi="Arial" w:cs="Arial"/>
                <w:color w:val="000000"/>
                <w:sz w:val="18"/>
                <w:szCs w:val="18"/>
                <w:vertAlign w:val="superscript"/>
              </w:rPr>
              <w:t>c</w:t>
            </w:r>
          </w:p>
        </w:tc>
        <w:tc>
          <w:tcPr>
            <w:tcW w:w="2700" w:type="dxa"/>
            <w:tcBorders>
              <w:top w:val="single" w:sz="4" w:space="0" w:color="auto"/>
            </w:tcBorders>
            <w:vAlign w:val="center"/>
          </w:tcPr>
          <w:p w14:paraId="42FFFAF5" w14:textId="7A7CEB20" w:rsidR="009204F7" w:rsidRPr="00C34318" w:rsidRDefault="009204F7" w:rsidP="00927366">
            <w:pPr>
              <w:rPr>
                <w:rFonts w:ascii="Arial Narrow" w:hAnsi="Arial Narrow" w:cs="Arial"/>
                <w:sz w:val="18"/>
                <w:szCs w:val="18"/>
              </w:rPr>
            </w:pPr>
            <w:r w:rsidRPr="00C34318">
              <w:rPr>
                <w:rFonts w:ascii="Arial Narrow" w:hAnsi="Arial Narrow" w:cs="Arial"/>
                <w:color w:val="000000"/>
                <w:sz w:val="18"/>
                <w:szCs w:val="18"/>
              </w:rPr>
              <w:t>Caregivers of clients age 11-17</w:t>
            </w:r>
            <w:r w:rsidRPr="00C34318">
              <w:rPr>
                <w:rFonts w:ascii="Arial Narrow" w:hAnsi="Arial Narrow" w:cs="Arial"/>
                <w:color w:val="000000"/>
                <w:sz w:val="18"/>
                <w:szCs w:val="18"/>
                <w:vertAlign w:val="superscript"/>
              </w:rPr>
              <w:t>d</w:t>
            </w:r>
          </w:p>
        </w:tc>
        <w:tc>
          <w:tcPr>
            <w:tcW w:w="1530" w:type="dxa"/>
            <w:tcBorders>
              <w:top w:val="single" w:sz="4" w:space="0" w:color="auto"/>
            </w:tcBorders>
            <w:vAlign w:val="bottom"/>
          </w:tcPr>
          <w:p w14:paraId="714B586D" w14:textId="352680B4"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631</w:t>
            </w:r>
          </w:p>
        </w:tc>
        <w:tc>
          <w:tcPr>
            <w:tcW w:w="1637" w:type="dxa"/>
            <w:tcBorders>
              <w:top w:val="single" w:sz="4" w:space="0" w:color="auto"/>
            </w:tcBorders>
            <w:vAlign w:val="bottom"/>
          </w:tcPr>
          <w:p w14:paraId="728C3C1D" w14:textId="69726360"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sz w:val="18"/>
                <w:szCs w:val="18"/>
              </w:rPr>
              <w:t>2.12</w:t>
            </w:r>
            <w:r w:rsidRPr="00E04112">
              <w:rPr>
                <w:rFonts w:ascii="Arial" w:hAnsi="Arial" w:cs="Arial"/>
                <w:color w:val="000000"/>
                <w:sz w:val="18"/>
                <w:szCs w:val="18"/>
                <w:vertAlign w:val="superscript"/>
              </w:rPr>
              <w:t xml:space="preserve"> e</w:t>
            </w:r>
          </w:p>
        </w:tc>
        <w:tc>
          <w:tcPr>
            <w:tcW w:w="1219" w:type="dxa"/>
            <w:tcBorders>
              <w:top w:val="single" w:sz="4" w:space="0" w:color="auto"/>
            </w:tcBorders>
            <w:vAlign w:val="bottom"/>
          </w:tcPr>
          <w:p w14:paraId="08EB21BE" w14:textId="4FF87D4B"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1,337</w:t>
            </w:r>
          </w:p>
        </w:tc>
        <w:tc>
          <w:tcPr>
            <w:tcW w:w="1115" w:type="dxa"/>
            <w:tcBorders>
              <w:top w:val="single" w:sz="4" w:space="0" w:color="auto"/>
            </w:tcBorders>
            <w:vAlign w:val="bottom"/>
          </w:tcPr>
          <w:p w14:paraId="3F7A3D95" w14:textId="03F5016E" w:rsidR="009204F7" w:rsidRPr="00E04112" w:rsidRDefault="009204F7" w:rsidP="00A74EAA">
            <w:pPr>
              <w:spacing w:after="120" w:line="264" w:lineRule="auto"/>
              <w:jc w:val="right"/>
              <w:rPr>
                <w:rFonts w:ascii="Arial" w:hAnsi="Arial" w:cs="Arial"/>
                <w:sz w:val="18"/>
                <w:szCs w:val="18"/>
              </w:rPr>
            </w:pPr>
            <w:r w:rsidRPr="00E04112">
              <w:rPr>
                <w:rFonts w:ascii="Arial" w:hAnsi="Arial" w:cs="Arial"/>
                <w:color w:val="000000"/>
                <w:sz w:val="18"/>
                <w:szCs w:val="18"/>
              </w:rPr>
              <w:t>0.37</w:t>
            </w:r>
          </w:p>
        </w:tc>
        <w:tc>
          <w:tcPr>
            <w:tcW w:w="1077" w:type="dxa"/>
            <w:tcBorders>
              <w:top w:val="single" w:sz="4" w:space="0" w:color="auto"/>
            </w:tcBorders>
            <w:vAlign w:val="bottom"/>
          </w:tcPr>
          <w:p w14:paraId="4F994283" w14:textId="133D2CBB"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491</w:t>
            </w:r>
          </w:p>
        </w:tc>
        <w:tc>
          <w:tcPr>
            <w:tcW w:w="1165" w:type="dxa"/>
            <w:tcBorders>
              <w:top w:val="single" w:sz="4" w:space="0" w:color="auto"/>
            </w:tcBorders>
            <w:vAlign w:val="bottom"/>
          </w:tcPr>
          <w:p w14:paraId="45997D12" w14:textId="1B0E475C" w:rsidR="009204F7" w:rsidRPr="00E04112" w:rsidRDefault="009204F7" w:rsidP="00A74EAA">
            <w:pPr>
              <w:spacing w:after="120" w:line="264" w:lineRule="auto"/>
              <w:jc w:val="right"/>
              <w:rPr>
                <w:rFonts w:ascii="Arial" w:hAnsi="Arial" w:cs="Arial"/>
                <w:sz w:val="18"/>
                <w:szCs w:val="18"/>
              </w:rPr>
            </w:pPr>
            <w:r w:rsidRPr="00E04112">
              <w:rPr>
                <w:rFonts w:ascii="Arial" w:hAnsi="Arial" w:cs="Arial"/>
                <w:color w:val="000000"/>
                <w:sz w:val="18"/>
                <w:szCs w:val="18"/>
              </w:rPr>
              <w:t>$11.47</w:t>
            </w:r>
          </w:p>
        </w:tc>
        <w:tc>
          <w:tcPr>
            <w:tcW w:w="1167" w:type="dxa"/>
            <w:tcBorders>
              <w:top w:val="single" w:sz="4" w:space="0" w:color="auto"/>
            </w:tcBorders>
            <w:vAlign w:val="bottom"/>
          </w:tcPr>
          <w:p w14:paraId="2C600171" w14:textId="4803F62E"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$5,628</w:t>
            </w:r>
          </w:p>
        </w:tc>
      </w:tr>
      <w:tr w:rsidR="009204F7" w:rsidRPr="00B73199" w14:paraId="4605EDAF" w14:textId="77777777" w:rsidTr="009204F7">
        <w:tc>
          <w:tcPr>
            <w:tcW w:w="2178" w:type="dxa"/>
            <w:vMerge/>
            <w:vAlign w:val="center"/>
          </w:tcPr>
          <w:p w14:paraId="3E6F9C5C" w14:textId="43BB7366" w:rsidR="009204F7" w:rsidRPr="00771351" w:rsidRDefault="009204F7" w:rsidP="00927366">
            <w:pPr>
              <w:rPr>
                <w:rFonts w:ascii="Arial" w:hAnsi="Arial" w:cs="Arial"/>
                <w:sz w:val="18"/>
                <w:szCs w:val="18"/>
                <w:highlight w:val="yellow"/>
              </w:rPr>
            </w:pPr>
          </w:p>
        </w:tc>
        <w:tc>
          <w:tcPr>
            <w:tcW w:w="2700" w:type="dxa"/>
            <w:vAlign w:val="center"/>
          </w:tcPr>
          <w:p w14:paraId="5ACE4059" w14:textId="661DD3FD" w:rsidR="009204F7" w:rsidRPr="00C34318" w:rsidRDefault="009204F7" w:rsidP="00927366">
            <w:pPr>
              <w:rPr>
                <w:rFonts w:ascii="Arial Narrow" w:hAnsi="Arial Narrow" w:cs="Arial"/>
                <w:sz w:val="18"/>
                <w:szCs w:val="18"/>
                <w:highlight w:val="yellow"/>
              </w:rPr>
            </w:pPr>
            <w:r w:rsidRPr="00C34318">
              <w:rPr>
                <w:rFonts w:ascii="Arial Narrow" w:hAnsi="Arial Narrow" w:cs="Arial"/>
                <w:color w:val="000000"/>
                <w:sz w:val="18"/>
                <w:szCs w:val="18"/>
              </w:rPr>
              <w:t>Clients age 11-17</w:t>
            </w:r>
          </w:p>
        </w:tc>
        <w:tc>
          <w:tcPr>
            <w:tcW w:w="1530" w:type="dxa"/>
            <w:vAlign w:val="bottom"/>
          </w:tcPr>
          <w:p w14:paraId="358788C0" w14:textId="09CD8DC8"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631</w:t>
            </w:r>
          </w:p>
        </w:tc>
        <w:tc>
          <w:tcPr>
            <w:tcW w:w="1637" w:type="dxa"/>
            <w:vAlign w:val="bottom"/>
          </w:tcPr>
          <w:p w14:paraId="2B95EF3D" w14:textId="6469370E"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sz w:val="18"/>
                <w:szCs w:val="18"/>
              </w:rPr>
              <w:t>2.12</w:t>
            </w:r>
          </w:p>
        </w:tc>
        <w:tc>
          <w:tcPr>
            <w:tcW w:w="1219" w:type="dxa"/>
            <w:vAlign w:val="bottom"/>
          </w:tcPr>
          <w:p w14:paraId="3207C78F" w14:textId="0819381B"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1,337</w:t>
            </w:r>
          </w:p>
        </w:tc>
        <w:tc>
          <w:tcPr>
            <w:tcW w:w="1115" w:type="dxa"/>
            <w:vAlign w:val="bottom"/>
          </w:tcPr>
          <w:p w14:paraId="6F7F8EF7" w14:textId="78965B9D"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0.37</w:t>
            </w:r>
          </w:p>
        </w:tc>
        <w:tc>
          <w:tcPr>
            <w:tcW w:w="1077" w:type="dxa"/>
            <w:vAlign w:val="bottom"/>
          </w:tcPr>
          <w:p w14:paraId="0B9C87A7" w14:textId="1CD5CF56"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491</w:t>
            </w:r>
          </w:p>
        </w:tc>
        <w:tc>
          <w:tcPr>
            <w:tcW w:w="1165" w:type="dxa"/>
            <w:vAlign w:val="bottom"/>
          </w:tcPr>
          <w:p w14:paraId="0F0CD721" w14:textId="2259D561"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$7.25</w:t>
            </w:r>
          </w:p>
        </w:tc>
        <w:tc>
          <w:tcPr>
            <w:tcW w:w="1167" w:type="dxa"/>
            <w:vAlign w:val="bottom"/>
          </w:tcPr>
          <w:p w14:paraId="7AA5CF12" w14:textId="6407DEB1"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$3,557</w:t>
            </w:r>
          </w:p>
        </w:tc>
      </w:tr>
      <w:tr w:rsidR="009204F7" w:rsidRPr="00B73199" w14:paraId="51C2AB40" w14:textId="77777777" w:rsidTr="009204F7">
        <w:trPr>
          <w:trHeight w:val="278"/>
        </w:trPr>
        <w:tc>
          <w:tcPr>
            <w:tcW w:w="2178" w:type="dxa"/>
            <w:vMerge w:val="restart"/>
            <w:vAlign w:val="center"/>
          </w:tcPr>
          <w:p w14:paraId="51A45E49" w14:textId="0E9AEB97" w:rsidR="009204F7" w:rsidRPr="00771351" w:rsidRDefault="009204F7" w:rsidP="005F0718">
            <w:pPr>
              <w:rPr>
                <w:rFonts w:ascii="Arial" w:hAnsi="Arial" w:cs="Arial"/>
                <w:sz w:val="18"/>
                <w:szCs w:val="18"/>
                <w:highlight w:val="yellow"/>
              </w:rPr>
            </w:pPr>
            <w:r w:rsidRPr="00771351">
              <w:rPr>
                <w:rFonts w:ascii="Arial" w:hAnsi="Arial" w:cs="Arial"/>
                <w:sz w:val="18"/>
                <w:szCs w:val="18"/>
              </w:rPr>
              <w:t>Family/Living Information</w:t>
            </w:r>
          </w:p>
        </w:tc>
        <w:tc>
          <w:tcPr>
            <w:tcW w:w="2700" w:type="dxa"/>
            <w:vAlign w:val="center"/>
          </w:tcPr>
          <w:p w14:paraId="29C2063D" w14:textId="0DC1D9E7" w:rsidR="009204F7" w:rsidRPr="00C34318" w:rsidRDefault="009204F7" w:rsidP="00D969A8">
            <w:pPr>
              <w:rPr>
                <w:rFonts w:ascii="Arial Narrow" w:hAnsi="Arial Narrow" w:cs="Arial"/>
                <w:color w:val="000000"/>
                <w:sz w:val="18"/>
                <w:szCs w:val="18"/>
                <w:vertAlign w:val="superscript"/>
              </w:rPr>
            </w:pPr>
            <w:r w:rsidRPr="00C34318">
              <w:rPr>
                <w:rFonts w:ascii="Arial Narrow" w:hAnsi="Arial Narrow" w:cs="Arial"/>
                <w:color w:val="000000"/>
                <w:sz w:val="18"/>
                <w:szCs w:val="18"/>
              </w:rPr>
              <w:t>Caregivers of clients age 5-17</w:t>
            </w:r>
            <w:r w:rsidRPr="00C34318">
              <w:rPr>
                <w:rFonts w:ascii="Arial Narrow" w:hAnsi="Arial Narrow" w:cs="Arial"/>
                <w:color w:val="000000"/>
                <w:sz w:val="18"/>
                <w:szCs w:val="18"/>
                <w:vertAlign w:val="superscript"/>
              </w:rPr>
              <w:t>f</w:t>
            </w:r>
          </w:p>
        </w:tc>
        <w:tc>
          <w:tcPr>
            <w:tcW w:w="1530" w:type="dxa"/>
            <w:vAlign w:val="bottom"/>
          </w:tcPr>
          <w:p w14:paraId="13762555" w14:textId="75E79766"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3,172</w:t>
            </w:r>
          </w:p>
        </w:tc>
        <w:tc>
          <w:tcPr>
            <w:tcW w:w="1637" w:type="dxa"/>
            <w:vAlign w:val="bottom"/>
          </w:tcPr>
          <w:p w14:paraId="3682F92F" w14:textId="3371F891" w:rsidR="009204F7" w:rsidRPr="00E04112" w:rsidRDefault="009204F7" w:rsidP="00A74EAA">
            <w:pPr>
              <w:spacing w:after="120" w:line="264" w:lineRule="auto"/>
              <w:jc w:val="right"/>
              <w:rPr>
                <w:rFonts w:ascii="Arial" w:hAnsi="Arial" w:cs="Arial"/>
                <w:color w:val="000000"/>
                <w:sz w:val="18"/>
                <w:szCs w:val="18"/>
                <w:highlight w:val="yellow"/>
              </w:rPr>
            </w:pPr>
            <w:r w:rsidRPr="00E04112">
              <w:rPr>
                <w:rFonts w:ascii="Arial" w:hAnsi="Arial" w:cs="Arial"/>
                <w:sz w:val="18"/>
                <w:szCs w:val="18"/>
              </w:rPr>
              <w:t>2.12</w:t>
            </w:r>
          </w:p>
        </w:tc>
        <w:tc>
          <w:tcPr>
            <w:tcW w:w="1219" w:type="dxa"/>
            <w:vAlign w:val="bottom"/>
          </w:tcPr>
          <w:p w14:paraId="599E489B" w14:textId="30CB64C0"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6,725</w:t>
            </w:r>
          </w:p>
        </w:tc>
        <w:tc>
          <w:tcPr>
            <w:tcW w:w="1115" w:type="dxa"/>
            <w:vAlign w:val="bottom"/>
          </w:tcPr>
          <w:p w14:paraId="2854358E" w14:textId="2FAFA5C7" w:rsidR="009204F7" w:rsidRPr="00E04112" w:rsidRDefault="009204F7"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.05</w:t>
            </w:r>
          </w:p>
        </w:tc>
        <w:tc>
          <w:tcPr>
            <w:tcW w:w="1077" w:type="dxa"/>
            <w:vAlign w:val="bottom"/>
          </w:tcPr>
          <w:p w14:paraId="41975ADC" w14:textId="30D18DD7"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336</w:t>
            </w:r>
          </w:p>
        </w:tc>
        <w:tc>
          <w:tcPr>
            <w:tcW w:w="1165" w:type="dxa"/>
            <w:vAlign w:val="bottom"/>
          </w:tcPr>
          <w:p w14:paraId="66856E54" w14:textId="325732B7" w:rsidR="009204F7" w:rsidRPr="00E04112" w:rsidRDefault="009204F7"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$11.47</w:t>
            </w:r>
          </w:p>
        </w:tc>
        <w:tc>
          <w:tcPr>
            <w:tcW w:w="1167" w:type="dxa"/>
            <w:vAlign w:val="bottom"/>
          </w:tcPr>
          <w:p w14:paraId="27E68680" w14:textId="4D14F4D8"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$3,857</w:t>
            </w:r>
          </w:p>
        </w:tc>
      </w:tr>
      <w:tr w:rsidR="009204F7" w:rsidRPr="00B73199" w14:paraId="14CB2F60" w14:textId="77777777" w:rsidTr="009204F7">
        <w:trPr>
          <w:trHeight w:val="377"/>
        </w:trPr>
        <w:tc>
          <w:tcPr>
            <w:tcW w:w="2178" w:type="dxa"/>
            <w:vMerge/>
            <w:vAlign w:val="center"/>
          </w:tcPr>
          <w:p w14:paraId="34308C6B" w14:textId="77777777" w:rsidR="009204F7" w:rsidRPr="00771351" w:rsidRDefault="009204F7" w:rsidP="00927366">
            <w:pPr>
              <w:rPr>
                <w:rFonts w:ascii="Arial" w:hAnsi="Arial" w:cs="Arial"/>
                <w:sz w:val="18"/>
                <w:szCs w:val="18"/>
                <w:highlight w:val="yellow"/>
              </w:rPr>
            </w:pPr>
          </w:p>
        </w:tc>
        <w:tc>
          <w:tcPr>
            <w:tcW w:w="2700" w:type="dxa"/>
            <w:vAlign w:val="center"/>
          </w:tcPr>
          <w:p w14:paraId="4587BA5D" w14:textId="5292842C" w:rsidR="009204F7" w:rsidRPr="00C34318" w:rsidRDefault="009204F7" w:rsidP="00D969A8">
            <w:pPr>
              <w:rPr>
                <w:rFonts w:ascii="Arial Narrow" w:hAnsi="Arial Narrow" w:cs="Arial"/>
                <w:color w:val="000000"/>
                <w:sz w:val="18"/>
                <w:szCs w:val="18"/>
                <w:vertAlign w:val="superscript"/>
              </w:rPr>
            </w:pPr>
            <w:r w:rsidRPr="00C34318">
              <w:rPr>
                <w:rFonts w:ascii="Arial Narrow" w:hAnsi="Arial Narrow" w:cs="Arial"/>
                <w:color w:val="000000"/>
                <w:sz w:val="18"/>
                <w:szCs w:val="18"/>
              </w:rPr>
              <w:t>Clients age 18-21</w:t>
            </w:r>
            <w:r w:rsidRPr="00C34318">
              <w:rPr>
                <w:rFonts w:ascii="Arial Narrow" w:hAnsi="Arial Narrow" w:cs="Arial"/>
                <w:color w:val="000000"/>
                <w:sz w:val="18"/>
                <w:szCs w:val="18"/>
                <w:vertAlign w:val="superscript"/>
              </w:rPr>
              <w:t>g</w:t>
            </w:r>
          </w:p>
        </w:tc>
        <w:tc>
          <w:tcPr>
            <w:tcW w:w="1530" w:type="dxa"/>
            <w:vAlign w:val="bottom"/>
          </w:tcPr>
          <w:p w14:paraId="0305654B" w14:textId="5D670B04"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650</w:t>
            </w:r>
          </w:p>
        </w:tc>
        <w:tc>
          <w:tcPr>
            <w:tcW w:w="1637" w:type="dxa"/>
            <w:vAlign w:val="bottom"/>
          </w:tcPr>
          <w:p w14:paraId="010BAA1E" w14:textId="36599C68" w:rsidR="009204F7" w:rsidRPr="00E04112" w:rsidRDefault="009204F7" w:rsidP="00A74EAA">
            <w:pPr>
              <w:spacing w:after="120" w:line="264" w:lineRule="auto"/>
              <w:jc w:val="right"/>
              <w:rPr>
                <w:rFonts w:ascii="Arial" w:hAnsi="Arial" w:cs="Arial"/>
                <w:color w:val="000000"/>
                <w:sz w:val="18"/>
                <w:szCs w:val="18"/>
                <w:highlight w:val="yellow"/>
              </w:rPr>
            </w:pPr>
            <w:r w:rsidRPr="00E04112">
              <w:rPr>
                <w:rFonts w:ascii="Arial" w:hAnsi="Arial" w:cs="Arial"/>
                <w:sz w:val="18"/>
                <w:szCs w:val="18"/>
              </w:rPr>
              <w:t>2.12</w:t>
            </w:r>
          </w:p>
        </w:tc>
        <w:tc>
          <w:tcPr>
            <w:tcW w:w="1219" w:type="dxa"/>
            <w:vAlign w:val="bottom"/>
          </w:tcPr>
          <w:p w14:paraId="3789F966" w14:textId="3992EE59"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1,377</w:t>
            </w:r>
          </w:p>
        </w:tc>
        <w:tc>
          <w:tcPr>
            <w:tcW w:w="1115" w:type="dxa"/>
            <w:vAlign w:val="bottom"/>
          </w:tcPr>
          <w:p w14:paraId="433186E1" w14:textId="00778010" w:rsidR="009204F7" w:rsidRPr="00E04112" w:rsidRDefault="009204F7"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.05</w:t>
            </w:r>
          </w:p>
        </w:tc>
        <w:tc>
          <w:tcPr>
            <w:tcW w:w="1077" w:type="dxa"/>
            <w:vAlign w:val="bottom"/>
          </w:tcPr>
          <w:p w14:paraId="5E1041C0" w14:textId="67B6F795"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69</w:t>
            </w:r>
          </w:p>
        </w:tc>
        <w:tc>
          <w:tcPr>
            <w:tcW w:w="1165" w:type="dxa"/>
            <w:vAlign w:val="bottom"/>
          </w:tcPr>
          <w:p w14:paraId="30B73EB0" w14:textId="4A3D2C7E" w:rsidR="009204F7" w:rsidRPr="00E04112" w:rsidRDefault="009204F7" w:rsidP="00A74EAA">
            <w:pPr>
              <w:spacing w:after="120" w:line="264" w:lineRule="auto"/>
              <w:jc w:val="right"/>
              <w:rPr>
                <w:rFonts w:ascii="Arial" w:hAnsi="Arial" w:cs="Arial"/>
                <w:color w:val="000000"/>
                <w:sz w:val="18"/>
                <w:szCs w:val="18"/>
              </w:rPr>
            </w:pPr>
            <w:r w:rsidRPr="00E04112">
              <w:rPr>
                <w:rFonts w:ascii="Arial" w:hAnsi="Arial" w:cs="Arial"/>
                <w:color w:val="000000"/>
                <w:sz w:val="18"/>
                <w:szCs w:val="18"/>
              </w:rPr>
              <w:t>$7.25</w:t>
            </w:r>
          </w:p>
        </w:tc>
        <w:tc>
          <w:tcPr>
            <w:tcW w:w="1167" w:type="dxa"/>
            <w:vAlign w:val="bottom"/>
          </w:tcPr>
          <w:p w14:paraId="00ECBAE9" w14:textId="3923033F"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$499</w:t>
            </w:r>
          </w:p>
        </w:tc>
      </w:tr>
      <w:tr w:rsidR="009204F7" w:rsidRPr="00B73199" w14:paraId="46719740" w14:textId="77777777" w:rsidTr="009204F7">
        <w:tc>
          <w:tcPr>
            <w:tcW w:w="2178" w:type="dxa"/>
            <w:vAlign w:val="center"/>
          </w:tcPr>
          <w:p w14:paraId="6C7C2E0F" w14:textId="32E0E500" w:rsidR="009204F7" w:rsidRPr="00771351" w:rsidRDefault="009204F7" w:rsidP="00927366">
            <w:pPr>
              <w:rPr>
                <w:rFonts w:ascii="Arial" w:hAnsi="Arial" w:cs="Arial"/>
                <w:sz w:val="18"/>
                <w:szCs w:val="18"/>
                <w:highlight w:val="yellow"/>
              </w:rPr>
            </w:pPr>
            <w:r w:rsidRPr="00771351">
              <w:rPr>
                <w:rFonts w:ascii="Arial" w:hAnsi="Arial" w:cs="Arial"/>
                <w:color w:val="000000"/>
                <w:sz w:val="18"/>
                <w:szCs w:val="18"/>
              </w:rPr>
              <w:t>Caregiver Strain Questionnaire - Short Form</w:t>
            </w:r>
          </w:p>
        </w:tc>
        <w:tc>
          <w:tcPr>
            <w:tcW w:w="2700" w:type="dxa"/>
            <w:vAlign w:val="center"/>
          </w:tcPr>
          <w:p w14:paraId="72FFED55" w14:textId="6D202736" w:rsidR="009204F7" w:rsidRPr="00C34318" w:rsidRDefault="009204F7" w:rsidP="00927366">
            <w:pPr>
              <w:rPr>
                <w:rFonts w:ascii="Arial Narrow" w:hAnsi="Arial Narrow" w:cs="Arial"/>
                <w:sz w:val="18"/>
                <w:szCs w:val="18"/>
                <w:vertAlign w:val="superscript"/>
              </w:rPr>
            </w:pPr>
            <w:r w:rsidRPr="00C34318">
              <w:rPr>
                <w:rFonts w:ascii="Arial Narrow" w:hAnsi="Arial Narrow" w:cs="Arial"/>
                <w:color w:val="000000"/>
                <w:sz w:val="18"/>
                <w:szCs w:val="18"/>
              </w:rPr>
              <w:t>Caregivers of clients age 5-17</w:t>
            </w:r>
          </w:p>
        </w:tc>
        <w:tc>
          <w:tcPr>
            <w:tcW w:w="1530" w:type="dxa"/>
            <w:vAlign w:val="bottom"/>
          </w:tcPr>
          <w:p w14:paraId="5F40C7B2" w14:textId="0D7AC8C1"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3,172</w:t>
            </w:r>
          </w:p>
        </w:tc>
        <w:tc>
          <w:tcPr>
            <w:tcW w:w="1637" w:type="dxa"/>
            <w:vAlign w:val="bottom"/>
          </w:tcPr>
          <w:p w14:paraId="5339CE35" w14:textId="26D2116F"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sz w:val="18"/>
                <w:szCs w:val="18"/>
              </w:rPr>
              <w:t>2.12</w:t>
            </w:r>
          </w:p>
        </w:tc>
        <w:tc>
          <w:tcPr>
            <w:tcW w:w="1219" w:type="dxa"/>
            <w:vAlign w:val="bottom"/>
          </w:tcPr>
          <w:p w14:paraId="6BA89939" w14:textId="186A84E8"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6,725</w:t>
            </w:r>
          </w:p>
        </w:tc>
        <w:tc>
          <w:tcPr>
            <w:tcW w:w="1115" w:type="dxa"/>
            <w:vAlign w:val="bottom"/>
          </w:tcPr>
          <w:p w14:paraId="3E0B14F8" w14:textId="7BB3AFBC"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0.12</w:t>
            </w:r>
          </w:p>
        </w:tc>
        <w:tc>
          <w:tcPr>
            <w:tcW w:w="1077" w:type="dxa"/>
            <w:vAlign w:val="bottom"/>
          </w:tcPr>
          <w:p w14:paraId="4A305246" w14:textId="0158C255"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807</w:t>
            </w:r>
          </w:p>
        </w:tc>
        <w:tc>
          <w:tcPr>
            <w:tcW w:w="1165" w:type="dxa"/>
            <w:vAlign w:val="bottom"/>
          </w:tcPr>
          <w:p w14:paraId="3AD11BA6" w14:textId="0E44F220"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$11.47</w:t>
            </w:r>
          </w:p>
        </w:tc>
        <w:tc>
          <w:tcPr>
            <w:tcW w:w="1167" w:type="dxa"/>
            <w:vAlign w:val="bottom"/>
          </w:tcPr>
          <w:p w14:paraId="031E8F71" w14:textId="302939D4"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$9,257</w:t>
            </w:r>
          </w:p>
        </w:tc>
      </w:tr>
      <w:tr w:rsidR="009204F7" w:rsidRPr="00B73199" w14:paraId="18555749" w14:textId="77777777" w:rsidTr="009204F7">
        <w:trPr>
          <w:trHeight w:val="269"/>
        </w:trPr>
        <w:tc>
          <w:tcPr>
            <w:tcW w:w="2178" w:type="dxa"/>
            <w:vMerge w:val="restart"/>
            <w:vAlign w:val="center"/>
          </w:tcPr>
          <w:p w14:paraId="0EC44ABF" w14:textId="3F83E178" w:rsidR="009204F7" w:rsidRPr="00771351" w:rsidRDefault="009204F7" w:rsidP="00927366">
            <w:pPr>
              <w:rPr>
                <w:rFonts w:ascii="Arial" w:hAnsi="Arial" w:cs="Arial"/>
                <w:sz w:val="18"/>
                <w:szCs w:val="18"/>
                <w:highlight w:val="yellow"/>
              </w:rPr>
            </w:pPr>
            <w:r w:rsidRPr="00771351">
              <w:rPr>
                <w:rFonts w:ascii="Arial" w:hAnsi="Arial" w:cs="Arial"/>
                <w:color w:val="000000"/>
                <w:sz w:val="18"/>
                <w:szCs w:val="18"/>
              </w:rPr>
              <w:t>Columbia Impairment Scale</w:t>
            </w:r>
          </w:p>
        </w:tc>
        <w:tc>
          <w:tcPr>
            <w:tcW w:w="2700" w:type="dxa"/>
            <w:vAlign w:val="center"/>
          </w:tcPr>
          <w:p w14:paraId="1B74395C" w14:textId="1C5B72EC" w:rsidR="009204F7" w:rsidRPr="00771351" w:rsidRDefault="009204F7" w:rsidP="00176A71">
            <w:pPr>
              <w:rPr>
                <w:rFonts w:ascii="Arial" w:hAnsi="Arial" w:cs="Arial"/>
                <w:sz w:val="18"/>
                <w:szCs w:val="18"/>
                <w:highlight w:val="yellow"/>
              </w:rPr>
            </w:pPr>
            <w:r w:rsidRPr="00771351">
              <w:rPr>
                <w:rFonts w:ascii="Arial" w:hAnsi="Arial" w:cs="Arial"/>
                <w:color w:val="000000"/>
                <w:sz w:val="18"/>
                <w:szCs w:val="18"/>
              </w:rPr>
              <w:t>Caregivers of clients age 5-17</w:t>
            </w:r>
          </w:p>
        </w:tc>
        <w:tc>
          <w:tcPr>
            <w:tcW w:w="1530" w:type="dxa"/>
            <w:vAlign w:val="bottom"/>
          </w:tcPr>
          <w:p w14:paraId="54C94C32" w14:textId="1D24386A"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3,172</w:t>
            </w:r>
          </w:p>
        </w:tc>
        <w:tc>
          <w:tcPr>
            <w:tcW w:w="1637" w:type="dxa"/>
            <w:vAlign w:val="bottom"/>
          </w:tcPr>
          <w:p w14:paraId="497D08D5" w14:textId="63F38605"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sz w:val="18"/>
                <w:szCs w:val="18"/>
              </w:rPr>
              <w:t>2.12</w:t>
            </w:r>
          </w:p>
        </w:tc>
        <w:tc>
          <w:tcPr>
            <w:tcW w:w="1219" w:type="dxa"/>
            <w:vAlign w:val="bottom"/>
          </w:tcPr>
          <w:p w14:paraId="5CC8B815" w14:textId="548647DC"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6,725</w:t>
            </w:r>
          </w:p>
        </w:tc>
        <w:tc>
          <w:tcPr>
            <w:tcW w:w="1115" w:type="dxa"/>
            <w:vAlign w:val="bottom"/>
          </w:tcPr>
          <w:p w14:paraId="1B4ADC44" w14:textId="20DFA8A2"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0.08</w:t>
            </w:r>
          </w:p>
        </w:tc>
        <w:tc>
          <w:tcPr>
            <w:tcW w:w="1077" w:type="dxa"/>
            <w:vAlign w:val="bottom"/>
          </w:tcPr>
          <w:p w14:paraId="21F0DFFE" w14:textId="0BC60F0C"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538</w:t>
            </w:r>
          </w:p>
        </w:tc>
        <w:tc>
          <w:tcPr>
            <w:tcW w:w="1165" w:type="dxa"/>
            <w:vAlign w:val="bottom"/>
          </w:tcPr>
          <w:p w14:paraId="30CDCB19" w14:textId="69FF227F"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$11.47</w:t>
            </w:r>
          </w:p>
        </w:tc>
        <w:tc>
          <w:tcPr>
            <w:tcW w:w="1167" w:type="dxa"/>
            <w:vAlign w:val="bottom"/>
          </w:tcPr>
          <w:p w14:paraId="61F53DEB" w14:textId="5BA0DFE6"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$6,171</w:t>
            </w:r>
          </w:p>
        </w:tc>
      </w:tr>
      <w:tr w:rsidR="009204F7" w:rsidRPr="00B73199" w14:paraId="5508A392" w14:textId="77777777" w:rsidTr="009204F7">
        <w:tc>
          <w:tcPr>
            <w:tcW w:w="2178" w:type="dxa"/>
            <w:vMerge/>
            <w:vAlign w:val="center"/>
          </w:tcPr>
          <w:p w14:paraId="1D02491D" w14:textId="0FCC0C4C" w:rsidR="009204F7" w:rsidRPr="00771351" w:rsidRDefault="009204F7" w:rsidP="00927366">
            <w:pPr>
              <w:rPr>
                <w:rFonts w:ascii="Arial" w:hAnsi="Arial" w:cs="Arial"/>
                <w:sz w:val="18"/>
                <w:szCs w:val="18"/>
                <w:highlight w:val="yellow"/>
              </w:rPr>
            </w:pPr>
          </w:p>
        </w:tc>
        <w:tc>
          <w:tcPr>
            <w:tcW w:w="2700" w:type="dxa"/>
            <w:vAlign w:val="center"/>
          </w:tcPr>
          <w:p w14:paraId="7BBB9CD9" w14:textId="535480BC" w:rsidR="009204F7" w:rsidRPr="00771351" w:rsidRDefault="009204F7" w:rsidP="00B8413A">
            <w:pPr>
              <w:spacing w:before="120" w:after="120" w:line="264" w:lineRule="auto"/>
              <w:rPr>
                <w:rFonts w:ascii="Arial" w:hAnsi="Arial" w:cs="Arial"/>
                <w:sz w:val="18"/>
                <w:szCs w:val="18"/>
                <w:vertAlign w:val="superscript"/>
              </w:rPr>
            </w:pPr>
            <w:r w:rsidRPr="00771351">
              <w:rPr>
                <w:rFonts w:ascii="Arial" w:hAnsi="Arial" w:cs="Arial"/>
                <w:color w:val="000000"/>
                <w:sz w:val="18"/>
                <w:szCs w:val="18"/>
              </w:rPr>
              <w:t>Clients age 11-21</w:t>
            </w:r>
            <w:r>
              <w:rPr>
                <w:rFonts w:ascii="Arial" w:hAnsi="Arial" w:cs="Arial"/>
                <w:color w:val="000000"/>
                <w:sz w:val="18"/>
                <w:szCs w:val="18"/>
                <w:vertAlign w:val="superscript"/>
              </w:rPr>
              <w:t>h</w:t>
            </w:r>
          </w:p>
        </w:tc>
        <w:tc>
          <w:tcPr>
            <w:tcW w:w="1530" w:type="dxa"/>
            <w:vAlign w:val="bottom"/>
          </w:tcPr>
          <w:p w14:paraId="677D1D53" w14:textId="1A6383BF"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1,911</w:t>
            </w:r>
          </w:p>
        </w:tc>
        <w:tc>
          <w:tcPr>
            <w:tcW w:w="1637" w:type="dxa"/>
            <w:vAlign w:val="bottom"/>
          </w:tcPr>
          <w:p w14:paraId="45DAF9F4" w14:textId="10695E96"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sz w:val="18"/>
                <w:szCs w:val="18"/>
              </w:rPr>
              <w:t>2.12</w:t>
            </w:r>
          </w:p>
        </w:tc>
        <w:tc>
          <w:tcPr>
            <w:tcW w:w="1219" w:type="dxa"/>
            <w:vAlign w:val="bottom"/>
          </w:tcPr>
          <w:p w14:paraId="7CB3E8B1" w14:textId="4288012C"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4,051</w:t>
            </w:r>
          </w:p>
        </w:tc>
        <w:tc>
          <w:tcPr>
            <w:tcW w:w="1115" w:type="dxa"/>
            <w:vAlign w:val="bottom"/>
          </w:tcPr>
          <w:p w14:paraId="1CF2D373" w14:textId="24D4530F"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0.08</w:t>
            </w:r>
          </w:p>
        </w:tc>
        <w:tc>
          <w:tcPr>
            <w:tcW w:w="1077" w:type="dxa"/>
            <w:vAlign w:val="bottom"/>
          </w:tcPr>
          <w:p w14:paraId="2AA6B413" w14:textId="41A5CD79"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324</w:t>
            </w:r>
          </w:p>
        </w:tc>
        <w:tc>
          <w:tcPr>
            <w:tcW w:w="1165" w:type="dxa"/>
            <w:vAlign w:val="bottom"/>
          </w:tcPr>
          <w:p w14:paraId="585719D0" w14:textId="173AA825"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$7.25</w:t>
            </w:r>
          </w:p>
        </w:tc>
        <w:tc>
          <w:tcPr>
            <w:tcW w:w="1167" w:type="dxa"/>
            <w:vAlign w:val="bottom"/>
          </w:tcPr>
          <w:p w14:paraId="20862365" w14:textId="1B88F2BB"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$2,350</w:t>
            </w:r>
          </w:p>
        </w:tc>
      </w:tr>
      <w:tr w:rsidR="009204F7" w:rsidRPr="00B73199" w14:paraId="3946CEAE" w14:textId="77777777" w:rsidTr="009204F7">
        <w:tc>
          <w:tcPr>
            <w:tcW w:w="2178" w:type="dxa"/>
            <w:vMerge w:val="restart"/>
            <w:vAlign w:val="center"/>
          </w:tcPr>
          <w:p w14:paraId="4777F5A0" w14:textId="7F8C2C13" w:rsidR="009204F7" w:rsidRPr="00771351" w:rsidRDefault="009204F7" w:rsidP="00927366">
            <w:pPr>
              <w:rPr>
                <w:rFonts w:ascii="Arial" w:hAnsi="Arial" w:cs="Arial"/>
                <w:sz w:val="18"/>
                <w:szCs w:val="18"/>
                <w:highlight w:val="yellow"/>
              </w:rPr>
            </w:pPr>
            <w:r w:rsidRPr="00771351">
              <w:rPr>
                <w:rFonts w:ascii="Arial" w:hAnsi="Arial" w:cs="Arial"/>
                <w:color w:val="000000"/>
                <w:sz w:val="18"/>
                <w:szCs w:val="18"/>
              </w:rPr>
              <w:t>Pediatric Symptom Checklist-17</w:t>
            </w:r>
          </w:p>
        </w:tc>
        <w:tc>
          <w:tcPr>
            <w:tcW w:w="2700" w:type="dxa"/>
            <w:vAlign w:val="center"/>
          </w:tcPr>
          <w:p w14:paraId="6016CFF1" w14:textId="3DAA55EE" w:rsidR="009204F7" w:rsidRPr="00771351" w:rsidRDefault="009204F7" w:rsidP="00927366">
            <w:pPr>
              <w:rPr>
                <w:rFonts w:ascii="Arial" w:hAnsi="Arial" w:cs="Arial"/>
                <w:sz w:val="18"/>
                <w:szCs w:val="18"/>
                <w:highlight w:val="yellow"/>
              </w:rPr>
            </w:pPr>
            <w:r w:rsidRPr="00771351">
              <w:rPr>
                <w:rFonts w:ascii="Arial" w:hAnsi="Arial" w:cs="Arial"/>
                <w:color w:val="000000"/>
                <w:sz w:val="18"/>
                <w:szCs w:val="18"/>
              </w:rPr>
              <w:t>Caregivers of clients age 5-17</w:t>
            </w:r>
          </w:p>
        </w:tc>
        <w:tc>
          <w:tcPr>
            <w:tcW w:w="1530" w:type="dxa"/>
            <w:vAlign w:val="bottom"/>
          </w:tcPr>
          <w:p w14:paraId="66344211" w14:textId="09DC21F3"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3,172</w:t>
            </w:r>
          </w:p>
        </w:tc>
        <w:tc>
          <w:tcPr>
            <w:tcW w:w="1637" w:type="dxa"/>
            <w:vAlign w:val="bottom"/>
          </w:tcPr>
          <w:p w14:paraId="7DD76721" w14:textId="355E6221"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sz w:val="18"/>
                <w:szCs w:val="18"/>
              </w:rPr>
              <w:t>2.12</w:t>
            </w:r>
          </w:p>
        </w:tc>
        <w:tc>
          <w:tcPr>
            <w:tcW w:w="1219" w:type="dxa"/>
            <w:vAlign w:val="bottom"/>
          </w:tcPr>
          <w:p w14:paraId="4B9C5ED7" w14:textId="3A0C54DE"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6,725</w:t>
            </w:r>
          </w:p>
        </w:tc>
        <w:tc>
          <w:tcPr>
            <w:tcW w:w="1115" w:type="dxa"/>
            <w:vAlign w:val="bottom"/>
          </w:tcPr>
          <w:p w14:paraId="48EF2FB4" w14:textId="64B19A13"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0.05</w:t>
            </w:r>
          </w:p>
        </w:tc>
        <w:tc>
          <w:tcPr>
            <w:tcW w:w="1077" w:type="dxa"/>
            <w:vAlign w:val="bottom"/>
          </w:tcPr>
          <w:p w14:paraId="1B05DED0" w14:textId="72138BDC"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336</w:t>
            </w:r>
          </w:p>
        </w:tc>
        <w:tc>
          <w:tcPr>
            <w:tcW w:w="1165" w:type="dxa"/>
            <w:vAlign w:val="bottom"/>
          </w:tcPr>
          <w:p w14:paraId="4B41A3E9" w14:textId="145C4730"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$11.47</w:t>
            </w:r>
          </w:p>
        </w:tc>
        <w:tc>
          <w:tcPr>
            <w:tcW w:w="1167" w:type="dxa"/>
            <w:vAlign w:val="bottom"/>
          </w:tcPr>
          <w:p w14:paraId="3039ED06" w14:textId="4FBDF494"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$3,857</w:t>
            </w:r>
          </w:p>
        </w:tc>
      </w:tr>
      <w:tr w:rsidR="009204F7" w:rsidRPr="00B73199" w14:paraId="38AC9655" w14:textId="77777777" w:rsidTr="009204F7">
        <w:tc>
          <w:tcPr>
            <w:tcW w:w="2178" w:type="dxa"/>
            <w:vMerge/>
            <w:vAlign w:val="center"/>
          </w:tcPr>
          <w:p w14:paraId="6C73B855" w14:textId="28C20D9F" w:rsidR="009204F7" w:rsidRPr="00771351" w:rsidRDefault="009204F7" w:rsidP="00927366">
            <w:pPr>
              <w:rPr>
                <w:rFonts w:ascii="Arial" w:hAnsi="Arial" w:cs="Arial"/>
                <w:sz w:val="18"/>
                <w:szCs w:val="18"/>
                <w:highlight w:val="yellow"/>
              </w:rPr>
            </w:pPr>
          </w:p>
        </w:tc>
        <w:tc>
          <w:tcPr>
            <w:tcW w:w="2700" w:type="dxa"/>
            <w:vAlign w:val="center"/>
          </w:tcPr>
          <w:p w14:paraId="2E738DE4" w14:textId="42D72EC9" w:rsidR="009204F7" w:rsidRPr="00771351" w:rsidRDefault="009204F7" w:rsidP="00927366">
            <w:pPr>
              <w:rPr>
                <w:rFonts w:ascii="Arial" w:hAnsi="Arial" w:cs="Arial"/>
                <w:sz w:val="18"/>
                <w:szCs w:val="18"/>
                <w:highlight w:val="yellow"/>
              </w:rPr>
            </w:pPr>
            <w:r w:rsidRPr="00771351">
              <w:rPr>
                <w:rFonts w:ascii="Arial" w:hAnsi="Arial" w:cs="Arial"/>
                <w:color w:val="000000"/>
                <w:sz w:val="18"/>
                <w:szCs w:val="18"/>
              </w:rPr>
              <w:t>Clients age 11-21</w:t>
            </w:r>
          </w:p>
        </w:tc>
        <w:tc>
          <w:tcPr>
            <w:tcW w:w="1530" w:type="dxa"/>
            <w:vAlign w:val="bottom"/>
          </w:tcPr>
          <w:p w14:paraId="221724CB" w14:textId="28A76298"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1,911</w:t>
            </w:r>
          </w:p>
        </w:tc>
        <w:tc>
          <w:tcPr>
            <w:tcW w:w="1637" w:type="dxa"/>
            <w:vAlign w:val="bottom"/>
          </w:tcPr>
          <w:p w14:paraId="6CEB45BA" w14:textId="00E76A54"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sz w:val="18"/>
                <w:szCs w:val="18"/>
              </w:rPr>
              <w:t>2.12</w:t>
            </w:r>
          </w:p>
        </w:tc>
        <w:tc>
          <w:tcPr>
            <w:tcW w:w="1219" w:type="dxa"/>
            <w:vAlign w:val="bottom"/>
          </w:tcPr>
          <w:p w14:paraId="18DEE370" w14:textId="2A1548F8"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4,051</w:t>
            </w:r>
          </w:p>
        </w:tc>
        <w:tc>
          <w:tcPr>
            <w:tcW w:w="1115" w:type="dxa"/>
            <w:vAlign w:val="bottom"/>
          </w:tcPr>
          <w:p w14:paraId="39C804B2" w14:textId="35A6518B"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0.05</w:t>
            </w:r>
          </w:p>
        </w:tc>
        <w:tc>
          <w:tcPr>
            <w:tcW w:w="1077" w:type="dxa"/>
            <w:vAlign w:val="bottom"/>
          </w:tcPr>
          <w:p w14:paraId="496905AB" w14:textId="014F7B04"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203</w:t>
            </w:r>
          </w:p>
        </w:tc>
        <w:tc>
          <w:tcPr>
            <w:tcW w:w="1165" w:type="dxa"/>
            <w:vAlign w:val="bottom"/>
          </w:tcPr>
          <w:p w14:paraId="5D0B4544" w14:textId="13CE1089" w:rsidR="009204F7" w:rsidRPr="00E04112" w:rsidRDefault="009204F7" w:rsidP="00A74EAA">
            <w:pPr>
              <w:spacing w:after="120" w:line="264" w:lineRule="auto"/>
              <w:jc w:val="right"/>
              <w:rPr>
                <w:rFonts w:ascii="Arial" w:hAnsi="Arial" w:cs="Arial"/>
                <w:sz w:val="18"/>
                <w:szCs w:val="18"/>
                <w:highlight w:val="yellow"/>
              </w:rPr>
            </w:pPr>
            <w:r w:rsidRPr="00E04112">
              <w:rPr>
                <w:rFonts w:ascii="Arial" w:hAnsi="Arial" w:cs="Arial"/>
                <w:color w:val="000000"/>
                <w:sz w:val="18"/>
                <w:szCs w:val="18"/>
              </w:rPr>
              <w:t>$7.25</w:t>
            </w:r>
          </w:p>
        </w:tc>
        <w:tc>
          <w:tcPr>
            <w:tcW w:w="1167" w:type="dxa"/>
            <w:vAlign w:val="bottom"/>
          </w:tcPr>
          <w:p w14:paraId="146D1ADF" w14:textId="0EBD3028" w:rsidR="009204F7" w:rsidRPr="00E04112" w:rsidRDefault="009204F7" w:rsidP="00A74EAA">
            <w:pPr>
              <w:spacing w:after="120" w:line="264" w:lineRule="auto"/>
              <w:jc w:val="right"/>
              <w:rPr>
                <w:rFonts w:ascii="Arial" w:hAnsi="Arial" w:cs="Arial"/>
                <w:sz w:val="18"/>
                <w:szCs w:val="18"/>
                <w:highlight w:val="yellow"/>
              </w:rPr>
            </w:pPr>
            <w:r w:rsidRPr="00F511EA">
              <w:rPr>
                <w:rFonts w:ascii="Arial" w:hAnsi="Arial" w:cs="Arial"/>
                <w:color w:val="000000"/>
                <w:sz w:val="18"/>
                <w:szCs w:val="18"/>
              </w:rPr>
              <w:t>$1,469</w:t>
            </w:r>
          </w:p>
        </w:tc>
      </w:tr>
      <w:tr w:rsidR="009204F7" w:rsidRPr="00B73199" w14:paraId="14660395" w14:textId="77777777" w:rsidTr="009204F7">
        <w:tc>
          <w:tcPr>
            <w:tcW w:w="2178" w:type="dxa"/>
            <w:tcBorders>
              <w:bottom w:val="single" w:sz="4" w:space="0" w:color="auto"/>
            </w:tcBorders>
            <w:vAlign w:val="center"/>
          </w:tcPr>
          <w:p w14:paraId="0A34521E" w14:textId="77777777" w:rsidR="009204F7" w:rsidRPr="00771351" w:rsidRDefault="009204F7" w:rsidP="00596E69">
            <w:pPr>
              <w:rPr>
                <w:rFonts w:ascii="Arial" w:hAnsi="Arial" w:cs="Arial"/>
                <w:sz w:val="18"/>
                <w:szCs w:val="18"/>
              </w:rPr>
            </w:pPr>
            <w:r w:rsidRPr="00771351">
              <w:rPr>
                <w:rFonts w:ascii="Arial" w:hAnsi="Arial" w:cs="Arial"/>
                <w:color w:val="000000"/>
                <w:sz w:val="18"/>
                <w:szCs w:val="18"/>
              </w:rPr>
              <w:t>Client record review</w:t>
            </w:r>
          </w:p>
        </w:tc>
        <w:tc>
          <w:tcPr>
            <w:tcW w:w="2700" w:type="dxa"/>
            <w:tcBorders>
              <w:bottom w:val="single" w:sz="4" w:space="0" w:color="auto"/>
            </w:tcBorders>
            <w:vAlign w:val="center"/>
          </w:tcPr>
          <w:p w14:paraId="143F0751" w14:textId="77777777" w:rsidR="009204F7" w:rsidRPr="00771351" w:rsidRDefault="009204F7" w:rsidP="00596E69">
            <w:pPr>
              <w:rPr>
                <w:rFonts w:ascii="Arial" w:hAnsi="Arial" w:cs="Arial"/>
                <w:sz w:val="18"/>
                <w:szCs w:val="18"/>
              </w:rPr>
            </w:pPr>
            <w:r w:rsidRPr="00771351">
              <w:rPr>
                <w:rFonts w:ascii="Arial" w:hAnsi="Arial" w:cs="Arial"/>
                <w:color w:val="000000"/>
                <w:sz w:val="18"/>
                <w:szCs w:val="18"/>
              </w:rPr>
              <w:t>Site staff</w:t>
            </w:r>
          </w:p>
        </w:tc>
        <w:tc>
          <w:tcPr>
            <w:tcW w:w="1530" w:type="dxa"/>
            <w:tcBorders>
              <w:bottom w:val="single" w:sz="4" w:space="0" w:color="auto"/>
            </w:tcBorders>
            <w:vAlign w:val="bottom"/>
          </w:tcPr>
          <w:p w14:paraId="51086DAA" w14:textId="5DDA7E0D"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28</w:t>
            </w:r>
          </w:p>
        </w:tc>
        <w:tc>
          <w:tcPr>
            <w:tcW w:w="1637" w:type="dxa"/>
            <w:tcBorders>
              <w:bottom w:val="single" w:sz="4" w:space="0" w:color="auto"/>
            </w:tcBorders>
            <w:vAlign w:val="bottom"/>
          </w:tcPr>
          <w:p w14:paraId="4B63F849" w14:textId="77777777" w:rsidR="009204F7" w:rsidRPr="00E04112" w:rsidRDefault="009204F7" w:rsidP="00A74EAA">
            <w:pPr>
              <w:spacing w:after="120" w:line="264" w:lineRule="auto"/>
              <w:jc w:val="right"/>
              <w:rPr>
                <w:rFonts w:ascii="Arial" w:hAnsi="Arial" w:cs="Arial"/>
                <w:sz w:val="18"/>
                <w:szCs w:val="18"/>
              </w:rPr>
            </w:pPr>
            <w:r w:rsidRPr="00E04112">
              <w:rPr>
                <w:rFonts w:ascii="Arial" w:hAnsi="Arial" w:cs="Arial"/>
                <w:sz w:val="18"/>
                <w:szCs w:val="18"/>
              </w:rPr>
              <w:t>407</w:t>
            </w:r>
          </w:p>
        </w:tc>
        <w:tc>
          <w:tcPr>
            <w:tcW w:w="1219" w:type="dxa"/>
            <w:tcBorders>
              <w:bottom w:val="single" w:sz="4" w:space="0" w:color="auto"/>
            </w:tcBorders>
            <w:vAlign w:val="bottom"/>
          </w:tcPr>
          <w:p w14:paraId="5538E714" w14:textId="5CAEFAEA"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11,261</w:t>
            </w:r>
          </w:p>
        </w:tc>
        <w:tc>
          <w:tcPr>
            <w:tcW w:w="1115" w:type="dxa"/>
            <w:tcBorders>
              <w:bottom w:val="single" w:sz="4" w:space="0" w:color="auto"/>
            </w:tcBorders>
            <w:vAlign w:val="bottom"/>
          </w:tcPr>
          <w:p w14:paraId="0305CCF3" w14:textId="77777777" w:rsidR="009204F7" w:rsidRPr="00E04112" w:rsidRDefault="009204F7" w:rsidP="00A74EAA">
            <w:pPr>
              <w:spacing w:after="120" w:line="264" w:lineRule="auto"/>
              <w:jc w:val="right"/>
              <w:rPr>
                <w:rFonts w:ascii="Arial" w:hAnsi="Arial" w:cs="Arial"/>
                <w:sz w:val="18"/>
                <w:szCs w:val="18"/>
              </w:rPr>
            </w:pPr>
            <w:r w:rsidRPr="00E04112">
              <w:rPr>
                <w:rFonts w:ascii="Arial" w:hAnsi="Arial" w:cs="Arial"/>
                <w:color w:val="000000"/>
                <w:sz w:val="18"/>
                <w:szCs w:val="18"/>
              </w:rPr>
              <w:t>0.21</w:t>
            </w:r>
          </w:p>
        </w:tc>
        <w:tc>
          <w:tcPr>
            <w:tcW w:w="1077" w:type="dxa"/>
            <w:tcBorders>
              <w:bottom w:val="single" w:sz="4" w:space="0" w:color="auto"/>
            </w:tcBorders>
            <w:vAlign w:val="bottom"/>
          </w:tcPr>
          <w:p w14:paraId="10944239" w14:textId="63EDDAD6" w:rsidR="009204F7" w:rsidRPr="00E04112" w:rsidRDefault="009204F7" w:rsidP="00A74EAA">
            <w:pPr>
              <w:spacing w:after="120" w:line="264" w:lineRule="auto"/>
              <w:jc w:val="right"/>
              <w:rPr>
                <w:rFonts w:ascii="Arial" w:hAnsi="Arial" w:cs="Arial"/>
                <w:sz w:val="18"/>
                <w:szCs w:val="18"/>
              </w:rPr>
            </w:pPr>
            <w:r w:rsidRPr="00F511EA">
              <w:rPr>
                <w:rFonts w:ascii="Arial" w:hAnsi="Arial" w:cs="Arial"/>
                <w:color w:val="000000"/>
                <w:sz w:val="18"/>
                <w:szCs w:val="18"/>
              </w:rPr>
              <w:t>2,365</w:t>
            </w:r>
          </w:p>
        </w:tc>
        <w:tc>
          <w:tcPr>
            <w:tcW w:w="1165" w:type="dxa"/>
            <w:tcBorders>
              <w:bottom w:val="single" w:sz="4" w:space="0" w:color="auto"/>
            </w:tcBorders>
            <w:vAlign w:val="bottom"/>
          </w:tcPr>
          <w:p w14:paraId="22BD442D" w14:textId="77777777" w:rsidR="009204F7" w:rsidRPr="00E04112" w:rsidRDefault="009204F7" w:rsidP="00A74EAA">
            <w:pPr>
              <w:spacing w:after="120" w:line="264" w:lineRule="auto"/>
              <w:jc w:val="right"/>
              <w:rPr>
                <w:rFonts w:ascii="Arial" w:hAnsi="Arial" w:cs="Arial"/>
                <w:sz w:val="18"/>
                <w:szCs w:val="18"/>
              </w:rPr>
            </w:pPr>
            <w:r w:rsidRPr="00E04112">
              <w:rPr>
                <w:rFonts w:ascii="Arial" w:hAnsi="Arial" w:cs="Arial"/>
                <w:color w:val="000000"/>
                <w:sz w:val="18"/>
                <w:szCs w:val="18"/>
              </w:rPr>
              <w:t>$21.55</w:t>
            </w:r>
          </w:p>
        </w:tc>
        <w:tc>
          <w:tcPr>
            <w:tcW w:w="1167" w:type="dxa"/>
            <w:tcBorders>
              <w:bottom w:val="single" w:sz="4" w:space="0" w:color="auto"/>
            </w:tcBorders>
            <w:vAlign w:val="bottom"/>
          </w:tcPr>
          <w:p w14:paraId="51ED370E" w14:textId="47E22584" w:rsidR="009204F7" w:rsidRPr="00E04112" w:rsidRDefault="009204F7" w:rsidP="00A74EAA">
            <w:pPr>
              <w:spacing w:after="120" w:line="264" w:lineRule="auto"/>
              <w:jc w:val="right"/>
              <w:rPr>
                <w:rFonts w:ascii="Arial" w:hAnsi="Arial" w:cs="Arial"/>
                <w:color w:val="000000"/>
                <w:sz w:val="18"/>
                <w:szCs w:val="18"/>
              </w:rPr>
            </w:pPr>
            <w:r w:rsidRPr="00F511EA">
              <w:rPr>
                <w:rFonts w:ascii="Arial" w:hAnsi="Arial" w:cs="Arial"/>
                <w:color w:val="000000"/>
                <w:sz w:val="18"/>
                <w:szCs w:val="18"/>
              </w:rPr>
              <w:t>$50,964</w:t>
            </w:r>
          </w:p>
        </w:tc>
      </w:tr>
      <w:tr w:rsidR="00AD0D4A" w:rsidRPr="00B73199" w14:paraId="6BF952D1" w14:textId="77777777" w:rsidTr="009204F7">
        <w:trPr>
          <w:trHeight w:val="278"/>
        </w:trPr>
        <w:tc>
          <w:tcPr>
            <w:tcW w:w="217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8A42965" w14:textId="6EED3EE1" w:rsidR="00AD0D4A" w:rsidRPr="00A42A06" w:rsidRDefault="00A42A06" w:rsidP="00596E69">
            <w:pPr>
              <w:rPr>
                <w:rFonts w:ascii="Arial" w:hAnsi="Arial" w:cs="Arial"/>
                <w:b/>
                <w:sz w:val="18"/>
                <w:szCs w:val="18"/>
              </w:rPr>
            </w:pPr>
            <w:r w:rsidRPr="00A42A06">
              <w:rPr>
                <w:rFonts w:ascii="Arial" w:hAnsi="Arial" w:cs="Arial"/>
                <w:b/>
                <w:sz w:val="18"/>
                <w:szCs w:val="18"/>
              </w:rPr>
              <w:t>Total Annual Burden</w:t>
            </w:r>
          </w:p>
        </w:tc>
        <w:tc>
          <w:tcPr>
            <w:tcW w:w="2700" w:type="dxa"/>
            <w:tcBorders>
              <w:top w:val="single" w:sz="4" w:space="0" w:color="auto"/>
              <w:left w:val="nil"/>
              <w:bottom w:val="single" w:sz="4" w:space="0" w:color="auto"/>
              <w:right w:val="nil"/>
            </w:tcBorders>
            <w:shd w:val="clear" w:color="auto" w:fill="D9D9D9" w:themeFill="background1" w:themeFillShade="D9"/>
            <w:vAlign w:val="center"/>
          </w:tcPr>
          <w:p w14:paraId="3CD4DF5C" w14:textId="14E9A792" w:rsidR="00AD0D4A" w:rsidRPr="00771351" w:rsidRDefault="00AD0D4A" w:rsidP="00596E69">
            <w:pPr>
              <w:rPr>
                <w:rFonts w:ascii="Arial" w:hAnsi="Arial" w:cs="Arial"/>
                <w:sz w:val="18"/>
                <w:szCs w:val="18"/>
              </w:rPr>
            </w:pPr>
          </w:p>
        </w:tc>
        <w:tc>
          <w:tcPr>
            <w:tcW w:w="1530" w:type="dxa"/>
            <w:tcBorders>
              <w:top w:val="single" w:sz="4" w:space="0" w:color="auto"/>
              <w:left w:val="nil"/>
              <w:bottom w:val="single" w:sz="4" w:space="0" w:color="auto"/>
              <w:right w:val="nil"/>
            </w:tcBorders>
            <w:shd w:val="clear" w:color="auto" w:fill="D9D9D9" w:themeFill="background1" w:themeFillShade="D9"/>
            <w:vAlign w:val="bottom"/>
          </w:tcPr>
          <w:p w14:paraId="4D8993D4" w14:textId="73E4359C" w:rsidR="00AD0D4A" w:rsidRPr="00E04112" w:rsidRDefault="00AD0D4A" w:rsidP="00596E69">
            <w:pPr>
              <w:spacing w:after="120" w:line="264" w:lineRule="auto"/>
              <w:jc w:val="right"/>
              <w:rPr>
                <w:rFonts w:ascii="Arial" w:hAnsi="Arial" w:cs="Arial"/>
                <w:color w:val="000000"/>
                <w:sz w:val="18"/>
                <w:szCs w:val="18"/>
              </w:rPr>
            </w:pPr>
          </w:p>
        </w:tc>
        <w:tc>
          <w:tcPr>
            <w:tcW w:w="1637" w:type="dxa"/>
            <w:tcBorders>
              <w:top w:val="single" w:sz="4" w:space="0" w:color="auto"/>
              <w:left w:val="nil"/>
              <w:bottom w:val="single" w:sz="4" w:space="0" w:color="auto"/>
              <w:right w:val="nil"/>
            </w:tcBorders>
            <w:shd w:val="clear" w:color="auto" w:fill="D9D9D9" w:themeFill="background1" w:themeFillShade="D9"/>
            <w:vAlign w:val="bottom"/>
          </w:tcPr>
          <w:p w14:paraId="31F909D4" w14:textId="34A9DF31" w:rsidR="00AD0D4A" w:rsidRPr="00E04112" w:rsidRDefault="00AD0D4A" w:rsidP="00596E69">
            <w:pPr>
              <w:spacing w:after="120" w:line="264" w:lineRule="auto"/>
              <w:jc w:val="right"/>
              <w:rPr>
                <w:rFonts w:ascii="Arial" w:hAnsi="Arial" w:cs="Arial"/>
                <w:sz w:val="18"/>
                <w:szCs w:val="18"/>
              </w:rPr>
            </w:pPr>
          </w:p>
        </w:tc>
        <w:tc>
          <w:tcPr>
            <w:tcW w:w="1219" w:type="dxa"/>
            <w:tcBorders>
              <w:top w:val="single" w:sz="4" w:space="0" w:color="auto"/>
              <w:left w:val="nil"/>
              <w:bottom w:val="single" w:sz="4" w:space="0" w:color="auto"/>
              <w:right w:val="nil"/>
            </w:tcBorders>
            <w:shd w:val="clear" w:color="auto" w:fill="D9D9D9" w:themeFill="background1" w:themeFillShade="D9"/>
            <w:vAlign w:val="bottom"/>
          </w:tcPr>
          <w:p w14:paraId="39FACD60" w14:textId="34FBA306" w:rsidR="00AD0D4A" w:rsidRPr="00E04112" w:rsidRDefault="00AD0D4A" w:rsidP="00596E69">
            <w:pPr>
              <w:spacing w:after="120" w:line="264" w:lineRule="auto"/>
              <w:jc w:val="right"/>
              <w:rPr>
                <w:rFonts w:ascii="Arial" w:hAnsi="Arial" w:cs="Arial"/>
                <w:sz w:val="18"/>
                <w:szCs w:val="18"/>
              </w:rPr>
            </w:pPr>
          </w:p>
        </w:tc>
        <w:tc>
          <w:tcPr>
            <w:tcW w:w="1115" w:type="dxa"/>
            <w:tcBorders>
              <w:top w:val="single" w:sz="4" w:space="0" w:color="auto"/>
              <w:left w:val="nil"/>
              <w:bottom w:val="single" w:sz="4" w:space="0" w:color="auto"/>
              <w:right w:val="nil"/>
            </w:tcBorders>
            <w:shd w:val="clear" w:color="auto" w:fill="D9D9D9" w:themeFill="background1" w:themeFillShade="D9"/>
            <w:vAlign w:val="bottom"/>
          </w:tcPr>
          <w:p w14:paraId="65A5C107" w14:textId="4F4569E0" w:rsidR="00AD0D4A" w:rsidRPr="00E04112" w:rsidRDefault="00AD0D4A" w:rsidP="00596E69">
            <w:pPr>
              <w:spacing w:after="120" w:line="264" w:lineRule="auto"/>
              <w:jc w:val="right"/>
              <w:rPr>
                <w:rFonts w:ascii="Arial" w:hAnsi="Arial" w:cs="Arial"/>
                <w:sz w:val="18"/>
                <w:szCs w:val="18"/>
              </w:rPr>
            </w:pPr>
          </w:p>
        </w:tc>
        <w:tc>
          <w:tcPr>
            <w:tcW w:w="1077" w:type="dxa"/>
            <w:tcBorders>
              <w:top w:val="single" w:sz="4" w:space="0" w:color="auto"/>
              <w:left w:val="nil"/>
              <w:bottom w:val="single" w:sz="4" w:space="0" w:color="auto"/>
              <w:right w:val="nil"/>
            </w:tcBorders>
            <w:shd w:val="clear" w:color="auto" w:fill="D9D9D9" w:themeFill="background1" w:themeFillShade="D9"/>
            <w:vAlign w:val="bottom"/>
          </w:tcPr>
          <w:p w14:paraId="22EB0BA0" w14:textId="445D6DAD" w:rsidR="00AD0D4A" w:rsidRPr="00E04112" w:rsidRDefault="00AD0D4A" w:rsidP="00596E69">
            <w:pPr>
              <w:spacing w:after="120" w:line="264" w:lineRule="auto"/>
              <w:jc w:val="right"/>
              <w:rPr>
                <w:rFonts w:ascii="Arial" w:hAnsi="Arial" w:cs="Arial"/>
                <w:sz w:val="18"/>
                <w:szCs w:val="18"/>
              </w:rPr>
            </w:pPr>
          </w:p>
        </w:tc>
        <w:tc>
          <w:tcPr>
            <w:tcW w:w="1165" w:type="dxa"/>
            <w:tcBorders>
              <w:top w:val="single" w:sz="4" w:space="0" w:color="auto"/>
              <w:left w:val="nil"/>
              <w:bottom w:val="single" w:sz="4" w:space="0" w:color="auto"/>
              <w:right w:val="nil"/>
            </w:tcBorders>
            <w:shd w:val="clear" w:color="auto" w:fill="D9D9D9" w:themeFill="background1" w:themeFillShade="D9"/>
            <w:vAlign w:val="bottom"/>
          </w:tcPr>
          <w:p w14:paraId="2E29CA0D" w14:textId="11F6CE85" w:rsidR="00AD0D4A" w:rsidRPr="00E04112" w:rsidRDefault="00AD0D4A" w:rsidP="00596E69">
            <w:pPr>
              <w:spacing w:after="120" w:line="264" w:lineRule="auto"/>
              <w:jc w:val="right"/>
              <w:rPr>
                <w:rFonts w:ascii="Arial" w:hAnsi="Arial" w:cs="Arial"/>
                <w:sz w:val="18"/>
                <w:szCs w:val="18"/>
              </w:rPr>
            </w:pPr>
          </w:p>
        </w:tc>
        <w:tc>
          <w:tcPr>
            <w:tcW w:w="1167" w:type="dxa"/>
            <w:tcBorders>
              <w:top w:val="single" w:sz="4" w:space="0" w:color="auto"/>
              <w:left w:val="nil"/>
              <w:bottom w:val="single" w:sz="4" w:space="0" w:color="auto"/>
              <w:right w:val="single" w:sz="4" w:space="0" w:color="auto"/>
            </w:tcBorders>
            <w:shd w:val="clear" w:color="auto" w:fill="D9D9D9" w:themeFill="background1" w:themeFillShade="D9"/>
            <w:vAlign w:val="bottom"/>
          </w:tcPr>
          <w:p w14:paraId="14390ECC" w14:textId="56EB0A4B" w:rsidR="00AD0D4A" w:rsidRPr="00E04112" w:rsidRDefault="00AD0D4A" w:rsidP="00596E69">
            <w:pPr>
              <w:spacing w:after="120" w:line="264" w:lineRule="auto"/>
              <w:jc w:val="right"/>
              <w:rPr>
                <w:rFonts w:ascii="Arial" w:hAnsi="Arial" w:cs="Arial"/>
                <w:color w:val="000000"/>
                <w:sz w:val="18"/>
                <w:szCs w:val="18"/>
              </w:rPr>
            </w:pPr>
          </w:p>
        </w:tc>
      </w:tr>
      <w:tr w:rsidR="00F57FC1" w:rsidRPr="00B73199" w14:paraId="7DB13843" w14:textId="77777777" w:rsidTr="00902520">
        <w:trPr>
          <w:trHeight w:val="350"/>
        </w:trPr>
        <w:tc>
          <w:tcPr>
            <w:tcW w:w="2178" w:type="dxa"/>
            <w:tcBorders>
              <w:top w:val="single" w:sz="4" w:space="0" w:color="auto"/>
            </w:tcBorders>
            <w:vAlign w:val="center"/>
          </w:tcPr>
          <w:p w14:paraId="4689732A" w14:textId="4C2BA60C" w:rsidR="00F57FC1" w:rsidRPr="00771351" w:rsidRDefault="00F57FC1" w:rsidP="00927366">
            <w:pPr>
              <w:rPr>
                <w:rFonts w:ascii="Arial" w:hAnsi="Arial" w:cs="Arial"/>
                <w:sz w:val="18"/>
                <w:szCs w:val="18"/>
              </w:rPr>
            </w:pPr>
            <w:r>
              <w:rPr>
                <w:rFonts w:ascii="Arial" w:hAnsi="Arial" w:cs="Arial"/>
                <w:sz w:val="18"/>
                <w:szCs w:val="18"/>
              </w:rPr>
              <w:t>All</w:t>
            </w:r>
          </w:p>
        </w:tc>
        <w:tc>
          <w:tcPr>
            <w:tcW w:w="2700" w:type="dxa"/>
            <w:tcBorders>
              <w:top w:val="single" w:sz="4" w:space="0" w:color="auto"/>
            </w:tcBorders>
            <w:vAlign w:val="center"/>
          </w:tcPr>
          <w:p w14:paraId="2213EBA6" w14:textId="418DF53F" w:rsidR="00F57FC1" w:rsidRPr="00771351" w:rsidRDefault="00F57FC1" w:rsidP="00927366">
            <w:pPr>
              <w:rPr>
                <w:rFonts w:ascii="Arial" w:hAnsi="Arial" w:cs="Arial"/>
                <w:sz w:val="18"/>
                <w:szCs w:val="18"/>
              </w:rPr>
            </w:pPr>
            <w:r>
              <w:rPr>
                <w:rFonts w:ascii="Arial" w:hAnsi="Arial" w:cs="Arial"/>
                <w:sz w:val="18"/>
                <w:szCs w:val="18"/>
              </w:rPr>
              <w:t>All</w:t>
            </w:r>
          </w:p>
        </w:tc>
        <w:tc>
          <w:tcPr>
            <w:tcW w:w="1530" w:type="dxa"/>
            <w:tcBorders>
              <w:top w:val="single" w:sz="4" w:space="0" w:color="auto"/>
            </w:tcBorders>
            <w:vAlign w:val="center"/>
          </w:tcPr>
          <w:p w14:paraId="71440D87" w14:textId="611D9666" w:rsidR="00F57FC1" w:rsidRPr="00E04112" w:rsidRDefault="002623A2" w:rsidP="00201FD3">
            <w:pPr>
              <w:spacing w:line="264" w:lineRule="auto"/>
              <w:jc w:val="right"/>
              <w:rPr>
                <w:rFonts w:ascii="Arial" w:hAnsi="Arial" w:cs="Arial"/>
                <w:color w:val="000000"/>
                <w:sz w:val="18"/>
                <w:szCs w:val="18"/>
              </w:rPr>
            </w:pPr>
            <w:r>
              <w:rPr>
                <w:rFonts w:ascii="Arial" w:hAnsi="Arial" w:cs="Arial"/>
                <w:color w:val="000000"/>
                <w:sz w:val="18"/>
                <w:szCs w:val="18"/>
              </w:rPr>
              <w:t>9,</w:t>
            </w:r>
            <w:r w:rsidR="00902520">
              <w:rPr>
                <w:rFonts w:ascii="Arial" w:hAnsi="Arial" w:cs="Arial"/>
                <w:color w:val="000000"/>
                <w:sz w:val="18"/>
                <w:szCs w:val="18"/>
              </w:rPr>
              <w:t>365</w:t>
            </w:r>
          </w:p>
        </w:tc>
        <w:tc>
          <w:tcPr>
            <w:tcW w:w="1637" w:type="dxa"/>
            <w:tcBorders>
              <w:top w:val="single" w:sz="4" w:space="0" w:color="auto"/>
            </w:tcBorders>
            <w:shd w:val="clear" w:color="auto" w:fill="D9D9D9" w:themeFill="background1" w:themeFillShade="D9"/>
            <w:vAlign w:val="center"/>
          </w:tcPr>
          <w:p w14:paraId="5AC7E628" w14:textId="5479BA63" w:rsidR="00F57FC1" w:rsidRPr="00E04112" w:rsidRDefault="00F57FC1" w:rsidP="00201FD3">
            <w:pPr>
              <w:spacing w:line="264" w:lineRule="auto"/>
              <w:jc w:val="right"/>
              <w:rPr>
                <w:rFonts w:ascii="Arial" w:hAnsi="Arial" w:cs="Arial"/>
                <w:sz w:val="18"/>
                <w:szCs w:val="18"/>
              </w:rPr>
            </w:pPr>
          </w:p>
        </w:tc>
        <w:tc>
          <w:tcPr>
            <w:tcW w:w="1219" w:type="dxa"/>
            <w:tcBorders>
              <w:top w:val="single" w:sz="4" w:space="0" w:color="auto"/>
            </w:tcBorders>
            <w:vAlign w:val="center"/>
          </w:tcPr>
          <w:p w14:paraId="41D57EF2" w14:textId="3069C7BF" w:rsidR="00F57FC1" w:rsidRPr="00E04112" w:rsidRDefault="00E04112" w:rsidP="00201FD3">
            <w:pPr>
              <w:spacing w:line="264" w:lineRule="auto"/>
              <w:jc w:val="right"/>
              <w:rPr>
                <w:rFonts w:ascii="Arial" w:hAnsi="Arial" w:cs="Arial"/>
                <w:sz w:val="18"/>
                <w:szCs w:val="18"/>
              </w:rPr>
            </w:pPr>
            <w:r>
              <w:rPr>
                <w:rFonts w:ascii="Arial" w:hAnsi="Arial" w:cs="Arial"/>
                <w:sz w:val="18"/>
                <w:szCs w:val="18"/>
              </w:rPr>
              <w:t>56,</w:t>
            </w:r>
            <w:r w:rsidR="00902520">
              <w:rPr>
                <w:rFonts w:ascii="Arial" w:hAnsi="Arial" w:cs="Arial"/>
                <w:sz w:val="18"/>
                <w:szCs w:val="18"/>
              </w:rPr>
              <w:t>664</w:t>
            </w:r>
          </w:p>
        </w:tc>
        <w:tc>
          <w:tcPr>
            <w:tcW w:w="1115" w:type="dxa"/>
            <w:tcBorders>
              <w:top w:val="single" w:sz="4" w:space="0" w:color="auto"/>
            </w:tcBorders>
            <w:shd w:val="clear" w:color="auto" w:fill="D9D9D9" w:themeFill="background1" w:themeFillShade="D9"/>
            <w:vAlign w:val="center"/>
          </w:tcPr>
          <w:p w14:paraId="3673F1C4" w14:textId="37C405A4" w:rsidR="00F57FC1" w:rsidRPr="00E04112" w:rsidRDefault="00F57FC1" w:rsidP="00201FD3">
            <w:pPr>
              <w:spacing w:line="264" w:lineRule="auto"/>
              <w:jc w:val="right"/>
              <w:rPr>
                <w:rFonts w:ascii="Arial" w:hAnsi="Arial" w:cs="Arial"/>
                <w:sz w:val="18"/>
                <w:szCs w:val="18"/>
              </w:rPr>
            </w:pPr>
          </w:p>
        </w:tc>
        <w:tc>
          <w:tcPr>
            <w:tcW w:w="1077" w:type="dxa"/>
            <w:tcBorders>
              <w:top w:val="single" w:sz="4" w:space="0" w:color="auto"/>
            </w:tcBorders>
            <w:vAlign w:val="center"/>
          </w:tcPr>
          <w:p w14:paraId="190EBC9B" w14:textId="51F4F1AA" w:rsidR="00F57FC1" w:rsidRPr="00E04112" w:rsidRDefault="00E04112" w:rsidP="00201FD3">
            <w:pPr>
              <w:spacing w:line="264" w:lineRule="auto"/>
              <w:jc w:val="right"/>
              <w:rPr>
                <w:rFonts w:ascii="Arial" w:hAnsi="Arial" w:cs="Arial"/>
                <w:sz w:val="18"/>
                <w:szCs w:val="18"/>
              </w:rPr>
            </w:pPr>
            <w:r w:rsidRPr="00E04112">
              <w:rPr>
                <w:rFonts w:ascii="Arial" w:hAnsi="Arial" w:cs="Arial"/>
                <w:sz w:val="18"/>
                <w:szCs w:val="18"/>
              </w:rPr>
              <w:t>11,</w:t>
            </w:r>
            <w:r w:rsidR="00902520">
              <w:rPr>
                <w:rFonts w:ascii="Arial" w:hAnsi="Arial" w:cs="Arial"/>
                <w:sz w:val="18"/>
                <w:szCs w:val="18"/>
              </w:rPr>
              <w:t>958</w:t>
            </w:r>
          </w:p>
        </w:tc>
        <w:tc>
          <w:tcPr>
            <w:tcW w:w="1165" w:type="dxa"/>
            <w:tcBorders>
              <w:top w:val="single" w:sz="4" w:space="0" w:color="auto"/>
            </w:tcBorders>
            <w:shd w:val="clear" w:color="auto" w:fill="D9D9D9" w:themeFill="background1" w:themeFillShade="D9"/>
            <w:vAlign w:val="center"/>
          </w:tcPr>
          <w:p w14:paraId="656635F6" w14:textId="19C29E47" w:rsidR="00F57FC1" w:rsidRPr="00E04112" w:rsidRDefault="00F57FC1" w:rsidP="00201FD3">
            <w:pPr>
              <w:spacing w:line="264" w:lineRule="auto"/>
              <w:jc w:val="right"/>
              <w:rPr>
                <w:rFonts w:ascii="Arial" w:hAnsi="Arial" w:cs="Arial"/>
                <w:sz w:val="18"/>
                <w:szCs w:val="18"/>
              </w:rPr>
            </w:pPr>
          </w:p>
        </w:tc>
        <w:tc>
          <w:tcPr>
            <w:tcW w:w="1167" w:type="dxa"/>
            <w:tcBorders>
              <w:top w:val="single" w:sz="4" w:space="0" w:color="auto"/>
            </w:tcBorders>
            <w:vAlign w:val="center"/>
          </w:tcPr>
          <w:p w14:paraId="1D310C4A" w14:textId="411ADB7B" w:rsidR="00F57FC1" w:rsidRPr="00E04112" w:rsidRDefault="00F57FC1" w:rsidP="00201FD3">
            <w:pPr>
              <w:jc w:val="right"/>
              <w:rPr>
                <w:rFonts w:ascii="Arial" w:hAnsi="Arial" w:cs="Arial"/>
                <w:color w:val="000000"/>
                <w:sz w:val="18"/>
                <w:szCs w:val="18"/>
              </w:rPr>
            </w:pPr>
            <w:r w:rsidRPr="00F511EA">
              <w:rPr>
                <w:rFonts w:ascii="Arial" w:hAnsi="Arial" w:cs="Arial"/>
                <w:color w:val="000000"/>
                <w:sz w:val="18"/>
                <w:szCs w:val="18"/>
              </w:rPr>
              <w:t>$</w:t>
            </w:r>
            <w:r w:rsidR="00E04112" w:rsidRPr="00E04112">
              <w:rPr>
                <w:rFonts w:ascii="Arial" w:hAnsi="Arial" w:cs="Arial"/>
                <w:color w:val="000000"/>
                <w:sz w:val="18"/>
                <w:szCs w:val="18"/>
              </w:rPr>
              <w:t>23</w:t>
            </w:r>
            <w:r w:rsidR="00902520">
              <w:rPr>
                <w:rFonts w:ascii="Arial" w:hAnsi="Arial" w:cs="Arial"/>
                <w:color w:val="000000"/>
                <w:sz w:val="18"/>
                <w:szCs w:val="18"/>
              </w:rPr>
              <w:t>5</w:t>
            </w:r>
            <w:r w:rsidR="00E04112" w:rsidRPr="00E04112">
              <w:rPr>
                <w:rFonts w:ascii="Arial" w:hAnsi="Arial" w:cs="Arial"/>
                <w:color w:val="000000"/>
                <w:sz w:val="18"/>
                <w:szCs w:val="18"/>
              </w:rPr>
              <w:t>,</w:t>
            </w:r>
            <w:r w:rsidR="00902520">
              <w:rPr>
                <w:rFonts w:ascii="Arial" w:hAnsi="Arial" w:cs="Arial"/>
                <w:color w:val="000000"/>
                <w:sz w:val="18"/>
                <w:szCs w:val="18"/>
              </w:rPr>
              <w:t>915</w:t>
            </w:r>
          </w:p>
        </w:tc>
      </w:tr>
    </w:tbl>
    <w:p w14:paraId="232555E2" w14:textId="77777777" w:rsidR="0087059B" w:rsidRDefault="0087059B" w:rsidP="0090382C">
      <w:pPr>
        <w:spacing w:after="0" w:line="240" w:lineRule="auto"/>
        <w:rPr>
          <w:rFonts w:ascii="Times New Roman" w:hAnsi="Times New Roman" w:cs="Times New Roman"/>
          <w:sz w:val="22"/>
          <w:szCs w:val="22"/>
          <w:highlight w:val="yellow"/>
        </w:rPr>
        <w:sectPr w:rsidR="0087059B" w:rsidSect="00E16790">
          <w:pgSz w:w="15840" w:h="12240" w:orient="landscape"/>
          <w:pgMar w:top="1440" w:right="1440" w:bottom="1440" w:left="1440" w:header="720" w:footer="720" w:gutter="0"/>
          <w:cols w:space="720"/>
          <w:docGrid w:linePitch="360"/>
        </w:sectPr>
      </w:pPr>
    </w:p>
    <w:p w14:paraId="0D368F02" w14:textId="7692ABF7" w:rsidR="00954C90" w:rsidRPr="00176A71" w:rsidRDefault="00954C90" w:rsidP="00276725">
      <w:pPr>
        <w:pStyle w:val="ListParagraph"/>
        <w:numPr>
          <w:ilvl w:val="0"/>
          <w:numId w:val="45"/>
        </w:numPr>
        <w:spacing w:after="0" w:line="240" w:lineRule="auto"/>
        <w:rPr>
          <w:rFonts w:ascii="Arial" w:eastAsia="Times New Roman" w:hAnsi="Arial" w:cs="Arial"/>
          <w:color w:val="000000"/>
          <w:sz w:val="18"/>
          <w:szCs w:val="18"/>
        </w:rPr>
      </w:pPr>
      <w:r w:rsidRPr="00176A71">
        <w:rPr>
          <w:rFonts w:ascii="Arial" w:eastAsia="Times New Roman" w:hAnsi="Arial" w:cs="Arial"/>
          <w:color w:val="000000"/>
          <w:sz w:val="18"/>
          <w:szCs w:val="18"/>
        </w:rPr>
        <w:t>Burden includes planning and implementation grantees.</w:t>
      </w:r>
    </w:p>
    <w:p w14:paraId="2ACB2500" w14:textId="45CA5210" w:rsidR="00DE3481" w:rsidRPr="00176A71" w:rsidRDefault="00DE3481" w:rsidP="00276725">
      <w:pPr>
        <w:pStyle w:val="ListParagraph"/>
        <w:numPr>
          <w:ilvl w:val="0"/>
          <w:numId w:val="45"/>
        </w:numPr>
        <w:spacing w:after="0" w:line="240" w:lineRule="auto"/>
        <w:rPr>
          <w:rFonts w:ascii="Arial" w:eastAsia="Times New Roman" w:hAnsi="Arial" w:cs="Arial"/>
          <w:sz w:val="18"/>
          <w:szCs w:val="18"/>
        </w:rPr>
      </w:pPr>
      <w:r w:rsidRPr="00176A71">
        <w:rPr>
          <w:rFonts w:ascii="Arial" w:eastAsia="Times New Roman" w:hAnsi="Arial" w:cs="Arial"/>
          <w:color w:val="000000"/>
          <w:sz w:val="18"/>
          <w:szCs w:val="18"/>
        </w:rPr>
        <w:t xml:space="preserve">Core agency </w:t>
      </w:r>
      <w:r w:rsidRPr="00176A71">
        <w:rPr>
          <w:rFonts w:ascii="Arial" w:eastAsia="Times New Roman" w:hAnsi="Arial" w:cs="Arial"/>
          <w:sz w:val="18"/>
          <w:szCs w:val="18"/>
        </w:rPr>
        <w:t xml:space="preserve">partners include (1) </w:t>
      </w:r>
      <w:r w:rsidRPr="00176A71">
        <w:rPr>
          <w:rFonts w:ascii="Arial" w:hAnsi="Arial" w:cs="Arial"/>
          <w:sz w:val="18"/>
          <w:szCs w:val="18"/>
        </w:rPr>
        <w:t>representatives from MH, child welfare, and juvenile justice and (2) CMHI quality monitors.</w:t>
      </w:r>
    </w:p>
    <w:p w14:paraId="7054FAC2" w14:textId="4383396D" w:rsidR="005B373B" w:rsidRPr="00176A71" w:rsidRDefault="005B373B" w:rsidP="00276725">
      <w:pPr>
        <w:pStyle w:val="ListParagraph"/>
        <w:numPr>
          <w:ilvl w:val="0"/>
          <w:numId w:val="45"/>
        </w:numPr>
        <w:spacing w:after="0" w:line="240" w:lineRule="auto"/>
        <w:rPr>
          <w:rFonts w:ascii="Arial" w:eastAsia="Times New Roman" w:hAnsi="Arial" w:cs="Arial"/>
          <w:color w:val="000000" w:themeColor="text1"/>
          <w:sz w:val="18"/>
          <w:szCs w:val="18"/>
        </w:rPr>
      </w:pPr>
      <w:r w:rsidRPr="00176A71">
        <w:rPr>
          <w:rFonts w:ascii="Arial" w:eastAsia="Times New Roman" w:hAnsi="Arial" w:cs="Arial"/>
          <w:color w:val="000000" w:themeColor="text1"/>
          <w:sz w:val="18"/>
          <w:szCs w:val="18"/>
        </w:rPr>
        <w:t xml:space="preserve">OMB clearance </w:t>
      </w:r>
      <w:r w:rsidR="00F9567F" w:rsidRPr="00176A71">
        <w:rPr>
          <w:rFonts w:ascii="Arial" w:eastAsia="Times New Roman" w:hAnsi="Arial" w:cs="Arial"/>
          <w:color w:val="000000" w:themeColor="text1"/>
          <w:sz w:val="18"/>
          <w:szCs w:val="18"/>
        </w:rPr>
        <w:t xml:space="preserve">sought </w:t>
      </w:r>
      <w:r w:rsidRPr="00176A71">
        <w:rPr>
          <w:rFonts w:ascii="Arial" w:eastAsia="Times New Roman" w:hAnsi="Arial" w:cs="Arial"/>
          <w:color w:val="000000" w:themeColor="text1"/>
          <w:sz w:val="18"/>
          <w:szCs w:val="18"/>
        </w:rPr>
        <w:t xml:space="preserve">for </w:t>
      </w:r>
      <w:r w:rsidR="00716153" w:rsidRPr="00176A71">
        <w:rPr>
          <w:rFonts w:ascii="Arial" w:eastAsia="Times New Roman" w:hAnsi="Arial" w:cs="Arial"/>
          <w:color w:val="000000" w:themeColor="text1"/>
          <w:sz w:val="18"/>
          <w:szCs w:val="18"/>
        </w:rPr>
        <w:t>CDP</w:t>
      </w:r>
      <w:r w:rsidRPr="00176A71">
        <w:rPr>
          <w:rFonts w:ascii="Arial" w:eastAsia="Times New Roman" w:hAnsi="Arial" w:cs="Arial"/>
          <w:color w:val="000000" w:themeColor="text1"/>
          <w:sz w:val="18"/>
          <w:szCs w:val="18"/>
        </w:rPr>
        <w:t xml:space="preserve"> is limited to the added burden for a second respondent (Caregiver </w:t>
      </w:r>
      <w:r w:rsidRPr="00176A71">
        <w:rPr>
          <w:rFonts w:ascii="Arial" w:eastAsia="Times New Roman" w:hAnsi="Arial" w:cs="Arial"/>
          <w:i/>
          <w:iCs/>
          <w:color w:val="000000" w:themeColor="text1"/>
          <w:sz w:val="18"/>
          <w:szCs w:val="18"/>
        </w:rPr>
        <w:t>OR</w:t>
      </w:r>
      <w:r w:rsidRPr="00176A71">
        <w:rPr>
          <w:rFonts w:ascii="Arial" w:eastAsia="Times New Roman" w:hAnsi="Arial" w:cs="Arial"/>
          <w:color w:val="000000" w:themeColor="text1"/>
          <w:sz w:val="18"/>
          <w:szCs w:val="18"/>
        </w:rPr>
        <w:t xml:space="preserve"> Client age 11 to 17). For clients age 11 to 17, </w:t>
      </w:r>
      <w:r w:rsidR="00716153" w:rsidRPr="00176A71">
        <w:rPr>
          <w:rFonts w:ascii="Arial" w:eastAsia="Times New Roman" w:hAnsi="Arial" w:cs="Arial"/>
          <w:color w:val="000000" w:themeColor="text1"/>
          <w:sz w:val="18"/>
          <w:szCs w:val="18"/>
        </w:rPr>
        <w:t>CDP</w:t>
      </w:r>
      <w:r w:rsidRPr="00176A71">
        <w:rPr>
          <w:rFonts w:ascii="Arial" w:eastAsia="Times New Roman" w:hAnsi="Arial" w:cs="Arial"/>
          <w:color w:val="000000" w:themeColor="text1"/>
          <w:sz w:val="18"/>
          <w:szCs w:val="18"/>
        </w:rPr>
        <w:t xml:space="preserve"> only collects information from </w:t>
      </w:r>
      <w:r w:rsidRPr="00176A71">
        <w:rPr>
          <w:rFonts w:ascii="Arial" w:eastAsia="Times New Roman" w:hAnsi="Arial" w:cs="Arial"/>
          <w:i/>
          <w:iCs/>
          <w:color w:val="000000" w:themeColor="text1"/>
          <w:sz w:val="18"/>
          <w:szCs w:val="18"/>
        </w:rPr>
        <w:t>either</w:t>
      </w:r>
      <w:r w:rsidRPr="00176A71">
        <w:rPr>
          <w:rFonts w:ascii="Arial" w:eastAsia="Times New Roman" w:hAnsi="Arial" w:cs="Arial"/>
          <w:color w:val="000000" w:themeColor="text1"/>
          <w:sz w:val="18"/>
          <w:szCs w:val="18"/>
        </w:rPr>
        <w:t xml:space="preserve"> Caregivers </w:t>
      </w:r>
      <w:r w:rsidRPr="00176A71">
        <w:rPr>
          <w:rFonts w:ascii="Arial" w:eastAsia="Times New Roman" w:hAnsi="Arial" w:cs="Arial"/>
          <w:i/>
          <w:iCs/>
          <w:color w:val="000000" w:themeColor="text1"/>
          <w:sz w:val="18"/>
          <w:szCs w:val="18"/>
        </w:rPr>
        <w:t>OR</w:t>
      </w:r>
      <w:r w:rsidRPr="00176A71">
        <w:rPr>
          <w:rFonts w:ascii="Arial" w:eastAsia="Times New Roman" w:hAnsi="Arial" w:cs="Arial"/>
          <w:color w:val="000000" w:themeColor="text1"/>
          <w:sz w:val="18"/>
          <w:szCs w:val="18"/>
        </w:rPr>
        <w:t xml:space="preserve"> youth. In addition, clearance is requested for the burden only as </w:t>
      </w:r>
      <w:r w:rsidR="00716153" w:rsidRPr="00176A71">
        <w:rPr>
          <w:rFonts w:ascii="Arial" w:eastAsia="Times New Roman" w:hAnsi="Arial" w:cs="Arial"/>
          <w:color w:val="000000" w:themeColor="text1"/>
          <w:sz w:val="18"/>
          <w:szCs w:val="18"/>
        </w:rPr>
        <w:t xml:space="preserve">OMB </w:t>
      </w:r>
      <w:r w:rsidRPr="00176A71">
        <w:rPr>
          <w:rFonts w:ascii="Arial" w:eastAsia="Times New Roman" w:hAnsi="Arial" w:cs="Arial"/>
          <w:color w:val="000000" w:themeColor="text1"/>
          <w:sz w:val="18"/>
          <w:szCs w:val="18"/>
        </w:rPr>
        <w:t>approv</w:t>
      </w:r>
      <w:r w:rsidR="00716153" w:rsidRPr="00176A71">
        <w:rPr>
          <w:rFonts w:ascii="Arial" w:eastAsia="Times New Roman" w:hAnsi="Arial" w:cs="Arial"/>
          <w:color w:val="000000" w:themeColor="text1"/>
          <w:sz w:val="18"/>
          <w:szCs w:val="18"/>
        </w:rPr>
        <w:t>al of CDP has been sought</w:t>
      </w:r>
      <w:r w:rsidRPr="00176A71">
        <w:rPr>
          <w:rFonts w:ascii="Arial" w:eastAsia="Times New Roman" w:hAnsi="Arial" w:cs="Arial"/>
          <w:color w:val="000000" w:themeColor="text1"/>
          <w:sz w:val="18"/>
          <w:szCs w:val="18"/>
        </w:rPr>
        <w:t xml:space="preserve"> separately.</w:t>
      </w:r>
    </w:p>
    <w:p w14:paraId="0724E402" w14:textId="1C3EF260" w:rsidR="000277DA" w:rsidRPr="00176A71" w:rsidRDefault="000277DA" w:rsidP="00276725">
      <w:pPr>
        <w:pStyle w:val="ListParagraph"/>
        <w:numPr>
          <w:ilvl w:val="0"/>
          <w:numId w:val="45"/>
        </w:numPr>
        <w:spacing w:after="0" w:line="240" w:lineRule="auto"/>
        <w:rPr>
          <w:rFonts w:ascii="Arial" w:eastAsia="Times New Roman" w:hAnsi="Arial" w:cs="Arial"/>
          <w:color w:val="000000"/>
          <w:sz w:val="18"/>
          <w:szCs w:val="18"/>
        </w:rPr>
      </w:pPr>
      <w:r w:rsidRPr="00176A71">
        <w:rPr>
          <w:rFonts w:ascii="Arial" w:eastAsia="Times New Roman" w:hAnsi="Arial" w:cs="Arial"/>
          <w:color w:val="000000"/>
          <w:sz w:val="18"/>
          <w:szCs w:val="18"/>
        </w:rPr>
        <w:t>Assumes 3</w:t>
      </w:r>
      <w:r w:rsidR="00DB720B" w:rsidRPr="00176A71">
        <w:rPr>
          <w:rFonts w:ascii="Arial" w:eastAsia="Times New Roman" w:hAnsi="Arial" w:cs="Arial"/>
          <w:color w:val="000000"/>
          <w:sz w:val="18"/>
          <w:szCs w:val="18"/>
        </w:rPr>
        <w:t>3</w:t>
      </w:r>
      <w:r w:rsidRPr="00176A71">
        <w:rPr>
          <w:rFonts w:ascii="Arial" w:eastAsia="Times New Roman" w:hAnsi="Arial" w:cs="Arial"/>
          <w:color w:val="000000"/>
          <w:sz w:val="18"/>
          <w:szCs w:val="18"/>
        </w:rPr>
        <w:t>% of clients will be age 11 to 17</w:t>
      </w:r>
      <w:r w:rsidR="0083249D" w:rsidRPr="00176A71">
        <w:rPr>
          <w:rFonts w:ascii="Arial" w:eastAsia="Times New Roman" w:hAnsi="Arial" w:cs="Arial"/>
          <w:color w:val="000000"/>
          <w:sz w:val="18"/>
          <w:szCs w:val="18"/>
        </w:rPr>
        <w:t xml:space="preserve"> and that the additional </w:t>
      </w:r>
      <w:r w:rsidR="00716153" w:rsidRPr="00176A71">
        <w:rPr>
          <w:rFonts w:ascii="Arial" w:eastAsia="Times New Roman" w:hAnsi="Arial" w:cs="Arial"/>
          <w:color w:val="000000"/>
          <w:sz w:val="18"/>
          <w:szCs w:val="18"/>
        </w:rPr>
        <w:t>CDP</w:t>
      </w:r>
      <w:r w:rsidR="0083249D" w:rsidRPr="00176A71">
        <w:rPr>
          <w:rFonts w:ascii="Arial" w:eastAsia="Times New Roman" w:hAnsi="Arial" w:cs="Arial"/>
          <w:color w:val="000000"/>
          <w:sz w:val="18"/>
          <w:szCs w:val="18"/>
        </w:rPr>
        <w:t xml:space="preserve"> interview for clients age 11 to 17 and their caregiver will be evenly split between clients and caregivers</w:t>
      </w:r>
      <w:r w:rsidRPr="00176A71">
        <w:rPr>
          <w:rFonts w:ascii="Arial" w:eastAsia="Times New Roman" w:hAnsi="Arial" w:cs="Arial"/>
          <w:color w:val="000000"/>
          <w:sz w:val="18"/>
          <w:szCs w:val="18"/>
        </w:rPr>
        <w:t>. Evaluation design requires all participating clients age 5 to 17 to have a caregiver participating in the evaluation.</w:t>
      </w:r>
    </w:p>
    <w:p w14:paraId="6BDB82FD" w14:textId="5F3D03D1" w:rsidR="00D969A8" w:rsidRDefault="00D969A8" w:rsidP="00276725">
      <w:pPr>
        <w:pStyle w:val="ListParagraph"/>
        <w:numPr>
          <w:ilvl w:val="0"/>
          <w:numId w:val="45"/>
        </w:num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Accounts for attrition.</w:t>
      </w:r>
    </w:p>
    <w:p w14:paraId="51F8D679" w14:textId="06C4DC8B" w:rsidR="000277DA" w:rsidRPr="00176A71" w:rsidRDefault="000277DA" w:rsidP="00276725">
      <w:pPr>
        <w:pStyle w:val="ListParagraph"/>
        <w:numPr>
          <w:ilvl w:val="0"/>
          <w:numId w:val="45"/>
        </w:numPr>
        <w:spacing w:after="0" w:line="240" w:lineRule="auto"/>
        <w:rPr>
          <w:rFonts w:ascii="Arial" w:eastAsia="Times New Roman" w:hAnsi="Arial" w:cs="Arial"/>
          <w:color w:val="000000"/>
          <w:sz w:val="18"/>
          <w:szCs w:val="18"/>
        </w:rPr>
      </w:pPr>
      <w:r w:rsidRPr="00176A71">
        <w:rPr>
          <w:rFonts w:ascii="Arial" w:eastAsia="Times New Roman" w:hAnsi="Arial" w:cs="Arial"/>
          <w:color w:val="000000"/>
          <w:sz w:val="18"/>
          <w:szCs w:val="18"/>
        </w:rPr>
        <w:t>Assumes 8</w:t>
      </w:r>
      <w:r w:rsidR="00DB720B" w:rsidRPr="00176A71">
        <w:rPr>
          <w:rFonts w:ascii="Arial" w:eastAsia="Times New Roman" w:hAnsi="Arial" w:cs="Arial"/>
          <w:color w:val="000000"/>
          <w:sz w:val="18"/>
          <w:szCs w:val="18"/>
        </w:rPr>
        <w:t>3</w:t>
      </w:r>
      <w:r w:rsidRPr="00176A71">
        <w:rPr>
          <w:rFonts w:ascii="Arial" w:eastAsia="Times New Roman" w:hAnsi="Arial" w:cs="Arial"/>
          <w:color w:val="000000"/>
          <w:sz w:val="18"/>
          <w:szCs w:val="18"/>
        </w:rPr>
        <w:t>% of clients will be age 5 to 17.</w:t>
      </w:r>
    </w:p>
    <w:p w14:paraId="3FD79A84" w14:textId="4D4F810F" w:rsidR="00A70E1C" w:rsidRPr="00176A71" w:rsidRDefault="00A70E1C" w:rsidP="00276725">
      <w:pPr>
        <w:pStyle w:val="ListParagraph"/>
        <w:numPr>
          <w:ilvl w:val="0"/>
          <w:numId w:val="45"/>
        </w:numPr>
        <w:spacing w:after="0" w:line="240" w:lineRule="auto"/>
        <w:rPr>
          <w:rFonts w:ascii="Arial" w:eastAsia="Times New Roman" w:hAnsi="Arial" w:cs="Arial"/>
          <w:color w:val="000000"/>
          <w:sz w:val="18"/>
          <w:szCs w:val="18"/>
        </w:rPr>
      </w:pPr>
      <w:r w:rsidRPr="00176A71">
        <w:rPr>
          <w:rFonts w:ascii="Arial" w:eastAsia="Times New Roman" w:hAnsi="Arial" w:cs="Arial"/>
          <w:color w:val="000000"/>
          <w:sz w:val="18"/>
          <w:szCs w:val="18"/>
        </w:rPr>
        <w:t>Assumes 17% of clients will be age 18 to 21.</w:t>
      </w:r>
    </w:p>
    <w:p w14:paraId="6CDAD2CB" w14:textId="77777777" w:rsidR="00D023BB" w:rsidRPr="00176A71" w:rsidRDefault="000277DA" w:rsidP="00276725">
      <w:pPr>
        <w:pStyle w:val="ListParagraph"/>
        <w:numPr>
          <w:ilvl w:val="0"/>
          <w:numId w:val="45"/>
        </w:numPr>
        <w:spacing w:after="0" w:line="240" w:lineRule="auto"/>
        <w:rPr>
          <w:rFonts w:ascii="Times New Roman" w:hAnsi="Times New Roman" w:cs="Times New Roman"/>
          <w:sz w:val="22"/>
          <w:szCs w:val="22"/>
        </w:rPr>
      </w:pPr>
      <w:r w:rsidRPr="00176A71">
        <w:rPr>
          <w:rFonts w:ascii="Arial" w:eastAsia="Times New Roman" w:hAnsi="Arial" w:cs="Arial"/>
          <w:color w:val="000000"/>
          <w:sz w:val="18"/>
          <w:szCs w:val="18"/>
        </w:rPr>
        <w:t>Assumes 50% of clients will be age 11 to 21.</w:t>
      </w:r>
    </w:p>
    <w:p w14:paraId="1AAD5ABB" w14:textId="77777777" w:rsidR="00D023BB" w:rsidRDefault="00D023BB" w:rsidP="00D023BB">
      <w:pPr>
        <w:rPr>
          <w:rFonts w:ascii="Times New Roman" w:hAnsi="Times New Roman" w:cs="Times New Roman"/>
          <w:sz w:val="22"/>
          <w:szCs w:val="22"/>
        </w:rPr>
      </w:pPr>
    </w:p>
    <w:p w14:paraId="12BFF7D0" w14:textId="77777777" w:rsidR="00176A71" w:rsidRDefault="00176A71" w:rsidP="00D023BB">
      <w:pPr>
        <w:rPr>
          <w:rFonts w:ascii="Times New Roman" w:hAnsi="Times New Roman" w:cs="Times New Roman"/>
          <w:sz w:val="22"/>
          <w:szCs w:val="22"/>
        </w:rPr>
      </w:pPr>
    </w:p>
    <w:p w14:paraId="186F0DA5" w14:textId="77777777" w:rsidR="00D914EE" w:rsidRPr="00D023BB" w:rsidRDefault="00D914EE" w:rsidP="00D023BB">
      <w:pPr>
        <w:rPr>
          <w:rFonts w:ascii="Times New Roman" w:hAnsi="Times New Roman" w:cs="Times New Roman"/>
          <w:sz w:val="22"/>
          <w:szCs w:val="22"/>
        </w:rPr>
        <w:sectPr w:rsidR="00D914EE" w:rsidRPr="00D023BB" w:rsidSect="00E24D14">
          <w:type w:val="continuous"/>
          <w:pgSz w:w="15840" w:h="12240" w:orient="landscape"/>
          <w:pgMar w:top="1440" w:right="1440" w:bottom="1440" w:left="1440" w:header="720" w:footer="720" w:gutter="0"/>
          <w:cols w:space="720"/>
          <w:docGrid w:linePitch="360"/>
        </w:sectPr>
      </w:pPr>
    </w:p>
    <w:p w14:paraId="27E408AD" w14:textId="329BF1B8" w:rsidR="0087059B" w:rsidRPr="00621B49" w:rsidRDefault="0087059B" w:rsidP="009155F3">
      <w:pPr>
        <w:spacing w:line="240" w:lineRule="auto"/>
        <w:rPr>
          <w:rFonts w:ascii="Times New Roman" w:hAnsi="Times New Roman" w:cs="Times New Roman"/>
          <w:b/>
          <w:sz w:val="22"/>
          <w:szCs w:val="22"/>
        </w:rPr>
      </w:pPr>
      <w:r w:rsidRPr="00621B49">
        <w:rPr>
          <w:rFonts w:ascii="Times New Roman" w:hAnsi="Times New Roman" w:cs="Times New Roman"/>
          <w:b/>
          <w:sz w:val="22"/>
          <w:szCs w:val="22"/>
        </w:rPr>
        <w:t xml:space="preserve">Table </w:t>
      </w:r>
      <w:r w:rsidR="00167E37">
        <w:rPr>
          <w:rFonts w:ascii="Times New Roman" w:hAnsi="Times New Roman" w:cs="Times New Roman"/>
          <w:b/>
          <w:sz w:val="22"/>
          <w:szCs w:val="22"/>
        </w:rPr>
        <w:t>6</w:t>
      </w:r>
      <w:r w:rsidRPr="00621B49">
        <w:rPr>
          <w:rFonts w:ascii="Times New Roman" w:hAnsi="Times New Roman" w:cs="Times New Roman"/>
          <w:b/>
          <w:sz w:val="22"/>
          <w:szCs w:val="22"/>
        </w:rPr>
        <w:t xml:space="preserve">. Total </w:t>
      </w:r>
      <w:r w:rsidR="005060A2" w:rsidRPr="00621B49">
        <w:rPr>
          <w:rFonts w:ascii="Times New Roman" w:hAnsi="Times New Roman" w:cs="Times New Roman"/>
          <w:b/>
          <w:sz w:val="22"/>
          <w:szCs w:val="22"/>
        </w:rPr>
        <w:t xml:space="preserve">estimated annual </w:t>
      </w:r>
      <w:r w:rsidRPr="00621B49">
        <w:rPr>
          <w:rFonts w:ascii="Times New Roman" w:hAnsi="Times New Roman" w:cs="Times New Roman"/>
          <w:b/>
          <w:sz w:val="22"/>
          <w:szCs w:val="22"/>
        </w:rPr>
        <w:t xml:space="preserve">burden </w:t>
      </w:r>
    </w:p>
    <w:tbl>
      <w:tblPr>
        <w:tblW w:w="0" w:type="auto"/>
        <w:tblInd w:w="93" w:type="dxa"/>
        <w:tblLook w:val="04A0" w:firstRow="1" w:lastRow="0" w:firstColumn="1" w:lastColumn="0" w:noHBand="0" w:noVBand="1"/>
      </w:tblPr>
      <w:tblGrid>
        <w:gridCol w:w="3039"/>
        <w:gridCol w:w="2081"/>
        <w:gridCol w:w="2093"/>
        <w:gridCol w:w="2270"/>
      </w:tblGrid>
      <w:tr w:rsidR="001B5757" w:rsidRPr="009155F3" w14:paraId="0F0CCAD6" w14:textId="77777777" w:rsidTr="00D315F1">
        <w:trPr>
          <w:trHeight w:val="1020"/>
        </w:trPr>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7F967CB6" w14:textId="25B990AD" w:rsidR="001B5757" w:rsidRPr="009155F3" w:rsidRDefault="001B5757" w:rsidP="009155F3">
            <w:pPr>
              <w:spacing w:after="0" w:line="240" w:lineRule="auto"/>
              <w:jc w:val="center"/>
              <w:rPr>
                <w:rFonts w:ascii="Arial" w:eastAsia="Times New Roman" w:hAnsi="Arial" w:cs="Arial"/>
                <w:b/>
                <w:bCs/>
                <w:color w:val="000000"/>
                <w:sz w:val="18"/>
                <w:szCs w:val="18"/>
              </w:rPr>
            </w:pPr>
            <w:r w:rsidRPr="009155F3">
              <w:rPr>
                <w:rFonts w:ascii="Arial" w:eastAsia="Times New Roman" w:hAnsi="Arial" w:cs="Arial"/>
                <w:b/>
                <w:bCs/>
                <w:color w:val="000000"/>
                <w:sz w:val="18"/>
                <w:szCs w:val="18"/>
              </w:rPr>
              <w:t>Instrument / Data Collection Activity</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4B3B4DC0" w14:textId="77777777" w:rsidR="001B5757" w:rsidRPr="009155F3" w:rsidRDefault="001B5757" w:rsidP="009155F3">
            <w:pPr>
              <w:spacing w:after="0" w:line="240" w:lineRule="auto"/>
              <w:jc w:val="center"/>
              <w:rPr>
                <w:rFonts w:ascii="Arial" w:eastAsia="Times New Roman" w:hAnsi="Arial" w:cs="Arial"/>
                <w:b/>
                <w:bCs/>
                <w:color w:val="000000"/>
                <w:sz w:val="18"/>
                <w:szCs w:val="18"/>
              </w:rPr>
            </w:pPr>
            <w:r w:rsidRPr="009155F3">
              <w:rPr>
                <w:rFonts w:ascii="Arial" w:eastAsia="Times New Roman" w:hAnsi="Arial" w:cs="Arial"/>
                <w:b/>
                <w:bCs/>
                <w:color w:val="000000"/>
                <w:sz w:val="18"/>
                <w:szCs w:val="18"/>
              </w:rPr>
              <w:t>Number of Respondents</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D228D5A" w14:textId="38B85586" w:rsidR="001B5757" w:rsidRPr="001B5757" w:rsidRDefault="001B5757" w:rsidP="001B5757">
            <w:pPr>
              <w:spacing w:after="0" w:line="240" w:lineRule="auto"/>
              <w:jc w:val="center"/>
              <w:rPr>
                <w:rFonts w:ascii="Arial" w:eastAsia="Times New Roman" w:hAnsi="Arial" w:cs="Arial"/>
                <w:b/>
                <w:bCs/>
                <w:color w:val="000000"/>
                <w:sz w:val="18"/>
                <w:szCs w:val="18"/>
              </w:rPr>
            </w:pPr>
            <w:r w:rsidRPr="001B5757">
              <w:rPr>
                <w:rFonts w:ascii="Arial" w:hAnsi="Arial" w:cs="Arial"/>
                <w:b/>
                <w:sz w:val="18"/>
                <w:szCs w:val="18"/>
              </w:rPr>
              <w:t>Total Number of Responses</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1957DEC" w14:textId="0B09A585" w:rsidR="001B5757" w:rsidRPr="00D169F3" w:rsidRDefault="001B5757" w:rsidP="001B5757">
            <w:pPr>
              <w:spacing w:after="0" w:line="240" w:lineRule="auto"/>
              <w:jc w:val="center"/>
              <w:rPr>
                <w:rFonts w:ascii="Arial" w:eastAsia="Times New Roman" w:hAnsi="Arial" w:cs="Arial"/>
                <w:b/>
                <w:bCs/>
                <w:color w:val="000000"/>
                <w:sz w:val="18"/>
                <w:szCs w:val="18"/>
              </w:rPr>
            </w:pPr>
            <w:r w:rsidRPr="00D169F3">
              <w:rPr>
                <w:rFonts w:ascii="Arial" w:hAnsi="Arial" w:cs="Arial"/>
                <w:b/>
                <w:sz w:val="18"/>
                <w:szCs w:val="18"/>
              </w:rPr>
              <w:t>Average Annual Burden (Hours)</w:t>
            </w:r>
          </w:p>
        </w:tc>
      </w:tr>
      <w:tr w:rsidR="000514E3" w:rsidRPr="009155F3" w14:paraId="10CECFB3" w14:textId="77777777" w:rsidTr="006B22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CE3035" w14:textId="2280FFAD" w:rsidR="000514E3" w:rsidRPr="00C34318" w:rsidRDefault="000514E3" w:rsidP="009155F3">
            <w:pPr>
              <w:spacing w:after="0" w:line="240" w:lineRule="auto"/>
              <w:rPr>
                <w:rFonts w:ascii="Arial" w:eastAsia="Times New Roman" w:hAnsi="Arial" w:cs="Arial"/>
                <w:sz w:val="18"/>
                <w:szCs w:val="18"/>
              </w:rPr>
            </w:pPr>
            <w:r>
              <w:rPr>
                <w:rFonts w:ascii="Arial" w:eastAsia="Times New Roman" w:hAnsi="Arial" w:cs="Arial"/>
                <w:sz w:val="18"/>
                <w:szCs w:val="18"/>
              </w:rPr>
              <w:t xml:space="preserve">Stakeholder </w:t>
            </w:r>
            <w:r w:rsidR="00167E37">
              <w:rPr>
                <w:rFonts w:ascii="Arial" w:eastAsia="Times New Roman" w:hAnsi="Arial" w:cs="Arial"/>
                <w:sz w:val="18"/>
                <w:szCs w:val="18"/>
              </w:rPr>
              <w:t>Interviews</w:t>
            </w:r>
          </w:p>
        </w:tc>
        <w:tc>
          <w:tcPr>
            <w:tcW w:w="0" w:type="auto"/>
            <w:tcBorders>
              <w:top w:val="nil"/>
              <w:left w:val="nil"/>
              <w:bottom w:val="single" w:sz="4" w:space="0" w:color="auto"/>
              <w:right w:val="single" w:sz="4" w:space="0" w:color="auto"/>
            </w:tcBorders>
            <w:shd w:val="clear" w:color="auto" w:fill="auto"/>
            <w:vAlign w:val="bottom"/>
          </w:tcPr>
          <w:p w14:paraId="191C5180" w14:textId="3C855B6B" w:rsidR="000514E3" w:rsidRPr="00C64E1D" w:rsidRDefault="000514E3" w:rsidP="009155F3">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459 </w:t>
            </w:r>
          </w:p>
        </w:tc>
        <w:tc>
          <w:tcPr>
            <w:tcW w:w="0" w:type="auto"/>
            <w:tcBorders>
              <w:top w:val="nil"/>
              <w:left w:val="nil"/>
              <w:bottom w:val="single" w:sz="4" w:space="0" w:color="auto"/>
              <w:right w:val="single" w:sz="4" w:space="0" w:color="auto"/>
            </w:tcBorders>
            <w:shd w:val="clear" w:color="auto" w:fill="auto"/>
            <w:noWrap/>
            <w:vAlign w:val="center"/>
          </w:tcPr>
          <w:p w14:paraId="6E6F52B8" w14:textId="1A7A9749" w:rsidR="000514E3" w:rsidRPr="00C64E1D" w:rsidRDefault="000514E3" w:rsidP="009155F3">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459 </w:t>
            </w:r>
          </w:p>
        </w:tc>
        <w:tc>
          <w:tcPr>
            <w:tcW w:w="0" w:type="auto"/>
            <w:tcBorders>
              <w:top w:val="nil"/>
              <w:left w:val="nil"/>
              <w:bottom w:val="single" w:sz="4" w:space="0" w:color="auto"/>
              <w:right w:val="single" w:sz="4" w:space="0" w:color="auto"/>
            </w:tcBorders>
            <w:shd w:val="clear" w:color="auto" w:fill="auto"/>
            <w:noWrap/>
            <w:vAlign w:val="center"/>
          </w:tcPr>
          <w:p w14:paraId="3FC55807" w14:textId="6BB95728" w:rsidR="000514E3" w:rsidRPr="00C64E1D" w:rsidRDefault="000514E3" w:rsidP="0001658B">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628 </w:t>
            </w:r>
          </w:p>
        </w:tc>
      </w:tr>
      <w:tr w:rsidR="00D13BBE" w:rsidRPr="009155F3" w14:paraId="72809411" w14:textId="77777777" w:rsidTr="006B22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02C09E" w14:textId="4A5D22EB" w:rsidR="00D13BBE" w:rsidRPr="009560A4" w:rsidRDefault="00167E37" w:rsidP="009155F3">
            <w:pPr>
              <w:spacing w:after="0" w:line="240" w:lineRule="auto"/>
              <w:rPr>
                <w:rFonts w:ascii="Arial" w:eastAsia="Times New Roman" w:hAnsi="Arial" w:cs="Arial"/>
                <w:sz w:val="18"/>
                <w:szCs w:val="18"/>
              </w:rPr>
            </w:pPr>
            <w:r w:rsidRPr="009560A4">
              <w:rPr>
                <w:rFonts w:ascii="Arial" w:eastAsia="Times New Roman" w:hAnsi="Arial" w:cs="Arial"/>
                <w:sz w:val="18"/>
                <w:szCs w:val="18"/>
              </w:rPr>
              <w:t>SAIS</w:t>
            </w:r>
          </w:p>
        </w:tc>
        <w:tc>
          <w:tcPr>
            <w:tcW w:w="0" w:type="auto"/>
            <w:tcBorders>
              <w:top w:val="nil"/>
              <w:left w:val="nil"/>
              <w:bottom w:val="single" w:sz="4" w:space="0" w:color="auto"/>
              <w:right w:val="single" w:sz="4" w:space="0" w:color="auto"/>
            </w:tcBorders>
            <w:shd w:val="clear" w:color="auto" w:fill="auto"/>
            <w:noWrap/>
            <w:vAlign w:val="bottom"/>
          </w:tcPr>
          <w:p w14:paraId="29A46F40" w14:textId="73CA4DED" w:rsidR="00D13BBE" w:rsidRPr="00F511EA" w:rsidRDefault="00D13BBE" w:rsidP="009155F3">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1,540 </w:t>
            </w:r>
          </w:p>
        </w:tc>
        <w:tc>
          <w:tcPr>
            <w:tcW w:w="0" w:type="auto"/>
            <w:tcBorders>
              <w:top w:val="nil"/>
              <w:left w:val="nil"/>
              <w:bottom w:val="single" w:sz="4" w:space="0" w:color="auto"/>
              <w:right w:val="single" w:sz="4" w:space="0" w:color="auto"/>
            </w:tcBorders>
            <w:shd w:val="clear" w:color="auto" w:fill="auto"/>
            <w:noWrap/>
            <w:vAlign w:val="center"/>
          </w:tcPr>
          <w:p w14:paraId="244CBBC6" w14:textId="66A98899" w:rsidR="00D13BBE" w:rsidRPr="00F511EA" w:rsidRDefault="00D13BBE" w:rsidP="009155F3">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2,970 </w:t>
            </w:r>
          </w:p>
        </w:tc>
        <w:tc>
          <w:tcPr>
            <w:tcW w:w="0" w:type="auto"/>
            <w:tcBorders>
              <w:top w:val="nil"/>
              <w:left w:val="nil"/>
              <w:bottom w:val="single" w:sz="4" w:space="0" w:color="auto"/>
              <w:right w:val="single" w:sz="4" w:space="0" w:color="auto"/>
            </w:tcBorders>
            <w:shd w:val="clear" w:color="auto" w:fill="auto"/>
            <w:noWrap/>
            <w:vAlign w:val="center"/>
          </w:tcPr>
          <w:p w14:paraId="2ECC6662" w14:textId="056BD9EA" w:rsidR="00D13BBE" w:rsidRPr="00F511EA" w:rsidRDefault="00D13BBE" w:rsidP="009155F3">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2,426 </w:t>
            </w:r>
          </w:p>
        </w:tc>
      </w:tr>
      <w:tr w:rsidR="00D13BBE" w:rsidRPr="009155F3" w14:paraId="36BFB208" w14:textId="77777777" w:rsidTr="006B22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9BD418B" w14:textId="2361703D" w:rsidR="00D13BBE" w:rsidRPr="00C34318" w:rsidRDefault="00167E37" w:rsidP="009155F3">
            <w:pPr>
              <w:spacing w:after="0" w:line="240" w:lineRule="auto"/>
              <w:rPr>
                <w:rFonts w:ascii="Arial" w:eastAsia="Times New Roman" w:hAnsi="Arial" w:cs="Arial"/>
                <w:sz w:val="18"/>
                <w:szCs w:val="18"/>
              </w:rPr>
            </w:pPr>
            <w:r w:rsidRPr="00C34318">
              <w:rPr>
                <w:rFonts w:ascii="Arial" w:eastAsia="Times New Roman" w:hAnsi="Arial" w:cs="Arial"/>
                <w:sz w:val="18"/>
                <w:szCs w:val="18"/>
              </w:rPr>
              <w:t>SOCEA</w:t>
            </w:r>
          </w:p>
        </w:tc>
        <w:tc>
          <w:tcPr>
            <w:tcW w:w="0" w:type="auto"/>
            <w:tcBorders>
              <w:top w:val="nil"/>
              <w:left w:val="nil"/>
              <w:bottom w:val="single" w:sz="4" w:space="0" w:color="auto"/>
              <w:right w:val="single" w:sz="4" w:space="0" w:color="auto"/>
            </w:tcBorders>
            <w:shd w:val="clear" w:color="auto" w:fill="auto"/>
            <w:noWrap/>
            <w:vAlign w:val="bottom"/>
          </w:tcPr>
          <w:p w14:paraId="7C884497" w14:textId="49DD46D8" w:rsidR="00D13BBE" w:rsidRPr="00C64E1D" w:rsidRDefault="00D13BBE" w:rsidP="009155F3">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w:t>
            </w:r>
            <w:r w:rsidR="00C64E1D" w:rsidRPr="00F511EA">
              <w:rPr>
                <w:rFonts w:ascii="Arial" w:hAnsi="Arial" w:cs="Arial"/>
                <w:bCs/>
                <w:color w:val="000000"/>
                <w:sz w:val="18"/>
                <w:szCs w:val="18"/>
              </w:rPr>
              <w:t>858</w:t>
            </w:r>
          </w:p>
        </w:tc>
        <w:tc>
          <w:tcPr>
            <w:tcW w:w="0" w:type="auto"/>
            <w:tcBorders>
              <w:top w:val="nil"/>
              <w:left w:val="nil"/>
              <w:bottom w:val="single" w:sz="4" w:space="0" w:color="auto"/>
              <w:right w:val="single" w:sz="4" w:space="0" w:color="auto"/>
            </w:tcBorders>
            <w:shd w:val="clear" w:color="auto" w:fill="auto"/>
            <w:noWrap/>
            <w:vAlign w:val="center"/>
          </w:tcPr>
          <w:p w14:paraId="12BC3F8E" w14:textId="00AFB430" w:rsidR="00D13BBE" w:rsidRPr="00C64E1D" w:rsidRDefault="00D13BBE" w:rsidP="009155F3">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858 </w:t>
            </w:r>
          </w:p>
        </w:tc>
        <w:tc>
          <w:tcPr>
            <w:tcW w:w="0" w:type="auto"/>
            <w:tcBorders>
              <w:top w:val="nil"/>
              <w:left w:val="nil"/>
              <w:bottom w:val="single" w:sz="4" w:space="0" w:color="auto"/>
              <w:right w:val="single" w:sz="4" w:space="0" w:color="auto"/>
            </w:tcBorders>
            <w:shd w:val="clear" w:color="auto" w:fill="auto"/>
            <w:noWrap/>
            <w:vAlign w:val="center"/>
          </w:tcPr>
          <w:p w14:paraId="5ADEF73C" w14:textId="73172ACF" w:rsidR="00D13BBE" w:rsidRPr="00C64E1D" w:rsidRDefault="00D13BBE" w:rsidP="003050A7">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1,063 </w:t>
            </w:r>
          </w:p>
        </w:tc>
      </w:tr>
      <w:tr w:rsidR="00C52E74" w:rsidRPr="009155F3" w14:paraId="498FEBB5" w14:textId="77777777" w:rsidTr="006B22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1DB2B2" w14:textId="42FD0BA5" w:rsidR="00C52E74" w:rsidRPr="00C34318" w:rsidRDefault="00C52E74" w:rsidP="009155F3">
            <w:pPr>
              <w:spacing w:after="0" w:line="240" w:lineRule="auto"/>
              <w:rPr>
                <w:rFonts w:ascii="Arial" w:eastAsia="Times New Roman" w:hAnsi="Arial" w:cs="Arial"/>
                <w:sz w:val="18"/>
                <w:szCs w:val="18"/>
              </w:rPr>
            </w:pPr>
            <w:r w:rsidRPr="00C34318">
              <w:rPr>
                <w:rFonts w:ascii="Arial" w:eastAsia="Times New Roman" w:hAnsi="Arial" w:cs="Arial"/>
                <w:sz w:val="18"/>
                <w:szCs w:val="18"/>
              </w:rPr>
              <w:t xml:space="preserve">Network </w:t>
            </w:r>
            <w:r w:rsidR="00167E37" w:rsidRPr="00C34318">
              <w:rPr>
                <w:rFonts w:ascii="Arial" w:eastAsia="Times New Roman" w:hAnsi="Arial" w:cs="Arial"/>
                <w:sz w:val="18"/>
                <w:szCs w:val="18"/>
              </w:rPr>
              <w:t>Analysis Survey</w:t>
            </w:r>
          </w:p>
        </w:tc>
        <w:tc>
          <w:tcPr>
            <w:tcW w:w="0" w:type="auto"/>
            <w:tcBorders>
              <w:top w:val="nil"/>
              <w:left w:val="nil"/>
              <w:bottom w:val="single" w:sz="4" w:space="0" w:color="auto"/>
              <w:right w:val="single" w:sz="4" w:space="0" w:color="auto"/>
            </w:tcBorders>
            <w:shd w:val="clear" w:color="auto" w:fill="auto"/>
            <w:noWrap/>
            <w:vAlign w:val="bottom"/>
          </w:tcPr>
          <w:p w14:paraId="555D560B" w14:textId="329A5434" w:rsidR="00C52E74" w:rsidRPr="00C64E1D" w:rsidRDefault="00902520" w:rsidP="009155F3">
            <w:pPr>
              <w:spacing w:after="0" w:line="240" w:lineRule="auto"/>
              <w:jc w:val="right"/>
              <w:rPr>
                <w:rFonts w:ascii="Arial" w:eastAsia="Times New Roman" w:hAnsi="Arial" w:cs="Arial"/>
                <w:sz w:val="18"/>
                <w:szCs w:val="18"/>
              </w:rPr>
            </w:pPr>
            <w:r>
              <w:rPr>
                <w:rFonts w:ascii="Arial" w:hAnsi="Arial" w:cs="Arial"/>
                <w:bCs/>
                <w:color w:val="000000"/>
                <w:sz w:val="18"/>
                <w:szCs w:val="18"/>
              </w:rPr>
              <w:t>1,060</w:t>
            </w:r>
            <w:r w:rsidR="00C52E74" w:rsidRPr="00C64E1D">
              <w:rPr>
                <w:rFonts w:ascii="Arial" w:hAnsi="Arial" w:cs="Arial"/>
                <w:bCs/>
                <w:color w:val="00000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tcPr>
          <w:p w14:paraId="78BAB5BD" w14:textId="08516824" w:rsidR="00C52E74" w:rsidRPr="00C64E1D" w:rsidRDefault="00902520" w:rsidP="009155F3">
            <w:pPr>
              <w:spacing w:after="0" w:line="240" w:lineRule="auto"/>
              <w:jc w:val="right"/>
              <w:rPr>
                <w:rFonts w:ascii="Arial" w:eastAsia="Times New Roman" w:hAnsi="Arial" w:cs="Arial"/>
                <w:sz w:val="18"/>
                <w:szCs w:val="18"/>
              </w:rPr>
            </w:pPr>
            <w:r>
              <w:rPr>
                <w:rFonts w:ascii="Arial" w:hAnsi="Arial" w:cs="Arial"/>
                <w:bCs/>
                <w:color w:val="000000"/>
                <w:sz w:val="18"/>
                <w:szCs w:val="18"/>
              </w:rPr>
              <w:t>1,060</w:t>
            </w:r>
          </w:p>
        </w:tc>
        <w:tc>
          <w:tcPr>
            <w:tcW w:w="0" w:type="auto"/>
            <w:tcBorders>
              <w:top w:val="nil"/>
              <w:left w:val="nil"/>
              <w:bottom w:val="single" w:sz="4" w:space="0" w:color="auto"/>
              <w:right w:val="single" w:sz="4" w:space="0" w:color="auto"/>
            </w:tcBorders>
            <w:shd w:val="clear" w:color="auto" w:fill="auto"/>
            <w:noWrap/>
            <w:vAlign w:val="center"/>
          </w:tcPr>
          <w:p w14:paraId="2DDB1A62" w14:textId="7BD5AC82" w:rsidR="00C52E74" w:rsidRPr="00C64E1D" w:rsidRDefault="00902520" w:rsidP="00FE0DE1">
            <w:pPr>
              <w:spacing w:after="0" w:line="240" w:lineRule="auto"/>
              <w:jc w:val="right"/>
              <w:rPr>
                <w:rFonts w:ascii="Arial" w:eastAsia="Times New Roman" w:hAnsi="Arial" w:cs="Arial"/>
                <w:sz w:val="18"/>
                <w:szCs w:val="18"/>
              </w:rPr>
            </w:pPr>
            <w:r>
              <w:rPr>
                <w:rFonts w:ascii="Arial" w:hAnsi="Arial" w:cs="Arial"/>
                <w:bCs/>
                <w:color w:val="000000"/>
                <w:sz w:val="18"/>
                <w:szCs w:val="18"/>
              </w:rPr>
              <w:t>442</w:t>
            </w:r>
          </w:p>
        </w:tc>
      </w:tr>
      <w:tr w:rsidR="003D2288" w:rsidRPr="009155F3" w14:paraId="6839D643" w14:textId="77777777" w:rsidTr="006B50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1524AE2" w14:textId="459A7DB1" w:rsidR="003D2288" w:rsidRPr="00C34318" w:rsidRDefault="00167E37" w:rsidP="009155F3">
            <w:pPr>
              <w:spacing w:after="0" w:line="240" w:lineRule="auto"/>
              <w:rPr>
                <w:rFonts w:ascii="Arial" w:eastAsia="Times New Roman" w:hAnsi="Arial" w:cs="Arial"/>
                <w:sz w:val="18"/>
                <w:szCs w:val="18"/>
              </w:rPr>
            </w:pPr>
            <w:r w:rsidRPr="00C34318">
              <w:rPr>
                <w:rFonts w:ascii="Arial" w:eastAsia="Times New Roman" w:hAnsi="Arial" w:cs="Arial"/>
                <w:sz w:val="18"/>
                <w:szCs w:val="18"/>
              </w:rPr>
              <w:t>GIS</w:t>
            </w:r>
          </w:p>
        </w:tc>
        <w:tc>
          <w:tcPr>
            <w:tcW w:w="0" w:type="auto"/>
            <w:tcBorders>
              <w:top w:val="nil"/>
              <w:left w:val="nil"/>
              <w:bottom w:val="single" w:sz="4" w:space="0" w:color="auto"/>
              <w:right w:val="single" w:sz="4" w:space="0" w:color="auto"/>
            </w:tcBorders>
            <w:shd w:val="clear" w:color="auto" w:fill="auto"/>
            <w:noWrap/>
            <w:vAlign w:val="bottom"/>
          </w:tcPr>
          <w:p w14:paraId="3D0F888F" w14:textId="7047946E"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212 </w:t>
            </w:r>
          </w:p>
        </w:tc>
        <w:tc>
          <w:tcPr>
            <w:tcW w:w="0" w:type="auto"/>
            <w:tcBorders>
              <w:top w:val="nil"/>
              <w:left w:val="nil"/>
              <w:bottom w:val="single" w:sz="4" w:space="0" w:color="auto"/>
              <w:right w:val="single" w:sz="4" w:space="0" w:color="auto"/>
            </w:tcBorders>
            <w:shd w:val="clear" w:color="auto" w:fill="auto"/>
            <w:noWrap/>
            <w:vAlign w:val="bottom"/>
          </w:tcPr>
          <w:p w14:paraId="17F6A23B" w14:textId="60B34D85"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848 </w:t>
            </w:r>
          </w:p>
        </w:tc>
        <w:tc>
          <w:tcPr>
            <w:tcW w:w="0" w:type="auto"/>
            <w:tcBorders>
              <w:top w:val="nil"/>
              <w:left w:val="nil"/>
              <w:bottom w:val="single" w:sz="4" w:space="0" w:color="auto"/>
              <w:right w:val="single" w:sz="4" w:space="0" w:color="auto"/>
            </w:tcBorders>
            <w:shd w:val="clear" w:color="auto" w:fill="auto"/>
            <w:noWrap/>
            <w:vAlign w:val="bottom"/>
          </w:tcPr>
          <w:p w14:paraId="6BBA6176" w14:textId="1617AD01"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212 </w:t>
            </w:r>
          </w:p>
        </w:tc>
      </w:tr>
      <w:tr w:rsidR="003D2288" w:rsidRPr="009155F3" w14:paraId="1E56ABE6" w14:textId="77777777" w:rsidTr="006B50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DDC5D9" w14:textId="2B864DE7" w:rsidR="003D2288" w:rsidRPr="00C34318" w:rsidRDefault="003D2288" w:rsidP="009155F3">
            <w:pPr>
              <w:spacing w:after="0" w:line="240" w:lineRule="auto"/>
              <w:rPr>
                <w:rFonts w:ascii="Arial" w:eastAsia="Times New Roman" w:hAnsi="Arial" w:cs="Arial"/>
                <w:sz w:val="18"/>
                <w:szCs w:val="18"/>
              </w:rPr>
            </w:pPr>
            <w:r w:rsidRPr="00C34318">
              <w:rPr>
                <w:rFonts w:ascii="Arial" w:eastAsia="Times New Roman" w:hAnsi="Arial" w:cs="Arial"/>
                <w:sz w:val="18"/>
                <w:szCs w:val="18"/>
              </w:rPr>
              <w:t xml:space="preserve">Financial </w:t>
            </w:r>
            <w:r w:rsidR="00167E37" w:rsidRPr="00C34318">
              <w:rPr>
                <w:rFonts w:ascii="Arial" w:eastAsia="Times New Roman" w:hAnsi="Arial" w:cs="Arial"/>
                <w:sz w:val="18"/>
                <w:szCs w:val="18"/>
              </w:rPr>
              <w:t>Mapping Interview</w:t>
            </w:r>
          </w:p>
        </w:tc>
        <w:tc>
          <w:tcPr>
            <w:tcW w:w="0" w:type="auto"/>
            <w:tcBorders>
              <w:top w:val="nil"/>
              <w:left w:val="nil"/>
              <w:bottom w:val="single" w:sz="4" w:space="0" w:color="auto"/>
              <w:right w:val="single" w:sz="4" w:space="0" w:color="auto"/>
            </w:tcBorders>
            <w:shd w:val="clear" w:color="auto" w:fill="auto"/>
            <w:noWrap/>
            <w:vAlign w:val="bottom"/>
          </w:tcPr>
          <w:p w14:paraId="0FFBD2D4" w14:textId="4285B2F9"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129 </w:t>
            </w:r>
          </w:p>
        </w:tc>
        <w:tc>
          <w:tcPr>
            <w:tcW w:w="0" w:type="auto"/>
            <w:tcBorders>
              <w:top w:val="nil"/>
              <w:left w:val="nil"/>
              <w:bottom w:val="single" w:sz="4" w:space="0" w:color="auto"/>
              <w:right w:val="single" w:sz="4" w:space="0" w:color="auto"/>
            </w:tcBorders>
            <w:shd w:val="clear" w:color="auto" w:fill="auto"/>
            <w:noWrap/>
            <w:vAlign w:val="bottom"/>
          </w:tcPr>
          <w:p w14:paraId="4AD3BCF2" w14:textId="3EBF43DF"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129 </w:t>
            </w:r>
          </w:p>
        </w:tc>
        <w:tc>
          <w:tcPr>
            <w:tcW w:w="0" w:type="auto"/>
            <w:tcBorders>
              <w:top w:val="nil"/>
              <w:left w:val="nil"/>
              <w:bottom w:val="single" w:sz="4" w:space="0" w:color="auto"/>
              <w:right w:val="single" w:sz="4" w:space="0" w:color="auto"/>
            </w:tcBorders>
            <w:shd w:val="clear" w:color="auto" w:fill="auto"/>
            <w:noWrap/>
            <w:vAlign w:val="bottom"/>
          </w:tcPr>
          <w:p w14:paraId="38047704" w14:textId="4D6C3ABD"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269 </w:t>
            </w:r>
          </w:p>
        </w:tc>
      </w:tr>
      <w:tr w:rsidR="003D2288" w:rsidRPr="009155F3" w14:paraId="7F127152" w14:textId="77777777" w:rsidTr="006B50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0D490E" w14:textId="49BA3E0D" w:rsidR="003D2288" w:rsidRPr="00C34318" w:rsidRDefault="00167E37" w:rsidP="009155F3">
            <w:pPr>
              <w:spacing w:after="0" w:line="240" w:lineRule="auto"/>
              <w:rPr>
                <w:rFonts w:ascii="Arial" w:eastAsia="Times New Roman" w:hAnsi="Arial" w:cs="Arial"/>
                <w:sz w:val="18"/>
                <w:szCs w:val="18"/>
              </w:rPr>
            </w:pPr>
            <w:r w:rsidRPr="00C34318">
              <w:rPr>
                <w:rFonts w:ascii="Arial" w:eastAsia="Times New Roman" w:hAnsi="Arial" w:cs="Arial"/>
                <w:sz w:val="18"/>
                <w:szCs w:val="18"/>
              </w:rPr>
              <w:t>Benchmark Tool</w:t>
            </w:r>
          </w:p>
        </w:tc>
        <w:tc>
          <w:tcPr>
            <w:tcW w:w="0" w:type="auto"/>
            <w:tcBorders>
              <w:top w:val="nil"/>
              <w:left w:val="nil"/>
              <w:bottom w:val="single" w:sz="4" w:space="0" w:color="auto"/>
              <w:right w:val="single" w:sz="4" w:space="0" w:color="auto"/>
            </w:tcBorders>
            <w:shd w:val="clear" w:color="auto" w:fill="auto"/>
            <w:noWrap/>
            <w:vAlign w:val="bottom"/>
          </w:tcPr>
          <w:p w14:paraId="5EB88842" w14:textId="2A4F6C09"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24 </w:t>
            </w:r>
          </w:p>
        </w:tc>
        <w:tc>
          <w:tcPr>
            <w:tcW w:w="0" w:type="auto"/>
            <w:tcBorders>
              <w:top w:val="nil"/>
              <w:left w:val="nil"/>
              <w:bottom w:val="single" w:sz="4" w:space="0" w:color="auto"/>
              <w:right w:val="single" w:sz="4" w:space="0" w:color="auto"/>
            </w:tcBorders>
            <w:shd w:val="clear" w:color="auto" w:fill="auto"/>
            <w:noWrap/>
            <w:vAlign w:val="bottom"/>
          </w:tcPr>
          <w:p w14:paraId="685034A6" w14:textId="0E5F8F8B"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24 </w:t>
            </w:r>
          </w:p>
        </w:tc>
        <w:tc>
          <w:tcPr>
            <w:tcW w:w="0" w:type="auto"/>
            <w:tcBorders>
              <w:top w:val="nil"/>
              <w:left w:val="nil"/>
              <w:bottom w:val="single" w:sz="4" w:space="0" w:color="auto"/>
              <w:right w:val="single" w:sz="4" w:space="0" w:color="auto"/>
            </w:tcBorders>
            <w:shd w:val="clear" w:color="auto" w:fill="auto"/>
            <w:noWrap/>
            <w:vAlign w:val="bottom"/>
          </w:tcPr>
          <w:p w14:paraId="6800BAFD" w14:textId="781B4795" w:rsidR="003D2288" w:rsidRPr="00C64E1D" w:rsidRDefault="003D2288" w:rsidP="006B50B0">
            <w:pPr>
              <w:spacing w:after="0" w:line="240" w:lineRule="auto"/>
              <w:jc w:val="right"/>
              <w:rPr>
                <w:rFonts w:ascii="Arial" w:eastAsia="Times New Roman" w:hAnsi="Arial" w:cs="Arial"/>
                <w:sz w:val="18"/>
                <w:szCs w:val="18"/>
              </w:rPr>
            </w:pPr>
            <w:r w:rsidRPr="00F511EA">
              <w:rPr>
                <w:rFonts w:ascii="Arial" w:hAnsi="Arial" w:cs="Arial"/>
                <w:bCs/>
                <w:color w:val="000000"/>
                <w:sz w:val="18"/>
                <w:szCs w:val="18"/>
              </w:rPr>
              <w:t xml:space="preserve">             960 </w:t>
            </w:r>
          </w:p>
        </w:tc>
      </w:tr>
      <w:tr w:rsidR="003D2288" w:rsidRPr="009155F3" w14:paraId="75C4807A" w14:textId="77777777" w:rsidTr="006B50B0">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E6FE91" w14:textId="48F3B2BF" w:rsidR="003D2288" w:rsidRDefault="003D2288" w:rsidP="009155F3">
            <w:pPr>
              <w:spacing w:after="0" w:line="240" w:lineRule="auto"/>
              <w:rPr>
                <w:rFonts w:ascii="Arial" w:eastAsia="Times New Roman" w:hAnsi="Arial" w:cs="Arial"/>
                <w:sz w:val="18"/>
                <w:szCs w:val="18"/>
              </w:rPr>
            </w:pPr>
            <w:r w:rsidRPr="00C34318">
              <w:rPr>
                <w:rFonts w:ascii="Arial" w:eastAsia="Times New Roman" w:hAnsi="Arial" w:cs="Arial"/>
                <w:sz w:val="18"/>
                <w:szCs w:val="18"/>
              </w:rPr>
              <w:t xml:space="preserve">Child and family </w:t>
            </w:r>
            <w:r w:rsidR="00D80328">
              <w:rPr>
                <w:rFonts w:ascii="Arial" w:eastAsia="Times New Roman" w:hAnsi="Arial" w:cs="Arial"/>
                <w:sz w:val="18"/>
                <w:szCs w:val="18"/>
              </w:rPr>
              <w:t>instruments</w:t>
            </w:r>
            <w:r w:rsidR="00D80328" w:rsidRPr="00C34318" w:rsidDel="00716153">
              <w:rPr>
                <w:rFonts w:ascii="Arial" w:eastAsia="Times New Roman" w:hAnsi="Arial" w:cs="Arial"/>
                <w:sz w:val="18"/>
                <w:szCs w:val="18"/>
              </w:rPr>
              <w:t xml:space="preserve"> </w:t>
            </w:r>
          </w:p>
          <w:p w14:paraId="5CF2EA1B" w14:textId="0B863766" w:rsidR="003D2288" w:rsidRPr="00C34318" w:rsidRDefault="003D2288" w:rsidP="009155F3">
            <w:pPr>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C34318">
              <w:rPr>
                <w:rFonts w:ascii="Arial" w:eastAsia="Times New Roman" w:hAnsi="Arial" w:cs="Arial"/>
                <w:sz w:val="18"/>
                <w:szCs w:val="18"/>
              </w:rPr>
              <w:t>(respondent &amp; staff burden)</w:t>
            </w:r>
          </w:p>
        </w:tc>
        <w:tc>
          <w:tcPr>
            <w:tcW w:w="0" w:type="auto"/>
            <w:tcBorders>
              <w:top w:val="nil"/>
              <w:left w:val="nil"/>
              <w:bottom w:val="single" w:sz="4" w:space="0" w:color="auto"/>
              <w:right w:val="single" w:sz="4" w:space="0" w:color="auto"/>
            </w:tcBorders>
            <w:shd w:val="clear" w:color="auto" w:fill="auto"/>
            <w:noWrap/>
            <w:vAlign w:val="bottom"/>
          </w:tcPr>
          <w:p w14:paraId="6E0BF8E1" w14:textId="776253AE" w:rsidR="003D2288" w:rsidRPr="00C64E1D" w:rsidRDefault="003D2288" w:rsidP="006B50B0">
            <w:pPr>
              <w:spacing w:after="0"/>
              <w:jc w:val="right"/>
              <w:rPr>
                <w:rFonts w:ascii="Arial" w:hAnsi="Arial" w:cs="Arial"/>
                <w:bCs/>
                <w:color w:val="000000"/>
                <w:sz w:val="18"/>
                <w:szCs w:val="18"/>
              </w:rPr>
            </w:pPr>
            <w:r w:rsidRPr="00F511EA">
              <w:rPr>
                <w:rFonts w:ascii="Arial" w:hAnsi="Arial" w:cs="Arial"/>
                <w:bCs/>
                <w:color w:val="000000"/>
                <w:sz w:val="18"/>
                <w:szCs w:val="18"/>
              </w:rPr>
              <w:t xml:space="preserve">                     5,083 </w:t>
            </w:r>
          </w:p>
        </w:tc>
        <w:tc>
          <w:tcPr>
            <w:tcW w:w="0" w:type="auto"/>
            <w:tcBorders>
              <w:top w:val="nil"/>
              <w:left w:val="nil"/>
              <w:bottom w:val="single" w:sz="4" w:space="0" w:color="auto"/>
              <w:right w:val="single" w:sz="4" w:space="0" w:color="auto"/>
            </w:tcBorders>
            <w:shd w:val="clear" w:color="auto" w:fill="auto"/>
            <w:noWrap/>
            <w:vAlign w:val="bottom"/>
          </w:tcPr>
          <w:p w14:paraId="5C57BF3B" w14:textId="6ECAEBF0" w:rsidR="003D2288" w:rsidRPr="00C64E1D" w:rsidRDefault="003C738B" w:rsidP="006B50B0">
            <w:pPr>
              <w:spacing w:after="0"/>
              <w:jc w:val="right"/>
              <w:rPr>
                <w:rFonts w:ascii="Arial" w:hAnsi="Arial" w:cs="Arial"/>
                <w:bCs/>
                <w:color w:val="000000"/>
                <w:sz w:val="18"/>
                <w:szCs w:val="18"/>
              </w:rPr>
            </w:pPr>
            <w:r>
              <w:rPr>
                <w:rFonts w:ascii="Arial" w:hAnsi="Arial" w:cs="Arial"/>
                <w:bCs/>
                <w:color w:val="000000"/>
                <w:sz w:val="18"/>
                <w:szCs w:val="18"/>
              </w:rPr>
              <w:t>50,316</w:t>
            </w:r>
          </w:p>
        </w:tc>
        <w:tc>
          <w:tcPr>
            <w:tcW w:w="0" w:type="auto"/>
            <w:tcBorders>
              <w:top w:val="nil"/>
              <w:left w:val="nil"/>
              <w:bottom w:val="single" w:sz="4" w:space="0" w:color="auto"/>
              <w:right w:val="single" w:sz="4" w:space="0" w:color="auto"/>
            </w:tcBorders>
            <w:shd w:val="clear" w:color="auto" w:fill="auto"/>
            <w:noWrap/>
            <w:vAlign w:val="bottom"/>
          </w:tcPr>
          <w:p w14:paraId="2D501F10" w14:textId="79CA3E1C" w:rsidR="003D2288" w:rsidRPr="00C64E1D" w:rsidRDefault="003C738B" w:rsidP="006B50B0">
            <w:pPr>
              <w:spacing w:after="0"/>
              <w:jc w:val="right"/>
              <w:rPr>
                <w:rFonts w:ascii="Arial" w:hAnsi="Arial" w:cs="Arial"/>
                <w:bCs/>
                <w:color w:val="000000"/>
                <w:sz w:val="18"/>
                <w:szCs w:val="18"/>
              </w:rPr>
            </w:pPr>
            <w:r>
              <w:rPr>
                <w:rFonts w:ascii="Arial" w:hAnsi="Arial" w:cs="Arial"/>
                <w:bCs/>
                <w:color w:val="000000"/>
                <w:sz w:val="18"/>
                <w:szCs w:val="18"/>
              </w:rPr>
              <w:t>5,959</w:t>
            </w:r>
          </w:p>
        </w:tc>
      </w:tr>
      <w:tr w:rsidR="00C52E74" w:rsidRPr="00D7252B" w14:paraId="4DF54274" w14:textId="77777777" w:rsidTr="006B22B9">
        <w:trPr>
          <w:trHeight w:val="30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358D71" w14:textId="77777777" w:rsidR="00C52E74" w:rsidRPr="00F511EA" w:rsidRDefault="00C52E74" w:rsidP="009155F3">
            <w:pPr>
              <w:spacing w:after="0" w:line="240" w:lineRule="auto"/>
              <w:jc w:val="right"/>
              <w:rPr>
                <w:rFonts w:ascii="Arial" w:eastAsia="Times New Roman" w:hAnsi="Arial" w:cs="Arial"/>
                <w:b/>
                <w:bCs/>
              </w:rPr>
            </w:pPr>
            <w:r w:rsidRPr="00F511EA">
              <w:rPr>
                <w:rFonts w:ascii="Arial" w:eastAsia="Times New Roman" w:hAnsi="Arial" w:cs="Arial"/>
                <w:b/>
                <w:bCs/>
              </w:rPr>
              <w:t>Total</w:t>
            </w:r>
          </w:p>
        </w:tc>
        <w:tc>
          <w:tcPr>
            <w:tcW w:w="0" w:type="auto"/>
            <w:tcBorders>
              <w:top w:val="nil"/>
              <w:left w:val="nil"/>
              <w:bottom w:val="single" w:sz="4" w:space="0" w:color="auto"/>
              <w:right w:val="single" w:sz="4" w:space="0" w:color="auto"/>
            </w:tcBorders>
            <w:shd w:val="clear" w:color="auto" w:fill="auto"/>
            <w:noWrap/>
            <w:vAlign w:val="center"/>
          </w:tcPr>
          <w:p w14:paraId="01801A3F" w14:textId="3997D98B" w:rsidR="00C52E74" w:rsidRPr="00F511EA" w:rsidRDefault="002623A2" w:rsidP="00902520">
            <w:pPr>
              <w:spacing w:after="0" w:line="240" w:lineRule="auto"/>
              <w:jc w:val="right"/>
              <w:rPr>
                <w:rFonts w:ascii="Arial" w:eastAsia="Times New Roman" w:hAnsi="Arial" w:cs="Arial"/>
                <w:b/>
                <w:bCs/>
              </w:rPr>
            </w:pPr>
            <w:r>
              <w:rPr>
                <w:rFonts w:ascii="Arial" w:hAnsi="Arial" w:cs="Arial"/>
                <w:b/>
                <w:color w:val="000000"/>
              </w:rPr>
              <w:t>9,</w:t>
            </w:r>
            <w:r w:rsidR="00902520">
              <w:rPr>
                <w:rFonts w:ascii="Arial" w:hAnsi="Arial" w:cs="Arial"/>
                <w:b/>
                <w:color w:val="000000"/>
              </w:rPr>
              <w:t>365</w:t>
            </w:r>
          </w:p>
        </w:tc>
        <w:tc>
          <w:tcPr>
            <w:tcW w:w="0" w:type="auto"/>
            <w:tcBorders>
              <w:top w:val="nil"/>
              <w:left w:val="nil"/>
              <w:bottom w:val="single" w:sz="4" w:space="0" w:color="auto"/>
              <w:right w:val="single" w:sz="4" w:space="0" w:color="auto"/>
            </w:tcBorders>
            <w:shd w:val="clear" w:color="auto" w:fill="auto"/>
            <w:noWrap/>
            <w:vAlign w:val="center"/>
          </w:tcPr>
          <w:p w14:paraId="2A7B8F78" w14:textId="57D16019" w:rsidR="00C52E74" w:rsidRPr="00F511EA" w:rsidRDefault="008B2825" w:rsidP="00902520">
            <w:pPr>
              <w:spacing w:after="0" w:line="240" w:lineRule="auto"/>
              <w:jc w:val="right"/>
              <w:rPr>
                <w:rFonts w:ascii="Arial" w:eastAsia="Times New Roman" w:hAnsi="Arial" w:cs="Arial"/>
                <w:b/>
                <w:bCs/>
              </w:rPr>
            </w:pPr>
            <w:r>
              <w:rPr>
                <w:rFonts w:ascii="Arial" w:hAnsi="Arial" w:cs="Arial"/>
                <w:b/>
                <w:color w:val="000000"/>
              </w:rPr>
              <w:t>56,</w:t>
            </w:r>
            <w:r w:rsidR="00902520">
              <w:rPr>
                <w:rFonts w:ascii="Arial" w:hAnsi="Arial" w:cs="Arial"/>
                <w:b/>
                <w:color w:val="000000"/>
              </w:rPr>
              <w:t>664</w:t>
            </w:r>
          </w:p>
        </w:tc>
        <w:tc>
          <w:tcPr>
            <w:tcW w:w="0" w:type="auto"/>
            <w:tcBorders>
              <w:top w:val="nil"/>
              <w:left w:val="nil"/>
              <w:bottom w:val="single" w:sz="4" w:space="0" w:color="auto"/>
              <w:right w:val="single" w:sz="4" w:space="0" w:color="auto"/>
            </w:tcBorders>
            <w:shd w:val="clear" w:color="auto" w:fill="auto"/>
            <w:noWrap/>
            <w:vAlign w:val="center"/>
          </w:tcPr>
          <w:p w14:paraId="613BCB5B" w14:textId="1FFC76A6" w:rsidR="00C52E74" w:rsidRPr="00F511EA" w:rsidRDefault="008B2825" w:rsidP="00902520">
            <w:pPr>
              <w:spacing w:after="0" w:line="240" w:lineRule="auto"/>
              <w:jc w:val="right"/>
              <w:rPr>
                <w:rFonts w:ascii="Arial" w:eastAsia="Times New Roman" w:hAnsi="Arial" w:cs="Arial"/>
                <w:b/>
                <w:bCs/>
              </w:rPr>
            </w:pPr>
            <w:r>
              <w:rPr>
                <w:rFonts w:ascii="Arial" w:hAnsi="Arial" w:cs="Arial"/>
                <w:b/>
                <w:color w:val="000000"/>
              </w:rPr>
              <w:t>11,</w:t>
            </w:r>
            <w:r w:rsidR="00902520">
              <w:rPr>
                <w:rFonts w:ascii="Arial" w:hAnsi="Arial" w:cs="Arial"/>
                <w:b/>
                <w:color w:val="000000"/>
              </w:rPr>
              <w:t>958</w:t>
            </w:r>
          </w:p>
        </w:tc>
      </w:tr>
    </w:tbl>
    <w:p w14:paraId="2937B595" w14:textId="77777777" w:rsidR="00DB720B" w:rsidRDefault="00DB720B" w:rsidP="00294792">
      <w:pPr>
        <w:spacing w:after="0" w:line="240" w:lineRule="auto"/>
        <w:rPr>
          <w:rFonts w:ascii="Times New Roman" w:hAnsi="Times New Roman" w:cs="Times New Roman"/>
          <w:b/>
          <w:sz w:val="22"/>
          <w:szCs w:val="22"/>
        </w:rPr>
      </w:pPr>
    </w:p>
    <w:p w14:paraId="5C34F4ED" w14:textId="77777777" w:rsidR="00064D44" w:rsidRDefault="00064D44" w:rsidP="00294792">
      <w:pPr>
        <w:spacing w:after="0" w:line="240" w:lineRule="auto"/>
        <w:rPr>
          <w:rFonts w:ascii="Times New Roman" w:hAnsi="Times New Roman" w:cs="Times New Roman"/>
          <w:b/>
          <w:sz w:val="22"/>
          <w:szCs w:val="22"/>
        </w:rPr>
      </w:pPr>
    </w:p>
    <w:p w14:paraId="7AE5FBD8" w14:textId="77777777" w:rsidR="00962DD0" w:rsidRPr="00D87880" w:rsidRDefault="00962DD0" w:rsidP="00672E58">
      <w:pPr>
        <w:spacing w:line="240" w:lineRule="auto"/>
        <w:rPr>
          <w:rFonts w:ascii="Times New Roman" w:hAnsi="Times New Roman" w:cs="Times New Roman"/>
          <w:b/>
          <w:sz w:val="22"/>
          <w:szCs w:val="22"/>
        </w:rPr>
      </w:pPr>
      <w:r w:rsidRPr="00D87880">
        <w:rPr>
          <w:rFonts w:ascii="Times New Roman" w:hAnsi="Times New Roman" w:cs="Times New Roman"/>
          <w:b/>
          <w:sz w:val="22"/>
          <w:szCs w:val="22"/>
        </w:rPr>
        <w:t>13. ESTIMATES OF ANNUALIZED COST BURDEN TO RESPONDENTS</w:t>
      </w:r>
    </w:p>
    <w:p w14:paraId="4D100EF8" w14:textId="1F65B726" w:rsidR="00861B37" w:rsidRPr="00D87880" w:rsidRDefault="00861B37" w:rsidP="005F0E44">
      <w:pPr>
        <w:pStyle w:val="BodyTextIndent"/>
        <w:widowControl/>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2"/>
          <w:szCs w:val="22"/>
        </w:rPr>
      </w:pPr>
      <w:r>
        <w:rPr>
          <w:sz w:val="22"/>
          <w:szCs w:val="22"/>
        </w:rPr>
        <w:t>There are neither capital nor startup costs, nor are there any operations or maintenance costs.</w:t>
      </w:r>
    </w:p>
    <w:p w14:paraId="069E890B" w14:textId="77777777" w:rsidR="00835B21" w:rsidRPr="00D87880" w:rsidRDefault="00835B21" w:rsidP="00672E58">
      <w:pPr>
        <w:spacing w:line="240" w:lineRule="auto"/>
        <w:rPr>
          <w:rFonts w:ascii="Times New Roman" w:hAnsi="Times New Roman" w:cs="Times New Roman"/>
          <w:b/>
          <w:sz w:val="22"/>
          <w:szCs w:val="22"/>
        </w:rPr>
      </w:pPr>
    </w:p>
    <w:p w14:paraId="0AFC1EDA" w14:textId="77777777" w:rsidR="00962DD0" w:rsidRPr="00BD33A7" w:rsidRDefault="00962DD0" w:rsidP="00672E58">
      <w:pPr>
        <w:spacing w:line="240" w:lineRule="auto"/>
        <w:rPr>
          <w:rFonts w:ascii="Times New Roman" w:hAnsi="Times New Roman" w:cs="Times New Roman"/>
          <w:b/>
          <w:sz w:val="22"/>
          <w:szCs w:val="22"/>
        </w:rPr>
      </w:pPr>
      <w:r w:rsidRPr="00BD33A7">
        <w:rPr>
          <w:rFonts w:ascii="Times New Roman" w:hAnsi="Times New Roman" w:cs="Times New Roman"/>
          <w:b/>
          <w:sz w:val="22"/>
          <w:szCs w:val="22"/>
        </w:rPr>
        <w:t>14. ESTIMATES OF ANNUALIZED COST TO THE GOVERNMENT</w:t>
      </w:r>
    </w:p>
    <w:p w14:paraId="6B0DC02C" w14:textId="1E3683EF" w:rsidR="000B5252" w:rsidRPr="00BD33A7" w:rsidRDefault="005F0E44" w:rsidP="000B5252">
      <w:pPr>
        <w:pStyle w:val="BodyText"/>
        <w:rPr>
          <w:rFonts w:ascii="Times New Roman" w:hAnsi="Times New Roman" w:cs="Times New Roman"/>
          <w:sz w:val="22"/>
          <w:szCs w:val="22"/>
        </w:rPr>
      </w:pPr>
      <w:r w:rsidRPr="00BD33A7">
        <w:rPr>
          <w:rFonts w:ascii="Times New Roman" w:hAnsi="Times New Roman" w:cs="Times New Roman"/>
          <w:sz w:val="22"/>
          <w:szCs w:val="22"/>
        </w:rPr>
        <w:t xml:space="preserve">SAMHSA has planned and allocated resources for the management, processing, and use of the collected information in a manner that shall </w:t>
      </w:r>
      <w:r w:rsidR="00BE3F66" w:rsidRPr="00BD33A7">
        <w:rPr>
          <w:rFonts w:ascii="Times New Roman" w:hAnsi="Times New Roman" w:cs="Times New Roman"/>
          <w:sz w:val="22"/>
          <w:szCs w:val="22"/>
        </w:rPr>
        <w:t>enhance its utility to agencies</w:t>
      </w:r>
      <w:r w:rsidRPr="00BD33A7">
        <w:rPr>
          <w:rFonts w:ascii="Times New Roman" w:hAnsi="Times New Roman" w:cs="Times New Roman"/>
          <w:sz w:val="22"/>
          <w:szCs w:val="22"/>
        </w:rPr>
        <w:t xml:space="preserve">. </w:t>
      </w:r>
      <w:r w:rsidR="000B5252" w:rsidRPr="00BD33A7">
        <w:rPr>
          <w:rFonts w:ascii="Times New Roman" w:hAnsi="Times New Roman" w:cs="Times New Roman"/>
          <w:sz w:val="22"/>
          <w:szCs w:val="22"/>
        </w:rPr>
        <w:t>The contract award to cover evaluation of this project is $</w:t>
      </w:r>
      <w:r w:rsidR="00CB5403" w:rsidRPr="00BD33A7">
        <w:rPr>
          <w:rFonts w:ascii="Times New Roman" w:hAnsi="Times New Roman" w:cs="Times New Roman"/>
          <w:sz w:val="22"/>
          <w:szCs w:val="22"/>
        </w:rPr>
        <w:t>5,599,119</w:t>
      </w:r>
      <w:r w:rsidR="000B5252" w:rsidRPr="00BD33A7">
        <w:rPr>
          <w:rFonts w:ascii="Times New Roman" w:hAnsi="Times New Roman" w:cs="Times New Roman"/>
          <w:sz w:val="22"/>
          <w:szCs w:val="22"/>
        </w:rPr>
        <w:t xml:space="preserve"> over a 48-month period. Thus, the annualized contract cost is $</w:t>
      </w:r>
      <w:r w:rsidR="00CB5403" w:rsidRPr="00BD33A7">
        <w:rPr>
          <w:rFonts w:ascii="Times New Roman" w:hAnsi="Times New Roman" w:cs="Times New Roman"/>
          <w:sz w:val="22"/>
          <w:szCs w:val="22"/>
        </w:rPr>
        <w:t>1,399,779</w:t>
      </w:r>
      <w:r w:rsidR="000B5252" w:rsidRPr="00BD33A7">
        <w:rPr>
          <w:rFonts w:ascii="Times New Roman" w:hAnsi="Times New Roman" w:cs="Times New Roman"/>
          <w:sz w:val="22"/>
          <w:szCs w:val="22"/>
        </w:rPr>
        <w:t>.</w:t>
      </w:r>
    </w:p>
    <w:p w14:paraId="09923ECA" w14:textId="64472FEF" w:rsidR="000B5252" w:rsidRPr="00BD33A7" w:rsidRDefault="000B5252" w:rsidP="000B5252">
      <w:pPr>
        <w:pStyle w:val="BodyText"/>
        <w:rPr>
          <w:rFonts w:ascii="Times New Roman" w:hAnsi="Times New Roman" w:cs="Times New Roman"/>
          <w:sz w:val="22"/>
          <w:szCs w:val="22"/>
        </w:rPr>
      </w:pPr>
      <w:r w:rsidRPr="00BD33A7">
        <w:rPr>
          <w:rFonts w:ascii="Times New Roman" w:hAnsi="Times New Roman" w:cs="Times New Roman"/>
          <w:sz w:val="22"/>
          <w:szCs w:val="22"/>
        </w:rPr>
        <w:t xml:space="preserve">Additional costs will be incurred indirectly by the government in personnel costs of staff involved in oversight of data collection. It is estimated that one SAMHSA employee will be involved for 15 percent of their time. Cost of staff time will approximate $13,500 annually. </w:t>
      </w:r>
    </w:p>
    <w:p w14:paraId="4A7F86F3" w14:textId="671A7A88" w:rsidR="000B5252" w:rsidRPr="00192DB9" w:rsidRDefault="000B5252" w:rsidP="000B5252">
      <w:pPr>
        <w:pStyle w:val="BodyText"/>
        <w:rPr>
          <w:rFonts w:ascii="Times New Roman" w:hAnsi="Times New Roman" w:cs="Times New Roman"/>
          <w:sz w:val="22"/>
          <w:szCs w:val="22"/>
        </w:rPr>
      </w:pPr>
      <w:r w:rsidRPr="00BD33A7">
        <w:rPr>
          <w:rFonts w:ascii="Times New Roman" w:hAnsi="Times New Roman" w:cs="Times New Roman"/>
          <w:sz w:val="22"/>
          <w:szCs w:val="22"/>
        </w:rPr>
        <w:t>The estimated annualized total cost to th</w:t>
      </w:r>
      <w:r w:rsidR="006A3D71" w:rsidRPr="00BD33A7">
        <w:rPr>
          <w:rFonts w:ascii="Times New Roman" w:hAnsi="Times New Roman" w:cs="Times New Roman"/>
          <w:sz w:val="22"/>
          <w:szCs w:val="22"/>
        </w:rPr>
        <w:t>e government will be $</w:t>
      </w:r>
      <w:r w:rsidR="00DB3592">
        <w:rPr>
          <w:rFonts w:ascii="Times New Roman" w:hAnsi="Times New Roman" w:cs="Times New Roman"/>
          <w:sz w:val="22"/>
          <w:szCs w:val="22"/>
        </w:rPr>
        <w:t>1,</w:t>
      </w:r>
      <w:r w:rsidR="00CB5403" w:rsidRPr="00BD33A7">
        <w:rPr>
          <w:rFonts w:ascii="Times New Roman" w:hAnsi="Times New Roman" w:cs="Times New Roman"/>
          <w:sz w:val="22"/>
          <w:szCs w:val="22"/>
        </w:rPr>
        <w:t>413</w:t>
      </w:r>
      <w:r w:rsidR="00EC06AD" w:rsidRPr="00BD33A7">
        <w:rPr>
          <w:rFonts w:ascii="Times New Roman" w:hAnsi="Times New Roman" w:cs="Times New Roman"/>
          <w:sz w:val="22"/>
          <w:szCs w:val="22"/>
        </w:rPr>
        <w:t>,</w:t>
      </w:r>
      <w:r w:rsidR="00CB5403" w:rsidRPr="00BD33A7">
        <w:rPr>
          <w:rFonts w:ascii="Times New Roman" w:hAnsi="Times New Roman" w:cs="Times New Roman"/>
          <w:sz w:val="22"/>
          <w:szCs w:val="22"/>
        </w:rPr>
        <w:t>279</w:t>
      </w:r>
      <w:r w:rsidR="007475F6" w:rsidRPr="00BD33A7">
        <w:rPr>
          <w:rFonts w:ascii="Times New Roman" w:hAnsi="Times New Roman" w:cs="Times New Roman"/>
          <w:sz w:val="22"/>
          <w:szCs w:val="22"/>
        </w:rPr>
        <w:t>.</w:t>
      </w:r>
    </w:p>
    <w:p w14:paraId="0862558F" w14:textId="5649A109" w:rsidR="005F0E44" w:rsidRDefault="005F0E44" w:rsidP="000B5252">
      <w:pPr>
        <w:pStyle w:val="BodyTextIndent"/>
        <w:widowControl/>
        <w:tabs>
          <w:tab w:val="left" w:pos="-1440"/>
          <w:tab w:val="left" w:pos="-1087"/>
          <w:tab w:val="left" w:pos="-720"/>
          <w:tab w:val="left" w:pos="0"/>
          <w:tab w:val="left" w:pos="54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rPr>
          <w:sz w:val="22"/>
          <w:szCs w:val="22"/>
        </w:rPr>
      </w:pPr>
    </w:p>
    <w:p w14:paraId="22D464F3" w14:textId="77777777" w:rsidR="00962DD0" w:rsidRPr="00D87880" w:rsidRDefault="00962DD0" w:rsidP="00714556">
      <w:pPr>
        <w:tabs>
          <w:tab w:val="left" w:pos="5459"/>
        </w:tabs>
        <w:spacing w:line="240" w:lineRule="auto"/>
        <w:rPr>
          <w:rFonts w:ascii="Times New Roman" w:hAnsi="Times New Roman" w:cs="Times New Roman"/>
          <w:sz w:val="22"/>
          <w:szCs w:val="22"/>
        </w:rPr>
      </w:pPr>
      <w:r w:rsidRPr="00D87880">
        <w:rPr>
          <w:rFonts w:ascii="Times New Roman" w:hAnsi="Times New Roman" w:cs="Times New Roman"/>
          <w:b/>
          <w:sz w:val="22"/>
          <w:szCs w:val="22"/>
        </w:rPr>
        <w:t>15. CHANGES IN BURDEN</w:t>
      </w:r>
      <w:r w:rsidR="00714556" w:rsidRPr="00D87880">
        <w:rPr>
          <w:rFonts w:ascii="Times New Roman" w:hAnsi="Times New Roman" w:cs="Times New Roman"/>
          <w:b/>
          <w:sz w:val="22"/>
          <w:szCs w:val="22"/>
        </w:rPr>
        <w:tab/>
      </w:r>
    </w:p>
    <w:p w14:paraId="0B8F0C23" w14:textId="74B252D9" w:rsidR="002C6DA4" w:rsidRPr="00D87880" w:rsidRDefault="005162B1" w:rsidP="00672E58">
      <w:pPr>
        <w:spacing w:line="240" w:lineRule="auto"/>
        <w:rPr>
          <w:rFonts w:ascii="Times New Roman" w:hAnsi="Times New Roman" w:cs="Times New Roman"/>
          <w:sz w:val="22"/>
          <w:szCs w:val="22"/>
        </w:rPr>
      </w:pPr>
      <w:r>
        <w:rPr>
          <w:rFonts w:ascii="Times New Roman" w:hAnsi="Times New Roman" w:cs="Times New Roman"/>
          <w:sz w:val="22"/>
          <w:szCs w:val="22"/>
        </w:rPr>
        <w:t>This is a new data collection.</w:t>
      </w:r>
    </w:p>
    <w:p w14:paraId="09D16280" w14:textId="78214EF5" w:rsidR="00971F95" w:rsidRDefault="00971F95">
      <w:pPr>
        <w:rPr>
          <w:rFonts w:ascii="Times New Roman" w:hAnsi="Times New Roman" w:cs="Times New Roman"/>
          <w:b/>
          <w:sz w:val="22"/>
          <w:szCs w:val="22"/>
        </w:rPr>
      </w:pPr>
    </w:p>
    <w:p w14:paraId="40BC7C6D" w14:textId="77777777" w:rsidR="00962DD0" w:rsidRPr="00D87880" w:rsidRDefault="00962DD0" w:rsidP="00672E58">
      <w:pPr>
        <w:spacing w:line="240" w:lineRule="auto"/>
        <w:rPr>
          <w:rFonts w:ascii="Times New Roman" w:hAnsi="Times New Roman" w:cs="Times New Roman"/>
          <w:sz w:val="22"/>
          <w:szCs w:val="22"/>
        </w:rPr>
      </w:pPr>
      <w:r w:rsidRPr="003F0D8A">
        <w:rPr>
          <w:rFonts w:ascii="Times New Roman" w:hAnsi="Times New Roman" w:cs="Times New Roman"/>
          <w:b/>
          <w:sz w:val="22"/>
          <w:szCs w:val="22"/>
        </w:rPr>
        <w:t>16. TIME SCHEDULE, PUBLICATION, AND ANALYSIS PLANS</w:t>
      </w:r>
    </w:p>
    <w:p w14:paraId="19FE36B8" w14:textId="77777777" w:rsidR="00962DD0" w:rsidRPr="00D87880" w:rsidRDefault="00962DD0" w:rsidP="004B0870">
      <w:pPr>
        <w:spacing w:line="240" w:lineRule="auto"/>
        <w:ind w:left="720" w:hanging="360"/>
        <w:rPr>
          <w:rFonts w:ascii="Times New Roman" w:hAnsi="Times New Roman" w:cs="Times New Roman"/>
          <w:sz w:val="22"/>
          <w:szCs w:val="22"/>
        </w:rPr>
      </w:pPr>
      <w:r w:rsidRPr="00D87880">
        <w:rPr>
          <w:rFonts w:ascii="Times New Roman" w:hAnsi="Times New Roman" w:cs="Times New Roman"/>
          <w:b/>
          <w:sz w:val="22"/>
          <w:szCs w:val="22"/>
        </w:rPr>
        <w:t>a. Time Schedule</w:t>
      </w:r>
    </w:p>
    <w:p w14:paraId="4885F182" w14:textId="1327C654" w:rsidR="00962DD0" w:rsidRDefault="00962DD0" w:rsidP="00672E58">
      <w:pPr>
        <w:spacing w:line="240" w:lineRule="auto"/>
        <w:rPr>
          <w:rFonts w:ascii="Times New Roman" w:hAnsi="Times New Roman" w:cs="Times New Roman"/>
          <w:sz w:val="22"/>
          <w:szCs w:val="22"/>
        </w:rPr>
      </w:pPr>
      <w:r w:rsidRPr="00D87880">
        <w:rPr>
          <w:rFonts w:ascii="Times New Roman" w:hAnsi="Times New Roman" w:cs="Times New Roman"/>
          <w:sz w:val="22"/>
          <w:szCs w:val="22"/>
        </w:rPr>
        <w:t>The time</w:t>
      </w:r>
      <w:r w:rsidR="00E97F92" w:rsidRPr="00D87880">
        <w:rPr>
          <w:rFonts w:ascii="Times New Roman" w:hAnsi="Times New Roman" w:cs="Times New Roman"/>
          <w:sz w:val="22"/>
          <w:szCs w:val="22"/>
        </w:rPr>
        <w:t xml:space="preserve"> schedule for implementing </w:t>
      </w:r>
      <w:r w:rsidR="00A135A3" w:rsidRPr="00D87880">
        <w:rPr>
          <w:rFonts w:ascii="Times New Roman" w:hAnsi="Times New Roman" w:cs="Times New Roman"/>
          <w:sz w:val="22"/>
          <w:szCs w:val="22"/>
        </w:rPr>
        <w:t>the Evaluation</w:t>
      </w:r>
      <w:r w:rsidRPr="00D87880">
        <w:rPr>
          <w:rFonts w:ascii="Times New Roman" w:hAnsi="Times New Roman" w:cs="Times New Roman"/>
          <w:sz w:val="22"/>
          <w:szCs w:val="22"/>
        </w:rPr>
        <w:t xml:space="preserve"> </w:t>
      </w:r>
      <w:r w:rsidR="00677BFB">
        <w:rPr>
          <w:rFonts w:ascii="Times New Roman" w:hAnsi="Times New Roman" w:cs="Times New Roman"/>
          <w:sz w:val="22"/>
          <w:szCs w:val="22"/>
        </w:rPr>
        <w:t xml:space="preserve">and publishing findings in the supplement to the Annual Report to Congress </w:t>
      </w:r>
      <w:r w:rsidRPr="00D87880">
        <w:rPr>
          <w:rFonts w:ascii="Times New Roman" w:hAnsi="Times New Roman" w:cs="Times New Roman"/>
          <w:sz w:val="22"/>
          <w:szCs w:val="22"/>
        </w:rPr>
        <w:t xml:space="preserve">is summarized in Table </w:t>
      </w:r>
      <w:r w:rsidR="00E66653">
        <w:rPr>
          <w:rFonts w:ascii="Times New Roman" w:hAnsi="Times New Roman" w:cs="Times New Roman"/>
          <w:sz w:val="22"/>
          <w:szCs w:val="22"/>
        </w:rPr>
        <w:t>7</w:t>
      </w:r>
      <w:r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r w:rsidRPr="00D87880">
        <w:rPr>
          <w:rFonts w:ascii="Times New Roman" w:hAnsi="Times New Roman" w:cs="Times New Roman"/>
          <w:sz w:val="22"/>
          <w:szCs w:val="22"/>
        </w:rPr>
        <w:t>A 3-year clearance is requested for this project.</w:t>
      </w:r>
    </w:p>
    <w:p w14:paraId="79C1BA5F" w14:textId="77777777" w:rsidR="00C57778" w:rsidRPr="00D87880" w:rsidRDefault="00C57778" w:rsidP="00672E58">
      <w:pPr>
        <w:spacing w:line="240" w:lineRule="auto"/>
        <w:rPr>
          <w:rFonts w:ascii="Times New Roman" w:hAnsi="Times New Roman" w:cs="Times New Roman"/>
          <w:sz w:val="22"/>
          <w:szCs w:val="22"/>
        </w:rPr>
      </w:pPr>
    </w:p>
    <w:p w14:paraId="558ED8B3" w14:textId="5783C738" w:rsidR="00E97F92" w:rsidRPr="00D87880" w:rsidRDefault="00E97F92" w:rsidP="007159E6">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sz w:val="22"/>
          <w:szCs w:val="22"/>
        </w:rPr>
      </w:pPr>
      <w:r w:rsidRPr="00D87880">
        <w:rPr>
          <w:rFonts w:ascii="Times New Roman" w:hAnsi="Times New Roman" w:cs="Times New Roman"/>
          <w:b/>
          <w:bCs/>
          <w:sz w:val="22"/>
          <w:szCs w:val="22"/>
        </w:rPr>
        <w:t xml:space="preserve">Table </w:t>
      </w:r>
      <w:r w:rsidR="00E66653">
        <w:rPr>
          <w:rFonts w:ascii="Times New Roman" w:hAnsi="Times New Roman" w:cs="Times New Roman"/>
          <w:b/>
          <w:bCs/>
          <w:sz w:val="22"/>
          <w:szCs w:val="22"/>
        </w:rPr>
        <w:t>7</w:t>
      </w:r>
      <w:r w:rsidRPr="00D87880">
        <w:rPr>
          <w:rFonts w:ascii="Times New Roman" w:hAnsi="Times New Roman" w:cs="Times New Roman"/>
          <w:b/>
          <w:bCs/>
          <w:sz w:val="22"/>
          <w:szCs w:val="22"/>
        </w:rPr>
        <w:t>.</w:t>
      </w:r>
      <w:r w:rsidR="00862178" w:rsidRPr="00D87880">
        <w:rPr>
          <w:rFonts w:ascii="Times New Roman" w:hAnsi="Times New Roman" w:cs="Times New Roman"/>
          <w:b/>
          <w:bCs/>
          <w:sz w:val="22"/>
          <w:szCs w:val="22"/>
        </w:rPr>
        <w:t xml:space="preserve"> </w:t>
      </w:r>
      <w:r w:rsidRPr="00D87880">
        <w:rPr>
          <w:rFonts w:ascii="Times New Roman" w:hAnsi="Times New Roman" w:cs="Times New Roman"/>
          <w:b/>
          <w:bCs/>
          <w:sz w:val="22"/>
          <w:szCs w:val="22"/>
        </w:rPr>
        <w:t>Schedule</w:t>
      </w:r>
      <w:r w:rsidR="003152CE" w:rsidRPr="00D87880">
        <w:rPr>
          <w:rFonts w:ascii="Times New Roman" w:hAnsi="Times New Roman" w:cs="Times New Roman"/>
          <w:b/>
          <w:bCs/>
          <w:sz w:val="22"/>
          <w:szCs w:val="22"/>
        </w:rPr>
        <w:t xml:space="preserve"> of Evaluation activities</w:t>
      </w:r>
    </w:p>
    <w:tbl>
      <w:tblPr>
        <w:tblW w:w="536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firstRow="0" w:lastRow="0" w:firstColumn="0" w:lastColumn="0" w:noHBand="0" w:noVBand="0"/>
      </w:tblPr>
      <w:tblGrid>
        <w:gridCol w:w="6892"/>
        <w:gridCol w:w="3367"/>
      </w:tblGrid>
      <w:tr w:rsidR="00D87880" w:rsidRPr="00D87880" w14:paraId="2654C497" w14:textId="77777777" w:rsidTr="00D77D20">
        <w:trPr>
          <w:trHeight w:val="389"/>
          <w:jc w:val="center"/>
        </w:trPr>
        <w:tc>
          <w:tcPr>
            <w:tcW w:w="3359" w:type="pct"/>
            <w:shd w:val="clear" w:color="auto" w:fill="D9D9D9" w:themeFill="background1" w:themeFillShade="D9"/>
            <w:vAlign w:val="center"/>
          </w:tcPr>
          <w:p w14:paraId="641C2803" w14:textId="77777777" w:rsidR="00092130" w:rsidRPr="00D87880" w:rsidRDefault="00092130" w:rsidP="0009213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b/>
              </w:rPr>
            </w:pPr>
            <w:r w:rsidRPr="00D87880">
              <w:rPr>
                <w:rFonts w:ascii="Arial" w:hAnsi="Arial" w:cs="Arial"/>
                <w:b/>
              </w:rPr>
              <w:t>Activity</w:t>
            </w:r>
          </w:p>
        </w:tc>
        <w:tc>
          <w:tcPr>
            <w:tcW w:w="1641" w:type="pct"/>
            <w:shd w:val="clear" w:color="auto" w:fill="D9D9D9" w:themeFill="background1" w:themeFillShade="D9"/>
            <w:vAlign w:val="center"/>
          </w:tcPr>
          <w:p w14:paraId="2737E4E4" w14:textId="77777777" w:rsidR="00092130" w:rsidRPr="00D87880" w:rsidRDefault="00392A06" w:rsidP="00092130">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rFonts w:ascii="Arial" w:hAnsi="Arial" w:cs="Arial"/>
                <w:b/>
              </w:rPr>
            </w:pPr>
            <w:r w:rsidRPr="00D87880">
              <w:rPr>
                <w:rFonts w:ascii="Arial" w:hAnsi="Arial" w:cs="Arial"/>
                <w:b/>
              </w:rPr>
              <w:t>Date</w:t>
            </w:r>
          </w:p>
        </w:tc>
      </w:tr>
      <w:tr w:rsidR="00D87880" w:rsidRPr="00D87880" w14:paraId="0428189A" w14:textId="77777777" w:rsidTr="00E732BC">
        <w:trPr>
          <w:trHeight w:val="389"/>
          <w:jc w:val="center"/>
        </w:trPr>
        <w:tc>
          <w:tcPr>
            <w:tcW w:w="3359" w:type="pct"/>
            <w:shd w:val="clear" w:color="auto" w:fill="auto"/>
            <w:vAlign w:val="center"/>
          </w:tcPr>
          <w:p w14:paraId="1D068C74" w14:textId="77777777" w:rsidR="00E97F92" w:rsidRPr="00D87880" w:rsidRDefault="00E97F92" w:rsidP="0029749F">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 xml:space="preserve">Receive OMB clearance for </w:t>
            </w:r>
            <w:r w:rsidR="0029749F" w:rsidRPr="00D87880">
              <w:rPr>
                <w:rFonts w:ascii="Arial" w:hAnsi="Arial" w:cs="Arial"/>
              </w:rPr>
              <w:t>data collection</w:t>
            </w:r>
          </w:p>
        </w:tc>
        <w:tc>
          <w:tcPr>
            <w:tcW w:w="1641" w:type="pct"/>
            <w:shd w:val="clear" w:color="auto" w:fill="auto"/>
            <w:vAlign w:val="center"/>
          </w:tcPr>
          <w:p w14:paraId="1F470F71" w14:textId="77F5368D" w:rsidR="00E97F92" w:rsidRPr="00D87880" w:rsidRDefault="00E97F92" w:rsidP="00A40C5E">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XXX</w:t>
            </w:r>
          </w:p>
        </w:tc>
      </w:tr>
      <w:tr w:rsidR="00D87880" w:rsidRPr="00D87880" w14:paraId="1EB098C4" w14:textId="77777777" w:rsidTr="00E732BC">
        <w:trPr>
          <w:trHeight w:val="308"/>
          <w:jc w:val="center"/>
        </w:trPr>
        <w:tc>
          <w:tcPr>
            <w:tcW w:w="3359" w:type="pct"/>
            <w:shd w:val="clear" w:color="auto" w:fill="auto"/>
            <w:vAlign w:val="center"/>
          </w:tcPr>
          <w:p w14:paraId="51D9B10A" w14:textId="5D645A21" w:rsidR="008B594A" w:rsidRPr="00D87880" w:rsidRDefault="008B594A" w:rsidP="005162B1">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 xml:space="preserve">Begin data collection </w:t>
            </w:r>
            <w:r w:rsidR="005162B1">
              <w:rPr>
                <w:rFonts w:ascii="Arial" w:hAnsi="Arial" w:cs="Arial"/>
              </w:rPr>
              <w:t xml:space="preserve">2 months after OMB clearance </w:t>
            </w:r>
          </w:p>
        </w:tc>
        <w:tc>
          <w:tcPr>
            <w:tcW w:w="1641" w:type="pct"/>
            <w:shd w:val="clear" w:color="auto" w:fill="auto"/>
            <w:vAlign w:val="center"/>
          </w:tcPr>
          <w:p w14:paraId="2769BE27" w14:textId="77777777" w:rsidR="008B594A" w:rsidRPr="00D87880" w:rsidDel="00EC4F23" w:rsidRDefault="008B594A" w:rsidP="00A40C5E">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XXX</w:t>
            </w:r>
          </w:p>
        </w:tc>
      </w:tr>
      <w:tr w:rsidR="00D87880" w:rsidRPr="00D87880" w14:paraId="35FBB508" w14:textId="77777777" w:rsidTr="00E732BC">
        <w:trPr>
          <w:trHeight w:val="335"/>
          <w:jc w:val="center"/>
        </w:trPr>
        <w:tc>
          <w:tcPr>
            <w:tcW w:w="3359" w:type="pct"/>
            <w:shd w:val="clear" w:color="auto" w:fill="auto"/>
            <w:vAlign w:val="center"/>
          </w:tcPr>
          <w:p w14:paraId="3741A582" w14:textId="5B347812" w:rsidR="00E2195B" w:rsidRPr="00D87880" w:rsidRDefault="00FA557E" w:rsidP="00345A8F">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Stop d</w:t>
            </w:r>
            <w:r w:rsidR="00E2195B" w:rsidRPr="00D87880">
              <w:rPr>
                <w:rFonts w:ascii="Arial" w:hAnsi="Arial" w:cs="Arial"/>
              </w:rPr>
              <w:t xml:space="preserve">ata collection </w:t>
            </w:r>
          </w:p>
        </w:tc>
        <w:tc>
          <w:tcPr>
            <w:tcW w:w="1641" w:type="pct"/>
            <w:shd w:val="clear" w:color="auto" w:fill="auto"/>
            <w:vAlign w:val="center"/>
          </w:tcPr>
          <w:p w14:paraId="6C7740BE" w14:textId="77777777" w:rsidR="00E2195B" w:rsidRPr="00D87880" w:rsidRDefault="004874BF" w:rsidP="00985625">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June 30,</w:t>
            </w:r>
            <w:r w:rsidR="00E2195B" w:rsidRPr="00D87880">
              <w:rPr>
                <w:rFonts w:ascii="Arial" w:hAnsi="Arial" w:cs="Arial"/>
              </w:rPr>
              <w:t xml:space="preserve"> 2018</w:t>
            </w:r>
          </w:p>
        </w:tc>
      </w:tr>
      <w:tr w:rsidR="00D87880" w:rsidRPr="00D87880" w14:paraId="25300845" w14:textId="77777777" w:rsidTr="00E732BC">
        <w:trPr>
          <w:trHeight w:val="308"/>
          <w:jc w:val="center"/>
        </w:trPr>
        <w:tc>
          <w:tcPr>
            <w:tcW w:w="3359" w:type="pct"/>
            <w:shd w:val="clear" w:color="auto" w:fill="auto"/>
            <w:vAlign w:val="center"/>
          </w:tcPr>
          <w:p w14:paraId="145CBF10" w14:textId="77777777" w:rsidR="00E97F92" w:rsidRPr="00D87880" w:rsidRDefault="007F6413" w:rsidP="00A40C5E">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Begin p</w:t>
            </w:r>
            <w:r w:rsidR="00E97F92" w:rsidRPr="00D87880">
              <w:rPr>
                <w:rFonts w:ascii="Arial" w:hAnsi="Arial" w:cs="Arial"/>
              </w:rPr>
              <w:t>rocess</w:t>
            </w:r>
            <w:r w:rsidRPr="00D87880">
              <w:rPr>
                <w:rFonts w:ascii="Arial" w:hAnsi="Arial" w:cs="Arial"/>
              </w:rPr>
              <w:t>ing and analyzing</w:t>
            </w:r>
            <w:r w:rsidR="00E97F92" w:rsidRPr="00D87880">
              <w:rPr>
                <w:rFonts w:ascii="Arial" w:hAnsi="Arial" w:cs="Arial"/>
              </w:rPr>
              <w:t xml:space="preserve"> data</w:t>
            </w:r>
            <w:r w:rsidR="00E97F92" w:rsidRPr="00D87880" w:rsidDel="00EC4F23">
              <w:rPr>
                <w:rFonts w:ascii="Arial" w:hAnsi="Arial" w:cs="Arial"/>
              </w:rPr>
              <w:t xml:space="preserve"> </w:t>
            </w:r>
          </w:p>
        </w:tc>
        <w:tc>
          <w:tcPr>
            <w:tcW w:w="1641" w:type="pct"/>
            <w:shd w:val="clear" w:color="auto" w:fill="auto"/>
            <w:vAlign w:val="center"/>
          </w:tcPr>
          <w:p w14:paraId="451A8368" w14:textId="77777777" w:rsidR="00E97F92" w:rsidRPr="00D87880" w:rsidDel="00EC4F23" w:rsidRDefault="007F6413" w:rsidP="00FA557E">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 xml:space="preserve">6 months after OMB </w:t>
            </w:r>
            <w:r w:rsidR="004874BF" w:rsidRPr="00D87880">
              <w:rPr>
                <w:rFonts w:ascii="Arial" w:hAnsi="Arial" w:cs="Arial"/>
              </w:rPr>
              <w:t>clearance</w:t>
            </w:r>
          </w:p>
        </w:tc>
      </w:tr>
      <w:tr w:rsidR="00E339A0" w:rsidRPr="00D87880" w14:paraId="46E5792B" w14:textId="77777777" w:rsidTr="007921F5">
        <w:trPr>
          <w:trHeight w:val="326"/>
          <w:jc w:val="center"/>
        </w:trPr>
        <w:tc>
          <w:tcPr>
            <w:tcW w:w="3359" w:type="pct"/>
            <w:shd w:val="clear" w:color="auto" w:fill="auto"/>
            <w:vAlign w:val="center"/>
          </w:tcPr>
          <w:p w14:paraId="3EBA1097" w14:textId="77777777" w:rsidR="00E339A0" w:rsidRPr="00D87880" w:rsidRDefault="00E339A0" w:rsidP="007921F5">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D87880">
              <w:rPr>
                <w:rFonts w:ascii="Arial" w:hAnsi="Arial" w:cs="Arial"/>
              </w:rPr>
              <w:t>Produce supplement to Annual Report to Congress</w:t>
            </w:r>
          </w:p>
        </w:tc>
        <w:tc>
          <w:tcPr>
            <w:tcW w:w="1641" w:type="pct"/>
            <w:shd w:val="clear" w:color="auto" w:fill="auto"/>
            <w:vAlign w:val="center"/>
          </w:tcPr>
          <w:p w14:paraId="031B3C50" w14:textId="06EF371D" w:rsidR="00E339A0" w:rsidRPr="007B7D3C" w:rsidRDefault="005439A0" w:rsidP="00345A8F">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 xml:space="preserve">Every </w:t>
            </w:r>
            <w:r w:rsidR="00E339A0" w:rsidRPr="007B7D3C">
              <w:rPr>
                <w:rFonts w:ascii="Arial" w:hAnsi="Arial" w:cs="Arial"/>
              </w:rPr>
              <w:t xml:space="preserve">October </w:t>
            </w:r>
            <w:r>
              <w:rPr>
                <w:rFonts w:ascii="Arial" w:hAnsi="Arial" w:cs="Arial"/>
              </w:rPr>
              <w:t xml:space="preserve">from </w:t>
            </w:r>
            <w:r w:rsidR="00E339A0" w:rsidRPr="007B7D3C">
              <w:rPr>
                <w:rFonts w:ascii="Arial" w:hAnsi="Arial" w:cs="Arial"/>
              </w:rPr>
              <w:t xml:space="preserve">2014 </w:t>
            </w:r>
            <w:r>
              <w:rPr>
                <w:rFonts w:ascii="Arial" w:hAnsi="Arial" w:cs="Arial"/>
              </w:rPr>
              <w:t>to 2018</w:t>
            </w:r>
          </w:p>
        </w:tc>
      </w:tr>
    </w:tbl>
    <w:p w14:paraId="22CF1FD6" w14:textId="77777777" w:rsidR="0029749F" w:rsidRPr="00D87880" w:rsidRDefault="00D77D20" w:rsidP="00A66BAD">
      <w:pPr>
        <w:spacing w:line="240" w:lineRule="auto"/>
        <w:rPr>
          <w:rFonts w:ascii="Arial" w:hAnsi="Arial" w:cs="Arial"/>
          <w:sz w:val="18"/>
          <w:szCs w:val="18"/>
        </w:rPr>
      </w:pPr>
      <w:r w:rsidRPr="00D87880">
        <w:rPr>
          <w:rFonts w:ascii="Arial" w:hAnsi="Arial" w:cs="Arial"/>
          <w:sz w:val="18"/>
          <w:szCs w:val="18"/>
        </w:rPr>
        <w:t>NOTE.</w:t>
      </w:r>
      <w:r w:rsidR="00862178" w:rsidRPr="00D87880">
        <w:rPr>
          <w:rFonts w:ascii="Arial" w:hAnsi="Arial" w:cs="Arial"/>
          <w:sz w:val="18"/>
          <w:szCs w:val="18"/>
        </w:rPr>
        <w:t xml:space="preserve"> </w:t>
      </w:r>
      <w:r w:rsidRPr="00D87880">
        <w:rPr>
          <w:rFonts w:ascii="Arial" w:hAnsi="Arial" w:cs="Arial"/>
          <w:sz w:val="18"/>
          <w:szCs w:val="18"/>
        </w:rPr>
        <w:t>*Data will be</w:t>
      </w:r>
      <w:r w:rsidR="00FA557E" w:rsidRPr="00D87880">
        <w:rPr>
          <w:rFonts w:ascii="Arial" w:hAnsi="Arial" w:cs="Arial"/>
          <w:sz w:val="18"/>
          <w:szCs w:val="18"/>
        </w:rPr>
        <w:t xml:space="preserve"> collected from planning grants only once, as their funding period </w:t>
      </w:r>
      <w:r w:rsidR="00661C1B">
        <w:rPr>
          <w:rFonts w:ascii="Arial" w:hAnsi="Arial" w:cs="Arial"/>
          <w:sz w:val="18"/>
          <w:szCs w:val="18"/>
        </w:rPr>
        <w:t>lasts for</w:t>
      </w:r>
      <w:r w:rsidR="00FA557E" w:rsidRPr="00D87880">
        <w:rPr>
          <w:rFonts w:ascii="Arial" w:hAnsi="Arial" w:cs="Arial"/>
          <w:sz w:val="18"/>
          <w:szCs w:val="18"/>
        </w:rPr>
        <w:t xml:space="preserve"> only one year.</w:t>
      </w:r>
    </w:p>
    <w:p w14:paraId="03E766AB" w14:textId="4DB33520" w:rsidR="00791037" w:rsidRPr="00D87880" w:rsidRDefault="00C83782" w:rsidP="00996C31">
      <w:pPr>
        <w:spacing w:line="240" w:lineRule="auto"/>
        <w:ind w:left="720" w:hanging="360"/>
        <w:rPr>
          <w:rFonts w:ascii="Times New Roman" w:hAnsi="Times New Roman" w:cs="Times New Roman"/>
          <w:b/>
          <w:sz w:val="22"/>
          <w:szCs w:val="22"/>
        </w:rPr>
      </w:pPr>
      <w:r>
        <w:rPr>
          <w:rFonts w:ascii="Times New Roman" w:hAnsi="Times New Roman" w:cs="Times New Roman"/>
          <w:b/>
          <w:sz w:val="22"/>
          <w:szCs w:val="22"/>
        </w:rPr>
        <w:t>b</w:t>
      </w:r>
      <w:r w:rsidR="00677BFB">
        <w:rPr>
          <w:rFonts w:ascii="Times New Roman" w:hAnsi="Times New Roman" w:cs="Times New Roman"/>
          <w:b/>
          <w:sz w:val="22"/>
          <w:szCs w:val="22"/>
        </w:rPr>
        <w:t xml:space="preserve">. </w:t>
      </w:r>
      <w:r w:rsidR="00962DD0" w:rsidRPr="00D87880">
        <w:rPr>
          <w:rFonts w:ascii="Times New Roman" w:hAnsi="Times New Roman" w:cs="Times New Roman"/>
          <w:b/>
          <w:sz w:val="22"/>
          <w:szCs w:val="22"/>
        </w:rPr>
        <w:t>Data Analysis Plan</w:t>
      </w:r>
    </w:p>
    <w:p w14:paraId="5F5A620B" w14:textId="120B65A1" w:rsidR="003055BA" w:rsidRPr="00D87880" w:rsidRDefault="00745044" w:rsidP="00A66BAD">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D87880">
        <w:rPr>
          <w:rFonts w:ascii="Times New Roman" w:hAnsi="Times New Roman" w:cs="Times New Roman"/>
          <w:sz w:val="22"/>
          <w:szCs w:val="22"/>
        </w:rPr>
        <w:t>D</w:t>
      </w:r>
      <w:r w:rsidR="003055BA" w:rsidRPr="00D87880">
        <w:rPr>
          <w:rFonts w:ascii="Times New Roman" w:hAnsi="Times New Roman" w:cs="Times New Roman"/>
          <w:sz w:val="22"/>
          <w:szCs w:val="22"/>
        </w:rPr>
        <w:t xml:space="preserve">ata collection and analytic strategies </w:t>
      </w:r>
      <w:r w:rsidR="00C12FFE" w:rsidRPr="00D87880">
        <w:rPr>
          <w:rFonts w:ascii="Times New Roman" w:hAnsi="Times New Roman" w:cs="Times New Roman"/>
          <w:sz w:val="22"/>
          <w:szCs w:val="22"/>
        </w:rPr>
        <w:t xml:space="preserve">are </w:t>
      </w:r>
      <w:r w:rsidR="003055BA" w:rsidRPr="00D87880">
        <w:rPr>
          <w:rFonts w:ascii="Times New Roman" w:hAnsi="Times New Roman" w:cs="Times New Roman"/>
          <w:sz w:val="22"/>
          <w:szCs w:val="22"/>
        </w:rPr>
        <w:t>lin</w:t>
      </w:r>
      <w:r w:rsidR="009D157A" w:rsidRPr="00D87880">
        <w:rPr>
          <w:rFonts w:ascii="Times New Roman" w:hAnsi="Times New Roman" w:cs="Times New Roman"/>
          <w:sz w:val="22"/>
          <w:szCs w:val="22"/>
        </w:rPr>
        <w:t xml:space="preserve">ked to </w:t>
      </w:r>
      <w:r w:rsidR="00A135A3" w:rsidRPr="00D87880">
        <w:rPr>
          <w:rFonts w:ascii="Times New Roman" w:hAnsi="Times New Roman" w:cs="Times New Roman"/>
          <w:sz w:val="22"/>
          <w:szCs w:val="22"/>
        </w:rPr>
        <w:t>the Evaluation</w:t>
      </w:r>
      <w:r w:rsidR="009D157A" w:rsidRPr="00D87880">
        <w:rPr>
          <w:rFonts w:ascii="Times New Roman" w:hAnsi="Times New Roman" w:cs="Times New Roman"/>
          <w:sz w:val="22"/>
          <w:szCs w:val="22"/>
        </w:rPr>
        <w:t xml:space="preserve"> questions </w:t>
      </w:r>
      <w:r w:rsidR="0055693E" w:rsidRPr="00E66653">
        <w:rPr>
          <w:rFonts w:ascii="Times New Roman" w:hAnsi="Times New Roman" w:cs="Times New Roman"/>
          <w:sz w:val="22"/>
          <w:szCs w:val="22"/>
        </w:rPr>
        <w:t>listed</w:t>
      </w:r>
      <w:r w:rsidR="00440492" w:rsidRPr="00E66653">
        <w:rPr>
          <w:rFonts w:ascii="Times New Roman" w:hAnsi="Times New Roman" w:cs="Times New Roman"/>
          <w:sz w:val="22"/>
          <w:szCs w:val="22"/>
        </w:rPr>
        <w:t xml:space="preserve"> in Table </w:t>
      </w:r>
      <w:r w:rsidR="00E66653" w:rsidRPr="00E66653">
        <w:rPr>
          <w:rFonts w:ascii="Times New Roman" w:hAnsi="Times New Roman" w:cs="Times New Roman"/>
          <w:sz w:val="22"/>
          <w:szCs w:val="22"/>
        </w:rPr>
        <w:t>9</w:t>
      </w:r>
      <w:r w:rsidR="003055BA" w:rsidRPr="00E66653">
        <w:rPr>
          <w:rFonts w:ascii="Times New Roman" w:hAnsi="Times New Roman" w:cs="Times New Roman"/>
          <w:sz w:val="22"/>
          <w:szCs w:val="22"/>
        </w:rPr>
        <w:t>.</w:t>
      </w:r>
      <w:r w:rsidR="00862178" w:rsidRPr="00E66653">
        <w:rPr>
          <w:rFonts w:ascii="Times New Roman" w:hAnsi="Times New Roman" w:cs="Times New Roman"/>
          <w:sz w:val="22"/>
          <w:szCs w:val="22"/>
        </w:rPr>
        <w:t xml:space="preserve"> </w:t>
      </w:r>
      <w:r w:rsidR="0055693E" w:rsidRPr="00E66653">
        <w:rPr>
          <w:rFonts w:ascii="Times New Roman" w:hAnsi="Times New Roman" w:cs="Times New Roman"/>
          <w:sz w:val="22"/>
          <w:szCs w:val="22"/>
        </w:rPr>
        <w:t>Data analyses</w:t>
      </w:r>
      <w:r w:rsidR="0055693E" w:rsidRPr="00D87880">
        <w:rPr>
          <w:rFonts w:ascii="Times New Roman" w:hAnsi="Times New Roman" w:cs="Times New Roman"/>
          <w:sz w:val="22"/>
          <w:szCs w:val="22"/>
        </w:rPr>
        <w:t xml:space="preserve"> are described </w:t>
      </w:r>
      <w:r w:rsidR="00306660">
        <w:rPr>
          <w:rFonts w:ascii="Times New Roman" w:hAnsi="Times New Roman" w:cs="Times New Roman"/>
          <w:sz w:val="22"/>
          <w:szCs w:val="22"/>
        </w:rPr>
        <w:t>for each</w:t>
      </w:r>
      <w:r w:rsidR="0055693E" w:rsidRPr="00D87880">
        <w:rPr>
          <w:rFonts w:ascii="Times New Roman" w:hAnsi="Times New Roman" w:cs="Times New Roman"/>
          <w:sz w:val="22"/>
          <w:szCs w:val="22"/>
        </w:rPr>
        <w:t xml:space="preserve"> Evaluation component followed by a description of cross-</w:t>
      </w:r>
      <w:r w:rsidR="00C225E6" w:rsidRPr="00D87880">
        <w:rPr>
          <w:rFonts w:ascii="Times New Roman" w:hAnsi="Times New Roman" w:cs="Times New Roman"/>
          <w:sz w:val="22"/>
          <w:szCs w:val="22"/>
        </w:rPr>
        <w:t>level</w:t>
      </w:r>
      <w:r w:rsidR="0055693E" w:rsidRPr="00D87880">
        <w:rPr>
          <w:rFonts w:ascii="Times New Roman" w:hAnsi="Times New Roman" w:cs="Times New Roman"/>
          <w:sz w:val="22"/>
          <w:szCs w:val="22"/>
        </w:rPr>
        <w:t xml:space="preserve"> analyses.</w:t>
      </w:r>
    </w:p>
    <w:p w14:paraId="29703B7B" w14:textId="607255F3" w:rsidR="003310D8" w:rsidRPr="00D87880" w:rsidRDefault="00EB646A" w:rsidP="00D316E8">
      <w:pPr>
        <w:spacing w:line="240" w:lineRule="auto"/>
        <w:rPr>
          <w:rFonts w:ascii="Times New Roman" w:hAnsi="Times New Roman" w:cs="Times New Roman"/>
          <w:b/>
          <w:sz w:val="22"/>
          <w:szCs w:val="22"/>
        </w:rPr>
      </w:pPr>
      <w:r>
        <w:rPr>
          <w:rFonts w:ascii="Times New Roman" w:hAnsi="Times New Roman" w:cs="Times New Roman"/>
          <w:b/>
          <w:sz w:val="22"/>
          <w:szCs w:val="22"/>
        </w:rPr>
        <w:t>Implementation</w:t>
      </w:r>
      <w:r w:rsidR="00043AD6" w:rsidRPr="00D87880">
        <w:rPr>
          <w:rFonts w:ascii="Times New Roman" w:hAnsi="Times New Roman" w:cs="Times New Roman"/>
          <w:b/>
          <w:sz w:val="22"/>
          <w:szCs w:val="22"/>
        </w:rPr>
        <w:t xml:space="preserve"> </w:t>
      </w:r>
      <w:r w:rsidR="005B5E47">
        <w:rPr>
          <w:rFonts w:ascii="Times New Roman" w:hAnsi="Times New Roman" w:cs="Times New Roman"/>
          <w:b/>
          <w:sz w:val="22"/>
          <w:szCs w:val="22"/>
        </w:rPr>
        <w:t>Assessment</w:t>
      </w:r>
    </w:p>
    <w:p w14:paraId="51A69E59" w14:textId="2EFB10C3" w:rsidR="007C06C6" w:rsidRPr="00FC3092" w:rsidRDefault="002E4836" w:rsidP="00D316E8">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bCs/>
          <w:sz w:val="22"/>
          <w:szCs w:val="22"/>
        </w:rPr>
      </w:pPr>
      <w:r w:rsidRPr="00D87880">
        <w:rPr>
          <w:rFonts w:ascii="Times New Roman" w:hAnsi="Times New Roman" w:cs="Times New Roman"/>
          <w:b/>
          <w:sz w:val="22"/>
          <w:szCs w:val="22"/>
        </w:rPr>
        <w:tab/>
      </w:r>
      <w:r w:rsidR="0077206D" w:rsidRPr="00BA64D1">
        <w:rPr>
          <w:rFonts w:ascii="Times New Roman" w:hAnsi="Times New Roman" w:cs="Times New Roman"/>
          <w:b/>
          <w:i/>
          <w:sz w:val="22"/>
          <w:szCs w:val="22"/>
        </w:rPr>
        <w:t>Stakeholder interviews</w:t>
      </w:r>
      <w:r w:rsidR="008613F8" w:rsidRPr="00BA64D1">
        <w:rPr>
          <w:rFonts w:ascii="Times New Roman" w:hAnsi="Times New Roman" w:cs="Times New Roman"/>
          <w:sz w:val="22"/>
          <w:szCs w:val="22"/>
        </w:rPr>
        <w:t>.</w:t>
      </w:r>
      <w:r w:rsidR="00862178" w:rsidRPr="00BA64D1">
        <w:rPr>
          <w:rFonts w:ascii="Times New Roman" w:hAnsi="Times New Roman" w:cs="Times New Roman"/>
          <w:sz w:val="22"/>
          <w:szCs w:val="22"/>
        </w:rPr>
        <w:t xml:space="preserve"> </w:t>
      </w:r>
      <w:r w:rsidR="00756666" w:rsidRPr="00BA64D1">
        <w:rPr>
          <w:rFonts w:ascii="Times New Roman" w:hAnsi="Times New Roman" w:cs="Times New Roman"/>
          <w:sz w:val="22"/>
          <w:szCs w:val="22"/>
        </w:rPr>
        <w:t xml:space="preserve">Using a </w:t>
      </w:r>
      <w:r w:rsidR="003379C9" w:rsidRPr="00BA64D1">
        <w:rPr>
          <w:rFonts w:ascii="Times New Roman" w:hAnsi="Times New Roman" w:cs="Times New Roman"/>
          <w:sz w:val="22"/>
          <w:szCs w:val="22"/>
        </w:rPr>
        <w:t>pre-</w:t>
      </w:r>
      <w:r w:rsidR="00756666" w:rsidRPr="00BA64D1">
        <w:rPr>
          <w:rFonts w:ascii="Times New Roman" w:hAnsi="Times New Roman" w:cs="Times New Roman"/>
          <w:sz w:val="22"/>
          <w:szCs w:val="22"/>
        </w:rPr>
        <w:t xml:space="preserve">established analysis frame, coders </w:t>
      </w:r>
      <w:r w:rsidR="00206C55" w:rsidRPr="00BA64D1">
        <w:rPr>
          <w:rFonts w:ascii="Times New Roman" w:hAnsi="Times New Roman" w:cs="Times New Roman"/>
          <w:sz w:val="22"/>
          <w:szCs w:val="22"/>
        </w:rPr>
        <w:t xml:space="preserve">will document descriptive information about what </w:t>
      </w:r>
      <w:r w:rsidR="003379C9" w:rsidRPr="00BA64D1">
        <w:rPr>
          <w:rFonts w:ascii="Times New Roman" w:hAnsi="Times New Roman" w:cs="Times New Roman"/>
          <w:sz w:val="22"/>
          <w:szCs w:val="22"/>
        </w:rPr>
        <w:t xml:space="preserve">implementation and </w:t>
      </w:r>
      <w:r w:rsidR="00206C55" w:rsidRPr="00BA64D1">
        <w:rPr>
          <w:rFonts w:ascii="Times New Roman" w:hAnsi="Times New Roman" w:cs="Times New Roman"/>
          <w:sz w:val="22"/>
          <w:szCs w:val="22"/>
        </w:rPr>
        <w:t xml:space="preserve">expansion </w:t>
      </w:r>
      <w:r w:rsidR="00756666" w:rsidRPr="00BA64D1">
        <w:rPr>
          <w:rFonts w:ascii="Times New Roman" w:hAnsi="Times New Roman" w:cs="Times New Roman"/>
          <w:sz w:val="22"/>
          <w:szCs w:val="22"/>
        </w:rPr>
        <w:t xml:space="preserve">strategies </w:t>
      </w:r>
      <w:r w:rsidR="00206C55" w:rsidRPr="00BA64D1">
        <w:rPr>
          <w:rFonts w:ascii="Times New Roman" w:hAnsi="Times New Roman" w:cs="Times New Roman"/>
          <w:sz w:val="22"/>
          <w:szCs w:val="22"/>
        </w:rPr>
        <w:t xml:space="preserve">are </w:t>
      </w:r>
      <w:r w:rsidR="003379C9" w:rsidRPr="00BA64D1">
        <w:rPr>
          <w:rFonts w:ascii="Times New Roman" w:hAnsi="Times New Roman" w:cs="Times New Roman"/>
          <w:sz w:val="22"/>
          <w:szCs w:val="22"/>
        </w:rPr>
        <w:t xml:space="preserve">being </w:t>
      </w:r>
      <w:r w:rsidR="00206C55" w:rsidRPr="00BA64D1">
        <w:rPr>
          <w:rFonts w:ascii="Times New Roman" w:hAnsi="Times New Roman" w:cs="Times New Roman"/>
          <w:sz w:val="22"/>
          <w:szCs w:val="22"/>
        </w:rPr>
        <w:t xml:space="preserve">used </w:t>
      </w:r>
      <w:r w:rsidR="003379C9" w:rsidRPr="00BA64D1">
        <w:rPr>
          <w:rFonts w:ascii="Times New Roman" w:hAnsi="Times New Roman" w:cs="Times New Roman"/>
          <w:sz w:val="22"/>
          <w:szCs w:val="22"/>
        </w:rPr>
        <w:t xml:space="preserve">by each grantee </w:t>
      </w:r>
      <w:r w:rsidR="00206C55" w:rsidRPr="00BA64D1">
        <w:rPr>
          <w:rFonts w:ascii="Times New Roman" w:hAnsi="Times New Roman" w:cs="Times New Roman"/>
          <w:sz w:val="22"/>
          <w:szCs w:val="22"/>
        </w:rPr>
        <w:t>and how</w:t>
      </w:r>
      <w:r w:rsidR="00206C55" w:rsidRPr="00FC3092">
        <w:rPr>
          <w:rFonts w:ascii="Times New Roman" w:hAnsi="Times New Roman" w:cs="Times New Roman"/>
          <w:sz w:val="22"/>
          <w:szCs w:val="22"/>
        </w:rPr>
        <w:t xml:space="preserve"> </w:t>
      </w:r>
      <w:r w:rsidR="003379C9" w:rsidRPr="00FC3092">
        <w:rPr>
          <w:rFonts w:ascii="Times New Roman" w:hAnsi="Times New Roman" w:cs="Times New Roman"/>
          <w:sz w:val="22"/>
          <w:szCs w:val="22"/>
        </w:rPr>
        <w:t>well or fully they have been</w:t>
      </w:r>
      <w:r w:rsidR="00206C55" w:rsidRPr="00FC3092">
        <w:rPr>
          <w:rFonts w:ascii="Times New Roman" w:hAnsi="Times New Roman" w:cs="Times New Roman"/>
          <w:sz w:val="22"/>
          <w:szCs w:val="22"/>
        </w:rPr>
        <w:t xml:space="preserve"> </w:t>
      </w:r>
      <w:r w:rsidR="00756666" w:rsidRPr="00FC3092">
        <w:rPr>
          <w:rFonts w:ascii="Times New Roman" w:hAnsi="Times New Roman" w:cs="Times New Roman"/>
          <w:sz w:val="22"/>
          <w:szCs w:val="22"/>
        </w:rPr>
        <w:t>implemented. Multiple coders will be train</w:t>
      </w:r>
      <w:r w:rsidR="00B01D20" w:rsidRPr="00FC3092">
        <w:rPr>
          <w:rFonts w:ascii="Times New Roman" w:hAnsi="Times New Roman" w:cs="Times New Roman"/>
          <w:sz w:val="22"/>
          <w:szCs w:val="22"/>
        </w:rPr>
        <w:t xml:space="preserve">ed, and inter-rater reliability </w:t>
      </w:r>
      <w:r w:rsidR="00756666" w:rsidRPr="00FC3092">
        <w:rPr>
          <w:rFonts w:ascii="Times New Roman" w:hAnsi="Times New Roman" w:cs="Times New Roman"/>
          <w:sz w:val="22"/>
          <w:szCs w:val="22"/>
        </w:rPr>
        <w:t xml:space="preserve">will be tested to ensure consistency in identifying </w:t>
      </w:r>
      <w:r w:rsidR="00832282" w:rsidRPr="00FC3092">
        <w:rPr>
          <w:rFonts w:ascii="Times New Roman" w:hAnsi="Times New Roman" w:cs="Times New Roman"/>
          <w:sz w:val="22"/>
          <w:szCs w:val="22"/>
        </w:rPr>
        <w:t>and recording strategies</w:t>
      </w:r>
      <w:r w:rsidR="00756666" w:rsidRPr="00FC3092">
        <w:rPr>
          <w:rFonts w:ascii="Times New Roman" w:hAnsi="Times New Roman" w:cs="Times New Roman"/>
          <w:sz w:val="22"/>
          <w:szCs w:val="22"/>
        </w:rPr>
        <w:t>.</w:t>
      </w:r>
    </w:p>
    <w:p w14:paraId="00158CCF" w14:textId="2E14566F" w:rsidR="007C06C6" w:rsidRPr="00FC3092" w:rsidRDefault="007C06C6" w:rsidP="00596390">
      <w:pPr>
        <w:pStyle w:val="P1-StandPara"/>
        <w:spacing w:line="240" w:lineRule="auto"/>
        <w:jc w:val="left"/>
        <w:rPr>
          <w:sz w:val="22"/>
          <w:szCs w:val="22"/>
        </w:rPr>
      </w:pPr>
      <w:r w:rsidRPr="00FC3092">
        <w:rPr>
          <w:sz w:val="22"/>
          <w:szCs w:val="22"/>
        </w:rPr>
        <w:t xml:space="preserve">Qualitative analysis of interview data will be conducted to </w:t>
      </w:r>
      <w:r w:rsidR="00756666" w:rsidRPr="00FC3092">
        <w:rPr>
          <w:sz w:val="22"/>
          <w:szCs w:val="22"/>
        </w:rPr>
        <w:t xml:space="preserve">comprehensively </w:t>
      </w:r>
      <w:r w:rsidRPr="00FC3092">
        <w:rPr>
          <w:sz w:val="22"/>
          <w:szCs w:val="22"/>
        </w:rPr>
        <w:t>describe</w:t>
      </w:r>
      <w:r w:rsidR="00832282" w:rsidRPr="00FC3092">
        <w:rPr>
          <w:sz w:val="22"/>
          <w:szCs w:val="22"/>
        </w:rPr>
        <w:t xml:space="preserve"> implementation and </w:t>
      </w:r>
      <w:r w:rsidRPr="00FC3092">
        <w:rPr>
          <w:sz w:val="22"/>
          <w:szCs w:val="22"/>
        </w:rPr>
        <w:t>e</w:t>
      </w:r>
      <w:r w:rsidR="00745044" w:rsidRPr="00FC3092">
        <w:rPr>
          <w:sz w:val="22"/>
          <w:szCs w:val="22"/>
        </w:rPr>
        <w:t xml:space="preserve">xpansion plans and </w:t>
      </w:r>
      <w:r w:rsidR="00832282" w:rsidRPr="00FC3092">
        <w:rPr>
          <w:sz w:val="22"/>
          <w:szCs w:val="22"/>
        </w:rPr>
        <w:t>efforts</w:t>
      </w:r>
      <w:r w:rsidR="00745044" w:rsidRPr="00FC3092">
        <w:rPr>
          <w:sz w:val="22"/>
          <w:szCs w:val="22"/>
        </w:rPr>
        <w:t>.</w:t>
      </w:r>
      <w:r w:rsidR="00862178" w:rsidRPr="00FC3092">
        <w:rPr>
          <w:sz w:val="22"/>
          <w:szCs w:val="22"/>
        </w:rPr>
        <w:t xml:space="preserve"> </w:t>
      </w:r>
      <w:r w:rsidR="00E94F8D" w:rsidRPr="00FC3092">
        <w:rPr>
          <w:sz w:val="22"/>
          <w:szCs w:val="22"/>
        </w:rPr>
        <w:t xml:space="preserve">SAMHSA </w:t>
      </w:r>
      <w:r w:rsidR="00745044" w:rsidRPr="00FC3092">
        <w:rPr>
          <w:sz w:val="22"/>
          <w:szCs w:val="22"/>
        </w:rPr>
        <w:t>will describe</w:t>
      </w:r>
      <w:r w:rsidR="00832282" w:rsidRPr="00FC3092">
        <w:rPr>
          <w:sz w:val="22"/>
          <w:szCs w:val="22"/>
        </w:rPr>
        <w:t xml:space="preserve">: </w:t>
      </w:r>
      <w:r w:rsidR="00745044" w:rsidRPr="00FC3092">
        <w:rPr>
          <w:sz w:val="22"/>
          <w:szCs w:val="22"/>
        </w:rPr>
        <w:t xml:space="preserve"> </w:t>
      </w:r>
      <w:r w:rsidRPr="00FC3092">
        <w:rPr>
          <w:sz w:val="22"/>
          <w:szCs w:val="22"/>
        </w:rPr>
        <w:t xml:space="preserve">planned </w:t>
      </w:r>
      <w:r w:rsidR="00745044" w:rsidRPr="00FC3092">
        <w:rPr>
          <w:sz w:val="22"/>
          <w:szCs w:val="22"/>
        </w:rPr>
        <w:t xml:space="preserve">and implemented </w:t>
      </w:r>
      <w:r w:rsidRPr="00FC3092">
        <w:rPr>
          <w:sz w:val="22"/>
          <w:szCs w:val="22"/>
        </w:rPr>
        <w:t>strategies</w:t>
      </w:r>
      <w:r w:rsidR="00745044" w:rsidRPr="00FC3092">
        <w:rPr>
          <w:sz w:val="22"/>
          <w:szCs w:val="22"/>
        </w:rPr>
        <w:t xml:space="preserve"> and mechanisms</w:t>
      </w:r>
      <w:r w:rsidRPr="00FC3092">
        <w:rPr>
          <w:sz w:val="22"/>
          <w:szCs w:val="22"/>
        </w:rPr>
        <w:t>; participants</w:t>
      </w:r>
      <w:r w:rsidR="00402EE9" w:rsidRPr="00FC3092">
        <w:rPr>
          <w:sz w:val="22"/>
          <w:szCs w:val="22"/>
        </w:rPr>
        <w:t xml:space="preserve">’ </w:t>
      </w:r>
      <w:r w:rsidR="007E396A" w:rsidRPr="00FC3092">
        <w:rPr>
          <w:sz w:val="22"/>
          <w:szCs w:val="22"/>
        </w:rPr>
        <w:t>involvement</w:t>
      </w:r>
      <w:r w:rsidRPr="00FC3092">
        <w:rPr>
          <w:sz w:val="22"/>
          <w:szCs w:val="22"/>
        </w:rPr>
        <w:t xml:space="preserve"> in the planning </w:t>
      </w:r>
      <w:r w:rsidR="00832282" w:rsidRPr="00FC3092">
        <w:rPr>
          <w:sz w:val="22"/>
          <w:szCs w:val="22"/>
        </w:rPr>
        <w:t xml:space="preserve">and implementation </w:t>
      </w:r>
      <w:r w:rsidRPr="00FC3092">
        <w:rPr>
          <w:sz w:val="22"/>
          <w:szCs w:val="22"/>
        </w:rPr>
        <w:t xml:space="preserve">process; role of child-serving sectors, youth groups, and family organizations; funding mechanisms; efforts to reach vulnerable and hard-to-reach populations; </w:t>
      </w:r>
      <w:r w:rsidR="00832282" w:rsidRPr="00FC3092">
        <w:rPr>
          <w:sz w:val="22"/>
          <w:szCs w:val="22"/>
        </w:rPr>
        <w:t xml:space="preserve">support of </w:t>
      </w:r>
      <w:r w:rsidRPr="00FC3092">
        <w:rPr>
          <w:sz w:val="22"/>
          <w:szCs w:val="22"/>
        </w:rPr>
        <w:t>local systems</w:t>
      </w:r>
      <w:r w:rsidR="00832282" w:rsidRPr="00FC3092">
        <w:rPr>
          <w:sz w:val="22"/>
          <w:szCs w:val="22"/>
        </w:rPr>
        <w:t xml:space="preserve"> in direct service delivery</w:t>
      </w:r>
      <w:r w:rsidRPr="00FC3092">
        <w:rPr>
          <w:sz w:val="22"/>
          <w:szCs w:val="22"/>
        </w:rPr>
        <w:t xml:space="preserve">; and implementation </w:t>
      </w:r>
      <w:r w:rsidR="00832282" w:rsidRPr="00FC3092">
        <w:rPr>
          <w:sz w:val="22"/>
          <w:szCs w:val="22"/>
        </w:rPr>
        <w:t>barriers</w:t>
      </w:r>
      <w:r w:rsidRPr="00FC3092">
        <w:rPr>
          <w:sz w:val="22"/>
          <w:szCs w:val="22"/>
        </w:rPr>
        <w:t xml:space="preserve"> and facilitators encountered.</w:t>
      </w:r>
      <w:r w:rsidR="00862178" w:rsidRPr="00FC3092">
        <w:rPr>
          <w:sz w:val="22"/>
          <w:szCs w:val="22"/>
        </w:rPr>
        <w:t xml:space="preserve"> </w:t>
      </w:r>
      <w:r w:rsidRPr="00FC3092">
        <w:rPr>
          <w:sz w:val="22"/>
          <w:szCs w:val="22"/>
        </w:rPr>
        <w:t xml:space="preserve">Finally, findings will be compared across jurisdictions to identify commonly employed strategies, as well as those that are potentially innovative. The </w:t>
      </w:r>
      <w:r w:rsidR="00265F33" w:rsidRPr="00FC3092">
        <w:rPr>
          <w:sz w:val="22"/>
          <w:szCs w:val="22"/>
        </w:rPr>
        <w:t>SOC</w:t>
      </w:r>
      <w:r w:rsidRPr="00FC3092">
        <w:rPr>
          <w:sz w:val="22"/>
          <w:szCs w:val="22"/>
        </w:rPr>
        <w:t xml:space="preserve"> principles most and least often included in the development of </w:t>
      </w:r>
      <w:r w:rsidR="00832282" w:rsidRPr="00FC3092">
        <w:rPr>
          <w:sz w:val="22"/>
          <w:szCs w:val="22"/>
        </w:rPr>
        <w:t xml:space="preserve">implementation and </w:t>
      </w:r>
      <w:r w:rsidRPr="00FC3092">
        <w:rPr>
          <w:sz w:val="22"/>
          <w:szCs w:val="22"/>
        </w:rPr>
        <w:t xml:space="preserve">expansion </w:t>
      </w:r>
      <w:r w:rsidR="00832282" w:rsidRPr="00FC3092">
        <w:rPr>
          <w:sz w:val="22"/>
          <w:szCs w:val="22"/>
        </w:rPr>
        <w:t xml:space="preserve">efforts </w:t>
      </w:r>
      <w:r w:rsidRPr="00FC3092">
        <w:rPr>
          <w:sz w:val="22"/>
          <w:szCs w:val="22"/>
        </w:rPr>
        <w:t>will also be described.</w:t>
      </w:r>
    </w:p>
    <w:p w14:paraId="55C797D2" w14:textId="31E39C22" w:rsidR="005736CD" w:rsidRPr="00D87880" w:rsidRDefault="008B22BE" w:rsidP="00E133A8">
      <w:pPr>
        <w:pStyle w:val="P1-StandPara"/>
        <w:spacing w:line="240" w:lineRule="auto"/>
        <w:ind w:firstLine="720"/>
        <w:jc w:val="left"/>
        <w:rPr>
          <w:sz w:val="22"/>
          <w:szCs w:val="22"/>
        </w:rPr>
      </w:pPr>
      <w:r w:rsidRPr="00FC3092">
        <w:rPr>
          <w:b/>
          <w:i/>
          <w:sz w:val="22"/>
          <w:szCs w:val="22"/>
        </w:rPr>
        <w:t>Self-Assessment of Implementation Survey</w:t>
      </w:r>
      <w:r w:rsidR="00CD3362">
        <w:rPr>
          <w:b/>
          <w:i/>
          <w:sz w:val="22"/>
          <w:szCs w:val="22"/>
        </w:rPr>
        <w:t xml:space="preserve"> (SAIS)</w:t>
      </w:r>
      <w:r w:rsidR="005736CD" w:rsidRPr="00FC3092">
        <w:rPr>
          <w:b/>
          <w:sz w:val="22"/>
          <w:szCs w:val="22"/>
        </w:rPr>
        <w:t>.</w:t>
      </w:r>
      <w:r w:rsidR="005736CD" w:rsidRPr="00FC3092">
        <w:rPr>
          <w:b/>
          <w:i/>
          <w:sz w:val="22"/>
          <w:szCs w:val="22"/>
        </w:rPr>
        <w:t xml:space="preserve"> </w:t>
      </w:r>
      <w:r w:rsidR="005736CD" w:rsidRPr="00FC3092">
        <w:rPr>
          <w:b/>
          <w:sz w:val="22"/>
          <w:szCs w:val="22"/>
        </w:rPr>
        <w:t xml:space="preserve"> </w:t>
      </w:r>
      <w:r w:rsidR="005736CD" w:rsidRPr="00FC3092">
        <w:rPr>
          <w:sz w:val="22"/>
          <w:szCs w:val="22"/>
        </w:rPr>
        <w:t xml:space="preserve">Analysis of </w:t>
      </w:r>
      <w:r w:rsidR="00CD3362">
        <w:rPr>
          <w:sz w:val="22"/>
          <w:szCs w:val="22"/>
        </w:rPr>
        <w:t>SAIS</w:t>
      </w:r>
      <w:r w:rsidR="002306B9" w:rsidRPr="00FC3092">
        <w:rPr>
          <w:sz w:val="22"/>
          <w:szCs w:val="22"/>
        </w:rPr>
        <w:t xml:space="preserve"> </w:t>
      </w:r>
      <w:r w:rsidR="005736CD" w:rsidRPr="00FC3092">
        <w:rPr>
          <w:sz w:val="22"/>
          <w:szCs w:val="22"/>
        </w:rPr>
        <w:t>data will focus on grantees</w:t>
      </w:r>
      <w:r w:rsidR="002306B9" w:rsidRPr="00FC3092">
        <w:rPr>
          <w:sz w:val="22"/>
          <w:szCs w:val="22"/>
        </w:rPr>
        <w:t>’ efforts to implement and</w:t>
      </w:r>
      <w:r w:rsidR="005736CD" w:rsidRPr="00FC3092">
        <w:rPr>
          <w:sz w:val="22"/>
          <w:szCs w:val="22"/>
        </w:rPr>
        <w:t xml:space="preserve"> </w:t>
      </w:r>
      <w:r w:rsidR="00E133A8" w:rsidRPr="00FC3092">
        <w:rPr>
          <w:sz w:val="22"/>
          <w:szCs w:val="22"/>
        </w:rPr>
        <w:t>expa</w:t>
      </w:r>
      <w:r w:rsidR="005736CD" w:rsidRPr="00FC3092">
        <w:rPr>
          <w:sz w:val="22"/>
          <w:szCs w:val="22"/>
        </w:rPr>
        <w:t>nd</w:t>
      </w:r>
      <w:r w:rsidR="005736CD" w:rsidRPr="00D87880">
        <w:rPr>
          <w:sz w:val="22"/>
          <w:szCs w:val="22"/>
        </w:rPr>
        <w:t xml:space="preserve"> </w:t>
      </w:r>
      <w:r w:rsidR="00716F4D">
        <w:rPr>
          <w:sz w:val="22"/>
          <w:szCs w:val="22"/>
        </w:rPr>
        <w:t xml:space="preserve">the </w:t>
      </w:r>
      <w:r w:rsidR="005736CD" w:rsidRPr="00D87880">
        <w:rPr>
          <w:sz w:val="22"/>
          <w:szCs w:val="22"/>
        </w:rPr>
        <w:t xml:space="preserve">SOC in their jurisdictions. </w:t>
      </w:r>
      <w:r w:rsidR="002306B9">
        <w:rPr>
          <w:sz w:val="22"/>
          <w:szCs w:val="22"/>
        </w:rPr>
        <w:t xml:space="preserve">Areas described in the </w:t>
      </w:r>
      <w:r>
        <w:rPr>
          <w:sz w:val="22"/>
          <w:szCs w:val="22"/>
        </w:rPr>
        <w:t>S</w:t>
      </w:r>
      <w:r w:rsidR="002306B9">
        <w:rPr>
          <w:sz w:val="22"/>
          <w:szCs w:val="22"/>
        </w:rPr>
        <w:t xml:space="preserve">takeholder </w:t>
      </w:r>
      <w:r>
        <w:rPr>
          <w:sz w:val="22"/>
          <w:szCs w:val="22"/>
        </w:rPr>
        <w:t>I</w:t>
      </w:r>
      <w:r w:rsidR="002306B9">
        <w:rPr>
          <w:sz w:val="22"/>
          <w:szCs w:val="22"/>
        </w:rPr>
        <w:t xml:space="preserve">nterviews will be assessed quantitatively in the </w:t>
      </w:r>
      <w:r w:rsidR="00CD3362">
        <w:rPr>
          <w:sz w:val="22"/>
          <w:szCs w:val="22"/>
        </w:rPr>
        <w:t>SAIS</w:t>
      </w:r>
      <w:r w:rsidR="002306B9">
        <w:rPr>
          <w:sz w:val="22"/>
          <w:szCs w:val="22"/>
        </w:rPr>
        <w:t>.  Analyses will also explore</w:t>
      </w:r>
      <w:r w:rsidR="005736CD" w:rsidRPr="00D87880">
        <w:rPr>
          <w:sz w:val="22"/>
          <w:szCs w:val="22"/>
        </w:rPr>
        <w:t xml:space="preserve"> what facilitators and impediments to SOC </w:t>
      </w:r>
      <w:r w:rsidR="002306B9">
        <w:rPr>
          <w:sz w:val="22"/>
          <w:szCs w:val="22"/>
        </w:rPr>
        <w:t xml:space="preserve">implementation and </w:t>
      </w:r>
      <w:r w:rsidR="005736CD" w:rsidRPr="00D87880">
        <w:rPr>
          <w:sz w:val="22"/>
          <w:szCs w:val="22"/>
        </w:rPr>
        <w:t xml:space="preserve">expansion </w:t>
      </w:r>
      <w:r w:rsidR="00E133A8" w:rsidRPr="00D87880">
        <w:rPr>
          <w:sz w:val="22"/>
          <w:szCs w:val="22"/>
        </w:rPr>
        <w:t>were encountered</w:t>
      </w:r>
      <w:r w:rsidR="005736CD" w:rsidRPr="00D87880">
        <w:rPr>
          <w:sz w:val="22"/>
          <w:szCs w:val="22"/>
        </w:rPr>
        <w:t>.</w:t>
      </w:r>
      <w:r w:rsidR="00E133A8" w:rsidRPr="00D87880">
        <w:rPr>
          <w:sz w:val="22"/>
          <w:szCs w:val="22"/>
        </w:rPr>
        <w:t xml:space="preserve">  </w:t>
      </w:r>
      <w:r w:rsidR="005736CD" w:rsidRPr="00D87880">
        <w:rPr>
          <w:sz w:val="22"/>
          <w:szCs w:val="22"/>
        </w:rPr>
        <w:t xml:space="preserve">Measurement quality of the </w:t>
      </w:r>
      <w:r w:rsidR="00CD3362">
        <w:rPr>
          <w:sz w:val="22"/>
          <w:szCs w:val="22"/>
        </w:rPr>
        <w:t>SAIS</w:t>
      </w:r>
      <w:r w:rsidRPr="00D87880">
        <w:rPr>
          <w:sz w:val="22"/>
          <w:szCs w:val="22"/>
        </w:rPr>
        <w:t xml:space="preserve"> </w:t>
      </w:r>
      <w:r w:rsidR="005736CD" w:rsidRPr="00D87880">
        <w:rPr>
          <w:sz w:val="22"/>
          <w:szCs w:val="22"/>
        </w:rPr>
        <w:t>will be examined using estimates of reliability (e.g., internal consistency) and factor analysis</w:t>
      </w:r>
      <w:r w:rsidR="00806F1E" w:rsidRPr="00D87880">
        <w:rPr>
          <w:sz w:val="22"/>
          <w:szCs w:val="22"/>
        </w:rPr>
        <w:t xml:space="preserve">. </w:t>
      </w:r>
      <w:r w:rsidR="005736CD" w:rsidRPr="00D87880">
        <w:rPr>
          <w:sz w:val="22"/>
          <w:szCs w:val="22"/>
        </w:rPr>
        <w:t>Descriptive statistics (e.g., mean, standard deviation) will be calculated for individual items</w:t>
      </w:r>
      <w:r w:rsidR="00551449">
        <w:rPr>
          <w:sz w:val="22"/>
          <w:szCs w:val="22"/>
        </w:rPr>
        <w:t>,</w:t>
      </w:r>
      <w:r w:rsidR="005736CD" w:rsidRPr="00D87880">
        <w:rPr>
          <w:sz w:val="22"/>
          <w:szCs w:val="22"/>
        </w:rPr>
        <w:t xml:space="preserve"> and </w:t>
      </w:r>
      <w:r w:rsidR="00806F1E">
        <w:rPr>
          <w:sz w:val="22"/>
          <w:szCs w:val="22"/>
        </w:rPr>
        <w:t xml:space="preserve">multi-level longitudinal analyses (e.g. </w:t>
      </w:r>
      <w:r w:rsidR="006D0D76">
        <w:rPr>
          <w:sz w:val="22"/>
          <w:szCs w:val="22"/>
        </w:rPr>
        <w:t>h</w:t>
      </w:r>
      <w:r w:rsidR="00806F1E">
        <w:rPr>
          <w:sz w:val="22"/>
          <w:szCs w:val="22"/>
        </w:rPr>
        <w:t xml:space="preserve">ierarchical </w:t>
      </w:r>
      <w:r w:rsidR="006D0D76">
        <w:rPr>
          <w:sz w:val="22"/>
          <w:szCs w:val="22"/>
        </w:rPr>
        <w:t>m</w:t>
      </w:r>
      <w:r w:rsidR="00806F1E">
        <w:rPr>
          <w:sz w:val="22"/>
          <w:szCs w:val="22"/>
        </w:rPr>
        <w:t xml:space="preserve">ixed </w:t>
      </w:r>
      <w:r w:rsidR="006D0D76">
        <w:rPr>
          <w:sz w:val="22"/>
          <w:szCs w:val="22"/>
        </w:rPr>
        <w:t>m</w:t>
      </w:r>
      <w:r w:rsidR="00806F1E">
        <w:rPr>
          <w:sz w:val="22"/>
          <w:szCs w:val="22"/>
        </w:rPr>
        <w:t xml:space="preserve">odels and/or </w:t>
      </w:r>
      <w:r w:rsidR="006D0D76">
        <w:rPr>
          <w:sz w:val="22"/>
          <w:szCs w:val="22"/>
        </w:rPr>
        <w:t>s</w:t>
      </w:r>
      <w:r w:rsidR="00806F1E">
        <w:rPr>
          <w:sz w:val="22"/>
          <w:szCs w:val="22"/>
        </w:rPr>
        <w:t xml:space="preserve">tructural </w:t>
      </w:r>
      <w:r w:rsidR="008C652E">
        <w:rPr>
          <w:sz w:val="22"/>
          <w:szCs w:val="22"/>
        </w:rPr>
        <w:t>equation modeling</w:t>
      </w:r>
      <w:r w:rsidR="00806F1E">
        <w:rPr>
          <w:sz w:val="22"/>
          <w:szCs w:val="22"/>
        </w:rPr>
        <w:t xml:space="preserve">) will be used to examine change over time across all dependent variables, with respondents nested within jurisdiction. </w:t>
      </w:r>
      <w:r w:rsidR="005736CD" w:rsidRPr="00D87880">
        <w:rPr>
          <w:sz w:val="22"/>
          <w:szCs w:val="22"/>
        </w:rPr>
        <w:t xml:space="preserve">To the extent that groups of items appear to assess the same construct, summary scores may be calculated (e.g., means or sums). Jurisdictions will receive their own scores, as well as the combined scores of all other jurisdictions for comparison purposes. </w:t>
      </w:r>
    </w:p>
    <w:p w14:paraId="65183D16" w14:textId="5D44B045" w:rsidR="00DF44C1" w:rsidRPr="00D87880" w:rsidRDefault="007960D0" w:rsidP="00DF44C1">
      <w:pPr>
        <w:autoSpaceDE w:val="0"/>
        <w:autoSpaceDN w:val="0"/>
        <w:spacing w:line="240" w:lineRule="auto"/>
        <w:ind w:firstLine="720"/>
        <w:rPr>
          <w:rFonts w:ascii="Times New Roman" w:hAnsi="Times New Roman" w:cs="Times New Roman"/>
          <w:sz w:val="22"/>
          <w:szCs w:val="22"/>
        </w:rPr>
      </w:pPr>
      <w:r w:rsidRPr="00D87880">
        <w:rPr>
          <w:rFonts w:ascii="Times New Roman" w:hAnsi="Times New Roman" w:cs="Times New Roman"/>
          <w:b/>
          <w:i/>
          <w:sz w:val="22"/>
          <w:szCs w:val="22"/>
        </w:rPr>
        <w:t>SOCEA</w:t>
      </w:r>
      <w:r w:rsidRPr="00D87880">
        <w:rPr>
          <w:rFonts w:ascii="Times New Roman" w:hAnsi="Times New Roman" w:cs="Times New Roman"/>
          <w:i/>
          <w:sz w:val="22"/>
          <w:szCs w:val="22"/>
        </w:rPr>
        <w:t>.</w:t>
      </w:r>
      <w:r w:rsidR="00862178" w:rsidRPr="00D87880">
        <w:rPr>
          <w:rFonts w:ascii="Times New Roman" w:hAnsi="Times New Roman" w:cs="Times New Roman"/>
          <w:sz w:val="22"/>
          <w:szCs w:val="22"/>
        </w:rPr>
        <w:t xml:space="preserve"> </w:t>
      </w:r>
      <w:r w:rsidR="007B70BF" w:rsidRPr="00D87880">
        <w:rPr>
          <w:rFonts w:ascii="Times New Roman" w:hAnsi="Times New Roman" w:cs="Times New Roman"/>
          <w:sz w:val="22"/>
          <w:szCs w:val="22"/>
        </w:rPr>
        <w:t xml:space="preserve"> </w:t>
      </w:r>
      <w:r w:rsidRPr="00D87880">
        <w:rPr>
          <w:rFonts w:ascii="Times New Roman" w:hAnsi="Times New Roman" w:cs="Times New Roman"/>
          <w:sz w:val="22"/>
          <w:szCs w:val="22"/>
        </w:rPr>
        <w:t>The SOCEA (i.e., SOC Expansion Assessment) interview will be used to describe</w:t>
      </w:r>
      <w:r w:rsidR="00D84079" w:rsidRPr="00D87880">
        <w:rPr>
          <w:rFonts w:ascii="Times New Roman" w:hAnsi="Times New Roman" w:cs="Times New Roman"/>
          <w:sz w:val="22"/>
          <w:szCs w:val="22"/>
        </w:rPr>
        <w:t xml:space="preserve"> and assess</w:t>
      </w:r>
      <w:r w:rsidR="002306B9">
        <w:rPr>
          <w:rFonts w:ascii="Times New Roman" w:hAnsi="Times New Roman" w:cs="Times New Roman"/>
          <w:sz w:val="22"/>
          <w:szCs w:val="22"/>
        </w:rPr>
        <w:t xml:space="preserve"> </w:t>
      </w:r>
      <w:r w:rsidR="00265F33" w:rsidRPr="00D87880">
        <w:rPr>
          <w:rFonts w:ascii="Times New Roman" w:hAnsi="Times New Roman" w:cs="Times New Roman"/>
          <w:sz w:val="22"/>
          <w:szCs w:val="22"/>
        </w:rPr>
        <w:t>grantee efforts to</w:t>
      </w:r>
      <w:r w:rsidRPr="00D87880">
        <w:rPr>
          <w:rFonts w:ascii="Times New Roman" w:hAnsi="Times New Roman" w:cs="Times New Roman"/>
          <w:sz w:val="22"/>
          <w:szCs w:val="22"/>
        </w:rPr>
        <w:t xml:space="preserve"> implement</w:t>
      </w:r>
      <w:r w:rsidR="00A041B1" w:rsidRPr="00D87880">
        <w:rPr>
          <w:rFonts w:ascii="Times New Roman" w:hAnsi="Times New Roman" w:cs="Times New Roman"/>
          <w:sz w:val="22"/>
          <w:szCs w:val="22"/>
        </w:rPr>
        <w:t xml:space="preserve"> and</w:t>
      </w:r>
      <w:r w:rsidR="00CF18F1" w:rsidRPr="00D87880">
        <w:rPr>
          <w:rFonts w:ascii="Times New Roman" w:hAnsi="Times New Roman" w:cs="Times New Roman"/>
          <w:sz w:val="22"/>
          <w:szCs w:val="22"/>
        </w:rPr>
        <w:t xml:space="preserve"> expand </w:t>
      </w:r>
      <w:r w:rsidR="00716F4D">
        <w:rPr>
          <w:rFonts w:ascii="Times New Roman" w:hAnsi="Times New Roman" w:cs="Times New Roman"/>
          <w:sz w:val="22"/>
          <w:szCs w:val="22"/>
        </w:rPr>
        <w:t xml:space="preserve">the </w:t>
      </w:r>
      <w:r w:rsidR="00DC5333" w:rsidRPr="00D87880">
        <w:rPr>
          <w:rFonts w:ascii="Times New Roman" w:hAnsi="Times New Roman" w:cs="Times New Roman"/>
          <w:sz w:val="22"/>
          <w:szCs w:val="22"/>
        </w:rPr>
        <w:t>SOC</w:t>
      </w:r>
      <w:r w:rsidR="00CF18F1" w:rsidRPr="00D87880">
        <w:rPr>
          <w:rFonts w:ascii="Times New Roman" w:hAnsi="Times New Roman" w:cs="Times New Roman"/>
          <w:sz w:val="22"/>
          <w:szCs w:val="22"/>
        </w:rPr>
        <w:t xml:space="preserve"> </w:t>
      </w:r>
      <w:r w:rsidR="002306B9">
        <w:rPr>
          <w:rFonts w:ascii="Times New Roman" w:hAnsi="Times New Roman" w:cs="Times New Roman"/>
          <w:sz w:val="22"/>
          <w:szCs w:val="22"/>
        </w:rPr>
        <w:t>at the local system level.  The primary focus is on direct service delivery processes and management.</w:t>
      </w:r>
      <w:r w:rsidR="00862178" w:rsidRPr="00D87880">
        <w:rPr>
          <w:rFonts w:ascii="Times New Roman" w:hAnsi="Times New Roman" w:cs="Times New Roman"/>
          <w:sz w:val="22"/>
          <w:szCs w:val="22"/>
        </w:rPr>
        <w:t xml:space="preserve"> </w:t>
      </w:r>
      <w:r w:rsidR="004F6547" w:rsidRPr="00D87880">
        <w:rPr>
          <w:rFonts w:ascii="Times New Roman" w:hAnsi="Times New Roman" w:cs="Times New Roman"/>
          <w:sz w:val="22"/>
          <w:szCs w:val="22"/>
        </w:rPr>
        <w:t>Qualitative analysis of SOCEA data will be used to</w:t>
      </w:r>
      <w:r w:rsidR="00A041B1" w:rsidRPr="00D87880">
        <w:rPr>
          <w:rFonts w:ascii="Times New Roman" w:hAnsi="Times New Roman" w:cs="Times New Roman"/>
          <w:sz w:val="22"/>
          <w:szCs w:val="22"/>
        </w:rPr>
        <w:t xml:space="preserve"> describe (1)</w:t>
      </w:r>
      <w:r w:rsidR="004F6547" w:rsidRPr="00D87880">
        <w:rPr>
          <w:rFonts w:ascii="Times New Roman" w:hAnsi="Times New Roman" w:cs="Times New Roman"/>
          <w:sz w:val="22"/>
          <w:szCs w:val="22"/>
        </w:rPr>
        <w:t> </w:t>
      </w:r>
      <w:r w:rsidR="00D84079" w:rsidRPr="00D87880">
        <w:rPr>
          <w:rFonts w:ascii="Times New Roman" w:hAnsi="Times New Roman" w:cs="Times New Roman"/>
          <w:sz w:val="22"/>
          <w:szCs w:val="22"/>
        </w:rPr>
        <w:t xml:space="preserve">SOC implementation and </w:t>
      </w:r>
      <w:r w:rsidR="00A041B1" w:rsidRPr="00D87880">
        <w:rPr>
          <w:rFonts w:ascii="Times New Roman" w:hAnsi="Times New Roman" w:cs="Times New Roman"/>
          <w:sz w:val="22"/>
          <w:szCs w:val="22"/>
        </w:rPr>
        <w:t xml:space="preserve">expansion </w:t>
      </w:r>
      <w:r w:rsidR="00D84079" w:rsidRPr="00D87880">
        <w:rPr>
          <w:rFonts w:ascii="Times New Roman" w:hAnsi="Times New Roman" w:cs="Times New Roman"/>
          <w:sz w:val="22"/>
          <w:szCs w:val="22"/>
        </w:rPr>
        <w:t>mechanisms</w:t>
      </w:r>
      <w:r w:rsidR="004F6547" w:rsidRPr="00D87880">
        <w:rPr>
          <w:rFonts w:ascii="Times New Roman" w:hAnsi="Times New Roman" w:cs="Times New Roman"/>
          <w:sz w:val="22"/>
          <w:szCs w:val="22"/>
        </w:rPr>
        <w:t xml:space="preserve"> and strategies</w:t>
      </w:r>
      <w:r w:rsidR="007B70BF" w:rsidRPr="00D87880">
        <w:rPr>
          <w:rFonts w:ascii="Times New Roman" w:hAnsi="Times New Roman" w:cs="Times New Roman"/>
          <w:sz w:val="22"/>
          <w:szCs w:val="22"/>
        </w:rPr>
        <w:t xml:space="preserve"> used to implement and expand SOC service delivery</w:t>
      </w:r>
      <w:r w:rsidR="004F6547" w:rsidRPr="00D87880">
        <w:rPr>
          <w:rFonts w:ascii="Times New Roman" w:hAnsi="Times New Roman" w:cs="Times New Roman"/>
          <w:sz w:val="22"/>
          <w:szCs w:val="22"/>
        </w:rPr>
        <w:t>;</w:t>
      </w:r>
      <w:r w:rsidR="00A041B1" w:rsidRPr="00D87880">
        <w:rPr>
          <w:rFonts w:ascii="Times New Roman" w:hAnsi="Times New Roman" w:cs="Times New Roman"/>
          <w:sz w:val="22"/>
          <w:szCs w:val="22"/>
        </w:rPr>
        <w:t xml:space="preserve"> (2) progress </w:t>
      </w:r>
      <w:r w:rsidR="00D84079" w:rsidRPr="00D87880">
        <w:rPr>
          <w:rFonts w:ascii="Times New Roman" w:hAnsi="Times New Roman" w:cs="Times New Roman"/>
          <w:sz w:val="22"/>
          <w:szCs w:val="22"/>
        </w:rPr>
        <w:t xml:space="preserve">made </w:t>
      </w:r>
      <w:r w:rsidR="00A041B1" w:rsidRPr="00D87880">
        <w:rPr>
          <w:rFonts w:ascii="Times New Roman" w:hAnsi="Times New Roman" w:cs="Times New Roman"/>
          <w:sz w:val="22"/>
          <w:szCs w:val="22"/>
        </w:rPr>
        <w:t xml:space="preserve">toward </w:t>
      </w:r>
      <w:r w:rsidR="00D84079" w:rsidRPr="00D87880">
        <w:rPr>
          <w:rFonts w:ascii="Times New Roman" w:hAnsi="Times New Roman" w:cs="Times New Roman"/>
          <w:sz w:val="22"/>
          <w:szCs w:val="22"/>
        </w:rPr>
        <w:t xml:space="preserve">implementing the </w:t>
      </w:r>
      <w:r w:rsidR="00A041B1" w:rsidRPr="00D87880">
        <w:rPr>
          <w:rFonts w:ascii="Times New Roman" w:hAnsi="Times New Roman" w:cs="Times New Roman"/>
          <w:sz w:val="22"/>
          <w:szCs w:val="22"/>
        </w:rPr>
        <w:t>expansion</w:t>
      </w:r>
      <w:r w:rsidR="00D84079" w:rsidRPr="00D87880">
        <w:rPr>
          <w:rFonts w:ascii="Times New Roman" w:hAnsi="Times New Roman" w:cs="Times New Roman"/>
          <w:sz w:val="22"/>
          <w:szCs w:val="22"/>
        </w:rPr>
        <w:t xml:space="preserve"> strategies; (3) facilitators and impediments to implementing strategies; and (4) how wel</w:t>
      </w:r>
      <w:r w:rsidR="007B70BF" w:rsidRPr="00D87880">
        <w:rPr>
          <w:rFonts w:ascii="Times New Roman" w:hAnsi="Times New Roman" w:cs="Times New Roman"/>
          <w:sz w:val="22"/>
          <w:szCs w:val="22"/>
        </w:rPr>
        <w:t xml:space="preserve">l </w:t>
      </w:r>
      <w:r w:rsidR="002306B9">
        <w:rPr>
          <w:rFonts w:ascii="Times New Roman" w:hAnsi="Times New Roman" w:cs="Times New Roman"/>
          <w:sz w:val="22"/>
          <w:szCs w:val="22"/>
        </w:rPr>
        <w:t xml:space="preserve">management and operation and direct service delivery </w:t>
      </w:r>
      <w:r w:rsidR="007B70BF" w:rsidRPr="00D87880">
        <w:rPr>
          <w:rFonts w:ascii="Times New Roman" w:hAnsi="Times New Roman" w:cs="Times New Roman"/>
          <w:sz w:val="22"/>
          <w:szCs w:val="22"/>
        </w:rPr>
        <w:t>embody SOC principles</w:t>
      </w:r>
      <w:r w:rsidR="00A041B1" w:rsidRPr="00D87880">
        <w:rPr>
          <w:rFonts w:ascii="Times New Roman" w:hAnsi="Times New Roman" w:cs="Times New Roman"/>
          <w:sz w:val="22"/>
          <w:szCs w:val="22"/>
        </w:rPr>
        <w:t>.</w:t>
      </w:r>
      <w:r w:rsidR="00862178" w:rsidRPr="00D87880">
        <w:rPr>
          <w:rFonts w:ascii="Times New Roman" w:hAnsi="Times New Roman" w:cs="Times New Roman"/>
          <w:sz w:val="22"/>
          <w:szCs w:val="22"/>
        </w:rPr>
        <w:t xml:space="preserve"> </w:t>
      </w:r>
      <w:r w:rsidR="00A041B1" w:rsidRPr="00D87880">
        <w:rPr>
          <w:rFonts w:ascii="Times New Roman" w:hAnsi="Times New Roman" w:cs="Times New Roman"/>
          <w:sz w:val="22"/>
          <w:szCs w:val="22"/>
        </w:rPr>
        <w:t xml:space="preserve">From the qualitative data, </w:t>
      </w:r>
      <w:r w:rsidR="00E94F8D">
        <w:rPr>
          <w:rFonts w:ascii="Times New Roman" w:hAnsi="Times New Roman" w:cs="Times New Roman"/>
          <w:sz w:val="22"/>
          <w:szCs w:val="22"/>
        </w:rPr>
        <w:t xml:space="preserve">SAMHSA </w:t>
      </w:r>
      <w:r w:rsidR="00A041B1" w:rsidRPr="00D87880">
        <w:rPr>
          <w:rFonts w:ascii="Times New Roman" w:hAnsi="Times New Roman" w:cs="Times New Roman"/>
          <w:sz w:val="22"/>
          <w:szCs w:val="22"/>
        </w:rPr>
        <w:t xml:space="preserve">will </w:t>
      </w:r>
      <w:r w:rsidR="00265F33" w:rsidRPr="00D87880">
        <w:rPr>
          <w:rFonts w:ascii="Times New Roman" w:hAnsi="Times New Roman" w:cs="Times New Roman"/>
          <w:sz w:val="22"/>
          <w:szCs w:val="22"/>
        </w:rPr>
        <w:t>generate</w:t>
      </w:r>
      <w:r w:rsidR="004F6547" w:rsidRPr="00D87880">
        <w:rPr>
          <w:rFonts w:ascii="Times New Roman" w:hAnsi="Times New Roman" w:cs="Times New Roman"/>
          <w:sz w:val="22"/>
          <w:szCs w:val="22"/>
        </w:rPr>
        <w:t xml:space="preserve"> numerical ratings of</w:t>
      </w:r>
      <w:r w:rsidR="00265F33" w:rsidRPr="00D87880">
        <w:rPr>
          <w:rFonts w:ascii="Times New Roman" w:hAnsi="Times New Roman" w:cs="Times New Roman"/>
          <w:sz w:val="22"/>
          <w:szCs w:val="22"/>
        </w:rPr>
        <w:t xml:space="preserve"> the</w:t>
      </w:r>
      <w:r w:rsidR="004F6547" w:rsidRPr="00D87880">
        <w:rPr>
          <w:rFonts w:ascii="Times New Roman" w:hAnsi="Times New Roman" w:cs="Times New Roman"/>
          <w:sz w:val="22"/>
          <w:szCs w:val="22"/>
        </w:rPr>
        <w:t xml:space="preserve"> extent </w:t>
      </w:r>
      <w:r w:rsidR="006D0D76">
        <w:rPr>
          <w:rFonts w:ascii="Times New Roman" w:hAnsi="Times New Roman" w:cs="Times New Roman"/>
          <w:sz w:val="22"/>
          <w:szCs w:val="22"/>
        </w:rPr>
        <w:t xml:space="preserve">to which </w:t>
      </w:r>
      <w:r w:rsidR="00265F33" w:rsidRPr="00D87880">
        <w:rPr>
          <w:rFonts w:ascii="Times New Roman" w:hAnsi="Times New Roman" w:cs="Times New Roman"/>
          <w:sz w:val="22"/>
          <w:szCs w:val="22"/>
        </w:rPr>
        <w:t xml:space="preserve">SOC </w:t>
      </w:r>
      <w:r w:rsidR="004F6547" w:rsidRPr="00D87880">
        <w:rPr>
          <w:rFonts w:ascii="Times New Roman" w:hAnsi="Times New Roman" w:cs="Times New Roman"/>
          <w:sz w:val="22"/>
          <w:szCs w:val="22"/>
        </w:rPr>
        <w:t>implementation</w:t>
      </w:r>
      <w:r w:rsidR="006D0D76">
        <w:rPr>
          <w:rFonts w:ascii="Times New Roman" w:hAnsi="Times New Roman" w:cs="Times New Roman"/>
          <w:sz w:val="22"/>
          <w:szCs w:val="22"/>
        </w:rPr>
        <w:t xml:space="preserve"> is effective,</w:t>
      </w:r>
      <w:r w:rsidR="00A041B1" w:rsidRPr="00D87880">
        <w:rPr>
          <w:rFonts w:ascii="Times New Roman" w:hAnsi="Times New Roman" w:cs="Times New Roman"/>
          <w:sz w:val="22"/>
          <w:szCs w:val="22"/>
        </w:rPr>
        <w:t xml:space="preserve"> as well as</w:t>
      </w:r>
      <w:r w:rsidR="004F6547" w:rsidRPr="00D87880">
        <w:rPr>
          <w:rFonts w:ascii="Times New Roman" w:hAnsi="Times New Roman" w:cs="Times New Roman"/>
          <w:sz w:val="22"/>
          <w:szCs w:val="22"/>
        </w:rPr>
        <w:t xml:space="preserve"> </w:t>
      </w:r>
      <w:r w:rsidR="00A041B1" w:rsidRPr="00D87880">
        <w:rPr>
          <w:rFonts w:ascii="Times New Roman" w:hAnsi="Times New Roman" w:cs="Times New Roman"/>
          <w:sz w:val="22"/>
          <w:szCs w:val="22"/>
        </w:rPr>
        <w:t xml:space="preserve">adherence to </w:t>
      </w:r>
      <w:r w:rsidR="004F6547" w:rsidRPr="00D87880">
        <w:rPr>
          <w:rFonts w:ascii="Times New Roman" w:hAnsi="Times New Roman" w:cs="Times New Roman"/>
          <w:sz w:val="22"/>
          <w:szCs w:val="22"/>
        </w:rPr>
        <w:t xml:space="preserve">SOC principles. </w:t>
      </w:r>
      <w:r w:rsidR="006D0D76">
        <w:rPr>
          <w:rFonts w:ascii="Times New Roman" w:hAnsi="Times New Roman" w:cs="Times New Roman"/>
          <w:sz w:val="22"/>
          <w:szCs w:val="22"/>
        </w:rPr>
        <w:t xml:space="preserve">In addition to calculating descriptive statistics (e.g., mean, standard deviation) at the time level, summary scores will be calculated for each system of care principle. </w:t>
      </w:r>
      <w:r w:rsidR="00806F1E">
        <w:rPr>
          <w:rFonts w:ascii="Times New Roman" w:hAnsi="Times New Roman" w:cs="Times New Roman"/>
          <w:sz w:val="22"/>
          <w:szCs w:val="22"/>
        </w:rPr>
        <w:t>Multi-level l</w:t>
      </w:r>
      <w:r w:rsidR="00551449">
        <w:rPr>
          <w:rFonts w:ascii="Times New Roman" w:hAnsi="Times New Roman" w:cs="Times New Roman"/>
          <w:sz w:val="22"/>
          <w:szCs w:val="22"/>
        </w:rPr>
        <w:t xml:space="preserve">ongitudinal analyses (e.g. </w:t>
      </w:r>
      <w:r w:rsidR="006D0D76">
        <w:rPr>
          <w:rFonts w:ascii="Times New Roman" w:hAnsi="Times New Roman" w:cs="Times New Roman"/>
          <w:sz w:val="22"/>
          <w:szCs w:val="22"/>
        </w:rPr>
        <w:t>h</w:t>
      </w:r>
      <w:r w:rsidR="00806F1E">
        <w:rPr>
          <w:rFonts w:ascii="Times New Roman" w:hAnsi="Times New Roman" w:cs="Times New Roman"/>
          <w:sz w:val="22"/>
          <w:szCs w:val="22"/>
        </w:rPr>
        <w:t xml:space="preserve">ierarchical </w:t>
      </w:r>
      <w:r w:rsidR="006D0D76">
        <w:rPr>
          <w:rFonts w:ascii="Times New Roman" w:hAnsi="Times New Roman" w:cs="Times New Roman"/>
          <w:sz w:val="22"/>
          <w:szCs w:val="22"/>
        </w:rPr>
        <w:t>m</w:t>
      </w:r>
      <w:r w:rsidR="00806F1E">
        <w:rPr>
          <w:rFonts w:ascii="Times New Roman" w:hAnsi="Times New Roman" w:cs="Times New Roman"/>
          <w:sz w:val="22"/>
          <w:szCs w:val="22"/>
        </w:rPr>
        <w:t xml:space="preserve">ixed </w:t>
      </w:r>
      <w:r w:rsidR="006D0D76">
        <w:rPr>
          <w:rFonts w:ascii="Times New Roman" w:hAnsi="Times New Roman" w:cs="Times New Roman"/>
          <w:sz w:val="22"/>
          <w:szCs w:val="22"/>
        </w:rPr>
        <w:t>m</w:t>
      </w:r>
      <w:r w:rsidR="00806F1E">
        <w:rPr>
          <w:rFonts w:ascii="Times New Roman" w:hAnsi="Times New Roman" w:cs="Times New Roman"/>
          <w:sz w:val="22"/>
          <w:szCs w:val="22"/>
        </w:rPr>
        <w:t xml:space="preserve">odels and/or </w:t>
      </w:r>
      <w:r w:rsidR="006D0D76">
        <w:rPr>
          <w:rFonts w:ascii="Times New Roman" w:hAnsi="Times New Roman" w:cs="Times New Roman"/>
          <w:sz w:val="22"/>
          <w:szCs w:val="22"/>
        </w:rPr>
        <w:t>s</w:t>
      </w:r>
      <w:r w:rsidR="00806F1E">
        <w:rPr>
          <w:rFonts w:ascii="Times New Roman" w:hAnsi="Times New Roman" w:cs="Times New Roman"/>
          <w:sz w:val="22"/>
          <w:szCs w:val="22"/>
        </w:rPr>
        <w:t xml:space="preserve">tructural </w:t>
      </w:r>
      <w:r w:rsidR="006D0D76">
        <w:rPr>
          <w:rFonts w:ascii="Times New Roman" w:hAnsi="Times New Roman" w:cs="Times New Roman"/>
          <w:sz w:val="22"/>
          <w:szCs w:val="22"/>
        </w:rPr>
        <w:t>e</w:t>
      </w:r>
      <w:r w:rsidR="00806F1E">
        <w:rPr>
          <w:rFonts w:ascii="Times New Roman" w:hAnsi="Times New Roman" w:cs="Times New Roman"/>
          <w:sz w:val="22"/>
          <w:szCs w:val="22"/>
        </w:rPr>
        <w:t xml:space="preserve">quation </w:t>
      </w:r>
      <w:r w:rsidR="006D0D76">
        <w:rPr>
          <w:rFonts w:ascii="Times New Roman" w:hAnsi="Times New Roman" w:cs="Times New Roman"/>
          <w:sz w:val="22"/>
          <w:szCs w:val="22"/>
        </w:rPr>
        <w:t>m</w:t>
      </w:r>
      <w:r w:rsidR="00806F1E">
        <w:rPr>
          <w:rFonts w:ascii="Times New Roman" w:hAnsi="Times New Roman" w:cs="Times New Roman"/>
          <w:sz w:val="22"/>
          <w:szCs w:val="22"/>
        </w:rPr>
        <w:t>odeling</w:t>
      </w:r>
      <w:r w:rsidR="00551449">
        <w:rPr>
          <w:rFonts w:ascii="Times New Roman" w:hAnsi="Times New Roman" w:cs="Times New Roman"/>
          <w:sz w:val="22"/>
          <w:szCs w:val="22"/>
        </w:rPr>
        <w:t>) will be used to examine change over time across all dependent variables</w:t>
      </w:r>
      <w:r w:rsidR="00806F1E">
        <w:rPr>
          <w:rFonts w:ascii="Times New Roman" w:hAnsi="Times New Roman" w:cs="Times New Roman"/>
          <w:sz w:val="22"/>
          <w:szCs w:val="22"/>
        </w:rPr>
        <w:t>, with respondents nested within jurisdiction</w:t>
      </w:r>
      <w:r w:rsidR="00551449">
        <w:rPr>
          <w:rFonts w:ascii="Times New Roman" w:hAnsi="Times New Roman" w:cs="Times New Roman"/>
          <w:sz w:val="22"/>
          <w:szCs w:val="22"/>
        </w:rPr>
        <w:t xml:space="preserve">. </w:t>
      </w:r>
      <w:r w:rsidR="004F6547" w:rsidRPr="00D87880">
        <w:rPr>
          <w:rFonts w:ascii="Times New Roman" w:hAnsi="Times New Roman" w:cs="Times New Roman"/>
          <w:sz w:val="22"/>
          <w:szCs w:val="22"/>
        </w:rPr>
        <w:t xml:space="preserve">The reports will follow a standard outline to ensure comparability across </w:t>
      </w:r>
      <w:r w:rsidR="00206C55">
        <w:rPr>
          <w:rFonts w:ascii="Times New Roman" w:hAnsi="Times New Roman" w:cs="Times New Roman"/>
          <w:sz w:val="22"/>
          <w:szCs w:val="22"/>
        </w:rPr>
        <w:t>grantees</w:t>
      </w:r>
      <w:r w:rsidR="004F6547" w:rsidRPr="00D87880">
        <w:rPr>
          <w:rFonts w:ascii="Times New Roman" w:hAnsi="Times New Roman" w:cs="Times New Roman"/>
          <w:sz w:val="22"/>
          <w:szCs w:val="22"/>
        </w:rPr>
        <w:t>.</w:t>
      </w:r>
      <w:r w:rsidR="007B70BF" w:rsidRPr="00D87880">
        <w:rPr>
          <w:rFonts w:ascii="Times New Roman" w:hAnsi="Times New Roman" w:cs="Times New Roman"/>
          <w:sz w:val="22"/>
          <w:szCs w:val="22"/>
        </w:rPr>
        <w:t xml:space="preserve"> </w:t>
      </w:r>
      <w:r w:rsidR="006D0D76">
        <w:rPr>
          <w:rFonts w:ascii="Times New Roman" w:hAnsi="Times New Roman" w:cs="Times New Roman"/>
          <w:sz w:val="22"/>
          <w:szCs w:val="22"/>
        </w:rPr>
        <w:t xml:space="preserve"> To inform program improvement, </w:t>
      </w:r>
      <w:r w:rsidR="00F14F96">
        <w:rPr>
          <w:rFonts w:ascii="Times New Roman" w:hAnsi="Times New Roman" w:cs="Times New Roman"/>
          <w:sz w:val="22"/>
          <w:szCs w:val="22"/>
        </w:rPr>
        <w:t>t</w:t>
      </w:r>
      <w:r w:rsidR="006D0D76">
        <w:rPr>
          <w:rFonts w:ascii="Times New Roman" w:hAnsi="Times New Roman" w:cs="Times New Roman"/>
          <w:sz w:val="22"/>
          <w:szCs w:val="22"/>
        </w:rPr>
        <w:t>he site report will be provided to local systems including the community’s own scores and the mean scores of the other assessed communities combined.</w:t>
      </w:r>
    </w:p>
    <w:p w14:paraId="6DEC6EC0" w14:textId="77777777" w:rsidR="00D67D1D" w:rsidRPr="00D87880" w:rsidRDefault="00D67D1D" w:rsidP="00DA27D8">
      <w:pPr>
        <w:autoSpaceDE w:val="0"/>
        <w:autoSpaceDN w:val="0"/>
        <w:spacing w:line="240" w:lineRule="auto"/>
        <w:rPr>
          <w:rFonts w:ascii="Times New Roman" w:hAnsi="Times New Roman" w:cs="Times New Roman"/>
          <w:b/>
          <w:sz w:val="22"/>
          <w:szCs w:val="22"/>
        </w:rPr>
      </w:pPr>
      <w:r w:rsidRPr="00D87880">
        <w:rPr>
          <w:rFonts w:ascii="Times New Roman" w:hAnsi="Times New Roman" w:cs="Times New Roman"/>
          <w:b/>
          <w:sz w:val="22"/>
          <w:szCs w:val="22"/>
        </w:rPr>
        <w:t xml:space="preserve">Network </w:t>
      </w:r>
      <w:r w:rsidRPr="007E67D6">
        <w:rPr>
          <w:rFonts w:ascii="Times New Roman" w:hAnsi="Times New Roman" w:cs="Times New Roman"/>
          <w:b/>
          <w:sz w:val="22"/>
          <w:szCs w:val="22"/>
        </w:rPr>
        <w:t>Analysis and GIS</w:t>
      </w:r>
    </w:p>
    <w:p w14:paraId="22619BF6" w14:textId="6C76C61C" w:rsidR="00203F82" w:rsidRPr="00FE3EE0" w:rsidRDefault="003A492D" w:rsidP="00203F82">
      <w:pPr>
        <w:spacing w:line="240" w:lineRule="auto"/>
        <w:rPr>
          <w:rFonts w:ascii="Times New Roman" w:hAnsi="Times New Roman" w:cs="Times New Roman"/>
          <w:sz w:val="22"/>
          <w:szCs w:val="22"/>
        </w:rPr>
      </w:pPr>
      <w:r>
        <w:rPr>
          <w:rFonts w:ascii="Times New Roman" w:hAnsi="Times New Roman" w:cs="Times New Roman"/>
          <w:sz w:val="22"/>
          <w:szCs w:val="22"/>
        </w:rPr>
        <w:t>Increasing connections among agencies and organizations, and s</w:t>
      </w:r>
      <w:r w:rsidR="00203F82" w:rsidRPr="00D87880">
        <w:rPr>
          <w:rFonts w:ascii="Times New Roman" w:hAnsi="Times New Roman" w:cs="Times New Roman"/>
          <w:sz w:val="22"/>
          <w:szCs w:val="22"/>
        </w:rPr>
        <w:t>preading SOC</w:t>
      </w:r>
      <w:r w:rsidR="00716F4D">
        <w:rPr>
          <w:rFonts w:ascii="Times New Roman" w:hAnsi="Times New Roman" w:cs="Times New Roman"/>
          <w:sz w:val="22"/>
          <w:szCs w:val="22"/>
        </w:rPr>
        <w:t>s</w:t>
      </w:r>
      <w:r w:rsidR="00203F82" w:rsidRPr="00D87880">
        <w:rPr>
          <w:rFonts w:ascii="Times New Roman" w:hAnsi="Times New Roman" w:cs="Times New Roman"/>
          <w:sz w:val="22"/>
          <w:szCs w:val="22"/>
        </w:rPr>
        <w:t xml:space="preserve"> to new geographic areas </w:t>
      </w:r>
      <w:r>
        <w:rPr>
          <w:rFonts w:ascii="Times New Roman" w:hAnsi="Times New Roman" w:cs="Times New Roman"/>
          <w:sz w:val="22"/>
          <w:szCs w:val="22"/>
        </w:rPr>
        <w:t>are</w:t>
      </w:r>
      <w:r w:rsidR="00203F82" w:rsidRPr="00D87880">
        <w:rPr>
          <w:rFonts w:ascii="Times New Roman" w:hAnsi="Times New Roman" w:cs="Times New Roman"/>
          <w:sz w:val="22"/>
          <w:szCs w:val="22"/>
        </w:rPr>
        <w:t xml:space="preserve"> key goal</w:t>
      </w:r>
      <w:r>
        <w:rPr>
          <w:rFonts w:ascii="Times New Roman" w:hAnsi="Times New Roman" w:cs="Times New Roman"/>
          <w:sz w:val="22"/>
          <w:szCs w:val="22"/>
        </w:rPr>
        <w:t>s</w:t>
      </w:r>
      <w:r w:rsidR="00203F82" w:rsidRPr="00D87880">
        <w:rPr>
          <w:rFonts w:ascii="Times New Roman" w:hAnsi="Times New Roman" w:cs="Times New Roman"/>
          <w:sz w:val="22"/>
          <w:szCs w:val="22"/>
        </w:rPr>
        <w:t xml:space="preserve"> of </w:t>
      </w:r>
      <w:r>
        <w:rPr>
          <w:rFonts w:ascii="Times New Roman" w:hAnsi="Times New Roman" w:cs="Times New Roman"/>
          <w:sz w:val="22"/>
          <w:szCs w:val="22"/>
        </w:rPr>
        <w:t>SOC implementation and</w:t>
      </w:r>
      <w:r w:rsidR="00203F82" w:rsidRPr="00D87880">
        <w:rPr>
          <w:rFonts w:ascii="Times New Roman" w:hAnsi="Times New Roman" w:cs="Times New Roman"/>
          <w:sz w:val="22"/>
          <w:szCs w:val="22"/>
        </w:rPr>
        <w:t xml:space="preserve"> expansion efforts. Network analysis provides an assessment of relationships among agencies and organizations</w:t>
      </w:r>
      <w:r w:rsidR="006D0D76">
        <w:rPr>
          <w:rFonts w:ascii="Times New Roman" w:hAnsi="Times New Roman" w:cs="Times New Roman"/>
          <w:sz w:val="22"/>
          <w:szCs w:val="22"/>
        </w:rPr>
        <w:t xml:space="preserve">. GIS </w:t>
      </w:r>
      <w:r>
        <w:rPr>
          <w:rFonts w:ascii="Times New Roman" w:hAnsi="Times New Roman" w:cs="Times New Roman"/>
          <w:sz w:val="22"/>
          <w:szCs w:val="22"/>
        </w:rPr>
        <w:t xml:space="preserve">will </w:t>
      </w:r>
      <w:r w:rsidR="006D0D76">
        <w:rPr>
          <w:rFonts w:ascii="Times New Roman" w:hAnsi="Times New Roman" w:cs="Times New Roman"/>
          <w:sz w:val="22"/>
          <w:szCs w:val="22"/>
        </w:rPr>
        <w:t xml:space="preserve">provide a description of </w:t>
      </w:r>
      <w:r w:rsidR="00203F82" w:rsidRPr="00D87880">
        <w:rPr>
          <w:rFonts w:ascii="Times New Roman" w:hAnsi="Times New Roman" w:cs="Times New Roman"/>
          <w:sz w:val="22"/>
          <w:szCs w:val="22"/>
        </w:rPr>
        <w:t>geograph</w:t>
      </w:r>
      <w:r w:rsidR="006D0D76">
        <w:rPr>
          <w:rFonts w:ascii="Times New Roman" w:hAnsi="Times New Roman" w:cs="Times New Roman"/>
          <w:sz w:val="22"/>
          <w:szCs w:val="22"/>
        </w:rPr>
        <w:t>ic</w:t>
      </w:r>
      <w:r w:rsidR="00203F82" w:rsidRPr="00D87880">
        <w:rPr>
          <w:rFonts w:ascii="Times New Roman" w:hAnsi="Times New Roman" w:cs="Times New Roman"/>
          <w:sz w:val="22"/>
          <w:szCs w:val="22"/>
        </w:rPr>
        <w:t xml:space="preserve"> </w:t>
      </w:r>
      <w:r w:rsidR="00203F82" w:rsidRPr="00FE3EE0">
        <w:rPr>
          <w:rFonts w:ascii="Times New Roman" w:hAnsi="Times New Roman" w:cs="Times New Roman"/>
          <w:sz w:val="22"/>
          <w:szCs w:val="22"/>
        </w:rPr>
        <w:t>cover</w:t>
      </w:r>
      <w:r w:rsidR="006D0D76">
        <w:rPr>
          <w:rFonts w:ascii="Times New Roman" w:hAnsi="Times New Roman" w:cs="Times New Roman"/>
          <w:sz w:val="22"/>
          <w:szCs w:val="22"/>
        </w:rPr>
        <w:t>age</w:t>
      </w:r>
      <w:r>
        <w:rPr>
          <w:rFonts w:ascii="Times New Roman" w:hAnsi="Times New Roman" w:cs="Times New Roman"/>
          <w:sz w:val="22"/>
          <w:szCs w:val="22"/>
        </w:rPr>
        <w:t xml:space="preserve"> </w:t>
      </w:r>
      <w:r w:rsidR="006D0D76">
        <w:rPr>
          <w:rFonts w:ascii="Times New Roman" w:hAnsi="Times New Roman" w:cs="Times New Roman"/>
          <w:sz w:val="22"/>
          <w:szCs w:val="22"/>
        </w:rPr>
        <w:t xml:space="preserve">of </w:t>
      </w:r>
      <w:r>
        <w:rPr>
          <w:rFonts w:ascii="Times New Roman" w:hAnsi="Times New Roman" w:cs="Times New Roman"/>
          <w:sz w:val="22"/>
          <w:szCs w:val="22"/>
        </w:rPr>
        <w:t>the SOC</w:t>
      </w:r>
      <w:r w:rsidR="00203F82" w:rsidRPr="00FE3EE0">
        <w:rPr>
          <w:rFonts w:ascii="Times New Roman" w:hAnsi="Times New Roman" w:cs="Times New Roman"/>
          <w:sz w:val="22"/>
          <w:szCs w:val="22"/>
        </w:rPr>
        <w:t xml:space="preserve">. </w:t>
      </w:r>
    </w:p>
    <w:p w14:paraId="15A8E88A" w14:textId="4D66E849" w:rsidR="00FC6154" w:rsidRPr="00D87880" w:rsidRDefault="00FC6154" w:rsidP="008A12A1">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FE3EE0">
        <w:rPr>
          <w:rFonts w:ascii="Times New Roman" w:hAnsi="Times New Roman" w:cs="Times New Roman"/>
          <w:b/>
          <w:sz w:val="22"/>
          <w:szCs w:val="22"/>
        </w:rPr>
        <w:tab/>
      </w:r>
      <w:r w:rsidR="00007B4E" w:rsidRPr="00FE3EE0">
        <w:rPr>
          <w:rFonts w:ascii="Times New Roman" w:hAnsi="Times New Roman" w:cs="Times New Roman"/>
          <w:b/>
          <w:i/>
          <w:sz w:val="22"/>
          <w:szCs w:val="22"/>
        </w:rPr>
        <w:t>Network Analysis</w:t>
      </w:r>
      <w:r w:rsidR="00007B4E" w:rsidRPr="00FE3EE0">
        <w:rPr>
          <w:rFonts w:ascii="Times New Roman" w:hAnsi="Times New Roman" w:cs="Times New Roman"/>
          <w:b/>
          <w:sz w:val="22"/>
          <w:szCs w:val="22"/>
        </w:rPr>
        <w:t>.</w:t>
      </w:r>
      <w:r w:rsidR="00862178" w:rsidRPr="00FE3EE0">
        <w:rPr>
          <w:rFonts w:ascii="Times New Roman" w:hAnsi="Times New Roman" w:cs="Times New Roman"/>
          <w:b/>
          <w:sz w:val="22"/>
          <w:szCs w:val="22"/>
        </w:rPr>
        <w:t xml:space="preserve"> </w:t>
      </w:r>
      <w:r w:rsidR="008A12A1" w:rsidRPr="00FE3EE0">
        <w:rPr>
          <w:rFonts w:ascii="Times New Roman" w:hAnsi="Times New Roman" w:cs="Times New Roman"/>
          <w:sz w:val="22"/>
          <w:szCs w:val="22"/>
        </w:rPr>
        <w:t>The Evaluation will identify the</w:t>
      </w:r>
      <w:r w:rsidR="008A12A1" w:rsidRPr="00D87880">
        <w:rPr>
          <w:rFonts w:ascii="Times New Roman" w:hAnsi="Times New Roman" w:cs="Times New Roman"/>
          <w:sz w:val="22"/>
          <w:szCs w:val="22"/>
        </w:rPr>
        <w:t xml:space="preserve"> network of agencies that work together at the top administrative level of </w:t>
      </w:r>
      <w:r w:rsidR="008A12A1" w:rsidRPr="00217750">
        <w:rPr>
          <w:rFonts w:ascii="Times New Roman" w:hAnsi="Times New Roman" w:cs="Times New Roman"/>
          <w:sz w:val="22"/>
          <w:szCs w:val="22"/>
        </w:rPr>
        <w:t xml:space="preserve">jurisdictions and local systems to implement and expand </w:t>
      </w:r>
      <w:r w:rsidR="00716F4D">
        <w:rPr>
          <w:rFonts w:ascii="Times New Roman" w:hAnsi="Times New Roman" w:cs="Times New Roman"/>
          <w:sz w:val="22"/>
          <w:szCs w:val="22"/>
        </w:rPr>
        <w:t xml:space="preserve">the </w:t>
      </w:r>
      <w:r w:rsidR="008A12A1" w:rsidRPr="00217750">
        <w:rPr>
          <w:rFonts w:ascii="Times New Roman" w:hAnsi="Times New Roman" w:cs="Times New Roman"/>
          <w:sz w:val="22"/>
          <w:szCs w:val="22"/>
        </w:rPr>
        <w:t>SOC.</w:t>
      </w:r>
      <w:r w:rsidR="00862178" w:rsidRPr="00217750">
        <w:rPr>
          <w:rFonts w:ascii="Times New Roman" w:hAnsi="Times New Roman" w:cs="Times New Roman"/>
          <w:sz w:val="22"/>
          <w:szCs w:val="22"/>
        </w:rPr>
        <w:t xml:space="preserve"> </w:t>
      </w:r>
      <w:r w:rsidR="00FB4AF2" w:rsidRPr="00217750">
        <w:rPr>
          <w:rFonts w:ascii="Times New Roman" w:hAnsi="Times New Roman" w:cs="Times New Roman"/>
          <w:sz w:val="22"/>
          <w:szCs w:val="22"/>
        </w:rPr>
        <w:t>It will describe how</w:t>
      </w:r>
      <w:r w:rsidR="006D0D76">
        <w:rPr>
          <w:rFonts w:ascii="Times New Roman" w:hAnsi="Times New Roman" w:cs="Times New Roman"/>
          <w:sz w:val="22"/>
          <w:szCs w:val="22"/>
        </w:rPr>
        <w:t>,</w:t>
      </w:r>
      <w:r w:rsidR="00FB4AF2" w:rsidRPr="00217750">
        <w:rPr>
          <w:rFonts w:ascii="Times New Roman" w:hAnsi="Times New Roman" w:cs="Times New Roman"/>
          <w:sz w:val="22"/>
          <w:szCs w:val="22"/>
        </w:rPr>
        <w:t xml:space="preserve"> </w:t>
      </w:r>
      <w:r w:rsidR="00C05A15" w:rsidRPr="00217750">
        <w:rPr>
          <w:rFonts w:ascii="Times New Roman" w:hAnsi="Times New Roman" w:cs="Times New Roman"/>
          <w:sz w:val="22"/>
          <w:szCs w:val="22"/>
        </w:rPr>
        <w:t>and the extent to which</w:t>
      </w:r>
      <w:r w:rsidR="006D0D76">
        <w:rPr>
          <w:rFonts w:ascii="Times New Roman" w:hAnsi="Times New Roman" w:cs="Times New Roman"/>
          <w:sz w:val="22"/>
          <w:szCs w:val="22"/>
        </w:rPr>
        <w:t>,</w:t>
      </w:r>
      <w:r w:rsidR="00C05A15" w:rsidRPr="00217750">
        <w:rPr>
          <w:rFonts w:ascii="Times New Roman" w:hAnsi="Times New Roman" w:cs="Times New Roman"/>
          <w:sz w:val="22"/>
          <w:szCs w:val="22"/>
        </w:rPr>
        <w:t xml:space="preserve"> key </w:t>
      </w:r>
      <w:r w:rsidR="00FB4AF2" w:rsidRPr="00217750">
        <w:rPr>
          <w:rFonts w:ascii="Times New Roman" w:hAnsi="Times New Roman" w:cs="Times New Roman"/>
          <w:sz w:val="22"/>
          <w:szCs w:val="22"/>
        </w:rPr>
        <w:t xml:space="preserve">agencies </w:t>
      </w:r>
      <w:r w:rsidR="00206C55" w:rsidRPr="00217750">
        <w:rPr>
          <w:rFonts w:ascii="Times New Roman" w:hAnsi="Times New Roman" w:cs="Times New Roman"/>
          <w:sz w:val="22"/>
          <w:szCs w:val="22"/>
        </w:rPr>
        <w:t xml:space="preserve">and organizations </w:t>
      </w:r>
      <w:r w:rsidR="00FB4AF2" w:rsidRPr="00217750">
        <w:rPr>
          <w:rFonts w:ascii="Times New Roman" w:hAnsi="Times New Roman" w:cs="Times New Roman"/>
          <w:sz w:val="22"/>
          <w:szCs w:val="22"/>
        </w:rPr>
        <w:t>collaborat</w:t>
      </w:r>
      <w:r w:rsidR="006D0D76">
        <w:rPr>
          <w:rFonts w:ascii="Times New Roman" w:hAnsi="Times New Roman" w:cs="Times New Roman"/>
          <w:sz w:val="22"/>
          <w:szCs w:val="22"/>
        </w:rPr>
        <w:t>e</w:t>
      </w:r>
      <w:r w:rsidR="00FB4AF2" w:rsidRPr="00217750">
        <w:rPr>
          <w:rFonts w:ascii="Times New Roman" w:hAnsi="Times New Roman" w:cs="Times New Roman"/>
          <w:sz w:val="22"/>
          <w:szCs w:val="22"/>
        </w:rPr>
        <w:t xml:space="preserve"> and coordinat</w:t>
      </w:r>
      <w:r w:rsidR="006D0D76">
        <w:rPr>
          <w:rFonts w:ascii="Times New Roman" w:hAnsi="Times New Roman" w:cs="Times New Roman"/>
          <w:sz w:val="22"/>
          <w:szCs w:val="22"/>
        </w:rPr>
        <w:t>e their efforts</w:t>
      </w:r>
      <w:r w:rsidR="00FB4AF2" w:rsidRPr="00217750">
        <w:rPr>
          <w:rFonts w:ascii="Times New Roman" w:hAnsi="Times New Roman" w:cs="Times New Roman"/>
          <w:sz w:val="22"/>
          <w:szCs w:val="22"/>
        </w:rPr>
        <w:t>.</w:t>
      </w:r>
      <w:r w:rsidR="00862178" w:rsidRPr="00217750">
        <w:rPr>
          <w:rFonts w:ascii="Times New Roman" w:hAnsi="Times New Roman" w:cs="Times New Roman"/>
          <w:sz w:val="22"/>
          <w:szCs w:val="22"/>
        </w:rPr>
        <w:t xml:space="preserve"> </w:t>
      </w:r>
      <w:r w:rsidR="004B5E37" w:rsidRPr="00217750">
        <w:rPr>
          <w:rFonts w:ascii="Times New Roman" w:hAnsi="Times New Roman" w:cs="Times New Roman"/>
          <w:sz w:val="22"/>
          <w:szCs w:val="22"/>
        </w:rPr>
        <w:t>For</w:t>
      </w:r>
      <w:r w:rsidR="004B5E37" w:rsidRPr="00D87880">
        <w:rPr>
          <w:rFonts w:ascii="Times New Roman" w:hAnsi="Times New Roman" w:cs="Times New Roman"/>
          <w:sz w:val="22"/>
          <w:szCs w:val="22"/>
        </w:rPr>
        <w:t xml:space="preserve"> the two levels involved, the focus of network analyses </w:t>
      </w:r>
      <w:r w:rsidRPr="00D87880">
        <w:rPr>
          <w:rFonts w:ascii="Times New Roman" w:hAnsi="Times New Roman" w:cs="Times New Roman"/>
          <w:sz w:val="22"/>
          <w:szCs w:val="22"/>
        </w:rPr>
        <w:t>are as follows:</w:t>
      </w:r>
    </w:p>
    <w:p w14:paraId="0BEDA424" w14:textId="551192F5" w:rsidR="00FC6154" w:rsidRPr="00D87880" w:rsidRDefault="004B5E37" w:rsidP="004B5E37">
      <w:pPr>
        <w:pStyle w:val="ListParagraph"/>
        <w:numPr>
          <w:ilvl w:val="0"/>
          <w:numId w:val="35"/>
        </w:numPr>
        <w:spacing w:line="240" w:lineRule="auto"/>
        <w:contextualSpacing w:val="0"/>
        <w:rPr>
          <w:rFonts w:ascii="Times New Roman" w:hAnsi="Times New Roman" w:cs="Times New Roman"/>
          <w:sz w:val="22"/>
          <w:szCs w:val="22"/>
        </w:rPr>
      </w:pPr>
      <w:r w:rsidRPr="00D87880">
        <w:rPr>
          <w:rFonts w:ascii="Times New Roman" w:hAnsi="Times New Roman" w:cs="Times New Roman"/>
          <w:i/>
          <w:sz w:val="22"/>
          <w:szCs w:val="22"/>
        </w:rPr>
        <w:t>J</w:t>
      </w:r>
      <w:r w:rsidR="00FC6154" w:rsidRPr="00D87880">
        <w:rPr>
          <w:rFonts w:ascii="Times New Roman" w:hAnsi="Times New Roman" w:cs="Times New Roman"/>
          <w:i/>
          <w:sz w:val="22"/>
          <w:szCs w:val="22"/>
        </w:rPr>
        <w:t>urisdiction</w:t>
      </w:r>
      <w:r w:rsidR="00756666" w:rsidRPr="00D87880">
        <w:rPr>
          <w:rFonts w:ascii="Times New Roman" w:hAnsi="Times New Roman" w:cs="Times New Roman"/>
          <w:i/>
          <w:sz w:val="22"/>
          <w:szCs w:val="22"/>
        </w:rPr>
        <w:t>.</w:t>
      </w:r>
      <w:r w:rsidR="00862178" w:rsidRPr="00D87880">
        <w:rPr>
          <w:rFonts w:ascii="Times New Roman" w:hAnsi="Times New Roman" w:cs="Times New Roman"/>
          <w:sz w:val="22"/>
          <w:szCs w:val="22"/>
        </w:rPr>
        <w:t xml:space="preserve"> </w:t>
      </w:r>
      <w:r w:rsidRPr="00D87880">
        <w:rPr>
          <w:rFonts w:ascii="Times New Roman" w:hAnsi="Times New Roman" w:cs="Times New Roman"/>
          <w:sz w:val="22"/>
          <w:szCs w:val="22"/>
        </w:rPr>
        <w:t>I</w:t>
      </w:r>
      <w:r w:rsidR="00FC6154" w:rsidRPr="00D87880">
        <w:rPr>
          <w:rFonts w:ascii="Times New Roman" w:hAnsi="Times New Roman" w:cs="Times New Roman"/>
          <w:sz w:val="22"/>
          <w:szCs w:val="22"/>
        </w:rPr>
        <w:t>nteractions among leaders at the top administrative levels responsible for</w:t>
      </w:r>
      <w:r w:rsidR="00716F4D">
        <w:rPr>
          <w:rFonts w:ascii="Times New Roman" w:hAnsi="Times New Roman" w:cs="Times New Roman"/>
          <w:sz w:val="22"/>
          <w:szCs w:val="22"/>
        </w:rPr>
        <w:t xml:space="preserve"> a</w:t>
      </w:r>
      <w:r w:rsidR="00FC6154" w:rsidRPr="00D87880">
        <w:rPr>
          <w:rFonts w:ascii="Times New Roman" w:hAnsi="Times New Roman" w:cs="Times New Roman"/>
          <w:sz w:val="22"/>
          <w:szCs w:val="22"/>
        </w:rPr>
        <w:t xml:space="preserve"> jurisdiction-wide SOC implementation and expansion governance, policy development, system oversight, and quality improvement efforts.</w:t>
      </w:r>
      <w:r w:rsidR="00862178" w:rsidRPr="00D87880">
        <w:rPr>
          <w:rFonts w:ascii="Times New Roman" w:hAnsi="Times New Roman" w:cs="Times New Roman"/>
          <w:sz w:val="22"/>
          <w:szCs w:val="22"/>
        </w:rPr>
        <w:t xml:space="preserve"> </w:t>
      </w:r>
    </w:p>
    <w:p w14:paraId="36BEC0C9" w14:textId="7FEA1CFF" w:rsidR="00FC6154" w:rsidRPr="00D87880" w:rsidRDefault="004B5E37" w:rsidP="004B5E37">
      <w:pPr>
        <w:pStyle w:val="ListParagraph"/>
        <w:numPr>
          <w:ilvl w:val="0"/>
          <w:numId w:val="35"/>
        </w:numPr>
        <w:spacing w:line="240" w:lineRule="auto"/>
        <w:contextualSpacing w:val="0"/>
        <w:rPr>
          <w:rFonts w:ascii="Times New Roman" w:hAnsi="Times New Roman" w:cs="Times New Roman"/>
          <w:sz w:val="22"/>
          <w:szCs w:val="22"/>
        </w:rPr>
      </w:pPr>
      <w:r w:rsidRPr="00D87880">
        <w:rPr>
          <w:rFonts w:ascii="Times New Roman" w:hAnsi="Times New Roman" w:cs="Times New Roman"/>
          <w:i/>
          <w:sz w:val="22"/>
          <w:szCs w:val="22"/>
        </w:rPr>
        <w:t>Lo</w:t>
      </w:r>
      <w:r w:rsidR="00FC6154" w:rsidRPr="00D87880">
        <w:rPr>
          <w:rFonts w:ascii="Times New Roman" w:hAnsi="Times New Roman" w:cs="Times New Roman"/>
          <w:i/>
          <w:sz w:val="22"/>
          <w:szCs w:val="22"/>
        </w:rPr>
        <w:t>cal system</w:t>
      </w:r>
      <w:r w:rsidR="00756666" w:rsidRPr="00D87880">
        <w:rPr>
          <w:rFonts w:ascii="Times New Roman" w:hAnsi="Times New Roman" w:cs="Times New Roman"/>
          <w:i/>
          <w:sz w:val="22"/>
          <w:szCs w:val="22"/>
        </w:rPr>
        <w:t>.</w:t>
      </w:r>
      <w:r w:rsidR="00862178" w:rsidRPr="00D87880">
        <w:rPr>
          <w:rFonts w:ascii="Times New Roman" w:hAnsi="Times New Roman" w:cs="Times New Roman"/>
          <w:sz w:val="22"/>
          <w:szCs w:val="22"/>
        </w:rPr>
        <w:t xml:space="preserve"> </w:t>
      </w:r>
      <w:r w:rsidRPr="00D87880">
        <w:rPr>
          <w:rFonts w:ascii="Times New Roman" w:hAnsi="Times New Roman" w:cs="Times New Roman"/>
          <w:sz w:val="22"/>
          <w:szCs w:val="22"/>
        </w:rPr>
        <w:t>C</w:t>
      </w:r>
      <w:r w:rsidR="00FC6154" w:rsidRPr="00D87880">
        <w:rPr>
          <w:rFonts w:ascii="Times New Roman" w:hAnsi="Times New Roman" w:cs="Times New Roman"/>
          <w:sz w:val="22"/>
          <w:szCs w:val="22"/>
        </w:rPr>
        <w:t xml:space="preserve">ross-agency interactions related to direct service </w:t>
      </w:r>
      <w:r w:rsidR="00914489">
        <w:rPr>
          <w:rFonts w:ascii="Times New Roman" w:hAnsi="Times New Roman" w:cs="Times New Roman"/>
          <w:sz w:val="22"/>
          <w:szCs w:val="22"/>
        </w:rPr>
        <w:t xml:space="preserve">provision </w:t>
      </w:r>
      <w:r w:rsidR="00FC6154" w:rsidRPr="00D87880">
        <w:rPr>
          <w:rFonts w:ascii="Times New Roman" w:hAnsi="Times New Roman" w:cs="Times New Roman"/>
          <w:sz w:val="22"/>
          <w:szCs w:val="22"/>
        </w:rPr>
        <w:t>to children</w:t>
      </w:r>
      <w:r w:rsidR="00914489">
        <w:rPr>
          <w:rFonts w:ascii="Times New Roman" w:hAnsi="Times New Roman" w:cs="Times New Roman"/>
          <w:sz w:val="22"/>
          <w:szCs w:val="22"/>
        </w:rPr>
        <w:t>/youth</w:t>
      </w:r>
      <w:r w:rsidR="00FC6154" w:rsidRPr="00D87880">
        <w:rPr>
          <w:rFonts w:ascii="Times New Roman" w:hAnsi="Times New Roman" w:cs="Times New Roman"/>
          <w:sz w:val="22"/>
          <w:szCs w:val="22"/>
        </w:rPr>
        <w:t xml:space="preserve"> and their families including management, operations, practice, and care monitoring.</w:t>
      </w:r>
    </w:p>
    <w:p w14:paraId="4EF6B257" w14:textId="7A3FF430" w:rsidR="009714F7" w:rsidRPr="00D87880" w:rsidRDefault="00C05A15" w:rsidP="009714F7">
      <w:pPr>
        <w:autoSpaceDE w:val="0"/>
        <w:autoSpaceDN w:val="0"/>
        <w:spacing w:line="240" w:lineRule="auto"/>
        <w:rPr>
          <w:rFonts w:ascii="Times New Roman" w:hAnsi="Times New Roman"/>
          <w:sz w:val="22"/>
          <w:szCs w:val="22"/>
        </w:rPr>
      </w:pPr>
      <w:r w:rsidRPr="00D87880">
        <w:rPr>
          <w:rFonts w:ascii="Times New Roman" w:hAnsi="Times New Roman"/>
          <w:sz w:val="22"/>
          <w:szCs w:val="22"/>
        </w:rPr>
        <w:t xml:space="preserve">Network analysis generates graphic representations depicting the </w:t>
      </w:r>
      <w:r w:rsidRPr="00D87880">
        <w:rPr>
          <w:rFonts w:ascii="Times New Roman" w:hAnsi="Times New Roman" w:cs="Times New Roman"/>
          <w:sz w:val="22"/>
          <w:szCs w:val="22"/>
        </w:rPr>
        <w:t xml:space="preserve">relationships between and among </w:t>
      </w:r>
      <w:r w:rsidR="003F572B">
        <w:rPr>
          <w:rFonts w:ascii="Times New Roman" w:hAnsi="Times New Roman" w:cs="Times New Roman"/>
          <w:sz w:val="22"/>
          <w:szCs w:val="22"/>
        </w:rPr>
        <w:t>agencies and organizations</w:t>
      </w:r>
      <w:r w:rsidR="003F572B" w:rsidRPr="009020B6">
        <w:rPr>
          <w:rFonts w:ascii="Times New Roman" w:hAnsi="Times New Roman" w:cs="Times New Roman"/>
          <w:sz w:val="22"/>
          <w:szCs w:val="22"/>
        </w:rPr>
        <w:t xml:space="preserve"> </w:t>
      </w:r>
      <w:r w:rsidRPr="00D87880">
        <w:rPr>
          <w:rFonts w:ascii="Times New Roman" w:hAnsi="Times New Roman" w:cs="Times New Roman"/>
          <w:sz w:val="22"/>
          <w:szCs w:val="22"/>
        </w:rPr>
        <w:t xml:space="preserve">across the local system and the jurisdiction.  </w:t>
      </w:r>
      <w:r w:rsidR="009714F7" w:rsidRPr="00D87880">
        <w:rPr>
          <w:rFonts w:ascii="Times New Roman" w:hAnsi="Times New Roman"/>
          <w:sz w:val="22"/>
          <w:szCs w:val="22"/>
        </w:rPr>
        <w:t xml:space="preserve">Network analysis </w:t>
      </w:r>
      <w:r w:rsidR="00950B34" w:rsidRPr="00D87880">
        <w:rPr>
          <w:rFonts w:ascii="Times New Roman" w:hAnsi="Times New Roman"/>
          <w:sz w:val="22"/>
          <w:szCs w:val="22"/>
        </w:rPr>
        <w:t>generates</w:t>
      </w:r>
      <w:r w:rsidR="009714F7" w:rsidRPr="00D87880">
        <w:rPr>
          <w:rFonts w:ascii="Times New Roman" w:hAnsi="Times New Roman"/>
          <w:sz w:val="22"/>
          <w:szCs w:val="22"/>
        </w:rPr>
        <w:t xml:space="preserve"> numerical computation</w:t>
      </w:r>
      <w:r w:rsidR="00950B34" w:rsidRPr="00D87880">
        <w:rPr>
          <w:rFonts w:ascii="Times New Roman" w:hAnsi="Times New Roman"/>
          <w:sz w:val="22"/>
          <w:szCs w:val="22"/>
        </w:rPr>
        <w:t>s</w:t>
      </w:r>
      <w:r w:rsidR="009714F7" w:rsidRPr="00D87880">
        <w:rPr>
          <w:rFonts w:ascii="Times New Roman" w:hAnsi="Times New Roman"/>
          <w:sz w:val="22"/>
          <w:szCs w:val="22"/>
        </w:rPr>
        <w:t xml:space="preserve"> of the strength of </w:t>
      </w:r>
      <w:r w:rsidRPr="00D87880">
        <w:rPr>
          <w:rFonts w:ascii="Times New Roman" w:hAnsi="Times New Roman"/>
          <w:sz w:val="22"/>
          <w:szCs w:val="22"/>
        </w:rPr>
        <w:t xml:space="preserve">these </w:t>
      </w:r>
      <w:r w:rsidR="00950B34" w:rsidRPr="00D87880">
        <w:rPr>
          <w:rFonts w:ascii="Times New Roman" w:hAnsi="Times New Roman" w:cs="Times New Roman"/>
          <w:sz w:val="22"/>
          <w:szCs w:val="22"/>
        </w:rPr>
        <w:t xml:space="preserve">cross-agency relationships or </w:t>
      </w:r>
      <w:r w:rsidR="009714F7" w:rsidRPr="00D87880">
        <w:rPr>
          <w:rFonts w:ascii="Times New Roman" w:hAnsi="Times New Roman"/>
          <w:sz w:val="22"/>
          <w:szCs w:val="22"/>
        </w:rPr>
        <w:t xml:space="preserve">links between and among participants. </w:t>
      </w:r>
      <w:r w:rsidRPr="00D87880">
        <w:rPr>
          <w:rFonts w:ascii="Times New Roman" w:hAnsi="Times New Roman"/>
          <w:sz w:val="22"/>
          <w:szCs w:val="22"/>
        </w:rPr>
        <w:t>These data will be used to describe the network in terms of density (i.e., how sparsely or closely are participants connected), centralization (i.e., whether there are one or more</w:t>
      </w:r>
      <w:r w:rsidR="00914489">
        <w:rPr>
          <w:rFonts w:ascii="Times New Roman" w:hAnsi="Times New Roman"/>
          <w:sz w:val="22"/>
          <w:szCs w:val="22"/>
        </w:rPr>
        <w:t xml:space="preserve"> partner agencies</w:t>
      </w:r>
      <w:r w:rsidRPr="00D87880">
        <w:rPr>
          <w:rFonts w:ascii="Times New Roman" w:hAnsi="Times New Roman"/>
          <w:sz w:val="22"/>
          <w:szCs w:val="22"/>
        </w:rPr>
        <w:t xml:space="preserve"> around which most of the others tend to gather), fragmentation (i.e., whether many system participants appear isolated or whether the system made up of small clusters that are unconnected to each other), and coordination.</w:t>
      </w:r>
      <w:r w:rsidR="00B93A9E" w:rsidRPr="00B93A9E">
        <w:rPr>
          <w:rFonts w:ascii="Times New Roman" w:hAnsi="Times New Roman" w:cs="Times New Roman"/>
          <w:sz w:val="22"/>
          <w:szCs w:val="22"/>
        </w:rPr>
        <w:t xml:space="preserve"> </w:t>
      </w:r>
    </w:p>
    <w:p w14:paraId="69248CD8" w14:textId="29432049" w:rsidR="00FC6154" w:rsidRPr="007E67D6" w:rsidRDefault="00587FF4" w:rsidP="00FC6154">
      <w:pPr>
        <w:spacing w:line="240" w:lineRule="auto"/>
        <w:rPr>
          <w:rFonts w:ascii="Times New Roman" w:hAnsi="Times New Roman" w:cs="Times New Roman"/>
          <w:sz w:val="22"/>
          <w:szCs w:val="22"/>
        </w:rPr>
      </w:pPr>
      <w:r w:rsidRPr="00D87880">
        <w:rPr>
          <w:rFonts w:ascii="Times New Roman" w:hAnsi="Times New Roman" w:cs="Times New Roman"/>
          <w:sz w:val="22"/>
          <w:szCs w:val="22"/>
        </w:rPr>
        <w:t>S</w:t>
      </w:r>
      <w:r w:rsidR="00FC6154" w:rsidRPr="00D87880">
        <w:rPr>
          <w:rFonts w:ascii="Times New Roman" w:hAnsi="Times New Roman" w:cs="Times New Roman"/>
          <w:sz w:val="22"/>
          <w:szCs w:val="22"/>
        </w:rPr>
        <w:t xml:space="preserve">pecifically, these data will be used to assess collaborations among stakeholders in </w:t>
      </w:r>
      <w:r w:rsidR="00914489">
        <w:rPr>
          <w:rFonts w:ascii="Times New Roman" w:hAnsi="Times New Roman" w:cs="Times New Roman"/>
          <w:sz w:val="22"/>
          <w:szCs w:val="22"/>
        </w:rPr>
        <w:t>implementing and expanding</w:t>
      </w:r>
      <w:r w:rsidR="00914489" w:rsidRPr="00D87880">
        <w:rPr>
          <w:rFonts w:ascii="Times New Roman" w:hAnsi="Times New Roman" w:cs="Times New Roman"/>
          <w:sz w:val="22"/>
          <w:szCs w:val="22"/>
        </w:rPr>
        <w:t xml:space="preserve"> </w:t>
      </w:r>
      <w:r w:rsidR="00FC6154" w:rsidRPr="00D87880">
        <w:rPr>
          <w:rFonts w:ascii="Times New Roman" w:hAnsi="Times New Roman" w:cs="Times New Roman"/>
          <w:sz w:val="22"/>
          <w:szCs w:val="22"/>
        </w:rPr>
        <w:t>the SOC.</w:t>
      </w:r>
      <w:r w:rsidR="00862178" w:rsidRPr="00D87880">
        <w:rPr>
          <w:rFonts w:ascii="Times New Roman" w:hAnsi="Times New Roman" w:cs="Times New Roman"/>
          <w:sz w:val="22"/>
          <w:szCs w:val="22"/>
        </w:rPr>
        <w:t xml:space="preserve"> </w:t>
      </w:r>
      <w:r w:rsidR="00FC6154" w:rsidRPr="00D87880">
        <w:rPr>
          <w:rFonts w:ascii="Times New Roman" w:hAnsi="Times New Roman" w:cs="Times New Roman"/>
          <w:sz w:val="22"/>
          <w:szCs w:val="22"/>
        </w:rPr>
        <w:t xml:space="preserve">As social network data </w:t>
      </w:r>
      <w:r w:rsidR="008903D8">
        <w:rPr>
          <w:rFonts w:ascii="Times New Roman" w:hAnsi="Times New Roman" w:cs="Times New Roman"/>
          <w:sz w:val="22"/>
          <w:szCs w:val="22"/>
        </w:rPr>
        <w:t>are</w:t>
      </w:r>
      <w:r w:rsidR="00FC6154" w:rsidRPr="00D87880">
        <w:rPr>
          <w:rFonts w:ascii="Times New Roman" w:hAnsi="Times New Roman" w:cs="Times New Roman"/>
          <w:sz w:val="22"/>
          <w:szCs w:val="22"/>
        </w:rPr>
        <w:t xml:space="preserve"> relational data rather than traditional data of independent observations, data entry and analysis are necessarily specialized.</w:t>
      </w:r>
      <w:r w:rsidR="00862178" w:rsidRPr="00D87880">
        <w:rPr>
          <w:rFonts w:ascii="Times New Roman" w:hAnsi="Times New Roman" w:cs="Times New Roman"/>
          <w:sz w:val="22"/>
          <w:szCs w:val="22"/>
        </w:rPr>
        <w:t xml:space="preserve"> </w:t>
      </w:r>
      <w:r w:rsidR="00FC6154" w:rsidRPr="00D87880">
        <w:rPr>
          <w:rFonts w:ascii="Times New Roman" w:hAnsi="Times New Roman" w:cs="Times New Roman"/>
          <w:sz w:val="22"/>
          <w:szCs w:val="22"/>
        </w:rPr>
        <w:t>In particular, social network data will be entered and stored in rectangular matrices rather than lists.</w:t>
      </w:r>
      <w:r w:rsidR="00862178" w:rsidRPr="00D87880">
        <w:rPr>
          <w:rFonts w:ascii="Times New Roman" w:hAnsi="Times New Roman" w:cs="Times New Roman"/>
          <w:sz w:val="22"/>
          <w:szCs w:val="22"/>
        </w:rPr>
        <w:t xml:space="preserve"> </w:t>
      </w:r>
      <w:r w:rsidR="00FC6154" w:rsidRPr="00D87880">
        <w:rPr>
          <w:rFonts w:ascii="Times New Roman" w:hAnsi="Times New Roman" w:cs="Times New Roman"/>
          <w:sz w:val="22"/>
          <w:szCs w:val="22"/>
        </w:rPr>
        <w:t>These matrices will be created in the social network analysis programs UCINET and NodeXL for storage and analysis.</w:t>
      </w:r>
      <w:r w:rsidR="00862178" w:rsidRPr="00D87880">
        <w:rPr>
          <w:rFonts w:ascii="Times New Roman" w:hAnsi="Times New Roman" w:cs="Times New Roman"/>
          <w:sz w:val="22"/>
          <w:szCs w:val="22"/>
        </w:rPr>
        <w:t xml:space="preserve"> </w:t>
      </w:r>
      <w:r w:rsidR="00FC6154" w:rsidRPr="00D87880">
        <w:rPr>
          <w:rFonts w:ascii="Times New Roman" w:hAnsi="Times New Roman" w:cs="Times New Roman"/>
          <w:sz w:val="22"/>
          <w:szCs w:val="22"/>
        </w:rPr>
        <w:t>UCINET is utilized to quanti</w:t>
      </w:r>
      <w:r w:rsidR="00CE7575">
        <w:rPr>
          <w:rFonts w:ascii="Times New Roman" w:hAnsi="Times New Roman" w:cs="Times New Roman"/>
          <w:sz w:val="22"/>
          <w:szCs w:val="22"/>
        </w:rPr>
        <w:t xml:space="preserve">fy </w:t>
      </w:r>
      <w:r w:rsidR="00FC6154" w:rsidRPr="00D87880">
        <w:rPr>
          <w:rFonts w:ascii="Times New Roman" w:hAnsi="Times New Roman" w:cs="Times New Roman"/>
          <w:sz w:val="22"/>
          <w:szCs w:val="22"/>
        </w:rPr>
        <w:t xml:space="preserve">social network </w:t>
      </w:r>
      <w:r w:rsidR="008C652E" w:rsidRPr="00D87880">
        <w:rPr>
          <w:rFonts w:ascii="Times New Roman" w:hAnsi="Times New Roman" w:cs="Times New Roman"/>
          <w:sz w:val="22"/>
          <w:szCs w:val="22"/>
        </w:rPr>
        <w:t>data</w:t>
      </w:r>
      <w:r w:rsidR="008C652E">
        <w:rPr>
          <w:rFonts w:ascii="Times New Roman" w:hAnsi="Times New Roman" w:cs="Times New Roman"/>
          <w:sz w:val="22"/>
          <w:szCs w:val="22"/>
        </w:rPr>
        <w:t>.</w:t>
      </w:r>
      <w:r w:rsidR="008C652E" w:rsidRPr="00D87880">
        <w:rPr>
          <w:rFonts w:ascii="Times New Roman" w:hAnsi="Times New Roman" w:cs="Times New Roman"/>
          <w:sz w:val="22"/>
          <w:szCs w:val="22"/>
        </w:rPr>
        <w:t xml:space="preserve"> NodeXL</w:t>
      </w:r>
      <w:r w:rsidR="00FC6154" w:rsidRPr="00D87880">
        <w:rPr>
          <w:rFonts w:ascii="Times New Roman" w:hAnsi="Times New Roman" w:cs="Times New Roman"/>
          <w:sz w:val="22"/>
          <w:szCs w:val="22"/>
        </w:rPr>
        <w:t xml:space="preserve"> is used to create network graphics or “maps” that visually port</w:t>
      </w:r>
      <w:r w:rsidR="00D85AEE">
        <w:rPr>
          <w:rFonts w:ascii="Times New Roman" w:hAnsi="Times New Roman" w:cs="Times New Roman"/>
          <w:sz w:val="22"/>
          <w:szCs w:val="22"/>
        </w:rPr>
        <w:t>r</w:t>
      </w:r>
      <w:r w:rsidR="00FC6154" w:rsidRPr="00D87880">
        <w:rPr>
          <w:rFonts w:ascii="Times New Roman" w:hAnsi="Times New Roman" w:cs="Times New Roman"/>
          <w:sz w:val="22"/>
          <w:szCs w:val="22"/>
        </w:rPr>
        <w:t xml:space="preserve">ay the observed </w:t>
      </w:r>
      <w:r w:rsidR="00FC6154" w:rsidRPr="007E67D6">
        <w:rPr>
          <w:rFonts w:ascii="Times New Roman" w:hAnsi="Times New Roman" w:cs="Times New Roman"/>
          <w:sz w:val="22"/>
          <w:szCs w:val="22"/>
        </w:rPr>
        <w:t>network thereby providing companion graphs for network analytics.</w:t>
      </w:r>
    </w:p>
    <w:p w14:paraId="3A3C211F" w14:textId="0F3A53A9" w:rsidR="00A25E3D" w:rsidRPr="007E67D6" w:rsidRDefault="00007B4E" w:rsidP="00BA5065">
      <w:pPr>
        <w:spacing w:line="240" w:lineRule="auto"/>
        <w:ind w:firstLine="720"/>
        <w:rPr>
          <w:rFonts w:ascii="Times New Roman" w:hAnsi="Times New Roman" w:cs="Times New Roman"/>
          <w:sz w:val="22"/>
          <w:szCs w:val="22"/>
        </w:rPr>
      </w:pPr>
      <w:r w:rsidRPr="007E67D6">
        <w:rPr>
          <w:rFonts w:ascii="Times New Roman" w:hAnsi="Times New Roman" w:cs="Times New Roman"/>
          <w:b/>
          <w:i/>
          <w:sz w:val="22"/>
          <w:szCs w:val="22"/>
        </w:rPr>
        <w:t>GIS</w:t>
      </w:r>
      <w:r w:rsidRPr="007E67D6">
        <w:rPr>
          <w:rFonts w:ascii="Times New Roman" w:hAnsi="Times New Roman" w:cs="Times New Roman"/>
          <w:b/>
          <w:sz w:val="22"/>
          <w:szCs w:val="22"/>
        </w:rPr>
        <w:t>.</w:t>
      </w:r>
      <w:r w:rsidR="00862178" w:rsidRPr="007E67D6">
        <w:rPr>
          <w:rFonts w:ascii="Times New Roman" w:hAnsi="Times New Roman" w:cs="Times New Roman"/>
          <w:sz w:val="22"/>
          <w:szCs w:val="22"/>
        </w:rPr>
        <w:t xml:space="preserve"> </w:t>
      </w:r>
      <w:r w:rsidR="00E94F8D">
        <w:rPr>
          <w:rFonts w:ascii="Times New Roman" w:hAnsi="Times New Roman" w:cs="Times New Roman"/>
          <w:sz w:val="22"/>
          <w:szCs w:val="22"/>
        </w:rPr>
        <w:t xml:space="preserve">SAMHSA </w:t>
      </w:r>
      <w:r w:rsidR="004D1B1D" w:rsidRPr="007E67D6">
        <w:rPr>
          <w:rFonts w:ascii="Times New Roman" w:hAnsi="Times New Roman" w:cs="Times New Roman"/>
          <w:sz w:val="22"/>
          <w:szCs w:val="22"/>
        </w:rPr>
        <w:t>will consider estimates of population density of the jurisdiction to understand what types of areas (e.g., frontier, rural, suburban, urban) are covered by what types of expansion efforts (e.g., training, governance, planning).</w:t>
      </w:r>
      <w:r w:rsidR="00862178" w:rsidRPr="007E67D6">
        <w:rPr>
          <w:rFonts w:ascii="Times New Roman" w:hAnsi="Times New Roman" w:cs="Times New Roman"/>
          <w:sz w:val="22"/>
          <w:szCs w:val="22"/>
        </w:rPr>
        <w:t xml:space="preserve"> </w:t>
      </w:r>
      <w:r w:rsidR="00130B49" w:rsidRPr="007E67D6">
        <w:rPr>
          <w:rFonts w:ascii="Times New Roman" w:hAnsi="Times New Roman" w:cs="Times New Roman"/>
          <w:sz w:val="22"/>
          <w:szCs w:val="22"/>
        </w:rPr>
        <w:t>Specifics related to each level are described next.</w:t>
      </w:r>
    </w:p>
    <w:p w14:paraId="2FCF7642" w14:textId="0C84A63E" w:rsidR="00A25E3D" w:rsidRPr="007E67D6" w:rsidRDefault="005A1D53" w:rsidP="005A1D53">
      <w:pPr>
        <w:pStyle w:val="P1-StandPara"/>
        <w:numPr>
          <w:ilvl w:val="0"/>
          <w:numId w:val="40"/>
        </w:numPr>
        <w:spacing w:line="240" w:lineRule="auto"/>
        <w:jc w:val="left"/>
        <w:rPr>
          <w:sz w:val="22"/>
          <w:szCs w:val="22"/>
        </w:rPr>
      </w:pPr>
      <w:r w:rsidRPr="007E67D6">
        <w:rPr>
          <w:i/>
          <w:sz w:val="22"/>
          <w:szCs w:val="22"/>
        </w:rPr>
        <w:t>Jurisdiction.</w:t>
      </w:r>
      <w:r w:rsidR="00862178" w:rsidRPr="007E67D6">
        <w:rPr>
          <w:i/>
          <w:sz w:val="22"/>
          <w:szCs w:val="22"/>
        </w:rPr>
        <w:t xml:space="preserve"> </w:t>
      </w:r>
      <w:r w:rsidRPr="007E67D6">
        <w:rPr>
          <w:sz w:val="22"/>
          <w:szCs w:val="22"/>
        </w:rPr>
        <w:t>B</w:t>
      </w:r>
      <w:r w:rsidR="00A25E3D" w:rsidRPr="007E67D6">
        <w:rPr>
          <w:sz w:val="22"/>
          <w:szCs w:val="22"/>
        </w:rPr>
        <w:t>usiness and office</w:t>
      </w:r>
      <w:r w:rsidR="004D1B1D" w:rsidRPr="007E67D6">
        <w:rPr>
          <w:sz w:val="22"/>
          <w:szCs w:val="22"/>
        </w:rPr>
        <w:t xml:space="preserve"> </w:t>
      </w:r>
      <w:r w:rsidR="00914489">
        <w:rPr>
          <w:sz w:val="22"/>
          <w:szCs w:val="22"/>
        </w:rPr>
        <w:t>addresses</w:t>
      </w:r>
      <w:r w:rsidR="004D1B1D" w:rsidRPr="007E67D6">
        <w:rPr>
          <w:sz w:val="22"/>
          <w:szCs w:val="22"/>
        </w:rPr>
        <w:t xml:space="preserve"> </w:t>
      </w:r>
      <w:r w:rsidR="00A25E3D" w:rsidRPr="007E67D6">
        <w:rPr>
          <w:sz w:val="22"/>
          <w:szCs w:val="22"/>
        </w:rPr>
        <w:t xml:space="preserve">will be used in GIS analyses to map areas of the jurisdiction where attendees </w:t>
      </w:r>
      <w:r w:rsidR="00914489">
        <w:rPr>
          <w:sz w:val="22"/>
          <w:szCs w:val="22"/>
        </w:rPr>
        <w:t xml:space="preserve">(either in-person or virtual) to important planning and implementation events (e.g., governance body meetings, strategic planning meetings, training sessions, summits) </w:t>
      </w:r>
      <w:r w:rsidR="00A25E3D" w:rsidRPr="007E67D6">
        <w:rPr>
          <w:sz w:val="22"/>
          <w:szCs w:val="22"/>
        </w:rPr>
        <w:t>work. This will provide an indication of how widely distributed participants are across the jurisdiction. Although the offices of most stakeholders involved in planning and expansion efforts to be clustered around State capitals and county seats, seeing broader distribution may be an indication of broader involvement and buy-in across the jurisdiction.</w:t>
      </w:r>
    </w:p>
    <w:p w14:paraId="44F88D34" w14:textId="23E17D5F" w:rsidR="00A25E3D" w:rsidRPr="007E67D6" w:rsidRDefault="005A1D53" w:rsidP="005A1D53">
      <w:pPr>
        <w:pStyle w:val="P1-StandPara"/>
        <w:numPr>
          <w:ilvl w:val="0"/>
          <w:numId w:val="40"/>
        </w:numPr>
        <w:spacing w:line="240" w:lineRule="auto"/>
        <w:jc w:val="left"/>
        <w:rPr>
          <w:sz w:val="22"/>
          <w:szCs w:val="22"/>
        </w:rPr>
      </w:pPr>
      <w:r w:rsidRPr="007E67D6">
        <w:rPr>
          <w:i/>
          <w:sz w:val="22"/>
          <w:szCs w:val="22"/>
        </w:rPr>
        <w:t>L</w:t>
      </w:r>
      <w:r w:rsidR="00A25E3D" w:rsidRPr="007E67D6">
        <w:rPr>
          <w:i/>
          <w:sz w:val="22"/>
          <w:szCs w:val="22"/>
        </w:rPr>
        <w:t>ocal system</w:t>
      </w:r>
      <w:r w:rsidRPr="007E67D6">
        <w:rPr>
          <w:i/>
          <w:sz w:val="22"/>
          <w:szCs w:val="22"/>
        </w:rPr>
        <w:t>.</w:t>
      </w:r>
      <w:r w:rsidR="00862178" w:rsidRPr="007E67D6">
        <w:rPr>
          <w:sz w:val="22"/>
          <w:szCs w:val="22"/>
        </w:rPr>
        <w:t xml:space="preserve"> </w:t>
      </w:r>
      <w:r w:rsidR="00A25E3D" w:rsidRPr="007E67D6">
        <w:rPr>
          <w:sz w:val="22"/>
          <w:szCs w:val="22"/>
        </w:rPr>
        <w:t xml:space="preserve">GIS efforts will focus on events related to planning and expansion efforts related to direct service provision and program development. The business and office </w:t>
      </w:r>
      <w:r w:rsidR="00914489">
        <w:rPr>
          <w:sz w:val="22"/>
          <w:szCs w:val="22"/>
        </w:rPr>
        <w:t>addresses</w:t>
      </w:r>
      <w:r w:rsidR="004D1B1D" w:rsidRPr="007E67D6">
        <w:rPr>
          <w:sz w:val="22"/>
          <w:szCs w:val="22"/>
        </w:rPr>
        <w:t xml:space="preserve"> </w:t>
      </w:r>
      <w:r w:rsidR="00A25E3D" w:rsidRPr="007E67D6">
        <w:rPr>
          <w:sz w:val="22"/>
          <w:szCs w:val="22"/>
        </w:rPr>
        <w:t xml:space="preserve">of individuals who attend these events, in person or virtually, will be recorded and used in GIS analyses. These events may include training of direct service providers and supervisors, training on </w:t>
      </w:r>
      <w:r w:rsidR="0022419A" w:rsidRPr="007E67D6">
        <w:rPr>
          <w:sz w:val="22"/>
          <w:szCs w:val="22"/>
        </w:rPr>
        <w:t>SOC</w:t>
      </w:r>
      <w:r w:rsidR="00A25E3D" w:rsidRPr="007E67D6">
        <w:rPr>
          <w:sz w:val="22"/>
          <w:szCs w:val="22"/>
        </w:rPr>
        <w:t xml:space="preserve"> values, multi-agency care review meetings, and management meetings. GIS analyses will map how well event participants are spread across the local system catchment.</w:t>
      </w:r>
    </w:p>
    <w:p w14:paraId="0E4DEBD2" w14:textId="77777777" w:rsidR="00A25E3D" w:rsidRPr="007E67D6" w:rsidRDefault="005A1D53" w:rsidP="005A1D53">
      <w:pPr>
        <w:pStyle w:val="P1-StandPara"/>
        <w:numPr>
          <w:ilvl w:val="0"/>
          <w:numId w:val="40"/>
        </w:numPr>
        <w:spacing w:line="240" w:lineRule="auto"/>
        <w:jc w:val="left"/>
        <w:rPr>
          <w:sz w:val="22"/>
          <w:szCs w:val="22"/>
        </w:rPr>
      </w:pPr>
      <w:r w:rsidRPr="007E67D6">
        <w:rPr>
          <w:i/>
          <w:sz w:val="22"/>
          <w:szCs w:val="22"/>
        </w:rPr>
        <w:t>C</w:t>
      </w:r>
      <w:r w:rsidR="00A25E3D" w:rsidRPr="007E67D6">
        <w:rPr>
          <w:i/>
          <w:sz w:val="22"/>
          <w:szCs w:val="22"/>
        </w:rPr>
        <w:t>hild and family</w:t>
      </w:r>
      <w:r w:rsidRPr="007E67D6">
        <w:rPr>
          <w:sz w:val="22"/>
          <w:szCs w:val="22"/>
        </w:rPr>
        <w:t>.</w:t>
      </w:r>
      <w:r w:rsidR="00862178" w:rsidRPr="007E67D6">
        <w:rPr>
          <w:sz w:val="22"/>
          <w:szCs w:val="22"/>
        </w:rPr>
        <w:t xml:space="preserve"> </w:t>
      </w:r>
      <w:r w:rsidRPr="007E67D6">
        <w:rPr>
          <w:sz w:val="22"/>
          <w:szCs w:val="22"/>
        </w:rPr>
        <w:t>R</w:t>
      </w:r>
      <w:r w:rsidR="00A25E3D" w:rsidRPr="007E67D6">
        <w:rPr>
          <w:sz w:val="22"/>
          <w:szCs w:val="22"/>
        </w:rPr>
        <w:t>esident</w:t>
      </w:r>
      <w:r w:rsidR="001E0B1C">
        <w:rPr>
          <w:sz w:val="22"/>
          <w:szCs w:val="22"/>
        </w:rPr>
        <w:t>ial</w:t>
      </w:r>
      <w:r w:rsidR="004D1B1D" w:rsidRPr="007E67D6">
        <w:rPr>
          <w:sz w:val="22"/>
          <w:szCs w:val="22"/>
        </w:rPr>
        <w:t xml:space="preserve"> Census block groups </w:t>
      </w:r>
      <w:r w:rsidR="00A25E3D" w:rsidRPr="007E67D6">
        <w:rPr>
          <w:sz w:val="22"/>
          <w:szCs w:val="22"/>
        </w:rPr>
        <w:t xml:space="preserve">of </w:t>
      </w:r>
      <w:r w:rsidR="001E0B1C">
        <w:rPr>
          <w:sz w:val="22"/>
          <w:szCs w:val="22"/>
        </w:rPr>
        <w:t>clients</w:t>
      </w:r>
      <w:r w:rsidR="00A25E3D" w:rsidRPr="007E67D6">
        <w:rPr>
          <w:sz w:val="22"/>
          <w:szCs w:val="22"/>
        </w:rPr>
        <w:t xml:space="preserve"> will be collected at baseline and used in GIS analyses. This will provide a representation of the areas where </w:t>
      </w:r>
      <w:r w:rsidR="0022419A" w:rsidRPr="007E67D6">
        <w:rPr>
          <w:sz w:val="22"/>
          <w:szCs w:val="22"/>
        </w:rPr>
        <w:t>SOC</w:t>
      </w:r>
      <w:r w:rsidR="00A25E3D" w:rsidRPr="007E67D6">
        <w:rPr>
          <w:sz w:val="22"/>
          <w:szCs w:val="22"/>
        </w:rPr>
        <w:t xml:space="preserve"> clients live, and to what extent the entire area is being reached. Particular attention will be directed at assessing how well the local </w:t>
      </w:r>
      <w:r w:rsidR="0022419A" w:rsidRPr="007E67D6">
        <w:rPr>
          <w:sz w:val="22"/>
          <w:szCs w:val="22"/>
        </w:rPr>
        <w:t>SOC</w:t>
      </w:r>
      <w:r w:rsidR="00A25E3D" w:rsidRPr="007E67D6">
        <w:rPr>
          <w:sz w:val="22"/>
          <w:szCs w:val="22"/>
        </w:rPr>
        <w:t xml:space="preserve"> reaches residential areas likely to house hard-to-reach populations.</w:t>
      </w:r>
    </w:p>
    <w:p w14:paraId="5E5C884A" w14:textId="57EA41F5" w:rsidR="00203F82" w:rsidRPr="007E67D6" w:rsidRDefault="00203F82" w:rsidP="00BA5065">
      <w:pPr>
        <w:spacing w:line="240" w:lineRule="auto"/>
        <w:rPr>
          <w:rFonts w:ascii="Times New Roman" w:hAnsi="Times New Roman" w:cs="Times New Roman"/>
          <w:sz w:val="22"/>
          <w:szCs w:val="22"/>
        </w:rPr>
      </w:pPr>
      <w:r w:rsidRPr="007E67D6">
        <w:rPr>
          <w:rFonts w:ascii="Times New Roman" w:hAnsi="Times New Roman" w:cs="Times New Roman"/>
          <w:sz w:val="22"/>
          <w:szCs w:val="22"/>
        </w:rPr>
        <w:t>In addition to analyzing GIS data within each level, GIS data will be considered together to discover relationships across levels.</w:t>
      </w:r>
      <w:r w:rsidR="00862178" w:rsidRPr="007E67D6">
        <w:rPr>
          <w:rFonts w:ascii="Times New Roman" w:hAnsi="Times New Roman" w:cs="Times New Roman"/>
          <w:sz w:val="22"/>
          <w:szCs w:val="22"/>
        </w:rPr>
        <w:t xml:space="preserve"> </w:t>
      </w:r>
      <w:r w:rsidRPr="007E67D6">
        <w:rPr>
          <w:rFonts w:ascii="Times New Roman" w:hAnsi="Times New Roman" w:cs="Times New Roman"/>
          <w:sz w:val="22"/>
          <w:szCs w:val="22"/>
        </w:rPr>
        <w:t>GIS data across levels will be overlaid to depict the extent to which coverage across levels correspond.</w:t>
      </w:r>
      <w:r w:rsidR="00862178" w:rsidRPr="007E67D6">
        <w:rPr>
          <w:rFonts w:ascii="Times New Roman" w:hAnsi="Times New Roman" w:cs="Times New Roman"/>
          <w:sz w:val="22"/>
          <w:szCs w:val="22"/>
        </w:rPr>
        <w:t xml:space="preserve"> </w:t>
      </w:r>
      <w:r w:rsidRPr="007E67D6">
        <w:rPr>
          <w:rFonts w:ascii="Times New Roman" w:hAnsi="Times New Roman" w:cs="Times New Roman"/>
          <w:sz w:val="22"/>
          <w:szCs w:val="22"/>
        </w:rPr>
        <w:t xml:space="preserve">For example, </w:t>
      </w:r>
      <w:r w:rsidR="00E94F8D">
        <w:rPr>
          <w:rFonts w:ascii="Times New Roman" w:hAnsi="Times New Roman" w:cs="Times New Roman"/>
          <w:sz w:val="22"/>
          <w:szCs w:val="22"/>
        </w:rPr>
        <w:t xml:space="preserve">SAMHSA </w:t>
      </w:r>
      <w:r w:rsidRPr="007E67D6">
        <w:rPr>
          <w:rFonts w:ascii="Times New Roman" w:hAnsi="Times New Roman" w:cs="Times New Roman"/>
          <w:sz w:val="22"/>
          <w:szCs w:val="22"/>
        </w:rPr>
        <w:t>will assess whether the children and families served live in the same areas where participants in clinical training seminars practice.</w:t>
      </w:r>
    </w:p>
    <w:p w14:paraId="1EE57725" w14:textId="1D583DB2" w:rsidR="006D455D" w:rsidRPr="007E67D6" w:rsidRDefault="006D455D" w:rsidP="001B2760">
      <w:pPr>
        <w:autoSpaceDE w:val="0"/>
        <w:autoSpaceDN w:val="0"/>
        <w:adjustRightInd w:val="0"/>
        <w:spacing w:line="240" w:lineRule="auto"/>
        <w:rPr>
          <w:rFonts w:ascii="Times New Roman" w:hAnsi="Times New Roman" w:cs="Times New Roman"/>
          <w:b/>
          <w:bCs/>
          <w:sz w:val="22"/>
          <w:szCs w:val="22"/>
        </w:rPr>
      </w:pPr>
      <w:r w:rsidRPr="007E67D6">
        <w:rPr>
          <w:rFonts w:ascii="Times New Roman" w:hAnsi="Times New Roman" w:cs="Times New Roman"/>
          <w:b/>
          <w:bCs/>
          <w:sz w:val="22"/>
          <w:szCs w:val="22"/>
        </w:rPr>
        <w:t xml:space="preserve">Financial Mapping and Benchmark </w:t>
      </w:r>
      <w:r w:rsidR="005B5E47">
        <w:rPr>
          <w:rFonts w:ascii="Times New Roman" w:hAnsi="Times New Roman" w:cs="Times New Roman"/>
          <w:b/>
          <w:bCs/>
          <w:sz w:val="22"/>
          <w:szCs w:val="22"/>
        </w:rPr>
        <w:t>Component</w:t>
      </w:r>
    </w:p>
    <w:p w14:paraId="01023B04" w14:textId="2EDF6499" w:rsidR="00345A8F" w:rsidRPr="009E3466" w:rsidRDefault="002E4836" w:rsidP="00345A8F">
      <w:pPr>
        <w:widowControl w:val="0"/>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Style w:val="SubtleEmphasis"/>
          <w:rFonts w:ascii="Times New Roman" w:hAnsi="Times New Roman" w:cs="Times New Roman"/>
          <w:i w:val="0"/>
          <w:sz w:val="22"/>
          <w:szCs w:val="22"/>
        </w:rPr>
      </w:pPr>
      <w:r w:rsidRPr="007E67D6">
        <w:rPr>
          <w:rFonts w:ascii="Times New Roman" w:hAnsi="Times New Roman" w:cs="Times New Roman"/>
          <w:b/>
          <w:bCs/>
          <w:sz w:val="22"/>
          <w:szCs w:val="22"/>
        </w:rPr>
        <w:tab/>
      </w:r>
      <w:r w:rsidRPr="007E67D6">
        <w:rPr>
          <w:rFonts w:ascii="Times New Roman" w:hAnsi="Times New Roman" w:cs="Times New Roman"/>
          <w:b/>
          <w:bCs/>
          <w:sz w:val="22"/>
          <w:szCs w:val="22"/>
        </w:rPr>
        <w:tab/>
      </w:r>
      <w:r w:rsidR="00345A8F" w:rsidRPr="00890A2B">
        <w:rPr>
          <w:rFonts w:ascii="Times New Roman" w:hAnsi="Times New Roman" w:cs="Times New Roman"/>
          <w:b/>
          <w:bCs/>
          <w:i/>
          <w:sz w:val="22"/>
          <w:szCs w:val="22"/>
        </w:rPr>
        <w:t>Financial Mapping</w:t>
      </w:r>
      <w:r w:rsidR="00345A8F" w:rsidRPr="00890A2B">
        <w:rPr>
          <w:rFonts w:ascii="Times New Roman" w:hAnsi="Times New Roman" w:cs="Times New Roman"/>
          <w:b/>
          <w:bCs/>
          <w:sz w:val="22"/>
          <w:szCs w:val="22"/>
        </w:rPr>
        <w:t xml:space="preserve">. </w:t>
      </w:r>
      <w:r w:rsidR="00345A8F" w:rsidRPr="00890A2B">
        <w:rPr>
          <w:rFonts w:ascii="Times New Roman" w:hAnsi="Times New Roman" w:cs="Times New Roman"/>
          <w:bCs/>
          <w:sz w:val="22"/>
          <w:szCs w:val="22"/>
        </w:rPr>
        <w:t>For each state,</w:t>
      </w:r>
      <w:r w:rsidR="00345A8F">
        <w:rPr>
          <w:rFonts w:ascii="Times New Roman" w:hAnsi="Times New Roman" w:cs="Times New Roman"/>
          <w:bCs/>
          <w:sz w:val="22"/>
          <w:szCs w:val="22"/>
        </w:rPr>
        <w:t xml:space="preserve"> county, or tribe included in the analysis cohort, </w:t>
      </w:r>
      <w:r w:rsidR="00345A8F" w:rsidRPr="00890A2B">
        <w:rPr>
          <w:rFonts w:ascii="Times New Roman" w:hAnsi="Times New Roman" w:cs="Times New Roman"/>
          <w:bCs/>
          <w:sz w:val="22"/>
          <w:szCs w:val="22"/>
        </w:rPr>
        <w:t xml:space="preserve">SAMHSA will compare the number and types of state and federal funding sources for state children’s MH and SOC services by level of MH care </w:t>
      </w:r>
      <w:r w:rsidR="00345A8F" w:rsidRPr="00DB3592">
        <w:rPr>
          <w:rFonts w:ascii="Times New Roman" w:hAnsi="Times New Roman" w:cs="Times New Roman"/>
          <w:bCs/>
          <w:color w:val="000000" w:themeColor="text1"/>
          <w:sz w:val="22"/>
          <w:szCs w:val="22"/>
        </w:rPr>
        <w:t>during the first or second implementation grant year to th</w:t>
      </w:r>
      <w:r w:rsidR="00961814" w:rsidRPr="00DB3592">
        <w:rPr>
          <w:rFonts w:ascii="Times New Roman" w:hAnsi="Times New Roman" w:cs="Times New Roman"/>
          <w:bCs/>
          <w:color w:val="000000" w:themeColor="text1"/>
          <w:sz w:val="22"/>
          <w:szCs w:val="22"/>
        </w:rPr>
        <w:t>e funding sources used two year</w:t>
      </w:r>
      <w:r w:rsidR="00345A8F" w:rsidRPr="00DB3592">
        <w:rPr>
          <w:rFonts w:ascii="Times New Roman" w:hAnsi="Times New Roman" w:cs="Times New Roman"/>
          <w:bCs/>
          <w:color w:val="000000" w:themeColor="text1"/>
          <w:sz w:val="22"/>
          <w:szCs w:val="22"/>
        </w:rPr>
        <w:t xml:space="preserve">s later. (Levels of MH care include </w:t>
      </w:r>
      <w:r w:rsidR="00345A8F" w:rsidRPr="00DB3592">
        <w:rPr>
          <w:rStyle w:val="SubtleEmphasis"/>
          <w:rFonts w:ascii="Times New Roman" w:hAnsi="Times New Roman" w:cs="Times New Roman"/>
          <w:i w:val="0"/>
          <w:color w:val="000000" w:themeColor="text1"/>
          <w:sz w:val="22"/>
          <w:szCs w:val="22"/>
        </w:rPr>
        <w:t xml:space="preserve">inpatient, residential, emergency care, outpatient, care management, rehabilitative services, peer and family organizations, other supports, flexible funds, and so forth.) </w:t>
      </w:r>
      <w:r w:rsidR="00345A8F" w:rsidRPr="00DB3592">
        <w:rPr>
          <w:rFonts w:ascii="Times New Roman" w:hAnsi="Times New Roman" w:cs="Times New Roman"/>
          <w:bCs/>
          <w:i/>
          <w:color w:val="000000" w:themeColor="text1"/>
          <w:sz w:val="22"/>
          <w:szCs w:val="22"/>
        </w:rPr>
        <w:t>S</w:t>
      </w:r>
      <w:r w:rsidR="00345A8F" w:rsidRPr="00DB3592">
        <w:rPr>
          <w:rFonts w:ascii="Times New Roman" w:hAnsi="Times New Roman" w:cs="Times New Roman"/>
          <w:bCs/>
          <w:color w:val="000000" w:themeColor="text1"/>
          <w:sz w:val="22"/>
          <w:szCs w:val="22"/>
        </w:rPr>
        <w:t>pecifically, f</w:t>
      </w:r>
      <w:r w:rsidR="00345A8F" w:rsidRPr="00DB3592">
        <w:rPr>
          <w:rFonts w:ascii="Times New Roman" w:hAnsi="Times New Roman" w:cs="Times New Roman"/>
          <w:color w:val="000000" w:themeColor="text1"/>
          <w:sz w:val="22"/>
          <w:szCs w:val="22"/>
        </w:rPr>
        <w:t>rom the information collected through the Financial Mapping Interview and review of administrative data, the NET will create a map.  The map will be in the form of a matrix showing for each level of care in the children’s MH system that identifies (1) any applicable income or clinical eligibility criteria for the children’s MH services</w:t>
      </w:r>
      <w:r w:rsidR="00345A8F" w:rsidRPr="00890A2B">
        <w:rPr>
          <w:rFonts w:ascii="Times New Roman" w:hAnsi="Times New Roman" w:cs="Times New Roman"/>
          <w:sz w:val="22"/>
          <w:szCs w:val="22"/>
        </w:rPr>
        <w:t>; (2) the continuum of services; (3) the federal, state, county, tribal, or commercial health plan funding source or sources of funds; and (4) the State</w:t>
      </w:r>
      <w:r w:rsidR="00345A8F">
        <w:rPr>
          <w:rFonts w:ascii="Times New Roman" w:hAnsi="Times New Roman" w:cs="Times New Roman"/>
          <w:sz w:val="22"/>
          <w:szCs w:val="22"/>
        </w:rPr>
        <w:t>, county</w:t>
      </w:r>
      <w:r w:rsidR="00345A8F" w:rsidRPr="00890A2B">
        <w:rPr>
          <w:rFonts w:ascii="Times New Roman" w:hAnsi="Times New Roman" w:cs="Times New Roman"/>
          <w:sz w:val="22"/>
          <w:szCs w:val="22"/>
        </w:rPr>
        <w:t xml:space="preserve"> or </w:t>
      </w:r>
      <w:r w:rsidR="00345A8F">
        <w:rPr>
          <w:rFonts w:ascii="Times New Roman" w:hAnsi="Times New Roman" w:cs="Times New Roman"/>
          <w:sz w:val="22"/>
          <w:szCs w:val="22"/>
        </w:rPr>
        <w:t>trib</w:t>
      </w:r>
      <w:r w:rsidR="00345A8F" w:rsidRPr="00890A2B">
        <w:rPr>
          <w:rFonts w:ascii="Times New Roman" w:hAnsi="Times New Roman" w:cs="Times New Roman"/>
          <w:sz w:val="22"/>
          <w:szCs w:val="22"/>
        </w:rPr>
        <w:t xml:space="preserve">al agency through which the services are funded. These sources of funds in the map will include State funds, </w:t>
      </w:r>
      <w:r w:rsidR="00345A8F">
        <w:rPr>
          <w:rFonts w:ascii="Times New Roman" w:hAnsi="Times New Roman" w:cs="Times New Roman"/>
          <w:sz w:val="22"/>
          <w:szCs w:val="22"/>
        </w:rPr>
        <w:t xml:space="preserve">county funds, </w:t>
      </w:r>
      <w:r w:rsidR="00345A8F" w:rsidRPr="00890A2B">
        <w:rPr>
          <w:rFonts w:ascii="Times New Roman" w:hAnsi="Times New Roman" w:cs="Times New Roman"/>
          <w:sz w:val="22"/>
          <w:szCs w:val="22"/>
        </w:rPr>
        <w:t>Medicaid, Medicaid managed care plans, Medicaid waivers, commercial health plans</w:t>
      </w:r>
      <w:r w:rsidR="00345A8F">
        <w:rPr>
          <w:rFonts w:ascii="Times New Roman" w:hAnsi="Times New Roman" w:cs="Times New Roman"/>
          <w:sz w:val="22"/>
          <w:szCs w:val="22"/>
        </w:rPr>
        <w:t xml:space="preserve"> (which may include </w:t>
      </w:r>
      <w:r w:rsidR="00345A8F" w:rsidRPr="00890A2B">
        <w:rPr>
          <w:rFonts w:ascii="Times New Roman" w:hAnsi="Times New Roman" w:cs="Times New Roman"/>
          <w:sz w:val="22"/>
          <w:szCs w:val="22"/>
        </w:rPr>
        <w:t>Exchange-related health plans</w:t>
      </w:r>
      <w:r w:rsidR="00345A8F">
        <w:rPr>
          <w:rFonts w:ascii="Times New Roman" w:hAnsi="Times New Roman" w:cs="Times New Roman"/>
          <w:sz w:val="22"/>
          <w:szCs w:val="22"/>
        </w:rPr>
        <w:t>)</w:t>
      </w:r>
      <w:r w:rsidR="00345A8F" w:rsidRPr="00890A2B">
        <w:rPr>
          <w:rFonts w:ascii="Times New Roman" w:hAnsi="Times New Roman" w:cs="Times New Roman"/>
          <w:sz w:val="22"/>
          <w:szCs w:val="22"/>
        </w:rPr>
        <w:t>, and other sources. Respondents may also identify the services and resources provided by other state and local agencies, including juvenile justice, child welfare, and education sources when relevan</w:t>
      </w:r>
      <w:r w:rsidR="00345A8F" w:rsidRPr="009E3466">
        <w:rPr>
          <w:rFonts w:ascii="Times New Roman" w:hAnsi="Times New Roman" w:cs="Times New Roman"/>
          <w:sz w:val="22"/>
          <w:szCs w:val="22"/>
        </w:rPr>
        <w:t xml:space="preserve">t. </w:t>
      </w:r>
      <w:r w:rsidR="00345A8F" w:rsidRPr="009E3466">
        <w:rPr>
          <w:rStyle w:val="SubtleEmphasis"/>
          <w:rFonts w:ascii="Times New Roman" w:hAnsi="Times New Roman" w:cs="Times New Roman"/>
          <w:i w:val="0"/>
          <w:color w:val="auto"/>
          <w:sz w:val="22"/>
          <w:szCs w:val="22"/>
        </w:rPr>
        <w:t>Finally, SAMHSA will also seek to understand grantees’ plans for future funding of SOC services.</w:t>
      </w:r>
    </w:p>
    <w:p w14:paraId="4D9EADD8" w14:textId="77777777" w:rsidR="00345A8F" w:rsidRPr="00890A2B" w:rsidRDefault="00345A8F" w:rsidP="00345A8F">
      <w:pPr>
        <w:spacing w:line="240" w:lineRule="auto"/>
        <w:rPr>
          <w:rFonts w:ascii="Times New Roman" w:hAnsi="Times New Roman" w:cs="Times New Roman"/>
          <w:sz w:val="22"/>
          <w:szCs w:val="22"/>
        </w:rPr>
      </w:pPr>
      <w:r w:rsidRPr="00890A2B">
        <w:rPr>
          <w:rFonts w:ascii="Times New Roman" w:hAnsi="Times New Roman" w:cs="Times New Roman"/>
          <w:sz w:val="22"/>
          <w:szCs w:val="22"/>
        </w:rPr>
        <w:t xml:space="preserve">The first interview will establish a baseline of the funding sources used at the beginning of the grant.  The second interview conducted two years later will identify any changes in the structure of financing over the years of the grant and its impact on behavioral health services for children in the jurisdiction. The map will also document any relevant expansion of benefits to broaden coverage for SOC services such as </w:t>
      </w:r>
      <w:r>
        <w:rPr>
          <w:rFonts w:ascii="Times New Roman" w:hAnsi="Times New Roman" w:cs="Times New Roman"/>
          <w:sz w:val="22"/>
          <w:szCs w:val="22"/>
        </w:rPr>
        <w:t xml:space="preserve">wraparound planning, </w:t>
      </w:r>
      <w:r w:rsidRPr="00890A2B">
        <w:rPr>
          <w:rFonts w:ascii="Times New Roman" w:hAnsi="Times New Roman" w:cs="Times New Roman"/>
          <w:sz w:val="22"/>
          <w:szCs w:val="22"/>
        </w:rPr>
        <w:t xml:space="preserve">intensive care coordination, family and youth peer-support, and flexible funds. </w:t>
      </w:r>
    </w:p>
    <w:p w14:paraId="6EF9BC8B" w14:textId="4A385BAD" w:rsidR="005C0D86" w:rsidRPr="00D87880" w:rsidRDefault="008006F0" w:rsidP="00426B2B">
      <w:pPr>
        <w:widowControl w:val="0"/>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line="240" w:lineRule="auto"/>
        <w:rPr>
          <w:rStyle w:val="SubtleEmphasis"/>
          <w:rFonts w:ascii="Times New Roman" w:hAnsi="Times New Roman" w:cs="Times New Roman"/>
          <w:i w:val="0"/>
          <w:color w:val="auto"/>
          <w:sz w:val="22"/>
          <w:szCs w:val="22"/>
          <w:highlight w:val="yellow"/>
        </w:rPr>
      </w:pPr>
      <w:r>
        <w:rPr>
          <w:rFonts w:ascii="Times New Roman" w:hAnsi="Times New Roman" w:cs="Times New Roman"/>
          <w:b/>
          <w:bCs/>
          <w:i/>
          <w:sz w:val="22"/>
          <w:szCs w:val="22"/>
        </w:rPr>
        <w:tab/>
      </w:r>
      <w:r>
        <w:rPr>
          <w:rFonts w:ascii="Times New Roman" w:hAnsi="Times New Roman" w:cs="Times New Roman"/>
          <w:b/>
          <w:bCs/>
          <w:i/>
          <w:sz w:val="22"/>
          <w:szCs w:val="22"/>
        </w:rPr>
        <w:tab/>
      </w:r>
      <w:r w:rsidR="006D455D" w:rsidRPr="00D87880">
        <w:rPr>
          <w:rFonts w:ascii="Times New Roman" w:hAnsi="Times New Roman" w:cs="Times New Roman"/>
          <w:b/>
          <w:bCs/>
          <w:i/>
          <w:sz w:val="22"/>
          <w:szCs w:val="22"/>
        </w:rPr>
        <w:t>Benchmark</w:t>
      </w:r>
      <w:r w:rsidR="009E5875" w:rsidRPr="00D87880">
        <w:rPr>
          <w:rFonts w:ascii="Times New Roman" w:hAnsi="Times New Roman" w:cs="Times New Roman"/>
          <w:b/>
          <w:bCs/>
          <w:i/>
          <w:sz w:val="22"/>
          <w:szCs w:val="22"/>
        </w:rPr>
        <w:t xml:space="preserve"> </w:t>
      </w:r>
      <w:r w:rsidR="005B5E47">
        <w:rPr>
          <w:rFonts w:ascii="Times New Roman" w:hAnsi="Times New Roman" w:cs="Times New Roman"/>
          <w:b/>
          <w:bCs/>
          <w:i/>
          <w:sz w:val="22"/>
          <w:szCs w:val="22"/>
        </w:rPr>
        <w:t>Component</w:t>
      </w:r>
      <w:r w:rsidR="009E5875" w:rsidRPr="00D87880">
        <w:rPr>
          <w:rFonts w:ascii="Times New Roman" w:hAnsi="Times New Roman" w:cs="Times New Roman"/>
          <w:b/>
          <w:bCs/>
          <w:sz w:val="22"/>
          <w:szCs w:val="22"/>
        </w:rPr>
        <w:t>.</w:t>
      </w:r>
      <w:r w:rsidR="00862178" w:rsidRPr="00D87880">
        <w:rPr>
          <w:rFonts w:ascii="Times New Roman" w:hAnsi="Times New Roman" w:cs="Times New Roman"/>
          <w:b/>
          <w:bCs/>
          <w:sz w:val="22"/>
          <w:szCs w:val="22"/>
        </w:rPr>
        <w:t xml:space="preserve"> </w:t>
      </w:r>
      <w:r w:rsidR="00735A5C" w:rsidRPr="00D87880">
        <w:rPr>
          <w:rFonts w:ascii="Times New Roman" w:hAnsi="Times New Roman" w:cs="Times New Roman"/>
          <w:sz w:val="22"/>
          <w:szCs w:val="22"/>
        </w:rPr>
        <w:t>The</w:t>
      </w:r>
      <w:r w:rsidR="0065069C">
        <w:rPr>
          <w:rFonts w:ascii="Times New Roman" w:hAnsi="Times New Roman" w:cs="Times New Roman"/>
          <w:sz w:val="22"/>
          <w:szCs w:val="22"/>
        </w:rPr>
        <w:t xml:space="preserve"> </w:t>
      </w:r>
      <w:r w:rsidR="0065069C">
        <w:rPr>
          <w:rFonts w:ascii="Times New Roman" w:hAnsi="Times New Roman" w:cs="Times New Roman"/>
          <w:i/>
          <w:sz w:val="22"/>
          <w:szCs w:val="22"/>
        </w:rPr>
        <w:t>voluntary</w:t>
      </w:r>
      <w:r w:rsidR="009E5875" w:rsidRPr="00D87880">
        <w:rPr>
          <w:rFonts w:ascii="Times New Roman" w:hAnsi="Times New Roman" w:cs="Times New Roman"/>
          <w:sz w:val="22"/>
          <w:szCs w:val="22"/>
        </w:rPr>
        <w:t xml:space="preserve"> </w:t>
      </w:r>
      <w:r w:rsidR="00FC08CE" w:rsidRPr="00D87880">
        <w:rPr>
          <w:rFonts w:ascii="Times New Roman" w:hAnsi="Times New Roman" w:cs="Times New Roman"/>
          <w:sz w:val="22"/>
          <w:szCs w:val="22"/>
        </w:rPr>
        <w:t>benchmark</w:t>
      </w:r>
      <w:r w:rsidR="009E5875" w:rsidRPr="00D87880">
        <w:rPr>
          <w:rFonts w:ascii="Times New Roman" w:hAnsi="Times New Roman" w:cs="Times New Roman"/>
          <w:sz w:val="22"/>
          <w:szCs w:val="22"/>
        </w:rPr>
        <w:t xml:space="preserve"> </w:t>
      </w:r>
      <w:r w:rsidR="005B5E47">
        <w:rPr>
          <w:rFonts w:ascii="Times New Roman" w:hAnsi="Times New Roman" w:cs="Times New Roman"/>
          <w:sz w:val="22"/>
          <w:szCs w:val="22"/>
        </w:rPr>
        <w:t>component</w:t>
      </w:r>
      <w:r w:rsidR="009E5875" w:rsidRPr="00D87880">
        <w:rPr>
          <w:rFonts w:ascii="Times New Roman" w:hAnsi="Times New Roman" w:cs="Times New Roman"/>
          <w:sz w:val="22"/>
          <w:szCs w:val="22"/>
        </w:rPr>
        <w:t xml:space="preserve"> will </w:t>
      </w:r>
      <w:r w:rsidR="00735A5C" w:rsidRPr="00D87880">
        <w:rPr>
          <w:rFonts w:ascii="Times New Roman" w:hAnsi="Times New Roman" w:cs="Times New Roman"/>
          <w:sz w:val="22"/>
          <w:szCs w:val="22"/>
        </w:rPr>
        <w:t xml:space="preserve">use </w:t>
      </w:r>
      <w:r w:rsidR="00126D60" w:rsidRPr="00D87880">
        <w:rPr>
          <w:rFonts w:ascii="Times New Roman" w:hAnsi="Times New Roman" w:cs="Times New Roman"/>
          <w:sz w:val="22"/>
          <w:szCs w:val="22"/>
        </w:rPr>
        <w:t>MH</w:t>
      </w:r>
      <w:r w:rsidR="00735A5C" w:rsidRPr="00D87880">
        <w:rPr>
          <w:rFonts w:ascii="Times New Roman" w:hAnsi="Times New Roman" w:cs="Times New Roman"/>
          <w:sz w:val="22"/>
          <w:szCs w:val="22"/>
        </w:rPr>
        <w:t xml:space="preserve"> Authority and Medicaid Agency data to compare states’ rate of penetration, utilization and expenditures for children’s </w:t>
      </w:r>
      <w:r w:rsidR="00126D60" w:rsidRPr="00D87880">
        <w:rPr>
          <w:rFonts w:ascii="Times New Roman" w:hAnsi="Times New Roman" w:cs="Times New Roman"/>
          <w:sz w:val="22"/>
          <w:szCs w:val="22"/>
        </w:rPr>
        <w:t>MH</w:t>
      </w:r>
      <w:r w:rsidR="00735A5C" w:rsidRPr="00D87880">
        <w:rPr>
          <w:rFonts w:ascii="Times New Roman" w:hAnsi="Times New Roman" w:cs="Times New Roman"/>
          <w:sz w:val="22"/>
          <w:szCs w:val="22"/>
        </w:rPr>
        <w:t xml:space="preserve"> services by level of</w:t>
      </w:r>
      <w:r w:rsidR="00506A71" w:rsidRPr="00D87880">
        <w:rPr>
          <w:rFonts w:ascii="Times New Roman" w:hAnsi="Times New Roman" w:cs="Times New Roman"/>
          <w:sz w:val="22"/>
          <w:szCs w:val="22"/>
        </w:rPr>
        <w:t xml:space="preserve"> </w:t>
      </w:r>
      <w:r w:rsidR="00126D60" w:rsidRPr="00EA4269">
        <w:rPr>
          <w:rFonts w:ascii="Times New Roman" w:hAnsi="Times New Roman" w:cs="Times New Roman"/>
          <w:sz w:val="22"/>
          <w:szCs w:val="22"/>
        </w:rPr>
        <w:t>MH</w:t>
      </w:r>
      <w:r w:rsidR="00735A5C" w:rsidRPr="00EA4269">
        <w:rPr>
          <w:rFonts w:ascii="Times New Roman" w:hAnsi="Times New Roman" w:cs="Times New Roman"/>
          <w:sz w:val="22"/>
          <w:szCs w:val="22"/>
        </w:rPr>
        <w:t xml:space="preserve"> care.</w:t>
      </w:r>
      <w:r w:rsidR="00862178" w:rsidRPr="00EA4269">
        <w:rPr>
          <w:rFonts w:ascii="Times New Roman" w:hAnsi="Times New Roman" w:cs="Times New Roman"/>
          <w:sz w:val="22"/>
          <w:szCs w:val="22"/>
        </w:rPr>
        <w:t xml:space="preserve"> </w:t>
      </w:r>
      <w:r w:rsidR="00EE17CE" w:rsidRPr="001A222E">
        <w:rPr>
          <w:rFonts w:ascii="Times New Roman" w:hAnsi="Times New Roman" w:cs="Times New Roman"/>
          <w:sz w:val="22"/>
          <w:szCs w:val="22"/>
        </w:rPr>
        <w:t xml:space="preserve">All indicators will be calculated with detailed specifications for numerators (i.e., children served, utilization and costs by type of service) and denominators (i.e., populations covered).  </w:t>
      </w:r>
      <w:r w:rsidR="00E94F8D">
        <w:rPr>
          <w:rFonts w:ascii="Times New Roman" w:hAnsi="Times New Roman" w:cs="Times New Roman"/>
          <w:sz w:val="22"/>
          <w:szCs w:val="22"/>
        </w:rPr>
        <w:t xml:space="preserve">SAMHSA </w:t>
      </w:r>
      <w:r w:rsidR="001A222E">
        <w:rPr>
          <w:rFonts w:ascii="Times New Roman" w:hAnsi="Times New Roman" w:cs="Times New Roman"/>
          <w:sz w:val="22"/>
          <w:szCs w:val="22"/>
        </w:rPr>
        <w:t>plan</w:t>
      </w:r>
      <w:r w:rsidR="0065069C">
        <w:rPr>
          <w:rFonts w:ascii="Times New Roman" w:hAnsi="Times New Roman" w:cs="Times New Roman"/>
          <w:sz w:val="22"/>
          <w:szCs w:val="22"/>
        </w:rPr>
        <w:t>s</w:t>
      </w:r>
      <w:r w:rsidR="001A222E">
        <w:rPr>
          <w:rFonts w:ascii="Times New Roman" w:hAnsi="Times New Roman" w:cs="Times New Roman"/>
          <w:sz w:val="22"/>
          <w:szCs w:val="22"/>
        </w:rPr>
        <w:t xml:space="preserve"> to compare across states within the same year.  </w:t>
      </w:r>
      <w:r w:rsidR="00735A5C" w:rsidRPr="001A222E">
        <w:rPr>
          <w:rFonts w:ascii="Times New Roman" w:hAnsi="Times New Roman" w:cs="Times New Roman"/>
          <w:sz w:val="22"/>
          <w:szCs w:val="22"/>
        </w:rPr>
        <w:t xml:space="preserve">For grantees with </w:t>
      </w:r>
      <w:r w:rsidR="002E4836" w:rsidRPr="001A222E">
        <w:rPr>
          <w:rFonts w:ascii="Times New Roman" w:hAnsi="Times New Roman" w:cs="Times New Roman"/>
          <w:sz w:val="22"/>
          <w:szCs w:val="22"/>
        </w:rPr>
        <w:t xml:space="preserve">at least </w:t>
      </w:r>
      <w:r w:rsidR="00735A5C" w:rsidRPr="001A222E">
        <w:rPr>
          <w:rFonts w:ascii="Times New Roman" w:hAnsi="Times New Roman" w:cs="Times New Roman"/>
          <w:sz w:val="22"/>
          <w:szCs w:val="22"/>
        </w:rPr>
        <w:t>2 years of</w:t>
      </w:r>
      <w:r w:rsidR="00735A5C" w:rsidRPr="00D87880">
        <w:rPr>
          <w:rFonts w:ascii="Times New Roman" w:hAnsi="Times New Roman" w:cs="Times New Roman"/>
          <w:sz w:val="22"/>
          <w:szCs w:val="22"/>
        </w:rPr>
        <w:t xml:space="preserve"> data, </w:t>
      </w:r>
      <w:r w:rsidR="00E94F8D">
        <w:rPr>
          <w:rFonts w:ascii="Times New Roman" w:hAnsi="Times New Roman" w:cs="Times New Roman"/>
          <w:sz w:val="22"/>
          <w:szCs w:val="22"/>
        </w:rPr>
        <w:t xml:space="preserve">SAMHSA </w:t>
      </w:r>
      <w:r w:rsidR="00735A5C" w:rsidRPr="00D87880">
        <w:rPr>
          <w:rFonts w:ascii="Times New Roman" w:hAnsi="Times New Roman" w:cs="Times New Roman"/>
          <w:sz w:val="22"/>
          <w:szCs w:val="22"/>
        </w:rPr>
        <w:t xml:space="preserve">will compare changes in penetration, utilization, </w:t>
      </w:r>
      <w:r w:rsidR="005B24FC" w:rsidRPr="00D87880">
        <w:rPr>
          <w:rStyle w:val="SubtleEmphasis"/>
          <w:rFonts w:ascii="Times New Roman" w:hAnsi="Times New Roman" w:cs="Times New Roman"/>
          <w:i w:val="0"/>
          <w:color w:val="auto"/>
          <w:sz w:val="22"/>
          <w:szCs w:val="22"/>
        </w:rPr>
        <w:t>expenditures</w:t>
      </w:r>
      <w:r w:rsidR="005B24FC" w:rsidRPr="00D87880">
        <w:rPr>
          <w:rFonts w:ascii="Times New Roman" w:hAnsi="Times New Roman" w:cs="Times New Roman"/>
          <w:sz w:val="22"/>
          <w:szCs w:val="22"/>
        </w:rPr>
        <w:t>, and psychiatric hospital readmission rates</w:t>
      </w:r>
      <w:r w:rsidR="00735A5C" w:rsidRPr="00D87880">
        <w:rPr>
          <w:rFonts w:ascii="Times New Roman" w:hAnsi="Times New Roman" w:cs="Times New Roman"/>
          <w:sz w:val="22"/>
          <w:szCs w:val="22"/>
        </w:rPr>
        <w:t xml:space="preserve"> between the years.</w:t>
      </w:r>
      <w:r w:rsidR="00862178" w:rsidRPr="00D87880">
        <w:rPr>
          <w:rFonts w:ascii="Times New Roman" w:hAnsi="Times New Roman" w:cs="Times New Roman"/>
          <w:sz w:val="22"/>
          <w:szCs w:val="22"/>
        </w:rPr>
        <w:t xml:space="preserve"> </w:t>
      </w:r>
      <w:r w:rsidR="004C44B6" w:rsidRPr="00D87880">
        <w:rPr>
          <w:rFonts w:ascii="Times New Roman" w:hAnsi="Times New Roman" w:cs="Times New Roman"/>
          <w:sz w:val="22"/>
          <w:szCs w:val="22"/>
        </w:rPr>
        <w:t xml:space="preserve">Analyses will </w:t>
      </w:r>
      <w:r w:rsidR="009E5875" w:rsidRPr="00D87880">
        <w:rPr>
          <w:rFonts w:ascii="Times New Roman" w:hAnsi="Times New Roman" w:cs="Times New Roman"/>
          <w:sz w:val="22"/>
          <w:szCs w:val="22"/>
        </w:rPr>
        <w:t xml:space="preserve">focus on the relative use of services and financial resources by level of </w:t>
      </w:r>
      <w:r w:rsidR="005F0BF9" w:rsidRPr="00D87880">
        <w:rPr>
          <w:rFonts w:ascii="Times New Roman" w:hAnsi="Times New Roman" w:cs="Times New Roman"/>
          <w:sz w:val="22"/>
          <w:szCs w:val="22"/>
        </w:rPr>
        <w:t xml:space="preserve">MH </w:t>
      </w:r>
      <w:r w:rsidR="009E5875" w:rsidRPr="00D87880">
        <w:rPr>
          <w:rFonts w:ascii="Times New Roman" w:hAnsi="Times New Roman" w:cs="Times New Roman"/>
          <w:sz w:val="22"/>
          <w:szCs w:val="22"/>
        </w:rPr>
        <w:t>care.</w:t>
      </w:r>
      <w:r w:rsidR="00862178" w:rsidRPr="00D87880">
        <w:rPr>
          <w:rFonts w:ascii="Times New Roman" w:hAnsi="Times New Roman" w:cs="Times New Roman"/>
          <w:sz w:val="22"/>
          <w:szCs w:val="22"/>
        </w:rPr>
        <w:t xml:space="preserve"> </w:t>
      </w:r>
      <w:r w:rsidR="00E94F8D">
        <w:rPr>
          <w:rFonts w:ascii="Times New Roman" w:hAnsi="Times New Roman" w:cs="Times New Roman"/>
          <w:sz w:val="22"/>
          <w:szCs w:val="22"/>
        </w:rPr>
        <w:t xml:space="preserve">SAMHSA </w:t>
      </w:r>
      <w:r w:rsidR="009E5875" w:rsidRPr="00D87880">
        <w:rPr>
          <w:rFonts w:ascii="Times New Roman" w:hAnsi="Times New Roman" w:cs="Times New Roman"/>
          <w:sz w:val="22"/>
          <w:szCs w:val="22"/>
        </w:rPr>
        <w:t xml:space="preserve">will identify spending patterns that may indicate shifts in costs, and cost savings or cost offsets, particularly in inpatient and residential treatment services. Examples of </w:t>
      </w:r>
      <w:r w:rsidR="00CE7575">
        <w:rPr>
          <w:rFonts w:ascii="Times New Roman" w:hAnsi="Times New Roman" w:cs="Times New Roman"/>
          <w:sz w:val="22"/>
          <w:szCs w:val="22"/>
        </w:rPr>
        <w:t>variables that will be calculated</w:t>
      </w:r>
      <w:r w:rsidR="009E5875" w:rsidRPr="00D87880">
        <w:rPr>
          <w:rFonts w:ascii="Times New Roman" w:hAnsi="Times New Roman" w:cs="Times New Roman"/>
          <w:sz w:val="22"/>
          <w:szCs w:val="22"/>
        </w:rPr>
        <w:t xml:space="preserve"> from requested information include penetration rates, inpatient days, residential days, emergency room use, outpatient visits per 1000, </w:t>
      </w:r>
      <w:r w:rsidR="0088617E">
        <w:rPr>
          <w:rFonts w:ascii="Times New Roman" w:hAnsi="Times New Roman" w:cs="Times New Roman"/>
          <w:sz w:val="22"/>
          <w:szCs w:val="22"/>
        </w:rPr>
        <w:t xml:space="preserve">users of </w:t>
      </w:r>
      <w:r w:rsidR="00126D60" w:rsidRPr="00D87880">
        <w:rPr>
          <w:rFonts w:ascii="Times New Roman" w:hAnsi="Times New Roman" w:cs="Times New Roman"/>
          <w:sz w:val="22"/>
          <w:szCs w:val="22"/>
        </w:rPr>
        <w:t>MH</w:t>
      </w:r>
      <w:r w:rsidR="009E5875" w:rsidRPr="00D87880">
        <w:rPr>
          <w:rFonts w:ascii="Times New Roman" w:hAnsi="Times New Roman" w:cs="Times New Roman"/>
          <w:sz w:val="22"/>
          <w:szCs w:val="22"/>
        </w:rPr>
        <w:t xml:space="preserve"> care coordination FTEs per 1000, 30-day readmission rates, data on the use of family and youth partners or mentors, and in-home service utilization. </w:t>
      </w:r>
      <w:r w:rsidR="007A3240">
        <w:rPr>
          <w:rFonts w:ascii="Times New Roman" w:hAnsi="Times New Roman" w:cs="Times New Roman"/>
          <w:sz w:val="22"/>
          <w:szCs w:val="22"/>
        </w:rPr>
        <w:t xml:space="preserve"> The denominator for penetration and rates per 1000 for Medicaid will be health plan members in the relevant age group and for MH Authorities will be US census estimates of child population in the jurisdiction.</w:t>
      </w:r>
      <w:r w:rsidR="00C261A7">
        <w:rPr>
          <w:rFonts w:ascii="Times New Roman" w:hAnsi="Times New Roman" w:cs="Times New Roman"/>
          <w:sz w:val="22"/>
          <w:szCs w:val="22"/>
        </w:rPr>
        <w:t xml:space="preserve"> </w:t>
      </w:r>
      <w:r w:rsidR="009E5875" w:rsidRPr="00D87880">
        <w:rPr>
          <w:rFonts w:ascii="Times New Roman" w:hAnsi="Times New Roman" w:cs="Times New Roman"/>
          <w:sz w:val="22"/>
          <w:szCs w:val="22"/>
        </w:rPr>
        <w:t xml:space="preserve">Data will be collected </w:t>
      </w:r>
      <w:r w:rsidR="00154C21">
        <w:rPr>
          <w:rFonts w:ascii="Times New Roman" w:hAnsi="Times New Roman" w:cs="Times New Roman"/>
          <w:sz w:val="22"/>
          <w:szCs w:val="22"/>
        </w:rPr>
        <w:t>from</w:t>
      </w:r>
      <w:r w:rsidR="009E5875" w:rsidRPr="00D87880">
        <w:rPr>
          <w:rFonts w:ascii="Times New Roman" w:hAnsi="Times New Roman" w:cs="Times New Roman"/>
          <w:sz w:val="22"/>
          <w:szCs w:val="22"/>
        </w:rPr>
        <w:t xml:space="preserve"> </w:t>
      </w:r>
      <w:r w:rsidR="003F572B">
        <w:rPr>
          <w:rFonts w:ascii="Times New Roman" w:hAnsi="Times New Roman" w:cs="Times New Roman"/>
          <w:sz w:val="22"/>
          <w:szCs w:val="22"/>
        </w:rPr>
        <w:t xml:space="preserve">the </w:t>
      </w:r>
      <w:r w:rsidR="00126D60" w:rsidRPr="00D87880">
        <w:rPr>
          <w:rFonts w:ascii="Times New Roman" w:hAnsi="Times New Roman" w:cs="Times New Roman"/>
          <w:sz w:val="22"/>
          <w:szCs w:val="22"/>
        </w:rPr>
        <w:t>MH</w:t>
      </w:r>
      <w:r w:rsidR="009E5875" w:rsidRPr="00D87880">
        <w:rPr>
          <w:rFonts w:ascii="Times New Roman" w:hAnsi="Times New Roman" w:cs="Times New Roman"/>
          <w:sz w:val="22"/>
          <w:szCs w:val="22"/>
        </w:rPr>
        <w:t xml:space="preserve"> Authority and for Medicaid funds.</w:t>
      </w:r>
      <w:r w:rsidR="005C0D86" w:rsidRPr="00D87880">
        <w:rPr>
          <w:rStyle w:val="SubtleEmphasis"/>
          <w:rFonts w:ascii="Times New Roman" w:hAnsi="Times New Roman" w:cs="Times New Roman"/>
          <w:i w:val="0"/>
          <w:color w:val="auto"/>
          <w:sz w:val="22"/>
          <w:szCs w:val="22"/>
          <w:highlight w:val="yellow"/>
        </w:rPr>
        <w:t xml:space="preserve"> </w:t>
      </w:r>
    </w:p>
    <w:p w14:paraId="7DC31049" w14:textId="0D0D9F39" w:rsidR="0075149D" w:rsidRPr="00D87880" w:rsidRDefault="0075149D" w:rsidP="005C0D86">
      <w:pPr>
        <w:spacing w:line="240" w:lineRule="auto"/>
        <w:rPr>
          <w:rFonts w:ascii="Times New Roman" w:hAnsi="Times New Roman" w:cs="Times New Roman"/>
          <w:b/>
          <w:sz w:val="22"/>
          <w:szCs w:val="22"/>
        </w:rPr>
      </w:pPr>
      <w:r w:rsidRPr="00D87880">
        <w:rPr>
          <w:rFonts w:ascii="Times New Roman" w:hAnsi="Times New Roman" w:cs="Times New Roman"/>
          <w:b/>
          <w:sz w:val="22"/>
          <w:szCs w:val="22"/>
        </w:rPr>
        <w:t xml:space="preserve">Child and Family Outcome </w:t>
      </w:r>
      <w:r w:rsidR="005B5E47">
        <w:rPr>
          <w:rFonts w:ascii="Times New Roman" w:hAnsi="Times New Roman" w:cs="Times New Roman"/>
          <w:b/>
          <w:sz w:val="22"/>
          <w:szCs w:val="22"/>
        </w:rPr>
        <w:t>Component</w:t>
      </w:r>
      <w:r w:rsidRPr="00D87880">
        <w:rPr>
          <w:rFonts w:ascii="Times New Roman" w:hAnsi="Times New Roman" w:cs="Times New Roman"/>
          <w:b/>
          <w:sz w:val="22"/>
          <w:szCs w:val="22"/>
        </w:rPr>
        <w:t xml:space="preserve"> </w:t>
      </w:r>
    </w:p>
    <w:p w14:paraId="3F54C106" w14:textId="273FFD0D" w:rsidR="00EA348C" w:rsidRPr="00D87880" w:rsidRDefault="00EF7E15" w:rsidP="005C0D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Times New Roman" w:hAnsi="Times New Roman" w:cs="Times New Roman"/>
          <w:sz w:val="22"/>
          <w:szCs w:val="22"/>
        </w:rPr>
      </w:pPr>
      <w:r w:rsidRPr="00D87880">
        <w:rPr>
          <w:rFonts w:ascii="Times New Roman" w:hAnsi="Times New Roman" w:cs="Times New Roman"/>
          <w:bCs/>
          <w:sz w:val="22"/>
          <w:szCs w:val="22"/>
        </w:rPr>
        <w:t xml:space="preserve">Data </w:t>
      </w:r>
      <w:r w:rsidRPr="008D7D57">
        <w:rPr>
          <w:rFonts w:ascii="Times New Roman" w:hAnsi="Times New Roman" w:cs="Times New Roman"/>
          <w:bCs/>
          <w:sz w:val="22"/>
          <w:szCs w:val="22"/>
        </w:rPr>
        <w:t xml:space="preserve">elements available for analyses at the child and family level </w:t>
      </w:r>
      <w:r w:rsidR="003B7EF3" w:rsidRPr="008D7D57">
        <w:rPr>
          <w:rFonts w:ascii="Times New Roman" w:hAnsi="Times New Roman" w:cs="Times New Roman"/>
          <w:bCs/>
          <w:sz w:val="22"/>
          <w:szCs w:val="22"/>
        </w:rPr>
        <w:t xml:space="preserve">from </w:t>
      </w:r>
      <w:r w:rsidR="001173D3">
        <w:rPr>
          <w:rFonts w:ascii="Times New Roman" w:hAnsi="Times New Roman" w:cs="Times New Roman"/>
          <w:bCs/>
          <w:sz w:val="22"/>
          <w:szCs w:val="22"/>
        </w:rPr>
        <w:t>CMHI web portal</w:t>
      </w:r>
      <w:r w:rsidR="003B7EF3" w:rsidRPr="008D7D57">
        <w:rPr>
          <w:rFonts w:ascii="Times New Roman" w:hAnsi="Times New Roman" w:cs="Times New Roman"/>
          <w:bCs/>
          <w:sz w:val="22"/>
          <w:szCs w:val="22"/>
        </w:rPr>
        <w:t xml:space="preserve"> </w:t>
      </w:r>
      <w:r w:rsidRPr="008D7D57">
        <w:rPr>
          <w:rFonts w:ascii="Times New Roman" w:hAnsi="Times New Roman" w:cs="Times New Roman"/>
          <w:bCs/>
          <w:sz w:val="22"/>
          <w:szCs w:val="22"/>
        </w:rPr>
        <w:t>are listed in</w:t>
      </w:r>
      <w:r w:rsidR="0018374D" w:rsidRPr="008D7D57">
        <w:rPr>
          <w:rFonts w:ascii="Times New Roman" w:hAnsi="Times New Roman" w:cs="Times New Roman"/>
          <w:bCs/>
          <w:sz w:val="22"/>
          <w:szCs w:val="22"/>
        </w:rPr>
        <w:t xml:space="preserve"> Section</w:t>
      </w:r>
      <w:r w:rsidRPr="008D7D57">
        <w:rPr>
          <w:rFonts w:ascii="Times New Roman" w:hAnsi="Times New Roman" w:cs="Times New Roman"/>
          <w:bCs/>
          <w:sz w:val="22"/>
          <w:szCs w:val="22"/>
        </w:rPr>
        <w:t xml:space="preserve"> B.2 (for data collection added by the Evaluation) and in </w:t>
      </w:r>
      <w:r w:rsidR="0018374D" w:rsidRPr="008D7D57">
        <w:rPr>
          <w:rFonts w:ascii="Times New Roman" w:hAnsi="Times New Roman" w:cs="Times New Roman"/>
          <w:bCs/>
          <w:sz w:val="22"/>
          <w:szCs w:val="22"/>
        </w:rPr>
        <w:t xml:space="preserve">Section </w:t>
      </w:r>
      <w:r w:rsidR="003B7EF3" w:rsidRPr="008D7D57">
        <w:rPr>
          <w:rFonts w:ascii="Times New Roman" w:hAnsi="Times New Roman" w:cs="Times New Roman"/>
          <w:bCs/>
          <w:sz w:val="22"/>
          <w:szCs w:val="22"/>
        </w:rPr>
        <w:t>A</w:t>
      </w:r>
      <w:r w:rsidR="002A0235" w:rsidRPr="008D7D57">
        <w:rPr>
          <w:rFonts w:ascii="Times New Roman" w:hAnsi="Times New Roman" w:cs="Times New Roman"/>
          <w:bCs/>
          <w:sz w:val="22"/>
          <w:szCs w:val="22"/>
        </w:rPr>
        <w:t>.3</w:t>
      </w:r>
      <w:r w:rsidRPr="008D7D57">
        <w:rPr>
          <w:rFonts w:ascii="Times New Roman" w:hAnsi="Times New Roman" w:cs="Times New Roman"/>
          <w:bCs/>
          <w:sz w:val="22"/>
          <w:szCs w:val="22"/>
        </w:rPr>
        <w:t xml:space="preserve"> (for data already collected by </w:t>
      </w:r>
      <w:r w:rsidR="00AC4E2E">
        <w:rPr>
          <w:rFonts w:ascii="Times New Roman" w:hAnsi="Times New Roman" w:cs="Times New Roman"/>
          <w:bCs/>
          <w:sz w:val="22"/>
          <w:szCs w:val="22"/>
        </w:rPr>
        <w:t>the CDP</w:t>
      </w:r>
      <w:r w:rsidRPr="008D7D57">
        <w:rPr>
          <w:rFonts w:ascii="Times New Roman" w:hAnsi="Times New Roman" w:cs="Times New Roman"/>
          <w:bCs/>
          <w:sz w:val="22"/>
          <w:szCs w:val="22"/>
        </w:rPr>
        <w:t>).</w:t>
      </w:r>
      <w:r w:rsidR="00862178" w:rsidRPr="008D7D57">
        <w:rPr>
          <w:rFonts w:ascii="Times New Roman" w:hAnsi="Times New Roman" w:cs="Times New Roman"/>
          <w:bCs/>
          <w:sz w:val="22"/>
          <w:szCs w:val="22"/>
        </w:rPr>
        <w:t xml:space="preserve"> </w:t>
      </w:r>
      <w:r w:rsidR="00E94F8D" w:rsidRPr="008D7D57">
        <w:rPr>
          <w:rFonts w:ascii="Times New Roman" w:hAnsi="Times New Roman" w:cs="Times New Roman"/>
          <w:bCs/>
          <w:sz w:val="22"/>
          <w:szCs w:val="22"/>
        </w:rPr>
        <w:t xml:space="preserve">SAMHSA </w:t>
      </w:r>
      <w:r w:rsidR="005F03AF" w:rsidRPr="008D7D57">
        <w:rPr>
          <w:rFonts w:ascii="Times New Roman" w:hAnsi="Times New Roman" w:cs="Times New Roman"/>
          <w:bCs/>
          <w:sz w:val="22"/>
          <w:szCs w:val="22"/>
        </w:rPr>
        <w:t xml:space="preserve">will </w:t>
      </w:r>
      <w:r w:rsidR="003F572B" w:rsidRPr="008D7D57">
        <w:rPr>
          <w:rFonts w:ascii="Times New Roman" w:hAnsi="Times New Roman" w:cs="Times New Roman"/>
          <w:bCs/>
          <w:sz w:val="22"/>
          <w:szCs w:val="22"/>
        </w:rPr>
        <w:t xml:space="preserve">use </w:t>
      </w:r>
      <w:r w:rsidR="00EA348C" w:rsidRPr="008D7D57">
        <w:rPr>
          <w:rFonts w:ascii="Times New Roman" w:hAnsi="Times New Roman" w:cs="Times New Roman"/>
          <w:sz w:val="22"/>
          <w:szCs w:val="22"/>
        </w:rPr>
        <w:t>univariate descriptive anal</w:t>
      </w:r>
      <w:r w:rsidR="00EA348C" w:rsidRPr="00D87880">
        <w:rPr>
          <w:rFonts w:ascii="Times New Roman" w:hAnsi="Times New Roman" w:cs="Times New Roman"/>
          <w:sz w:val="22"/>
          <w:szCs w:val="22"/>
        </w:rPr>
        <w:t xml:space="preserve">yses to characterize children, youth, and families </w:t>
      </w:r>
      <w:r w:rsidR="00721085" w:rsidRPr="00D87880">
        <w:rPr>
          <w:rFonts w:ascii="Times New Roman" w:hAnsi="Times New Roman" w:cs="Times New Roman"/>
          <w:sz w:val="22"/>
          <w:szCs w:val="22"/>
        </w:rPr>
        <w:t>being served through CMHI implementation grants.</w:t>
      </w:r>
      <w:r w:rsidR="00862178" w:rsidRPr="00D87880">
        <w:rPr>
          <w:rFonts w:ascii="Times New Roman" w:hAnsi="Times New Roman" w:cs="Times New Roman"/>
          <w:sz w:val="22"/>
          <w:szCs w:val="22"/>
        </w:rPr>
        <w:t xml:space="preserve"> </w:t>
      </w:r>
      <w:r w:rsidR="00721085" w:rsidRPr="00D87880">
        <w:rPr>
          <w:rFonts w:ascii="Times New Roman" w:hAnsi="Times New Roman" w:cs="Times New Roman"/>
          <w:sz w:val="22"/>
          <w:szCs w:val="22"/>
        </w:rPr>
        <w:t>Descriptive information of Evaluation participants</w:t>
      </w:r>
      <w:r w:rsidR="00EA348C" w:rsidRPr="00D87880">
        <w:rPr>
          <w:rFonts w:ascii="Times New Roman" w:hAnsi="Times New Roman" w:cs="Times New Roman"/>
          <w:sz w:val="22"/>
          <w:szCs w:val="22"/>
        </w:rPr>
        <w:t xml:space="preserve"> </w:t>
      </w:r>
      <w:r w:rsidR="00721085" w:rsidRPr="00D87880">
        <w:rPr>
          <w:rFonts w:ascii="Times New Roman" w:hAnsi="Times New Roman" w:cs="Times New Roman"/>
          <w:sz w:val="22"/>
          <w:szCs w:val="22"/>
        </w:rPr>
        <w:t xml:space="preserve">will </w:t>
      </w:r>
      <w:r w:rsidR="004B46DB" w:rsidRPr="00D87880">
        <w:rPr>
          <w:rFonts w:ascii="Times New Roman" w:hAnsi="Times New Roman" w:cs="Times New Roman"/>
          <w:sz w:val="22"/>
          <w:szCs w:val="22"/>
        </w:rPr>
        <w:t>include</w:t>
      </w:r>
      <w:r w:rsidR="00EA348C" w:rsidRPr="00D87880">
        <w:rPr>
          <w:rFonts w:ascii="Times New Roman" w:hAnsi="Times New Roman" w:cs="Times New Roman"/>
          <w:sz w:val="22"/>
          <w:szCs w:val="22"/>
        </w:rPr>
        <w:t xml:space="preserve"> score ranges, means, and medians. </w:t>
      </w:r>
      <w:r w:rsidR="00167C7B" w:rsidRPr="00D87880">
        <w:rPr>
          <w:rFonts w:ascii="Times New Roman" w:hAnsi="Times New Roman" w:cs="Times New Roman"/>
          <w:sz w:val="22"/>
          <w:szCs w:val="22"/>
        </w:rPr>
        <w:t>Results</w:t>
      </w:r>
      <w:r w:rsidR="00EA348C" w:rsidRPr="00D87880">
        <w:rPr>
          <w:rFonts w:ascii="Times New Roman" w:hAnsi="Times New Roman" w:cs="Times New Roman"/>
          <w:sz w:val="22"/>
          <w:szCs w:val="22"/>
        </w:rPr>
        <w:t xml:space="preserve"> will be reported for each jurisdiction as well as for all implementation grantees combined. Bivariate analyses will be performed to find correlations between child, youth, and family characteristics (e.g., relationships between family income and caregiver strain at intake).</w:t>
      </w:r>
    </w:p>
    <w:p w14:paraId="317DCA70" w14:textId="2ADD0BEF" w:rsidR="00EA348C" w:rsidRPr="00D87880" w:rsidRDefault="005F0BF9" w:rsidP="009A7212">
      <w:pPr>
        <w:tabs>
          <w:tab w:val="left" w:pos="0"/>
        </w:tabs>
        <w:spacing w:line="240" w:lineRule="auto"/>
        <w:rPr>
          <w:rFonts w:ascii="Times New Roman" w:hAnsi="Times New Roman" w:cs="Times New Roman"/>
          <w:sz w:val="22"/>
          <w:szCs w:val="22"/>
        </w:rPr>
      </w:pPr>
      <w:r w:rsidRPr="00D87880">
        <w:rPr>
          <w:rFonts w:ascii="Times New Roman" w:hAnsi="Times New Roman" w:cs="Times New Roman"/>
          <w:bCs/>
          <w:sz w:val="22"/>
          <w:szCs w:val="22"/>
        </w:rPr>
        <w:t>T</w:t>
      </w:r>
      <w:r w:rsidRPr="00D87880">
        <w:rPr>
          <w:rFonts w:ascii="Times New Roman" w:hAnsi="Times New Roman" w:cs="Times New Roman"/>
          <w:sz w:val="22"/>
          <w:szCs w:val="22"/>
        </w:rPr>
        <w:t xml:space="preserve">he longitudinal design assesses whether individual children and families experience meaningful improvements in outcomes during treatment. </w:t>
      </w:r>
      <w:r w:rsidR="00E309C3">
        <w:rPr>
          <w:rFonts w:ascii="Times New Roman" w:hAnsi="Times New Roman" w:cs="Times New Roman"/>
          <w:sz w:val="22"/>
          <w:szCs w:val="22"/>
        </w:rPr>
        <w:t xml:space="preserve">Changes over time in </w:t>
      </w:r>
      <w:r w:rsidR="00E309C3">
        <w:rPr>
          <w:rFonts w:ascii="Times New Roman" w:hAnsi="Times New Roman" w:cs="Times New Roman"/>
          <w:bCs/>
          <w:sz w:val="22"/>
          <w:szCs w:val="22"/>
        </w:rPr>
        <w:t>c</w:t>
      </w:r>
      <w:r w:rsidR="00243219" w:rsidRPr="00D87880">
        <w:rPr>
          <w:rFonts w:ascii="Times New Roman" w:hAnsi="Times New Roman" w:cs="Times New Roman"/>
          <w:bCs/>
          <w:sz w:val="22"/>
          <w:szCs w:val="22"/>
        </w:rPr>
        <w:t>hild and caregiver satisfaction with services will be tested using descriptive analyses (e.g., frequencies and percentages) as well as univariate and bivariate analyses</w:t>
      </w:r>
      <w:r w:rsidR="000759C1">
        <w:rPr>
          <w:rFonts w:ascii="Times New Roman" w:hAnsi="Times New Roman" w:cs="Times New Roman"/>
          <w:bCs/>
          <w:sz w:val="22"/>
          <w:szCs w:val="22"/>
        </w:rPr>
        <w:t xml:space="preserve"> (e.g., are there differences in satisfaction by clinical severity)</w:t>
      </w:r>
      <w:r w:rsidR="00243219" w:rsidRPr="00D87880">
        <w:rPr>
          <w:rFonts w:ascii="Times New Roman" w:hAnsi="Times New Roman" w:cs="Times New Roman"/>
          <w:bCs/>
          <w:sz w:val="22"/>
          <w:szCs w:val="22"/>
        </w:rPr>
        <w:t>.</w:t>
      </w:r>
      <w:r w:rsidR="00862178" w:rsidRPr="00D87880">
        <w:rPr>
          <w:rFonts w:ascii="Times New Roman" w:hAnsi="Times New Roman" w:cs="Times New Roman"/>
          <w:bCs/>
          <w:sz w:val="22"/>
          <w:szCs w:val="22"/>
        </w:rPr>
        <w:t xml:space="preserve"> </w:t>
      </w:r>
      <w:r w:rsidR="00EA348C" w:rsidRPr="00D87880">
        <w:rPr>
          <w:rFonts w:ascii="Times New Roman" w:hAnsi="Times New Roman" w:cs="Times New Roman"/>
          <w:sz w:val="22"/>
          <w:szCs w:val="22"/>
        </w:rPr>
        <w:t xml:space="preserve">Change in child and family outcomes over time will be tested using a variety of techniques. Repeated measures analysis of variance (ANOVA) will be used to test the significance of change over time within and between groups, both across and within jurisdictions. Repeated measures analysis of covariance (ANCOVA) will be conducted as well, to examine the influence of covariates. </w:t>
      </w:r>
      <w:r w:rsidR="00EA348C" w:rsidRPr="00F27456">
        <w:rPr>
          <w:rFonts w:ascii="Times New Roman" w:hAnsi="Times New Roman" w:cs="Times New Roman"/>
          <w:sz w:val="22"/>
          <w:szCs w:val="22"/>
        </w:rPr>
        <w:t xml:space="preserve">Path analysis and other structural equation modeling techniques will be used to investigate the direct and indirect effects of </w:t>
      </w:r>
      <w:r w:rsidR="008929B3" w:rsidRPr="00F27456">
        <w:rPr>
          <w:rFonts w:ascii="Times New Roman" w:hAnsi="Times New Roman" w:cs="Times New Roman"/>
          <w:iCs/>
          <w:sz w:val="22"/>
          <w:szCs w:val="22"/>
        </w:rPr>
        <w:t>independent</w:t>
      </w:r>
      <w:r w:rsidR="00EA348C" w:rsidRPr="00F27456">
        <w:rPr>
          <w:rFonts w:ascii="Times New Roman" w:hAnsi="Times New Roman" w:cs="Times New Roman"/>
          <w:sz w:val="22"/>
          <w:szCs w:val="22"/>
        </w:rPr>
        <w:t xml:space="preserve"> variables (such as</w:t>
      </w:r>
      <w:r w:rsidR="000759C1">
        <w:rPr>
          <w:rFonts w:ascii="Times New Roman" w:hAnsi="Times New Roman" w:cs="Times New Roman"/>
          <w:sz w:val="22"/>
          <w:szCs w:val="22"/>
        </w:rPr>
        <w:t xml:space="preserve">, type and amount of services received, </w:t>
      </w:r>
      <w:r w:rsidR="00EA348C" w:rsidRPr="00F27456">
        <w:rPr>
          <w:rFonts w:ascii="Times New Roman" w:hAnsi="Times New Roman" w:cs="Times New Roman"/>
          <w:sz w:val="22"/>
          <w:szCs w:val="22"/>
        </w:rPr>
        <w:t>and demographic</w:t>
      </w:r>
      <w:r w:rsidR="000759C1">
        <w:rPr>
          <w:rFonts w:ascii="Times New Roman" w:hAnsi="Times New Roman" w:cs="Times New Roman"/>
          <w:sz w:val="22"/>
          <w:szCs w:val="22"/>
        </w:rPr>
        <w:t xml:space="preserve"> variable</w:t>
      </w:r>
      <w:r w:rsidR="00EA348C" w:rsidRPr="00F27456">
        <w:rPr>
          <w:rFonts w:ascii="Times New Roman" w:hAnsi="Times New Roman" w:cs="Times New Roman"/>
          <w:sz w:val="22"/>
          <w:szCs w:val="22"/>
        </w:rPr>
        <w:t xml:space="preserve">s) on dependent outcome measures (such as </w:t>
      </w:r>
      <w:r w:rsidR="000759C1">
        <w:rPr>
          <w:rFonts w:ascii="Times New Roman" w:hAnsi="Times New Roman" w:cs="Times New Roman"/>
          <w:sz w:val="22"/>
          <w:szCs w:val="22"/>
        </w:rPr>
        <w:t xml:space="preserve"> symptom severity, social functioning, and caregiver strain</w:t>
      </w:r>
      <w:r w:rsidR="00EA348C" w:rsidRPr="00F27456">
        <w:rPr>
          <w:rFonts w:ascii="Times New Roman" w:hAnsi="Times New Roman" w:cs="Times New Roman"/>
          <w:sz w:val="22"/>
          <w:szCs w:val="22"/>
        </w:rPr>
        <w:t xml:space="preserve">). </w:t>
      </w:r>
      <w:r w:rsidR="00F27456" w:rsidRPr="00F27456">
        <w:rPr>
          <w:rFonts w:ascii="Times New Roman" w:hAnsi="Times New Roman" w:cs="Times New Roman"/>
          <w:sz w:val="22"/>
          <w:szCs w:val="22"/>
        </w:rPr>
        <w:t xml:space="preserve">Structural equation modeling </w:t>
      </w:r>
      <w:r w:rsidR="007C361E" w:rsidRPr="00F27456">
        <w:rPr>
          <w:rFonts w:ascii="Times New Roman" w:hAnsi="Times New Roman" w:cs="Times New Roman"/>
          <w:sz w:val="22"/>
          <w:szCs w:val="22"/>
        </w:rPr>
        <w:t>will prove particularly useful for sub-analyses of data from older youth in which latent constructs (e.g. youth functioning) have ratings from both youth and caregivers</w:t>
      </w:r>
      <w:r w:rsidR="00EA348C" w:rsidRPr="00F27456">
        <w:rPr>
          <w:rFonts w:ascii="Times New Roman" w:hAnsi="Times New Roman" w:cs="Times New Roman"/>
          <w:sz w:val="22"/>
          <w:szCs w:val="22"/>
        </w:rPr>
        <w:t>)</w:t>
      </w:r>
      <w:r w:rsidR="008929B3" w:rsidRPr="00F27456">
        <w:rPr>
          <w:rFonts w:ascii="Times New Roman" w:hAnsi="Times New Roman" w:cs="Times New Roman"/>
          <w:sz w:val="22"/>
          <w:szCs w:val="22"/>
        </w:rPr>
        <w:t>.</w:t>
      </w:r>
      <w:r w:rsidR="00E309C3" w:rsidRPr="00F27456">
        <w:rPr>
          <w:rFonts w:ascii="Times New Roman" w:hAnsi="Times New Roman" w:cs="Times New Roman"/>
          <w:sz w:val="22"/>
          <w:szCs w:val="22"/>
        </w:rPr>
        <w:t xml:space="preserve"> </w:t>
      </w:r>
      <w:r w:rsidR="00BB6905" w:rsidRPr="00F27456">
        <w:rPr>
          <w:rFonts w:ascii="Times New Roman" w:hAnsi="Times New Roman" w:cs="Times New Roman"/>
          <w:sz w:val="22"/>
          <w:szCs w:val="22"/>
        </w:rPr>
        <w:t>Multi-</w:t>
      </w:r>
      <w:r w:rsidR="000759C1">
        <w:rPr>
          <w:rFonts w:ascii="Times New Roman" w:hAnsi="Times New Roman" w:cs="Times New Roman"/>
          <w:sz w:val="22"/>
          <w:szCs w:val="22"/>
        </w:rPr>
        <w:t>l</w:t>
      </w:r>
      <w:r w:rsidR="00BB6905" w:rsidRPr="00F27456">
        <w:rPr>
          <w:rFonts w:ascii="Times New Roman" w:hAnsi="Times New Roman" w:cs="Times New Roman"/>
          <w:sz w:val="22"/>
          <w:szCs w:val="22"/>
        </w:rPr>
        <w:t xml:space="preserve">evel </w:t>
      </w:r>
      <w:r w:rsidR="000759C1">
        <w:rPr>
          <w:rFonts w:ascii="Times New Roman" w:hAnsi="Times New Roman" w:cs="Times New Roman"/>
          <w:sz w:val="22"/>
          <w:szCs w:val="22"/>
        </w:rPr>
        <w:t>m</w:t>
      </w:r>
      <w:r w:rsidR="00BB6905" w:rsidRPr="00F27456">
        <w:rPr>
          <w:rFonts w:ascii="Times New Roman" w:hAnsi="Times New Roman" w:cs="Times New Roman"/>
          <w:sz w:val="22"/>
          <w:szCs w:val="22"/>
        </w:rPr>
        <w:t xml:space="preserve">odeling </w:t>
      </w:r>
      <w:r w:rsidR="00EA348C" w:rsidRPr="00F27456">
        <w:rPr>
          <w:rFonts w:ascii="Times New Roman" w:hAnsi="Times New Roman" w:cs="Times New Roman"/>
          <w:sz w:val="22"/>
          <w:szCs w:val="22"/>
        </w:rPr>
        <w:t>(</w:t>
      </w:r>
      <w:r w:rsidR="00BB6905" w:rsidRPr="00F27456">
        <w:rPr>
          <w:rFonts w:ascii="Times New Roman" w:hAnsi="Times New Roman" w:cs="Times New Roman"/>
          <w:sz w:val="22"/>
          <w:szCs w:val="22"/>
        </w:rPr>
        <w:t>M</w:t>
      </w:r>
      <w:r w:rsidR="00EA348C" w:rsidRPr="00F27456">
        <w:rPr>
          <w:rFonts w:ascii="Times New Roman" w:hAnsi="Times New Roman" w:cs="Times New Roman"/>
          <w:sz w:val="22"/>
          <w:szCs w:val="22"/>
        </w:rPr>
        <w:t xml:space="preserve">LM) will be used to estimate growth curves (e.g., changes in the level of symptomatology) </w:t>
      </w:r>
      <w:r w:rsidR="00E309C3" w:rsidRPr="00F27456">
        <w:rPr>
          <w:rFonts w:ascii="Times New Roman" w:hAnsi="Times New Roman" w:cs="Times New Roman"/>
          <w:sz w:val="22"/>
          <w:szCs w:val="22"/>
        </w:rPr>
        <w:t xml:space="preserve">at the individual level </w:t>
      </w:r>
      <w:r w:rsidR="00EA348C" w:rsidRPr="00F27456">
        <w:rPr>
          <w:rFonts w:ascii="Times New Roman" w:hAnsi="Times New Roman" w:cs="Times New Roman"/>
          <w:sz w:val="22"/>
          <w:szCs w:val="22"/>
        </w:rPr>
        <w:t>based on repeated observations.</w:t>
      </w:r>
      <w:r w:rsidR="00EA348C" w:rsidRPr="00D87880">
        <w:rPr>
          <w:rFonts w:ascii="Times New Roman" w:hAnsi="Times New Roman" w:cs="Times New Roman"/>
          <w:sz w:val="22"/>
          <w:szCs w:val="22"/>
        </w:rPr>
        <w:t xml:space="preserve"> </w:t>
      </w:r>
    </w:p>
    <w:p w14:paraId="41CBFA90" w14:textId="04148FEC" w:rsidR="00C225E6" w:rsidRPr="00D87880" w:rsidRDefault="00C225E6" w:rsidP="009A7212">
      <w:pPr>
        <w:tabs>
          <w:tab w:val="left" w:pos="0"/>
        </w:tabs>
        <w:spacing w:line="240" w:lineRule="auto"/>
        <w:rPr>
          <w:rFonts w:ascii="Times New Roman" w:hAnsi="Times New Roman" w:cs="Times New Roman"/>
          <w:b/>
          <w:sz w:val="22"/>
          <w:szCs w:val="22"/>
        </w:rPr>
      </w:pPr>
      <w:r w:rsidRPr="00D87880">
        <w:rPr>
          <w:rFonts w:ascii="Times New Roman" w:hAnsi="Times New Roman" w:cs="Times New Roman"/>
          <w:b/>
          <w:sz w:val="22"/>
          <w:szCs w:val="22"/>
        </w:rPr>
        <w:t>Cross-Level Analyses</w:t>
      </w:r>
      <w:r w:rsidR="001173D3">
        <w:rPr>
          <w:rFonts w:ascii="Times New Roman" w:hAnsi="Times New Roman" w:cs="Times New Roman"/>
          <w:b/>
          <w:sz w:val="22"/>
          <w:szCs w:val="22"/>
        </w:rPr>
        <w:t xml:space="preserve"> </w:t>
      </w:r>
    </w:p>
    <w:p w14:paraId="495831EA" w14:textId="03E98DC9" w:rsidR="009A7212" w:rsidRPr="00D87880" w:rsidRDefault="009A7212" w:rsidP="009A7212">
      <w:pPr>
        <w:autoSpaceDE w:val="0"/>
        <w:autoSpaceDN w:val="0"/>
        <w:spacing w:line="240" w:lineRule="auto"/>
        <w:rPr>
          <w:rFonts w:ascii="Times New Roman" w:hAnsi="Times New Roman"/>
          <w:sz w:val="22"/>
          <w:szCs w:val="22"/>
        </w:rPr>
      </w:pPr>
      <w:r w:rsidRPr="00D87880">
        <w:rPr>
          <w:rFonts w:ascii="Times New Roman" w:hAnsi="Times New Roman"/>
          <w:sz w:val="22"/>
          <w:szCs w:val="22"/>
        </w:rPr>
        <w:t>Two sets of additional analyses are planned that cut across the different levels of the Evaluation</w:t>
      </w:r>
      <w:r w:rsidR="0088532F">
        <w:rPr>
          <w:rFonts w:ascii="Times New Roman" w:hAnsi="Times New Roman"/>
          <w:sz w:val="22"/>
          <w:szCs w:val="22"/>
        </w:rPr>
        <w:t xml:space="preserve"> (i.e.</w:t>
      </w:r>
      <w:r w:rsidRPr="00D87880">
        <w:rPr>
          <w:rFonts w:ascii="Times New Roman" w:hAnsi="Times New Roman"/>
          <w:sz w:val="22"/>
          <w:szCs w:val="22"/>
        </w:rPr>
        <w:t xml:space="preserve">, the </w:t>
      </w:r>
      <w:r w:rsidR="000759C1">
        <w:rPr>
          <w:rFonts w:ascii="Times New Roman" w:hAnsi="Times New Roman"/>
          <w:sz w:val="22"/>
          <w:szCs w:val="22"/>
        </w:rPr>
        <w:t>j</w:t>
      </w:r>
      <w:r w:rsidRPr="00D87880">
        <w:rPr>
          <w:rFonts w:ascii="Times New Roman" w:hAnsi="Times New Roman"/>
          <w:sz w:val="22"/>
          <w:szCs w:val="22"/>
        </w:rPr>
        <w:t xml:space="preserve">urisdiction, </w:t>
      </w:r>
      <w:r w:rsidR="000759C1">
        <w:rPr>
          <w:rFonts w:ascii="Times New Roman" w:hAnsi="Times New Roman"/>
          <w:sz w:val="22"/>
          <w:szCs w:val="22"/>
        </w:rPr>
        <w:t>l</w:t>
      </w:r>
      <w:r w:rsidRPr="00D87880">
        <w:rPr>
          <w:rFonts w:ascii="Times New Roman" w:hAnsi="Times New Roman"/>
          <w:sz w:val="22"/>
          <w:szCs w:val="22"/>
        </w:rPr>
        <w:t xml:space="preserve">ocal </w:t>
      </w:r>
      <w:r w:rsidR="000759C1">
        <w:rPr>
          <w:rFonts w:ascii="Times New Roman" w:hAnsi="Times New Roman"/>
          <w:sz w:val="22"/>
          <w:szCs w:val="22"/>
        </w:rPr>
        <w:t>s</w:t>
      </w:r>
      <w:r w:rsidRPr="00D87880">
        <w:rPr>
          <w:rFonts w:ascii="Times New Roman" w:hAnsi="Times New Roman"/>
          <w:sz w:val="22"/>
          <w:szCs w:val="22"/>
        </w:rPr>
        <w:t xml:space="preserve">ystem, and </w:t>
      </w:r>
      <w:r w:rsidR="000759C1">
        <w:rPr>
          <w:rFonts w:ascii="Times New Roman" w:hAnsi="Times New Roman"/>
          <w:sz w:val="22"/>
          <w:szCs w:val="22"/>
        </w:rPr>
        <w:t>c</w:t>
      </w:r>
      <w:r w:rsidRPr="00D87880">
        <w:rPr>
          <w:rFonts w:ascii="Times New Roman" w:hAnsi="Times New Roman"/>
          <w:sz w:val="22"/>
          <w:szCs w:val="22"/>
        </w:rPr>
        <w:t xml:space="preserve">hild and </w:t>
      </w:r>
      <w:r w:rsidR="000759C1">
        <w:rPr>
          <w:rFonts w:ascii="Times New Roman" w:hAnsi="Times New Roman"/>
          <w:sz w:val="22"/>
          <w:szCs w:val="22"/>
        </w:rPr>
        <w:t>f</w:t>
      </w:r>
      <w:r w:rsidRPr="00D87880">
        <w:rPr>
          <w:rFonts w:ascii="Times New Roman" w:hAnsi="Times New Roman"/>
          <w:sz w:val="22"/>
          <w:szCs w:val="22"/>
        </w:rPr>
        <w:t>amily levels</w:t>
      </w:r>
      <w:r w:rsidR="0088532F">
        <w:rPr>
          <w:rFonts w:ascii="Times New Roman" w:hAnsi="Times New Roman"/>
          <w:sz w:val="22"/>
          <w:szCs w:val="22"/>
        </w:rPr>
        <w:t>)</w:t>
      </w:r>
      <w:r w:rsidRPr="00D87880">
        <w:rPr>
          <w:rFonts w:ascii="Times New Roman" w:hAnsi="Times New Roman"/>
          <w:sz w:val="22"/>
          <w:szCs w:val="22"/>
        </w:rPr>
        <w:t>.</w:t>
      </w:r>
      <w:r w:rsidR="00862178" w:rsidRPr="00D87880">
        <w:rPr>
          <w:rFonts w:ascii="Times New Roman" w:hAnsi="Times New Roman"/>
          <w:sz w:val="22"/>
          <w:szCs w:val="22"/>
        </w:rPr>
        <w:t xml:space="preserve"> </w:t>
      </w:r>
      <w:r w:rsidRPr="000759C1">
        <w:rPr>
          <w:rFonts w:ascii="Times New Roman" w:hAnsi="Times New Roman"/>
          <w:sz w:val="22"/>
          <w:szCs w:val="22"/>
        </w:rPr>
        <w:t xml:space="preserve">The </w:t>
      </w:r>
      <w:r w:rsidRPr="008C652E">
        <w:rPr>
          <w:rFonts w:ascii="Times New Roman" w:hAnsi="Times New Roman"/>
          <w:sz w:val="22"/>
          <w:szCs w:val="22"/>
        </w:rPr>
        <w:t>first</w:t>
      </w:r>
      <w:r w:rsidRPr="00D87880">
        <w:rPr>
          <w:rFonts w:ascii="Times New Roman" w:hAnsi="Times New Roman"/>
          <w:sz w:val="22"/>
          <w:szCs w:val="22"/>
        </w:rPr>
        <w:t xml:space="preserve"> set of analyses will focus on how the quality of the SOC expansion implementation at the jurisdiction level is related to changes at the local system level.</w:t>
      </w:r>
      <w:r w:rsidR="00862178" w:rsidRPr="00D87880">
        <w:rPr>
          <w:rFonts w:ascii="Times New Roman" w:hAnsi="Times New Roman"/>
          <w:sz w:val="22"/>
          <w:szCs w:val="22"/>
        </w:rPr>
        <w:t xml:space="preserve"> </w:t>
      </w:r>
      <w:r w:rsidRPr="00D87880">
        <w:rPr>
          <w:rFonts w:ascii="Times New Roman" w:hAnsi="Times New Roman"/>
          <w:sz w:val="22"/>
          <w:szCs w:val="22"/>
        </w:rPr>
        <w:t xml:space="preserve">Specifically, changes in (1) SOCEA </w:t>
      </w:r>
      <w:r w:rsidR="005736CD" w:rsidRPr="00D87880">
        <w:rPr>
          <w:rFonts w:ascii="Times New Roman" w:hAnsi="Times New Roman"/>
          <w:sz w:val="22"/>
          <w:szCs w:val="22"/>
        </w:rPr>
        <w:t xml:space="preserve">scores </w:t>
      </w:r>
      <w:r w:rsidRPr="00D87880">
        <w:rPr>
          <w:rFonts w:ascii="Times New Roman" w:hAnsi="Times New Roman"/>
          <w:sz w:val="22"/>
          <w:szCs w:val="22"/>
        </w:rPr>
        <w:t xml:space="preserve">and (2) local system network integration such as network density, centrality, fragmentation, and coordination (based on data from the Network Analysis: Local System) will be </w:t>
      </w:r>
      <w:r w:rsidR="00177701">
        <w:rPr>
          <w:rFonts w:ascii="Times New Roman" w:hAnsi="Times New Roman"/>
          <w:sz w:val="22"/>
          <w:szCs w:val="22"/>
        </w:rPr>
        <w:t xml:space="preserve">analyzed relative to </w:t>
      </w:r>
      <w:r w:rsidRPr="00D87880">
        <w:rPr>
          <w:rFonts w:ascii="Times New Roman" w:hAnsi="Times New Roman"/>
          <w:sz w:val="22"/>
          <w:szCs w:val="22"/>
        </w:rPr>
        <w:t xml:space="preserve">the jurisdiction’s implementation quality (based on data from the web-based </w:t>
      </w:r>
      <w:r w:rsidR="00CD3362">
        <w:rPr>
          <w:rFonts w:ascii="Times New Roman" w:hAnsi="Times New Roman"/>
          <w:sz w:val="22"/>
          <w:szCs w:val="22"/>
        </w:rPr>
        <w:t>SAIS</w:t>
      </w:r>
      <w:r w:rsidRPr="00D87880">
        <w:rPr>
          <w:rFonts w:ascii="Times New Roman" w:hAnsi="Times New Roman"/>
          <w:sz w:val="22"/>
          <w:szCs w:val="22"/>
        </w:rPr>
        <w:t>)</w:t>
      </w:r>
      <w:r w:rsidR="00B512E9">
        <w:rPr>
          <w:rFonts w:ascii="Times New Roman" w:hAnsi="Times New Roman"/>
          <w:sz w:val="22"/>
          <w:szCs w:val="22"/>
        </w:rPr>
        <w:t>, using MLMs</w:t>
      </w:r>
      <w:r w:rsidRPr="00D87880">
        <w:rPr>
          <w:rFonts w:ascii="Times New Roman" w:hAnsi="Times New Roman"/>
          <w:sz w:val="22"/>
          <w:szCs w:val="22"/>
        </w:rPr>
        <w:t>.</w:t>
      </w:r>
      <w:r w:rsidR="00862178" w:rsidRPr="00D87880">
        <w:rPr>
          <w:rFonts w:ascii="Times New Roman" w:hAnsi="Times New Roman"/>
          <w:sz w:val="22"/>
          <w:szCs w:val="22"/>
        </w:rPr>
        <w:t xml:space="preserve"> </w:t>
      </w:r>
    </w:p>
    <w:p w14:paraId="577FC269" w14:textId="72CDD011" w:rsidR="009A7212" w:rsidRPr="00D87880" w:rsidRDefault="009A7212" w:rsidP="009A7212">
      <w:pPr>
        <w:autoSpaceDE w:val="0"/>
        <w:autoSpaceDN w:val="0"/>
        <w:spacing w:line="240" w:lineRule="auto"/>
        <w:rPr>
          <w:rFonts w:ascii="Times New Roman" w:hAnsi="Times New Roman"/>
          <w:sz w:val="22"/>
          <w:szCs w:val="22"/>
        </w:rPr>
      </w:pPr>
      <w:r w:rsidRPr="00D87880">
        <w:rPr>
          <w:rFonts w:ascii="Times New Roman" w:hAnsi="Times New Roman"/>
          <w:sz w:val="22"/>
          <w:szCs w:val="22"/>
        </w:rPr>
        <w:t xml:space="preserve">The </w:t>
      </w:r>
      <w:r w:rsidRPr="00D87880">
        <w:rPr>
          <w:rFonts w:ascii="Times New Roman" w:hAnsi="Times New Roman"/>
          <w:i/>
          <w:sz w:val="22"/>
          <w:szCs w:val="22"/>
        </w:rPr>
        <w:t>second</w:t>
      </w:r>
      <w:r w:rsidRPr="00D87880">
        <w:rPr>
          <w:rFonts w:ascii="Times New Roman" w:hAnsi="Times New Roman"/>
          <w:sz w:val="22"/>
          <w:szCs w:val="22"/>
        </w:rPr>
        <w:t xml:space="preserve"> set of analyses will </w:t>
      </w:r>
      <w:r w:rsidR="00BB6905">
        <w:rPr>
          <w:rFonts w:ascii="Times New Roman" w:hAnsi="Times New Roman"/>
          <w:sz w:val="22"/>
          <w:szCs w:val="22"/>
        </w:rPr>
        <w:t xml:space="preserve">use a series of MLMs to </w:t>
      </w:r>
      <w:r w:rsidRPr="00D87880">
        <w:rPr>
          <w:rFonts w:ascii="Times New Roman" w:hAnsi="Times New Roman"/>
          <w:sz w:val="22"/>
          <w:szCs w:val="22"/>
        </w:rPr>
        <w:t>evaluate</w:t>
      </w:r>
      <w:r w:rsidR="00716F4D">
        <w:rPr>
          <w:rFonts w:ascii="Times New Roman" w:hAnsi="Times New Roman"/>
          <w:sz w:val="22"/>
          <w:szCs w:val="22"/>
        </w:rPr>
        <w:t xml:space="preserve"> </w:t>
      </w:r>
      <w:r w:rsidR="00BB6905" w:rsidRPr="00D87880">
        <w:rPr>
          <w:rFonts w:ascii="Times New Roman" w:hAnsi="Times New Roman"/>
          <w:sz w:val="22"/>
          <w:szCs w:val="22"/>
        </w:rPr>
        <w:t xml:space="preserve">child, </w:t>
      </w:r>
      <w:r w:rsidR="00972168">
        <w:rPr>
          <w:rFonts w:ascii="Times New Roman" w:hAnsi="Times New Roman"/>
          <w:sz w:val="22"/>
          <w:szCs w:val="22"/>
        </w:rPr>
        <w:t xml:space="preserve">youth, </w:t>
      </w:r>
      <w:r w:rsidR="00BB6905" w:rsidRPr="00D87880">
        <w:rPr>
          <w:rFonts w:ascii="Times New Roman" w:hAnsi="Times New Roman"/>
          <w:sz w:val="22"/>
          <w:szCs w:val="22"/>
        </w:rPr>
        <w:t xml:space="preserve">young adult, and family </w:t>
      </w:r>
      <w:r w:rsidR="00A529BF">
        <w:rPr>
          <w:rFonts w:ascii="Times New Roman" w:hAnsi="Times New Roman"/>
          <w:sz w:val="22"/>
          <w:szCs w:val="22"/>
        </w:rPr>
        <w:t>outcomes</w:t>
      </w:r>
      <w:r w:rsidR="00A529BF" w:rsidRPr="00D87880">
        <w:rPr>
          <w:rFonts w:ascii="Times New Roman" w:hAnsi="Times New Roman"/>
          <w:sz w:val="22"/>
          <w:szCs w:val="22"/>
        </w:rPr>
        <w:t xml:space="preserve"> </w:t>
      </w:r>
      <w:r w:rsidR="00BB6905">
        <w:rPr>
          <w:rFonts w:ascii="Times New Roman" w:hAnsi="Times New Roman"/>
          <w:sz w:val="22"/>
          <w:szCs w:val="22"/>
        </w:rPr>
        <w:t>based on</w:t>
      </w:r>
      <w:r w:rsidRPr="00D87880">
        <w:rPr>
          <w:rFonts w:ascii="Times New Roman" w:hAnsi="Times New Roman"/>
          <w:sz w:val="22"/>
          <w:szCs w:val="22"/>
        </w:rPr>
        <w:t xml:space="preserve"> the extent to which system-level expansion quality (as indicated by SOCEA</w:t>
      </w:r>
      <w:r w:rsidR="005736CD" w:rsidRPr="00D87880">
        <w:rPr>
          <w:rFonts w:ascii="Times New Roman" w:hAnsi="Times New Roman"/>
          <w:sz w:val="22"/>
          <w:szCs w:val="22"/>
        </w:rPr>
        <w:t xml:space="preserve"> scores</w:t>
      </w:r>
      <w:r w:rsidRPr="00D87880">
        <w:rPr>
          <w:rFonts w:ascii="Times New Roman" w:hAnsi="Times New Roman"/>
          <w:sz w:val="22"/>
          <w:szCs w:val="22"/>
        </w:rPr>
        <w:t>) is related to improved child,</w:t>
      </w:r>
      <w:r w:rsidR="00932051">
        <w:rPr>
          <w:rFonts w:ascii="Times New Roman" w:hAnsi="Times New Roman"/>
          <w:sz w:val="22"/>
          <w:szCs w:val="22"/>
        </w:rPr>
        <w:t xml:space="preserve"> youth,</w:t>
      </w:r>
      <w:r w:rsidRPr="00D87880">
        <w:rPr>
          <w:rFonts w:ascii="Times New Roman" w:hAnsi="Times New Roman"/>
          <w:sz w:val="22"/>
          <w:szCs w:val="22"/>
        </w:rPr>
        <w:t xml:space="preserve"> young adult, and family functioning.</w:t>
      </w:r>
      <w:r w:rsidR="00862178" w:rsidRPr="00D87880">
        <w:rPr>
          <w:rFonts w:ascii="Times New Roman" w:hAnsi="Times New Roman"/>
          <w:sz w:val="22"/>
          <w:szCs w:val="22"/>
        </w:rPr>
        <w:t xml:space="preserve"> </w:t>
      </w:r>
      <w:r w:rsidR="00E94F8D">
        <w:rPr>
          <w:rFonts w:ascii="Times New Roman" w:hAnsi="Times New Roman"/>
          <w:sz w:val="22"/>
          <w:szCs w:val="22"/>
        </w:rPr>
        <w:t xml:space="preserve">SAMHSA </w:t>
      </w:r>
      <w:r w:rsidRPr="00D87880">
        <w:rPr>
          <w:rFonts w:ascii="Times New Roman" w:hAnsi="Times New Roman"/>
          <w:sz w:val="22"/>
          <w:szCs w:val="22"/>
        </w:rPr>
        <w:t>will explore whether particular domains on the SOCEA are related to specific child and family outcomes.</w:t>
      </w:r>
      <w:r w:rsidR="00BB6905">
        <w:rPr>
          <w:rFonts w:ascii="Times New Roman" w:hAnsi="Times New Roman"/>
          <w:sz w:val="22"/>
          <w:szCs w:val="22"/>
        </w:rPr>
        <w:t xml:space="preserve"> </w:t>
      </w:r>
    </w:p>
    <w:p w14:paraId="5B521F45" w14:textId="77777777" w:rsidR="00A47607" w:rsidRPr="00D87880" w:rsidRDefault="00A47607" w:rsidP="00672E58">
      <w:pPr>
        <w:spacing w:line="240" w:lineRule="auto"/>
        <w:rPr>
          <w:rFonts w:ascii="Times New Roman" w:hAnsi="Times New Roman" w:cs="Times New Roman"/>
          <w:sz w:val="22"/>
          <w:szCs w:val="22"/>
        </w:rPr>
      </w:pPr>
    </w:p>
    <w:p w14:paraId="78866DD5" w14:textId="77777777" w:rsidR="00B83408" w:rsidRPr="00D87880" w:rsidRDefault="00B83408" w:rsidP="00672E58">
      <w:pPr>
        <w:spacing w:line="240" w:lineRule="auto"/>
        <w:rPr>
          <w:rFonts w:ascii="Times New Roman" w:hAnsi="Times New Roman" w:cs="Times New Roman"/>
          <w:sz w:val="22"/>
          <w:szCs w:val="22"/>
        </w:rPr>
      </w:pPr>
      <w:r w:rsidRPr="00D87880">
        <w:rPr>
          <w:rFonts w:ascii="Times New Roman" w:hAnsi="Times New Roman" w:cs="Times New Roman"/>
          <w:b/>
          <w:sz w:val="22"/>
          <w:szCs w:val="22"/>
        </w:rPr>
        <w:t>17. DISPLAY OF EXPIRATION DATE</w:t>
      </w:r>
    </w:p>
    <w:p w14:paraId="5830876D" w14:textId="032D7860" w:rsidR="00B83408" w:rsidRPr="00D87880" w:rsidRDefault="00B83408" w:rsidP="00672E58">
      <w:pPr>
        <w:spacing w:line="240" w:lineRule="auto"/>
        <w:rPr>
          <w:rFonts w:ascii="Times New Roman" w:hAnsi="Times New Roman" w:cs="Times New Roman"/>
          <w:sz w:val="22"/>
          <w:szCs w:val="22"/>
        </w:rPr>
      </w:pPr>
      <w:r w:rsidRPr="00D87880">
        <w:rPr>
          <w:rFonts w:ascii="Times New Roman" w:hAnsi="Times New Roman" w:cs="Times New Roman"/>
          <w:sz w:val="22"/>
          <w:szCs w:val="22"/>
        </w:rPr>
        <w:t xml:space="preserve">All data collection </w:t>
      </w:r>
      <w:r w:rsidR="005162B1">
        <w:rPr>
          <w:rFonts w:ascii="Times New Roman" w:hAnsi="Times New Roman" w:cs="Times New Roman"/>
          <w:sz w:val="22"/>
          <w:szCs w:val="22"/>
        </w:rPr>
        <w:t>instruments</w:t>
      </w:r>
      <w:r w:rsidR="005162B1" w:rsidRPr="00D87880">
        <w:rPr>
          <w:rFonts w:ascii="Times New Roman" w:hAnsi="Times New Roman" w:cs="Times New Roman"/>
          <w:sz w:val="22"/>
          <w:szCs w:val="22"/>
        </w:rPr>
        <w:t xml:space="preserve"> </w:t>
      </w:r>
      <w:r w:rsidRPr="00D87880">
        <w:rPr>
          <w:rFonts w:ascii="Times New Roman" w:hAnsi="Times New Roman" w:cs="Times New Roman"/>
          <w:sz w:val="22"/>
          <w:szCs w:val="22"/>
        </w:rPr>
        <w:t>will display the expiration date of OMB approval.</w:t>
      </w:r>
    </w:p>
    <w:p w14:paraId="4547936B" w14:textId="74C6F71C" w:rsidR="009D5191" w:rsidRDefault="009D5191">
      <w:pPr>
        <w:rPr>
          <w:rFonts w:ascii="Times New Roman" w:hAnsi="Times New Roman" w:cs="Times New Roman"/>
          <w:b/>
          <w:sz w:val="22"/>
          <w:szCs w:val="22"/>
        </w:rPr>
      </w:pPr>
    </w:p>
    <w:p w14:paraId="18703E95" w14:textId="6491B7DD" w:rsidR="00B83408" w:rsidRPr="00D87880" w:rsidRDefault="00B83408" w:rsidP="00672E58">
      <w:pPr>
        <w:spacing w:line="240" w:lineRule="auto"/>
        <w:rPr>
          <w:rFonts w:ascii="Times New Roman" w:hAnsi="Times New Roman" w:cs="Times New Roman"/>
          <w:sz w:val="22"/>
          <w:szCs w:val="22"/>
        </w:rPr>
      </w:pPr>
      <w:r w:rsidRPr="00D87880">
        <w:rPr>
          <w:rFonts w:ascii="Times New Roman" w:hAnsi="Times New Roman" w:cs="Times New Roman"/>
          <w:b/>
          <w:sz w:val="22"/>
          <w:szCs w:val="22"/>
        </w:rPr>
        <w:t>18. EXCEPTIONS TO THE CERTIFICATION STATEMENT</w:t>
      </w:r>
    </w:p>
    <w:p w14:paraId="251D8C1C" w14:textId="37D9F85A" w:rsidR="00B83408" w:rsidRPr="00D87880" w:rsidRDefault="00B83408" w:rsidP="00672E58">
      <w:pPr>
        <w:spacing w:line="240" w:lineRule="auto"/>
        <w:rPr>
          <w:rFonts w:ascii="Times New Roman" w:hAnsi="Times New Roman" w:cs="Times New Roman"/>
          <w:sz w:val="22"/>
          <w:szCs w:val="22"/>
        </w:rPr>
      </w:pPr>
      <w:r w:rsidRPr="00D87880">
        <w:rPr>
          <w:rFonts w:ascii="Times New Roman" w:hAnsi="Times New Roman" w:cs="Times New Roman"/>
          <w:sz w:val="22"/>
          <w:szCs w:val="22"/>
        </w:rPr>
        <w:t>This coll</w:t>
      </w:r>
      <w:r w:rsidR="009E758E" w:rsidRPr="00D87880">
        <w:rPr>
          <w:rFonts w:ascii="Times New Roman" w:hAnsi="Times New Roman" w:cs="Times New Roman"/>
          <w:sz w:val="22"/>
          <w:szCs w:val="22"/>
        </w:rPr>
        <w:t>ection of information involves n</w:t>
      </w:r>
      <w:r w:rsidRPr="00D87880">
        <w:rPr>
          <w:rFonts w:ascii="Times New Roman" w:hAnsi="Times New Roman" w:cs="Times New Roman"/>
          <w:sz w:val="22"/>
          <w:szCs w:val="22"/>
        </w:rPr>
        <w:t>o exceptions to the Certification for Paperwork Reduction Act Submissions</w:t>
      </w:r>
      <w:r w:rsidRPr="008F0CA3">
        <w:rPr>
          <w:rFonts w:ascii="Times New Roman" w:hAnsi="Times New Roman" w:cs="Times New Roman"/>
          <w:sz w:val="22"/>
          <w:szCs w:val="22"/>
        </w:rPr>
        <w:t>.</w:t>
      </w:r>
      <w:r w:rsidR="001173D3" w:rsidRPr="008F0CA3">
        <w:rPr>
          <w:rFonts w:ascii="Times New Roman" w:hAnsi="Times New Roman" w:cs="Times New Roman"/>
          <w:sz w:val="22"/>
          <w:szCs w:val="22"/>
        </w:rPr>
        <w:t xml:space="preserve">  The certifications are included in this submission.</w:t>
      </w:r>
    </w:p>
    <w:sectPr w:rsidR="00B83408" w:rsidRPr="00D87880" w:rsidSect="00E24D14">
      <w:footerReference w:type="default" r:id="rId19"/>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FD15A" w15:done="0"/>
  <w15:commentEx w15:paraId="16B0BC13" w15:done="0"/>
  <w15:commentEx w15:paraId="4249D132" w15:done="0"/>
  <w15:commentEx w15:paraId="630A4094" w15:done="0"/>
  <w15:commentEx w15:paraId="5952AB63" w15:done="0"/>
  <w15:commentEx w15:paraId="60751062" w15:done="0"/>
  <w15:commentEx w15:paraId="68FD2B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5CB6B" w14:textId="77777777" w:rsidR="00791268" w:rsidRDefault="00791268" w:rsidP="002F2EAE">
      <w:pPr>
        <w:spacing w:after="0" w:line="240" w:lineRule="auto"/>
      </w:pPr>
      <w:r>
        <w:separator/>
      </w:r>
    </w:p>
  </w:endnote>
  <w:endnote w:type="continuationSeparator" w:id="0">
    <w:p w14:paraId="129C04B3" w14:textId="77777777" w:rsidR="00791268" w:rsidRDefault="00791268" w:rsidP="002F2EAE">
      <w:pPr>
        <w:spacing w:after="0" w:line="240" w:lineRule="auto"/>
      </w:pPr>
      <w:r>
        <w:continuationSeparator/>
      </w:r>
    </w:p>
  </w:endnote>
  <w:endnote w:type="continuationNotice" w:id="1">
    <w:p w14:paraId="1EFB0B38" w14:textId="77777777" w:rsidR="00791268" w:rsidRDefault="007912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620205"/>
      <w:docPartObj>
        <w:docPartGallery w:val="Page Numbers (Bottom of Page)"/>
        <w:docPartUnique/>
      </w:docPartObj>
    </w:sdtPr>
    <w:sdtEndPr>
      <w:rPr>
        <w:noProof/>
      </w:rPr>
    </w:sdtEndPr>
    <w:sdtContent>
      <w:p w14:paraId="41D9907C" w14:textId="602D1D5F" w:rsidR="00791268" w:rsidRDefault="00791268">
        <w:pPr>
          <w:pStyle w:val="Footer"/>
          <w:jc w:val="center"/>
        </w:pPr>
        <w:r>
          <w:fldChar w:fldCharType="begin"/>
        </w:r>
        <w:r>
          <w:instrText xml:space="preserve"> PAGE   \* MERGEFORMAT </w:instrText>
        </w:r>
        <w:r>
          <w:fldChar w:fldCharType="separate"/>
        </w:r>
        <w:r w:rsidR="00354239">
          <w:rPr>
            <w:noProof/>
          </w:rPr>
          <w:t>20</w:t>
        </w:r>
        <w:r>
          <w:rPr>
            <w:noProof/>
          </w:rPr>
          <w:fldChar w:fldCharType="end"/>
        </w:r>
      </w:p>
    </w:sdtContent>
  </w:sdt>
  <w:p w14:paraId="1622E9DC" w14:textId="77777777" w:rsidR="00791268" w:rsidRDefault="00791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7273"/>
      <w:docPartObj>
        <w:docPartGallery w:val="Page Numbers (Bottom of Page)"/>
        <w:docPartUnique/>
      </w:docPartObj>
    </w:sdtPr>
    <w:sdtEndPr>
      <w:rPr>
        <w:noProof/>
      </w:rPr>
    </w:sdtEndPr>
    <w:sdtContent>
      <w:p w14:paraId="7E02C1F1" w14:textId="3F3201A2" w:rsidR="00791268" w:rsidRDefault="00791268">
        <w:pPr>
          <w:pStyle w:val="Footer"/>
          <w:jc w:val="center"/>
        </w:pPr>
        <w:r>
          <w:fldChar w:fldCharType="begin"/>
        </w:r>
        <w:r>
          <w:instrText xml:space="preserve"> PAGE   \* MERGEFORMAT </w:instrText>
        </w:r>
        <w:r>
          <w:fldChar w:fldCharType="separate"/>
        </w:r>
        <w:r w:rsidR="00354239">
          <w:rPr>
            <w:noProof/>
          </w:rPr>
          <w:t>25</w:t>
        </w:r>
        <w:r>
          <w:rPr>
            <w:noProof/>
          </w:rPr>
          <w:fldChar w:fldCharType="end"/>
        </w:r>
      </w:p>
    </w:sdtContent>
  </w:sdt>
  <w:p w14:paraId="15849D8F" w14:textId="77777777" w:rsidR="00791268" w:rsidRDefault="00791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00FD2" w14:textId="77777777" w:rsidR="00791268" w:rsidRDefault="00791268" w:rsidP="002F2EAE">
      <w:pPr>
        <w:spacing w:after="0" w:line="240" w:lineRule="auto"/>
      </w:pPr>
      <w:r>
        <w:separator/>
      </w:r>
    </w:p>
  </w:footnote>
  <w:footnote w:type="continuationSeparator" w:id="0">
    <w:p w14:paraId="4E8FF955" w14:textId="77777777" w:rsidR="00791268" w:rsidRDefault="00791268" w:rsidP="002F2EAE">
      <w:pPr>
        <w:spacing w:after="0" w:line="240" w:lineRule="auto"/>
      </w:pPr>
      <w:r>
        <w:continuationSeparator/>
      </w:r>
    </w:p>
  </w:footnote>
  <w:footnote w:type="continuationNotice" w:id="1">
    <w:p w14:paraId="027BBDB1" w14:textId="77777777" w:rsidR="00791268" w:rsidRDefault="00791268">
      <w:pPr>
        <w:spacing w:after="0" w:line="240" w:lineRule="auto"/>
      </w:pPr>
    </w:p>
  </w:footnote>
  <w:footnote w:id="2">
    <w:p w14:paraId="5372CAD3" w14:textId="0B8E7076" w:rsidR="00791268" w:rsidRDefault="00791268">
      <w:pPr>
        <w:pStyle w:val="FootnoteText"/>
      </w:pPr>
      <w:r>
        <w:rPr>
          <w:rStyle w:val="FootnoteReference"/>
        </w:rPr>
        <w:footnoteRef/>
      </w:r>
      <w:r>
        <w:t xml:space="preserve"> Hyde, P.S. </w:t>
      </w:r>
      <w:r>
        <w:rPr>
          <w:bCs/>
          <w:szCs w:val="16"/>
        </w:rPr>
        <w:t>L</w:t>
      </w:r>
      <w:r w:rsidRPr="0063183A">
        <w:rPr>
          <w:bCs/>
          <w:szCs w:val="16"/>
        </w:rPr>
        <w:t>eading change in an era of health reform</w:t>
      </w:r>
      <w:r>
        <w:rPr>
          <w:bCs/>
          <w:szCs w:val="16"/>
        </w:rPr>
        <w:t xml:space="preserve">. Presented at </w:t>
      </w:r>
      <w:r w:rsidRPr="003A00A3">
        <w:rPr>
          <w:bCs/>
          <w:szCs w:val="16"/>
        </w:rPr>
        <w:t>National Child Traumatic Stress Network Grantee Meeting. Baltimore, MD • March 1, 2011</w:t>
      </w:r>
      <w:r>
        <w:rPr>
          <w:bCs/>
          <w:szCs w:val="16"/>
        </w:rPr>
        <w:t xml:space="preserve">.  Cited July 8, 2014 at </w:t>
      </w:r>
      <w:hyperlink r:id="rId1" w:history="1">
        <w:r w:rsidRPr="000E0EEC">
          <w:rPr>
            <w:rStyle w:val="Hyperlink"/>
            <w:bCs/>
            <w:szCs w:val="16"/>
          </w:rPr>
          <w:t>http://store.samhsa.gov/shin/content//SMA11-PHYDE030111/SMA11-PHYDE030111.pdf</w:t>
        </w:r>
      </w:hyperlink>
      <w:r>
        <w:rPr>
          <w:bCs/>
          <w:szCs w:val="16"/>
        </w:rPr>
        <w:t xml:space="preserve"> .  </w:t>
      </w:r>
    </w:p>
  </w:footnote>
  <w:footnote w:id="3">
    <w:p w14:paraId="33E669B5" w14:textId="795B6EAB" w:rsidR="00791268" w:rsidRDefault="00791268">
      <w:pPr>
        <w:pStyle w:val="FootnoteText"/>
      </w:pPr>
      <w:r>
        <w:rPr>
          <w:rStyle w:val="FootnoteReference"/>
        </w:rPr>
        <w:footnoteRef/>
      </w:r>
      <w:r>
        <w:t xml:space="preserve"> National Center for Injury Prevention and Control, Centers for Disease Control. Suicide facts at a glance 2012.  Cited July 8, 2014 at </w:t>
      </w:r>
      <w:hyperlink r:id="rId2" w:history="1">
        <w:r w:rsidRPr="000E0EEC">
          <w:rPr>
            <w:rStyle w:val="Hyperlink"/>
          </w:rPr>
          <w:t>http://www.cdc.gov/violenceprevention/pdf/suicide_datasheet-a.pdf</w:t>
        </w:r>
      </w:hyperlink>
      <w:r>
        <w:t xml:space="preserve"> </w:t>
      </w:r>
    </w:p>
  </w:footnote>
  <w:footnote w:id="4">
    <w:p w14:paraId="011CB829" w14:textId="09F9D1D6" w:rsidR="00791268" w:rsidRDefault="00791268">
      <w:pPr>
        <w:pStyle w:val="FootnoteText"/>
      </w:pPr>
      <w:r>
        <w:rPr>
          <w:rStyle w:val="FootnoteReference"/>
        </w:rPr>
        <w:footnoteRef/>
      </w:r>
      <w:r>
        <w:t xml:space="preserve"> The CDP is currently under review by OMB.  The CDP has been designed to replace the Transformation Accountability (TRAC) system and tool </w:t>
      </w:r>
      <w:r>
        <w:rPr>
          <w:szCs w:val="16"/>
        </w:rPr>
        <w:t>(OMB No. 0930-0285</w:t>
      </w:r>
      <w:r w:rsidRPr="00733936">
        <w:rPr>
          <w:szCs w:val="16"/>
        </w:rPr>
        <w:t>, Exp. 5/</w:t>
      </w:r>
      <w:r w:rsidRPr="004149DB">
        <w:rPr>
          <w:szCs w:val="16"/>
        </w:rPr>
        <w:t>31</w:t>
      </w:r>
      <w:r w:rsidRPr="00733936">
        <w:rPr>
          <w:szCs w:val="16"/>
        </w:rPr>
        <w:t>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A72FD0"/>
    <w:multiLevelType w:val="hybridMultilevel"/>
    <w:tmpl w:val="F50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F3495"/>
    <w:multiLevelType w:val="hybridMultilevel"/>
    <w:tmpl w:val="0AF4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91F07"/>
    <w:multiLevelType w:val="hybridMultilevel"/>
    <w:tmpl w:val="0ED450A4"/>
    <w:lvl w:ilvl="0" w:tplc="F9F830C2">
      <w:start w:val="1"/>
      <w:numFmt w:val="decimal"/>
      <w:lvlText w:val="%1)"/>
      <w:lvlJc w:val="left"/>
      <w:pPr>
        <w:ind w:left="720" w:hanging="360"/>
      </w:pPr>
      <w:rPr>
        <w:rFonts w:ascii="Times New Roman" w:eastAsiaTheme="minorEastAsia"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B334E7"/>
    <w:multiLevelType w:val="hybridMultilevel"/>
    <w:tmpl w:val="9B6C2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72550BB"/>
    <w:multiLevelType w:val="hybridMultilevel"/>
    <w:tmpl w:val="A8A08DA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DE0452"/>
    <w:multiLevelType w:val="hybridMultilevel"/>
    <w:tmpl w:val="CF7A0330"/>
    <w:lvl w:ilvl="0" w:tplc="A212F62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177EFB"/>
    <w:multiLevelType w:val="hybridMultilevel"/>
    <w:tmpl w:val="595E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D002F3"/>
    <w:multiLevelType w:val="hybridMultilevel"/>
    <w:tmpl w:val="5470C552"/>
    <w:lvl w:ilvl="0" w:tplc="6A163FF2">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0261D1"/>
    <w:multiLevelType w:val="hybridMultilevel"/>
    <w:tmpl w:val="8EFCCDD2"/>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1E5BD8"/>
    <w:multiLevelType w:val="hybridMultilevel"/>
    <w:tmpl w:val="5A9A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687668"/>
    <w:multiLevelType w:val="hybridMultilevel"/>
    <w:tmpl w:val="A6A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2F451D"/>
    <w:multiLevelType w:val="hybridMultilevel"/>
    <w:tmpl w:val="1966A06E"/>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ED0D97"/>
    <w:multiLevelType w:val="hybridMultilevel"/>
    <w:tmpl w:val="3B126AB6"/>
    <w:lvl w:ilvl="0" w:tplc="BB2C370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F1107EC"/>
    <w:multiLevelType w:val="hybridMultilevel"/>
    <w:tmpl w:val="C778D9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20D53176"/>
    <w:multiLevelType w:val="hybridMultilevel"/>
    <w:tmpl w:val="616CC8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F10381"/>
    <w:multiLevelType w:val="hybridMultilevel"/>
    <w:tmpl w:val="2784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BA6743"/>
    <w:multiLevelType w:val="hybridMultilevel"/>
    <w:tmpl w:val="AA46B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63718F"/>
    <w:multiLevelType w:val="hybridMultilevel"/>
    <w:tmpl w:val="845C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343DE0"/>
    <w:multiLevelType w:val="hybridMultilevel"/>
    <w:tmpl w:val="BEB8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80044FB"/>
    <w:multiLevelType w:val="hybridMultilevel"/>
    <w:tmpl w:val="292C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711121"/>
    <w:multiLevelType w:val="hybridMultilevel"/>
    <w:tmpl w:val="27E28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745C93"/>
    <w:multiLevelType w:val="hybridMultilevel"/>
    <w:tmpl w:val="908023E4"/>
    <w:lvl w:ilvl="0" w:tplc="BB2C370E">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AAB29AB"/>
    <w:multiLevelType w:val="hybridMultilevel"/>
    <w:tmpl w:val="78A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D3A3998"/>
    <w:multiLevelType w:val="hybridMultilevel"/>
    <w:tmpl w:val="857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DE26E29"/>
    <w:multiLevelType w:val="hybridMultilevel"/>
    <w:tmpl w:val="DBE45596"/>
    <w:lvl w:ilvl="0" w:tplc="BF4EADD0">
      <w:start w:val="1"/>
      <w:numFmt w:val="bullet"/>
      <w:lvlText w:val=""/>
      <w:lvlJc w:val="left"/>
      <w:pPr>
        <w:tabs>
          <w:tab w:val="num" w:pos="1152"/>
        </w:tabs>
        <w:ind w:left="1152" w:hanging="57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E912EDB"/>
    <w:multiLevelType w:val="hybridMultilevel"/>
    <w:tmpl w:val="29F8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2E966042"/>
    <w:multiLevelType w:val="hybridMultilevel"/>
    <w:tmpl w:val="2656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FA2710"/>
    <w:multiLevelType w:val="hybridMultilevel"/>
    <w:tmpl w:val="D0F019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31245ED4"/>
    <w:multiLevelType w:val="hybridMultilevel"/>
    <w:tmpl w:val="71B0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22745F"/>
    <w:multiLevelType w:val="hybridMultilevel"/>
    <w:tmpl w:val="6F9C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923427C"/>
    <w:multiLevelType w:val="hybridMultilevel"/>
    <w:tmpl w:val="A0EC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DD5586"/>
    <w:multiLevelType w:val="hybridMultilevel"/>
    <w:tmpl w:val="99BA1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nsid w:val="3BF91237"/>
    <w:multiLevelType w:val="hybridMultilevel"/>
    <w:tmpl w:val="14EE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45B2B06"/>
    <w:multiLevelType w:val="hybridMultilevel"/>
    <w:tmpl w:val="A2A062AA"/>
    <w:lvl w:ilvl="0" w:tplc="F1E8FF88">
      <w:start w:val="1"/>
      <w:numFmt w:val="bullet"/>
      <w:lvlText w:val=""/>
      <w:lvlJc w:val="left"/>
      <w:pPr>
        <w:tabs>
          <w:tab w:val="num" w:pos="720"/>
        </w:tabs>
        <w:ind w:left="720" w:hanging="360"/>
      </w:pPr>
      <w:rPr>
        <w:rFonts w:ascii="Symbol" w:hAnsi="Symbol" w:hint="default"/>
      </w:rPr>
    </w:lvl>
    <w:lvl w:ilvl="1" w:tplc="C92418D2" w:tentative="1">
      <w:start w:val="1"/>
      <w:numFmt w:val="bullet"/>
      <w:lvlText w:val="o"/>
      <w:lvlJc w:val="left"/>
      <w:pPr>
        <w:tabs>
          <w:tab w:val="num" w:pos="1440"/>
        </w:tabs>
        <w:ind w:left="1440" w:hanging="360"/>
      </w:pPr>
      <w:rPr>
        <w:rFonts w:ascii="Courier New" w:hAnsi="Courier New" w:hint="default"/>
      </w:rPr>
    </w:lvl>
    <w:lvl w:ilvl="2" w:tplc="721C0E14" w:tentative="1">
      <w:start w:val="1"/>
      <w:numFmt w:val="bullet"/>
      <w:lvlText w:val=""/>
      <w:lvlJc w:val="left"/>
      <w:pPr>
        <w:tabs>
          <w:tab w:val="num" w:pos="2160"/>
        </w:tabs>
        <w:ind w:left="2160" w:hanging="360"/>
      </w:pPr>
      <w:rPr>
        <w:rFonts w:ascii="Wingdings" w:hAnsi="Wingdings" w:hint="default"/>
      </w:rPr>
    </w:lvl>
    <w:lvl w:ilvl="3" w:tplc="56D6C7DE" w:tentative="1">
      <w:start w:val="1"/>
      <w:numFmt w:val="bullet"/>
      <w:lvlText w:val=""/>
      <w:lvlJc w:val="left"/>
      <w:pPr>
        <w:tabs>
          <w:tab w:val="num" w:pos="2880"/>
        </w:tabs>
        <w:ind w:left="2880" w:hanging="360"/>
      </w:pPr>
      <w:rPr>
        <w:rFonts w:ascii="Symbol" w:hAnsi="Symbol" w:hint="default"/>
      </w:rPr>
    </w:lvl>
    <w:lvl w:ilvl="4" w:tplc="11D0A304" w:tentative="1">
      <w:start w:val="1"/>
      <w:numFmt w:val="bullet"/>
      <w:lvlText w:val="o"/>
      <w:lvlJc w:val="left"/>
      <w:pPr>
        <w:tabs>
          <w:tab w:val="num" w:pos="3600"/>
        </w:tabs>
        <w:ind w:left="3600" w:hanging="360"/>
      </w:pPr>
      <w:rPr>
        <w:rFonts w:ascii="Courier New" w:hAnsi="Courier New" w:hint="default"/>
      </w:rPr>
    </w:lvl>
    <w:lvl w:ilvl="5" w:tplc="65A60164" w:tentative="1">
      <w:start w:val="1"/>
      <w:numFmt w:val="bullet"/>
      <w:lvlText w:val=""/>
      <w:lvlJc w:val="left"/>
      <w:pPr>
        <w:tabs>
          <w:tab w:val="num" w:pos="4320"/>
        </w:tabs>
        <w:ind w:left="4320" w:hanging="360"/>
      </w:pPr>
      <w:rPr>
        <w:rFonts w:ascii="Wingdings" w:hAnsi="Wingdings" w:hint="default"/>
      </w:rPr>
    </w:lvl>
    <w:lvl w:ilvl="6" w:tplc="BEDEF0A0" w:tentative="1">
      <w:start w:val="1"/>
      <w:numFmt w:val="bullet"/>
      <w:lvlText w:val=""/>
      <w:lvlJc w:val="left"/>
      <w:pPr>
        <w:tabs>
          <w:tab w:val="num" w:pos="5040"/>
        </w:tabs>
        <w:ind w:left="5040" w:hanging="360"/>
      </w:pPr>
      <w:rPr>
        <w:rFonts w:ascii="Symbol" w:hAnsi="Symbol" w:hint="default"/>
      </w:rPr>
    </w:lvl>
    <w:lvl w:ilvl="7" w:tplc="E4C03D0E" w:tentative="1">
      <w:start w:val="1"/>
      <w:numFmt w:val="bullet"/>
      <w:lvlText w:val="o"/>
      <w:lvlJc w:val="left"/>
      <w:pPr>
        <w:tabs>
          <w:tab w:val="num" w:pos="5760"/>
        </w:tabs>
        <w:ind w:left="5760" w:hanging="360"/>
      </w:pPr>
      <w:rPr>
        <w:rFonts w:ascii="Courier New" w:hAnsi="Courier New" w:hint="default"/>
      </w:rPr>
    </w:lvl>
    <w:lvl w:ilvl="8" w:tplc="A60E195E" w:tentative="1">
      <w:start w:val="1"/>
      <w:numFmt w:val="bullet"/>
      <w:lvlText w:val=""/>
      <w:lvlJc w:val="left"/>
      <w:pPr>
        <w:tabs>
          <w:tab w:val="num" w:pos="6480"/>
        </w:tabs>
        <w:ind w:left="6480" w:hanging="360"/>
      </w:pPr>
      <w:rPr>
        <w:rFonts w:ascii="Wingdings" w:hAnsi="Wingdings" w:hint="default"/>
      </w:rPr>
    </w:lvl>
  </w:abstractNum>
  <w:abstractNum w:abstractNumId="35">
    <w:nsid w:val="494767AD"/>
    <w:multiLevelType w:val="hybridMultilevel"/>
    <w:tmpl w:val="41B4EF9A"/>
    <w:lvl w:ilvl="0" w:tplc="FC225FA8">
      <w:start w:val="3"/>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6">
    <w:nsid w:val="4D586992"/>
    <w:multiLevelType w:val="hybridMultilevel"/>
    <w:tmpl w:val="8738DA82"/>
    <w:lvl w:ilvl="0" w:tplc="5D62F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0F768AA"/>
    <w:multiLevelType w:val="hybridMultilevel"/>
    <w:tmpl w:val="03F6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3715779"/>
    <w:multiLevelType w:val="hybridMultilevel"/>
    <w:tmpl w:val="0226B9EE"/>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5531BA2"/>
    <w:multiLevelType w:val="hybridMultilevel"/>
    <w:tmpl w:val="79AC1F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568B4BF4"/>
    <w:multiLevelType w:val="hybridMultilevel"/>
    <w:tmpl w:val="2F3E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E24D03"/>
    <w:multiLevelType w:val="hybridMultilevel"/>
    <w:tmpl w:val="A010137C"/>
    <w:lvl w:ilvl="0" w:tplc="D2C6B4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8CF37A5"/>
    <w:multiLevelType w:val="hybridMultilevel"/>
    <w:tmpl w:val="A26ECC08"/>
    <w:lvl w:ilvl="0" w:tplc="5D62FB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3">
    <w:nsid w:val="5D54220D"/>
    <w:multiLevelType w:val="hybridMultilevel"/>
    <w:tmpl w:val="A4CEDBE0"/>
    <w:lvl w:ilvl="0" w:tplc="04090019">
      <w:start w:val="1"/>
      <w:numFmt w:val="lowerLetter"/>
      <w:lvlText w:val="%1."/>
      <w:lvlJc w:val="left"/>
      <w:pPr>
        <w:ind w:left="2070" w:hanging="360"/>
      </w:pPr>
      <w:rPr>
        <w:rFonts w:hint="default"/>
        <w:i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nsid w:val="62CD2465"/>
    <w:multiLevelType w:val="hybridMultilevel"/>
    <w:tmpl w:val="E2AA474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FB1270E"/>
    <w:multiLevelType w:val="hybridMultilevel"/>
    <w:tmpl w:val="ADC6053A"/>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46">
    <w:nsid w:val="70401D0F"/>
    <w:multiLevelType w:val="hybridMultilevel"/>
    <w:tmpl w:val="1BD2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C042CF"/>
    <w:multiLevelType w:val="hybridMultilevel"/>
    <w:tmpl w:val="72A2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507646"/>
    <w:multiLevelType w:val="hybridMultilevel"/>
    <w:tmpl w:val="57AC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6B55FB6"/>
    <w:multiLevelType w:val="hybridMultilevel"/>
    <w:tmpl w:val="4948C42C"/>
    <w:lvl w:ilvl="0" w:tplc="B7E42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0">
    <w:nsid w:val="7BA07288"/>
    <w:multiLevelType w:val="hybridMultilevel"/>
    <w:tmpl w:val="5892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C03652D"/>
    <w:multiLevelType w:val="hybridMultilevel"/>
    <w:tmpl w:val="8B3E3D5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CCC64B7"/>
    <w:multiLevelType w:val="hybridMultilevel"/>
    <w:tmpl w:val="0D0ABB7A"/>
    <w:lvl w:ilvl="0" w:tplc="903E3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43"/>
  </w:num>
  <w:num w:numId="2">
    <w:abstractNumId w:val="8"/>
  </w:num>
  <w:num w:numId="3">
    <w:abstractNumId w:val="50"/>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3"/>
  </w:num>
  <w:num w:numId="6">
    <w:abstractNumId w:val="17"/>
  </w:num>
  <w:num w:numId="7">
    <w:abstractNumId w:val="9"/>
  </w:num>
  <w:num w:numId="8">
    <w:abstractNumId w:val="34"/>
  </w:num>
  <w:num w:numId="9">
    <w:abstractNumId w:val="42"/>
  </w:num>
  <w:num w:numId="10">
    <w:abstractNumId w:val="40"/>
  </w:num>
  <w:num w:numId="11">
    <w:abstractNumId w:val="14"/>
  </w:num>
  <w:num w:numId="12">
    <w:abstractNumId w:val="49"/>
  </w:num>
  <w:num w:numId="13">
    <w:abstractNumId w:val="38"/>
  </w:num>
  <w:num w:numId="14">
    <w:abstractNumId w:val="41"/>
  </w:num>
  <w:num w:numId="15">
    <w:abstractNumId w:val="24"/>
  </w:num>
  <w:num w:numId="16">
    <w:abstractNumId w:val="47"/>
  </w:num>
  <w:num w:numId="17">
    <w:abstractNumId w:val="10"/>
  </w:num>
  <w:num w:numId="18">
    <w:abstractNumId w:val="3"/>
  </w:num>
  <w:num w:numId="19">
    <w:abstractNumId w:val="6"/>
  </w:num>
  <w:num w:numId="20">
    <w:abstractNumId w:val="30"/>
  </w:num>
  <w:num w:numId="21">
    <w:abstractNumId w:val="18"/>
  </w:num>
  <w:num w:numId="22">
    <w:abstractNumId w:val="48"/>
  </w:num>
  <w:num w:numId="23">
    <w:abstractNumId w:val="36"/>
  </w:num>
  <w:num w:numId="24">
    <w:abstractNumId w:val="37"/>
  </w:num>
  <w:num w:numId="25">
    <w:abstractNumId w:val="46"/>
  </w:num>
  <w:num w:numId="26">
    <w:abstractNumId w:val="27"/>
  </w:num>
  <w:num w:numId="27">
    <w:abstractNumId w:val="11"/>
  </w:num>
  <w:num w:numId="28">
    <w:abstractNumId w:val="26"/>
  </w:num>
  <w:num w:numId="29">
    <w:abstractNumId w:val="44"/>
  </w:num>
  <w:num w:numId="30">
    <w:abstractNumId w:val="52"/>
  </w:num>
  <w:num w:numId="31">
    <w:abstractNumId w:val="23"/>
  </w:num>
  <w:num w:numId="32">
    <w:abstractNumId w:val="33"/>
  </w:num>
  <w:num w:numId="33">
    <w:abstractNumId w:val="21"/>
  </w:num>
  <w:num w:numId="34">
    <w:abstractNumId w:val="2"/>
  </w:num>
  <w:num w:numId="35">
    <w:abstractNumId w:val="16"/>
  </w:num>
  <w:num w:numId="36">
    <w:abstractNumId w:val="22"/>
  </w:num>
  <w:num w:numId="37">
    <w:abstractNumId w:val="25"/>
  </w:num>
  <w:num w:numId="38">
    <w:abstractNumId w:val="12"/>
  </w:num>
  <w:num w:numId="39">
    <w:abstractNumId w:val="51"/>
  </w:num>
  <w:num w:numId="40">
    <w:abstractNumId w:val="31"/>
  </w:num>
  <w:num w:numId="41">
    <w:abstractNumId w:val="7"/>
  </w:num>
  <w:num w:numId="42">
    <w:abstractNumId w:val="20"/>
  </w:num>
  <w:num w:numId="43">
    <w:abstractNumId w:val="32"/>
  </w:num>
  <w:num w:numId="44">
    <w:abstractNumId w:val="29"/>
  </w:num>
  <w:num w:numId="45">
    <w:abstractNumId w:val="5"/>
  </w:num>
  <w:num w:numId="46">
    <w:abstractNumId w:val="15"/>
  </w:num>
  <w:num w:numId="47">
    <w:abstractNumId w:val="1"/>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19"/>
  </w:num>
  <w:num w:numId="51">
    <w:abstractNumId w:val="35"/>
  </w:num>
  <w:num w:numId="52">
    <w:abstractNumId w:val="45"/>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7"/>
  <w:proofState w:spelling="clean" w:grammar="clean"/>
  <w:revisionView w:markup="0"/>
  <w:defaultTabStop w:val="720"/>
  <w:characterSpacingControl w:val="doNotCompress"/>
  <w:hdrShapeDefaults>
    <o:shapedefaults v:ext="edit" spidmax="17203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B4"/>
    <w:rsid w:val="00000B47"/>
    <w:rsid w:val="00003A66"/>
    <w:rsid w:val="00003CF8"/>
    <w:rsid w:val="00005E09"/>
    <w:rsid w:val="000062DC"/>
    <w:rsid w:val="00007B4E"/>
    <w:rsid w:val="0001125B"/>
    <w:rsid w:val="00011B06"/>
    <w:rsid w:val="00011BCA"/>
    <w:rsid w:val="00011C1B"/>
    <w:rsid w:val="00012355"/>
    <w:rsid w:val="000147A2"/>
    <w:rsid w:val="00015D7C"/>
    <w:rsid w:val="0001658B"/>
    <w:rsid w:val="00016BCB"/>
    <w:rsid w:val="00017D11"/>
    <w:rsid w:val="000208AE"/>
    <w:rsid w:val="00020984"/>
    <w:rsid w:val="00020AD9"/>
    <w:rsid w:val="0002264C"/>
    <w:rsid w:val="000249D2"/>
    <w:rsid w:val="000255F7"/>
    <w:rsid w:val="000258D1"/>
    <w:rsid w:val="00026FDA"/>
    <w:rsid w:val="000277DA"/>
    <w:rsid w:val="000309E3"/>
    <w:rsid w:val="00031481"/>
    <w:rsid w:val="000353E0"/>
    <w:rsid w:val="0003673B"/>
    <w:rsid w:val="00037E9F"/>
    <w:rsid w:val="000407EA"/>
    <w:rsid w:val="00041A10"/>
    <w:rsid w:val="00041D63"/>
    <w:rsid w:val="000433CD"/>
    <w:rsid w:val="00043AD6"/>
    <w:rsid w:val="0004501C"/>
    <w:rsid w:val="000452F1"/>
    <w:rsid w:val="00045AE9"/>
    <w:rsid w:val="00046F03"/>
    <w:rsid w:val="0004747C"/>
    <w:rsid w:val="0005058B"/>
    <w:rsid w:val="0005108D"/>
    <w:rsid w:val="000514E3"/>
    <w:rsid w:val="00052D59"/>
    <w:rsid w:val="00052E2F"/>
    <w:rsid w:val="00052FF5"/>
    <w:rsid w:val="00053A26"/>
    <w:rsid w:val="00053AEB"/>
    <w:rsid w:val="000548EB"/>
    <w:rsid w:val="00061DD3"/>
    <w:rsid w:val="00062023"/>
    <w:rsid w:val="000627B3"/>
    <w:rsid w:val="00062947"/>
    <w:rsid w:val="00064D44"/>
    <w:rsid w:val="00066D7B"/>
    <w:rsid w:val="00067799"/>
    <w:rsid w:val="00070447"/>
    <w:rsid w:val="00070655"/>
    <w:rsid w:val="00071685"/>
    <w:rsid w:val="00072C85"/>
    <w:rsid w:val="00073292"/>
    <w:rsid w:val="00073D7E"/>
    <w:rsid w:val="000759C1"/>
    <w:rsid w:val="00076648"/>
    <w:rsid w:val="00076A2A"/>
    <w:rsid w:val="00077523"/>
    <w:rsid w:val="0008040C"/>
    <w:rsid w:val="000813BF"/>
    <w:rsid w:val="000815ED"/>
    <w:rsid w:val="00082B57"/>
    <w:rsid w:val="000840CE"/>
    <w:rsid w:val="00085494"/>
    <w:rsid w:val="00085870"/>
    <w:rsid w:val="00086060"/>
    <w:rsid w:val="0008670A"/>
    <w:rsid w:val="000905B2"/>
    <w:rsid w:val="00091131"/>
    <w:rsid w:val="00091236"/>
    <w:rsid w:val="00092130"/>
    <w:rsid w:val="0009275C"/>
    <w:rsid w:val="00093587"/>
    <w:rsid w:val="00093C3B"/>
    <w:rsid w:val="00095654"/>
    <w:rsid w:val="00095AF2"/>
    <w:rsid w:val="00095E50"/>
    <w:rsid w:val="000A022E"/>
    <w:rsid w:val="000A09DF"/>
    <w:rsid w:val="000A21A4"/>
    <w:rsid w:val="000A347C"/>
    <w:rsid w:val="000A3562"/>
    <w:rsid w:val="000A42BD"/>
    <w:rsid w:val="000A4BD4"/>
    <w:rsid w:val="000A6705"/>
    <w:rsid w:val="000B1513"/>
    <w:rsid w:val="000B3C66"/>
    <w:rsid w:val="000B4270"/>
    <w:rsid w:val="000B4465"/>
    <w:rsid w:val="000B4757"/>
    <w:rsid w:val="000B4AD6"/>
    <w:rsid w:val="000B5252"/>
    <w:rsid w:val="000B58F2"/>
    <w:rsid w:val="000B5D1A"/>
    <w:rsid w:val="000C1732"/>
    <w:rsid w:val="000C2D44"/>
    <w:rsid w:val="000C343A"/>
    <w:rsid w:val="000C52B3"/>
    <w:rsid w:val="000C54C6"/>
    <w:rsid w:val="000C65DE"/>
    <w:rsid w:val="000C65FA"/>
    <w:rsid w:val="000C6CAF"/>
    <w:rsid w:val="000D1640"/>
    <w:rsid w:val="000D1A4A"/>
    <w:rsid w:val="000D1F75"/>
    <w:rsid w:val="000D29F2"/>
    <w:rsid w:val="000D2E83"/>
    <w:rsid w:val="000D4356"/>
    <w:rsid w:val="000D4C74"/>
    <w:rsid w:val="000D61E5"/>
    <w:rsid w:val="000E0571"/>
    <w:rsid w:val="000E146C"/>
    <w:rsid w:val="000E14BF"/>
    <w:rsid w:val="000E1A68"/>
    <w:rsid w:val="000E1CBD"/>
    <w:rsid w:val="000E1D08"/>
    <w:rsid w:val="000E274B"/>
    <w:rsid w:val="000E3A8F"/>
    <w:rsid w:val="000E4186"/>
    <w:rsid w:val="000E49F0"/>
    <w:rsid w:val="000E4DD7"/>
    <w:rsid w:val="000E5453"/>
    <w:rsid w:val="000E5ABD"/>
    <w:rsid w:val="000E6065"/>
    <w:rsid w:val="000E6D78"/>
    <w:rsid w:val="000E6F7F"/>
    <w:rsid w:val="000E7641"/>
    <w:rsid w:val="000F025F"/>
    <w:rsid w:val="000F083B"/>
    <w:rsid w:val="000F0B5B"/>
    <w:rsid w:val="000F179B"/>
    <w:rsid w:val="000F27BF"/>
    <w:rsid w:val="000F2BBC"/>
    <w:rsid w:val="000F427D"/>
    <w:rsid w:val="000F54E1"/>
    <w:rsid w:val="000F5A15"/>
    <w:rsid w:val="0010123C"/>
    <w:rsid w:val="00101FF5"/>
    <w:rsid w:val="00102763"/>
    <w:rsid w:val="00104270"/>
    <w:rsid w:val="001051EB"/>
    <w:rsid w:val="00106A58"/>
    <w:rsid w:val="00106B4B"/>
    <w:rsid w:val="00106BF4"/>
    <w:rsid w:val="00110189"/>
    <w:rsid w:val="001108E7"/>
    <w:rsid w:val="00110E46"/>
    <w:rsid w:val="00111D26"/>
    <w:rsid w:val="00114304"/>
    <w:rsid w:val="00116836"/>
    <w:rsid w:val="00117114"/>
    <w:rsid w:val="00117253"/>
    <w:rsid w:val="001173D3"/>
    <w:rsid w:val="00121C8A"/>
    <w:rsid w:val="00122DFB"/>
    <w:rsid w:val="00123D41"/>
    <w:rsid w:val="00124964"/>
    <w:rsid w:val="0012515E"/>
    <w:rsid w:val="00125482"/>
    <w:rsid w:val="00126D60"/>
    <w:rsid w:val="00130B49"/>
    <w:rsid w:val="00130B67"/>
    <w:rsid w:val="00131EAC"/>
    <w:rsid w:val="00131ED4"/>
    <w:rsid w:val="0013396B"/>
    <w:rsid w:val="00134149"/>
    <w:rsid w:val="00134432"/>
    <w:rsid w:val="00134ABC"/>
    <w:rsid w:val="00135B61"/>
    <w:rsid w:val="00135DEF"/>
    <w:rsid w:val="00136EFF"/>
    <w:rsid w:val="0013788E"/>
    <w:rsid w:val="00137CDA"/>
    <w:rsid w:val="00137F9D"/>
    <w:rsid w:val="001404E8"/>
    <w:rsid w:val="0014228C"/>
    <w:rsid w:val="00144292"/>
    <w:rsid w:val="0014505F"/>
    <w:rsid w:val="00145898"/>
    <w:rsid w:val="00147D7F"/>
    <w:rsid w:val="0015008F"/>
    <w:rsid w:val="0015121D"/>
    <w:rsid w:val="00152358"/>
    <w:rsid w:val="001523D9"/>
    <w:rsid w:val="00152714"/>
    <w:rsid w:val="00152E89"/>
    <w:rsid w:val="00153D3C"/>
    <w:rsid w:val="00154C21"/>
    <w:rsid w:val="00156943"/>
    <w:rsid w:val="001579D9"/>
    <w:rsid w:val="00157BA3"/>
    <w:rsid w:val="00160320"/>
    <w:rsid w:val="00160BB4"/>
    <w:rsid w:val="00161291"/>
    <w:rsid w:val="0016159C"/>
    <w:rsid w:val="001627CE"/>
    <w:rsid w:val="0016295F"/>
    <w:rsid w:val="00164B94"/>
    <w:rsid w:val="00164BAB"/>
    <w:rsid w:val="00165FB4"/>
    <w:rsid w:val="00167C7B"/>
    <w:rsid w:val="00167E37"/>
    <w:rsid w:val="0017166E"/>
    <w:rsid w:val="00171870"/>
    <w:rsid w:val="0017230B"/>
    <w:rsid w:val="0017281B"/>
    <w:rsid w:val="0017539F"/>
    <w:rsid w:val="00175E14"/>
    <w:rsid w:val="0017639A"/>
    <w:rsid w:val="00176A71"/>
    <w:rsid w:val="00176B09"/>
    <w:rsid w:val="0017746D"/>
    <w:rsid w:val="00177701"/>
    <w:rsid w:val="001814A5"/>
    <w:rsid w:val="0018374D"/>
    <w:rsid w:val="001837A6"/>
    <w:rsid w:val="001844C2"/>
    <w:rsid w:val="00185771"/>
    <w:rsid w:val="00185C20"/>
    <w:rsid w:val="00190BD3"/>
    <w:rsid w:val="001914C0"/>
    <w:rsid w:val="00191A02"/>
    <w:rsid w:val="001929CF"/>
    <w:rsid w:val="00192DB9"/>
    <w:rsid w:val="0019488B"/>
    <w:rsid w:val="00194AF3"/>
    <w:rsid w:val="001969BA"/>
    <w:rsid w:val="001A00E7"/>
    <w:rsid w:val="001A033A"/>
    <w:rsid w:val="001A0467"/>
    <w:rsid w:val="001A0650"/>
    <w:rsid w:val="001A0C22"/>
    <w:rsid w:val="001A154D"/>
    <w:rsid w:val="001A166F"/>
    <w:rsid w:val="001A222E"/>
    <w:rsid w:val="001A57F8"/>
    <w:rsid w:val="001A5A00"/>
    <w:rsid w:val="001A6CBC"/>
    <w:rsid w:val="001B038B"/>
    <w:rsid w:val="001B14DC"/>
    <w:rsid w:val="001B2159"/>
    <w:rsid w:val="001B24C8"/>
    <w:rsid w:val="001B2760"/>
    <w:rsid w:val="001B2A05"/>
    <w:rsid w:val="001B3B3E"/>
    <w:rsid w:val="001B42FA"/>
    <w:rsid w:val="001B5757"/>
    <w:rsid w:val="001C1D33"/>
    <w:rsid w:val="001C2E09"/>
    <w:rsid w:val="001C4D75"/>
    <w:rsid w:val="001D0704"/>
    <w:rsid w:val="001D0E15"/>
    <w:rsid w:val="001D1C51"/>
    <w:rsid w:val="001D39BB"/>
    <w:rsid w:val="001D4837"/>
    <w:rsid w:val="001D7396"/>
    <w:rsid w:val="001E0B1C"/>
    <w:rsid w:val="001E0DF4"/>
    <w:rsid w:val="001E3939"/>
    <w:rsid w:val="001E471C"/>
    <w:rsid w:val="001E66F1"/>
    <w:rsid w:val="001E689C"/>
    <w:rsid w:val="001E6FF0"/>
    <w:rsid w:val="001F0D8E"/>
    <w:rsid w:val="001F1101"/>
    <w:rsid w:val="001F2FE3"/>
    <w:rsid w:val="001F3EF4"/>
    <w:rsid w:val="001F4EE3"/>
    <w:rsid w:val="00200530"/>
    <w:rsid w:val="00200BEE"/>
    <w:rsid w:val="00201FD3"/>
    <w:rsid w:val="00202152"/>
    <w:rsid w:val="00203F82"/>
    <w:rsid w:val="00204741"/>
    <w:rsid w:val="00204D2A"/>
    <w:rsid w:val="00205DDA"/>
    <w:rsid w:val="00206C55"/>
    <w:rsid w:val="00207D28"/>
    <w:rsid w:val="00207FB3"/>
    <w:rsid w:val="0021109D"/>
    <w:rsid w:val="00213756"/>
    <w:rsid w:val="00213CFF"/>
    <w:rsid w:val="00217750"/>
    <w:rsid w:val="002205FC"/>
    <w:rsid w:val="00220F34"/>
    <w:rsid w:val="00221327"/>
    <w:rsid w:val="0022155B"/>
    <w:rsid w:val="00222D84"/>
    <w:rsid w:val="002233F0"/>
    <w:rsid w:val="0022419A"/>
    <w:rsid w:val="002246DA"/>
    <w:rsid w:val="00224997"/>
    <w:rsid w:val="00225AF6"/>
    <w:rsid w:val="00226534"/>
    <w:rsid w:val="002275ED"/>
    <w:rsid w:val="002306B9"/>
    <w:rsid w:val="002309A0"/>
    <w:rsid w:val="0023175C"/>
    <w:rsid w:val="002323AC"/>
    <w:rsid w:val="00232C38"/>
    <w:rsid w:val="002333BD"/>
    <w:rsid w:val="002346DE"/>
    <w:rsid w:val="00235F7E"/>
    <w:rsid w:val="0023782E"/>
    <w:rsid w:val="002404F1"/>
    <w:rsid w:val="00242BD8"/>
    <w:rsid w:val="00242C27"/>
    <w:rsid w:val="00243219"/>
    <w:rsid w:val="002432C4"/>
    <w:rsid w:val="00243D35"/>
    <w:rsid w:val="00244379"/>
    <w:rsid w:val="00244C6D"/>
    <w:rsid w:val="00245014"/>
    <w:rsid w:val="00245E01"/>
    <w:rsid w:val="00246407"/>
    <w:rsid w:val="0024720D"/>
    <w:rsid w:val="0024759F"/>
    <w:rsid w:val="002476F6"/>
    <w:rsid w:val="002479E0"/>
    <w:rsid w:val="00247E31"/>
    <w:rsid w:val="002507BD"/>
    <w:rsid w:val="00250DC8"/>
    <w:rsid w:val="00251698"/>
    <w:rsid w:val="00252139"/>
    <w:rsid w:val="00252C8E"/>
    <w:rsid w:val="00253999"/>
    <w:rsid w:val="0025485B"/>
    <w:rsid w:val="002554C7"/>
    <w:rsid w:val="0025552A"/>
    <w:rsid w:val="00257279"/>
    <w:rsid w:val="00257966"/>
    <w:rsid w:val="0026140D"/>
    <w:rsid w:val="002623A2"/>
    <w:rsid w:val="002628BD"/>
    <w:rsid w:val="00262951"/>
    <w:rsid w:val="00262A8E"/>
    <w:rsid w:val="002631A5"/>
    <w:rsid w:val="00265A76"/>
    <w:rsid w:val="00265F33"/>
    <w:rsid w:val="002674C4"/>
    <w:rsid w:val="00267874"/>
    <w:rsid w:val="00270522"/>
    <w:rsid w:val="00270FF0"/>
    <w:rsid w:val="00271C89"/>
    <w:rsid w:val="00271C93"/>
    <w:rsid w:val="00272B1B"/>
    <w:rsid w:val="0027494C"/>
    <w:rsid w:val="00276725"/>
    <w:rsid w:val="00276B23"/>
    <w:rsid w:val="00276C4B"/>
    <w:rsid w:val="00276DFA"/>
    <w:rsid w:val="002771C6"/>
    <w:rsid w:val="0027783E"/>
    <w:rsid w:val="00281093"/>
    <w:rsid w:val="00284C88"/>
    <w:rsid w:val="00284F01"/>
    <w:rsid w:val="00285513"/>
    <w:rsid w:val="00285EB8"/>
    <w:rsid w:val="0028641B"/>
    <w:rsid w:val="002866B2"/>
    <w:rsid w:val="0029052C"/>
    <w:rsid w:val="00292859"/>
    <w:rsid w:val="00292F52"/>
    <w:rsid w:val="00294792"/>
    <w:rsid w:val="0029483E"/>
    <w:rsid w:val="002958B7"/>
    <w:rsid w:val="0029749F"/>
    <w:rsid w:val="002A0235"/>
    <w:rsid w:val="002A03E7"/>
    <w:rsid w:val="002A0519"/>
    <w:rsid w:val="002A0B04"/>
    <w:rsid w:val="002A0F76"/>
    <w:rsid w:val="002A1CC8"/>
    <w:rsid w:val="002A209E"/>
    <w:rsid w:val="002A2EF1"/>
    <w:rsid w:val="002A447B"/>
    <w:rsid w:val="002A6800"/>
    <w:rsid w:val="002A7493"/>
    <w:rsid w:val="002A76B5"/>
    <w:rsid w:val="002B0E4E"/>
    <w:rsid w:val="002B1541"/>
    <w:rsid w:val="002B1BE0"/>
    <w:rsid w:val="002B29F6"/>
    <w:rsid w:val="002B2C1B"/>
    <w:rsid w:val="002B591A"/>
    <w:rsid w:val="002B5D82"/>
    <w:rsid w:val="002B5F5A"/>
    <w:rsid w:val="002B617E"/>
    <w:rsid w:val="002B732F"/>
    <w:rsid w:val="002B77BB"/>
    <w:rsid w:val="002B7C0F"/>
    <w:rsid w:val="002C1413"/>
    <w:rsid w:val="002C1D64"/>
    <w:rsid w:val="002C36F8"/>
    <w:rsid w:val="002C4818"/>
    <w:rsid w:val="002C5F71"/>
    <w:rsid w:val="002C6DA4"/>
    <w:rsid w:val="002D0CD1"/>
    <w:rsid w:val="002D1141"/>
    <w:rsid w:val="002D2B94"/>
    <w:rsid w:val="002D3F6D"/>
    <w:rsid w:val="002D43C6"/>
    <w:rsid w:val="002D5166"/>
    <w:rsid w:val="002D56E2"/>
    <w:rsid w:val="002D6A31"/>
    <w:rsid w:val="002E0DCB"/>
    <w:rsid w:val="002E15B9"/>
    <w:rsid w:val="002E4836"/>
    <w:rsid w:val="002F0C2E"/>
    <w:rsid w:val="002F2194"/>
    <w:rsid w:val="002F22FF"/>
    <w:rsid w:val="002F2EAE"/>
    <w:rsid w:val="002F32F9"/>
    <w:rsid w:val="002F5B9B"/>
    <w:rsid w:val="002F6EE6"/>
    <w:rsid w:val="002F79C9"/>
    <w:rsid w:val="003004F2"/>
    <w:rsid w:val="0030094C"/>
    <w:rsid w:val="00300C51"/>
    <w:rsid w:val="00301DA9"/>
    <w:rsid w:val="00303C8F"/>
    <w:rsid w:val="00304665"/>
    <w:rsid w:val="00304A3C"/>
    <w:rsid w:val="003050A7"/>
    <w:rsid w:val="003055BA"/>
    <w:rsid w:val="00306660"/>
    <w:rsid w:val="00307772"/>
    <w:rsid w:val="00307CDB"/>
    <w:rsid w:val="00311DEB"/>
    <w:rsid w:val="00312D30"/>
    <w:rsid w:val="00312F8F"/>
    <w:rsid w:val="00314D9B"/>
    <w:rsid w:val="003152B2"/>
    <w:rsid w:val="003152CE"/>
    <w:rsid w:val="00315C88"/>
    <w:rsid w:val="00317E1A"/>
    <w:rsid w:val="003239A2"/>
    <w:rsid w:val="00326E3B"/>
    <w:rsid w:val="00327177"/>
    <w:rsid w:val="00327E45"/>
    <w:rsid w:val="00330BAC"/>
    <w:rsid w:val="003310D8"/>
    <w:rsid w:val="00333D11"/>
    <w:rsid w:val="00334312"/>
    <w:rsid w:val="00334704"/>
    <w:rsid w:val="00334EC0"/>
    <w:rsid w:val="003379C9"/>
    <w:rsid w:val="00337B08"/>
    <w:rsid w:val="00337C03"/>
    <w:rsid w:val="00340376"/>
    <w:rsid w:val="00340392"/>
    <w:rsid w:val="00340A35"/>
    <w:rsid w:val="00340EBE"/>
    <w:rsid w:val="00340F05"/>
    <w:rsid w:val="00342BE8"/>
    <w:rsid w:val="003432A9"/>
    <w:rsid w:val="00344F60"/>
    <w:rsid w:val="00345A8F"/>
    <w:rsid w:val="00345B54"/>
    <w:rsid w:val="00346B97"/>
    <w:rsid w:val="00346F80"/>
    <w:rsid w:val="0034735D"/>
    <w:rsid w:val="00347D81"/>
    <w:rsid w:val="003501DF"/>
    <w:rsid w:val="00351BEB"/>
    <w:rsid w:val="00351D16"/>
    <w:rsid w:val="003525FB"/>
    <w:rsid w:val="00352882"/>
    <w:rsid w:val="00354239"/>
    <w:rsid w:val="00355C08"/>
    <w:rsid w:val="003576FA"/>
    <w:rsid w:val="003610DB"/>
    <w:rsid w:val="00361557"/>
    <w:rsid w:val="00361D6F"/>
    <w:rsid w:val="00362608"/>
    <w:rsid w:val="00362A91"/>
    <w:rsid w:val="00363D39"/>
    <w:rsid w:val="00363F3B"/>
    <w:rsid w:val="00363F4A"/>
    <w:rsid w:val="0036481C"/>
    <w:rsid w:val="00364AAA"/>
    <w:rsid w:val="003654E7"/>
    <w:rsid w:val="00365E28"/>
    <w:rsid w:val="00366470"/>
    <w:rsid w:val="00366585"/>
    <w:rsid w:val="003665A1"/>
    <w:rsid w:val="00370202"/>
    <w:rsid w:val="00372828"/>
    <w:rsid w:val="0037294C"/>
    <w:rsid w:val="00374EC0"/>
    <w:rsid w:val="00375E44"/>
    <w:rsid w:val="003779D4"/>
    <w:rsid w:val="00377AD4"/>
    <w:rsid w:val="00377C0B"/>
    <w:rsid w:val="00377CD2"/>
    <w:rsid w:val="00377E90"/>
    <w:rsid w:val="003800B2"/>
    <w:rsid w:val="0038140C"/>
    <w:rsid w:val="003816AB"/>
    <w:rsid w:val="00382084"/>
    <w:rsid w:val="00382EB2"/>
    <w:rsid w:val="003852E6"/>
    <w:rsid w:val="00385E48"/>
    <w:rsid w:val="003860AA"/>
    <w:rsid w:val="00386F7F"/>
    <w:rsid w:val="003905C5"/>
    <w:rsid w:val="00390A2D"/>
    <w:rsid w:val="00390D5D"/>
    <w:rsid w:val="003911A6"/>
    <w:rsid w:val="00391ED5"/>
    <w:rsid w:val="00392A06"/>
    <w:rsid w:val="00392DCF"/>
    <w:rsid w:val="00392E59"/>
    <w:rsid w:val="00394DBA"/>
    <w:rsid w:val="00395AF2"/>
    <w:rsid w:val="00395BBF"/>
    <w:rsid w:val="00397FCA"/>
    <w:rsid w:val="003A0A95"/>
    <w:rsid w:val="003A1628"/>
    <w:rsid w:val="003A1E46"/>
    <w:rsid w:val="003A2124"/>
    <w:rsid w:val="003A2B30"/>
    <w:rsid w:val="003A2E28"/>
    <w:rsid w:val="003A492D"/>
    <w:rsid w:val="003A5953"/>
    <w:rsid w:val="003A5D85"/>
    <w:rsid w:val="003A6C41"/>
    <w:rsid w:val="003A6D6C"/>
    <w:rsid w:val="003B0227"/>
    <w:rsid w:val="003B0440"/>
    <w:rsid w:val="003B14F0"/>
    <w:rsid w:val="003B231B"/>
    <w:rsid w:val="003B45C2"/>
    <w:rsid w:val="003B4891"/>
    <w:rsid w:val="003B531A"/>
    <w:rsid w:val="003B55AF"/>
    <w:rsid w:val="003B59FB"/>
    <w:rsid w:val="003B5F1A"/>
    <w:rsid w:val="003B5FD9"/>
    <w:rsid w:val="003B62CF"/>
    <w:rsid w:val="003B6910"/>
    <w:rsid w:val="003B7EF3"/>
    <w:rsid w:val="003C1484"/>
    <w:rsid w:val="003C16A5"/>
    <w:rsid w:val="003C2199"/>
    <w:rsid w:val="003C3AA8"/>
    <w:rsid w:val="003C738B"/>
    <w:rsid w:val="003D1019"/>
    <w:rsid w:val="003D11A4"/>
    <w:rsid w:val="003D2288"/>
    <w:rsid w:val="003D3165"/>
    <w:rsid w:val="003D3DCE"/>
    <w:rsid w:val="003D51E4"/>
    <w:rsid w:val="003D7DBA"/>
    <w:rsid w:val="003D7DDD"/>
    <w:rsid w:val="003E085B"/>
    <w:rsid w:val="003E0A15"/>
    <w:rsid w:val="003E120C"/>
    <w:rsid w:val="003E2F40"/>
    <w:rsid w:val="003E3167"/>
    <w:rsid w:val="003E3414"/>
    <w:rsid w:val="003E4936"/>
    <w:rsid w:val="003E49BD"/>
    <w:rsid w:val="003E5613"/>
    <w:rsid w:val="003E5C61"/>
    <w:rsid w:val="003E6FA4"/>
    <w:rsid w:val="003E77DF"/>
    <w:rsid w:val="003F0D8A"/>
    <w:rsid w:val="003F14CB"/>
    <w:rsid w:val="003F20A4"/>
    <w:rsid w:val="003F2476"/>
    <w:rsid w:val="003F33A8"/>
    <w:rsid w:val="003F370B"/>
    <w:rsid w:val="003F572B"/>
    <w:rsid w:val="003F57B5"/>
    <w:rsid w:val="003F5F0F"/>
    <w:rsid w:val="003F60C8"/>
    <w:rsid w:val="0040057D"/>
    <w:rsid w:val="00401110"/>
    <w:rsid w:val="00401DF4"/>
    <w:rsid w:val="00402185"/>
    <w:rsid w:val="00402EE9"/>
    <w:rsid w:val="0040302D"/>
    <w:rsid w:val="00403032"/>
    <w:rsid w:val="004047C0"/>
    <w:rsid w:val="00406968"/>
    <w:rsid w:val="00406D62"/>
    <w:rsid w:val="004079A2"/>
    <w:rsid w:val="00410507"/>
    <w:rsid w:val="0041051B"/>
    <w:rsid w:val="0041059C"/>
    <w:rsid w:val="004122FF"/>
    <w:rsid w:val="0041278C"/>
    <w:rsid w:val="0041424F"/>
    <w:rsid w:val="0041488D"/>
    <w:rsid w:val="004149DB"/>
    <w:rsid w:val="00415705"/>
    <w:rsid w:val="00416D9F"/>
    <w:rsid w:val="00417CE3"/>
    <w:rsid w:val="00420728"/>
    <w:rsid w:val="00421574"/>
    <w:rsid w:val="00422374"/>
    <w:rsid w:val="00422D11"/>
    <w:rsid w:val="00423120"/>
    <w:rsid w:val="004234BD"/>
    <w:rsid w:val="00424C03"/>
    <w:rsid w:val="0042595C"/>
    <w:rsid w:val="00426523"/>
    <w:rsid w:val="0042681F"/>
    <w:rsid w:val="00426B2B"/>
    <w:rsid w:val="00427237"/>
    <w:rsid w:val="004277FD"/>
    <w:rsid w:val="00430013"/>
    <w:rsid w:val="004312EF"/>
    <w:rsid w:val="00431FA4"/>
    <w:rsid w:val="00432117"/>
    <w:rsid w:val="00433ED0"/>
    <w:rsid w:val="00433F3E"/>
    <w:rsid w:val="0043400C"/>
    <w:rsid w:val="00434155"/>
    <w:rsid w:val="004342B2"/>
    <w:rsid w:val="00434956"/>
    <w:rsid w:val="0043594F"/>
    <w:rsid w:val="00435E9E"/>
    <w:rsid w:val="00436D6A"/>
    <w:rsid w:val="004373D1"/>
    <w:rsid w:val="00440492"/>
    <w:rsid w:val="00441F34"/>
    <w:rsid w:val="00442F91"/>
    <w:rsid w:val="00443454"/>
    <w:rsid w:val="0044393F"/>
    <w:rsid w:val="00443E72"/>
    <w:rsid w:val="00443FDD"/>
    <w:rsid w:val="0044564A"/>
    <w:rsid w:val="00445998"/>
    <w:rsid w:val="00445B1D"/>
    <w:rsid w:val="00446420"/>
    <w:rsid w:val="0044694D"/>
    <w:rsid w:val="00446B28"/>
    <w:rsid w:val="0045035F"/>
    <w:rsid w:val="0045305B"/>
    <w:rsid w:val="00453EC0"/>
    <w:rsid w:val="004547CB"/>
    <w:rsid w:val="00456386"/>
    <w:rsid w:val="00456469"/>
    <w:rsid w:val="00460A2D"/>
    <w:rsid w:val="00461320"/>
    <w:rsid w:val="00461DE5"/>
    <w:rsid w:val="00462754"/>
    <w:rsid w:val="00462CF9"/>
    <w:rsid w:val="0046339D"/>
    <w:rsid w:val="00463B9A"/>
    <w:rsid w:val="0046484D"/>
    <w:rsid w:val="00465797"/>
    <w:rsid w:val="00465B97"/>
    <w:rsid w:val="00465F1B"/>
    <w:rsid w:val="00466291"/>
    <w:rsid w:val="0047010F"/>
    <w:rsid w:val="00471066"/>
    <w:rsid w:val="004713C4"/>
    <w:rsid w:val="00471AD7"/>
    <w:rsid w:val="00472B60"/>
    <w:rsid w:val="00473995"/>
    <w:rsid w:val="0047549C"/>
    <w:rsid w:val="0047640B"/>
    <w:rsid w:val="004764F3"/>
    <w:rsid w:val="004769B4"/>
    <w:rsid w:val="004773AD"/>
    <w:rsid w:val="004805F9"/>
    <w:rsid w:val="004809CE"/>
    <w:rsid w:val="00481BFD"/>
    <w:rsid w:val="00483728"/>
    <w:rsid w:val="00483F30"/>
    <w:rsid w:val="00484227"/>
    <w:rsid w:val="00484336"/>
    <w:rsid w:val="0048446A"/>
    <w:rsid w:val="00484AFD"/>
    <w:rsid w:val="00486E80"/>
    <w:rsid w:val="0048704C"/>
    <w:rsid w:val="004874BF"/>
    <w:rsid w:val="00487DE0"/>
    <w:rsid w:val="00490C8C"/>
    <w:rsid w:val="0049143A"/>
    <w:rsid w:val="004914BB"/>
    <w:rsid w:val="004925CD"/>
    <w:rsid w:val="004928E7"/>
    <w:rsid w:val="00494475"/>
    <w:rsid w:val="00496F6D"/>
    <w:rsid w:val="004979CE"/>
    <w:rsid w:val="004979F9"/>
    <w:rsid w:val="004A2191"/>
    <w:rsid w:val="004A3C91"/>
    <w:rsid w:val="004A5388"/>
    <w:rsid w:val="004A6F7D"/>
    <w:rsid w:val="004A72CD"/>
    <w:rsid w:val="004A7BE9"/>
    <w:rsid w:val="004A7D3B"/>
    <w:rsid w:val="004B0396"/>
    <w:rsid w:val="004B064E"/>
    <w:rsid w:val="004B0870"/>
    <w:rsid w:val="004B2319"/>
    <w:rsid w:val="004B3CD6"/>
    <w:rsid w:val="004B4370"/>
    <w:rsid w:val="004B46DB"/>
    <w:rsid w:val="004B55B6"/>
    <w:rsid w:val="004B5E37"/>
    <w:rsid w:val="004B5E74"/>
    <w:rsid w:val="004B6330"/>
    <w:rsid w:val="004B7EB2"/>
    <w:rsid w:val="004C2195"/>
    <w:rsid w:val="004C31E8"/>
    <w:rsid w:val="004C36E6"/>
    <w:rsid w:val="004C3885"/>
    <w:rsid w:val="004C3C20"/>
    <w:rsid w:val="004C44B6"/>
    <w:rsid w:val="004C44C4"/>
    <w:rsid w:val="004C49EA"/>
    <w:rsid w:val="004C7114"/>
    <w:rsid w:val="004C7EF7"/>
    <w:rsid w:val="004D0F3E"/>
    <w:rsid w:val="004D1B1D"/>
    <w:rsid w:val="004D20E4"/>
    <w:rsid w:val="004D2E2D"/>
    <w:rsid w:val="004D4A95"/>
    <w:rsid w:val="004D66DF"/>
    <w:rsid w:val="004D74DC"/>
    <w:rsid w:val="004D7D47"/>
    <w:rsid w:val="004E048A"/>
    <w:rsid w:val="004E0686"/>
    <w:rsid w:val="004E0C57"/>
    <w:rsid w:val="004E1D48"/>
    <w:rsid w:val="004E204D"/>
    <w:rsid w:val="004E20BA"/>
    <w:rsid w:val="004E3BF0"/>
    <w:rsid w:val="004E4D62"/>
    <w:rsid w:val="004E4E24"/>
    <w:rsid w:val="004E73E7"/>
    <w:rsid w:val="004F12A5"/>
    <w:rsid w:val="004F12C7"/>
    <w:rsid w:val="004F2E3C"/>
    <w:rsid w:val="004F3C81"/>
    <w:rsid w:val="004F3FF3"/>
    <w:rsid w:val="004F6547"/>
    <w:rsid w:val="004F7970"/>
    <w:rsid w:val="004F7C7D"/>
    <w:rsid w:val="004F7EF5"/>
    <w:rsid w:val="00500307"/>
    <w:rsid w:val="0050139C"/>
    <w:rsid w:val="00501970"/>
    <w:rsid w:val="00502CF0"/>
    <w:rsid w:val="0050341D"/>
    <w:rsid w:val="00503DF8"/>
    <w:rsid w:val="00504142"/>
    <w:rsid w:val="005048EC"/>
    <w:rsid w:val="00505214"/>
    <w:rsid w:val="005060A2"/>
    <w:rsid w:val="0050685C"/>
    <w:rsid w:val="0050686B"/>
    <w:rsid w:val="00506A71"/>
    <w:rsid w:val="00506A79"/>
    <w:rsid w:val="00506CB2"/>
    <w:rsid w:val="00510475"/>
    <w:rsid w:val="005106A7"/>
    <w:rsid w:val="0051125E"/>
    <w:rsid w:val="0051184B"/>
    <w:rsid w:val="0051186B"/>
    <w:rsid w:val="00511D6B"/>
    <w:rsid w:val="0051571A"/>
    <w:rsid w:val="00515C5F"/>
    <w:rsid w:val="005162B1"/>
    <w:rsid w:val="005170DC"/>
    <w:rsid w:val="00517F2A"/>
    <w:rsid w:val="0052021E"/>
    <w:rsid w:val="00521CF3"/>
    <w:rsid w:val="00521D7D"/>
    <w:rsid w:val="0052325D"/>
    <w:rsid w:val="0052519F"/>
    <w:rsid w:val="0052546B"/>
    <w:rsid w:val="005258E1"/>
    <w:rsid w:val="005264F2"/>
    <w:rsid w:val="00531ABB"/>
    <w:rsid w:val="00532C7B"/>
    <w:rsid w:val="00533D9C"/>
    <w:rsid w:val="005340F9"/>
    <w:rsid w:val="00535FF6"/>
    <w:rsid w:val="00536BF1"/>
    <w:rsid w:val="005402E8"/>
    <w:rsid w:val="00540C94"/>
    <w:rsid w:val="00540FF6"/>
    <w:rsid w:val="00541618"/>
    <w:rsid w:val="00541FF8"/>
    <w:rsid w:val="0054263E"/>
    <w:rsid w:val="00542F3C"/>
    <w:rsid w:val="005439A0"/>
    <w:rsid w:val="00543FCD"/>
    <w:rsid w:val="0054445D"/>
    <w:rsid w:val="005446AD"/>
    <w:rsid w:val="00545D7B"/>
    <w:rsid w:val="00546884"/>
    <w:rsid w:val="00547F60"/>
    <w:rsid w:val="0055011E"/>
    <w:rsid w:val="00551449"/>
    <w:rsid w:val="00552EA0"/>
    <w:rsid w:val="0055326D"/>
    <w:rsid w:val="00554286"/>
    <w:rsid w:val="0055456F"/>
    <w:rsid w:val="005557F4"/>
    <w:rsid w:val="005559B0"/>
    <w:rsid w:val="0055646C"/>
    <w:rsid w:val="0055693E"/>
    <w:rsid w:val="00563CE2"/>
    <w:rsid w:val="00564125"/>
    <w:rsid w:val="0056417E"/>
    <w:rsid w:val="00565608"/>
    <w:rsid w:val="005675AD"/>
    <w:rsid w:val="00567D59"/>
    <w:rsid w:val="00570537"/>
    <w:rsid w:val="00572B6F"/>
    <w:rsid w:val="005730C3"/>
    <w:rsid w:val="00573209"/>
    <w:rsid w:val="005736CD"/>
    <w:rsid w:val="00573D91"/>
    <w:rsid w:val="00574DEE"/>
    <w:rsid w:val="005768D9"/>
    <w:rsid w:val="00576B74"/>
    <w:rsid w:val="005800D1"/>
    <w:rsid w:val="00580E0E"/>
    <w:rsid w:val="005836B6"/>
    <w:rsid w:val="00583FE0"/>
    <w:rsid w:val="00584170"/>
    <w:rsid w:val="00584308"/>
    <w:rsid w:val="00584BD6"/>
    <w:rsid w:val="00585DC4"/>
    <w:rsid w:val="00586011"/>
    <w:rsid w:val="00586EE2"/>
    <w:rsid w:val="00587792"/>
    <w:rsid w:val="005878F8"/>
    <w:rsid w:val="00587FF4"/>
    <w:rsid w:val="0059051E"/>
    <w:rsid w:val="0059158A"/>
    <w:rsid w:val="00593D60"/>
    <w:rsid w:val="005944EB"/>
    <w:rsid w:val="0059454B"/>
    <w:rsid w:val="00596390"/>
    <w:rsid w:val="00596E69"/>
    <w:rsid w:val="00597CD5"/>
    <w:rsid w:val="005A0FAE"/>
    <w:rsid w:val="005A11C1"/>
    <w:rsid w:val="005A1D53"/>
    <w:rsid w:val="005A1F7F"/>
    <w:rsid w:val="005A2920"/>
    <w:rsid w:val="005A2B61"/>
    <w:rsid w:val="005A4135"/>
    <w:rsid w:val="005A4214"/>
    <w:rsid w:val="005A4E57"/>
    <w:rsid w:val="005A5A39"/>
    <w:rsid w:val="005A60B1"/>
    <w:rsid w:val="005A64E5"/>
    <w:rsid w:val="005A66FC"/>
    <w:rsid w:val="005A6CA7"/>
    <w:rsid w:val="005B0F2A"/>
    <w:rsid w:val="005B2112"/>
    <w:rsid w:val="005B24FC"/>
    <w:rsid w:val="005B2E75"/>
    <w:rsid w:val="005B373B"/>
    <w:rsid w:val="005B3F4D"/>
    <w:rsid w:val="005B4D42"/>
    <w:rsid w:val="005B57EB"/>
    <w:rsid w:val="005B5CF9"/>
    <w:rsid w:val="005B5E47"/>
    <w:rsid w:val="005C0AB3"/>
    <w:rsid w:val="005C0D86"/>
    <w:rsid w:val="005C23C3"/>
    <w:rsid w:val="005C2707"/>
    <w:rsid w:val="005C2940"/>
    <w:rsid w:val="005C3EDC"/>
    <w:rsid w:val="005C44A3"/>
    <w:rsid w:val="005C44D6"/>
    <w:rsid w:val="005C4C98"/>
    <w:rsid w:val="005C519C"/>
    <w:rsid w:val="005C52BF"/>
    <w:rsid w:val="005C644B"/>
    <w:rsid w:val="005C6590"/>
    <w:rsid w:val="005C6D1D"/>
    <w:rsid w:val="005C7F78"/>
    <w:rsid w:val="005D0BCB"/>
    <w:rsid w:val="005D226C"/>
    <w:rsid w:val="005D2B5E"/>
    <w:rsid w:val="005D3018"/>
    <w:rsid w:val="005D3229"/>
    <w:rsid w:val="005D34A6"/>
    <w:rsid w:val="005D373C"/>
    <w:rsid w:val="005D3DB7"/>
    <w:rsid w:val="005D4528"/>
    <w:rsid w:val="005D4D32"/>
    <w:rsid w:val="005D5A47"/>
    <w:rsid w:val="005D5EC7"/>
    <w:rsid w:val="005D670D"/>
    <w:rsid w:val="005D6BC1"/>
    <w:rsid w:val="005E103C"/>
    <w:rsid w:val="005E123D"/>
    <w:rsid w:val="005E1F65"/>
    <w:rsid w:val="005E289D"/>
    <w:rsid w:val="005E2FA2"/>
    <w:rsid w:val="005E2FF0"/>
    <w:rsid w:val="005E344E"/>
    <w:rsid w:val="005E3606"/>
    <w:rsid w:val="005E6E51"/>
    <w:rsid w:val="005E7E8C"/>
    <w:rsid w:val="005F03AF"/>
    <w:rsid w:val="005F0718"/>
    <w:rsid w:val="005F0740"/>
    <w:rsid w:val="005F0BF9"/>
    <w:rsid w:val="005F0E44"/>
    <w:rsid w:val="005F1ACD"/>
    <w:rsid w:val="005F1C61"/>
    <w:rsid w:val="005F29CB"/>
    <w:rsid w:val="005F37F9"/>
    <w:rsid w:val="005F38CB"/>
    <w:rsid w:val="005F4197"/>
    <w:rsid w:val="005F4285"/>
    <w:rsid w:val="005F6F07"/>
    <w:rsid w:val="006002C7"/>
    <w:rsid w:val="0060037C"/>
    <w:rsid w:val="00601E28"/>
    <w:rsid w:val="00604E9B"/>
    <w:rsid w:val="00605869"/>
    <w:rsid w:val="00606791"/>
    <w:rsid w:val="006078F7"/>
    <w:rsid w:val="00607A55"/>
    <w:rsid w:val="00607B69"/>
    <w:rsid w:val="006107ED"/>
    <w:rsid w:val="006116E4"/>
    <w:rsid w:val="006130D6"/>
    <w:rsid w:val="00613BBF"/>
    <w:rsid w:val="00614D51"/>
    <w:rsid w:val="00615812"/>
    <w:rsid w:val="00616D34"/>
    <w:rsid w:val="006178E7"/>
    <w:rsid w:val="00621538"/>
    <w:rsid w:val="00621B49"/>
    <w:rsid w:val="00623DA0"/>
    <w:rsid w:val="006255D6"/>
    <w:rsid w:val="00625613"/>
    <w:rsid w:val="006258F1"/>
    <w:rsid w:val="00625DAA"/>
    <w:rsid w:val="0062607C"/>
    <w:rsid w:val="00626102"/>
    <w:rsid w:val="0062791D"/>
    <w:rsid w:val="00630AE9"/>
    <w:rsid w:val="0063183A"/>
    <w:rsid w:val="00631EE4"/>
    <w:rsid w:val="0063213E"/>
    <w:rsid w:val="00632714"/>
    <w:rsid w:val="00632D50"/>
    <w:rsid w:val="006331AF"/>
    <w:rsid w:val="00633D12"/>
    <w:rsid w:val="006347E6"/>
    <w:rsid w:val="00634926"/>
    <w:rsid w:val="00635F91"/>
    <w:rsid w:val="00636936"/>
    <w:rsid w:val="00636ADF"/>
    <w:rsid w:val="00640083"/>
    <w:rsid w:val="0064024B"/>
    <w:rsid w:val="006409D2"/>
    <w:rsid w:val="006421AD"/>
    <w:rsid w:val="00642718"/>
    <w:rsid w:val="00643217"/>
    <w:rsid w:val="006443E6"/>
    <w:rsid w:val="00644AEF"/>
    <w:rsid w:val="006464FF"/>
    <w:rsid w:val="00646890"/>
    <w:rsid w:val="00646928"/>
    <w:rsid w:val="00646D6F"/>
    <w:rsid w:val="0065069C"/>
    <w:rsid w:val="00650A68"/>
    <w:rsid w:val="0065144F"/>
    <w:rsid w:val="0065165D"/>
    <w:rsid w:val="00652B97"/>
    <w:rsid w:val="00654D92"/>
    <w:rsid w:val="0065764D"/>
    <w:rsid w:val="00657F20"/>
    <w:rsid w:val="006603C1"/>
    <w:rsid w:val="0066099A"/>
    <w:rsid w:val="00660D99"/>
    <w:rsid w:val="00661759"/>
    <w:rsid w:val="00661C1B"/>
    <w:rsid w:val="00662A54"/>
    <w:rsid w:val="006638FB"/>
    <w:rsid w:val="00663950"/>
    <w:rsid w:val="00664E6C"/>
    <w:rsid w:val="00667AED"/>
    <w:rsid w:val="00667D10"/>
    <w:rsid w:val="0067074E"/>
    <w:rsid w:val="00670E0C"/>
    <w:rsid w:val="0067181C"/>
    <w:rsid w:val="00671B39"/>
    <w:rsid w:val="00672749"/>
    <w:rsid w:val="00672E58"/>
    <w:rsid w:val="006771DB"/>
    <w:rsid w:val="00677886"/>
    <w:rsid w:val="00677BFB"/>
    <w:rsid w:val="006804B7"/>
    <w:rsid w:val="00680706"/>
    <w:rsid w:val="006820F5"/>
    <w:rsid w:val="00682353"/>
    <w:rsid w:val="006830E4"/>
    <w:rsid w:val="0068377A"/>
    <w:rsid w:val="006841AF"/>
    <w:rsid w:val="0068538B"/>
    <w:rsid w:val="00686728"/>
    <w:rsid w:val="00687808"/>
    <w:rsid w:val="00690F43"/>
    <w:rsid w:val="0069141B"/>
    <w:rsid w:val="006914BE"/>
    <w:rsid w:val="00691948"/>
    <w:rsid w:val="00691AE8"/>
    <w:rsid w:val="0069205C"/>
    <w:rsid w:val="006922C5"/>
    <w:rsid w:val="00692B2B"/>
    <w:rsid w:val="00692C02"/>
    <w:rsid w:val="0069476B"/>
    <w:rsid w:val="00694F30"/>
    <w:rsid w:val="00695524"/>
    <w:rsid w:val="00695BF8"/>
    <w:rsid w:val="00696A42"/>
    <w:rsid w:val="00697485"/>
    <w:rsid w:val="0069790B"/>
    <w:rsid w:val="006A0A1A"/>
    <w:rsid w:val="006A0A24"/>
    <w:rsid w:val="006A14D3"/>
    <w:rsid w:val="006A1D6B"/>
    <w:rsid w:val="006A217E"/>
    <w:rsid w:val="006A2275"/>
    <w:rsid w:val="006A237A"/>
    <w:rsid w:val="006A25BD"/>
    <w:rsid w:val="006A28D3"/>
    <w:rsid w:val="006A2A47"/>
    <w:rsid w:val="006A30FD"/>
    <w:rsid w:val="006A3D71"/>
    <w:rsid w:val="006A566B"/>
    <w:rsid w:val="006A6AFE"/>
    <w:rsid w:val="006A6EBD"/>
    <w:rsid w:val="006B11C5"/>
    <w:rsid w:val="006B22B9"/>
    <w:rsid w:val="006B50B0"/>
    <w:rsid w:val="006B5F17"/>
    <w:rsid w:val="006C03B9"/>
    <w:rsid w:val="006C152B"/>
    <w:rsid w:val="006C2CEA"/>
    <w:rsid w:val="006C3AF9"/>
    <w:rsid w:val="006C4EFA"/>
    <w:rsid w:val="006C54AB"/>
    <w:rsid w:val="006C63FE"/>
    <w:rsid w:val="006C657A"/>
    <w:rsid w:val="006C71CB"/>
    <w:rsid w:val="006C74D8"/>
    <w:rsid w:val="006C7D4F"/>
    <w:rsid w:val="006D0D76"/>
    <w:rsid w:val="006D2E30"/>
    <w:rsid w:val="006D3A52"/>
    <w:rsid w:val="006D455D"/>
    <w:rsid w:val="006D5B63"/>
    <w:rsid w:val="006D61E3"/>
    <w:rsid w:val="006D7559"/>
    <w:rsid w:val="006D77C4"/>
    <w:rsid w:val="006E2189"/>
    <w:rsid w:val="006E315A"/>
    <w:rsid w:val="006E3EE1"/>
    <w:rsid w:val="006E490F"/>
    <w:rsid w:val="006E50B8"/>
    <w:rsid w:val="006E59ED"/>
    <w:rsid w:val="006E6192"/>
    <w:rsid w:val="006E6305"/>
    <w:rsid w:val="006E66DD"/>
    <w:rsid w:val="006E6B37"/>
    <w:rsid w:val="006E775F"/>
    <w:rsid w:val="006F019E"/>
    <w:rsid w:val="006F0D0B"/>
    <w:rsid w:val="006F11AB"/>
    <w:rsid w:val="006F1501"/>
    <w:rsid w:val="006F1822"/>
    <w:rsid w:val="006F1C3C"/>
    <w:rsid w:val="006F2958"/>
    <w:rsid w:val="006F3381"/>
    <w:rsid w:val="006F41CB"/>
    <w:rsid w:val="006F438D"/>
    <w:rsid w:val="006F64FD"/>
    <w:rsid w:val="006F6708"/>
    <w:rsid w:val="006F6A46"/>
    <w:rsid w:val="006F7DEB"/>
    <w:rsid w:val="00700139"/>
    <w:rsid w:val="007016B2"/>
    <w:rsid w:val="007039EF"/>
    <w:rsid w:val="00704D76"/>
    <w:rsid w:val="0070555E"/>
    <w:rsid w:val="00706767"/>
    <w:rsid w:val="007068A9"/>
    <w:rsid w:val="0070783F"/>
    <w:rsid w:val="007079D5"/>
    <w:rsid w:val="0071280D"/>
    <w:rsid w:val="00713350"/>
    <w:rsid w:val="00714556"/>
    <w:rsid w:val="0071488F"/>
    <w:rsid w:val="007159E6"/>
    <w:rsid w:val="00715B9E"/>
    <w:rsid w:val="00716153"/>
    <w:rsid w:val="0071638F"/>
    <w:rsid w:val="00716F4D"/>
    <w:rsid w:val="00717F09"/>
    <w:rsid w:val="00721085"/>
    <w:rsid w:val="007213F2"/>
    <w:rsid w:val="00722B73"/>
    <w:rsid w:val="00722D68"/>
    <w:rsid w:val="00725929"/>
    <w:rsid w:val="00726201"/>
    <w:rsid w:val="00727311"/>
    <w:rsid w:val="00727549"/>
    <w:rsid w:val="00732DD9"/>
    <w:rsid w:val="00733936"/>
    <w:rsid w:val="00733D71"/>
    <w:rsid w:val="00735A5C"/>
    <w:rsid w:val="00735FB9"/>
    <w:rsid w:val="00736024"/>
    <w:rsid w:val="00736135"/>
    <w:rsid w:val="00736EEA"/>
    <w:rsid w:val="007378B8"/>
    <w:rsid w:val="007402B6"/>
    <w:rsid w:val="00740923"/>
    <w:rsid w:val="00740959"/>
    <w:rsid w:val="00741169"/>
    <w:rsid w:val="00741DA0"/>
    <w:rsid w:val="00742133"/>
    <w:rsid w:val="0074290A"/>
    <w:rsid w:val="00742DBB"/>
    <w:rsid w:val="0074448F"/>
    <w:rsid w:val="00744DAD"/>
    <w:rsid w:val="00745044"/>
    <w:rsid w:val="00745C1B"/>
    <w:rsid w:val="0074712F"/>
    <w:rsid w:val="007475F6"/>
    <w:rsid w:val="0075149D"/>
    <w:rsid w:val="007515C9"/>
    <w:rsid w:val="00751B5F"/>
    <w:rsid w:val="007521B2"/>
    <w:rsid w:val="00754C15"/>
    <w:rsid w:val="00755007"/>
    <w:rsid w:val="00755DE6"/>
    <w:rsid w:val="00756666"/>
    <w:rsid w:val="007575A8"/>
    <w:rsid w:val="00761177"/>
    <w:rsid w:val="007613F1"/>
    <w:rsid w:val="0076173A"/>
    <w:rsid w:val="00761EDB"/>
    <w:rsid w:val="00762885"/>
    <w:rsid w:val="00763215"/>
    <w:rsid w:val="00763220"/>
    <w:rsid w:val="00764E1A"/>
    <w:rsid w:val="00766B5D"/>
    <w:rsid w:val="007703C6"/>
    <w:rsid w:val="00771351"/>
    <w:rsid w:val="00771522"/>
    <w:rsid w:val="0077152E"/>
    <w:rsid w:val="0077206D"/>
    <w:rsid w:val="00772392"/>
    <w:rsid w:val="007724A0"/>
    <w:rsid w:val="00772DF7"/>
    <w:rsid w:val="0077485D"/>
    <w:rsid w:val="00775C70"/>
    <w:rsid w:val="00776D23"/>
    <w:rsid w:val="00777249"/>
    <w:rsid w:val="00777FA4"/>
    <w:rsid w:val="0078012C"/>
    <w:rsid w:val="0078039C"/>
    <w:rsid w:val="00780427"/>
    <w:rsid w:val="00780553"/>
    <w:rsid w:val="00780874"/>
    <w:rsid w:val="00782C08"/>
    <w:rsid w:val="00783390"/>
    <w:rsid w:val="00783C8C"/>
    <w:rsid w:val="007858EB"/>
    <w:rsid w:val="00790586"/>
    <w:rsid w:val="00790A2B"/>
    <w:rsid w:val="00791037"/>
    <w:rsid w:val="00791268"/>
    <w:rsid w:val="00791E67"/>
    <w:rsid w:val="007921F5"/>
    <w:rsid w:val="00793277"/>
    <w:rsid w:val="007948CF"/>
    <w:rsid w:val="00794AAC"/>
    <w:rsid w:val="00795716"/>
    <w:rsid w:val="007959E5"/>
    <w:rsid w:val="00795BC7"/>
    <w:rsid w:val="007960D0"/>
    <w:rsid w:val="007A14F1"/>
    <w:rsid w:val="007A1C15"/>
    <w:rsid w:val="007A1D88"/>
    <w:rsid w:val="007A1F96"/>
    <w:rsid w:val="007A2B68"/>
    <w:rsid w:val="007A3240"/>
    <w:rsid w:val="007A3314"/>
    <w:rsid w:val="007A5299"/>
    <w:rsid w:val="007A52C0"/>
    <w:rsid w:val="007A6282"/>
    <w:rsid w:val="007A6351"/>
    <w:rsid w:val="007A74FF"/>
    <w:rsid w:val="007B0163"/>
    <w:rsid w:val="007B0ED3"/>
    <w:rsid w:val="007B4182"/>
    <w:rsid w:val="007B4803"/>
    <w:rsid w:val="007B65D1"/>
    <w:rsid w:val="007B6E63"/>
    <w:rsid w:val="007B70BF"/>
    <w:rsid w:val="007B7A8B"/>
    <w:rsid w:val="007B7D3C"/>
    <w:rsid w:val="007C042A"/>
    <w:rsid w:val="007C06C6"/>
    <w:rsid w:val="007C0DA0"/>
    <w:rsid w:val="007C17E1"/>
    <w:rsid w:val="007C1C1F"/>
    <w:rsid w:val="007C1C7C"/>
    <w:rsid w:val="007C210C"/>
    <w:rsid w:val="007C2CCB"/>
    <w:rsid w:val="007C361E"/>
    <w:rsid w:val="007C3C75"/>
    <w:rsid w:val="007C448E"/>
    <w:rsid w:val="007C4818"/>
    <w:rsid w:val="007C4925"/>
    <w:rsid w:val="007C4CD4"/>
    <w:rsid w:val="007C5B1C"/>
    <w:rsid w:val="007C6331"/>
    <w:rsid w:val="007C69F7"/>
    <w:rsid w:val="007D3048"/>
    <w:rsid w:val="007D3078"/>
    <w:rsid w:val="007D4C4F"/>
    <w:rsid w:val="007D5BCC"/>
    <w:rsid w:val="007D6D98"/>
    <w:rsid w:val="007D7F9F"/>
    <w:rsid w:val="007E240B"/>
    <w:rsid w:val="007E2EDA"/>
    <w:rsid w:val="007E337B"/>
    <w:rsid w:val="007E396A"/>
    <w:rsid w:val="007E4526"/>
    <w:rsid w:val="007E61DC"/>
    <w:rsid w:val="007E67D6"/>
    <w:rsid w:val="007E6E5D"/>
    <w:rsid w:val="007E78B2"/>
    <w:rsid w:val="007F12BA"/>
    <w:rsid w:val="007F1BED"/>
    <w:rsid w:val="007F214A"/>
    <w:rsid w:val="007F27A1"/>
    <w:rsid w:val="007F3A9F"/>
    <w:rsid w:val="007F40D6"/>
    <w:rsid w:val="007F582F"/>
    <w:rsid w:val="007F6413"/>
    <w:rsid w:val="007F6993"/>
    <w:rsid w:val="007F75A8"/>
    <w:rsid w:val="008006F0"/>
    <w:rsid w:val="00801987"/>
    <w:rsid w:val="0080324E"/>
    <w:rsid w:val="0080403A"/>
    <w:rsid w:val="00805C84"/>
    <w:rsid w:val="00805E12"/>
    <w:rsid w:val="00806F1E"/>
    <w:rsid w:val="0080723E"/>
    <w:rsid w:val="00807CAB"/>
    <w:rsid w:val="00807E1C"/>
    <w:rsid w:val="00810B04"/>
    <w:rsid w:val="0081159C"/>
    <w:rsid w:val="00811F13"/>
    <w:rsid w:val="008123A7"/>
    <w:rsid w:val="00812B12"/>
    <w:rsid w:val="00812E18"/>
    <w:rsid w:val="00813252"/>
    <w:rsid w:val="0081552B"/>
    <w:rsid w:val="00815615"/>
    <w:rsid w:val="00817D81"/>
    <w:rsid w:val="00817E92"/>
    <w:rsid w:val="0082143E"/>
    <w:rsid w:val="00821BD2"/>
    <w:rsid w:val="008224C6"/>
    <w:rsid w:val="008225E7"/>
    <w:rsid w:val="00823AC5"/>
    <w:rsid w:val="00823FDC"/>
    <w:rsid w:val="008244F0"/>
    <w:rsid w:val="00824B43"/>
    <w:rsid w:val="00825057"/>
    <w:rsid w:val="008271F7"/>
    <w:rsid w:val="00827F26"/>
    <w:rsid w:val="0083099C"/>
    <w:rsid w:val="008312EC"/>
    <w:rsid w:val="00831CB9"/>
    <w:rsid w:val="00832282"/>
    <w:rsid w:val="008322D7"/>
    <w:rsid w:val="0083249D"/>
    <w:rsid w:val="00834BB0"/>
    <w:rsid w:val="00834CF9"/>
    <w:rsid w:val="00835B21"/>
    <w:rsid w:val="00836156"/>
    <w:rsid w:val="008405AF"/>
    <w:rsid w:val="008411CF"/>
    <w:rsid w:val="00841BAC"/>
    <w:rsid w:val="00847281"/>
    <w:rsid w:val="00850AC1"/>
    <w:rsid w:val="00850CE2"/>
    <w:rsid w:val="008552F7"/>
    <w:rsid w:val="008556A3"/>
    <w:rsid w:val="008558FC"/>
    <w:rsid w:val="00855CA4"/>
    <w:rsid w:val="00855D80"/>
    <w:rsid w:val="0085601B"/>
    <w:rsid w:val="0085622D"/>
    <w:rsid w:val="008563F7"/>
    <w:rsid w:val="00856F0D"/>
    <w:rsid w:val="008608FB"/>
    <w:rsid w:val="008613F8"/>
    <w:rsid w:val="008615B2"/>
    <w:rsid w:val="00861B37"/>
    <w:rsid w:val="00862178"/>
    <w:rsid w:val="00862AFC"/>
    <w:rsid w:val="008630FF"/>
    <w:rsid w:val="00863E28"/>
    <w:rsid w:val="0086425C"/>
    <w:rsid w:val="00864BDA"/>
    <w:rsid w:val="00865DC8"/>
    <w:rsid w:val="00866818"/>
    <w:rsid w:val="008669C3"/>
    <w:rsid w:val="0087059B"/>
    <w:rsid w:val="008707D9"/>
    <w:rsid w:val="00870BF5"/>
    <w:rsid w:val="00872C06"/>
    <w:rsid w:val="00872F5F"/>
    <w:rsid w:val="00872FD7"/>
    <w:rsid w:val="00874F4E"/>
    <w:rsid w:val="0087518B"/>
    <w:rsid w:val="008752F4"/>
    <w:rsid w:val="008757B3"/>
    <w:rsid w:val="008758FB"/>
    <w:rsid w:val="00875B1D"/>
    <w:rsid w:val="008768C6"/>
    <w:rsid w:val="0087713C"/>
    <w:rsid w:val="00877903"/>
    <w:rsid w:val="0088280A"/>
    <w:rsid w:val="00882FC2"/>
    <w:rsid w:val="00883C7C"/>
    <w:rsid w:val="0088453D"/>
    <w:rsid w:val="00884ED2"/>
    <w:rsid w:val="0088513E"/>
    <w:rsid w:val="0088516E"/>
    <w:rsid w:val="0088532F"/>
    <w:rsid w:val="008853AB"/>
    <w:rsid w:val="0088617E"/>
    <w:rsid w:val="008862EF"/>
    <w:rsid w:val="00887535"/>
    <w:rsid w:val="008903D8"/>
    <w:rsid w:val="00892446"/>
    <w:rsid w:val="008929B3"/>
    <w:rsid w:val="00893BD7"/>
    <w:rsid w:val="0089402A"/>
    <w:rsid w:val="008959C1"/>
    <w:rsid w:val="008968E0"/>
    <w:rsid w:val="00896A17"/>
    <w:rsid w:val="00896F9C"/>
    <w:rsid w:val="00897141"/>
    <w:rsid w:val="008A0844"/>
    <w:rsid w:val="008A11C4"/>
    <w:rsid w:val="008A12A1"/>
    <w:rsid w:val="008A142A"/>
    <w:rsid w:val="008A1493"/>
    <w:rsid w:val="008A2510"/>
    <w:rsid w:val="008A33DC"/>
    <w:rsid w:val="008A4F33"/>
    <w:rsid w:val="008A705E"/>
    <w:rsid w:val="008B0358"/>
    <w:rsid w:val="008B045B"/>
    <w:rsid w:val="008B1530"/>
    <w:rsid w:val="008B1AA3"/>
    <w:rsid w:val="008B22BE"/>
    <w:rsid w:val="008B25BB"/>
    <w:rsid w:val="008B2825"/>
    <w:rsid w:val="008B2AC8"/>
    <w:rsid w:val="008B5808"/>
    <w:rsid w:val="008B594A"/>
    <w:rsid w:val="008C09CA"/>
    <w:rsid w:val="008C313E"/>
    <w:rsid w:val="008C3877"/>
    <w:rsid w:val="008C3CD1"/>
    <w:rsid w:val="008C3D74"/>
    <w:rsid w:val="008C52A2"/>
    <w:rsid w:val="008C53F2"/>
    <w:rsid w:val="008C59A7"/>
    <w:rsid w:val="008C5B7F"/>
    <w:rsid w:val="008C652E"/>
    <w:rsid w:val="008D016E"/>
    <w:rsid w:val="008D1D49"/>
    <w:rsid w:val="008D29CB"/>
    <w:rsid w:val="008D2D0B"/>
    <w:rsid w:val="008D3F83"/>
    <w:rsid w:val="008D4D21"/>
    <w:rsid w:val="008D6C1D"/>
    <w:rsid w:val="008D78F5"/>
    <w:rsid w:val="008D7D57"/>
    <w:rsid w:val="008E1EAF"/>
    <w:rsid w:val="008E2AE4"/>
    <w:rsid w:val="008E2CB6"/>
    <w:rsid w:val="008E2F49"/>
    <w:rsid w:val="008E3B45"/>
    <w:rsid w:val="008E44D2"/>
    <w:rsid w:val="008F0CA3"/>
    <w:rsid w:val="008F1224"/>
    <w:rsid w:val="008F2BE7"/>
    <w:rsid w:val="008F36A2"/>
    <w:rsid w:val="008F4E5B"/>
    <w:rsid w:val="00900312"/>
    <w:rsid w:val="00901CDA"/>
    <w:rsid w:val="009020B6"/>
    <w:rsid w:val="00902520"/>
    <w:rsid w:val="00902D8D"/>
    <w:rsid w:val="0090377D"/>
    <w:rsid w:val="0090382C"/>
    <w:rsid w:val="00903F77"/>
    <w:rsid w:val="00904EF1"/>
    <w:rsid w:val="00905925"/>
    <w:rsid w:val="00905D9F"/>
    <w:rsid w:val="00905FD1"/>
    <w:rsid w:val="00906956"/>
    <w:rsid w:val="00907604"/>
    <w:rsid w:val="009109CA"/>
    <w:rsid w:val="00912061"/>
    <w:rsid w:val="009123AF"/>
    <w:rsid w:val="00914489"/>
    <w:rsid w:val="00914F42"/>
    <w:rsid w:val="009152A3"/>
    <w:rsid w:val="009155F3"/>
    <w:rsid w:val="00915EF9"/>
    <w:rsid w:val="0091671A"/>
    <w:rsid w:val="009204F7"/>
    <w:rsid w:val="00920CBF"/>
    <w:rsid w:val="009220E0"/>
    <w:rsid w:val="00923B17"/>
    <w:rsid w:val="009241A4"/>
    <w:rsid w:val="0092481A"/>
    <w:rsid w:val="009266A8"/>
    <w:rsid w:val="00927366"/>
    <w:rsid w:val="00930081"/>
    <w:rsid w:val="00931826"/>
    <w:rsid w:val="00932051"/>
    <w:rsid w:val="00932D18"/>
    <w:rsid w:val="009332C5"/>
    <w:rsid w:val="009335B7"/>
    <w:rsid w:val="00934120"/>
    <w:rsid w:val="00936C46"/>
    <w:rsid w:val="00937144"/>
    <w:rsid w:val="009402A2"/>
    <w:rsid w:val="00940800"/>
    <w:rsid w:val="009422C8"/>
    <w:rsid w:val="0094403A"/>
    <w:rsid w:val="0094408F"/>
    <w:rsid w:val="00944AF3"/>
    <w:rsid w:val="00946B20"/>
    <w:rsid w:val="00947335"/>
    <w:rsid w:val="0095073F"/>
    <w:rsid w:val="00950B34"/>
    <w:rsid w:val="00951722"/>
    <w:rsid w:val="00951A11"/>
    <w:rsid w:val="00951D6D"/>
    <w:rsid w:val="00953D2B"/>
    <w:rsid w:val="00954A62"/>
    <w:rsid w:val="00954C90"/>
    <w:rsid w:val="00955099"/>
    <w:rsid w:val="009550CE"/>
    <w:rsid w:val="009560A4"/>
    <w:rsid w:val="009560BF"/>
    <w:rsid w:val="009561CA"/>
    <w:rsid w:val="00956CDE"/>
    <w:rsid w:val="00956FFB"/>
    <w:rsid w:val="0096098B"/>
    <w:rsid w:val="00960BBC"/>
    <w:rsid w:val="00961056"/>
    <w:rsid w:val="0096160C"/>
    <w:rsid w:val="00961814"/>
    <w:rsid w:val="00962DD0"/>
    <w:rsid w:val="0096340F"/>
    <w:rsid w:val="0096483B"/>
    <w:rsid w:val="0096645A"/>
    <w:rsid w:val="00967A44"/>
    <w:rsid w:val="00967C0E"/>
    <w:rsid w:val="00970063"/>
    <w:rsid w:val="0097067C"/>
    <w:rsid w:val="009714F7"/>
    <w:rsid w:val="00971F95"/>
    <w:rsid w:val="00972168"/>
    <w:rsid w:val="009746B4"/>
    <w:rsid w:val="00974970"/>
    <w:rsid w:val="009753BF"/>
    <w:rsid w:val="00975902"/>
    <w:rsid w:val="00975E18"/>
    <w:rsid w:val="00977668"/>
    <w:rsid w:val="00977DAF"/>
    <w:rsid w:val="0098087B"/>
    <w:rsid w:val="00982558"/>
    <w:rsid w:val="00983993"/>
    <w:rsid w:val="00983A5B"/>
    <w:rsid w:val="00984F69"/>
    <w:rsid w:val="00985625"/>
    <w:rsid w:val="00987353"/>
    <w:rsid w:val="00991178"/>
    <w:rsid w:val="009914D3"/>
    <w:rsid w:val="00991E2A"/>
    <w:rsid w:val="00993725"/>
    <w:rsid w:val="00993B01"/>
    <w:rsid w:val="00993D07"/>
    <w:rsid w:val="00994C65"/>
    <w:rsid w:val="00996C31"/>
    <w:rsid w:val="009A1118"/>
    <w:rsid w:val="009A2278"/>
    <w:rsid w:val="009A597D"/>
    <w:rsid w:val="009A6534"/>
    <w:rsid w:val="009A7212"/>
    <w:rsid w:val="009A7F9B"/>
    <w:rsid w:val="009B0762"/>
    <w:rsid w:val="009B079B"/>
    <w:rsid w:val="009B0FF8"/>
    <w:rsid w:val="009B18FD"/>
    <w:rsid w:val="009B2AA7"/>
    <w:rsid w:val="009B396E"/>
    <w:rsid w:val="009B3BC7"/>
    <w:rsid w:val="009B3C4A"/>
    <w:rsid w:val="009B4164"/>
    <w:rsid w:val="009B41A2"/>
    <w:rsid w:val="009B468D"/>
    <w:rsid w:val="009B4ADA"/>
    <w:rsid w:val="009B55D6"/>
    <w:rsid w:val="009B5C6B"/>
    <w:rsid w:val="009C0DBC"/>
    <w:rsid w:val="009C103F"/>
    <w:rsid w:val="009C1B0D"/>
    <w:rsid w:val="009C242A"/>
    <w:rsid w:val="009C24F5"/>
    <w:rsid w:val="009C2A6C"/>
    <w:rsid w:val="009C3F8D"/>
    <w:rsid w:val="009C4043"/>
    <w:rsid w:val="009C717B"/>
    <w:rsid w:val="009C74D1"/>
    <w:rsid w:val="009D0D17"/>
    <w:rsid w:val="009D10EB"/>
    <w:rsid w:val="009D10F3"/>
    <w:rsid w:val="009D157A"/>
    <w:rsid w:val="009D2647"/>
    <w:rsid w:val="009D5191"/>
    <w:rsid w:val="009D5C06"/>
    <w:rsid w:val="009D74D7"/>
    <w:rsid w:val="009D75F3"/>
    <w:rsid w:val="009D7AA7"/>
    <w:rsid w:val="009D7AAB"/>
    <w:rsid w:val="009E0DFA"/>
    <w:rsid w:val="009E0F0D"/>
    <w:rsid w:val="009E1EC4"/>
    <w:rsid w:val="009E2338"/>
    <w:rsid w:val="009E2C3A"/>
    <w:rsid w:val="009E3466"/>
    <w:rsid w:val="009E4796"/>
    <w:rsid w:val="009E4A9D"/>
    <w:rsid w:val="009E55BE"/>
    <w:rsid w:val="009E5752"/>
    <w:rsid w:val="009E5875"/>
    <w:rsid w:val="009E758E"/>
    <w:rsid w:val="009F01E3"/>
    <w:rsid w:val="009F0244"/>
    <w:rsid w:val="009F0F67"/>
    <w:rsid w:val="009F0FDA"/>
    <w:rsid w:val="009F156B"/>
    <w:rsid w:val="009F15A4"/>
    <w:rsid w:val="009F16DC"/>
    <w:rsid w:val="009F34F2"/>
    <w:rsid w:val="009F3BDA"/>
    <w:rsid w:val="009F5B05"/>
    <w:rsid w:val="009F6B25"/>
    <w:rsid w:val="009F7639"/>
    <w:rsid w:val="00A00244"/>
    <w:rsid w:val="00A00FC2"/>
    <w:rsid w:val="00A01AC8"/>
    <w:rsid w:val="00A0274F"/>
    <w:rsid w:val="00A03502"/>
    <w:rsid w:val="00A03CF0"/>
    <w:rsid w:val="00A041B1"/>
    <w:rsid w:val="00A04DD4"/>
    <w:rsid w:val="00A05C4F"/>
    <w:rsid w:val="00A063D4"/>
    <w:rsid w:val="00A07771"/>
    <w:rsid w:val="00A07B33"/>
    <w:rsid w:val="00A134DD"/>
    <w:rsid w:val="00A134EE"/>
    <w:rsid w:val="00A135A3"/>
    <w:rsid w:val="00A13F68"/>
    <w:rsid w:val="00A14611"/>
    <w:rsid w:val="00A15D61"/>
    <w:rsid w:val="00A15F47"/>
    <w:rsid w:val="00A16783"/>
    <w:rsid w:val="00A16E1E"/>
    <w:rsid w:val="00A17D66"/>
    <w:rsid w:val="00A20737"/>
    <w:rsid w:val="00A209B5"/>
    <w:rsid w:val="00A21F30"/>
    <w:rsid w:val="00A234A0"/>
    <w:rsid w:val="00A24EAC"/>
    <w:rsid w:val="00A25C72"/>
    <w:rsid w:val="00A25E3D"/>
    <w:rsid w:val="00A26779"/>
    <w:rsid w:val="00A30032"/>
    <w:rsid w:val="00A30194"/>
    <w:rsid w:val="00A315D7"/>
    <w:rsid w:val="00A31A3E"/>
    <w:rsid w:val="00A31B02"/>
    <w:rsid w:val="00A321B6"/>
    <w:rsid w:val="00A324F6"/>
    <w:rsid w:val="00A34D34"/>
    <w:rsid w:val="00A37542"/>
    <w:rsid w:val="00A404D7"/>
    <w:rsid w:val="00A40C5E"/>
    <w:rsid w:val="00A40EED"/>
    <w:rsid w:val="00A42389"/>
    <w:rsid w:val="00A424EE"/>
    <w:rsid w:val="00A42767"/>
    <w:rsid w:val="00A42A06"/>
    <w:rsid w:val="00A43202"/>
    <w:rsid w:val="00A4365B"/>
    <w:rsid w:val="00A43D4B"/>
    <w:rsid w:val="00A4551E"/>
    <w:rsid w:val="00A462ED"/>
    <w:rsid w:val="00A46440"/>
    <w:rsid w:val="00A46C68"/>
    <w:rsid w:val="00A47607"/>
    <w:rsid w:val="00A505CA"/>
    <w:rsid w:val="00A51B0C"/>
    <w:rsid w:val="00A52204"/>
    <w:rsid w:val="00A529BF"/>
    <w:rsid w:val="00A53C33"/>
    <w:rsid w:val="00A577EF"/>
    <w:rsid w:val="00A605C4"/>
    <w:rsid w:val="00A61B79"/>
    <w:rsid w:val="00A620B1"/>
    <w:rsid w:val="00A645BC"/>
    <w:rsid w:val="00A659EE"/>
    <w:rsid w:val="00A66BAD"/>
    <w:rsid w:val="00A66C70"/>
    <w:rsid w:val="00A677F4"/>
    <w:rsid w:val="00A70E1C"/>
    <w:rsid w:val="00A717DD"/>
    <w:rsid w:val="00A71852"/>
    <w:rsid w:val="00A7281B"/>
    <w:rsid w:val="00A72891"/>
    <w:rsid w:val="00A72C07"/>
    <w:rsid w:val="00A733CC"/>
    <w:rsid w:val="00A735CC"/>
    <w:rsid w:val="00A73D07"/>
    <w:rsid w:val="00A74D0D"/>
    <w:rsid w:val="00A74EAA"/>
    <w:rsid w:val="00A76166"/>
    <w:rsid w:val="00A83F64"/>
    <w:rsid w:val="00A852DE"/>
    <w:rsid w:val="00A8638F"/>
    <w:rsid w:val="00A86931"/>
    <w:rsid w:val="00A86FE8"/>
    <w:rsid w:val="00A91994"/>
    <w:rsid w:val="00A924F5"/>
    <w:rsid w:val="00A92B9A"/>
    <w:rsid w:val="00A92D29"/>
    <w:rsid w:val="00A92D93"/>
    <w:rsid w:val="00AA00B7"/>
    <w:rsid w:val="00AA06A5"/>
    <w:rsid w:val="00AA0C66"/>
    <w:rsid w:val="00AA1683"/>
    <w:rsid w:val="00AA1BB8"/>
    <w:rsid w:val="00AA37E8"/>
    <w:rsid w:val="00AA4B1F"/>
    <w:rsid w:val="00AA4D97"/>
    <w:rsid w:val="00AA62A7"/>
    <w:rsid w:val="00AA6531"/>
    <w:rsid w:val="00AA7190"/>
    <w:rsid w:val="00AA784A"/>
    <w:rsid w:val="00AA7E60"/>
    <w:rsid w:val="00AB0881"/>
    <w:rsid w:val="00AB09C5"/>
    <w:rsid w:val="00AB0D5B"/>
    <w:rsid w:val="00AB0E1C"/>
    <w:rsid w:val="00AB2BE2"/>
    <w:rsid w:val="00AB2EE4"/>
    <w:rsid w:val="00AB6B8A"/>
    <w:rsid w:val="00AB6FA5"/>
    <w:rsid w:val="00AB79AB"/>
    <w:rsid w:val="00AB7C73"/>
    <w:rsid w:val="00AC0CDB"/>
    <w:rsid w:val="00AC20AB"/>
    <w:rsid w:val="00AC47DB"/>
    <w:rsid w:val="00AC4E2E"/>
    <w:rsid w:val="00AC5DBE"/>
    <w:rsid w:val="00AC62D3"/>
    <w:rsid w:val="00AC674E"/>
    <w:rsid w:val="00AC67C7"/>
    <w:rsid w:val="00AC79F9"/>
    <w:rsid w:val="00AD043D"/>
    <w:rsid w:val="00AD0CCF"/>
    <w:rsid w:val="00AD0D4A"/>
    <w:rsid w:val="00AD1926"/>
    <w:rsid w:val="00AD2308"/>
    <w:rsid w:val="00AD2831"/>
    <w:rsid w:val="00AD390B"/>
    <w:rsid w:val="00AD464E"/>
    <w:rsid w:val="00AE024E"/>
    <w:rsid w:val="00AE07F1"/>
    <w:rsid w:val="00AE1D45"/>
    <w:rsid w:val="00AE1E25"/>
    <w:rsid w:val="00AE2D51"/>
    <w:rsid w:val="00AE2D53"/>
    <w:rsid w:val="00AE3518"/>
    <w:rsid w:val="00AE398E"/>
    <w:rsid w:val="00AE7838"/>
    <w:rsid w:val="00AF0787"/>
    <w:rsid w:val="00AF07B7"/>
    <w:rsid w:val="00AF1E8B"/>
    <w:rsid w:val="00AF29AB"/>
    <w:rsid w:val="00AF3F75"/>
    <w:rsid w:val="00AF570F"/>
    <w:rsid w:val="00AF595A"/>
    <w:rsid w:val="00B01B3C"/>
    <w:rsid w:val="00B01D20"/>
    <w:rsid w:val="00B02747"/>
    <w:rsid w:val="00B027F1"/>
    <w:rsid w:val="00B0416B"/>
    <w:rsid w:val="00B04B52"/>
    <w:rsid w:val="00B058FC"/>
    <w:rsid w:val="00B059D4"/>
    <w:rsid w:val="00B067D4"/>
    <w:rsid w:val="00B06A0C"/>
    <w:rsid w:val="00B07C15"/>
    <w:rsid w:val="00B11623"/>
    <w:rsid w:val="00B13BF8"/>
    <w:rsid w:val="00B13E12"/>
    <w:rsid w:val="00B1605B"/>
    <w:rsid w:val="00B17BA4"/>
    <w:rsid w:val="00B203AD"/>
    <w:rsid w:val="00B2093D"/>
    <w:rsid w:val="00B223B5"/>
    <w:rsid w:val="00B23681"/>
    <w:rsid w:val="00B26220"/>
    <w:rsid w:val="00B27278"/>
    <w:rsid w:val="00B274EF"/>
    <w:rsid w:val="00B30839"/>
    <w:rsid w:val="00B3096D"/>
    <w:rsid w:val="00B313DF"/>
    <w:rsid w:val="00B31A26"/>
    <w:rsid w:val="00B338AF"/>
    <w:rsid w:val="00B33CA3"/>
    <w:rsid w:val="00B3629A"/>
    <w:rsid w:val="00B374E5"/>
    <w:rsid w:val="00B40325"/>
    <w:rsid w:val="00B42FD4"/>
    <w:rsid w:val="00B43C54"/>
    <w:rsid w:val="00B43C67"/>
    <w:rsid w:val="00B454BA"/>
    <w:rsid w:val="00B46060"/>
    <w:rsid w:val="00B46292"/>
    <w:rsid w:val="00B471F2"/>
    <w:rsid w:val="00B47819"/>
    <w:rsid w:val="00B479C3"/>
    <w:rsid w:val="00B47F82"/>
    <w:rsid w:val="00B512E9"/>
    <w:rsid w:val="00B52248"/>
    <w:rsid w:val="00B52B58"/>
    <w:rsid w:val="00B52CBB"/>
    <w:rsid w:val="00B533F9"/>
    <w:rsid w:val="00B537C9"/>
    <w:rsid w:val="00B60B35"/>
    <w:rsid w:val="00B61A52"/>
    <w:rsid w:val="00B62F64"/>
    <w:rsid w:val="00B630CB"/>
    <w:rsid w:val="00B63A03"/>
    <w:rsid w:val="00B64167"/>
    <w:rsid w:val="00B64978"/>
    <w:rsid w:val="00B655A0"/>
    <w:rsid w:val="00B67B0E"/>
    <w:rsid w:val="00B67C92"/>
    <w:rsid w:val="00B70ACB"/>
    <w:rsid w:val="00B71F8F"/>
    <w:rsid w:val="00B72CF8"/>
    <w:rsid w:val="00B73199"/>
    <w:rsid w:val="00B7320A"/>
    <w:rsid w:val="00B742E4"/>
    <w:rsid w:val="00B74315"/>
    <w:rsid w:val="00B75108"/>
    <w:rsid w:val="00B75A91"/>
    <w:rsid w:val="00B76E08"/>
    <w:rsid w:val="00B7724A"/>
    <w:rsid w:val="00B779BA"/>
    <w:rsid w:val="00B80257"/>
    <w:rsid w:val="00B8031C"/>
    <w:rsid w:val="00B803B7"/>
    <w:rsid w:val="00B80AC3"/>
    <w:rsid w:val="00B81655"/>
    <w:rsid w:val="00B8325A"/>
    <w:rsid w:val="00B83299"/>
    <w:rsid w:val="00B83408"/>
    <w:rsid w:val="00B836C5"/>
    <w:rsid w:val="00B83F8D"/>
    <w:rsid w:val="00B8413A"/>
    <w:rsid w:val="00B84161"/>
    <w:rsid w:val="00B8517C"/>
    <w:rsid w:val="00B854E9"/>
    <w:rsid w:val="00B9016A"/>
    <w:rsid w:val="00B907E6"/>
    <w:rsid w:val="00B9370D"/>
    <w:rsid w:val="00B93A9E"/>
    <w:rsid w:val="00B941DD"/>
    <w:rsid w:val="00B9570E"/>
    <w:rsid w:val="00B9580D"/>
    <w:rsid w:val="00B95EC0"/>
    <w:rsid w:val="00B97139"/>
    <w:rsid w:val="00BA0471"/>
    <w:rsid w:val="00BA0E90"/>
    <w:rsid w:val="00BA24CE"/>
    <w:rsid w:val="00BA38FE"/>
    <w:rsid w:val="00BA3AF1"/>
    <w:rsid w:val="00BA3E03"/>
    <w:rsid w:val="00BA4CB1"/>
    <w:rsid w:val="00BA5065"/>
    <w:rsid w:val="00BA5225"/>
    <w:rsid w:val="00BA5EDF"/>
    <w:rsid w:val="00BA6099"/>
    <w:rsid w:val="00BA60DD"/>
    <w:rsid w:val="00BA620F"/>
    <w:rsid w:val="00BA64D1"/>
    <w:rsid w:val="00BA6BE3"/>
    <w:rsid w:val="00BA6D15"/>
    <w:rsid w:val="00BB09DF"/>
    <w:rsid w:val="00BB1648"/>
    <w:rsid w:val="00BB1CDF"/>
    <w:rsid w:val="00BB262A"/>
    <w:rsid w:val="00BB42B1"/>
    <w:rsid w:val="00BB4B94"/>
    <w:rsid w:val="00BB5197"/>
    <w:rsid w:val="00BB5801"/>
    <w:rsid w:val="00BB6905"/>
    <w:rsid w:val="00BB6B11"/>
    <w:rsid w:val="00BB7086"/>
    <w:rsid w:val="00BB73BC"/>
    <w:rsid w:val="00BC05CD"/>
    <w:rsid w:val="00BC08E4"/>
    <w:rsid w:val="00BC1E5E"/>
    <w:rsid w:val="00BC2C84"/>
    <w:rsid w:val="00BC2E4B"/>
    <w:rsid w:val="00BC49FA"/>
    <w:rsid w:val="00BC56E0"/>
    <w:rsid w:val="00BC5CC7"/>
    <w:rsid w:val="00BC61A2"/>
    <w:rsid w:val="00BC6363"/>
    <w:rsid w:val="00BC6A4B"/>
    <w:rsid w:val="00BC6F47"/>
    <w:rsid w:val="00BC7E52"/>
    <w:rsid w:val="00BD3273"/>
    <w:rsid w:val="00BD33A7"/>
    <w:rsid w:val="00BD3970"/>
    <w:rsid w:val="00BD53E1"/>
    <w:rsid w:val="00BD632A"/>
    <w:rsid w:val="00BD6B64"/>
    <w:rsid w:val="00BD7B33"/>
    <w:rsid w:val="00BE15D9"/>
    <w:rsid w:val="00BE18B8"/>
    <w:rsid w:val="00BE2566"/>
    <w:rsid w:val="00BE2E52"/>
    <w:rsid w:val="00BE36C0"/>
    <w:rsid w:val="00BE3F66"/>
    <w:rsid w:val="00BE42BB"/>
    <w:rsid w:val="00BE445D"/>
    <w:rsid w:val="00BE44BB"/>
    <w:rsid w:val="00BE5A58"/>
    <w:rsid w:val="00BE5AB8"/>
    <w:rsid w:val="00BE5D91"/>
    <w:rsid w:val="00BE7171"/>
    <w:rsid w:val="00BE72AA"/>
    <w:rsid w:val="00BF1111"/>
    <w:rsid w:val="00BF1D2A"/>
    <w:rsid w:val="00BF2F1E"/>
    <w:rsid w:val="00BF3138"/>
    <w:rsid w:val="00BF3FD4"/>
    <w:rsid w:val="00BF4318"/>
    <w:rsid w:val="00BF4D48"/>
    <w:rsid w:val="00BF5FBA"/>
    <w:rsid w:val="00BF6261"/>
    <w:rsid w:val="00BF6445"/>
    <w:rsid w:val="00BF69A6"/>
    <w:rsid w:val="00BF6D99"/>
    <w:rsid w:val="00BF779C"/>
    <w:rsid w:val="00BF7DB3"/>
    <w:rsid w:val="00C00763"/>
    <w:rsid w:val="00C00919"/>
    <w:rsid w:val="00C00A26"/>
    <w:rsid w:val="00C02082"/>
    <w:rsid w:val="00C0325C"/>
    <w:rsid w:val="00C03639"/>
    <w:rsid w:val="00C03940"/>
    <w:rsid w:val="00C048FC"/>
    <w:rsid w:val="00C05A15"/>
    <w:rsid w:val="00C05C5B"/>
    <w:rsid w:val="00C06009"/>
    <w:rsid w:val="00C06DEC"/>
    <w:rsid w:val="00C07DBF"/>
    <w:rsid w:val="00C12596"/>
    <w:rsid w:val="00C12659"/>
    <w:rsid w:val="00C12FFE"/>
    <w:rsid w:val="00C14C41"/>
    <w:rsid w:val="00C160F8"/>
    <w:rsid w:val="00C16D85"/>
    <w:rsid w:val="00C16E87"/>
    <w:rsid w:val="00C1752B"/>
    <w:rsid w:val="00C21415"/>
    <w:rsid w:val="00C225E6"/>
    <w:rsid w:val="00C227F6"/>
    <w:rsid w:val="00C22BFE"/>
    <w:rsid w:val="00C22C90"/>
    <w:rsid w:val="00C24CFC"/>
    <w:rsid w:val="00C251C8"/>
    <w:rsid w:val="00C255D8"/>
    <w:rsid w:val="00C255FC"/>
    <w:rsid w:val="00C25687"/>
    <w:rsid w:val="00C261A7"/>
    <w:rsid w:val="00C26507"/>
    <w:rsid w:val="00C27A1E"/>
    <w:rsid w:val="00C30E01"/>
    <w:rsid w:val="00C31399"/>
    <w:rsid w:val="00C31521"/>
    <w:rsid w:val="00C318A6"/>
    <w:rsid w:val="00C31B26"/>
    <w:rsid w:val="00C31E82"/>
    <w:rsid w:val="00C33165"/>
    <w:rsid w:val="00C33255"/>
    <w:rsid w:val="00C34318"/>
    <w:rsid w:val="00C34565"/>
    <w:rsid w:val="00C34BE2"/>
    <w:rsid w:val="00C35583"/>
    <w:rsid w:val="00C36CC8"/>
    <w:rsid w:val="00C37071"/>
    <w:rsid w:val="00C401B3"/>
    <w:rsid w:val="00C4052B"/>
    <w:rsid w:val="00C408B1"/>
    <w:rsid w:val="00C40BC8"/>
    <w:rsid w:val="00C42411"/>
    <w:rsid w:val="00C4272F"/>
    <w:rsid w:val="00C43FBF"/>
    <w:rsid w:val="00C45C4A"/>
    <w:rsid w:val="00C46359"/>
    <w:rsid w:val="00C46E68"/>
    <w:rsid w:val="00C46EA0"/>
    <w:rsid w:val="00C472BE"/>
    <w:rsid w:val="00C47649"/>
    <w:rsid w:val="00C5015B"/>
    <w:rsid w:val="00C50A3C"/>
    <w:rsid w:val="00C51C04"/>
    <w:rsid w:val="00C51F7D"/>
    <w:rsid w:val="00C522F6"/>
    <w:rsid w:val="00C52CB8"/>
    <w:rsid w:val="00C52E74"/>
    <w:rsid w:val="00C53BBB"/>
    <w:rsid w:val="00C54628"/>
    <w:rsid w:val="00C5537D"/>
    <w:rsid w:val="00C559B4"/>
    <w:rsid w:val="00C55C04"/>
    <w:rsid w:val="00C560CE"/>
    <w:rsid w:val="00C560FD"/>
    <w:rsid w:val="00C56878"/>
    <w:rsid w:val="00C56AA5"/>
    <w:rsid w:val="00C56B49"/>
    <w:rsid w:val="00C5773F"/>
    <w:rsid w:val="00C57778"/>
    <w:rsid w:val="00C5781A"/>
    <w:rsid w:val="00C60CEA"/>
    <w:rsid w:val="00C60FF9"/>
    <w:rsid w:val="00C6121B"/>
    <w:rsid w:val="00C61D67"/>
    <w:rsid w:val="00C62BA5"/>
    <w:rsid w:val="00C639FD"/>
    <w:rsid w:val="00C63D46"/>
    <w:rsid w:val="00C64E1D"/>
    <w:rsid w:val="00C65FCB"/>
    <w:rsid w:val="00C73719"/>
    <w:rsid w:val="00C73B22"/>
    <w:rsid w:val="00C73FC6"/>
    <w:rsid w:val="00C747DD"/>
    <w:rsid w:val="00C751CF"/>
    <w:rsid w:val="00C753E1"/>
    <w:rsid w:val="00C75878"/>
    <w:rsid w:val="00C75A67"/>
    <w:rsid w:val="00C769AF"/>
    <w:rsid w:val="00C77FAB"/>
    <w:rsid w:val="00C83476"/>
    <w:rsid w:val="00C83782"/>
    <w:rsid w:val="00C837A2"/>
    <w:rsid w:val="00C85771"/>
    <w:rsid w:val="00C85EF4"/>
    <w:rsid w:val="00C8705B"/>
    <w:rsid w:val="00C87A2A"/>
    <w:rsid w:val="00C93852"/>
    <w:rsid w:val="00C93980"/>
    <w:rsid w:val="00C943CA"/>
    <w:rsid w:val="00C94F64"/>
    <w:rsid w:val="00C976C4"/>
    <w:rsid w:val="00CA0CC5"/>
    <w:rsid w:val="00CA13E0"/>
    <w:rsid w:val="00CA2893"/>
    <w:rsid w:val="00CA3072"/>
    <w:rsid w:val="00CA51EA"/>
    <w:rsid w:val="00CA5216"/>
    <w:rsid w:val="00CA7697"/>
    <w:rsid w:val="00CA79E6"/>
    <w:rsid w:val="00CA7BA5"/>
    <w:rsid w:val="00CB2B41"/>
    <w:rsid w:val="00CB2FA0"/>
    <w:rsid w:val="00CB351C"/>
    <w:rsid w:val="00CB3DE0"/>
    <w:rsid w:val="00CB4585"/>
    <w:rsid w:val="00CB4591"/>
    <w:rsid w:val="00CB5403"/>
    <w:rsid w:val="00CB56D2"/>
    <w:rsid w:val="00CB5BDD"/>
    <w:rsid w:val="00CB6174"/>
    <w:rsid w:val="00CB6964"/>
    <w:rsid w:val="00CC08F9"/>
    <w:rsid w:val="00CC208E"/>
    <w:rsid w:val="00CC27B2"/>
    <w:rsid w:val="00CC312B"/>
    <w:rsid w:val="00CC3630"/>
    <w:rsid w:val="00CC3944"/>
    <w:rsid w:val="00CC4EB6"/>
    <w:rsid w:val="00CC71D6"/>
    <w:rsid w:val="00CD0164"/>
    <w:rsid w:val="00CD0254"/>
    <w:rsid w:val="00CD1A47"/>
    <w:rsid w:val="00CD28A4"/>
    <w:rsid w:val="00CD30C7"/>
    <w:rsid w:val="00CD3252"/>
    <w:rsid w:val="00CD3362"/>
    <w:rsid w:val="00CD35F5"/>
    <w:rsid w:val="00CD410F"/>
    <w:rsid w:val="00CD5857"/>
    <w:rsid w:val="00CD5917"/>
    <w:rsid w:val="00CD6201"/>
    <w:rsid w:val="00CD6AA6"/>
    <w:rsid w:val="00CD7749"/>
    <w:rsid w:val="00CD793E"/>
    <w:rsid w:val="00CE0125"/>
    <w:rsid w:val="00CE1521"/>
    <w:rsid w:val="00CE17FD"/>
    <w:rsid w:val="00CE281B"/>
    <w:rsid w:val="00CE305D"/>
    <w:rsid w:val="00CE58CD"/>
    <w:rsid w:val="00CE5B38"/>
    <w:rsid w:val="00CE6CCB"/>
    <w:rsid w:val="00CE753A"/>
    <w:rsid w:val="00CE7575"/>
    <w:rsid w:val="00CF090C"/>
    <w:rsid w:val="00CF0A01"/>
    <w:rsid w:val="00CF18F1"/>
    <w:rsid w:val="00CF2A25"/>
    <w:rsid w:val="00CF2B75"/>
    <w:rsid w:val="00CF3545"/>
    <w:rsid w:val="00CF354D"/>
    <w:rsid w:val="00CF56DE"/>
    <w:rsid w:val="00CF5B50"/>
    <w:rsid w:val="00CF5EE2"/>
    <w:rsid w:val="00CF71B5"/>
    <w:rsid w:val="00CF7937"/>
    <w:rsid w:val="00CF7CBE"/>
    <w:rsid w:val="00D00AA6"/>
    <w:rsid w:val="00D023BB"/>
    <w:rsid w:val="00D025E1"/>
    <w:rsid w:val="00D038FF"/>
    <w:rsid w:val="00D04D89"/>
    <w:rsid w:val="00D05335"/>
    <w:rsid w:val="00D062BB"/>
    <w:rsid w:val="00D07165"/>
    <w:rsid w:val="00D10039"/>
    <w:rsid w:val="00D10D16"/>
    <w:rsid w:val="00D11B15"/>
    <w:rsid w:val="00D12802"/>
    <w:rsid w:val="00D13033"/>
    <w:rsid w:val="00D13BB0"/>
    <w:rsid w:val="00D13BBE"/>
    <w:rsid w:val="00D144B0"/>
    <w:rsid w:val="00D14FF4"/>
    <w:rsid w:val="00D159ED"/>
    <w:rsid w:val="00D162C6"/>
    <w:rsid w:val="00D169F3"/>
    <w:rsid w:val="00D17547"/>
    <w:rsid w:val="00D20513"/>
    <w:rsid w:val="00D20920"/>
    <w:rsid w:val="00D21415"/>
    <w:rsid w:val="00D21530"/>
    <w:rsid w:val="00D21560"/>
    <w:rsid w:val="00D2255C"/>
    <w:rsid w:val="00D2289A"/>
    <w:rsid w:val="00D23F04"/>
    <w:rsid w:val="00D249D6"/>
    <w:rsid w:val="00D24A3E"/>
    <w:rsid w:val="00D24B94"/>
    <w:rsid w:val="00D25D6A"/>
    <w:rsid w:val="00D2642C"/>
    <w:rsid w:val="00D27429"/>
    <w:rsid w:val="00D30349"/>
    <w:rsid w:val="00D30AE7"/>
    <w:rsid w:val="00D30D73"/>
    <w:rsid w:val="00D315F1"/>
    <w:rsid w:val="00D316E8"/>
    <w:rsid w:val="00D319B3"/>
    <w:rsid w:val="00D31CB4"/>
    <w:rsid w:val="00D3284A"/>
    <w:rsid w:val="00D3341F"/>
    <w:rsid w:val="00D33AB2"/>
    <w:rsid w:val="00D3407C"/>
    <w:rsid w:val="00D34C48"/>
    <w:rsid w:val="00D35483"/>
    <w:rsid w:val="00D3576B"/>
    <w:rsid w:val="00D35C7A"/>
    <w:rsid w:val="00D3636D"/>
    <w:rsid w:val="00D4042B"/>
    <w:rsid w:val="00D40D84"/>
    <w:rsid w:val="00D40ECD"/>
    <w:rsid w:val="00D4146C"/>
    <w:rsid w:val="00D41A5D"/>
    <w:rsid w:val="00D44276"/>
    <w:rsid w:val="00D44E3C"/>
    <w:rsid w:val="00D45EA0"/>
    <w:rsid w:val="00D4641D"/>
    <w:rsid w:val="00D475E8"/>
    <w:rsid w:val="00D47D08"/>
    <w:rsid w:val="00D51B29"/>
    <w:rsid w:val="00D52570"/>
    <w:rsid w:val="00D52837"/>
    <w:rsid w:val="00D53B6B"/>
    <w:rsid w:val="00D547B7"/>
    <w:rsid w:val="00D56B90"/>
    <w:rsid w:val="00D57800"/>
    <w:rsid w:val="00D57B4F"/>
    <w:rsid w:val="00D60CCD"/>
    <w:rsid w:val="00D6128C"/>
    <w:rsid w:val="00D61ACB"/>
    <w:rsid w:val="00D62204"/>
    <w:rsid w:val="00D622D4"/>
    <w:rsid w:val="00D6292B"/>
    <w:rsid w:val="00D6298A"/>
    <w:rsid w:val="00D63801"/>
    <w:rsid w:val="00D63E57"/>
    <w:rsid w:val="00D64347"/>
    <w:rsid w:val="00D6611C"/>
    <w:rsid w:val="00D6691C"/>
    <w:rsid w:val="00D66EC9"/>
    <w:rsid w:val="00D67D1D"/>
    <w:rsid w:val="00D70268"/>
    <w:rsid w:val="00D704A9"/>
    <w:rsid w:val="00D7087B"/>
    <w:rsid w:val="00D70E92"/>
    <w:rsid w:val="00D7252B"/>
    <w:rsid w:val="00D734CA"/>
    <w:rsid w:val="00D74C0F"/>
    <w:rsid w:val="00D754CA"/>
    <w:rsid w:val="00D76549"/>
    <w:rsid w:val="00D77D20"/>
    <w:rsid w:val="00D77FB7"/>
    <w:rsid w:val="00D8025A"/>
    <w:rsid w:val="00D80328"/>
    <w:rsid w:val="00D80706"/>
    <w:rsid w:val="00D82023"/>
    <w:rsid w:val="00D84079"/>
    <w:rsid w:val="00D8444D"/>
    <w:rsid w:val="00D8586E"/>
    <w:rsid w:val="00D85AEE"/>
    <w:rsid w:val="00D86C53"/>
    <w:rsid w:val="00D87880"/>
    <w:rsid w:val="00D914EE"/>
    <w:rsid w:val="00D917D1"/>
    <w:rsid w:val="00D92846"/>
    <w:rsid w:val="00D929DF"/>
    <w:rsid w:val="00D93609"/>
    <w:rsid w:val="00D94B26"/>
    <w:rsid w:val="00D9569A"/>
    <w:rsid w:val="00D969A8"/>
    <w:rsid w:val="00D970AE"/>
    <w:rsid w:val="00D9710A"/>
    <w:rsid w:val="00D9786B"/>
    <w:rsid w:val="00D97FFA"/>
    <w:rsid w:val="00DA07DA"/>
    <w:rsid w:val="00DA0929"/>
    <w:rsid w:val="00DA1704"/>
    <w:rsid w:val="00DA27D8"/>
    <w:rsid w:val="00DA2AAD"/>
    <w:rsid w:val="00DA54E7"/>
    <w:rsid w:val="00DA7B8E"/>
    <w:rsid w:val="00DB0A7C"/>
    <w:rsid w:val="00DB12CE"/>
    <w:rsid w:val="00DB140D"/>
    <w:rsid w:val="00DB3592"/>
    <w:rsid w:val="00DB3C06"/>
    <w:rsid w:val="00DB4177"/>
    <w:rsid w:val="00DB44E2"/>
    <w:rsid w:val="00DB4862"/>
    <w:rsid w:val="00DB4B6D"/>
    <w:rsid w:val="00DB5491"/>
    <w:rsid w:val="00DB62D1"/>
    <w:rsid w:val="00DB62F8"/>
    <w:rsid w:val="00DB65BE"/>
    <w:rsid w:val="00DB720B"/>
    <w:rsid w:val="00DB7E28"/>
    <w:rsid w:val="00DC2974"/>
    <w:rsid w:val="00DC334C"/>
    <w:rsid w:val="00DC3964"/>
    <w:rsid w:val="00DC4CC0"/>
    <w:rsid w:val="00DC5333"/>
    <w:rsid w:val="00DC5AD2"/>
    <w:rsid w:val="00DC7651"/>
    <w:rsid w:val="00DC7755"/>
    <w:rsid w:val="00DC7F42"/>
    <w:rsid w:val="00DD0BF5"/>
    <w:rsid w:val="00DD2602"/>
    <w:rsid w:val="00DD3619"/>
    <w:rsid w:val="00DD36FE"/>
    <w:rsid w:val="00DD3E60"/>
    <w:rsid w:val="00DD3F9B"/>
    <w:rsid w:val="00DD44DE"/>
    <w:rsid w:val="00DD5062"/>
    <w:rsid w:val="00DD63F7"/>
    <w:rsid w:val="00DE07BF"/>
    <w:rsid w:val="00DE3331"/>
    <w:rsid w:val="00DE3481"/>
    <w:rsid w:val="00DE6301"/>
    <w:rsid w:val="00DF0C6C"/>
    <w:rsid w:val="00DF0FEB"/>
    <w:rsid w:val="00DF1B40"/>
    <w:rsid w:val="00DF1EB4"/>
    <w:rsid w:val="00DF1F95"/>
    <w:rsid w:val="00DF24DB"/>
    <w:rsid w:val="00DF44C1"/>
    <w:rsid w:val="00DF4560"/>
    <w:rsid w:val="00DF6269"/>
    <w:rsid w:val="00DF67B8"/>
    <w:rsid w:val="00E0068B"/>
    <w:rsid w:val="00E00D53"/>
    <w:rsid w:val="00E019E6"/>
    <w:rsid w:val="00E01A8D"/>
    <w:rsid w:val="00E01AFF"/>
    <w:rsid w:val="00E02063"/>
    <w:rsid w:val="00E04112"/>
    <w:rsid w:val="00E05D68"/>
    <w:rsid w:val="00E0622F"/>
    <w:rsid w:val="00E068E7"/>
    <w:rsid w:val="00E07C37"/>
    <w:rsid w:val="00E10E8D"/>
    <w:rsid w:val="00E1164C"/>
    <w:rsid w:val="00E11A5C"/>
    <w:rsid w:val="00E11C14"/>
    <w:rsid w:val="00E12D32"/>
    <w:rsid w:val="00E1329B"/>
    <w:rsid w:val="00E133A8"/>
    <w:rsid w:val="00E14D3F"/>
    <w:rsid w:val="00E154AA"/>
    <w:rsid w:val="00E15688"/>
    <w:rsid w:val="00E15DDC"/>
    <w:rsid w:val="00E16790"/>
    <w:rsid w:val="00E2096B"/>
    <w:rsid w:val="00E20B84"/>
    <w:rsid w:val="00E20F38"/>
    <w:rsid w:val="00E2195B"/>
    <w:rsid w:val="00E2327A"/>
    <w:rsid w:val="00E23E12"/>
    <w:rsid w:val="00E24D14"/>
    <w:rsid w:val="00E2582A"/>
    <w:rsid w:val="00E267B1"/>
    <w:rsid w:val="00E301AA"/>
    <w:rsid w:val="00E309C3"/>
    <w:rsid w:val="00E31A99"/>
    <w:rsid w:val="00E339A0"/>
    <w:rsid w:val="00E344B1"/>
    <w:rsid w:val="00E37B93"/>
    <w:rsid w:val="00E37BD2"/>
    <w:rsid w:val="00E37DEA"/>
    <w:rsid w:val="00E37EAB"/>
    <w:rsid w:val="00E40367"/>
    <w:rsid w:val="00E4212E"/>
    <w:rsid w:val="00E42AF3"/>
    <w:rsid w:val="00E42DEA"/>
    <w:rsid w:val="00E43249"/>
    <w:rsid w:val="00E4444E"/>
    <w:rsid w:val="00E444EE"/>
    <w:rsid w:val="00E44E9A"/>
    <w:rsid w:val="00E45398"/>
    <w:rsid w:val="00E454EF"/>
    <w:rsid w:val="00E45E3A"/>
    <w:rsid w:val="00E478CA"/>
    <w:rsid w:val="00E50298"/>
    <w:rsid w:val="00E50D03"/>
    <w:rsid w:val="00E512E3"/>
    <w:rsid w:val="00E53AEC"/>
    <w:rsid w:val="00E54356"/>
    <w:rsid w:val="00E555E1"/>
    <w:rsid w:val="00E559B6"/>
    <w:rsid w:val="00E56DA6"/>
    <w:rsid w:val="00E57AF7"/>
    <w:rsid w:val="00E61E05"/>
    <w:rsid w:val="00E628D2"/>
    <w:rsid w:val="00E63011"/>
    <w:rsid w:val="00E635AA"/>
    <w:rsid w:val="00E63ACE"/>
    <w:rsid w:val="00E6449A"/>
    <w:rsid w:val="00E644A6"/>
    <w:rsid w:val="00E646B1"/>
    <w:rsid w:val="00E647D1"/>
    <w:rsid w:val="00E6610D"/>
    <w:rsid w:val="00E66653"/>
    <w:rsid w:val="00E71EEB"/>
    <w:rsid w:val="00E732BC"/>
    <w:rsid w:val="00E73E4A"/>
    <w:rsid w:val="00E74387"/>
    <w:rsid w:val="00E74F45"/>
    <w:rsid w:val="00E75E38"/>
    <w:rsid w:val="00E7648A"/>
    <w:rsid w:val="00E76AF9"/>
    <w:rsid w:val="00E76CE3"/>
    <w:rsid w:val="00E771B1"/>
    <w:rsid w:val="00E811A3"/>
    <w:rsid w:val="00E8193D"/>
    <w:rsid w:val="00E8206E"/>
    <w:rsid w:val="00E82A0C"/>
    <w:rsid w:val="00E83590"/>
    <w:rsid w:val="00E83BCB"/>
    <w:rsid w:val="00E83E75"/>
    <w:rsid w:val="00E85876"/>
    <w:rsid w:val="00E859FD"/>
    <w:rsid w:val="00E860C5"/>
    <w:rsid w:val="00E87E07"/>
    <w:rsid w:val="00E9109E"/>
    <w:rsid w:val="00E910BA"/>
    <w:rsid w:val="00E94F8D"/>
    <w:rsid w:val="00E9580C"/>
    <w:rsid w:val="00E95E63"/>
    <w:rsid w:val="00E95F14"/>
    <w:rsid w:val="00E96D0D"/>
    <w:rsid w:val="00E97119"/>
    <w:rsid w:val="00E975A0"/>
    <w:rsid w:val="00E97F92"/>
    <w:rsid w:val="00EA229B"/>
    <w:rsid w:val="00EA348C"/>
    <w:rsid w:val="00EA3C68"/>
    <w:rsid w:val="00EA4269"/>
    <w:rsid w:val="00EA4A55"/>
    <w:rsid w:val="00EB0FDE"/>
    <w:rsid w:val="00EB256A"/>
    <w:rsid w:val="00EB2AB6"/>
    <w:rsid w:val="00EB646A"/>
    <w:rsid w:val="00EB648D"/>
    <w:rsid w:val="00EB6862"/>
    <w:rsid w:val="00EB6DEA"/>
    <w:rsid w:val="00EC06AD"/>
    <w:rsid w:val="00EC07BB"/>
    <w:rsid w:val="00EC166F"/>
    <w:rsid w:val="00EC24C0"/>
    <w:rsid w:val="00EC2A9A"/>
    <w:rsid w:val="00EC3462"/>
    <w:rsid w:val="00EC40C4"/>
    <w:rsid w:val="00EC5235"/>
    <w:rsid w:val="00EC5514"/>
    <w:rsid w:val="00EC5D81"/>
    <w:rsid w:val="00EC6B15"/>
    <w:rsid w:val="00EC6C1E"/>
    <w:rsid w:val="00EC783C"/>
    <w:rsid w:val="00ED3D47"/>
    <w:rsid w:val="00ED4DFD"/>
    <w:rsid w:val="00ED73B8"/>
    <w:rsid w:val="00ED7B6F"/>
    <w:rsid w:val="00ED7DDA"/>
    <w:rsid w:val="00EE0E92"/>
    <w:rsid w:val="00EE13FD"/>
    <w:rsid w:val="00EE147E"/>
    <w:rsid w:val="00EE152C"/>
    <w:rsid w:val="00EE17CE"/>
    <w:rsid w:val="00EE2246"/>
    <w:rsid w:val="00EE3C4A"/>
    <w:rsid w:val="00EE41FF"/>
    <w:rsid w:val="00EE49D5"/>
    <w:rsid w:val="00EE4F19"/>
    <w:rsid w:val="00EE543B"/>
    <w:rsid w:val="00EE5A6A"/>
    <w:rsid w:val="00EE64E3"/>
    <w:rsid w:val="00EE73B2"/>
    <w:rsid w:val="00EE753D"/>
    <w:rsid w:val="00EE7A81"/>
    <w:rsid w:val="00EF0CBD"/>
    <w:rsid w:val="00EF3267"/>
    <w:rsid w:val="00EF4680"/>
    <w:rsid w:val="00EF4B96"/>
    <w:rsid w:val="00EF4F0E"/>
    <w:rsid w:val="00EF5FA2"/>
    <w:rsid w:val="00EF615A"/>
    <w:rsid w:val="00EF630D"/>
    <w:rsid w:val="00EF6A31"/>
    <w:rsid w:val="00EF7E15"/>
    <w:rsid w:val="00EF7F1C"/>
    <w:rsid w:val="00F00B91"/>
    <w:rsid w:val="00F01719"/>
    <w:rsid w:val="00F0327D"/>
    <w:rsid w:val="00F04002"/>
    <w:rsid w:val="00F04C98"/>
    <w:rsid w:val="00F04E1D"/>
    <w:rsid w:val="00F05C35"/>
    <w:rsid w:val="00F0768B"/>
    <w:rsid w:val="00F1131E"/>
    <w:rsid w:val="00F1203B"/>
    <w:rsid w:val="00F1416E"/>
    <w:rsid w:val="00F141D8"/>
    <w:rsid w:val="00F14355"/>
    <w:rsid w:val="00F14F96"/>
    <w:rsid w:val="00F150D6"/>
    <w:rsid w:val="00F15D1D"/>
    <w:rsid w:val="00F15D97"/>
    <w:rsid w:val="00F172AA"/>
    <w:rsid w:val="00F1753C"/>
    <w:rsid w:val="00F20D7B"/>
    <w:rsid w:val="00F2168D"/>
    <w:rsid w:val="00F2350D"/>
    <w:rsid w:val="00F24FAA"/>
    <w:rsid w:val="00F2573D"/>
    <w:rsid w:val="00F26187"/>
    <w:rsid w:val="00F26D84"/>
    <w:rsid w:val="00F27456"/>
    <w:rsid w:val="00F27632"/>
    <w:rsid w:val="00F306A3"/>
    <w:rsid w:val="00F3260A"/>
    <w:rsid w:val="00F33C7C"/>
    <w:rsid w:val="00F34CA5"/>
    <w:rsid w:val="00F353E9"/>
    <w:rsid w:val="00F36935"/>
    <w:rsid w:val="00F36E3F"/>
    <w:rsid w:val="00F37605"/>
    <w:rsid w:val="00F40B84"/>
    <w:rsid w:val="00F40DD3"/>
    <w:rsid w:val="00F41EE4"/>
    <w:rsid w:val="00F436AB"/>
    <w:rsid w:val="00F442EF"/>
    <w:rsid w:val="00F44749"/>
    <w:rsid w:val="00F511EA"/>
    <w:rsid w:val="00F52013"/>
    <w:rsid w:val="00F52039"/>
    <w:rsid w:val="00F52426"/>
    <w:rsid w:val="00F52C43"/>
    <w:rsid w:val="00F53D6C"/>
    <w:rsid w:val="00F53E54"/>
    <w:rsid w:val="00F54CE0"/>
    <w:rsid w:val="00F5598A"/>
    <w:rsid w:val="00F564F0"/>
    <w:rsid w:val="00F578F7"/>
    <w:rsid w:val="00F57FC1"/>
    <w:rsid w:val="00F624D0"/>
    <w:rsid w:val="00F630C3"/>
    <w:rsid w:val="00F63814"/>
    <w:rsid w:val="00F6539C"/>
    <w:rsid w:val="00F65A76"/>
    <w:rsid w:val="00F65B63"/>
    <w:rsid w:val="00F65EB6"/>
    <w:rsid w:val="00F6685C"/>
    <w:rsid w:val="00F70A70"/>
    <w:rsid w:val="00F70B90"/>
    <w:rsid w:val="00F735C9"/>
    <w:rsid w:val="00F7394A"/>
    <w:rsid w:val="00F73AA1"/>
    <w:rsid w:val="00F740BC"/>
    <w:rsid w:val="00F74B7F"/>
    <w:rsid w:val="00F772F5"/>
    <w:rsid w:val="00F80CCD"/>
    <w:rsid w:val="00F81253"/>
    <w:rsid w:val="00F816C5"/>
    <w:rsid w:val="00F81830"/>
    <w:rsid w:val="00F82551"/>
    <w:rsid w:val="00F833B6"/>
    <w:rsid w:val="00F85C8D"/>
    <w:rsid w:val="00F876E8"/>
    <w:rsid w:val="00F91B7F"/>
    <w:rsid w:val="00F91DB7"/>
    <w:rsid w:val="00F928ED"/>
    <w:rsid w:val="00F94D91"/>
    <w:rsid w:val="00F9567F"/>
    <w:rsid w:val="00FA0B5C"/>
    <w:rsid w:val="00FA0DB6"/>
    <w:rsid w:val="00FA14EC"/>
    <w:rsid w:val="00FA2954"/>
    <w:rsid w:val="00FA3B2A"/>
    <w:rsid w:val="00FA4A33"/>
    <w:rsid w:val="00FA4EFD"/>
    <w:rsid w:val="00FA557E"/>
    <w:rsid w:val="00FA5E48"/>
    <w:rsid w:val="00FB135C"/>
    <w:rsid w:val="00FB18B0"/>
    <w:rsid w:val="00FB193D"/>
    <w:rsid w:val="00FB1B36"/>
    <w:rsid w:val="00FB3E41"/>
    <w:rsid w:val="00FB4AF2"/>
    <w:rsid w:val="00FB4D42"/>
    <w:rsid w:val="00FB5BEE"/>
    <w:rsid w:val="00FB65EB"/>
    <w:rsid w:val="00FB7DED"/>
    <w:rsid w:val="00FB7EF5"/>
    <w:rsid w:val="00FC08CE"/>
    <w:rsid w:val="00FC1124"/>
    <w:rsid w:val="00FC117E"/>
    <w:rsid w:val="00FC23B2"/>
    <w:rsid w:val="00FC27F4"/>
    <w:rsid w:val="00FC2811"/>
    <w:rsid w:val="00FC3092"/>
    <w:rsid w:val="00FC4FFC"/>
    <w:rsid w:val="00FC6154"/>
    <w:rsid w:val="00FC63DF"/>
    <w:rsid w:val="00FC6712"/>
    <w:rsid w:val="00FC6AE5"/>
    <w:rsid w:val="00FD0F38"/>
    <w:rsid w:val="00FD12DB"/>
    <w:rsid w:val="00FD1C79"/>
    <w:rsid w:val="00FD3237"/>
    <w:rsid w:val="00FD4358"/>
    <w:rsid w:val="00FD78DD"/>
    <w:rsid w:val="00FD7D81"/>
    <w:rsid w:val="00FE00A0"/>
    <w:rsid w:val="00FE074C"/>
    <w:rsid w:val="00FE0DE1"/>
    <w:rsid w:val="00FE2C7D"/>
    <w:rsid w:val="00FE2F33"/>
    <w:rsid w:val="00FE3994"/>
    <w:rsid w:val="00FE3EE0"/>
    <w:rsid w:val="00FE618D"/>
    <w:rsid w:val="00FE621C"/>
    <w:rsid w:val="00FE6A0F"/>
    <w:rsid w:val="00FF2F39"/>
    <w:rsid w:val="00FF3488"/>
    <w:rsid w:val="00FF41CC"/>
    <w:rsid w:val="00FF476B"/>
    <w:rsid w:val="00FF5AA5"/>
    <w:rsid w:val="00FF5C74"/>
    <w:rsid w:val="00FF626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327C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0"/>
  </w:style>
  <w:style w:type="paragraph" w:styleId="Heading1">
    <w:name w:val="heading 1"/>
    <w:basedOn w:val="Normal"/>
    <w:next w:val="Normal"/>
    <w:link w:val="Heading1Char"/>
    <w:uiPriority w:val="9"/>
    <w:qFormat/>
    <w:rsid w:val="00D56B9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56B9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H3-Sec. Head"/>
    <w:basedOn w:val="Normal"/>
    <w:next w:val="Normal"/>
    <w:link w:val="Heading3Char"/>
    <w:uiPriority w:val="9"/>
    <w:unhideWhenUsed/>
    <w:qFormat/>
    <w:rsid w:val="00D56B9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56B9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56B9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56B9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56B9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56B9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56B9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74C"/>
    <w:pPr>
      <w:ind w:left="720"/>
      <w:contextualSpacing/>
    </w:pPr>
  </w:style>
  <w:style w:type="paragraph" w:styleId="BodyTextIndent">
    <w:name w:val="Body Text Indent"/>
    <w:basedOn w:val="Normal"/>
    <w:link w:val="BodyTextIndentChar"/>
    <w:rsid w:val="002B591A"/>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B59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D1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6D1D"/>
    <w:rPr>
      <w:rFonts w:ascii="Times New Roman" w:eastAsia="Times New Roman" w:hAnsi="Times New Roman" w:cs="Times New Roman"/>
      <w:sz w:val="24"/>
      <w:szCs w:val="24"/>
    </w:rPr>
  </w:style>
  <w:style w:type="paragraph" w:styleId="Title">
    <w:name w:val="Title"/>
    <w:basedOn w:val="Normal"/>
    <w:next w:val="Normal"/>
    <w:link w:val="TitleChar"/>
    <w:qFormat/>
    <w:rsid w:val="00D56B9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D56B90"/>
    <w:rPr>
      <w:rFonts w:asciiTheme="majorHAnsi" w:eastAsiaTheme="majorEastAsia" w:hAnsiTheme="majorHAnsi" w:cstheme="majorBidi"/>
      <w:color w:val="4F81BD" w:themeColor="accent1"/>
      <w:spacing w:val="-10"/>
      <w:sz w:val="56"/>
      <w:szCs w:val="56"/>
    </w:rPr>
  </w:style>
  <w:style w:type="character" w:customStyle="1" w:styleId="Heading3Char">
    <w:name w:val="Heading 3 Char"/>
    <w:aliases w:val="H3-Sec. Head Char"/>
    <w:basedOn w:val="DefaultParagraphFont"/>
    <w:link w:val="Heading3"/>
    <w:uiPriority w:val="9"/>
    <w:rsid w:val="00D56B90"/>
    <w:rPr>
      <w:rFonts w:asciiTheme="majorHAnsi" w:eastAsiaTheme="majorEastAsia" w:hAnsiTheme="majorHAnsi" w:cstheme="majorBidi"/>
      <w:color w:val="1F497D" w:themeColor="text2"/>
      <w:sz w:val="24"/>
      <w:szCs w:val="24"/>
    </w:rPr>
  </w:style>
  <w:style w:type="paragraph" w:customStyle="1" w:styleId="P1-StandPara">
    <w:name w:val="P1-Stand Para"/>
    <w:link w:val="P1-StandParaChar"/>
    <w:rsid w:val="00BE5AB8"/>
    <w:pPr>
      <w:spacing w:line="240" w:lineRule="atLeast"/>
      <w:jc w:val="both"/>
    </w:pPr>
    <w:rPr>
      <w:rFonts w:ascii="Times New Roman" w:eastAsia="Times New Roman" w:hAnsi="Times New Roman" w:cs="Times New Roman"/>
      <w:sz w:val="24"/>
    </w:rPr>
  </w:style>
  <w:style w:type="paragraph" w:customStyle="1" w:styleId="N1-1stBullet">
    <w:name w:val="N1-1st Bullet"/>
    <w:basedOn w:val="Normal"/>
    <w:rsid w:val="00BE5AB8"/>
    <w:pPr>
      <w:numPr>
        <w:numId w:val="2"/>
      </w:numPr>
      <w:tabs>
        <w:tab w:val="clear" w:pos="1152"/>
        <w:tab w:val="left" w:pos="576"/>
      </w:tabs>
      <w:spacing w:after="240" w:line="240" w:lineRule="atLeast"/>
      <w:ind w:left="576"/>
    </w:pPr>
    <w:rPr>
      <w:rFonts w:ascii="Times New Roman" w:eastAsia="Times New Roman" w:hAnsi="Times New Roman" w:cs="Times New Roman"/>
      <w:sz w:val="24"/>
    </w:rPr>
  </w:style>
  <w:style w:type="paragraph" w:styleId="FootnoteText">
    <w:name w:val="footnote text"/>
    <w:aliases w:val="F1"/>
    <w:link w:val="FootnoteTextChar"/>
    <w:uiPriority w:val="99"/>
    <w:semiHidden/>
    <w:rsid w:val="00BE5AB8"/>
    <w:pPr>
      <w:tabs>
        <w:tab w:val="left" w:pos="120"/>
      </w:tabs>
      <w:spacing w:before="120" w:after="0" w:line="200" w:lineRule="atLeast"/>
      <w:ind w:left="115" w:hanging="115"/>
      <w:jc w:val="both"/>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uiPriority w:val="99"/>
    <w:semiHidden/>
    <w:rsid w:val="00BE5AB8"/>
    <w:rPr>
      <w:rFonts w:ascii="Times New Roman" w:eastAsia="Times New Roman" w:hAnsi="Times New Roman" w:cs="Times New Roman"/>
      <w:sz w:val="16"/>
      <w:szCs w:val="20"/>
    </w:rPr>
  </w:style>
  <w:style w:type="paragraph" w:customStyle="1" w:styleId="C2-CtrSglSp">
    <w:name w:val="C2-Ctr Sgl Sp"/>
    <w:rsid w:val="00BE5AB8"/>
    <w:pPr>
      <w:keepLines/>
      <w:spacing w:after="0" w:line="240" w:lineRule="atLeast"/>
      <w:jc w:val="center"/>
    </w:pPr>
    <w:rPr>
      <w:rFonts w:ascii="Times New Roman" w:eastAsia="Times New Roman" w:hAnsi="Times New Roman" w:cs="Times New Roman"/>
      <w:sz w:val="24"/>
    </w:rPr>
  </w:style>
  <w:style w:type="paragraph" w:customStyle="1" w:styleId="TT-TableTitle">
    <w:name w:val="TT-Table Title"/>
    <w:rsid w:val="00BE5AB8"/>
    <w:pPr>
      <w:tabs>
        <w:tab w:val="left" w:pos="1152"/>
      </w:tabs>
      <w:spacing w:line="240" w:lineRule="atLeast"/>
      <w:ind w:left="1152" w:hanging="1152"/>
    </w:pPr>
    <w:rPr>
      <w:rFonts w:ascii="Arial" w:eastAsia="Times New Roman" w:hAnsi="Arial" w:cs="Times New Roman"/>
      <w:sz w:val="24"/>
    </w:rPr>
  </w:style>
  <w:style w:type="paragraph" w:customStyle="1" w:styleId="SL-FlLftSgl">
    <w:name w:val="SL-Fl Lft Sgl"/>
    <w:rsid w:val="00BE5AB8"/>
    <w:pPr>
      <w:spacing w:after="0" w:line="240" w:lineRule="atLeast"/>
      <w:jc w:val="both"/>
    </w:pPr>
    <w:rPr>
      <w:rFonts w:ascii="Times New Roman" w:eastAsia="Times New Roman" w:hAnsi="Times New Roman" w:cs="Times New Roman"/>
      <w:sz w:val="18"/>
    </w:rPr>
  </w:style>
  <w:style w:type="character" w:customStyle="1" w:styleId="P1-StandParaChar">
    <w:name w:val="P1-Stand Para Char"/>
    <w:link w:val="P1-StandPara"/>
    <w:rsid w:val="00BE5AB8"/>
    <w:rPr>
      <w:rFonts w:ascii="Times New Roman" w:eastAsia="Times New Roman" w:hAnsi="Times New Roman" w:cs="Times New Roman"/>
      <w:sz w:val="24"/>
      <w:szCs w:val="20"/>
    </w:rPr>
  </w:style>
  <w:style w:type="character" w:styleId="Emphasis">
    <w:name w:val="Emphasis"/>
    <w:basedOn w:val="DefaultParagraphFont"/>
    <w:uiPriority w:val="20"/>
    <w:qFormat/>
    <w:rsid w:val="00D56B90"/>
    <w:rPr>
      <w:i/>
      <w:iCs/>
    </w:rPr>
  </w:style>
  <w:style w:type="paragraph" w:styleId="BalloonText">
    <w:name w:val="Balloon Text"/>
    <w:basedOn w:val="Normal"/>
    <w:link w:val="BalloonTextChar"/>
    <w:uiPriority w:val="99"/>
    <w:semiHidden/>
    <w:unhideWhenUsed/>
    <w:rsid w:val="00B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B8"/>
    <w:rPr>
      <w:rFonts w:ascii="Tahoma" w:hAnsi="Tahoma" w:cs="Tahoma"/>
      <w:sz w:val="16"/>
      <w:szCs w:val="16"/>
    </w:rPr>
  </w:style>
  <w:style w:type="paragraph" w:customStyle="1" w:styleId="a">
    <w:name w:val=""/>
    <w:rsid w:val="00B374E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1CF3"/>
    <w:rPr>
      <w:sz w:val="16"/>
      <w:szCs w:val="16"/>
    </w:rPr>
  </w:style>
  <w:style w:type="paragraph" w:styleId="CommentText">
    <w:name w:val="annotation text"/>
    <w:basedOn w:val="Normal"/>
    <w:link w:val="CommentTextChar"/>
    <w:uiPriority w:val="99"/>
    <w:unhideWhenUsed/>
    <w:rsid w:val="00521CF3"/>
    <w:pPr>
      <w:spacing w:line="240" w:lineRule="auto"/>
    </w:pPr>
  </w:style>
  <w:style w:type="character" w:customStyle="1" w:styleId="CommentTextChar">
    <w:name w:val="Comment Text Char"/>
    <w:basedOn w:val="DefaultParagraphFont"/>
    <w:link w:val="CommentText"/>
    <w:uiPriority w:val="99"/>
    <w:rsid w:val="00521CF3"/>
    <w:rPr>
      <w:sz w:val="20"/>
      <w:szCs w:val="20"/>
    </w:rPr>
  </w:style>
  <w:style w:type="table" w:styleId="TableGrid">
    <w:name w:val="Table Grid"/>
    <w:basedOn w:val="TableNormal"/>
    <w:uiPriority w:val="59"/>
    <w:rsid w:val="00D8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A92D93"/>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EAE"/>
  </w:style>
  <w:style w:type="character" w:customStyle="1" w:styleId="minorhead">
    <w:name w:val="minorhead"/>
    <w:rsid w:val="00CD410F"/>
    <w:rPr>
      <w:rFonts w:ascii="Arial" w:hAnsi="Arial" w:cs="Arial"/>
      <w:b/>
      <w:bCs/>
      <w:sz w:val="24"/>
      <w:szCs w:val="24"/>
    </w:rPr>
  </w:style>
  <w:style w:type="character" w:styleId="Strong">
    <w:name w:val="Strong"/>
    <w:basedOn w:val="DefaultParagraphFont"/>
    <w:uiPriority w:val="22"/>
    <w:qFormat/>
    <w:rsid w:val="00D56B90"/>
    <w:rPr>
      <w:b/>
      <w:bCs/>
    </w:rPr>
  </w:style>
  <w:style w:type="character" w:customStyle="1" w:styleId="StyleBold">
    <w:name w:val="Style Bold"/>
    <w:rsid w:val="00E45E3A"/>
    <w:rPr>
      <w:rFonts w:ascii="Arial" w:hAnsi="Arial" w:cs="Times New Roman"/>
      <w:b/>
      <w:bCs/>
      <w:sz w:val="24"/>
    </w:rPr>
  </w:style>
  <w:style w:type="character" w:styleId="FootnoteReference">
    <w:name w:val="footnote reference"/>
    <w:basedOn w:val="DefaultParagraphFont"/>
    <w:uiPriority w:val="99"/>
    <w:semiHidden/>
    <w:unhideWhenUsed/>
    <w:rsid w:val="00312F8F"/>
    <w:rPr>
      <w:vertAlign w:val="superscript"/>
    </w:rPr>
  </w:style>
  <w:style w:type="character" w:styleId="Hyperlink">
    <w:name w:val="Hyperlink"/>
    <w:basedOn w:val="DefaultParagraphFont"/>
    <w:uiPriority w:val="99"/>
    <w:unhideWhenUsed/>
    <w:rsid w:val="00135B61"/>
    <w:rPr>
      <w:color w:val="0000FF" w:themeColor="hyperlink"/>
      <w:u w:val="single"/>
    </w:rPr>
  </w:style>
  <w:style w:type="character" w:customStyle="1" w:styleId="Heading1Char">
    <w:name w:val="Heading 1 Char"/>
    <w:basedOn w:val="DefaultParagraphFont"/>
    <w:link w:val="Heading1"/>
    <w:uiPriority w:val="9"/>
    <w:rsid w:val="00D56B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56B90"/>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D56B9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56B9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56B9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56B9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56B9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56B9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D56B90"/>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56B9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56B90"/>
    <w:rPr>
      <w:rFonts w:asciiTheme="majorHAnsi" w:eastAsiaTheme="majorEastAsia" w:hAnsiTheme="majorHAnsi" w:cstheme="majorBidi"/>
      <w:sz w:val="24"/>
      <w:szCs w:val="24"/>
    </w:rPr>
  </w:style>
  <w:style w:type="paragraph" w:styleId="NoSpacing">
    <w:name w:val="No Spacing"/>
    <w:uiPriority w:val="1"/>
    <w:qFormat/>
    <w:rsid w:val="00D56B90"/>
    <w:pPr>
      <w:spacing w:after="0" w:line="240" w:lineRule="auto"/>
    </w:pPr>
  </w:style>
  <w:style w:type="paragraph" w:styleId="Quote">
    <w:name w:val="Quote"/>
    <w:basedOn w:val="Normal"/>
    <w:next w:val="Normal"/>
    <w:link w:val="QuoteChar"/>
    <w:uiPriority w:val="29"/>
    <w:qFormat/>
    <w:rsid w:val="00D56B9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56B90"/>
    <w:rPr>
      <w:i/>
      <w:iCs/>
      <w:color w:val="404040" w:themeColor="text1" w:themeTint="BF"/>
    </w:rPr>
  </w:style>
  <w:style w:type="paragraph" w:styleId="IntenseQuote">
    <w:name w:val="Intense Quote"/>
    <w:basedOn w:val="Normal"/>
    <w:next w:val="Normal"/>
    <w:link w:val="IntenseQuoteChar"/>
    <w:uiPriority w:val="30"/>
    <w:qFormat/>
    <w:rsid w:val="00D56B9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56B9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56B90"/>
    <w:rPr>
      <w:i/>
      <w:iCs/>
      <w:color w:val="404040" w:themeColor="text1" w:themeTint="BF"/>
    </w:rPr>
  </w:style>
  <w:style w:type="character" w:styleId="IntenseEmphasis">
    <w:name w:val="Intense Emphasis"/>
    <w:basedOn w:val="DefaultParagraphFont"/>
    <w:uiPriority w:val="21"/>
    <w:qFormat/>
    <w:rsid w:val="00D56B90"/>
    <w:rPr>
      <w:b/>
      <w:bCs/>
      <w:i/>
      <w:iCs/>
    </w:rPr>
  </w:style>
  <w:style w:type="character" w:styleId="SubtleReference">
    <w:name w:val="Subtle Reference"/>
    <w:basedOn w:val="DefaultParagraphFont"/>
    <w:uiPriority w:val="31"/>
    <w:qFormat/>
    <w:rsid w:val="00D56B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56B90"/>
    <w:rPr>
      <w:b/>
      <w:bCs/>
      <w:smallCaps/>
      <w:spacing w:val="5"/>
      <w:u w:val="single"/>
    </w:rPr>
  </w:style>
  <w:style w:type="character" w:styleId="BookTitle">
    <w:name w:val="Book Title"/>
    <w:basedOn w:val="DefaultParagraphFont"/>
    <w:uiPriority w:val="33"/>
    <w:qFormat/>
    <w:rsid w:val="00D56B90"/>
    <w:rPr>
      <w:b/>
      <w:bCs/>
      <w:smallCaps/>
    </w:rPr>
  </w:style>
  <w:style w:type="paragraph" w:styleId="TOCHeading">
    <w:name w:val="TOC Heading"/>
    <w:basedOn w:val="Heading1"/>
    <w:next w:val="Normal"/>
    <w:uiPriority w:val="39"/>
    <w:semiHidden/>
    <w:unhideWhenUsed/>
    <w:qFormat/>
    <w:rsid w:val="00D56B90"/>
    <w:pPr>
      <w:outlineLvl w:val="9"/>
    </w:pPr>
  </w:style>
  <w:style w:type="paragraph" w:styleId="CommentSubject">
    <w:name w:val="annotation subject"/>
    <w:basedOn w:val="CommentText"/>
    <w:next w:val="CommentText"/>
    <w:link w:val="CommentSubjectChar"/>
    <w:uiPriority w:val="99"/>
    <w:semiHidden/>
    <w:unhideWhenUsed/>
    <w:rsid w:val="000A6705"/>
    <w:rPr>
      <w:b/>
      <w:bCs/>
    </w:rPr>
  </w:style>
  <w:style w:type="character" w:customStyle="1" w:styleId="CommentSubjectChar">
    <w:name w:val="Comment Subject Char"/>
    <w:basedOn w:val="CommentTextChar"/>
    <w:link w:val="CommentSubject"/>
    <w:uiPriority w:val="99"/>
    <w:semiHidden/>
    <w:rsid w:val="000A6705"/>
    <w:rPr>
      <w:b/>
      <w:bCs/>
      <w:sz w:val="20"/>
      <w:szCs w:val="20"/>
    </w:rPr>
  </w:style>
  <w:style w:type="paragraph" w:styleId="Revision">
    <w:name w:val="Revision"/>
    <w:hidden/>
    <w:uiPriority w:val="99"/>
    <w:semiHidden/>
    <w:rsid w:val="00887535"/>
    <w:pPr>
      <w:spacing w:after="0" w:line="240" w:lineRule="auto"/>
    </w:pPr>
  </w:style>
  <w:style w:type="paragraph" w:styleId="NormalWeb">
    <w:name w:val="Normal (Web)"/>
    <w:basedOn w:val="Normal"/>
    <w:uiPriority w:val="99"/>
    <w:semiHidden/>
    <w:unhideWhenUsed/>
    <w:rsid w:val="00443454"/>
    <w:pPr>
      <w:spacing w:after="0" w:line="240" w:lineRule="auto"/>
    </w:pPr>
    <w:rPr>
      <w:rFonts w:ascii="Times New Roman" w:eastAsiaTheme="minorHAnsi" w:hAnsi="Times New Roman" w:cs="Times New Roman"/>
      <w:sz w:val="24"/>
      <w:szCs w:val="24"/>
    </w:rPr>
  </w:style>
  <w:style w:type="paragraph" w:customStyle="1" w:styleId="a0">
    <w:name w:val="a"/>
    <w:basedOn w:val="Normal"/>
    <w:rsid w:val="00F27632"/>
    <w:pPr>
      <w:spacing w:after="0"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FA0B5C"/>
  </w:style>
  <w:style w:type="character" w:customStyle="1" w:styleId="BodyTextChar">
    <w:name w:val="Body Text Char"/>
    <w:basedOn w:val="DefaultParagraphFont"/>
    <w:link w:val="BodyText"/>
    <w:uiPriority w:val="99"/>
    <w:semiHidden/>
    <w:rsid w:val="00FA0B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0"/>
  </w:style>
  <w:style w:type="paragraph" w:styleId="Heading1">
    <w:name w:val="heading 1"/>
    <w:basedOn w:val="Normal"/>
    <w:next w:val="Normal"/>
    <w:link w:val="Heading1Char"/>
    <w:uiPriority w:val="9"/>
    <w:qFormat/>
    <w:rsid w:val="00D56B9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56B9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H3-Sec. Head"/>
    <w:basedOn w:val="Normal"/>
    <w:next w:val="Normal"/>
    <w:link w:val="Heading3Char"/>
    <w:uiPriority w:val="9"/>
    <w:unhideWhenUsed/>
    <w:qFormat/>
    <w:rsid w:val="00D56B9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56B9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56B9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56B9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56B9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56B9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56B9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74C"/>
    <w:pPr>
      <w:ind w:left="720"/>
      <w:contextualSpacing/>
    </w:pPr>
  </w:style>
  <w:style w:type="paragraph" w:styleId="BodyTextIndent">
    <w:name w:val="Body Text Indent"/>
    <w:basedOn w:val="Normal"/>
    <w:link w:val="BodyTextIndentChar"/>
    <w:rsid w:val="002B591A"/>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B59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D1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6D1D"/>
    <w:rPr>
      <w:rFonts w:ascii="Times New Roman" w:eastAsia="Times New Roman" w:hAnsi="Times New Roman" w:cs="Times New Roman"/>
      <w:sz w:val="24"/>
      <w:szCs w:val="24"/>
    </w:rPr>
  </w:style>
  <w:style w:type="paragraph" w:styleId="Title">
    <w:name w:val="Title"/>
    <w:basedOn w:val="Normal"/>
    <w:next w:val="Normal"/>
    <w:link w:val="TitleChar"/>
    <w:qFormat/>
    <w:rsid w:val="00D56B9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D56B90"/>
    <w:rPr>
      <w:rFonts w:asciiTheme="majorHAnsi" w:eastAsiaTheme="majorEastAsia" w:hAnsiTheme="majorHAnsi" w:cstheme="majorBidi"/>
      <w:color w:val="4F81BD" w:themeColor="accent1"/>
      <w:spacing w:val="-10"/>
      <w:sz w:val="56"/>
      <w:szCs w:val="56"/>
    </w:rPr>
  </w:style>
  <w:style w:type="character" w:customStyle="1" w:styleId="Heading3Char">
    <w:name w:val="Heading 3 Char"/>
    <w:aliases w:val="H3-Sec. Head Char"/>
    <w:basedOn w:val="DefaultParagraphFont"/>
    <w:link w:val="Heading3"/>
    <w:uiPriority w:val="9"/>
    <w:rsid w:val="00D56B90"/>
    <w:rPr>
      <w:rFonts w:asciiTheme="majorHAnsi" w:eastAsiaTheme="majorEastAsia" w:hAnsiTheme="majorHAnsi" w:cstheme="majorBidi"/>
      <w:color w:val="1F497D" w:themeColor="text2"/>
      <w:sz w:val="24"/>
      <w:szCs w:val="24"/>
    </w:rPr>
  </w:style>
  <w:style w:type="paragraph" w:customStyle="1" w:styleId="P1-StandPara">
    <w:name w:val="P1-Stand Para"/>
    <w:link w:val="P1-StandParaChar"/>
    <w:rsid w:val="00BE5AB8"/>
    <w:pPr>
      <w:spacing w:line="240" w:lineRule="atLeast"/>
      <w:jc w:val="both"/>
    </w:pPr>
    <w:rPr>
      <w:rFonts w:ascii="Times New Roman" w:eastAsia="Times New Roman" w:hAnsi="Times New Roman" w:cs="Times New Roman"/>
      <w:sz w:val="24"/>
    </w:rPr>
  </w:style>
  <w:style w:type="paragraph" w:customStyle="1" w:styleId="N1-1stBullet">
    <w:name w:val="N1-1st Bullet"/>
    <w:basedOn w:val="Normal"/>
    <w:rsid w:val="00BE5AB8"/>
    <w:pPr>
      <w:numPr>
        <w:numId w:val="2"/>
      </w:numPr>
      <w:tabs>
        <w:tab w:val="clear" w:pos="1152"/>
        <w:tab w:val="left" w:pos="576"/>
      </w:tabs>
      <w:spacing w:after="240" w:line="240" w:lineRule="atLeast"/>
      <w:ind w:left="576"/>
    </w:pPr>
    <w:rPr>
      <w:rFonts w:ascii="Times New Roman" w:eastAsia="Times New Roman" w:hAnsi="Times New Roman" w:cs="Times New Roman"/>
      <w:sz w:val="24"/>
    </w:rPr>
  </w:style>
  <w:style w:type="paragraph" w:styleId="FootnoteText">
    <w:name w:val="footnote text"/>
    <w:aliases w:val="F1"/>
    <w:link w:val="FootnoteTextChar"/>
    <w:uiPriority w:val="99"/>
    <w:semiHidden/>
    <w:rsid w:val="00BE5AB8"/>
    <w:pPr>
      <w:tabs>
        <w:tab w:val="left" w:pos="120"/>
      </w:tabs>
      <w:spacing w:before="120" w:after="0" w:line="200" w:lineRule="atLeast"/>
      <w:ind w:left="115" w:hanging="115"/>
      <w:jc w:val="both"/>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uiPriority w:val="99"/>
    <w:semiHidden/>
    <w:rsid w:val="00BE5AB8"/>
    <w:rPr>
      <w:rFonts w:ascii="Times New Roman" w:eastAsia="Times New Roman" w:hAnsi="Times New Roman" w:cs="Times New Roman"/>
      <w:sz w:val="16"/>
      <w:szCs w:val="20"/>
    </w:rPr>
  </w:style>
  <w:style w:type="paragraph" w:customStyle="1" w:styleId="C2-CtrSglSp">
    <w:name w:val="C2-Ctr Sgl Sp"/>
    <w:rsid w:val="00BE5AB8"/>
    <w:pPr>
      <w:keepLines/>
      <w:spacing w:after="0" w:line="240" w:lineRule="atLeast"/>
      <w:jc w:val="center"/>
    </w:pPr>
    <w:rPr>
      <w:rFonts w:ascii="Times New Roman" w:eastAsia="Times New Roman" w:hAnsi="Times New Roman" w:cs="Times New Roman"/>
      <w:sz w:val="24"/>
    </w:rPr>
  </w:style>
  <w:style w:type="paragraph" w:customStyle="1" w:styleId="TT-TableTitle">
    <w:name w:val="TT-Table Title"/>
    <w:rsid w:val="00BE5AB8"/>
    <w:pPr>
      <w:tabs>
        <w:tab w:val="left" w:pos="1152"/>
      </w:tabs>
      <w:spacing w:line="240" w:lineRule="atLeast"/>
      <w:ind w:left="1152" w:hanging="1152"/>
    </w:pPr>
    <w:rPr>
      <w:rFonts w:ascii="Arial" w:eastAsia="Times New Roman" w:hAnsi="Arial" w:cs="Times New Roman"/>
      <w:sz w:val="24"/>
    </w:rPr>
  </w:style>
  <w:style w:type="paragraph" w:customStyle="1" w:styleId="SL-FlLftSgl">
    <w:name w:val="SL-Fl Lft Sgl"/>
    <w:rsid w:val="00BE5AB8"/>
    <w:pPr>
      <w:spacing w:after="0" w:line="240" w:lineRule="atLeast"/>
      <w:jc w:val="both"/>
    </w:pPr>
    <w:rPr>
      <w:rFonts w:ascii="Times New Roman" w:eastAsia="Times New Roman" w:hAnsi="Times New Roman" w:cs="Times New Roman"/>
      <w:sz w:val="18"/>
    </w:rPr>
  </w:style>
  <w:style w:type="character" w:customStyle="1" w:styleId="P1-StandParaChar">
    <w:name w:val="P1-Stand Para Char"/>
    <w:link w:val="P1-StandPara"/>
    <w:rsid w:val="00BE5AB8"/>
    <w:rPr>
      <w:rFonts w:ascii="Times New Roman" w:eastAsia="Times New Roman" w:hAnsi="Times New Roman" w:cs="Times New Roman"/>
      <w:sz w:val="24"/>
      <w:szCs w:val="20"/>
    </w:rPr>
  </w:style>
  <w:style w:type="character" w:styleId="Emphasis">
    <w:name w:val="Emphasis"/>
    <w:basedOn w:val="DefaultParagraphFont"/>
    <w:uiPriority w:val="20"/>
    <w:qFormat/>
    <w:rsid w:val="00D56B90"/>
    <w:rPr>
      <w:i/>
      <w:iCs/>
    </w:rPr>
  </w:style>
  <w:style w:type="paragraph" w:styleId="BalloonText">
    <w:name w:val="Balloon Text"/>
    <w:basedOn w:val="Normal"/>
    <w:link w:val="BalloonTextChar"/>
    <w:uiPriority w:val="99"/>
    <w:semiHidden/>
    <w:unhideWhenUsed/>
    <w:rsid w:val="00B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B8"/>
    <w:rPr>
      <w:rFonts w:ascii="Tahoma" w:hAnsi="Tahoma" w:cs="Tahoma"/>
      <w:sz w:val="16"/>
      <w:szCs w:val="16"/>
    </w:rPr>
  </w:style>
  <w:style w:type="paragraph" w:customStyle="1" w:styleId="a">
    <w:name w:val=""/>
    <w:rsid w:val="00B374E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1CF3"/>
    <w:rPr>
      <w:sz w:val="16"/>
      <w:szCs w:val="16"/>
    </w:rPr>
  </w:style>
  <w:style w:type="paragraph" w:styleId="CommentText">
    <w:name w:val="annotation text"/>
    <w:basedOn w:val="Normal"/>
    <w:link w:val="CommentTextChar"/>
    <w:uiPriority w:val="99"/>
    <w:unhideWhenUsed/>
    <w:rsid w:val="00521CF3"/>
    <w:pPr>
      <w:spacing w:line="240" w:lineRule="auto"/>
    </w:pPr>
  </w:style>
  <w:style w:type="character" w:customStyle="1" w:styleId="CommentTextChar">
    <w:name w:val="Comment Text Char"/>
    <w:basedOn w:val="DefaultParagraphFont"/>
    <w:link w:val="CommentText"/>
    <w:uiPriority w:val="99"/>
    <w:rsid w:val="00521CF3"/>
    <w:rPr>
      <w:sz w:val="20"/>
      <w:szCs w:val="20"/>
    </w:rPr>
  </w:style>
  <w:style w:type="table" w:styleId="TableGrid">
    <w:name w:val="Table Grid"/>
    <w:basedOn w:val="TableNormal"/>
    <w:uiPriority w:val="59"/>
    <w:rsid w:val="00D807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A92D93"/>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EAE"/>
  </w:style>
  <w:style w:type="character" w:customStyle="1" w:styleId="minorhead">
    <w:name w:val="minorhead"/>
    <w:rsid w:val="00CD410F"/>
    <w:rPr>
      <w:rFonts w:ascii="Arial" w:hAnsi="Arial" w:cs="Arial"/>
      <w:b/>
      <w:bCs/>
      <w:sz w:val="24"/>
      <w:szCs w:val="24"/>
    </w:rPr>
  </w:style>
  <w:style w:type="character" w:styleId="Strong">
    <w:name w:val="Strong"/>
    <w:basedOn w:val="DefaultParagraphFont"/>
    <w:uiPriority w:val="22"/>
    <w:qFormat/>
    <w:rsid w:val="00D56B90"/>
    <w:rPr>
      <w:b/>
      <w:bCs/>
    </w:rPr>
  </w:style>
  <w:style w:type="character" w:customStyle="1" w:styleId="StyleBold">
    <w:name w:val="Style Bold"/>
    <w:rsid w:val="00E45E3A"/>
    <w:rPr>
      <w:rFonts w:ascii="Arial" w:hAnsi="Arial" w:cs="Times New Roman"/>
      <w:b/>
      <w:bCs/>
      <w:sz w:val="24"/>
    </w:rPr>
  </w:style>
  <w:style w:type="character" w:styleId="FootnoteReference">
    <w:name w:val="footnote reference"/>
    <w:basedOn w:val="DefaultParagraphFont"/>
    <w:uiPriority w:val="99"/>
    <w:semiHidden/>
    <w:unhideWhenUsed/>
    <w:rsid w:val="00312F8F"/>
    <w:rPr>
      <w:vertAlign w:val="superscript"/>
    </w:rPr>
  </w:style>
  <w:style w:type="character" w:styleId="Hyperlink">
    <w:name w:val="Hyperlink"/>
    <w:basedOn w:val="DefaultParagraphFont"/>
    <w:uiPriority w:val="99"/>
    <w:unhideWhenUsed/>
    <w:rsid w:val="00135B61"/>
    <w:rPr>
      <w:color w:val="0000FF" w:themeColor="hyperlink"/>
      <w:u w:val="single"/>
    </w:rPr>
  </w:style>
  <w:style w:type="character" w:customStyle="1" w:styleId="Heading1Char">
    <w:name w:val="Heading 1 Char"/>
    <w:basedOn w:val="DefaultParagraphFont"/>
    <w:link w:val="Heading1"/>
    <w:uiPriority w:val="9"/>
    <w:rsid w:val="00D56B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56B90"/>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D56B9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56B9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56B9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56B9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56B9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56B9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D56B90"/>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56B9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56B90"/>
    <w:rPr>
      <w:rFonts w:asciiTheme="majorHAnsi" w:eastAsiaTheme="majorEastAsia" w:hAnsiTheme="majorHAnsi" w:cstheme="majorBidi"/>
      <w:sz w:val="24"/>
      <w:szCs w:val="24"/>
    </w:rPr>
  </w:style>
  <w:style w:type="paragraph" w:styleId="NoSpacing">
    <w:name w:val="No Spacing"/>
    <w:uiPriority w:val="1"/>
    <w:qFormat/>
    <w:rsid w:val="00D56B90"/>
    <w:pPr>
      <w:spacing w:after="0" w:line="240" w:lineRule="auto"/>
    </w:pPr>
  </w:style>
  <w:style w:type="paragraph" w:styleId="Quote">
    <w:name w:val="Quote"/>
    <w:basedOn w:val="Normal"/>
    <w:next w:val="Normal"/>
    <w:link w:val="QuoteChar"/>
    <w:uiPriority w:val="29"/>
    <w:qFormat/>
    <w:rsid w:val="00D56B9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56B90"/>
    <w:rPr>
      <w:i/>
      <w:iCs/>
      <w:color w:val="404040" w:themeColor="text1" w:themeTint="BF"/>
    </w:rPr>
  </w:style>
  <w:style w:type="paragraph" w:styleId="IntenseQuote">
    <w:name w:val="Intense Quote"/>
    <w:basedOn w:val="Normal"/>
    <w:next w:val="Normal"/>
    <w:link w:val="IntenseQuoteChar"/>
    <w:uiPriority w:val="30"/>
    <w:qFormat/>
    <w:rsid w:val="00D56B9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56B9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56B90"/>
    <w:rPr>
      <w:i/>
      <w:iCs/>
      <w:color w:val="404040" w:themeColor="text1" w:themeTint="BF"/>
    </w:rPr>
  </w:style>
  <w:style w:type="character" w:styleId="IntenseEmphasis">
    <w:name w:val="Intense Emphasis"/>
    <w:basedOn w:val="DefaultParagraphFont"/>
    <w:uiPriority w:val="21"/>
    <w:qFormat/>
    <w:rsid w:val="00D56B90"/>
    <w:rPr>
      <w:b/>
      <w:bCs/>
      <w:i/>
      <w:iCs/>
    </w:rPr>
  </w:style>
  <w:style w:type="character" w:styleId="SubtleReference">
    <w:name w:val="Subtle Reference"/>
    <w:basedOn w:val="DefaultParagraphFont"/>
    <w:uiPriority w:val="31"/>
    <w:qFormat/>
    <w:rsid w:val="00D56B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56B90"/>
    <w:rPr>
      <w:b/>
      <w:bCs/>
      <w:smallCaps/>
      <w:spacing w:val="5"/>
      <w:u w:val="single"/>
    </w:rPr>
  </w:style>
  <w:style w:type="character" w:styleId="BookTitle">
    <w:name w:val="Book Title"/>
    <w:basedOn w:val="DefaultParagraphFont"/>
    <w:uiPriority w:val="33"/>
    <w:qFormat/>
    <w:rsid w:val="00D56B90"/>
    <w:rPr>
      <w:b/>
      <w:bCs/>
      <w:smallCaps/>
    </w:rPr>
  </w:style>
  <w:style w:type="paragraph" w:styleId="TOCHeading">
    <w:name w:val="TOC Heading"/>
    <w:basedOn w:val="Heading1"/>
    <w:next w:val="Normal"/>
    <w:uiPriority w:val="39"/>
    <w:semiHidden/>
    <w:unhideWhenUsed/>
    <w:qFormat/>
    <w:rsid w:val="00D56B90"/>
    <w:pPr>
      <w:outlineLvl w:val="9"/>
    </w:pPr>
  </w:style>
  <w:style w:type="paragraph" w:styleId="CommentSubject">
    <w:name w:val="annotation subject"/>
    <w:basedOn w:val="CommentText"/>
    <w:next w:val="CommentText"/>
    <w:link w:val="CommentSubjectChar"/>
    <w:uiPriority w:val="99"/>
    <w:semiHidden/>
    <w:unhideWhenUsed/>
    <w:rsid w:val="000A6705"/>
    <w:rPr>
      <w:b/>
      <w:bCs/>
    </w:rPr>
  </w:style>
  <w:style w:type="character" w:customStyle="1" w:styleId="CommentSubjectChar">
    <w:name w:val="Comment Subject Char"/>
    <w:basedOn w:val="CommentTextChar"/>
    <w:link w:val="CommentSubject"/>
    <w:uiPriority w:val="99"/>
    <w:semiHidden/>
    <w:rsid w:val="000A6705"/>
    <w:rPr>
      <w:b/>
      <w:bCs/>
      <w:sz w:val="20"/>
      <w:szCs w:val="20"/>
    </w:rPr>
  </w:style>
  <w:style w:type="paragraph" w:styleId="Revision">
    <w:name w:val="Revision"/>
    <w:hidden/>
    <w:uiPriority w:val="99"/>
    <w:semiHidden/>
    <w:rsid w:val="00887535"/>
    <w:pPr>
      <w:spacing w:after="0" w:line="240" w:lineRule="auto"/>
    </w:pPr>
  </w:style>
  <w:style w:type="paragraph" w:styleId="NormalWeb">
    <w:name w:val="Normal (Web)"/>
    <w:basedOn w:val="Normal"/>
    <w:uiPriority w:val="99"/>
    <w:semiHidden/>
    <w:unhideWhenUsed/>
    <w:rsid w:val="00443454"/>
    <w:pPr>
      <w:spacing w:after="0" w:line="240" w:lineRule="auto"/>
    </w:pPr>
    <w:rPr>
      <w:rFonts w:ascii="Times New Roman" w:eastAsiaTheme="minorHAnsi" w:hAnsi="Times New Roman" w:cs="Times New Roman"/>
      <w:sz w:val="24"/>
      <w:szCs w:val="24"/>
    </w:rPr>
  </w:style>
  <w:style w:type="paragraph" w:customStyle="1" w:styleId="a0">
    <w:name w:val="a"/>
    <w:basedOn w:val="Normal"/>
    <w:rsid w:val="00F27632"/>
    <w:pPr>
      <w:spacing w:after="0"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FA0B5C"/>
  </w:style>
  <w:style w:type="character" w:customStyle="1" w:styleId="BodyTextChar">
    <w:name w:val="Body Text Char"/>
    <w:basedOn w:val="DefaultParagraphFont"/>
    <w:link w:val="BodyText"/>
    <w:uiPriority w:val="99"/>
    <w:semiHidden/>
    <w:rsid w:val="00FA0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12">
      <w:bodyDiv w:val="1"/>
      <w:marLeft w:val="0"/>
      <w:marRight w:val="0"/>
      <w:marTop w:val="0"/>
      <w:marBottom w:val="0"/>
      <w:divBdr>
        <w:top w:val="none" w:sz="0" w:space="0" w:color="auto"/>
        <w:left w:val="none" w:sz="0" w:space="0" w:color="auto"/>
        <w:bottom w:val="none" w:sz="0" w:space="0" w:color="auto"/>
        <w:right w:val="none" w:sz="0" w:space="0" w:color="auto"/>
      </w:divBdr>
    </w:div>
    <w:div w:id="13770184">
      <w:bodyDiv w:val="1"/>
      <w:marLeft w:val="0"/>
      <w:marRight w:val="0"/>
      <w:marTop w:val="0"/>
      <w:marBottom w:val="0"/>
      <w:divBdr>
        <w:top w:val="none" w:sz="0" w:space="0" w:color="auto"/>
        <w:left w:val="none" w:sz="0" w:space="0" w:color="auto"/>
        <w:bottom w:val="none" w:sz="0" w:space="0" w:color="auto"/>
        <w:right w:val="none" w:sz="0" w:space="0" w:color="auto"/>
      </w:divBdr>
    </w:div>
    <w:div w:id="98455960">
      <w:bodyDiv w:val="1"/>
      <w:marLeft w:val="0"/>
      <w:marRight w:val="0"/>
      <w:marTop w:val="0"/>
      <w:marBottom w:val="0"/>
      <w:divBdr>
        <w:top w:val="none" w:sz="0" w:space="0" w:color="auto"/>
        <w:left w:val="none" w:sz="0" w:space="0" w:color="auto"/>
        <w:bottom w:val="none" w:sz="0" w:space="0" w:color="auto"/>
        <w:right w:val="none" w:sz="0" w:space="0" w:color="auto"/>
      </w:divBdr>
    </w:div>
    <w:div w:id="186262391">
      <w:bodyDiv w:val="1"/>
      <w:marLeft w:val="0"/>
      <w:marRight w:val="0"/>
      <w:marTop w:val="0"/>
      <w:marBottom w:val="0"/>
      <w:divBdr>
        <w:top w:val="none" w:sz="0" w:space="0" w:color="auto"/>
        <w:left w:val="none" w:sz="0" w:space="0" w:color="auto"/>
        <w:bottom w:val="none" w:sz="0" w:space="0" w:color="auto"/>
        <w:right w:val="none" w:sz="0" w:space="0" w:color="auto"/>
      </w:divBdr>
    </w:div>
    <w:div w:id="208885283">
      <w:bodyDiv w:val="1"/>
      <w:marLeft w:val="0"/>
      <w:marRight w:val="0"/>
      <w:marTop w:val="0"/>
      <w:marBottom w:val="0"/>
      <w:divBdr>
        <w:top w:val="none" w:sz="0" w:space="0" w:color="auto"/>
        <w:left w:val="none" w:sz="0" w:space="0" w:color="auto"/>
        <w:bottom w:val="none" w:sz="0" w:space="0" w:color="auto"/>
        <w:right w:val="none" w:sz="0" w:space="0" w:color="auto"/>
      </w:divBdr>
    </w:div>
    <w:div w:id="226689554">
      <w:bodyDiv w:val="1"/>
      <w:marLeft w:val="0"/>
      <w:marRight w:val="0"/>
      <w:marTop w:val="0"/>
      <w:marBottom w:val="0"/>
      <w:divBdr>
        <w:top w:val="none" w:sz="0" w:space="0" w:color="auto"/>
        <w:left w:val="none" w:sz="0" w:space="0" w:color="auto"/>
        <w:bottom w:val="none" w:sz="0" w:space="0" w:color="auto"/>
        <w:right w:val="none" w:sz="0" w:space="0" w:color="auto"/>
      </w:divBdr>
    </w:div>
    <w:div w:id="236594493">
      <w:bodyDiv w:val="1"/>
      <w:marLeft w:val="0"/>
      <w:marRight w:val="0"/>
      <w:marTop w:val="0"/>
      <w:marBottom w:val="0"/>
      <w:divBdr>
        <w:top w:val="none" w:sz="0" w:space="0" w:color="auto"/>
        <w:left w:val="none" w:sz="0" w:space="0" w:color="auto"/>
        <w:bottom w:val="none" w:sz="0" w:space="0" w:color="auto"/>
        <w:right w:val="none" w:sz="0" w:space="0" w:color="auto"/>
      </w:divBdr>
    </w:div>
    <w:div w:id="382288851">
      <w:bodyDiv w:val="1"/>
      <w:marLeft w:val="0"/>
      <w:marRight w:val="0"/>
      <w:marTop w:val="0"/>
      <w:marBottom w:val="0"/>
      <w:divBdr>
        <w:top w:val="none" w:sz="0" w:space="0" w:color="auto"/>
        <w:left w:val="none" w:sz="0" w:space="0" w:color="auto"/>
        <w:bottom w:val="none" w:sz="0" w:space="0" w:color="auto"/>
        <w:right w:val="none" w:sz="0" w:space="0" w:color="auto"/>
      </w:divBdr>
    </w:div>
    <w:div w:id="400299844">
      <w:bodyDiv w:val="1"/>
      <w:marLeft w:val="0"/>
      <w:marRight w:val="0"/>
      <w:marTop w:val="0"/>
      <w:marBottom w:val="0"/>
      <w:divBdr>
        <w:top w:val="none" w:sz="0" w:space="0" w:color="auto"/>
        <w:left w:val="none" w:sz="0" w:space="0" w:color="auto"/>
        <w:bottom w:val="none" w:sz="0" w:space="0" w:color="auto"/>
        <w:right w:val="none" w:sz="0" w:space="0" w:color="auto"/>
      </w:divBdr>
    </w:div>
    <w:div w:id="421609314">
      <w:bodyDiv w:val="1"/>
      <w:marLeft w:val="0"/>
      <w:marRight w:val="0"/>
      <w:marTop w:val="0"/>
      <w:marBottom w:val="0"/>
      <w:divBdr>
        <w:top w:val="none" w:sz="0" w:space="0" w:color="auto"/>
        <w:left w:val="none" w:sz="0" w:space="0" w:color="auto"/>
        <w:bottom w:val="none" w:sz="0" w:space="0" w:color="auto"/>
        <w:right w:val="none" w:sz="0" w:space="0" w:color="auto"/>
      </w:divBdr>
    </w:div>
    <w:div w:id="434177314">
      <w:bodyDiv w:val="1"/>
      <w:marLeft w:val="0"/>
      <w:marRight w:val="0"/>
      <w:marTop w:val="0"/>
      <w:marBottom w:val="0"/>
      <w:divBdr>
        <w:top w:val="none" w:sz="0" w:space="0" w:color="auto"/>
        <w:left w:val="none" w:sz="0" w:space="0" w:color="auto"/>
        <w:bottom w:val="none" w:sz="0" w:space="0" w:color="auto"/>
        <w:right w:val="none" w:sz="0" w:space="0" w:color="auto"/>
      </w:divBdr>
    </w:div>
    <w:div w:id="503907906">
      <w:bodyDiv w:val="1"/>
      <w:marLeft w:val="0"/>
      <w:marRight w:val="0"/>
      <w:marTop w:val="0"/>
      <w:marBottom w:val="0"/>
      <w:divBdr>
        <w:top w:val="none" w:sz="0" w:space="0" w:color="auto"/>
        <w:left w:val="none" w:sz="0" w:space="0" w:color="auto"/>
        <w:bottom w:val="none" w:sz="0" w:space="0" w:color="auto"/>
        <w:right w:val="none" w:sz="0" w:space="0" w:color="auto"/>
      </w:divBdr>
    </w:div>
    <w:div w:id="603194247">
      <w:bodyDiv w:val="1"/>
      <w:marLeft w:val="0"/>
      <w:marRight w:val="0"/>
      <w:marTop w:val="0"/>
      <w:marBottom w:val="0"/>
      <w:divBdr>
        <w:top w:val="none" w:sz="0" w:space="0" w:color="auto"/>
        <w:left w:val="none" w:sz="0" w:space="0" w:color="auto"/>
        <w:bottom w:val="none" w:sz="0" w:space="0" w:color="auto"/>
        <w:right w:val="none" w:sz="0" w:space="0" w:color="auto"/>
      </w:divBdr>
    </w:div>
    <w:div w:id="732701929">
      <w:bodyDiv w:val="1"/>
      <w:marLeft w:val="0"/>
      <w:marRight w:val="0"/>
      <w:marTop w:val="0"/>
      <w:marBottom w:val="0"/>
      <w:divBdr>
        <w:top w:val="none" w:sz="0" w:space="0" w:color="auto"/>
        <w:left w:val="none" w:sz="0" w:space="0" w:color="auto"/>
        <w:bottom w:val="none" w:sz="0" w:space="0" w:color="auto"/>
        <w:right w:val="none" w:sz="0" w:space="0" w:color="auto"/>
      </w:divBdr>
    </w:div>
    <w:div w:id="738984345">
      <w:bodyDiv w:val="1"/>
      <w:marLeft w:val="0"/>
      <w:marRight w:val="0"/>
      <w:marTop w:val="0"/>
      <w:marBottom w:val="0"/>
      <w:divBdr>
        <w:top w:val="none" w:sz="0" w:space="0" w:color="auto"/>
        <w:left w:val="none" w:sz="0" w:space="0" w:color="auto"/>
        <w:bottom w:val="none" w:sz="0" w:space="0" w:color="auto"/>
        <w:right w:val="none" w:sz="0" w:space="0" w:color="auto"/>
      </w:divBdr>
    </w:div>
    <w:div w:id="743065067">
      <w:bodyDiv w:val="1"/>
      <w:marLeft w:val="0"/>
      <w:marRight w:val="0"/>
      <w:marTop w:val="0"/>
      <w:marBottom w:val="0"/>
      <w:divBdr>
        <w:top w:val="none" w:sz="0" w:space="0" w:color="auto"/>
        <w:left w:val="none" w:sz="0" w:space="0" w:color="auto"/>
        <w:bottom w:val="none" w:sz="0" w:space="0" w:color="auto"/>
        <w:right w:val="none" w:sz="0" w:space="0" w:color="auto"/>
      </w:divBdr>
    </w:div>
    <w:div w:id="744843883">
      <w:bodyDiv w:val="1"/>
      <w:marLeft w:val="0"/>
      <w:marRight w:val="0"/>
      <w:marTop w:val="0"/>
      <w:marBottom w:val="0"/>
      <w:divBdr>
        <w:top w:val="none" w:sz="0" w:space="0" w:color="auto"/>
        <w:left w:val="none" w:sz="0" w:space="0" w:color="auto"/>
        <w:bottom w:val="none" w:sz="0" w:space="0" w:color="auto"/>
        <w:right w:val="none" w:sz="0" w:space="0" w:color="auto"/>
      </w:divBdr>
    </w:div>
    <w:div w:id="778187645">
      <w:bodyDiv w:val="1"/>
      <w:marLeft w:val="0"/>
      <w:marRight w:val="0"/>
      <w:marTop w:val="0"/>
      <w:marBottom w:val="0"/>
      <w:divBdr>
        <w:top w:val="none" w:sz="0" w:space="0" w:color="auto"/>
        <w:left w:val="none" w:sz="0" w:space="0" w:color="auto"/>
        <w:bottom w:val="none" w:sz="0" w:space="0" w:color="auto"/>
        <w:right w:val="none" w:sz="0" w:space="0" w:color="auto"/>
      </w:divBdr>
    </w:div>
    <w:div w:id="814105921">
      <w:bodyDiv w:val="1"/>
      <w:marLeft w:val="0"/>
      <w:marRight w:val="0"/>
      <w:marTop w:val="0"/>
      <w:marBottom w:val="0"/>
      <w:divBdr>
        <w:top w:val="none" w:sz="0" w:space="0" w:color="auto"/>
        <w:left w:val="none" w:sz="0" w:space="0" w:color="auto"/>
        <w:bottom w:val="none" w:sz="0" w:space="0" w:color="auto"/>
        <w:right w:val="none" w:sz="0" w:space="0" w:color="auto"/>
      </w:divBdr>
    </w:div>
    <w:div w:id="816726454">
      <w:bodyDiv w:val="1"/>
      <w:marLeft w:val="0"/>
      <w:marRight w:val="0"/>
      <w:marTop w:val="0"/>
      <w:marBottom w:val="0"/>
      <w:divBdr>
        <w:top w:val="none" w:sz="0" w:space="0" w:color="auto"/>
        <w:left w:val="none" w:sz="0" w:space="0" w:color="auto"/>
        <w:bottom w:val="none" w:sz="0" w:space="0" w:color="auto"/>
        <w:right w:val="none" w:sz="0" w:space="0" w:color="auto"/>
      </w:divBdr>
    </w:div>
    <w:div w:id="848711753">
      <w:bodyDiv w:val="1"/>
      <w:marLeft w:val="0"/>
      <w:marRight w:val="0"/>
      <w:marTop w:val="0"/>
      <w:marBottom w:val="0"/>
      <w:divBdr>
        <w:top w:val="none" w:sz="0" w:space="0" w:color="auto"/>
        <w:left w:val="none" w:sz="0" w:space="0" w:color="auto"/>
        <w:bottom w:val="none" w:sz="0" w:space="0" w:color="auto"/>
        <w:right w:val="none" w:sz="0" w:space="0" w:color="auto"/>
      </w:divBdr>
    </w:div>
    <w:div w:id="947586324">
      <w:bodyDiv w:val="1"/>
      <w:marLeft w:val="0"/>
      <w:marRight w:val="0"/>
      <w:marTop w:val="0"/>
      <w:marBottom w:val="0"/>
      <w:divBdr>
        <w:top w:val="none" w:sz="0" w:space="0" w:color="auto"/>
        <w:left w:val="none" w:sz="0" w:space="0" w:color="auto"/>
        <w:bottom w:val="none" w:sz="0" w:space="0" w:color="auto"/>
        <w:right w:val="none" w:sz="0" w:space="0" w:color="auto"/>
      </w:divBdr>
    </w:div>
    <w:div w:id="1017657201">
      <w:bodyDiv w:val="1"/>
      <w:marLeft w:val="0"/>
      <w:marRight w:val="0"/>
      <w:marTop w:val="0"/>
      <w:marBottom w:val="0"/>
      <w:divBdr>
        <w:top w:val="none" w:sz="0" w:space="0" w:color="auto"/>
        <w:left w:val="none" w:sz="0" w:space="0" w:color="auto"/>
        <w:bottom w:val="none" w:sz="0" w:space="0" w:color="auto"/>
        <w:right w:val="none" w:sz="0" w:space="0" w:color="auto"/>
      </w:divBdr>
    </w:div>
    <w:div w:id="1068263082">
      <w:bodyDiv w:val="1"/>
      <w:marLeft w:val="0"/>
      <w:marRight w:val="0"/>
      <w:marTop w:val="0"/>
      <w:marBottom w:val="0"/>
      <w:divBdr>
        <w:top w:val="none" w:sz="0" w:space="0" w:color="auto"/>
        <w:left w:val="none" w:sz="0" w:space="0" w:color="auto"/>
        <w:bottom w:val="none" w:sz="0" w:space="0" w:color="auto"/>
        <w:right w:val="none" w:sz="0" w:space="0" w:color="auto"/>
      </w:divBdr>
    </w:div>
    <w:div w:id="1080173355">
      <w:bodyDiv w:val="1"/>
      <w:marLeft w:val="0"/>
      <w:marRight w:val="0"/>
      <w:marTop w:val="0"/>
      <w:marBottom w:val="0"/>
      <w:divBdr>
        <w:top w:val="none" w:sz="0" w:space="0" w:color="auto"/>
        <w:left w:val="none" w:sz="0" w:space="0" w:color="auto"/>
        <w:bottom w:val="none" w:sz="0" w:space="0" w:color="auto"/>
        <w:right w:val="none" w:sz="0" w:space="0" w:color="auto"/>
      </w:divBdr>
    </w:div>
    <w:div w:id="1089808511">
      <w:bodyDiv w:val="1"/>
      <w:marLeft w:val="0"/>
      <w:marRight w:val="0"/>
      <w:marTop w:val="0"/>
      <w:marBottom w:val="0"/>
      <w:divBdr>
        <w:top w:val="none" w:sz="0" w:space="0" w:color="auto"/>
        <w:left w:val="none" w:sz="0" w:space="0" w:color="auto"/>
        <w:bottom w:val="none" w:sz="0" w:space="0" w:color="auto"/>
        <w:right w:val="none" w:sz="0" w:space="0" w:color="auto"/>
      </w:divBdr>
    </w:div>
    <w:div w:id="1090811399">
      <w:bodyDiv w:val="1"/>
      <w:marLeft w:val="0"/>
      <w:marRight w:val="0"/>
      <w:marTop w:val="0"/>
      <w:marBottom w:val="0"/>
      <w:divBdr>
        <w:top w:val="none" w:sz="0" w:space="0" w:color="auto"/>
        <w:left w:val="none" w:sz="0" w:space="0" w:color="auto"/>
        <w:bottom w:val="none" w:sz="0" w:space="0" w:color="auto"/>
        <w:right w:val="none" w:sz="0" w:space="0" w:color="auto"/>
      </w:divBdr>
    </w:div>
    <w:div w:id="1091514057">
      <w:bodyDiv w:val="1"/>
      <w:marLeft w:val="0"/>
      <w:marRight w:val="0"/>
      <w:marTop w:val="0"/>
      <w:marBottom w:val="0"/>
      <w:divBdr>
        <w:top w:val="none" w:sz="0" w:space="0" w:color="auto"/>
        <w:left w:val="none" w:sz="0" w:space="0" w:color="auto"/>
        <w:bottom w:val="none" w:sz="0" w:space="0" w:color="auto"/>
        <w:right w:val="none" w:sz="0" w:space="0" w:color="auto"/>
      </w:divBdr>
    </w:div>
    <w:div w:id="1136992964">
      <w:bodyDiv w:val="1"/>
      <w:marLeft w:val="0"/>
      <w:marRight w:val="0"/>
      <w:marTop w:val="0"/>
      <w:marBottom w:val="0"/>
      <w:divBdr>
        <w:top w:val="none" w:sz="0" w:space="0" w:color="auto"/>
        <w:left w:val="none" w:sz="0" w:space="0" w:color="auto"/>
        <w:bottom w:val="none" w:sz="0" w:space="0" w:color="auto"/>
        <w:right w:val="none" w:sz="0" w:space="0" w:color="auto"/>
      </w:divBdr>
    </w:div>
    <w:div w:id="1232159104">
      <w:bodyDiv w:val="1"/>
      <w:marLeft w:val="0"/>
      <w:marRight w:val="0"/>
      <w:marTop w:val="0"/>
      <w:marBottom w:val="0"/>
      <w:divBdr>
        <w:top w:val="none" w:sz="0" w:space="0" w:color="auto"/>
        <w:left w:val="none" w:sz="0" w:space="0" w:color="auto"/>
        <w:bottom w:val="none" w:sz="0" w:space="0" w:color="auto"/>
        <w:right w:val="none" w:sz="0" w:space="0" w:color="auto"/>
      </w:divBdr>
    </w:div>
    <w:div w:id="1288899557">
      <w:bodyDiv w:val="1"/>
      <w:marLeft w:val="0"/>
      <w:marRight w:val="0"/>
      <w:marTop w:val="0"/>
      <w:marBottom w:val="0"/>
      <w:divBdr>
        <w:top w:val="none" w:sz="0" w:space="0" w:color="auto"/>
        <w:left w:val="none" w:sz="0" w:space="0" w:color="auto"/>
        <w:bottom w:val="none" w:sz="0" w:space="0" w:color="auto"/>
        <w:right w:val="none" w:sz="0" w:space="0" w:color="auto"/>
      </w:divBdr>
    </w:div>
    <w:div w:id="1409961306">
      <w:bodyDiv w:val="1"/>
      <w:marLeft w:val="0"/>
      <w:marRight w:val="0"/>
      <w:marTop w:val="0"/>
      <w:marBottom w:val="0"/>
      <w:divBdr>
        <w:top w:val="none" w:sz="0" w:space="0" w:color="auto"/>
        <w:left w:val="none" w:sz="0" w:space="0" w:color="auto"/>
        <w:bottom w:val="none" w:sz="0" w:space="0" w:color="auto"/>
        <w:right w:val="none" w:sz="0" w:space="0" w:color="auto"/>
      </w:divBdr>
    </w:div>
    <w:div w:id="1447121948">
      <w:bodyDiv w:val="1"/>
      <w:marLeft w:val="0"/>
      <w:marRight w:val="0"/>
      <w:marTop w:val="0"/>
      <w:marBottom w:val="0"/>
      <w:divBdr>
        <w:top w:val="none" w:sz="0" w:space="0" w:color="auto"/>
        <w:left w:val="none" w:sz="0" w:space="0" w:color="auto"/>
        <w:bottom w:val="none" w:sz="0" w:space="0" w:color="auto"/>
        <w:right w:val="none" w:sz="0" w:space="0" w:color="auto"/>
      </w:divBdr>
    </w:div>
    <w:div w:id="1487818086">
      <w:bodyDiv w:val="1"/>
      <w:marLeft w:val="0"/>
      <w:marRight w:val="0"/>
      <w:marTop w:val="0"/>
      <w:marBottom w:val="0"/>
      <w:divBdr>
        <w:top w:val="none" w:sz="0" w:space="0" w:color="auto"/>
        <w:left w:val="none" w:sz="0" w:space="0" w:color="auto"/>
        <w:bottom w:val="none" w:sz="0" w:space="0" w:color="auto"/>
        <w:right w:val="none" w:sz="0" w:space="0" w:color="auto"/>
      </w:divBdr>
    </w:div>
    <w:div w:id="1550796704">
      <w:bodyDiv w:val="1"/>
      <w:marLeft w:val="0"/>
      <w:marRight w:val="0"/>
      <w:marTop w:val="0"/>
      <w:marBottom w:val="0"/>
      <w:divBdr>
        <w:top w:val="none" w:sz="0" w:space="0" w:color="auto"/>
        <w:left w:val="none" w:sz="0" w:space="0" w:color="auto"/>
        <w:bottom w:val="none" w:sz="0" w:space="0" w:color="auto"/>
        <w:right w:val="none" w:sz="0" w:space="0" w:color="auto"/>
      </w:divBdr>
    </w:div>
    <w:div w:id="1666978176">
      <w:bodyDiv w:val="1"/>
      <w:marLeft w:val="0"/>
      <w:marRight w:val="0"/>
      <w:marTop w:val="0"/>
      <w:marBottom w:val="0"/>
      <w:divBdr>
        <w:top w:val="none" w:sz="0" w:space="0" w:color="auto"/>
        <w:left w:val="none" w:sz="0" w:space="0" w:color="auto"/>
        <w:bottom w:val="none" w:sz="0" w:space="0" w:color="auto"/>
        <w:right w:val="none" w:sz="0" w:space="0" w:color="auto"/>
      </w:divBdr>
    </w:div>
    <w:div w:id="1771242092">
      <w:bodyDiv w:val="1"/>
      <w:marLeft w:val="0"/>
      <w:marRight w:val="0"/>
      <w:marTop w:val="0"/>
      <w:marBottom w:val="0"/>
      <w:divBdr>
        <w:top w:val="none" w:sz="0" w:space="0" w:color="auto"/>
        <w:left w:val="none" w:sz="0" w:space="0" w:color="auto"/>
        <w:bottom w:val="none" w:sz="0" w:space="0" w:color="auto"/>
        <w:right w:val="none" w:sz="0" w:space="0" w:color="auto"/>
      </w:divBdr>
    </w:div>
    <w:div w:id="1848330081">
      <w:bodyDiv w:val="1"/>
      <w:marLeft w:val="0"/>
      <w:marRight w:val="0"/>
      <w:marTop w:val="0"/>
      <w:marBottom w:val="0"/>
      <w:divBdr>
        <w:top w:val="none" w:sz="0" w:space="0" w:color="auto"/>
        <w:left w:val="none" w:sz="0" w:space="0" w:color="auto"/>
        <w:bottom w:val="none" w:sz="0" w:space="0" w:color="auto"/>
        <w:right w:val="none" w:sz="0" w:space="0" w:color="auto"/>
      </w:divBdr>
    </w:div>
    <w:div w:id="1878548251">
      <w:bodyDiv w:val="1"/>
      <w:marLeft w:val="0"/>
      <w:marRight w:val="0"/>
      <w:marTop w:val="0"/>
      <w:marBottom w:val="0"/>
      <w:divBdr>
        <w:top w:val="none" w:sz="0" w:space="0" w:color="auto"/>
        <w:left w:val="none" w:sz="0" w:space="0" w:color="auto"/>
        <w:bottom w:val="none" w:sz="0" w:space="0" w:color="auto"/>
        <w:right w:val="none" w:sz="0" w:space="0" w:color="auto"/>
      </w:divBdr>
    </w:div>
    <w:div w:id="1906451015">
      <w:bodyDiv w:val="1"/>
      <w:marLeft w:val="0"/>
      <w:marRight w:val="0"/>
      <w:marTop w:val="0"/>
      <w:marBottom w:val="0"/>
      <w:divBdr>
        <w:top w:val="none" w:sz="0" w:space="0" w:color="auto"/>
        <w:left w:val="none" w:sz="0" w:space="0" w:color="auto"/>
        <w:bottom w:val="none" w:sz="0" w:space="0" w:color="auto"/>
        <w:right w:val="none" w:sz="0" w:space="0" w:color="auto"/>
      </w:divBdr>
    </w:div>
    <w:div w:id="1923952972">
      <w:bodyDiv w:val="1"/>
      <w:marLeft w:val="0"/>
      <w:marRight w:val="0"/>
      <w:marTop w:val="0"/>
      <w:marBottom w:val="0"/>
      <w:divBdr>
        <w:top w:val="none" w:sz="0" w:space="0" w:color="auto"/>
        <w:left w:val="none" w:sz="0" w:space="0" w:color="auto"/>
        <w:bottom w:val="none" w:sz="0" w:space="0" w:color="auto"/>
        <w:right w:val="none" w:sz="0" w:space="0" w:color="auto"/>
      </w:divBdr>
    </w:div>
    <w:div w:id="1948267027">
      <w:bodyDiv w:val="1"/>
      <w:marLeft w:val="0"/>
      <w:marRight w:val="0"/>
      <w:marTop w:val="0"/>
      <w:marBottom w:val="0"/>
      <w:divBdr>
        <w:top w:val="none" w:sz="0" w:space="0" w:color="auto"/>
        <w:left w:val="none" w:sz="0" w:space="0" w:color="auto"/>
        <w:bottom w:val="none" w:sz="0" w:space="0" w:color="auto"/>
        <w:right w:val="none" w:sz="0" w:space="0" w:color="auto"/>
      </w:divBdr>
    </w:div>
    <w:div w:id="1972713474">
      <w:bodyDiv w:val="1"/>
      <w:marLeft w:val="0"/>
      <w:marRight w:val="0"/>
      <w:marTop w:val="0"/>
      <w:marBottom w:val="0"/>
      <w:divBdr>
        <w:top w:val="none" w:sz="0" w:space="0" w:color="auto"/>
        <w:left w:val="none" w:sz="0" w:space="0" w:color="auto"/>
        <w:bottom w:val="none" w:sz="0" w:space="0" w:color="auto"/>
        <w:right w:val="none" w:sz="0" w:space="0" w:color="auto"/>
      </w:divBdr>
    </w:div>
    <w:div w:id="2009405230">
      <w:bodyDiv w:val="1"/>
      <w:marLeft w:val="0"/>
      <w:marRight w:val="0"/>
      <w:marTop w:val="0"/>
      <w:marBottom w:val="0"/>
      <w:divBdr>
        <w:top w:val="none" w:sz="0" w:space="0" w:color="auto"/>
        <w:left w:val="none" w:sz="0" w:space="0" w:color="auto"/>
        <w:bottom w:val="none" w:sz="0" w:space="0" w:color="auto"/>
        <w:right w:val="none" w:sz="0" w:space="0" w:color="auto"/>
      </w:divBdr>
    </w:div>
    <w:div w:id="2028828853">
      <w:bodyDiv w:val="1"/>
      <w:marLeft w:val="0"/>
      <w:marRight w:val="0"/>
      <w:marTop w:val="0"/>
      <w:marBottom w:val="0"/>
      <w:divBdr>
        <w:top w:val="none" w:sz="0" w:space="0" w:color="auto"/>
        <w:left w:val="none" w:sz="0" w:space="0" w:color="auto"/>
        <w:bottom w:val="none" w:sz="0" w:space="0" w:color="auto"/>
        <w:right w:val="none" w:sz="0" w:space="0" w:color="auto"/>
      </w:divBdr>
    </w:div>
    <w:div w:id="2052613223">
      <w:bodyDiv w:val="1"/>
      <w:marLeft w:val="0"/>
      <w:marRight w:val="0"/>
      <w:marTop w:val="0"/>
      <w:marBottom w:val="0"/>
      <w:divBdr>
        <w:top w:val="none" w:sz="0" w:space="0" w:color="auto"/>
        <w:left w:val="none" w:sz="0" w:space="0" w:color="auto"/>
        <w:bottom w:val="none" w:sz="0" w:space="0" w:color="auto"/>
        <w:right w:val="none" w:sz="0" w:space="0" w:color="auto"/>
      </w:divBdr>
    </w:div>
    <w:div w:id="2070692755">
      <w:bodyDiv w:val="1"/>
      <w:marLeft w:val="0"/>
      <w:marRight w:val="0"/>
      <w:marTop w:val="0"/>
      <w:marBottom w:val="0"/>
      <w:divBdr>
        <w:top w:val="none" w:sz="0" w:space="0" w:color="auto"/>
        <w:left w:val="none" w:sz="0" w:space="0" w:color="auto"/>
        <w:bottom w:val="none" w:sz="0" w:space="0" w:color="auto"/>
        <w:right w:val="none" w:sz="0" w:space="0" w:color="auto"/>
      </w:divBdr>
    </w:div>
    <w:div w:id="2113427465">
      <w:bodyDiv w:val="1"/>
      <w:marLeft w:val="0"/>
      <w:marRight w:val="0"/>
      <w:marTop w:val="0"/>
      <w:marBottom w:val="0"/>
      <w:divBdr>
        <w:top w:val="none" w:sz="0" w:space="0" w:color="auto"/>
        <w:left w:val="none" w:sz="0" w:space="0" w:color="auto"/>
        <w:bottom w:val="none" w:sz="0" w:space="0" w:color="auto"/>
        <w:right w:val="none" w:sz="0" w:space="0" w:color="auto"/>
      </w:divBdr>
    </w:div>
    <w:div w:id="21192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webSettings" Target="webSettings.xml"/><Relationship Id="rId23" Type="http://schemas.microsoft.com/office/2011/relationships/commentsExtended" Target="commentsExtended.xml"/><Relationship Id="rId10" Type="http://schemas.openxmlformats.org/officeDocument/2006/relationships/customXml" Target="../customXml/item10.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cdc.gov/violenceprevention/pdf/suicide_datasheet-a.pdf" TargetMode="External"/><Relationship Id="rId1" Type="http://schemas.openxmlformats.org/officeDocument/2006/relationships/hyperlink" Target="http://store.samhsa.gov/shin/content//SMA11-PHYDE030111/SMA11-PHYDE030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9669D-394F-4C65-8771-E1BEEECB0F6C}">
  <ds:schemaRefs>
    <ds:schemaRef ds:uri="http://schemas.openxmlformats.org/officeDocument/2006/bibliography"/>
  </ds:schemaRefs>
</ds:datastoreItem>
</file>

<file path=customXml/itemProps10.xml><?xml version="1.0" encoding="utf-8"?>
<ds:datastoreItem xmlns:ds="http://schemas.openxmlformats.org/officeDocument/2006/customXml" ds:itemID="{B723EA9C-10C3-4710-A1EA-D8012346D5C3}">
  <ds:schemaRefs>
    <ds:schemaRef ds:uri="http://schemas.openxmlformats.org/officeDocument/2006/bibliography"/>
  </ds:schemaRefs>
</ds:datastoreItem>
</file>

<file path=customXml/itemProps2.xml><?xml version="1.0" encoding="utf-8"?>
<ds:datastoreItem xmlns:ds="http://schemas.openxmlformats.org/officeDocument/2006/customXml" ds:itemID="{D7E0C990-F9CA-46E3-AAC8-E40F78D99BDD}">
  <ds:schemaRefs>
    <ds:schemaRef ds:uri="http://schemas.openxmlformats.org/officeDocument/2006/bibliography"/>
  </ds:schemaRefs>
</ds:datastoreItem>
</file>

<file path=customXml/itemProps3.xml><?xml version="1.0" encoding="utf-8"?>
<ds:datastoreItem xmlns:ds="http://schemas.openxmlformats.org/officeDocument/2006/customXml" ds:itemID="{251FF58D-3079-4737-B2EB-1F362DC784D6}">
  <ds:schemaRefs>
    <ds:schemaRef ds:uri="http://schemas.openxmlformats.org/officeDocument/2006/bibliography"/>
  </ds:schemaRefs>
</ds:datastoreItem>
</file>

<file path=customXml/itemProps4.xml><?xml version="1.0" encoding="utf-8"?>
<ds:datastoreItem xmlns:ds="http://schemas.openxmlformats.org/officeDocument/2006/customXml" ds:itemID="{B75E6413-B030-4366-88E8-8B52282B0C23}">
  <ds:schemaRefs>
    <ds:schemaRef ds:uri="http://schemas.openxmlformats.org/officeDocument/2006/bibliography"/>
  </ds:schemaRefs>
</ds:datastoreItem>
</file>

<file path=customXml/itemProps5.xml><?xml version="1.0" encoding="utf-8"?>
<ds:datastoreItem xmlns:ds="http://schemas.openxmlformats.org/officeDocument/2006/customXml" ds:itemID="{164F4F26-18F5-4366-99B5-BD660C74FE3A}">
  <ds:schemaRefs>
    <ds:schemaRef ds:uri="http://schemas.openxmlformats.org/officeDocument/2006/bibliography"/>
  </ds:schemaRefs>
</ds:datastoreItem>
</file>

<file path=customXml/itemProps6.xml><?xml version="1.0" encoding="utf-8"?>
<ds:datastoreItem xmlns:ds="http://schemas.openxmlformats.org/officeDocument/2006/customXml" ds:itemID="{82501127-2206-480C-8AC3-64B001E3A29B}">
  <ds:schemaRefs>
    <ds:schemaRef ds:uri="http://schemas.openxmlformats.org/officeDocument/2006/bibliography"/>
  </ds:schemaRefs>
</ds:datastoreItem>
</file>

<file path=customXml/itemProps7.xml><?xml version="1.0" encoding="utf-8"?>
<ds:datastoreItem xmlns:ds="http://schemas.openxmlformats.org/officeDocument/2006/customXml" ds:itemID="{6E607CBF-B271-4F3E-89D2-200D395A635C}">
  <ds:schemaRefs>
    <ds:schemaRef ds:uri="http://schemas.openxmlformats.org/officeDocument/2006/bibliography"/>
  </ds:schemaRefs>
</ds:datastoreItem>
</file>

<file path=customXml/itemProps8.xml><?xml version="1.0" encoding="utf-8"?>
<ds:datastoreItem xmlns:ds="http://schemas.openxmlformats.org/officeDocument/2006/customXml" ds:itemID="{67C3383B-9B43-441A-85C5-9A51CFB03315}">
  <ds:schemaRefs>
    <ds:schemaRef ds:uri="http://schemas.openxmlformats.org/officeDocument/2006/bibliography"/>
  </ds:schemaRefs>
</ds:datastoreItem>
</file>

<file path=customXml/itemProps9.xml><?xml version="1.0" encoding="utf-8"?>
<ds:datastoreItem xmlns:ds="http://schemas.openxmlformats.org/officeDocument/2006/customXml" ds:itemID="{5ABCF979-54D3-4D0B-8B22-66E927A5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DE6FB176.dotm</Template>
  <TotalTime>211</TotalTime>
  <Pages>25</Pages>
  <Words>12788</Words>
  <Characters>72893</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 Kissin</dc:creator>
  <cp:lastModifiedBy>Wendy Kissin</cp:lastModifiedBy>
  <cp:revision>82</cp:revision>
  <cp:lastPrinted>2014-12-10T21:31:00Z</cp:lastPrinted>
  <dcterms:created xsi:type="dcterms:W3CDTF">2014-12-05T22:43:00Z</dcterms:created>
  <dcterms:modified xsi:type="dcterms:W3CDTF">2015-03-30T15:10:00Z</dcterms:modified>
</cp:coreProperties>
</file>