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9BA5A" w14:textId="745E5C82" w:rsidR="005E714A" w:rsidRDefault="00F06866" w:rsidP="00B062EF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</w:p>
    <w:p w14:paraId="241C940D" w14:textId="0ADE01C8" w:rsidR="00EB3C33" w:rsidRDefault="009E2B29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21523A" wp14:editId="46FE28E7">
                <wp:simplePos x="0" y="0"/>
                <wp:positionH relativeFrom="column">
                  <wp:posOffset>6350</wp:posOffset>
                </wp:positionH>
                <wp:positionV relativeFrom="paragraph">
                  <wp:posOffset>-2540</wp:posOffset>
                </wp:positionV>
                <wp:extent cx="6750050" cy="6350"/>
                <wp:effectExtent l="0" t="0" r="31750" b="317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005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C145A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-.2pt" to="53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asFAIAACwEAAAOAAAAZHJzL2Uyb0RvYy54bWysU8GO2jAQvVfqP1i5QxIILESEVZVAL7SL&#10;tNsPMLZDrDq2ZRsCqvrvHTuBlvZSVc3BmbFnnt/MG6+eL61AZ2YsV7KI0nESISaJolwei+jL23a0&#10;iJB1WFIslGRFdGU2el6/f7fqdM4mqlGCMoMARNq800XUOKfzOLakYS22Y6WZhMNamRY7cM0xpgZ3&#10;gN6KeJIk87hThmqjCLMWdqv+MFoH/LpmxL3UtWUOiSICbi6sJqwHv8brFc6PBuuGk4EG/gcWLeYS&#10;Lr1DVdhhdDL8D6iWE6Osqt2YqDZWdc0JCzVANWnyWzWvDdYs1ALNsfreJvv/YMnn894gTkG7CEnc&#10;gkQ7Lhma+s502uYQUMq98bWRi3zVO0W+WiRV2WB5ZIHh21VDWuoz4ocU71gN+Ifuk6IQg09OhTZd&#10;atN6SGgAugQ1rnc12MUhApvzp1mSzEA0AmfzKVj+ApzfcrWx7iNTLfJGEQmgHbDxeWddH3oL8VdJ&#10;teVCwD7OhUQdEF56dO9bJTj1p8Exx0MpDDpjPzLhGy5+CDPqJGlAaximm8F2mIveBqJCejwoB/gM&#10;Vj8T35bJcrPYLLJRNplvRllSVaMP2zIbzbfp06yaVmVZpd89tTTLG04pk57dbT7T7O/0H15KP1n3&#10;Cb33IX5ED70Fsrd/IB309BL2w3BQ9Lo3vrdeWhjJEDw8Hz/zv/oh6ucjX/8AAAD//wMAUEsDBBQA&#10;BgAIAAAAIQBOB3qR2QAAAAUBAAAPAAAAZHJzL2Rvd25yZXYueG1sTI/BTsMwDIbvSLxDZCRuWwoq&#10;VemaTjCJy26UCThmjddWJE7VZF379ngnOP7+rc+fy+3srJhwDL0nBQ/rBARS401PrYLDx9sqBxGi&#10;JqOtJ1SwYIBtdXtT6sL4C73jVMdWMIRCoRV0MQ6FlKHp0Omw9gMSdyc/Oh05jq00o74w3Fn5mCSZ&#10;dLonvtDpAXcdNj/12THl6St/3ev8sCy2/n5Od5/7iZxS93fzywZExDn+LcNVn9WhYqejP5MJwnLm&#10;T6KCVQri2iZZyoOjggxkVcr/9tUvAAAA//8DAFBLAQItABQABgAIAAAAIQC2gziS/gAAAOEBAAAT&#10;AAAAAAAAAAAAAAAAAAAAAABbQ29udGVudF9UeXBlc10ueG1sUEsBAi0AFAAGAAgAAAAhADj9If/W&#10;AAAAlAEAAAsAAAAAAAAAAAAAAAAALwEAAF9yZWxzLy5yZWxzUEsBAi0AFAAGAAgAAAAhANEylqwU&#10;AgAALAQAAA4AAAAAAAAAAAAAAAAALgIAAGRycy9lMm9Eb2MueG1sUEsBAi0AFAAGAAgAAAAhAE4H&#10;epHZAAAABQEAAA8AAAAAAAAAAAAAAAAAbgQAAGRycy9kb3ducmV2LnhtbFBLBQYAAAAABAAEAPMA&#10;AAB0BQAA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</w:p>
    <w:p w14:paraId="01F70910" w14:textId="77777777" w:rsidR="00DD354C" w:rsidRPr="00DD354C" w:rsidRDefault="00DD354C" w:rsidP="00434E33"/>
    <w:p w14:paraId="77687523" w14:textId="7AB42BAA" w:rsidR="00AA649D" w:rsidRPr="00540F58" w:rsidRDefault="00B04263" w:rsidP="00AA649D">
      <w:pPr>
        <w:rPr>
          <w:color w:val="365F91" w:themeColor="accent1" w:themeShade="BF"/>
        </w:rPr>
      </w:pPr>
      <w:r w:rsidRPr="00540F58">
        <w:rPr>
          <w:color w:val="365F91" w:themeColor="accent1" w:themeShade="BF"/>
        </w:rPr>
        <w:t>Human Resources Classification and Recruitment Documents System (</w:t>
      </w:r>
      <w:r w:rsidR="00FD6D0D" w:rsidRPr="00540F58">
        <w:rPr>
          <w:color w:val="365F91" w:themeColor="accent1" w:themeShade="BF"/>
        </w:rPr>
        <w:t>HR CARDS</w:t>
      </w:r>
      <w:r w:rsidRPr="00540F58">
        <w:rPr>
          <w:color w:val="365F91" w:themeColor="accent1" w:themeShade="BF"/>
        </w:rPr>
        <w:t>)</w:t>
      </w:r>
      <w:r w:rsidR="009A516F" w:rsidRPr="00540F58">
        <w:rPr>
          <w:color w:val="365F91" w:themeColor="accent1" w:themeShade="BF"/>
        </w:rPr>
        <w:t xml:space="preserve"> Survey</w:t>
      </w:r>
    </w:p>
    <w:p w14:paraId="7D62A550" w14:textId="77777777" w:rsidR="005E714A" w:rsidRDefault="005E714A"/>
    <w:p w14:paraId="4C6CF9F4" w14:textId="5DEE088B" w:rsidR="00EB3C33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14:paraId="0BBDE447" w14:textId="0F89845C" w:rsidR="001B0AAA" w:rsidRDefault="001B0AAA"/>
    <w:p w14:paraId="70A92C31" w14:textId="72524067" w:rsidR="00195483" w:rsidRPr="00540F58" w:rsidRDefault="008314B9" w:rsidP="00195483">
      <w:pPr>
        <w:rPr>
          <w:color w:val="365F91" w:themeColor="accent1" w:themeShade="BF"/>
        </w:rPr>
      </w:pPr>
      <w:r w:rsidRPr="00540F58">
        <w:rPr>
          <w:color w:val="365F91" w:themeColor="accent1" w:themeShade="BF"/>
        </w:rPr>
        <w:t xml:space="preserve">The purpose of the </w:t>
      </w:r>
      <w:r w:rsidR="00B04263" w:rsidRPr="00540F58">
        <w:rPr>
          <w:color w:val="365F91" w:themeColor="accent1" w:themeShade="BF"/>
        </w:rPr>
        <w:t>HR CARDS</w:t>
      </w:r>
      <w:r w:rsidR="009A516F" w:rsidRPr="00540F58">
        <w:rPr>
          <w:color w:val="365F91" w:themeColor="accent1" w:themeShade="BF"/>
        </w:rPr>
        <w:t xml:space="preserve"> </w:t>
      </w:r>
      <w:r w:rsidR="00B062EF" w:rsidRPr="00540F58">
        <w:rPr>
          <w:color w:val="365F91" w:themeColor="accent1" w:themeShade="BF"/>
        </w:rPr>
        <w:t>s</w:t>
      </w:r>
      <w:r w:rsidR="009A516F" w:rsidRPr="00540F58">
        <w:rPr>
          <w:color w:val="365F91" w:themeColor="accent1" w:themeShade="BF"/>
        </w:rPr>
        <w:t>urvey is to collect feedback from customers</w:t>
      </w:r>
      <w:r w:rsidR="00B04263" w:rsidRPr="00540F58">
        <w:rPr>
          <w:color w:val="365F91" w:themeColor="accent1" w:themeShade="BF"/>
        </w:rPr>
        <w:t xml:space="preserve"> (</w:t>
      </w:r>
      <w:r w:rsidR="001B71DD">
        <w:rPr>
          <w:color w:val="365F91" w:themeColor="accent1" w:themeShade="BF"/>
        </w:rPr>
        <w:t>s</w:t>
      </w:r>
      <w:r w:rsidR="00B04263" w:rsidRPr="00540F58">
        <w:rPr>
          <w:color w:val="365F91" w:themeColor="accent1" w:themeShade="BF"/>
        </w:rPr>
        <w:t>upervisors, Administrative Officers (AOs), HR Specialists)</w:t>
      </w:r>
      <w:r w:rsidR="009A516F" w:rsidRPr="00540F58">
        <w:rPr>
          <w:color w:val="365F91" w:themeColor="accent1" w:themeShade="BF"/>
        </w:rPr>
        <w:t xml:space="preserve"> </w:t>
      </w:r>
      <w:r w:rsidR="00B04263" w:rsidRPr="00540F58">
        <w:rPr>
          <w:color w:val="365F91" w:themeColor="accent1" w:themeShade="BF"/>
        </w:rPr>
        <w:t xml:space="preserve">on the system and documents. </w:t>
      </w:r>
      <w:r w:rsidR="009A516F" w:rsidRPr="00540F58">
        <w:rPr>
          <w:color w:val="365F91" w:themeColor="accent1" w:themeShade="BF"/>
        </w:rPr>
        <w:t>Th</w:t>
      </w:r>
      <w:r w:rsidR="00B062EF" w:rsidRPr="00540F58">
        <w:rPr>
          <w:color w:val="365F91" w:themeColor="accent1" w:themeShade="BF"/>
        </w:rPr>
        <w:t>is</w:t>
      </w:r>
      <w:r w:rsidR="009A516F" w:rsidRPr="00540F58">
        <w:rPr>
          <w:color w:val="365F91" w:themeColor="accent1" w:themeShade="BF"/>
        </w:rPr>
        <w:t xml:space="preserve"> information will help the </w:t>
      </w:r>
      <w:r w:rsidR="00B04263" w:rsidRPr="00540F58">
        <w:rPr>
          <w:color w:val="365F91" w:themeColor="accent1" w:themeShade="BF"/>
        </w:rPr>
        <w:t>HR CARDS</w:t>
      </w:r>
      <w:r w:rsidR="009A516F" w:rsidRPr="00540F58">
        <w:rPr>
          <w:color w:val="365F91" w:themeColor="accent1" w:themeShade="BF"/>
        </w:rPr>
        <w:t xml:space="preserve"> team identify areas for improvement and ensure a good customer experience. </w:t>
      </w:r>
    </w:p>
    <w:p w14:paraId="785816BA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66CE7E3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B08D54A" w14:textId="77777777" w:rsidR="00F15956" w:rsidRDefault="00F15956"/>
    <w:p w14:paraId="1CEB7251" w14:textId="19AB58F6" w:rsidR="00E26329" w:rsidRPr="00540F58" w:rsidRDefault="00B61FB0">
      <w:pPr>
        <w:rPr>
          <w:color w:val="365F91" w:themeColor="accent1" w:themeShade="BF"/>
        </w:rPr>
      </w:pPr>
      <w:r w:rsidRPr="00540F58">
        <w:rPr>
          <w:color w:val="365F91" w:themeColor="accent1" w:themeShade="BF"/>
        </w:rPr>
        <w:t xml:space="preserve">The target audience </w:t>
      </w:r>
      <w:r w:rsidR="00921F2D" w:rsidRPr="00540F58">
        <w:rPr>
          <w:color w:val="365F91" w:themeColor="accent1" w:themeShade="BF"/>
        </w:rPr>
        <w:t xml:space="preserve">is NIH </w:t>
      </w:r>
      <w:r w:rsidR="00B04263" w:rsidRPr="00540F58">
        <w:rPr>
          <w:color w:val="365F91" w:themeColor="accent1" w:themeShade="BF"/>
        </w:rPr>
        <w:t xml:space="preserve">supervisors, AOs, and HR Specialists </w:t>
      </w:r>
      <w:r w:rsidR="00921F2D" w:rsidRPr="00540F58">
        <w:rPr>
          <w:color w:val="365F91" w:themeColor="accent1" w:themeShade="BF"/>
        </w:rPr>
        <w:t xml:space="preserve">who have </w:t>
      </w:r>
      <w:r w:rsidR="00B04263" w:rsidRPr="00540F58">
        <w:rPr>
          <w:color w:val="365F91" w:themeColor="accent1" w:themeShade="BF"/>
        </w:rPr>
        <w:t>contributed to an appointment and/or recruitment action in FY17</w:t>
      </w:r>
      <w:r w:rsidR="00921F2D" w:rsidRPr="00540F58">
        <w:rPr>
          <w:color w:val="365F91" w:themeColor="accent1" w:themeShade="BF"/>
        </w:rPr>
        <w:t>.</w:t>
      </w:r>
    </w:p>
    <w:p w14:paraId="1FDA0BA7" w14:textId="77777777" w:rsidR="00E26329" w:rsidRDefault="00E26329">
      <w:pPr>
        <w:rPr>
          <w:b/>
        </w:rPr>
      </w:pPr>
    </w:p>
    <w:p w14:paraId="0AFDD85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7605C5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6C24E70" w14:textId="2630238A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725129" w:rsidRPr="00F06866">
        <w:rPr>
          <w:bCs/>
          <w:sz w:val="24"/>
        </w:rPr>
        <w:t>[</w:t>
      </w:r>
      <w:r w:rsidR="00195483" w:rsidRPr="00540F58">
        <w:rPr>
          <w:color w:val="365F91" w:themeColor="accent1" w:themeShade="BF"/>
          <w:sz w:val="24"/>
          <w:szCs w:val="24"/>
          <w:lang w:eastAsia="en-US"/>
        </w:rPr>
        <w:t>X</w:t>
      </w:r>
      <w:r w:rsidR="00725129" w:rsidRPr="00F06866">
        <w:rPr>
          <w:bCs/>
          <w:sz w:val="24"/>
        </w:rPr>
        <w:t>]</w:t>
      </w:r>
      <w:r w:rsidR="00725129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p w14:paraId="774815A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3745269" w14:textId="12D8B121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>Focus Group</w:t>
      </w:r>
      <w:r w:rsidR="00DD354C">
        <w:rPr>
          <w:bCs/>
          <w:sz w:val="24"/>
        </w:rPr>
        <w:tab/>
      </w:r>
      <w:r w:rsidR="00DD354C">
        <w:rPr>
          <w:bCs/>
          <w:sz w:val="24"/>
        </w:rPr>
        <w:tab/>
      </w:r>
      <w:r w:rsidR="00DD354C">
        <w:rPr>
          <w:bCs/>
          <w:sz w:val="24"/>
        </w:rPr>
        <w:tab/>
      </w:r>
      <w:r w:rsidR="00DD354C">
        <w:rPr>
          <w:bCs/>
          <w:sz w:val="24"/>
        </w:rPr>
        <w:tab/>
      </w:r>
      <w:r w:rsidR="00DD354C"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195483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</w:p>
    <w:p w14:paraId="6AE94A58" w14:textId="77777777" w:rsidR="00C30E04" w:rsidRDefault="00C30E04">
      <w:pPr>
        <w:rPr>
          <w:b/>
        </w:rPr>
      </w:pPr>
    </w:p>
    <w:p w14:paraId="12FC4CF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4223257" w14:textId="77777777" w:rsidR="00441434" w:rsidRDefault="00441434">
      <w:pPr>
        <w:rPr>
          <w:sz w:val="16"/>
          <w:szCs w:val="16"/>
        </w:rPr>
      </w:pPr>
    </w:p>
    <w:p w14:paraId="5EF228CB" w14:textId="77777777" w:rsidR="008101A5" w:rsidRPr="009C13B9" w:rsidRDefault="008101A5" w:rsidP="008101A5">
      <w:r>
        <w:t xml:space="preserve">I certify the following to be true: </w:t>
      </w:r>
    </w:p>
    <w:p w14:paraId="0B13D0E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2413F7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C2CE8D6" w14:textId="1FACF84B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11ED38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49B846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D32F0C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64B02B0" w14:textId="77777777" w:rsidR="009C13B9" w:rsidRDefault="009C13B9" w:rsidP="009C13B9"/>
    <w:p w14:paraId="16B30D68" w14:textId="520D199F" w:rsidR="009C13B9" w:rsidRDefault="009C13B9" w:rsidP="009C13B9">
      <w:r>
        <w:t>Name</w:t>
      </w:r>
      <w:r w:rsidR="00B04263">
        <w:t xml:space="preserve">: </w:t>
      </w:r>
      <w:r w:rsidR="00B04263" w:rsidRPr="00540F58">
        <w:rPr>
          <w:color w:val="365F91" w:themeColor="accent1" w:themeShade="BF"/>
          <w:u w:val="single"/>
        </w:rPr>
        <w:t>Sylvia Chen</w:t>
      </w:r>
    </w:p>
    <w:p w14:paraId="6E15FEBC" w14:textId="77777777" w:rsidR="009C13B9" w:rsidRDefault="009C13B9" w:rsidP="009C13B9">
      <w:pPr>
        <w:pStyle w:val="ListParagraph"/>
        <w:ind w:left="360"/>
      </w:pPr>
    </w:p>
    <w:p w14:paraId="5CDA55BA" w14:textId="77777777" w:rsidR="009C13B9" w:rsidRDefault="009C13B9" w:rsidP="009C13B9">
      <w:r>
        <w:t>To assist review, please provide answers to the following question:</w:t>
      </w:r>
    </w:p>
    <w:p w14:paraId="3F179BE9" w14:textId="77777777" w:rsidR="009C13B9" w:rsidRDefault="009C13B9" w:rsidP="009C13B9">
      <w:pPr>
        <w:pStyle w:val="ListParagraph"/>
        <w:ind w:left="360"/>
      </w:pPr>
    </w:p>
    <w:p w14:paraId="07C4FD3C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B33942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B3C33" w:rsidRPr="00540F58">
        <w:rPr>
          <w:color w:val="365F91" w:themeColor="accent1" w:themeShade="BF"/>
        </w:rPr>
        <w:t>X</w:t>
      </w:r>
      <w:r w:rsidR="009239AA" w:rsidRPr="00540F58">
        <w:rPr>
          <w:color w:val="365F91" w:themeColor="accent1" w:themeShade="BF"/>
        </w:rPr>
        <w:t xml:space="preserve"> </w:t>
      </w:r>
      <w:r w:rsidR="009239AA">
        <w:t xml:space="preserve">]  No </w:t>
      </w:r>
    </w:p>
    <w:p w14:paraId="74C68BB4" w14:textId="17576BD1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</w:p>
    <w:p w14:paraId="7FEA70CC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5FF63E6A" w14:textId="77777777" w:rsidR="00633F74" w:rsidRDefault="00633F74" w:rsidP="00633F74">
      <w:pPr>
        <w:pStyle w:val="ListParagraph"/>
        <w:ind w:left="360"/>
      </w:pPr>
    </w:p>
    <w:p w14:paraId="04C54F8A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0890B3F" w14:textId="19656D0A" w:rsidR="00C86E91" w:rsidRDefault="00C86E91" w:rsidP="00C86E91">
      <w:r>
        <w:t xml:space="preserve">Is an incentive (e.g., money or reimbursement of expenses, token of appreciation) provided to participants?  [  ] Yes [ </w:t>
      </w:r>
      <w:r w:rsidR="00EB3C33" w:rsidRPr="00540F58">
        <w:rPr>
          <w:color w:val="365F91" w:themeColor="accent1" w:themeShade="BF"/>
        </w:rPr>
        <w:t>X</w:t>
      </w:r>
      <w:r w:rsidRPr="00540F58">
        <w:rPr>
          <w:color w:val="365F91" w:themeColor="accent1" w:themeShade="BF"/>
        </w:rPr>
        <w:t xml:space="preserve"> </w:t>
      </w:r>
      <w:r>
        <w:t>] No</w:t>
      </w:r>
    </w:p>
    <w:p w14:paraId="29AF3307" w14:textId="77777777" w:rsidR="00F24CFC" w:rsidRDefault="00F24CFC">
      <w:pPr>
        <w:rPr>
          <w:b/>
        </w:rPr>
      </w:pPr>
    </w:p>
    <w:p w14:paraId="7923C796" w14:textId="77777777" w:rsidR="00B062EF" w:rsidRDefault="00B062EF">
      <w:pPr>
        <w:rPr>
          <w:b/>
        </w:rPr>
      </w:pPr>
      <w:r>
        <w:rPr>
          <w:b/>
        </w:rPr>
        <w:br w:type="page"/>
      </w:r>
    </w:p>
    <w:p w14:paraId="4145594D" w14:textId="3CD95878" w:rsidR="005E714A" w:rsidRPr="00BC676D" w:rsidRDefault="003668D6" w:rsidP="00C86E91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1C7FBCE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260"/>
      </w:tblGrid>
      <w:tr w:rsidR="003668D6" w14:paraId="0CA48EFF" w14:textId="77777777" w:rsidTr="00173A8B">
        <w:trPr>
          <w:trHeight w:val="274"/>
        </w:trPr>
        <w:tc>
          <w:tcPr>
            <w:tcW w:w="2790" w:type="dxa"/>
          </w:tcPr>
          <w:p w14:paraId="6B7FEE1E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25DEF82D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14:paraId="75E392D0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368425CE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06AB2D93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70001C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14:paraId="4F5D8105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512B7E99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053B86" w14:paraId="423049EE" w14:textId="77777777" w:rsidTr="00173A8B">
        <w:trPr>
          <w:trHeight w:val="274"/>
        </w:trPr>
        <w:tc>
          <w:tcPr>
            <w:tcW w:w="2790" w:type="dxa"/>
          </w:tcPr>
          <w:p w14:paraId="58A99ADA" w14:textId="028FC33F" w:rsidR="00053B86" w:rsidRDefault="00F751B7" w:rsidP="00FF518D">
            <w:r>
              <w:t>Staff</w:t>
            </w:r>
          </w:p>
        </w:tc>
        <w:tc>
          <w:tcPr>
            <w:tcW w:w="2250" w:type="dxa"/>
          </w:tcPr>
          <w:p w14:paraId="7DA68677" w14:textId="3291C6F4" w:rsidR="00053B86" w:rsidRPr="003E0C5B" w:rsidRDefault="00B04263" w:rsidP="00FF518D">
            <w:pPr>
              <w:rPr>
                <w:color w:val="365F91" w:themeColor="accent1" w:themeShade="BF"/>
              </w:rPr>
            </w:pPr>
            <w:r w:rsidRPr="003E0C5B">
              <w:rPr>
                <w:color w:val="365F91" w:themeColor="accent1" w:themeShade="BF"/>
              </w:rPr>
              <w:t>275</w:t>
            </w:r>
          </w:p>
        </w:tc>
        <w:tc>
          <w:tcPr>
            <w:tcW w:w="2520" w:type="dxa"/>
          </w:tcPr>
          <w:p w14:paraId="78818B4C" w14:textId="2944B85D" w:rsidR="00053B86" w:rsidRPr="003E0C5B" w:rsidRDefault="006C4548" w:rsidP="00FF518D">
            <w:pPr>
              <w:rPr>
                <w:color w:val="365F91" w:themeColor="accent1" w:themeShade="BF"/>
              </w:rPr>
            </w:pPr>
            <w:r w:rsidRPr="003E0C5B">
              <w:rPr>
                <w:color w:val="365F91" w:themeColor="accent1" w:themeShade="BF"/>
              </w:rPr>
              <w:t>1</w:t>
            </w:r>
          </w:p>
        </w:tc>
        <w:tc>
          <w:tcPr>
            <w:tcW w:w="1620" w:type="dxa"/>
          </w:tcPr>
          <w:p w14:paraId="1CC9DD6B" w14:textId="225D84C1" w:rsidR="00053B86" w:rsidRPr="003E0C5B" w:rsidRDefault="007D51E8" w:rsidP="00FF518D">
            <w:pPr>
              <w:rPr>
                <w:color w:val="365F91" w:themeColor="accent1" w:themeShade="BF"/>
              </w:rPr>
            </w:pPr>
            <w:r w:rsidRPr="003E0C5B">
              <w:rPr>
                <w:color w:val="365F91" w:themeColor="accent1" w:themeShade="BF"/>
              </w:rPr>
              <w:t>5</w:t>
            </w:r>
            <w:r w:rsidR="006C4548" w:rsidRPr="003E0C5B">
              <w:rPr>
                <w:color w:val="365F91" w:themeColor="accent1" w:themeShade="BF"/>
              </w:rPr>
              <w:t>/60</w:t>
            </w:r>
          </w:p>
        </w:tc>
        <w:tc>
          <w:tcPr>
            <w:tcW w:w="1260" w:type="dxa"/>
          </w:tcPr>
          <w:p w14:paraId="074020A0" w14:textId="1697D367" w:rsidR="00053B86" w:rsidRPr="003E0C5B" w:rsidRDefault="00B04263" w:rsidP="00FF518D">
            <w:pPr>
              <w:rPr>
                <w:color w:val="365F91" w:themeColor="accent1" w:themeShade="BF"/>
              </w:rPr>
            </w:pPr>
            <w:r w:rsidRPr="003E0C5B">
              <w:rPr>
                <w:color w:val="365F91" w:themeColor="accent1" w:themeShade="BF"/>
              </w:rPr>
              <w:t>23</w:t>
            </w:r>
          </w:p>
        </w:tc>
      </w:tr>
      <w:tr w:rsidR="00053B86" w14:paraId="5BA0F4B7" w14:textId="77777777" w:rsidTr="00173A8B">
        <w:trPr>
          <w:trHeight w:val="289"/>
        </w:trPr>
        <w:tc>
          <w:tcPr>
            <w:tcW w:w="2790" w:type="dxa"/>
          </w:tcPr>
          <w:p w14:paraId="519104F4" w14:textId="77777777" w:rsidR="00053B86" w:rsidRDefault="00053B86" w:rsidP="00053B86"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4377E825" w14:textId="721C84E8" w:rsidR="00053B86" w:rsidRPr="003E0C5B" w:rsidRDefault="00B04263" w:rsidP="00053B86">
            <w:pPr>
              <w:rPr>
                <w:b/>
                <w:color w:val="365F91" w:themeColor="accent1" w:themeShade="BF"/>
              </w:rPr>
            </w:pPr>
            <w:r w:rsidRPr="003E0C5B">
              <w:rPr>
                <w:b/>
                <w:color w:val="365F91" w:themeColor="accent1" w:themeShade="BF"/>
              </w:rPr>
              <w:t>275</w:t>
            </w:r>
          </w:p>
        </w:tc>
        <w:tc>
          <w:tcPr>
            <w:tcW w:w="2520" w:type="dxa"/>
          </w:tcPr>
          <w:p w14:paraId="6A11B5AC" w14:textId="6B14D9E9" w:rsidR="00053B86" w:rsidRPr="003E0C5B" w:rsidRDefault="00053B86" w:rsidP="00053B86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1620" w:type="dxa"/>
          </w:tcPr>
          <w:p w14:paraId="44736658" w14:textId="06AEC86C" w:rsidR="00053B86" w:rsidRPr="003E0C5B" w:rsidRDefault="00053B86" w:rsidP="00053B86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1260" w:type="dxa"/>
          </w:tcPr>
          <w:p w14:paraId="1A2A1629" w14:textId="6E7B0DAC" w:rsidR="00053B86" w:rsidRPr="003E0C5B" w:rsidRDefault="00B04263" w:rsidP="00053B86">
            <w:pPr>
              <w:rPr>
                <w:b/>
                <w:color w:val="365F91" w:themeColor="accent1" w:themeShade="BF"/>
              </w:rPr>
            </w:pPr>
            <w:r w:rsidRPr="003E0C5B">
              <w:rPr>
                <w:b/>
                <w:color w:val="365F91" w:themeColor="accent1" w:themeShade="BF"/>
              </w:rPr>
              <w:t>23</w:t>
            </w:r>
          </w:p>
        </w:tc>
      </w:tr>
    </w:tbl>
    <w:p w14:paraId="46A7862F" w14:textId="77777777" w:rsidR="009A036B" w:rsidRPr="009A036B" w:rsidRDefault="009A036B" w:rsidP="009A036B">
      <w:pPr>
        <w:rPr>
          <w:b/>
        </w:rPr>
      </w:pPr>
    </w:p>
    <w:tbl>
      <w:tblPr>
        <w:tblW w:w="104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2857"/>
      </w:tblGrid>
      <w:tr w:rsidR="00CA2010" w:rsidRPr="009A036B" w14:paraId="49FEE59A" w14:textId="77777777" w:rsidTr="003364EE">
        <w:trPr>
          <w:trHeight w:val="274"/>
        </w:trPr>
        <w:tc>
          <w:tcPr>
            <w:tcW w:w="2790" w:type="dxa"/>
          </w:tcPr>
          <w:p w14:paraId="23D38594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4B843B4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2C0A0810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17E42615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2695A60F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2857" w:type="dxa"/>
          </w:tcPr>
          <w:p w14:paraId="56104A4A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7D51E8" w:rsidRPr="007D51E8" w14:paraId="48D63E77" w14:textId="77777777" w:rsidTr="003364EE">
        <w:trPr>
          <w:trHeight w:val="274"/>
        </w:trPr>
        <w:tc>
          <w:tcPr>
            <w:tcW w:w="2790" w:type="dxa"/>
          </w:tcPr>
          <w:p w14:paraId="7F78F31A" w14:textId="420A0312" w:rsidR="007D51E8" w:rsidRPr="007D51E8" w:rsidRDefault="00F751B7" w:rsidP="007D51E8">
            <w:r>
              <w:t>Staff</w:t>
            </w:r>
            <w:r w:rsidR="007D51E8" w:rsidRPr="007D51E8">
              <w:t xml:space="preserve"> </w:t>
            </w:r>
          </w:p>
        </w:tc>
        <w:tc>
          <w:tcPr>
            <w:tcW w:w="2250" w:type="dxa"/>
          </w:tcPr>
          <w:p w14:paraId="5E13303E" w14:textId="1CC1BB84" w:rsidR="007D51E8" w:rsidRPr="003E0C5B" w:rsidRDefault="00B04263" w:rsidP="007D51E8">
            <w:pPr>
              <w:rPr>
                <w:color w:val="365F91" w:themeColor="accent1" w:themeShade="BF"/>
              </w:rPr>
            </w:pPr>
            <w:r w:rsidRPr="003E0C5B">
              <w:rPr>
                <w:color w:val="365F91" w:themeColor="accent1" w:themeShade="BF"/>
              </w:rPr>
              <w:t>23</w:t>
            </w:r>
          </w:p>
        </w:tc>
        <w:tc>
          <w:tcPr>
            <w:tcW w:w="2520" w:type="dxa"/>
          </w:tcPr>
          <w:p w14:paraId="212EA7D9" w14:textId="0A627785" w:rsidR="007D51E8" w:rsidRPr="003E0C5B" w:rsidRDefault="007D51E8" w:rsidP="007D51E8">
            <w:pPr>
              <w:rPr>
                <w:color w:val="365F91" w:themeColor="accent1" w:themeShade="BF"/>
              </w:rPr>
            </w:pPr>
            <w:r w:rsidRPr="003E0C5B">
              <w:rPr>
                <w:color w:val="365F91" w:themeColor="accent1" w:themeShade="BF"/>
              </w:rPr>
              <w:t>$</w:t>
            </w:r>
            <w:r w:rsidR="00B5746D" w:rsidRPr="00B5746D">
              <w:rPr>
                <w:color w:val="365F91" w:themeColor="accent1" w:themeShade="BF"/>
              </w:rPr>
              <w:t xml:space="preserve">25.13 </w:t>
            </w:r>
          </w:p>
        </w:tc>
        <w:tc>
          <w:tcPr>
            <w:tcW w:w="2857" w:type="dxa"/>
          </w:tcPr>
          <w:p w14:paraId="15E9E3D6" w14:textId="6D2CA641" w:rsidR="007D51E8" w:rsidRPr="003E0C5B" w:rsidRDefault="007D51E8" w:rsidP="007D51E8">
            <w:pPr>
              <w:rPr>
                <w:color w:val="365F91" w:themeColor="accent1" w:themeShade="BF"/>
              </w:rPr>
            </w:pPr>
            <w:r w:rsidRPr="003E0C5B">
              <w:rPr>
                <w:color w:val="365F91" w:themeColor="accent1" w:themeShade="BF"/>
              </w:rPr>
              <w:t>$</w:t>
            </w:r>
            <w:r w:rsidR="008A7D4D" w:rsidRPr="003E0C5B">
              <w:rPr>
                <w:color w:val="365F91" w:themeColor="accent1" w:themeShade="BF"/>
              </w:rPr>
              <w:t>5</w:t>
            </w:r>
            <w:r w:rsidR="00B5746D">
              <w:rPr>
                <w:color w:val="365F91" w:themeColor="accent1" w:themeShade="BF"/>
              </w:rPr>
              <w:t>77</w:t>
            </w:r>
            <w:r w:rsidR="008A7D4D" w:rsidRPr="003E0C5B">
              <w:rPr>
                <w:color w:val="365F91" w:themeColor="accent1" w:themeShade="BF"/>
              </w:rPr>
              <w:t>.</w:t>
            </w:r>
            <w:r w:rsidR="00B5746D">
              <w:rPr>
                <w:color w:val="365F91" w:themeColor="accent1" w:themeShade="BF"/>
              </w:rPr>
              <w:t>99</w:t>
            </w:r>
          </w:p>
        </w:tc>
      </w:tr>
      <w:tr w:rsidR="00E35ADC" w:rsidRPr="007D51E8" w14:paraId="41F6AC0B" w14:textId="77777777" w:rsidTr="003364EE">
        <w:trPr>
          <w:trHeight w:val="289"/>
        </w:trPr>
        <w:tc>
          <w:tcPr>
            <w:tcW w:w="2790" w:type="dxa"/>
          </w:tcPr>
          <w:p w14:paraId="5E273E22" w14:textId="77777777" w:rsidR="00E35ADC" w:rsidRPr="007D51E8" w:rsidRDefault="00E35ADC" w:rsidP="00E35ADC">
            <w:r w:rsidRPr="007D51E8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22879591" w14:textId="2F81474E" w:rsidR="00E35ADC" w:rsidRPr="003E0C5B" w:rsidRDefault="00E35ADC" w:rsidP="00E35ADC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2520" w:type="dxa"/>
          </w:tcPr>
          <w:p w14:paraId="46818EC7" w14:textId="24AA9FBA" w:rsidR="00E35ADC" w:rsidRPr="003E0C5B" w:rsidRDefault="00E35ADC" w:rsidP="00E35ADC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2857" w:type="dxa"/>
          </w:tcPr>
          <w:p w14:paraId="734F3D7C" w14:textId="206CD4F8" w:rsidR="00E35ADC" w:rsidRPr="003E0C5B" w:rsidRDefault="00E35ADC" w:rsidP="007D51E8">
            <w:pPr>
              <w:rPr>
                <w:b/>
                <w:color w:val="365F91" w:themeColor="accent1" w:themeShade="BF"/>
              </w:rPr>
            </w:pPr>
            <w:r w:rsidRPr="003E0C5B">
              <w:rPr>
                <w:b/>
                <w:color w:val="365F91" w:themeColor="accent1" w:themeShade="BF"/>
              </w:rPr>
              <w:t>$</w:t>
            </w:r>
            <w:r w:rsidR="008A7D4D" w:rsidRPr="003E0C5B">
              <w:rPr>
                <w:b/>
                <w:color w:val="365F91" w:themeColor="accent1" w:themeShade="BF"/>
              </w:rPr>
              <w:t>5</w:t>
            </w:r>
            <w:r w:rsidR="00B5746D">
              <w:rPr>
                <w:b/>
                <w:color w:val="365F91" w:themeColor="accent1" w:themeShade="BF"/>
              </w:rPr>
              <w:t>77</w:t>
            </w:r>
            <w:r w:rsidR="008A7D4D" w:rsidRPr="003E0C5B">
              <w:rPr>
                <w:b/>
                <w:color w:val="365F91" w:themeColor="accent1" w:themeShade="BF"/>
              </w:rPr>
              <w:t>.</w:t>
            </w:r>
            <w:r w:rsidR="00B5746D">
              <w:rPr>
                <w:b/>
                <w:color w:val="365F91" w:themeColor="accent1" w:themeShade="BF"/>
              </w:rPr>
              <w:t>99</w:t>
            </w:r>
          </w:p>
        </w:tc>
      </w:tr>
    </w:tbl>
    <w:p w14:paraId="5EA4F248" w14:textId="05D50A57" w:rsidR="00AA649D" w:rsidRDefault="008A7D4D" w:rsidP="00B5746D">
      <w:r>
        <w:t>*</w:t>
      </w:r>
      <w:r w:rsidR="003D4A28" w:rsidRPr="007D51E8">
        <w:t>Bls.gov Occupationa</w:t>
      </w:r>
      <w:r w:rsidR="008D6136" w:rsidRPr="007D51E8">
        <w:t xml:space="preserve">l Employment and Wages, </w:t>
      </w:r>
      <w:r w:rsidR="00B5746D">
        <w:t>May 2016 Metropolitan and Nonmetropolitan Area Occupational Employment and Wage Estimates Washington-Arlington-Alexandria, DC-VA-MD-WV</w:t>
      </w:r>
      <w:r w:rsidR="003D4A28" w:rsidRPr="007D51E8">
        <w:t xml:space="preserve">, </w:t>
      </w:r>
      <w:hyperlink r:id="rId9" w:history="1">
        <w:r w:rsidR="00B5746D" w:rsidRPr="004F4E8A">
          <w:rPr>
            <w:rStyle w:val="Hyperlink"/>
          </w:rPr>
          <w:t>https://www.bls.gov/oes/current/oes_47900.htm</w:t>
        </w:r>
      </w:hyperlink>
      <w:r w:rsidR="00B5746D">
        <w:t xml:space="preserve"> </w:t>
      </w:r>
    </w:p>
    <w:p w14:paraId="78EF93FD" w14:textId="77777777" w:rsidR="00441434" w:rsidRDefault="00441434" w:rsidP="00F3170F"/>
    <w:p w14:paraId="2E1091D7" w14:textId="77777777" w:rsidR="00DD354C" w:rsidRDefault="001C39F7" w:rsidP="009A036B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7A7783">
        <w:t>$</w:t>
      </w:r>
      <w:r w:rsidR="008A7D4D" w:rsidRPr="008A7D4D">
        <w:t>1,034.35</w:t>
      </w:r>
      <w:r w:rsidR="008A7D4D">
        <w:t>.</w:t>
      </w:r>
    </w:p>
    <w:p w14:paraId="5ED6098B" w14:textId="454974BF" w:rsidR="009A036B" w:rsidRPr="009A036B" w:rsidRDefault="009A036B" w:rsidP="009A036B">
      <w:r>
        <w:rPr>
          <w:b/>
        </w:rPr>
        <w:t xml:space="preserve"> 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577"/>
        <w:gridCol w:w="1260"/>
        <w:gridCol w:w="1440"/>
        <w:gridCol w:w="1530"/>
        <w:gridCol w:w="1800"/>
      </w:tblGrid>
      <w:tr w:rsidR="009A036B" w:rsidRPr="009A036B" w14:paraId="6B075889" w14:textId="77777777" w:rsidTr="009E2B29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8F62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93700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1BCFD13F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B13F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A89E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6A521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DB318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C61593" w:rsidRPr="009A036B" w14:paraId="08738DCF" w14:textId="77777777" w:rsidTr="009E2B2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C79D5" w14:textId="77777777" w:rsidR="00C61593" w:rsidRPr="009A036B" w:rsidRDefault="00C61593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A8FD0" w14:textId="23B96C84" w:rsidR="00C61593" w:rsidRPr="00CD749D" w:rsidRDefault="00C61593" w:rsidP="00473F5B">
            <w:pPr>
              <w:rPr>
                <w:color w:val="1F497D" w:themeColor="text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BD137" w14:textId="2E58E798" w:rsidR="00C61593" w:rsidRPr="00CD749D" w:rsidRDefault="00C61593" w:rsidP="00473F5B">
            <w:pPr>
              <w:rPr>
                <w:color w:val="1F497D" w:themeColor="text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85FCBB" w14:textId="42E034DD" w:rsidR="00C61593" w:rsidRPr="00CD749D" w:rsidRDefault="00C61593" w:rsidP="00473F5B">
            <w:pPr>
              <w:rPr>
                <w:color w:val="1F497D" w:themeColor="text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63D4BEE" w14:textId="77777777" w:rsidR="00C61593" w:rsidRPr="009A036B" w:rsidRDefault="00C61593" w:rsidP="00473F5B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96B391" w14:textId="020CDF53" w:rsidR="00C61593" w:rsidRPr="00CD749D" w:rsidRDefault="00C61593" w:rsidP="00473F5B">
            <w:pPr>
              <w:rPr>
                <w:color w:val="1F497D" w:themeColor="text2"/>
              </w:rPr>
            </w:pPr>
          </w:p>
        </w:tc>
      </w:tr>
      <w:tr w:rsidR="00225EA8" w:rsidRPr="009A036B" w14:paraId="76350E4E" w14:textId="77777777" w:rsidTr="009E2B2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3E04A" w14:textId="31C17603" w:rsidR="00225EA8" w:rsidRPr="00225EA8" w:rsidRDefault="00225EA8" w:rsidP="00225EA8">
            <w:pPr>
              <w:rPr>
                <w:color w:val="365F91" w:themeColor="accent1" w:themeShade="BF"/>
              </w:rPr>
            </w:pPr>
            <w:r w:rsidRPr="00225EA8">
              <w:rPr>
                <w:color w:val="365F91" w:themeColor="accent1" w:themeShade="BF"/>
              </w:rPr>
              <w:t xml:space="preserve">Survey Team </w:t>
            </w:r>
            <w:r w:rsidR="00195483">
              <w:rPr>
                <w:color w:val="365F91" w:themeColor="accent1" w:themeShade="BF"/>
              </w:rPr>
              <w:t>Member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906987" w14:textId="23A1F08C" w:rsidR="00225EA8" w:rsidRPr="00CD749D" w:rsidRDefault="00195483" w:rsidP="00225EA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GS 1</w:t>
            </w:r>
            <w:r w:rsidR="008A7D4D">
              <w:rPr>
                <w:color w:val="1F497D" w:themeColor="text2"/>
              </w:rPr>
              <w:t>3</w:t>
            </w:r>
            <w:r w:rsidR="00225EA8" w:rsidRPr="00CD749D">
              <w:rPr>
                <w:color w:val="1F497D" w:themeColor="text2"/>
              </w:rPr>
              <w:t>/</w:t>
            </w:r>
            <w:r w:rsidR="008A7D4D">
              <w:rPr>
                <w:color w:val="1F497D" w:themeColor="text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D1012" w14:textId="34D993E6" w:rsidR="00225EA8" w:rsidRPr="00CD749D" w:rsidRDefault="007A7783" w:rsidP="00225EA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$</w:t>
            </w:r>
            <w:r w:rsidR="008A7D4D" w:rsidRPr="008A7D4D">
              <w:rPr>
                <w:color w:val="1F497D" w:themeColor="text2"/>
              </w:rPr>
              <w:t>103,435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E6CF0" w14:textId="45F50F52" w:rsidR="00225EA8" w:rsidRPr="00CD749D" w:rsidRDefault="00997911" w:rsidP="00173696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1</w:t>
            </w:r>
            <w:r w:rsidR="00225EA8" w:rsidRPr="00CD749D">
              <w:rPr>
                <w:color w:val="1F497D" w:themeColor="text2"/>
              </w:rPr>
              <w:t>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D360A55" w14:textId="77777777" w:rsidR="00225EA8" w:rsidRPr="009A036B" w:rsidRDefault="00225EA8" w:rsidP="00225EA8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371BDE" w14:textId="3E089830" w:rsidR="00225EA8" w:rsidRPr="00CD749D" w:rsidRDefault="007A7783" w:rsidP="00225EA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$</w:t>
            </w:r>
            <w:r w:rsidR="008A7D4D">
              <w:rPr>
                <w:color w:val="1F497D" w:themeColor="text2"/>
              </w:rPr>
              <w:t>1,034.35</w:t>
            </w:r>
          </w:p>
        </w:tc>
      </w:tr>
      <w:tr w:rsidR="00225EA8" w:rsidRPr="009A036B" w14:paraId="5BFEF268" w14:textId="77777777" w:rsidTr="009E2B2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72AD83" w14:textId="2341CEF6" w:rsidR="00225EA8" w:rsidRPr="00225EA8" w:rsidRDefault="00225EA8" w:rsidP="00225EA8">
            <w:pPr>
              <w:rPr>
                <w:color w:val="365F91" w:themeColor="accent1" w:themeShade="BF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775914" w14:textId="6B046920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A109B1" w14:textId="6C4D42B1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D9255" w14:textId="24625B17" w:rsidR="00225EA8" w:rsidRPr="009A036B" w:rsidRDefault="00225EA8" w:rsidP="00225EA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9E3A836" w14:textId="77777777" w:rsidR="00225EA8" w:rsidRPr="009A036B" w:rsidRDefault="00225EA8" w:rsidP="00225EA8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B8F796" w14:textId="49E249F2" w:rsidR="00225EA8" w:rsidRPr="009A036B" w:rsidRDefault="00225EA8" w:rsidP="00225EA8">
            <w:r>
              <w:rPr>
                <w:color w:val="1F497D" w:themeColor="text2"/>
              </w:rPr>
              <w:t xml:space="preserve"> </w:t>
            </w:r>
          </w:p>
        </w:tc>
      </w:tr>
      <w:tr w:rsidR="00225EA8" w:rsidRPr="009A036B" w14:paraId="3574EE10" w14:textId="77777777" w:rsidTr="009E2B2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A67378" w14:textId="77777777" w:rsidR="00225EA8" w:rsidRPr="009A036B" w:rsidRDefault="00225EA8" w:rsidP="00225EA8"/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A8ADD1" w14:textId="59EA43A2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101FF" w14:textId="5AE9E45A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649A8" w14:textId="237F04DA" w:rsidR="00225EA8" w:rsidRPr="009A036B" w:rsidRDefault="00225EA8" w:rsidP="00225EA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E54B0D0" w14:textId="77777777" w:rsidR="00225EA8" w:rsidRPr="009A036B" w:rsidRDefault="00225EA8" w:rsidP="00225EA8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0FDBEE" w14:textId="7AAB94F9" w:rsidR="00225EA8" w:rsidRPr="009A036B" w:rsidRDefault="00225EA8" w:rsidP="00225EA8"/>
        </w:tc>
      </w:tr>
      <w:tr w:rsidR="00225EA8" w:rsidRPr="009A036B" w14:paraId="6079751B" w14:textId="77777777" w:rsidTr="009E2B2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DDA2EC" w14:textId="77777777" w:rsidR="00225EA8" w:rsidRPr="009A036B" w:rsidRDefault="00225EA8" w:rsidP="00225EA8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EC010AD" w14:textId="77777777" w:rsidR="00225EA8" w:rsidRPr="009A036B" w:rsidRDefault="00225EA8" w:rsidP="001F4BA3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C879F" w14:textId="77777777" w:rsidR="00225EA8" w:rsidRPr="009A036B" w:rsidRDefault="00225EA8" w:rsidP="001F4BA3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BE99C" w14:textId="77777777" w:rsidR="00225EA8" w:rsidRPr="009A036B" w:rsidRDefault="00225EA8" w:rsidP="001F4BA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DA91C" w14:textId="77777777" w:rsidR="00225EA8" w:rsidRPr="009A036B" w:rsidRDefault="00225EA8" w:rsidP="001F4BA3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D9426" w14:textId="77777777" w:rsidR="00225EA8" w:rsidRPr="009A036B" w:rsidRDefault="00225EA8" w:rsidP="00225EA8"/>
        </w:tc>
      </w:tr>
      <w:tr w:rsidR="00225EA8" w:rsidRPr="009A036B" w14:paraId="3D0CA9D8" w14:textId="77777777" w:rsidTr="009E2B2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6E61C" w14:textId="77777777" w:rsidR="00225EA8" w:rsidRPr="009A036B" w:rsidRDefault="00225EA8" w:rsidP="00225EA8">
            <w:r w:rsidRPr="009A036B">
              <w:t>Travel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EC68DF3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06B95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C17D5" w14:textId="77777777" w:rsidR="00225EA8" w:rsidRPr="009A036B" w:rsidRDefault="00225EA8" w:rsidP="00225EA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9DB2504" w14:textId="77777777" w:rsidR="00225EA8" w:rsidRPr="009A036B" w:rsidRDefault="00225EA8" w:rsidP="00225EA8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7CDBE" w14:textId="77777777" w:rsidR="00225EA8" w:rsidRPr="009A036B" w:rsidRDefault="00225EA8" w:rsidP="00225EA8"/>
        </w:tc>
      </w:tr>
      <w:tr w:rsidR="00225EA8" w:rsidRPr="009A036B" w14:paraId="04996E73" w14:textId="77777777" w:rsidTr="009E2B2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DCA9AC" w14:textId="77777777" w:rsidR="00225EA8" w:rsidRPr="009A036B" w:rsidRDefault="00225EA8" w:rsidP="00225EA8">
            <w:r w:rsidRPr="009A036B">
              <w:t>Other Cost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165FC09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2A2DD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EB799" w14:textId="77777777" w:rsidR="00225EA8" w:rsidRPr="009A036B" w:rsidRDefault="00225EA8" w:rsidP="00225EA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C65515" w14:textId="77777777" w:rsidR="00225EA8" w:rsidRPr="009A036B" w:rsidRDefault="00225EA8" w:rsidP="00225EA8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BABAB4" w14:textId="77777777" w:rsidR="00225EA8" w:rsidRPr="009A036B" w:rsidRDefault="00225EA8" w:rsidP="00225EA8"/>
        </w:tc>
      </w:tr>
      <w:tr w:rsidR="00225EA8" w:rsidRPr="009A036B" w14:paraId="31CAC5CA" w14:textId="77777777" w:rsidTr="009E2B2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EEA34" w14:textId="77777777" w:rsidR="00225EA8" w:rsidRPr="009A036B" w:rsidRDefault="00225EA8" w:rsidP="00225EA8">
            <w:pPr>
              <w:rPr>
                <w:bCs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BDB77C0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DD6B2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22B41" w14:textId="77777777" w:rsidR="00225EA8" w:rsidRPr="009A036B" w:rsidRDefault="00225EA8" w:rsidP="00225EA8">
            <w:pPr>
              <w:rPr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7F2261E" w14:textId="77777777" w:rsidR="00225EA8" w:rsidRPr="009A036B" w:rsidRDefault="00225EA8" w:rsidP="00225EA8">
            <w:pPr>
              <w:rPr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AD2E00" w14:textId="77777777" w:rsidR="00225EA8" w:rsidRPr="009A036B" w:rsidRDefault="00225EA8" w:rsidP="00225EA8">
            <w:pPr>
              <w:rPr>
                <w:b/>
              </w:rPr>
            </w:pPr>
          </w:p>
        </w:tc>
      </w:tr>
      <w:tr w:rsidR="00225EA8" w:rsidRPr="009A036B" w14:paraId="639F4BB3" w14:textId="77777777" w:rsidTr="009E2B2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29FBD" w14:textId="77777777" w:rsidR="00225EA8" w:rsidRPr="00C17A8C" w:rsidRDefault="00225EA8" w:rsidP="00225EA8">
            <w:pPr>
              <w:rPr>
                <w:b/>
              </w:rPr>
            </w:pPr>
            <w:r w:rsidRPr="00C17A8C">
              <w:rPr>
                <w:b/>
              </w:rPr>
              <w:t>Total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86E8D5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EFEAE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D481A" w14:textId="77777777" w:rsidR="00225EA8" w:rsidRPr="009A036B" w:rsidRDefault="00225EA8" w:rsidP="00225EA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E4070E" w14:textId="77777777" w:rsidR="00225EA8" w:rsidRPr="009A036B" w:rsidRDefault="00225EA8" w:rsidP="00225EA8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EF766F" w14:textId="5793B332" w:rsidR="00225EA8" w:rsidRPr="00C17A8C" w:rsidRDefault="007A7783" w:rsidP="00225EA8">
            <w:pPr>
              <w:rPr>
                <w:b/>
              </w:rPr>
            </w:pPr>
            <w:r>
              <w:rPr>
                <w:b/>
                <w:color w:val="1F497D" w:themeColor="text2"/>
              </w:rPr>
              <w:t>$</w:t>
            </w:r>
            <w:r w:rsidR="008A7D4D" w:rsidRPr="008A7D4D">
              <w:rPr>
                <w:b/>
                <w:color w:val="1F497D" w:themeColor="text2"/>
              </w:rPr>
              <w:t>1,034.35</w:t>
            </w:r>
          </w:p>
        </w:tc>
      </w:tr>
    </w:tbl>
    <w:p w14:paraId="12D0574A" w14:textId="77777777" w:rsidR="00ED6492" w:rsidRDefault="00ED6492">
      <w:pPr>
        <w:rPr>
          <w:b/>
          <w:bCs/>
          <w:u w:val="single"/>
        </w:rPr>
      </w:pPr>
    </w:p>
    <w:p w14:paraId="5DB172C5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7B8CD4F1" w14:textId="77777777" w:rsidR="0069403B" w:rsidRDefault="0069403B" w:rsidP="00F06866">
      <w:pPr>
        <w:rPr>
          <w:b/>
        </w:rPr>
      </w:pPr>
    </w:p>
    <w:p w14:paraId="64D2188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B042AB1" w14:textId="3F498E75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 w:rsidR="009E2B29">
        <w:tab/>
      </w:r>
      <w:r>
        <w:t>[] Yes</w:t>
      </w:r>
      <w:r>
        <w:tab/>
        <w:t>[</w:t>
      </w:r>
      <w:r w:rsidR="00997911" w:rsidRPr="00540F58">
        <w:rPr>
          <w:color w:val="365F91" w:themeColor="accent1" w:themeShade="BF"/>
        </w:rPr>
        <w:t>x</w:t>
      </w:r>
      <w:r>
        <w:t>] No</w:t>
      </w:r>
    </w:p>
    <w:p w14:paraId="19E6A9DC" w14:textId="77777777" w:rsidR="00636621" w:rsidRDefault="00636621" w:rsidP="00636621">
      <w:pPr>
        <w:pStyle w:val="ListParagraph"/>
      </w:pPr>
    </w:p>
    <w:p w14:paraId="410F2394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CD4C99E" w14:textId="77777777" w:rsidR="00927C05" w:rsidRDefault="00927C05" w:rsidP="00947429">
      <w:pPr>
        <w:rPr>
          <w:color w:val="002060"/>
        </w:rPr>
      </w:pPr>
    </w:p>
    <w:p w14:paraId="3DD3FA4E" w14:textId="0297D73F" w:rsidR="00A403BB" w:rsidRPr="00332161" w:rsidRDefault="007B6D66" w:rsidP="00A403BB">
      <w:pPr>
        <w:rPr>
          <w:color w:val="1F497D"/>
        </w:rPr>
      </w:pPr>
      <w:r w:rsidRPr="0097374D">
        <w:t>The survey</w:t>
      </w:r>
      <w:r w:rsidR="00473F5B" w:rsidRPr="0097374D">
        <w:t xml:space="preserve"> will be sent out through an automated process once a retiree has contacted their HR Specialist with a </w:t>
      </w:r>
      <w:r w:rsidR="00A2129A" w:rsidRPr="0097374D">
        <w:t xml:space="preserve">benefits </w:t>
      </w:r>
      <w:r w:rsidR="00473F5B" w:rsidRPr="0097374D">
        <w:t>question</w:t>
      </w:r>
      <w:r w:rsidR="00DD354C">
        <w:rPr>
          <w:color w:val="1F497D"/>
        </w:rPr>
        <w:t>.</w:t>
      </w:r>
    </w:p>
    <w:p w14:paraId="3F68197A" w14:textId="77777777" w:rsidR="00EC149B" w:rsidRDefault="00EC149B" w:rsidP="00A403BB"/>
    <w:p w14:paraId="08365D6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8A8F9F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589C374" w14:textId="44829BE4" w:rsidR="001B0AAA" w:rsidRDefault="00234D82" w:rsidP="001B0AAA">
      <w:pPr>
        <w:ind w:left="720"/>
      </w:pPr>
      <w:r>
        <w:t>[</w:t>
      </w:r>
      <w:r w:rsidRPr="00540F58">
        <w:rPr>
          <w:color w:val="365F91" w:themeColor="accent1" w:themeShade="BF"/>
        </w:rPr>
        <w:t>X</w:t>
      </w:r>
      <w:r w:rsidR="00A403BB">
        <w:t>] Web-based</w:t>
      </w:r>
      <w:r w:rsidR="001B0AAA">
        <w:t xml:space="preserve"> or other forms of Social Media </w:t>
      </w:r>
    </w:p>
    <w:p w14:paraId="411C33B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1F92056" w14:textId="77777777" w:rsidR="001B0AAA" w:rsidRDefault="00A403BB" w:rsidP="001B0AAA">
      <w:pPr>
        <w:ind w:left="720"/>
      </w:pPr>
      <w:r>
        <w:lastRenderedPageBreak/>
        <w:t>[</w:t>
      </w:r>
      <w:r w:rsidR="001B0AAA">
        <w:t xml:space="preserve"> </w:t>
      </w:r>
      <w:r>
        <w:t xml:space="preserve"> ] In-person</w:t>
      </w:r>
      <w:r>
        <w:tab/>
      </w:r>
    </w:p>
    <w:p w14:paraId="7D5A852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04A2207B" w14:textId="7DBA1C00" w:rsidR="00020001" w:rsidRPr="00E956D5" w:rsidRDefault="00A403BB" w:rsidP="00E956D5">
      <w:pPr>
        <w:ind w:left="720"/>
      </w:pPr>
      <w:r>
        <w:t>[</w:t>
      </w:r>
      <w:r w:rsidR="00234D82">
        <w:t>_</w:t>
      </w:r>
      <w:r>
        <w:t>] Other, Explain</w:t>
      </w:r>
    </w:p>
    <w:p w14:paraId="225F613C" w14:textId="77777777" w:rsidR="00020001" w:rsidRDefault="00020001" w:rsidP="001B0AAA">
      <w:pPr>
        <w:ind w:left="720"/>
      </w:pPr>
    </w:p>
    <w:p w14:paraId="769C316E" w14:textId="0C39F357" w:rsidR="00AC1954" w:rsidRPr="00225EA8" w:rsidRDefault="00F24CFC" w:rsidP="00DD354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A0422" w:rsidRPr="00540F58">
        <w:rPr>
          <w:color w:val="365F91" w:themeColor="accent1" w:themeShade="BF"/>
        </w:rPr>
        <w:t>X</w:t>
      </w:r>
      <w:r>
        <w:t>] No</w:t>
      </w:r>
    </w:p>
    <w:sectPr w:rsidR="00AC1954" w:rsidRPr="00225EA8" w:rsidSect="009E2B2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EFBC8" w14:textId="77777777" w:rsidR="00EC3795" w:rsidRDefault="00EC3795">
      <w:r>
        <w:separator/>
      </w:r>
    </w:p>
  </w:endnote>
  <w:endnote w:type="continuationSeparator" w:id="0">
    <w:p w14:paraId="5D9A603F" w14:textId="77777777" w:rsidR="00EC3795" w:rsidRDefault="00EC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92386" w14:textId="771B05CB" w:rsidR="00473F5B" w:rsidRDefault="00473F5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3647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67FC8" w14:textId="77777777" w:rsidR="00EC3795" w:rsidRDefault="00EC3795">
      <w:r>
        <w:separator/>
      </w:r>
    </w:p>
  </w:footnote>
  <w:footnote w:type="continuationSeparator" w:id="0">
    <w:p w14:paraId="30CF9B87" w14:textId="77777777" w:rsidR="00EC3795" w:rsidRDefault="00EC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EB78DE"/>
    <w:multiLevelType w:val="hybridMultilevel"/>
    <w:tmpl w:val="9184F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2C2207"/>
    <w:multiLevelType w:val="hybridMultilevel"/>
    <w:tmpl w:val="3558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4267"/>
    <w:rsid w:val="00020001"/>
    <w:rsid w:val="00021957"/>
    <w:rsid w:val="00023A57"/>
    <w:rsid w:val="000419AC"/>
    <w:rsid w:val="00047A64"/>
    <w:rsid w:val="00053B86"/>
    <w:rsid w:val="00067329"/>
    <w:rsid w:val="000722CE"/>
    <w:rsid w:val="000913EC"/>
    <w:rsid w:val="000978A8"/>
    <w:rsid w:val="000A09FC"/>
    <w:rsid w:val="000B2838"/>
    <w:rsid w:val="000C2B94"/>
    <w:rsid w:val="000D1B1D"/>
    <w:rsid w:val="000D44CA"/>
    <w:rsid w:val="000E200B"/>
    <w:rsid w:val="000F68BE"/>
    <w:rsid w:val="00156F79"/>
    <w:rsid w:val="00162F83"/>
    <w:rsid w:val="00173696"/>
    <w:rsid w:val="00173A8B"/>
    <w:rsid w:val="00177469"/>
    <w:rsid w:val="001855D1"/>
    <w:rsid w:val="001927A4"/>
    <w:rsid w:val="00194AC6"/>
    <w:rsid w:val="00195483"/>
    <w:rsid w:val="001A23B0"/>
    <w:rsid w:val="001A25CC"/>
    <w:rsid w:val="001B0AAA"/>
    <w:rsid w:val="001B71DD"/>
    <w:rsid w:val="001C39F7"/>
    <w:rsid w:val="001D4249"/>
    <w:rsid w:val="001F4BA3"/>
    <w:rsid w:val="00225EA8"/>
    <w:rsid w:val="00234D82"/>
    <w:rsid w:val="00237B48"/>
    <w:rsid w:val="0024302F"/>
    <w:rsid w:val="0024521E"/>
    <w:rsid w:val="00263C3D"/>
    <w:rsid w:val="00274D0B"/>
    <w:rsid w:val="002765A0"/>
    <w:rsid w:val="00284110"/>
    <w:rsid w:val="002A0422"/>
    <w:rsid w:val="002A779B"/>
    <w:rsid w:val="002B3C95"/>
    <w:rsid w:val="002D0B92"/>
    <w:rsid w:val="002D26E2"/>
    <w:rsid w:val="00332161"/>
    <w:rsid w:val="003364EE"/>
    <w:rsid w:val="003470EC"/>
    <w:rsid w:val="003645AD"/>
    <w:rsid w:val="003668D6"/>
    <w:rsid w:val="00391E10"/>
    <w:rsid w:val="003949C2"/>
    <w:rsid w:val="003A7074"/>
    <w:rsid w:val="003B3AA6"/>
    <w:rsid w:val="003D2E82"/>
    <w:rsid w:val="003D4A28"/>
    <w:rsid w:val="003D5BBE"/>
    <w:rsid w:val="003E0C5B"/>
    <w:rsid w:val="003E3C61"/>
    <w:rsid w:val="003F1C5B"/>
    <w:rsid w:val="00431EB1"/>
    <w:rsid w:val="00434E33"/>
    <w:rsid w:val="00441434"/>
    <w:rsid w:val="0045264C"/>
    <w:rsid w:val="0046500C"/>
    <w:rsid w:val="00473F5B"/>
    <w:rsid w:val="00485A8E"/>
    <w:rsid w:val="004876EC"/>
    <w:rsid w:val="004A160C"/>
    <w:rsid w:val="004D6E14"/>
    <w:rsid w:val="005009B0"/>
    <w:rsid w:val="00540F58"/>
    <w:rsid w:val="00542610"/>
    <w:rsid w:val="005867F2"/>
    <w:rsid w:val="005A1006"/>
    <w:rsid w:val="005A772A"/>
    <w:rsid w:val="005D6BFD"/>
    <w:rsid w:val="005E5301"/>
    <w:rsid w:val="005E714A"/>
    <w:rsid w:val="006140A0"/>
    <w:rsid w:val="00617E9C"/>
    <w:rsid w:val="00633F74"/>
    <w:rsid w:val="00636621"/>
    <w:rsid w:val="00642B49"/>
    <w:rsid w:val="00672444"/>
    <w:rsid w:val="006832D9"/>
    <w:rsid w:val="00686301"/>
    <w:rsid w:val="0069403B"/>
    <w:rsid w:val="00696EC2"/>
    <w:rsid w:val="006C4548"/>
    <w:rsid w:val="006D0B95"/>
    <w:rsid w:val="006D5F47"/>
    <w:rsid w:val="006F3DDE"/>
    <w:rsid w:val="0070180A"/>
    <w:rsid w:val="00704678"/>
    <w:rsid w:val="007069A3"/>
    <w:rsid w:val="00706A7C"/>
    <w:rsid w:val="00711A48"/>
    <w:rsid w:val="00725129"/>
    <w:rsid w:val="007425E7"/>
    <w:rsid w:val="00754016"/>
    <w:rsid w:val="00765BDD"/>
    <w:rsid w:val="007669AD"/>
    <w:rsid w:val="00766D95"/>
    <w:rsid w:val="0077703F"/>
    <w:rsid w:val="007A4957"/>
    <w:rsid w:val="007A6334"/>
    <w:rsid w:val="007A7783"/>
    <w:rsid w:val="007B6D66"/>
    <w:rsid w:val="007D51E8"/>
    <w:rsid w:val="007F4464"/>
    <w:rsid w:val="00802607"/>
    <w:rsid w:val="008101A5"/>
    <w:rsid w:val="00822664"/>
    <w:rsid w:val="008314B9"/>
    <w:rsid w:val="00843796"/>
    <w:rsid w:val="00856896"/>
    <w:rsid w:val="00864B79"/>
    <w:rsid w:val="00875C0E"/>
    <w:rsid w:val="00884B8A"/>
    <w:rsid w:val="00895229"/>
    <w:rsid w:val="008A7D4D"/>
    <w:rsid w:val="008D587B"/>
    <w:rsid w:val="008D6136"/>
    <w:rsid w:val="008F0203"/>
    <w:rsid w:val="008F50D4"/>
    <w:rsid w:val="009073FF"/>
    <w:rsid w:val="00921F2D"/>
    <w:rsid w:val="009239AA"/>
    <w:rsid w:val="00927C05"/>
    <w:rsid w:val="00935ADA"/>
    <w:rsid w:val="00935D90"/>
    <w:rsid w:val="00941A7D"/>
    <w:rsid w:val="00946B6C"/>
    <w:rsid w:val="00947429"/>
    <w:rsid w:val="00955A71"/>
    <w:rsid w:val="0096108F"/>
    <w:rsid w:val="0097374D"/>
    <w:rsid w:val="00992E91"/>
    <w:rsid w:val="00997549"/>
    <w:rsid w:val="00997911"/>
    <w:rsid w:val="009A036B"/>
    <w:rsid w:val="009A516F"/>
    <w:rsid w:val="009C13B9"/>
    <w:rsid w:val="009D01A2"/>
    <w:rsid w:val="009D4999"/>
    <w:rsid w:val="009E2B29"/>
    <w:rsid w:val="009F406C"/>
    <w:rsid w:val="009F5923"/>
    <w:rsid w:val="00A2129A"/>
    <w:rsid w:val="00A229F1"/>
    <w:rsid w:val="00A403BB"/>
    <w:rsid w:val="00A56C96"/>
    <w:rsid w:val="00A674DF"/>
    <w:rsid w:val="00A701C1"/>
    <w:rsid w:val="00A83AA6"/>
    <w:rsid w:val="00A90A42"/>
    <w:rsid w:val="00A91E11"/>
    <w:rsid w:val="00A960EF"/>
    <w:rsid w:val="00AA649D"/>
    <w:rsid w:val="00AA7A00"/>
    <w:rsid w:val="00AC1954"/>
    <w:rsid w:val="00AC60E8"/>
    <w:rsid w:val="00AE14B1"/>
    <w:rsid w:val="00AE1809"/>
    <w:rsid w:val="00AE1AE1"/>
    <w:rsid w:val="00B04263"/>
    <w:rsid w:val="00B062EF"/>
    <w:rsid w:val="00B30B9F"/>
    <w:rsid w:val="00B36477"/>
    <w:rsid w:val="00B456E9"/>
    <w:rsid w:val="00B5746D"/>
    <w:rsid w:val="00B61FB0"/>
    <w:rsid w:val="00B7711E"/>
    <w:rsid w:val="00B80D76"/>
    <w:rsid w:val="00BA2105"/>
    <w:rsid w:val="00BA7E06"/>
    <w:rsid w:val="00BB43B5"/>
    <w:rsid w:val="00BB4B83"/>
    <w:rsid w:val="00BB6219"/>
    <w:rsid w:val="00BC1F53"/>
    <w:rsid w:val="00BC676D"/>
    <w:rsid w:val="00BD290F"/>
    <w:rsid w:val="00BE46E6"/>
    <w:rsid w:val="00C14CC4"/>
    <w:rsid w:val="00C17A8C"/>
    <w:rsid w:val="00C30E04"/>
    <w:rsid w:val="00C33C52"/>
    <w:rsid w:val="00C40D8B"/>
    <w:rsid w:val="00C447A9"/>
    <w:rsid w:val="00C61593"/>
    <w:rsid w:val="00C8407A"/>
    <w:rsid w:val="00C8488C"/>
    <w:rsid w:val="00C86E91"/>
    <w:rsid w:val="00CA19A3"/>
    <w:rsid w:val="00CA2010"/>
    <w:rsid w:val="00CA2650"/>
    <w:rsid w:val="00CB05FA"/>
    <w:rsid w:val="00CB1078"/>
    <w:rsid w:val="00CC14C5"/>
    <w:rsid w:val="00CC6FAF"/>
    <w:rsid w:val="00CD749D"/>
    <w:rsid w:val="00D04C61"/>
    <w:rsid w:val="00D24698"/>
    <w:rsid w:val="00D37700"/>
    <w:rsid w:val="00D57B66"/>
    <w:rsid w:val="00D602AA"/>
    <w:rsid w:val="00D6383F"/>
    <w:rsid w:val="00D76B74"/>
    <w:rsid w:val="00DA5802"/>
    <w:rsid w:val="00DB4A58"/>
    <w:rsid w:val="00DB59D0"/>
    <w:rsid w:val="00DC33D3"/>
    <w:rsid w:val="00DD354C"/>
    <w:rsid w:val="00E01841"/>
    <w:rsid w:val="00E26329"/>
    <w:rsid w:val="00E35ADC"/>
    <w:rsid w:val="00E40309"/>
    <w:rsid w:val="00E40B50"/>
    <w:rsid w:val="00E42880"/>
    <w:rsid w:val="00E50293"/>
    <w:rsid w:val="00E65FFC"/>
    <w:rsid w:val="00E670E2"/>
    <w:rsid w:val="00E75541"/>
    <w:rsid w:val="00E80951"/>
    <w:rsid w:val="00E86CC6"/>
    <w:rsid w:val="00E956D5"/>
    <w:rsid w:val="00EB3C33"/>
    <w:rsid w:val="00EB56B3"/>
    <w:rsid w:val="00EC149B"/>
    <w:rsid w:val="00EC3795"/>
    <w:rsid w:val="00ED6492"/>
    <w:rsid w:val="00EF2095"/>
    <w:rsid w:val="00F016BE"/>
    <w:rsid w:val="00F06866"/>
    <w:rsid w:val="00F15956"/>
    <w:rsid w:val="00F24CFC"/>
    <w:rsid w:val="00F24F19"/>
    <w:rsid w:val="00F3170F"/>
    <w:rsid w:val="00F320F4"/>
    <w:rsid w:val="00F52CA4"/>
    <w:rsid w:val="00F751B7"/>
    <w:rsid w:val="00F926A4"/>
    <w:rsid w:val="00F939D7"/>
    <w:rsid w:val="00F94D8C"/>
    <w:rsid w:val="00F976B0"/>
    <w:rsid w:val="00FA6DE7"/>
    <w:rsid w:val="00FB3694"/>
    <w:rsid w:val="00FC0A8E"/>
    <w:rsid w:val="00FD6D0D"/>
    <w:rsid w:val="00FE2FA6"/>
    <w:rsid w:val="00FE3DF2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D24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text">
    <w:name w:val="normaltext"/>
    <w:rsid w:val="007669AD"/>
    <w:pPr>
      <w:spacing w:after="120"/>
    </w:pPr>
    <w:rPr>
      <w:sz w:val="24"/>
      <w:szCs w:val="24"/>
    </w:rPr>
  </w:style>
  <w:style w:type="character" w:styleId="Strong">
    <w:name w:val="Strong"/>
    <w:uiPriority w:val="22"/>
    <w:qFormat/>
    <w:rsid w:val="007669AD"/>
    <w:rPr>
      <w:b/>
      <w:bCs/>
    </w:rPr>
  </w:style>
  <w:style w:type="character" w:styleId="Hyperlink">
    <w:name w:val="Hyperlink"/>
    <w:uiPriority w:val="99"/>
    <w:unhideWhenUsed/>
    <w:rsid w:val="007669AD"/>
    <w:rPr>
      <w:color w:val="0000FF"/>
      <w:u w:val="single"/>
    </w:rPr>
  </w:style>
  <w:style w:type="character" w:styleId="FollowedHyperlink">
    <w:name w:val="FollowedHyperlink"/>
    <w:basedOn w:val="DefaultParagraphFont"/>
    <w:rsid w:val="00C61593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244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text">
    <w:name w:val="normaltext"/>
    <w:rsid w:val="007669AD"/>
    <w:pPr>
      <w:spacing w:after="120"/>
    </w:pPr>
    <w:rPr>
      <w:sz w:val="24"/>
      <w:szCs w:val="24"/>
    </w:rPr>
  </w:style>
  <w:style w:type="character" w:styleId="Strong">
    <w:name w:val="Strong"/>
    <w:uiPriority w:val="22"/>
    <w:qFormat/>
    <w:rsid w:val="007669AD"/>
    <w:rPr>
      <w:b/>
      <w:bCs/>
    </w:rPr>
  </w:style>
  <w:style w:type="character" w:styleId="Hyperlink">
    <w:name w:val="Hyperlink"/>
    <w:uiPriority w:val="99"/>
    <w:unhideWhenUsed/>
    <w:rsid w:val="007669AD"/>
    <w:rPr>
      <w:color w:val="0000FF"/>
      <w:u w:val="single"/>
    </w:rPr>
  </w:style>
  <w:style w:type="character" w:styleId="FollowedHyperlink">
    <w:name w:val="FollowedHyperlink"/>
    <w:basedOn w:val="DefaultParagraphFont"/>
    <w:rsid w:val="00C61593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24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_47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3CAF8-0F32-4FEC-B4D9-9CC86E37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4022</CharactersWithSpaces>
  <SharedDoc>false</SharedDoc>
  <HLinks>
    <vt:vector size="6" baseType="variant"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http://www.bls.gov/oes/current/oes131071.htm</vt:lpwstr>
      </vt:variant>
      <vt:variant>
        <vt:lpwstr>st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2018-01-18T19:14:00Z</dcterms:created>
  <dcterms:modified xsi:type="dcterms:W3CDTF">2018-01-18T19:14:00Z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