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3C0E0"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7A39D2B3" w14:textId="468E10A6" w:rsidR="009106FF" w:rsidRPr="009239AA" w:rsidRDefault="00BE5D91" w:rsidP="00434E33">
      <w:pPr>
        <w:rPr>
          <w:b/>
        </w:rPr>
      </w:pPr>
      <w:bookmarkStart w:id="0" w:name="_GoBack"/>
      <w:r>
        <w:t>DIS Immigration Conference Evaluation Survey</w:t>
      </w:r>
    </w:p>
    <w:bookmarkEnd w:id="0"/>
    <w:p w14:paraId="617578BD" w14:textId="77777777" w:rsidR="005E714A" w:rsidRDefault="005E714A"/>
    <w:p w14:paraId="72A5D295" w14:textId="77777777" w:rsidR="001B0AAA" w:rsidRDefault="00F15956">
      <w:r>
        <w:rPr>
          <w:b/>
        </w:rPr>
        <w:t>PURPOSE</w:t>
      </w:r>
      <w:r w:rsidRPr="009239AA">
        <w:rPr>
          <w:b/>
        </w:rPr>
        <w:t>:</w:t>
      </w:r>
      <w:r w:rsidR="00C14CC4" w:rsidRPr="009239AA">
        <w:rPr>
          <w:b/>
        </w:rPr>
        <w:t xml:space="preserve">  </w:t>
      </w:r>
    </w:p>
    <w:p w14:paraId="5E8C9BDB" w14:textId="77777777" w:rsidR="001B0AAA" w:rsidRDefault="001B0AAA"/>
    <w:p w14:paraId="796FE84F" w14:textId="77777777" w:rsidR="00BE5D91" w:rsidRDefault="00BE5D91" w:rsidP="00BE5D91">
      <w:r>
        <w:t xml:space="preserve">The NIH Office of Research Services (ORS) Division of International Services (DIS) conducts an annual evaluation survey of its Immigration Conference attendees. The electronic survey is hosted by NIH behind its firewall using a software tool, (SPSS) purchased and maintained by UNICOM.  </w:t>
      </w:r>
    </w:p>
    <w:p w14:paraId="55300D84" w14:textId="77777777" w:rsidR="00BE5D91" w:rsidRDefault="00BE5D91" w:rsidP="00BE5D91"/>
    <w:p w14:paraId="0829BF54" w14:textId="2F8373AB" w:rsidR="00131CD0" w:rsidRDefault="00BE5D91" w:rsidP="00BE5D91">
      <w:r>
        <w:t>The survey asks a series of questions about attendee perceptions of specific aspects of the conference.  Attendees are also asked to identify strengths and weaknesses of the conference.  Finally, attendees are asked to identify sessions they would like to see included in future conferences.  Results are compared to past survey data to gain insight into how our services are improving, or declining, over time.</w:t>
      </w:r>
    </w:p>
    <w:p w14:paraId="5B73B079" w14:textId="77777777" w:rsidR="00396B18" w:rsidRDefault="00396B18"/>
    <w:p w14:paraId="34E8F69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47FBE1" w14:textId="77777777" w:rsidR="00F15956" w:rsidRDefault="00F15956"/>
    <w:p w14:paraId="2C96D376" w14:textId="239069F0" w:rsidR="00C8488C" w:rsidRDefault="00BE5D91">
      <w:r>
        <w:t>Attendees include NIH employees and contractors in the following roles:  Administrative Officers, Administrative Technicians, Laboratory/Branch Managers, Laboratory/Branch Secretaries, Office Managers, Program Analysts, Program Specialists, and Program Support staff.</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108F1886" w:rsidR="00BE5D91" w:rsidRDefault="009C13B9" w:rsidP="00BE5D91">
      <w:r>
        <w:t>Name:</w:t>
      </w:r>
      <w:r w:rsidR="00A94B27">
        <w:tab/>
      </w:r>
      <w:r w:rsidR="00BE5D91">
        <w:t>Candelario Zapata</w:t>
      </w:r>
    </w:p>
    <w:p w14:paraId="44E0363C" w14:textId="77777777" w:rsidR="00BE5D91" w:rsidRDefault="00BE5D91" w:rsidP="00BE5D91">
      <w:r>
        <w:t>Director, Division of International Services</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6F863B5"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15E0D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268A2A94" w14:textId="77777777" w:rsidTr="009A036B">
        <w:trPr>
          <w:trHeight w:val="274"/>
        </w:trPr>
        <w:tc>
          <w:tcPr>
            <w:tcW w:w="2790" w:type="dxa"/>
          </w:tcPr>
          <w:p w14:paraId="4C60240C" w14:textId="77777777" w:rsidR="003668D6" w:rsidRPr="002D26E2" w:rsidRDefault="003668D6" w:rsidP="00C8488C">
            <w:pPr>
              <w:rPr>
                <w:b/>
              </w:rPr>
            </w:pPr>
            <w:r w:rsidRPr="002D26E2">
              <w:rPr>
                <w:b/>
              </w:rPr>
              <w:t xml:space="preserve">Category of Respondent </w:t>
            </w:r>
          </w:p>
        </w:tc>
        <w:tc>
          <w:tcPr>
            <w:tcW w:w="2250" w:type="dxa"/>
          </w:tcPr>
          <w:p w14:paraId="1F53CF2E" w14:textId="77777777" w:rsidR="003668D6" w:rsidRPr="002D26E2" w:rsidRDefault="003668D6" w:rsidP="00843796">
            <w:pPr>
              <w:rPr>
                <w:b/>
              </w:rPr>
            </w:pPr>
            <w:r w:rsidRPr="002D26E2">
              <w:rPr>
                <w:b/>
              </w:rPr>
              <w:t>No. of Respondents</w:t>
            </w:r>
          </w:p>
        </w:tc>
        <w:tc>
          <w:tcPr>
            <w:tcW w:w="2520" w:type="dxa"/>
          </w:tcPr>
          <w:p w14:paraId="6D3FE3FC" w14:textId="77777777" w:rsidR="003668D6" w:rsidRPr="002D26E2" w:rsidRDefault="003668D6" w:rsidP="00843796">
            <w:pPr>
              <w:rPr>
                <w:b/>
              </w:rPr>
            </w:pPr>
            <w:r>
              <w:rPr>
                <w:b/>
              </w:rPr>
              <w:t xml:space="preserve">No. of Responses per Respondent </w:t>
            </w:r>
          </w:p>
        </w:tc>
        <w:tc>
          <w:tcPr>
            <w:tcW w:w="1620" w:type="dxa"/>
          </w:tcPr>
          <w:p w14:paraId="471A374D" w14:textId="77777777" w:rsidR="003668D6" w:rsidRDefault="003668D6" w:rsidP="00843796">
            <w:pPr>
              <w:rPr>
                <w:b/>
              </w:rPr>
            </w:pPr>
            <w:r>
              <w:rPr>
                <w:b/>
              </w:rPr>
              <w:t xml:space="preserve">Time per </w:t>
            </w:r>
          </w:p>
          <w:p w14:paraId="53C86F72" w14:textId="77777777" w:rsidR="003668D6" w:rsidRDefault="003668D6" w:rsidP="00843796">
            <w:pPr>
              <w:rPr>
                <w:b/>
              </w:rPr>
            </w:pPr>
            <w:r>
              <w:rPr>
                <w:b/>
              </w:rPr>
              <w:t xml:space="preserve">Response </w:t>
            </w:r>
          </w:p>
          <w:p w14:paraId="4B684686" w14:textId="77777777" w:rsidR="003668D6" w:rsidRPr="002D26E2" w:rsidRDefault="003668D6" w:rsidP="00843796">
            <w:pPr>
              <w:rPr>
                <w:b/>
              </w:rPr>
            </w:pPr>
            <w:r>
              <w:rPr>
                <w:b/>
              </w:rPr>
              <w:t xml:space="preserve">(in hours) </w:t>
            </w:r>
          </w:p>
        </w:tc>
        <w:tc>
          <w:tcPr>
            <w:tcW w:w="1547" w:type="dxa"/>
          </w:tcPr>
          <w:p w14:paraId="7A6661E9" w14:textId="77777777" w:rsidR="003668D6" w:rsidRDefault="003668D6" w:rsidP="00843796">
            <w:pPr>
              <w:rPr>
                <w:b/>
              </w:rPr>
            </w:pPr>
            <w:r>
              <w:rPr>
                <w:b/>
              </w:rPr>
              <w:t xml:space="preserve">Total </w:t>
            </w:r>
            <w:r w:rsidRPr="002D26E2">
              <w:rPr>
                <w:b/>
              </w:rPr>
              <w:t>Burden</w:t>
            </w:r>
          </w:p>
          <w:p w14:paraId="44C722AD" w14:textId="77777777" w:rsidR="003668D6" w:rsidRPr="002D26E2" w:rsidRDefault="003668D6" w:rsidP="00843796">
            <w:pPr>
              <w:rPr>
                <w:b/>
              </w:rPr>
            </w:pPr>
            <w:r>
              <w:rPr>
                <w:b/>
              </w:rPr>
              <w:t xml:space="preserve">Hours </w:t>
            </w:r>
          </w:p>
        </w:tc>
      </w:tr>
      <w:tr w:rsidR="003668D6" w14:paraId="5C024DD3" w14:textId="77777777" w:rsidTr="00721565">
        <w:trPr>
          <w:trHeight w:val="260"/>
        </w:trPr>
        <w:tc>
          <w:tcPr>
            <w:tcW w:w="2790" w:type="dxa"/>
          </w:tcPr>
          <w:p w14:paraId="1D90408A" w14:textId="417A82EA" w:rsidR="003668D6" w:rsidRDefault="00BE5D91" w:rsidP="006C3BAC">
            <w:r>
              <w:t xml:space="preserve">Individuals </w:t>
            </w:r>
            <w:r w:rsidRPr="00D61E00">
              <w:rPr>
                <w:b/>
              </w:rPr>
              <w:t>(Federal Government Contractors)</w:t>
            </w:r>
            <w:r w:rsidRPr="00D61E00">
              <w:t xml:space="preserve"> </w:t>
            </w:r>
            <w:r>
              <w:t>attending DIS Immigration Conference</w:t>
            </w:r>
          </w:p>
        </w:tc>
        <w:tc>
          <w:tcPr>
            <w:tcW w:w="2250" w:type="dxa"/>
            <w:vAlign w:val="center"/>
          </w:tcPr>
          <w:p w14:paraId="4208C0A1" w14:textId="33C78B8B" w:rsidR="003668D6" w:rsidRPr="00721565" w:rsidRDefault="00393C18" w:rsidP="001F0670">
            <w:pPr>
              <w:jc w:val="center"/>
              <w:rPr>
                <w:color w:val="FF0000"/>
              </w:rPr>
            </w:pPr>
            <w:r>
              <w:t>50</w:t>
            </w:r>
          </w:p>
        </w:tc>
        <w:tc>
          <w:tcPr>
            <w:tcW w:w="2520" w:type="dxa"/>
            <w:vAlign w:val="center"/>
          </w:tcPr>
          <w:p w14:paraId="64D2B9CD" w14:textId="36AA4822" w:rsidR="003668D6" w:rsidRDefault="001B0047" w:rsidP="00721565">
            <w:pPr>
              <w:jc w:val="center"/>
            </w:pPr>
            <w:r>
              <w:t>1</w:t>
            </w:r>
          </w:p>
        </w:tc>
        <w:tc>
          <w:tcPr>
            <w:tcW w:w="1620" w:type="dxa"/>
            <w:vAlign w:val="center"/>
          </w:tcPr>
          <w:p w14:paraId="032EDB19" w14:textId="424B7584" w:rsidR="003668D6" w:rsidRDefault="00F579C7" w:rsidP="00721565">
            <w:pPr>
              <w:jc w:val="center"/>
            </w:pPr>
            <w:r>
              <w:t>5/60</w:t>
            </w:r>
          </w:p>
        </w:tc>
        <w:tc>
          <w:tcPr>
            <w:tcW w:w="1547" w:type="dxa"/>
            <w:vAlign w:val="center"/>
          </w:tcPr>
          <w:p w14:paraId="3797F798" w14:textId="09412ADE" w:rsidR="003668D6" w:rsidRPr="00721565" w:rsidRDefault="00393C18" w:rsidP="001F0670">
            <w:pPr>
              <w:jc w:val="center"/>
              <w:rPr>
                <w:color w:val="FF0000"/>
              </w:rPr>
            </w:pPr>
            <w:r w:rsidRPr="00393C18">
              <w:t>4</w:t>
            </w:r>
          </w:p>
        </w:tc>
      </w:tr>
      <w:tr w:rsidR="003668D6" w14:paraId="42273E88" w14:textId="77777777" w:rsidTr="00721565">
        <w:trPr>
          <w:trHeight w:val="377"/>
        </w:trPr>
        <w:tc>
          <w:tcPr>
            <w:tcW w:w="2790" w:type="dxa"/>
          </w:tcPr>
          <w:p w14:paraId="5F706CB2" w14:textId="2AED82FC" w:rsidR="003668D6" w:rsidRDefault="003668D6" w:rsidP="00843796"/>
        </w:tc>
        <w:tc>
          <w:tcPr>
            <w:tcW w:w="2250" w:type="dxa"/>
          </w:tcPr>
          <w:p w14:paraId="7706C8B8" w14:textId="77777777" w:rsidR="003668D6" w:rsidRDefault="003668D6" w:rsidP="00843796"/>
        </w:tc>
        <w:tc>
          <w:tcPr>
            <w:tcW w:w="2520" w:type="dxa"/>
          </w:tcPr>
          <w:p w14:paraId="5A4F35CD" w14:textId="77777777" w:rsidR="003668D6" w:rsidRDefault="003668D6" w:rsidP="00843796"/>
        </w:tc>
        <w:tc>
          <w:tcPr>
            <w:tcW w:w="1620" w:type="dxa"/>
          </w:tcPr>
          <w:p w14:paraId="2BCFD629" w14:textId="77777777" w:rsidR="003668D6" w:rsidRDefault="003668D6" w:rsidP="00843796"/>
        </w:tc>
        <w:tc>
          <w:tcPr>
            <w:tcW w:w="1547" w:type="dxa"/>
          </w:tcPr>
          <w:p w14:paraId="5F57B0D2" w14:textId="77777777" w:rsidR="003668D6" w:rsidRDefault="003668D6" w:rsidP="00843796"/>
        </w:tc>
      </w:tr>
      <w:tr w:rsidR="003668D6" w14:paraId="1DF09642" w14:textId="77777777" w:rsidTr="00721565">
        <w:trPr>
          <w:trHeight w:val="289"/>
        </w:trPr>
        <w:tc>
          <w:tcPr>
            <w:tcW w:w="2790" w:type="dxa"/>
          </w:tcPr>
          <w:p w14:paraId="7696C3DD" w14:textId="77777777" w:rsidR="003668D6" w:rsidRPr="002D26E2" w:rsidRDefault="003668D6" w:rsidP="00843796">
            <w:pPr>
              <w:rPr>
                <w:b/>
              </w:rPr>
            </w:pPr>
            <w:r w:rsidRPr="002D26E2">
              <w:rPr>
                <w:b/>
              </w:rPr>
              <w:t>Totals</w:t>
            </w:r>
          </w:p>
        </w:tc>
        <w:tc>
          <w:tcPr>
            <w:tcW w:w="2250" w:type="dxa"/>
          </w:tcPr>
          <w:p w14:paraId="10E4FB09" w14:textId="68E9F796" w:rsidR="003668D6" w:rsidRPr="002D26E2" w:rsidRDefault="00393C18" w:rsidP="00393C18">
            <w:pPr>
              <w:jc w:val="center"/>
              <w:rPr>
                <w:b/>
              </w:rPr>
            </w:pPr>
            <w:r>
              <w:rPr>
                <w:b/>
              </w:rPr>
              <w:t>50</w:t>
            </w:r>
          </w:p>
        </w:tc>
        <w:tc>
          <w:tcPr>
            <w:tcW w:w="2520" w:type="dxa"/>
            <w:vAlign w:val="center"/>
          </w:tcPr>
          <w:p w14:paraId="3B7F4496" w14:textId="7E3C3512" w:rsidR="003668D6" w:rsidRPr="00721565" w:rsidRDefault="00393C18" w:rsidP="001F0670">
            <w:pPr>
              <w:jc w:val="center"/>
            </w:pPr>
            <w:r>
              <w:t>1</w:t>
            </w:r>
          </w:p>
        </w:tc>
        <w:tc>
          <w:tcPr>
            <w:tcW w:w="1620" w:type="dxa"/>
            <w:vAlign w:val="center"/>
          </w:tcPr>
          <w:p w14:paraId="1C7710CD" w14:textId="66CCFE87" w:rsidR="003668D6" w:rsidRPr="00721565" w:rsidRDefault="00393C18" w:rsidP="00721565">
            <w:pPr>
              <w:jc w:val="center"/>
            </w:pPr>
            <w:r>
              <w:t>5/60</w:t>
            </w:r>
          </w:p>
        </w:tc>
        <w:tc>
          <w:tcPr>
            <w:tcW w:w="1547" w:type="dxa"/>
            <w:vAlign w:val="center"/>
          </w:tcPr>
          <w:p w14:paraId="1ECC47F0" w14:textId="437A08D8" w:rsidR="003668D6" w:rsidRPr="00721565" w:rsidRDefault="00393C18" w:rsidP="001F0670">
            <w:pPr>
              <w:jc w:val="center"/>
            </w:pPr>
            <w:r>
              <w:t>4</w:t>
            </w:r>
          </w:p>
        </w:tc>
      </w:tr>
    </w:tbl>
    <w:p w14:paraId="31C1342D" w14:textId="77777777" w:rsidR="00F3170F" w:rsidRDefault="00F3170F" w:rsidP="00F3170F"/>
    <w:p w14:paraId="5BFB5FCA"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8AF2B7D" w14:textId="77777777" w:rsidTr="00CA2010">
        <w:trPr>
          <w:trHeight w:val="274"/>
        </w:trPr>
        <w:tc>
          <w:tcPr>
            <w:tcW w:w="2790" w:type="dxa"/>
          </w:tcPr>
          <w:p w14:paraId="5596A01F" w14:textId="77777777" w:rsidR="00CA2010" w:rsidRPr="009A036B" w:rsidRDefault="00CA2010" w:rsidP="00CA2010">
            <w:pPr>
              <w:rPr>
                <w:b/>
              </w:rPr>
            </w:pPr>
            <w:r w:rsidRPr="009A036B">
              <w:rPr>
                <w:b/>
              </w:rPr>
              <w:t xml:space="preserve"> </w:t>
            </w:r>
            <w:r w:rsidRPr="00CA2010">
              <w:rPr>
                <w:b/>
              </w:rPr>
              <w:t>Category of Respondent</w:t>
            </w:r>
          </w:p>
          <w:p w14:paraId="0E89BA01" w14:textId="77777777" w:rsidR="00CA2010" w:rsidRPr="009A036B" w:rsidRDefault="00CA2010" w:rsidP="00CA2010">
            <w:pPr>
              <w:rPr>
                <w:b/>
              </w:rPr>
            </w:pPr>
          </w:p>
        </w:tc>
        <w:tc>
          <w:tcPr>
            <w:tcW w:w="2250" w:type="dxa"/>
          </w:tcPr>
          <w:p w14:paraId="54B16BB0" w14:textId="77777777" w:rsidR="00CA2010" w:rsidRPr="00CA2010" w:rsidRDefault="00CA2010" w:rsidP="00CA2010">
            <w:pPr>
              <w:rPr>
                <w:b/>
              </w:rPr>
            </w:pPr>
            <w:r w:rsidRPr="00CA2010">
              <w:rPr>
                <w:b/>
              </w:rPr>
              <w:t>Total Burden</w:t>
            </w:r>
          </w:p>
          <w:p w14:paraId="357D2909" w14:textId="77777777" w:rsidR="00CA2010" w:rsidRPr="009A036B" w:rsidRDefault="00CA2010" w:rsidP="00CA2010">
            <w:pPr>
              <w:rPr>
                <w:b/>
              </w:rPr>
            </w:pPr>
            <w:r w:rsidRPr="00CA2010">
              <w:rPr>
                <w:b/>
              </w:rPr>
              <w:t>Hours</w:t>
            </w:r>
          </w:p>
        </w:tc>
        <w:tc>
          <w:tcPr>
            <w:tcW w:w="2520" w:type="dxa"/>
          </w:tcPr>
          <w:p w14:paraId="1D9C1FE7" w14:textId="77777777" w:rsidR="00CA2010" w:rsidRPr="009A036B" w:rsidRDefault="00F94D8C" w:rsidP="009A036B">
            <w:pPr>
              <w:rPr>
                <w:b/>
              </w:rPr>
            </w:pPr>
            <w:r>
              <w:rPr>
                <w:b/>
              </w:rPr>
              <w:t xml:space="preserve">Hourly </w:t>
            </w:r>
            <w:r w:rsidR="00CA2010">
              <w:rPr>
                <w:b/>
              </w:rPr>
              <w:t>Wage Rate*</w:t>
            </w:r>
          </w:p>
        </w:tc>
        <w:tc>
          <w:tcPr>
            <w:tcW w:w="1620" w:type="dxa"/>
          </w:tcPr>
          <w:p w14:paraId="0980AE66" w14:textId="77777777" w:rsidR="00CA2010" w:rsidRPr="009A036B" w:rsidRDefault="00CA2010" w:rsidP="009A036B">
            <w:pPr>
              <w:rPr>
                <w:b/>
              </w:rPr>
            </w:pPr>
            <w:r>
              <w:rPr>
                <w:b/>
              </w:rPr>
              <w:t>Total Burden Cost</w:t>
            </w:r>
            <w:r w:rsidRPr="009A036B">
              <w:rPr>
                <w:b/>
              </w:rPr>
              <w:t xml:space="preserve"> </w:t>
            </w:r>
          </w:p>
        </w:tc>
      </w:tr>
      <w:tr w:rsidR="00CA2010" w:rsidRPr="009A036B" w14:paraId="7B92CB72" w14:textId="77777777" w:rsidTr="00443BF0">
        <w:trPr>
          <w:trHeight w:val="260"/>
        </w:trPr>
        <w:tc>
          <w:tcPr>
            <w:tcW w:w="2790" w:type="dxa"/>
          </w:tcPr>
          <w:p w14:paraId="6324293C" w14:textId="5ACBA894" w:rsidR="00CA2010" w:rsidRPr="009A036B" w:rsidRDefault="00BE5D91" w:rsidP="006C3BAC">
            <w:r>
              <w:t xml:space="preserve">Individuals </w:t>
            </w:r>
            <w:r w:rsidRPr="00D61E00">
              <w:rPr>
                <w:b/>
              </w:rPr>
              <w:t>(Federal Government Contractors)</w:t>
            </w:r>
            <w:r>
              <w:t xml:space="preserve"> attending DIS Immigration Conference</w:t>
            </w:r>
          </w:p>
        </w:tc>
        <w:tc>
          <w:tcPr>
            <w:tcW w:w="2250" w:type="dxa"/>
            <w:vAlign w:val="center"/>
          </w:tcPr>
          <w:p w14:paraId="7D4EBFEE" w14:textId="3BB2216F" w:rsidR="00CA2010" w:rsidRPr="00721565" w:rsidRDefault="00393C18" w:rsidP="001F0670">
            <w:pPr>
              <w:jc w:val="center"/>
              <w:rPr>
                <w:color w:val="FF0000"/>
              </w:rPr>
            </w:pPr>
            <w:r w:rsidRPr="00393C18">
              <w:t>4</w:t>
            </w:r>
          </w:p>
        </w:tc>
        <w:tc>
          <w:tcPr>
            <w:tcW w:w="2520" w:type="dxa"/>
            <w:vAlign w:val="center"/>
          </w:tcPr>
          <w:p w14:paraId="51260532" w14:textId="33ADCDBD" w:rsidR="00CA2010" w:rsidRPr="00443BF0" w:rsidRDefault="00393C18" w:rsidP="00443BF0">
            <w:pPr>
              <w:jc w:val="center"/>
              <w:rPr>
                <w:color w:val="FF0000"/>
              </w:rPr>
            </w:pPr>
            <w:r w:rsidRPr="00340463">
              <w:rPr>
                <w:rFonts w:ascii="Tahoma" w:hAnsi="Tahoma" w:cs="Tahoma"/>
                <w:sz w:val="20"/>
                <w:szCs w:val="20"/>
              </w:rPr>
              <w:t>$54.06</w:t>
            </w:r>
          </w:p>
        </w:tc>
        <w:tc>
          <w:tcPr>
            <w:tcW w:w="1620" w:type="dxa"/>
            <w:vAlign w:val="center"/>
          </w:tcPr>
          <w:p w14:paraId="3AA23332" w14:textId="6BF056BB" w:rsidR="00CA2010" w:rsidRPr="00443BF0" w:rsidRDefault="00393C18" w:rsidP="00E47DE1">
            <w:pPr>
              <w:jc w:val="center"/>
              <w:rPr>
                <w:color w:val="FF0000"/>
              </w:rPr>
            </w:pPr>
            <w:r w:rsidRPr="00393C18">
              <w:t>$225.25</w:t>
            </w:r>
          </w:p>
        </w:tc>
      </w:tr>
      <w:tr w:rsidR="00CA2010" w:rsidRPr="009A036B" w14:paraId="26D13EA1" w14:textId="77777777" w:rsidTr="00CA2010">
        <w:trPr>
          <w:trHeight w:val="274"/>
        </w:trPr>
        <w:tc>
          <w:tcPr>
            <w:tcW w:w="2790" w:type="dxa"/>
          </w:tcPr>
          <w:p w14:paraId="4993BCCA" w14:textId="77777777" w:rsidR="00CA2010" w:rsidRPr="009A036B" w:rsidRDefault="00CA2010" w:rsidP="009A036B"/>
        </w:tc>
        <w:tc>
          <w:tcPr>
            <w:tcW w:w="2250" w:type="dxa"/>
          </w:tcPr>
          <w:p w14:paraId="43BE6C45" w14:textId="77777777" w:rsidR="00CA2010" w:rsidRPr="009A036B" w:rsidRDefault="00CA2010" w:rsidP="009A036B"/>
        </w:tc>
        <w:tc>
          <w:tcPr>
            <w:tcW w:w="2520" w:type="dxa"/>
          </w:tcPr>
          <w:p w14:paraId="7B4C7991" w14:textId="77777777" w:rsidR="00CA2010" w:rsidRPr="009A036B" w:rsidRDefault="00CA2010" w:rsidP="009A036B"/>
        </w:tc>
        <w:tc>
          <w:tcPr>
            <w:tcW w:w="1620" w:type="dxa"/>
          </w:tcPr>
          <w:p w14:paraId="3FE09C19" w14:textId="77777777" w:rsidR="00CA2010" w:rsidRPr="009A036B" w:rsidRDefault="00CA2010" w:rsidP="009A036B"/>
        </w:tc>
      </w:tr>
      <w:tr w:rsidR="00CA2010" w:rsidRPr="009A036B" w14:paraId="7E901F58" w14:textId="77777777" w:rsidTr="00CA2010">
        <w:trPr>
          <w:trHeight w:val="289"/>
        </w:trPr>
        <w:tc>
          <w:tcPr>
            <w:tcW w:w="2790" w:type="dxa"/>
          </w:tcPr>
          <w:p w14:paraId="445C6E45" w14:textId="77777777" w:rsidR="00CA2010" w:rsidRPr="009A036B" w:rsidRDefault="00CA2010" w:rsidP="009A036B">
            <w:pPr>
              <w:rPr>
                <w:b/>
              </w:rPr>
            </w:pPr>
            <w:r w:rsidRPr="009A036B">
              <w:rPr>
                <w:b/>
              </w:rPr>
              <w:t>Totals</w:t>
            </w:r>
          </w:p>
        </w:tc>
        <w:tc>
          <w:tcPr>
            <w:tcW w:w="2250" w:type="dxa"/>
          </w:tcPr>
          <w:p w14:paraId="28FF275B" w14:textId="614D7F25" w:rsidR="00CA2010" w:rsidRPr="009A036B" w:rsidRDefault="00393C18" w:rsidP="00393C18">
            <w:pPr>
              <w:jc w:val="center"/>
              <w:rPr>
                <w:b/>
              </w:rPr>
            </w:pPr>
            <w:r>
              <w:rPr>
                <w:b/>
              </w:rPr>
              <w:t>4</w:t>
            </w:r>
          </w:p>
        </w:tc>
        <w:tc>
          <w:tcPr>
            <w:tcW w:w="2520" w:type="dxa"/>
          </w:tcPr>
          <w:p w14:paraId="5F95A32D" w14:textId="683E343A" w:rsidR="00CA2010" w:rsidRPr="009A036B" w:rsidRDefault="00393C18" w:rsidP="00393C18">
            <w:pPr>
              <w:jc w:val="center"/>
            </w:pPr>
            <w:r w:rsidRPr="00340463">
              <w:rPr>
                <w:rFonts w:ascii="Tahoma" w:hAnsi="Tahoma" w:cs="Tahoma"/>
                <w:sz w:val="20"/>
                <w:szCs w:val="20"/>
              </w:rPr>
              <w:t>$54.06</w:t>
            </w:r>
          </w:p>
        </w:tc>
        <w:tc>
          <w:tcPr>
            <w:tcW w:w="1620" w:type="dxa"/>
          </w:tcPr>
          <w:p w14:paraId="0AA1DC61" w14:textId="7EE42E19" w:rsidR="00CA2010" w:rsidRPr="009A036B" w:rsidRDefault="00393C18" w:rsidP="00E47DE1">
            <w:pPr>
              <w:jc w:val="center"/>
            </w:pPr>
            <w:r w:rsidRPr="00393C18">
              <w:t>$225.25</w:t>
            </w:r>
          </w:p>
        </w:tc>
      </w:tr>
    </w:tbl>
    <w:p w14:paraId="7A0F7651" w14:textId="77777777" w:rsidR="009A036B" w:rsidRPr="009A036B" w:rsidRDefault="009A036B" w:rsidP="009A036B"/>
    <w:p w14:paraId="68117172" w14:textId="52684F30" w:rsidR="00393C18" w:rsidRDefault="00393C18" w:rsidP="00393C18">
      <w:r w:rsidRPr="00340463">
        <w:t xml:space="preserve">* </w:t>
      </w:r>
      <w:hyperlink r:id="rId8" w:anchor="st" w:history="1">
        <w:r w:rsidRPr="00984223">
          <w:rPr>
            <w:rStyle w:val="Hyperlink"/>
          </w:rPr>
          <w:t>https://www.bls.gov/oes/current/oes113011.htm#st</w:t>
        </w:r>
      </w:hyperlink>
    </w:p>
    <w:p w14:paraId="003A07F2" w14:textId="77777777" w:rsidR="00393C18" w:rsidRDefault="00393C18" w:rsidP="00393C18"/>
    <w:p w14:paraId="4D4F871C" w14:textId="70986997" w:rsidR="00393C18" w:rsidRDefault="00393C18" w:rsidP="00393C18">
      <w:r>
        <w:t>Rate for Administrative Managers under the multi-award Kelly Services Contract, which provides staffing services NIH wide.  This is an appropriate labor category for the level of contract staff that will be asked to respond to this survey.  Some respondents will be in a higher category and some in a lower category, but this would serve as the average labor category for contract staff that we would ask to respond to this survey.</w:t>
      </w:r>
    </w:p>
    <w:p w14:paraId="1C75DEE4" w14:textId="77777777" w:rsidR="00393C18" w:rsidRDefault="00393C18">
      <w:pPr>
        <w:rPr>
          <w:b/>
        </w:rPr>
      </w:pPr>
      <w:r>
        <w:rPr>
          <w:b/>
        </w:rPr>
        <w:br w:type="page"/>
      </w:r>
    </w:p>
    <w:p w14:paraId="21BE1937" w14:textId="7DCC0CF9" w:rsidR="005E714A" w:rsidRPr="009106FF" w:rsidRDefault="001C39F7" w:rsidP="00393C18">
      <w:pPr>
        <w:rPr>
          <w:b/>
        </w:rPr>
      </w:pPr>
      <w:r w:rsidRPr="009106FF">
        <w:rPr>
          <w:b/>
        </w:rPr>
        <w:lastRenderedPageBreak/>
        <w:t xml:space="preserve">FEDERAL </w:t>
      </w:r>
      <w:r w:rsidR="009F5923" w:rsidRPr="009106FF">
        <w:rPr>
          <w:b/>
        </w:rPr>
        <w:t>COST</w:t>
      </w:r>
      <w:r w:rsidR="00F06866" w:rsidRPr="009106FF">
        <w:rPr>
          <w:b/>
        </w:rPr>
        <w:t>:</w:t>
      </w:r>
      <w:r w:rsidR="00895229" w:rsidRPr="009106FF">
        <w:rPr>
          <w:b/>
        </w:rPr>
        <w:t xml:space="preserve"> </w:t>
      </w:r>
      <w:r w:rsidR="00C86E91" w:rsidRPr="009106FF">
        <w:rPr>
          <w:b/>
        </w:rPr>
        <w:t xml:space="preserve"> </w:t>
      </w:r>
      <w:r w:rsidR="00C86E91" w:rsidRPr="009106FF">
        <w:t>The estimated annual cost</w:t>
      </w:r>
      <w:r w:rsidR="00EE371E" w:rsidRPr="009106FF">
        <w:t xml:space="preserve"> to the Federal government is </w:t>
      </w:r>
      <w:r w:rsidR="00C95A4C">
        <w:t>$2,140.58</w:t>
      </w:r>
    </w:p>
    <w:p w14:paraId="14DA0662" w14:textId="77777777" w:rsidR="009A036B" w:rsidRPr="009A036B" w:rsidRDefault="009A036B" w:rsidP="009A036B">
      <w:r>
        <w:rPr>
          <w:b/>
        </w:rPr>
        <w:t xml:space="preserve">                         </w:t>
      </w:r>
    </w:p>
    <w:p w14:paraId="0B33A84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570733" w14:textId="77777777" w:rsidTr="005F10E5">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CC95D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E9D73AE" w14:textId="77777777" w:rsidR="009A036B" w:rsidRPr="009A036B" w:rsidRDefault="009A036B" w:rsidP="009A036B">
            <w:pPr>
              <w:rPr>
                <w:b/>
                <w:bCs/>
              </w:rPr>
            </w:pPr>
          </w:p>
          <w:p w14:paraId="596BCFD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11986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10F98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441231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1EBA648" w14:textId="77777777" w:rsidR="009A036B" w:rsidRPr="009A036B" w:rsidRDefault="009A036B" w:rsidP="009A036B">
            <w:pPr>
              <w:rPr>
                <w:b/>
                <w:bCs/>
              </w:rPr>
            </w:pPr>
            <w:r w:rsidRPr="009A036B">
              <w:rPr>
                <w:b/>
                <w:bCs/>
              </w:rPr>
              <w:t>Total Cost to Gov’t</w:t>
            </w:r>
          </w:p>
        </w:tc>
      </w:tr>
      <w:tr w:rsidR="00EB7661" w:rsidRPr="009A036B" w14:paraId="3E93E190"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BC10B6" w14:textId="3F133069" w:rsidR="00EB7661" w:rsidRPr="009A036B" w:rsidRDefault="00EB7661" w:rsidP="00EB7661">
            <w:pPr>
              <w:rPr>
                <w:b/>
              </w:rPr>
            </w:pPr>
            <w:r w:rsidRPr="009A036B">
              <w:rPr>
                <w:b/>
              </w:rPr>
              <w:t>Federal Oversight</w:t>
            </w:r>
          </w:p>
        </w:tc>
        <w:tc>
          <w:tcPr>
            <w:tcW w:w="1440" w:type="dxa"/>
            <w:tcBorders>
              <w:top w:val="single" w:sz="8" w:space="0" w:color="auto"/>
              <w:left w:val="nil"/>
              <w:bottom w:val="single" w:sz="8" w:space="0" w:color="auto"/>
              <w:right w:val="single" w:sz="8" w:space="0" w:color="auto"/>
            </w:tcBorders>
            <w:shd w:val="pct25" w:color="auto" w:fill="auto"/>
          </w:tcPr>
          <w:p w14:paraId="52D9E025" w14:textId="77777777" w:rsidR="00EB7661" w:rsidRPr="009A036B" w:rsidRDefault="00EB7661" w:rsidP="00EB7661"/>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B78D6F8"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35DB8E4F"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tcPr>
          <w:p w14:paraId="42EF389A"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tcPr>
          <w:p w14:paraId="6E5B45DB" w14:textId="77777777" w:rsidR="00EB7661" w:rsidRPr="009A036B" w:rsidRDefault="00EB7661" w:rsidP="00EB7661"/>
        </w:tc>
      </w:tr>
      <w:tr w:rsidR="00EB7661" w:rsidRPr="009A036B" w14:paraId="05A5E5CA"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4126A8" w14:textId="319858B7" w:rsidR="00EB7661" w:rsidRPr="009A036B" w:rsidRDefault="00EB7661" w:rsidP="00EB7661">
            <w:r>
              <w:t>Industrial Psychologist</w:t>
            </w:r>
          </w:p>
        </w:tc>
        <w:tc>
          <w:tcPr>
            <w:tcW w:w="1440" w:type="dxa"/>
            <w:tcBorders>
              <w:top w:val="nil"/>
              <w:left w:val="nil"/>
              <w:bottom w:val="single" w:sz="8" w:space="0" w:color="auto"/>
              <w:right w:val="single" w:sz="8" w:space="0" w:color="auto"/>
            </w:tcBorders>
          </w:tcPr>
          <w:p w14:paraId="4074D09A" w14:textId="00F66C88" w:rsidR="00EB7661" w:rsidRPr="009A036B" w:rsidRDefault="00EB7661" w:rsidP="00EB7661">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73680E" w14:textId="21002FAF" w:rsidR="00EB7661" w:rsidRPr="009A036B" w:rsidRDefault="00EB7661" w:rsidP="00EB7661">
            <w:pPr>
              <w:jc w:val="center"/>
            </w:pPr>
            <w: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6BBF32" w14:textId="5F1A1339" w:rsidR="00EB7661" w:rsidRPr="009A036B" w:rsidRDefault="00EB7661" w:rsidP="00EB7661">
            <w:pPr>
              <w:jc w:val="center"/>
            </w:pPr>
            <w:r>
              <w:t>.005</w:t>
            </w:r>
          </w:p>
        </w:tc>
        <w:tc>
          <w:tcPr>
            <w:tcW w:w="1363" w:type="dxa"/>
            <w:tcBorders>
              <w:top w:val="nil"/>
              <w:left w:val="nil"/>
              <w:bottom w:val="single" w:sz="8" w:space="0" w:color="auto"/>
              <w:right w:val="single" w:sz="8" w:space="0" w:color="auto"/>
            </w:tcBorders>
            <w:shd w:val="clear" w:color="auto" w:fill="BFBFBF"/>
          </w:tcPr>
          <w:p w14:paraId="0A92C067" w14:textId="77777777" w:rsidR="00EB7661" w:rsidRPr="009A036B" w:rsidRDefault="00EB7661" w:rsidP="00EB7661"/>
        </w:tc>
        <w:tc>
          <w:tcPr>
            <w:tcW w:w="1363" w:type="dxa"/>
            <w:tcBorders>
              <w:top w:val="nil"/>
              <w:left w:val="nil"/>
              <w:bottom w:val="single" w:sz="8" w:space="0" w:color="auto"/>
              <w:right w:val="single" w:sz="8" w:space="0" w:color="auto"/>
            </w:tcBorders>
          </w:tcPr>
          <w:p w14:paraId="3AEBDDB9" w14:textId="36DEBFD4" w:rsidR="00EB7661" w:rsidRPr="009A036B" w:rsidRDefault="00EB7661" w:rsidP="00EB7661">
            <w:pPr>
              <w:jc w:val="center"/>
            </w:pPr>
            <w:r>
              <w:t>$537.18</w:t>
            </w:r>
          </w:p>
        </w:tc>
      </w:tr>
      <w:tr w:rsidR="00393C18" w:rsidRPr="009A036B" w14:paraId="0F68BE66"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D3938" w14:textId="32BA71B5" w:rsidR="00393C18" w:rsidRPr="009A036B" w:rsidRDefault="00393C18" w:rsidP="00393C18">
            <w:r w:rsidRPr="00C8131A">
              <w:t>DIS Policy Analyst</w:t>
            </w:r>
          </w:p>
        </w:tc>
        <w:tc>
          <w:tcPr>
            <w:tcW w:w="1440" w:type="dxa"/>
            <w:tcBorders>
              <w:top w:val="nil"/>
              <w:left w:val="nil"/>
              <w:bottom w:val="single" w:sz="8" w:space="0" w:color="auto"/>
              <w:right w:val="single" w:sz="8" w:space="0" w:color="auto"/>
            </w:tcBorders>
          </w:tcPr>
          <w:p w14:paraId="2138F416" w14:textId="30D0827F" w:rsidR="00393C18" w:rsidRPr="003E0EA5" w:rsidRDefault="00393C18" w:rsidP="00393C18">
            <w:pPr>
              <w:jc w:val="center"/>
            </w:pPr>
            <w:r w:rsidRPr="00C8131A">
              <w:t>13/3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8A232" w14:textId="6F0BC376" w:rsidR="00393C18" w:rsidRPr="003E0EA5" w:rsidRDefault="00393C18" w:rsidP="00393C18">
            <w:pPr>
              <w:jc w:val="center"/>
            </w:pPr>
            <w:r w:rsidRPr="00C8131A">
              <w:t>$98,289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732676" w14:textId="5C93929E" w:rsidR="00393C18" w:rsidRPr="003E0EA5" w:rsidRDefault="00393C18" w:rsidP="00393C18">
            <w:pPr>
              <w:jc w:val="center"/>
            </w:pPr>
            <w:r w:rsidRPr="00C8131A">
              <w:t>.004</w:t>
            </w:r>
          </w:p>
        </w:tc>
        <w:tc>
          <w:tcPr>
            <w:tcW w:w="1363" w:type="dxa"/>
            <w:tcBorders>
              <w:top w:val="nil"/>
              <w:left w:val="nil"/>
              <w:bottom w:val="single" w:sz="8" w:space="0" w:color="auto"/>
              <w:right w:val="single" w:sz="8" w:space="0" w:color="auto"/>
            </w:tcBorders>
            <w:shd w:val="clear" w:color="auto" w:fill="BFBFBF"/>
          </w:tcPr>
          <w:p w14:paraId="459775F4" w14:textId="77777777" w:rsidR="00393C18" w:rsidRPr="009A036B" w:rsidRDefault="00393C18" w:rsidP="00393C18"/>
        </w:tc>
        <w:tc>
          <w:tcPr>
            <w:tcW w:w="1363" w:type="dxa"/>
            <w:tcBorders>
              <w:top w:val="nil"/>
              <w:left w:val="nil"/>
              <w:bottom w:val="single" w:sz="8" w:space="0" w:color="auto"/>
              <w:right w:val="single" w:sz="8" w:space="0" w:color="auto"/>
            </w:tcBorders>
          </w:tcPr>
          <w:p w14:paraId="5E94D97F" w14:textId="246C9237" w:rsidR="00393C18" w:rsidRPr="009A036B" w:rsidRDefault="00393C18" w:rsidP="00393C18">
            <w:pPr>
              <w:jc w:val="center"/>
            </w:pPr>
            <w:r w:rsidRPr="00C8131A">
              <w:t>$393.16</w:t>
            </w:r>
          </w:p>
        </w:tc>
      </w:tr>
      <w:tr w:rsidR="002368E4" w:rsidRPr="009A036B" w14:paraId="6ADCECFA" w14:textId="77777777" w:rsidTr="002368E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BC4EBA8" w14:textId="387C3100" w:rsidR="002368E4" w:rsidRPr="009A036B" w:rsidRDefault="002368E4" w:rsidP="002368E4">
            <w:pPr>
              <w:rPr>
                <w:b/>
              </w:rPr>
            </w:pPr>
            <w:r>
              <w:rPr>
                <w:b/>
              </w:rPr>
              <w:t>Contractor Oversight</w:t>
            </w:r>
          </w:p>
        </w:tc>
        <w:tc>
          <w:tcPr>
            <w:tcW w:w="1440" w:type="dxa"/>
            <w:tcBorders>
              <w:top w:val="single" w:sz="8" w:space="0" w:color="auto"/>
              <w:left w:val="nil"/>
              <w:bottom w:val="single" w:sz="8" w:space="0" w:color="auto"/>
              <w:right w:val="single" w:sz="8" w:space="0" w:color="auto"/>
            </w:tcBorders>
            <w:shd w:val="pct25" w:color="auto" w:fill="auto"/>
          </w:tcPr>
          <w:p w14:paraId="6C913A42" w14:textId="77777777" w:rsidR="002368E4" w:rsidRPr="009A036B" w:rsidRDefault="002368E4" w:rsidP="002368E4"/>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A74F8F4" w14:textId="77777777" w:rsidR="002368E4" w:rsidRPr="009A036B" w:rsidRDefault="002368E4" w:rsidP="002368E4"/>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47F6F9A" w14:textId="77777777" w:rsidR="002368E4" w:rsidRPr="009A036B" w:rsidRDefault="002368E4" w:rsidP="002368E4"/>
        </w:tc>
        <w:tc>
          <w:tcPr>
            <w:tcW w:w="1363" w:type="dxa"/>
            <w:tcBorders>
              <w:top w:val="single" w:sz="8" w:space="0" w:color="auto"/>
              <w:left w:val="nil"/>
              <w:bottom w:val="single" w:sz="8" w:space="0" w:color="auto"/>
              <w:right w:val="single" w:sz="8" w:space="0" w:color="auto"/>
            </w:tcBorders>
            <w:shd w:val="pct25" w:color="auto" w:fill="auto"/>
          </w:tcPr>
          <w:p w14:paraId="77E91AF1" w14:textId="77777777" w:rsidR="002368E4" w:rsidRPr="009A036B" w:rsidRDefault="002368E4" w:rsidP="002368E4"/>
        </w:tc>
        <w:tc>
          <w:tcPr>
            <w:tcW w:w="1363" w:type="dxa"/>
            <w:tcBorders>
              <w:top w:val="single" w:sz="8" w:space="0" w:color="auto"/>
              <w:left w:val="nil"/>
              <w:bottom w:val="single" w:sz="8" w:space="0" w:color="auto"/>
              <w:right w:val="single" w:sz="8" w:space="0" w:color="auto"/>
            </w:tcBorders>
            <w:shd w:val="pct25" w:color="auto" w:fill="auto"/>
          </w:tcPr>
          <w:p w14:paraId="44BB9200" w14:textId="77777777" w:rsidR="002368E4" w:rsidRPr="003E0EA5" w:rsidRDefault="002368E4" w:rsidP="002368E4">
            <w:pPr>
              <w:jc w:val="center"/>
              <w:rPr>
                <w:color w:val="FF0000"/>
              </w:rPr>
            </w:pPr>
          </w:p>
        </w:tc>
      </w:tr>
      <w:tr w:rsidR="00C95A4C" w:rsidRPr="009A036B" w14:paraId="56E1B796"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3DC89F" w14:textId="520E9223" w:rsidR="00C95A4C" w:rsidRPr="009A036B" w:rsidRDefault="00C95A4C" w:rsidP="00C95A4C">
            <w:pPr>
              <w:rPr>
                <w:b/>
              </w:rPr>
            </w:pPr>
            <w:r w:rsidRPr="00E60CC7">
              <w:t xml:space="preserve">DIS Operation Coordinator </w:t>
            </w:r>
          </w:p>
        </w:tc>
        <w:tc>
          <w:tcPr>
            <w:tcW w:w="1440" w:type="dxa"/>
            <w:tcBorders>
              <w:top w:val="single" w:sz="8" w:space="0" w:color="auto"/>
              <w:left w:val="nil"/>
              <w:bottom w:val="single" w:sz="8" w:space="0" w:color="auto"/>
              <w:right w:val="single" w:sz="8" w:space="0" w:color="auto"/>
            </w:tcBorders>
            <w:shd w:val="pct25" w:color="auto" w:fill="auto"/>
          </w:tcPr>
          <w:p w14:paraId="3F466736" w14:textId="77777777" w:rsidR="00C95A4C" w:rsidRPr="009A036B" w:rsidRDefault="00C95A4C" w:rsidP="00C95A4C"/>
        </w:tc>
        <w:tc>
          <w:tcPr>
            <w:tcW w:w="12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AF2483B" w14:textId="00F47827" w:rsidR="00C95A4C" w:rsidRPr="009A036B" w:rsidRDefault="00C95A4C" w:rsidP="00C95A4C">
            <w:r w:rsidRPr="00E60CC7">
              <w:t>$65,000</w:t>
            </w:r>
          </w:p>
        </w:tc>
        <w:tc>
          <w:tcPr>
            <w:tcW w:w="136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BC9A919" w14:textId="751CCD7A" w:rsidR="00C95A4C" w:rsidRPr="009A036B" w:rsidRDefault="00C95A4C" w:rsidP="00C95A4C">
            <w:r w:rsidRPr="00E60CC7">
              <w:t>.0</w:t>
            </w:r>
            <w:r>
              <w:t>07</w:t>
            </w:r>
          </w:p>
        </w:tc>
        <w:tc>
          <w:tcPr>
            <w:tcW w:w="1363" w:type="dxa"/>
            <w:tcBorders>
              <w:top w:val="single" w:sz="8" w:space="0" w:color="auto"/>
              <w:left w:val="nil"/>
              <w:bottom w:val="single" w:sz="8" w:space="0" w:color="auto"/>
              <w:right w:val="single" w:sz="8" w:space="0" w:color="auto"/>
            </w:tcBorders>
            <w:shd w:val="clear" w:color="auto" w:fill="auto"/>
          </w:tcPr>
          <w:p w14:paraId="5268D742" w14:textId="77777777" w:rsidR="00C95A4C" w:rsidRPr="009A036B" w:rsidRDefault="00C95A4C" w:rsidP="00C95A4C"/>
        </w:tc>
        <w:tc>
          <w:tcPr>
            <w:tcW w:w="1363" w:type="dxa"/>
            <w:tcBorders>
              <w:top w:val="single" w:sz="8" w:space="0" w:color="auto"/>
              <w:left w:val="nil"/>
              <w:bottom w:val="single" w:sz="8" w:space="0" w:color="auto"/>
              <w:right w:val="single" w:sz="8" w:space="0" w:color="auto"/>
            </w:tcBorders>
            <w:shd w:val="clear" w:color="auto" w:fill="auto"/>
          </w:tcPr>
          <w:p w14:paraId="1B16DB24" w14:textId="38E70360" w:rsidR="00C95A4C" w:rsidRPr="003E0EA5" w:rsidRDefault="00C95A4C" w:rsidP="00C95A4C">
            <w:pPr>
              <w:jc w:val="center"/>
              <w:rPr>
                <w:color w:val="FF0000"/>
              </w:rPr>
            </w:pPr>
            <w:r>
              <w:t>$455.00</w:t>
            </w:r>
          </w:p>
        </w:tc>
      </w:tr>
      <w:tr w:rsidR="00C95A4C" w:rsidRPr="009A036B" w14:paraId="276FEA18"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144FCE" w14:textId="1409258E" w:rsidR="00C95A4C" w:rsidRPr="003F22D5" w:rsidRDefault="00C95A4C" w:rsidP="00C95A4C">
            <w:pPr>
              <w:rPr>
                <w:highlight w:val="yellow"/>
              </w:rPr>
            </w:pPr>
            <w:r>
              <w:t xml:space="preserve">Software Support Engineer </w:t>
            </w:r>
          </w:p>
        </w:tc>
        <w:tc>
          <w:tcPr>
            <w:tcW w:w="1440" w:type="dxa"/>
            <w:tcBorders>
              <w:top w:val="single" w:sz="8" w:space="0" w:color="auto"/>
              <w:left w:val="nil"/>
              <w:bottom w:val="single" w:sz="8" w:space="0" w:color="auto"/>
              <w:right w:val="single" w:sz="8" w:space="0" w:color="auto"/>
            </w:tcBorders>
            <w:shd w:val="pct25" w:color="auto" w:fill="auto"/>
          </w:tcPr>
          <w:p w14:paraId="1E466B87" w14:textId="77777777" w:rsidR="00C95A4C" w:rsidRPr="009A036B" w:rsidRDefault="00C95A4C" w:rsidP="00C95A4C"/>
        </w:tc>
        <w:tc>
          <w:tcPr>
            <w:tcW w:w="12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E97DDC8" w14:textId="77777777" w:rsidR="00C95A4C" w:rsidRPr="000933F9" w:rsidRDefault="00C95A4C" w:rsidP="00C95A4C">
            <w:pPr>
              <w:rPr>
                <w:highlight w:val="yellow"/>
              </w:rPr>
            </w:pPr>
          </w:p>
        </w:tc>
        <w:tc>
          <w:tcPr>
            <w:tcW w:w="136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323FCEC" w14:textId="77777777" w:rsidR="00C95A4C" w:rsidRPr="00D61E00" w:rsidRDefault="00C95A4C" w:rsidP="00C95A4C">
            <w:pPr>
              <w:rPr>
                <w:highlight w:val="yellow"/>
              </w:rPr>
            </w:pPr>
          </w:p>
        </w:tc>
        <w:tc>
          <w:tcPr>
            <w:tcW w:w="1363" w:type="dxa"/>
            <w:tcBorders>
              <w:top w:val="single" w:sz="8" w:space="0" w:color="auto"/>
              <w:left w:val="nil"/>
              <w:bottom w:val="single" w:sz="8" w:space="0" w:color="auto"/>
              <w:right w:val="single" w:sz="8" w:space="0" w:color="auto"/>
            </w:tcBorders>
            <w:shd w:val="clear" w:color="auto" w:fill="auto"/>
          </w:tcPr>
          <w:p w14:paraId="46AADD93" w14:textId="77777777" w:rsidR="00C95A4C" w:rsidRPr="009A036B" w:rsidRDefault="00C95A4C" w:rsidP="00C95A4C"/>
        </w:tc>
        <w:tc>
          <w:tcPr>
            <w:tcW w:w="1363" w:type="dxa"/>
            <w:tcBorders>
              <w:top w:val="single" w:sz="8" w:space="0" w:color="auto"/>
              <w:left w:val="nil"/>
              <w:bottom w:val="single" w:sz="8" w:space="0" w:color="auto"/>
              <w:right w:val="single" w:sz="8" w:space="0" w:color="auto"/>
            </w:tcBorders>
            <w:shd w:val="clear" w:color="auto" w:fill="auto"/>
          </w:tcPr>
          <w:p w14:paraId="2403235A" w14:textId="5F2C1323" w:rsidR="00C95A4C" w:rsidRPr="003E0EA5" w:rsidRDefault="00C95A4C" w:rsidP="00C95A4C">
            <w:pPr>
              <w:jc w:val="center"/>
              <w:rPr>
                <w:color w:val="FF0000"/>
              </w:rPr>
            </w:pPr>
            <w:r>
              <w:t>$530</w:t>
            </w:r>
          </w:p>
        </w:tc>
      </w:tr>
      <w:tr w:rsidR="00C95A4C" w:rsidRPr="009A036B" w14:paraId="46CC6649"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1FA5A3" w14:textId="12F26931" w:rsidR="00C95A4C" w:rsidRPr="009A036B" w:rsidRDefault="00C95A4C" w:rsidP="00C95A4C">
            <w:pPr>
              <w:rPr>
                <w:b/>
              </w:rPr>
            </w:pPr>
            <w:r w:rsidRPr="009A036B">
              <w:rPr>
                <w:b/>
              </w:rPr>
              <w:t>Contractor Cost</w:t>
            </w:r>
            <w:r>
              <w:rPr>
                <w:b/>
              </w:rPr>
              <w:t xml:space="preserve"> (from table above -  i.e. contractors responding to survey)</w:t>
            </w:r>
          </w:p>
        </w:tc>
        <w:tc>
          <w:tcPr>
            <w:tcW w:w="1440" w:type="dxa"/>
            <w:tcBorders>
              <w:top w:val="single" w:sz="8" w:space="0" w:color="auto"/>
              <w:left w:val="nil"/>
              <w:bottom w:val="single" w:sz="8" w:space="0" w:color="auto"/>
              <w:right w:val="single" w:sz="8" w:space="0" w:color="auto"/>
            </w:tcBorders>
            <w:shd w:val="pct25" w:color="auto" w:fill="auto"/>
          </w:tcPr>
          <w:p w14:paraId="01222FF7" w14:textId="77777777" w:rsidR="00C95A4C" w:rsidRPr="009A036B" w:rsidRDefault="00C95A4C" w:rsidP="00C95A4C"/>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796D0BA" w14:textId="77777777" w:rsidR="00C95A4C" w:rsidRPr="009A036B" w:rsidRDefault="00C95A4C" w:rsidP="00C95A4C"/>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FD239AE" w14:textId="77777777" w:rsidR="00C95A4C" w:rsidRPr="009A036B" w:rsidRDefault="00C95A4C" w:rsidP="00C95A4C"/>
        </w:tc>
        <w:tc>
          <w:tcPr>
            <w:tcW w:w="1363" w:type="dxa"/>
            <w:tcBorders>
              <w:top w:val="single" w:sz="8" w:space="0" w:color="auto"/>
              <w:left w:val="nil"/>
              <w:bottom w:val="single" w:sz="8" w:space="0" w:color="auto"/>
              <w:right w:val="single" w:sz="8" w:space="0" w:color="auto"/>
            </w:tcBorders>
            <w:shd w:val="pct25" w:color="auto" w:fill="auto"/>
          </w:tcPr>
          <w:p w14:paraId="0EFB797B" w14:textId="77777777" w:rsidR="00C95A4C" w:rsidRPr="009A036B" w:rsidRDefault="00C95A4C" w:rsidP="00C95A4C"/>
        </w:tc>
        <w:tc>
          <w:tcPr>
            <w:tcW w:w="1363" w:type="dxa"/>
            <w:tcBorders>
              <w:top w:val="single" w:sz="8" w:space="0" w:color="auto"/>
              <w:left w:val="nil"/>
              <w:bottom w:val="single" w:sz="8" w:space="0" w:color="auto"/>
              <w:right w:val="single" w:sz="8" w:space="0" w:color="auto"/>
            </w:tcBorders>
            <w:shd w:val="clear" w:color="auto" w:fill="auto"/>
          </w:tcPr>
          <w:p w14:paraId="6070146C" w14:textId="7A1BDEF7" w:rsidR="00C95A4C" w:rsidRPr="003E0EA5" w:rsidRDefault="00C95A4C" w:rsidP="00C95A4C">
            <w:pPr>
              <w:jc w:val="center"/>
              <w:rPr>
                <w:color w:val="FF0000"/>
              </w:rPr>
            </w:pPr>
            <w:r w:rsidRPr="00393C18">
              <w:t>$225.25</w:t>
            </w:r>
          </w:p>
        </w:tc>
      </w:tr>
      <w:tr w:rsidR="00C95A4C" w:rsidRPr="009A036B" w14:paraId="35977063"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BE7DE2" w14:textId="1878ED97" w:rsidR="00C95A4C" w:rsidRPr="009A036B" w:rsidRDefault="00C95A4C" w:rsidP="00C95A4C">
            <w:r w:rsidRPr="009A036B">
              <w:t>Travel</w:t>
            </w:r>
          </w:p>
        </w:tc>
        <w:tc>
          <w:tcPr>
            <w:tcW w:w="1440" w:type="dxa"/>
            <w:tcBorders>
              <w:top w:val="nil"/>
              <w:left w:val="nil"/>
              <w:bottom w:val="single" w:sz="8" w:space="0" w:color="auto"/>
              <w:right w:val="single" w:sz="8" w:space="0" w:color="auto"/>
            </w:tcBorders>
            <w:shd w:val="clear" w:color="auto" w:fill="BFBFBF"/>
          </w:tcPr>
          <w:p w14:paraId="3CF0121B" w14:textId="77777777" w:rsidR="00C95A4C" w:rsidRPr="009A036B" w:rsidRDefault="00C95A4C" w:rsidP="00C95A4C"/>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0F368D4"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0970BE"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BFBFBF"/>
          </w:tcPr>
          <w:p w14:paraId="0637202A" w14:textId="77777777" w:rsidR="00C95A4C" w:rsidRPr="009A036B" w:rsidRDefault="00C95A4C" w:rsidP="00C95A4C"/>
        </w:tc>
        <w:tc>
          <w:tcPr>
            <w:tcW w:w="1363" w:type="dxa"/>
            <w:tcBorders>
              <w:top w:val="nil"/>
              <w:left w:val="nil"/>
              <w:bottom w:val="single" w:sz="8" w:space="0" w:color="auto"/>
              <w:right w:val="single" w:sz="8" w:space="0" w:color="auto"/>
            </w:tcBorders>
          </w:tcPr>
          <w:p w14:paraId="0BD9978B" w14:textId="0809F3C5" w:rsidR="00C95A4C" w:rsidRPr="009A036B" w:rsidRDefault="00C95A4C" w:rsidP="00C95A4C">
            <w:pPr>
              <w:jc w:val="center"/>
            </w:pPr>
            <w:r>
              <w:t>N/A</w:t>
            </w:r>
          </w:p>
        </w:tc>
      </w:tr>
      <w:tr w:rsidR="00C95A4C" w:rsidRPr="009A036B" w14:paraId="53A85C45"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BF44FC" w14:textId="30829528" w:rsidR="00C95A4C" w:rsidRPr="009A036B" w:rsidRDefault="00C95A4C" w:rsidP="00C95A4C">
            <w:r w:rsidRPr="009A036B">
              <w:t>Other Cost</w:t>
            </w:r>
          </w:p>
        </w:tc>
        <w:tc>
          <w:tcPr>
            <w:tcW w:w="1440" w:type="dxa"/>
            <w:tcBorders>
              <w:top w:val="nil"/>
              <w:left w:val="nil"/>
              <w:bottom w:val="single" w:sz="8" w:space="0" w:color="auto"/>
              <w:right w:val="single" w:sz="8" w:space="0" w:color="auto"/>
            </w:tcBorders>
            <w:shd w:val="clear" w:color="auto" w:fill="BFBFBF"/>
          </w:tcPr>
          <w:p w14:paraId="7DC621CE" w14:textId="77777777" w:rsidR="00C95A4C" w:rsidRPr="009A036B" w:rsidRDefault="00C95A4C" w:rsidP="00C95A4C"/>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0BC6C2"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D4E21C"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BFBFBF"/>
          </w:tcPr>
          <w:p w14:paraId="44F319A6" w14:textId="77777777" w:rsidR="00C95A4C" w:rsidRPr="009A036B" w:rsidRDefault="00C95A4C" w:rsidP="00C95A4C"/>
        </w:tc>
        <w:tc>
          <w:tcPr>
            <w:tcW w:w="1363" w:type="dxa"/>
            <w:tcBorders>
              <w:top w:val="nil"/>
              <w:left w:val="nil"/>
              <w:bottom w:val="single" w:sz="8" w:space="0" w:color="auto"/>
              <w:right w:val="single" w:sz="8" w:space="0" w:color="auto"/>
            </w:tcBorders>
          </w:tcPr>
          <w:p w14:paraId="3D2BC81A" w14:textId="638EF115" w:rsidR="00C95A4C" w:rsidRPr="009A036B" w:rsidRDefault="00C95A4C" w:rsidP="00C95A4C">
            <w:pPr>
              <w:jc w:val="center"/>
            </w:pPr>
            <w:r>
              <w:t>N/A</w:t>
            </w:r>
          </w:p>
        </w:tc>
      </w:tr>
      <w:tr w:rsidR="00C95A4C" w:rsidRPr="009A036B" w14:paraId="7761906F"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A033" w14:textId="77777777" w:rsidR="00C95A4C" w:rsidRPr="009A036B" w:rsidRDefault="00C95A4C" w:rsidP="00C95A4C">
            <w:pPr>
              <w:rPr>
                <w:bCs/>
              </w:rPr>
            </w:pPr>
          </w:p>
        </w:tc>
        <w:tc>
          <w:tcPr>
            <w:tcW w:w="1440" w:type="dxa"/>
            <w:tcBorders>
              <w:top w:val="nil"/>
              <w:left w:val="nil"/>
              <w:bottom w:val="single" w:sz="8" w:space="0" w:color="auto"/>
              <w:right w:val="single" w:sz="8" w:space="0" w:color="auto"/>
            </w:tcBorders>
            <w:shd w:val="clear" w:color="auto" w:fill="BFBFBF"/>
          </w:tcPr>
          <w:p w14:paraId="0356BC44" w14:textId="77777777" w:rsidR="00C95A4C" w:rsidRPr="009A036B" w:rsidRDefault="00C95A4C" w:rsidP="00C95A4C"/>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813A5F"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5A914CB" w14:textId="77777777" w:rsidR="00C95A4C" w:rsidRPr="009A036B" w:rsidRDefault="00C95A4C" w:rsidP="00C95A4C">
            <w:pPr>
              <w:rPr>
                <w:b/>
              </w:rPr>
            </w:pPr>
          </w:p>
        </w:tc>
        <w:tc>
          <w:tcPr>
            <w:tcW w:w="1363" w:type="dxa"/>
            <w:tcBorders>
              <w:top w:val="nil"/>
              <w:left w:val="nil"/>
              <w:bottom w:val="single" w:sz="8" w:space="0" w:color="auto"/>
              <w:right w:val="single" w:sz="8" w:space="0" w:color="auto"/>
            </w:tcBorders>
            <w:shd w:val="clear" w:color="auto" w:fill="BFBFBF"/>
          </w:tcPr>
          <w:p w14:paraId="028F9820" w14:textId="77777777" w:rsidR="00C95A4C" w:rsidRPr="009A036B" w:rsidRDefault="00C95A4C" w:rsidP="00C95A4C">
            <w:pPr>
              <w:rPr>
                <w:b/>
              </w:rPr>
            </w:pPr>
          </w:p>
        </w:tc>
        <w:tc>
          <w:tcPr>
            <w:tcW w:w="1363" w:type="dxa"/>
            <w:tcBorders>
              <w:top w:val="single" w:sz="8" w:space="0" w:color="auto"/>
              <w:left w:val="nil"/>
              <w:bottom w:val="single" w:sz="8" w:space="0" w:color="auto"/>
              <w:right w:val="single" w:sz="8" w:space="0" w:color="auto"/>
            </w:tcBorders>
            <w:shd w:val="pct25" w:color="auto" w:fill="auto"/>
          </w:tcPr>
          <w:p w14:paraId="59CBB813" w14:textId="77777777" w:rsidR="00C95A4C" w:rsidRPr="009A036B" w:rsidRDefault="00C95A4C" w:rsidP="00C95A4C">
            <w:pPr>
              <w:rPr>
                <w:b/>
              </w:rPr>
            </w:pPr>
          </w:p>
        </w:tc>
      </w:tr>
      <w:tr w:rsidR="00C95A4C" w:rsidRPr="009A036B" w14:paraId="3D5210FE"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EF9DE" w14:textId="575E7AC6" w:rsidR="00C95A4C" w:rsidRPr="004B1EB8" w:rsidRDefault="00C95A4C" w:rsidP="00C95A4C">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0EF4AA1E" w14:textId="77777777" w:rsidR="00C95A4C" w:rsidRPr="009A036B" w:rsidRDefault="00C95A4C" w:rsidP="00C95A4C"/>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2F0D19"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166DDF" w14:textId="77777777" w:rsidR="00C95A4C" w:rsidRPr="009A036B" w:rsidRDefault="00C95A4C" w:rsidP="00C95A4C"/>
        </w:tc>
        <w:tc>
          <w:tcPr>
            <w:tcW w:w="1363" w:type="dxa"/>
            <w:tcBorders>
              <w:top w:val="nil"/>
              <w:left w:val="nil"/>
              <w:bottom w:val="single" w:sz="8" w:space="0" w:color="auto"/>
              <w:right w:val="single" w:sz="8" w:space="0" w:color="auto"/>
            </w:tcBorders>
            <w:shd w:val="clear" w:color="auto" w:fill="A6A6A6"/>
          </w:tcPr>
          <w:p w14:paraId="7281CC2A" w14:textId="77777777" w:rsidR="00C95A4C" w:rsidRPr="009A036B" w:rsidRDefault="00C95A4C" w:rsidP="00C95A4C"/>
        </w:tc>
        <w:tc>
          <w:tcPr>
            <w:tcW w:w="1363" w:type="dxa"/>
            <w:tcBorders>
              <w:top w:val="nil"/>
              <w:left w:val="nil"/>
              <w:bottom w:val="single" w:sz="8" w:space="0" w:color="auto"/>
              <w:right w:val="single" w:sz="8" w:space="0" w:color="auto"/>
            </w:tcBorders>
          </w:tcPr>
          <w:p w14:paraId="78826463" w14:textId="181AB9DA" w:rsidR="00C95A4C" w:rsidRPr="00D85092" w:rsidRDefault="00C95A4C" w:rsidP="00C95A4C">
            <w:pPr>
              <w:jc w:val="center"/>
              <w:rPr>
                <w:b/>
                <w:color w:val="FF0000"/>
              </w:rPr>
            </w:pPr>
            <w:r w:rsidRPr="00C95A4C">
              <w:rPr>
                <w:b/>
              </w:rPr>
              <w:t>$2,140.58</w:t>
            </w:r>
          </w:p>
        </w:tc>
      </w:tr>
    </w:tbl>
    <w:p w14:paraId="1947CC34" w14:textId="770FAB27" w:rsidR="00ED6492" w:rsidRDefault="00ED649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77777777" w:rsidR="00B34646" w:rsidRDefault="00B34646" w:rsidP="00B34646">
      <w:r>
        <w:t>DIS maintains a list of conference attendees. These attendees will be asked to respond to the survey.</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72CC" w14:textId="77777777" w:rsidR="00F3499B" w:rsidRDefault="00F3499B">
      <w:r>
        <w:separator/>
      </w:r>
    </w:p>
  </w:endnote>
  <w:endnote w:type="continuationSeparator" w:id="0">
    <w:p w14:paraId="1D8AC868" w14:textId="77777777" w:rsidR="00F3499B" w:rsidRDefault="00F3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4F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15758" w14:textId="77777777" w:rsidR="00F3499B" w:rsidRDefault="00F3499B">
      <w:r>
        <w:separator/>
      </w:r>
    </w:p>
  </w:footnote>
  <w:footnote w:type="continuationSeparator" w:id="0">
    <w:p w14:paraId="0AFE37F4" w14:textId="77777777" w:rsidR="00F3499B" w:rsidRDefault="00F34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31CD0"/>
    <w:rsid w:val="00162F83"/>
    <w:rsid w:val="0016599B"/>
    <w:rsid w:val="00177AEA"/>
    <w:rsid w:val="001855D1"/>
    <w:rsid w:val="001927A4"/>
    <w:rsid w:val="00194AC6"/>
    <w:rsid w:val="001A23B0"/>
    <w:rsid w:val="001A25CC"/>
    <w:rsid w:val="001B0047"/>
    <w:rsid w:val="001B0AAA"/>
    <w:rsid w:val="001C39F7"/>
    <w:rsid w:val="001F0670"/>
    <w:rsid w:val="002368E4"/>
    <w:rsid w:val="00237B48"/>
    <w:rsid w:val="0024521E"/>
    <w:rsid w:val="00263C3D"/>
    <w:rsid w:val="00274D0B"/>
    <w:rsid w:val="00284110"/>
    <w:rsid w:val="002B3C95"/>
    <w:rsid w:val="002D0B92"/>
    <w:rsid w:val="002D26E2"/>
    <w:rsid w:val="002D2DD9"/>
    <w:rsid w:val="002E48F5"/>
    <w:rsid w:val="003668D6"/>
    <w:rsid w:val="00391ABD"/>
    <w:rsid w:val="003932D1"/>
    <w:rsid w:val="00393C18"/>
    <w:rsid w:val="00396B18"/>
    <w:rsid w:val="003A7074"/>
    <w:rsid w:val="003A7800"/>
    <w:rsid w:val="003B6F6F"/>
    <w:rsid w:val="003D5BBE"/>
    <w:rsid w:val="003E0EA5"/>
    <w:rsid w:val="003E3C61"/>
    <w:rsid w:val="003F1C5B"/>
    <w:rsid w:val="00420E91"/>
    <w:rsid w:val="00431EB1"/>
    <w:rsid w:val="00434E33"/>
    <w:rsid w:val="00441434"/>
    <w:rsid w:val="00443BF0"/>
    <w:rsid w:val="0045264C"/>
    <w:rsid w:val="004876EC"/>
    <w:rsid w:val="004A3C1B"/>
    <w:rsid w:val="004B1EB8"/>
    <w:rsid w:val="004D6E14"/>
    <w:rsid w:val="005009B0"/>
    <w:rsid w:val="00506CC2"/>
    <w:rsid w:val="00577013"/>
    <w:rsid w:val="005A1006"/>
    <w:rsid w:val="005A772A"/>
    <w:rsid w:val="005E566C"/>
    <w:rsid w:val="005E714A"/>
    <w:rsid w:val="005F10E5"/>
    <w:rsid w:val="006140A0"/>
    <w:rsid w:val="00633F74"/>
    <w:rsid w:val="00636621"/>
    <w:rsid w:val="00642B49"/>
    <w:rsid w:val="006832D9"/>
    <w:rsid w:val="00686301"/>
    <w:rsid w:val="0069403B"/>
    <w:rsid w:val="006C3BAC"/>
    <w:rsid w:val="006D5F47"/>
    <w:rsid w:val="006F3DDE"/>
    <w:rsid w:val="00704678"/>
    <w:rsid w:val="00721565"/>
    <w:rsid w:val="007425E7"/>
    <w:rsid w:val="00766D95"/>
    <w:rsid w:val="0077703F"/>
    <w:rsid w:val="0078673D"/>
    <w:rsid w:val="007D45F1"/>
    <w:rsid w:val="007D4F43"/>
    <w:rsid w:val="00802607"/>
    <w:rsid w:val="008101A5"/>
    <w:rsid w:val="00822664"/>
    <w:rsid w:val="00843796"/>
    <w:rsid w:val="00877DB4"/>
    <w:rsid w:val="00887320"/>
    <w:rsid w:val="00895229"/>
    <w:rsid w:val="008C3BCA"/>
    <w:rsid w:val="008F0203"/>
    <w:rsid w:val="008F50D4"/>
    <w:rsid w:val="009106FF"/>
    <w:rsid w:val="009239AA"/>
    <w:rsid w:val="00935ADA"/>
    <w:rsid w:val="00946B6C"/>
    <w:rsid w:val="00955A71"/>
    <w:rsid w:val="009562C1"/>
    <w:rsid w:val="0096108F"/>
    <w:rsid w:val="009A036B"/>
    <w:rsid w:val="009C13B9"/>
    <w:rsid w:val="009D01A2"/>
    <w:rsid w:val="009F5923"/>
    <w:rsid w:val="009F613D"/>
    <w:rsid w:val="00A229F1"/>
    <w:rsid w:val="00A403BB"/>
    <w:rsid w:val="00A50F89"/>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6219"/>
    <w:rsid w:val="00BC676D"/>
    <w:rsid w:val="00BD290F"/>
    <w:rsid w:val="00BE5D91"/>
    <w:rsid w:val="00C14CC4"/>
    <w:rsid w:val="00C33C52"/>
    <w:rsid w:val="00C40D8B"/>
    <w:rsid w:val="00C7169F"/>
    <w:rsid w:val="00C8407A"/>
    <w:rsid w:val="00C846C3"/>
    <w:rsid w:val="00C8488C"/>
    <w:rsid w:val="00C86E91"/>
    <w:rsid w:val="00C95A4C"/>
    <w:rsid w:val="00CA19A3"/>
    <w:rsid w:val="00CA2010"/>
    <w:rsid w:val="00CA2650"/>
    <w:rsid w:val="00CB1078"/>
    <w:rsid w:val="00CC6FAF"/>
    <w:rsid w:val="00D16EC2"/>
    <w:rsid w:val="00D20A1E"/>
    <w:rsid w:val="00D24698"/>
    <w:rsid w:val="00D336C8"/>
    <w:rsid w:val="00D6383F"/>
    <w:rsid w:val="00D662C8"/>
    <w:rsid w:val="00D85092"/>
    <w:rsid w:val="00D949A8"/>
    <w:rsid w:val="00DB103F"/>
    <w:rsid w:val="00DB3846"/>
    <w:rsid w:val="00DB4A58"/>
    <w:rsid w:val="00DB59D0"/>
    <w:rsid w:val="00DC33D3"/>
    <w:rsid w:val="00E046B5"/>
    <w:rsid w:val="00E26329"/>
    <w:rsid w:val="00E40B50"/>
    <w:rsid w:val="00E47DE1"/>
    <w:rsid w:val="00E50293"/>
    <w:rsid w:val="00E50A5B"/>
    <w:rsid w:val="00E65FFC"/>
    <w:rsid w:val="00E670E2"/>
    <w:rsid w:val="00E80951"/>
    <w:rsid w:val="00E86CC6"/>
    <w:rsid w:val="00EB56B3"/>
    <w:rsid w:val="00EB7661"/>
    <w:rsid w:val="00ED6229"/>
    <w:rsid w:val="00ED6492"/>
    <w:rsid w:val="00EE371E"/>
    <w:rsid w:val="00EF0180"/>
    <w:rsid w:val="00EF2095"/>
    <w:rsid w:val="00F0629F"/>
    <w:rsid w:val="00F06866"/>
    <w:rsid w:val="00F079AB"/>
    <w:rsid w:val="00F15956"/>
    <w:rsid w:val="00F24CFC"/>
    <w:rsid w:val="00F3170F"/>
    <w:rsid w:val="00F3499B"/>
    <w:rsid w:val="00F579C7"/>
    <w:rsid w:val="00F828DD"/>
    <w:rsid w:val="00F94D8C"/>
    <w:rsid w:val="00F976B0"/>
    <w:rsid w:val="00FA58FB"/>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BBB11"/>
  <w15:chartTrackingRefBased/>
  <w15:docId w15:val="{A0D79A15-015B-4C15-B23F-1163649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393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301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A412-09C9-4AE1-B593-07D4E3C5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2010-10-04T17:59:00Z</cp:lastPrinted>
  <dcterms:created xsi:type="dcterms:W3CDTF">2017-04-27T14:57:00Z</dcterms:created>
  <dcterms:modified xsi:type="dcterms:W3CDTF">2017-04-27T14:57:00Z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