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ACAEE" w14:textId="77777777" w:rsidR="00C14594" w:rsidRDefault="00C14594" w:rsidP="00C14594">
      <w:bookmarkStart w:id="0" w:name="_GoBack"/>
      <w:bookmarkEnd w:id="0"/>
    </w:p>
    <w:p w14:paraId="5F37CB66" w14:textId="77777777" w:rsidR="00C14594" w:rsidRDefault="00C14594" w:rsidP="00C14594"/>
    <w:p w14:paraId="7A82F812" w14:textId="77777777" w:rsidR="00C14594" w:rsidRDefault="00C14594" w:rsidP="00C14594"/>
    <w:p w14:paraId="0D73B996" w14:textId="77777777" w:rsidR="00C14594" w:rsidRDefault="00C14594" w:rsidP="00C14594"/>
    <w:p w14:paraId="2BA36A76" w14:textId="77777777" w:rsidR="00C14594" w:rsidRDefault="00C14594" w:rsidP="00C14594"/>
    <w:p w14:paraId="373808D5" w14:textId="77777777" w:rsidR="00C14594" w:rsidRDefault="00C14594" w:rsidP="00C14594"/>
    <w:p w14:paraId="7BB7B6A8" w14:textId="77777777" w:rsidR="00C14594" w:rsidRDefault="00C14594" w:rsidP="00C14594"/>
    <w:p w14:paraId="51E73EB8" w14:textId="77777777" w:rsidR="00C14594" w:rsidRDefault="00C14594" w:rsidP="00C14594"/>
    <w:p w14:paraId="2F5E0411" w14:textId="77777777" w:rsidR="00C14594" w:rsidRDefault="00C14594" w:rsidP="00C14594"/>
    <w:p w14:paraId="44CED73E" w14:textId="77777777" w:rsidR="00C14594" w:rsidRDefault="00C14594" w:rsidP="00C14594"/>
    <w:p w14:paraId="4E2441E9" w14:textId="77777777" w:rsidR="0062532F" w:rsidRDefault="00C14594" w:rsidP="00C14594">
      <w:pPr>
        <w:jc w:val="center"/>
        <w:rPr>
          <w:b/>
        </w:rPr>
      </w:pPr>
      <w:r>
        <w:rPr>
          <w:b/>
        </w:rPr>
        <w:t>Ebola Virus Disease in the United States:</w:t>
      </w:r>
    </w:p>
    <w:p w14:paraId="6001600F" w14:textId="77777777" w:rsidR="00C14594" w:rsidRDefault="0062532F" w:rsidP="00C14594">
      <w:pPr>
        <w:jc w:val="center"/>
        <w:rPr>
          <w:b/>
        </w:rPr>
      </w:pPr>
      <w:r>
        <w:rPr>
          <w:b/>
        </w:rPr>
        <w:t xml:space="preserve">CDC Support for </w:t>
      </w:r>
      <w:r w:rsidR="00C14594">
        <w:rPr>
          <w:b/>
        </w:rPr>
        <w:t>Case and Contact Investigation</w:t>
      </w:r>
    </w:p>
    <w:p w14:paraId="2FCF062D" w14:textId="77777777" w:rsidR="00C14594" w:rsidRDefault="00C14594" w:rsidP="00C14594">
      <w:pPr>
        <w:jc w:val="center"/>
        <w:rPr>
          <w:b/>
        </w:rPr>
      </w:pPr>
    </w:p>
    <w:p w14:paraId="342CC750" w14:textId="77777777" w:rsidR="00C14594" w:rsidRDefault="00C14594" w:rsidP="00C14594">
      <w:pPr>
        <w:jc w:val="center"/>
        <w:rPr>
          <w:b/>
        </w:rPr>
      </w:pPr>
    </w:p>
    <w:p w14:paraId="34E70F2C" w14:textId="77777777" w:rsidR="00C14594" w:rsidRDefault="00C14594" w:rsidP="00C14594">
      <w:pPr>
        <w:jc w:val="center"/>
        <w:rPr>
          <w:b/>
        </w:rPr>
      </w:pPr>
      <w:r>
        <w:rPr>
          <w:b/>
        </w:rPr>
        <w:t xml:space="preserve">Request for OMB Approval for a </w:t>
      </w:r>
    </w:p>
    <w:p w14:paraId="1F3DCCEC" w14:textId="77777777" w:rsidR="00C14594" w:rsidRDefault="00C14594" w:rsidP="00C14594">
      <w:pPr>
        <w:jc w:val="center"/>
        <w:rPr>
          <w:b/>
        </w:rPr>
      </w:pPr>
      <w:r>
        <w:rPr>
          <w:b/>
        </w:rPr>
        <w:t>New Information Collection Request</w:t>
      </w:r>
      <w:r w:rsidDel="000E2DF1">
        <w:rPr>
          <w:b/>
        </w:rPr>
        <w:t xml:space="preserve"> </w:t>
      </w:r>
    </w:p>
    <w:p w14:paraId="20EB4D95" w14:textId="77777777" w:rsidR="00C14594" w:rsidRDefault="00C14594" w:rsidP="00C14594">
      <w:pPr>
        <w:jc w:val="center"/>
        <w:rPr>
          <w:b/>
        </w:rPr>
      </w:pPr>
    </w:p>
    <w:p w14:paraId="7E0C0A6B" w14:textId="6AE41858" w:rsidR="00C14594" w:rsidRDefault="007F5871" w:rsidP="00C14594">
      <w:pPr>
        <w:jc w:val="center"/>
        <w:rPr>
          <w:b/>
        </w:rPr>
      </w:pPr>
      <w:r>
        <w:rPr>
          <w:b/>
        </w:rPr>
        <w:t xml:space="preserve">January </w:t>
      </w:r>
      <w:r w:rsidR="00100C5C">
        <w:rPr>
          <w:b/>
        </w:rPr>
        <w:t>23</w:t>
      </w:r>
      <w:r w:rsidR="00D76A8D">
        <w:rPr>
          <w:b/>
        </w:rPr>
        <w:t xml:space="preserve">, </w:t>
      </w:r>
      <w:r>
        <w:rPr>
          <w:b/>
        </w:rPr>
        <w:t>2015</w:t>
      </w:r>
    </w:p>
    <w:p w14:paraId="2EF89B0A" w14:textId="77777777" w:rsidR="00C14594" w:rsidRDefault="00C14594" w:rsidP="00C14594">
      <w:pPr>
        <w:jc w:val="center"/>
        <w:rPr>
          <w:b/>
        </w:rPr>
      </w:pPr>
    </w:p>
    <w:p w14:paraId="1260A554" w14:textId="77777777" w:rsidR="00C14594" w:rsidRDefault="00C14594" w:rsidP="00C14594">
      <w:pPr>
        <w:jc w:val="center"/>
        <w:rPr>
          <w:b/>
        </w:rPr>
      </w:pPr>
      <w:r>
        <w:rPr>
          <w:b/>
        </w:rPr>
        <w:t>Supporting Statement B</w:t>
      </w:r>
    </w:p>
    <w:p w14:paraId="20B34110" w14:textId="77777777" w:rsidR="00C14594" w:rsidRPr="00C14594" w:rsidRDefault="00C14594" w:rsidP="00C14594">
      <w:pPr>
        <w:jc w:val="center"/>
        <w:rPr>
          <w:b/>
        </w:rPr>
      </w:pPr>
      <w:r w:rsidRPr="00C14594">
        <w:rPr>
          <w:b/>
        </w:rPr>
        <w:t>Collections of Information Employing Statistical Methods</w:t>
      </w:r>
    </w:p>
    <w:p w14:paraId="17D3C979" w14:textId="77777777" w:rsidR="00C14594" w:rsidRPr="00757F16" w:rsidRDefault="00C14594" w:rsidP="00C14594">
      <w:pPr>
        <w:rPr>
          <w:b/>
        </w:rPr>
      </w:pPr>
    </w:p>
    <w:p w14:paraId="32E4E573" w14:textId="77777777" w:rsidR="00C14594" w:rsidRDefault="00C14594" w:rsidP="00C14594">
      <w:pPr>
        <w:rPr>
          <w:b/>
        </w:rPr>
      </w:pPr>
    </w:p>
    <w:p w14:paraId="124332FD" w14:textId="77777777" w:rsidR="00C14594" w:rsidRDefault="00C14594" w:rsidP="00C14594">
      <w:pPr>
        <w:rPr>
          <w:b/>
        </w:rPr>
      </w:pPr>
    </w:p>
    <w:p w14:paraId="3707CEF4" w14:textId="77777777" w:rsidR="00C14594" w:rsidRDefault="00C14594" w:rsidP="00C14594">
      <w:pPr>
        <w:rPr>
          <w:b/>
        </w:rPr>
      </w:pPr>
    </w:p>
    <w:p w14:paraId="419B4593" w14:textId="77777777" w:rsidR="00C14594" w:rsidRDefault="00C14594" w:rsidP="00C14594">
      <w:pPr>
        <w:outlineLvl w:val="0"/>
        <w:rPr>
          <w:b/>
        </w:rPr>
      </w:pPr>
    </w:p>
    <w:p w14:paraId="7CC8F78F" w14:textId="77777777" w:rsidR="00C14594" w:rsidRDefault="00C14594" w:rsidP="00C14594">
      <w:pPr>
        <w:outlineLvl w:val="0"/>
        <w:rPr>
          <w:b/>
        </w:rPr>
      </w:pPr>
    </w:p>
    <w:p w14:paraId="44CE1D03" w14:textId="77777777" w:rsidR="00C14594" w:rsidRDefault="00C14594" w:rsidP="00C14594">
      <w:pPr>
        <w:outlineLvl w:val="0"/>
        <w:rPr>
          <w:b/>
        </w:rPr>
      </w:pPr>
    </w:p>
    <w:p w14:paraId="323BE3DE" w14:textId="77777777" w:rsidR="00C14594" w:rsidRDefault="00C14594" w:rsidP="00C14594">
      <w:pPr>
        <w:outlineLvl w:val="0"/>
        <w:rPr>
          <w:b/>
        </w:rPr>
      </w:pPr>
    </w:p>
    <w:p w14:paraId="3EA18514" w14:textId="77777777" w:rsidR="00C14594" w:rsidRDefault="00C14594" w:rsidP="00C14594">
      <w:pPr>
        <w:outlineLvl w:val="0"/>
        <w:rPr>
          <w:b/>
        </w:rPr>
      </w:pPr>
    </w:p>
    <w:p w14:paraId="557B2A67" w14:textId="77777777" w:rsidR="00C14594" w:rsidRDefault="00C14594" w:rsidP="00C14594">
      <w:pPr>
        <w:outlineLvl w:val="0"/>
        <w:rPr>
          <w:b/>
        </w:rPr>
      </w:pPr>
    </w:p>
    <w:p w14:paraId="71169EF6" w14:textId="77777777" w:rsidR="00C14594" w:rsidRDefault="00C14594" w:rsidP="00C14594">
      <w:pPr>
        <w:outlineLvl w:val="0"/>
        <w:rPr>
          <w:b/>
        </w:rPr>
      </w:pPr>
    </w:p>
    <w:p w14:paraId="0BDD32A4" w14:textId="77777777" w:rsidR="00C14594" w:rsidRDefault="00C14594" w:rsidP="00C14594">
      <w:pPr>
        <w:outlineLvl w:val="0"/>
        <w:rPr>
          <w:b/>
        </w:rPr>
      </w:pPr>
    </w:p>
    <w:p w14:paraId="3FEC6704" w14:textId="77777777" w:rsidR="00C14594" w:rsidRDefault="00C14594" w:rsidP="00C14594">
      <w:pPr>
        <w:outlineLvl w:val="0"/>
        <w:rPr>
          <w:b/>
        </w:rPr>
      </w:pPr>
    </w:p>
    <w:p w14:paraId="6B38C916" w14:textId="77777777" w:rsidR="00C14594" w:rsidRDefault="00C14594" w:rsidP="00C14594">
      <w:pPr>
        <w:outlineLvl w:val="0"/>
        <w:rPr>
          <w:b/>
        </w:rPr>
      </w:pPr>
    </w:p>
    <w:p w14:paraId="7C873984" w14:textId="77777777" w:rsidR="0062532F" w:rsidRDefault="0062532F" w:rsidP="00C14594">
      <w:pPr>
        <w:outlineLvl w:val="0"/>
        <w:rPr>
          <w:b/>
        </w:rPr>
      </w:pPr>
    </w:p>
    <w:p w14:paraId="6AB665C7" w14:textId="77777777" w:rsidR="00C14594" w:rsidRPr="00C77027" w:rsidRDefault="00C14594" w:rsidP="00C14594">
      <w:pPr>
        <w:outlineLvl w:val="0"/>
        <w:rPr>
          <w:b/>
        </w:rPr>
      </w:pPr>
      <w:r w:rsidRPr="00C77027">
        <w:rPr>
          <w:b/>
        </w:rPr>
        <w:t>Contact:</w:t>
      </w:r>
    </w:p>
    <w:p w14:paraId="726B61A0" w14:textId="34BDAB25" w:rsidR="00C14594" w:rsidRPr="00C77027" w:rsidRDefault="00C14594" w:rsidP="00C14594">
      <w:pPr>
        <w:outlineLvl w:val="0"/>
        <w:rPr>
          <w:b/>
        </w:rPr>
      </w:pPr>
      <w:r w:rsidRPr="00C77027">
        <w:rPr>
          <w:b/>
        </w:rPr>
        <w:t xml:space="preserve">Amy </w:t>
      </w:r>
      <w:proofErr w:type="spellStart"/>
      <w:r w:rsidRPr="00C77027">
        <w:rPr>
          <w:b/>
        </w:rPr>
        <w:t>McMill</w:t>
      </w:r>
      <w:r w:rsidR="00EA2D95">
        <w:rPr>
          <w:b/>
        </w:rPr>
        <w:t>e</w:t>
      </w:r>
      <w:r w:rsidRPr="00C77027">
        <w:rPr>
          <w:b/>
        </w:rPr>
        <w:t>n</w:t>
      </w:r>
      <w:proofErr w:type="spellEnd"/>
    </w:p>
    <w:p w14:paraId="1C8D2B44" w14:textId="77777777" w:rsidR="00C14594" w:rsidRPr="00C77027" w:rsidRDefault="00C14594" w:rsidP="00C14594">
      <w:pPr>
        <w:outlineLvl w:val="0"/>
        <w:rPr>
          <w:b/>
        </w:rPr>
      </w:pPr>
      <w:bookmarkStart w:id="1" w:name="_Toc295819828"/>
      <w:bookmarkStart w:id="2" w:name="_Toc295818055"/>
      <w:bookmarkStart w:id="3" w:name="_Toc295817574"/>
      <w:bookmarkStart w:id="4" w:name="_Toc295817040"/>
      <w:r w:rsidRPr="00C77027">
        <w:rPr>
          <w:b/>
        </w:rPr>
        <w:t>Office of Policy and Planning</w:t>
      </w:r>
      <w:bookmarkEnd w:id="1"/>
      <w:bookmarkEnd w:id="2"/>
      <w:bookmarkEnd w:id="3"/>
      <w:bookmarkEnd w:id="4"/>
    </w:p>
    <w:p w14:paraId="6EC19828" w14:textId="77777777" w:rsidR="00C14594" w:rsidRPr="00C77027" w:rsidRDefault="00C14594" w:rsidP="00C14594">
      <w:pPr>
        <w:outlineLvl w:val="0"/>
        <w:rPr>
          <w:b/>
        </w:rPr>
      </w:pPr>
      <w:bookmarkStart w:id="5" w:name="_Toc295819829"/>
      <w:bookmarkStart w:id="6" w:name="_Toc295818056"/>
      <w:bookmarkStart w:id="7" w:name="_Toc295817575"/>
      <w:bookmarkStart w:id="8" w:name="_Toc295817041"/>
      <w:r w:rsidRPr="00C77027">
        <w:rPr>
          <w:b/>
        </w:rPr>
        <w:t>National Center for Emerging and Zoonotic Infectious Diseases</w:t>
      </w:r>
      <w:bookmarkEnd w:id="5"/>
      <w:bookmarkEnd w:id="6"/>
      <w:bookmarkEnd w:id="7"/>
      <w:bookmarkEnd w:id="8"/>
    </w:p>
    <w:p w14:paraId="13F7292D" w14:textId="77777777" w:rsidR="00C14594" w:rsidRPr="00C77027" w:rsidRDefault="00C14594" w:rsidP="00C14594">
      <w:pPr>
        <w:outlineLvl w:val="0"/>
        <w:rPr>
          <w:b/>
        </w:rPr>
      </w:pPr>
      <w:bookmarkStart w:id="9" w:name="_Toc295819830"/>
      <w:bookmarkStart w:id="10" w:name="_Toc295818057"/>
      <w:bookmarkStart w:id="11" w:name="_Toc295817576"/>
      <w:bookmarkStart w:id="12" w:name="_Toc295817042"/>
      <w:r w:rsidRPr="00C77027">
        <w:rPr>
          <w:b/>
        </w:rPr>
        <w:t>Centers for Disease Control and Prevention</w:t>
      </w:r>
      <w:bookmarkEnd w:id="9"/>
      <w:bookmarkEnd w:id="10"/>
      <w:bookmarkEnd w:id="11"/>
      <w:bookmarkEnd w:id="12"/>
    </w:p>
    <w:p w14:paraId="0BF35388" w14:textId="77777777" w:rsidR="00C14594" w:rsidRPr="00C77027" w:rsidRDefault="00C14594" w:rsidP="00C14594">
      <w:pPr>
        <w:outlineLvl w:val="0"/>
        <w:rPr>
          <w:b/>
        </w:rPr>
      </w:pPr>
      <w:bookmarkStart w:id="13" w:name="_Toc295819831"/>
      <w:bookmarkStart w:id="14" w:name="_Toc295818058"/>
      <w:bookmarkStart w:id="15" w:name="_Toc295817577"/>
      <w:bookmarkStart w:id="16" w:name="_Toc295817043"/>
      <w:r w:rsidRPr="00C77027">
        <w:rPr>
          <w:b/>
        </w:rPr>
        <w:t>1600 Clifton Road, N.E., MS D76</w:t>
      </w:r>
      <w:bookmarkEnd w:id="13"/>
      <w:bookmarkEnd w:id="14"/>
      <w:bookmarkEnd w:id="15"/>
      <w:bookmarkEnd w:id="16"/>
    </w:p>
    <w:p w14:paraId="10D83405" w14:textId="77777777" w:rsidR="00C14594" w:rsidRPr="00C77027" w:rsidRDefault="00C14594" w:rsidP="00C14594">
      <w:pPr>
        <w:outlineLvl w:val="0"/>
        <w:rPr>
          <w:b/>
        </w:rPr>
      </w:pPr>
      <w:bookmarkStart w:id="17" w:name="_Toc295819832"/>
      <w:bookmarkStart w:id="18" w:name="_Toc295818059"/>
      <w:bookmarkStart w:id="19" w:name="_Toc295817578"/>
      <w:bookmarkStart w:id="20" w:name="_Toc295817044"/>
      <w:r w:rsidRPr="00C77027">
        <w:rPr>
          <w:b/>
        </w:rPr>
        <w:t>Atlanta, Georgia 30333</w:t>
      </w:r>
      <w:bookmarkEnd w:id="17"/>
      <w:bookmarkEnd w:id="18"/>
      <w:bookmarkEnd w:id="19"/>
      <w:bookmarkEnd w:id="20"/>
    </w:p>
    <w:p w14:paraId="51504C5A" w14:textId="77777777" w:rsidR="00C14594" w:rsidRPr="00C77027" w:rsidRDefault="00C14594" w:rsidP="00C14594">
      <w:pPr>
        <w:outlineLvl w:val="0"/>
        <w:rPr>
          <w:b/>
        </w:rPr>
      </w:pPr>
      <w:bookmarkStart w:id="21" w:name="_Toc295819833"/>
      <w:bookmarkStart w:id="22" w:name="_Toc295818060"/>
      <w:bookmarkStart w:id="23" w:name="_Toc295817579"/>
      <w:bookmarkStart w:id="24" w:name="_Toc295817045"/>
      <w:r w:rsidRPr="00C77027">
        <w:rPr>
          <w:b/>
        </w:rPr>
        <w:t>Phone: (404) 639-4895</w:t>
      </w:r>
      <w:bookmarkEnd w:id="21"/>
      <w:bookmarkEnd w:id="22"/>
      <w:bookmarkEnd w:id="23"/>
      <w:bookmarkEnd w:id="24"/>
    </w:p>
    <w:p w14:paraId="108DFCCD" w14:textId="77777777" w:rsidR="00C14594" w:rsidRPr="00C77027" w:rsidRDefault="00C14594" w:rsidP="00C14594">
      <w:pPr>
        <w:rPr>
          <w:rFonts w:ascii="Comic Sans MS" w:hAnsi="Comic Sans MS"/>
          <w:noProof/>
          <w:color w:val="403152"/>
          <w:sz w:val="20"/>
          <w:szCs w:val="20"/>
        </w:rPr>
      </w:pPr>
      <w:r w:rsidRPr="00C77027">
        <w:rPr>
          <w:b/>
        </w:rPr>
        <w:t>Fax: (404) 248-4146</w:t>
      </w:r>
    </w:p>
    <w:p w14:paraId="322811BA" w14:textId="77777777" w:rsidR="00C14594" w:rsidRDefault="00C14594" w:rsidP="0062532F">
      <w:pPr>
        <w:outlineLvl w:val="0"/>
        <w:rPr>
          <w:b/>
        </w:rPr>
      </w:pPr>
      <w:bookmarkStart w:id="25" w:name="_Toc295819834"/>
      <w:bookmarkStart w:id="26" w:name="_Toc295818061"/>
      <w:bookmarkStart w:id="27" w:name="_Toc295817580"/>
      <w:bookmarkStart w:id="28" w:name="_Toc295817046"/>
      <w:r w:rsidRPr="00C77027">
        <w:rPr>
          <w:b/>
        </w:rPr>
        <w:t>Email</w:t>
      </w:r>
      <w:r>
        <w:rPr>
          <w:b/>
        </w:rPr>
        <w:t>:</w:t>
      </w:r>
      <w:r w:rsidRPr="00C77027" w:rsidDel="005E46F9">
        <w:rPr>
          <w:b/>
        </w:rPr>
        <w:t xml:space="preserve"> </w:t>
      </w:r>
      <w:bookmarkEnd w:id="25"/>
      <w:bookmarkEnd w:id="26"/>
      <w:bookmarkEnd w:id="27"/>
      <w:bookmarkEnd w:id="28"/>
      <w:r w:rsidRPr="00C77027">
        <w:rPr>
          <w:b/>
        </w:rPr>
        <w:t>auh1@cdc.gov</w:t>
      </w:r>
    </w:p>
    <w:p w14:paraId="463CCA76" w14:textId="77777777" w:rsidR="0084128E" w:rsidRPr="00131A48" w:rsidRDefault="00C14594" w:rsidP="0062532F">
      <w:pPr>
        <w:spacing w:after="200" w:line="276" w:lineRule="auto"/>
        <w:jc w:val="center"/>
        <w:rPr>
          <w:b/>
        </w:rPr>
      </w:pPr>
      <w:r>
        <w:rPr>
          <w:b/>
        </w:rPr>
        <w:br w:type="page"/>
      </w:r>
      <w:r w:rsidR="0084128E" w:rsidRPr="00131A48">
        <w:rPr>
          <w:b/>
        </w:rPr>
        <w:lastRenderedPageBreak/>
        <w:t>Table of Contents</w:t>
      </w:r>
    </w:p>
    <w:p w14:paraId="252FEC0F" w14:textId="77777777" w:rsidR="0084128E" w:rsidRPr="00131A48" w:rsidRDefault="0084128E" w:rsidP="0084128E">
      <w:pPr>
        <w:jc w:val="center"/>
        <w:rPr>
          <w:b/>
        </w:rPr>
      </w:pPr>
    </w:p>
    <w:tbl>
      <w:tblPr>
        <w:tblW w:w="0" w:type="auto"/>
        <w:tblLook w:val="01E0" w:firstRow="1" w:lastRow="1" w:firstColumn="1" w:lastColumn="1" w:noHBand="0" w:noVBand="0"/>
      </w:tblPr>
      <w:tblGrid>
        <w:gridCol w:w="8761"/>
        <w:gridCol w:w="253"/>
      </w:tblGrid>
      <w:tr w:rsidR="0084128E" w:rsidRPr="00131A48" w14:paraId="2A06DCC9" w14:textId="77777777" w:rsidTr="006D2274">
        <w:tc>
          <w:tcPr>
            <w:tcW w:w="8761" w:type="dxa"/>
            <w:tcMar>
              <w:left w:w="14" w:type="dxa"/>
              <w:right w:w="14" w:type="dxa"/>
            </w:tcMar>
          </w:tcPr>
          <w:p w14:paraId="3A7FB119" w14:textId="77777777" w:rsidR="0084128E" w:rsidRPr="00131A48" w:rsidRDefault="0084128E" w:rsidP="00C14594">
            <w:r w:rsidRPr="00131A48">
              <w:t>B.</w:t>
            </w:r>
            <w:r w:rsidRPr="00131A48">
              <w:rPr>
                <w:b/>
              </w:rPr>
              <w:t xml:space="preserve"> </w:t>
            </w:r>
            <w:r w:rsidRPr="00131A48">
              <w:t>Collections of Information Employing Statistical Methods</w:t>
            </w:r>
          </w:p>
        </w:tc>
        <w:tc>
          <w:tcPr>
            <w:tcW w:w="253" w:type="dxa"/>
            <w:tcMar>
              <w:left w:w="14" w:type="dxa"/>
              <w:right w:w="14" w:type="dxa"/>
            </w:tcMar>
          </w:tcPr>
          <w:p w14:paraId="4FB9E805" w14:textId="77777777" w:rsidR="0084128E" w:rsidRPr="00131A48" w:rsidRDefault="0084128E" w:rsidP="00C14594"/>
        </w:tc>
      </w:tr>
      <w:tr w:rsidR="0084128E" w:rsidRPr="00131A48" w14:paraId="0FB286B4" w14:textId="77777777" w:rsidTr="006D2274">
        <w:tc>
          <w:tcPr>
            <w:tcW w:w="8761" w:type="dxa"/>
            <w:tcMar>
              <w:left w:w="14" w:type="dxa"/>
              <w:right w:w="14" w:type="dxa"/>
            </w:tcMar>
          </w:tcPr>
          <w:p w14:paraId="6450E41B" w14:textId="77777777" w:rsidR="0084128E" w:rsidRPr="00131A48" w:rsidRDefault="0084128E" w:rsidP="00C14594">
            <w:pPr>
              <w:ind w:left="360"/>
            </w:pPr>
            <w:r w:rsidRPr="00131A48">
              <w:t>1. Respondent Universe and Sampling Method</w:t>
            </w:r>
          </w:p>
        </w:tc>
        <w:tc>
          <w:tcPr>
            <w:tcW w:w="253" w:type="dxa"/>
            <w:tcMar>
              <w:left w:w="14" w:type="dxa"/>
              <w:right w:w="14" w:type="dxa"/>
            </w:tcMar>
          </w:tcPr>
          <w:p w14:paraId="0E4BDEE4" w14:textId="77777777" w:rsidR="0084128E" w:rsidRPr="00131A48" w:rsidRDefault="0084128E" w:rsidP="00C14594"/>
        </w:tc>
      </w:tr>
      <w:tr w:rsidR="0084128E" w:rsidRPr="00131A48" w14:paraId="39DAC79D" w14:textId="77777777" w:rsidTr="006D2274">
        <w:tc>
          <w:tcPr>
            <w:tcW w:w="8761" w:type="dxa"/>
            <w:tcMar>
              <w:left w:w="14" w:type="dxa"/>
              <w:right w:w="14" w:type="dxa"/>
            </w:tcMar>
          </w:tcPr>
          <w:p w14:paraId="4EE671DE" w14:textId="77777777" w:rsidR="0084128E" w:rsidRPr="00131A48" w:rsidRDefault="0084128E" w:rsidP="00C14594">
            <w:pPr>
              <w:ind w:left="360"/>
            </w:pPr>
            <w:r w:rsidRPr="00131A48">
              <w:t>2. Procedures for the Collection of Information</w:t>
            </w:r>
          </w:p>
        </w:tc>
        <w:tc>
          <w:tcPr>
            <w:tcW w:w="253" w:type="dxa"/>
            <w:tcMar>
              <w:left w:w="14" w:type="dxa"/>
              <w:right w:w="14" w:type="dxa"/>
            </w:tcMar>
          </w:tcPr>
          <w:p w14:paraId="79AB409D" w14:textId="77777777" w:rsidR="0084128E" w:rsidRPr="00131A48" w:rsidRDefault="0084128E" w:rsidP="00C14594"/>
        </w:tc>
      </w:tr>
      <w:tr w:rsidR="0084128E" w:rsidRPr="00131A48" w14:paraId="06DF58CF" w14:textId="77777777" w:rsidTr="006D2274">
        <w:tc>
          <w:tcPr>
            <w:tcW w:w="8761" w:type="dxa"/>
            <w:tcMar>
              <w:left w:w="14" w:type="dxa"/>
              <w:right w:w="14" w:type="dxa"/>
            </w:tcMar>
          </w:tcPr>
          <w:p w14:paraId="1928A030" w14:textId="77777777" w:rsidR="0084128E" w:rsidRPr="00131A48" w:rsidRDefault="0084128E" w:rsidP="00C14594">
            <w:pPr>
              <w:ind w:left="360"/>
            </w:pPr>
            <w:r w:rsidRPr="00131A48">
              <w:t>3. Methods to Maximize Response Rates and Deal with Nonresponse</w:t>
            </w:r>
          </w:p>
        </w:tc>
        <w:tc>
          <w:tcPr>
            <w:tcW w:w="253" w:type="dxa"/>
            <w:tcMar>
              <w:left w:w="14" w:type="dxa"/>
              <w:right w:w="14" w:type="dxa"/>
            </w:tcMar>
          </w:tcPr>
          <w:p w14:paraId="46961639" w14:textId="77777777" w:rsidR="0084128E" w:rsidRPr="00131A48" w:rsidRDefault="0084128E" w:rsidP="00C14594"/>
        </w:tc>
      </w:tr>
      <w:tr w:rsidR="0084128E" w:rsidRPr="00131A48" w14:paraId="1A2ACDFA" w14:textId="77777777" w:rsidTr="006D2274">
        <w:tc>
          <w:tcPr>
            <w:tcW w:w="8761" w:type="dxa"/>
            <w:tcMar>
              <w:left w:w="14" w:type="dxa"/>
              <w:right w:w="14" w:type="dxa"/>
            </w:tcMar>
          </w:tcPr>
          <w:p w14:paraId="415EB758" w14:textId="77777777" w:rsidR="0084128E" w:rsidRPr="00131A48" w:rsidRDefault="0084128E" w:rsidP="00C14594">
            <w:pPr>
              <w:ind w:left="360"/>
            </w:pPr>
            <w:r w:rsidRPr="00131A48">
              <w:t>4. Tests of Procedures or Methods to be Undertaken</w:t>
            </w:r>
          </w:p>
        </w:tc>
        <w:tc>
          <w:tcPr>
            <w:tcW w:w="253" w:type="dxa"/>
            <w:tcMar>
              <w:left w:w="14" w:type="dxa"/>
              <w:right w:w="14" w:type="dxa"/>
            </w:tcMar>
          </w:tcPr>
          <w:p w14:paraId="69AC8302" w14:textId="77777777" w:rsidR="0084128E" w:rsidRPr="00131A48" w:rsidRDefault="0084128E" w:rsidP="00C14594"/>
        </w:tc>
      </w:tr>
      <w:tr w:rsidR="006D2274" w:rsidRPr="00131A48" w14:paraId="19E7D3D7" w14:textId="77777777" w:rsidTr="006D2274">
        <w:tc>
          <w:tcPr>
            <w:tcW w:w="8761" w:type="dxa"/>
            <w:tcMar>
              <w:left w:w="14" w:type="dxa"/>
              <w:right w:w="14" w:type="dxa"/>
            </w:tcMar>
          </w:tcPr>
          <w:p w14:paraId="772CB906" w14:textId="77777777" w:rsidR="006D2274" w:rsidRPr="00131A48" w:rsidRDefault="006D2274" w:rsidP="00C14594">
            <w:pPr>
              <w:ind w:left="360"/>
            </w:pPr>
            <w:r w:rsidRPr="00131A48">
              <w:t>5. Individuals Consulted on Statistical Aspects and Individuals Collecting and/or Analyzing Data</w:t>
            </w:r>
          </w:p>
        </w:tc>
        <w:tc>
          <w:tcPr>
            <w:tcW w:w="253" w:type="dxa"/>
            <w:tcMar>
              <w:left w:w="14" w:type="dxa"/>
              <w:right w:w="14" w:type="dxa"/>
            </w:tcMar>
          </w:tcPr>
          <w:p w14:paraId="09C306C8" w14:textId="77777777" w:rsidR="006D2274" w:rsidRPr="00131A48" w:rsidRDefault="006D2274" w:rsidP="00C14594"/>
        </w:tc>
      </w:tr>
      <w:tr w:rsidR="006D2274" w:rsidRPr="00131A48" w14:paraId="471ABD4F" w14:textId="77777777" w:rsidTr="006D2274">
        <w:tc>
          <w:tcPr>
            <w:tcW w:w="8761" w:type="dxa"/>
            <w:tcMar>
              <w:left w:w="14" w:type="dxa"/>
              <w:right w:w="14" w:type="dxa"/>
            </w:tcMar>
          </w:tcPr>
          <w:p w14:paraId="6DB6A6E2" w14:textId="77777777" w:rsidR="006D2274" w:rsidRPr="00131A48" w:rsidRDefault="006D2274" w:rsidP="00C14594">
            <w:pPr>
              <w:ind w:left="360"/>
            </w:pPr>
          </w:p>
        </w:tc>
        <w:tc>
          <w:tcPr>
            <w:tcW w:w="253" w:type="dxa"/>
            <w:tcMar>
              <w:left w:w="14" w:type="dxa"/>
              <w:right w:w="14" w:type="dxa"/>
            </w:tcMar>
          </w:tcPr>
          <w:p w14:paraId="132D2CC2" w14:textId="77777777" w:rsidR="006D2274" w:rsidRPr="00131A48" w:rsidRDefault="006D2274" w:rsidP="00C14594"/>
        </w:tc>
      </w:tr>
      <w:tr w:rsidR="006D2274" w:rsidRPr="00131A48" w14:paraId="20DA38CC" w14:textId="77777777" w:rsidTr="006D2274">
        <w:tc>
          <w:tcPr>
            <w:tcW w:w="8761" w:type="dxa"/>
            <w:tcMar>
              <w:left w:w="14" w:type="dxa"/>
              <w:right w:w="14" w:type="dxa"/>
            </w:tcMar>
          </w:tcPr>
          <w:p w14:paraId="67DD4754" w14:textId="77777777" w:rsidR="006D2274" w:rsidRPr="00131A48" w:rsidRDefault="006D2274" w:rsidP="006D2274">
            <w:r>
              <w:t>References</w:t>
            </w:r>
          </w:p>
        </w:tc>
        <w:tc>
          <w:tcPr>
            <w:tcW w:w="253" w:type="dxa"/>
            <w:tcMar>
              <w:left w:w="14" w:type="dxa"/>
              <w:right w:w="14" w:type="dxa"/>
            </w:tcMar>
          </w:tcPr>
          <w:p w14:paraId="2F06543B" w14:textId="77777777" w:rsidR="006D2274" w:rsidRPr="00131A48" w:rsidRDefault="006D2274" w:rsidP="00E7472F"/>
        </w:tc>
      </w:tr>
      <w:tr w:rsidR="006D2274" w:rsidRPr="00131A48" w14:paraId="3FC3AF7F" w14:textId="77777777" w:rsidTr="006D2274">
        <w:tc>
          <w:tcPr>
            <w:tcW w:w="8761" w:type="dxa"/>
            <w:tcMar>
              <w:left w:w="14" w:type="dxa"/>
              <w:right w:w="14" w:type="dxa"/>
            </w:tcMar>
          </w:tcPr>
          <w:p w14:paraId="6EC1AA05" w14:textId="77777777" w:rsidR="006D2274" w:rsidRPr="00131A48" w:rsidRDefault="006D2274" w:rsidP="00E7472F">
            <w:pPr>
              <w:ind w:left="360"/>
            </w:pPr>
          </w:p>
        </w:tc>
        <w:tc>
          <w:tcPr>
            <w:tcW w:w="253" w:type="dxa"/>
            <w:tcMar>
              <w:left w:w="14" w:type="dxa"/>
              <w:right w:w="14" w:type="dxa"/>
            </w:tcMar>
          </w:tcPr>
          <w:p w14:paraId="16A47FB3" w14:textId="77777777" w:rsidR="006D2274" w:rsidRPr="00131A48" w:rsidRDefault="006D2274" w:rsidP="00E7472F"/>
        </w:tc>
      </w:tr>
      <w:tr w:rsidR="006D2274" w:rsidRPr="00131A48" w14:paraId="3A986357" w14:textId="77777777" w:rsidTr="006D2274">
        <w:tc>
          <w:tcPr>
            <w:tcW w:w="8761" w:type="dxa"/>
            <w:tcMar>
              <w:left w:w="14" w:type="dxa"/>
              <w:right w:w="14" w:type="dxa"/>
            </w:tcMar>
          </w:tcPr>
          <w:p w14:paraId="51308130" w14:textId="77777777" w:rsidR="006D2274" w:rsidRPr="00131A48" w:rsidRDefault="006D2274" w:rsidP="006D2274">
            <w:r>
              <w:t xml:space="preserve">List of </w:t>
            </w:r>
            <w:r w:rsidR="00063F7E">
              <w:t xml:space="preserve">Appendices and </w:t>
            </w:r>
            <w:r>
              <w:t>Attachments</w:t>
            </w:r>
          </w:p>
        </w:tc>
        <w:tc>
          <w:tcPr>
            <w:tcW w:w="253" w:type="dxa"/>
            <w:tcMar>
              <w:left w:w="14" w:type="dxa"/>
              <w:right w:w="14" w:type="dxa"/>
            </w:tcMar>
          </w:tcPr>
          <w:p w14:paraId="4CD8F769" w14:textId="77777777" w:rsidR="006D2274" w:rsidRPr="00131A48" w:rsidRDefault="006D2274" w:rsidP="00E7472F"/>
        </w:tc>
      </w:tr>
    </w:tbl>
    <w:p w14:paraId="0327E58A" w14:textId="77777777" w:rsidR="0084128E" w:rsidRDefault="0084128E">
      <w:pPr>
        <w:spacing w:after="200" w:line="276" w:lineRule="auto"/>
        <w:rPr>
          <w:b/>
        </w:rPr>
      </w:pPr>
      <w:r>
        <w:rPr>
          <w:b/>
        </w:rPr>
        <w:br w:type="page"/>
      </w:r>
    </w:p>
    <w:p w14:paraId="2C9D85F2" w14:textId="77777777" w:rsidR="0062532F" w:rsidRDefault="00757F16" w:rsidP="00757F16">
      <w:pPr>
        <w:jc w:val="center"/>
        <w:rPr>
          <w:b/>
        </w:rPr>
      </w:pPr>
      <w:r>
        <w:rPr>
          <w:b/>
        </w:rPr>
        <w:lastRenderedPageBreak/>
        <w:t>Ebola Virus Disease in the United States:</w:t>
      </w:r>
    </w:p>
    <w:p w14:paraId="32287234" w14:textId="77777777" w:rsidR="00757F16" w:rsidRDefault="0062532F" w:rsidP="00757F16">
      <w:pPr>
        <w:jc w:val="center"/>
        <w:rPr>
          <w:b/>
        </w:rPr>
      </w:pPr>
      <w:r>
        <w:rPr>
          <w:b/>
        </w:rPr>
        <w:t xml:space="preserve">CDC Support for </w:t>
      </w:r>
      <w:r w:rsidR="00757F16">
        <w:rPr>
          <w:b/>
        </w:rPr>
        <w:t>Case and Contact Investigation</w:t>
      </w:r>
    </w:p>
    <w:p w14:paraId="54B204D7" w14:textId="77777777" w:rsidR="00757F16" w:rsidRDefault="00BC6A27" w:rsidP="00757F16">
      <w:pPr>
        <w:jc w:val="center"/>
        <w:rPr>
          <w:b/>
        </w:rPr>
      </w:pPr>
      <w:r>
        <w:rPr>
          <w:b/>
        </w:rPr>
        <w:t>Emergency</w:t>
      </w:r>
      <w:r w:rsidR="00757F16">
        <w:rPr>
          <w:b/>
        </w:rPr>
        <w:t xml:space="preserve"> Information Collection Request</w:t>
      </w:r>
      <w:r w:rsidR="00757F16" w:rsidDel="000E2DF1">
        <w:rPr>
          <w:b/>
        </w:rPr>
        <w:t xml:space="preserve"> </w:t>
      </w:r>
    </w:p>
    <w:p w14:paraId="4C707EAD" w14:textId="77777777" w:rsidR="00D9238A" w:rsidRDefault="00D9238A" w:rsidP="00D9238A">
      <w:pPr>
        <w:rPr>
          <w:rFonts w:ascii="Arial" w:hAnsi="Arial" w:cs="Arial"/>
          <w:color w:val="1F497D"/>
          <w:sz w:val="20"/>
          <w:szCs w:val="20"/>
        </w:rPr>
      </w:pPr>
    </w:p>
    <w:p w14:paraId="12B89322" w14:textId="77777777" w:rsidR="00D9238A" w:rsidRDefault="00D9238A" w:rsidP="00C60EAA">
      <w:pPr>
        <w:widowControl w:val="0"/>
        <w:rPr>
          <w:b/>
          <w:u w:val="single"/>
        </w:rPr>
      </w:pPr>
    </w:p>
    <w:p w14:paraId="4DF1427D" w14:textId="77777777" w:rsidR="00C60EAA" w:rsidRDefault="00C60EAA" w:rsidP="00C60EAA">
      <w:pPr>
        <w:widowControl w:val="0"/>
        <w:rPr>
          <w:b/>
        </w:rPr>
      </w:pPr>
      <w:r>
        <w:rPr>
          <w:b/>
          <w:u w:val="single"/>
        </w:rPr>
        <w:t>B. Collections of Information Employing Statistical Methods</w:t>
      </w:r>
    </w:p>
    <w:p w14:paraId="3B9085A9" w14:textId="77777777" w:rsidR="00C60EAA" w:rsidRPr="00034430" w:rsidRDefault="00C60EAA" w:rsidP="00C60EAA">
      <w:pPr>
        <w:widowControl w:val="0"/>
      </w:pPr>
    </w:p>
    <w:p w14:paraId="32646C7A" w14:textId="77777777" w:rsidR="00D9238A" w:rsidRPr="0032715B" w:rsidRDefault="00D9238A" w:rsidP="00C60EAA">
      <w:pPr>
        <w:widowControl w:val="0"/>
        <w:rPr>
          <w:b/>
        </w:rPr>
      </w:pPr>
      <w:r w:rsidRPr="0032715B">
        <w:rPr>
          <w:b/>
        </w:rPr>
        <w:t>1. Respondent Universe and Sampling Methods</w:t>
      </w:r>
    </w:p>
    <w:p w14:paraId="51A2541E" w14:textId="77777777" w:rsidR="00D9238A" w:rsidRDefault="00D9238A" w:rsidP="00C60EAA">
      <w:pPr>
        <w:widowControl w:val="0"/>
      </w:pPr>
    </w:p>
    <w:p w14:paraId="5B81EDE5" w14:textId="300B7A0C" w:rsidR="007D485B" w:rsidRPr="00034430" w:rsidRDefault="007D485B" w:rsidP="007D485B">
      <w:pPr>
        <w:widowControl w:val="0"/>
      </w:pPr>
      <w:r w:rsidRPr="00034430">
        <w:t xml:space="preserve">No statistical </w:t>
      </w:r>
      <w:r w:rsidR="00EA2D95">
        <w:t xml:space="preserve">sampling </w:t>
      </w:r>
      <w:r w:rsidRPr="00034430">
        <w:t>methods are used in this data collection</w:t>
      </w:r>
      <w:r>
        <w:t xml:space="preserve">; however, the Centers for Disease Control and Prevention (CDC) will </w:t>
      </w:r>
      <w:r w:rsidR="00EA2D95">
        <w:t>be generating statistical analyses with these data</w:t>
      </w:r>
      <w:r>
        <w:t>.</w:t>
      </w:r>
    </w:p>
    <w:p w14:paraId="229052B8" w14:textId="77777777" w:rsidR="007D485B" w:rsidRDefault="007D485B" w:rsidP="0032715B"/>
    <w:p w14:paraId="15C21F3C" w14:textId="77777777" w:rsidR="00583199" w:rsidRPr="004A4576" w:rsidRDefault="00757F16" w:rsidP="004A4576">
      <w:r w:rsidRPr="004A4576">
        <w:t xml:space="preserve">The method used for confirmed </w:t>
      </w:r>
      <w:r w:rsidR="0032715B" w:rsidRPr="004A4576">
        <w:t xml:space="preserve">case </w:t>
      </w:r>
      <w:r w:rsidRPr="004A4576">
        <w:t>and contact tracing is a case series study design.</w:t>
      </w:r>
      <w:r w:rsidR="00510ECB">
        <w:rPr>
          <w:rStyle w:val="FootnoteReference"/>
        </w:rPr>
        <w:footnoteReference w:id="2"/>
      </w:r>
      <w:r w:rsidRPr="004A4576">
        <w:t xml:space="preserve"> </w:t>
      </w:r>
      <w:r w:rsidR="00CE51F4" w:rsidRPr="004A4576">
        <w:t xml:space="preserve">The </w:t>
      </w:r>
      <w:r w:rsidR="00F931F1" w:rsidRPr="004A4576">
        <w:t>annualized burden table in Section A.12</w:t>
      </w:r>
      <w:r w:rsidR="00CE51F4" w:rsidRPr="004A4576">
        <w:t xml:space="preserve"> outlines respondent groups as: general public</w:t>
      </w:r>
      <w:r w:rsidR="00583199" w:rsidRPr="004A4576">
        <w:t xml:space="preserve"> [confirmed cases, persons under investigation (PUI), and contacts of cases]</w:t>
      </w:r>
      <w:r w:rsidR="00CE51F4" w:rsidRPr="004A4576">
        <w:t xml:space="preserve">, healthcare workers, laboratory personnel, environmental services personnel, and state, territorial, and local (STL) public health authorities. Each of these respondent groups will not be </w:t>
      </w:r>
      <w:r w:rsidR="00583199" w:rsidRPr="004A4576">
        <w:t>statistical</w:t>
      </w:r>
      <w:r w:rsidR="00CE51F4" w:rsidRPr="004A4576">
        <w:t xml:space="preserve"> samples, but rather</w:t>
      </w:r>
      <w:r w:rsidR="00583199" w:rsidRPr="004A4576">
        <w:t xml:space="preserve"> included</w:t>
      </w:r>
      <w:r w:rsidR="00CE51F4" w:rsidRPr="004A4576">
        <w:t xml:space="preserve"> as soon as their </w:t>
      </w:r>
      <w:r w:rsidR="00583199" w:rsidRPr="004A4576">
        <w:t xml:space="preserve">required </w:t>
      </w:r>
      <w:r w:rsidR="00CE51F4" w:rsidRPr="004A4576">
        <w:t xml:space="preserve">involvement in active monitoring is identified. </w:t>
      </w:r>
    </w:p>
    <w:p w14:paraId="5334F1B9" w14:textId="77777777" w:rsidR="00583199" w:rsidRPr="004A4576" w:rsidRDefault="00583199" w:rsidP="004A4576"/>
    <w:p w14:paraId="312A3780" w14:textId="77777777" w:rsidR="0032715B" w:rsidRPr="004A4576" w:rsidRDefault="00CE51F4" w:rsidP="004A4576">
      <w:r w:rsidRPr="004A4576">
        <w:t>The CDC</w:t>
      </w:r>
      <w:r w:rsidR="0032715B" w:rsidRPr="004A4576">
        <w:t xml:space="preserve"> “Interim Guidance for Monitoring and Movement of Persons wi</w:t>
      </w:r>
      <w:r w:rsidR="00583199" w:rsidRPr="004A4576">
        <w:t>th Potential Ebola Virus”</w:t>
      </w:r>
      <w:r w:rsidR="0032715B" w:rsidRPr="004A4576">
        <w:t xml:space="preserve"> provides STL public health authorities and other partners with a framework for determining appropriate public health actions based on risk factors and clinical presentation </w:t>
      </w:r>
      <w:r w:rsidR="0032715B" w:rsidRPr="004A4576">
        <w:rPr>
          <w:i/>
        </w:rPr>
        <w:t>(7)</w:t>
      </w:r>
      <w:r w:rsidR="00583199" w:rsidRPr="004A4576">
        <w:t xml:space="preserve">. </w:t>
      </w:r>
      <w:r w:rsidR="0032715B" w:rsidRPr="004A4576">
        <w:rPr>
          <w:color w:val="333333"/>
        </w:rPr>
        <w:t>As of November 16, 2014, this interim guidance recommends public health actions based on high, some, low (but not zero), and no identifiable risk exposure categories; and adds recommendations for specific groups and settings.</w:t>
      </w:r>
      <w:r w:rsidR="0032715B" w:rsidRPr="004A4576">
        <w:rPr>
          <w:rStyle w:val="FootnoteReference"/>
          <w:color w:val="333333"/>
        </w:rPr>
        <w:footnoteReference w:id="3"/>
      </w:r>
    </w:p>
    <w:p w14:paraId="3B9FF58E" w14:textId="77777777" w:rsidR="0032715B" w:rsidRPr="004A4576" w:rsidRDefault="0032715B" w:rsidP="004A4576"/>
    <w:p w14:paraId="029C0A14" w14:textId="77777777" w:rsidR="001860EB" w:rsidRPr="004A4576" w:rsidRDefault="001860EB" w:rsidP="004A4576">
      <w:pPr>
        <w:pStyle w:val="ListParagraph"/>
        <w:numPr>
          <w:ilvl w:val="0"/>
          <w:numId w:val="0"/>
        </w:numPr>
        <w:spacing w:after="0" w:line="240" w:lineRule="auto"/>
        <w:rPr>
          <w:bCs/>
          <w:color w:val="000000"/>
        </w:rPr>
      </w:pPr>
      <w:r w:rsidRPr="004A4576">
        <w:rPr>
          <w:bCs/>
          <w:color w:val="000000"/>
        </w:rPr>
        <w:t>For those</w:t>
      </w:r>
      <w:r w:rsidR="0042681D" w:rsidRPr="004A4576">
        <w:rPr>
          <w:bCs/>
          <w:color w:val="000000"/>
        </w:rPr>
        <w:t xml:space="preserve"> persons who are identified</w:t>
      </w:r>
      <w:r w:rsidR="007D485B" w:rsidRPr="004A4576">
        <w:rPr>
          <w:bCs/>
          <w:color w:val="000000"/>
        </w:rPr>
        <w:t xml:space="preserve"> as being at h</w:t>
      </w:r>
      <w:r w:rsidRPr="004A4576">
        <w:rPr>
          <w:bCs/>
          <w:color w:val="000000"/>
        </w:rPr>
        <w:t xml:space="preserve">igh </w:t>
      </w:r>
      <w:r w:rsidR="007D485B" w:rsidRPr="004A4576">
        <w:rPr>
          <w:bCs/>
          <w:color w:val="000000"/>
        </w:rPr>
        <w:t>r</w:t>
      </w:r>
      <w:r w:rsidRPr="004A4576">
        <w:rPr>
          <w:bCs/>
          <w:color w:val="000000"/>
        </w:rPr>
        <w:t xml:space="preserve">isk, </w:t>
      </w:r>
      <w:r w:rsidR="007D485B" w:rsidRPr="004A4576">
        <w:rPr>
          <w:bCs/>
          <w:color w:val="000000"/>
        </w:rPr>
        <w:t>s</w:t>
      </w:r>
      <w:r w:rsidRPr="004A4576">
        <w:rPr>
          <w:bCs/>
          <w:color w:val="000000"/>
        </w:rPr>
        <w:t xml:space="preserve">ome </w:t>
      </w:r>
      <w:r w:rsidR="007D485B" w:rsidRPr="004A4576">
        <w:rPr>
          <w:bCs/>
          <w:color w:val="000000"/>
        </w:rPr>
        <w:t>r</w:t>
      </w:r>
      <w:r w:rsidRPr="004A4576">
        <w:rPr>
          <w:bCs/>
          <w:color w:val="000000"/>
        </w:rPr>
        <w:t xml:space="preserve">isk, or who are healthcare workers treating EVD patients in the U.S.  </w:t>
      </w:r>
      <w:r w:rsidR="007D485B" w:rsidRPr="004A4576">
        <w:rPr>
          <w:bCs/>
          <w:color w:val="000000"/>
        </w:rPr>
        <w:t>STL public health authoritie</w:t>
      </w:r>
      <w:r w:rsidRPr="004A4576">
        <w:rPr>
          <w:bCs/>
          <w:color w:val="000000"/>
        </w:rPr>
        <w:t xml:space="preserve">s are responsible for ensuring that a public health authority (or delegate for healthcare workers) conducts direct active monitoring (DAM) by directly observing each person at least once daily to review the presence of symptoms consistent with EVD (including severe headache, fatigue, muscle pain, weakness, diarrhea, vomiting, abdominal pain, or unexplained hemorrhage);  monitoring of temperature; and discussing plans to work, travel, take public conveyances, or be present in congregate locations.  </w:t>
      </w:r>
    </w:p>
    <w:p w14:paraId="373B4B4D" w14:textId="77777777" w:rsidR="001860EB" w:rsidRPr="004A4576" w:rsidRDefault="001860EB" w:rsidP="004A4576">
      <w:pPr>
        <w:pStyle w:val="ListParagraph"/>
        <w:numPr>
          <w:ilvl w:val="0"/>
          <w:numId w:val="0"/>
        </w:numPr>
        <w:spacing w:after="0" w:line="240" w:lineRule="auto"/>
        <w:rPr>
          <w:bCs/>
          <w:color w:val="000000"/>
        </w:rPr>
      </w:pPr>
    </w:p>
    <w:p w14:paraId="78C49EFD" w14:textId="77777777" w:rsidR="001860EB" w:rsidRPr="004A4576" w:rsidRDefault="001860EB" w:rsidP="004A4576">
      <w:pPr>
        <w:pStyle w:val="ListParagraph"/>
        <w:numPr>
          <w:ilvl w:val="0"/>
          <w:numId w:val="0"/>
        </w:numPr>
        <w:spacing w:after="0" w:line="240" w:lineRule="auto"/>
      </w:pPr>
      <w:r w:rsidRPr="004A4576">
        <w:rPr>
          <w:bCs/>
          <w:color w:val="000000"/>
        </w:rPr>
        <w:t>For non-healthcare workers</w:t>
      </w:r>
      <w:r w:rsidR="007D485B" w:rsidRPr="004A4576">
        <w:rPr>
          <w:bCs/>
          <w:color w:val="000000"/>
        </w:rPr>
        <w:t xml:space="preserve"> assessed as being at l</w:t>
      </w:r>
      <w:r w:rsidRPr="004A4576">
        <w:rPr>
          <w:bCs/>
          <w:color w:val="000000"/>
        </w:rPr>
        <w:t xml:space="preserve">ow, but not </w:t>
      </w:r>
      <w:r w:rsidR="007D485B" w:rsidRPr="004A4576">
        <w:rPr>
          <w:bCs/>
          <w:color w:val="000000"/>
        </w:rPr>
        <w:t>z</w:t>
      </w:r>
      <w:r w:rsidRPr="004A4576">
        <w:rPr>
          <w:bCs/>
          <w:color w:val="000000"/>
        </w:rPr>
        <w:t xml:space="preserve">ero, </w:t>
      </w:r>
      <w:r w:rsidR="007D485B" w:rsidRPr="004A4576">
        <w:rPr>
          <w:bCs/>
          <w:color w:val="000000"/>
        </w:rPr>
        <w:t>risk</w:t>
      </w:r>
      <w:r w:rsidRPr="004A4576">
        <w:rPr>
          <w:bCs/>
          <w:color w:val="000000"/>
        </w:rPr>
        <w:t xml:space="preserve">, </w:t>
      </w:r>
      <w:r w:rsidR="007D485B" w:rsidRPr="004A4576">
        <w:rPr>
          <w:bCs/>
          <w:color w:val="000000"/>
        </w:rPr>
        <w:t>STL public health authorities</w:t>
      </w:r>
      <w:r w:rsidRPr="004A4576">
        <w:rPr>
          <w:bCs/>
          <w:color w:val="000000"/>
        </w:rPr>
        <w:t xml:space="preserve"> are responsible for conducting active monitoring (AM) -- receiving daily reports of temperature monitored with a Food and Drug Administration (FDA)-cleared thermometer and presence/absence of symptoms.</w:t>
      </w:r>
    </w:p>
    <w:p w14:paraId="2A1454D6" w14:textId="77777777" w:rsidR="00583199" w:rsidRDefault="00583199" w:rsidP="00757F16">
      <w:pPr>
        <w:rPr>
          <w:bCs/>
          <w:color w:val="000000"/>
        </w:rPr>
      </w:pPr>
    </w:p>
    <w:p w14:paraId="69075235" w14:textId="6EC7DCD4" w:rsidR="00757F16" w:rsidRDefault="00757F16" w:rsidP="00757F16">
      <w:r w:rsidRPr="0020504E">
        <w:lastRenderedPageBreak/>
        <w:t>Respondents will also include any contacts identified through the case investigation process</w:t>
      </w:r>
      <w:r w:rsidR="00F931F1">
        <w:t>, and for reporting purposes, STL public health authorities and their delegates</w:t>
      </w:r>
      <w:r w:rsidR="00EA2D95">
        <w:t>; in this case, a</w:t>
      </w:r>
      <w:r w:rsidR="00194B84">
        <w:t>ll</w:t>
      </w:r>
      <w:r w:rsidR="00EA2D95">
        <w:t xml:space="preserve"> affected states will be asked to report to the CDC. </w:t>
      </w:r>
    </w:p>
    <w:p w14:paraId="58E9AB7F" w14:textId="77777777" w:rsidR="00D9238A" w:rsidRDefault="00D9238A" w:rsidP="00C60EAA">
      <w:pPr>
        <w:widowControl w:val="0"/>
      </w:pPr>
    </w:p>
    <w:p w14:paraId="176504BA" w14:textId="77777777" w:rsidR="0032468F" w:rsidRPr="0032715B" w:rsidRDefault="0032468F" w:rsidP="00C60EAA">
      <w:pPr>
        <w:widowControl w:val="0"/>
        <w:rPr>
          <w:b/>
        </w:rPr>
      </w:pPr>
      <w:r w:rsidRPr="0032715B">
        <w:rPr>
          <w:b/>
        </w:rPr>
        <w:t>2.</w:t>
      </w:r>
      <w:r w:rsidR="00EE3D93" w:rsidRPr="0032715B">
        <w:rPr>
          <w:b/>
        </w:rPr>
        <w:t xml:space="preserve"> </w:t>
      </w:r>
      <w:r w:rsidRPr="0032715B">
        <w:rPr>
          <w:b/>
        </w:rPr>
        <w:t>Procedures for the Collection of Information</w:t>
      </w:r>
    </w:p>
    <w:p w14:paraId="19730207" w14:textId="77777777" w:rsidR="0032468F" w:rsidRDefault="0032468F" w:rsidP="00C60EAA">
      <w:pPr>
        <w:widowControl w:val="0"/>
      </w:pPr>
    </w:p>
    <w:p w14:paraId="6C2191B2" w14:textId="77777777" w:rsidR="00987E22" w:rsidRDefault="0080649E" w:rsidP="00C60EAA">
      <w:pPr>
        <w:widowControl w:val="0"/>
      </w:pPr>
      <w:r>
        <w:t xml:space="preserve">In the field, the data needed to complete the forms may be collected by CDC staff (in-person, fax, email or phone) from persons under investigation, confirmed EVD cases, and contacts of Ebola cases on behalf of the STL public health authorities.  </w:t>
      </w:r>
      <w:r w:rsidR="00C24588">
        <w:t>While in</w:t>
      </w:r>
      <w:r w:rsidR="008C589E">
        <w:t xml:space="preserve"> the field, the CDC staff can provide daily reports to the CDC E</w:t>
      </w:r>
      <w:r w:rsidR="0003090D">
        <w:t xml:space="preserve">mergency Operations </w:t>
      </w:r>
      <w:r w:rsidR="008C589E">
        <w:t>C</w:t>
      </w:r>
      <w:r w:rsidR="0003090D">
        <w:t>enter (EOC)</w:t>
      </w:r>
      <w:r w:rsidR="008C589E">
        <w:t>, not imposing burden on the STL health authorities. When CDC is not in the field, the STL authorities collect their own case and control investigation data</w:t>
      </w:r>
      <w:r w:rsidR="00F126BC">
        <w:t xml:space="preserve"> as non-</w:t>
      </w:r>
      <w:r w:rsidR="008C589E">
        <w:t>federally sponsored collections; however, they incur burden when they provide daily reports back to the CDC.</w:t>
      </w:r>
    </w:p>
    <w:p w14:paraId="4FC67F69" w14:textId="77777777" w:rsidR="003F2D4A" w:rsidRDefault="003F2D4A" w:rsidP="00C60EAA">
      <w:pPr>
        <w:widowControl w:val="0"/>
      </w:pPr>
    </w:p>
    <w:p w14:paraId="0D12B89D" w14:textId="79AD775E" w:rsidR="003F2D4A" w:rsidRDefault="003F2D4A" w:rsidP="00C60EAA">
      <w:pPr>
        <w:widowControl w:val="0"/>
      </w:pPr>
      <w:r>
        <w:t>The CDC does not have a sense of how many states</w:t>
      </w:r>
      <w:r w:rsidR="001A1A47">
        <w:t xml:space="preserve"> have developed their own forms;</w:t>
      </w:r>
      <w:r>
        <w:t xml:space="preserve"> however, it is clear from our communications with the states that they are looking to CDC for these forms.  They are not primarily d</w:t>
      </w:r>
      <w:r w:rsidR="001A1A47">
        <w:t>eveloping their own, but some are</w:t>
      </w:r>
      <w:r>
        <w:t xml:space="preserve"> making minor modifications to ours that are relevant to their states.</w:t>
      </w:r>
    </w:p>
    <w:p w14:paraId="52403843" w14:textId="77777777" w:rsidR="00D5265D" w:rsidRDefault="00D5265D" w:rsidP="00C60EAA">
      <w:pPr>
        <w:widowControl w:val="0"/>
      </w:pPr>
    </w:p>
    <w:p w14:paraId="04BB34FD" w14:textId="2B044CA6" w:rsidR="00D5265D" w:rsidRPr="00D5265D" w:rsidRDefault="00D5265D" w:rsidP="00C60EAA">
      <w:pPr>
        <w:widowControl w:val="0"/>
        <w:rPr>
          <w:rFonts w:cs="Shruti"/>
          <w:bCs/>
        </w:rPr>
      </w:pPr>
      <w:r>
        <w:t>As stated in Section A.10.1,</w:t>
      </w:r>
      <w:r>
        <w:rPr>
          <w:rFonts w:cs="Shruti"/>
          <w:bCs/>
        </w:rPr>
        <w:t xml:space="preserve"> if CDC is requested to use STL-customized forms </w:t>
      </w:r>
      <w:r w:rsidR="001A1A47">
        <w:rPr>
          <w:rFonts w:cs="Shruti"/>
          <w:bCs/>
        </w:rPr>
        <w:t>by the</w:t>
      </w:r>
      <w:r>
        <w:rPr>
          <w:rFonts w:cs="Shruti"/>
          <w:bCs/>
        </w:rPr>
        <w:t xml:space="preserve"> requesting public health authorities, the forms will be submitted to OMB for PRA clearance as a change request. Burden tables will be adjusted to subtract hours from the standard EVD Toolkit requested herein and accounted for by the use of the STL-customized forms.</w:t>
      </w:r>
    </w:p>
    <w:p w14:paraId="5EDF3A9F" w14:textId="77777777" w:rsidR="003B0EE8" w:rsidRDefault="003B0EE8" w:rsidP="00C60EAA">
      <w:pPr>
        <w:widowControl w:val="0"/>
      </w:pPr>
    </w:p>
    <w:p w14:paraId="34D8C166" w14:textId="77777777" w:rsidR="0032468F" w:rsidRPr="0032715B" w:rsidRDefault="0032468F" w:rsidP="00C60EAA">
      <w:pPr>
        <w:widowControl w:val="0"/>
        <w:rPr>
          <w:b/>
        </w:rPr>
      </w:pPr>
      <w:r w:rsidRPr="0032715B">
        <w:rPr>
          <w:b/>
        </w:rPr>
        <w:t>3. Methods to Maximize Response Rates and Deal with No</w:t>
      </w:r>
      <w:r w:rsidR="002C144C">
        <w:rPr>
          <w:b/>
        </w:rPr>
        <w:t>nr</w:t>
      </w:r>
      <w:r w:rsidRPr="0032715B">
        <w:rPr>
          <w:b/>
        </w:rPr>
        <w:t>esponse</w:t>
      </w:r>
    </w:p>
    <w:p w14:paraId="7A804583" w14:textId="77777777" w:rsidR="0032468F" w:rsidRDefault="0032468F" w:rsidP="00C60EAA">
      <w:pPr>
        <w:widowControl w:val="0"/>
      </w:pPr>
    </w:p>
    <w:p w14:paraId="25F79C2A" w14:textId="0F16C603" w:rsidR="00987E22" w:rsidRDefault="0080649E" w:rsidP="00C60EAA">
      <w:pPr>
        <w:rPr>
          <w:rFonts w:cs="Shruti"/>
          <w:bCs/>
        </w:rPr>
      </w:pPr>
      <w:r>
        <w:rPr>
          <w:rFonts w:cs="Shruti"/>
          <w:bCs/>
        </w:rPr>
        <w:t xml:space="preserve">Due to the critical need to identify new Ebola cases as quickly as possible to prevent transmission to new cases, all contacts of the Ebola case are actively monitored – at a minimum they </w:t>
      </w:r>
      <w:r w:rsidR="002B50EB">
        <w:rPr>
          <w:rFonts w:cs="Shruti"/>
          <w:bCs/>
        </w:rPr>
        <w:t xml:space="preserve">measure their temperature </w:t>
      </w:r>
      <w:r>
        <w:rPr>
          <w:rFonts w:cs="Shruti"/>
          <w:bCs/>
        </w:rPr>
        <w:t>twice a day</w:t>
      </w:r>
      <w:r w:rsidR="002B50EB">
        <w:rPr>
          <w:rFonts w:cs="Shruti"/>
          <w:bCs/>
        </w:rPr>
        <w:t xml:space="preserve"> and report to STL at least once a day</w:t>
      </w:r>
      <w:r>
        <w:rPr>
          <w:rFonts w:cs="Shruti"/>
          <w:bCs/>
        </w:rPr>
        <w:t xml:space="preserve">.  All community members who are household contacts of the Ebola cases and all health care personnel who have contact with the Ebola case during patient care will have </w:t>
      </w:r>
      <w:r w:rsidR="002B50EB">
        <w:rPr>
          <w:rFonts w:cs="Shruti"/>
          <w:bCs/>
        </w:rPr>
        <w:t xml:space="preserve">DAM </w:t>
      </w:r>
      <w:r>
        <w:rPr>
          <w:rFonts w:cs="Shruti"/>
          <w:bCs/>
        </w:rPr>
        <w:t>for 21 days after last exposure.  D</w:t>
      </w:r>
      <w:r w:rsidR="008C589E">
        <w:rPr>
          <w:rFonts w:cs="Shruti"/>
          <w:bCs/>
        </w:rPr>
        <w:t>AM</w:t>
      </w:r>
      <w:r>
        <w:rPr>
          <w:rFonts w:cs="Shruti"/>
          <w:bCs/>
        </w:rPr>
        <w:t xml:space="preserve"> includes one face</w:t>
      </w:r>
      <w:r w:rsidR="006538B8">
        <w:rPr>
          <w:rFonts w:cs="Shruti"/>
          <w:bCs/>
        </w:rPr>
        <w:t>-</w:t>
      </w:r>
      <w:r>
        <w:rPr>
          <w:rFonts w:cs="Shruti"/>
          <w:bCs/>
        </w:rPr>
        <w:t>to</w:t>
      </w:r>
      <w:r w:rsidR="006538B8">
        <w:rPr>
          <w:rFonts w:cs="Shruti"/>
          <w:bCs/>
        </w:rPr>
        <w:t>-</w:t>
      </w:r>
      <w:r>
        <w:rPr>
          <w:rFonts w:cs="Shruti"/>
          <w:bCs/>
        </w:rPr>
        <w:t>face meeting and one phone call</w:t>
      </w:r>
      <w:r w:rsidR="008C589E">
        <w:rPr>
          <w:rFonts w:cs="Shruti"/>
          <w:bCs/>
        </w:rPr>
        <w:t xml:space="preserve"> e</w:t>
      </w:r>
      <w:r>
        <w:rPr>
          <w:rFonts w:cs="Shruti"/>
          <w:bCs/>
        </w:rPr>
        <w:t xml:space="preserve">ach day during the 21 day monitoring period. </w:t>
      </w:r>
      <w:r w:rsidR="00390C48">
        <w:rPr>
          <w:rFonts w:cs="Shruti"/>
          <w:bCs/>
        </w:rPr>
        <w:t xml:space="preserve"> All contacts will be educated so they understand the need for such close monitoring.</w:t>
      </w:r>
    </w:p>
    <w:p w14:paraId="272ECE8D" w14:textId="77777777" w:rsidR="00C60EAA" w:rsidRDefault="00C60EAA" w:rsidP="00C60EAA"/>
    <w:p w14:paraId="49B6C227" w14:textId="77777777" w:rsidR="0032468F" w:rsidRPr="0032715B" w:rsidRDefault="0032468F" w:rsidP="0032468F">
      <w:pPr>
        <w:rPr>
          <w:b/>
        </w:rPr>
      </w:pPr>
      <w:r w:rsidRPr="0032715B">
        <w:rPr>
          <w:b/>
        </w:rPr>
        <w:t xml:space="preserve">4. Tests of Procedures or Methods to be Undertaken </w:t>
      </w:r>
    </w:p>
    <w:p w14:paraId="03431E39" w14:textId="77777777" w:rsidR="0032468F" w:rsidRDefault="0032468F" w:rsidP="0032468F"/>
    <w:p w14:paraId="40EB3232" w14:textId="77777777" w:rsidR="0032468F" w:rsidRDefault="0032468F" w:rsidP="0032468F">
      <w:r>
        <w:t>CDC currently collect</w:t>
      </w:r>
      <w:r w:rsidR="00757F16">
        <w:t>ed</w:t>
      </w:r>
      <w:r>
        <w:t xml:space="preserve"> this </w:t>
      </w:r>
      <w:r w:rsidR="00757F16">
        <w:t xml:space="preserve">type of </w:t>
      </w:r>
      <w:r>
        <w:t xml:space="preserve">data under a previously approved </w:t>
      </w:r>
      <w:r w:rsidR="00757F16">
        <w:t xml:space="preserve">emergency </w:t>
      </w:r>
      <w:r>
        <w:t>data collection.  The electronic systems used for this data collection are continually updated and improved for quality of data collection and ease of use for the public, industry and CDC program administrators</w:t>
      </w:r>
      <w:r w:rsidR="004A4576">
        <w:t>.</w:t>
      </w:r>
    </w:p>
    <w:p w14:paraId="19F17891" w14:textId="77777777" w:rsidR="00976B4B" w:rsidRDefault="00976B4B" w:rsidP="003B0EE8"/>
    <w:p w14:paraId="5FAB1955" w14:textId="77B72293" w:rsidR="003B0EE8" w:rsidRPr="000615C4" w:rsidRDefault="0047282F" w:rsidP="003B0EE8">
      <w:r>
        <w:t xml:space="preserve">Previously, the CDC deployed </w:t>
      </w:r>
      <w:r w:rsidRPr="000615C4">
        <w:t>teams of public health e</w:t>
      </w:r>
      <w:r>
        <w:t xml:space="preserve">xperts to Texas and Ohio and plans to assist additional STL public health authorities that request CDC assistance with </w:t>
      </w:r>
      <w:r w:rsidR="00EA26B4">
        <w:t>active surveillance</w:t>
      </w:r>
      <w:r>
        <w:t xml:space="preserve"> of persons under investigation for EVD. </w:t>
      </w:r>
      <w:r w:rsidR="00976B4B" w:rsidRPr="00987E22">
        <w:t>A</w:t>
      </w:r>
      <w:r w:rsidR="005D6681">
        <w:t xml:space="preserve"> domestic</w:t>
      </w:r>
      <w:r w:rsidR="003B0EE8" w:rsidRPr="00987E22">
        <w:t xml:space="preserve"> Epi-Aid OMB </w:t>
      </w:r>
      <w:r w:rsidR="00987E22" w:rsidRPr="00987E22">
        <w:t>generic information collection (</w:t>
      </w:r>
      <w:proofErr w:type="spellStart"/>
      <w:r w:rsidR="003B0EE8" w:rsidRPr="00987E22">
        <w:t>GenIC</w:t>
      </w:r>
      <w:proofErr w:type="spellEnd"/>
      <w:r w:rsidR="00987E22" w:rsidRPr="00987E22">
        <w:t>)</w:t>
      </w:r>
      <w:r w:rsidR="003B0EE8" w:rsidRPr="00987E22">
        <w:t xml:space="preserve"> w</w:t>
      </w:r>
      <w:r w:rsidR="00987E22" w:rsidRPr="00987E22">
        <w:t>as</w:t>
      </w:r>
      <w:r w:rsidR="003B0EE8" w:rsidRPr="00987E22">
        <w:t xml:space="preserve"> approved under 0920-1011 “Emergency Epidemic </w:t>
      </w:r>
      <w:r w:rsidR="003B0EE8" w:rsidRPr="00987E22">
        <w:lastRenderedPageBreak/>
        <w:t xml:space="preserve">Investigation Data Collections” for </w:t>
      </w:r>
      <w:r w:rsidR="00987E22" w:rsidRPr="00987E22">
        <w:t>Texas and Ohio</w:t>
      </w:r>
      <w:r>
        <w:t xml:space="preserve"> </w:t>
      </w:r>
      <w:r w:rsidR="005D6681">
        <w:rPr>
          <w:rStyle w:val="FootnoteReference"/>
        </w:rPr>
        <w:footnoteReference w:id="4"/>
      </w:r>
      <w:r w:rsidR="003B0EE8" w:rsidRPr="00987E22">
        <w:t xml:space="preserve"> that </w:t>
      </w:r>
      <w:r w:rsidR="00987E22">
        <w:t xml:space="preserve">used </w:t>
      </w:r>
      <w:r w:rsidR="00EA26B4">
        <w:t>an</w:t>
      </w:r>
      <w:r w:rsidR="00987E22">
        <w:t xml:space="preserve"> </w:t>
      </w:r>
      <w:r w:rsidR="00987E22" w:rsidRPr="00987E22">
        <w:t>Ebola</w:t>
      </w:r>
      <w:r w:rsidR="003B0EE8" w:rsidRPr="00987E22">
        <w:t xml:space="preserve"> Case Investigation Form and </w:t>
      </w:r>
      <w:r w:rsidR="00EA26B4">
        <w:t>an</w:t>
      </w:r>
      <w:r w:rsidR="00987E22" w:rsidRPr="00987E22">
        <w:t xml:space="preserve"> </w:t>
      </w:r>
      <w:r w:rsidR="00987E22" w:rsidRPr="004A4576">
        <w:rPr>
          <w:rFonts w:eastAsiaTheme="minorHAnsi"/>
        </w:rPr>
        <w:t>Ebola Virus Disease Case Contact Questionnaire</w:t>
      </w:r>
      <w:r w:rsidR="003B0EE8" w:rsidRPr="00987E22">
        <w:t xml:space="preserve">. </w:t>
      </w:r>
      <w:r w:rsidR="005D6681">
        <w:t xml:space="preserve">These forms were used as models for the forms developed for the current EVD Toolkit. </w:t>
      </w:r>
      <w:r w:rsidR="003B0EE8">
        <w:t>A</w:t>
      </w:r>
      <w:r w:rsidR="003B0EE8" w:rsidRPr="000615C4">
        <w:t xml:space="preserve"> significant effort was made to limit questions the number of questions. </w:t>
      </w:r>
    </w:p>
    <w:p w14:paraId="41F7B6BC" w14:textId="77777777" w:rsidR="00615983" w:rsidRDefault="00615983"/>
    <w:p w14:paraId="572A1081" w14:textId="77777777" w:rsidR="0032468F" w:rsidRPr="0032715B" w:rsidRDefault="0032468F" w:rsidP="0032468F">
      <w:pPr>
        <w:rPr>
          <w:b/>
        </w:rPr>
      </w:pPr>
      <w:r w:rsidRPr="0032715B">
        <w:rPr>
          <w:b/>
        </w:rPr>
        <w:t>5. Individuals Consulted on Statistical Aspects and Individuals Collecting and/or Analyzing Data</w:t>
      </w:r>
    </w:p>
    <w:p w14:paraId="03C80646" w14:textId="77777777" w:rsidR="0032468F" w:rsidRDefault="0032468F" w:rsidP="0032468F"/>
    <w:p w14:paraId="2BA56401" w14:textId="47B6582A" w:rsidR="003B0EE8" w:rsidRDefault="00CA73C8" w:rsidP="0032468F">
      <w:r w:rsidRPr="000615C4">
        <w:t>CDC has activated its EOC to help coordinate technical assistance and control activities with par</w:t>
      </w:r>
      <w:r>
        <w:t xml:space="preserve">tners. </w:t>
      </w:r>
      <w:r w:rsidR="00DA696B">
        <w:t xml:space="preserve">Although statistical methods are not employed </w:t>
      </w:r>
      <w:r>
        <w:t xml:space="preserve">in a case series design, </w:t>
      </w:r>
      <w:r w:rsidR="00C80E3D">
        <w:t xml:space="preserve">the CDC tracks and reports </w:t>
      </w:r>
      <w:r>
        <w:t>summary surveillance sta</w:t>
      </w:r>
      <w:r w:rsidR="00C80E3D">
        <w:t>tistics</w:t>
      </w:r>
      <w:r>
        <w:t xml:space="preserve"> to the U.S. Department of Health and Human Services (HHS) and the White House on a daily basis.</w:t>
      </w:r>
    </w:p>
    <w:p w14:paraId="02FA332A" w14:textId="77777777" w:rsidR="00560E07" w:rsidRDefault="00560E07" w:rsidP="0032468F"/>
    <w:p w14:paraId="53897998" w14:textId="77777777" w:rsidR="006D2274" w:rsidRDefault="00C80E3D" w:rsidP="0032468F">
      <w:r>
        <w:t>W</w:t>
      </w:r>
      <w:r w:rsidR="00DA696B">
        <w:t>her</w:t>
      </w:r>
      <w:r>
        <w:t>e CDC is not deployed to the fi</w:t>
      </w:r>
      <w:r w:rsidR="00DA696B">
        <w:t>e</w:t>
      </w:r>
      <w:r>
        <w:t>l</w:t>
      </w:r>
      <w:r w:rsidR="00DA696B">
        <w:t xml:space="preserve">d, CDC is requesting daily STL </w:t>
      </w:r>
      <w:r>
        <w:t xml:space="preserve">active monitoring </w:t>
      </w:r>
      <w:r w:rsidR="00DA696B">
        <w:t xml:space="preserve">reports </w:t>
      </w:r>
      <w:r>
        <w:t>from jurisdictions conducting their own case and contact investigations.</w:t>
      </w:r>
      <w:r w:rsidR="003D1273">
        <w:t xml:space="preserve"> Therefore, it is desired that 100% the persons under investigation are monitored</w:t>
      </w:r>
      <w:r w:rsidR="00E155DE">
        <w:t xml:space="preserve"> </w:t>
      </w:r>
      <w:r w:rsidR="002D0E18">
        <w:t xml:space="preserve">and tracked </w:t>
      </w:r>
      <w:r w:rsidR="00E155DE">
        <w:t xml:space="preserve">for EVD until the 21 day </w:t>
      </w:r>
      <w:r w:rsidR="002D0E18">
        <w:t xml:space="preserve">monitoring </w:t>
      </w:r>
      <w:r w:rsidR="00E155DE">
        <w:t>period expires or a case is identified for treatment.</w:t>
      </w:r>
      <w:r w:rsidR="00560E07">
        <w:t xml:space="preserve"> Therefore, the CDC is not relying on statistical sampling methods to complete this information collection in the U.S.</w:t>
      </w:r>
    </w:p>
    <w:p w14:paraId="5C0AA3EC" w14:textId="77777777" w:rsidR="006D2274" w:rsidRDefault="006D2274">
      <w:pPr>
        <w:spacing w:after="200" w:line="276" w:lineRule="auto"/>
      </w:pPr>
      <w:r>
        <w:br w:type="page"/>
      </w:r>
    </w:p>
    <w:p w14:paraId="1F3F6E33" w14:textId="77777777" w:rsidR="00C225C2" w:rsidRDefault="00C225C2" w:rsidP="00C225C2">
      <w:pPr>
        <w:widowControl w:val="0"/>
        <w:rPr>
          <w:b/>
        </w:rPr>
      </w:pPr>
      <w:r>
        <w:rPr>
          <w:b/>
        </w:rPr>
        <w:lastRenderedPageBreak/>
        <w:t>References</w:t>
      </w:r>
    </w:p>
    <w:p w14:paraId="5F736FB8" w14:textId="77777777" w:rsidR="00C225C2" w:rsidRDefault="00C225C2" w:rsidP="00C225C2">
      <w:pPr>
        <w:widowControl w:val="0"/>
        <w:rPr>
          <w:b/>
        </w:rPr>
      </w:pPr>
    </w:p>
    <w:p w14:paraId="6A91D3D6" w14:textId="77777777" w:rsidR="00C225C2" w:rsidRPr="00F9515E" w:rsidRDefault="00C225C2" w:rsidP="00C225C2">
      <w:pPr>
        <w:numPr>
          <w:ilvl w:val="0"/>
          <w:numId w:val="2"/>
        </w:numPr>
        <w:spacing w:before="100" w:beforeAutospacing="1" w:after="100" w:afterAutospacing="1"/>
        <w:rPr>
          <w:lang w:val="en"/>
        </w:rPr>
      </w:pPr>
      <w:r>
        <w:rPr>
          <w:lang w:val="en"/>
        </w:rPr>
        <w:t xml:space="preserve">Baize S, </w:t>
      </w:r>
      <w:proofErr w:type="spellStart"/>
      <w:r>
        <w:rPr>
          <w:lang w:val="en"/>
        </w:rPr>
        <w:t>Pannetier</w:t>
      </w:r>
      <w:proofErr w:type="spellEnd"/>
      <w:r>
        <w:rPr>
          <w:lang w:val="en"/>
        </w:rPr>
        <w:t xml:space="preserve"> D, </w:t>
      </w:r>
      <w:proofErr w:type="spellStart"/>
      <w:r>
        <w:rPr>
          <w:lang w:val="en"/>
        </w:rPr>
        <w:t>Oestereich</w:t>
      </w:r>
      <w:proofErr w:type="spellEnd"/>
      <w:r>
        <w:rPr>
          <w:lang w:val="en"/>
        </w:rPr>
        <w:t xml:space="preserve"> L, et al. Emergence of Zaire Ebola virus disease in Guinea. N </w:t>
      </w:r>
      <w:proofErr w:type="spellStart"/>
      <w:r>
        <w:rPr>
          <w:lang w:val="en"/>
        </w:rPr>
        <w:t>Engl</w:t>
      </w:r>
      <w:proofErr w:type="spellEnd"/>
      <w:r>
        <w:rPr>
          <w:lang w:val="en"/>
        </w:rPr>
        <w:t xml:space="preserve"> J Med 2014;371:1418–25.</w:t>
      </w:r>
    </w:p>
    <w:p w14:paraId="7778AB74" w14:textId="77777777" w:rsidR="00C225C2" w:rsidRDefault="00C225C2" w:rsidP="00C225C2">
      <w:pPr>
        <w:numPr>
          <w:ilvl w:val="0"/>
          <w:numId w:val="2"/>
        </w:numPr>
        <w:spacing w:before="100" w:beforeAutospacing="1" w:after="100" w:afterAutospacing="1"/>
        <w:rPr>
          <w:lang w:val="en"/>
        </w:rPr>
      </w:pPr>
      <w:r>
        <w:rPr>
          <w:lang w:val="en"/>
        </w:rPr>
        <w:t xml:space="preserve">CDC. Ebola (Ebola virus disease). Ebola outbreak in West Africa 2014. Atlanta, GA: US Department of Health and Human Services, CDC; 2014. Available at </w:t>
      </w:r>
      <w:hyperlink r:id="rId9" w:history="1">
        <w:r>
          <w:rPr>
            <w:rStyle w:val="Hyperlink"/>
            <w:lang w:val="en"/>
          </w:rPr>
          <w:t>http://www.cdc.gov/vhf/Ebola/outbreaks/2014-west-africa/index.html</w:t>
        </w:r>
      </w:hyperlink>
      <w:r>
        <w:rPr>
          <w:lang w:val="en"/>
        </w:rPr>
        <w:t>.</w:t>
      </w:r>
    </w:p>
    <w:p w14:paraId="6B5684DD" w14:textId="77777777" w:rsidR="00C225C2" w:rsidRPr="00C56D64" w:rsidRDefault="00C225C2" w:rsidP="00C225C2">
      <w:pPr>
        <w:numPr>
          <w:ilvl w:val="0"/>
          <w:numId w:val="2"/>
        </w:numPr>
        <w:spacing w:before="100" w:beforeAutospacing="1" w:after="100" w:afterAutospacing="1"/>
        <w:rPr>
          <w:lang w:val="en"/>
        </w:rPr>
      </w:pPr>
      <w:proofErr w:type="spellStart"/>
      <w:r w:rsidRPr="00CC0875">
        <w:rPr>
          <w:lang w:val="en"/>
        </w:rPr>
        <w:t>Chervalier</w:t>
      </w:r>
      <w:proofErr w:type="spellEnd"/>
      <w:r w:rsidRPr="00CC0875">
        <w:rPr>
          <w:lang w:val="en"/>
        </w:rPr>
        <w:t xml:space="preserve"> MS, Chung W, Smith J, et al. Ebola virus disease cluster in the United States—Dallas County, Texas, 2014. MMWR </w:t>
      </w:r>
      <w:proofErr w:type="spellStart"/>
      <w:r w:rsidRPr="00CC0875">
        <w:rPr>
          <w:lang w:val="en"/>
        </w:rPr>
        <w:t>Morb</w:t>
      </w:r>
      <w:proofErr w:type="spellEnd"/>
      <w:r w:rsidRPr="00CC0875">
        <w:rPr>
          <w:lang w:val="en"/>
        </w:rPr>
        <w:t xml:space="preserve"> Mortal </w:t>
      </w:r>
      <w:proofErr w:type="spellStart"/>
      <w:r w:rsidRPr="00CC0875">
        <w:rPr>
          <w:lang w:val="en"/>
        </w:rPr>
        <w:t>Wkly</w:t>
      </w:r>
      <w:proofErr w:type="spellEnd"/>
      <w:r w:rsidRPr="00CC0875">
        <w:rPr>
          <w:lang w:val="en"/>
        </w:rPr>
        <w:t xml:space="preserve"> Rep 2014;63.</w:t>
      </w:r>
      <w:r>
        <w:rPr>
          <w:lang w:val="en"/>
        </w:rPr>
        <w:t xml:space="preserve"> Available December 3, 2014 at </w:t>
      </w:r>
      <w:hyperlink r:id="rId10" w:history="1">
        <w:r w:rsidRPr="00183D10">
          <w:rPr>
            <w:rStyle w:val="Hyperlink"/>
            <w:lang w:val="en"/>
          </w:rPr>
          <w:t>http://www.cdc.gov/mmwr/preview/mmwrhtml/mm6346a11.htm</w:t>
        </w:r>
      </w:hyperlink>
      <w:r>
        <w:rPr>
          <w:lang w:val="en"/>
        </w:rPr>
        <w:t xml:space="preserve">. </w:t>
      </w:r>
    </w:p>
    <w:p w14:paraId="7133F8B6" w14:textId="77777777" w:rsidR="00C225C2" w:rsidRPr="00973E72" w:rsidRDefault="00C225C2" w:rsidP="00C225C2">
      <w:pPr>
        <w:numPr>
          <w:ilvl w:val="0"/>
          <w:numId w:val="2"/>
        </w:numPr>
        <w:spacing w:before="100" w:beforeAutospacing="1" w:after="100" w:afterAutospacing="1"/>
        <w:rPr>
          <w:rStyle w:val="Strong"/>
          <w:b w:val="0"/>
          <w:bCs w:val="0"/>
          <w:lang w:val="en"/>
        </w:rPr>
      </w:pPr>
      <w:r w:rsidRPr="00CC0875">
        <w:rPr>
          <w:lang w:val="en"/>
        </w:rPr>
        <w:t xml:space="preserve">McCarty CL, Basler C, </w:t>
      </w:r>
      <w:proofErr w:type="spellStart"/>
      <w:r w:rsidRPr="00CC0875">
        <w:rPr>
          <w:lang w:val="en"/>
        </w:rPr>
        <w:t>Karwowski</w:t>
      </w:r>
      <w:proofErr w:type="spellEnd"/>
      <w:r w:rsidRPr="00CC0875">
        <w:rPr>
          <w:lang w:val="en"/>
        </w:rPr>
        <w:t xml:space="preserve"> M. Response to importation of a case of Ebola virus disease – Ohio, October 2014. MMWR </w:t>
      </w:r>
      <w:proofErr w:type="spellStart"/>
      <w:r w:rsidRPr="00CC0875">
        <w:rPr>
          <w:lang w:val="en"/>
        </w:rPr>
        <w:t>Morb</w:t>
      </w:r>
      <w:proofErr w:type="spellEnd"/>
      <w:r w:rsidRPr="00CC0875">
        <w:rPr>
          <w:lang w:val="en"/>
        </w:rPr>
        <w:t xml:space="preserve"> Mortal </w:t>
      </w:r>
      <w:proofErr w:type="spellStart"/>
      <w:r w:rsidRPr="00CC0875">
        <w:rPr>
          <w:lang w:val="en"/>
        </w:rPr>
        <w:t>Wkly</w:t>
      </w:r>
      <w:proofErr w:type="spellEnd"/>
      <w:r w:rsidRPr="00CC0875">
        <w:rPr>
          <w:lang w:val="en"/>
        </w:rPr>
        <w:t xml:space="preserve"> Rep 2014. [In press]</w:t>
      </w:r>
      <w:r w:rsidRPr="002C4BD4">
        <w:rPr>
          <w:lang w:val="en"/>
        </w:rPr>
        <w:t xml:space="preserve">.  </w:t>
      </w:r>
      <w:r w:rsidRPr="002C4BD4">
        <w:rPr>
          <w:rStyle w:val="Strong"/>
          <w:b w:val="0"/>
          <w:lang w:val="en"/>
        </w:rPr>
        <w:t>November 14, 2014 / 63(Early Release);1-3</w:t>
      </w:r>
      <w:r>
        <w:rPr>
          <w:rStyle w:val="Strong"/>
          <w:b w:val="0"/>
          <w:lang w:val="en"/>
        </w:rPr>
        <w:t>.</w:t>
      </w:r>
      <w:r w:rsidRPr="002C4BD4">
        <w:rPr>
          <w:rStyle w:val="Strong"/>
          <w:b w:val="0"/>
          <w:lang w:val="en"/>
        </w:rPr>
        <w:t xml:space="preserve"> </w:t>
      </w:r>
      <w:r>
        <w:rPr>
          <w:lang w:val="en"/>
        </w:rPr>
        <w:t xml:space="preserve">Available December 3, 2014 at </w:t>
      </w:r>
      <w:hyperlink r:id="rId11" w:history="1">
        <w:r w:rsidRPr="00E54D61">
          <w:rPr>
            <w:rStyle w:val="Hyperlink"/>
            <w:lang w:val="en"/>
          </w:rPr>
          <w:t>http://www.cdc.gov/mmwr/pdf/wk/mm63e1114a6.pdf</w:t>
        </w:r>
      </w:hyperlink>
      <w:r w:rsidRPr="00E54D61">
        <w:rPr>
          <w:rStyle w:val="Strong"/>
          <w:lang w:val="en"/>
        </w:rPr>
        <w:t xml:space="preserve"> </w:t>
      </w:r>
    </w:p>
    <w:p w14:paraId="71D943A4" w14:textId="77777777" w:rsidR="00C225C2" w:rsidRDefault="00C225C2" w:rsidP="00C225C2">
      <w:pPr>
        <w:numPr>
          <w:ilvl w:val="0"/>
          <w:numId w:val="2"/>
        </w:numPr>
        <w:spacing w:before="100" w:beforeAutospacing="1" w:after="100" w:afterAutospacing="1"/>
        <w:rPr>
          <w:rStyle w:val="Strong"/>
          <w:b w:val="0"/>
          <w:bCs w:val="0"/>
          <w:lang w:val="en"/>
        </w:rPr>
      </w:pPr>
      <w:r>
        <w:rPr>
          <w:rStyle w:val="Strong"/>
          <w:b w:val="0"/>
          <w:bCs w:val="0"/>
          <w:lang w:val="en"/>
        </w:rPr>
        <w:t xml:space="preserve">CDC. Factsheet – Legal Authorities on Isolation and Quarantine, October, 2014. Available December 2, 2014 at </w:t>
      </w:r>
      <w:hyperlink r:id="rId12" w:history="1">
        <w:r w:rsidRPr="00555CDD">
          <w:rPr>
            <w:rStyle w:val="Hyperlink"/>
            <w:lang w:val="en"/>
          </w:rPr>
          <w:t>http://www.cdc.gov/quarantine/pdf/legal-authorities-isolation-quarantine.pdf</w:t>
        </w:r>
      </w:hyperlink>
      <w:r w:rsidRPr="00555CDD">
        <w:rPr>
          <w:rStyle w:val="Strong"/>
          <w:bCs w:val="0"/>
          <w:lang w:val="en"/>
        </w:rPr>
        <w:t xml:space="preserve">. </w:t>
      </w:r>
    </w:p>
    <w:p w14:paraId="3704EF94" w14:textId="77777777" w:rsidR="00C225C2" w:rsidRPr="00555CDD" w:rsidRDefault="00C225C2" w:rsidP="00C225C2">
      <w:pPr>
        <w:numPr>
          <w:ilvl w:val="0"/>
          <w:numId w:val="2"/>
        </w:numPr>
        <w:spacing w:before="100" w:beforeAutospacing="1" w:after="100" w:afterAutospacing="1"/>
        <w:rPr>
          <w:lang w:val="en"/>
        </w:rPr>
      </w:pPr>
      <w:r>
        <w:rPr>
          <w:rStyle w:val="Strong"/>
          <w:b w:val="0"/>
          <w:lang w:val="en"/>
        </w:rPr>
        <w:t>Cole JP</w:t>
      </w:r>
      <w:r w:rsidRPr="00555CDD">
        <w:rPr>
          <w:rStyle w:val="Strong"/>
          <w:lang w:val="en"/>
        </w:rPr>
        <w:t xml:space="preserve">. </w:t>
      </w:r>
      <w:r w:rsidRPr="00555CDD">
        <w:rPr>
          <w:bCs/>
        </w:rPr>
        <w:t>Federal and State Quarantine and Isolation</w:t>
      </w:r>
      <w:r>
        <w:rPr>
          <w:bCs/>
        </w:rPr>
        <w:t xml:space="preserve">. October 9, 2014. Congressional Research Service. Available December 3, 2014 at </w:t>
      </w:r>
      <w:hyperlink r:id="rId13" w:history="1">
        <w:r w:rsidRPr="00183D10">
          <w:rPr>
            <w:rStyle w:val="Hyperlink"/>
            <w:bCs/>
          </w:rPr>
          <w:t>http://cdn5.freedomoutpost.com/wp-content/uploads/2014/10/RL33201.pdf</w:t>
        </w:r>
      </w:hyperlink>
      <w:r>
        <w:rPr>
          <w:bCs/>
        </w:rPr>
        <w:t>.</w:t>
      </w:r>
    </w:p>
    <w:p w14:paraId="5367C420" w14:textId="77777777" w:rsidR="00C225C2" w:rsidRPr="006921E4" w:rsidRDefault="00C225C2" w:rsidP="00C225C2">
      <w:pPr>
        <w:numPr>
          <w:ilvl w:val="0"/>
          <w:numId w:val="2"/>
        </w:numPr>
        <w:spacing w:before="100" w:beforeAutospacing="1" w:after="100" w:afterAutospacing="1"/>
        <w:rPr>
          <w:rStyle w:val="Strong"/>
          <w:b w:val="0"/>
          <w:bCs w:val="0"/>
          <w:lang w:val="en"/>
        </w:rPr>
      </w:pPr>
      <w:r w:rsidRPr="006921E4">
        <w:rPr>
          <w:rStyle w:val="Strong"/>
          <w:b w:val="0"/>
          <w:lang w:val="en"/>
        </w:rPr>
        <w:t>CDC</w:t>
      </w:r>
      <w:r>
        <w:rPr>
          <w:rStyle w:val="Strong"/>
          <w:b w:val="0"/>
          <w:lang w:val="en"/>
        </w:rPr>
        <w:t>.</w:t>
      </w:r>
      <w:r w:rsidRPr="006921E4">
        <w:rPr>
          <w:rStyle w:val="Strong"/>
          <w:b w:val="0"/>
          <w:lang w:val="en"/>
        </w:rPr>
        <w:t xml:space="preserve"> </w:t>
      </w:r>
      <w:r>
        <w:rPr>
          <w:color w:val="333333"/>
        </w:rPr>
        <w:t>Interim U.S. Guidance for Monitoring and Movement of Persons with Potential Ebola Virus Exposure</w:t>
      </w:r>
      <w:r>
        <w:rPr>
          <w:rStyle w:val="Strong"/>
          <w:b w:val="0"/>
          <w:lang w:val="en"/>
        </w:rPr>
        <w:t xml:space="preserve">, November 28, 2014. Available December 2, 2014 at </w:t>
      </w:r>
      <w:hyperlink r:id="rId14" w:history="1">
        <w:r w:rsidRPr="006921E4">
          <w:rPr>
            <w:rStyle w:val="Hyperlink"/>
            <w:lang w:val="en"/>
          </w:rPr>
          <w:t>http://www.cdc.gov/vhf/ebola/exposure/monitoring-and-movement-of-persons-with-exposure.html</w:t>
        </w:r>
      </w:hyperlink>
      <w:r>
        <w:rPr>
          <w:rStyle w:val="Strong"/>
          <w:b w:val="0"/>
          <w:lang w:val="en"/>
        </w:rPr>
        <w:t>.</w:t>
      </w:r>
    </w:p>
    <w:p w14:paraId="4EDBE4C7" w14:textId="77777777" w:rsidR="006D2274" w:rsidRPr="00C225C2" w:rsidRDefault="00C225C2" w:rsidP="00C225C2">
      <w:pPr>
        <w:numPr>
          <w:ilvl w:val="0"/>
          <w:numId w:val="2"/>
        </w:numPr>
        <w:spacing w:before="100" w:beforeAutospacing="1" w:after="100" w:afterAutospacing="1"/>
        <w:rPr>
          <w:lang w:val="en"/>
        </w:rPr>
      </w:pPr>
      <w:r w:rsidRPr="006921E4">
        <w:rPr>
          <w:rStyle w:val="Strong"/>
          <w:b w:val="0"/>
          <w:lang w:val="en"/>
        </w:rPr>
        <w:t>World Health Organization (WHO).</w:t>
      </w:r>
      <w:r>
        <w:rPr>
          <w:rStyle w:val="Strong"/>
          <w:lang w:val="en"/>
        </w:rPr>
        <w:t xml:space="preserve"> </w:t>
      </w:r>
      <w:r>
        <w:t xml:space="preserve">Ebola virus disease. Fact sheet N°103, September 2014. Available December 2, 2014 at  </w:t>
      </w:r>
      <w:hyperlink r:id="rId15" w:history="1">
        <w:r w:rsidRPr="009601DB">
          <w:rPr>
            <w:rStyle w:val="Hyperlink"/>
          </w:rPr>
          <w:t>http://www.who.int/mediacentre/factsheets/fs103/en/</w:t>
        </w:r>
      </w:hyperlink>
      <w:r>
        <w:t>.</w:t>
      </w:r>
    </w:p>
    <w:p w14:paraId="64E4885F" w14:textId="77777777" w:rsidR="006D2274" w:rsidRDefault="006D2274" w:rsidP="006D2274">
      <w:pPr>
        <w:widowControl w:val="0"/>
      </w:pPr>
    </w:p>
    <w:p w14:paraId="2E509BCD" w14:textId="77777777" w:rsidR="006D2274" w:rsidRDefault="006D2274" w:rsidP="006D2274">
      <w:pPr>
        <w:tabs>
          <w:tab w:val="left" w:pos="1620"/>
          <w:tab w:val="left" w:pos="2520"/>
        </w:tabs>
        <w:spacing w:after="40"/>
        <w:outlineLvl w:val="0"/>
      </w:pPr>
    </w:p>
    <w:p w14:paraId="6575C18A" w14:textId="77777777" w:rsidR="006D2274" w:rsidRDefault="006D2274" w:rsidP="006D2274">
      <w:pPr>
        <w:widowControl w:val="0"/>
      </w:pPr>
      <w:r>
        <w:br w:type="page"/>
      </w:r>
    </w:p>
    <w:tbl>
      <w:tblPr>
        <w:tblW w:w="9180" w:type="dxa"/>
        <w:tblInd w:w="-346" w:type="dxa"/>
        <w:tblBorders>
          <w:insideV w:val="single" w:sz="4" w:space="0" w:color="auto"/>
        </w:tblBorders>
        <w:tblLook w:val="01E0" w:firstRow="1" w:lastRow="1" w:firstColumn="1" w:lastColumn="1" w:noHBand="0" w:noVBand="0"/>
      </w:tblPr>
      <w:tblGrid>
        <w:gridCol w:w="9180"/>
      </w:tblGrid>
      <w:tr w:rsidR="009F7E86" w:rsidRPr="00A838E0" w14:paraId="0CCB230C" w14:textId="77777777" w:rsidTr="009F7E86">
        <w:trPr>
          <w:trHeight w:val="260"/>
        </w:trPr>
        <w:tc>
          <w:tcPr>
            <w:tcW w:w="9180" w:type="dxa"/>
            <w:shd w:val="clear" w:color="auto" w:fill="auto"/>
            <w:tcMar>
              <w:top w:w="0" w:type="dxa"/>
              <w:left w:w="14" w:type="dxa"/>
              <w:bottom w:w="0" w:type="dxa"/>
              <w:right w:w="14" w:type="dxa"/>
            </w:tcMar>
          </w:tcPr>
          <w:p w14:paraId="718EC291" w14:textId="77777777" w:rsidR="009F7E86" w:rsidRPr="00BD133C" w:rsidRDefault="009F7E86" w:rsidP="00B65C7B">
            <w:pPr>
              <w:ind w:left="360" w:hanging="360"/>
              <w:rPr>
                <w:rFonts w:eastAsia="Arial Unicode MS"/>
                <w:b/>
              </w:rPr>
            </w:pPr>
            <w:r w:rsidRPr="009F7E86">
              <w:rPr>
                <w:rFonts w:eastAsia="Arial Unicode MS"/>
              </w:rPr>
              <w:lastRenderedPageBreak/>
              <w:br w:type="page"/>
            </w:r>
            <w:r w:rsidRPr="00BD133C">
              <w:rPr>
                <w:rFonts w:eastAsia="Arial Unicode MS"/>
                <w:b/>
              </w:rPr>
              <w:t>List of Appendices</w:t>
            </w:r>
          </w:p>
        </w:tc>
      </w:tr>
      <w:tr w:rsidR="009F7E86" w:rsidRPr="00A838E0" w14:paraId="3AD69C6D" w14:textId="77777777" w:rsidTr="009F7E86">
        <w:trPr>
          <w:trHeight w:val="260"/>
        </w:trPr>
        <w:tc>
          <w:tcPr>
            <w:tcW w:w="9180" w:type="dxa"/>
            <w:shd w:val="clear" w:color="auto" w:fill="auto"/>
            <w:tcMar>
              <w:top w:w="0" w:type="dxa"/>
              <w:left w:w="14" w:type="dxa"/>
              <w:bottom w:w="0" w:type="dxa"/>
              <w:right w:w="14" w:type="dxa"/>
            </w:tcMar>
          </w:tcPr>
          <w:p w14:paraId="680C4C43" w14:textId="77777777" w:rsidR="009F7E86" w:rsidRPr="00D47527" w:rsidRDefault="009F7E86" w:rsidP="00BE37A6">
            <w:pPr>
              <w:ind w:left="360" w:hanging="360"/>
              <w:rPr>
                <w:rFonts w:eastAsia="Arial Unicode MS"/>
              </w:rPr>
            </w:pPr>
            <w:r w:rsidRPr="00D47527">
              <w:rPr>
                <w:rFonts w:eastAsia="Arial Unicode MS"/>
              </w:rPr>
              <w:t>Appendix 1.  Authorizing Legislation</w:t>
            </w:r>
          </w:p>
        </w:tc>
      </w:tr>
      <w:tr w:rsidR="009F7E86" w:rsidRPr="00A838E0" w14:paraId="52E517C5" w14:textId="77777777" w:rsidTr="009F7E86">
        <w:trPr>
          <w:trHeight w:val="260"/>
        </w:trPr>
        <w:tc>
          <w:tcPr>
            <w:tcW w:w="9180" w:type="dxa"/>
            <w:shd w:val="clear" w:color="auto" w:fill="auto"/>
            <w:tcMar>
              <w:top w:w="0" w:type="dxa"/>
              <w:left w:w="14" w:type="dxa"/>
              <w:bottom w:w="0" w:type="dxa"/>
              <w:right w:w="14" w:type="dxa"/>
            </w:tcMar>
          </w:tcPr>
          <w:p w14:paraId="563BE5A0" w14:textId="3961195A" w:rsidR="009F7E86" w:rsidRPr="00D47527" w:rsidRDefault="009F7E86" w:rsidP="00BE37A6">
            <w:pPr>
              <w:ind w:left="360" w:hanging="360"/>
              <w:rPr>
                <w:rFonts w:eastAsia="Arial Unicode MS"/>
              </w:rPr>
            </w:pPr>
            <w:r w:rsidRPr="00D47527">
              <w:rPr>
                <w:rFonts w:eastAsia="Arial Unicode MS"/>
              </w:rPr>
              <w:t xml:space="preserve">Appendix 2.  </w:t>
            </w:r>
            <w:r>
              <w:rPr>
                <w:rFonts w:eastAsia="Arial Unicode MS"/>
              </w:rPr>
              <w:t>Consultations</w:t>
            </w:r>
          </w:p>
        </w:tc>
      </w:tr>
      <w:tr w:rsidR="009F7E86" w:rsidRPr="00A838E0" w14:paraId="26A2A05E" w14:textId="77777777" w:rsidTr="009F7E86">
        <w:trPr>
          <w:trHeight w:val="260"/>
        </w:trPr>
        <w:tc>
          <w:tcPr>
            <w:tcW w:w="9180" w:type="dxa"/>
            <w:shd w:val="clear" w:color="auto" w:fill="auto"/>
            <w:tcMar>
              <w:top w:w="0" w:type="dxa"/>
              <w:left w:w="14" w:type="dxa"/>
              <w:bottom w:w="0" w:type="dxa"/>
              <w:right w:w="14" w:type="dxa"/>
            </w:tcMar>
          </w:tcPr>
          <w:p w14:paraId="39CDC8F1" w14:textId="77777777" w:rsidR="009F7E86" w:rsidRPr="006D507A" w:rsidRDefault="009F7E86" w:rsidP="009F7E86">
            <w:pPr>
              <w:ind w:left="360" w:firstLine="166"/>
              <w:rPr>
                <w:rFonts w:eastAsia="Arial Unicode MS"/>
              </w:rPr>
            </w:pPr>
            <w:r w:rsidRPr="006D507A">
              <w:rPr>
                <w:rFonts w:eastAsia="Arial Unicode MS"/>
              </w:rPr>
              <w:t>2a. Council of State and Territorial Epidemiologists (CSTE)</w:t>
            </w:r>
          </w:p>
        </w:tc>
      </w:tr>
      <w:tr w:rsidR="009F7E86" w:rsidRPr="00A838E0" w14:paraId="345FE6F8" w14:textId="77777777" w:rsidTr="009F7E86">
        <w:trPr>
          <w:trHeight w:val="260"/>
        </w:trPr>
        <w:tc>
          <w:tcPr>
            <w:tcW w:w="9180" w:type="dxa"/>
            <w:shd w:val="clear" w:color="auto" w:fill="auto"/>
            <w:tcMar>
              <w:top w:w="0" w:type="dxa"/>
              <w:left w:w="14" w:type="dxa"/>
              <w:bottom w:w="0" w:type="dxa"/>
              <w:right w:w="14" w:type="dxa"/>
            </w:tcMar>
          </w:tcPr>
          <w:p w14:paraId="47EEEF52" w14:textId="77777777" w:rsidR="009F7E86" w:rsidRPr="006D507A" w:rsidRDefault="009F7E86" w:rsidP="009F7E86">
            <w:pPr>
              <w:ind w:left="360" w:firstLine="166"/>
              <w:rPr>
                <w:rFonts w:eastAsia="Arial Unicode MS"/>
              </w:rPr>
            </w:pPr>
            <w:r w:rsidRPr="006D507A">
              <w:rPr>
                <w:rFonts w:eastAsia="Arial Unicode MS"/>
              </w:rPr>
              <w:t>2b. Association of State</w:t>
            </w:r>
            <w:r>
              <w:rPr>
                <w:rFonts w:eastAsia="Arial Unicode MS"/>
              </w:rPr>
              <w:t xml:space="preserve"> and Territorial Health Officials</w:t>
            </w:r>
            <w:r w:rsidRPr="006D507A">
              <w:rPr>
                <w:rFonts w:eastAsia="Arial Unicode MS"/>
              </w:rPr>
              <w:t xml:space="preserve"> (ASTHO)</w:t>
            </w:r>
          </w:p>
        </w:tc>
      </w:tr>
      <w:tr w:rsidR="009F7E86" w:rsidRPr="00A838E0" w14:paraId="6DE49B22" w14:textId="77777777" w:rsidTr="009F7E86">
        <w:trPr>
          <w:trHeight w:val="260"/>
        </w:trPr>
        <w:tc>
          <w:tcPr>
            <w:tcW w:w="9180" w:type="dxa"/>
            <w:shd w:val="clear" w:color="auto" w:fill="auto"/>
            <w:tcMar>
              <w:top w:w="0" w:type="dxa"/>
              <w:left w:w="14" w:type="dxa"/>
              <w:bottom w:w="0" w:type="dxa"/>
              <w:right w:w="14" w:type="dxa"/>
            </w:tcMar>
          </w:tcPr>
          <w:p w14:paraId="5E2C8B30" w14:textId="77777777" w:rsidR="009F7E86" w:rsidRPr="006D507A" w:rsidRDefault="009F7E86" w:rsidP="009F7E86">
            <w:pPr>
              <w:ind w:left="360" w:firstLine="166"/>
              <w:rPr>
                <w:rFonts w:eastAsia="Arial Unicode MS"/>
              </w:rPr>
            </w:pPr>
            <w:r w:rsidRPr="006D507A">
              <w:rPr>
                <w:rFonts w:eastAsia="Arial Unicode MS"/>
              </w:rPr>
              <w:t xml:space="preserve">2c. </w:t>
            </w:r>
            <w:r w:rsidRPr="009F7E86">
              <w:rPr>
                <w:rStyle w:val="Strong"/>
                <w:rFonts w:eastAsia="Arial Unicode MS"/>
                <w:b w:val="0"/>
                <w:bCs w:val="0"/>
              </w:rPr>
              <w:t>National Association of County and City Health Officials</w:t>
            </w:r>
            <w:r w:rsidRPr="009F7E86">
              <w:rPr>
                <w:rFonts w:eastAsia="Arial Unicode MS"/>
              </w:rPr>
              <w:t xml:space="preserve"> (</w:t>
            </w:r>
            <w:r w:rsidRPr="009F7E86">
              <w:rPr>
                <w:rStyle w:val="Strong"/>
                <w:rFonts w:eastAsia="Arial Unicode MS"/>
                <w:b w:val="0"/>
                <w:bCs w:val="0"/>
              </w:rPr>
              <w:t>NACCHO</w:t>
            </w:r>
            <w:r w:rsidRPr="009F7E86">
              <w:rPr>
                <w:rFonts w:eastAsia="Arial Unicode MS"/>
              </w:rPr>
              <w:t>)</w:t>
            </w:r>
          </w:p>
        </w:tc>
      </w:tr>
      <w:tr w:rsidR="009F7E86" w:rsidRPr="00A838E0" w14:paraId="52379B18" w14:textId="77777777" w:rsidTr="009F7E86">
        <w:trPr>
          <w:trHeight w:val="260"/>
        </w:trPr>
        <w:tc>
          <w:tcPr>
            <w:tcW w:w="9180" w:type="dxa"/>
            <w:shd w:val="clear" w:color="auto" w:fill="auto"/>
            <w:tcMar>
              <w:top w:w="0" w:type="dxa"/>
              <w:left w:w="14" w:type="dxa"/>
              <w:bottom w:w="0" w:type="dxa"/>
              <w:right w:w="14" w:type="dxa"/>
            </w:tcMar>
          </w:tcPr>
          <w:p w14:paraId="76205A5D" w14:textId="77777777" w:rsidR="009F7E86" w:rsidRPr="00D47527" w:rsidRDefault="009F7E86" w:rsidP="00BE37A6">
            <w:pPr>
              <w:ind w:left="360" w:hanging="360"/>
              <w:rPr>
                <w:rFonts w:eastAsia="Arial Unicode MS"/>
              </w:rPr>
            </w:pPr>
            <w:r>
              <w:rPr>
                <w:rFonts w:eastAsia="Arial Unicode MS"/>
              </w:rPr>
              <w:t>Appendix 3.  CDC Privacy Act System of Records Notice 09-20-0113</w:t>
            </w:r>
          </w:p>
        </w:tc>
      </w:tr>
      <w:tr w:rsidR="009F7E86" w:rsidRPr="00A838E0" w14:paraId="21925773" w14:textId="77777777" w:rsidTr="009F7E86">
        <w:trPr>
          <w:trHeight w:val="260"/>
        </w:trPr>
        <w:tc>
          <w:tcPr>
            <w:tcW w:w="9180" w:type="dxa"/>
            <w:shd w:val="clear" w:color="auto" w:fill="auto"/>
            <w:tcMar>
              <w:top w:w="0" w:type="dxa"/>
              <w:left w:w="14" w:type="dxa"/>
              <w:bottom w:w="0" w:type="dxa"/>
              <w:right w:w="14" w:type="dxa"/>
            </w:tcMar>
          </w:tcPr>
          <w:p w14:paraId="3A45C48E" w14:textId="77777777" w:rsidR="009F7E86" w:rsidRPr="00AC38F9" w:rsidRDefault="009F7E86" w:rsidP="00B65C7B">
            <w:pPr>
              <w:ind w:left="360" w:hanging="360"/>
              <w:rPr>
                <w:rFonts w:eastAsia="Arial Unicode MS"/>
              </w:rPr>
            </w:pPr>
          </w:p>
        </w:tc>
      </w:tr>
      <w:tr w:rsidR="009F7E86" w14:paraId="398B4381" w14:textId="77777777" w:rsidTr="009F7E86">
        <w:trPr>
          <w:trHeight w:val="260"/>
        </w:trPr>
        <w:tc>
          <w:tcPr>
            <w:tcW w:w="9180" w:type="dxa"/>
            <w:shd w:val="clear" w:color="auto" w:fill="auto"/>
            <w:tcMar>
              <w:top w:w="0" w:type="dxa"/>
              <w:left w:w="14" w:type="dxa"/>
              <w:bottom w:w="0" w:type="dxa"/>
              <w:right w:w="14" w:type="dxa"/>
            </w:tcMar>
          </w:tcPr>
          <w:p w14:paraId="0631A4C8" w14:textId="77777777" w:rsidR="009F7E86" w:rsidRPr="00BD133C" w:rsidRDefault="009F7E86" w:rsidP="00B65C7B">
            <w:pPr>
              <w:ind w:left="360" w:hanging="360"/>
              <w:rPr>
                <w:rFonts w:eastAsia="Arial Unicode MS"/>
                <w:b/>
              </w:rPr>
            </w:pPr>
            <w:r w:rsidRPr="00BD133C">
              <w:rPr>
                <w:rFonts w:eastAsia="Arial Unicode MS"/>
                <w:b/>
              </w:rPr>
              <w:t>List of Attachments for CDC Domestic Ebola Virus Disease Toolkit</w:t>
            </w:r>
          </w:p>
        </w:tc>
      </w:tr>
      <w:tr w:rsidR="009F7E86" w:rsidRPr="00F95911" w14:paraId="38419EA6" w14:textId="77777777" w:rsidTr="009F7E86">
        <w:trPr>
          <w:trHeight w:val="260"/>
        </w:trPr>
        <w:tc>
          <w:tcPr>
            <w:tcW w:w="9180" w:type="dxa"/>
            <w:shd w:val="clear" w:color="auto" w:fill="auto"/>
            <w:tcMar>
              <w:top w:w="0" w:type="dxa"/>
              <w:left w:w="14" w:type="dxa"/>
              <w:bottom w:w="0" w:type="dxa"/>
              <w:right w:w="14" w:type="dxa"/>
            </w:tcMar>
          </w:tcPr>
          <w:p w14:paraId="2EA98435" w14:textId="77777777" w:rsidR="009F7E86" w:rsidRPr="00BD133C" w:rsidRDefault="009F7E86" w:rsidP="00B65C7B">
            <w:pPr>
              <w:ind w:left="360" w:hanging="360"/>
              <w:rPr>
                <w:rFonts w:eastAsia="Arial Unicode MS"/>
                <w:i/>
              </w:rPr>
            </w:pPr>
            <w:r w:rsidRPr="00BD133C">
              <w:rPr>
                <w:rFonts w:eastAsia="Arial Unicode MS"/>
                <w:i/>
              </w:rPr>
              <w:t>Forms for Cases and Persons Under Investigation</w:t>
            </w:r>
          </w:p>
        </w:tc>
      </w:tr>
      <w:tr w:rsidR="009F7E86" w:rsidRPr="00F95911" w14:paraId="11573410" w14:textId="77777777" w:rsidTr="009F7E86">
        <w:trPr>
          <w:trHeight w:val="260"/>
        </w:trPr>
        <w:tc>
          <w:tcPr>
            <w:tcW w:w="9180" w:type="dxa"/>
            <w:shd w:val="clear" w:color="auto" w:fill="auto"/>
            <w:tcMar>
              <w:top w:w="0" w:type="dxa"/>
              <w:left w:w="14" w:type="dxa"/>
              <w:bottom w:w="0" w:type="dxa"/>
              <w:right w:w="14" w:type="dxa"/>
            </w:tcMar>
          </w:tcPr>
          <w:p w14:paraId="48702563" w14:textId="77777777" w:rsidR="009F7E86" w:rsidRPr="00AC38F9" w:rsidRDefault="009F7E86" w:rsidP="00BE37A6">
            <w:pPr>
              <w:ind w:left="360" w:hanging="14"/>
              <w:rPr>
                <w:rFonts w:eastAsia="Arial Unicode MS"/>
              </w:rPr>
            </w:pPr>
            <w:r w:rsidRPr="00AC38F9">
              <w:rPr>
                <w:rFonts w:eastAsia="Arial Unicode MS"/>
              </w:rPr>
              <w:t>Attachment 1.  Ebola Virus Disease Case Investigation Form – United States</w:t>
            </w:r>
          </w:p>
        </w:tc>
      </w:tr>
      <w:tr w:rsidR="009F7E86" w:rsidRPr="00F95911" w14:paraId="7AD7B283" w14:textId="77777777" w:rsidTr="009F7E86">
        <w:trPr>
          <w:trHeight w:val="260"/>
        </w:trPr>
        <w:tc>
          <w:tcPr>
            <w:tcW w:w="9180" w:type="dxa"/>
            <w:shd w:val="clear" w:color="auto" w:fill="auto"/>
            <w:tcMar>
              <w:top w:w="0" w:type="dxa"/>
              <w:left w:w="14" w:type="dxa"/>
              <w:bottom w:w="0" w:type="dxa"/>
              <w:right w:w="14" w:type="dxa"/>
            </w:tcMar>
          </w:tcPr>
          <w:p w14:paraId="59750F45" w14:textId="77777777" w:rsidR="009F7E86" w:rsidRPr="00AC38F9" w:rsidRDefault="009F7E86" w:rsidP="00BE37A6">
            <w:pPr>
              <w:ind w:left="360" w:hanging="14"/>
              <w:rPr>
                <w:rFonts w:eastAsia="Arial Unicode MS"/>
              </w:rPr>
            </w:pPr>
            <w:r w:rsidRPr="00AC38F9">
              <w:rPr>
                <w:rFonts w:eastAsia="Arial Unicode MS"/>
              </w:rPr>
              <w:t>Attachment 1b.  Ebola Virus Disease Person Under Investigation (PUI) Form</w:t>
            </w:r>
          </w:p>
        </w:tc>
      </w:tr>
      <w:tr w:rsidR="009F7E86" w:rsidRPr="00F95911" w14:paraId="4EE12EC9" w14:textId="77777777" w:rsidTr="009F7E86">
        <w:trPr>
          <w:trHeight w:val="260"/>
        </w:trPr>
        <w:tc>
          <w:tcPr>
            <w:tcW w:w="9180" w:type="dxa"/>
            <w:shd w:val="clear" w:color="auto" w:fill="auto"/>
            <w:tcMar>
              <w:top w:w="0" w:type="dxa"/>
              <w:left w:w="14" w:type="dxa"/>
              <w:bottom w:w="0" w:type="dxa"/>
              <w:right w:w="14" w:type="dxa"/>
            </w:tcMar>
          </w:tcPr>
          <w:p w14:paraId="3FE853BC" w14:textId="77777777" w:rsidR="009F7E86" w:rsidRPr="00BD133C" w:rsidRDefault="009F7E86" w:rsidP="00B65C7B">
            <w:pPr>
              <w:ind w:left="360" w:hanging="360"/>
              <w:rPr>
                <w:rFonts w:eastAsia="Arial Unicode MS"/>
                <w:i/>
              </w:rPr>
            </w:pPr>
            <w:r w:rsidRPr="00BD133C">
              <w:rPr>
                <w:rFonts w:eastAsia="Arial Unicode MS"/>
                <w:i/>
              </w:rPr>
              <w:t>Forms for Contacts</w:t>
            </w:r>
          </w:p>
        </w:tc>
      </w:tr>
      <w:tr w:rsidR="009F7E86" w:rsidRPr="00F95911" w14:paraId="591DEDF3" w14:textId="77777777" w:rsidTr="009F7E86">
        <w:trPr>
          <w:trHeight w:val="260"/>
        </w:trPr>
        <w:tc>
          <w:tcPr>
            <w:tcW w:w="9180" w:type="dxa"/>
            <w:shd w:val="clear" w:color="auto" w:fill="auto"/>
            <w:tcMar>
              <w:top w:w="0" w:type="dxa"/>
              <w:left w:w="14" w:type="dxa"/>
              <w:bottom w:w="0" w:type="dxa"/>
              <w:right w:w="14" w:type="dxa"/>
            </w:tcMar>
          </w:tcPr>
          <w:p w14:paraId="2FCCA68B" w14:textId="77777777" w:rsidR="009F7E86" w:rsidRPr="00AC38F9" w:rsidRDefault="009F7E86" w:rsidP="00BE37A6">
            <w:pPr>
              <w:ind w:left="360" w:hanging="14"/>
              <w:rPr>
                <w:rFonts w:eastAsia="Arial Unicode MS"/>
              </w:rPr>
            </w:pPr>
            <w:r w:rsidRPr="00AC38F9">
              <w:rPr>
                <w:rFonts w:eastAsia="Arial Unicode MS"/>
              </w:rPr>
              <w:t>Attachment 2.  Ebola Virus Disease (Ebola) Contact Tracing Form – United States</w:t>
            </w:r>
          </w:p>
        </w:tc>
      </w:tr>
      <w:tr w:rsidR="009F7E86" w:rsidRPr="00F95911" w14:paraId="2F05BF64" w14:textId="77777777" w:rsidTr="009F7E86">
        <w:trPr>
          <w:trHeight w:val="260"/>
        </w:trPr>
        <w:tc>
          <w:tcPr>
            <w:tcW w:w="9180" w:type="dxa"/>
            <w:shd w:val="clear" w:color="auto" w:fill="auto"/>
            <w:tcMar>
              <w:top w:w="0" w:type="dxa"/>
              <w:left w:w="14" w:type="dxa"/>
              <w:bottom w:w="0" w:type="dxa"/>
              <w:right w:w="14" w:type="dxa"/>
            </w:tcMar>
          </w:tcPr>
          <w:p w14:paraId="6C3E59BE" w14:textId="77777777" w:rsidR="009F7E86" w:rsidRPr="00BD133C" w:rsidRDefault="009F7E86" w:rsidP="00B65C7B">
            <w:pPr>
              <w:ind w:left="360" w:hanging="360"/>
              <w:rPr>
                <w:rFonts w:eastAsia="Arial Unicode MS"/>
                <w:i/>
              </w:rPr>
            </w:pPr>
            <w:r w:rsidRPr="00BD133C">
              <w:rPr>
                <w:rFonts w:eastAsia="Arial Unicode MS"/>
                <w:i/>
              </w:rPr>
              <w:t>Guidance for Health Departments</w:t>
            </w:r>
          </w:p>
        </w:tc>
      </w:tr>
      <w:tr w:rsidR="009F7E86" w:rsidRPr="00F95911" w14:paraId="3F7743EF" w14:textId="77777777" w:rsidTr="009F7E86">
        <w:trPr>
          <w:trHeight w:val="260"/>
        </w:trPr>
        <w:tc>
          <w:tcPr>
            <w:tcW w:w="9180" w:type="dxa"/>
            <w:shd w:val="clear" w:color="auto" w:fill="auto"/>
            <w:tcMar>
              <w:top w:w="0" w:type="dxa"/>
              <w:left w:w="14" w:type="dxa"/>
              <w:bottom w:w="0" w:type="dxa"/>
              <w:right w:w="14" w:type="dxa"/>
            </w:tcMar>
          </w:tcPr>
          <w:p w14:paraId="0A8C326D" w14:textId="77777777" w:rsidR="009F7E86" w:rsidRPr="00AC38F9" w:rsidRDefault="009F7E86" w:rsidP="00BD133C">
            <w:pPr>
              <w:ind w:left="706" w:hanging="360"/>
              <w:rPr>
                <w:rFonts w:eastAsia="Arial Unicode MS"/>
              </w:rPr>
            </w:pPr>
            <w:r w:rsidRPr="00AC38F9">
              <w:rPr>
                <w:rFonts w:eastAsia="Arial Unicode MS"/>
              </w:rPr>
              <w:t>Attachment 3</w:t>
            </w:r>
            <w:r>
              <w:rPr>
                <w:rFonts w:eastAsia="Arial Unicode MS"/>
              </w:rPr>
              <w:t>a</w:t>
            </w:r>
            <w:r w:rsidRPr="00AC38F9">
              <w:rPr>
                <w:rFonts w:eastAsia="Arial Unicode MS"/>
              </w:rPr>
              <w:t>.  Guidance for Health Departments for Travelers (Not Health Care Workers*) Arriving in the U.S. from Countries with Widespread Ebola Transmission</w:t>
            </w:r>
          </w:p>
        </w:tc>
      </w:tr>
      <w:tr w:rsidR="009F7E86" w:rsidRPr="00F95911" w14:paraId="1130BF32" w14:textId="77777777" w:rsidTr="009F7E86">
        <w:trPr>
          <w:trHeight w:val="260"/>
        </w:trPr>
        <w:tc>
          <w:tcPr>
            <w:tcW w:w="9180" w:type="dxa"/>
            <w:shd w:val="clear" w:color="auto" w:fill="auto"/>
            <w:tcMar>
              <w:top w:w="0" w:type="dxa"/>
              <w:left w:w="14" w:type="dxa"/>
              <w:bottom w:w="0" w:type="dxa"/>
              <w:right w:w="14" w:type="dxa"/>
            </w:tcMar>
          </w:tcPr>
          <w:p w14:paraId="5D75F479" w14:textId="77777777" w:rsidR="009F7E86" w:rsidRPr="00AC38F9" w:rsidRDefault="009F7E86" w:rsidP="00BD133C">
            <w:pPr>
              <w:ind w:left="706" w:hanging="360"/>
              <w:rPr>
                <w:rFonts w:eastAsia="Arial Unicode MS"/>
              </w:rPr>
            </w:pPr>
            <w:r w:rsidRPr="00AC38F9">
              <w:rPr>
                <w:rFonts w:eastAsia="Arial Unicode MS"/>
              </w:rPr>
              <w:t>Attachment 3</w:t>
            </w:r>
            <w:r>
              <w:rPr>
                <w:rFonts w:eastAsia="Arial Unicode MS"/>
              </w:rPr>
              <w:t>b</w:t>
            </w:r>
            <w:r w:rsidRPr="00AC38F9">
              <w:rPr>
                <w:rFonts w:eastAsia="Arial Unicode MS"/>
              </w:rPr>
              <w:t>.  Guidance for the Evaluation and Triage of Contacts of Confirmed Ebola Virus Disease (Ebola) Cases for Routine or Urgent Medical Concerns, including Symptoms Compatible with Ebola</w:t>
            </w:r>
          </w:p>
        </w:tc>
      </w:tr>
      <w:tr w:rsidR="009F7E86" w:rsidRPr="00F95911" w14:paraId="6D6EF03B" w14:textId="77777777" w:rsidTr="009F7E86">
        <w:trPr>
          <w:trHeight w:val="260"/>
        </w:trPr>
        <w:tc>
          <w:tcPr>
            <w:tcW w:w="9180" w:type="dxa"/>
            <w:shd w:val="clear" w:color="auto" w:fill="auto"/>
            <w:tcMar>
              <w:top w:w="0" w:type="dxa"/>
              <w:left w:w="14" w:type="dxa"/>
              <w:bottom w:w="0" w:type="dxa"/>
              <w:right w:w="14" w:type="dxa"/>
            </w:tcMar>
          </w:tcPr>
          <w:p w14:paraId="16239099" w14:textId="77777777" w:rsidR="009F7E86" w:rsidRPr="00AC38F9" w:rsidRDefault="009F7E86" w:rsidP="00BD133C">
            <w:pPr>
              <w:ind w:left="706" w:hanging="360"/>
              <w:rPr>
                <w:rFonts w:eastAsia="Arial Unicode MS"/>
              </w:rPr>
            </w:pPr>
            <w:r w:rsidRPr="00AC38F9">
              <w:rPr>
                <w:rFonts w:eastAsia="Arial Unicode MS"/>
              </w:rPr>
              <w:t>Attachment 3</w:t>
            </w:r>
            <w:r>
              <w:rPr>
                <w:rFonts w:eastAsia="Arial Unicode MS"/>
              </w:rPr>
              <w:t>c</w:t>
            </w:r>
            <w:r w:rsidRPr="00AC38F9">
              <w:rPr>
                <w:rFonts w:eastAsia="Arial Unicode MS"/>
              </w:rPr>
              <w:t>.  Guidance for Health Departments for Identifying and Monitoring Community Contacts of Persons Under Investigation (PUI) for Ebola Virus Disease (Ebola) or Ebola Cases</w:t>
            </w:r>
          </w:p>
        </w:tc>
      </w:tr>
      <w:tr w:rsidR="009F7E86" w:rsidRPr="00F95911" w14:paraId="121257EF" w14:textId="77777777" w:rsidTr="009F7E86">
        <w:trPr>
          <w:trHeight w:val="260"/>
        </w:trPr>
        <w:tc>
          <w:tcPr>
            <w:tcW w:w="9180" w:type="dxa"/>
            <w:shd w:val="clear" w:color="auto" w:fill="auto"/>
            <w:tcMar>
              <w:top w:w="0" w:type="dxa"/>
              <w:left w:w="14" w:type="dxa"/>
              <w:bottom w:w="0" w:type="dxa"/>
              <w:right w:w="14" w:type="dxa"/>
            </w:tcMar>
          </w:tcPr>
          <w:p w14:paraId="5402FF8B" w14:textId="77777777" w:rsidR="009F7E86" w:rsidRPr="00BD133C" w:rsidRDefault="009F7E86" w:rsidP="00B65C7B">
            <w:pPr>
              <w:ind w:left="360" w:hanging="360"/>
              <w:rPr>
                <w:rFonts w:eastAsia="Arial Unicode MS"/>
                <w:i/>
              </w:rPr>
            </w:pPr>
            <w:r w:rsidRPr="00BD133C">
              <w:rPr>
                <w:rFonts w:eastAsia="Arial Unicode MS"/>
                <w:i/>
              </w:rPr>
              <w:t>Guidance for Individuals</w:t>
            </w:r>
          </w:p>
        </w:tc>
      </w:tr>
      <w:tr w:rsidR="009F7E86" w:rsidRPr="00F95911" w14:paraId="51A14DC6" w14:textId="77777777" w:rsidTr="009F7E86">
        <w:trPr>
          <w:trHeight w:val="260"/>
        </w:trPr>
        <w:tc>
          <w:tcPr>
            <w:tcW w:w="9180" w:type="dxa"/>
            <w:shd w:val="clear" w:color="auto" w:fill="auto"/>
            <w:tcMar>
              <w:top w:w="0" w:type="dxa"/>
              <w:left w:w="14" w:type="dxa"/>
              <w:bottom w:w="0" w:type="dxa"/>
              <w:right w:w="14" w:type="dxa"/>
            </w:tcMar>
          </w:tcPr>
          <w:p w14:paraId="64C41688" w14:textId="77777777" w:rsidR="009F7E86" w:rsidRPr="00AC38F9" w:rsidRDefault="009F7E86" w:rsidP="00BD133C">
            <w:pPr>
              <w:ind w:left="706" w:hanging="360"/>
              <w:rPr>
                <w:rFonts w:eastAsia="Arial Unicode MS"/>
              </w:rPr>
            </w:pPr>
            <w:r w:rsidRPr="00AC38F9">
              <w:rPr>
                <w:rFonts w:eastAsia="Arial Unicode MS"/>
              </w:rPr>
              <w:t>Attachment 4a.  Guidance for Contacts of Ebola Virus Disease (Ebola) Patients, United States</w:t>
            </w:r>
          </w:p>
        </w:tc>
      </w:tr>
      <w:tr w:rsidR="009F7E86" w:rsidRPr="00F95911" w14:paraId="6D0C5861" w14:textId="77777777" w:rsidTr="009F7E86">
        <w:trPr>
          <w:trHeight w:val="260"/>
        </w:trPr>
        <w:tc>
          <w:tcPr>
            <w:tcW w:w="9180" w:type="dxa"/>
            <w:shd w:val="clear" w:color="auto" w:fill="auto"/>
            <w:tcMar>
              <w:top w:w="0" w:type="dxa"/>
              <w:left w:w="14" w:type="dxa"/>
              <w:bottom w:w="0" w:type="dxa"/>
              <w:right w:w="14" w:type="dxa"/>
            </w:tcMar>
          </w:tcPr>
          <w:p w14:paraId="34319420" w14:textId="77777777" w:rsidR="009F7E86" w:rsidRPr="00AC38F9" w:rsidRDefault="009F7E86" w:rsidP="00BD133C">
            <w:pPr>
              <w:ind w:left="706" w:hanging="360"/>
              <w:rPr>
                <w:rFonts w:eastAsia="Arial Unicode MS"/>
              </w:rPr>
            </w:pPr>
            <w:r w:rsidRPr="00AC38F9">
              <w:rPr>
                <w:rFonts w:eastAsia="Arial Unicode MS"/>
              </w:rPr>
              <w:t>Attachment 4b.  Information for Healthcare Workers Returning from Countries with Widespread Ebola Transmission or Treating Patients with Ebola in the United States</w:t>
            </w:r>
          </w:p>
        </w:tc>
      </w:tr>
      <w:tr w:rsidR="009F7E86" w:rsidRPr="002D60B9" w14:paraId="6A82E762" w14:textId="77777777" w:rsidTr="009F7E86">
        <w:trPr>
          <w:trHeight w:val="260"/>
        </w:trPr>
        <w:tc>
          <w:tcPr>
            <w:tcW w:w="9180" w:type="dxa"/>
            <w:shd w:val="clear" w:color="auto" w:fill="auto"/>
            <w:tcMar>
              <w:top w:w="0" w:type="dxa"/>
              <w:left w:w="14" w:type="dxa"/>
              <w:bottom w:w="0" w:type="dxa"/>
              <w:right w:w="14" w:type="dxa"/>
            </w:tcMar>
          </w:tcPr>
          <w:p w14:paraId="0DA76964" w14:textId="77777777" w:rsidR="009F7E86" w:rsidRPr="00BD133C" w:rsidRDefault="009F7E86" w:rsidP="00B65C7B">
            <w:pPr>
              <w:ind w:left="360" w:hanging="360"/>
              <w:rPr>
                <w:rFonts w:eastAsia="Arial Unicode MS"/>
                <w:i/>
              </w:rPr>
            </w:pPr>
            <w:r w:rsidRPr="00BD133C">
              <w:rPr>
                <w:rFonts w:eastAsia="Arial Unicode MS"/>
                <w:i/>
              </w:rPr>
              <w:t>Templates to facilitate data collection during prospective monitoring of health care personnel caring for Ebola patients</w:t>
            </w:r>
          </w:p>
        </w:tc>
      </w:tr>
      <w:tr w:rsidR="009F7E86" w:rsidRPr="002D60B9" w14:paraId="2D924D80" w14:textId="77777777" w:rsidTr="009F7E86">
        <w:trPr>
          <w:trHeight w:val="260"/>
        </w:trPr>
        <w:tc>
          <w:tcPr>
            <w:tcW w:w="9180" w:type="dxa"/>
            <w:shd w:val="clear" w:color="auto" w:fill="auto"/>
            <w:tcMar>
              <w:top w:w="0" w:type="dxa"/>
              <w:left w:w="14" w:type="dxa"/>
              <w:bottom w:w="0" w:type="dxa"/>
              <w:right w:w="14" w:type="dxa"/>
            </w:tcMar>
          </w:tcPr>
          <w:p w14:paraId="3AF39470" w14:textId="77777777" w:rsidR="009F7E86" w:rsidRPr="00AC38F9" w:rsidRDefault="009F7E86" w:rsidP="00BE37A6">
            <w:pPr>
              <w:ind w:left="360" w:hanging="14"/>
              <w:rPr>
                <w:rFonts w:eastAsia="Arial Unicode MS"/>
              </w:rPr>
            </w:pPr>
            <w:r w:rsidRPr="00AC38F9">
              <w:rPr>
                <w:rFonts w:eastAsia="Arial Unicode MS"/>
              </w:rPr>
              <w:t>Attachment 5a.  EVD Tracking Form for Healthcare Workers with Direct Patient Contact (e.g. nurses, physicians, respiratory therapists, others)</w:t>
            </w:r>
          </w:p>
        </w:tc>
      </w:tr>
      <w:tr w:rsidR="009F7E86" w:rsidRPr="002D60B9" w14:paraId="75539063" w14:textId="77777777" w:rsidTr="009F7E86">
        <w:trPr>
          <w:trHeight w:val="260"/>
        </w:trPr>
        <w:tc>
          <w:tcPr>
            <w:tcW w:w="9180" w:type="dxa"/>
            <w:shd w:val="clear" w:color="auto" w:fill="auto"/>
            <w:tcMar>
              <w:top w:w="0" w:type="dxa"/>
              <w:left w:w="14" w:type="dxa"/>
              <w:bottom w:w="0" w:type="dxa"/>
              <w:right w:w="14" w:type="dxa"/>
            </w:tcMar>
          </w:tcPr>
          <w:p w14:paraId="60B405E8" w14:textId="77777777" w:rsidR="009F7E86" w:rsidRPr="00AC38F9" w:rsidRDefault="009F7E86" w:rsidP="00BE37A6">
            <w:pPr>
              <w:ind w:left="360" w:hanging="14"/>
              <w:rPr>
                <w:rFonts w:eastAsia="Arial Unicode MS"/>
              </w:rPr>
            </w:pPr>
            <w:r w:rsidRPr="00AC38F9">
              <w:rPr>
                <w:rFonts w:eastAsia="Arial Unicode MS"/>
              </w:rPr>
              <w:t>Attachment 5b.  Ebola Tracking Form for Laboratory Personnel</w:t>
            </w:r>
          </w:p>
        </w:tc>
      </w:tr>
      <w:tr w:rsidR="009F7E86" w:rsidRPr="002D60B9" w14:paraId="52A156D1" w14:textId="77777777" w:rsidTr="009F7E86">
        <w:trPr>
          <w:trHeight w:val="260"/>
        </w:trPr>
        <w:tc>
          <w:tcPr>
            <w:tcW w:w="9180" w:type="dxa"/>
            <w:shd w:val="clear" w:color="auto" w:fill="auto"/>
            <w:tcMar>
              <w:top w:w="0" w:type="dxa"/>
              <w:left w:w="14" w:type="dxa"/>
              <w:bottom w:w="0" w:type="dxa"/>
              <w:right w:w="14" w:type="dxa"/>
            </w:tcMar>
          </w:tcPr>
          <w:p w14:paraId="21D71084" w14:textId="77777777" w:rsidR="009F7E86" w:rsidRPr="00AC38F9" w:rsidRDefault="009F7E86" w:rsidP="00BE37A6">
            <w:pPr>
              <w:ind w:left="360" w:hanging="14"/>
              <w:rPr>
                <w:rFonts w:eastAsia="Arial Unicode MS"/>
              </w:rPr>
            </w:pPr>
            <w:r w:rsidRPr="00AC38F9">
              <w:rPr>
                <w:rFonts w:eastAsia="Arial Unicode MS"/>
              </w:rPr>
              <w:t>Attachment 5c.  Ebola Tracking Form for Environmental Services Personnel</w:t>
            </w:r>
          </w:p>
        </w:tc>
      </w:tr>
      <w:tr w:rsidR="009F7E86" w:rsidRPr="002D60B9" w14:paraId="3209DB9F" w14:textId="77777777" w:rsidTr="009F7E86">
        <w:trPr>
          <w:trHeight w:val="260"/>
        </w:trPr>
        <w:tc>
          <w:tcPr>
            <w:tcW w:w="9180" w:type="dxa"/>
            <w:shd w:val="clear" w:color="auto" w:fill="auto"/>
            <w:tcMar>
              <w:top w:w="0" w:type="dxa"/>
              <w:left w:w="14" w:type="dxa"/>
              <w:bottom w:w="0" w:type="dxa"/>
              <w:right w:w="14" w:type="dxa"/>
            </w:tcMar>
          </w:tcPr>
          <w:p w14:paraId="128C78FA" w14:textId="77777777" w:rsidR="009F7E86" w:rsidRPr="00BD133C" w:rsidRDefault="009F7E86" w:rsidP="00B65C7B">
            <w:pPr>
              <w:ind w:left="360" w:hanging="360"/>
              <w:rPr>
                <w:rFonts w:eastAsia="Arial Unicode MS"/>
                <w:i/>
              </w:rPr>
            </w:pPr>
            <w:r w:rsidRPr="00BD133C">
              <w:rPr>
                <w:rFonts w:eastAsia="Arial Unicode MS"/>
                <w:i/>
              </w:rPr>
              <w:t>Template to facilitate twice daily 21-day follow-up</w:t>
            </w:r>
          </w:p>
        </w:tc>
      </w:tr>
      <w:tr w:rsidR="009F7E86" w:rsidRPr="002D60B9" w14:paraId="5F9C0597" w14:textId="77777777" w:rsidTr="009F7E86">
        <w:trPr>
          <w:trHeight w:val="260"/>
        </w:trPr>
        <w:tc>
          <w:tcPr>
            <w:tcW w:w="9180" w:type="dxa"/>
            <w:shd w:val="clear" w:color="auto" w:fill="auto"/>
            <w:tcMar>
              <w:top w:w="0" w:type="dxa"/>
              <w:left w:w="14" w:type="dxa"/>
              <w:bottom w:w="0" w:type="dxa"/>
              <w:right w:w="14" w:type="dxa"/>
            </w:tcMar>
          </w:tcPr>
          <w:p w14:paraId="3F3B4392" w14:textId="5681AAF3" w:rsidR="009F7E86" w:rsidRPr="00AC38F9" w:rsidRDefault="009F7E86" w:rsidP="00BD133C">
            <w:pPr>
              <w:ind w:left="360" w:hanging="14"/>
              <w:rPr>
                <w:rFonts w:eastAsia="Arial Unicode MS"/>
              </w:rPr>
            </w:pPr>
            <w:r w:rsidRPr="00AC38F9">
              <w:rPr>
                <w:rFonts w:eastAsia="Arial Unicode MS"/>
              </w:rPr>
              <w:t xml:space="preserve">Attachment 6.  </w:t>
            </w:r>
            <w:r>
              <w:rPr>
                <w:rFonts w:eastAsia="Arial Unicode MS"/>
              </w:rPr>
              <w:t>Symptom Monitoring Form</w:t>
            </w:r>
          </w:p>
        </w:tc>
      </w:tr>
      <w:tr w:rsidR="009F7E86" w:rsidRPr="00F95911" w14:paraId="3754DD77" w14:textId="77777777" w:rsidTr="009F7E86">
        <w:trPr>
          <w:trHeight w:val="260"/>
        </w:trPr>
        <w:tc>
          <w:tcPr>
            <w:tcW w:w="9180" w:type="dxa"/>
            <w:shd w:val="clear" w:color="auto" w:fill="auto"/>
            <w:tcMar>
              <w:top w:w="0" w:type="dxa"/>
              <w:left w:w="14" w:type="dxa"/>
              <w:bottom w:w="0" w:type="dxa"/>
              <w:right w:w="14" w:type="dxa"/>
            </w:tcMar>
          </w:tcPr>
          <w:p w14:paraId="7F8F4B9E" w14:textId="77777777" w:rsidR="009F7E86" w:rsidRPr="00BD133C" w:rsidRDefault="009F7E86" w:rsidP="00B65C7B">
            <w:pPr>
              <w:ind w:left="360" w:hanging="360"/>
              <w:rPr>
                <w:rFonts w:eastAsia="Arial Unicode MS"/>
                <w:i/>
              </w:rPr>
            </w:pPr>
            <w:r w:rsidRPr="00BD133C">
              <w:rPr>
                <w:rFonts w:eastAsia="Arial Unicode MS"/>
                <w:i/>
              </w:rPr>
              <w:t>Generic end-of-monitoring letter</w:t>
            </w:r>
          </w:p>
        </w:tc>
      </w:tr>
      <w:tr w:rsidR="009F7E86" w:rsidRPr="00F95911" w14:paraId="7F8955BE" w14:textId="77777777" w:rsidTr="009F7E86">
        <w:trPr>
          <w:trHeight w:val="260"/>
        </w:trPr>
        <w:tc>
          <w:tcPr>
            <w:tcW w:w="9180" w:type="dxa"/>
            <w:shd w:val="clear" w:color="auto" w:fill="auto"/>
            <w:tcMar>
              <w:top w:w="0" w:type="dxa"/>
              <w:left w:w="14" w:type="dxa"/>
              <w:bottom w:w="0" w:type="dxa"/>
              <w:right w:w="14" w:type="dxa"/>
            </w:tcMar>
          </w:tcPr>
          <w:p w14:paraId="4DC0FBD1" w14:textId="77777777" w:rsidR="009F7E86" w:rsidRPr="00AC38F9" w:rsidRDefault="009F7E86" w:rsidP="00BE37A6">
            <w:pPr>
              <w:ind w:left="360" w:hanging="14"/>
              <w:rPr>
                <w:rFonts w:eastAsia="Arial Unicode MS"/>
              </w:rPr>
            </w:pPr>
            <w:r w:rsidRPr="00AC38F9">
              <w:rPr>
                <w:rFonts w:eastAsia="Arial Unicode MS"/>
              </w:rPr>
              <w:t>Attachment 7. Generic End-of-Monitoring Letter</w:t>
            </w:r>
          </w:p>
        </w:tc>
      </w:tr>
      <w:tr w:rsidR="009F7E86" w:rsidRPr="002D60B9" w14:paraId="107DCE2B" w14:textId="77777777" w:rsidTr="009F7E86">
        <w:trPr>
          <w:trHeight w:val="260"/>
        </w:trPr>
        <w:tc>
          <w:tcPr>
            <w:tcW w:w="9180" w:type="dxa"/>
            <w:shd w:val="clear" w:color="auto" w:fill="auto"/>
            <w:tcMar>
              <w:top w:w="0" w:type="dxa"/>
              <w:left w:w="14" w:type="dxa"/>
              <w:bottom w:w="0" w:type="dxa"/>
              <w:right w:w="14" w:type="dxa"/>
            </w:tcMar>
          </w:tcPr>
          <w:p w14:paraId="52AB4B8A" w14:textId="77777777" w:rsidR="009F7E86" w:rsidRPr="00BD133C" w:rsidRDefault="009F7E86" w:rsidP="00B65C7B">
            <w:pPr>
              <w:ind w:left="360" w:hanging="360"/>
              <w:rPr>
                <w:rFonts w:eastAsia="Arial Unicode MS"/>
                <w:i/>
              </w:rPr>
            </w:pPr>
            <w:r w:rsidRPr="00BD133C">
              <w:rPr>
                <w:rFonts w:eastAsia="Arial Unicode MS"/>
                <w:i/>
              </w:rPr>
              <w:t>Data requests by federal government</w:t>
            </w:r>
          </w:p>
        </w:tc>
      </w:tr>
      <w:tr w:rsidR="009F7E86" w:rsidRPr="002D60B9" w14:paraId="4FAA50E1" w14:textId="77777777" w:rsidTr="009F7E86">
        <w:trPr>
          <w:trHeight w:val="260"/>
        </w:trPr>
        <w:tc>
          <w:tcPr>
            <w:tcW w:w="9180" w:type="dxa"/>
            <w:shd w:val="clear" w:color="auto" w:fill="auto"/>
            <w:tcMar>
              <w:top w:w="0" w:type="dxa"/>
              <w:left w:w="14" w:type="dxa"/>
              <w:bottom w:w="0" w:type="dxa"/>
              <w:right w:w="14" w:type="dxa"/>
            </w:tcMar>
          </w:tcPr>
          <w:p w14:paraId="455B03B7" w14:textId="77777777" w:rsidR="009F7E86" w:rsidRPr="00AC38F9" w:rsidRDefault="009F7E86" w:rsidP="00BD133C">
            <w:pPr>
              <w:ind w:left="360" w:hanging="14"/>
              <w:rPr>
                <w:rFonts w:eastAsia="Arial Unicode MS"/>
              </w:rPr>
            </w:pPr>
            <w:r w:rsidRPr="004A0B80">
              <w:rPr>
                <w:rFonts w:eastAsia="Arial Unicode MS"/>
              </w:rPr>
              <w:t>Attachment 8: White House Evening Report</w:t>
            </w:r>
            <w:r w:rsidRPr="00AC38F9">
              <w:rPr>
                <w:rFonts w:eastAsia="Arial Unicode MS"/>
              </w:rPr>
              <w:t xml:space="preserve"> </w:t>
            </w:r>
          </w:p>
        </w:tc>
      </w:tr>
    </w:tbl>
    <w:p w14:paraId="53EDB9EE" w14:textId="77777777" w:rsidR="003B0EE8" w:rsidRDefault="003B0EE8"/>
    <w:sectPr w:rsidR="003B0EE8">
      <w:headerReference w:type="default"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7858DD" w15:done="0"/>
  <w15:commentEx w15:paraId="2B9116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C7AD" w14:textId="77777777" w:rsidR="00AC7E8A" w:rsidRDefault="00AC7E8A" w:rsidP="0032715B">
      <w:r>
        <w:separator/>
      </w:r>
    </w:p>
  </w:endnote>
  <w:endnote w:type="continuationSeparator" w:id="0">
    <w:p w14:paraId="43002158" w14:textId="77777777" w:rsidR="00AC7E8A" w:rsidRDefault="00AC7E8A" w:rsidP="0032715B">
      <w:r>
        <w:continuationSeparator/>
      </w:r>
    </w:p>
  </w:endnote>
  <w:endnote w:type="continuationNotice" w:id="1">
    <w:p w14:paraId="238AC394" w14:textId="77777777" w:rsidR="00AC7E8A" w:rsidRDefault="00AC7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hruti">
    <w:panose1 w:val="020B0502040204020203"/>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33117"/>
      <w:docPartObj>
        <w:docPartGallery w:val="Page Numbers (Bottom of Page)"/>
        <w:docPartUnique/>
      </w:docPartObj>
    </w:sdtPr>
    <w:sdtEndPr>
      <w:rPr>
        <w:noProof/>
      </w:rPr>
    </w:sdtEndPr>
    <w:sdtContent>
      <w:p w14:paraId="08092F74" w14:textId="77777777" w:rsidR="00C53F6B" w:rsidRDefault="00C53F6B">
        <w:pPr>
          <w:pStyle w:val="Footer"/>
          <w:jc w:val="right"/>
        </w:pPr>
        <w:r>
          <w:fldChar w:fldCharType="begin"/>
        </w:r>
        <w:r>
          <w:instrText xml:space="preserve"> PAGE   \* MERGEFORMAT </w:instrText>
        </w:r>
        <w:r>
          <w:fldChar w:fldCharType="separate"/>
        </w:r>
        <w:r w:rsidR="003819DD">
          <w:rPr>
            <w:noProof/>
          </w:rPr>
          <w:t>1</w:t>
        </w:r>
        <w:r>
          <w:rPr>
            <w:noProof/>
          </w:rPr>
          <w:fldChar w:fldCharType="end"/>
        </w:r>
      </w:p>
    </w:sdtContent>
  </w:sdt>
  <w:p w14:paraId="636E2B9D" w14:textId="77777777" w:rsidR="00C53F6B" w:rsidRDefault="00C53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C1006" w14:textId="77777777" w:rsidR="00AC7E8A" w:rsidRDefault="00AC7E8A" w:rsidP="0032715B">
      <w:r>
        <w:separator/>
      </w:r>
    </w:p>
  </w:footnote>
  <w:footnote w:type="continuationSeparator" w:id="0">
    <w:p w14:paraId="22BCFA52" w14:textId="77777777" w:rsidR="00AC7E8A" w:rsidRDefault="00AC7E8A" w:rsidP="0032715B">
      <w:r>
        <w:continuationSeparator/>
      </w:r>
    </w:p>
  </w:footnote>
  <w:footnote w:type="continuationNotice" w:id="1">
    <w:p w14:paraId="7D31CCC3" w14:textId="77777777" w:rsidR="00AC7E8A" w:rsidRDefault="00AC7E8A"/>
  </w:footnote>
  <w:footnote w:id="2">
    <w:p w14:paraId="6202B268" w14:textId="77777777" w:rsidR="00510ECB" w:rsidRPr="00510ECB" w:rsidRDefault="00510ECB" w:rsidP="00510ECB">
      <w:pPr>
        <w:autoSpaceDE w:val="0"/>
        <w:autoSpaceDN w:val="0"/>
        <w:adjustRightInd w:val="0"/>
        <w:rPr>
          <w:rFonts w:eastAsiaTheme="minorHAnsi"/>
          <w:sz w:val="18"/>
          <w:szCs w:val="18"/>
        </w:rPr>
      </w:pPr>
      <w:r w:rsidRPr="00510ECB">
        <w:rPr>
          <w:rStyle w:val="FootnoteReference"/>
          <w:sz w:val="18"/>
          <w:szCs w:val="18"/>
        </w:rPr>
        <w:footnoteRef/>
      </w:r>
      <w:r w:rsidRPr="00510ECB">
        <w:rPr>
          <w:sz w:val="18"/>
          <w:szCs w:val="18"/>
        </w:rPr>
        <w:t xml:space="preserve"> </w:t>
      </w:r>
      <w:r w:rsidRPr="00510ECB">
        <w:rPr>
          <w:rFonts w:eastAsiaTheme="minorHAnsi"/>
          <w:sz w:val="18"/>
          <w:szCs w:val="18"/>
        </w:rPr>
        <w:t xml:space="preserve">See </w:t>
      </w:r>
      <w:hyperlink r:id="rId1" w:history="1">
        <w:r w:rsidRPr="00510ECB">
          <w:rPr>
            <w:rStyle w:val="Hyperlink"/>
            <w:rFonts w:eastAsiaTheme="minorHAnsi"/>
            <w:sz w:val="18"/>
            <w:szCs w:val="18"/>
          </w:rPr>
          <w:t>http://www.cdc.gov/vhf/ebola/hcp/case-definition.html</w:t>
        </w:r>
      </w:hyperlink>
      <w:r>
        <w:rPr>
          <w:rStyle w:val="Hyperlink"/>
          <w:rFonts w:eastAsiaTheme="minorHAnsi"/>
          <w:sz w:val="18"/>
          <w:szCs w:val="18"/>
        </w:rPr>
        <w:t xml:space="preserve"> </w:t>
      </w:r>
      <w:r w:rsidRPr="00510ECB">
        <w:rPr>
          <w:rStyle w:val="Hyperlink"/>
          <w:rFonts w:eastAsiaTheme="minorHAnsi"/>
          <w:color w:val="auto"/>
          <w:sz w:val="18"/>
          <w:szCs w:val="18"/>
          <w:u w:val="none"/>
        </w:rPr>
        <w:t>for definition of Person Under Investigation (PUI) and Confirmed Case</w:t>
      </w:r>
      <w:r>
        <w:rPr>
          <w:rStyle w:val="Hyperlink"/>
          <w:rFonts w:eastAsiaTheme="minorHAnsi"/>
          <w:color w:val="auto"/>
          <w:sz w:val="18"/>
          <w:szCs w:val="18"/>
          <w:u w:val="none"/>
        </w:rPr>
        <w:t>.</w:t>
      </w:r>
    </w:p>
  </w:footnote>
  <w:footnote w:id="3">
    <w:p w14:paraId="1C831C8C" w14:textId="77777777" w:rsidR="0032715B" w:rsidRDefault="0032715B" w:rsidP="0032715B">
      <w:pPr>
        <w:pStyle w:val="FootnoteText"/>
      </w:pPr>
      <w:r w:rsidRPr="00510ECB">
        <w:rPr>
          <w:rStyle w:val="FootnoteReference"/>
          <w:sz w:val="18"/>
          <w:szCs w:val="18"/>
        </w:rPr>
        <w:footnoteRef/>
      </w:r>
      <w:r w:rsidRPr="00510ECB">
        <w:rPr>
          <w:sz w:val="18"/>
          <w:szCs w:val="18"/>
        </w:rPr>
        <w:t xml:space="preserve"> Periodically updated, it is available at </w:t>
      </w:r>
      <w:hyperlink r:id="rId2" w:history="1">
        <w:r w:rsidRPr="00510ECB">
          <w:rPr>
            <w:rStyle w:val="Hyperlink"/>
            <w:sz w:val="18"/>
            <w:szCs w:val="18"/>
          </w:rPr>
          <w:t>http://www.cdc.gov/vhf/ebola/exposure/monitoring-and-movement-of-persons-with-exposure.html</w:t>
        </w:r>
      </w:hyperlink>
      <w:r w:rsidRPr="00510ECB">
        <w:rPr>
          <w:sz w:val="18"/>
          <w:szCs w:val="18"/>
        </w:rPr>
        <w:t>.</w:t>
      </w:r>
      <w:r>
        <w:t xml:space="preserve"> </w:t>
      </w:r>
    </w:p>
  </w:footnote>
  <w:footnote w:id="4">
    <w:p w14:paraId="6CEAD563" w14:textId="77777777" w:rsidR="005D6681" w:rsidRPr="005D6681" w:rsidRDefault="005D6681">
      <w:pPr>
        <w:pStyle w:val="FootnoteText"/>
        <w:rPr>
          <w:sz w:val="18"/>
          <w:szCs w:val="18"/>
        </w:rPr>
      </w:pPr>
      <w:r w:rsidRPr="005D6681">
        <w:rPr>
          <w:rStyle w:val="FootnoteReference"/>
          <w:sz w:val="18"/>
          <w:szCs w:val="18"/>
        </w:rPr>
        <w:footnoteRef/>
      </w:r>
      <w:r w:rsidRPr="005D6681">
        <w:rPr>
          <w:sz w:val="18"/>
          <w:szCs w:val="18"/>
        </w:rPr>
        <w:t xml:space="preserve"> </w:t>
      </w:r>
      <w:r w:rsidRPr="005D6681">
        <w:rPr>
          <w:sz w:val="18"/>
          <w:szCs w:val="18"/>
          <w:lang w:val="en"/>
        </w:rPr>
        <w:t>Information collected under a 90-day Office of Management and Budget (OMB) approval titled “</w:t>
      </w:r>
      <w:r w:rsidRPr="005D6681">
        <w:rPr>
          <w:sz w:val="18"/>
          <w:szCs w:val="18"/>
        </w:rPr>
        <w:t>Emergency Epidemic Investigation Data Collections - Expedited Reviews” (</w:t>
      </w:r>
      <w:r w:rsidRPr="005D6681">
        <w:rPr>
          <w:sz w:val="18"/>
          <w:szCs w:val="18"/>
          <w:lang w:val="en"/>
        </w:rPr>
        <w:t>OMB Control No. 0920-1011; expiration date: December 30,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6E1E" w14:textId="77777777" w:rsidR="00710744" w:rsidRDefault="00710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D821D0"/>
    <w:multiLevelType w:val="hybridMultilevel"/>
    <w:tmpl w:val="D7A2F578"/>
    <w:lvl w:ilvl="0" w:tplc="C78AAA0A">
      <w:start w:val="1"/>
      <w:numFmt w:val="bullet"/>
      <w:lvlText w:val="•"/>
      <w:lvlJc w:val="left"/>
      <w:pPr>
        <w:tabs>
          <w:tab w:val="num" w:pos="720"/>
        </w:tabs>
        <w:ind w:left="720" w:hanging="360"/>
      </w:pPr>
      <w:rPr>
        <w:rFonts w:ascii="Arial" w:hAnsi="Arial" w:hint="default"/>
      </w:rPr>
    </w:lvl>
    <w:lvl w:ilvl="1" w:tplc="D2DA82F4" w:tentative="1">
      <w:start w:val="1"/>
      <w:numFmt w:val="bullet"/>
      <w:lvlText w:val="•"/>
      <w:lvlJc w:val="left"/>
      <w:pPr>
        <w:tabs>
          <w:tab w:val="num" w:pos="1440"/>
        </w:tabs>
        <w:ind w:left="1440" w:hanging="360"/>
      </w:pPr>
      <w:rPr>
        <w:rFonts w:ascii="Arial" w:hAnsi="Arial" w:hint="default"/>
      </w:rPr>
    </w:lvl>
    <w:lvl w:ilvl="2" w:tplc="727A1948">
      <w:start w:val="1"/>
      <w:numFmt w:val="bullet"/>
      <w:lvlText w:val="•"/>
      <w:lvlJc w:val="left"/>
      <w:pPr>
        <w:tabs>
          <w:tab w:val="num" w:pos="2160"/>
        </w:tabs>
        <w:ind w:left="2160" w:hanging="360"/>
      </w:pPr>
      <w:rPr>
        <w:rFonts w:ascii="Arial" w:hAnsi="Arial" w:hint="default"/>
      </w:rPr>
    </w:lvl>
    <w:lvl w:ilvl="3" w:tplc="3006BD12" w:tentative="1">
      <w:start w:val="1"/>
      <w:numFmt w:val="bullet"/>
      <w:lvlText w:val="•"/>
      <w:lvlJc w:val="left"/>
      <w:pPr>
        <w:tabs>
          <w:tab w:val="num" w:pos="2880"/>
        </w:tabs>
        <w:ind w:left="2880" w:hanging="360"/>
      </w:pPr>
      <w:rPr>
        <w:rFonts w:ascii="Arial" w:hAnsi="Arial" w:hint="default"/>
      </w:rPr>
    </w:lvl>
    <w:lvl w:ilvl="4" w:tplc="D52C7C06" w:tentative="1">
      <w:start w:val="1"/>
      <w:numFmt w:val="bullet"/>
      <w:lvlText w:val="•"/>
      <w:lvlJc w:val="left"/>
      <w:pPr>
        <w:tabs>
          <w:tab w:val="num" w:pos="3600"/>
        </w:tabs>
        <w:ind w:left="3600" w:hanging="360"/>
      </w:pPr>
      <w:rPr>
        <w:rFonts w:ascii="Arial" w:hAnsi="Arial" w:hint="default"/>
      </w:rPr>
    </w:lvl>
    <w:lvl w:ilvl="5" w:tplc="621678F6" w:tentative="1">
      <w:start w:val="1"/>
      <w:numFmt w:val="bullet"/>
      <w:lvlText w:val="•"/>
      <w:lvlJc w:val="left"/>
      <w:pPr>
        <w:tabs>
          <w:tab w:val="num" w:pos="4320"/>
        </w:tabs>
        <w:ind w:left="4320" w:hanging="360"/>
      </w:pPr>
      <w:rPr>
        <w:rFonts w:ascii="Arial" w:hAnsi="Arial" w:hint="default"/>
      </w:rPr>
    </w:lvl>
    <w:lvl w:ilvl="6" w:tplc="F8E622D6" w:tentative="1">
      <w:start w:val="1"/>
      <w:numFmt w:val="bullet"/>
      <w:lvlText w:val="•"/>
      <w:lvlJc w:val="left"/>
      <w:pPr>
        <w:tabs>
          <w:tab w:val="num" w:pos="5040"/>
        </w:tabs>
        <w:ind w:left="5040" w:hanging="360"/>
      </w:pPr>
      <w:rPr>
        <w:rFonts w:ascii="Arial" w:hAnsi="Arial" w:hint="default"/>
      </w:rPr>
    </w:lvl>
    <w:lvl w:ilvl="7" w:tplc="F28CA8FE" w:tentative="1">
      <w:start w:val="1"/>
      <w:numFmt w:val="bullet"/>
      <w:lvlText w:val="•"/>
      <w:lvlJc w:val="left"/>
      <w:pPr>
        <w:tabs>
          <w:tab w:val="num" w:pos="5760"/>
        </w:tabs>
        <w:ind w:left="5760" w:hanging="360"/>
      </w:pPr>
      <w:rPr>
        <w:rFonts w:ascii="Arial" w:hAnsi="Arial" w:hint="default"/>
      </w:rPr>
    </w:lvl>
    <w:lvl w:ilvl="8" w:tplc="B8B68DDE" w:tentative="1">
      <w:start w:val="1"/>
      <w:numFmt w:val="bullet"/>
      <w:lvlText w:val="•"/>
      <w:lvlJc w:val="left"/>
      <w:pPr>
        <w:tabs>
          <w:tab w:val="num" w:pos="6480"/>
        </w:tabs>
        <w:ind w:left="6480" w:hanging="360"/>
      </w:pPr>
      <w:rPr>
        <w:rFonts w:ascii="Arial" w:hAnsi="Arial" w:hint="default"/>
      </w:rPr>
    </w:lvl>
  </w:abstractNum>
  <w:abstractNum w:abstractNumId="2">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AA"/>
    <w:rsid w:val="000037DD"/>
    <w:rsid w:val="0003090D"/>
    <w:rsid w:val="00063F7E"/>
    <w:rsid w:val="00083B47"/>
    <w:rsid w:val="00083E8F"/>
    <w:rsid w:val="000E7AEB"/>
    <w:rsid w:val="000F52CF"/>
    <w:rsid w:val="00100C5C"/>
    <w:rsid w:val="00114D20"/>
    <w:rsid w:val="001821E5"/>
    <w:rsid w:val="001860EB"/>
    <w:rsid w:val="00194B84"/>
    <w:rsid w:val="001962BB"/>
    <w:rsid w:val="001A1A47"/>
    <w:rsid w:val="002178B9"/>
    <w:rsid w:val="002462A8"/>
    <w:rsid w:val="002B50EB"/>
    <w:rsid w:val="002C144C"/>
    <w:rsid w:val="002D0E18"/>
    <w:rsid w:val="0030493A"/>
    <w:rsid w:val="0032468F"/>
    <w:rsid w:val="0032715B"/>
    <w:rsid w:val="00346588"/>
    <w:rsid w:val="00366815"/>
    <w:rsid w:val="003728FC"/>
    <w:rsid w:val="003819DD"/>
    <w:rsid w:val="00390C48"/>
    <w:rsid w:val="003971AB"/>
    <w:rsid w:val="003A2226"/>
    <w:rsid w:val="003B0EE8"/>
    <w:rsid w:val="003C1A8B"/>
    <w:rsid w:val="003D1273"/>
    <w:rsid w:val="003E3941"/>
    <w:rsid w:val="003F2D4A"/>
    <w:rsid w:val="0042681D"/>
    <w:rsid w:val="0047282F"/>
    <w:rsid w:val="004A4576"/>
    <w:rsid w:val="00500221"/>
    <w:rsid w:val="00510ECB"/>
    <w:rsid w:val="00547DC7"/>
    <w:rsid w:val="00551135"/>
    <w:rsid w:val="00560E07"/>
    <w:rsid w:val="00565643"/>
    <w:rsid w:val="00583199"/>
    <w:rsid w:val="00594959"/>
    <w:rsid w:val="005D6681"/>
    <w:rsid w:val="005E2602"/>
    <w:rsid w:val="005F5C63"/>
    <w:rsid w:val="00615983"/>
    <w:rsid w:val="006241F4"/>
    <w:rsid w:val="0062532F"/>
    <w:rsid w:val="006538B8"/>
    <w:rsid w:val="00682033"/>
    <w:rsid w:val="00693754"/>
    <w:rsid w:val="006B07D5"/>
    <w:rsid w:val="006D2274"/>
    <w:rsid w:val="006D52C1"/>
    <w:rsid w:val="00710744"/>
    <w:rsid w:val="00710958"/>
    <w:rsid w:val="00740B56"/>
    <w:rsid w:val="00757F16"/>
    <w:rsid w:val="007D485B"/>
    <w:rsid w:val="007F5871"/>
    <w:rsid w:val="00802D5A"/>
    <w:rsid w:val="0080649E"/>
    <w:rsid w:val="0084128E"/>
    <w:rsid w:val="008B50F1"/>
    <w:rsid w:val="008C589E"/>
    <w:rsid w:val="0091635C"/>
    <w:rsid w:val="00924C90"/>
    <w:rsid w:val="00937BF7"/>
    <w:rsid w:val="00976B4B"/>
    <w:rsid w:val="00984788"/>
    <w:rsid w:val="00987E22"/>
    <w:rsid w:val="009C7A9D"/>
    <w:rsid w:val="009F7E86"/>
    <w:rsid w:val="00A2708F"/>
    <w:rsid w:val="00A74DF5"/>
    <w:rsid w:val="00A83FDD"/>
    <w:rsid w:val="00AC38F9"/>
    <w:rsid w:val="00AC7E8A"/>
    <w:rsid w:val="00AD641E"/>
    <w:rsid w:val="00AE0EBF"/>
    <w:rsid w:val="00B316E0"/>
    <w:rsid w:val="00BA42BD"/>
    <w:rsid w:val="00BC6A27"/>
    <w:rsid w:val="00BD133C"/>
    <w:rsid w:val="00BE37A6"/>
    <w:rsid w:val="00C0401F"/>
    <w:rsid w:val="00C14594"/>
    <w:rsid w:val="00C225C2"/>
    <w:rsid w:val="00C24588"/>
    <w:rsid w:val="00C25CA6"/>
    <w:rsid w:val="00C53F6B"/>
    <w:rsid w:val="00C60EAA"/>
    <w:rsid w:val="00C80E3D"/>
    <w:rsid w:val="00CA73C8"/>
    <w:rsid w:val="00CC1C41"/>
    <w:rsid w:val="00CE1DAF"/>
    <w:rsid w:val="00CE51F4"/>
    <w:rsid w:val="00D47527"/>
    <w:rsid w:val="00D5265D"/>
    <w:rsid w:val="00D73E49"/>
    <w:rsid w:val="00D76A8D"/>
    <w:rsid w:val="00D9238A"/>
    <w:rsid w:val="00DA696B"/>
    <w:rsid w:val="00E06757"/>
    <w:rsid w:val="00E155DE"/>
    <w:rsid w:val="00E51CB3"/>
    <w:rsid w:val="00E520F5"/>
    <w:rsid w:val="00E55D2E"/>
    <w:rsid w:val="00E70CDA"/>
    <w:rsid w:val="00E83DD9"/>
    <w:rsid w:val="00E915E3"/>
    <w:rsid w:val="00E957F4"/>
    <w:rsid w:val="00EA0E01"/>
    <w:rsid w:val="00EA1D27"/>
    <w:rsid w:val="00EA26B4"/>
    <w:rsid w:val="00EA2D95"/>
    <w:rsid w:val="00EE3D93"/>
    <w:rsid w:val="00F063E8"/>
    <w:rsid w:val="00F126BC"/>
    <w:rsid w:val="00F36355"/>
    <w:rsid w:val="00F43E38"/>
    <w:rsid w:val="00F77F13"/>
    <w:rsid w:val="00F931F1"/>
    <w:rsid w:val="00FD66EE"/>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1635C"/>
    <w:rPr>
      <w:sz w:val="16"/>
      <w:szCs w:val="16"/>
    </w:rPr>
  </w:style>
  <w:style w:type="paragraph" w:styleId="CommentText">
    <w:name w:val="annotation text"/>
    <w:basedOn w:val="Normal"/>
    <w:link w:val="CommentTextChar"/>
    <w:semiHidden/>
    <w:unhideWhenUsed/>
    <w:rsid w:val="0091635C"/>
    <w:rPr>
      <w:sz w:val="20"/>
      <w:szCs w:val="20"/>
    </w:rPr>
  </w:style>
  <w:style w:type="character" w:customStyle="1" w:styleId="CommentTextChar">
    <w:name w:val="Comment Text Char"/>
    <w:basedOn w:val="DefaultParagraphFont"/>
    <w:link w:val="CommentText"/>
    <w:semiHidden/>
    <w:rsid w:val="009163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635C"/>
    <w:rPr>
      <w:b/>
      <w:bCs/>
    </w:rPr>
  </w:style>
  <w:style w:type="character" w:customStyle="1" w:styleId="CommentSubjectChar">
    <w:name w:val="Comment Subject Char"/>
    <w:basedOn w:val="CommentTextChar"/>
    <w:link w:val="CommentSubject"/>
    <w:uiPriority w:val="99"/>
    <w:semiHidden/>
    <w:rsid w:val="009163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635C"/>
    <w:rPr>
      <w:rFonts w:ascii="Tahoma" w:hAnsi="Tahoma" w:cs="Tahoma"/>
      <w:sz w:val="16"/>
      <w:szCs w:val="16"/>
    </w:rPr>
  </w:style>
  <w:style w:type="character" w:customStyle="1" w:styleId="BalloonTextChar">
    <w:name w:val="Balloon Text Char"/>
    <w:basedOn w:val="DefaultParagraphFont"/>
    <w:link w:val="BalloonText"/>
    <w:uiPriority w:val="99"/>
    <w:semiHidden/>
    <w:rsid w:val="0091635C"/>
    <w:rPr>
      <w:rFonts w:ascii="Tahoma" w:eastAsia="Times New Roman" w:hAnsi="Tahoma" w:cs="Tahoma"/>
      <w:sz w:val="16"/>
      <w:szCs w:val="16"/>
    </w:rPr>
  </w:style>
  <w:style w:type="character" w:styleId="Hyperlink">
    <w:name w:val="Hyperlink"/>
    <w:unhideWhenUsed/>
    <w:rsid w:val="006D2274"/>
    <w:rPr>
      <w:color w:val="0000FF"/>
      <w:u w:val="single"/>
    </w:rPr>
  </w:style>
  <w:style w:type="character" w:styleId="Strong">
    <w:name w:val="Strong"/>
    <w:basedOn w:val="DefaultParagraphFont"/>
    <w:uiPriority w:val="22"/>
    <w:qFormat/>
    <w:rsid w:val="006D2274"/>
    <w:rPr>
      <w:b/>
      <w:bCs/>
    </w:rPr>
  </w:style>
  <w:style w:type="character" w:styleId="FootnoteReference">
    <w:name w:val="footnote reference"/>
    <w:semiHidden/>
    <w:rsid w:val="0032715B"/>
    <w:rPr>
      <w:vertAlign w:val="superscript"/>
    </w:rPr>
  </w:style>
  <w:style w:type="paragraph" w:styleId="FootnoteText">
    <w:name w:val="footnote text"/>
    <w:basedOn w:val="Normal"/>
    <w:link w:val="FootnoteTextChar"/>
    <w:rsid w:val="0032715B"/>
    <w:rPr>
      <w:sz w:val="20"/>
      <w:szCs w:val="20"/>
    </w:rPr>
  </w:style>
  <w:style w:type="character" w:customStyle="1" w:styleId="FootnoteTextChar">
    <w:name w:val="Footnote Text Char"/>
    <w:basedOn w:val="DefaultParagraphFont"/>
    <w:link w:val="FootnoteText"/>
    <w:rsid w:val="0032715B"/>
    <w:rPr>
      <w:rFonts w:ascii="Times New Roman" w:eastAsia="Times New Roman" w:hAnsi="Times New Roman" w:cs="Times New Roman"/>
      <w:sz w:val="20"/>
      <w:szCs w:val="20"/>
    </w:rPr>
  </w:style>
  <w:style w:type="paragraph" w:styleId="ListParagraph">
    <w:name w:val="List Paragraph"/>
    <w:basedOn w:val="Normal"/>
    <w:uiPriority w:val="34"/>
    <w:qFormat/>
    <w:rsid w:val="001860EB"/>
    <w:pPr>
      <w:numPr>
        <w:numId w:val="3"/>
      </w:numPr>
      <w:spacing w:after="200" w:line="276" w:lineRule="auto"/>
    </w:pPr>
  </w:style>
  <w:style w:type="paragraph" w:styleId="NoSpacing">
    <w:name w:val="No Spacing"/>
    <w:uiPriority w:val="1"/>
    <w:qFormat/>
    <w:rsid w:val="008B50F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53F6B"/>
    <w:pPr>
      <w:tabs>
        <w:tab w:val="center" w:pos="4680"/>
        <w:tab w:val="right" w:pos="9360"/>
      </w:tabs>
    </w:pPr>
  </w:style>
  <w:style w:type="character" w:customStyle="1" w:styleId="HeaderChar">
    <w:name w:val="Header Char"/>
    <w:basedOn w:val="DefaultParagraphFont"/>
    <w:link w:val="Header"/>
    <w:uiPriority w:val="99"/>
    <w:rsid w:val="00C53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3F6B"/>
    <w:pPr>
      <w:tabs>
        <w:tab w:val="center" w:pos="4680"/>
        <w:tab w:val="right" w:pos="9360"/>
      </w:tabs>
    </w:pPr>
  </w:style>
  <w:style w:type="character" w:customStyle="1" w:styleId="FooterChar">
    <w:name w:val="Footer Char"/>
    <w:basedOn w:val="DefaultParagraphFont"/>
    <w:link w:val="Footer"/>
    <w:uiPriority w:val="99"/>
    <w:rsid w:val="00C53F6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65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1635C"/>
    <w:rPr>
      <w:sz w:val="16"/>
      <w:szCs w:val="16"/>
    </w:rPr>
  </w:style>
  <w:style w:type="paragraph" w:styleId="CommentText">
    <w:name w:val="annotation text"/>
    <w:basedOn w:val="Normal"/>
    <w:link w:val="CommentTextChar"/>
    <w:semiHidden/>
    <w:unhideWhenUsed/>
    <w:rsid w:val="0091635C"/>
    <w:rPr>
      <w:sz w:val="20"/>
      <w:szCs w:val="20"/>
    </w:rPr>
  </w:style>
  <w:style w:type="character" w:customStyle="1" w:styleId="CommentTextChar">
    <w:name w:val="Comment Text Char"/>
    <w:basedOn w:val="DefaultParagraphFont"/>
    <w:link w:val="CommentText"/>
    <w:semiHidden/>
    <w:rsid w:val="009163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635C"/>
    <w:rPr>
      <w:b/>
      <w:bCs/>
    </w:rPr>
  </w:style>
  <w:style w:type="character" w:customStyle="1" w:styleId="CommentSubjectChar">
    <w:name w:val="Comment Subject Char"/>
    <w:basedOn w:val="CommentTextChar"/>
    <w:link w:val="CommentSubject"/>
    <w:uiPriority w:val="99"/>
    <w:semiHidden/>
    <w:rsid w:val="009163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635C"/>
    <w:rPr>
      <w:rFonts w:ascii="Tahoma" w:hAnsi="Tahoma" w:cs="Tahoma"/>
      <w:sz w:val="16"/>
      <w:szCs w:val="16"/>
    </w:rPr>
  </w:style>
  <w:style w:type="character" w:customStyle="1" w:styleId="BalloonTextChar">
    <w:name w:val="Balloon Text Char"/>
    <w:basedOn w:val="DefaultParagraphFont"/>
    <w:link w:val="BalloonText"/>
    <w:uiPriority w:val="99"/>
    <w:semiHidden/>
    <w:rsid w:val="0091635C"/>
    <w:rPr>
      <w:rFonts w:ascii="Tahoma" w:eastAsia="Times New Roman" w:hAnsi="Tahoma" w:cs="Tahoma"/>
      <w:sz w:val="16"/>
      <w:szCs w:val="16"/>
    </w:rPr>
  </w:style>
  <w:style w:type="character" w:styleId="Hyperlink">
    <w:name w:val="Hyperlink"/>
    <w:unhideWhenUsed/>
    <w:rsid w:val="006D2274"/>
    <w:rPr>
      <w:color w:val="0000FF"/>
      <w:u w:val="single"/>
    </w:rPr>
  </w:style>
  <w:style w:type="character" w:styleId="Strong">
    <w:name w:val="Strong"/>
    <w:basedOn w:val="DefaultParagraphFont"/>
    <w:uiPriority w:val="22"/>
    <w:qFormat/>
    <w:rsid w:val="006D2274"/>
    <w:rPr>
      <w:b/>
      <w:bCs/>
    </w:rPr>
  </w:style>
  <w:style w:type="character" w:styleId="FootnoteReference">
    <w:name w:val="footnote reference"/>
    <w:semiHidden/>
    <w:rsid w:val="0032715B"/>
    <w:rPr>
      <w:vertAlign w:val="superscript"/>
    </w:rPr>
  </w:style>
  <w:style w:type="paragraph" w:styleId="FootnoteText">
    <w:name w:val="footnote text"/>
    <w:basedOn w:val="Normal"/>
    <w:link w:val="FootnoteTextChar"/>
    <w:rsid w:val="0032715B"/>
    <w:rPr>
      <w:sz w:val="20"/>
      <w:szCs w:val="20"/>
    </w:rPr>
  </w:style>
  <w:style w:type="character" w:customStyle="1" w:styleId="FootnoteTextChar">
    <w:name w:val="Footnote Text Char"/>
    <w:basedOn w:val="DefaultParagraphFont"/>
    <w:link w:val="FootnoteText"/>
    <w:rsid w:val="0032715B"/>
    <w:rPr>
      <w:rFonts w:ascii="Times New Roman" w:eastAsia="Times New Roman" w:hAnsi="Times New Roman" w:cs="Times New Roman"/>
      <w:sz w:val="20"/>
      <w:szCs w:val="20"/>
    </w:rPr>
  </w:style>
  <w:style w:type="paragraph" w:styleId="ListParagraph">
    <w:name w:val="List Paragraph"/>
    <w:basedOn w:val="Normal"/>
    <w:uiPriority w:val="34"/>
    <w:qFormat/>
    <w:rsid w:val="001860EB"/>
    <w:pPr>
      <w:numPr>
        <w:numId w:val="3"/>
      </w:numPr>
      <w:spacing w:after="200" w:line="276" w:lineRule="auto"/>
    </w:pPr>
  </w:style>
  <w:style w:type="paragraph" w:styleId="NoSpacing">
    <w:name w:val="No Spacing"/>
    <w:uiPriority w:val="1"/>
    <w:qFormat/>
    <w:rsid w:val="008B50F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53F6B"/>
    <w:pPr>
      <w:tabs>
        <w:tab w:val="center" w:pos="4680"/>
        <w:tab w:val="right" w:pos="9360"/>
      </w:tabs>
    </w:pPr>
  </w:style>
  <w:style w:type="character" w:customStyle="1" w:styleId="HeaderChar">
    <w:name w:val="Header Char"/>
    <w:basedOn w:val="DefaultParagraphFont"/>
    <w:link w:val="Header"/>
    <w:uiPriority w:val="99"/>
    <w:rsid w:val="00C53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3F6B"/>
    <w:pPr>
      <w:tabs>
        <w:tab w:val="center" w:pos="4680"/>
        <w:tab w:val="right" w:pos="9360"/>
      </w:tabs>
    </w:pPr>
  </w:style>
  <w:style w:type="character" w:customStyle="1" w:styleId="FooterChar">
    <w:name w:val="Footer Char"/>
    <w:basedOn w:val="DefaultParagraphFont"/>
    <w:link w:val="Footer"/>
    <w:uiPriority w:val="99"/>
    <w:rsid w:val="00C53F6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9236">
      <w:bodyDiv w:val="1"/>
      <w:marLeft w:val="0"/>
      <w:marRight w:val="0"/>
      <w:marTop w:val="0"/>
      <w:marBottom w:val="0"/>
      <w:divBdr>
        <w:top w:val="none" w:sz="0" w:space="0" w:color="auto"/>
        <w:left w:val="none" w:sz="0" w:space="0" w:color="auto"/>
        <w:bottom w:val="none" w:sz="0" w:space="0" w:color="auto"/>
        <w:right w:val="none" w:sz="0" w:space="0" w:color="auto"/>
      </w:divBdr>
    </w:div>
    <w:div w:id="319306654">
      <w:bodyDiv w:val="1"/>
      <w:marLeft w:val="0"/>
      <w:marRight w:val="0"/>
      <w:marTop w:val="0"/>
      <w:marBottom w:val="0"/>
      <w:divBdr>
        <w:top w:val="none" w:sz="0" w:space="0" w:color="auto"/>
        <w:left w:val="none" w:sz="0" w:space="0" w:color="auto"/>
        <w:bottom w:val="none" w:sz="0" w:space="0" w:color="auto"/>
        <w:right w:val="none" w:sz="0" w:space="0" w:color="auto"/>
      </w:divBdr>
    </w:div>
    <w:div w:id="563763761">
      <w:bodyDiv w:val="1"/>
      <w:marLeft w:val="0"/>
      <w:marRight w:val="0"/>
      <w:marTop w:val="0"/>
      <w:marBottom w:val="0"/>
      <w:divBdr>
        <w:top w:val="none" w:sz="0" w:space="0" w:color="auto"/>
        <w:left w:val="none" w:sz="0" w:space="0" w:color="auto"/>
        <w:bottom w:val="none" w:sz="0" w:space="0" w:color="auto"/>
        <w:right w:val="none" w:sz="0" w:space="0" w:color="auto"/>
      </w:divBdr>
    </w:div>
    <w:div w:id="1762989475">
      <w:bodyDiv w:val="1"/>
      <w:marLeft w:val="0"/>
      <w:marRight w:val="0"/>
      <w:marTop w:val="0"/>
      <w:marBottom w:val="0"/>
      <w:divBdr>
        <w:top w:val="none" w:sz="0" w:space="0" w:color="auto"/>
        <w:left w:val="none" w:sz="0" w:space="0" w:color="auto"/>
        <w:bottom w:val="none" w:sz="0" w:space="0" w:color="auto"/>
        <w:right w:val="none" w:sz="0" w:space="0" w:color="auto"/>
      </w:divBdr>
      <w:divsChild>
        <w:div w:id="369234551">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dn5.freedomoutpost.com/wp-content/uploads/2014/10/RL33201.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dc.gov/quarantine/pdf/legal-authorities-isolation-quarantin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mmwr/pdf/wk/mm63e1114a6.pdf" TargetMode="External"/><Relationship Id="rId5" Type="http://schemas.openxmlformats.org/officeDocument/2006/relationships/settings" Target="settings.xml"/><Relationship Id="rId15" Type="http://schemas.openxmlformats.org/officeDocument/2006/relationships/hyperlink" Target="http://www.who.int/mediacentre/factsheets/fs103/en/" TargetMode="External"/><Relationship Id="rId10" Type="http://schemas.openxmlformats.org/officeDocument/2006/relationships/hyperlink" Target="http://www.cdc.gov/mmwr/preview/mmwrhtml/mm6346a1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vhf/Ebola/outbreaks/2014-west-africa/index.html" TargetMode="External"/><Relationship Id="rId14" Type="http://schemas.openxmlformats.org/officeDocument/2006/relationships/hyperlink" Target="http://www.cdc.gov/vhf/ebola/exposure/monitoring-and-movement-of-persons-with-exposure.html"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vhf/ebola/exposure/monitoring-and-movement-of-persons-with-exposure.html" TargetMode="External"/><Relationship Id="rId1" Type="http://schemas.openxmlformats.org/officeDocument/2006/relationships/hyperlink" Target="http://www.cdc.gov/vhf/ebola/hcp/case-defin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2F19-55EE-4B2C-94F7-AA1AFFDE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4</cp:revision>
  <cp:lastPrinted>2014-12-02T22:57:00Z</cp:lastPrinted>
  <dcterms:created xsi:type="dcterms:W3CDTF">2015-01-23T23:54:00Z</dcterms:created>
  <dcterms:modified xsi:type="dcterms:W3CDTF">2015-01-24T00:28:00Z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