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A62B4" w14:textId="77777777" w:rsidR="00F14A1B" w:rsidRDefault="00F14A1B" w:rsidP="00A634D6">
      <w:pPr>
        <w:spacing w:after="0"/>
        <w:jc w:val="center"/>
        <w:rPr>
          <w:rFonts w:asciiTheme="minorHAnsi" w:hAnsiTheme="minorHAnsi" w:cstheme="minorHAnsi"/>
          <w:b/>
          <w:sz w:val="24"/>
          <w:szCs w:val="24"/>
        </w:rPr>
      </w:pPr>
      <w:bookmarkStart w:id="0" w:name="_GoBack"/>
      <w:bookmarkEnd w:id="0"/>
      <w:r>
        <w:rPr>
          <w:rFonts w:asciiTheme="minorHAnsi" w:hAnsiTheme="minorHAnsi" w:cstheme="minorHAnsi"/>
          <w:b/>
          <w:sz w:val="24"/>
          <w:szCs w:val="24"/>
        </w:rPr>
        <w:t>ATTACHMENT B: Protocol</w:t>
      </w:r>
    </w:p>
    <w:p w14:paraId="69895BEB" w14:textId="77777777" w:rsidR="00A634D6" w:rsidRDefault="00A634D6" w:rsidP="00A634D6">
      <w:pPr>
        <w:spacing w:after="0"/>
        <w:jc w:val="center"/>
        <w:rPr>
          <w:rFonts w:asciiTheme="minorHAnsi" w:hAnsiTheme="minorHAnsi" w:cstheme="minorHAnsi"/>
          <w:b/>
          <w:sz w:val="24"/>
          <w:szCs w:val="24"/>
        </w:rPr>
      </w:pPr>
      <w:r w:rsidRPr="00FB2640">
        <w:rPr>
          <w:rFonts w:asciiTheme="minorHAnsi" w:hAnsiTheme="minorHAnsi" w:cstheme="minorHAnsi"/>
          <w:b/>
          <w:sz w:val="24"/>
          <w:szCs w:val="24"/>
        </w:rPr>
        <w:t>Message Testing:  Radiation Risk Scale</w:t>
      </w:r>
    </w:p>
    <w:p w14:paraId="55983FFB" w14:textId="19D87A80" w:rsidR="00894CC2" w:rsidRPr="00FB2640" w:rsidRDefault="00894CC2" w:rsidP="00A634D6">
      <w:pPr>
        <w:spacing w:after="0"/>
        <w:jc w:val="center"/>
        <w:rPr>
          <w:rFonts w:asciiTheme="minorHAnsi" w:hAnsiTheme="minorHAnsi" w:cstheme="minorHAnsi"/>
          <w:b/>
          <w:sz w:val="24"/>
          <w:szCs w:val="24"/>
        </w:rPr>
      </w:pPr>
      <w:r>
        <w:rPr>
          <w:rFonts w:asciiTheme="minorHAnsi" w:hAnsiTheme="minorHAnsi" w:cstheme="minorHAnsi"/>
          <w:b/>
          <w:sz w:val="24"/>
          <w:szCs w:val="24"/>
        </w:rPr>
        <w:t>(Focus Group)</w:t>
      </w:r>
    </w:p>
    <w:p w14:paraId="4CDB5274" w14:textId="77777777" w:rsidR="00A634D6" w:rsidRPr="00FB2640" w:rsidRDefault="00A634D6" w:rsidP="00A634D6">
      <w:pPr>
        <w:spacing w:after="0"/>
        <w:jc w:val="center"/>
        <w:rPr>
          <w:rFonts w:asciiTheme="minorHAnsi" w:hAnsiTheme="minorHAnsi" w:cstheme="minorHAnsi"/>
          <w:sz w:val="24"/>
          <w:szCs w:val="24"/>
        </w:rPr>
      </w:pPr>
    </w:p>
    <w:p w14:paraId="6636E2A0" w14:textId="77777777" w:rsidR="00A634D6" w:rsidRPr="00FB2640" w:rsidRDefault="00A634D6" w:rsidP="00A634D6">
      <w:pPr>
        <w:spacing w:after="0"/>
        <w:jc w:val="center"/>
        <w:rPr>
          <w:rFonts w:asciiTheme="minorHAnsi" w:hAnsiTheme="minorHAnsi" w:cstheme="minorHAnsi"/>
          <w:sz w:val="24"/>
          <w:szCs w:val="24"/>
        </w:rPr>
      </w:pPr>
      <w:r w:rsidRPr="00FB2640">
        <w:rPr>
          <w:rFonts w:asciiTheme="minorHAnsi" w:hAnsiTheme="minorHAnsi" w:cstheme="minorHAnsi"/>
          <w:sz w:val="24"/>
          <w:szCs w:val="24"/>
        </w:rPr>
        <w:t>Karen Carera, Ph.D.</w:t>
      </w:r>
    </w:p>
    <w:p w14:paraId="56EC3F54" w14:textId="77777777" w:rsidR="00A634D6" w:rsidRPr="00FB2640" w:rsidRDefault="00A634D6" w:rsidP="00A634D6">
      <w:pPr>
        <w:spacing w:after="0"/>
        <w:jc w:val="center"/>
        <w:rPr>
          <w:rFonts w:asciiTheme="minorHAnsi" w:hAnsiTheme="minorHAnsi" w:cstheme="minorHAnsi"/>
          <w:sz w:val="24"/>
          <w:szCs w:val="24"/>
        </w:rPr>
      </w:pPr>
      <w:r w:rsidRPr="00FB2640">
        <w:rPr>
          <w:rFonts w:asciiTheme="minorHAnsi" w:hAnsiTheme="minorHAnsi" w:cstheme="minorHAnsi"/>
          <w:sz w:val="24"/>
          <w:szCs w:val="24"/>
        </w:rPr>
        <w:t>Florie Tucker, MSN, MBA</w:t>
      </w:r>
    </w:p>
    <w:p w14:paraId="40464F02" w14:textId="77777777" w:rsidR="00A634D6" w:rsidRPr="00FB2640" w:rsidRDefault="00A634D6" w:rsidP="00A634D6">
      <w:pPr>
        <w:spacing w:after="0"/>
        <w:jc w:val="center"/>
        <w:rPr>
          <w:rFonts w:asciiTheme="minorHAnsi" w:hAnsiTheme="minorHAnsi" w:cstheme="minorHAnsi"/>
          <w:sz w:val="24"/>
          <w:szCs w:val="24"/>
        </w:rPr>
      </w:pPr>
      <w:r w:rsidRPr="00FB2640">
        <w:rPr>
          <w:rFonts w:asciiTheme="minorHAnsi" w:hAnsiTheme="minorHAnsi" w:cstheme="minorHAnsi"/>
          <w:sz w:val="24"/>
          <w:szCs w:val="24"/>
        </w:rPr>
        <w:t>Oak Ridge Institute for Science and Education</w:t>
      </w:r>
    </w:p>
    <w:p w14:paraId="6451E33B" w14:textId="77777777" w:rsidR="00A634D6" w:rsidRPr="00FB2640" w:rsidRDefault="00A634D6" w:rsidP="00A634D6">
      <w:pPr>
        <w:spacing w:after="0"/>
        <w:jc w:val="center"/>
        <w:rPr>
          <w:rFonts w:asciiTheme="minorHAnsi" w:hAnsiTheme="minorHAnsi" w:cstheme="minorHAnsi"/>
          <w:sz w:val="24"/>
          <w:szCs w:val="24"/>
        </w:rPr>
      </w:pPr>
    </w:p>
    <w:p w14:paraId="05FE932D" w14:textId="77777777" w:rsidR="00A634D6" w:rsidRPr="00FB2640" w:rsidRDefault="00A634D6" w:rsidP="00A634D6">
      <w:pPr>
        <w:spacing w:after="0"/>
        <w:jc w:val="center"/>
        <w:rPr>
          <w:rFonts w:asciiTheme="minorHAnsi" w:hAnsiTheme="minorHAnsi" w:cstheme="minorHAnsi"/>
          <w:sz w:val="24"/>
          <w:szCs w:val="24"/>
        </w:rPr>
      </w:pPr>
      <w:r w:rsidRPr="00FB2640">
        <w:rPr>
          <w:rFonts w:asciiTheme="minorHAnsi" w:hAnsiTheme="minorHAnsi" w:cstheme="minorHAnsi"/>
          <w:sz w:val="24"/>
          <w:szCs w:val="24"/>
        </w:rPr>
        <w:t>Armin Ansari, Ph.D.</w:t>
      </w:r>
    </w:p>
    <w:p w14:paraId="1260EB55" w14:textId="77777777" w:rsidR="00A634D6" w:rsidRPr="00FB2640" w:rsidRDefault="00A634D6" w:rsidP="00A634D6">
      <w:pPr>
        <w:spacing w:after="0"/>
        <w:jc w:val="center"/>
        <w:rPr>
          <w:rFonts w:asciiTheme="minorHAnsi" w:hAnsiTheme="minorHAnsi" w:cstheme="minorHAnsi"/>
          <w:sz w:val="24"/>
          <w:szCs w:val="24"/>
        </w:rPr>
      </w:pPr>
      <w:r w:rsidRPr="00FB2640">
        <w:rPr>
          <w:rFonts w:asciiTheme="minorHAnsi" w:hAnsiTheme="minorHAnsi" w:cstheme="minorHAnsi"/>
          <w:sz w:val="24"/>
          <w:szCs w:val="24"/>
        </w:rPr>
        <w:t>Centers for Disease Control and Prevention</w:t>
      </w:r>
    </w:p>
    <w:p w14:paraId="2B30E862" w14:textId="77777777" w:rsidR="00A634D6" w:rsidRPr="008756D5" w:rsidRDefault="00A634D6" w:rsidP="008756D5">
      <w:pPr>
        <w:rPr>
          <w:rFonts w:asciiTheme="minorHAnsi" w:hAnsiTheme="minorHAnsi"/>
          <w:b/>
          <w:color w:val="000000"/>
        </w:rPr>
      </w:pPr>
    </w:p>
    <w:p w14:paraId="0E4FBC8A" w14:textId="77777777" w:rsidR="00A634D6" w:rsidRPr="008756D5" w:rsidRDefault="00A634D6" w:rsidP="008756D5">
      <w:pPr>
        <w:rPr>
          <w:rFonts w:asciiTheme="minorHAnsi" w:hAnsiTheme="minorHAnsi"/>
          <w:b/>
          <w:color w:val="000000"/>
        </w:rPr>
      </w:pPr>
      <w:r w:rsidRPr="008756D5">
        <w:rPr>
          <w:rFonts w:asciiTheme="minorHAnsi" w:hAnsiTheme="minorHAnsi"/>
          <w:b/>
          <w:color w:val="000000"/>
        </w:rPr>
        <w:t>Background</w:t>
      </w:r>
    </w:p>
    <w:p w14:paraId="2400B1CE" w14:textId="77777777" w:rsidR="00A634D6" w:rsidRPr="008756D5" w:rsidRDefault="00A634D6" w:rsidP="00A634D6">
      <w:pPr>
        <w:spacing w:after="0"/>
        <w:rPr>
          <w:rFonts w:asciiTheme="minorHAnsi" w:hAnsiTheme="minorHAnsi"/>
        </w:rPr>
      </w:pPr>
      <w:r w:rsidRPr="008756D5">
        <w:rPr>
          <w:rFonts w:asciiTheme="minorHAnsi" w:hAnsiTheme="minorHAnsi"/>
        </w:rPr>
        <w:t xml:space="preserve">People need to know if a situation involving radiation or radioactive materials is “safe” for them or their family. The radiation protection community continues to struggle addressing this need.  </w:t>
      </w:r>
      <w:r w:rsidR="008A4AE4" w:rsidRPr="008756D5">
        <w:rPr>
          <w:rFonts w:asciiTheme="minorHAnsi" w:hAnsiTheme="minorHAnsi"/>
        </w:rPr>
        <w:t xml:space="preserve">To address this need, Dr. Armin Ansari, from CDC’s Radiation Studies Branch has created the Radiation Risk Scale as a communication tool for the public to help them assess their own risk in a radiation emergency and understand how following protective actions can lower their risk of health effects.  </w:t>
      </w:r>
      <w:r w:rsidRPr="008756D5">
        <w:rPr>
          <w:rFonts w:asciiTheme="minorHAnsi" w:hAnsiTheme="minorHAnsi"/>
        </w:rPr>
        <w:t xml:space="preserve">The Oak Ridge Institute for Science and Education (ORISE) is to provide technical assistance. </w:t>
      </w:r>
    </w:p>
    <w:p w14:paraId="49B2041A" w14:textId="77777777" w:rsidR="00CD5849" w:rsidRPr="008756D5" w:rsidRDefault="00CD5849" w:rsidP="00A634D6">
      <w:pPr>
        <w:spacing w:after="0"/>
        <w:rPr>
          <w:rFonts w:asciiTheme="minorHAnsi" w:hAnsiTheme="minorHAnsi"/>
        </w:rPr>
      </w:pPr>
    </w:p>
    <w:p w14:paraId="4D54323C" w14:textId="77777777" w:rsidR="00A634D6" w:rsidRPr="008756D5" w:rsidRDefault="00A634D6" w:rsidP="00A634D6">
      <w:pPr>
        <w:spacing w:after="0"/>
        <w:rPr>
          <w:rFonts w:asciiTheme="minorHAnsi" w:hAnsiTheme="minorHAnsi"/>
        </w:rPr>
      </w:pPr>
      <w:r w:rsidRPr="008756D5">
        <w:rPr>
          <w:rFonts w:asciiTheme="minorHAnsi" w:hAnsiTheme="minorHAnsi"/>
        </w:rPr>
        <w:t>This protocol sets forth the plan for message testing.  It addresses:</w:t>
      </w:r>
    </w:p>
    <w:p w14:paraId="32180B01" w14:textId="77777777" w:rsidR="00EA3765" w:rsidRPr="008756D5" w:rsidRDefault="00EA3765" w:rsidP="007748E9">
      <w:pPr>
        <w:numPr>
          <w:ilvl w:val="0"/>
          <w:numId w:val="1"/>
        </w:numPr>
        <w:spacing w:after="0" w:line="240" w:lineRule="auto"/>
        <w:rPr>
          <w:rFonts w:asciiTheme="minorHAnsi" w:hAnsiTheme="minorHAnsi"/>
        </w:rPr>
      </w:pPr>
      <w:r w:rsidRPr="008756D5">
        <w:rPr>
          <w:rFonts w:asciiTheme="minorHAnsi" w:hAnsiTheme="minorHAnsi"/>
        </w:rPr>
        <w:t>Goal</w:t>
      </w:r>
    </w:p>
    <w:p w14:paraId="5F6AEBB8" w14:textId="77777777" w:rsidR="00A634D6" w:rsidRPr="008756D5" w:rsidRDefault="00A634D6" w:rsidP="007748E9">
      <w:pPr>
        <w:numPr>
          <w:ilvl w:val="0"/>
          <w:numId w:val="1"/>
        </w:numPr>
        <w:spacing w:after="0" w:line="240" w:lineRule="auto"/>
        <w:rPr>
          <w:rFonts w:asciiTheme="minorHAnsi" w:hAnsiTheme="minorHAnsi"/>
        </w:rPr>
      </w:pPr>
      <w:r w:rsidRPr="008756D5">
        <w:rPr>
          <w:rFonts w:asciiTheme="minorHAnsi" w:hAnsiTheme="minorHAnsi"/>
        </w:rPr>
        <w:t>Objective</w:t>
      </w:r>
      <w:r w:rsidR="00EA3765" w:rsidRPr="008756D5">
        <w:rPr>
          <w:rFonts w:asciiTheme="minorHAnsi" w:hAnsiTheme="minorHAnsi"/>
        </w:rPr>
        <w:t>s</w:t>
      </w:r>
    </w:p>
    <w:p w14:paraId="23E1E130" w14:textId="77777777" w:rsidR="00A634D6" w:rsidRPr="008756D5" w:rsidRDefault="00A634D6" w:rsidP="007748E9">
      <w:pPr>
        <w:numPr>
          <w:ilvl w:val="0"/>
          <w:numId w:val="1"/>
        </w:numPr>
        <w:spacing w:after="0" w:line="240" w:lineRule="auto"/>
        <w:rPr>
          <w:rFonts w:asciiTheme="minorHAnsi" w:hAnsiTheme="minorHAnsi"/>
        </w:rPr>
      </w:pPr>
      <w:r w:rsidRPr="008756D5">
        <w:rPr>
          <w:rFonts w:asciiTheme="minorHAnsi" w:hAnsiTheme="minorHAnsi"/>
        </w:rPr>
        <w:t>Target Audience</w:t>
      </w:r>
    </w:p>
    <w:p w14:paraId="3D0227BF" w14:textId="388C6BC0" w:rsidR="00E505A0" w:rsidRPr="008756D5" w:rsidRDefault="00E505A0" w:rsidP="007748E9">
      <w:pPr>
        <w:numPr>
          <w:ilvl w:val="0"/>
          <w:numId w:val="1"/>
        </w:numPr>
        <w:spacing w:after="0" w:line="240" w:lineRule="auto"/>
        <w:rPr>
          <w:rFonts w:asciiTheme="minorHAnsi" w:hAnsiTheme="minorHAnsi"/>
        </w:rPr>
      </w:pPr>
      <w:r w:rsidRPr="008756D5">
        <w:rPr>
          <w:rFonts w:asciiTheme="minorHAnsi" w:hAnsiTheme="minorHAnsi"/>
        </w:rPr>
        <w:t>OMB Approval</w:t>
      </w:r>
    </w:p>
    <w:p w14:paraId="16BBAA99" w14:textId="7E0E791E" w:rsidR="00E505A0" w:rsidRPr="008756D5" w:rsidRDefault="00E505A0" w:rsidP="007748E9">
      <w:pPr>
        <w:numPr>
          <w:ilvl w:val="0"/>
          <w:numId w:val="1"/>
        </w:numPr>
        <w:spacing w:after="0" w:line="240" w:lineRule="auto"/>
        <w:rPr>
          <w:rFonts w:asciiTheme="minorHAnsi" w:hAnsiTheme="minorHAnsi"/>
        </w:rPr>
      </w:pPr>
      <w:r w:rsidRPr="008756D5">
        <w:rPr>
          <w:rFonts w:asciiTheme="minorHAnsi" w:hAnsiTheme="minorHAnsi"/>
        </w:rPr>
        <w:t>Methodology</w:t>
      </w:r>
    </w:p>
    <w:p w14:paraId="2B88C522" w14:textId="77777777" w:rsidR="00A634D6" w:rsidRPr="008756D5" w:rsidRDefault="00A634D6" w:rsidP="00FF14C6">
      <w:pPr>
        <w:numPr>
          <w:ilvl w:val="1"/>
          <w:numId w:val="1"/>
        </w:numPr>
        <w:spacing w:after="0" w:line="240" w:lineRule="auto"/>
        <w:rPr>
          <w:rFonts w:asciiTheme="minorHAnsi" w:hAnsiTheme="minorHAnsi"/>
        </w:rPr>
      </w:pPr>
      <w:r w:rsidRPr="008756D5">
        <w:rPr>
          <w:rFonts w:asciiTheme="minorHAnsi" w:hAnsiTheme="minorHAnsi"/>
        </w:rPr>
        <w:t>Audience Segmentation</w:t>
      </w:r>
      <w:r w:rsidR="00EA3765" w:rsidRPr="008756D5">
        <w:rPr>
          <w:rFonts w:asciiTheme="minorHAnsi" w:hAnsiTheme="minorHAnsi"/>
        </w:rPr>
        <w:t xml:space="preserve"> and</w:t>
      </w:r>
      <w:r w:rsidR="00637B3D" w:rsidRPr="008756D5">
        <w:rPr>
          <w:rFonts w:asciiTheme="minorHAnsi" w:hAnsiTheme="minorHAnsi"/>
        </w:rPr>
        <w:t xml:space="preserve"> </w:t>
      </w:r>
      <w:r w:rsidRPr="008756D5">
        <w:rPr>
          <w:rFonts w:asciiTheme="minorHAnsi" w:hAnsiTheme="minorHAnsi"/>
        </w:rPr>
        <w:t>Screening</w:t>
      </w:r>
    </w:p>
    <w:p w14:paraId="38FF62E6" w14:textId="77777777" w:rsidR="00611686" w:rsidRPr="008756D5" w:rsidRDefault="007748E9" w:rsidP="00FF14C6">
      <w:pPr>
        <w:numPr>
          <w:ilvl w:val="1"/>
          <w:numId w:val="1"/>
        </w:numPr>
        <w:spacing w:after="0" w:line="240" w:lineRule="auto"/>
        <w:rPr>
          <w:rFonts w:asciiTheme="minorHAnsi" w:hAnsiTheme="minorHAnsi"/>
        </w:rPr>
      </w:pPr>
      <w:r w:rsidRPr="008756D5">
        <w:rPr>
          <w:rFonts w:asciiTheme="minorHAnsi" w:hAnsiTheme="minorHAnsi"/>
        </w:rPr>
        <w:t>Recruiting</w:t>
      </w:r>
    </w:p>
    <w:p w14:paraId="3881D836" w14:textId="77777777" w:rsidR="003E7CEC" w:rsidRPr="008756D5" w:rsidRDefault="003E7CEC" w:rsidP="00FF14C6">
      <w:pPr>
        <w:numPr>
          <w:ilvl w:val="1"/>
          <w:numId w:val="1"/>
        </w:numPr>
        <w:spacing w:after="0" w:line="240" w:lineRule="auto"/>
        <w:rPr>
          <w:rFonts w:asciiTheme="minorHAnsi" w:hAnsiTheme="minorHAnsi"/>
        </w:rPr>
      </w:pPr>
      <w:r w:rsidRPr="008756D5">
        <w:rPr>
          <w:rFonts w:asciiTheme="minorHAnsi" w:hAnsiTheme="minorHAnsi"/>
        </w:rPr>
        <w:t>Schedule</w:t>
      </w:r>
    </w:p>
    <w:p w14:paraId="68507478" w14:textId="0D595766" w:rsidR="007748E9" w:rsidRPr="008756D5" w:rsidRDefault="00E505A0" w:rsidP="00FF14C6">
      <w:pPr>
        <w:numPr>
          <w:ilvl w:val="1"/>
          <w:numId w:val="1"/>
        </w:numPr>
        <w:spacing w:after="0" w:line="240" w:lineRule="auto"/>
        <w:rPr>
          <w:rFonts w:asciiTheme="minorHAnsi" w:hAnsiTheme="minorHAnsi"/>
        </w:rPr>
      </w:pPr>
      <w:r w:rsidRPr="008756D5">
        <w:rPr>
          <w:rFonts w:asciiTheme="minorHAnsi" w:hAnsiTheme="minorHAnsi"/>
        </w:rPr>
        <w:t xml:space="preserve">IRB </w:t>
      </w:r>
    </w:p>
    <w:p w14:paraId="71910C2A" w14:textId="77777777" w:rsidR="007748E9" w:rsidRPr="008756D5" w:rsidRDefault="00A634D6" w:rsidP="00FF14C6">
      <w:pPr>
        <w:numPr>
          <w:ilvl w:val="1"/>
          <w:numId w:val="1"/>
        </w:numPr>
        <w:spacing w:after="0" w:line="240" w:lineRule="auto"/>
        <w:rPr>
          <w:rFonts w:asciiTheme="minorHAnsi" w:hAnsiTheme="minorHAnsi"/>
        </w:rPr>
      </w:pPr>
      <w:r w:rsidRPr="008756D5">
        <w:rPr>
          <w:rFonts w:asciiTheme="minorHAnsi" w:hAnsiTheme="minorHAnsi"/>
        </w:rPr>
        <w:t>Methods of Data Collection</w:t>
      </w:r>
    </w:p>
    <w:p w14:paraId="648C88AA" w14:textId="2A776D3E" w:rsidR="00A634D6" w:rsidRPr="008756D5" w:rsidRDefault="00FF7A95" w:rsidP="00FF14C6">
      <w:pPr>
        <w:numPr>
          <w:ilvl w:val="1"/>
          <w:numId w:val="1"/>
        </w:numPr>
        <w:spacing w:after="0" w:line="240" w:lineRule="auto"/>
        <w:rPr>
          <w:rFonts w:asciiTheme="minorHAnsi" w:hAnsiTheme="minorHAnsi"/>
        </w:rPr>
      </w:pPr>
      <w:r w:rsidRPr="008756D5">
        <w:rPr>
          <w:rFonts w:asciiTheme="minorHAnsi" w:hAnsiTheme="minorHAnsi"/>
        </w:rPr>
        <w:t>Determining Tokens of Appreciation</w:t>
      </w:r>
      <w:r w:rsidR="00094719" w:rsidRPr="008756D5">
        <w:rPr>
          <w:rFonts w:asciiTheme="minorHAnsi" w:hAnsiTheme="minorHAnsi"/>
        </w:rPr>
        <w:t xml:space="preserve"> to Focus Group Participants</w:t>
      </w:r>
    </w:p>
    <w:p w14:paraId="53E42575" w14:textId="77777777" w:rsidR="00A634D6" w:rsidRPr="008756D5" w:rsidRDefault="00A634D6" w:rsidP="00FF14C6">
      <w:pPr>
        <w:numPr>
          <w:ilvl w:val="1"/>
          <w:numId w:val="1"/>
        </w:numPr>
        <w:spacing w:after="0" w:line="240" w:lineRule="auto"/>
        <w:rPr>
          <w:rFonts w:asciiTheme="minorHAnsi" w:hAnsiTheme="minorHAnsi"/>
        </w:rPr>
      </w:pPr>
      <w:r w:rsidRPr="008756D5">
        <w:rPr>
          <w:rFonts w:asciiTheme="minorHAnsi" w:hAnsiTheme="minorHAnsi"/>
        </w:rPr>
        <w:t xml:space="preserve">Handling of Data </w:t>
      </w:r>
      <w:r w:rsidR="00EA3765" w:rsidRPr="008756D5">
        <w:rPr>
          <w:rFonts w:asciiTheme="minorHAnsi" w:hAnsiTheme="minorHAnsi"/>
        </w:rPr>
        <w:t xml:space="preserve">and </w:t>
      </w:r>
      <w:r w:rsidRPr="008756D5">
        <w:rPr>
          <w:rFonts w:asciiTheme="minorHAnsi" w:hAnsiTheme="minorHAnsi"/>
        </w:rPr>
        <w:t>Records</w:t>
      </w:r>
    </w:p>
    <w:p w14:paraId="640FBB60" w14:textId="77777777" w:rsidR="00A634D6" w:rsidRPr="008756D5" w:rsidRDefault="00A634D6" w:rsidP="00A634D6">
      <w:pPr>
        <w:spacing w:after="0"/>
        <w:rPr>
          <w:rFonts w:asciiTheme="minorHAnsi" w:hAnsiTheme="minorHAnsi"/>
          <w:b/>
        </w:rPr>
      </w:pPr>
      <w:r w:rsidRPr="008756D5">
        <w:rPr>
          <w:rFonts w:asciiTheme="minorHAnsi" w:hAnsiTheme="minorHAnsi"/>
          <w:b/>
        </w:rPr>
        <w:t>Goal</w:t>
      </w:r>
    </w:p>
    <w:p w14:paraId="4A943AB3" w14:textId="77777777" w:rsidR="00A634D6" w:rsidRPr="008756D5" w:rsidRDefault="00A634D6" w:rsidP="00A634D6">
      <w:pPr>
        <w:spacing w:after="0" w:line="240" w:lineRule="auto"/>
        <w:rPr>
          <w:rFonts w:asciiTheme="minorHAnsi" w:hAnsiTheme="minorHAnsi"/>
        </w:rPr>
      </w:pPr>
      <w:r w:rsidRPr="008756D5">
        <w:rPr>
          <w:rFonts w:asciiTheme="minorHAnsi" w:hAnsiTheme="minorHAnsi"/>
        </w:rPr>
        <w:t>Explore the effectiveness of the Radiation Risk Scale among the public.</w:t>
      </w:r>
      <w:r w:rsidR="00EF4933" w:rsidRPr="008756D5">
        <w:rPr>
          <w:rFonts w:asciiTheme="minorHAnsi" w:hAnsiTheme="minorHAnsi"/>
        </w:rPr>
        <w:t xml:space="preserve"> A total of 192 burden hours is requested.</w:t>
      </w:r>
    </w:p>
    <w:p w14:paraId="339CC34A" w14:textId="77777777" w:rsidR="00A634D6" w:rsidRPr="008756D5" w:rsidRDefault="00A634D6" w:rsidP="00A634D6">
      <w:pPr>
        <w:spacing w:after="0"/>
        <w:rPr>
          <w:rFonts w:asciiTheme="minorHAnsi" w:hAnsiTheme="minorHAnsi"/>
        </w:rPr>
      </w:pPr>
    </w:p>
    <w:p w14:paraId="1FFCB4B1" w14:textId="77777777" w:rsidR="00A634D6" w:rsidRPr="008756D5" w:rsidRDefault="00A634D6" w:rsidP="00A634D6">
      <w:pPr>
        <w:spacing w:after="0"/>
        <w:rPr>
          <w:rFonts w:asciiTheme="minorHAnsi" w:hAnsiTheme="minorHAnsi"/>
          <w:b/>
        </w:rPr>
      </w:pPr>
      <w:r w:rsidRPr="008756D5">
        <w:rPr>
          <w:rFonts w:asciiTheme="minorHAnsi" w:hAnsiTheme="minorHAnsi"/>
          <w:b/>
        </w:rPr>
        <w:t>Objectives</w:t>
      </w:r>
    </w:p>
    <w:p w14:paraId="3CACB6BA" w14:textId="77777777" w:rsidR="00A634D6" w:rsidRPr="008756D5" w:rsidRDefault="00A634D6" w:rsidP="00A634D6">
      <w:pPr>
        <w:numPr>
          <w:ilvl w:val="0"/>
          <w:numId w:val="9"/>
        </w:numPr>
        <w:spacing w:after="0" w:line="240" w:lineRule="auto"/>
        <w:rPr>
          <w:rFonts w:asciiTheme="minorHAnsi" w:hAnsiTheme="minorHAnsi"/>
          <w:b/>
        </w:rPr>
      </w:pPr>
      <w:r w:rsidRPr="008756D5">
        <w:rPr>
          <w:rFonts w:asciiTheme="minorHAnsi" w:hAnsiTheme="minorHAnsi"/>
        </w:rPr>
        <w:t>Evaluate the extent to which the Radiation Risk Scale effectively communicates radiation risk.</w:t>
      </w:r>
    </w:p>
    <w:p w14:paraId="48EAE1E6" w14:textId="77777777" w:rsidR="00A634D6" w:rsidRPr="008756D5" w:rsidRDefault="00A634D6" w:rsidP="00A634D6">
      <w:pPr>
        <w:numPr>
          <w:ilvl w:val="0"/>
          <w:numId w:val="9"/>
        </w:numPr>
        <w:spacing w:after="0" w:line="240" w:lineRule="auto"/>
        <w:rPr>
          <w:rFonts w:asciiTheme="minorHAnsi" w:hAnsiTheme="minorHAnsi"/>
          <w:b/>
        </w:rPr>
      </w:pPr>
      <w:r w:rsidRPr="008756D5">
        <w:rPr>
          <w:rFonts w:asciiTheme="minorHAnsi" w:hAnsiTheme="minorHAnsi"/>
        </w:rPr>
        <w:t>Evaluate the extent to which the Radiation Risk Scale is relevant, comprehensible, credible, appealing &amp; motivates desired action.</w:t>
      </w:r>
    </w:p>
    <w:p w14:paraId="05EA0F24" w14:textId="77777777" w:rsidR="00FF7A95" w:rsidRPr="008756D5" w:rsidRDefault="00FF7A95" w:rsidP="008756D5">
      <w:pPr>
        <w:tabs>
          <w:tab w:val="left" w:pos="1845"/>
        </w:tabs>
        <w:spacing w:after="0" w:line="338" w:lineRule="auto"/>
        <w:rPr>
          <w:rFonts w:asciiTheme="minorHAnsi" w:hAnsiTheme="minorHAnsi"/>
        </w:rPr>
      </w:pPr>
    </w:p>
    <w:p w14:paraId="2F4AFA0F" w14:textId="03084267" w:rsidR="00F9552A" w:rsidRPr="00195CAF" w:rsidRDefault="00F9552A" w:rsidP="00F9552A">
      <w:pPr>
        <w:spacing w:after="0" w:line="240" w:lineRule="auto"/>
        <w:rPr>
          <w:rFonts w:asciiTheme="minorHAnsi" w:hAnsiTheme="minorHAnsi" w:cstheme="minorHAnsi"/>
          <w:u w:val="single"/>
        </w:rPr>
      </w:pPr>
    </w:p>
    <w:p w14:paraId="6A67CC0A" w14:textId="77777777" w:rsidR="00F9552A" w:rsidRPr="00195CAF" w:rsidRDefault="00F9552A" w:rsidP="00F9552A">
      <w:pPr>
        <w:pStyle w:val="Subtitle"/>
        <w:rPr>
          <w:rFonts w:asciiTheme="minorHAnsi" w:eastAsia="Calibri" w:hAnsiTheme="minorHAnsi" w:cstheme="minorHAnsi"/>
          <w:b/>
          <w:color w:val="auto"/>
          <w:sz w:val="22"/>
          <w:szCs w:val="22"/>
        </w:rPr>
      </w:pPr>
      <w:r w:rsidRPr="00195CAF">
        <w:rPr>
          <w:rFonts w:asciiTheme="minorHAnsi" w:eastAsia="Calibri" w:hAnsiTheme="minorHAnsi" w:cstheme="minorHAnsi"/>
          <w:b/>
          <w:color w:val="auto"/>
          <w:sz w:val="22"/>
          <w:szCs w:val="22"/>
        </w:rPr>
        <w:t xml:space="preserve">Proposed Research Plan for Focus Groups </w:t>
      </w:r>
    </w:p>
    <w:p w14:paraId="5BFEA8D4" w14:textId="19EE26EC" w:rsidR="00A634D6" w:rsidRPr="008756D5" w:rsidRDefault="00FF7A95" w:rsidP="008756D5">
      <w:pPr>
        <w:pStyle w:val="Subtitle"/>
        <w:rPr>
          <w:rFonts w:asciiTheme="minorHAnsi" w:hAnsiTheme="minorHAnsi"/>
          <w:sz w:val="22"/>
        </w:rPr>
      </w:pPr>
      <w:r w:rsidRPr="008756D5">
        <w:rPr>
          <w:rFonts w:asciiTheme="minorHAnsi" w:hAnsiTheme="minorHAnsi"/>
          <w:color w:val="auto"/>
          <w:sz w:val="22"/>
          <w:szCs w:val="22"/>
        </w:rPr>
        <w:t>M</w:t>
      </w:r>
      <w:r w:rsidR="00E505A0" w:rsidRPr="008756D5">
        <w:rPr>
          <w:rFonts w:asciiTheme="minorHAnsi" w:hAnsiTheme="minorHAnsi"/>
          <w:color w:val="auto"/>
          <w:sz w:val="22"/>
          <w:szCs w:val="22"/>
        </w:rPr>
        <w:t>ethodology</w:t>
      </w:r>
      <w:r w:rsidR="00A634D6" w:rsidRPr="008756D5">
        <w:rPr>
          <w:rFonts w:asciiTheme="minorHAnsi" w:hAnsiTheme="minorHAnsi"/>
          <w:color w:val="auto"/>
          <w:sz w:val="22"/>
        </w:rPr>
        <w:t xml:space="preserve"> and </w:t>
      </w:r>
      <w:r w:rsidR="00F9552A" w:rsidRPr="00195CAF">
        <w:rPr>
          <w:rFonts w:asciiTheme="minorHAnsi" w:eastAsia="Calibri" w:hAnsiTheme="minorHAnsi" w:cstheme="minorHAnsi"/>
          <w:color w:val="auto"/>
          <w:sz w:val="22"/>
          <w:szCs w:val="22"/>
        </w:rPr>
        <w:t>Research Design</w:t>
      </w:r>
    </w:p>
    <w:p w14:paraId="2AC60BC9" w14:textId="7D8D9D18" w:rsidR="00A634D6" w:rsidRPr="008756D5" w:rsidRDefault="007748E9" w:rsidP="00A634D6">
      <w:pPr>
        <w:spacing w:after="0"/>
        <w:rPr>
          <w:rFonts w:asciiTheme="minorHAnsi" w:hAnsiTheme="minorHAnsi"/>
        </w:rPr>
      </w:pPr>
      <w:r w:rsidRPr="008756D5">
        <w:rPr>
          <w:rFonts w:asciiTheme="minorHAnsi" w:hAnsiTheme="minorHAnsi"/>
        </w:rPr>
        <w:t>ORISE</w:t>
      </w:r>
      <w:r w:rsidR="00F9552A" w:rsidRPr="00195CAF">
        <w:rPr>
          <w:rFonts w:asciiTheme="minorHAnsi" w:hAnsiTheme="minorHAnsi" w:cstheme="minorHAnsi"/>
        </w:rPr>
        <w:t xml:space="preserve"> proposes to </w:t>
      </w:r>
      <w:r w:rsidR="006337BA" w:rsidRPr="00195CAF">
        <w:rPr>
          <w:rFonts w:asciiTheme="minorHAnsi" w:hAnsiTheme="minorHAnsi" w:cstheme="minorHAnsi"/>
        </w:rPr>
        <w:t>visit 4</w:t>
      </w:r>
      <w:r w:rsidR="00F9552A" w:rsidRPr="00195CAF">
        <w:rPr>
          <w:rFonts w:asciiTheme="minorHAnsi" w:hAnsiTheme="minorHAnsi" w:cstheme="minorHAnsi"/>
        </w:rPr>
        <w:t xml:space="preserve"> communities: </w:t>
      </w:r>
      <w:r w:rsidR="007A6621" w:rsidRPr="008756D5">
        <w:rPr>
          <w:rFonts w:asciiTheme="minorHAnsi" w:hAnsiTheme="minorHAnsi"/>
        </w:rPr>
        <w:t xml:space="preserve">Atlanta, </w:t>
      </w:r>
      <w:r w:rsidR="006337BA" w:rsidRPr="00195CAF">
        <w:rPr>
          <w:rFonts w:asciiTheme="minorHAnsi" w:hAnsiTheme="minorHAnsi" w:cstheme="minorHAnsi"/>
        </w:rPr>
        <w:t>Georgia;</w:t>
      </w:r>
      <w:r w:rsidR="00F9552A" w:rsidRPr="00195CAF">
        <w:rPr>
          <w:rFonts w:asciiTheme="minorHAnsi" w:hAnsiTheme="minorHAnsi" w:cstheme="minorHAnsi"/>
        </w:rPr>
        <w:t xml:space="preserve"> </w:t>
      </w:r>
      <w:r w:rsidR="006337BA" w:rsidRPr="00195CAF">
        <w:rPr>
          <w:rFonts w:asciiTheme="minorHAnsi" w:hAnsiTheme="minorHAnsi" w:cstheme="minorHAnsi"/>
        </w:rPr>
        <w:t>St. Louis</w:t>
      </w:r>
      <w:r w:rsidR="007A6621" w:rsidRPr="008756D5">
        <w:rPr>
          <w:rFonts w:asciiTheme="minorHAnsi" w:hAnsiTheme="minorHAnsi"/>
        </w:rPr>
        <w:t>, Missouri</w:t>
      </w:r>
      <w:r w:rsidR="006337BA" w:rsidRPr="00195CAF">
        <w:rPr>
          <w:rFonts w:asciiTheme="minorHAnsi" w:hAnsiTheme="minorHAnsi" w:cstheme="minorHAnsi"/>
        </w:rPr>
        <w:t xml:space="preserve">; </w:t>
      </w:r>
      <w:r w:rsidR="00C70252" w:rsidRPr="008756D5">
        <w:rPr>
          <w:rFonts w:asciiTheme="minorHAnsi" w:hAnsiTheme="minorHAnsi"/>
        </w:rPr>
        <w:t>Houston</w:t>
      </w:r>
      <w:r w:rsidR="006337BA" w:rsidRPr="00195CAF">
        <w:rPr>
          <w:rFonts w:asciiTheme="minorHAnsi" w:hAnsiTheme="minorHAnsi" w:cstheme="minorHAnsi"/>
        </w:rPr>
        <w:t xml:space="preserve"> Texas, and </w:t>
      </w:r>
      <w:r w:rsidR="0054332D" w:rsidRPr="00195CAF">
        <w:rPr>
          <w:rFonts w:asciiTheme="minorHAnsi" w:hAnsiTheme="minorHAnsi" w:cstheme="minorHAnsi"/>
        </w:rPr>
        <w:t>Phoenix, Arizona.</w:t>
      </w:r>
      <w:r w:rsidR="006337BA" w:rsidRPr="00195CAF">
        <w:rPr>
          <w:rFonts w:asciiTheme="minorHAnsi" w:hAnsiTheme="minorHAnsi" w:cstheme="minorHAnsi"/>
        </w:rPr>
        <w:t xml:space="preserve"> </w:t>
      </w:r>
      <w:r w:rsidR="00F9552A" w:rsidRPr="00195CAF">
        <w:rPr>
          <w:rFonts w:asciiTheme="minorHAnsi" w:hAnsiTheme="minorHAnsi" w:cstheme="minorHAnsi"/>
        </w:rPr>
        <w:t xml:space="preserve"> </w:t>
      </w:r>
      <w:r w:rsidR="00A634D6" w:rsidRPr="008756D5">
        <w:rPr>
          <w:rFonts w:asciiTheme="minorHAnsi" w:hAnsiTheme="minorHAnsi"/>
        </w:rPr>
        <w:t xml:space="preserve">Data are to be collected by means of focus groups where eight prospective respondents are to be recruited. </w:t>
      </w:r>
      <w:r w:rsidR="004617A3" w:rsidRPr="008756D5">
        <w:rPr>
          <w:rFonts w:asciiTheme="minorHAnsi" w:hAnsiTheme="minorHAnsi"/>
        </w:rPr>
        <w:t xml:space="preserve">ORISE personnel will address any questions the participants have regarding the study before the session begins. </w:t>
      </w:r>
      <w:r w:rsidR="00A634D6" w:rsidRPr="008756D5">
        <w:rPr>
          <w:rFonts w:asciiTheme="minorHAnsi" w:hAnsiTheme="minorHAnsi"/>
        </w:rPr>
        <w:t>Discussions are expected to last 90 minutes.</w:t>
      </w:r>
    </w:p>
    <w:p w14:paraId="0ABEEE0C" w14:textId="77777777" w:rsidR="00A634D6" w:rsidRPr="008756D5" w:rsidRDefault="00A634D6" w:rsidP="00A634D6">
      <w:pPr>
        <w:spacing w:after="0"/>
        <w:rPr>
          <w:rFonts w:asciiTheme="minorHAnsi" w:hAnsiTheme="minorHAnsi"/>
        </w:rPr>
      </w:pPr>
    </w:p>
    <w:p w14:paraId="26108BF5" w14:textId="77777777" w:rsidR="00FE23B2" w:rsidRPr="00195CAF" w:rsidRDefault="00FE23B2" w:rsidP="00195CAF">
      <w:pPr>
        <w:spacing w:after="0"/>
        <w:rPr>
          <w:rFonts w:asciiTheme="minorHAnsi" w:hAnsiTheme="minorHAnsi" w:cstheme="minorHAnsi"/>
        </w:rPr>
      </w:pPr>
      <w:r w:rsidRPr="000C75A6">
        <w:rPr>
          <w:rFonts w:asciiTheme="minorHAnsi" w:hAnsiTheme="minorHAnsi" w:cstheme="minorHAnsi"/>
        </w:rPr>
        <w:t>During the beginning of the focus group, the moderator will provide an overview of the study and ground rules for the focus groups and introductions. Next, the moderator will show a video to introduce the Radiation Risk Scale.</w:t>
      </w:r>
      <w:r w:rsidRPr="000C75A6">
        <w:rPr>
          <w:rFonts w:eastAsia="Times New Roman" w:cs="Calibri"/>
          <w:i/>
        </w:rPr>
        <w:t xml:space="preserve"> </w:t>
      </w:r>
      <w:r w:rsidRPr="000C75A6">
        <w:rPr>
          <w:rFonts w:asciiTheme="minorHAnsi" w:hAnsiTheme="minorHAnsi" w:cstheme="minorHAnsi"/>
        </w:rPr>
        <w:t>After the introduction video, the moderator will show another video which will explain a hypothetical high-risk radiation emergency scenario. After the high-risk scenario, participants will be asked questions regarding the message and the radiation scale in the video. Once they have completed their discussion about the high risk scenario, participants will also be shown another video which will explain a hypothetical low-risk radiation emergency scenario. After the low-risk scenario, participants will be asked questions regarding the message and the radiation scale in the video. The focus group will conclude with questions about information sources, such as spokespersons and communication channels.</w:t>
      </w:r>
    </w:p>
    <w:p w14:paraId="63D5FF35" w14:textId="77777777" w:rsidR="00195CAF" w:rsidRPr="00195CAF" w:rsidRDefault="00195CAF" w:rsidP="00195CAF">
      <w:pPr>
        <w:spacing w:after="0"/>
        <w:rPr>
          <w:rFonts w:asciiTheme="minorHAnsi" w:hAnsiTheme="minorHAnsi" w:cstheme="minorHAnsi"/>
        </w:rPr>
      </w:pPr>
    </w:p>
    <w:p w14:paraId="59BEF589" w14:textId="657E8EDE" w:rsidR="00A634D6" w:rsidRPr="008756D5" w:rsidRDefault="00A634D6" w:rsidP="00A634D6">
      <w:pPr>
        <w:spacing w:after="0"/>
        <w:rPr>
          <w:rFonts w:asciiTheme="minorHAnsi" w:hAnsiTheme="minorHAnsi"/>
        </w:rPr>
      </w:pPr>
      <w:r w:rsidRPr="008756D5">
        <w:rPr>
          <w:rFonts w:asciiTheme="minorHAnsi" w:hAnsiTheme="minorHAnsi"/>
        </w:rPr>
        <w:t>The moderator’s guide is included as A</w:t>
      </w:r>
      <w:r w:rsidR="0093563A" w:rsidRPr="008756D5">
        <w:rPr>
          <w:rFonts w:asciiTheme="minorHAnsi" w:hAnsiTheme="minorHAnsi"/>
        </w:rPr>
        <w:t>ttachment E</w:t>
      </w:r>
      <w:r w:rsidRPr="008756D5">
        <w:rPr>
          <w:rFonts w:asciiTheme="minorHAnsi" w:hAnsiTheme="minorHAnsi"/>
        </w:rPr>
        <w:t>.</w:t>
      </w:r>
    </w:p>
    <w:p w14:paraId="0DDE64EF" w14:textId="77777777" w:rsidR="00A634D6" w:rsidRPr="008756D5" w:rsidRDefault="00A634D6" w:rsidP="00A634D6">
      <w:pPr>
        <w:spacing w:after="0"/>
        <w:ind w:left="750"/>
        <w:rPr>
          <w:rFonts w:asciiTheme="minorHAnsi" w:hAnsiTheme="minorHAnsi"/>
        </w:rPr>
      </w:pPr>
    </w:p>
    <w:p w14:paraId="27D2E856" w14:textId="77777777" w:rsidR="00A634D6" w:rsidRPr="008756D5" w:rsidRDefault="00A634D6" w:rsidP="00A634D6">
      <w:pPr>
        <w:spacing w:after="0"/>
        <w:rPr>
          <w:rFonts w:asciiTheme="minorHAnsi" w:hAnsiTheme="minorHAnsi"/>
        </w:rPr>
      </w:pPr>
      <w:r w:rsidRPr="008756D5">
        <w:rPr>
          <w:rFonts w:asciiTheme="minorHAnsi" w:hAnsiTheme="minorHAnsi"/>
        </w:rPr>
        <w:t>For all</w:t>
      </w:r>
    </w:p>
    <w:p w14:paraId="2938AE58" w14:textId="502D02F3" w:rsidR="00A634D6" w:rsidRPr="008756D5" w:rsidRDefault="00A634D6" w:rsidP="00A634D6">
      <w:pPr>
        <w:spacing w:after="0"/>
        <w:rPr>
          <w:rFonts w:asciiTheme="minorHAnsi" w:hAnsiTheme="minorHAnsi"/>
        </w:rPr>
      </w:pPr>
      <w:r w:rsidRPr="008756D5">
        <w:rPr>
          <w:rFonts w:asciiTheme="minorHAnsi" w:hAnsiTheme="minorHAnsi"/>
        </w:rPr>
        <w:t>Focus groups are to be conducted at commercial market research facilities, using a professional moderator</w:t>
      </w:r>
      <w:r w:rsidR="007A6621" w:rsidRPr="008756D5">
        <w:rPr>
          <w:rFonts w:asciiTheme="minorHAnsi" w:hAnsiTheme="minorHAnsi"/>
        </w:rPr>
        <w:t>, Dr. Mark Herring,</w:t>
      </w:r>
      <w:r w:rsidRPr="008756D5">
        <w:rPr>
          <w:rFonts w:asciiTheme="minorHAnsi" w:hAnsiTheme="minorHAnsi"/>
        </w:rPr>
        <w:t xml:space="preserve"> who will facilitate the groups.</w:t>
      </w:r>
      <w:r w:rsidR="00195CAF" w:rsidRPr="00195CAF">
        <w:rPr>
          <w:rFonts w:asciiTheme="minorHAnsi" w:hAnsiTheme="minorHAnsi" w:cstheme="minorHAnsi"/>
        </w:rPr>
        <w:t xml:space="preserve"> </w:t>
      </w:r>
      <w:r w:rsidRPr="008756D5">
        <w:rPr>
          <w:rFonts w:asciiTheme="minorHAnsi" w:hAnsiTheme="minorHAnsi"/>
        </w:rPr>
        <w:t xml:space="preserve">All sessions will be conducted in English.  Participants will be screened for those comfortable conversing in English. </w:t>
      </w:r>
    </w:p>
    <w:p w14:paraId="2BB1A1BE" w14:textId="77777777" w:rsidR="00195CAF" w:rsidRPr="00195CAF" w:rsidRDefault="00195CAF" w:rsidP="00195CAF">
      <w:pPr>
        <w:spacing w:after="0"/>
        <w:rPr>
          <w:rFonts w:asciiTheme="minorHAnsi" w:hAnsiTheme="minorHAnsi" w:cstheme="minorHAnsi"/>
        </w:rPr>
      </w:pPr>
    </w:p>
    <w:p w14:paraId="65ADFEE4" w14:textId="77777777" w:rsidR="00FF14C6" w:rsidRPr="008756D5" w:rsidRDefault="00FF14C6" w:rsidP="00FF14C6">
      <w:pPr>
        <w:spacing w:after="0"/>
        <w:rPr>
          <w:rFonts w:asciiTheme="minorHAnsi" w:hAnsiTheme="minorHAnsi"/>
        </w:rPr>
      </w:pPr>
      <w:r w:rsidRPr="008756D5">
        <w:rPr>
          <w:rFonts w:asciiTheme="minorHAnsi" w:hAnsiTheme="minorHAnsi"/>
        </w:rPr>
        <w:t xml:space="preserve">The possibility exists that some participants will find contemplation of such subject matter upsetting.  A subject-matter expert will come in to each group at its conclusion, make a few brief remarks (e.g., thank respondents for their contribution to an important effort), and answer questions for several minutes.  If no subject-matter expert is available, participants will receive contact information for CDC’s Radiation Studies Branch.  </w:t>
      </w:r>
    </w:p>
    <w:p w14:paraId="352597AE" w14:textId="77777777" w:rsidR="00A634D6" w:rsidRPr="008756D5" w:rsidRDefault="00A634D6" w:rsidP="00A634D6">
      <w:pPr>
        <w:spacing w:after="0"/>
        <w:rPr>
          <w:rFonts w:asciiTheme="minorHAnsi" w:hAnsiTheme="minorHAnsi"/>
        </w:rPr>
      </w:pPr>
    </w:p>
    <w:p w14:paraId="5896BDCE" w14:textId="77777777" w:rsidR="00195CAF" w:rsidRPr="00195CAF" w:rsidRDefault="00195CAF" w:rsidP="00195CAF">
      <w:pPr>
        <w:spacing w:after="0"/>
        <w:rPr>
          <w:rFonts w:asciiTheme="minorHAnsi" w:hAnsiTheme="minorHAnsi" w:cstheme="minorHAnsi"/>
        </w:rPr>
      </w:pPr>
    </w:p>
    <w:p w14:paraId="29FC6220" w14:textId="77777777" w:rsidR="00F9552A" w:rsidRPr="00195CAF" w:rsidRDefault="00F9552A" w:rsidP="00F9552A">
      <w:pPr>
        <w:spacing w:after="0" w:line="240" w:lineRule="auto"/>
        <w:rPr>
          <w:rFonts w:asciiTheme="minorHAnsi" w:hAnsiTheme="minorHAnsi" w:cstheme="minorHAnsi"/>
        </w:rPr>
      </w:pPr>
      <w:r w:rsidRPr="00195CAF">
        <w:rPr>
          <w:rFonts w:asciiTheme="minorHAnsi" w:hAnsiTheme="minorHAnsi" w:cstheme="minorHAnsi"/>
        </w:rPr>
        <w:t xml:space="preserve">Table 1 </w:t>
      </w:r>
      <w:r w:rsidR="006337BA" w:rsidRPr="00195CAF">
        <w:rPr>
          <w:rFonts w:asciiTheme="minorHAnsi" w:hAnsiTheme="minorHAnsi" w:cstheme="minorHAnsi"/>
        </w:rPr>
        <w:t xml:space="preserve">illustrates </w:t>
      </w:r>
      <w:r w:rsidRPr="00195CAF">
        <w:rPr>
          <w:rFonts w:asciiTheme="minorHAnsi" w:hAnsiTheme="minorHAnsi" w:cstheme="minorHAnsi"/>
        </w:rPr>
        <w:t>the proposed 2013 focus groups.</w:t>
      </w:r>
    </w:p>
    <w:p w14:paraId="524D3ABE" w14:textId="77777777" w:rsidR="00F9552A" w:rsidRPr="00195CAF" w:rsidRDefault="00F9552A" w:rsidP="00F9552A">
      <w:pPr>
        <w:spacing w:after="0" w:line="240" w:lineRule="auto"/>
        <w:rPr>
          <w:rFonts w:asciiTheme="minorHAnsi" w:hAnsiTheme="minorHAnsi" w:cstheme="minorHAnsi"/>
        </w:rPr>
      </w:pPr>
    </w:p>
    <w:p w14:paraId="77D3720C" w14:textId="77777777" w:rsidR="00F9552A" w:rsidRPr="00195CAF" w:rsidRDefault="00F9552A" w:rsidP="00F9552A">
      <w:pPr>
        <w:spacing w:after="0" w:line="240" w:lineRule="auto"/>
        <w:rPr>
          <w:rFonts w:asciiTheme="minorHAnsi" w:hAnsiTheme="minorHAnsi" w:cstheme="minorHAnsi"/>
          <w:b/>
        </w:rPr>
      </w:pPr>
      <w:r w:rsidRPr="00195CAF">
        <w:rPr>
          <w:rFonts w:asciiTheme="minorHAnsi" w:hAnsiTheme="minorHAnsi" w:cstheme="minorHAnsi"/>
          <w:b/>
        </w:rPr>
        <w:t>Table 1</w:t>
      </w:r>
      <w:r w:rsidR="006337BA" w:rsidRPr="00195CAF">
        <w:rPr>
          <w:rFonts w:asciiTheme="minorHAnsi" w:hAnsiTheme="minorHAnsi" w:cstheme="minorHAnsi"/>
          <w:b/>
        </w:rPr>
        <w:t xml:space="preserve">: </w:t>
      </w:r>
      <w:r w:rsidRPr="00195CAF">
        <w:rPr>
          <w:rFonts w:asciiTheme="minorHAnsi" w:hAnsiTheme="minorHAnsi" w:cstheme="minorHAnsi"/>
          <w:b/>
        </w:rPr>
        <w:t>2013</w:t>
      </w:r>
      <w:r w:rsidR="006337BA" w:rsidRPr="00195CAF">
        <w:rPr>
          <w:rFonts w:asciiTheme="minorHAnsi" w:hAnsiTheme="minorHAnsi" w:cstheme="minorHAnsi"/>
          <w:b/>
        </w:rPr>
        <w:t xml:space="preserve"> Focus</w:t>
      </w:r>
      <w:r w:rsidRPr="00195CAF">
        <w:rPr>
          <w:rFonts w:asciiTheme="minorHAnsi" w:hAnsiTheme="minorHAnsi" w:cstheme="minorHAnsi"/>
          <w:b/>
        </w:rPr>
        <w:t xml:space="preserve"> Groups</w:t>
      </w:r>
    </w:p>
    <w:tbl>
      <w:tblPr>
        <w:tblW w:w="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4679"/>
      </w:tblGrid>
      <w:tr w:rsidR="006337BA" w:rsidRPr="00195CAF" w14:paraId="16B8FF9B" w14:textId="77777777" w:rsidTr="006337BA">
        <w:tc>
          <w:tcPr>
            <w:tcW w:w="1097" w:type="dxa"/>
            <w:tcBorders>
              <w:top w:val="single" w:sz="4" w:space="0" w:color="auto"/>
              <w:left w:val="single" w:sz="4" w:space="0" w:color="auto"/>
              <w:bottom w:val="single" w:sz="4" w:space="0" w:color="auto"/>
              <w:right w:val="single" w:sz="4" w:space="0" w:color="auto"/>
            </w:tcBorders>
            <w:shd w:val="clear" w:color="auto" w:fill="C6D9F1"/>
          </w:tcPr>
          <w:p w14:paraId="05CB2D33" w14:textId="77777777" w:rsidR="006337BA" w:rsidRPr="00195CAF" w:rsidRDefault="006337BA">
            <w:pPr>
              <w:spacing w:after="0" w:line="240" w:lineRule="auto"/>
              <w:rPr>
                <w:rFonts w:asciiTheme="minorHAnsi" w:hAnsiTheme="minorHAnsi" w:cstheme="minorHAnsi"/>
                <w:u w:val="single"/>
              </w:rPr>
            </w:pPr>
          </w:p>
        </w:tc>
        <w:tc>
          <w:tcPr>
            <w:tcW w:w="4679" w:type="dxa"/>
            <w:tcBorders>
              <w:top w:val="single" w:sz="4" w:space="0" w:color="auto"/>
              <w:left w:val="single" w:sz="4" w:space="0" w:color="auto"/>
              <w:bottom w:val="single" w:sz="4" w:space="0" w:color="auto"/>
              <w:right w:val="single" w:sz="4" w:space="0" w:color="auto"/>
            </w:tcBorders>
            <w:shd w:val="clear" w:color="auto" w:fill="C6D9F1"/>
            <w:hideMark/>
          </w:tcPr>
          <w:p w14:paraId="5E91B426" w14:textId="77777777" w:rsidR="006337BA" w:rsidRPr="00195CAF" w:rsidRDefault="006337BA">
            <w:pPr>
              <w:spacing w:after="0" w:line="240" w:lineRule="auto"/>
              <w:jc w:val="center"/>
              <w:rPr>
                <w:rFonts w:asciiTheme="minorHAnsi" w:hAnsiTheme="minorHAnsi" w:cstheme="minorHAnsi"/>
                <w:b/>
              </w:rPr>
            </w:pPr>
            <w:r w:rsidRPr="00195CAF">
              <w:rPr>
                <w:rFonts w:asciiTheme="minorHAnsi" w:hAnsiTheme="minorHAnsi" w:cstheme="minorHAnsi"/>
                <w:b/>
              </w:rPr>
              <w:t>2013 Focus Groups</w:t>
            </w:r>
          </w:p>
        </w:tc>
      </w:tr>
      <w:tr w:rsidR="006337BA" w:rsidRPr="00195CAF" w14:paraId="58AE8913" w14:textId="77777777" w:rsidTr="006337BA">
        <w:trPr>
          <w:trHeight w:val="773"/>
        </w:trPr>
        <w:tc>
          <w:tcPr>
            <w:tcW w:w="1097" w:type="dxa"/>
            <w:tcBorders>
              <w:top w:val="single" w:sz="4" w:space="0" w:color="auto"/>
              <w:left w:val="single" w:sz="4" w:space="0" w:color="auto"/>
              <w:bottom w:val="single" w:sz="4" w:space="0" w:color="auto"/>
              <w:right w:val="single" w:sz="4" w:space="0" w:color="auto"/>
            </w:tcBorders>
            <w:hideMark/>
          </w:tcPr>
          <w:p w14:paraId="5232A311" w14:textId="77777777" w:rsidR="006337BA" w:rsidRPr="00195CAF" w:rsidRDefault="006337BA">
            <w:pPr>
              <w:spacing w:after="0" w:line="240" w:lineRule="auto"/>
              <w:rPr>
                <w:rFonts w:asciiTheme="minorHAnsi" w:hAnsiTheme="minorHAnsi" w:cstheme="minorHAnsi"/>
              </w:rPr>
            </w:pPr>
            <w:r w:rsidRPr="00195CAF">
              <w:rPr>
                <w:rFonts w:asciiTheme="minorHAnsi" w:hAnsiTheme="minorHAnsi" w:cstheme="minorHAnsi"/>
              </w:rPr>
              <w:t xml:space="preserve">Audience Segment </w:t>
            </w:r>
          </w:p>
        </w:tc>
        <w:tc>
          <w:tcPr>
            <w:tcW w:w="4679" w:type="dxa"/>
            <w:tcBorders>
              <w:top w:val="single" w:sz="4" w:space="0" w:color="auto"/>
              <w:left w:val="single" w:sz="4" w:space="0" w:color="auto"/>
              <w:bottom w:val="single" w:sz="4" w:space="0" w:color="auto"/>
              <w:right w:val="single" w:sz="4" w:space="0" w:color="auto"/>
            </w:tcBorders>
          </w:tcPr>
          <w:p w14:paraId="7BA6A122" w14:textId="77777777" w:rsidR="006337BA" w:rsidRPr="00195CAF" w:rsidRDefault="006337BA" w:rsidP="006337BA">
            <w:pPr>
              <w:pStyle w:val="ListParagraph"/>
              <w:numPr>
                <w:ilvl w:val="0"/>
                <w:numId w:val="16"/>
              </w:numPr>
              <w:spacing w:after="0" w:line="240" w:lineRule="auto"/>
              <w:ind w:left="208" w:hanging="152"/>
              <w:rPr>
                <w:rFonts w:asciiTheme="minorHAnsi" w:hAnsiTheme="minorHAnsi" w:cstheme="minorHAnsi"/>
                <w:u w:val="single"/>
              </w:rPr>
            </w:pPr>
            <w:r w:rsidRPr="00195CAF">
              <w:rPr>
                <w:rFonts w:asciiTheme="minorHAnsi" w:hAnsiTheme="minorHAnsi" w:cstheme="minorHAnsi"/>
              </w:rPr>
              <w:t>Public (18 years and older)</w:t>
            </w:r>
          </w:p>
          <w:p w14:paraId="42808D03" w14:textId="77777777" w:rsidR="006337BA" w:rsidRPr="00195CAF" w:rsidRDefault="006337BA" w:rsidP="006337BA">
            <w:pPr>
              <w:spacing w:after="0" w:line="240" w:lineRule="auto"/>
              <w:rPr>
                <w:rFonts w:asciiTheme="minorHAnsi" w:hAnsiTheme="minorHAnsi" w:cstheme="minorHAnsi"/>
                <w:u w:val="single"/>
              </w:rPr>
            </w:pPr>
          </w:p>
        </w:tc>
      </w:tr>
      <w:tr w:rsidR="006337BA" w:rsidRPr="00195CAF" w14:paraId="0FBFE2D9" w14:textId="77777777" w:rsidTr="006337BA">
        <w:tc>
          <w:tcPr>
            <w:tcW w:w="1097" w:type="dxa"/>
            <w:tcBorders>
              <w:top w:val="single" w:sz="4" w:space="0" w:color="auto"/>
              <w:left w:val="single" w:sz="4" w:space="0" w:color="auto"/>
              <w:bottom w:val="single" w:sz="4" w:space="0" w:color="auto"/>
              <w:right w:val="single" w:sz="4" w:space="0" w:color="auto"/>
            </w:tcBorders>
            <w:hideMark/>
          </w:tcPr>
          <w:p w14:paraId="3ACD87B4" w14:textId="77777777" w:rsidR="006337BA" w:rsidRPr="00195CAF" w:rsidRDefault="006337BA">
            <w:pPr>
              <w:spacing w:after="0" w:line="240" w:lineRule="auto"/>
              <w:rPr>
                <w:rFonts w:asciiTheme="minorHAnsi" w:hAnsiTheme="minorHAnsi" w:cstheme="minorHAnsi"/>
              </w:rPr>
            </w:pPr>
            <w:r w:rsidRPr="00195CAF">
              <w:rPr>
                <w:rFonts w:asciiTheme="minorHAnsi" w:hAnsiTheme="minorHAnsi" w:cstheme="minorHAnsi"/>
              </w:rPr>
              <w:t>Site Selection</w:t>
            </w:r>
          </w:p>
        </w:tc>
        <w:tc>
          <w:tcPr>
            <w:tcW w:w="4679" w:type="dxa"/>
            <w:tcBorders>
              <w:top w:val="single" w:sz="4" w:space="0" w:color="auto"/>
              <w:left w:val="single" w:sz="4" w:space="0" w:color="auto"/>
              <w:bottom w:val="single" w:sz="4" w:space="0" w:color="auto"/>
              <w:right w:val="single" w:sz="4" w:space="0" w:color="auto"/>
            </w:tcBorders>
            <w:hideMark/>
          </w:tcPr>
          <w:p w14:paraId="79DBCA25" w14:textId="77777777" w:rsidR="006337BA" w:rsidRPr="00195CAF" w:rsidRDefault="006337BA">
            <w:pPr>
              <w:pStyle w:val="ListParagraph"/>
              <w:numPr>
                <w:ilvl w:val="0"/>
                <w:numId w:val="16"/>
              </w:numPr>
              <w:spacing w:after="0" w:line="240" w:lineRule="auto"/>
              <w:ind w:left="208" w:hanging="152"/>
              <w:rPr>
                <w:rFonts w:asciiTheme="minorHAnsi" w:hAnsiTheme="minorHAnsi" w:cstheme="minorHAnsi"/>
                <w:u w:val="single"/>
              </w:rPr>
            </w:pPr>
            <w:r w:rsidRPr="00195CAF">
              <w:rPr>
                <w:rFonts w:asciiTheme="minorHAnsi" w:hAnsiTheme="minorHAnsi" w:cstheme="minorHAnsi"/>
              </w:rPr>
              <w:t>Atlanta, Georgia</w:t>
            </w:r>
          </w:p>
          <w:p w14:paraId="7FE6F1C3" w14:textId="77777777" w:rsidR="006337BA" w:rsidRPr="00195CAF" w:rsidRDefault="006337BA">
            <w:pPr>
              <w:pStyle w:val="ListParagraph"/>
              <w:numPr>
                <w:ilvl w:val="0"/>
                <w:numId w:val="16"/>
              </w:numPr>
              <w:spacing w:after="0" w:line="240" w:lineRule="auto"/>
              <w:ind w:left="208" w:hanging="152"/>
              <w:rPr>
                <w:rFonts w:asciiTheme="minorHAnsi" w:hAnsiTheme="minorHAnsi" w:cstheme="minorHAnsi"/>
                <w:u w:val="single"/>
              </w:rPr>
            </w:pPr>
            <w:r w:rsidRPr="00195CAF">
              <w:rPr>
                <w:rFonts w:asciiTheme="minorHAnsi" w:hAnsiTheme="minorHAnsi" w:cstheme="minorHAnsi"/>
              </w:rPr>
              <w:t>St. Louis, Missouri</w:t>
            </w:r>
          </w:p>
          <w:p w14:paraId="59D5BD80" w14:textId="77777777" w:rsidR="006337BA" w:rsidRPr="00195CAF" w:rsidRDefault="006337BA">
            <w:pPr>
              <w:pStyle w:val="ListParagraph"/>
              <w:numPr>
                <w:ilvl w:val="0"/>
                <w:numId w:val="16"/>
              </w:numPr>
              <w:spacing w:after="0" w:line="240" w:lineRule="auto"/>
              <w:ind w:left="208" w:hanging="152"/>
              <w:rPr>
                <w:rFonts w:asciiTheme="minorHAnsi" w:hAnsiTheme="minorHAnsi" w:cstheme="minorHAnsi"/>
                <w:u w:val="single"/>
              </w:rPr>
            </w:pPr>
            <w:r w:rsidRPr="00195CAF">
              <w:rPr>
                <w:rFonts w:asciiTheme="minorHAnsi" w:hAnsiTheme="minorHAnsi" w:cstheme="minorHAnsi"/>
              </w:rPr>
              <w:t>Phoenix, Arizona</w:t>
            </w:r>
          </w:p>
          <w:p w14:paraId="77D3B47C" w14:textId="77777777" w:rsidR="006337BA" w:rsidRPr="00195CAF" w:rsidRDefault="006337BA">
            <w:pPr>
              <w:pStyle w:val="ListParagraph"/>
              <w:numPr>
                <w:ilvl w:val="0"/>
                <w:numId w:val="16"/>
              </w:numPr>
              <w:spacing w:after="0" w:line="240" w:lineRule="auto"/>
              <w:ind w:left="208" w:hanging="152"/>
              <w:rPr>
                <w:rFonts w:asciiTheme="minorHAnsi" w:hAnsiTheme="minorHAnsi" w:cstheme="minorHAnsi"/>
                <w:u w:val="single"/>
              </w:rPr>
            </w:pPr>
            <w:r w:rsidRPr="00195CAF">
              <w:rPr>
                <w:rFonts w:asciiTheme="minorHAnsi" w:hAnsiTheme="minorHAnsi" w:cstheme="minorHAnsi"/>
              </w:rPr>
              <w:t>Houston, Texas</w:t>
            </w:r>
          </w:p>
        </w:tc>
      </w:tr>
      <w:tr w:rsidR="006337BA" w:rsidRPr="00195CAF" w14:paraId="437C009E" w14:textId="77777777" w:rsidTr="006337BA">
        <w:tc>
          <w:tcPr>
            <w:tcW w:w="1097" w:type="dxa"/>
            <w:tcBorders>
              <w:top w:val="single" w:sz="4" w:space="0" w:color="auto"/>
              <w:left w:val="single" w:sz="4" w:space="0" w:color="auto"/>
              <w:bottom w:val="single" w:sz="4" w:space="0" w:color="auto"/>
              <w:right w:val="single" w:sz="4" w:space="0" w:color="auto"/>
            </w:tcBorders>
            <w:hideMark/>
          </w:tcPr>
          <w:p w14:paraId="4F6E6497" w14:textId="77777777" w:rsidR="006337BA" w:rsidRPr="00195CAF" w:rsidRDefault="006337BA" w:rsidP="006337BA">
            <w:pPr>
              <w:spacing w:after="0" w:line="240" w:lineRule="auto"/>
              <w:rPr>
                <w:rFonts w:asciiTheme="minorHAnsi" w:hAnsiTheme="minorHAnsi" w:cstheme="minorHAnsi"/>
              </w:rPr>
            </w:pPr>
            <w:r w:rsidRPr="00195CAF">
              <w:rPr>
                <w:rFonts w:asciiTheme="minorHAnsi" w:hAnsiTheme="minorHAnsi" w:cstheme="minorHAnsi"/>
              </w:rPr>
              <w:t>Concept</w:t>
            </w:r>
          </w:p>
        </w:tc>
        <w:tc>
          <w:tcPr>
            <w:tcW w:w="4679" w:type="dxa"/>
            <w:tcBorders>
              <w:top w:val="single" w:sz="4" w:space="0" w:color="auto"/>
              <w:left w:val="single" w:sz="4" w:space="0" w:color="auto"/>
              <w:bottom w:val="single" w:sz="4" w:space="0" w:color="auto"/>
              <w:right w:val="single" w:sz="4" w:space="0" w:color="auto"/>
            </w:tcBorders>
            <w:hideMark/>
          </w:tcPr>
          <w:p w14:paraId="5915D2D0" w14:textId="77777777" w:rsidR="006337BA" w:rsidRPr="00195CAF" w:rsidRDefault="006337BA">
            <w:pPr>
              <w:pStyle w:val="ListParagraph"/>
              <w:numPr>
                <w:ilvl w:val="0"/>
                <w:numId w:val="18"/>
              </w:numPr>
              <w:spacing w:after="0" w:line="240" w:lineRule="auto"/>
              <w:ind w:left="208" w:hanging="152"/>
              <w:rPr>
                <w:rFonts w:asciiTheme="minorHAnsi" w:hAnsiTheme="minorHAnsi" w:cstheme="minorHAnsi"/>
              </w:rPr>
            </w:pPr>
            <w:r w:rsidRPr="00195CAF">
              <w:rPr>
                <w:rFonts w:asciiTheme="minorHAnsi" w:hAnsiTheme="minorHAnsi" w:cstheme="minorHAnsi"/>
              </w:rPr>
              <w:t>Radiation Risk Scale</w:t>
            </w:r>
          </w:p>
          <w:p w14:paraId="35456D39" w14:textId="77777777" w:rsidR="006337BA" w:rsidRPr="00195CAF" w:rsidRDefault="006337BA" w:rsidP="006337BA">
            <w:pPr>
              <w:pStyle w:val="ListParagraph"/>
              <w:spacing w:after="0" w:line="240" w:lineRule="auto"/>
              <w:ind w:left="208"/>
              <w:rPr>
                <w:rFonts w:asciiTheme="minorHAnsi" w:hAnsiTheme="minorHAnsi" w:cstheme="minorHAnsi"/>
                <w:u w:val="single"/>
              </w:rPr>
            </w:pPr>
          </w:p>
        </w:tc>
      </w:tr>
    </w:tbl>
    <w:p w14:paraId="0730903C" w14:textId="77777777" w:rsidR="006337BA" w:rsidRPr="00195CAF" w:rsidRDefault="006337BA" w:rsidP="00F9552A">
      <w:pPr>
        <w:spacing w:after="0" w:line="240" w:lineRule="auto"/>
        <w:rPr>
          <w:rFonts w:asciiTheme="minorHAnsi" w:hAnsiTheme="minorHAnsi" w:cstheme="minorHAnsi"/>
        </w:rPr>
      </w:pPr>
    </w:p>
    <w:p w14:paraId="6D19F14F" w14:textId="77777777" w:rsidR="00F9552A" w:rsidRPr="00195CAF" w:rsidRDefault="006337BA" w:rsidP="00F9552A">
      <w:pPr>
        <w:spacing w:after="0" w:line="240" w:lineRule="auto"/>
        <w:rPr>
          <w:rFonts w:asciiTheme="minorHAnsi" w:hAnsiTheme="minorHAnsi" w:cstheme="minorHAnsi"/>
        </w:rPr>
      </w:pPr>
      <w:r w:rsidRPr="00195CAF">
        <w:rPr>
          <w:rFonts w:asciiTheme="minorHAnsi" w:hAnsiTheme="minorHAnsi" w:cstheme="minorHAnsi"/>
        </w:rPr>
        <w:t xml:space="preserve">A total of </w:t>
      </w:r>
      <w:r w:rsidR="00F9552A" w:rsidRPr="00195CAF">
        <w:rPr>
          <w:rFonts w:asciiTheme="minorHAnsi" w:hAnsiTheme="minorHAnsi" w:cstheme="minorHAnsi"/>
          <w:iCs/>
        </w:rPr>
        <w:t>12</w:t>
      </w:r>
      <w:r w:rsidR="00F9552A" w:rsidRPr="00195CAF">
        <w:rPr>
          <w:rFonts w:asciiTheme="minorHAnsi" w:hAnsiTheme="minorHAnsi" w:cstheme="minorHAnsi"/>
        </w:rPr>
        <w:t xml:space="preserve"> groups</w:t>
      </w:r>
      <w:r w:rsidRPr="00195CAF">
        <w:rPr>
          <w:rFonts w:asciiTheme="minorHAnsi" w:hAnsiTheme="minorHAnsi" w:cstheme="minorHAnsi"/>
        </w:rPr>
        <w:t xml:space="preserve"> from 4 different communities will provide feedback about the Radiation Risk Scale. </w:t>
      </w:r>
      <w:r w:rsidR="00F9552A" w:rsidRPr="00195CAF">
        <w:rPr>
          <w:rFonts w:asciiTheme="minorHAnsi" w:hAnsiTheme="minorHAnsi" w:cstheme="minorHAnsi"/>
        </w:rPr>
        <w:t>Table 2</w:t>
      </w:r>
      <w:r w:rsidRPr="00195CAF">
        <w:rPr>
          <w:rFonts w:asciiTheme="minorHAnsi" w:hAnsiTheme="minorHAnsi" w:cstheme="minorHAnsi"/>
        </w:rPr>
        <w:t xml:space="preserve"> </w:t>
      </w:r>
      <w:r w:rsidR="00F9552A" w:rsidRPr="00195CAF">
        <w:rPr>
          <w:rFonts w:asciiTheme="minorHAnsi" w:hAnsiTheme="minorHAnsi" w:cstheme="minorHAnsi"/>
        </w:rPr>
        <w:t>illustrates the discussion group design.</w:t>
      </w:r>
    </w:p>
    <w:p w14:paraId="174B67A7" w14:textId="77777777" w:rsidR="00F9552A" w:rsidRPr="00195CAF" w:rsidRDefault="00F9552A" w:rsidP="00F9552A">
      <w:pPr>
        <w:spacing w:after="0" w:line="240" w:lineRule="auto"/>
        <w:rPr>
          <w:rFonts w:asciiTheme="minorHAnsi" w:hAnsiTheme="minorHAnsi" w:cstheme="minorHAnsi"/>
        </w:rPr>
      </w:pPr>
    </w:p>
    <w:p w14:paraId="42D42033" w14:textId="77777777" w:rsidR="00F9552A" w:rsidRPr="00195CAF" w:rsidRDefault="00F9552A" w:rsidP="00F9552A">
      <w:pPr>
        <w:spacing w:after="0" w:line="240" w:lineRule="auto"/>
        <w:rPr>
          <w:rFonts w:asciiTheme="minorHAnsi" w:hAnsiTheme="minorHAnsi" w:cstheme="minorHAnsi"/>
          <w:b/>
        </w:rPr>
      </w:pPr>
      <w:r w:rsidRPr="00195CAF">
        <w:rPr>
          <w:rFonts w:asciiTheme="minorHAnsi" w:hAnsiTheme="minorHAnsi" w:cstheme="minorHAnsi"/>
          <w:b/>
        </w:rPr>
        <w:t xml:space="preserve">Table 2: 2013 Focus Group Design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1"/>
        <w:gridCol w:w="1979"/>
        <w:gridCol w:w="1891"/>
        <w:gridCol w:w="1799"/>
        <w:gridCol w:w="738"/>
      </w:tblGrid>
      <w:tr w:rsidR="00195CAF" w:rsidRPr="00195CAF" w14:paraId="11B7258B" w14:textId="77777777" w:rsidTr="00195CAF">
        <w:trPr>
          <w:trHeight w:val="719"/>
        </w:trPr>
        <w:tc>
          <w:tcPr>
            <w:tcW w:w="620"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5EE416A6" w14:textId="77777777" w:rsidR="00D7754B" w:rsidRPr="00195CAF" w:rsidRDefault="00D7754B">
            <w:pPr>
              <w:spacing w:after="0" w:line="240" w:lineRule="auto"/>
              <w:jc w:val="center"/>
              <w:rPr>
                <w:rFonts w:asciiTheme="minorHAnsi" w:hAnsiTheme="minorHAnsi" w:cstheme="minorHAnsi"/>
                <w:b/>
              </w:rPr>
            </w:pPr>
            <w:r w:rsidRPr="00195CAF">
              <w:rPr>
                <w:rFonts w:asciiTheme="minorHAnsi" w:hAnsiTheme="minorHAnsi" w:cstheme="minorHAnsi"/>
                <w:b/>
              </w:rPr>
              <w:t>Audience Segment</w:t>
            </w:r>
          </w:p>
        </w:tc>
        <w:tc>
          <w:tcPr>
            <w:tcW w:w="1034"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6F45BB23" w14:textId="77777777" w:rsidR="00D7754B" w:rsidRPr="00195CAF" w:rsidRDefault="00D7754B" w:rsidP="00D7754B">
            <w:pPr>
              <w:spacing w:after="0" w:line="240" w:lineRule="auto"/>
              <w:contextualSpacing/>
              <w:jc w:val="center"/>
              <w:rPr>
                <w:rFonts w:asciiTheme="minorHAnsi" w:hAnsiTheme="minorHAnsi" w:cstheme="minorHAnsi"/>
                <w:b/>
              </w:rPr>
            </w:pPr>
            <w:r w:rsidRPr="00195CAF">
              <w:rPr>
                <w:rFonts w:asciiTheme="minorHAnsi" w:hAnsiTheme="minorHAnsi" w:cstheme="minorHAnsi"/>
                <w:b/>
              </w:rPr>
              <w:t>Atlanta, Georgia</w:t>
            </w:r>
          </w:p>
        </w:tc>
        <w:tc>
          <w:tcPr>
            <w:tcW w:w="1033"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61292FF0" w14:textId="77777777" w:rsidR="00D7754B" w:rsidRPr="00195CAF" w:rsidRDefault="00D7754B">
            <w:pPr>
              <w:spacing w:after="0" w:line="240" w:lineRule="auto"/>
              <w:contextualSpacing/>
              <w:jc w:val="center"/>
              <w:rPr>
                <w:rFonts w:asciiTheme="minorHAnsi" w:hAnsiTheme="minorHAnsi" w:cstheme="minorHAnsi"/>
                <w:b/>
              </w:rPr>
            </w:pPr>
            <w:r w:rsidRPr="00195CAF">
              <w:rPr>
                <w:rFonts w:asciiTheme="minorHAnsi" w:hAnsiTheme="minorHAnsi" w:cstheme="minorHAnsi"/>
                <w:b/>
              </w:rPr>
              <w:t>St. Louis, Missouri</w:t>
            </w:r>
          </w:p>
        </w:tc>
        <w:tc>
          <w:tcPr>
            <w:tcW w:w="987"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0420FE8E" w14:textId="77777777" w:rsidR="00D7754B" w:rsidRPr="00195CAF" w:rsidRDefault="00D7754B">
            <w:pPr>
              <w:spacing w:after="0" w:line="240" w:lineRule="auto"/>
              <w:jc w:val="center"/>
              <w:rPr>
                <w:rFonts w:asciiTheme="minorHAnsi" w:hAnsiTheme="minorHAnsi" w:cstheme="minorHAnsi"/>
                <w:b/>
              </w:rPr>
            </w:pPr>
            <w:r w:rsidRPr="00195CAF">
              <w:rPr>
                <w:rFonts w:asciiTheme="minorHAnsi" w:hAnsiTheme="minorHAnsi" w:cstheme="minorHAnsi"/>
                <w:b/>
              </w:rPr>
              <w:t>Phoenix, Arizona</w:t>
            </w:r>
          </w:p>
        </w:tc>
        <w:tc>
          <w:tcPr>
            <w:tcW w:w="939" w:type="pct"/>
            <w:tcBorders>
              <w:top w:val="single" w:sz="4" w:space="0" w:color="000000"/>
              <w:left w:val="single" w:sz="4" w:space="0" w:color="000000"/>
              <w:bottom w:val="single" w:sz="4" w:space="0" w:color="000000"/>
              <w:right w:val="single" w:sz="4" w:space="0" w:color="000000"/>
            </w:tcBorders>
            <w:shd w:val="clear" w:color="auto" w:fill="C6D9F1"/>
          </w:tcPr>
          <w:p w14:paraId="00D24470" w14:textId="77777777" w:rsidR="00D7754B" w:rsidRPr="00195CAF" w:rsidRDefault="00D7754B">
            <w:pPr>
              <w:spacing w:after="0" w:line="240" w:lineRule="auto"/>
              <w:jc w:val="center"/>
              <w:rPr>
                <w:rFonts w:asciiTheme="minorHAnsi" w:hAnsiTheme="minorHAnsi" w:cstheme="minorHAnsi"/>
                <w:b/>
              </w:rPr>
            </w:pPr>
          </w:p>
          <w:p w14:paraId="1D982EAB" w14:textId="77777777" w:rsidR="00D7754B" w:rsidRPr="00195CAF" w:rsidRDefault="00D7754B">
            <w:pPr>
              <w:spacing w:after="0" w:line="240" w:lineRule="auto"/>
              <w:jc w:val="center"/>
              <w:rPr>
                <w:rFonts w:asciiTheme="minorHAnsi" w:hAnsiTheme="minorHAnsi" w:cstheme="minorHAnsi"/>
                <w:b/>
              </w:rPr>
            </w:pPr>
            <w:r w:rsidRPr="00195CAF">
              <w:rPr>
                <w:rFonts w:asciiTheme="minorHAnsi" w:hAnsiTheme="minorHAnsi" w:cstheme="minorHAnsi"/>
                <w:b/>
              </w:rPr>
              <w:t>Houston, Texas</w:t>
            </w:r>
          </w:p>
        </w:tc>
        <w:tc>
          <w:tcPr>
            <w:tcW w:w="385"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72430F84" w14:textId="77777777" w:rsidR="00D7754B" w:rsidRPr="00195CAF" w:rsidRDefault="00D7754B">
            <w:pPr>
              <w:spacing w:after="0" w:line="240" w:lineRule="auto"/>
              <w:jc w:val="center"/>
              <w:rPr>
                <w:rFonts w:asciiTheme="minorHAnsi" w:hAnsiTheme="minorHAnsi" w:cstheme="minorHAnsi"/>
                <w:b/>
              </w:rPr>
            </w:pPr>
            <w:r w:rsidRPr="00195CAF">
              <w:rPr>
                <w:rFonts w:asciiTheme="minorHAnsi" w:hAnsiTheme="minorHAnsi" w:cstheme="minorHAnsi"/>
                <w:b/>
              </w:rPr>
              <w:t>Total</w:t>
            </w:r>
          </w:p>
        </w:tc>
      </w:tr>
      <w:tr w:rsidR="00195CAF" w:rsidRPr="00195CAF" w14:paraId="4B2BE799" w14:textId="77777777" w:rsidTr="00195CAF">
        <w:tc>
          <w:tcPr>
            <w:tcW w:w="620" w:type="pct"/>
            <w:tcBorders>
              <w:top w:val="single" w:sz="4" w:space="0" w:color="000000"/>
              <w:left w:val="single" w:sz="4" w:space="0" w:color="000000"/>
              <w:bottom w:val="single" w:sz="4" w:space="0" w:color="000000"/>
              <w:right w:val="single" w:sz="4" w:space="0" w:color="000000"/>
            </w:tcBorders>
            <w:vAlign w:val="center"/>
            <w:hideMark/>
          </w:tcPr>
          <w:p w14:paraId="3A27F47A" w14:textId="77777777" w:rsidR="00D7754B" w:rsidRPr="00195CAF" w:rsidRDefault="00D7754B">
            <w:pPr>
              <w:spacing w:after="0" w:line="240" w:lineRule="auto"/>
              <w:contextualSpacing/>
              <w:rPr>
                <w:rFonts w:asciiTheme="minorHAnsi" w:hAnsiTheme="minorHAnsi" w:cstheme="minorHAnsi"/>
              </w:rPr>
            </w:pPr>
            <w:r w:rsidRPr="00195CAF">
              <w:rPr>
                <w:rFonts w:asciiTheme="minorHAnsi" w:hAnsiTheme="minorHAnsi" w:cstheme="minorHAnsi"/>
              </w:rPr>
              <w:t>Public</w:t>
            </w:r>
          </w:p>
        </w:tc>
        <w:tc>
          <w:tcPr>
            <w:tcW w:w="1034" w:type="pct"/>
            <w:tcBorders>
              <w:top w:val="single" w:sz="4" w:space="0" w:color="000000"/>
              <w:left w:val="single" w:sz="4" w:space="0" w:color="000000"/>
              <w:bottom w:val="single" w:sz="4" w:space="0" w:color="000000"/>
              <w:right w:val="single" w:sz="4" w:space="0" w:color="000000"/>
            </w:tcBorders>
            <w:vAlign w:val="center"/>
            <w:hideMark/>
          </w:tcPr>
          <w:p w14:paraId="29DAC1E4" w14:textId="77777777" w:rsidR="00D7754B" w:rsidRPr="00195CAF" w:rsidRDefault="006337BA">
            <w:pPr>
              <w:spacing w:after="0" w:line="240" w:lineRule="auto"/>
              <w:jc w:val="center"/>
              <w:rPr>
                <w:rFonts w:asciiTheme="minorHAnsi" w:hAnsiTheme="minorHAnsi" w:cstheme="minorHAnsi"/>
              </w:rPr>
            </w:pPr>
            <w:r w:rsidRPr="00195CAF">
              <w:rPr>
                <w:rFonts w:asciiTheme="minorHAnsi" w:hAnsiTheme="minorHAnsi" w:cstheme="minorHAnsi"/>
              </w:rPr>
              <w:t xml:space="preserve">3 </w:t>
            </w:r>
            <w:r w:rsidR="00D7754B" w:rsidRPr="00195CAF">
              <w:rPr>
                <w:rFonts w:asciiTheme="minorHAnsi" w:hAnsiTheme="minorHAnsi" w:cstheme="minorHAnsi"/>
              </w:rPr>
              <w:t>Groups</w:t>
            </w:r>
          </w:p>
          <w:p w14:paraId="484D0BF0" w14:textId="77777777" w:rsidR="00D7754B" w:rsidRPr="00195CAF" w:rsidRDefault="00195CAF">
            <w:pPr>
              <w:spacing w:after="0" w:line="240" w:lineRule="auto"/>
              <w:jc w:val="center"/>
              <w:rPr>
                <w:rFonts w:asciiTheme="minorHAnsi" w:hAnsiTheme="minorHAnsi" w:cstheme="minorHAnsi"/>
              </w:rPr>
            </w:pPr>
            <w:r>
              <w:rPr>
                <w:rFonts w:asciiTheme="minorHAnsi" w:hAnsiTheme="minorHAnsi" w:cstheme="minorHAnsi"/>
              </w:rPr>
              <w:t xml:space="preserve">(8 participants per </w:t>
            </w:r>
            <w:r w:rsidR="00D7754B" w:rsidRPr="00195CAF">
              <w:rPr>
                <w:rFonts w:asciiTheme="minorHAnsi" w:hAnsiTheme="minorHAnsi" w:cstheme="minorHAnsi"/>
              </w:rPr>
              <w:t>group)</w:t>
            </w:r>
          </w:p>
        </w:tc>
        <w:tc>
          <w:tcPr>
            <w:tcW w:w="1033" w:type="pct"/>
            <w:tcBorders>
              <w:top w:val="single" w:sz="4" w:space="0" w:color="000000"/>
              <w:left w:val="single" w:sz="4" w:space="0" w:color="000000"/>
              <w:bottom w:val="single" w:sz="4" w:space="0" w:color="000000"/>
              <w:right w:val="single" w:sz="4" w:space="0" w:color="000000"/>
            </w:tcBorders>
            <w:vAlign w:val="center"/>
            <w:hideMark/>
          </w:tcPr>
          <w:p w14:paraId="4ECFD44C" w14:textId="77777777" w:rsidR="00D7754B" w:rsidRPr="00195CAF" w:rsidRDefault="006337BA">
            <w:pPr>
              <w:spacing w:after="0" w:line="240" w:lineRule="auto"/>
              <w:jc w:val="center"/>
              <w:rPr>
                <w:rFonts w:asciiTheme="minorHAnsi" w:hAnsiTheme="minorHAnsi" w:cstheme="minorHAnsi"/>
              </w:rPr>
            </w:pPr>
            <w:r w:rsidRPr="00195CAF">
              <w:rPr>
                <w:rFonts w:asciiTheme="minorHAnsi" w:hAnsiTheme="minorHAnsi" w:cstheme="minorHAnsi"/>
              </w:rPr>
              <w:t>3</w:t>
            </w:r>
            <w:r w:rsidR="00D7754B" w:rsidRPr="00195CAF">
              <w:rPr>
                <w:rFonts w:asciiTheme="minorHAnsi" w:hAnsiTheme="minorHAnsi" w:cstheme="minorHAnsi"/>
              </w:rPr>
              <w:t xml:space="preserve"> Groups</w:t>
            </w:r>
          </w:p>
          <w:p w14:paraId="161046D9" w14:textId="77777777" w:rsidR="00D7754B" w:rsidRPr="00195CAF" w:rsidRDefault="00195CAF">
            <w:pPr>
              <w:spacing w:after="0" w:line="240" w:lineRule="auto"/>
              <w:jc w:val="center"/>
              <w:rPr>
                <w:rFonts w:asciiTheme="minorHAnsi" w:hAnsiTheme="minorHAnsi" w:cstheme="minorHAnsi"/>
              </w:rPr>
            </w:pPr>
            <w:r>
              <w:rPr>
                <w:rFonts w:asciiTheme="minorHAnsi" w:hAnsiTheme="minorHAnsi" w:cstheme="minorHAnsi"/>
              </w:rPr>
              <w:t xml:space="preserve"> (8 participants per </w:t>
            </w:r>
            <w:r w:rsidR="00D7754B" w:rsidRPr="00195CAF">
              <w:rPr>
                <w:rFonts w:asciiTheme="minorHAnsi" w:hAnsiTheme="minorHAnsi" w:cstheme="minorHAnsi"/>
              </w:rPr>
              <w:t>group)</w:t>
            </w:r>
          </w:p>
        </w:tc>
        <w:tc>
          <w:tcPr>
            <w:tcW w:w="987" w:type="pct"/>
            <w:tcBorders>
              <w:top w:val="single" w:sz="4" w:space="0" w:color="000000"/>
              <w:left w:val="single" w:sz="4" w:space="0" w:color="000000"/>
              <w:bottom w:val="single" w:sz="4" w:space="0" w:color="000000"/>
              <w:right w:val="single" w:sz="4" w:space="0" w:color="000000"/>
            </w:tcBorders>
            <w:vAlign w:val="center"/>
            <w:hideMark/>
          </w:tcPr>
          <w:p w14:paraId="097AA124" w14:textId="77777777" w:rsidR="00D7754B" w:rsidRPr="00195CAF" w:rsidRDefault="006337BA">
            <w:pPr>
              <w:spacing w:after="0" w:line="240" w:lineRule="auto"/>
              <w:jc w:val="center"/>
              <w:rPr>
                <w:rFonts w:asciiTheme="minorHAnsi" w:hAnsiTheme="minorHAnsi" w:cstheme="minorHAnsi"/>
              </w:rPr>
            </w:pPr>
            <w:r w:rsidRPr="00195CAF">
              <w:rPr>
                <w:rFonts w:asciiTheme="minorHAnsi" w:hAnsiTheme="minorHAnsi" w:cstheme="minorHAnsi"/>
              </w:rPr>
              <w:t>3</w:t>
            </w:r>
            <w:r w:rsidR="00D7754B" w:rsidRPr="00195CAF">
              <w:rPr>
                <w:rFonts w:asciiTheme="minorHAnsi" w:hAnsiTheme="minorHAnsi" w:cstheme="minorHAnsi"/>
              </w:rPr>
              <w:t xml:space="preserve"> Groups</w:t>
            </w:r>
          </w:p>
          <w:p w14:paraId="40849F4B" w14:textId="77777777" w:rsidR="00D7754B" w:rsidRPr="00195CAF" w:rsidRDefault="00195CAF">
            <w:pPr>
              <w:spacing w:after="0" w:line="240" w:lineRule="auto"/>
              <w:jc w:val="center"/>
              <w:rPr>
                <w:rFonts w:asciiTheme="minorHAnsi" w:hAnsiTheme="minorHAnsi" w:cstheme="minorHAnsi"/>
              </w:rPr>
            </w:pPr>
            <w:r>
              <w:rPr>
                <w:rFonts w:asciiTheme="minorHAnsi" w:hAnsiTheme="minorHAnsi" w:cstheme="minorHAnsi"/>
              </w:rPr>
              <w:t xml:space="preserve"> (8 participants per </w:t>
            </w:r>
            <w:r w:rsidR="00D7754B" w:rsidRPr="00195CAF">
              <w:rPr>
                <w:rFonts w:asciiTheme="minorHAnsi" w:hAnsiTheme="minorHAnsi" w:cstheme="minorHAnsi"/>
              </w:rPr>
              <w:t>group)</w:t>
            </w:r>
          </w:p>
        </w:tc>
        <w:tc>
          <w:tcPr>
            <w:tcW w:w="939" w:type="pct"/>
            <w:tcBorders>
              <w:top w:val="single" w:sz="4" w:space="0" w:color="000000"/>
              <w:left w:val="single" w:sz="4" w:space="0" w:color="000000"/>
              <w:bottom w:val="single" w:sz="4" w:space="0" w:color="000000"/>
              <w:right w:val="single" w:sz="4" w:space="0" w:color="000000"/>
            </w:tcBorders>
          </w:tcPr>
          <w:p w14:paraId="3ADFE972" w14:textId="77777777" w:rsidR="006337BA" w:rsidRPr="00195CAF" w:rsidRDefault="006337BA" w:rsidP="006337BA">
            <w:pPr>
              <w:spacing w:after="0" w:line="240" w:lineRule="auto"/>
              <w:jc w:val="center"/>
              <w:rPr>
                <w:rFonts w:asciiTheme="minorHAnsi" w:hAnsiTheme="minorHAnsi" w:cstheme="minorHAnsi"/>
              </w:rPr>
            </w:pPr>
            <w:r w:rsidRPr="00195CAF">
              <w:rPr>
                <w:rFonts w:asciiTheme="minorHAnsi" w:hAnsiTheme="minorHAnsi" w:cstheme="minorHAnsi"/>
              </w:rPr>
              <w:t>3 Groups</w:t>
            </w:r>
          </w:p>
          <w:p w14:paraId="3B0B9527" w14:textId="77777777" w:rsidR="00D7754B" w:rsidRPr="00195CAF" w:rsidRDefault="00195CAF" w:rsidP="006337BA">
            <w:pPr>
              <w:spacing w:after="0" w:line="240" w:lineRule="auto"/>
              <w:jc w:val="center"/>
              <w:rPr>
                <w:rFonts w:asciiTheme="minorHAnsi" w:hAnsiTheme="minorHAnsi" w:cstheme="minorHAnsi"/>
              </w:rPr>
            </w:pPr>
            <w:r>
              <w:rPr>
                <w:rFonts w:asciiTheme="minorHAnsi" w:hAnsiTheme="minorHAnsi" w:cstheme="minorHAnsi"/>
              </w:rPr>
              <w:t xml:space="preserve"> (8 participants per </w:t>
            </w:r>
            <w:r w:rsidR="006337BA" w:rsidRPr="00195CAF">
              <w:rPr>
                <w:rFonts w:asciiTheme="minorHAnsi" w:hAnsiTheme="minorHAnsi" w:cstheme="minorHAnsi"/>
              </w:rPr>
              <w:t>group)</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4665D1BC" w14:textId="77777777" w:rsidR="00D7754B" w:rsidRPr="00195CAF" w:rsidRDefault="006337BA" w:rsidP="00195CAF">
            <w:pPr>
              <w:spacing w:after="0" w:line="240" w:lineRule="auto"/>
              <w:jc w:val="center"/>
              <w:rPr>
                <w:rFonts w:asciiTheme="minorHAnsi" w:hAnsiTheme="minorHAnsi" w:cstheme="minorHAnsi"/>
              </w:rPr>
            </w:pPr>
            <w:r w:rsidRPr="00195CAF">
              <w:rPr>
                <w:rFonts w:asciiTheme="minorHAnsi" w:hAnsiTheme="minorHAnsi" w:cstheme="minorHAnsi"/>
              </w:rPr>
              <w:t xml:space="preserve">12 </w:t>
            </w:r>
            <w:proofErr w:type="spellStart"/>
            <w:r w:rsidR="00195CAF">
              <w:rPr>
                <w:rFonts w:asciiTheme="minorHAnsi" w:hAnsiTheme="minorHAnsi" w:cstheme="minorHAnsi"/>
              </w:rPr>
              <w:t>grps</w:t>
            </w:r>
            <w:proofErr w:type="spellEnd"/>
          </w:p>
        </w:tc>
      </w:tr>
    </w:tbl>
    <w:p w14:paraId="6E60AB4D" w14:textId="77777777" w:rsidR="00F9552A" w:rsidRPr="00195CAF" w:rsidRDefault="00F9552A" w:rsidP="00F9552A">
      <w:pPr>
        <w:spacing w:after="0" w:line="240" w:lineRule="auto"/>
        <w:rPr>
          <w:rFonts w:asciiTheme="minorHAnsi" w:hAnsiTheme="minorHAnsi" w:cstheme="minorHAnsi"/>
          <w:u w:val="single"/>
        </w:rPr>
      </w:pPr>
    </w:p>
    <w:p w14:paraId="0D989732" w14:textId="77777777" w:rsidR="0054332D" w:rsidRPr="00195CAF" w:rsidRDefault="00195CAF" w:rsidP="00F9552A">
      <w:pPr>
        <w:spacing w:after="0" w:line="240" w:lineRule="auto"/>
        <w:rPr>
          <w:rFonts w:asciiTheme="minorHAnsi" w:hAnsiTheme="minorHAnsi" w:cstheme="minorHAnsi"/>
          <w:b/>
        </w:rPr>
      </w:pPr>
      <w:r>
        <w:rPr>
          <w:rFonts w:asciiTheme="minorHAnsi" w:hAnsiTheme="minorHAnsi" w:cstheme="minorHAnsi"/>
          <w:b/>
        </w:rPr>
        <w:t>Table 3: Facility Locations</w:t>
      </w:r>
    </w:p>
    <w:tbl>
      <w:tblPr>
        <w:tblStyle w:val="TableGrid"/>
        <w:tblW w:w="0" w:type="auto"/>
        <w:shd w:val="clear" w:color="auto" w:fill="C6D9F1" w:themeFill="text2" w:themeFillTint="33"/>
        <w:tblLook w:val="04A0" w:firstRow="1" w:lastRow="0" w:firstColumn="1" w:lastColumn="0" w:noHBand="0" w:noVBand="1"/>
      </w:tblPr>
      <w:tblGrid>
        <w:gridCol w:w="2713"/>
        <w:gridCol w:w="6863"/>
      </w:tblGrid>
      <w:tr w:rsidR="0054332D" w:rsidRPr="00195CAF" w14:paraId="4125EAB5" w14:textId="77777777" w:rsidTr="0054332D">
        <w:tc>
          <w:tcPr>
            <w:tcW w:w="4788" w:type="dxa"/>
            <w:tcBorders>
              <w:bottom w:val="single" w:sz="4" w:space="0" w:color="auto"/>
            </w:tcBorders>
            <w:shd w:val="clear" w:color="auto" w:fill="C6D9F1" w:themeFill="text2" w:themeFillTint="33"/>
          </w:tcPr>
          <w:p w14:paraId="31ED1422"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City</w:t>
            </w:r>
          </w:p>
        </w:tc>
        <w:tc>
          <w:tcPr>
            <w:tcW w:w="4788" w:type="dxa"/>
            <w:tcBorders>
              <w:bottom w:val="single" w:sz="4" w:space="0" w:color="auto"/>
            </w:tcBorders>
            <w:shd w:val="clear" w:color="auto" w:fill="C6D9F1" w:themeFill="text2" w:themeFillTint="33"/>
          </w:tcPr>
          <w:p w14:paraId="6F2A3451"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 xml:space="preserve">Facility </w:t>
            </w:r>
            <w:r w:rsidR="00195CAF">
              <w:rPr>
                <w:rFonts w:asciiTheme="minorHAnsi" w:hAnsiTheme="minorHAnsi" w:cstheme="minorHAnsi"/>
                <w:b/>
              </w:rPr>
              <w:t>Locations</w:t>
            </w:r>
          </w:p>
        </w:tc>
      </w:tr>
      <w:tr w:rsidR="0054332D" w:rsidRPr="00195CAF" w14:paraId="02218CC9" w14:textId="77777777" w:rsidTr="0054332D">
        <w:tc>
          <w:tcPr>
            <w:tcW w:w="4788" w:type="dxa"/>
            <w:shd w:val="clear" w:color="auto" w:fill="auto"/>
            <w:vAlign w:val="center"/>
          </w:tcPr>
          <w:p w14:paraId="66A9EF27" w14:textId="77777777" w:rsidR="0054332D" w:rsidRPr="00195CAF" w:rsidRDefault="0054332D" w:rsidP="00585855">
            <w:pPr>
              <w:contextualSpacing/>
              <w:jc w:val="center"/>
              <w:rPr>
                <w:rFonts w:asciiTheme="minorHAnsi" w:hAnsiTheme="minorHAnsi" w:cstheme="minorHAnsi"/>
                <w:b/>
              </w:rPr>
            </w:pPr>
            <w:r w:rsidRPr="00195CAF">
              <w:rPr>
                <w:rFonts w:asciiTheme="minorHAnsi" w:hAnsiTheme="minorHAnsi" w:cstheme="minorHAnsi"/>
                <w:b/>
              </w:rPr>
              <w:t>Atlanta, Georgia</w:t>
            </w:r>
          </w:p>
        </w:tc>
        <w:tc>
          <w:tcPr>
            <w:tcW w:w="4788" w:type="dxa"/>
            <w:shd w:val="clear" w:color="auto" w:fill="auto"/>
          </w:tcPr>
          <w:p w14:paraId="20489D5C"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Schlesinger Associates</w:t>
            </w:r>
          </w:p>
          <w:p w14:paraId="1CC9A55F"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The Palisades Building, Suite 590</w:t>
            </w:r>
          </w:p>
          <w:p w14:paraId="7ED9E3E8"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5909 Peachtree Dunwoody Rd.</w:t>
            </w:r>
          </w:p>
          <w:p w14:paraId="0809368B"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Atlanta, GA 30328</w:t>
            </w:r>
          </w:p>
          <w:p w14:paraId="647E1E54"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 xml:space="preserve">(770) 396-8700 </w:t>
            </w:r>
          </w:p>
          <w:p w14:paraId="555E6052"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http://www.schlesingerassociates.com/our_locations/usa/atlanta.aspx</w:t>
            </w:r>
          </w:p>
          <w:p w14:paraId="20A20188" w14:textId="77777777" w:rsidR="0054332D" w:rsidRPr="00195CAF" w:rsidRDefault="0054332D" w:rsidP="00F9552A">
            <w:pPr>
              <w:rPr>
                <w:rFonts w:asciiTheme="minorHAnsi" w:hAnsiTheme="minorHAnsi" w:cstheme="minorHAnsi"/>
                <w:u w:val="single"/>
              </w:rPr>
            </w:pPr>
          </w:p>
        </w:tc>
      </w:tr>
      <w:tr w:rsidR="0054332D" w:rsidRPr="00195CAF" w14:paraId="75692B13" w14:textId="77777777" w:rsidTr="0054332D">
        <w:tc>
          <w:tcPr>
            <w:tcW w:w="4788" w:type="dxa"/>
            <w:shd w:val="clear" w:color="auto" w:fill="auto"/>
            <w:vAlign w:val="center"/>
          </w:tcPr>
          <w:p w14:paraId="5C22AE58" w14:textId="77777777" w:rsidR="0054332D" w:rsidRPr="00195CAF" w:rsidRDefault="0054332D" w:rsidP="00585855">
            <w:pPr>
              <w:contextualSpacing/>
              <w:jc w:val="center"/>
              <w:rPr>
                <w:rFonts w:asciiTheme="minorHAnsi" w:hAnsiTheme="minorHAnsi" w:cstheme="minorHAnsi"/>
                <w:b/>
              </w:rPr>
            </w:pPr>
            <w:r w:rsidRPr="00195CAF">
              <w:rPr>
                <w:rFonts w:asciiTheme="minorHAnsi" w:hAnsiTheme="minorHAnsi" w:cstheme="minorHAnsi"/>
                <w:b/>
              </w:rPr>
              <w:t>St. Louis, Missouri</w:t>
            </w:r>
          </w:p>
        </w:tc>
        <w:tc>
          <w:tcPr>
            <w:tcW w:w="4788" w:type="dxa"/>
            <w:shd w:val="clear" w:color="auto" w:fill="auto"/>
          </w:tcPr>
          <w:p w14:paraId="39875012"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 xml:space="preserve">Peters Marketing Research, Inc. </w:t>
            </w:r>
            <w:r w:rsidRPr="00195CAF">
              <w:rPr>
                <w:rFonts w:asciiTheme="minorHAnsi" w:hAnsiTheme="minorHAnsi" w:cstheme="minorHAnsi"/>
                <w:b/>
              </w:rPr>
              <w:br/>
              <w:t xml:space="preserve">The Paragon Building </w:t>
            </w:r>
            <w:r w:rsidRPr="00195CAF">
              <w:rPr>
                <w:rFonts w:asciiTheme="minorHAnsi" w:hAnsiTheme="minorHAnsi" w:cstheme="minorHAnsi"/>
                <w:b/>
              </w:rPr>
              <w:br/>
              <w:t xml:space="preserve">12400 Olive Boulevard, Suite 225 </w:t>
            </w:r>
            <w:r w:rsidRPr="00195CAF">
              <w:rPr>
                <w:rFonts w:asciiTheme="minorHAnsi" w:hAnsiTheme="minorHAnsi" w:cstheme="minorHAnsi"/>
                <w:b/>
              </w:rPr>
              <w:br/>
              <w:t>Creve Coeur, Missouri 63141                                                                                                                      (314) 469-9022</w:t>
            </w:r>
          </w:p>
          <w:p w14:paraId="171794D0"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http://www.petersmktg.com</w:t>
            </w:r>
          </w:p>
          <w:p w14:paraId="7EB4B3F8" w14:textId="77777777" w:rsidR="0054332D" w:rsidRPr="00195CAF" w:rsidRDefault="0054332D" w:rsidP="00F9552A">
            <w:pPr>
              <w:rPr>
                <w:rFonts w:asciiTheme="minorHAnsi" w:hAnsiTheme="minorHAnsi" w:cstheme="minorHAnsi"/>
                <w:u w:val="single"/>
              </w:rPr>
            </w:pPr>
          </w:p>
        </w:tc>
      </w:tr>
      <w:tr w:rsidR="0054332D" w:rsidRPr="00195CAF" w14:paraId="7679745B" w14:textId="77777777" w:rsidTr="0054332D">
        <w:tc>
          <w:tcPr>
            <w:tcW w:w="4788" w:type="dxa"/>
            <w:shd w:val="clear" w:color="auto" w:fill="auto"/>
            <w:vAlign w:val="center"/>
          </w:tcPr>
          <w:p w14:paraId="5EA66D04" w14:textId="77777777" w:rsidR="0054332D" w:rsidRPr="00195CAF" w:rsidRDefault="0054332D" w:rsidP="00585855">
            <w:pPr>
              <w:contextualSpacing/>
              <w:jc w:val="center"/>
              <w:rPr>
                <w:rFonts w:asciiTheme="minorHAnsi" w:hAnsiTheme="minorHAnsi" w:cstheme="minorHAnsi"/>
                <w:b/>
              </w:rPr>
            </w:pPr>
            <w:r w:rsidRPr="00195CAF">
              <w:rPr>
                <w:rFonts w:asciiTheme="minorHAnsi" w:hAnsiTheme="minorHAnsi" w:cstheme="minorHAnsi"/>
                <w:b/>
              </w:rPr>
              <w:t>Phoenix, Arizona</w:t>
            </w:r>
          </w:p>
        </w:tc>
        <w:tc>
          <w:tcPr>
            <w:tcW w:w="4788" w:type="dxa"/>
            <w:shd w:val="clear" w:color="auto" w:fill="auto"/>
          </w:tcPr>
          <w:p w14:paraId="31B108B2"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Schlesinger Associates in Phoenix, AZ</w:t>
            </w:r>
          </w:p>
          <w:p w14:paraId="6FA7711F"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2355 East Camelback Rd, Suite 800</w:t>
            </w:r>
          </w:p>
          <w:p w14:paraId="05ABB803"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Phoenix, AZ 85016</w:t>
            </w:r>
          </w:p>
          <w:p w14:paraId="27BF0769"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(602) 366-1100</w:t>
            </w:r>
          </w:p>
          <w:p w14:paraId="668C0316"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http://www.schlesingerassociates.com/our_locations/usa/phoenix.aspx</w:t>
            </w:r>
          </w:p>
          <w:p w14:paraId="245F48D2" w14:textId="77777777" w:rsidR="0054332D" w:rsidRPr="00195CAF" w:rsidRDefault="0054332D" w:rsidP="00F9552A">
            <w:pPr>
              <w:rPr>
                <w:rFonts w:asciiTheme="minorHAnsi" w:hAnsiTheme="minorHAnsi" w:cstheme="minorHAnsi"/>
                <w:u w:val="single"/>
              </w:rPr>
            </w:pPr>
          </w:p>
        </w:tc>
      </w:tr>
      <w:tr w:rsidR="0054332D" w:rsidRPr="00195CAF" w14:paraId="5B10BB1B" w14:textId="77777777" w:rsidTr="0054332D">
        <w:tc>
          <w:tcPr>
            <w:tcW w:w="4788" w:type="dxa"/>
            <w:shd w:val="clear" w:color="auto" w:fill="auto"/>
            <w:vAlign w:val="center"/>
          </w:tcPr>
          <w:p w14:paraId="2C71BF9F" w14:textId="77777777" w:rsidR="0054332D" w:rsidRPr="00195CAF" w:rsidRDefault="0054332D" w:rsidP="00585855">
            <w:pPr>
              <w:contextualSpacing/>
              <w:jc w:val="center"/>
              <w:rPr>
                <w:rFonts w:asciiTheme="minorHAnsi" w:hAnsiTheme="minorHAnsi" w:cstheme="minorHAnsi"/>
                <w:b/>
              </w:rPr>
            </w:pPr>
            <w:r w:rsidRPr="00195CAF">
              <w:rPr>
                <w:rFonts w:asciiTheme="minorHAnsi" w:hAnsiTheme="minorHAnsi" w:cstheme="minorHAnsi"/>
                <w:b/>
              </w:rPr>
              <w:t>Houston, Texas</w:t>
            </w:r>
          </w:p>
        </w:tc>
        <w:tc>
          <w:tcPr>
            <w:tcW w:w="4788" w:type="dxa"/>
            <w:shd w:val="clear" w:color="auto" w:fill="auto"/>
          </w:tcPr>
          <w:p w14:paraId="22D0F448" w14:textId="77777777" w:rsidR="0054332D" w:rsidRPr="00195CAF" w:rsidRDefault="0054332D" w:rsidP="0054332D">
            <w:pPr>
              <w:rPr>
                <w:rFonts w:asciiTheme="minorHAnsi" w:hAnsiTheme="minorHAnsi" w:cstheme="minorHAnsi"/>
              </w:rPr>
            </w:pPr>
          </w:p>
          <w:p w14:paraId="45382681"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Opinions Unlimited</w:t>
            </w:r>
          </w:p>
          <w:p w14:paraId="1629ED1F"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 xml:space="preserve">Three </w:t>
            </w:r>
            <w:proofErr w:type="spellStart"/>
            <w:r w:rsidRPr="00195CAF">
              <w:rPr>
                <w:rFonts w:asciiTheme="minorHAnsi" w:hAnsiTheme="minorHAnsi" w:cstheme="minorHAnsi"/>
                <w:b/>
              </w:rPr>
              <w:t>Riverway</w:t>
            </w:r>
            <w:proofErr w:type="spellEnd"/>
            <w:r w:rsidRPr="00195CAF">
              <w:rPr>
                <w:rFonts w:asciiTheme="minorHAnsi" w:hAnsiTheme="minorHAnsi" w:cstheme="minorHAnsi"/>
                <w:b/>
              </w:rPr>
              <w:t>, Suite 250</w:t>
            </w:r>
          </w:p>
          <w:p w14:paraId="617A71F6"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Houston, TX 77056</w:t>
            </w:r>
          </w:p>
          <w:p w14:paraId="3172D0F2"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(713) 888-0202</w:t>
            </w:r>
          </w:p>
          <w:p w14:paraId="1CC6A0F1" w14:textId="77777777" w:rsidR="0054332D" w:rsidRPr="00195CAF" w:rsidRDefault="0054332D" w:rsidP="0054332D">
            <w:pPr>
              <w:contextualSpacing/>
              <w:jc w:val="center"/>
              <w:rPr>
                <w:rFonts w:asciiTheme="minorHAnsi" w:hAnsiTheme="minorHAnsi" w:cstheme="minorHAnsi"/>
                <w:b/>
              </w:rPr>
            </w:pPr>
            <w:r w:rsidRPr="00195CAF">
              <w:rPr>
                <w:rFonts w:asciiTheme="minorHAnsi" w:hAnsiTheme="minorHAnsi" w:cstheme="minorHAnsi"/>
                <w:b/>
              </w:rPr>
              <w:t>http://www.opinions-unlimited.com/</w:t>
            </w:r>
          </w:p>
          <w:p w14:paraId="0B190CE7" w14:textId="77777777" w:rsidR="0054332D" w:rsidRPr="00195CAF" w:rsidRDefault="0054332D" w:rsidP="00F9552A">
            <w:pPr>
              <w:rPr>
                <w:rFonts w:asciiTheme="minorHAnsi" w:hAnsiTheme="minorHAnsi" w:cstheme="minorHAnsi"/>
                <w:u w:val="single"/>
              </w:rPr>
            </w:pPr>
          </w:p>
        </w:tc>
      </w:tr>
    </w:tbl>
    <w:p w14:paraId="2BE6D5B3" w14:textId="77777777" w:rsidR="0054332D" w:rsidRPr="00195CAF" w:rsidRDefault="0054332D" w:rsidP="00F9552A">
      <w:pPr>
        <w:spacing w:after="0" w:line="240" w:lineRule="auto"/>
        <w:rPr>
          <w:rFonts w:asciiTheme="minorHAnsi" w:hAnsiTheme="minorHAnsi" w:cstheme="minorHAnsi"/>
          <w:u w:val="single"/>
        </w:rPr>
      </w:pPr>
    </w:p>
    <w:p w14:paraId="51A0F42A" w14:textId="77777777" w:rsidR="0054332D" w:rsidRPr="00195CAF" w:rsidRDefault="0054332D" w:rsidP="00F9552A">
      <w:pPr>
        <w:spacing w:after="0" w:line="240" w:lineRule="auto"/>
        <w:rPr>
          <w:rFonts w:asciiTheme="minorHAnsi" w:hAnsiTheme="minorHAnsi" w:cstheme="minorHAnsi"/>
          <w:u w:val="single"/>
        </w:rPr>
      </w:pPr>
    </w:p>
    <w:p w14:paraId="26C3DBAE" w14:textId="77777777" w:rsidR="0054332D" w:rsidRPr="00195CAF" w:rsidRDefault="0054332D" w:rsidP="00F9552A">
      <w:pPr>
        <w:spacing w:after="0" w:line="240" w:lineRule="auto"/>
        <w:rPr>
          <w:rFonts w:asciiTheme="minorHAnsi" w:hAnsiTheme="minorHAnsi" w:cstheme="minorHAnsi"/>
          <w:u w:val="single"/>
        </w:rPr>
      </w:pPr>
    </w:p>
    <w:p w14:paraId="42CF75AE" w14:textId="77777777" w:rsidR="0054332D" w:rsidRPr="00195CAF" w:rsidRDefault="0054332D" w:rsidP="00F9552A">
      <w:pPr>
        <w:spacing w:after="0" w:line="240" w:lineRule="auto"/>
        <w:rPr>
          <w:rFonts w:asciiTheme="minorHAnsi" w:hAnsiTheme="minorHAnsi" w:cstheme="minorHAnsi"/>
          <w:u w:val="single"/>
        </w:rPr>
      </w:pPr>
    </w:p>
    <w:p w14:paraId="2BE27B64" w14:textId="77777777" w:rsidR="00F9552A" w:rsidRPr="00195CAF" w:rsidRDefault="00F9552A" w:rsidP="00F9552A">
      <w:pPr>
        <w:spacing w:after="0" w:line="240" w:lineRule="auto"/>
        <w:rPr>
          <w:rFonts w:asciiTheme="minorHAnsi" w:hAnsiTheme="minorHAnsi" w:cstheme="minorHAnsi"/>
          <w:u w:val="single"/>
        </w:rPr>
      </w:pPr>
      <w:r w:rsidRPr="00195CAF">
        <w:rPr>
          <w:rFonts w:asciiTheme="minorHAnsi" w:hAnsiTheme="minorHAnsi" w:cstheme="minorHAnsi"/>
          <w:u w:val="single"/>
        </w:rPr>
        <w:t xml:space="preserve">Focus Groups </w:t>
      </w:r>
    </w:p>
    <w:p w14:paraId="2AA46360" w14:textId="77777777" w:rsidR="00F9552A" w:rsidRPr="00195CAF" w:rsidRDefault="00F9552A" w:rsidP="00F9552A">
      <w:pPr>
        <w:spacing w:after="0" w:line="240" w:lineRule="auto"/>
        <w:rPr>
          <w:rFonts w:asciiTheme="minorHAnsi" w:hAnsiTheme="minorHAnsi" w:cstheme="minorHAnsi"/>
        </w:rPr>
      </w:pPr>
      <w:r w:rsidRPr="00195CAF">
        <w:rPr>
          <w:rFonts w:asciiTheme="minorHAnsi" w:hAnsiTheme="minorHAnsi" w:cstheme="minorHAnsi"/>
        </w:rPr>
        <w:t xml:space="preserve">The </w:t>
      </w:r>
      <w:r w:rsidRPr="00195CAF">
        <w:rPr>
          <w:rFonts w:asciiTheme="minorHAnsi" w:eastAsia="Times New Roman" w:hAnsiTheme="minorHAnsi" w:cstheme="minorHAnsi"/>
        </w:rPr>
        <w:t xml:space="preserve">eligibility </w:t>
      </w:r>
      <w:r w:rsidRPr="00195CAF">
        <w:rPr>
          <w:rFonts w:asciiTheme="minorHAnsi" w:hAnsiTheme="minorHAnsi" w:cstheme="minorHAnsi"/>
        </w:rPr>
        <w:t>screener was designed in conjunction with CDC to ensure that participants</w:t>
      </w:r>
      <w:r w:rsidR="00D7754B" w:rsidRPr="00195CAF">
        <w:rPr>
          <w:rFonts w:asciiTheme="minorHAnsi" w:hAnsiTheme="minorHAnsi" w:cstheme="minorHAnsi"/>
        </w:rPr>
        <w:t xml:space="preserve"> represent a mix of age ranges </w:t>
      </w:r>
      <w:r w:rsidRPr="00195CAF">
        <w:rPr>
          <w:rFonts w:asciiTheme="minorHAnsi" w:hAnsiTheme="minorHAnsi" w:cstheme="minorHAnsi"/>
        </w:rPr>
        <w:t xml:space="preserve">and races/ethnicities reflective of the selected cities. </w:t>
      </w:r>
    </w:p>
    <w:p w14:paraId="7F852E9E" w14:textId="77777777" w:rsidR="00F9552A" w:rsidRPr="00195CAF" w:rsidRDefault="00D7754B" w:rsidP="00F9552A">
      <w:pPr>
        <w:spacing w:after="0" w:line="240" w:lineRule="auto"/>
        <w:rPr>
          <w:rFonts w:asciiTheme="minorHAnsi" w:hAnsiTheme="minorHAnsi" w:cstheme="minorHAnsi"/>
          <w:i/>
          <w:iCs/>
        </w:rPr>
      </w:pPr>
      <w:r w:rsidRPr="00195CAF">
        <w:rPr>
          <w:rFonts w:asciiTheme="minorHAnsi" w:hAnsiTheme="minorHAnsi" w:cstheme="minorHAnsi"/>
          <w:i/>
          <w:iCs/>
        </w:rPr>
        <w:t>Public</w:t>
      </w:r>
    </w:p>
    <w:p w14:paraId="335A4DF3" w14:textId="77777777" w:rsidR="00A634D6" w:rsidRPr="008756D5" w:rsidRDefault="00A634D6" w:rsidP="008756D5">
      <w:pPr>
        <w:numPr>
          <w:ilvl w:val="1"/>
          <w:numId w:val="19"/>
        </w:numPr>
        <w:spacing w:after="0" w:line="240" w:lineRule="auto"/>
        <w:contextualSpacing/>
        <w:rPr>
          <w:rFonts w:asciiTheme="minorHAnsi" w:hAnsiTheme="minorHAnsi"/>
        </w:rPr>
      </w:pPr>
      <w:r w:rsidRPr="008756D5">
        <w:rPr>
          <w:rFonts w:asciiTheme="minorHAnsi" w:hAnsiTheme="minorHAnsi"/>
        </w:rPr>
        <w:t>Be at least 18 years of age</w:t>
      </w:r>
    </w:p>
    <w:p w14:paraId="2A6D21FE" w14:textId="77777777" w:rsidR="00A634D6" w:rsidRPr="008756D5" w:rsidRDefault="00A634D6" w:rsidP="008756D5">
      <w:pPr>
        <w:numPr>
          <w:ilvl w:val="1"/>
          <w:numId w:val="19"/>
        </w:numPr>
        <w:spacing w:after="0" w:line="240" w:lineRule="auto"/>
        <w:contextualSpacing/>
        <w:rPr>
          <w:rFonts w:asciiTheme="minorHAnsi" w:hAnsiTheme="minorHAnsi"/>
        </w:rPr>
      </w:pPr>
      <w:r w:rsidRPr="008756D5">
        <w:rPr>
          <w:rFonts w:asciiTheme="minorHAnsi" w:hAnsiTheme="minorHAnsi"/>
        </w:rPr>
        <w:t xml:space="preserve">Have at least </w:t>
      </w:r>
      <w:r w:rsidR="009E197B" w:rsidRPr="008756D5">
        <w:rPr>
          <w:rFonts w:asciiTheme="minorHAnsi" w:hAnsiTheme="minorHAnsi"/>
        </w:rPr>
        <w:t>s</w:t>
      </w:r>
      <w:r w:rsidR="007B1625" w:rsidRPr="008756D5">
        <w:rPr>
          <w:rFonts w:asciiTheme="minorHAnsi" w:hAnsiTheme="minorHAnsi"/>
        </w:rPr>
        <w:t>ome high school education</w:t>
      </w:r>
    </w:p>
    <w:p w14:paraId="0B88F303" w14:textId="77777777" w:rsidR="00D7754B" w:rsidRPr="00195CAF" w:rsidRDefault="00A634D6" w:rsidP="00D7754B">
      <w:pPr>
        <w:numPr>
          <w:ilvl w:val="1"/>
          <w:numId w:val="19"/>
        </w:numPr>
        <w:spacing w:after="0" w:line="240" w:lineRule="auto"/>
        <w:contextualSpacing/>
        <w:rPr>
          <w:rFonts w:asciiTheme="minorHAnsi" w:hAnsiTheme="minorHAnsi" w:cstheme="minorHAnsi"/>
        </w:rPr>
      </w:pPr>
      <w:r w:rsidRPr="008756D5">
        <w:rPr>
          <w:rFonts w:asciiTheme="minorHAnsi" w:hAnsiTheme="minorHAnsi"/>
        </w:rPr>
        <w:t>Be comfortable conversing in English</w:t>
      </w:r>
    </w:p>
    <w:p w14:paraId="1FDF73C9" w14:textId="77777777" w:rsidR="00F9552A" w:rsidRPr="00195CAF" w:rsidRDefault="00F9552A" w:rsidP="00F9552A">
      <w:pPr>
        <w:numPr>
          <w:ilvl w:val="1"/>
          <w:numId w:val="19"/>
        </w:numPr>
        <w:spacing w:after="0" w:line="240" w:lineRule="auto"/>
        <w:contextualSpacing/>
        <w:rPr>
          <w:rFonts w:asciiTheme="minorHAnsi" w:hAnsiTheme="minorHAnsi" w:cstheme="minorHAnsi"/>
        </w:rPr>
      </w:pPr>
      <w:r w:rsidRPr="00195CAF">
        <w:rPr>
          <w:rFonts w:asciiTheme="minorHAnsi" w:hAnsiTheme="minorHAnsi" w:cstheme="minorHAnsi"/>
        </w:rPr>
        <w:t>Comfortable sharing their opinions in a group setting</w:t>
      </w:r>
    </w:p>
    <w:p w14:paraId="5A69BA9D" w14:textId="77777777" w:rsidR="00D7754B" w:rsidRPr="00195CAF" w:rsidRDefault="00D7754B" w:rsidP="00D7754B">
      <w:pPr>
        <w:numPr>
          <w:ilvl w:val="1"/>
          <w:numId w:val="19"/>
        </w:numPr>
        <w:spacing w:after="0" w:line="240" w:lineRule="auto"/>
        <w:contextualSpacing/>
        <w:rPr>
          <w:rFonts w:asciiTheme="minorHAnsi" w:hAnsiTheme="minorHAnsi" w:cstheme="minorHAnsi"/>
        </w:rPr>
      </w:pPr>
      <w:r w:rsidRPr="00195CAF">
        <w:rPr>
          <w:rFonts w:asciiTheme="minorHAnsi" w:hAnsiTheme="minorHAnsi" w:cstheme="minorHAnsi"/>
        </w:rPr>
        <w:t>Have not participated in a focus group in the last 6 months</w:t>
      </w:r>
    </w:p>
    <w:p w14:paraId="2528F5A6" w14:textId="77777777" w:rsidR="00D7754B" w:rsidRPr="00195CAF" w:rsidRDefault="00D7754B" w:rsidP="00D7754B">
      <w:pPr>
        <w:numPr>
          <w:ilvl w:val="1"/>
          <w:numId w:val="19"/>
        </w:numPr>
        <w:spacing w:after="0" w:line="240" w:lineRule="auto"/>
        <w:contextualSpacing/>
        <w:rPr>
          <w:rFonts w:asciiTheme="minorHAnsi" w:hAnsiTheme="minorHAnsi" w:cstheme="minorHAnsi"/>
        </w:rPr>
      </w:pPr>
      <w:r w:rsidRPr="00195CAF">
        <w:rPr>
          <w:rFonts w:asciiTheme="minorHAnsi" w:hAnsiTheme="minorHAnsi" w:cstheme="minorHAnsi"/>
        </w:rPr>
        <w:t>Does not work in any of the following fields:</w:t>
      </w:r>
    </w:p>
    <w:p w14:paraId="2F64A843" w14:textId="77777777" w:rsidR="00D7754B" w:rsidRPr="00195CAF" w:rsidRDefault="00D7754B" w:rsidP="00D7754B">
      <w:pPr>
        <w:numPr>
          <w:ilvl w:val="2"/>
          <w:numId w:val="19"/>
        </w:numPr>
        <w:spacing w:after="0" w:line="240" w:lineRule="auto"/>
        <w:contextualSpacing/>
        <w:rPr>
          <w:rFonts w:asciiTheme="minorHAnsi" w:hAnsiTheme="minorHAnsi" w:cstheme="minorHAnsi"/>
        </w:rPr>
      </w:pPr>
      <w:r w:rsidRPr="00195CAF">
        <w:rPr>
          <w:rFonts w:asciiTheme="minorHAnsi" w:hAnsiTheme="minorHAnsi" w:cstheme="minorHAnsi"/>
        </w:rPr>
        <w:t xml:space="preserve">For a market research company </w:t>
      </w:r>
    </w:p>
    <w:p w14:paraId="4397ECB4" w14:textId="77777777" w:rsidR="00D7754B" w:rsidRPr="00195CAF" w:rsidRDefault="00D7754B" w:rsidP="00D7754B">
      <w:pPr>
        <w:numPr>
          <w:ilvl w:val="2"/>
          <w:numId w:val="19"/>
        </w:numPr>
        <w:spacing w:after="0" w:line="240" w:lineRule="auto"/>
        <w:contextualSpacing/>
        <w:rPr>
          <w:rFonts w:asciiTheme="minorHAnsi" w:hAnsiTheme="minorHAnsi" w:cstheme="minorHAnsi"/>
        </w:rPr>
      </w:pPr>
      <w:r w:rsidRPr="00195CAF">
        <w:rPr>
          <w:rFonts w:asciiTheme="minorHAnsi" w:hAnsiTheme="minorHAnsi" w:cstheme="minorHAnsi"/>
        </w:rPr>
        <w:t xml:space="preserve">For an advertising agency or public relations firm </w:t>
      </w:r>
    </w:p>
    <w:p w14:paraId="3660917A" w14:textId="77777777" w:rsidR="00D7754B" w:rsidRPr="00195CAF" w:rsidRDefault="00D7754B" w:rsidP="00D7754B">
      <w:pPr>
        <w:numPr>
          <w:ilvl w:val="2"/>
          <w:numId w:val="19"/>
        </w:numPr>
        <w:spacing w:after="0" w:line="240" w:lineRule="auto"/>
        <w:contextualSpacing/>
        <w:rPr>
          <w:rFonts w:asciiTheme="minorHAnsi" w:hAnsiTheme="minorHAnsi" w:cstheme="minorHAnsi"/>
        </w:rPr>
      </w:pPr>
      <w:r w:rsidRPr="00195CAF">
        <w:rPr>
          <w:rFonts w:asciiTheme="minorHAnsi" w:hAnsiTheme="minorHAnsi" w:cstheme="minorHAnsi"/>
        </w:rPr>
        <w:t xml:space="preserve">In the media (TV/radio/newspapers/magazines) </w:t>
      </w:r>
    </w:p>
    <w:p w14:paraId="31B9D83A" w14:textId="77777777" w:rsidR="00D7754B" w:rsidRPr="00195CAF" w:rsidRDefault="00D7754B" w:rsidP="00D7754B">
      <w:pPr>
        <w:numPr>
          <w:ilvl w:val="2"/>
          <w:numId w:val="19"/>
        </w:numPr>
        <w:spacing w:after="0" w:line="240" w:lineRule="auto"/>
        <w:contextualSpacing/>
        <w:rPr>
          <w:rFonts w:asciiTheme="minorHAnsi" w:hAnsiTheme="minorHAnsi" w:cstheme="minorHAnsi"/>
        </w:rPr>
      </w:pPr>
      <w:r w:rsidRPr="00195CAF">
        <w:rPr>
          <w:rFonts w:asciiTheme="minorHAnsi" w:hAnsiTheme="minorHAnsi" w:cstheme="minorHAnsi"/>
        </w:rPr>
        <w:t>As a healthcare professional (doctor, nurse, pharmacist, dietician, etc.)</w:t>
      </w:r>
    </w:p>
    <w:p w14:paraId="41A8F9EB" w14:textId="77777777" w:rsidR="00D7754B" w:rsidRPr="00195CAF" w:rsidRDefault="00D7754B" w:rsidP="00D7754B">
      <w:pPr>
        <w:numPr>
          <w:ilvl w:val="1"/>
          <w:numId w:val="19"/>
        </w:numPr>
        <w:spacing w:after="0" w:line="240" w:lineRule="auto"/>
        <w:contextualSpacing/>
        <w:rPr>
          <w:rFonts w:asciiTheme="minorHAnsi" w:hAnsiTheme="minorHAnsi" w:cstheme="minorHAnsi"/>
        </w:rPr>
      </w:pPr>
      <w:r w:rsidRPr="00195CAF">
        <w:rPr>
          <w:rFonts w:asciiTheme="minorHAnsi" w:hAnsiTheme="minorHAnsi" w:cstheme="minorHAnsi"/>
        </w:rPr>
        <w:t>Is not an employee for any of the following:</w:t>
      </w:r>
    </w:p>
    <w:p w14:paraId="0A8885D7" w14:textId="77777777" w:rsidR="00D7754B" w:rsidRPr="00195CAF" w:rsidRDefault="00D7754B" w:rsidP="00D7754B">
      <w:pPr>
        <w:numPr>
          <w:ilvl w:val="2"/>
          <w:numId w:val="19"/>
        </w:numPr>
        <w:spacing w:after="0" w:line="240" w:lineRule="auto"/>
        <w:contextualSpacing/>
        <w:rPr>
          <w:rFonts w:asciiTheme="minorHAnsi" w:hAnsiTheme="minorHAnsi" w:cstheme="minorHAnsi"/>
        </w:rPr>
      </w:pPr>
      <w:r w:rsidRPr="00195CAF">
        <w:rPr>
          <w:rFonts w:asciiTheme="minorHAnsi" w:hAnsiTheme="minorHAnsi" w:cstheme="minorHAnsi"/>
        </w:rPr>
        <w:t>U.S. Department of Health and Human Services</w:t>
      </w:r>
    </w:p>
    <w:p w14:paraId="328337F0" w14:textId="77777777" w:rsidR="00D7754B" w:rsidRPr="00195CAF" w:rsidRDefault="00D7754B" w:rsidP="00D7754B">
      <w:pPr>
        <w:numPr>
          <w:ilvl w:val="2"/>
          <w:numId w:val="19"/>
        </w:numPr>
        <w:spacing w:after="0" w:line="240" w:lineRule="auto"/>
        <w:contextualSpacing/>
        <w:rPr>
          <w:rFonts w:asciiTheme="minorHAnsi" w:hAnsiTheme="minorHAnsi" w:cstheme="minorHAnsi"/>
        </w:rPr>
      </w:pPr>
      <w:r w:rsidRPr="00195CAF">
        <w:rPr>
          <w:rFonts w:asciiTheme="minorHAnsi" w:hAnsiTheme="minorHAnsi" w:cstheme="minorHAnsi"/>
        </w:rPr>
        <w:t>State or local health department</w:t>
      </w:r>
    </w:p>
    <w:p w14:paraId="6F05B9D1" w14:textId="77777777" w:rsidR="00D7754B" w:rsidRPr="00195CAF" w:rsidRDefault="00D7754B" w:rsidP="00D7754B">
      <w:pPr>
        <w:numPr>
          <w:ilvl w:val="2"/>
          <w:numId w:val="19"/>
        </w:numPr>
        <w:spacing w:after="0" w:line="240" w:lineRule="auto"/>
        <w:contextualSpacing/>
        <w:rPr>
          <w:rFonts w:asciiTheme="minorHAnsi" w:hAnsiTheme="minorHAnsi" w:cstheme="minorHAnsi"/>
        </w:rPr>
      </w:pPr>
      <w:r w:rsidRPr="00195CAF">
        <w:rPr>
          <w:rFonts w:asciiTheme="minorHAnsi" w:hAnsiTheme="minorHAnsi" w:cstheme="minorHAnsi"/>
        </w:rPr>
        <w:t>Department of Homeland Security</w:t>
      </w:r>
    </w:p>
    <w:p w14:paraId="49B679A4" w14:textId="77777777" w:rsidR="00D7754B" w:rsidRPr="00195CAF" w:rsidRDefault="00D7754B" w:rsidP="00D7754B">
      <w:pPr>
        <w:numPr>
          <w:ilvl w:val="2"/>
          <w:numId w:val="19"/>
        </w:numPr>
        <w:spacing w:after="0" w:line="240" w:lineRule="auto"/>
        <w:contextualSpacing/>
        <w:rPr>
          <w:rFonts w:asciiTheme="minorHAnsi" w:hAnsiTheme="minorHAnsi" w:cstheme="minorHAnsi"/>
        </w:rPr>
      </w:pPr>
      <w:r w:rsidRPr="00195CAF">
        <w:rPr>
          <w:rFonts w:asciiTheme="minorHAnsi" w:hAnsiTheme="minorHAnsi" w:cstheme="minorHAnsi"/>
        </w:rPr>
        <w:t>State or local emergency management agency</w:t>
      </w:r>
    </w:p>
    <w:p w14:paraId="78656603" w14:textId="77777777" w:rsidR="00D7754B" w:rsidRPr="00195CAF" w:rsidRDefault="00D7754B" w:rsidP="00D7754B">
      <w:pPr>
        <w:numPr>
          <w:ilvl w:val="2"/>
          <w:numId w:val="19"/>
        </w:numPr>
        <w:spacing w:after="0" w:line="240" w:lineRule="auto"/>
        <w:contextualSpacing/>
        <w:rPr>
          <w:rFonts w:asciiTheme="minorHAnsi" w:hAnsiTheme="minorHAnsi" w:cstheme="minorHAnsi"/>
        </w:rPr>
      </w:pPr>
      <w:r w:rsidRPr="00195CAF">
        <w:rPr>
          <w:rFonts w:asciiTheme="minorHAnsi" w:hAnsiTheme="minorHAnsi" w:cstheme="minorHAnsi"/>
        </w:rPr>
        <w:t>Nuclear power plant, Radiation Safety Officer, health physicist or other radiation-related occupation</w:t>
      </w:r>
    </w:p>
    <w:p w14:paraId="65076E55" w14:textId="77777777" w:rsidR="00F9552A" w:rsidRPr="00195CAF" w:rsidRDefault="00F9552A" w:rsidP="00F9552A">
      <w:pPr>
        <w:spacing w:after="0" w:line="240" w:lineRule="auto"/>
        <w:contextualSpacing/>
        <w:rPr>
          <w:rFonts w:asciiTheme="minorHAnsi" w:hAnsiTheme="minorHAnsi" w:cstheme="minorHAnsi"/>
        </w:rPr>
      </w:pPr>
    </w:p>
    <w:p w14:paraId="6920ACA3" w14:textId="77777777" w:rsidR="00F9552A" w:rsidRPr="00195CAF" w:rsidRDefault="00F9552A" w:rsidP="00F9552A">
      <w:pPr>
        <w:spacing w:after="0" w:line="240" w:lineRule="auto"/>
        <w:contextualSpacing/>
        <w:rPr>
          <w:rFonts w:asciiTheme="minorHAnsi" w:hAnsiTheme="minorHAnsi" w:cstheme="minorHAnsi"/>
        </w:rPr>
      </w:pPr>
    </w:p>
    <w:p w14:paraId="258BC96D" w14:textId="77777777" w:rsidR="00F9552A" w:rsidRPr="00195CAF" w:rsidRDefault="00F9552A" w:rsidP="00F9552A">
      <w:pPr>
        <w:spacing w:after="0" w:line="240" w:lineRule="auto"/>
        <w:rPr>
          <w:rFonts w:asciiTheme="minorHAnsi" w:hAnsiTheme="minorHAnsi" w:cstheme="minorHAnsi"/>
        </w:rPr>
      </w:pPr>
      <w:r w:rsidRPr="00195CAF">
        <w:rPr>
          <w:rFonts w:asciiTheme="minorHAnsi" w:hAnsiTheme="minorHAnsi" w:cstheme="minorHAnsi"/>
          <w:b/>
          <w:iCs/>
        </w:rPr>
        <w:t>Recruitment:</w:t>
      </w:r>
      <w:r w:rsidRPr="00195CAF">
        <w:rPr>
          <w:rFonts w:asciiTheme="minorHAnsi" w:hAnsiTheme="minorHAnsi" w:cstheme="minorHAnsi"/>
          <w:i/>
          <w:iCs/>
        </w:rPr>
        <w:t xml:space="preserve"> </w:t>
      </w:r>
      <w:r w:rsidRPr="00195CAF">
        <w:rPr>
          <w:rFonts w:asciiTheme="minorHAnsi" w:hAnsiTheme="minorHAnsi" w:cstheme="minorHAnsi"/>
        </w:rPr>
        <w:t xml:space="preserve">The focus group facility will utilize their existing database to retrieve names of potential participants. </w:t>
      </w:r>
      <w:r w:rsidR="00D7754B" w:rsidRPr="00195CAF">
        <w:rPr>
          <w:rFonts w:asciiTheme="minorHAnsi" w:hAnsiTheme="minorHAnsi" w:cstheme="minorHAnsi"/>
        </w:rPr>
        <w:t xml:space="preserve">Eight </w:t>
      </w:r>
      <w:r w:rsidRPr="00195CAF">
        <w:rPr>
          <w:rFonts w:asciiTheme="minorHAnsi" w:hAnsiTheme="minorHAnsi" w:cstheme="minorHAnsi"/>
        </w:rPr>
        <w:t xml:space="preserve">participants will be recruited to seat </w:t>
      </w:r>
      <w:r w:rsidR="00D7754B" w:rsidRPr="00195CAF">
        <w:rPr>
          <w:rFonts w:asciiTheme="minorHAnsi" w:hAnsiTheme="minorHAnsi" w:cstheme="minorHAnsi"/>
        </w:rPr>
        <w:t>six to eight participants</w:t>
      </w:r>
      <w:r w:rsidRPr="00195CAF">
        <w:rPr>
          <w:rFonts w:asciiTheme="minorHAnsi" w:hAnsiTheme="minorHAnsi" w:cstheme="minorHAnsi"/>
        </w:rPr>
        <w:t xml:space="preserve"> in each session. These individuals will be screened using the screening questionnaire through telephone interviews to ensure they meet the screening criteria. The facilities will submit their list of recruits for final acceptance of each participant. Participation will be strictly voluntary. Prior to participating in the group discussion, respondents will be </w:t>
      </w:r>
      <w:r w:rsidR="00D7754B" w:rsidRPr="00195CAF">
        <w:rPr>
          <w:rFonts w:asciiTheme="minorHAnsi" w:hAnsiTheme="minorHAnsi" w:cstheme="minorHAnsi"/>
        </w:rPr>
        <w:t>given a participant information sheet</w:t>
      </w:r>
      <w:r w:rsidRPr="00195CAF">
        <w:rPr>
          <w:rFonts w:asciiTheme="minorHAnsi" w:hAnsiTheme="minorHAnsi" w:cstheme="minorHAnsi"/>
        </w:rPr>
        <w:t xml:space="preserve">. All participants who agree to participate in the focus groups will be given a copy of the </w:t>
      </w:r>
      <w:r w:rsidR="00D7754B" w:rsidRPr="00195CAF">
        <w:rPr>
          <w:rFonts w:asciiTheme="minorHAnsi" w:hAnsiTheme="minorHAnsi" w:cstheme="minorHAnsi"/>
        </w:rPr>
        <w:t>participant sheet</w:t>
      </w:r>
      <w:r w:rsidRPr="00195CAF">
        <w:rPr>
          <w:rFonts w:asciiTheme="minorHAnsi" w:hAnsiTheme="minorHAnsi" w:cstheme="minorHAnsi"/>
        </w:rPr>
        <w:t xml:space="preserve"> to retain for their records.  </w:t>
      </w:r>
    </w:p>
    <w:p w14:paraId="7EBB16C3" w14:textId="77777777" w:rsidR="00F9552A" w:rsidRPr="00195CAF" w:rsidRDefault="00F9552A" w:rsidP="00F9552A">
      <w:pPr>
        <w:spacing w:after="0" w:line="240" w:lineRule="auto"/>
        <w:rPr>
          <w:rFonts w:asciiTheme="minorHAnsi" w:hAnsiTheme="minorHAnsi" w:cstheme="minorHAnsi"/>
        </w:rPr>
      </w:pPr>
    </w:p>
    <w:p w14:paraId="621A9B02" w14:textId="654DCC32" w:rsidR="00A634D6" w:rsidRPr="008756D5" w:rsidRDefault="00A634D6" w:rsidP="008756D5">
      <w:pPr>
        <w:spacing w:after="0"/>
        <w:rPr>
          <w:rFonts w:asciiTheme="minorHAnsi" w:hAnsiTheme="minorHAnsi"/>
          <w:b/>
        </w:rPr>
      </w:pPr>
      <w:r w:rsidRPr="008756D5">
        <w:rPr>
          <w:rFonts w:asciiTheme="minorHAnsi" w:hAnsiTheme="minorHAnsi"/>
          <w:b/>
        </w:rPr>
        <w:t xml:space="preserve">Determining </w:t>
      </w:r>
      <w:r w:rsidR="00FF14C6" w:rsidRPr="008756D5">
        <w:rPr>
          <w:rFonts w:asciiTheme="minorHAnsi" w:hAnsiTheme="minorHAnsi"/>
          <w:b/>
        </w:rPr>
        <w:t xml:space="preserve">Tokens of Appreciation </w:t>
      </w:r>
      <w:r w:rsidRPr="008756D5">
        <w:rPr>
          <w:rFonts w:asciiTheme="minorHAnsi" w:hAnsiTheme="minorHAnsi"/>
          <w:b/>
        </w:rPr>
        <w:t>to Focus Group Participants</w:t>
      </w:r>
      <w:r w:rsidR="00195CAF" w:rsidRPr="00195CAF">
        <w:rPr>
          <w:rFonts w:asciiTheme="minorHAnsi" w:hAnsiTheme="minorHAnsi" w:cstheme="minorHAnsi"/>
          <w:b/>
        </w:rPr>
        <w:t xml:space="preserve">: </w:t>
      </w:r>
      <w:r w:rsidR="00406B3C" w:rsidRPr="008756D5">
        <w:rPr>
          <w:rFonts w:asciiTheme="minorHAnsi" w:hAnsiTheme="minorHAnsi"/>
        </w:rPr>
        <w:t>Gift cards are offered a</w:t>
      </w:r>
      <w:r w:rsidRPr="008756D5">
        <w:rPr>
          <w:rFonts w:asciiTheme="minorHAnsi" w:hAnsiTheme="minorHAnsi"/>
        </w:rPr>
        <w:t xml:space="preserve">s a token of appreciation for </w:t>
      </w:r>
      <w:r w:rsidR="000A3AE9" w:rsidRPr="008756D5">
        <w:rPr>
          <w:rFonts w:asciiTheme="minorHAnsi" w:hAnsiTheme="minorHAnsi"/>
        </w:rPr>
        <w:t xml:space="preserve">focus group </w:t>
      </w:r>
      <w:r w:rsidRPr="008756D5">
        <w:rPr>
          <w:rFonts w:asciiTheme="minorHAnsi" w:hAnsiTheme="minorHAnsi"/>
        </w:rPr>
        <w:t xml:space="preserve">participants’ </w:t>
      </w:r>
      <w:r w:rsidR="00F20EE9" w:rsidRPr="008756D5">
        <w:rPr>
          <w:rFonts w:asciiTheme="minorHAnsi" w:hAnsiTheme="minorHAnsi"/>
        </w:rPr>
        <w:t>willingness to engage in</w:t>
      </w:r>
      <w:r w:rsidRPr="008756D5">
        <w:rPr>
          <w:rFonts w:asciiTheme="minorHAnsi" w:hAnsiTheme="minorHAnsi"/>
        </w:rPr>
        <w:t xml:space="preserve"> the project. </w:t>
      </w:r>
      <w:r w:rsidR="00D152C1" w:rsidRPr="008756D5">
        <w:rPr>
          <w:rFonts w:asciiTheme="minorHAnsi" w:hAnsiTheme="minorHAnsi"/>
        </w:rPr>
        <w:t>The monetary a</w:t>
      </w:r>
      <w:r w:rsidRPr="008756D5">
        <w:rPr>
          <w:rFonts w:asciiTheme="minorHAnsi" w:hAnsiTheme="minorHAnsi"/>
        </w:rPr>
        <w:t>mount</w:t>
      </w:r>
      <w:r w:rsidR="00D152C1" w:rsidRPr="008756D5">
        <w:rPr>
          <w:rFonts w:asciiTheme="minorHAnsi" w:hAnsiTheme="minorHAnsi"/>
        </w:rPr>
        <w:t xml:space="preserve"> offered</w:t>
      </w:r>
      <w:r w:rsidR="005A558B" w:rsidRPr="008756D5">
        <w:rPr>
          <w:rFonts w:asciiTheme="minorHAnsi" w:hAnsiTheme="minorHAnsi"/>
        </w:rPr>
        <w:t>, $40 per participant,</w:t>
      </w:r>
      <w:r w:rsidR="00D152C1" w:rsidRPr="008756D5">
        <w:rPr>
          <w:rFonts w:asciiTheme="minorHAnsi" w:hAnsiTheme="minorHAnsi"/>
        </w:rPr>
        <w:t xml:space="preserve"> is</w:t>
      </w:r>
      <w:r w:rsidRPr="008756D5">
        <w:rPr>
          <w:rFonts w:asciiTheme="minorHAnsi" w:hAnsiTheme="minorHAnsi"/>
        </w:rPr>
        <w:t xml:space="preserve"> impacted by a number of variables for this project, including the following: </w:t>
      </w:r>
    </w:p>
    <w:p w14:paraId="31B97A83" w14:textId="77777777" w:rsidR="00A634D6" w:rsidRPr="008756D5" w:rsidRDefault="00A634D6" w:rsidP="00A634D6">
      <w:pPr>
        <w:numPr>
          <w:ilvl w:val="0"/>
          <w:numId w:val="8"/>
        </w:numPr>
        <w:spacing w:after="0" w:line="240" w:lineRule="auto"/>
        <w:rPr>
          <w:rFonts w:asciiTheme="minorHAnsi" w:hAnsiTheme="minorHAnsi"/>
        </w:rPr>
      </w:pPr>
      <w:r w:rsidRPr="008756D5">
        <w:rPr>
          <w:rFonts w:asciiTheme="minorHAnsi" w:hAnsiTheme="minorHAnsi"/>
        </w:rPr>
        <w:t xml:space="preserve">Total participation time of 1.5 hours: length of the focus group </w:t>
      </w:r>
    </w:p>
    <w:p w14:paraId="339DC4D0" w14:textId="0AD82CB4" w:rsidR="005A558B" w:rsidRPr="008756D5" w:rsidRDefault="00A634D6" w:rsidP="00A634D6">
      <w:pPr>
        <w:numPr>
          <w:ilvl w:val="0"/>
          <w:numId w:val="8"/>
        </w:numPr>
        <w:spacing w:after="0" w:line="240" w:lineRule="auto"/>
        <w:rPr>
          <w:rFonts w:asciiTheme="minorHAnsi" w:hAnsiTheme="minorHAnsi"/>
        </w:rPr>
      </w:pPr>
      <w:r w:rsidRPr="008756D5">
        <w:rPr>
          <w:rFonts w:asciiTheme="minorHAnsi" w:hAnsiTheme="minorHAnsi"/>
        </w:rPr>
        <w:t>Specifications that each participant has to meet to participate in the study</w:t>
      </w:r>
    </w:p>
    <w:p w14:paraId="46943581" w14:textId="77777777" w:rsidR="00A634D6" w:rsidRPr="008756D5" w:rsidRDefault="005A558B" w:rsidP="00A634D6">
      <w:pPr>
        <w:numPr>
          <w:ilvl w:val="0"/>
          <w:numId w:val="8"/>
        </w:numPr>
        <w:spacing w:after="0" w:line="240" w:lineRule="auto"/>
        <w:rPr>
          <w:rFonts w:asciiTheme="minorHAnsi" w:hAnsiTheme="minorHAnsi"/>
        </w:rPr>
      </w:pPr>
      <w:r w:rsidRPr="008756D5">
        <w:rPr>
          <w:rFonts w:asciiTheme="minorHAnsi" w:hAnsiTheme="minorHAnsi"/>
        </w:rPr>
        <w:t>Recommendations from the market research facilities</w:t>
      </w:r>
    </w:p>
    <w:p w14:paraId="3ED57CD1" w14:textId="77777777" w:rsidR="00A634D6" w:rsidRPr="008756D5" w:rsidRDefault="00A634D6" w:rsidP="00A634D6">
      <w:pPr>
        <w:spacing w:after="0" w:line="240" w:lineRule="auto"/>
        <w:ind w:left="1080"/>
        <w:rPr>
          <w:rFonts w:asciiTheme="minorHAnsi" w:hAnsiTheme="minorHAnsi"/>
        </w:rPr>
      </w:pPr>
    </w:p>
    <w:p w14:paraId="1F22276F" w14:textId="5D36C715" w:rsidR="005A558B" w:rsidRPr="008756D5" w:rsidRDefault="00A634D6" w:rsidP="00BF5F87">
      <w:pPr>
        <w:rPr>
          <w:rFonts w:asciiTheme="minorHAnsi" w:hAnsiTheme="minorHAnsi"/>
        </w:rPr>
      </w:pPr>
      <w:r w:rsidRPr="008756D5">
        <w:rPr>
          <w:rFonts w:asciiTheme="minorHAnsi" w:hAnsiTheme="minorHAnsi"/>
        </w:rPr>
        <w:t xml:space="preserve">Gift cards are neutral (not connected with a company, service or product) and have universal utility. It is usually more cost-effective and efficient to offer a monetary </w:t>
      </w:r>
      <w:r w:rsidR="00406B3C" w:rsidRPr="008756D5">
        <w:rPr>
          <w:rFonts w:asciiTheme="minorHAnsi" w:hAnsiTheme="minorHAnsi"/>
        </w:rPr>
        <w:t>token of appreciation</w:t>
      </w:r>
      <w:r w:rsidR="000A3AE9" w:rsidRPr="008756D5">
        <w:rPr>
          <w:rFonts w:asciiTheme="minorHAnsi" w:hAnsiTheme="minorHAnsi"/>
        </w:rPr>
        <w:t xml:space="preserve">, </w:t>
      </w:r>
      <w:r w:rsidRPr="008756D5">
        <w:rPr>
          <w:rFonts w:asciiTheme="minorHAnsi" w:hAnsiTheme="minorHAnsi"/>
        </w:rPr>
        <w:t xml:space="preserve">attractive by the participant, </w:t>
      </w:r>
      <w:r w:rsidR="000A3AE9" w:rsidRPr="008756D5">
        <w:rPr>
          <w:rFonts w:asciiTheme="minorHAnsi" w:hAnsiTheme="minorHAnsi"/>
        </w:rPr>
        <w:t>to</w:t>
      </w:r>
      <w:r w:rsidRPr="008756D5">
        <w:rPr>
          <w:rFonts w:asciiTheme="minorHAnsi" w:hAnsiTheme="minorHAnsi"/>
        </w:rPr>
        <w:t xml:space="preserve"> mitigate the cost of the recruit</w:t>
      </w:r>
      <w:r w:rsidR="00B357E0" w:rsidRPr="008756D5">
        <w:rPr>
          <w:rFonts w:asciiTheme="minorHAnsi" w:hAnsiTheme="minorHAnsi"/>
        </w:rPr>
        <w:t>ment</w:t>
      </w:r>
      <w:r w:rsidRPr="008756D5">
        <w:rPr>
          <w:rFonts w:asciiTheme="minorHAnsi" w:hAnsiTheme="minorHAnsi"/>
        </w:rPr>
        <w:t>.</w:t>
      </w:r>
      <w:r w:rsidR="00F20EE9" w:rsidRPr="008756D5">
        <w:rPr>
          <w:rFonts w:asciiTheme="minorHAnsi" w:hAnsiTheme="minorHAnsi"/>
        </w:rPr>
        <w:t xml:space="preserve"> </w:t>
      </w:r>
      <w:r w:rsidRPr="008756D5">
        <w:rPr>
          <w:rFonts w:asciiTheme="minorHAnsi" w:hAnsiTheme="minorHAnsi"/>
        </w:rPr>
        <w:t>The amount need</w:t>
      </w:r>
      <w:r w:rsidR="00FF14C6" w:rsidRPr="008756D5">
        <w:rPr>
          <w:rFonts w:asciiTheme="minorHAnsi" w:hAnsiTheme="minorHAnsi"/>
        </w:rPr>
        <w:t>s</w:t>
      </w:r>
      <w:r w:rsidRPr="008756D5">
        <w:rPr>
          <w:rFonts w:asciiTheme="minorHAnsi" w:hAnsiTheme="minorHAnsi"/>
        </w:rPr>
        <w:t xml:space="preserve"> to be high enough that participants feel like it is worth their time to participate and cannot be so low that participants perceive their time and candid responses are under-valued. Likewise, incentives cannot be so high that participants become skeptical as to the intention of the focus group. </w:t>
      </w:r>
    </w:p>
    <w:p w14:paraId="7C4F8811" w14:textId="1F069256" w:rsidR="00BF5F87" w:rsidRPr="008756D5" w:rsidRDefault="005A558B" w:rsidP="00A634D6">
      <w:pPr>
        <w:spacing w:after="0"/>
        <w:rPr>
          <w:rFonts w:asciiTheme="minorHAnsi" w:hAnsiTheme="minorHAnsi"/>
        </w:rPr>
      </w:pPr>
      <w:r w:rsidRPr="008756D5">
        <w:rPr>
          <w:rFonts w:asciiTheme="minorHAnsi" w:hAnsiTheme="minorHAnsi"/>
        </w:rPr>
        <w:t>In our experience, it is most cost effective to offer the recruiter-recommended amount</w:t>
      </w:r>
      <w:r w:rsidR="003507EA" w:rsidRPr="008756D5">
        <w:rPr>
          <w:rFonts w:asciiTheme="minorHAnsi" w:hAnsiTheme="minorHAnsi"/>
        </w:rPr>
        <w:t>, which results</w:t>
      </w:r>
      <w:r w:rsidRPr="008756D5">
        <w:rPr>
          <w:rFonts w:asciiTheme="minorHAnsi" w:hAnsiTheme="minorHAnsi"/>
        </w:rPr>
        <w:t xml:space="preserve"> in</w:t>
      </w:r>
      <w:r w:rsidR="003507EA" w:rsidRPr="008756D5">
        <w:rPr>
          <w:rFonts w:asciiTheme="minorHAnsi" w:hAnsiTheme="minorHAnsi"/>
        </w:rPr>
        <w:t xml:space="preserve"> a better show rate</w:t>
      </w:r>
      <w:r w:rsidRPr="008756D5">
        <w:rPr>
          <w:rFonts w:asciiTheme="minorHAnsi" w:hAnsiTheme="minorHAnsi"/>
        </w:rPr>
        <w:t xml:space="preserve"> and lower recruiting fees. Recruiters from the market research facilities know from experience what various market segments expect to receive. </w:t>
      </w:r>
      <w:r w:rsidR="00A634D6" w:rsidRPr="008756D5">
        <w:rPr>
          <w:rFonts w:asciiTheme="minorHAnsi" w:hAnsiTheme="minorHAnsi"/>
        </w:rPr>
        <w:t xml:space="preserve">Recruiters </w:t>
      </w:r>
      <w:r w:rsidR="003257D5" w:rsidRPr="008756D5">
        <w:rPr>
          <w:rFonts w:asciiTheme="minorHAnsi" w:hAnsiTheme="minorHAnsi"/>
        </w:rPr>
        <w:t>will be paid solely for the length of time required to recruit participants.</w:t>
      </w:r>
      <w:r w:rsidRPr="008756D5">
        <w:rPr>
          <w:rFonts w:asciiTheme="minorHAnsi" w:hAnsiTheme="minorHAnsi"/>
        </w:rPr>
        <w:t xml:space="preserve"> They will</w:t>
      </w:r>
      <w:r w:rsidR="003257D5" w:rsidRPr="008756D5">
        <w:rPr>
          <w:rFonts w:asciiTheme="minorHAnsi" w:hAnsiTheme="minorHAnsi"/>
        </w:rPr>
        <w:t xml:space="preserve"> </w:t>
      </w:r>
      <w:r w:rsidR="00A634D6" w:rsidRPr="008756D5">
        <w:rPr>
          <w:rFonts w:asciiTheme="minorHAnsi" w:hAnsiTheme="minorHAnsi"/>
        </w:rPr>
        <w:t xml:space="preserve">have no monetary </w:t>
      </w:r>
      <w:r w:rsidRPr="008756D5">
        <w:rPr>
          <w:rFonts w:asciiTheme="minorHAnsi" w:hAnsiTheme="minorHAnsi"/>
        </w:rPr>
        <w:t>gain</w:t>
      </w:r>
      <w:r w:rsidR="00A634D6" w:rsidRPr="008756D5">
        <w:rPr>
          <w:rFonts w:asciiTheme="minorHAnsi" w:hAnsiTheme="minorHAnsi"/>
        </w:rPr>
        <w:t xml:space="preserve"> </w:t>
      </w:r>
      <w:r w:rsidR="00730798" w:rsidRPr="008756D5">
        <w:rPr>
          <w:rFonts w:asciiTheme="minorHAnsi" w:hAnsiTheme="minorHAnsi"/>
        </w:rPr>
        <w:t>based on the recommended dollar amount</w:t>
      </w:r>
      <w:r w:rsidR="00A634D6" w:rsidRPr="008756D5">
        <w:rPr>
          <w:rFonts w:asciiTheme="minorHAnsi" w:hAnsiTheme="minorHAnsi"/>
        </w:rPr>
        <w:t xml:space="preserve"> </w:t>
      </w:r>
      <w:r w:rsidR="00730798" w:rsidRPr="008756D5">
        <w:rPr>
          <w:rFonts w:asciiTheme="minorHAnsi" w:hAnsiTheme="minorHAnsi"/>
        </w:rPr>
        <w:t>of the gift card</w:t>
      </w:r>
      <w:r w:rsidRPr="008756D5">
        <w:rPr>
          <w:rFonts w:asciiTheme="minorHAnsi" w:hAnsiTheme="minorHAnsi"/>
        </w:rPr>
        <w:t>.</w:t>
      </w:r>
    </w:p>
    <w:p w14:paraId="4366F5BF" w14:textId="77777777" w:rsidR="00A634D6" w:rsidRPr="008756D5" w:rsidRDefault="00A634D6" w:rsidP="008756D5">
      <w:pPr>
        <w:spacing w:after="0" w:line="240" w:lineRule="auto"/>
        <w:rPr>
          <w:rFonts w:asciiTheme="minorHAnsi" w:hAnsiTheme="minorHAnsi"/>
          <w:b/>
        </w:rPr>
      </w:pPr>
    </w:p>
    <w:p w14:paraId="6F10B17D" w14:textId="77777777" w:rsidR="00A634D6" w:rsidRPr="008756D5" w:rsidRDefault="00F9552A" w:rsidP="008756D5">
      <w:pPr>
        <w:spacing w:after="0" w:line="240" w:lineRule="auto"/>
        <w:rPr>
          <w:rFonts w:asciiTheme="minorHAnsi" w:hAnsiTheme="minorHAnsi"/>
        </w:rPr>
      </w:pPr>
      <w:r w:rsidRPr="00195CAF">
        <w:rPr>
          <w:rFonts w:asciiTheme="minorHAnsi" w:hAnsiTheme="minorHAnsi" w:cstheme="minorHAnsi"/>
          <w:b/>
        </w:rPr>
        <w:t xml:space="preserve">Focus Groups: </w:t>
      </w:r>
      <w:r w:rsidRPr="00195CAF">
        <w:rPr>
          <w:rFonts w:asciiTheme="minorHAnsi" w:hAnsiTheme="minorHAnsi" w:cstheme="minorHAnsi"/>
        </w:rPr>
        <w:t>We anticipate the focus groups will last no longer than 90 minutes. A professional moderator will facilitate the focus groups. The focus groups will be audio recorded and transcribed. CDC staff and other key representatives may observe the focus groups on site in an observation room and/or</w:t>
      </w:r>
      <w:r w:rsidR="005A7FF0" w:rsidRPr="00195CAF">
        <w:rPr>
          <w:rFonts w:asciiTheme="minorHAnsi" w:hAnsiTheme="minorHAnsi" w:cstheme="minorHAnsi"/>
        </w:rPr>
        <w:t xml:space="preserve"> by live-video streaming</w:t>
      </w:r>
      <w:r w:rsidR="00195CAF" w:rsidRPr="00195CAF">
        <w:rPr>
          <w:rFonts w:asciiTheme="minorHAnsi" w:hAnsiTheme="minorHAnsi" w:cstheme="minorHAnsi"/>
        </w:rPr>
        <w:t>.</w:t>
      </w:r>
      <w:r w:rsidR="00A634D6" w:rsidRPr="008756D5">
        <w:rPr>
          <w:rFonts w:asciiTheme="minorHAnsi" w:hAnsiTheme="minorHAnsi"/>
        </w:rPr>
        <w:t xml:space="preserve"> Facilities will provide two copies of audio recordings of each session.  No videotaping is to be conducted. </w:t>
      </w:r>
    </w:p>
    <w:p w14:paraId="6E760803" w14:textId="77777777" w:rsidR="00FF14C6" w:rsidRPr="008756D5" w:rsidRDefault="00FF14C6" w:rsidP="008756D5">
      <w:pPr>
        <w:spacing w:after="0" w:line="240" w:lineRule="auto"/>
        <w:rPr>
          <w:rFonts w:asciiTheme="minorHAnsi" w:hAnsiTheme="minorHAnsi"/>
          <w:i/>
        </w:rPr>
      </w:pPr>
    </w:p>
    <w:p w14:paraId="411E41D1" w14:textId="77777777" w:rsidR="00F9552A" w:rsidRPr="00195CAF" w:rsidRDefault="00F9552A" w:rsidP="00F9552A">
      <w:pPr>
        <w:spacing w:after="0" w:line="240" w:lineRule="auto"/>
        <w:rPr>
          <w:rFonts w:asciiTheme="minorHAnsi" w:hAnsiTheme="minorHAnsi" w:cstheme="minorHAnsi"/>
        </w:rPr>
      </w:pPr>
      <w:r w:rsidRPr="00195CAF">
        <w:rPr>
          <w:rFonts w:asciiTheme="minorHAnsi" w:hAnsiTheme="minorHAnsi" w:cstheme="minorHAnsi"/>
          <w:b/>
        </w:rPr>
        <w:t xml:space="preserve">Moderator’s Guides: </w:t>
      </w:r>
      <w:r w:rsidRPr="00195CAF">
        <w:rPr>
          <w:rFonts w:asciiTheme="minorHAnsi" w:hAnsiTheme="minorHAnsi" w:cstheme="minorHAnsi"/>
        </w:rPr>
        <w:t xml:space="preserve">Discussion questions will elicit perspectives on the extent to which the Radiation Risk Scale effectively communicates radiation risk. Specific domains include: </w:t>
      </w:r>
    </w:p>
    <w:p w14:paraId="40CFC9F7" w14:textId="77777777" w:rsidR="00F9552A" w:rsidRPr="00195CAF" w:rsidRDefault="00F9552A" w:rsidP="00F9552A">
      <w:pPr>
        <w:numPr>
          <w:ilvl w:val="0"/>
          <w:numId w:val="25"/>
        </w:numPr>
        <w:spacing w:after="0" w:line="240" w:lineRule="auto"/>
        <w:rPr>
          <w:rFonts w:asciiTheme="minorHAnsi" w:hAnsiTheme="minorHAnsi" w:cstheme="minorHAnsi"/>
          <w:b/>
        </w:rPr>
      </w:pPr>
      <w:r w:rsidRPr="00195CAF">
        <w:rPr>
          <w:rFonts w:asciiTheme="minorHAnsi" w:hAnsiTheme="minorHAnsi" w:cstheme="minorHAnsi"/>
        </w:rPr>
        <w:t xml:space="preserve">The relevancy of the Radiation Risk Scale </w:t>
      </w:r>
    </w:p>
    <w:p w14:paraId="7E83D6CD" w14:textId="77777777" w:rsidR="00F9552A" w:rsidRPr="00195CAF" w:rsidRDefault="00F9552A" w:rsidP="00F9552A">
      <w:pPr>
        <w:numPr>
          <w:ilvl w:val="0"/>
          <w:numId w:val="25"/>
        </w:numPr>
        <w:spacing w:after="0" w:line="240" w:lineRule="auto"/>
        <w:rPr>
          <w:rFonts w:asciiTheme="minorHAnsi" w:hAnsiTheme="minorHAnsi" w:cstheme="minorHAnsi"/>
          <w:b/>
        </w:rPr>
      </w:pPr>
      <w:r w:rsidRPr="00195CAF">
        <w:rPr>
          <w:rFonts w:asciiTheme="minorHAnsi" w:hAnsiTheme="minorHAnsi" w:cstheme="minorHAnsi"/>
        </w:rPr>
        <w:t>The comprehensibility of the Radiation Risk Scale</w:t>
      </w:r>
    </w:p>
    <w:p w14:paraId="22D48104" w14:textId="77777777" w:rsidR="00F9552A" w:rsidRPr="00195CAF" w:rsidRDefault="00F9552A" w:rsidP="00F9552A">
      <w:pPr>
        <w:numPr>
          <w:ilvl w:val="0"/>
          <w:numId w:val="25"/>
        </w:numPr>
        <w:spacing w:after="0" w:line="240" w:lineRule="auto"/>
        <w:rPr>
          <w:rFonts w:asciiTheme="minorHAnsi" w:hAnsiTheme="minorHAnsi" w:cstheme="minorHAnsi"/>
          <w:b/>
        </w:rPr>
      </w:pPr>
      <w:r w:rsidRPr="00195CAF">
        <w:rPr>
          <w:rFonts w:asciiTheme="minorHAnsi" w:hAnsiTheme="minorHAnsi" w:cstheme="minorHAnsi"/>
        </w:rPr>
        <w:t>The credibility of the Radiation Risk Scale, and</w:t>
      </w:r>
    </w:p>
    <w:p w14:paraId="4D664ABF" w14:textId="77777777" w:rsidR="005A7FF0" w:rsidRPr="00195CAF" w:rsidRDefault="00F9552A" w:rsidP="00F9552A">
      <w:pPr>
        <w:numPr>
          <w:ilvl w:val="0"/>
          <w:numId w:val="25"/>
        </w:numPr>
        <w:spacing w:after="0" w:line="240" w:lineRule="auto"/>
        <w:rPr>
          <w:rFonts w:asciiTheme="minorHAnsi" w:hAnsiTheme="minorHAnsi" w:cstheme="minorHAnsi"/>
          <w:b/>
        </w:rPr>
      </w:pPr>
      <w:r w:rsidRPr="00195CAF">
        <w:rPr>
          <w:rFonts w:asciiTheme="minorHAnsi" w:hAnsiTheme="minorHAnsi" w:cstheme="minorHAnsi"/>
        </w:rPr>
        <w:t xml:space="preserve">The </w:t>
      </w:r>
      <w:r w:rsidR="005A7FF0" w:rsidRPr="00195CAF">
        <w:rPr>
          <w:rFonts w:asciiTheme="minorHAnsi" w:hAnsiTheme="minorHAnsi" w:cstheme="minorHAnsi"/>
        </w:rPr>
        <w:t>attractiveness of the Radiation Risk Scale</w:t>
      </w:r>
    </w:p>
    <w:p w14:paraId="684E687C" w14:textId="77777777" w:rsidR="00F9552A" w:rsidRPr="00195CAF" w:rsidRDefault="005A7FF0" w:rsidP="00F9552A">
      <w:pPr>
        <w:numPr>
          <w:ilvl w:val="0"/>
          <w:numId w:val="25"/>
        </w:numPr>
        <w:spacing w:after="0" w:line="240" w:lineRule="auto"/>
        <w:rPr>
          <w:rFonts w:asciiTheme="minorHAnsi" w:hAnsiTheme="minorHAnsi" w:cstheme="minorHAnsi"/>
          <w:b/>
        </w:rPr>
      </w:pPr>
      <w:r w:rsidRPr="00195CAF">
        <w:rPr>
          <w:rFonts w:asciiTheme="minorHAnsi" w:hAnsiTheme="minorHAnsi" w:cstheme="minorHAnsi"/>
        </w:rPr>
        <w:t>The</w:t>
      </w:r>
      <w:r w:rsidR="00F9552A" w:rsidRPr="00195CAF">
        <w:rPr>
          <w:rFonts w:asciiTheme="minorHAnsi" w:hAnsiTheme="minorHAnsi" w:cstheme="minorHAnsi"/>
        </w:rPr>
        <w:t xml:space="preserve"> </w:t>
      </w:r>
      <w:r w:rsidRPr="00195CAF">
        <w:rPr>
          <w:rFonts w:asciiTheme="minorHAnsi" w:hAnsiTheme="minorHAnsi" w:cstheme="minorHAnsi"/>
        </w:rPr>
        <w:t xml:space="preserve">motivational aspects of the Radiation Risk Scale. </w:t>
      </w:r>
    </w:p>
    <w:p w14:paraId="230B5ADB" w14:textId="77777777" w:rsidR="00F9552A" w:rsidRPr="00195CAF" w:rsidRDefault="00F9552A" w:rsidP="00195CAF">
      <w:pPr>
        <w:spacing w:after="0" w:line="240" w:lineRule="auto"/>
        <w:rPr>
          <w:rFonts w:asciiTheme="minorHAnsi" w:hAnsiTheme="minorHAnsi" w:cstheme="minorHAnsi"/>
        </w:rPr>
      </w:pPr>
    </w:p>
    <w:p w14:paraId="583BD29E" w14:textId="749F7DBE" w:rsidR="00DC5A0E" w:rsidRPr="008756D5" w:rsidRDefault="00A634D6" w:rsidP="00DC5A0E">
      <w:pPr>
        <w:spacing w:after="0"/>
        <w:rPr>
          <w:rFonts w:asciiTheme="minorHAnsi" w:hAnsiTheme="minorHAnsi"/>
          <w:b/>
        </w:rPr>
      </w:pPr>
      <w:r w:rsidRPr="008756D5">
        <w:rPr>
          <w:rFonts w:asciiTheme="minorHAnsi" w:hAnsiTheme="minorHAnsi"/>
          <w:b/>
        </w:rPr>
        <w:t>Handling of Data and Records</w:t>
      </w:r>
      <w:r w:rsidR="00195CAF" w:rsidRPr="00195CAF">
        <w:rPr>
          <w:rFonts w:asciiTheme="minorHAnsi" w:hAnsiTheme="minorHAnsi" w:cstheme="minorHAnsi"/>
          <w:b/>
        </w:rPr>
        <w:t xml:space="preserve">: </w:t>
      </w:r>
      <w:r w:rsidR="00DC5A0E" w:rsidRPr="008756D5">
        <w:rPr>
          <w:rFonts w:asciiTheme="minorHAnsi" w:hAnsiTheme="minorHAnsi"/>
        </w:rPr>
        <w:t>Facilities will provide only the qualifications for screening criteria</w:t>
      </w:r>
      <w:r w:rsidR="003D12F1" w:rsidRPr="008756D5">
        <w:rPr>
          <w:rFonts w:asciiTheme="minorHAnsi" w:hAnsiTheme="minorHAnsi"/>
        </w:rPr>
        <w:t xml:space="preserve"> to </w:t>
      </w:r>
      <w:r w:rsidR="00FF14C6" w:rsidRPr="008756D5">
        <w:rPr>
          <w:rFonts w:asciiTheme="minorHAnsi" w:hAnsiTheme="minorHAnsi"/>
        </w:rPr>
        <w:t xml:space="preserve">ORISE personnel. </w:t>
      </w:r>
      <w:r w:rsidR="00746679" w:rsidRPr="008756D5">
        <w:rPr>
          <w:rFonts w:asciiTheme="minorHAnsi" w:hAnsiTheme="minorHAnsi"/>
        </w:rPr>
        <w:t xml:space="preserve"> </w:t>
      </w:r>
      <w:r w:rsidR="00FF14C6" w:rsidRPr="008756D5">
        <w:rPr>
          <w:rFonts w:asciiTheme="minorHAnsi" w:hAnsiTheme="minorHAnsi"/>
        </w:rPr>
        <w:t>The moderator will keep the first name only during the focus group, and will not deliver names - first or last – to ORISE or CDC. First name and last name will be stripped from records sent to ORISE.</w:t>
      </w:r>
      <w:r w:rsidR="00B70F01" w:rsidRPr="008756D5">
        <w:rPr>
          <w:rFonts w:asciiTheme="minorHAnsi" w:hAnsiTheme="minorHAnsi"/>
        </w:rPr>
        <w:t xml:space="preserve"> </w:t>
      </w:r>
      <w:r w:rsidR="00DC5A0E" w:rsidRPr="008756D5">
        <w:rPr>
          <w:rFonts w:asciiTheme="minorHAnsi" w:hAnsiTheme="minorHAnsi"/>
        </w:rPr>
        <w:t>No personal identifiers (e.g., last name, last initial, address, completed screening instruments) are to be provided to ORISE</w:t>
      </w:r>
      <w:r w:rsidR="003507EA" w:rsidRPr="008756D5">
        <w:rPr>
          <w:rFonts w:asciiTheme="minorHAnsi" w:hAnsiTheme="minorHAnsi"/>
        </w:rPr>
        <w:t xml:space="preserve"> or CDC</w:t>
      </w:r>
      <w:r w:rsidR="00B70F01" w:rsidRPr="008756D5">
        <w:rPr>
          <w:rFonts w:asciiTheme="minorHAnsi" w:hAnsiTheme="minorHAnsi"/>
        </w:rPr>
        <w:t>.</w:t>
      </w:r>
    </w:p>
    <w:p w14:paraId="0A0BC9AC" w14:textId="77777777" w:rsidR="00DC5A0E" w:rsidRPr="008756D5" w:rsidRDefault="00DC5A0E" w:rsidP="00A634D6">
      <w:pPr>
        <w:pStyle w:val="a"/>
        <w:tabs>
          <w:tab w:val="left" w:pos="-1440"/>
        </w:tabs>
        <w:ind w:left="0" w:firstLine="0"/>
        <w:rPr>
          <w:rFonts w:asciiTheme="minorHAnsi" w:eastAsia="Calibri" w:hAnsiTheme="minorHAnsi"/>
          <w:sz w:val="22"/>
        </w:rPr>
      </w:pPr>
    </w:p>
    <w:p w14:paraId="01448FE6" w14:textId="77777777" w:rsidR="00A634D6" w:rsidRPr="008756D5" w:rsidRDefault="00A634D6" w:rsidP="00A634D6">
      <w:pPr>
        <w:pStyle w:val="a"/>
        <w:tabs>
          <w:tab w:val="left" w:pos="-1440"/>
        </w:tabs>
        <w:ind w:left="0" w:firstLine="0"/>
        <w:rPr>
          <w:rFonts w:asciiTheme="minorHAnsi" w:hAnsiTheme="minorHAnsi"/>
          <w:sz w:val="22"/>
        </w:rPr>
      </w:pPr>
      <w:r w:rsidRPr="008756D5">
        <w:rPr>
          <w:rFonts w:asciiTheme="minorHAnsi" w:eastAsia="Calibri" w:hAnsiTheme="minorHAnsi"/>
          <w:sz w:val="22"/>
        </w:rPr>
        <w:t>ORISE will m</w:t>
      </w:r>
      <w:r w:rsidRPr="008756D5">
        <w:rPr>
          <w:rFonts w:asciiTheme="minorHAnsi" w:hAnsiTheme="minorHAnsi"/>
          <w:sz w:val="22"/>
        </w:rPr>
        <w:t>aintain no identifiers connecting any data collected to any particular respondent; neither will it provide any personal identifiers to CDC or others.  Firms which conduct recruiting and host sessions will be required to not provide personal identifiers to ORISE or CDC.</w:t>
      </w:r>
    </w:p>
    <w:p w14:paraId="3E5117D0" w14:textId="77777777" w:rsidR="00A634D6" w:rsidRPr="008756D5" w:rsidRDefault="00A634D6" w:rsidP="00A634D6">
      <w:pPr>
        <w:pStyle w:val="a"/>
        <w:tabs>
          <w:tab w:val="left" w:pos="-1440"/>
        </w:tabs>
        <w:ind w:left="0" w:firstLine="0"/>
        <w:rPr>
          <w:rFonts w:asciiTheme="minorHAnsi" w:hAnsiTheme="minorHAnsi"/>
          <w:sz w:val="22"/>
        </w:rPr>
      </w:pPr>
    </w:p>
    <w:p w14:paraId="480B5550" w14:textId="77777777" w:rsidR="00A634D6" w:rsidRPr="008756D5" w:rsidRDefault="00A634D6" w:rsidP="00A634D6">
      <w:pPr>
        <w:pStyle w:val="a"/>
        <w:tabs>
          <w:tab w:val="left" w:pos="-1440"/>
        </w:tabs>
        <w:ind w:left="0" w:firstLine="0"/>
        <w:rPr>
          <w:rFonts w:asciiTheme="minorHAnsi" w:hAnsiTheme="minorHAnsi"/>
          <w:sz w:val="22"/>
        </w:rPr>
      </w:pPr>
      <w:r w:rsidRPr="008756D5">
        <w:rPr>
          <w:rFonts w:asciiTheme="minorHAnsi" w:hAnsiTheme="minorHAnsi"/>
          <w:sz w:val="22"/>
        </w:rPr>
        <w:t>Additionally, ORISE will:</w:t>
      </w:r>
    </w:p>
    <w:p w14:paraId="75D4BFB1" w14:textId="77777777" w:rsidR="00A634D6" w:rsidRPr="008756D5" w:rsidRDefault="00A634D6" w:rsidP="00A634D6">
      <w:pPr>
        <w:pStyle w:val="a"/>
        <w:numPr>
          <w:ilvl w:val="0"/>
          <w:numId w:val="6"/>
        </w:numPr>
        <w:tabs>
          <w:tab w:val="left" w:pos="-1440"/>
        </w:tabs>
        <w:rPr>
          <w:rFonts w:asciiTheme="minorHAnsi" w:hAnsiTheme="minorHAnsi"/>
          <w:sz w:val="22"/>
        </w:rPr>
      </w:pPr>
      <w:r w:rsidRPr="008756D5">
        <w:rPr>
          <w:rFonts w:asciiTheme="minorHAnsi" w:hAnsiTheme="minorHAnsi"/>
          <w:sz w:val="22"/>
        </w:rPr>
        <w:t>Retain one set of audio recordings, and at least one copy of any report it produces</w:t>
      </w:r>
    </w:p>
    <w:p w14:paraId="7DCADD23" w14:textId="312C2472" w:rsidR="00A634D6" w:rsidRPr="008756D5" w:rsidRDefault="00A634D6" w:rsidP="00A634D6">
      <w:pPr>
        <w:pStyle w:val="a"/>
        <w:numPr>
          <w:ilvl w:val="0"/>
          <w:numId w:val="6"/>
        </w:numPr>
        <w:tabs>
          <w:tab w:val="left" w:pos="-1440"/>
        </w:tabs>
        <w:rPr>
          <w:rFonts w:asciiTheme="minorHAnsi" w:hAnsiTheme="minorHAnsi"/>
          <w:sz w:val="22"/>
        </w:rPr>
      </w:pPr>
      <w:r w:rsidRPr="008756D5">
        <w:rPr>
          <w:rFonts w:asciiTheme="minorHAnsi" w:hAnsiTheme="minorHAnsi"/>
          <w:sz w:val="22"/>
        </w:rPr>
        <w:t>Develop a report in an agreed-upon format summarizing the responses provided by participants; the report will contain no personal identifiers</w:t>
      </w:r>
      <w:r w:rsidR="00195CAF">
        <w:rPr>
          <w:rFonts w:asciiTheme="minorHAnsi" w:eastAsia="Calibri" w:hAnsiTheme="minorHAnsi" w:cstheme="minorHAnsi"/>
          <w:sz w:val="22"/>
          <w:szCs w:val="22"/>
        </w:rPr>
        <w:t>;</w:t>
      </w:r>
    </w:p>
    <w:p w14:paraId="6A9280DF" w14:textId="77777777" w:rsidR="00A634D6" w:rsidRPr="008756D5" w:rsidRDefault="00A634D6" w:rsidP="00A634D6">
      <w:pPr>
        <w:pStyle w:val="a"/>
        <w:numPr>
          <w:ilvl w:val="0"/>
          <w:numId w:val="6"/>
        </w:numPr>
        <w:tabs>
          <w:tab w:val="left" w:pos="-1440"/>
        </w:tabs>
        <w:rPr>
          <w:rFonts w:asciiTheme="minorHAnsi" w:hAnsiTheme="minorHAnsi"/>
          <w:sz w:val="22"/>
        </w:rPr>
      </w:pPr>
      <w:r w:rsidRPr="008756D5">
        <w:rPr>
          <w:rFonts w:asciiTheme="minorHAnsi" w:hAnsiTheme="minorHAnsi"/>
          <w:sz w:val="22"/>
        </w:rPr>
        <w:t>Deliver the report and one set of recordings to CDC;</w:t>
      </w:r>
    </w:p>
    <w:p w14:paraId="1166E047" w14:textId="77777777" w:rsidR="00A634D6" w:rsidRPr="008756D5" w:rsidRDefault="00A634D6" w:rsidP="00A634D6">
      <w:pPr>
        <w:pStyle w:val="a"/>
        <w:numPr>
          <w:ilvl w:val="0"/>
          <w:numId w:val="6"/>
        </w:numPr>
        <w:tabs>
          <w:tab w:val="left" w:pos="-1440"/>
        </w:tabs>
        <w:rPr>
          <w:rFonts w:asciiTheme="minorHAnsi" w:hAnsiTheme="minorHAnsi"/>
          <w:sz w:val="22"/>
        </w:rPr>
      </w:pPr>
      <w:r w:rsidRPr="008756D5">
        <w:rPr>
          <w:rFonts w:asciiTheme="minorHAnsi" w:hAnsiTheme="minorHAnsi"/>
          <w:sz w:val="22"/>
        </w:rPr>
        <w:t>Not deliver to CDC or others any personal identifiers of participants;</w:t>
      </w:r>
    </w:p>
    <w:p w14:paraId="32B6C189" w14:textId="77777777" w:rsidR="00A634D6" w:rsidRPr="008756D5" w:rsidRDefault="00A634D6" w:rsidP="00A634D6">
      <w:pPr>
        <w:pStyle w:val="a"/>
        <w:numPr>
          <w:ilvl w:val="0"/>
          <w:numId w:val="6"/>
        </w:numPr>
        <w:tabs>
          <w:tab w:val="left" w:pos="-1440"/>
        </w:tabs>
        <w:rPr>
          <w:rFonts w:asciiTheme="minorHAnsi" w:hAnsiTheme="minorHAnsi"/>
          <w:sz w:val="22"/>
        </w:rPr>
      </w:pPr>
      <w:r w:rsidRPr="008756D5">
        <w:rPr>
          <w:rFonts w:asciiTheme="minorHAnsi" w:hAnsiTheme="minorHAnsi"/>
          <w:sz w:val="22"/>
        </w:rPr>
        <w:t>Retain records and audio recordings for three years, then burn, shred, or otherwise destroy them.</w:t>
      </w:r>
    </w:p>
    <w:p w14:paraId="282B7206" w14:textId="77777777" w:rsidR="006A3C43" w:rsidRPr="008756D5" w:rsidRDefault="006A3C43" w:rsidP="008756D5">
      <w:pPr>
        <w:pStyle w:val="a"/>
        <w:tabs>
          <w:tab w:val="left" w:pos="-1440"/>
        </w:tabs>
        <w:ind w:left="0" w:firstLine="0"/>
        <w:rPr>
          <w:rFonts w:asciiTheme="minorHAnsi" w:hAnsiTheme="minorHAnsi"/>
          <w:sz w:val="22"/>
        </w:rPr>
      </w:pPr>
    </w:p>
    <w:p w14:paraId="25C20E13" w14:textId="77777777" w:rsidR="008A4AE4" w:rsidRPr="008756D5" w:rsidRDefault="008A4AE4" w:rsidP="008756D5">
      <w:pPr>
        <w:spacing w:after="0" w:line="240" w:lineRule="auto"/>
        <w:rPr>
          <w:rFonts w:asciiTheme="minorHAnsi" w:hAnsiTheme="minorHAnsi"/>
          <w:b/>
        </w:rPr>
      </w:pPr>
    </w:p>
    <w:p w14:paraId="5876075C" w14:textId="77777777" w:rsidR="00F9552A" w:rsidRPr="00195CAF" w:rsidRDefault="00F9552A" w:rsidP="00F9552A">
      <w:pPr>
        <w:spacing w:after="0" w:line="240" w:lineRule="auto"/>
        <w:rPr>
          <w:rFonts w:asciiTheme="minorHAnsi" w:hAnsiTheme="minorHAnsi" w:cstheme="minorHAnsi"/>
        </w:rPr>
      </w:pPr>
      <w:r w:rsidRPr="00195CAF">
        <w:rPr>
          <w:rFonts w:asciiTheme="minorHAnsi" w:hAnsiTheme="minorHAnsi" w:cstheme="minorHAnsi"/>
          <w:b/>
        </w:rPr>
        <w:t xml:space="preserve">Analysis and Report Writing:  </w:t>
      </w:r>
      <w:r w:rsidRPr="00195CAF">
        <w:rPr>
          <w:rFonts w:asciiTheme="minorHAnsi" w:hAnsiTheme="minorHAnsi" w:cstheme="minorHAnsi"/>
        </w:rPr>
        <w:t xml:space="preserve">After receiving the transcripts of the focus groups, the data will be analyzed for the purpose of categorizing responses and of measuring the relative importance of respondent characteristics, attitudes, behaviors, and future plans. Upon completion of the research and analysis, a report will </w:t>
      </w:r>
      <w:r w:rsidR="00195CAF" w:rsidRPr="00195CAF">
        <w:rPr>
          <w:rFonts w:asciiTheme="minorHAnsi" w:hAnsiTheme="minorHAnsi" w:cstheme="minorHAnsi"/>
        </w:rPr>
        <w:t xml:space="preserve">be produced, which </w:t>
      </w:r>
      <w:r w:rsidRPr="00195CAF">
        <w:rPr>
          <w:rFonts w:asciiTheme="minorHAnsi" w:hAnsiTheme="minorHAnsi" w:cstheme="minorHAnsi"/>
        </w:rPr>
        <w:t>will include the following components:</w:t>
      </w:r>
    </w:p>
    <w:p w14:paraId="43054424" w14:textId="77777777" w:rsidR="00F9552A" w:rsidRPr="00195CAF" w:rsidRDefault="00F9552A" w:rsidP="00F9552A">
      <w:pPr>
        <w:numPr>
          <w:ilvl w:val="0"/>
          <w:numId w:val="21"/>
        </w:numPr>
        <w:spacing w:before="60" w:after="60" w:line="240" w:lineRule="auto"/>
        <w:rPr>
          <w:rFonts w:asciiTheme="minorHAnsi" w:eastAsia="Times New Roman" w:hAnsiTheme="minorHAnsi" w:cstheme="minorHAnsi"/>
        </w:rPr>
      </w:pPr>
      <w:r w:rsidRPr="00195CAF">
        <w:rPr>
          <w:rFonts w:asciiTheme="minorHAnsi" w:eastAsia="Times New Roman" w:hAnsiTheme="minorHAnsi" w:cstheme="minorHAnsi"/>
        </w:rPr>
        <w:t>Overview of the research design</w:t>
      </w:r>
    </w:p>
    <w:p w14:paraId="3C13EC40" w14:textId="77777777" w:rsidR="00F9552A" w:rsidRPr="00195CAF" w:rsidRDefault="00F9552A" w:rsidP="00F9552A">
      <w:pPr>
        <w:numPr>
          <w:ilvl w:val="0"/>
          <w:numId w:val="21"/>
        </w:numPr>
        <w:spacing w:before="60" w:after="60" w:line="240" w:lineRule="auto"/>
        <w:rPr>
          <w:rFonts w:asciiTheme="minorHAnsi" w:eastAsia="Times New Roman" w:hAnsiTheme="minorHAnsi" w:cstheme="minorHAnsi"/>
        </w:rPr>
      </w:pPr>
      <w:r w:rsidRPr="00195CAF">
        <w:rPr>
          <w:rFonts w:asciiTheme="minorHAnsi" w:eastAsia="Times New Roman" w:hAnsiTheme="minorHAnsi" w:cstheme="minorHAnsi"/>
        </w:rPr>
        <w:t>Summary of key findings  and recommendations</w:t>
      </w:r>
    </w:p>
    <w:p w14:paraId="635B1E8D" w14:textId="77777777" w:rsidR="00F9552A" w:rsidRPr="00195CAF" w:rsidRDefault="00F9552A" w:rsidP="00F9552A">
      <w:pPr>
        <w:numPr>
          <w:ilvl w:val="0"/>
          <w:numId w:val="22"/>
        </w:numPr>
        <w:tabs>
          <w:tab w:val="clear" w:pos="360"/>
          <w:tab w:val="num" w:pos="1080"/>
        </w:tabs>
        <w:spacing w:before="60" w:after="60" w:line="240" w:lineRule="auto"/>
        <w:ind w:left="1080"/>
        <w:rPr>
          <w:rFonts w:asciiTheme="minorHAnsi" w:eastAsia="Times New Roman" w:hAnsiTheme="minorHAnsi" w:cstheme="minorHAnsi"/>
        </w:rPr>
      </w:pPr>
      <w:r w:rsidRPr="00195CAF">
        <w:rPr>
          <w:rFonts w:asciiTheme="minorHAnsi" w:eastAsia="Times New Roman" w:hAnsiTheme="minorHAnsi" w:cstheme="minorHAnsi"/>
        </w:rPr>
        <w:t>Moderator’s  guide and</w:t>
      </w:r>
    </w:p>
    <w:p w14:paraId="39AFF61E" w14:textId="77777777" w:rsidR="00F9552A" w:rsidRPr="00195CAF" w:rsidRDefault="00F9552A" w:rsidP="00F9552A">
      <w:pPr>
        <w:numPr>
          <w:ilvl w:val="0"/>
          <w:numId w:val="23"/>
        </w:numPr>
        <w:tabs>
          <w:tab w:val="clear" w:pos="360"/>
          <w:tab w:val="num" w:pos="1080"/>
        </w:tabs>
        <w:spacing w:before="60" w:after="0" w:line="240" w:lineRule="auto"/>
        <w:ind w:left="1080"/>
        <w:rPr>
          <w:rFonts w:asciiTheme="minorHAnsi" w:hAnsiTheme="minorHAnsi" w:cstheme="minorHAnsi"/>
          <w:u w:val="single"/>
        </w:rPr>
      </w:pPr>
      <w:r w:rsidRPr="00195CAF">
        <w:rPr>
          <w:rFonts w:asciiTheme="minorHAnsi" w:eastAsia="Times New Roman" w:hAnsiTheme="minorHAnsi" w:cstheme="minorHAnsi"/>
        </w:rPr>
        <w:t xml:space="preserve">Eligibility Screener.   </w:t>
      </w:r>
    </w:p>
    <w:p w14:paraId="2E81B025" w14:textId="77777777" w:rsidR="0054332D" w:rsidRPr="00195CAF" w:rsidRDefault="00F9552A" w:rsidP="00195CAF">
      <w:pPr>
        <w:spacing w:before="60" w:after="0" w:line="240" w:lineRule="auto"/>
        <w:ind w:left="1080"/>
        <w:rPr>
          <w:rFonts w:asciiTheme="minorHAnsi" w:hAnsiTheme="minorHAnsi" w:cstheme="minorHAnsi"/>
          <w:u w:val="single"/>
        </w:rPr>
      </w:pPr>
      <w:r w:rsidRPr="00195CAF">
        <w:rPr>
          <w:rFonts w:asciiTheme="minorHAnsi" w:hAnsiTheme="minorHAnsi" w:cstheme="minorHAnsi"/>
          <w:u w:val="single"/>
        </w:rPr>
        <w:t xml:space="preserve">                                 </w:t>
      </w:r>
    </w:p>
    <w:p w14:paraId="404F4DB7" w14:textId="77777777" w:rsidR="0054332D" w:rsidRDefault="0054332D" w:rsidP="0054332D">
      <w:pPr>
        <w:spacing w:after="0"/>
        <w:rPr>
          <w:rFonts w:asciiTheme="minorHAnsi" w:hAnsiTheme="minorHAnsi" w:cstheme="minorHAnsi"/>
          <w:b/>
        </w:rPr>
      </w:pPr>
    </w:p>
    <w:p w14:paraId="3D6529E4" w14:textId="77777777" w:rsidR="009E7D20" w:rsidRDefault="009E7D20" w:rsidP="0054332D">
      <w:pPr>
        <w:spacing w:after="0"/>
        <w:rPr>
          <w:rFonts w:asciiTheme="minorHAnsi" w:hAnsiTheme="minorHAnsi" w:cstheme="minorHAnsi"/>
          <w:b/>
        </w:rPr>
      </w:pPr>
    </w:p>
    <w:p w14:paraId="6D04E372" w14:textId="77777777" w:rsidR="009E7D20" w:rsidRPr="00195CAF" w:rsidRDefault="009E7D20" w:rsidP="0054332D">
      <w:pPr>
        <w:spacing w:after="0"/>
        <w:rPr>
          <w:rFonts w:asciiTheme="minorHAnsi" w:hAnsiTheme="minorHAnsi" w:cstheme="minorHAnsi"/>
          <w:b/>
        </w:rPr>
      </w:pPr>
    </w:p>
    <w:p w14:paraId="6F968186" w14:textId="77777777" w:rsidR="009E7D20" w:rsidRDefault="009E7D20" w:rsidP="009E7D20">
      <w:pPr>
        <w:pStyle w:val="Heading2"/>
        <w:rPr>
          <w:rFonts w:eastAsia="Calibri"/>
          <w:sz w:val="24"/>
          <w:szCs w:val="24"/>
        </w:rPr>
      </w:pPr>
      <w:bookmarkStart w:id="1" w:name="_Toc352226886"/>
      <w:bookmarkStart w:id="2" w:name="_Toc352075184"/>
      <w:r>
        <w:rPr>
          <w:rFonts w:eastAsia="Calibri"/>
          <w:sz w:val="24"/>
          <w:szCs w:val="24"/>
        </w:rPr>
        <w:t>Attachment 1b : Burden Hours and Distribution of Respondents</w:t>
      </w:r>
      <w:bookmarkEnd w:id="1"/>
      <w:bookmarkEnd w:id="2"/>
    </w:p>
    <w:p w14:paraId="7BF3EE48" w14:textId="77777777" w:rsidR="009E7D20" w:rsidRDefault="009E7D20" w:rsidP="009E7D20">
      <w:pPr>
        <w:spacing w:after="0" w:line="240" w:lineRule="auto"/>
        <w:rPr>
          <w:rFonts w:cs="Calibri"/>
          <w:i/>
          <w:iCs/>
        </w:rPr>
      </w:pPr>
    </w:p>
    <w:p w14:paraId="5809430E" w14:textId="77777777" w:rsidR="009E7D20" w:rsidRDefault="009E7D20" w:rsidP="009E7D20">
      <w:pPr>
        <w:rPr>
          <w:rFonts w:cs="Calibri"/>
          <w:b/>
          <w:sz w:val="28"/>
          <w:szCs w:val="28"/>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2610"/>
        <w:gridCol w:w="1379"/>
        <w:gridCol w:w="1459"/>
        <w:gridCol w:w="1202"/>
        <w:gridCol w:w="1115"/>
      </w:tblGrid>
      <w:tr w:rsidR="009E7D20" w14:paraId="5645DBED" w14:textId="77777777" w:rsidTr="001F0E9F">
        <w:trPr>
          <w:trHeight w:val="805"/>
        </w:trPr>
        <w:tc>
          <w:tcPr>
            <w:tcW w:w="17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5E5683" w14:textId="77777777" w:rsidR="009E7D20" w:rsidRDefault="009E7D20">
            <w:pPr>
              <w:spacing w:after="0" w:line="240" w:lineRule="auto"/>
              <w:jc w:val="center"/>
              <w:rPr>
                <w:rFonts w:cs="Calibri"/>
              </w:rPr>
            </w:pPr>
            <w:r>
              <w:rPr>
                <w:rFonts w:cs="Calibri"/>
              </w:rPr>
              <w:t>Type of Respondents</w:t>
            </w:r>
          </w:p>
        </w:tc>
        <w:tc>
          <w:tcPr>
            <w:tcW w:w="26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29C50C" w14:textId="77777777" w:rsidR="009E7D20" w:rsidRDefault="009E7D20">
            <w:pPr>
              <w:spacing w:after="0" w:line="240" w:lineRule="auto"/>
              <w:jc w:val="center"/>
              <w:rPr>
                <w:rFonts w:cs="Calibri"/>
              </w:rPr>
            </w:pPr>
            <w:r>
              <w:rPr>
                <w:rFonts w:cs="Calibri"/>
              </w:rPr>
              <w:t>Form Name</w:t>
            </w:r>
          </w:p>
        </w:tc>
        <w:tc>
          <w:tcPr>
            <w:tcW w:w="13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790E97" w14:textId="77777777" w:rsidR="009E7D20" w:rsidRDefault="009E7D20">
            <w:pPr>
              <w:spacing w:after="0" w:line="240" w:lineRule="auto"/>
              <w:jc w:val="center"/>
              <w:rPr>
                <w:rFonts w:cs="Calibri"/>
              </w:rPr>
            </w:pPr>
            <w:r>
              <w:rPr>
                <w:rFonts w:cs="Calibri"/>
              </w:rPr>
              <w:t>Number of Respondents</w:t>
            </w:r>
          </w:p>
        </w:tc>
        <w:tc>
          <w:tcPr>
            <w:tcW w:w="14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31774C" w14:textId="77777777" w:rsidR="009E7D20" w:rsidRDefault="009E7D20">
            <w:pPr>
              <w:spacing w:after="0" w:line="240" w:lineRule="auto"/>
              <w:jc w:val="center"/>
              <w:rPr>
                <w:rFonts w:cs="Calibri"/>
              </w:rPr>
            </w:pPr>
            <w:r>
              <w:rPr>
                <w:rFonts w:cs="Calibri"/>
              </w:rPr>
              <w:t>Number of Responses per Respondent</w:t>
            </w:r>
          </w:p>
        </w:tc>
        <w:tc>
          <w:tcPr>
            <w:tcW w:w="12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BA5A2D" w14:textId="77777777" w:rsidR="009E7D20" w:rsidRDefault="009E7D20">
            <w:pPr>
              <w:spacing w:after="0" w:line="240" w:lineRule="auto"/>
              <w:jc w:val="center"/>
              <w:rPr>
                <w:rFonts w:cs="Calibri"/>
              </w:rPr>
            </w:pPr>
            <w:r>
              <w:rPr>
                <w:rFonts w:cs="Calibri"/>
              </w:rPr>
              <w:t xml:space="preserve">Burden per Response (in </w:t>
            </w:r>
            <w:proofErr w:type="spellStart"/>
            <w:r>
              <w:rPr>
                <w:rFonts w:cs="Calibri"/>
              </w:rPr>
              <w:t>hr</w:t>
            </w:r>
            <w:proofErr w:type="spellEnd"/>
            <w:r>
              <w:rPr>
                <w:rFonts w:cs="Calibri"/>
              </w:rPr>
              <w:t>)</w:t>
            </w: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2259B3" w14:textId="77777777" w:rsidR="009E7D20" w:rsidRDefault="009E7D20">
            <w:pPr>
              <w:spacing w:after="0" w:line="240" w:lineRule="auto"/>
              <w:jc w:val="center"/>
              <w:rPr>
                <w:rFonts w:cs="Calibri"/>
              </w:rPr>
            </w:pPr>
            <w:r>
              <w:rPr>
                <w:rFonts w:cs="Calibri"/>
              </w:rPr>
              <w:t xml:space="preserve">Total Burden </w:t>
            </w:r>
          </w:p>
          <w:p w14:paraId="60D7EA56" w14:textId="77777777" w:rsidR="009E7D20" w:rsidRDefault="009E7D20">
            <w:pPr>
              <w:spacing w:after="0" w:line="240" w:lineRule="auto"/>
              <w:jc w:val="center"/>
              <w:rPr>
                <w:rFonts w:cs="Calibri"/>
              </w:rPr>
            </w:pPr>
            <w:r>
              <w:rPr>
                <w:rFonts w:cs="Calibri"/>
              </w:rPr>
              <w:t xml:space="preserve">(in </w:t>
            </w:r>
            <w:proofErr w:type="spellStart"/>
            <w:r>
              <w:rPr>
                <w:rFonts w:cs="Calibri"/>
              </w:rPr>
              <w:t>hr</w:t>
            </w:r>
            <w:proofErr w:type="spellEnd"/>
            <w:r>
              <w:rPr>
                <w:rFonts w:cs="Calibri"/>
              </w:rPr>
              <w:t>)</w:t>
            </w:r>
          </w:p>
        </w:tc>
      </w:tr>
      <w:tr w:rsidR="009E7D20" w14:paraId="3DB64465" w14:textId="77777777" w:rsidTr="001F0E9F">
        <w:trPr>
          <w:trHeight w:val="641"/>
        </w:trPr>
        <w:tc>
          <w:tcPr>
            <w:tcW w:w="1733" w:type="dxa"/>
            <w:vMerge w:val="restart"/>
            <w:tcBorders>
              <w:top w:val="single" w:sz="4" w:space="0" w:color="auto"/>
              <w:left w:val="single" w:sz="4" w:space="0" w:color="auto"/>
              <w:bottom w:val="single" w:sz="4" w:space="0" w:color="auto"/>
              <w:right w:val="single" w:sz="4" w:space="0" w:color="auto"/>
            </w:tcBorders>
            <w:vAlign w:val="center"/>
            <w:hideMark/>
          </w:tcPr>
          <w:p w14:paraId="51130882" w14:textId="77777777" w:rsidR="009E7D20" w:rsidRDefault="009E7D20">
            <w:pPr>
              <w:spacing w:after="0" w:line="240" w:lineRule="auto"/>
              <w:jc w:val="center"/>
              <w:rPr>
                <w:rFonts w:cs="Calibri"/>
              </w:rPr>
            </w:pPr>
            <w:r>
              <w:rPr>
                <w:rFonts w:cs="Calibri"/>
              </w:rPr>
              <w:t>Public</w:t>
            </w:r>
          </w:p>
        </w:tc>
        <w:tc>
          <w:tcPr>
            <w:tcW w:w="2614" w:type="dxa"/>
            <w:tcBorders>
              <w:top w:val="single" w:sz="4" w:space="0" w:color="auto"/>
              <w:left w:val="single" w:sz="4" w:space="0" w:color="auto"/>
              <w:bottom w:val="single" w:sz="4" w:space="0" w:color="auto"/>
              <w:right w:val="single" w:sz="4" w:space="0" w:color="auto"/>
            </w:tcBorders>
            <w:vAlign w:val="center"/>
            <w:hideMark/>
          </w:tcPr>
          <w:p w14:paraId="623A5544" w14:textId="77777777" w:rsidR="009E7D20" w:rsidRDefault="009E7D20">
            <w:pPr>
              <w:spacing w:after="0" w:line="240" w:lineRule="auto"/>
              <w:jc w:val="center"/>
              <w:rPr>
                <w:rFonts w:cs="Calibri"/>
              </w:rPr>
            </w:pPr>
            <w:r>
              <w:rPr>
                <w:rFonts w:cs="Calibri"/>
              </w:rPr>
              <w:t>Eligibility Screener</w:t>
            </w:r>
          </w:p>
        </w:tc>
        <w:tc>
          <w:tcPr>
            <w:tcW w:w="1373" w:type="dxa"/>
            <w:tcBorders>
              <w:top w:val="single" w:sz="4" w:space="0" w:color="auto"/>
              <w:left w:val="single" w:sz="4" w:space="0" w:color="auto"/>
              <w:bottom w:val="single" w:sz="4" w:space="0" w:color="auto"/>
              <w:right w:val="single" w:sz="4" w:space="0" w:color="auto"/>
            </w:tcBorders>
            <w:vAlign w:val="center"/>
            <w:hideMark/>
          </w:tcPr>
          <w:p w14:paraId="72E5FD13" w14:textId="77777777" w:rsidR="009E7D20" w:rsidRDefault="009E7D20">
            <w:pPr>
              <w:spacing w:after="0" w:line="240" w:lineRule="auto"/>
              <w:jc w:val="center"/>
              <w:rPr>
                <w:rFonts w:cs="Calibri"/>
              </w:rPr>
            </w:pPr>
            <w:r>
              <w:rPr>
                <w:rFonts w:cs="Calibri"/>
              </w:rPr>
              <w:t>192</w:t>
            </w:r>
          </w:p>
        </w:tc>
        <w:tc>
          <w:tcPr>
            <w:tcW w:w="1459" w:type="dxa"/>
            <w:tcBorders>
              <w:top w:val="single" w:sz="4" w:space="0" w:color="auto"/>
              <w:left w:val="single" w:sz="4" w:space="0" w:color="auto"/>
              <w:bottom w:val="single" w:sz="4" w:space="0" w:color="auto"/>
              <w:right w:val="single" w:sz="4" w:space="0" w:color="auto"/>
            </w:tcBorders>
            <w:vAlign w:val="center"/>
            <w:hideMark/>
          </w:tcPr>
          <w:p w14:paraId="7C2AA6E7" w14:textId="77777777" w:rsidR="009E7D20" w:rsidRDefault="009E7D20">
            <w:pPr>
              <w:spacing w:after="0" w:line="240" w:lineRule="auto"/>
              <w:jc w:val="center"/>
              <w:rPr>
                <w:rFonts w:cs="Calibri"/>
              </w:rPr>
            </w:pPr>
            <w:r>
              <w:rPr>
                <w:rFonts w:cs="Calibri"/>
              </w:rPr>
              <w:t>1</w:t>
            </w:r>
          </w:p>
        </w:tc>
        <w:tc>
          <w:tcPr>
            <w:tcW w:w="1201" w:type="dxa"/>
            <w:tcBorders>
              <w:top w:val="single" w:sz="4" w:space="0" w:color="auto"/>
              <w:left w:val="single" w:sz="4" w:space="0" w:color="auto"/>
              <w:bottom w:val="single" w:sz="4" w:space="0" w:color="auto"/>
              <w:right w:val="single" w:sz="4" w:space="0" w:color="auto"/>
            </w:tcBorders>
            <w:vAlign w:val="center"/>
            <w:hideMark/>
          </w:tcPr>
          <w:p w14:paraId="0B51E66E" w14:textId="77777777" w:rsidR="009E7D20" w:rsidRDefault="009E7D20">
            <w:pPr>
              <w:spacing w:after="0" w:line="240" w:lineRule="auto"/>
              <w:jc w:val="center"/>
              <w:rPr>
                <w:rFonts w:cs="Calibri"/>
              </w:rPr>
            </w:pPr>
            <w:r>
              <w:rPr>
                <w:rFonts w:cs="Calibri"/>
              </w:rPr>
              <w:t>15/60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001BCD6" w14:textId="77777777" w:rsidR="009E7D20" w:rsidRDefault="009E7D20">
            <w:pPr>
              <w:spacing w:after="0" w:line="240" w:lineRule="auto"/>
              <w:jc w:val="center"/>
              <w:rPr>
                <w:rFonts w:cs="Calibri"/>
                <w:color w:val="000000"/>
              </w:rPr>
            </w:pPr>
            <w:r>
              <w:rPr>
                <w:rFonts w:cs="Calibri"/>
                <w:color w:val="000000"/>
              </w:rPr>
              <w:t>48</w:t>
            </w:r>
          </w:p>
        </w:tc>
      </w:tr>
      <w:tr w:rsidR="009E7D20" w14:paraId="70051959" w14:textId="77777777" w:rsidTr="001F0E9F">
        <w:trPr>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AAAB0" w14:textId="77777777" w:rsidR="009E7D20" w:rsidRDefault="009E7D20">
            <w:pPr>
              <w:spacing w:after="0" w:line="240" w:lineRule="auto"/>
              <w:rPr>
                <w:rFonts w:cs="Calibri"/>
              </w:rPr>
            </w:pPr>
          </w:p>
        </w:tc>
        <w:tc>
          <w:tcPr>
            <w:tcW w:w="2614" w:type="dxa"/>
            <w:tcBorders>
              <w:top w:val="single" w:sz="4" w:space="0" w:color="auto"/>
              <w:left w:val="single" w:sz="4" w:space="0" w:color="auto"/>
              <w:bottom w:val="single" w:sz="4" w:space="0" w:color="auto"/>
              <w:right w:val="single" w:sz="4" w:space="0" w:color="auto"/>
            </w:tcBorders>
            <w:vAlign w:val="center"/>
            <w:hideMark/>
          </w:tcPr>
          <w:p w14:paraId="5B22ED2A" w14:textId="77777777" w:rsidR="009E7D20" w:rsidRDefault="009E7D20">
            <w:pPr>
              <w:spacing w:after="0" w:line="240" w:lineRule="auto"/>
              <w:jc w:val="center"/>
              <w:rPr>
                <w:rFonts w:cs="Calibri"/>
              </w:rPr>
            </w:pPr>
            <w:r>
              <w:rPr>
                <w:rFonts w:cs="Calibri"/>
              </w:rPr>
              <w:t>Moderator’s Guide</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5F14C2E" w14:textId="77777777" w:rsidR="009E7D20" w:rsidRDefault="009E7D20">
            <w:pPr>
              <w:spacing w:after="0" w:line="240" w:lineRule="auto"/>
              <w:jc w:val="center"/>
              <w:rPr>
                <w:rFonts w:cs="Calibri"/>
              </w:rPr>
            </w:pPr>
            <w:r>
              <w:rPr>
                <w:rFonts w:cs="Calibri"/>
              </w:rPr>
              <w:t>96</w:t>
            </w:r>
          </w:p>
        </w:tc>
        <w:tc>
          <w:tcPr>
            <w:tcW w:w="1459" w:type="dxa"/>
            <w:tcBorders>
              <w:top w:val="single" w:sz="4" w:space="0" w:color="auto"/>
              <w:left w:val="single" w:sz="4" w:space="0" w:color="auto"/>
              <w:bottom w:val="single" w:sz="4" w:space="0" w:color="auto"/>
              <w:right w:val="single" w:sz="4" w:space="0" w:color="auto"/>
            </w:tcBorders>
            <w:vAlign w:val="center"/>
            <w:hideMark/>
          </w:tcPr>
          <w:p w14:paraId="75047E70" w14:textId="77777777" w:rsidR="009E7D20" w:rsidRDefault="009E7D20">
            <w:pPr>
              <w:spacing w:after="0" w:line="240" w:lineRule="auto"/>
              <w:jc w:val="center"/>
              <w:rPr>
                <w:rFonts w:cs="Calibri"/>
              </w:rPr>
            </w:pPr>
            <w:r>
              <w:rPr>
                <w:rFonts w:cs="Calibri"/>
              </w:rPr>
              <w:t>1</w:t>
            </w:r>
          </w:p>
        </w:tc>
        <w:tc>
          <w:tcPr>
            <w:tcW w:w="1201" w:type="dxa"/>
            <w:tcBorders>
              <w:top w:val="single" w:sz="4" w:space="0" w:color="auto"/>
              <w:left w:val="single" w:sz="4" w:space="0" w:color="auto"/>
              <w:bottom w:val="single" w:sz="4" w:space="0" w:color="auto"/>
              <w:right w:val="single" w:sz="4" w:space="0" w:color="auto"/>
            </w:tcBorders>
            <w:vAlign w:val="center"/>
            <w:hideMark/>
          </w:tcPr>
          <w:p w14:paraId="487386F2" w14:textId="77777777" w:rsidR="009E7D20" w:rsidRDefault="009E7D20">
            <w:pPr>
              <w:spacing w:after="0" w:line="240" w:lineRule="auto"/>
              <w:jc w:val="center"/>
              <w:rPr>
                <w:rFonts w:cs="Calibri"/>
              </w:rPr>
            </w:pPr>
            <w:r>
              <w:rPr>
                <w:rFonts w:cs="Calibri"/>
              </w:rPr>
              <w:t>90/60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0CE049" w14:textId="77777777" w:rsidR="009E7D20" w:rsidRDefault="009E7D20">
            <w:pPr>
              <w:spacing w:after="0" w:line="240" w:lineRule="auto"/>
              <w:jc w:val="center"/>
              <w:rPr>
                <w:rFonts w:cs="Calibri"/>
                <w:color w:val="000000"/>
              </w:rPr>
            </w:pPr>
            <w:r>
              <w:rPr>
                <w:rFonts w:cs="Calibri"/>
                <w:color w:val="000000"/>
              </w:rPr>
              <w:t>144</w:t>
            </w:r>
          </w:p>
        </w:tc>
      </w:tr>
      <w:tr w:rsidR="009E7D20" w14:paraId="4FBE58EF" w14:textId="77777777" w:rsidTr="001F0E9F">
        <w:trPr>
          <w:trHeight w:val="276"/>
        </w:trPr>
        <w:tc>
          <w:tcPr>
            <w:tcW w:w="1733" w:type="dxa"/>
            <w:tcBorders>
              <w:top w:val="single" w:sz="4" w:space="0" w:color="auto"/>
              <w:left w:val="single" w:sz="4" w:space="0" w:color="auto"/>
              <w:bottom w:val="single" w:sz="4" w:space="0" w:color="auto"/>
              <w:right w:val="single" w:sz="4" w:space="0" w:color="auto"/>
            </w:tcBorders>
            <w:vAlign w:val="center"/>
            <w:hideMark/>
          </w:tcPr>
          <w:p w14:paraId="0EAA5A74" w14:textId="77777777" w:rsidR="009E7D20" w:rsidRDefault="009E7D20">
            <w:pPr>
              <w:spacing w:after="0" w:line="240" w:lineRule="auto"/>
              <w:jc w:val="center"/>
              <w:rPr>
                <w:rFonts w:cs="Calibri"/>
                <w:b/>
              </w:rPr>
            </w:pPr>
            <w:r>
              <w:rPr>
                <w:rFonts w:cs="Calibri"/>
                <w:b/>
              </w:rPr>
              <w:t>TOTAL</w:t>
            </w:r>
          </w:p>
        </w:tc>
        <w:tc>
          <w:tcPr>
            <w:tcW w:w="664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85CD601" w14:textId="77777777" w:rsidR="009E7D20" w:rsidRDefault="009E7D20">
            <w:pPr>
              <w:spacing w:after="0" w:line="240" w:lineRule="auto"/>
              <w:jc w:val="right"/>
              <w:rPr>
                <w:rFonts w:cs="Calibri"/>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5C8AB13D" w14:textId="77777777" w:rsidR="009E7D20" w:rsidRDefault="009E7D20">
            <w:pPr>
              <w:spacing w:after="0" w:line="240" w:lineRule="auto"/>
              <w:jc w:val="center"/>
              <w:rPr>
                <w:rFonts w:cs="Calibri"/>
                <w:b/>
              </w:rPr>
            </w:pPr>
            <w:r>
              <w:rPr>
                <w:rFonts w:cs="Calibri"/>
                <w:b/>
              </w:rPr>
              <w:t xml:space="preserve">192 </w:t>
            </w:r>
            <w:proofErr w:type="spellStart"/>
            <w:r>
              <w:rPr>
                <w:rFonts w:cs="Calibri"/>
                <w:b/>
              </w:rPr>
              <w:t>hrs</w:t>
            </w:r>
            <w:proofErr w:type="spellEnd"/>
          </w:p>
        </w:tc>
      </w:tr>
    </w:tbl>
    <w:p w14:paraId="5466B89E" w14:textId="77777777" w:rsidR="009E7D20" w:rsidRDefault="009E7D20" w:rsidP="009E7D20">
      <w:pPr>
        <w:spacing w:after="0" w:line="240" w:lineRule="auto"/>
        <w:rPr>
          <w:rFonts w:cs="Calibri"/>
          <w:i/>
          <w:iCs/>
        </w:rPr>
      </w:pPr>
    </w:p>
    <w:p w14:paraId="03C55F8B" w14:textId="77777777" w:rsidR="009E7D20" w:rsidRDefault="009E7D20" w:rsidP="009E7D20">
      <w:pPr>
        <w:rPr>
          <w:rFonts w:cs="Calibri"/>
          <w:b/>
          <w:bCs/>
          <w:sz w:val="28"/>
          <w:szCs w:val="28"/>
        </w:rPr>
      </w:pPr>
      <w:r>
        <w:rPr>
          <w:rFonts w:cs="Calibri"/>
          <w:b/>
          <w:bCs/>
          <w:sz w:val="28"/>
          <w:szCs w:val="28"/>
        </w:rPr>
        <w:t>Distribution of Respondents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
        <w:gridCol w:w="1246"/>
        <w:gridCol w:w="1290"/>
        <w:gridCol w:w="1290"/>
        <w:gridCol w:w="1290"/>
        <w:gridCol w:w="1290"/>
        <w:gridCol w:w="917"/>
        <w:gridCol w:w="1236"/>
      </w:tblGrid>
      <w:tr w:rsidR="009E7D20" w14:paraId="0603A5E2" w14:textId="77777777" w:rsidTr="009E7D20">
        <w:trPr>
          <w:trHeight w:val="719"/>
        </w:trPr>
        <w:tc>
          <w:tcPr>
            <w:tcW w:w="644"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5EEF851" w14:textId="77777777" w:rsidR="009E7D20" w:rsidRDefault="009E7D20">
            <w:pPr>
              <w:spacing w:after="0" w:line="240" w:lineRule="auto"/>
              <w:jc w:val="center"/>
              <w:rPr>
                <w:rFonts w:cs="Calibri"/>
                <w:b/>
              </w:rPr>
            </w:pPr>
            <w:r>
              <w:rPr>
                <w:rFonts w:cs="Calibri"/>
                <w:b/>
              </w:rPr>
              <w:t>Audience Segment</w:t>
            </w:r>
          </w:p>
        </w:tc>
        <w:tc>
          <w:tcPr>
            <w:tcW w:w="644"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BB90454" w14:textId="77777777" w:rsidR="009E7D20" w:rsidRDefault="009E7D20">
            <w:pPr>
              <w:spacing w:after="0" w:line="240" w:lineRule="auto"/>
              <w:jc w:val="center"/>
              <w:rPr>
                <w:rFonts w:cs="Calibri"/>
                <w:b/>
              </w:rPr>
            </w:pPr>
            <w:r>
              <w:rPr>
                <w:rFonts w:cs="Calibri"/>
                <w:b/>
              </w:rPr>
              <w:t>Type of Respondent</w:t>
            </w:r>
          </w:p>
        </w:tc>
        <w:tc>
          <w:tcPr>
            <w:tcW w:w="72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3E8009B" w14:textId="77777777" w:rsidR="009E7D20" w:rsidRDefault="009E7D20">
            <w:pPr>
              <w:spacing w:after="0" w:line="240" w:lineRule="auto"/>
              <w:contextualSpacing/>
              <w:jc w:val="center"/>
              <w:rPr>
                <w:rFonts w:cs="Calibri"/>
                <w:b/>
              </w:rPr>
            </w:pPr>
            <w:r>
              <w:rPr>
                <w:rFonts w:cs="Calibri"/>
                <w:b/>
              </w:rPr>
              <w:t>Atlanta, Georgia</w:t>
            </w:r>
          </w:p>
        </w:tc>
        <w:tc>
          <w:tcPr>
            <w:tcW w:w="758"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66BF7F9" w14:textId="77777777" w:rsidR="009E7D20" w:rsidRDefault="009E7D20">
            <w:pPr>
              <w:spacing w:after="0" w:line="240" w:lineRule="auto"/>
              <w:contextualSpacing/>
              <w:jc w:val="center"/>
              <w:rPr>
                <w:rFonts w:cs="Calibri"/>
                <w:b/>
              </w:rPr>
            </w:pPr>
            <w:r>
              <w:rPr>
                <w:rFonts w:cs="Calibri"/>
                <w:b/>
              </w:rPr>
              <w:t>Houston, Texas</w:t>
            </w:r>
          </w:p>
        </w:tc>
        <w:tc>
          <w:tcPr>
            <w:tcW w:w="72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714F81B" w14:textId="77777777" w:rsidR="009E7D20" w:rsidRDefault="009E7D20">
            <w:pPr>
              <w:spacing w:after="0" w:line="240" w:lineRule="auto"/>
              <w:jc w:val="center"/>
              <w:rPr>
                <w:rFonts w:cs="Calibri"/>
                <w:b/>
              </w:rPr>
            </w:pPr>
            <w:r>
              <w:rPr>
                <w:rFonts w:cs="Calibri"/>
                <w:b/>
              </w:rPr>
              <w:t>Phoenix, Arizona</w:t>
            </w:r>
          </w:p>
        </w:tc>
        <w:tc>
          <w:tcPr>
            <w:tcW w:w="455" w:type="pct"/>
            <w:tcBorders>
              <w:top w:val="single" w:sz="4" w:space="0" w:color="000000"/>
              <w:left w:val="single" w:sz="4" w:space="0" w:color="000000"/>
              <w:bottom w:val="single" w:sz="4" w:space="0" w:color="000000"/>
              <w:right w:val="single" w:sz="4" w:space="0" w:color="000000"/>
            </w:tcBorders>
            <w:shd w:val="clear" w:color="auto" w:fill="F2F2F2"/>
          </w:tcPr>
          <w:p w14:paraId="6A7EE5D1" w14:textId="77777777" w:rsidR="009E7D20" w:rsidRDefault="009E7D20" w:rsidP="009E7D20">
            <w:pPr>
              <w:spacing w:after="0" w:line="240" w:lineRule="auto"/>
              <w:jc w:val="center"/>
              <w:rPr>
                <w:rFonts w:cs="Calibri"/>
                <w:b/>
              </w:rPr>
            </w:pPr>
          </w:p>
          <w:p w14:paraId="2143841B" w14:textId="77777777" w:rsidR="009E7D20" w:rsidRDefault="009E7D20" w:rsidP="009E7D20">
            <w:pPr>
              <w:spacing w:after="0" w:line="240" w:lineRule="auto"/>
              <w:jc w:val="center"/>
              <w:rPr>
                <w:rFonts w:cs="Calibri"/>
                <w:b/>
              </w:rPr>
            </w:pPr>
            <w:r>
              <w:rPr>
                <w:rFonts w:cs="Calibri"/>
                <w:b/>
              </w:rPr>
              <w:t>St. Louis, Missouri</w:t>
            </w:r>
          </w:p>
        </w:tc>
        <w:tc>
          <w:tcPr>
            <w:tcW w:w="45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62FB8FB" w14:textId="77777777" w:rsidR="009E7D20" w:rsidRDefault="009E7D20">
            <w:pPr>
              <w:spacing w:after="0" w:line="240" w:lineRule="auto"/>
              <w:jc w:val="center"/>
              <w:rPr>
                <w:rFonts w:cs="Calibri"/>
                <w:b/>
              </w:rPr>
            </w:pPr>
            <w:r>
              <w:rPr>
                <w:rFonts w:cs="Calibri"/>
                <w:b/>
              </w:rPr>
              <w:t>Total Number of Groups</w:t>
            </w:r>
          </w:p>
        </w:tc>
        <w:tc>
          <w:tcPr>
            <w:tcW w:w="606"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FD83F5C" w14:textId="77777777" w:rsidR="009E7D20" w:rsidRDefault="009E7D20">
            <w:pPr>
              <w:spacing w:after="0" w:line="240" w:lineRule="auto"/>
              <w:jc w:val="center"/>
              <w:rPr>
                <w:rFonts w:cs="Calibri"/>
                <w:b/>
              </w:rPr>
            </w:pPr>
            <w:r>
              <w:rPr>
                <w:rFonts w:cs="Calibri"/>
                <w:b/>
              </w:rPr>
              <w:t>Total Participants</w:t>
            </w:r>
          </w:p>
        </w:tc>
      </w:tr>
      <w:tr w:rsidR="009E7D20" w14:paraId="3AA39362" w14:textId="77777777" w:rsidTr="001F0E9F">
        <w:tc>
          <w:tcPr>
            <w:tcW w:w="644" w:type="pct"/>
            <w:vMerge w:val="restart"/>
            <w:tcBorders>
              <w:top w:val="single" w:sz="4" w:space="0" w:color="000000"/>
              <w:left w:val="single" w:sz="4" w:space="0" w:color="000000"/>
              <w:bottom w:val="single" w:sz="4" w:space="0" w:color="000000"/>
              <w:right w:val="single" w:sz="4" w:space="0" w:color="000000"/>
            </w:tcBorders>
            <w:vAlign w:val="center"/>
            <w:hideMark/>
          </w:tcPr>
          <w:p w14:paraId="54FF936F" w14:textId="77777777" w:rsidR="009E7D20" w:rsidRDefault="009E7D20">
            <w:pPr>
              <w:spacing w:after="0" w:line="240" w:lineRule="auto"/>
              <w:contextualSpacing/>
              <w:jc w:val="center"/>
              <w:rPr>
                <w:rFonts w:cs="Calibri"/>
              </w:rPr>
            </w:pPr>
            <w:r>
              <w:rPr>
                <w:rFonts w:cs="Calibri"/>
              </w:rPr>
              <w:t>Public</w:t>
            </w:r>
          </w:p>
        </w:tc>
        <w:tc>
          <w:tcPr>
            <w:tcW w:w="644" w:type="pct"/>
            <w:tcBorders>
              <w:top w:val="single" w:sz="4" w:space="0" w:color="000000"/>
              <w:left w:val="single" w:sz="4" w:space="0" w:color="000000"/>
              <w:bottom w:val="single" w:sz="4" w:space="0" w:color="000000"/>
              <w:right w:val="single" w:sz="4" w:space="0" w:color="000000"/>
            </w:tcBorders>
            <w:vAlign w:val="center"/>
            <w:hideMark/>
          </w:tcPr>
          <w:p w14:paraId="6BC7FC56" w14:textId="77777777" w:rsidR="009E7D20" w:rsidRDefault="009E7D20">
            <w:pPr>
              <w:spacing w:after="0" w:line="240" w:lineRule="auto"/>
              <w:contextualSpacing/>
              <w:jc w:val="center"/>
              <w:rPr>
                <w:rFonts w:cs="Calibri"/>
              </w:rPr>
            </w:pPr>
            <w:r>
              <w:rPr>
                <w:rFonts w:cs="Calibri"/>
              </w:rPr>
              <w:t>Eligibility Screener Only Participant</w:t>
            </w:r>
          </w:p>
        </w:tc>
        <w:tc>
          <w:tcPr>
            <w:tcW w:w="720" w:type="pct"/>
            <w:tcBorders>
              <w:top w:val="single" w:sz="4" w:space="0" w:color="000000"/>
              <w:left w:val="single" w:sz="4" w:space="0" w:color="000000"/>
              <w:bottom w:val="single" w:sz="4" w:space="0" w:color="000000"/>
              <w:right w:val="single" w:sz="4" w:space="0" w:color="000000"/>
            </w:tcBorders>
            <w:vAlign w:val="center"/>
          </w:tcPr>
          <w:p w14:paraId="72286879" w14:textId="77777777" w:rsidR="009E7D20" w:rsidRDefault="001F0E9F">
            <w:pPr>
              <w:spacing w:after="0" w:line="240" w:lineRule="auto"/>
              <w:jc w:val="center"/>
              <w:rPr>
                <w:rFonts w:cs="Calibri"/>
              </w:rPr>
            </w:pPr>
            <w:r>
              <w:rPr>
                <w:rFonts w:cs="Calibri"/>
              </w:rPr>
              <w:t>48</w:t>
            </w:r>
          </w:p>
        </w:tc>
        <w:tc>
          <w:tcPr>
            <w:tcW w:w="758" w:type="pct"/>
            <w:tcBorders>
              <w:top w:val="single" w:sz="4" w:space="0" w:color="000000"/>
              <w:left w:val="single" w:sz="4" w:space="0" w:color="000000"/>
              <w:bottom w:val="single" w:sz="4" w:space="0" w:color="000000"/>
              <w:right w:val="single" w:sz="4" w:space="0" w:color="000000"/>
            </w:tcBorders>
            <w:vAlign w:val="center"/>
          </w:tcPr>
          <w:p w14:paraId="133CE61E" w14:textId="77777777" w:rsidR="009E7D20" w:rsidRDefault="001F0E9F" w:rsidP="009E7D20">
            <w:pPr>
              <w:spacing w:after="0" w:line="240" w:lineRule="auto"/>
              <w:jc w:val="center"/>
              <w:rPr>
                <w:rFonts w:cs="Calibri"/>
              </w:rPr>
            </w:pPr>
            <w:r>
              <w:rPr>
                <w:rFonts w:cs="Calibri"/>
              </w:rPr>
              <w:t>48</w:t>
            </w:r>
          </w:p>
        </w:tc>
        <w:tc>
          <w:tcPr>
            <w:tcW w:w="720" w:type="pct"/>
            <w:tcBorders>
              <w:top w:val="single" w:sz="4" w:space="0" w:color="000000"/>
              <w:left w:val="single" w:sz="4" w:space="0" w:color="000000"/>
              <w:bottom w:val="single" w:sz="4" w:space="0" w:color="000000"/>
              <w:right w:val="single" w:sz="4" w:space="0" w:color="000000"/>
            </w:tcBorders>
            <w:vAlign w:val="center"/>
          </w:tcPr>
          <w:p w14:paraId="2254BFA1" w14:textId="77777777" w:rsidR="009E7D20" w:rsidRDefault="001F0E9F" w:rsidP="009E7D20">
            <w:pPr>
              <w:spacing w:after="0" w:line="240" w:lineRule="auto"/>
              <w:jc w:val="center"/>
              <w:rPr>
                <w:rFonts w:cs="Calibri"/>
              </w:rPr>
            </w:pPr>
            <w:r>
              <w:rPr>
                <w:rFonts w:cs="Calibri"/>
              </w:rPr>
              <w:t>48</w:t>
            </w:r>
          </w:p>
        </w:tc>
        <w:tc>
          <w:tcPr>
            <w:tcW w:w="455" w:type="pct"/>
            <w:tcBorders>
              <w:top w:val="single" w:sz="4" w:space="0" w:color="000000"/>
              <w:left w:val="single" w:sz="4" w:space="0" w:color="000000"/>
              <w:bottom w:val="single" w:sz="4" w:space="0" w:color="000000"/>
              <w:right w:val="single" w:sz="4" w:space="0" w:color="000000"/>
            </w:tcBorders>
            <w:vAlign w:val="center"/>
          </w:tcPr>
          <w:p w14:paraId="284835D8" w14:textId="77777777" w:rsidR="009E7D20" w:rsidRDefault="001F0E9F" w:rsidP="00585855">
            <w:pPr>
              <w:spacing w:after="0" w:line="240" w:lineRule="auto"/>
              <w:jc w:val="center"/>
              <w:rPr>
                <w:rFonts w:cs="Calibri"/>
              </w:rPr>
            </w:pPr>
            <w:r>
              <w:rPr>
                <w:rFonts w:cs="Calibri"/>
              </w:rPr>
              <w:t>48</w:t>
            </w:r>
          </w:p>
        </w:tc>
        <w:tc>
          <w:tcPr>
            <w:tcW w:w="455" w:type="pct"/>
            <w:vMerge w:val="restart"/>
            <w:tcBorders>
              <w:top w:val="single" w:sz="4" w:space="0" w:color="000000"/>
              <w:left w:val="single" w:sz="4" w:space="0" w:color="000000"/>
              <w:bottom w:val="single" w:sz="4" w:space="0" w:color="000000"/>
              <w:right w:val="single" w:sz="4" w:space="0" w:color="000000"/>
            </w:tcBorders>
            <w:vAlign w:val="center"/>
            <w:hideMark/>
          </w:tcPr>
          <w:p w14:paraId="75465557" w14:textId="77777777" w:rsidR="009E7D20" w:rsidRDefault="009E7D20">
            <w:pPr>
              <w:spacing w:after="0" w:line="240" w:lineRule="auto"/>
              <w:jc w:val="center"/>
              <w:rPr>
                <w:rFonts w:cs="Calibri"/>
              </w:rPr>
            </w:pPr>
            <w:r>
              <w:rPr>
                <w:rFonts w:cs="Calibri"/>
              </w:rPr>
              <w:t>12</w:t>
            </w:r>
          </w:p>
        </w:tc>
        <w:tc>
          <w:tcPr>
            <w:tcW w:w="606" w:type="pct"/>
            <w:tcBorders>
              <w:top w:val="single" w:sz="4" w:space="0" w:color="000000"/>
              <w:left w:val="single" w:sz="4" w:space="0" w:color="000000"/>
              <w:bottom w:val="single" w:sz="4" w:space="0" w:color="000000"/>
              <w:right w:val="single" w:sz="4" w:space="0" w:color="000000"/>
            </w:tcBorders>
            <w:vAlign w:val="center"/>
            <w:hideMark/>
          </w:tcPr>
          <w:p w14:paraId="2644DB73" w14:textId="77777777" w:rsidR="009E7D20" w:rsidRDefault="001F0E9F">
            <w:pPr>
              <w:spacing w:after="0" w:line="240" w:lineRule="auto"/>
              <w:jc w:val="center"/>
              <w:rPr>
                <w:rFonts w:cs="Calibri"/>
              </w:rPr>
            </w:pPr>
            <w:r>
              <w:rPr>
                <w:rFonts w:cs="Calibri"/>
              </w:rPr>
              <w:t>192</w:t>
            </w:r>
          </w:p>
        </w:tc>
      </w:tr>
      <w:tr w:rsidR="009E7D20" w14:paraId="1CB8C249" w14:textId="77777777" w:rsidTr="009E7D20">
        <w:tc>
          <w:tcPr>
            <w:tcW w:w="644" w:type="pct"/>
            <w:vMerge/>
            <w:tcBorders>
              <w:top w:val="single" w:sz="4" w:space="0" w:color="000000"/>
              <w:left w:val="single" w:sz="4" w:space="0" w:color="000000"/>
              <w:bottom w:val="single" w:sz="4" w:space="0" w:color="000000"/>
              <w:right w:val="single" w:sz="4" w:space="0" w:color="000000"/>
            </w:tcBorders>
            <w:vAlign w:val="center"/>
            <w:hideMark/>
          </w:tcPr>
          <w:p w14:paraId="3059F0D1" w14:textId="77777777" w:rsidR="009E7D20" w:rsidRDefault="009E7D20">
            <w:pPr>
              <w:spacing w:after="0" w:line="240" w:lineRule="auto"/>
              <w:rPr>
                <w:rFonts w:cs="Calibri"/>
              </w:rPr>
            </w:pPr>
          </w:p>
        </w:tc>
        <w:tc>
          <w:tcPr>
            <w:tcW w:w="644" w:type="pct"/>
            <w:tcBorders>
              <w:top w:val="single" w:sz="4" w:space="0" w:color="000000"/>
              <w:left w:val="single" w:sz="4" w:space="0" w:color="000000"/>
              <w:bottom w:val="single" w:sz="4" w:space="0" w:color="000000"/>
              <w:right w:val="single" w:sz="4" w:space="0" w:color="000000"/>
            </w:tcBorders>
            <w:vAlign w:val="center"/>
            <w:hideMark/>
          </w:tcPr>
          <w:p w14:paraId="05785014" w14:textId="77777777" w:rsidR="009E7D20" w:rsidRDefault="009E7D20">
            <w:pPr>
              <w:spacing w:after="0" w:line="240" w:lineRule="auto"/>
              <w:contextualSpacing/>
              <w:jc w:val="center"/>
              <w:rPr>
                <w:rFonts w:cs="Calibri"/>
              </w:rPr>
            </w:pPr>
            <w:r>
              <w:rPr>
                <w:rFonts w:cs="Calibri"/>
              </w:rPr>
              <w:t>Focus Group Participant</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73A4D40C" w14:textId="77777777" w:rsidR="009E7D20" w:rsidRDefault="009E7D20">
            <w:pPr>
              <w:spacing w:after="0" w:line="240" w:lineRule="auto"/>
              <w:jc w:val="center"/>
              <w:rPr>
                <w:rFonts w:cs="Calibri"/>
              </w:rPr>
            </w:pPr>
            <w:r>
              <w:rPr>
                <w:rFonts w:cs="Calibri"/>
              </w:rPr>
              <w:t>3 Groups</w:t>
            </w:r>
          </w:p>
          <w:p w14:paraId="1567C6D3" w14:textId="77777777" w:rsidR="009E7D20" w:rsidRDefault="009E7D20">
            <w:pPr>
              <w:spacing w:after="0" w:line="240" w:lineRule="auto"/>
              <w:jc w:val="center"/>
              <w:rPr>
                <w:rFonts w:cs="Calibri"/>
              </w:rPr>
            </w:pPr>
            <w:r>
              <w:rPr>
                <w:rFonts w:cs="Calibri"/>
              </w:rPr>
              <w:t>(8 participants/ group)</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494346DF" w14:textId="77777777" w:rsidR="009E7D20" w:rsidRDefault="009E7D20">
            <w:pPr>
              <w:spacing w:after="0" w:line="240" w:lineRule="auto"/>
              <w:jc w:val="center"/>
              <w:rPr>
                <w:rFonts w:cs="Calibri"/>
              </w:rPr>
            </w:pPr>
            <w:r>
              <w:rPr>
                <w:rFonts w:cs="Calibri"/>
              </w:rPr>
              <w:t>3 Groups</w:t>
            </w:r>
          </w:p>
          <w:p w14:paraId="3502B806" w14:textId="77777777" w:rsidR="009E7D20" w:rsidRDefault="009E7D20">
            <w:pPr>
              <w:spacing w:after="0" w:line="240" w:lineRule="auto"/>
              <w:jc w:val="center"/>
              <w:rPr>
                <w:rFonts w:cs="Calibri"/>
              </w:rPr>
            </w:pPr>
            <w:r>
              <w:rPr>
                <w:rFonts w:cs="Calibri"/>
              </w:rPr>
              <w:t>(8 participants/ group)</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445A7DF2" w14:textId="77777777" w:rsidR="009E7D20" w:rsidRDefault="009E7D20">
            <w:pPr>
              <w:spacing w:after="0" w:line="240" w:lineRule="auto"/>
              <w:jc w:val="center"/>
              <w:rPr>
                <w:rFonts w:cs="Calibri"/>
              </w:rPr>
            </w:pPr>
            <w:r>
              <w:rPr>
                <w:rFonts w:cs="Calibri"/>
              </w:rPr>
              <w:t>3 Groups</w:t>
            </w:r>
          </w:p>
          <w:p w14:paraId="5E9E767E" w14:textId="77777777" w:rsidR="009E7D20" w:rsidRDefault="009E7D20">
            <w:pPr>
              <w:spacing w:after="0" w:line="240" w:lineRule="auto"/>
              <w:jc w:val="center"/>
              <w:rPr>
                <w:rFonts w:cs="Calibri"/>
              </w:rPr>
            </w:pPr>
            <w:r>
              <w:rPr>
                <w:rFonts w:cs="Calibri"/>
              </w:rPr>
              <w:t>(8 participants/ group)</w:t>
            </w:r>
          </w:p>
        </w:tc>
        <w:tc>
          <w:tcPr>
            <w:tcW w:w="455" w:type="pct"/>
            <w:tcBorders>
              <w:top w:val="single" w:sz="4" w:space="0" w:color="000000"/>
              <w:left w:val="single" w:sz="4" w:space="0" w:color="000000"/>
              <w:bottom w:val="single" w:sz="4" w:space="0" w:color="000000"/>
              <w:right w:val="single" w:sz="4" w:space="0" w:color="000000"/>
            </w:tcBorders>
            <w:vAlign w:val="center"/>
          </w:tcPr>
          <w:p w14:paraId="0034A7DA" w14:textId="77777777" w:rsidR="009E7D20" w:rsidRDefault="009E7D20" w:rsidP="00585855">
            <w:pPr>
              <w:spacing w:after="0" w:line="240" w:lineRule="auto"/>
              <w:jc w:val="center"/>
              <w:rPr>
                <w:rFonts w:cs="Calibri"/>
              </w:rPr>
            </w:pPr>
            <w:r>
              <w:rPr>
                <w:rFonts w:cs="Calibri"/>
              </w:rPr>
              <w:t>3 Groups</w:t>
            </w:r>
          </w:p>
          <w:p w14:paraId="7F181522" w14:textId="77777777" w:rsidR="009E7D20" w:rsidRDefault="009E7D20" w:rsidP="00585855">
            <w:pPr>
              <w:spacing w:after="0" w:line="240" w:lineRule="auto"/>
              <w:jc w:val="center"/>
              <w:rPr>
                <w:rFonts w:cs="Calibri"/>
              </w:rPr>
            </w:pPr>
            <w:r>
              <w:rPr>
                <w:rFonts w:cs="Calibri"/>
              </w:rPr>
              <w:t>(8 participants/ group)</w:t>
            </w:r>
          </w:p>
        </w:tc>
        <w:tc>
          <w:tcPr>
            <w:tcW w:w="455" w:type="pct"/>
            <w:vMerge/>
            <w:tcBorders>
              <w:top w:val="single" w:sz="4" w:space="0" w:color="000000"/>
              <w:left w:val="single" w:sz="4" w:space="0" w:color="000000"/>
              <w:bottom w:val="single" w:sz="4" w:space="0" w:color="000000"/>
              <w:right w:val="single" w:sz="4" w:space="0" w:color="000000"/>
            </w:tcBorders>
            <w:vAlign w:val="center"/>
            <w:hideMark/>
          </w:tcPr>
          <w:p w14:paraId="59EFA95F" w14:textId="77777777" w:rsidR="009E7D20" w:rsidRDefault="009E7D20">
            <w:pPr>
              <w:spacing w:after="0" w:line="240" w:lineRule="auto"/>
              <w:rPr>
                <w:rFonts w:cs="Calibri"/>
              </w:rPr>
            </w:pPr>
          </w:p>
        </w:tc>
        <w:tc>
          <w:tcPr>
            <w:tcW w:w="606" w:type="pct"/>
            <w:tcBorders>
              <w:top w:val="single" w:sz="4" w:space="0" w:color="000000"/>
              <w:left w:val="single" w:sz="4" w:space="0" w:color="000000"/>
              <w:bottom w:val="single" w:sz="4" w:space="0" w:color="000000"/>
              <w:right w:val="single" w:sz="4" w:space="0" w:color="000000"/>
            </w:tcBorders>
            <w:vAlign w:val="center"/>
            <w:hideMark/>
          </w:tcPr>
          <w:p w14:paraId="5A417881" w14:textId="77777777" w:rsidR="009E7D20" w:rsidRDefault="009E7D20">
            <w:pPr>
              <w:spacing w:after="0" w:line="240" w:lineRule="auto"/>
              <w:jc w:val="center"/>
              <w:rPr>
                <w:rFonts w:cs="Calibri"/>
              </w:rPr>
            </w:pPr>
            <w:r>
              <w:rPr>
                <w:rFonts w:cs="Calibri"/>
              </w:rPr>
              <w:t>96</w:t>
            </w:r>
          </w:p>
        </w:tc>
      </w:tr>
      <w:tr w:rsidR="009E7D20" w14:paraId="38AE55C8" w14:textId="77777777" w:rsidTr="009E7D20">
        <w:tc>
          <w:tcPr>
            <w:tcW w:w="644" w:type="pct"/>
            <w:tcBorders>
              <w:top w:val="single" w:sz="4" w:space="0" w:color="000000"/>
              <w:left w:val="single" w:sz="4" w:space="0" w:color="000000"/>
              <w:bottom w:val="single" w:sz="4" w:space="0" w:color="000000"/>
              <w:right w:val="single" w:sz="4" w:space="0" w:color="000000"/>
            </w:tcBorders>
            <w:vAlign w:val="center"/>
            <w:hideMark/>
          </w:tcPr>
          <w:p w14:paraId="770220B1" w14:textId="77777777" w:rsidR="009E7D20" w:rsidRDefault="009E7D20">
            <w:pPr>
              <w:spacing w:after="0" w:line="240" w:lineRule="auto"/>
              <w:contextualSpacing/>
              <w:jc w:val="center"/>
              <w:rPr>
                <w:rFonts w:cs="Calibri"/>
                <w:b/>
              </w:rPr>
            </w:pPr>
            <w:r>
              <w:rPr>
                <w:rFonts w:cs="Calibri"/>
                <w:b/>
              </w:rPr>
              <w:t>TOTAL</w:t>
            </w:r>
          </w:p>
        </w:tc>
        <w:tc>
          <w:tcPr>
            <w:tcW w:w="64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7AD0CA8" w14:textId="77777777" w:rsidR="009E7D20" w:rsidRDefault="009E7D20">
            <w:pPr>
              <w:spacing w:after="0" w:line="240" w:lineRule="auto"/>
              <w:contextualSpacing/>
              <w:jc w:val="center"/>
              <w:rPr>
                <w:rFonts w:cs="Calibri"/>
              </w:rPr>
            </w:pP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34CB4127" w14:textId="77777777" w:rsidR="001F0E9F" w:rsidRDefault="001F0E9F">
            <w:pPr>
              <w:spacing w:after="0" w:line="240" w:lineRule="auto"/>
              <w:jc w:val="center"/>
              <w:rPr>
                <w:rFonts w:cs="Calibri"/>
              </w:rPr>
            </w:pPr>
            <w:r>
              <w:rPr>
                <w:rFonts w:cs="Calibri"/>
              </w:rPr>
              <w:t>24</w:t>
            </w:r>
          </w:p>
          <w:p w14:paraId="748F50E1" w14:textId="77777777" w:rsidR="009E7D20" w:rsidRDefault="009E7D20">
            <w:pPr>
              <w:spacing w:after="0" w:line="240" w:lineRule="auto"/>
              <w:jc w:val="center"/>
              <w:rPr>
                <w:rFonts w:cs="Calibri"/>
              </w:rPr>
            </w:pPr>
            <w:r>
              <w:rPr>
                <w:rFonts w:cs="Calibri"/>
              </w:rPr>
              <w:t>Participants</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391EAE2A" w14:textId="77777777" w:rsidR="001F0E9F" w:rsidRDefault="001F0E9F">
            <w:pPr>
              <w:spacing w:after="0" w:line="240" w:lineRule="auto"/>
              <w:jc w:val="center"/>
              <w:rPr>
                <w:rFonts w:cs="Calibri"/>
              </w:rPr>
            </w:pPr>
            <w:r>
              <w:rPr>
                <w:rFonts w:cs="Calibri"/>
              </w:rPr>
              <w:t>24</w:t>
            </w:r>
          </w:p>
          <w:p w14:paraId="690C66C9" w14:textId="77777777" w:rsidR="009E7D20" w:rsidRDefault="009E7D20">
            <w:pPr>
              <w:spacing w:after="0" w:line="240" w:lineRule="auto"/>
              <w:jc w:val="center"/>
              <w:rPr>
                <w:rFonts w:cs="Calibri"/>
              </w:rPr>
            </w:pPr>
            <w:r>
              <w:rPr>
                <w:rFonts w:cs="Calibri"/>
              </w:rPr>
              <w:t>Participants</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1BD00B95" w14:textId="77777777" w:rsidR="001F0E9F" w:rsidRDefault="001F0E9F">
            <w:pPr>
              <w:spacing w:after="0" w:line="240" w:lineRule="auto"/>
              <w:jc w:val="center"/>
              <w:rPr>
                <w:rFonts w:cs="Calibri"/>
              </w:rPr>
            </w:pPr>
            <w:r>
              <w:rPr>
                <w:rFonts w:cs="Calibri"/>
              </w:rPr>
              <w:t>24</w:t>
            </w:r>
          </w:p>
          <w:p w14:paraId="17590F73" w14:textId="77777777" w:rsidR="009E7D20" w:rsidRDefault="009E7D20">
            <w:pPr>
              <w:spacing w:after="0" w:line="240" w:lineRule="auto"/>
              <w:jc w:val="center"/>
              <w:rPr>
                <w:rFonts w:cs="Calibri"/>
              </w:rPr>
            </w:pPr>
            <w:r>
              <w:rPr>
                <w:rFonts w:cs="Calibri"/>
              </w:rPr>
              <w:t>Participants</w:t>
            </w:r>
          </w:p>
        </w:tc>
        <w:tc>
          <w:tcPr>
            <w:tcW w:w="455" w:type="pct"/>
            <w:tcBorders>
              <w:top w:val="single" w:sz="4" w:space="0" w:color="000000"/>
              <w:left w:val="single" w:sz="4" w:space="0" w:color="000000"/>
              <w:bottom w:val="single" w:sz="4" w:space="0" w:color="000000"/>
              <w:right w:val="single" w:sz="4" w:space="0" w:color="000000"/>
            </w:tcBorders>
          </w:tcPr>
          <w:p w14:paraId="4EB26AB8" w14:textId="77777777" w:rsidR="009E7D20" w:rsidRDefault="001F0E9F">
            <w:pPr>
              <w:spacing w:after="0" w:line="240" w:lineRule="auto"/>
              <w:jc w:val="center"/>
              <w:rPr>
                <w:rFonts w:cs="Calibri"/>
              </w:rPr>
            </w:pPr>
            <w:r>
              <w:rPr>
                <w:rFonts w:cs="Calibri"/>
              </w:rPr>
              <w:t>24 participants</w:t>
            </w:r>
          </w:p>
        </w:tc>
        <w:tc>
          <w:tcPr>
            <w:tcW w:w="455" w:type="pct"/>
            <w:tcBorders>
              <w:top w:val="single" w:sz="4" w:space="0" w:color="000000"/>
              <w:left w:val="single" w:sz="4" w:space="0" w:color="000000"/>
              <w:bottom w:val="single" w:sz="4" w:space="0" w:color="000000"/>
              <w:right w:val="single" w:sz="4" w:space="0" w:color="000000"/>
            </w:tcBorders>
            <w:vAlign w:val="center"/>
            <w:hideMark/>
          </w:tcPr>
          <w:p w14:paraId="2DB4FAAC" w14:textId="77777777" w:rsidR="009E7D20" w:rsidRDefault="009E7D20">
            <w:pPr>
              <w:spacing w:after="0" w:line="240" w:lineRule="auto"/>
              <w:jc w:val="center"/>
              <w:rPr>
                <w:rFonts w:cs="Calibri"/>
              </w:rPr>
            </w:pPr>
            <w:r>
              <w:rPr>
                <w:rFonts w:cs="Calibri"/>
              </w:rPr>
              <w:t>12</w:t>
            </w:r>
          </w:p>
        </w:tc>
        <w:tc>
          <w:tcPr>
            <w:tcW w:w="606" w:type="pct"/>
            <w:tcBorders>
              <w:top w:val="single" w:sz="4" w:space="0" w:color="000000"/>
              <w:left w:val="single" w:sz="4" w:space="0" w:color="000000"/>
              <w:bottom w:val="single" w:sz="4" w:space="0" w:color="000000"/>
              <w:right w:val="single" w:sz="4" w:space="0" w:color="000000"/>
            </w:tcBorders>
            <w:vAlign w:val="center"/>
            <w:hideMark/>
          </w:tcPr>
          <w:p w14:paraId="13016C8F" w14:textId="77777777" w:rsidR="009E7D20" w:rsidRDefault="003905D6">
            <w:pPr>
              <w:spacing w:after="0" w:line="240" w:lineRule="auto"/>
              <w:jc w:val="center"/>
              <w:rPr>
                <w:rFonts w:cs="Calibri"/>
                <w:b/>
              </w:rPr>
            </w:pPr>
            <w:r>
              <w:rPr>
                <w:rFonts w:cs="Calibri"/>
                <w:b/>
              </w:rPr>
              <w:t>192</w:t>
            </w:r>
          </w:p>
        </w:tc>
      </w:tr>
    </w:tbl>
    <w:p w14:paraId="405F0B88" w14:textId="77777777" w:rsidR="008A4AE4" w:rsidRPr="008756D5" w:rsidRDefault="008A4AE4">
      <w:pPr>
        <w:rPr>
          <w:rFonts w:asciiTheme="minorHAnsi" w:hAnsiTheme="minorHAnsi"/>
        </w:rPr>
      </w:pPr>
    </w:p>
    <w:sectPr w:rsidR="008A4AE4" w:rsidRPr="008756D5" w:rsidSect="00946DD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4F7D4" w14:textId="77777777" w:rsidR="00CA68A6" w:rsidRDefault="00CA68A6">
      <w:pPr>
        <w:spacing w:after="0" w:line="240" w:lineRule="auto"/>
      </w:pPr>
      <w:r>
        <w:separator/>
      </w:r>
    </w:p>
  </w:endnote>
  <w:endnote w:type="continuationSeparator" w:id="0">
    <w:p w14:paraId="7A96A873" w14:textId="77777777" w:rsidR="00CA68A6" w:rsidRDefault="00CA68A6">
      <w:pPr>
        <w:spacing w:after="0" w:line="240" w:lineRule="auto"/>
      </w:pPr>
      <w:r>
        <w:continuationSeparator/>
      </w:r>
    </w:p>
  </w:endnote>
  <w:endnote w:type="continuationNotice" w:id="1">
    <w:p w14:paraId="43954DB1" w14:textId="77777777" w:rsidR="00CA68A6" w:rsidRDefault="00CA6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A389C" w14:textId="77777777" w:rsidR="00B46425" w:rsidRDefault="00B46425" w:rsidP="008756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E41B3" w14:textId="77777777" w:rsidR="00CA68A6" w:rsidRDefault="00CA68A6">
      <w:pPr>
        <w:spacing w:after="0" w:line="240" w:lineRule="auto"/>
      </w:pPr>
      <w:r>
        <w:separator/>
      </w:r>
    </w:p>
  </w:footnote>
  <w:footnote w:type="continuationSeparator" w:id="0">
    <w:p w14:paraId="1DF24D80" w14:textId="77777777" w:rsidR="00CA68A6" w:rsidRDefault="00CA68A6">
      <w:pPr>
        <w:spacing w:after="0" w:line="240" w:lineRule="auto"/>
      </w:pPr>
      <w:r>
        <w:continuationSeparator/>
      </w:r>
    </w:p>
  </w:footnote>
  <w:footnote w:type="continuationNotice" w:id="1">
    <w:p w14:paraId="0E1B8E44" w14:textId="77777777" w:rsidR="00CA68A6" w:rsidRDefault="00CA68A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27D34" w14:textId="77777777" w:rsidR="00B46425" w:rsidRDefault="00B46425" w:rsidP="008756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6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15D19F8"/>
    <w:multiLevelType w:val="hybridMultilevel"/>
    <w:tmpl w:val="D54AF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AF42CE"/>
    <w:multiLevelType w:val="hybridMultilevel"/>
    <w:tmpl w:val="340E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299E3CA8"/>
    <w:multiLevelType w:val="hybridMultilevel"/>
    <w:tmpl w:val="AAA85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BA75110"/>
    <w:multiLevelType w:val="hybridMultilevel"/>
    <w:tmpl w:val="5860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429D7"/>
    <w:multiLevelType w:val="hybridMultilevel"/>
    <w:tmpl w:val="78DC1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B02651"/>
    <w:multiLevelType w:val="hybridMultilevel"/>
    <w:tmpl w:val="72D4A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79F14D2"/>
    <w:multiLevelType w:val="hybridMultilevel"/>
    <w:tmpl w:val="195AF15A"/>
    <w:lvl w:ilvl="0" w:tplc="BB22820E">
      <w:start w:val="1"/>
      <w:numFmt w:val="decimal"/>
      <w:lvlText w:val="%1."/>
      <w:lvlJc w:val="left"/>
      <w:pPr>
        <w:ind w:left="540" w:hanging="360"/>
      </w:pPr>
      <w:rPr>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8">
    <w:nsid w:val="3F4F7F09"/>
    <w:multiLevelType w:val="hybridMultilevel"/>
    <w:tmpl w:val="A4FA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23780E"/>
    <w:multiLevelType w:val="hybridMultilevel"/>
    <w:tmpl w:val="9B965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44A40D30"/>
    <w:multiLevelType w:val="hybridMultilevel"/>
    <w:tmpl w:val="5456C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FFA6783"/>
    <w:multiLevelType w:val="hybridMultilevel"/>
    <w:tmpl w:val="CE426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B150C88"/>
    <w:multiLevelType w:val="hybridMultilevel"/>
    <w:tmpl w:val="E0969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6101339E"/>
    <w:multiLevelType w:val="hybridMultilevel"/>
    <w:tmpl w:val="EDDEFF8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615131AF"/>
    <w:multiLevelType w:val="hybridMultilevel"/>
    <w:tmpl w:val="7B94697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21970B7"/>
    <w:multiLevelType w:val="hybridMultilevel"/>
    <w:tmpl w:val="F478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777E46"/>
    <w:multiLevelType w:val="hybridMultilevel"/>
    <w:tmpl w:val="2864D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74B54D4"/>
    <w:multiLevelType w:val="hybridMultilevel"/>
    <w:tmpl w:val="FF82B0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18">
    <w:nsid w:val="78731805"/>
    <w:multiLevelType w:val="hybridMultilevel"/>
    <w:tmpl w:val="4EB0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A21046"/>
    <w:multiLevelType w:val="hybridMultilevel"/>
    <w:tmpl w:val="1F8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4673CF"/>
    <w:multiLevelType w:val="hybridMultilevel"/>
    <w:tmpl w:val="49D4A602"/>
    <w:lvl w:ilvl="0" w:tplc="04090001">
      <w:start w:val="1"/>
      <w:numFmt w:val="bullet"/>
      <w:lvlText w:val=""/>
      <w:lvlJc w:val="left"/>
      <w:pPr>
        <w:ind w:left="540" w:hanging="360"/>
      </w:pPr>
      <w:rPr>
        <w:rFonts w:ascii="Symbol" w:hAnsi="Symbol" w:hint="default"/>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1">
    <w:nsid w:val="7C3D0F35"/>
    <w:multiLevelType w:val="hybridMultilevel"/>
    <w:tmpl w:val="3968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0C4A8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4"/>
  </w:num>
  <w:num w:numId="4">
    <w:abstractNumId w:val="19"/>
  </w:num>
  <w:num w:numId="5">
    <w:abstractNumId w:val="15"/>
  </w:num>
  <w:num w:numId="6">
    <w:abstractNumId w:val="5"/>
  </w:num>
  <w:num w:numId="7">
    <w:abstractNumId w:val="18"/>
  </w:num>
  <w:num w:numId="8">
    <w:abstractNumId w:val="1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21"/>
  </w:num>
  <w:num w:numId="13">
    <w:abstractNumId w:val="16"/>
  </w:num>
  <w:num w:numId="14">
    <w:abstractNumId w:val="17"/>
  </w:num>
  <w:num w:numId="15">
    <w:abstractNumId w:val="6"/>
  </w:num>
  <w:num w:numId="16">
    <w:abstractNumId w:val="9"/>
  </w:num>
  <w:num w:numId="17">
    <w:abstractNumId w:val="2"/>
  </w:num>
  <w:num w:numId="18">
    <w:abstractNumId w:val="12"/>
  </w:num>
  <w:num w:numId="19">
    <w:abstractNumId w:val="3"/>
  </w:num>
  <w:num w:numId="20">
    <w:abstractNumId w:val="10"/>
  </w:num>
  <w:num w:numId="21">
    <w:abstractNumId w:val="13"/>
  </w:num>
  <w:num w:numId="22">
    <w:abstractNumId w:val="0"/>
  </w:num>
  <w:num w:numId="23">
    <w:abstractNumId w:val="22"/>
  </w:num>
  <w:num w:numId="24">
    <w:abstractNumId w:val="7"/>
  </w:num>
  <w:num w:numId="25">
    <w:abstractNumId w:val="2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4D6"/>
    <w:rsid w:val="0000064F"/>
    <w:rsid w:val="00005A6A"/>
    <w:rsid w:val="00017B9E"/>
    <w:rsid w:val="00020237"/>
    <w:rsid w:val="00065096"/>
    <w:rsid w:val="0007307B"/>
    <w:rsid w:val="000928A0"/>
    <w:rsid w:val="00094719"/>
    <w:rsid w:val="00097218"/>
    <w:rsid w:val="000A3AE9"/>
    <w:rsid w:val="000C75A6"/>
    <w:rsid w:val="000D31E0"/>
    <w:rsid w:val="000F5B99"/>
    <w:rsid w:val="0010110A"/>
    <w:rsid w:val="00122903"/>
    <w:rsid w:val="001607FF"/>
    <w:rsid w:val="00167504"/>
    <w:rsid w:val="00195CAF"/>
    <w:rsid w:val="001A0CB9"/>
    <w:rsid w:val="001B50C0"/>
    <w:rsid w:val="001F0E9F"/>
    <w:rsid w:val="001F4311"/>
    <w:rsid w:val="0020309D"/>
    <w:rsid w:val="002341D0"/>
    <w:rsid w:val="00242861"/>
    <w:rsid w:val="002940B2"/>
    <w:rsid w:val="002B7FC6"/>
    <w:rsid w:val="00307529"/>
    <w:rsid w:val="00316492"/>
    <w:rsid w:val="003257D5"/>
    <w:rsid w:val="003331D8"/>
    <w:rsid w:val="00347A01"/>
    <w:rsid w:val="003507EA"/>
    <w:rsid w:val="0035584F"/>
    <w:rsid w:val="00382CF0"/>
    <w:rsid w:val="003905D6"/>
    <w:rsid w:val="003A0F9D"/>
    <w:rsid w:val="003A7248"/>
    <w:rsid w:val="003C2E3C"/>
    <w:rsid w:val="003D12F1"/>
    <w:rsid w:val="003E7CEC"/>
    <w:rsid w:val="00406B3C"/>
    <w:rsid w:val="00440B19"/>
    <w:rsid w:val="00452A08"/>
    <w:rsid w:val="004617A3"/>
    <w:rsid w:val="004D6556"/>
    <w:rsid w:val="00502303"/>
    <w:rsid w:val="005048C3"/>
    <w:rsid w:val="00517874"/>
    <w:rsid w:val="0054332D"/>
    <w:rsid w:val="005A558B"/>
    <w:rsid w:val="005A7FF0"/>
    <w:rsid w:val="005E5DE4"/>
    <w:rsid w:val="005F25A3"/>
    <w:rsid w:val="00611686"/>
    <w:rsid w:val="00620E2E"/>
    <w:rsid w:val="006337BA"/>
    <w:rsid w:val="00637B3D"/>
    <w:rsid w:val="00637F5F"/>
    <w:rsid w:val="006617A1"/>
    <w:rsid w:val="00666D9D"/>
    <w:rsid w:val="00674628"/>
    <w:rsid w:val="006A3C43"/>
    <w:rsid w:val="006D0C5D"/>
    <w:rsid w:val="0071615A"/>
    <w:rsid w:val="00723BA7"/>
    <w:rsid w:val="00725519"/>
    <w:rsid w:val="00730798"/>
    <w:rsid w:val="00746679"/>
    <w:rsid w:val="007748E9"/>
    <w:rsid w:val="007A6621"/>
    <w:rsid w:val="007A6DF3"/>
    <w:rsid w:val="007B1625"/>
    <w:rsid w:val="007D31BA"/>
    <w:rsid w:val="007D74E9"/>
    <w:rsid w:val="007E5B4C"/>
    <w:rsid w:val="007F24CD"/>
    <w:rsid w:val="008223D0"/>
    <w:rsid w:val="008756D5"/>
    <w:rsid w:val="00885D5C"/>
    <w:rsid w:val="00894CC2"/>
    <w:rsid w:val="008A4AE4"/>
    <w:rsid w:val="008C1681"/>
    <w:rsid w:val="008F1479"/>
    <w:rsid w:val="008F298E"/>
    <w:rsid w:val="008F612D"/>
    <w:rsid w:val="00917D7F"/>
    <w:rsid w:val="0092321D"/>
    <w:rsid w:val="0093563A"/>
    <w:rsid w:val="009374F2"/>
    <w:rsid w:val="00943165"/>
    <w:rsid w:val="00946DDD"/>
    <w:rsid w:val="0095609B"/>
    <w:rsid w:val="009E197B"/>
    <w:rsid w:val="009E7D20"/>
    <w:rsid w:val="009F1127"/>
    <w:rsid w:val="009F1EBD"/>
    <w:rsid w:val="00A32E6B"/>
    <w:rsid w:val="00A40650"/>
    <w:rsid w:val="00A52377"/>
    <w:rsid w:val="00A634D6"/>
    <w:rsid w:val="00A801C9"/>
    <w:rsid w:val="00B357E0"/>
    <w:rsid w:val="00B46425"/>
    <w:rsid w:val="00B66F46"/>
    <w:rsid w:val="00B70F01"/>
    <w:rsid w:val="00B870B3"/>
    <w:rsid w:val="00B92424"/>
    <w:rsid w:val="00BE5B65"/>
    <w:rsid w:val="00BF5F87"/>
    <w:rsid w:val="00C70252"/>
    <w:rsid w:val="00C86BE2"/>
    <w:rsid w:val="00C87926"/>
    <w:rsid w:val="00CA68A6"/>
    <w:rsid w:val="00CD2768"/>
    <w:rsid w:val="00CD5849"/>
    <w:rsid w:val="00D152C1"/>
    <w:rsid w:val="00D177B0"/>
    <w:rsid w:val="00D3168E"/>
    <w:rsid w:val="00D60BE1"/>
    <w:rsid w:val="00D7754B"/>
    <w:rsid w:val="00D775F8"/>
    <w:rsid w:val="00DC5A0E"/>
    <w:rsid w:val="00E035FB"/>
    <w:rsid w:val="00E30F96"/>
    <w:rsid w:val="00E505A0"/>
    <w:rsid w:val="00E51485"/>
    <w:rsid w:val="00EA3765"/>
    <w:rsid w:val="00EB5779"/>
    <w:rsid w:val="00EE6F60"/>
    <w:rsid w:val="00EF014F"/>
    <w:rsid w:val="00EF4933"/>
    <w:rsid w:val="00F14A1B"/>
    <w:rsid w:val="00F20EE9"/>
    <w:rsid w:val="00F73C59"/>
    <w:rsid w:val="00F9552A"/>
    <w:rsid w:val="00FB2640"/>
    <w:rsid w:val="00FE23B2"/>
    <w:rsid w:val="00FF14C6"/>
    <w:rsid w:val="00F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D6"/>
    <w:rPr>
      <w:rFonts w:ascii="Calibri" w:eastAsia="Calibri" w:hAnsi="Calibri" w:cs="Times New Roman"/>
    </w:rPr>
  </w:style>
  <w:style w:type="paragraph" w:styleId="Heading1">
    <w:name w:val="heading 1"/>
    <w:basedOn w:val="Normal"/>
    <w:next w:val="Normal"/>
    <w:link w:val="Heading1Char"/>
    <w:uiPriority w:val="9"/>
    <w:qFormat/>
    <w:rsid w:val="001011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0110A"/>
    <w:pPr>
      <w:keepNext/>
      <w:keepLines/>
      <w:spacing w:before="200" w:after="0"/>
      <w:jc w:val="center"/>
      <w:outlineLvl w:val="1"/>
    </w:pPr>
    <w:rPr>
      <w:rFonts w:eastAsia="Times New Roman"/>
      <w:b/>
      <w:bCs/>
      <w:sz w:val="4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A634D6"/>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 w:type="paragraph" w:styleId="NormalWeb">
    <w:name w:val="Normal (Web)"/>
    <w:basedOn w:val="Normal"/>
    <w:uiPriority w:val="99"/>
    <w:unhideWhenUsed/>
    <w:rsid w:val="00A634D6"/>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qFormat/>
    <w:rsid w:val="00A634D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F73C59"/>
    <w:rPr>
      <w:sz w:val="16"/>
      <w:szCs w:val="16"/>
    </w:rPr>
  </w:style>
  <w:style w:type="paragraph" w:styleId="CommentText">
    <w:name w:val="annotation text"/>
    <w:basedOn w:val="Normal"/>
    <w:link w:val="CommentTextChar"/>
    <w:uiPriority w:val="99"/>
    <w:semiHidden/>
    <w:unhideWhenUsed/>
    <w:rsid w:val="00F73C59"/>
    <w:pPr>
      <w:spacing w:line="240" w:lineRule="auto"/>
    </w:pPr>
    <w:rPr>
      <w:sz w:val="20"/>
      <w:szCs w:val="20"/>
    </w:rPr>
  </w:style>
  <w:style w:type="character" w:customStyle="1" w:styleId="CommentTextChar">
    <w:name w:val="Comment Text Char"/>
    <w:basedOn w:val="DefaultParagraphFont"/>
    <w:link w:val="CommentText"/>
    <w:uiPriority w:val="99"/>
    <w:semiHidden/>
    <w:rsid w:val="00F73C5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73C59"/>
    <w:rPr>
      <w:b/>
      <w:bCs/>
    </w:rPr>
  </w:style>
  <w:style w:type="character" w:customStyle="1" w:styleId="CommentSubjectChar">
    <w:name w:val="Comment Subject Char"/>
    <w:basedOn w:val="CommentTextChar"/>
    <w:link w:val="CommentSubject"/>
    <w:uiPriority w:val="99"/>
    <w:semiHidden/>
    <w:rsid w:val="00F73C5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7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59"/>
    <w:rPr>
      <w:rFonts w:ascii="Tahoma" w:eastAsia="Calibri" w:hAnsi="Tahoma" w:cs="Tahoma"/>
      <w:sz w:val="16"/>
      <w:szCs w:val="16"/>
    </w:rPr>
  </w:style>
  <w:style w:type="paragraph" w:styleId="ListParagraph">
    <w:name w:val="List Paragraph"/>
    <w:basedOn w:val="Normal"/>
    <w:uiPriority w:val="34"/>
    <w:qFormat/>
    <w:rsid w:val="00094719"/>
    <w:pPr>
      <w:ind w:left="720"/>
      <w:contextualSpacing/>
    </w:pPr>
  </w:style>
  <w:style w:type="paragraph" w:styleId="Revision">
    <w:name w:val="Revision"/>
    <w:hidden/>
    <w:uiPriority w:val="99"/>
    <w:semiHidden/>
    <w:rsid w:val="00EE6F60"/>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FF7A95"/>
    <w:pPr>
      <w:tabs>
        <w:tab w:val="center" w:pos="4680"/>
        <w:tab w:val="right" w:pos="9360"/>
      </w:tabs>
    </w:pPr>
  </w:style>
  <w:style w:type="character" w:customStyle="1" w:styleId="HeaderChar">
    <w:name w:val="Header Char"/>
    <w:basedOn w:val="DefaultParagraphFont"/>
    <w:link w:val="Header"/>
    <w:uiPriority w:val="99"/>
    <w:semiHidden/>
    <w:rsid w:val="00FF7A95"/>
    <w:rPr>
      <w:rFonts w:ascii="Calibri" w:eastAsia="Calibri" w:hAnsi="Calibri" w:cs="Times New Roman"/>
    </w:rPr>
  </w:style>
  <w:style w:type="paragraph" w:styleId="Footer">
    <w:name w:val="footer"/>
    <w:basedOn w:val="Normal"/>
    <w:link w:val="FooterChar"/>
    <w:uiPriority w:val="99"/>
    <w:unhideWhenUsed/>
    <w:rsid w:val="00FF7A95"/>
    <w:pPr>
      <w:tabs>
        <w:tab w:val="center" w:pos="4680"/>
        <w:tab w:val="right" w:pos="9360"/>
      </w:tabs>
    </w:pPr>
  </w:style>
  <w:style w:type="character" w:customStyle="1" w:styleId="FooterChar">
    <w:name w:val="Footer Char"/>
    <w:basedOn w:val="DefaultParagraphFont"/>
    <w:link w:val="Footer"/>
    <w:uiPriority w:val="99"/>
    <w:rsid w:val="00FF7A95"/>
    <w:rPr>
      <w:rFonts w:ascii="Calibri" w:eastAsia="Calibri" w:hAnsi="Calibri" w:cs="Times New Roman"/>
    </w:rPr>
  </w:style>
  <w:style w:type="character" w:customStyle="1" w:styleId="Heading1Char">
    <w:name w:val="Heading 1 Char"/>
    <w:basedOn w:val="DefaultParagraphFont"/>
    <w:link w:val="Heading1"/>
    <w:uiPriority w:val="9"/>
    <w:rsid w:val="001011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0110A"/>
    <w:rPr>
      <w:rFonts w:ascii="Calibri" w:eastAsia="Times New Roman" w:hAnsi="Calibri" w:cs="Times New Roman"/>
      <w:b/>
      <w:bCs/>
      <w:sz w:val="40"/>
      <w:szCs w:val="26"/>
      <w:u w:val="single"/>
    </w:rPr>
  </w:style>
  <w:style w:type="paragraph" w:styleId="Subtitle">
    <w:name w:val="Subtitle"/>
    <w:basedOn w:val="Normal"/>
    <w:next w:val="Normal"/>
    <w:link w:val="SubtitleChar"/>
    <w:uiPriority w:val="11"/>
    <w:qFormat/>
    <w:rsid w:val="0010110A"/>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10110A"/>
    <w:rPr>
      <w:rFonts w:ascii="Cambria" w:eastAsia="Times New Roman" w:hAnsi="Cambria" w:cs="Times New Roman"/>
      <w:i/>
      <w:iCs/>
      <w:color w:val="4F81BD"/>
      <w:spacing w:val="15"/>
      <w:sz w:val="24"/>
      <w:szCs w:val="24"/>
    </w:rPr>
  </w:style>
  <w:style w:type="paragraph" w:customStyle="1" w:styleId="Default">
    <w:name w:val="Default"/>
    <w:rsid w:val="0010110A"/>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59"/>
    <w:rsid w:val="001011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D6"/>
    <w:rPr>
      <w:rFonts w:ascii="Calibri" w:eastAsia="Calibri" w:hAnsi="Calibri" w:cs="Times New Roman"/>
    </w:rPr>
  </w:style>
  <w:style w:type="paragraph" w:styleId="Heading1">
    <w:name w:val="heading 1"/>
    <w:basedOn w:val="Normal"/>
    <w:next w:val="Normal"/>
    <w:link w:val="Heading1Char"/>
    <w:uiPriority w:val="9"/>
    <w:qFormat/>
    <w:rsid w:val="001011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0110A"/>
    <w:pPr>
      <w:keepNext/>
      <w:keepLines/>
      <w:spacing w:before="200" w:after="0"/>
      <w:jc w:val="center"/>
      <w:outlineLvl w:val="1"/>
    </w:pPr>
    <w:rPr>
      <w:rFonts w:eastAsia="Times New Roman"/>
      <w:b/>
      <w:bCs/>
      <w:sz w:val="4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A634D6"/>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 w:type="paragraph" w:styleId="NormalWeb">
    <w:name w:val="Normal (Web)"/>
    <w:basedOn w:val="Normal"/>
    <w:uiPriority w:val="99"/>
    <w:unhideWhenUsed/>
    <w:rsid w:val="00A634D6"/>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qFormat/>
    <w:rsid w:val="00A634D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F73C59"/>
    <w:rPr>
      <w:sz w:val="16"/>
      <w:szCs w:val="16"/>
    </w:rPr>
  </w:style>
  <w:style w:type="paragraph" w:styleId="CommentText">
    <w:name w:val="annotation text"/>
    <w:basedOn w:val="Normal"/>
    <w:link w:val="CommentTextChar"/>
    <w:uiPriority w:val="99"/>
    <w:semiHidden/>
    <w:unhideWhenUsed/>
    <w:rsid w:val="00F73C59"/>
    <w:pPr>
      <w:spacing w:line="240" w:lineRule="auto"/>
    </w:pPr>
    <w:rPr>
      <w:sz w:val="20"/>
      <w:szCs w:val="20"/>
    </w:rPr>
  </w:style>
  <w:style w:type="character" w:customStyle="1" w:styleId="CommentTextChar">
    <w:name w:val="Comment Text Char"/>
    <w:basedOn w:val="DefaultParagraphFont"/>
    <w:link w:val="CommentText"/>
    <w:uiPriority w:val="99"/>
    <w:semiHidden/>
    <w:rsid w:val="00F73C5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73C59"/>
    <w:rPr>
      <w:b/>
      <w:bCs/>
    </w:rPr>
  </w:style>
  <w:style w:type="character" w:customStyle="1" w:styleId="CommentSubjectChar">
    <w:name w:val="Comment Subject Char"/>
    <w:basedOn w:val="CommentTextChar"/>
    <w:link w:val="CommentSubject"/>
    <w:uiPriority w:val="99"/>
    <w:semiHidden/>
    <w:rsid w:val="00F73C5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7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59"/>
    <w:rPr>
      <w:rFonts w:ascii="Tahoma" w:eastAsia="Calibri" w:hAnsi="Tahoma" w:cs="Tahoma"/>
      <w:sz w:val="16"/>
      <w:szCs w:val="16"/>
    </w:rPr>
  </w:style>
  <w:style w:type="paragraph" w:styleId="ListParagraph">
    <w:name w:val="List Paragraph"/>
    <w:basedOn w:val="Normal"/>
    <w:uiPriority w:val="34"/>
    <w:qFormat/>
    <w:rsid w:val="00094719"/>
    <w:pPr>
      <w:ind w:left="720"/>
      <w:contextualSpacing/>
    </w:pPr>
  </w:style>
  <w:style w:type="paragraph" w:styleId="Revision">
    <w:name w:val="Revision"/>
    <w:hidden/>
    <w:uiPriority w:val="99"/>
    <w:semiHidden/>
    <w:rsid w:val="00EE6F60"/>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FF7A95"/>
    <w:pPr>
      <w:tabs>
        <w:tab w:val="center" w:pos="4680"/>
        <w:tab w:val="right" w:pos="9360"/>
      </w:tabs>
    </w:pPr>
  </w:style>
  <w:style w:type="character" w:customStyle="1" w:styleId="HeaderChar">
    <w:name w:val="Header Char"/>
    <w:basedOn w:val="DefaultParagraphFont"/>
    <w:link w:val="Header"/>
    <w:uiPriority w:val="99"/>
    <w:semiHidden/>
    <w:rsid w:val="00FF7A95"/>
    <w:rPr>
      <w:rFonts w:ascii="Calibri" w:eastAsia="Calibri" w:hAnsi="Calibri" w:cs="Times New Roman"/>
    </w:rPr>
  </w:style>
  <w:style w:type="paragraph" w:styleId="Footer">
    <w:name w:val="footer"/>
    <w:basedOn w:val="Normal"/>
    <w:link w:val="FooterChar"/>
    <w:uiPriority w:val="99"/>
    <w:unhideWhenUsed/>
    <w:rsid w:val="00FF7A95"/>
    <w:pPr>
      <w:tabs>
        <w:tab w:val="center" w:pos="4680"/>
        <w:tab w:val="right" w:pos="9360"/>
      </w:tabs>
    </w:pPr>
  </w:style>
  <w:style w:type="character" w:customStyle="1" w:styleId="FooterChar">
    <w:name w:val="Footer Char"/>
    <w:basedOn w:val="DefaultParagraphFont"/>
    <w:link w:val="Footer"/>
    <w:uiPriority w:val="99"/>
    <w:rsid w:val="00FF7A95"/>
    <w:rPr>
      <w:rFonts w:ascii="Calibri" w:eastAsia="Calibri" w:hAnsi="Calibri" w:cs="Times New Roman"/>
    </w:rPr>
  </w:style>
  <w:style w:type="character" w:customStyle="1" w:styleId="Heading1Char">
    <w:name w:val="Heading 1 Char"/>
    <w:basedOn w:val="DefaultParagraphFont"/>
    <w:link w:val="Heading1"/>
    <w:uiPriority w:val="9"/>
    <w:rsid w:val="001011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0110A"/>
    <w:rPr>
      <w:rFonts w:ascii="Calibri" w:eastAsia="Times New Roman" w:hAnsi="Calibri" w:cs="Times New Roman"/>
      <w:b/>
      <w:bCs/>
      <w:sz w:val="40"/>
      <w:szCs w:val="26"/>
      <w:u w:val="single"/>
    </w:rPr>
  </w:style>
  <w:style w:type="paragraph" w:styleId="Subtitle">
    <w:name w:val="Subtitle"/>
    <w:basedOn w:val="Normal"/>
    <w:next w:val="Normal"/>
    <w:link w:val="SubtitleChar"/>
    <w:uiPriority w:val="11"/>
    <w:qFormat/>
    <w:rsid w:val="0010110A"/>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10110A"/>
    <w:rPr>
      <w:rFonts w:ascii="Cambria" w:eastAsia="Times New Roman" w:hAnsi="Cambria" w:cs="Times New Roman"/>
      <w:i/>
      <w:iCs/>
      <w:color w:val="4F81BD"/>
      <w:spacing w:val="15"/>
      <w:sz w:val="24"/>
      <w:szCs w:val="24"/>
    </w:rPr>
  </w:style>
  <w:style w:type="paragraph" w:customStyle="1" w:styleId="Default">
    <w:name w:val="Default"/>
    <w:rsid w:val="0010110A"/>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59"/>
    <w:rsid w:val="001011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064946">
      <w:bodyDiv w:val="1"/>
      <w:marLeft w:val="0"/>
      <w:marRight w:val="0"/>
      <w:marTop w:val="0"/>
      <w:marBottom w:val="0"/>
      <w:divBdr>
        <w:top w:val="none" w:sz="0" w:space="0" w:color="auto"/>
        <w:left w:val="none" w:sz="0" w:space="0" w:color="auto"/>
        <w:bottom w:val="none" w:sz="0" w:space="0" w:color="auto"/>
        <w:right w:val="none" w:sz="0" w:space="0" w:color="auto"/>
      </w:divBdr>
    </w:div>
    <w:div w:id="615261924">
      <w:bodyDiv w:val="1"/>
      <w:marLeft w:val="0"/>
      <w:marRight w:val="0"/>
      <w:marTop w:val="0"/>
      <w:marBottom w:val="0"/>
      <w:divBdr>
        <w:top w:val="none" w:sz="0" w:space="0" w:color="auto"/>
        <w:left w:val="none" w:sz="0" w:space="0" w:color="auto"/>
        <w:bottom w:val="none" w:sz="0" w:space="0" w:color="auto"/>
        <w:right w:val="none" w:sz="0" w:space="0" w:color="auto"/>
      </w:divBdr>
    </w:div>
    <w:div w:id="780077236">
      <w:bodyDiv w:val="1"/>
      <w:marLeft w:val="0"/>
      <w:marRight w:val="0"/>
      <w:marTop w:val="0"/>
      <w:marBottom w:val="0"/>
      <w:divBdr>
        <w:top w:val="none" w:sz="0" w:space="0" w:color="auto"/>
        <w:left w:val="none" w:sz="0" w:space="0" w:color="auto"/>
        <w:bottom w:val="none" w:sz="0" w:space="0" w:color="auto"/>
        <w:right w:val="none" w:sz="0" w:space="0" w:color="auto"/>
      </w:divBdr>
    </w:div>
    <w:div w:id="945387430">
      <w:bodyDiv w:val="1"/>
      <w:marLeft w:val="0"/>
      <w:marRight w:val="0"/>
      <w:marTop w:val="0"/>
      <w:marBottom w:val="0"/>
      <w:divBdr>
        <w:top w:val="none" w:sz="0" w:space="0" w:color="auto"/>
        <w:left w:val="none" w:sz="0" w:space="0" w:color="auto"/>
        <w:bottom w:val="none" w:sz="0" w:space="0" w:color="auto"/>
        <w:right w:val="none" w:sz="0" w:space="0" w:color="auto"/>
      </w:divBdr>
    </w:div>
    <w:div w:id="1057974771">
      <w:bodyDiv w:val="1"/>
      <w:marLeft w:val="0"/>
      <w:marRight w:val="0"/>
      <w:marTop w:val="0"/>
      <w:marBottom w:val="0"/>
      <w:divBdr>
        <w:top w:val="none" w:sz="0" w:space="0" w:color="auto"/>
        <w:left w:val="none" w:sz="0" w:space="0" w:color="auto"/>
        <w:bottom w:val="none" w:sz="0" w:space="0" w:color="auto"/>
        <w:right w:val="none" w:sz="0" w:space="0" w:color="auto"/>
      </w:divBdr>
    </w:div>
    <w:div w:id="1172571472">
      <w:bodyDiv w:val="1"/>
      <w:marLeft w:val="0"/>
      <w:marRight w:val="0"/>
      <w:marTop w:val="0"/>
      <w:marBottom w:val="0"/>
      <w:divBdr>
        <w:top w:val="none" w:sz="0" w:space="0" w:color="auto"/>
        <w:left w:val="none" w:sz="0" w:space="0" w:color="auto"/>
        <w:bottom w:val="none" w:sz="0" w:space="0" w:color="auto"/>
        <w:right w:val="none" w:sz="0" w:space="0" w:color="auto"/>
      </w:divBdr>
    </w:div>
    <w:div w:id="1620799417">
      <w:bodyDiv w:val="1"/>
      <w:marLeft w:val="0"/>
      <w:marRight w:val="0"/>
      <w:marTop w:val="0"/>
      <w:marBottom w:val="0"/>
      <w:divBdr>
        <w:top w:val="none" w:sz="0" w:space="0" w:color="auto"/>
        <w:left w:val="none" w:sz="0" w:space="0" w:color="auto"/>
        <w:bottom w:val="none" w:sz="0" w:space="0" w:color="auto"/>
        <w:right w:val="none" w:sz="0" w:space="0" w:color="auto"/>
      </w:divBdr>
    </w:div>
    <w:div w:id="1659916543">
      <w:bodyDiv w:val="1"/>
      <w:marLeft w:val="0"/>
      <w:marRight w:val="0"/>
      <w:marTop w:val="0"/>
      <w:marBottom w:val="0"/>
      <w:divBdr>
        <w:top w:val="none" w:sz="0" w:space="0" w:color="auto"/>
        <w:left w:val="none" w:sz="0" w:space="0" w:color="auto"/>
        <w:bottom w:val="none" w:sz="0" w:space="0" w:color="auto"/>
        <w:right w:val="none" w:sz="0" w:space="0" w:color="auto"/>
      </w:divBdr>
    </w:div>
    <w:div w:id="1833518678">
      <w:bodyDiv w:val="1"/>
      <w:marLeft w:val="0"/>
      <w:marRight w:val="0"/>
      <w:marTop w:val="0"/>
      <w:marBottom w:val="0"/>
      <w:divBdr>
        <w:top w:val="none" w:sz="0" w:space="0" w:color="auto"/>
        <w:left w:val="none" w:sz="0" w:space="0" w:color="auto"/>
        <w:bottom w:val="none" w:sz="0" w:space="0" w:color="auto"/>
        <w:right w:val="none" w:sz="0" w:space="0" w:color="auto"/>
      </w:divBdr>
    </w:div>
    <w:div w:id="1904872734">
      <w:bodyDiv w:val="1"/>
      <w:marLeft w:val="0"/>
      <w:marRight w:val="0"/>
      <w:marTop w:val="0"/>
      <w:marBottom w:val="0"/>
      <w:divBdr>
        <w:top w:val="none" w:sz="0" w:space="0" w:color="auto"/>
        <w:left w:val="none" w:sz="0" w:space="0" w:color="auto"/>
        <w:bottom w:val="none" w:sz="0" w:space="0" w:color="auto"/>
        <w:right w:val="none" w:sz="0" w:space="0" w:color="auto"/>
      </w:divBdr>
    </w:div>
    <w:div w:id="200358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DFF01-021D-46E5-8C76-C68D85161F94}">
  <ds:schemaRefs>
    <ds:schemaRef ds:uri="http://schemas.openxmlformats.org/officeDocument/2006/bibliography"/>
  </ds:schemaRefs>
</ds:datastoreItem>
</file>

<file path=customXml/itemProps2.xml><?xml version="1.0" encoding="utf-8"?>
<ds:datastoreItem xmlns:ds="http://schemas.openxmlformats.org/officeDocument/2006/customXml" ds:itemID="{4AA4366F-A221-4E2C-972C-F71B0BDE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1777</Words>
  <Characters>10134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Sims, Thelma (CDC/OD/OADS)</cp:lastModifiedBy>
  <cp:revision>2</cp:revision>
  <dcterms:created xsi:type="dcterms:W3CDTF">2013-09-16T14:16:00Z</dcterms:created>
  <dcterms:modified xsi:type="dcterms:W3CDTF">2013-09-16T14:16:00Z</dcterms:modified>
</cp:coreProperties>
</file>