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EE" w:rsidRPr="008E0BE5" w:rsidRDefault="005C1E86" w:rsidP="00233865">
      <w:pPr>
        <w:jc w:val="right"/>
        <w:rPr>
          <w:rFonts w:ascii="Times New Roman" w:hAnsi="Times New Roman"/>
          <w:b/>
          <w:sz w:val="28"/>
          <w:szCs w:val="28"/>
        </w:rPr>
      </w:pPr>
      <w:r>
        <w:rPr>
          <w:rFonts w:ascii="Times New Roman" w:hAnsi="Times New Roman"/>
          <w:b/>
          <w:sz w:val="28"/>
          <w:szCs w:val="28"/>
        </w:rPr>
        <w:t xml:space="preserve">June </w:t>
      </w:r>
      <w:bookmarkStart w:id="0" w:name="_GoBack"/>
      <w:bookmarkEnd w:id="0"/>
      <w:r w:rsidR="00C11059" w:rsidRPr="008E0BE5">
        <w:rPr>
          <w:rFonts w:ascii="Times New Roman" w:hAnsi="Times New Roman"/>
          <w:b/>
          <w:sz w:val="28"/>
          <w:szCs w:val="28"/>
        </w:rPr>
        <w:t>201</w:t>
      </w:r>
      <w:r w:rsidR="00233865">
        <w:rPr>
          <w:rFonts w:ascii="Times New Roman" w:hAnsi="Times New Roman"/>
          <w:b/>
          <w:sz w:val="28"/>
          <w:szCs w:val="28"/>
        </w:rPr>
        <w:t>5</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F94C3C" w:rsidRPr="004E5826" w:rsidRDefault="00F525F8" w:rsidP="00F94C3C">
      <w:pPr>
        <w:jc w:val="center"/>
        <w:rPr>
          <w:rFonts w:ascii="Arial" w:hAnsi="Arial" w:cs="Arial"/>
          <w:b/>
          <w:sz w:val="24"/>
        </w:rPr>
      </w:pPr>
      <w:r>
        <w:rPr>
          <w:rFonts w:ascii="Arial" w:hAnsi="Arial" w:cs="Arial"/>
          <w:b/>
          <w:sz w:val="24"/>
        </w:rPr>
        <w:t>OMB Docket No. 0572-0130</w:t>
      </w:r>
    </w:p>
    <w:p w:rsidR="00F94C3C" w:rsidRPr="004E5826" w:rsidRDefault="00F94C3C" w:rsidP="00F94C3C">
      <w:pPr>
        <w:jc w:val="center"/>
        <w:rPr>
          <w:rFonts w:ascii="Arial" w:hAnsi="Arial" w:cs="Arial"/>
          <w:b/>
          <w:sz w:val="24"/>
        </w:rPr>
      </w:pPr>
      <w:r w:rsidRPr="004E5826">
        <w:rPr>
          <w:rFonts w:ascii="Arial" w:hAnsi="Arial" w:cs="Arial"/>
          <w:b/>
          <w:sz w:val="24"/>
        </w:rPr>
        <w:t xml:space="preserve">7 CFR </w:t>
      </w:r>
      <w:proofErr w:type="gramStart"/>
      <w:r w:rsidRPr="004E5826">
        <w:rPr>
          <w:rFonts w:ascii="Arial" w:hAnsi="Arial" w:cs="Arial"/>
          <w:b/>
          <w:sz w:val="24"/>
        </w:rPr>
        <w:t>Part</w:t>
      </w:r>
      <w:proofErr w:type="gramEnd"/>
      <w:r w:rsidRPr="004E5826">
        <w:rPr>
          <w:rFonts w:ascii="Arial" w:hAnsi="Arial" w:cs="Arial"/>
          <w:b/>
          <w:sz w:val="24"/>
        </w:rPr>
        <w:t xml:space="preserve"> 1738</w:t>
      </w:r>
    </w:p>
    <w:p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6628CC" w:rsidRDefault="006628CC" w:rsidP="00A424C9">
      <w:pPr>
        <w:outlineLvl w:val="0"/>
        <w:rPr>
          <w:rFonts w:ascii="Times New Roman" w:hAnsi="Times New Roman"/>
          <w:sz w:val="24"/>
        </w:rPr>
      </w:pPr>
    </w:p>
    <w:p w:rsidR="006628CC" w:rsidRDefault="00B64DF6" w:rsidP="00A424C9">
      <w:pPr>
        <w:outlineLvl w:val="0"/>
        <w:rPr>
          <w:rFonts w:ascii="Times New Roman" w:hAnsi="Times New Roman"/>
          <w:sz w:val="24"/>
        </w:rPr>
      </w:pPr>
      <w:r>
        <w:rPr>
          <w:rFonts w:ascii="Times New Roman" w:hAnsi="Times New Roman"/>
          <w:sz w:val="24"/>
          <w:u w:val="single"/>
        </w:rPr>
        <w:t>Note</w:t>
      </w:r>
      <w:r w:rsidRPr="007B0B02">
        <w:rPr>
          <w:rFonts w:ascii="Times New Roman" w:hAnsi="Times New Roman"/>
          <w:sz w:val="24"/>
        </w:rPr>
        <w:t xml:space="preserve">:    </w:t>
      </w:r>
      <w:r w:rsidR="00B76086">
        <w:rPr>
          <w:rFonts w:ascii="Times New Roman" w:hAnsi="Times New Roman"/>
          <w:sz w:val="24"/>
        </w:rPr>
        <w:t xml:space="preserve">The agency requests emergency approval of </w:t>
      </w:r>
      <w:proofErr w:type="gramStart"/>
      <w:r w:rsidR="00B76086">
        <w:rPr>
          <w:rFonts w:ascii="Times New Roman" w:hAnsi="Times New Roman"/>
          <w:sz w:val="24"/>
        </w:rPr>
        <w:t xml:space="preserve">this </w:t>
      </w:r>
      <w:r w:rsidR="00233865" w:rsidRPr="00343C1E">
        <w:rPr>
          <w:rFonts w:ascii="Times Roman" w:hAnsi="Times Roman"/>
          <w:sz w:val="24"/>
          <w:szCs w:val="24"/>
        </w:rPr>
        <w:t xml:space="preserve"> reinstatement</w:t>
      </w:r>
      <w:proofErr w:type="gramEnd"/>
      <w:r w:rsidR="00407FC1">
        <w:rPr>
          <w:rFonts w:ascii="Times Roman" w:hAnsi="Times Roman"/>
          <w:sz w:val="24"/>
          <w:szCs w:val="24"/>
        </w:rPr>
        <w:t xml:space="preserve"> with change</w:t>
      </w:r>
      <w:r w:rsidR="00233865" w:rsidRPr="00343C1E">
        <w:rPr>
          <w:rFonts w:ascii="Times Roman" w:hAnsi="Times Roman"/>
          <w:sz w:val="24"/>
          <w:szCs w:val="24"/>
        </w:rPr>
        <w:t xml:space="preserve"> of a discontinued collection.  The </w:t>
      </w:r>
      <w:r w:rsidR="00343C1E" w:rsidRPr="00343C1E">
        <w:rPr>
          <w:rFonts w:ascii="Times Roman" w:hAnsi="Times Roman"/>
          <w:sz w:val="24"/>
          <w:szCs w:val="24"/>
        </w:rPr>
        <w:t xml:space="preserve">Agricultural Act of </w:t>
      </w:r>
      <w:r w:rsidR="00233865" w:rsidRPr="00343C1E">
        <w:rPr>
          <w:rFonts w:ascii="Times Roman" w:hAnsi="Times Roman"/>
          <w:sz w:val="24"/>
          <w:szCs w:val="24"/>
        </w:rPr>
        <w:t>2014 (the 2014 Farm Bil</w:t>
      </w:r>
      <w:r w:rsidR="00343C1E">
        <w:rPr>
          <w:rFonts w:ascii="Times Roman" w:hAnsi="Times Roman"/>
          <w:sz w:val="24"/>
          <w:szCs w:val="24"/>
        </w:rPr>
        <w:t>l</w:t>
      </w:r>
      <w:r w:rsidR="00233865" w:rsidRPr="00343C1E">
        <w:rPr>
          <w:rFonts w:ascii="Times Roman" w:hAnsi="Times Roman"/>
          <w:sz w:val="24"/>
          <w:szCs w:val="24"/>
        </w:rPr>
        <w:t xml:space="preserve">) amended the Broadband Program.  </w:t>
      </w:r>
      <w:r w:rsidR="00343C1E" w:rsidRPr="00343C1E">
        <w:rPr>
          <w:rFonts w:ascii="Times Roman" w:hAnsi="Times Roman"/>
          <w:sz w:val="24"/>
          <w:szCs w:val="24"/>
        </w:rPr>
        <w:t>The enactment of the 2014 Farm Bill made changes the Agency must adopt prior to accepting applications for future loans. The agency discontinued the collection in October 2014</w:t>
      </w:r>
      <w:r w:rsidR="00343C1E">
        <w:rPr>
          <w:rFonts w:ascii="Times Roman" w:hAnsi="Times Roman"/>
          <w:sz w:val="24"/>
          <w:szCs w:val="24"/>
        </w:rPr>
        <w:t xml:space="preserve"> since it could not accept applications until a rulemaking was promulgated</w:t>
      </w:r>
      <w:r w:rsidR="00343C1E" w:rsidRPr="00343C1E">
        <w:rPr>
          <w:rFonts w:ascii="Times Roman" w:hAnsi="Times Roman"/>
          <w:sz w:val="24"/>
          <w:szCs w:val="24"/>
        </w:rPr>
        <w:t xml:space="preserve">.  </w:t>
      </w:r>
      <w:r w:rsidR="00233865" w:rsidRPr="00343C1E">
        <w:rPr>
          <w:rFonts w:ascii="Times Roman" w:hAnsi="Times Roman"/>
          <w:sz w:val="24"/>
          <w:szCs w:val="24"/>
        </w:rPr>
        <w:t xml:space="preserve"> The agency is issuing an Interim Rulemaking to adopt the </w:t>
      </w:r>
      <w:r w:rsidR="00343C1E">
        <w:rPr>
          <w:rFonts w:ascii="Times Roman" w:hAnsi="Times Roman"/>
          <w:sz w:val="24"/>
          <w:szCs w:val="24"/>
        </w:rPr>
        <w:t>changes</w:t>
      </w:r>
      <w:r w:rsidR="00233865" w:rsidRPr="00343C1E">
        <w:rPr>
          <w:rFonts w:ascii="Times Roman" w:hAnsi="Times Roman"/>
          <w:sz w:val="24"/>
          <w:szCs w:val="24"/>
        </w:rPr>
        <w:t xml:space="preserve">. There is no change in burden </w:t>
      </w:r>
      <w:r w:rsidR="00407FC1">
        <w:rPr>
          <w:rFonts w:ascii="Times Roman" w:hAnsi="Times Roman"/>
          <w:sz w:val="24"/>
          <w:szCs w:val="24"/>
        </w:rPr>
        <w:t xml:space="preserve">based on </w:t>
      </w:r>
      <w:r w:rsidR="00233865" w:rsidRPr="00343C1E">
        <w:rPr>
          <w:rFonts w:ascii="Times Roman" w:hAnsi="Times Roman"/>
          <w:sz w:val="24"/>
          <w:szCs w:val="24"/>
        </w:rPr>
        <w:t xml:space="preserve">amendments </w:t>
      </w:r>
      <w:r w:rsidR="00407FC1">
        <w:rPr>
          <w:rFonts w:ascii="Times Roman" w:hAnsi="Times Roman"/>
          <w:sz w:val="24"/>
          <w:szCs w:val="24"/>
        </w:rPr>
        <w:t xml:space="preserve">in the 2014 Farm </w:t>
      </w:r>
      <w:proofErr w:type="gramStart"/>
      <w:r w:rsidR="00407FC1">
        <w:rPr>
          <w:rFonts w:ascii="Times Roman" w:hAnsi="Times Roman"/>
          <w:sz w:val="24"/>
          <w:szCs w:val="24"/>
        </w:rPr>
        <w:t>Bill,</w:t>
      </w:r>
      <w:proofErr w:type="gramEnd"/>
      <w:r w:rsidR="00407FC1">
        <w:rPr>
          <w:rFonts w:ascii="Times Roman" w:hAnsi="Times Roman"/>
          <w:sz w:val="24"/>
          <w:szCs w:val="24"/>
        </w:rPr>
        <w:t xml:space="preserve"> however, there is a reduction in burden due to decreasing the number of respondents based on experience with the 2008 Farm Bill.  </w:t>
      </w: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A130D5" w:rsidRPr="00A130D5" w:rsidRDefault="008E0BE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00A130D5" w:rsidRPr="00A130D5">
        <w:rPr>
          <w:rFonts w:ascii="Times New Roman" w:hAnsi="Times New Roman"/>
          <w:sz w:val="24"/>
          <w:szCs w:val="24"/>
        </w:rPr>
        <w:t>The Rural Utilities Service (RUS)</w:t>
      </w:r>
      <w:r w:rsidR="0079153E">
        <w:rPr>
          <w:rFonts w:ascii="Times New Roman" w:hAnsi="Times New Roman"/>
          <w:sz w:val="24"/>
          <w:szCs w:val="24"/>
        </w:rPr>
        <w:t>, is</w:t>
      </w:r>
      <w:r w:rsidR="00A130D5"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00A130D5"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00A130D5" w:rsidRPr="00A130D5">
        <w:rPr>
          <w:rFonts w:ascii="Times New Roman" w:hAnsi="Times New Roman"/>
          <w:sz w:val="24"/>
          <w:szCs w:val="24"/>
        </w:rPr>
        <w:t xml:space="preserve">.  </w:t>
      </w:r>
      <w:r w:rsidR="0079153E">
        <w:rPr>
          <w:rFonts w:ascii="Times New Roman" w:hAnsi="Times New Roman"/>
          <w:sz w:val="24"/>
          <w:szCs w:val="24"/>
        </w:rPr>
        <w:t>7 CFR part 1738</w:t>
      </w:r>
      <w:r w:rsidR="00A130D5"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00A130D5"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00A130D5" w:rsidRPr="00A130D5">
        <w:rPr>
          <w:rFonts w:ascii="Times New Roman" w:hAnsi="Times New Roman"/>
          <w:sz w:val="24"/>
          <w:szCs w:val="24"/>
        </w:rPr>
        <w:t xml:space="preserve">the process through which </w:t>
      </w:r>
      <w:r w:rsidR="00E61AEB">
        <w:rPr>
          <w:rFonts w:ascii="Times New Roman" w:hAnsi="Times New Roman"/>
          <w:sz w:val="24"/>
          <w:szCs w:val="24"/>
        </w:rPr>
        <w:t>RUS</w:t>
      </w:r>
      <w:r w:rsidR="00A130D5" w:rsidRP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rsidR="00A130D5" w:rsidRDefault="00A130D5" w:rsidP="0079153E">
      <w:pPr>
        <w:rPr>
          <w:rFonts w:ascii="Times New Roman" w:hAnsi="Times New Roman"/>
          <w:sz w:val="24"/>
        </w:rPr>
      </w:pPr>
    </w:p>
    <w:p w:rsidR="00166231" w:rsidRDefault="008E0BE5" w:rsidP="00166231">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is based on the expected composite economic life based on the depreciation rates of the facilities financed.  The term of the loan can be as high as </w:t>
      </w:r>
      <w:r w:rsidR="006F76D4">
        <w:rPr>
          <w:rFonts w:ascii="Times New Roman" w:hAnsi="Times New Roman"/>
          <w:sz w:val="24"/>
        </w:rPr>
        <w:t>3</w:t>
      </w:r>
      <w:r w:rsidR="00166231">
        <w:rPr>
          <w:rFonts w:ascii="Times New Roman" w:hAnsi="Times New Roman"/>
          <w:sz w:val="24"/>
        </w:rPr>
        <w:t>5</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RDefault="00166231" w:rsidP="00EC73E3">
      <w:pPr>
        <w:rPr>
          <w:rFonts w:ascii="Times New Roman" w:hAnsi="Times New Roman"/>
          <w:sz w:val="24"/>
        </w:rPr>
      </w:pPr>
    </w:p>
    <w:p w:rsidR="00501BF7" w:rsidRDefault="008E0BE5" w:rsidP="00501BF7">
      <w:pPr>
        <w:rPr>
          <w:rFonts w:ascii="Times New Roman" w:hAnsi="Times New Roman"/>
          <w:sz w:val="24"/>
        </w:rPr>
      </w:pPr>
      <w:r>
        <w:rPr>
          <w:rFonts w:ascii="Times New Roman" w:hAnsi="Times New Roman"/>
          <w:sz w:val="24"/>
        </w:rPr>
        <w:t xml:space="preserve">     </w:t>
      </w:r>
      <w:r w:rsidR="00501BF7" w:rsidRPr="007B0B02">
        <w:rPr>
          <w:rFonts w:ascii="Times New Roman" w:hAnsi="Times New Roman"/>
          <w:b/>
          <w:sz w:val="24"/>
          <w:u w:val="single"/>
        </w:rPr>
        <w:t>The Rural Broadband Access Loan and Loan Guarantee Program Application Guide – RUS Bulletin 1738-1</w:t>
      </w:r>
      <w:r w:rsidR="00501BF7">
        <w:rPr>
          <w:rFonts w:ascii="Times New Roman" w:hAnsi="Times New Roman"/>
          <w:sz w:val="24"/>
        </w:rPr>
        <w:t xml:space="preserve"> provides applicants with needed information, definitions and details for completing and submitting an application.  The guide can be found on the agency web site:   </w:t>
      </w:r>
      <w:hyperlink r:id="rId9" w:history="1">
        <w:r w:rsidR="00BA6019" w:rsidRPr="00E8053D">
          <w:rPr>
            <w:rStyle w:val="Hyperlink"/>
            <w:rFonts w:ascii="Times New Roman" w:hAnsi="Times New Roman"/>
            <w:sz w:val="24"/>
          </w:rPr>
          <w:t>http://www.rurdev.usda.gov/utp_farmbill.html</w:t>
        </w:r>
      </w:hyperlink>
      <w:r w:rsidR="00BA6019">
        <w:rPr>
          <w:rFonts w:ascii="Times New Roman" w:hAnsi="Times New Roman"/>
          <w:sz w:val="24"/>
        </w:rPr>
        <w:t xml:space="preserve">.   </w:t>
      </w:r>
      <w:r w:rsidR="00501BF7">
        <w:rPr>
          <w:rFonts w:ascii="Times New Roman" w:hAnsi="Times New Roman"/>
          <w:sz w:val="24"/>
        </w:rPr>
        <w:t xml:space="preserve">Eligible entities may be either a nonprofit or for-profit organization, and must take one of the following forms: corporation; limited liability </w:t>
      </w:r>
      <w:r w:rsidR="00501BF7">
        <w:rPr>
          <w:rFonts w:ascii="Times New Roman" w:hAnsi="Times New Roman"/>
          <w:sz w:val="24"/>
        </w:rPr>
        <w:lastRenderedPageBreak/>
        <w:t>company (LLC); cooperative or mutual organization; Indian tribe or tribal organization as defined in 25 U.S.C. 450b; or State or local government, including any agency, subdivision or instrumentality thereof.  Individuals or partnerships are not eligible entities.</w:t>
      </w:r>
    </w:p>
    <w:p w:rsidR="00166231" w:rsidRPr="00501BF7" w:rsidRDefault="00166231" w:rsidP="00501BF7">
      <w:pPr>
        <w:rPr>
          <w:rFonts w:ascii="Times New Roman" w:hAnsi="Times New Roman"/>
          <w:sz w:val="24"/>
        </w:rPr>
      </w:pPr>
      <w:r>
        <w:rPr>
          <w:rFonts w:ascii="Times New Roman" w:hAnsi="Times New Roman"/>
          <w:sz w:val="24"/>
        </w:rPr>
        <w:t xml:space="preserve">The collection of information described in this supporting statement is necessary in order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RDefault="00166231"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7654B5">
        <w:rPr>
          <w:rFonts w:ascii="Times New Roman" w:hAnsi="Times New Roman"/>
          <w:sz w:val="24"/>
        </w:rPr>
        <w:t>7 CFR 1738 requires that applicants submit two hard copies of the application and one electronic copy.  As the current review process is manual, the hard copies are necessary to facilitate the review of the application by an engineer and a financial specialist concurrently.  The electronic copy ensures that an unmark version of the application is retained for the record.</w:t>
      </w:r>
      <w:r>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rsidR="00BB6AEE" w:rsidRDefault="00BB6AEE" w:rsidP="00252E6B">
      <w:pPr>
        <w:rPr>
          <w:rFonts w:ascii="Times New Roman" w:hAnsi="Times New Roman"/>
          <w:sz w:val="24"/>
        </w:rPr>
      </w:pPr>
    </w:p>
    <w:p w:rsidR="002D367A" w:rsidRDefault="002D367A" w:rsidP="00252E6B">
      <w:pPr>
        <w:rPr>
          <w:rFonts w:ascii="Times New Roman" w:hAnsi="Times New Roman"/>
          <w:sz w:val="24"/>
        </w:rPr>
      </w:pPr>
    </w:p>
    <w:p w:rsidR="006B24D8" w:rsidRDefault="006B24D8" w:rsidP="006B24D8">
      <w:pPr>
        <w:rPr>
          <w:rFonts w:ascii="Times New Roman" w:hAnsi="Times New Roman"/>
          <w:sz w:val="24"/>
        </w:rPr>
      </w:pPr>
      <w:r>
        <w:rPr>
          <w:rFonts w:ascii="Times New Roman" w:hAnsi="Times New Roman"/>
          <w:b/>
          <w:sz w:val="24"/>
          <w:u w:val="single"/>
        </w:rPr>
        <w:t xml:space="preserve">RUS </w:t>
      </w:r>
      <w:r w:rsidRPr="00D732B2">
        <w:rPr>
          <w:rFonts w:ascii="Times New Roman" w:hAnsi="Times New Roman"/>
          <w:b/>
          <w:sz w:val="24"/>
          <w:u w:val="single"/>
        </w:rPr>
        <w:t>Form 532, “</w:t>
      </w:r>
      <w:r>
        <w:rPr>
          <w:rFonts w:ascii="Times New Roman" w:hAnsi="Times New Roman"/>
          <w:b/>
          <w:sz w:val="24"/>
          <w:u w:val="single"/>
        </w:rPr>
        <w:t>Rural Broadband Access Loan and Loan Guarantee Application</w:t>
      </w:r>
      <w:r w:rsidRPr="00D732B2">
        <w:rPr>
          <w:rFonts w:ascii="Times New Roman" w:hAnsi="Times New Roman"/>
          <w:b/>
          <w:sz w:val="24"/>
        </w:rPr>
        <w:t>”</w:t>
      </w:r>
      <w:r>
        <w:rPr>
          <w:rFonts w:ascii="Times New Roman" w:hAnsi="Times New Roman"/>
          <w:sz w:val="24"/>
        </w:rPr>
        <w:t xml:space="preserve">, is submitted by loan applicants when requesting a loan from RUS.  Form 532 is used by staff (1) as formal notification of an applicant’s desire to obtain financing from RUS and (2) in determining the preliminary eligibility of an applicant.  The Form 532 also includes the necessary certification and notification requirements of OMB Circular A-129 with regard to Federal debt delinquency.  </w:t>
      </w:r>
      <w:r w:rsidR="00343C1E">
        <w:rPr>
          <w:rFonts w:ascii="Times New Roman" w:hAnsi="Times New Roman"/>
          <w:sz w:val="24"/>
        </w:rPr>
        <w:t xml:space="preserve">The Form 532 collection basic information related to the application and </w:t>
      </w:r>
      <w:r>
        <w:rPr>
          <w:rFonts w:ascii="Times New Roman" w:hAnsi="Times New Roman"/>
          <w:sz w:val="24"/>
        </w:rPr>
        <w:t>Schedules A through O are included in Form 532 to support the loan application.  The information provided in the schedules is as follows:</w:t>
      </w:r>
    </w:p>
    <w:p w:rsidR="006B24D8" w:rsidRDefault="006B24D8" w:rsidP="006B24D8">
      <w:pPr>
        <w:rPr>
          <w:rFonts w:ascii="Times New Roman" w:hAnsi="Times New Roman"/>
          <w:sz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CONGRESSIONAL DISTRICTS (Schedule A</w:t>
      </w:r>
      <w:r w:rsidRPr="00D75B34">
        <w:rPr>
          <w:rFonts w:ascii="Times New Roman" w:hAnsi="Times New Roman"/>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w:t>
      </w:r>
      <w:r w:rsidR="00343C1E">
        <w:rPr>
          <w:rFonts w:ascii="TimesNewRomanPSMT" w:hAnsi="TimesNewRomanPSMT" w:cs="TimesNewRomanPSMT"/>
          <w:color w:val="000000"/>
          <w:sz w:val="24"/>
          <w:szCs w:val="24"/>
        </w:rPr>
        <w:t xml:space="preserve">vice territory proposed by the </w:t>
      </w:r>
      <w:r>
        <w:rPr>
          <w:rFonts w:ascii="TimesNewRomanPSMT" w:hAnsi="TimesNewRomanPSMT" w:cs="TimesNewRomanPSMT"/>
          <w:color w:val="000000"/>
          <w:sz w:val="24"/>
          <w:szCs w:val="24"/>
        </w:rPr>
        <w:t>project.</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 (Schedule B)</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RDefault="006B24D8" w:rsidP="006B24D8">
      <w:pPr>
        <w:autoSpaceDE w:val="0"/>
        <w:autoSpaceDN w:val="0"/>
        <w:adjustRightInd w:val="0"/>
        <w:outlineLvl w:val="0"/>
        <w:rPr>
          <w:rFonts w:ascii="Times New Roman" w:hAnsi="Times New Roman"/>
          <w:b/>
          <w:bCs/>
          <w:iCs/>
          <w:sz w:val="24"/>
          <w:szCs w:val="24"/>
          <w:u w:val="single"/>
        </w:rPr>
      </w:pPr>
    </w:p>
    <w:p w:rsidR="002D367A" w:rsidRDefault="002D367A" w:rsidP="006B24D8">
      <w:pPr>
        <w:autoSpaceDE w:val="0"/>
        <w:autoSpaceDN w:val="0"/>
        <w:adjustRightInd w:val="0"/>
        <w:outlineLvl w:val="0"/>
        <w:rPr>
          <w:rFonts w:ascii="Times New Roman" w:hAnsi="Times New Roman"/>
          <w:b/>
          <w:bCs/>
          <w:iCs/>
          <w:sz w:val="24"/>
          <w:szCs w:val="24"/>
          <w:u w:val="single"/>
        </w:rPr>
      </w:pPr>
    </w:p>
    <w:p w:rsidR="002D367A" w:rsidRDefault="002D367A"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lastRenderedPageBreak/>
        <w:t>LEGAL OPINION &amp; PROPERTY SCHEDULE (Schedules C-1 and C-2)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Legal Opinion – A legal opinion shall be prepared in accordance with the sample format as shown on Schedule C-1.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 Schedule C-2 shall include the legal descriptions of all the real property owned by the applicant. It should be categorized into real property, leased-property, easements, and rights-of-way.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CORPORATE STRUCTURE (Schedules D-1 through D-6)</w:t>
      </w:r>
    </w:p>
    <w:p w:rsidR="006B24D8" w:rsidRDefault="006B24D8" w:rsidP="00D75B34">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Articles of Incorporation or Organization – A </w:t>
      </w:r>
      <w:r w:rsidR="00343C1E">
        <w:rPr>
          <w:rFonts w:ascii="TimesNewRomanPSMT" w:hAnsi="TimesNewRomanPSMT" w:cs="TimesNewRomanPSMT"/>
          <w:color w:val="000000"/>
          <w:sz w:val="24"/>
          <w:szCs w:val="24"/>
        </w:rPr>
        <w:t>certified</w:t>
      </w:r>
      <w:r>
        <w:rPr>
          <w:rFonts w:ascii="TimesNewRomanPSMT" w:hAnsi="TimesNewRomanPSMT" w:cs="TimesNewRomanPSMT"/>
          <w:color w:val="000000"/>
          <w:sz w:val="24"/>
          <w:szCs w:val="24"/>
        </w:rPr>
        <w:t xml:space="preserve">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of the applicant should be included as Schedule D-1.</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as schedule D-2.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 xml:space="preserve">ich certifies that the </w:t>
      </w:r>
      <w:proofErr w:type="gramStart"/>
      <w:r>
        <w:rPr>
          <w:rFonts w:ascii="TimesNewRomanPSMT" w:hAnsi="TimesNewRomanPSMT" w:cs="TimesNewRomanPSMT"/>
          <w:color w:val="000000"/>
          <w:sz w:val="24"/>
          <w:szCs w:val="24"/>
        </w:rPr>
        <w:t>applicants</w:t>
      </w:r>
      <w:proofErr w:type="gramEnd"/>
      <w:r>
        <w:rPr>
          <w:rFonts w:ascii="TimesNewRomanPSMT" w:hAnsi="TimesNewRomanPSMT" w:cs="TimesNewRomanPSMT"/>
          <w:color w:val="000000"/>
          <w:sz w:val="24"/>
          <w:szCs w:val="24"/>
        </w:rPr>
        <w:t xml:space="preserve"> agreement does not conflict with any of the LLC agreements of the applicant’s members.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Schedule D-3 shall include a list of the board members and a brief biography to highlight their experience within the industry and community.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Management Experience and Compensation – Schedule D-4 should include information on the key personnel who will manage the company and the project as outlined in the RUS Bulletin 1738-1</w:t>
      </w:r>
      <w:r w:rsidR="00343C1E">
        <w:rPr>
          <w:rFonts w:ascii="TimesNewRomanPSMT" w:hAnsi="TimesNewRomanPSMT" w:cs="TimesNewRomanPSMT"/>
          <w:color w:val="000000"/>
          <w:sz w:val="24"/>
          <w:szCs w:val="24"/>
        </w:rPr>
        <w:t>, Application Guide</w:t>
      </w:r>
      <w:r>
        <w:rPr>
          <w:rFonts w:ascii="TimesNewRomanPSMT" w:hAnsi="TimesNewRomanPSMT" w:cs="TimesNewRomanPSMT"/>
          <w:color w:val="000000"/>
          <w:sz w:val="24"/>
          <w:szCs w:val="24"/>
        </w:rPr>
        <w:t xml:space="preserve">.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Schedule D-5 shall include an organizational chart showing the key personnel who manage or will manage the company and/or this project and the number of employees in each division or department managed by those personnel.</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Schedule D-6 should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Pr>
          <w:rFonts w:ascii="TimesNewRomanPSMT" w:hAnsi="TimesNewRomanPSMT" w:cs="TimesNewRomanPSMT"/>
          <w:color w:val="000000"/>
          <w:sz w:val="24"/>
          <w:szCs w:val="24"/>
        </w:rPr>
        <w:t>es the affiliate will be providing to the applicant.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BOARD RESOLUTION (Schedule 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 as Schedule E</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rsidR="006B24D8" w:rsidRPr="000732C9"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complete Schedules F-1 and F-2 to designate and submit maps of their service area and provide additional demographic data about those service areas.</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343C1E"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SERVICE AREAS – NEW OR EXISTING; FUNDED OR NON-FUNDED</w:t>
      </w:r>
      <w:r w:rsidR="006B24D8" w:rsidRPr="00D75B34">
        <w:rPr>
          <w:rFonts w:ascii="Times New Roman" w:hAnsi="Times New Roman"/>
          <w:b/>
          <w:bCs/>
          <w:iCs/>
          <w:sz w:val="24"/>
          <w:szCs w:val="24"/>
          <w:u w:val="single"/>
        </w:rPr>
        <w:t xml:space="preserve"> (Schedule G)</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lastRenderedPageBreak/>
        <w:t>Schedule G must be completed for all existing</w:t>
      </w:r>
      <w:r w:rsidR="006F76D4">
        <w:rPr>
          <w:rFonts w:ascii="Times New Roman" w:hAnsi="Times New Roman"/>
          <w:bCs/>
          <w:iCs/>
          <w:sz w:val="24"/>
          <w:szCs w:val="24"/>
        </w:rPr>
        <w:t xml:space="preserve"> </w:t>
      </w:r>
      <w:r>
        <w:rPr>
          <w:rFonts w:ascii="Times New Roman" w:hAnsi="Times New Roman"/>
          <w:bCs/>
          <w:iCs/>
          <w:sz w:val="24"/>
          <w:szCs w:val="24"/>
        </w:rPr>
        <w:t xml:space="preserve">and new service areas.  The service areas should be listed by four categories:  </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006B24D8" w:rsidRPr="001E0D39"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 (Schedules H-1 through H-6)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Schedules H1 – H6 are forms that need to be certified by the applicant to ensure compliance with Federal statutes and regulations.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Equal Opportunity and Nondiscrimination Certification (Schedule H-1)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 (Schedule H-2)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 (Schedule H-3)</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 (Schedule H-4)</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 (Schedule H-5)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 (Schedule H-6)</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 (Schedule I)</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I should list all outstanding Federal Debt, and attach a copy of the loan documents.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 (Schedule J-1 and J-2)</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 xml:space="preserve">RUS requires that as a condition to financing that an applicant have equity in an amount equal to 10 percent of the request loan amount at the time of application.  If an applicant’s balance sheet (Schedule </w:t>
      </w:r>
      <w:r w:rsidR="00343C1E">
        <w:rPr>
          <w:rFonts w:ascii="Times New Roman" w:hAnsi="Times New Roman"/>
          <w:bCs/>
          <w:iCs/>
          <w:sz w:val="24"/>
          <w:szCs w:val="24"/>
        </w:rPr>
        <w:t>M-1</w:t>
      </w:r>
      <w:r>
        <w:rPr>
          <w:rFonts w:ascii="Times New Roman" w:hAnsi="Times New Roman"/>
          <w:bCs/>
          <w:iCs/>
          <w:sz w:val="24"/>
          <w:szCs w:val="24"/>
        </w:rPr>
        <w:t>) does not demonstrat</w:t>
      </w:r>
      <w:r w:rsidR="00343C1E">
        <w:rPr>
          <w:rFonts w:ascii="Times New Roman" w:hAnsi="Times New Roman"/>
          <w:bCs/>
          <w:iCs/>
          <w:sz w:val="24"/>
          <w:szCs w:val="24"/>
        </w:rPr>
        <w:t xml:space="preserve">e the required equity, </w:t>
      </w:r>
      <w:proofErr w:type="spellStart"/>
      <w:r w:rsidR="00343C1E">
        <w:rPr>
          <w:rFonts w:ascii="Times New Roman" w:hAnsi="Times New Roman"/>
          <w:bCs/>
          <w:iCs/>
          <w:sz w:val="24"/>
          <w:szCs w:val="24"/>
        </w:rPr>
        <w:t>Schdule</w:t>
      </w:r>
      <w:proofErr w:type="spellEnd"/>
      <w:r w:rsidR="00343C1E">
        <w:rPr>
          <w:rFonts w:ascii="Times New Roman" w:hAnsi="Times New Roman"/>
          <w:bCs/>
          <w:iCs/>
          <w:sz w:val="24"/>
          <w:szCs w:val="24"/>
        </w:rPr>
        <w:t xml:space="preserve"> J</w:t>
      </w:r>
      <w:r>
        <w:rPr>
          <w:rFonts w:ascii="Times New Roman" w:hAnsi="Times New Roman"/>
          <w:bCs/>
          <w:iCs/>
          <w:sz w:val="24"/>
          <w:szCs w:val="24"/>
        </w:rPr>
        <w:t xml:space="preserve">-1 will be included which will provide an investor’s </w:t>
      </w:r>
      <w:r w:rsidR="00343C1E">
        <w:rPr>
          <w:rFonts w:ascii="Times New Roman" w:hAnsi="Times New Roman"/>
          <w:bCs/>
          <w:iCs/>
          <w:sz w:val="24"/>
          <w:szCs w:val="24"/>
        </w:rPr>
        <w:t xml:space="preserve">unconditional legal </w:t>
      </w:r>
      <w:r>
        <w:rPr>
          <w:rFonts w:ascii="Times New Roman" w:hAnsi="Times New Roman"/>
          <w:bCs/>
          <w:iCs/>
          <w:sz w:val="24"/>
          <w:szCs w:val="24"/>
        </w:rPr>
        <w:t xml:space="preserve">commitment to cover the shortfall by providing additional equity.  This will include a letter from the investor indicating the investor’s commitment, the timing for providing the investment, the amount of the investment, and all terms and conditions associated </w:t>
      </w:r>
      <w:r w:rsidR="00343C1E">
        <w:rPr>
          <w:rFonts w:ascii="Times New Roman" w:hAnsi="Times New Roman"/>
          <w:bCs/>
          <w:iCs/>
          <w:sz w:val="24"/>
          <w:szCs w:val="24"/>
        </w:rPr>
        <w:t>with the investment.  Schedule J</w:t>
      </w:r>
      <w:r>
        <w:rPr>
          <w:rFonts w:ascii="Times New Roman" w:hAnsi="Times New Roman"/>
          <w:bCs/>
          <w:iCs/>
          <w:sz w:val="24"/>
          <w:szCs w:val="24"/>
        </w:rPr>
        <w:t>-2 will be used by State and Local Government who wish to satisfy the equity requirement with a general obligation</w:t>
      </w:r>
      <w:r w:rsidR="00343C1E">
        <w:rPr>
          <w:rFonts w:ascii="Times New Roman" w:hAnsi="Times New Roman"/>
          <w:bCs/>
          <w:iCs/>
          <w:sz w:val="24"/>
          <w:szCs w:val="24"/>
        </w:rPr>
        <w:t xml:space="preserve"> bond.  Included with Schedule J</w:t>
      </w:r>
      <w:r>
        <w:rPr>
          <w:rFonts w:ascii="Times New Roman" w:hAnsi="Times New Roman"/>
          <w:bCs/>
          <w:iCs/>
          <w:sz w:val="24"/>
          <w:szCs w:val="24"/>
        </w:rPr>
        <w:t>-2 will be an opinion from legal counsel.</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schedule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 (Schedules K-1 and K-2)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Market research is critical in determining the interest and demands of the targeted rural areas for the services offered. This research provides the applicant with</w:t>
      </w:r>
      <w:r w:rsidR="00343C1E">
        <w:rPr>
          <w:rFonts w:ascii="TimesNewRomanPSMT" w:hAnsi="TimesNewRomanPSMT" w:cs="TimesNewRomanPSMT"/>
          <w:color w:val="000000"/>
          <w:sz w:val="24"/>
          <w:szCs w:val="24"/>
        </w:rPr>
        <w:t xml:space="preserve"> knowledge of market potential</w:t>
      </w:r>
      <w:r>
        <w:rPr>
          <w:rFonts w:ascii="TimesNewRomanPSMT" w:hAnsi="TimesNewRomanPSMT" w:cs="TimesNewRomanPSMT"/>
          <w:color w:val="000000"/>
          <w:sz w:val="24"/>
          <w:szCs w:val="24"/>
        </w:rPr>
        <w:t xml:space="preserve">,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months of the submission of the application to RUS.  Surveys can be conducted through direct-mail; telephone; door-to-door interviews; and town hall meetings.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546D74" w:rsidRDefault="00546D74" w:rsidP="006B24D8">
      <w:pPr>
        <w:autoSpaceDE w:val="0"/>
        <w:autoSpaceDN w:val="0"/>
        <w:adjustRightInd w:val="0"/>
        <w:rPr>
          <w:rFonts w:ascii="TimesNewRomanPSMT" w:hAnsi="TimesNewRomanPSMT" w:cs="TimesNewRomanPSMT"/>
          <w:color w:val="000000"/>
          <w:sz w:val="24"/>
          <w:szCs w:val="24"/>
        </w:rPr>
      </w:pPr>
    </w:p>
    <w:p w:rsidR="00546D74" w:rsidRDefault="00546D74"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RDefault="006B24D8" w:rsidP="00D75B34">
      <w:pPr>
        <w:autoSpaceDE w:val="0"/>
        <w:autoSpaceDN w:val="0"/>
        <w:adjustRightInd w:val="0"/>
        <w:ind w:left="720"/>
        <w:rPr>
          <w:rFonts w:ascii="Times New Roman" w:hAnsi="Times New Roman"/>
          <w:b/>
          <w:bCs/>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Research Data (Schedule K-1)</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the methodology for conducting the market survey and the tabulated results for each service area, and a copy of the questionnaire used in the market survey.  The results shall include:</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2D367A" w:rsidRDefault="002D367A" w:rsidP="00D75B34">
      <w:pPr>
        <w:autoSpaceDE w:val="0"/>
        <w:autoSpaceDN w:val="0"/>
        <w:adjustRightInd w:val="0"/>
        <w:ind w:left="1440"/>
        <w:rPr>
          <w:rFonts w:ascii="TimesNewRomanPSMT" w:hAnsi="TimesNewRomanPSMT" w:cs="TimesNewRomanPSMT"/>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B. Market Analysis (Schedule K-2)</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contain an analysis of the research data.</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w:t>
      </w:r>
      <w:r>
        <w:rPr>
          <w:rFonts w:ascii="TimesNewRomanPSMT" w:hAnsi="TimesNewRomanPSMT" w:cs="TimesNewRomanPSMT"/>
          <w:color w:val="000000"/>
          <w:sz w:val="24"/>
          <w:szCs w:val="24"/>
        </w:rPr>
        <w:lastRenderedPageBreak/>
        <w:t>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 (Schedules L-1 and L-2)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 xml:space="preserve">ve market analysis for each proposed service area.  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B51B63"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RDefault="006B24D8" w:rsidP="006B24D8">
      <w:pPr>
        <w:autoSpaceDE w:val="0"/>
        <w:autoSpaceDN w:val="0"/>
        <w:adjustRightInd w:val="0"/>
        <w:rPr>
          <w:rFonts w:ascii="Times New Roman" w:hAnsi="Times New Roman"/>
          <w:i/>
          <w:iCs/>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 (Schedules M-1 through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 (Schedule M-1)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w:t>
      </w:r>
      <w:r w:rsidR="00343C1E">
        <w:rPr>
          <w:rFonts w:ascii="TimesNewRomanPSMT" w:hAnsi="TimesNewRomanPSMT" w:cs="TimesNewRomanPSMT"/>
          <w:color w:val="000000"/>
          <w:sz w:val="24"/>
          <w:szCs w:val="24"/>
        </w:rPr>
        <w:t>Schedule of Debt and Equity Funding</w:t>
      </w:r>
      <w:r>
        <w:rPr>
          <w:rFonts w:ascii="TimesNewRomanPSMT" w:hAnsi="TimesNewRomanPSMT" w:cs="TimesNewRomanPSMT"/>
          <w:color w:val="000000"/>
          <w:sz w:val="24"/>
          <w:szCs w:val="24"/>
        </w:rPr>
        <w:t xml:space="preserve"> (Schedule M-2)</w:t>
      </w:r>
    </w:p>
    <w:p w:rsidR="00192B3D" w:rsidRPr="005D3E2B" w:rsidRDefault="00192B3D" w:rsidP="00192B3D">
      <w:pPr>
        <w:tabs>
          <w:tab w:val="left" w:pos="1080"/>
        </w:tabs>
        <w:ind w:left="720"/>
      </w:pPr>
      <w:r w:rsidRPr="00192B3D">
        <w:rPr>
          <w:rFonts w:ascii="Times New Roman" w:hAnsi="Times New Roman"/>
          <w:sz w:val="24"/>
          <w:szCs w:val="24"/>
        </w:rPr>
        <w:t>Applicants must submit the RUS-provided Schedule of Debt and Equity Funding (Schedule M-2), along with supporting documentation, to provide detail for all existing long-term liabilities, loans, and capital leases.  It also documents new non-RUS funding sources that will be needed to fund the Broadband Loan project, working capital, and any other capital projects planned during the forecast period.</w:t>
      </w:r>
    </w:p>
    <w:p w:rsidR="006B24D8" w:rsidRDefault="006B24D8" w:rsidP="006B24D8">
      <w:pPr>
        <w:autoSpaceDE w:val="0"/>
        <w:autoSpaceDN w:val="0"/>
        <w:adjustRightInd w:val="0"/>
        <w:rPr>
          <w:rFonts w:ascii="TimesNewRomanPSMT" w:hAnsi="TimesNewRomanPSMT" w:cs="TimesNewRomanPSMT"/>
          <w:color w:val="000000"/>
          <w:sz w:val="24"/>
          <w:szCs w:val="24"/>
        </w:rPr>
      </w:pPr>
    </w:p>
    <w:p w:rsidR="002D367A" w:rsidRDefault="002D367A" w:rsidP="00D75B34">
      <w:pPr>
        <w:autoSpaceDE w:val="0"/>
        <w:autoSpaceDN w:val="0"/>
        <w:adjustRightInd w:val="0"/>
        <w:ind w:left="72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C. Subscriber Projection and Service Tiers (Schedule M-3</w:t>
      </w:r>
      <w:r w:rsidR="00192B3D">
        <w:rPr>
          <w:rFonts w:ascii="TimesNewRomanPSMT" w:hAnsi="TimesNewRomanPSMT" w:cs="TimesNewRomanPSMT"/>
          <w:color w:val="000000"/>
          <w:sz w:val="24"/>
          <w:szCs w:val="24"/>
        </w:rPr>
        <w:t>A, B, and C</w:t>
      </w:r>
      <w:r>
        <w:rPr>
          <w:rFonts w:ascii="TimesNewRomanPSMT" w:hAnsi="TimesNewRomanPSMT" w:cs="TimesNewRomanPSMT"/>
          <w:color w:val="000000"/>
          <w:sz w:val="24"/>
          <w:szCs w:val="24"/>
        </w:rPr>
        <w:t>)</w:t>
      </w:r>
    </w:p>
    <w:p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The RUS-provided Excel spreadsheet for Schedule M-3 for this attachment consists of a single worksheet.  Applicants must submit subscriber projections for each and every service area proposed for the Broadband Loan project.</w:t>
      </w:r>
    </w:p>
    <w:p w:rsidR="00192B3D" w:rsidRPr="00192B3D" w:rsidRDefault="00192B3D" w:rsidP="00192B3D">
      <w:pPr>
        <w:tabs>
          <w:tab w:val="left" w:pos="1080"/>
        </w:tabs>
        <w:ind w:left="720"/>
        <w:rPr>
          <w:rFonts w:ascii="Times New Roman" w:hAnsi="Times New Roman"/>
          <w:sz w:val="24"/>
          <w:szCs w:val="24"/>
        </w:rPr>
      </w:pPr>
    </w:p>
    <w:p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Subscriber projections must be broken down by service area, service offering (IP Data, Video, or Voice), service type, tier, pricing, and year.  The subscriber projections must be supported by the results obtained from the market survey and analysis.  It is the applicant’s responsibility to clearly demonstrate how the market survey results support all subscriber projections, tiers, and pricing.</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w:t>
      </w:r>
      <w:r w:rsidR="00192B3D">
        <w:rPr>
          <w:rFonts w:ascii="TimesNewRomanPSMT" w:hAnsi="TimesNewRomanPSMT" w:cs="TimesNewRomanPSMT"/>
          <w:color w:val="000000"/>
          <w:sz w:val="24"/>
          <w:szCs w:val="24"/>
        </w:rPr>
        <w:t>nancial Forecast</w:t>
      </w:r>
      <w:r>
        <w:rPr>
          <w:rFonts w:ascii="TimesNewRomanPSMT" w:hAnsi="TimesNewRomanPSMT" w:cs="TimesNewRomanPSMT"/>
          <w:color w:val="000000"/>
          <w:sz w:val="24"/>
          <w:szCs w:val="24"/>
        </w:rPr>
        <w:t xml:space="preserve"> (Schedule M</w:t>
      </w:r>
      <w:r w:rsidR="006E7503">
        <w:rPr>
          <w:rFonts w:ascii="TimesNewRomanPSMT" w:hAnsi="TimesNewRomanPSMT" w:cs="TimesNewRomanPSMT"/>
          <w:color w:val="000000"/>
          <w:sz w:val="24"/>
          <w:szCs w:val="24"/>
        </w:rPr>
        <w:t>-4</w:t>
      </w:r>
      <w:r w:rsidR="00192B3D">
        <w:rPr>
          <w:rFonts w:ascii="TimesNewRomanPSMT" w:hAnsi="TimesNewRomanPSMT" w:cs="TimesNewRomanPSMT"/>
          <w:color w:val="000000"/>
          <w:sz w:val="24"/>
          <w:szCs w:val="24"/>
        </w:rPr>
        <w:t>A</w:t>
      </w:r>
      <w:r>
        <w:rPr>
          <w:rFonts w:ascii="TimesNewRomanPSMT" w:hAnsi="TimesNewRomanPSMT" w:cs="TimesNewRomanPSMT"/>
          <w:color w:val="000000"/>
          <w:sz w:val="24"/>
          <w:szCs w:val="24"/>
        </w:rPr>
        <w:t>)</w:t>
      </w:r>
    </w:p>
    <w:p w:rsidR="00192B3D" w:rsidRPr="00514CEE" w:rsidRDefault="00192B3D" w:rsidP="00514CEE">
      <w:pPr>
        <w:tabs>
          <w:tab w:val="left" w:pos="720"/>
        </w:tabs>
        <w:ind w:left="720"/>
        <w:rPr>
          <w:rFonts w:ascii="Times New Roman" w:hAnsi="Times New Roman"/>
          <w:sz w:val="24"/>
          <w:szCs w:val="24"/>
        </w:rPr>
      </w:pPr>
      <w:r w:rsidRPr="00514CEE">
        <w:rPr>
          <w:rFonts w:ascii="Times New Roman" w:hAnsi="Times New Roman"/>
          <w:sz w:val="24"/>
          <w:szCs w:val="24"/>
        </w:rPr>
        <w:t>Applicants are required to submit a complete financial model of the pro forma five year forecast period, and are strongly encouraged to use the Microsoft Excel spreadsheet template provided by RUS for Schedule M-4A.  Applicants are allowed to modify this spreadsheet as long as any and all modifications are sufficiently explained.</w:t>
      </w:r>
    </w:p>
    <w:p w:rsidR="00192B3D" w:rsidRDefault="00192B3D" w:rsidP="00D75B34">
      <w:pPr>
        <w:autoSpaceDE w:val="0"/>
        <w:autoSpaceDN w:val="0"/>
        <w:adjustRightInd w:val="0"/>
        <w:ind w:left="720"/>
        <w:rPr>
          <w:rFonts w:ascii="TimesNewRomanPSMT" w:hAnsi="TimesNewRomanPSMT" w:cs="TimesNewRomanPSMT"/>
          <w:color w:val="000000"/>
          <w:sz w:val="24"/>
          <w:szCs w:val="24"/>
        </w:rPr>
      </w:pPr>
    </w:p>
    <w:p w:rsidR="00192B3D"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Pro Forma Financial Assumptions (Schedule M-4B)</w:t>
      </w:r>
    </w:p>
    <w:p w:rsidR="00192B3D" w:rsidRPr="00514CEE" w:rsidRDefault="00192B3D" w:rsidP="00514CEE">
      <w:pPr>
        <w:ind w:left="720"/>
        <w:rPr>
          <w:rFonts w:ascii="Times New Roman" w:hAnsi="Times New Roman"/>
          <w:bCs/>
          <w:sz w:val="24"/>
          <w:szCs w:val="24"/>
        </w:rPr>
      </w:pPr>
      <w:r w:rsidRPr="00514CEE">
        <w:rPr>
          <w:rFonts w:ascii="Times New Roman" w:hAnsi="Times New Roman"/>
          <w:sz w:val="24"/>
          <w:szCs w:val="24"/>
        </w:rPr>
        <w:t>Applicants are</w:t>
      </w:r>
      <w:r w:rsidRPr="00514CEE">
        <w:rPr>
          <w:rFonts w:ascii="Times New Roman" w:hAnsi="Times New Roman"/>
          <w:bCs/>
          <w:sz w:val="24"/>
          <w:szCs w:val="24"/>
        </w:rPr>
        <w:t xml:space="preserve"> required to submit a detailed written narrative that documents the various pro forma financial assumptions used to prepare the Pro Forma 5-Year Financial Forecast.</w:t>
      </w:r>
    </w:p>
    <w:p w:rsidR="00192B3D" w:rsidRPr="00514CEE" w:rsidRDefault="00192B3D" w:rsidP="00514CEE">
      <w:pPr>
        <w:ind w:left="720"/>
        <w:rPr>
          <w:rFonts w:ascii="Times New Roman" w:hAnsi="Times New Roman"/>
          <w:bCs/>
          <w:sz w:val="24"/>
          <w:szCs w:val="24"/>
        </w:rPr>
      </w:pPr>
    </w:p>
    <w:p w:rsidR="00192B3D" w:rsidRPr="00514CEE" w:rsidRDefault="00192B3D" w:rsidP="00514CEE">
      <w:pPr>
        <w:ind w:left="720"/>
        <w:rPr>
          <w:rFonts w:ascii="Times New Roman" w:hAnsi="Times New Roman"/>
          <w:sz w:val="24"/>
          <w:szCs w:val="24"/>
        </w:rPr>
      </w:pPr>
      <w:r w:rsidRPr="00514CEE">
        <w:rPr>
          <w:rFonts w:ascii="Times New Roman" w:hAnsi="Times New Roman"/>
          <w:sz w:val="24"/>
          <w:szCs w:val="24"/>
        </w:rPr>
        <w:t xml:space="preserve">Every category in the pro forma financial statements must be explained with clear details so that RUS may review and understand the basis for the financial projections.  The assumptions must allow an RUS financial analyst to re-create the pro forma financial statements.  If the financial forecast is not fully supported by a detailed narrative for every category, it may affect the final decision on the application.  </w:t>
      </w:r>
    </w:p>
    <w:p w:rsidR="00192B3D" w:rsidRDefault="00192B3D" w:rsidP="00D75B34">
      <w:pPr>
        <w:autoSpaceDE w:val="0"/>
        <w:autoSpaceDN w:val="0"/>
        <w:adjustRightInd w:val="0"/>
        <w:ind w:left="720"/>
        <w:rPr>
          <w:rFonts w:ascii="TimesNewRomanPSMT" w:hAnsi="TimesNewRomanPSMT" w:cs="TimesNewRomanPSMT"/>
          <w:color w:val="000000"/>
          <w:sz w:val="24"/>
          <w:szCs w:val="24"/>
        </w:rPr>
      </w:pPr>
    </w:p>
    <w:p w:rsidR="006E7503" w:rsidRDefault="006E7503" w:rsidP="00D75B34">
      <w:pPr>
        <w:autoSpaceDE w:val="0"/>
        <w:autoSpaceDN w:val="0"/>
        <w:adjustRightInd w:val="0"/>
        <w:ind w:left="720"/>
        <w:rPr>
          <w:rFonts w:ascii="TimesNewRomanPSMT" w:hAnsi="TimesNewRomanPSMT" w:cs="TimesNewRomanPSMT"/>
          <w:color w:val="000000"/>
          <w:sz w:val="24"/>
          <w:szCs w:val="24"/>
        </w:rPr>
      </w:pPr>
    </w:p>
    <w:p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E7503">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Additional Cash (Schedule M-5)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  Applicants will use Schedule M-5 to document evidence of the analysis.</w:t>
      </w:r>
    </w:p>
    <w:p w:rsidR="00192B3D" w:rsidRDefault="00192B3D" w:rsidP="00D75B34">
      <w:pPr>
        <w:autoSpaceDE w:val="0"/>
        <w:autoSpaceDN w:val="0"/>
        <w:adjustRightInd w:val="0"/>
        <w:ind w:left="720"/>
        <w:rPr>
          <w:rFonts w:ascii="TimesNewRomanPSMT" w:hAnsi="TimesNewRomanPSMT" w:cs="TimesNewRomanPSMT"/>
          <w:color w:val="000000"/>
          <w:sz w:val="24"/>
          <w:szCs w:val="24"/>
        </w:rPr>
      </w:pPr>
    </w:p>
    <w:p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G</w:t>
      </w:r>
      <w:r w:rsidR="006B24D8">
        <w:rPr>
          <w:rFonts w:ascii="TimesNewRomanPSMT" w:hAnsi="TimesNewRomanPSMT" w:cs="TimesNewRomanPSMT"/>
          <w:color w:val="000000"/>
          <w:sz w:val="24"/>
          <w:szCs w:val="24"/>
        </w:rPr>
        <w:t>. Depreciation Schedule (Schedule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be provided as Schedule M-6. This schedule should include all categories of depreciable equipment and facilities that are proposed for purchase through Broadband Loan Project funds only.</w:t>
      </w:r>
    </w:p>
    <w:p w:rsidR="00665E81" w:rsidRDefault="00665E81"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 xml:space="preserve">NETWORK DESIGN (Schedules N-1 </w:t>
      </w:r>
      <w:r w:rsidR="00FB1DC9" w:rsidRPr="00D75B34">
        <w:rPr>
          <w:rFonts w:ascii="Times New Roman" w:hAnsi="Times New Roman"/>
          <w:b/>
          <w:bCs/>
          <w:iCs/>
          <w:sz w:val="24"/>
          <w:szCs w:val="24"/>
          <w:u w:val="single"/>
        </w:rPr>
        <w:t>through</w:t>
      </w:r>
      <w:r w:rsidRPr="00D75B34">
        <w:rPr>
          <w:rFonts w:ascii="Times New Roman" w:hAnsi="Times New Roman"/>
          <w:b/>
          <w:bCs/>
          <w:iCs/>
          <w:sz w:val="24"/>
          <w:szCs w:val="24"/>
          <w:u w:val="single"/>
        </w:rPr>
        <w:t xml:space="preserve"> N-</w:t>
      </w:r>
      <w:r w:rsidR="00514CEE">
        <w:rPr>
          <w:rFonts w:ascii="Times New Roman" w:hAnsi="Times New Roman"/>
          <w:b/>
          <w:bCs/>
          <w:iCs/>
          <w:sz w:val="24"/>
          <w:szCs w:val="24"/>
          <w:u w:val="single"/>
        </w:rPr>
        <w:t>2</w:t>
      </w:r>
      <w:r w:rsidRPr="00D75B34">
        <w:rPr>
          <w:rFonts w:ascii="Times New Roman" w:hAnsi="Times New Roman"/>
          <w:b/>
          <w:bCs/>
          <w:iCs/>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 Schedule N-1 shall present a Network Design</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w:t>
      </w:r>
      <w:r w:rsidR="00FB1DC9" w:rsidRPr="00FB1DC9">
        <w:rPr>
          <w:rFonts w:ascii="Times New Roman" w:hAnsi="Times New Roman"/>
          <w:color w:val="000000"/>
          <w:sz w:val="24"/>
          <w:szCs w:val="24"/>
        </w:rPr>
        <w:t>Schedule N-</w:t>
      </w:r>
      <w:r w:rsidR="00514CEE">
        <w:rPr>
          <w:rFonts w:ascii="Times New Roman" w:hAnsi="Times New Roman"/>
          <w:color w:val="000000"/>
          <w:sz w:val="24"/>
          <w:szCs w:val="24"/>
        </w:rPr>
        <w:t>2</w:t>
      </w:r>
      <w:r w:rsidR="00FB1DC9">
        <w:rPr>
          <w:rFonts w:ascii="TimesNewRomanPSMT" w:hAnsi="TimesNewRomanPSMT" w:cs="TimesNewRomanPSMT"/>
          <w:color w:val="000000"/>
          <w:sz w:val="24"/>
          <w:szCs w:val="24"/>
        </w:rPr>
        <w:t xml:space="preserve"> shall present a </w:t>
      </w:r>
      <w:r>
        <w:rPr>
          <w:rFonts w:ascii="TimesNewRomanPSMT" w:hAnsi="TimesNewRomanPSMT" w:cs="TimesNewRomanPSMT"/>
          <w:color w:val="000000"/>
          <w:sz w:val="24"/>
          <w:szCs w:val="24"/>
        </w:rPr>
        <w:t xml:space="preserve">Network Design Certification in accordance with the Application Guide.  </w:t>
      </w:r>
    </w:p>
    <w:p w:rsidR="00FB1DC9" w:rsidRDefault="00FB1DC9" w:rsidP="006B24D8">
      <w:pPr>
        <w:autoSpaceDE w:val="0"/>
        <w:autoSpaceDN w:val="0"/>
        <w:adjustRightInd w:val="0"/>
        <w:rPr>
          <w:rFonts w:ascii="Times New Roman" w:hAnsi="Times New Roman"/>
          <w:b/>
          <w:bCs/>
          <w:i/>
          <w:iCs/>
          <w:color w:val="0000FF"/>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 (Schedules O-1 and O-2)</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Existing and proposed network diagrams shall be included in the application as Schedule O-1 and O-2 and provide the level of detail found in the Application Guide. </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Default="00FB1DC9" w:rsidP="00FB1DC9">
      <w:pPr>
        <w:autoSpaceDE w:val="0"/>
        <w:autoSpaceDN w:val="0"/>
        <w:adjustRightInd w:val="0"/>
        <w:rPr>
          <w:rFonts w:ascii="Times New Roman" w:hAnsi="Times New Roman"/>
          <w:b/>
          <w:bCs/>
          <w:i/>
          <w:iCs/>
          <w:color w:val="0000FF"/>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 (Schedule P)</w:t>
      </w:r>
    </w:p>
    <w:p w:rsidR="00FB1DC9" w:rsidRDefault="00FB1DC9" w:rsidP="00D75B34">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Schedule P will provide detailed information on the project capital investment, including detailed project costs, build-out timeline, and project milestones.</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 (Schedule Q)</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00665E8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 Executive Orders (EO) that apply to RUS programs. The policies and procedures set forth in 7 CFR Part 1794,</w:t>
      </w:r>
      <w:r w:rsidR="0085786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an environmental report in accordance with 7 CFR Part 1794, for any facilities that will be constructed with broadband loan funds. A copy of 7 CFR Part 1794 can be retrieved from RUS’s web site</w:t>
      </w:r>
      <w:r w:rsidR="00D67A07">
        <w:rPr>
          <w:rFonts w:ascii="TimesNewRomanPSMT" w:hAnsi="TimesNewRomanPSMT" w:cs="TimesNewRomanPSMT"/>
          <w:color w:val="000000"/>
          <w:sz w:val="24"/>
          <w:szCs w:val="24"/>
        </w:rPr>
        <w:t xml:space="preserve">:  </w:t>
      </w:r>
      <w:hyperlink r:id="rId10" w:history="1">
        <w:r w:rsidR="00AC0E18" w:rsidRPr="00B40C52">
          <w:rPr>
            <w:rStyle w:val="Hyperlink"/>
            <w:rFonts w:ascii="TimesNewRomanPSMT" w:hAnsi="TimesNewRomanPSMT" w:cs="TimesNewRomanPSMT"/>
            <w:sz w:val="24"/>
            <w:szCs w:val="24"/>
          </w:rPr>
          <w:t>http://www.rurdev.usda.gov/utp_farmbill.html</w:t>
        </w:r>
      </w:hyperlink>
    </w:p>
    <w:p w:rsidR="00D67A07" w:rsidRDefault="00D67A07" w:rsidP="00D67A07">
      <w:pPr>
        <w:autoSpaceDE w:val="0"/>
        <w:autoSpaceDN w:val="0"/>
        <w:adjustRightInd w:val="0"/>
        <w:rPr>
          <w:rFonts w:ascii="TimesNewRomanPSMT" w:hAnsi="TimesNewRomanPSMT" w:cs="TimesNewRomanPSMT"/>
          <w:color w:val="000000"/>
          <w:sz w:val="24"/>
          <w:szCs w:val="24"/>
        </w:rPr>
      </w:pPr>
    </w:p>
    <w:p w:rsidR="00FB1DC9" w:rsidRDefault="00FB1DC9" w:rsidP="006B24D8">
      <w:pPr>
        <w:autoSpaceDE w:val="0"/>
        <w:autoSpaceDN w:val="0"/>
        <w:adjustRightInd w:val="0"/>
        <w:outlineLvl w:val="0"/>
        <w:rPr>
          <w:rFonts w:ascii="Times New Roman" w:hAnsi="Times New Roman"/>
          <w:b/>
          <w:bCs/>
          <w:iCs/>
          <w:sz w:val="24"/>
          <w:szCs w:val="24"/>
          <w:u w:val="single"/>
        </w:rPr>
      </w:pPr>
    </w:p>
    <w:p w:rsidR="00044126" w:rsidRPr="00D75B34" w:rsidRDefault="00044126" w:rsidP="00D75B34">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 (Schedule R)</w:t>
      </w:r>
    </w:p>
    <w:p w:rsidR="00044126" w:rsidRDefault="00044126" w:rsidP="00D75B34">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complete the information in Schedule R for all applicable licenses and agreements and provide supporting documentation.</w:t>
      </w:r>
    </w:p>
    <w:p w:rsidR="00044126" w:rsidRDefault="00044126" w:rsidP="006B24D8">
      <w:pPr>
        <w:autoSpaceDE w:val="0"/>
        <w:autoSpaceDN w:val="0"/>
        <w:adjustRightInd w:val="0"/>
        <w:outlineLvl w:val="0"/>
        <w:rPr>
          <w:rFonts w:ascii="Times New Roman" w:hAnsi="Times New Roman"/>
          <w:b/>
          <w:bCs/>
          <w:iCs/>
          <w:sz w:val="24"/>
          <w:szCs w:val="24"/>
          <w:u w:val="single"/>
        </w:rPr>
      </w:pPr>
    </w:p>
    <w:p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 xml:space="preserve">ing </w:t>
      </w:r>
      <w:r w:rsidR="00D67A07">
        <w:rPr>
          <w:rFonts w:ascii="TimesNewRomanPSMT" w:hAnsi="TimesNewRomanPSMT" w:cs="TimesNewRomanPSMT"/>
          <w:color w:val="000000"/>
          <w:sz w:val="24"/>
          <w:szCs w:val="24"/>
        </w:rPr>
        <w:t>at</w:t>
      </w:r>
      <w:r w:rsidR="00D67A07" w:rsidRPr="00D67A07">
        <w:t xml:space="preserve"> </w:t>
      </w:r>
      <w:r w:rsidR="00D67A07" w:rsidRPr="00D67A07">
        <w:rPr>
          <w:rFonts w:ascii="TimesNewRomanPSMT" w:hAnsi="TimesNewRomanPSMT" w:cs="TimesNewRomanPSMT"/>
          <w:color w:val="000000"/>
          <w:sz w:val="24"/>
          <w:szCs w:val="24"/>
        </w:rPr>
        <w:t>http://broadbandsearch.sc.egov.usda.gov/</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1738.204(b)</w:t>
      </w:r>
      <w:r w:rsidR="008A05F9">
        <w:rPr>
          <w:rFonts w:ascii="TimesNewRomanPSMT" w:hAnsi="TimesNewRomanPSMT" w:cs="TimesNewRomanPSMT"/>
          <w:color w:val="000000"/>
          <w:sz w:val="24"/>
          <w:szCs w:val="24"/>
        </w:rPr>
        <w:t>.</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rsidR="00514CEE" w:rsidRDefault="00514CEE" w:rsidP="00252E6B">
      <w:pPr>
        <w:tabs>
          <w:tab w:val="left" w:pos="360"/>
        </w:tabs>
        <w:rPr>
          <w:rFonts w:ascii="TimesNewRomanPSMT" w:hAnsi="TimesNewRomanPSMT" w:cs="TimesNewRomanPSMT"/>
          <w:color w:val="000000"/>
          <w:sz w:val="24"/>
          <w:szCs w:val="24"/>
        </w:rPr>
      </w:pPr>
    </w:p>
    <w:p w:rsidR="00514CEE" w:rsidRDefault="00514CEE" w:rsidP="00252E6B">
      <w:pPr>
        <w:tabs>
          <w:tab w:val="left" w:pos="360"/>
        </w:tabs>
        <w:rPr>
          <w:rFonts w:ascii="TimesNewRomanPSMT" w:hAnsi="TimesNewRomanPSMT" w:cs="TimesNewRomanPSMT"/>
          <w:color w:val="000000"/>
          <w:sz w:val="24"/>
          <w:szCs w:val="24"/>
        </w:rPr>
      </w:pPr>
      <w:r w:rsidRPr="00514CEE">
        <w:rPr>
          <w:rFonts w:ascii="TimesNewRomanPSMT" w:hAnsi="TimesNewRomanPSMT" w:cs="TimesNewRomanPSMT"/>
          <w:b/>
          <w:color w:val="000000"/>
          <w:sz w:val="24"/>
          <w:szCs w:val="24"/>
        </w:rPr>
        <w:t>Preparation and Execution of Loan Documents</w:t>
      </w:r>
      <w:r>
        <w:rPr>
          <w:rFonts w:ascii="TimesNewRomanPSMT" w:hAnsi="TimesNewRomanPSMT" w:cs="TimesNewRomanPSMT"/>
          <w:color w:val="000000"/>
          <w:sz w:val="24"/>
          <w:szCs w:val="24"/>
        </w:rPr>
        <w:t xml:space="preserve"> – Applicants whose applications are chosen for funding will be required to execute loan documents with the agency.</w:t>
      </w:r>
    </w:p>
    <w:p w:rsidR="005714F1" w:rsidRDefault="005714F1" w:rsidP="00252E6B">
      <w:pPr>
        <w:tabs>
          <w:tab w:val="left" w:pos="360"/>
        </w:tabs>
        <w:rPr>
          <w:rFonts w:ascii="TimesNewRomanPSMT" w:hAnsi="TimesNewRomanPSMT" w:cs="TimesNewRomanPSMT"/>
          <w:color w:val="000000"/>
          <w:sz w:val="24"/>
          <w:szCs w:val="24"/>
        </w:rPr>
      </w:pPr>
    </w:p>
    <w:p w:rsidR="000B31E5" w:rsidRDefault="000B31E5" w:rsidP="00252E6B">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RDefault="000B31E5" w:rsidP="00252E6B">
      <w:pPr>
        <w:tabs>
          <w:tab w:val="left" w:pos="360"/>
        </w:tabs>
        <w:rPr>
          <w:rFonts w:ascii="Times New Roman" w:hAnsi="Times New Roman"/>
          <w:sz w:val="24"/>
        </w:rPr>
      </w:pPr>
    </w:p>
    <w:p w:rsidR="00557DBC" w:rsidRDefault="00557DBC" w:rsidP="004E5826">
      <w:pPr>
        <w:tabs>
          <w:tab w:val="left" w:pos="360"/>
        </w:tabs>
        <w:ind w:left="360" w:hanging="360"/>
        <w:rPr>
          <w:rFonts w:ascii="Arial" w:hAnsi="Arial"/>
          <w:b/>
          <w:sz w:val="22"/>
          <w:szCs w:val="22"/>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8E0BE5" w:rsidP="00E964F7">
      <w:pPr>
        <w:rPr>
          <w:rFonts w:ascii="Times New Roman" w:hAnsi="Times New Roman" w:cs="Arial"/>
          <w:color w:val="000080"/>
          <w:sz w:val="24"/>
        </w:rPr>
      </w:pPr>
      <w:r>
        <w:rPr>
          <w:rFonts w:ascii="Times New Roman" w:hAnsi="Times New Roman" w:cs="Courier New"/>
          <w:sz w:val="24"/>
        </w:rPr>
        <w:lastRenderedPageBreak/>
        <w:t xml:space="preserve">     </w:t>
      </w:r>
      <w:r w:rsidR="00E61AEB">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p>
    <w:p w:rsidR="00076968" w:rsidRDefault="00076968" w:rsidP="00E964F7">
      <w:pPr>
        <w:rPr>
          <w:rFonts w:ascii="Times New Roman" w:hAnsi="Times New Roman" w:cs="Arial"/>
          <w:color w:val="000080"/>
          <w:sz w:val="24"/>
        </w:rPr>
      </w:pPr>
    </w:p>
    <w:p w:rsidR="00076968" w:rsidRPr="005F137B" w:rsidRDefault="00CE08CA" w:rsidP="00E964F7">
      <w:pPr>
        <w:rPr>
          <w:rFonts w:ascii="Times New Roman" w:hAnsi="Times New Roman"/>
          <w:sz w:val="24"/>
        </w:rPr>
      </w:pPr>
      <w:r>
        <w:rPr>
          <w:rFonts w:ascii="Times New Roman" w:hAnsi="Times New Roman" w:cs="Arial"/>
          <w:sz w:val="24"/>
        </w:rPr>
        <w:t>T</w:t>
      </w:r>
      <w:r w:rsidR="00076968" w:rsidRPr="005F137B">
        <w:rPr>
          <w:rFonts w:ascii="Times New Roman" w:hAnsi="Times New Roman" w:cs="Arial"/>
          <w:sz w:val="24"/>
        </w:rPr>
        <w:t xml:space="preserve">he application </w:t>
      </w:r>
      <w:r w:rsidR="00505657">
        <w:rPr>
          <w:rFonts w:ascii="Times New Roman" w:hAnsi="Times New Roman" w:cs="Arial"/>
          <w:sz w:val="24"/>
        </w:rPr>
        <w:t xml:space="preserve">RUS </w:t>
      </w:r>
      <w:r w:rsidR="00076968" w:rsidRPr="005F137B">
        <w:rPr>
          <w:rFonts w:ascii="Times New Roman" w:hAnsi="Times New Roman" w:cs="Arial"/>
          <w:sz w:val="24"/>
        </w:rPr>
        <w:t>form</w:t>
      </w:r>
      <w:r w:rsidR="00505657">
        <w:rPr>
          <w:rFonts w:ascii="Times New Roman" w:hAnsi="Times New Roman" w:cs="Arial"/>
          <w:sz w:val="24"/>
        </w:rPr>
        <w:t xml:space="preserve"> 532</w:t>
      </w:r>
      <w:r w:rsidR="00076968" w:rsidRPr="005F137B">
        <w:rPr>
          <w:rFonts w:ascii="Times New Roman" w:hAnsi="Times New Roman" w:cs="Arial"/>
          <w:sz w:val="24"/>
        </w:rPr>
        <w:t xml:space="preserve"> </w:t>
      </w:r>
      <w:r>
        <w:rPr>
          <w:rFonts w:ascii="Times New Roman" w:hAnsi="Times New Roman" w:cs="Arial"/>
          <w:sz w:val="24"/>
        </w:rPr>
        <w:t xml:space="preserve">is </w:t>
      </w:r>
      <w:r w:rsidR="00076968" w:rsidRPr="005F137B">
        <w:rPr>
          <w:rFonts w:ascii="Times New Roman" w:hAnsi="Times New Roman" w:cs="Arial"/>
          <w:sz w:val="24"/>
        </w:rPr>
        <w:t xml:space="preserve">available in a fillable PDF form on the </w:t>
      </w:r>
      <w:r w:rsidR="002521A3">
        <w:rPr>
          <w:rFonts w:ascii="Times New Roman" w:hAnsi="Times New Roman" w:cs="Arial"/>
          <w:sz w:val="24"/>
        </w:rPr>
        <w:t>agency’s</w:t>
      </w:r>
      <w:r w:rsidR="00076968" w:rsidRPr="005F137B">
        <w:rPr>
          <w:rFonts w:ascii="Times New Roman" w:hAnsi="Times New Roman" w:cs="Arial"/>
          <w:sz w:val="24"/>
        </w:rPr>
        <w:t xml:space="preserve"> website</w:t>
      </w:r>
      <w:r w:rsidR="00D67A07">
        <w:rPr>
          <w:rFonts w:ascii="Times New Roman" w:hAnsi="Times New Roman" w:cs="Arial"/>
          <w:sz w:val="24"/>
        </w:rPr>
        <w:t xml:space="preserve">:  </w:t>
      </w:r>
      <w:r w:rsidR="00D67A07" w:rsidRPr="00D67A07">
        <w:rPr>
          <w:rFonts w:ascii="TimesNewRomanPSMT" w:hAnsi="TimesNewRomanPSMT" w:cs="TimesNewRomanPSMT"/>
          <w:color w:val="000000"/>
          <w:sz w:val="24"/>
          <w:szCs w:val="24"/>
        </w:rPr>
        <w:t>http://www.rurdev.usda.gov/utp_farmbill.html</w:t>
      </w:r>
      <w:r w:rsidR="00076968" w:rsidRPr="005F137B">
        <w:rPr>
          <w:rFonts w:ascii="Times New Roman" w:hAnsi="Times New Roman" w:cs="Arial"/>
          <w:sz w:val="24"/>
        </w:rPr>
        <w:t xml:space="preserve">.  The agency </w:t>
      </w:r>
      <w:r w:rsidR="00300E8C">
        <w:rPr>
          <w:rFonts w:ascii="Times New Roman" w:hAnsi="Times New Roman" w:cs="Arial"/>
          <w:sz w:val="24"/>
        </w:rPr>
        <w:t>is in the process of developing an online application system for submitting requests for financial assistance.  It is anticipated that the first version of this online system will be operational in March 2015.</w:t>
      </w:r>
    </w:p>
    <w:p w:rsidR="00E964F7" w:rsidRPr="00E964F7" w:rsidRDefault="00E964F7"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rsidR="000F2EEF" w:rsidRDefault="000F2EEF"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9B28C5">
        <w:rPr>
          <w:rFonts w:ascii="Times New Roman" w:hAnsi="Times New Roman"/>
          <w:sz w:val="24"/>
        </w:rPr>
        <w:t xml:space="preserve">5 respondents </w:t>
      </w:r>
      <w:r w:rsidR="00924AFC">
        <w:rPr>
          <w:rFonts w:ascii="Times New Roman" w:hAnsi="Times New Roman"/>
          <w:sz w:val="24"/>
        </w:rPr>
        <w:t>qualify as small businesses.</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proofErr w:type="gramStart"/>
      <w:r w:rsidR="00BB6AEE">
        <w:rPr>
          <w:rFonts w:ascii="Times New Roman" w:hAnsi="Times New Roman"/>
          <w:sz w:val="24"/>
        </w:rPr>
        <w:t>submi</w:t>
      </w:r>
      <w:r w:rsidR="00514CEE">
        <w:rPr>
          <w:rFonts w:ascii="Times New Roman" w:hAnsi="Times New Roman"/>
          <w:sz w:val="24"/>
        </w:rPr>
        <w:t xml:space="preserve">tted </w:t>
      </w:r>
      <w:r w:rsidR="00BB6AEE">
        <w:rPr>
          <w:rFonts w:ascii="Times New Roman" w:hAnsi="Times New Roman"/>
          <w:sz w:val="24"/>
        </w:rPr>
        <w:t xml:space="preserve"> at</w:t>
      </w:r>
      <w:proofErr w:type="gramEnd"/>
      <w:r w:rsidR="00BB6AEE">
        <w:rPr>
          <w:rFonts w:ascii="Times New Roman" w:hAnsi="Times New Roman"/>
          <w:sz w:val="24"/>
        </w:rPr>
        <w:t xml:space="preserve"> the time of application </w:t>
      </w:r>
      <w:r w:rsidR="00173932">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362156">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proofErr w:type="gramStart"/>
      <w:r w:rsidRPr="0094502C">
        <w:rPr>
          <w:rFonts w:ascii="Arial" w:hAnsi="Arial" w:cs="Arial"/>
          <w:b/>
          <w:sz w:val="22"/>
          <w:szCs w:val="22"/>
        </w:rPr>
        <w:t>e</w:t>
      </w:r>
      <w:proofErr w:type="gramEnd"/>
      <w:r w:rsidRPr="0094502C">
        <w:rPr>
          <w:rFonts w:ascii="Arial" w:hAnsi="Arial" w:cs="Arial"/>
          <w:b/>
          <w:sz w:val="22"/>
          <w:szCs w:val="22"/>
        </w:rPr>
        <w:t>.</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BB6AEE"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RDefault="001E51AA" w:rsidP="007D6F29">
      <w:pPr>
        <w:ind w:left="360" w:hanging="360"/>
        <w:rPr>
          <w:rFonts w:ascii="Arial" w:hAnsi="Arial" w:cs="Arial"/>
          <w:b/>
          <w:sz w:val="22"/>
          <w:szCs w:val="22"/>
        </w:rPr>
      </w:pPr>
    </w:p>
    <w:p w:rsidR="001E51AA" w:rsidRPr="00D67A07" w:rsidRDefault="00E364FF" w:rsidP="006E7503">
      <w:pPr>
        <w:ind w:left="360"/>
        <w:rPr>
          <w:rFonts w:ascii="Times New Roman" w:hAnsi="Times New Roman"/>
          <w:sz w:val="24"/>
          <w:szCs w:val="24"/>
        </w:rPr>
      </w:pPr>
      <w:r>
        <w:rPr>
          <w:rFonts w:ascii="Times New Roman" w:hAnsi="Times New Roman"/>
          <w:sz w:val="24"/>
          <w:szCs w:val="24"/>
        </w:rPr>
        <w:t>In accordance with the Paperwork Reduction Act of 1995, a 60 day notice for public</w:t>
      </w:r>
      <w:r w:rsidR="006E7503">
        <w:rPr>
          <w:rFonts w:ascii="Times New Roman" w:hAnsi="Times New Roman"/>
          <w:sz w:val="24"/>
          <w:szCs w:val="24"/>
        </w:rPr>
        <w:t xml:space="preserve"> </w:t>
      </w:r>
      <w:r>
        <w:rPr>
          <w:rFonts w:ascii="Times New Roman" w:hAnsi="Times New Roman"/>
          <w:sz w:val="24"/>
          <w:szCs w:val="24"/>
        </w:rPr>
        <w:t xml:space="preserve">comment </w:t>
      </w:r>
      <w:r w:rsidR="00407FC1">
        <w:rPr>
          <w:rFonts w:ascii="Times New Roman" w:hAnsi="Times New Roman"/>
          <w:sz w:val="24"/>
          <w:szCs w:val="24"/>
        </w:rPr>
        <w:t>will be published in the Interim Rulemaking.</w:t>
      </w:r>
    </w:p>
    <w:p w:rsidR="00BB6AEE" w:rsidRDefault="00BB6AEE" w:rsidP="00252E6B">
      <w:pPr>
        <w:rPr>
          <w:rFonts w:ascii="Times New Roman" w:hAnsi="Times New Roman"/>
          <w:sz w:val="24"/>
        </w:rPr>
      </w:pPr>
    </w:p>
    <w:p w:rsidR="00296682" w:rsidRPr="00D75B34" w:rsidRDefault="00296682" w:rsidP="00296682">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proofErr w:type="spellStart"/>
      <w:r w:rsidRPr="0094502C">
        <w:rPr>
          <w:rFonts w:ascii="Arial" w:hAnsi="Arial" w:cs="Arial"/>
          <w:b/>
          <w:sz w:val="22"/>
          <w:szCs w:val="22"/>
          <w:u w:val="single"/>
        </w:rPr>
        <w:t>reenumeration</w:t>
      </w:r>
      <w:proofErr w:type="spellEnd"/>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No such decision has been made.</w:t>
      </w:r>
    </w:p>
    <w:p w:rsidR="00BB6AEE" w:rsidRDefault="00BB6AEE"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rsidR="00BB6AEE" w:rsidRDefault="00BB6AEE"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lastRenderedPageBreak/>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questions of this nature.</w:t>
      </w:r>
    </w:p>
    <w:p w:rsidR="00BB6AEE" w:rsidRDefault="00BB6AEE"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RDefault="0058545F" w:rsidP="00252E6B">
      <w:pPr>
        <w:rPr>
          <w:rFonts w:ascii="Times New Roman" w:hAnsi="Times New Roman"/>
          <w:sz w:val="24"/>
        </w:rPr>
      </w:pPr>
    </w:p>
    <w:p w:rsidR="0058545F" w:rsidRPr="0041545F" w:rsidRDefault="0058545F" w:rsidP="0058545F">
      <w:pPr>
        <w:rPr>
          <w:rFonts w:ascii="Times New Roman" w:hAnsi="Times New Roman"/>
          <w:sz w:val="24"/>
          <w:szCs w:val="24"/>
        </w:rPr>
      </w:pPr>
      <w:r>
        <w:rPr>
          <w:rFonts w:ascii="Times New Roman" w:hAnsi="Times New Roman"/>
          <w:sz w:val="24"/>
          <w:szCs w:val="24"/>
        </w:rPr>
        <w:t xml:space="preserve">     </w:t>
      </w:r>
      <w:r w:rsidRPr="0041545F">
        <w:rPr>
          <w:rFonts w:ascii="Times New Roman" w:hAnsi="Times New Roman"/>
          <w:sz w:val="24"/>
          <w:szCs w:val="24"/>
        </w:rPr>
        <w:t>Please reference the separate spreadsheet for a breakdown of the official, approved burden of each individual form’s burden hours that is accounted for in this collection package.</w:t>
      </w:r>
    </w:p>
    <w:p w:rsidR="0058545F" w:rsidRPr="0041545F" w:rsidRDefault="0058545F" w:rsidP="0058545F">
      <w:pPr>
        <w:rPr>
          <w:rFonts w:ascii="Times New Roman" w:hAnsi="Times New Roman"/>
          <w:sz w:val="24"/>
          <w:szCs w:val="24"/>
        </w:rPr>
      </w:pPr>
    </w:p>
    <w:p w:rsidR="0058545F" w:rsidRPr="0041545F" w:rsidRDefault="0058545F" w:rsidP="0058545F">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rsidR="0058545F" w:rsidRPr="0041545F" w:rsidRDefault="0058545F" w:rsidP="0058545F">
      <w:pPr>
        <w:rPr>
          <w:rFonts w:ascii="Times New Roman" w:hAnsi="Times New Roman"/>
          <w:sz w:val="24"/>
          <w:szCs w:val="24"/>
        </w:rPr>
      </w:pPr>
    </w:p>
    <w:p w:rsidR="0058545F" w:rsidRPr="0041545F" w:rsidRDefault="0058545F" w:rsidP="0058545F">
      <w:pPr>
        <w:rPr>
          <w:rFonts w:ascii="Times New Roman" w:hAnsi="Times New Roman"/>
          <w:sz w:val="24"/>
          <w:szCs w:val="24"/>
        </w:rPr>
      </w:pPr>
      <w:r w:rsidRPr="0041545F">
        <w:rPr>
          <w:rFonts w:ascii="Times New Roman" w:hAnsi="Times New Roman"/>
          <w:sz w:val="24"/>
          <w:szCs w:val="24"/>
        </w:rPr>
        <w:t xml:space="preserve">     </w:t>
      </w:r>
      <w:r w:rsidRPr="0041545F">
        <w:rPr>
          <w:rFonts w:ascii="Times New Roman" w:hAnsi="Times New Roman"/>
          <w:sz w:val="24"/>
        </w:rPr>
        <w:t>RUS estimates a cost of $108,325 for respondents to comply with this regulation.  The cost is based on an average of 5 organizations filing a loan</w:t>
      </w:r>
      <w:r>
        <w:rPr>
          <w:rFonts w:ascii="Times New Roman" w:hAnsi="Times New Roman"/>
          <w:sz w:val="24"/>
        </w:rPr>
        <w:t xml:space="preserve">. </w:t>
      </w:r>
      <w:r w:rsidRPr="0041545F">
        <w:rPr>
          <w:rFonts w:ascii="Times New Roman" w:hAnsi="Times New Roman"/>
          <w:sz w:val="24"/>
        </w:rPr>
        <w:t xml:space="preserve">The estimated cost per respondent is $21,665. </w:t>
      </w:r>
      <w:r w:rsidRPr="0058545F">
        <w:rPr>
          <w:rFonts w:ascii="Times New Roman" w:hAnsi="Times New Roman"/>
          <w:sz w:val="24"/>
        </w:rPr>
        <w:t xml:space="preserve"> Organizations use various types of </w:t>
      </w:r>
      <w:r w:rsidRPr="004879E1">
        <w:rPr>
          <w:rFonts w:ascii="Times New Roman" w:hAnsi="Times New Roman"/>
          <w:sz w:val="24"/>
        </w:rPr>
        <w:t>engineering and legal consultants</w:t>
      </w:r>
      <w:r w:rsidRPr="0058545F">
        <w:rPr>
          <w:rFonts w:ascii="Times New Roman" w:hAnsi="Times New Roman"/>
          <w:sz w:val="24"/>
        </w:rPr>
        <w:t xml:space="preserve"> to complete these applications</w:t>
      </w:r>
      <w:r>
        <w:rPr>
          <w:rFonts w:ascii="Times New Roman" w:hAnsi="Times New Roman"/>
          <w:sz w:val="24"/>
        </w:rPr>
        <w:t xml:space="preserve">.  </w:t>
      </w:r>
      <w:r w:rsidRPr="0041545F">
        <w:rPr>
          <w:rFonts w:ascii="Times New Roman" w:hAnsi="Times New Roman"/>
          <w:sz w:val="24"/>
        </w:rPr>
        <w:t xml:space="preserve">Based on information from similar programs, RUS used a labor rate of $50 per hour plus 29.4% in benefits.  Benefits as a percentage of total compensation for private trade, transportation, and utilities industry workers were 29.4% of total hourly compensation. (Please reference </w:t>
      </w:r>
      <w:hyperlink r:id="rId11" w:history="1">
        <w:r w:rsidRPr="0041545F">
          <w:rPr>
            <w:rStyle w:val="Hyperlink"/>
            <w:rFonts w:ascii="Times New Roman" w:hAnsi="Times New Roman"/>
            <w:sz w:val="24"/>
          </w:rPr>
          <w:t>http://www.bls.gov/ncs/ect/sp/ecsuphst.pdf</w:t>
        </w:r>
      </w:hyperlink>
      <w:r w:rsidRPr="0041545F">
        <w:rPr>
          <w:rFonts w:ascii="Times New Roman" w:hAnsi="Times New Roman"/>
          <w:sz w:val="24"/>
        </w:rPr>
        <w:t xml:space="preserve"> on page 91).  The Department of Labor, Bureau of Labor Statistics, Standard Occupational Classification wage rates were considered in the cost estimates.  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rsidR="00A63AE1" w:rsidRPr="00E964F7" w:rsidRDefault="00A63AE1" w:rsidP="00A63AE1">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6"/>
        <w:gridCol w:w="2149"/>
        <w:gridCol w:w="1257"/>
        <w:gridCol w:w="2062"/>
        <w:gridCol w:w="1656"/>
      </w:tblGrid>
      <w:tr w:rsidR="00A63AE1" w:rsidTr="0041545F">
        <w:tc>
          <w:tcPr>
            <w:tcW w:w="223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p>
        </w:tc>
        <w:tc>
          <w:tcPr>
            <w:tcW w:w="2149" w:type="dxa"/>
          </w:tcPr>
          <w:p w:rsidR="00A63AE1" w:rsidRPr="00BF4BC3" w:rsidRDefault="00A63AE1" w:rsidP="00197AFB">
            <w:pPr>
              <w:jc w:val="center"/>
              <w:rPr>
                <w:rFonts w:ascii="Arial" w:hAnsi="Arial" w:cs="Arial"/>
                <w:sz w:val="22"/>
                <w:szCs w:val="22"/>
              </w:rPr>
            </w:pPr>
          </w:p>
          <w:p w:rsidR="00A63AE1" w:rsidRPr="00BF4BC3" w:rsidRDefault="00A63AE1" w:rsidP="00863353">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257" w:type="dxa"/>
          </w:tcPr>
          <w:p w:rsidR="00A63AE1" w:rsidRPr="00BF4BC3" w:rsidRDefault="00A63AE1" w:rsidP="00197AFB">
            <w:pPr>
              <w:jc w:val="center"/>
              <w:rPr>
                <w:rFonts w:ascii="Arial" w:hAnsi="Arial" w:cs="Arial"/>
                <w:sz w:val="22"/>
                <w:szCs w:val="22"/>
              </w:rPr>
            </w:pPr>
          </w:p>
          <w:p w:rsidR="00A63AE1" w:rsidRPr="00BF4BC3" w:rsidRDefault="00863353" w:rsidP="00197AFB">
            <w:pPr>
              <w:jc w:val="center"/>
              <w:rPr>
                <w:rFonts w:ascii="Arial" w:hAnsi="Arial" w:cs="Arial"/>
                <w:sz w:val="22"/>
                <w:szCs w:val="22"/>
              </w:rPr>
            </w:pPr>
            <w:r>
              <w:rPr>
                <w:rFonts w:ascii="Arial" w:hAnsi="Arial" w:cs="Arial"/>
                <w:sz w:val="22"/>
                <w:szCs w:val="22"/>
              </w:rPr>
              <w:t xml:space="preserve">Total </w:t>
            </w:r>
            <w:r w:rsidR="00A63AE1" w:rsidRPr="00BF4BC3">
              <w:rPr>
                <w:rFonts w:ascii="Arial" w:hAnsi="Arial" w:cs="Arial"/>
                <w:sz w:val="22"/>
                <w:szCs w:val="22"/>
              </w:rPr>
              <w:t>Hours</w:t>
            </w:r>
          </w:p>
        </w:tc>
        <w:tc>
          <w:tcPr>
            <w:tcW w:w="2062" w:type="dxa"/>
          </w:tcPr>
          <w:p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rsidR="00A63AE1" w:rsidRPr="00BF4BC3" w:rsidRDefault="00A63AE1" w:rsidP="00197AFB">
            <w:pPr>
              <w:jc w:val="center"/>
              <w:rPr>
                <w:rFonts w:ascii="Arial" w:hAnsi="Arial" w:cs="Arial"/>
                <w:sz w:val="22"/>
                <w:szCs w:val="22"/>
              </w:rPr>
            </w:pPr>
            <w:r w:rsidRPr="00BF4BC3">
              <w:rPr>
                <w:rFonts w:ascii="Arial" w:hAnsi="Arial" w:cs="Arial"/>
                <w:sz w:val="22"/>
                <w:szCs w:val="22"/>
              </w:rPr>
              <w:t>Professional Time</w:t>
            </w:r>
          </w:p>
        </w:tc>
        <w:tc>
          <w:tcPr>
            <w:tcW w:w="165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rsidTr="0041545F">
        <w:tc>
          <w:tcPr>
            <w:tcW w:w="2236"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5</w:t>
            </w:r>
            <w:r w:rsidR="00A63AE1">
              <w:rPr>
                <w:rFonts w:ascii="Times New Roman" w:hAnsi="Times New Roman"/>
                <w:sz w:val="24"/>
              </w:rPr>
              <w:t xml:space="preserve"> applicants</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 xml:space="preserve">400 </w:t>
            </w:r>
            <w:r w:rsidR="00A63AE1">
              <w:rPr>
                <w:rFonts w:ascii="Times New Roman" w:hAnsi="Times New Roman"/>
                <w:sz w:val="24"/>
              </w:rPr>
              <w:t>– application</w:t>
            </w:r>
          </w:p>
        </w:tc>
        <w:tc>
          <w:tcPr>
            <w:tcW w:w="1257" w:type="dxa"/>
            <w:tcBorders>
              <w:bottom w:val="single" w:sz="4" w:space="0" w:color="auto"/>
            </w:tcBorders>
          </w:tcPr>
          <w:p w:rsidR="00A63AE1" w:rsidRDefault="0066309C" w:rsidP="00075A6A">
            <w:pPr>
              <w:tabs>
                <w:tab w:val="right" w:pos="954"/>
              </w:tabs>
              <w:rPr>
                <w:rFonts w:ascii="Times New Roman" w:hAnsi="Times New Roman"/>
                <w:sz w:val="24"/>
              </w:rPr>
            </w:pPr>
            <w:r>
              <w:rPr>
                <w:rFonts w:ascii="Times New Roman" w:hAnsi="Times New Roman"/>
                <w:sz w:val="24"/>
              </w:rPr>
              <w:t xml:space="preserve">  </w:t>
            </w:r>
            <w:r w:rsidR="00075A6A">
              <w:rPr>
                <w:rFonts w:ascii="Times New Roman" w:hAnsi="Times New Roman"/>
                <w:sz w:val="24"/>
              </w:rPr>
              <w:t>2</w:t>
            </w:r>
            <w:r w:rsidR="003114F7">
              <w:rPr>
                <w:rFonts w:ascii="Times New Roman" w:hAnsi="Times New Roman"/>
                <w:sz w:val="24"/>
              </w:rPr>
              <w:t>,000</w:t>
            </w:r>
          </w:p>
        </w:tc>
        <w:tc>
          <w:tcPr>
            <w:tcW w:w="2062" w:type="dxa"/>
            <w:tcBorders>
              <w:bottom w:val="single" w:sz="4" w:space="0" w:color="auto"/>
            </w:tcBorders>
          </w:tcPr>
          <w:p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$50.00</w:t>
            </w:r>
          </w:p>
        </w:tc>
        <w:tc>
          <w:tcPr>
            <w:tcW w:w="1656" w:type="dxa"/>
          </w:tcPr>
          <w:p w:rsidR="00A63AE1" w:rsidRDefault="00A63AE1" w:rsidP="00075A6A">
            <w:pPr>
              <w:tabs>
                <w:tab w:val="right" w:pos="1224"/>
              </w:tabs>
              <w:rPr>
                <w:rFonts w:ascii="Times New Roman" w:hAnsi="Times New Roman"/>
                <w:sz w:val="24"/>
              </w:rPr>
            </w:pPr>
            <w:r>
              <w:rPr>
                <w:rFonts w:ascii="Times New Roman" w:hAnsi="Times New Roman"/>
                <w:sz w:val="24"/>
              </w:rPr>
              <w:tab/>
              <w:t>$</w:t>
            </w:r>
            <w:r w:rsidR="00075A6A">
              <w:rPr>
                <w:rFonts w:ascii="Times New Roman" w:hAnsi="Times New Roman"/>
                <w:sz w:val="24"/>
              </w:rPr>
              <w:t>1</w:t>
            </w:r>
            <w:r w:rsidR="007947FB">
              <w:rPr>
                <w:rFonts w:ascii="Times New Roman" w:hAnsi="Times New Roman"/>
                <w:sz w:val="24"/>
              </w:rPr>
              <w:t>0</w:t>
            </w:r>
            <w:r>
              <w:rPr>
                <w:rFonts w:ascii="Times New Roman" w:hAnsi="Times New Roman"/>
                <w:sz w:val="24"/>
              </w:rPr>
              <w:t>0,000</w:t>
            </w:r>
          </w:p>
        </w:tc>
      </w:tr>
      <w:tr w:rsidR="003114F7" w:rsidTr="0041545F">
        <w:tc>
          <w:tcPr>
            <w:tcW w:w="2236" w:type="dxa"/>
            <w:tcBorders>
              <w:bottom w:val="single" w:sz="4" w:space="0" w:color="auto"/>
            </w:tcBorders>
          </w:tcPr>
          <w:p w:rsidR="003114F7" w:rsidRDefault="00AA24EA" w:rsidP="00AA24EA">
            <w:pPr>
              <w:rPr>
                <w:rFonts w:ascii="Times New Roman" w:hAnsi="Times New Roman"/>
                <w:sz w:val="24"/>
              </w:rPr>
            </w:pPr>
            <w:r>
              <w:rPr>
                <w:rFonts w:ascii="Times New Roman" w:hAnsi="Times New Roman"/>
                <w:sz w:val="24"/>
              </w:rPr>
              <w:t>15</w:t>
            </w:r>
            <w:r w:rsidR="003114F7">
              <w:rPr>
                <w:rFonts w:ascii="Times New Roman" w:hAnsi="Times New Roman"/>
                <w:sz w:val="24"/>
              </w:rPr>
              <w:t xml:space="preserve"> public notice filings</w:t>
            </w:r>
          </w:p>
        </w:tc>
        <w:tc>
          <w:tcPr>
            <w:tcW w:w="2149" w:type="dxa"/>
            <w:tcBorders>
              <w:bottom w:val="single" w:sz="4" w:space="0" w:color="auto"/>
            </w:tcBorders>
          </w:tcPr>
          <w:p w:rsidR="003114F7" w:rsidRDefault="001467A9" w:rsidP="00197AFB">
            <w:pPr>
              <w:rPr>
                <w:rFonts w:ascii="Times New Roman" w:hAnsi="Times New Roman"/>
                <w:sz w:val="24"/>
              </w:rPr>
            </w:pPr>
            <w:r>
              <w:rPr>
                <w:rFonts w:ascii="Times New Roman" w:hAnsi="Times New Roman"/>
                <w:sz w:val="24"/>
              </w:rPr>
              <w:t xml:space="preserve">1.5 </w:t>
            </w:r>
            <w:r w:rsidR="003114F7">
              <w:rPr>
                <w:rFonts w:ascii="Times New Roman" w:hAnsi="Times New Roman"/>
                <w:sz w:val="24"/>
              </w:rPr>
              <w:t>– per filing</w:t>
            </w:r>
          </w:p>
        </w:tc>
        <w:tc>
          <w:tcPr>
            <w:tcW w:w="1257" w:type="dxa"/>
            <w:tcBorders>
              <w:bottom w:val="single" w:sz="4" w:space="0" w:color="auto"/>
            </w:tcBorders>
          </w:tcPr>
          <w:p w:rsidR="003114F7" w:rsidRDefault="006E0AA2">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2</w:t>
            </w:r>
            <w:r>
              <w:rPr>
                <w:rFonts w:ascii="Times New Roman" w:hAnsi="Times New Roman"/>
                <w:sz w:val="24"/>
                <w:szCs w:val="24"/>
              </w:rPr>
              <w:t>2.50</w:t>
            </w:r>
          </w:p>
        </w:tc>
        <w:tc>
          <w:tcPr>
            <w:tcW w:w="2062" w:type="dxa"/>
            <w:tcBorders>
              <w:bottom w:val="single" w:sz="4" w:space="0" w:color="auto"/>
            </w:tcBorders>
          </w:tcPr>
          <w:p w:rsidR="003114F7" w:rsidRDefault="007947FB" w:rsidP="00197AFB">
            <w:pPr>
              <w:tabs>
                <w:tab w:val="right" w:pos="1134"/>
              </w:tabs>
              <w:rPr>
                <w:rFonts w:ascii="Times New Roman" w:hAnsi="Times New Roman"/>
                <w:sz w:val="24"/>
              </w:rPr>
            </w:pPr>
            <w:r>
              <w:rPr>
                <w:rFonts w:ascii="Times New Roman" w:hAnsi="Times New Roman"/>
                <w:sz w:val="24"/>
              </w:rPr>
              <w:t xml:space="preserve">      $50.00</w:t>
            </w:r>
          </w:p>
        </w:tc>
        <w:tc>
          <w:tcPr>
            <w:tcW w:w="1656" w:type="dxa"/>
          </w:tcPr>
          <w:p w:rsidR="003114F7" w:rsidRDefault="007947FB" w:rsidP="00075A6A">
            <w:pPr>
              <w:tabs>
                <w:tab w:val="right" w:pos="1224"/>
              </w:tabs>
              <w:rPr>
                <w:rFonts w:ascii="Times New Roman" w:hAnsi="Times New Roman"/>
                <w:sz w:val="24"/>
              </w:rPr>
            </w:pPr>
            <w:r>
              <w:rPr>
                <w:rFonts w:ascii="Times New Roman" w:hAnsi="Times New Roman"/>
                <w:sz w:val="24"/>
              </w:rPr>
              <w:t xml:space="preserve">     $</w:t>
            </w:r>
            <w:r w:rsidR="0013377B">
              <w:rPr>
                <w:rFonts w:ascii="Times New Roman" w:hAnsi="Times New Roman"/>
                <w:sz w:val="24"/>
              </w:rPr>
              <w:t xml:space="preserve">    </w:t>
            </w:r>
            <w:r w:rsidR="00075A6A">
              <w:rPr>
                <w:rFonts w:ascii="Times New Roman" w:hAnsi="Times New Roman"/>
                <w:sz w:val="24"/>
              </w:rPr>
              <w:t>1,1</w:t>
            </w:r>
            <w:r w:rsidR="001467A9">
              <w:rPr>
                <w:rFonts w:ascii="Times New Roman" w:hAnsi="Times New Roman"/>
                <w:sz w:val="24"/>
              </w:rPr>
              <w:t>25</w:t>
            </w:r>
          </w:p>
        </w:tc>
      </w:tr>
      <w:tr w:rsidR="00A63AE1" w:rsidTr="0041545F">
        <w:tc>
          <w:tcPr>
            <w:tcW w:w="2236" w:type="dxa"/>
            <w:tcBorders>
              <w:bottom w:val="single" w:sz="4" w:space="0" w:color="auto"/>
            </w:tcBorders>
          </w:tcPr>
          <w:p w:rsidR="00A63AE1" w:rsidRDefault="00AA24EA" w:rsidP="00AA24EA">
            <w:pPr>
              <w:rPr>
                <w:rFonts w:ascii="Times New Roman" w:hAnsi="Times New Roman"/>
                <w:sz w:val="24"/>
              </w:rPr>
            </w:pPr>
            <w:r>
              <w:rPr>
                <w:rFonts w:ascii="Times New Roman" w:hAnsi="Times New Roman"/>
                <w:sz w:val="24"/>
              </w:rPr>
              <w:t>3</w:t>
            </w:r>
            <w:r w:rsidR="00A63AE1">
              <w:rPr>
                <w:rFonts w:ascii="Times New Roman" w:hAnsi="Times New Roman"/>
                <w:sz w:val="24"/>
              </w:rPr>
              <w:t xml:space="preserve"> loan recipients </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24</w:t>
            </w:r>
            <w:r w:rsidR="00A63AE1">
              <w:rPr>
                <w:rFonts w:ascii="Times New Roman" w:hAnsi="Times New Roman"/>
                <w:sz w:val="24"/>
              </w:rPr>
              <w:t xml:space="preserve"> – loan document</w:t>
            </w:r>
          </w:p>
        </w:tc>
        <w:tc>
          <w:tcPr>
            <w:tcW w:w="1257" w:type="dxa"/>
            <w:tcBorders>
              <w:bottom w:val="single" w:sz="4" w:space="0" w:color="auto"/>
            </w:tcBorders>
          </w:tcPr>
          <w:p w:rsidR="00A63AE1" w:rsidRPr="009D1170" w:rsidRDefault="0066309C" w:rsidP="00075A6A">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7</w:t>
            </w:r>
            <w:r w:rsidR="003114F7">
              <w:rPr>
                <w:rFonts w:ascii="Times New Roman" w:hAnsi="Times New Roman"/>
                <w:sz w:val="24"/>
                <w:szCs w:val="24"/>
              </w:rPr>
              <w:t>2</w:t>
            </w:r>
          </w:p>
        </w:tc>
        <w:tc>
          <w:tcPr>
            <w:tcW w:w="2062" w:type="dxa"/>
            <w:tcBorders>
              <w:bottom w:val="single" w:sz="4" w:space="0" w:color="auto"/>
            </w:tcBorders>
          </w:tcPr>
          <w:p w:rsidR="00A63AE1" w:rsidRDefault="00A63AE1" w:rsidP="00197AFB">
            <w:pPr>
              <w:tabs>
                <w:tab w:val="right" w:pos="1134"/>
              </w:tabs>
              <w:rPr>
                <w:rFonts w:ascii="Times New Roman" w:hAnsi="Times New Roman"/>
                <w:sz w:val="24"/>
              </w:rPr>
            </w:pPr>
            <w:r>
              <w:rPr>
                <w:rFonts w:ascii="Times New Roman" w:hAnsi="Times New Roman"/>
                <w:sz w:val="24"/>
              </w:rPr>
              <w:tab/>
              <w:t>$1</w:t>
            </w:r>
            <w:r w:rsidR="007947FB">
              <w:rPr>
                <w:rFonts w:ascii="Times New Roman" w:hAnsi="Times New Roman"/>
                <w:sz w:val="24"/>
              </w:rPr>
              <w:t>00</w:t>
            </w:r>
            <w:r>
              <w:rPr>
                <w:rFonts w:ascii="Times New Roman" w:hAnsi="Times New Roman"/>
                <w:sz w:val="24"/>
              </w:rPr>
              <w:t>.00</w:t>
            </w:r>
          </w:p>
        </w:tc>
        <w:tc>
          <w:tcPr>
            <w:tcW w:w="1656" w:type="dxa"/>
          </w:tcPr>
          <w:p w:rsidR="00A63AE1" w:rsidRDefault="00590070" w:rsidP="00075A6A">
            <w:pPr>
              <w:tabs>
                <w:tab w:val="right" w:pos="122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Pr>
                <w:rFonts w:ascii="Times New Roman" w:hAnsi="Times New Roman"/>
                <w:sz w:val="24"/>
              </w:rPr>
              <w:t xml:space="preserve">   </w:t>
            </w:r>
            <w:r w:rsidR="00A63AE1">
              <w:rPr>
                <w:rFonts w:ascii="Times New Roman" w:hAnsi="Times New Roman"/>
                <w:sz w:val="24"/>
              </w:rPr>
              <w:t xml:space="preserve"> </w:t>
            </w:r>
            <w:r w:rsidR="00075A6A">
              <w:rPr>
                <w:rFonts w:ascii="Times New Roman" w:hAnsi="Times New Roman"/>
                <w:sz w:val="24"/>
              </w:rPr>
              <w:t>7</w:t>
            </w:r>
            <w:r w:rsidR="007947FB">
              <w:rPr>
                <w:rFonts w:ascii="Times New Roman" w:hAnsi="Times New Roman"/>
                <w:sz w:val="24"/>
              </w:rPr>
              <w:t>,200</w:t>
            </w:r>
          </w:p>
        </w:tc>
      </w:tr>
    </w:tbl>
    <w:p w:rsidR="00936963" w:rsidRDefault="00936963" w:rsidP="00252E6B">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sidRPr="004879E1">
              <w:rPr>
                <w:rFonts w:ascii="Times New Roman" w:hAnsi="Times New Roman"/>
                <w:b/>
                <w:sz w:val="24"/>
              </w:rPr>
              <w:t xml:space="preserve">Total costs for respondents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$108,325</w:t>
            </w:r>
          </w:p>
        </w:tc>
      </w:tr>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Pr="004879E1">
              <w:rPr>
                <w:rFonts w:ascii="Times New Roman" w:hAnsi="Times New Roman"/>
                <w:b/>
                <w:sz w:val="24"/>
              </w:rPr>
              <w:t xml:space="preserve">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Pr>
                <w:rFonts w:ascii="Times New Roman" w:hAnsi="Times New Roman"/>
                <w:b/>
                <w:sz w:val="24"/>
              </w:rPr>
              <w:t xml:space="preserve"> </w:t>
            </w:r>
            <w:r w:rsidR="00590070">
              <w:rPr>
                <w:rFonts w:ascii="Times New Roman" w:hAnsi="Times New Roman"/>
                <w:b/>
                <w:sz w:val="24"/>
              </w:rPr>
              <w:t xml:space="preserve">  </w:t>
            </w:r>
            <w:r>
              <w:rPr>
                <w:rFonts w:ascii="Times New Roman" w:hAnsi="Times New Roman"/>
                <w:b/>
                <w:sz w:val="24"/>
              </w:rPr>
              <w:t>21,665</w:t>
            </w:r>
          </w:p>
        </w:tc>
      </w:tr>
    </w:tbl>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 xml:space="preserve">Provide an estimate of the total annual cost burden to respondents or </w:t>
      </w:r>
      <w:proofErr w:type="spellStart"/>
      <w:r w:rsidR="00BB6AEE" w:rsidRPr="0094502C">
        <w:rPr>
          <w:rFonts w:ascii="Arial" w:hAnsi="Arial" w:cs="Arial"/>
          <w:b/>
          <w:sz w:val="22"/>
          <w:szCs w:val="22"/>
          <w:u w:val="single"/>
        </w:rPr>
        <w:t>recordkeepers</w:t>
      </w:r>
      <w:proofErr w:type="spellEnd"/>
      <w:r w:rsidR="00BB6AEE" w:rsidRPr="0094502C">
        <w:rPr>
          <w:rFonts w:ascii="Arial" w:hAnsi="Arial" w:cs="Arial"/>
          <w:b/>
          <w:sz w:val="22"/>
          <w:szCs w:val="22"/>
          <w:u w:val="single"/>
        </w:rPr>
        <w:t xml:space="preserve"> resulting from the collection of information</w:t>
      </w:r>
      <w:r w:rsidR="00BB6AEE" w:rsidRPr="0094502C">
        <w:rPr>
          <w:rFonts w:ascii="Arial" w:hAnsi="Arial" w:cs="Arial"/>
          <w:b/>
          <w:sz w:val="22"/>
          <w:szCs w:val="22"/>
        </w:rPr>
        <w:t>.</w:t>
      </w:r>
    </w:p>
    <w:p w:rsidR="00BB6AEE" w:rsidRDefault="00BB6AEE" w:rsidP="00252E6B">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13377B" w:rsidP="00A424C9">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13377B" w:rsidP="00BD7FD0">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1" w:name="OLE_LINK1"/>
      <w:bookmarkStart w:id="2"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7729B5" w:rsidRDefault="00936963" w:rsidP="00252E6B">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RDefault="0013377B" w:rsidP="00252E6B">
      <w:pPr>
        <w:rPr>
          <w:rFonts w:ascii="Times New Roman" w:hAnsi="Times New Roman"/>
          <w:color w:val="000000"/>
          <w:sz w:val="24"/>
        </w:rPr>
      </w:pPr>
      <w:r>
        <w:rPr>
          <w:rFonts w:ascii="Times New Roman" w:hAnsi="Times New Roman"/>
          <w:color w:val="000000"/>
          <w:sz w:val="24"/>
        </w:rPr>
        <w:t xml:space="preserve"> </w:t>
      </w:r>
    </w:p>
    <w:p w:rsidR="007729B5" w:rsidRPr="000C0876" w:rsidRDefault="007729B5" w:rsidP="00252E6B">
      <w:pPr>
        <w:rPr>
          <w:rFonts w:ascii="Times New Roman" w:hAnsi="Times New Roman"/>
          <w:color w:val="000000"/>
          <w:sz w:val="24"/>
          <w:szCs w:val="24"/>
        </w:rPr>
      </w:pPr>
      <w:r w:rsidRPr="00C554F3">
        <w:rPr>
          <w:rFonts w:ascii="Times New Roman" w:hAnsi="Times New Roman"/>
          <w:color w:val="000000"/>
          <w:sz w:val="24"/>
          <w:szCs w:val="24"/>
        </w:rPr>
        <w:t xml:space="preserve">Initial engineering </w:t>
      </w:r>
      <w:proofErr w:type="gramStart"/>
      <w:r w:rsidRPr="00C554F3">
        <w:rPr>
          <w:rFonts w:ascii="Times New Roman" w:hAnsi="Times New Roman"/>
          <w:color w:val="000000"/>
          <w:sz w:val="24"/>
          <w:szCs w:val="24"/>
        </w:rPr>
        <w:t>review:</w:t>
      </w:r>
      <w:proofErr w:type="gramEnd"/>
      <w:r w:rsidRPr="000C0876">
        <w:rPr>
          <w:rFonts w:ascii="Times New Roman" w:hAnsi="Times New Roman"/>
          <w:color w:val="000000"/>
          <w:sz w:val="24"/>
          <w:szCs w:val="24"/>
        </w:rPr>
        <w:t>(8</w:t>
      </w:r>
      <w:r w:rsidR="00581CDC" w:rsidRPr="000C0876">
        <w:rPr>
          <w:rFonts w:ascii="Times New Roman" w:hAnsi="Times New Roman"/>
          <w:color w:val="000000"/>
          <w:sz w:val="24"/>
          <w:szCs w:val="24"/>
        </w:rPr>
        <w:t>1</w:t>
      </w:r>
      <w:r w:rsidRPr="000C0876">
        <w:rPr>
          <w:rFonts w:ascii="Times New Roman" w:hAnsi="Times New Roman"/>
          <w:color w:val="000000"/>
          <w:sz w:val="24"/>
          <w:szCs w:val="24"/>
        </w:rPr>
        <w:t xml:space="preserve"> hours X5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+ 36.25% benefits =</w:t>
      </w:r>
      <w:r w:rsidR="00F50F0E" w:rsidRPr="000C0876">
        <w:rPr>
          <w:rFonts w:ascii="Times New Roman" w:hAnsi="Times New Roman"/>
          <w:color w:val="000000"/>
          <w:sz w:val="24"/>
          <w:szCs w:val="24"/>
        </w:rPr>
        <w:t xml:space="preserve">  </w:t>
      </w:r>
      <w:r w:rsidR="00AD45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22,</w:t>
      </w:r>
      <w:r w:rsidR="00AD450E" w:rsidRPr="000C0876">
        <w:rPr>
          <w:rFonts w:ascii="Times New Roman" w:hAnsi="Times New Roman"/>
          <w:color w:val="000000"/>
          <w:sz w:val="24"/>
          <w:szCs w:val="24"/>
        </w:rPr>
        <w:t>663</w:t>
      </w:r>
    </w:p>
    <w:p w:rsidR="007729B5" w:rsidRPr="000C0876" w:rsidRDefault="007729B5" w:rsidP="007729B5">
      <w:pPr>
        <w:rPr>
          <w:rFonts w:ascii="Times New Roman" w:hAnsi="Times New Roman"/>
          <w:color w:val="000000"/>
          <w:sz w:val="24"/>
          <w:szCs w:val="24"/>
        </w:rPr>
      </w:pPr>
      <w:r w:rsidRPr="000C0876">
        <w:rPr>
          <w:rFonts w:ascii="Times New Roman" w:hAnsi="Times New Roman"/>
          <w:color w:val="000000"/>
          <w:sz w:val="24"/>
          <w:szCs w:val="24"/>
        </w:rPr>
        <w:t>Initial financial review: (80 hours X 5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22</w:t>
      </w:r>
      <w:r w:rsidR="00C554F3">
        <w:rPr>
          <w:rFonts w:ascii="Times New Roman" w:hAnsi="Times New Roman"/>
          <w:color w:val="000000"/>
          <w:sz w:val="24"/>
          <w:szCs w:val="24"/>
        </w:rPr>
        <w:t>,</w:t>
      </w:r>
      <w:r w:rsidR="00EA5983" w:rsidRPr="00C554F3">
        <w:rPr>
          <w:rFonts w:ascii="Times New Roman" w:hAnsi="Times New Roman"/>
          <w:color w:val="000000"/>
          <w:sz w:val="24"/>
          <w:szCs w:val="24"/>
        </w:rPr>
        <w:t>384</w:t>
      </w:r>
    </w:p>
    <w:p w:rsidR="007729B5" w:rsidRPr="000C0876" w:rsidRDefault="0072287E" w:rsidP="007729B5">
      <w:pPr>
        <w:rPr>
          <w:rFonts w:ascii="Times New Roman" w:hAnsi="Times New Roman"/>
          <w:color w:val="000000"/>
          <w:sz w:val="24"/>
          <w:szCs w:val="24"/>
        </w:rPr>
      </w:pPr>
      <w:r w:rsidRPr="000C0876">
        <w:rPr>
          <w:rFonts w:ascii="Times New Roman" w:hAnsi="Times New Roman"/>
          <w:color w:val="000000"/>
          <w:sz w:val="24"/>
          <w:szCs w:val="24"/>
        </w:rPr>
        <w:t>Initial recommendation</w:t>
      </w:r>
      <w:r w:rsidR="007729B5" w:rsidRPr="000C0876">
        <w:rPr>
          <w:rFonts w:ascii="Times New Roman" w:hAnsi="Times New Roman"/>
          <w:color w:val="000000"/>
          <w:sz w:val="24"/>
          <w:szCs w:val="24"/>
        </w:rPr>
        <w:t>: (</w:t>
      </w:r>
      <w:r w:rsidRPr="000C0876">
        <w:rPr>
          <w:rFonts w:ascii="Times New Roman" w:hAnsi="Times New Roman"/>
          <w:color w:val="000000"/>
          <w:sz w:val="24"/>
          <w:szCs w:val="24"/>
        </w:rPr>
        <w:t>1.5</w:t>
      </w:r>
      <w:r w:rsidR="007729B5" w:rsidRPr="000C0876">
        <w:rPr>
          <w:rFonts w:ascii="Times New Roman" w:hAnsi="Times New Roman"/>
          <w:color w:val="000000"/>
          <w:sz w:val="24"/>
          <w:szCs w:val="24"/>
        </w:rPr>
        <w:t xml:space="preserve"> hours X </w:t>
      </w:r>
      <w:r w:rsidRPr="000C0876">
        <w:rPr>
          <w:rFonts w:ascii="Times New Roman" w:hAnsi="Times New Roman"/>
          <w:color w:val="000000"/>
          <w:sz w:val="24"/>
          <w:szCs w:val="24"/>
        </w:rPr>
        <w:t>5 applications X $5</w:t>
      </w:r>
      <w:r w:rsidR="00AD450E" w:rsidRPr="000C0876">
        <w:rPr>
          <w:rFonts w:ascii="Times New Roman" w:hAnsi="Times New Roman"/>
          <w:color w:val="000000"/>
          <w:sz w:val="24"/>
          <w:szCs w:val="24"/>
        </w:rPr>
        <w:t>0.92</w:t>
      </w:r>
      <w:r w:rsidR="007729B5"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F50F0E" w:rsidRPr="000C0876">
        <w:rPr>
          <w:rFonts w:ascii="Times New Roman" w:hAnsi="Times New Roman"/>
          <w:color w:val="000000"/>
          <w:sz w:val="24"/>
          <w:szCs w:val="24"/>
        </w:rPr>
        <w:t>52</w:t>
      </w:r>
      <w:r w:rsidR="00EA5983" w:rsidRPr="00C554F3">
        <w:rPr>
          <w:rFonts w:ascii="Times New Roman" w:hAnsi="Times New Roman"/>
          <w:color w:val="000000"/>
          <w:sz w:val="24"/>
          <w:szCs w:val="24"/>
        </w:rPr>
        <w:t>0</w:t>
      </w:r>
    </w:p>
    <w:p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Engineering analysis: (240 hours X 3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40,</w:t>
      </w:r>
      <w:r w:rsidR="00EA5983" w:rsidRPr="00C554F3">
        <w:rPr>
          <w:rFonts w:ascii="Times New Roman" w:hAnsi="Times New Roman"/>
          <w:color w:val="000000"/>
          <w:sz w:val="24"/>
          <w:szCs w:val="24"/>
        </w:rPr>
        <w:t>289</w:t>
      </w:r>
    </w:p>
    <w:p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Financial analysis: (240 hours X 3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40,</w:t>
      </w:r>
      <w:r w:rsidR="00EA5983" w:rsidRPr="00C554F3">
        <w:rPr>
          <w:rFonts w:ascii="Times New Roman" w:hAnsi="Times New Roman"/>
          <w:color w:val="000000"/>
          <w:sz w:val="24"/>
          <w:szCs w:val="24"/>
        </w:rPr>
        <w:t>289</w:t>
      </w:r>
    </w:p>
    <w:p w:rsidR="0072287E"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 xml:space="preserve">Loan closing-Analyst: (2 hours </w:t>
      </w:r>
      <w:proofErr w:type="gramStart"/>
      <w:r w:rsidRPr="000C0876">
        <w:rPr>
          <w:rFonts w:ascii="Times New Roman" w:hAnsi="Times New Roman"/>
          <w:color w:val="000000"/>
          <w:sz w:val="24"/>
          <w:szCs w:val="24"/>
        </w:rPr>
        <w:t>X  3</w:t>
      </w:r>
      <w:proofErr w:type="gramEnd"/>
      <w:r w:rsidRPr="000C0876">
        <w:rPr>
          <w:rFonts w:ascii="Times New Roman" w:hAnsi="Times New Roman"/>
          <w:color w:val="000000"/>
          <w:sz w:val="24"/>
          <w:szCs w:val="24"/>
        </w:rPr>
        <w:t xml:space="preserve">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581CDC" w:rsidRPr="000C0876">
        <w:rPr>
          <w:rFonts w:ascii="Times New Roman" w:hAnsi="Times New Roman"/>
          <w:color w:val="000000"/>
          <w:sz w:val="24"/>
          <w:szCs w:val="24"/>
        </w:rPr>
        <w:t>4</w:t>
      </w:r>
      <w:r w:rsidR="00EA5983" w:rsidRPr="00C554F3">
        <w:rPr>
          <w:rFonts w:ascii="Times New Roman" w:hAnsi="Times New Roman"/>
          <w:color w:val="000000"/>
          <w:sz w:val="24"/>
          <w:szCs w:val="24"/>
        </w:rPr>
        <w:t>35</w:t>
      </w:r>
    </w:p>
    <w:p w:rsidR="007729B5" w:rsidRPr="000C0876" w:rsidRDefault="00F50F0E" w:rsidP="00252E6B">
      <w:pPr>
        <w:rPr>
          <w:rFonts w:ascii="Times New Roman" w:hAnsi="Times New Roman"/>
          <w:color w:val="000000"/>
          <w:sz w:val="24"/>
          <w:szCs w:val="24"/>
        </w:rPr>
      </w:pPr>
      <w:r w:rsidRPr="000C0876">
        <w:rPr>
          <w:rFonts w:ascii="Times New Roman" w:hAnsi="Times New Roman"/>
          <w:color w:val="000000"/>
          <w:sz w:val="24"/>
          <w:szCs w:val="24"/>
        </w:rPr>
        <w:t>Loan closing-Attorney: (1 hour X 3 applications X $5</w:t>
      </w:r>
      <w:r w:rsidR="00AD450E" w:rsidRPr="000C0876">
        <w:rPr>
          <w:rFonts w:ascii="Times New Roman" w:hAnsi="Times New Roman"/>
          <w:color w:val="000000"/>
          <w:sz w:val="24"/>
          <w:szCs w:val="24"/>
        </w:rPr>
        <w:t>0.92</w:t>
      </w:r>
      <w:r w:rsidRPr="000C0876">
        <w:rPr>
          <w:rFonts w:ascii="Times New Roman" w:hAnsi="Times New Roman"/>
          <w:color w:val="000000"/>
          <w:sz w:val="24"/>
          <w:szCs w:val="24"/>
        </w:rPr>
        <w:t>) + 36.25% benefits =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Pr="000C0876">
        <w:rPr>
          <w:rFonts w:ascii="Times New Roman" w:hAnsi="Times New Roman"/>
          <w:color w:val="000000"/>
          <w:sz w:val="24"/>
          <w:szCs w:val="24"/>
        </w:rPr>
        <w:t>20</w:t>
      </w:r>
      <w:r w:rsidR="00C554F3">
        <w:rPr>
          <w:rFonts w:ascii="Times New Roman" w:hAnsi="Times New Roman"/>
          <w:color w:val="000000"/>
          <w:sz w:val="24"/>
          <w:szCs w:val="24"/>
        </w:rPr>
        <w:t>8</w:t>
      </w:r>
    </w:p>
    <w:p w:rsidR="00F50F0E" w:rsidRPr="000C0876" w:rsidRDefault="00F50F0E" w:rsidP="00252E6B">
      <w:pPr>
        <w:rPr>
          <w:rFonts w:ascii="Times New Roman" w:hAnsi="Times New Roman"/>
          <w:color w:val="000000"/>
          <w:sz w:val="24"/>
          <w:szCs w:val="24"/>
          <w:u w:val="single"/>
        </w:rPr>
      </w:pPr>
      <w:r w:rsidRPr="000C0876">
        <w:rPr>
          <w:rFonts w:ascii="Times New Roman" w:hAnsi="Times New Roman"/>
          <w:color w:val="000000"/>
          <w:sz w:val="24"/>
          <w:szCs w:val="24"/>
          <w:u w:val="single"/>
        </w:rPr>
        <w:t>Clerical assistance: (2 hours X 5 applications X $20.</w:t>
      </w:r>
      <w:r w:rsidR="00AD450E" w:rsidRPr="000C0876">
        <w:rPr>
          <w:rFonts w:ascii="Times New Roman" w:hAnsi="Times New Roman"/>
          <w:color w:val="000000"/>
          <w:sz w:val="24"/>
          <w:szCs w:val="24"/>
          <w:u w:val="single"/>
        </w:rPr>
        <w:t>43</w:t>
      </w:r>
      <w:r w:rsidRPr="000C0876">
        <w:rPr>
          <w:rFonts w:ascii="Times New Roman" w:hAnsi="Times New Roman"/>
          <w:color w:val="000000"/>
          <w:sz w:val="24"/>
          <w:szCs w:val="24"/>
          <w:u w:val="single"/>
        </w:rPr>
        <w:t>) + 36.25% benefits =                 $</w:t>
      </w:r>
      <w:r w:rsidR="00936963" w:rsidRPr="000C0876">
        <w:rPr>
          <w:rFonts w:ascii="Times New Roman" w:hAnsi="Times New Roman"/>
          <w:color w:val="000000"/>
          <w:sz w:val="24"/>
          <w:szCs w:val="24"/>
          <w:u w:val="single"/>
        </w:rPr>
        <w:t xml:space="preserve">  </w:t>
      </w:r>
      <w:r w:rsidR="000A3FD1" w:rsidRPr="000C0876">
        <w:rPr>
          <w:rFonts w:ascii="Times New Roman" w:hAnsi="Times New Roman"/>
          <w:color w:val="000000"/>
          <w:sz w:val="24"/>
          <w:szCs w:val="24"/>
          <w:u w:val="single"/>
        </w:rPr>
        <w:t xml:space="preserve"> </w:t>
      </w:r>
      <w:r w:rsidR="00936963" w:rsidRPr="000C0876">
        <w:rPr>
          <w:rFonts w:ascii="Times New Roman" w:hAnsi="Times New Roman"/>
          <w:color w:val="000000"/>
          <w:sz w:val="24"/>
          <w:szCs w:val="24"/>
          <w:u w:val="single"/>
        </w:rPr>
        <w:t xml:space="preserve">   </w:t>
      </w:r>
      <w:r w:rsidRPr="000C0876">
        <w:rPr>
          <w:rFonts w:ascii="Times New Roman" w:hAnsi="Times New Roman"/>
          <w:color w:val="000000"/>
          <w:sz w:val="24"/>
          <w:szCs w:val="24"/>
          <w:u w:val="single"/>
        </w:rPr>
        <w:t>27</w:t>
      </w:r>
      <w:r w:rsidR="00EA5983">
        <w:rPr>
          <w:rFonts w:ascii="Times New Roman" w:hAnsi="Times New Roman"/>
          <w:color w:val="000000"/>
          <w:sz w:val="24"/>
          <w:szCs w:val="24"/>
          <w:u w:val="single"/>
        </w:rPr>
        <w:t>8</w:t>
      </w:r>
    </w:p>
    <w:p w:rsidR="00F50F0E" w:rsidRPr="000C0876" w:rsidRDefault="00936963" w:rsidP="00252E6B">
      <w:pPr>
        <w:rPr>
          <w:rFonts w:ascii="Times New Roman" w:hAnsi="Times New Roman"/>
          <w:b/>
          <w:color w:val="000000"/>
          <w:sz w:val="24"/>
          <w:szCs w:val="24"/>
        </w:rPr>
      </w:pPr>
      <w:r w:rsidRPr="000C0876">
        <w:rPr>
          <w:rFonts w:ascii="Times New Roman" w:hAnsi="Times New Roman"/>
          <w:color w:val="000000"/>
          <w:sz w:val="24"/>
          <w:szCs w:val="24"/>
        </w:rPr>
        <w:t xml:space="preserve">    </w:t>
      </w:r>
      <w:r w:rsidRPr="000C0876">
        <w:rPr>
          <w:rFonts w:ascii="Times New Roman" w:hAnsi="Times New Roman"/>
          <w:color w:val="000000"/>
          <w:sz w:val="24"/>
          <w:szCs w:val="24"/>
        </w:rPr>
        <w:tab/>
      </w:r>
      <w:r w:rsidRPr="000C0876">
        <w:rPr>
          <w:rFonts w:ascii="Times New Roman" w:hAnsi="Times New Roman"/>
          <w:color w:val="000000"/>
          <w:sz w:val="24"/>
          <w:szCs w:val="24"/>
        </w:rPr>
        <w:tab/>
      </w:r>
      <w:r w:rsidRPr="000C0876">
        <w:rPr>
          <w:rFonts w:ascii="Times New Roman" w:hAnsi="Times New Roman"/>
          <w:color w:val="000000"/>
          <w:sz w:val="24"/>
          <w:szCs w:val="24"/>
        </w:rPr>
        <w:tab/>
        <w:t xml:space="preserve"> </w:t>
      </w:r>
      <w:r w:rsidR="00F50F0E" w:rsidRPr="000C0876">
        <w:rPr>
          <w:rFonts w:ascii="Times New Roman" w:hAnsi="Times New Roman"/>
          <w:b/>
          <w:color w:val="000000"/>
          <w:sz w:val="24"/>
          <w:szCs w:val="24"/>
        </w:rPr>
        <w:t xml:space="preserve">Total estimated cost to the Federal Government is: </w:t>
      </w:r>
      <w:r w:rsidRPr="000C0876">
        <w:rPr>
          <w:rFonts w:ascii="Times New Roman" w:hAnsi="Times New Roman"/>
          <w:b/>
          <w:color w:val="000000"/>
          <w:sz w:val="24"/>
          <w:szCs w:val="24"/>
        </w:rPr>
        <w:t xml:space="preserve">       </w:t>
      </w:r>
      <w:r w:rsidR="000A3FD1" w:rsidRPr="000C0876">
        <w:rPr>
          <w:rFonts w:ascii="Times New Roman" w:hAnsi="Times New Roman"/>
          <w:b/>
          <w:color w:val="000000"/>
          <w:sz w:val="24"/>
          <w:szCs w:val="24"/>
        </w:rPr>
        <w:t xml:space="preserve">       </w:t>
      </w:r>
      <w:r w:rsidR="00F50F0E" w:rsidRPr="000C0876">
        <w:rPr>
          <w:rFonts w:ascii="Times New Roman" w:hAnsi="Times New Roman"/>
          <w:b/>
          <w:color w:val="000000"/>
          <w:sz w:val="24"/>
          <w:szCs w:val="24"/>
        </w:rPr>
        <w:t xml:space="preserve"> $127,</w:t>
      </w:r>
      <w:r w:rsidR="00C554F3">
        <w:rPr>
          <w:rFonts w:ascii="Times New Roman" w:hAnsi="Times New Roman"/>
          <w:b/>
          <w:color w:val="000000"/>
          <w:sz w:val="24"/>
          <w:szCs w:val="24"/>
        </w:rPr>
        <w:t>066</w:t>
      </w:r>
    </w:p>
    <w:p w:rsidR="00F50F0E" w:rsidRDefault="00F50F0E" w:rsidP="00252E6B">
      <w:pPr>
        <w:rPr>
          <w:rFonts w:ascii="Times New Roman" w:hAnsi="Times New Roman"/>
          <w:color w:val="000000"/>
          <w:sz w:val="24"/>
        </w:rPr>
      </w:pPr>
    </w:p>
    <w:p w:rsidR="00F50F0E" w:rsidRDefault="00F50F0E" w:rsidP="00252E6B">
      <w:pPr>
        <w:rPr>
          <w:rFonts w:ascii="Times New Roman" w:hAnsi="Times New Roman"/>
          <w:color w:val="000000"/>
          <w:sz w:val="24"/>
        </w:rPr>
      </w:pPr>
      <w:r>
        <w:rPr>
          <w:rFonts w:ascii="Times New Roman" w:hAnsi="Times New Roman"/>
          <w:color w:val="000000"/>
          <w:sz w:val="24"/>
        </w:rPr>
        <w:t>The salary of $41.</w:t>
      </w:r>
      <w:r w:rsidR="00AD450E">
        <w:rPr>
          <w:rFonts w:ascii="Times New Roman" w:hAnsi="Times New Roman"/>
          <w:color w:val="000000"/>
          <w:sz w:val="24"/>
        </w:rPr>
        <w:t>07</w:t>
      </w:r>
      <w:r>
        <w:rPr>
          <w:rFonts w:ascii="Times New Roman" w:hAnsi="Times New Roman"/>
          <w:color w:val="000000"/>
          <w:sz w:val="24"/>
        </w:rPr>
        <w:t xml:space="preserve"> per hour is based on the base rate of a D.C. area – engineer or loan specialist (GS 12 -5) in FY 2014.</w:t>
      </w:r>
    </w:p>
    <w:p w:rsidR="00F50F0E" w:rsidRDefault="00F50F0E" w:rsidP="00F50F0E">
      <w:pPr>
        <w:rPr>
          <w:rFonts w:ascii="Times New Roman" w:hAnsi="Times New Roman"/>
          <w:color w:val="000000"/>
          <w:sz w:val="24"/>
        </w:rPr>
      </w:pPr>
      <w:r>
        <w:rPr>
          <w:rFonts w:ascii="Times New Roman" w:hAnsi="Times New Roman"/>
          <w:color w:val="000000"/>
          <w:sz w:val="24"/>
        </w:rPr>
        <w:t>The salary of $5</w:t>
      </w:r>
      <w:r w:rsidR="00AD450E">
        <w:rPr>
          <w:rFonts w:ascii="Times New Roman" w:hAnsi="Times New Roman"/>
          <w:color w:val="000000"/>
          <w:sz w:val="24"/>
        </w:rPr>
        <w:t>0.92</w:t>
      </w:r>
      <w:r>
        <w:rPr>
          <w:rFonts w:ascii="Times New Roman" w:hAnsi="Times New Roman"/>
          <w:color w:val="000000"/>
          <w:sz w:val="24"/>
        </w:rPr>
        <w:t xml:space="preserve">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2014</w:t>
      </w:r>
    </w:p>
    <w:p w:rsidR="00F50F0E" w:rsidRDefault="00F50F0E" w:rsidP="00F50F0E">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20.</w:t>
      </w:r>
      <w:r w:rsidR="00AD450E">
        <w:rPr>
          <w:rFonts w:ascii="Times New Roman" w:hAnsi="Times New Roman"/>
          <w:color w:val="000000"/>
          <w:sz w:val="24"/>
        </w:rPr>
        <w:t>43</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2014</w:t>
      </w:r>
    </w:p>
    <w:bookmarkEnd w:id="1"/>
    <w:bookmarkEnd w:id="2"/>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RDefault="0013377B" w:rsidP="00252E6B">
      <w:pPr>
        <w:rPr>
          <w:rFonts w:ascii="Times New Roman" w:hAnsi="Times New Roman"/>
          <w:sz w:val="24"/>
        </w:rPr>
      </w:pPr>
      <w:r>
        <w:rPr>
          <w:rFonts w:ascii="Times New Roman" w:hAnsi="Times New Roman"/>
          <w:sz w:val="24"/>
        </w:rPr>
        <w:t xml:space="preserve">     </w:t>
      </w:r>
    </w:p>
    <w:p w:rsidR="00F40EEC" w:rsidRPr="0041545F" w:rsidRDefault="00514CEE" w:rsidP="00F40EEC">
      <w:pPr>
        <w:rPr>
          <w:rFonts w:ascii="Times New Roman" w:hAnsi="Times New Roman"/>
        </w:rPr>
      </w:pPr>
      <w:r>
        <w:rPr>
          <w:rFonts w:ascii="Times New Roman" w:hAnsi="Times New Roman"/>
          <w:sz w:val="24"/>
        </w:rPr>
        <w:t>This is a reinstatement with change of a discontinued collection.  The change is due to reducing the number of respondents to 5 based on prior activity of the program under the 2008 Farm Bill.  The 2014 Farm Bill made no changes in the application process.</w:t>
      </w:r>
    </w:p>
    <w:p w:rsidR="00F40EEC" w:rsidRDefault="00F40EEC" w:rsidP="00F40EEC"/>
    <w:p w:rsidR="00784CC8" w:rsidRDefault="00F40EEC" w:rsidP="00252E6B">
      <w:pPr>
        <w:rPr>
          <w:rFonts w:ascii="Times New Roman" w:hAnsi="Times New Roman"/>
          <w:sz w:val="24"/>
        </w:rPr>
      </w:pPr>
      <w:r>
        <w:rPr>
          <w:sz w:val="24"/>
        </w:rPr>
        <w:t xml:space="preserve">     </w:t>
      </w: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lastRenderedPageBreak/>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13377B" w:rsidP="00252E6B">
      <w:pPr>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2"/>
      <w:head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09" w:rsidRDefault="00473009">
      <w:r>
        <w:separator/>
      </w:r>
    </w:p>
  </w:endnote>
  <w:endnote w:type="continuationSeparator" w:id="0">
    <w:p w:rsidR="00473009" w:rsidRDefault="0047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09" w:rsidRDefault="00473009">
      <w:r>
        <w:separator/>
      </w:r>
    </w:p>
  </w:footnote>
  <w:footnote w:type="continuationSeparator" w:id="0">
    <w:p w:rsidR="00473009" w:rsidRDefault="0047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Default="004707E3" w:rsidP="0094502C">
    <w:pPr>
      <w:pStyle w:val="Header"/>
      <w:framePr w:wrap="around" w:vAnchor="text" w:hAnchor="margin" w:xAlign="right" w:y="1"/>
      <w:rPr>
        <w:rStyle w:val="PageNumber"/>
      </w:rPr>
    </w:pPr>
    <w:r>
      <w:rPr>
        <w:rStyle w:val="PageNumber"/>
      </w:rPr>
      <w:fldChar w:fldCharType="begin"/>
    </w:r>
    <w:r w:rsidR="00924AFC">
      <w:rPr>
        <w:rStyle w:val="PageNumber"/>
      </w:rPr>
      <w:instrText xml:space="preserve">PAGE  </w:instrText>
    </w:r>
    <w:r>
      <w:rPr>
        <w:rStyle w:val="PageNumber"/>
      </w:rPr>
      <w:fldChar w:fldCharType="end"/>
    </w:r>
  </w:p>
  <w:p w:rsidR="00924AFC" w:rsidRDefault="00924AFC" w:rsidP="002D3D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Pr="002D3DBD" w:rsidRDefault="004707E3"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924AFC"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5C1E86">
      <w:rPr>
        <w:rStyle w:val="PageNumber"/>
        <w:rFonts w:ascii="Times New Roman" w:hAnsi="Times New Roman"/>
        <w:noProof/>
        <w:sz w:val="24"/>
        <w:szCs w:val="24"/>
      </w:rPr>
      <w:t>13</w:t>
    </w:r>
    <w:r w:rsidRPr="002D3DBD">
      <w:rPr>
        <w:rStyle w:val="PageNumber"/>
        <w:rFonts w:ascii="Times New Roman" w:hAnsi="Times New Roman"/>
        <w:sz w:val="24"/>
        <w:szCs w:val="24"/>
      </w:rPr>
      <w:fldChar w:fldCharType="end"/>
    </w:r>
  </w:p>
  <w:p w:rsidR="00924AFC" w:rsidRDefault="00924AFC" w:rsidP="002D3D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4224D1"/>
    <w:multiLevelType w:val="hybridMultilevel"/>
    <w:tmpl w:val="29BC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4"/>
    <w:rsid w:val="00006FB4"/>
    <w:rsid w:val="00010FCB"/>
    <w:rsid w:val="0001344C"/>
    <w:rsid w:val="000275F0"/>
    <w:rsid w:val="000308D5"/>
    <w:rsid w:val="00044126"/>
    <w:rsid w:val="00050C1A"/>
    <w:rsid w:val="000548CB"/>
    <w:rsid w:val="00064758"/>
    <w:rsid w:val="00067157"/>
    <w:rsid w:val="00070503"/>
    <w:rsid w:val="00075028"/>
    <w:rsid w:val="00075A6A"/>
    <w:rsid w:val="00076968"/>
    <w:rsid w:val="000A17EF"/>
    <w:rsid w:val="000A2424"/>
    <w:rsid w:val="000A3FD1"/>
    <w:rsid w:val="000B31E5"/>
    <w:rsid w:val="000C0876"/>
    <w:rsid w:val="000C174E"/>
    <w:rsid w:val="000C4012"/>
    <w:rsid w:val="000C469C"/>
    <w:rsid w:val="000D01F1"/>
    <w:rsid w:val="000D2BF3"/>
    <w:rsid w:val="000D2EAA"/>
    <w:rsid w:val="000D5540"/>
    <w:rsid w:val="000E4AC0"/>
    <w:rsid w:val="000F018D"/>
    <w:rsid w:val="000F2EEF"/>
    <w:rsid w:val="000F572C"/>
    <w:rsid w:val="0012559D"/>
    <w:rsid w:val="0013377B"/>
    <w:rsid w:val="00134F83"/>
    <w:rsid w:val="0013610A"/>
    <w:rsid w:val="00145779"/>
    <w:rsid w:val="001467A9"/>
    <w:rsid w:val="0015378E"/>
    <w:rsid w:val="00160854"/>
    <w:rsid w:val="00161AD0"/>
    <w:rsid w:val="00166231"/>
    <w:rsid w:val="00173932"/>
    <w:rsid w:val="00174E8A"/>
    <w:rsid w:val="00192B3D"/>
    <w:rsid w:val="00197AFB"/>
    <w:rsid w:val="001A32C1"/>
    <w:rsid w:val="001B40DA"/>
    <w:rsid w:val="001C377D"/>
    <w:rsid w:val="001C7D5E"/>
    <w:rsid w:val="001E0D39"/>
    <w:rsid w:val="001E51AA"/>
    <w:rsid w:val="00221C3E"/>
    <w:rsid w:val="00233865"/>
    <w:rsid w:val="002521A3"/>
    <w:rsid w:val="002528F2"/>
    <w:rsid w:val="00252E6B"/>
    <w:rsid w:val="002557FB"/>
    <w:rsid w:val="00273A8C"/>
    <w:rsid w:val="00276590"/>
    <w:rsid w:val="00292904"/>
    <w:rsid w:val="00296682"/>
    <w:rsid w:val="002A1E35"/>
    <w:rsid w:val="002C1A67"/>
    <w:rsid w:val="002C4AC8"/>
    <w:rsid w:val="002C524A"/>
    <w:rsid w:val="002D367A"/>
    <w:rsid w:val="002D3DBD"/>
    <w:rsid w:val="002F2D4B"/>
    <w:rsid w:val="002F2F0C"/>
    <w:rsid w:val="002F4CB1"/>
    <w:rsid w:val="00300E8C"/>
    <w:rsid w:val="00307381"/>
    <w:rsid w:val="003114F7"/>
    <w:rsid w:val="00315172"/>
    <w:rsid w:val="003224F6"/>
    <w:rsid w:val="00330BCC"/>
    <w:rsid w:val="00335CBB"/>
    <w:rsid w:val="00343C1E"/>
    <w:rsid w:val="00350DCA"/>
    <w:rsid w:val="00360627"/>
    <w:rsid w:val="00362156"/>
    <w:rsid w:val="00372110"/>
    <w:rsid w:val="00382AF9"/>
    <w:rsid w:val="00383326"/>
    <w:rsid w:val="00384D98"/>
    <w:rsid w:val="00392095"/>
    <w:rsid w:val="0039495E"/>
    <w:rsid w:val="003A4ABD"/>
    <w:rsid w:val="003A730F"/>
    <w:rsid w:val="003B48C1"/>
    <w:rsid w:val="003C1563"/>
    <w:rsid w:val="003C4050"/>
    <w:rsid w:val="003D7D57"/>
    <w:rsid w:val="003E1569"/>
    <w:rsid w:val="003F2657"/>
    <w:rsid w:val="00407FC1"/>
    <w:rsid w:val="0041545F"/>
    <w:rsid w:val="00416CF4"/>
    <w:rsid w:val="00430F46"/>
    <w:rsid w:val="00433387"/>
    <w:rsid w:val="00455D99"/>
    <w:rsid w:val="004707E3"/>
    <w:rsid w:val="004724B0"/>
    <w:rsid w:val="00473009"/>
    <w:rsid w:val="00482849"/>
    <w:rsid w:val="00484226"/>
    <w:rsid w:val="00487F67"/>
    <w:rsid w:val="004D2A5A"/>
    <w:rsid w:val="004D6DD0"/>
    <w:rsid w:val="004E0821"/>
    <w:rsid w:val="004E5826"/>
    <w:rsid w:val="004F09E2"/>
    <w:rsid w:val="004F17F0"/>
    <w:rsid w:val="004F4ED2"/>
    <w:rsid w:val="00501BF7"/>
    <w:rsid w:val="00505657"/>
    <w:rsid w:val="00514CEE"/>
    <w:rsid w:val="0051587D"/>
    <w:rsid w:val="00523E38"/>
    <w:rsid w:val="00530B27"/>
    <w:rsid w:val="00546D74"/>
    <w:rsid w:val="00547A7D"/>
    <w:rsid w:val="00557DBC"/>
    <w:rsid w:val="00561DCA"/>
    <w:rsid w:val="00570D82"/>
    <w:rsid w:val="005714F1"/>
    <w:rsid w:val="005766EB"/>
    <w:rsid w:val="00581CDC"/>
    <w:rsid w:val="0058545F"/>
    <w:rsid w:val="00590070"/>
    <w:rsid w:val="005960AC"/>
    <w:rsid w:val="005B12A4"/>
    <w:rsid w:val="005C12CE"/>
    <w:rsid w:val="005C1E86"/>
    <w:rsid w:val="005C2B64"/>
    <w:rsid w:val="005C5660"/>
    <w:rsid w:val="005D76C1"/>
    <w:rsid w:val="005E010F"/>
    <w:rsid w:val="005E2738"/>
    <w:rsid w:val="005E53C6"/>
    <w:rsid w:val="005F137B"/>
    <w:rsid w:val="005F2C8A"/>
    <w:rsid w:val="00606D26"/>
    <w:rsid w:val="00632217"/>
    <w:rsid w:val="00652E06"/>
    <w:rsid w:val="0065307D"/>
    <w:rsid w:val="006628CC"/>
    <w:rsid w:val="0066309C"/>
    <w:rsid w:val="0066392A"/>
    <w:rsid w:val="00665E3F"/>
    <w:rsid w:val="00665E81"/>
    <w:rsid w:val="00666BAD"/>
    <w:rsid w:val="0068323B"/>
    <w:rsid w:val="006A2BA0"/>
    <w:rsid w:val="006A6227"/>
    <w:rsid w:val="006B24D8"/>
    <w:rsid w:val="006B5028"/>
    <w:rsid w:val="006C47A5"/>
    <w:rsid w:val="006D1F7F"/>
    <w:rsid w:val="006E0AA2"/>
    <w:rsid w:val="006E25A9"/>
    <w:rsid w:val="006E6A89"/>
    <w:rsid w:val="006E7503"/>
    <w:rsid w:val="006F76D4"/>
    <w:rsid w:val="007145B7"/>
    <w:rsid w:val="0072287E"/>
    <w:rsid w:val="00725E92"/>
    <w:rsid w:val="007370B0"/>
    <w:rsid w:val="00743948"/>
    <w:rsid w:val="00751EC1"/>
    <w:rsid w:val="007575D3"/>
    <w:rsid w:val="00762BC2"/>
    <w:rsid w:val="00764808"/>
    <w:rsid w:val="007654B5"/>
    <w:rsid w:val="00770DA5"/>
    <w:rsid w:val="007729B5"/>
    <w:rsid w:val="00774CB8"/>
    <w:rsid w:val="00776E6B"/>
    <w:rsid w:val="00782196"/>
    <w:rsid w:val="00784CC8"/>
    <w:rsid w:val="0079153E"/>
    <w:rsid w:val="007947FB"/>
    <w:rsid w:val="00797433"/>
    <w:rsid w:val="007A1801"/>
    <w:rsid w:val="007A3788"/>
    <w:rsid w:val="007A40F8"/>
    <w:rsid w:val="007A45FF"/>
    <w:rsid w:val="007A6B1B"/>
    <w:rsid w:val="007A7F4B"/>
    <w:rsid w:val="007B0B02"/>
    <w:rsid w:val="007C2555"/>
    <w:rsid w:val="007C3339"/>
    <w:rsid w:val="007D6F29"/>
    <w:rsid w:val="007E7119"/>
    <w:rsid w:val="008054BD"/>
    <w:rsid w:val="00807564"/>
    <w:rsid w:val="00815733"/>
    <w:rsid w:val="008162DB"/>
    <w:rsid w:val="00821ADC"/>
    <w:rsid w:val="00830BD7"/>
    <w:rsid w:val="0085095F"/>
    <w:rsid w:val="00852B71"/>
    <w:rsid w:val="00857862"/>
    <w:rsid w:val="008612DC"/>
    <w:rsid w:val="00861E4A"/>
    <w:rsid w:val="00863353"/>
    <w:rsid w:val="00867F12"/>
    <w:rsid w:val="00871E61"/>
    <w:rsid w:val="0087406C"/>
    <w:rsid w:val="0088570C"/>
    <w:rsid w:val="008903F9"/>
    <w:rsid w:val="008A05F9"/>
    <w:rsid w:val="008A1C42"/>
    <w:rsid w:val="008C6557"/>
    <w:rsid w:val="008E0BE5"/>
    <w:rsid w:val="008E79D8"/>
    <w:rsid w:val="008F2C77"/>
    <w:rsid w:val="008F4591"/>
    <w:rsid w:val="008F51B8"/>
    <w:rsid w:val="00900116"/>
    <w:rsid w:val="009127A5"/>
    <w:rsid w:val="00922E5D"/>
    <w:rsid w:val="00923C1C"/>
    <w:rsid w:val="00924AFC"/>
    <w:rsid w:val="00936963"/>
    <w:rsid w:val="0094502C"/>
    <w:rsid w:val="00945F9D"/>
    <w:rsid w:val="00951545"/>
    <w:rsid w:val="009861FF"/>
    <w:rsid w:val="009919A1"/>
    <w:rsid w:val="00995FE2"/>
    <w:rsid w:val="009964C3"/>
    <w:rsid w:val="009B28C5"/>
    <w:rsid w:val="009D1170"/>
    <w:rsid w:val="009D64F4"/>
    <w:rsid w:val="009F1521"/>
    <w:rsid w:val="00A130D5"/>
    <w:rsid w:val="00A2374C"/>
    <w:rsid w:val="00A26148"/>
    <w:rsid w:val="00A353EC"/>
    <w:rsid w:val="00A36EA8"/>
    <w:rsid w:val="00A424C9"/>
    <w:rsid w:val="00A635B4"/>
    <w:rsid w:val="00A63AE1"/>
    <w:rsid w:val="00A7369B"/>
    <w:rsid w:val="00A84370"/>
    <w:rsid w:val="00A9322E"/>
    <w:rsid w:val="00AA24EA"/>
    <w:rsid w:val="00AA3F28"/>
    <w:rsid w:val="00AA6907"/>
    <w:rsid w:val="00AC0E18"/>
    <w:rsid w:val="00AC2FE1"/>
    <w:rsid w:val="00AC6F53"/>
    <w:rsid w:val="00AD2D4C"/>
    <w:rsid w:val="00AD450E"/>
    <w:rsid w:val="00AE044B"/>
    <w:rsid w:val="00AE0D7A"/>
    <w:rsid w:val="00AE5BF2"/>
    <w:rsid w:val="00B01B0F"/>
    <w:rsid w:val="00B12585"/>
    <w:rsid w:val="00B320D8"/>
    <w:rsid w:val="00B4716F"/>
    <w:rsid w:val="00B51B63"/>
    <w:rsid w:val="00B538A8"/>
    <w:rsid w:val="00B545F1"/>
    <w:rsid w:val="00B63565"/>
    <w:rsid w:val="00B64DF6"/>
    <w:rsid w:val="00B66BC3"/>
    <w:rsid w:val="00B70EA2"/>
    <w:rsid w:val="00B76086"/>
    <w:rsid w:val="00B860B7"/>
    <w:rsid w:val="00B92DB6"/>
    <w:rsid w:val="00BA41AC"/>
    <w:rsid w:val="00BA4E18"/>
    <w:rsid w:val="00BA6019"/>
    <w:rsid w:val="00BB5C4D"/>
    <w:rsid w:val="00BB6AEE"/>
    <w:rsid w:val="00BC1BCF"/>
    <w:rsid w:val="00BC7DBB"/>
    <w:rsid w:val="00BD04D4"/>
    <w:rsid w:val="00BD04E0"/>
    <w:rsid w:val="00BD7FD0"/>
    <w:rsid w:val="00BF4BC3"/>
    <w:rsid w:val="00C0112D"/>
    <w:rsid w:val="00C054F1"/>
    <w:rsid w:val="00C05DB6"/>
    <w:rsid w:val="00C10261"/>
    <w:rsid w:val="00C10A46"/>
    <w:rsid w:val="00C11059"/>
    <w:rsid w:val="00C15280"/>
    <w:rsid w:val="00C230FE"/>
    <w:rsid w:val="00C24625"/>
    <w:rsid w:val="00C554F3"/>
    <w:rsid w:val="00C569C4"/>
    <w:rsid w:val="00C56DD0"/>
    <w:rsid w:val="00C83C14"/>
    <w:rsid w:val="00C868AC"/>
    <w:rsid w:val="00C934EF"/>
    <w:rsid w:val="00CA4901"/>
    <w:rsid w:val="00CC3E40"/>
    <w:rsid w:val="00CC4D44"/>
    <w:rsid w:val="00CE08CA"/>
    <w:rsid w:val="00CE5C10"/>
    <w:rsid w:val="00CE60E6"/>
    <w:rsid w:val="00CE66B0"/>
    <w:rsid w:val="00CE7BB1"/>
    <w:rsid w:val="00CF31D1"/>
    <w:rsid w:val="00CF4624"/>
    <w:rsid w:val="00D029EF"/>
    <w:rsid w:val="00D22EB0"/>
    <w:rsid w:val="00D30949"/>
    <w:rsid w:val="00D40B85"/>
    <w:rsid w:val="00D45037"/>
    <w:rsid w:val="00D552F9"/>
    <w:rsid w:val="00D67A07"/>
    <w:rsid w:val="00D67B9E"/>
    <w:rsid w:val="00D72AB2"/>
    <w:rsid w:val="00D732B2"/>
    <w:rsid w:val="00D75B34"/>
    <w:rsid w:val="00D87B52"/>
    <w:rsid w:val="00D94693"/>
    <w:rsid w:val="00DA3D31"/>
    <w:rsid w:val="00DB3B9A"/>
    <w:rsid w:val="00DB6F7C"/>
    <w:rsid w:val="00DD5D98"/>
    <w:rsid w:val="00DE20A4"/>
    <w:rsid w:val="00DF5346"/>
    <w:rsid w:val="00E10CB6"/>
    <w:rsid w:val="00E11315"/>
    <w:rsid w:val="00E14E71"/>
    <w:rsid w:val="00E22B71"/>
    <w:rsid w:val="00E33F83"/>
    <w:rsid w:val="00E364FF"/>
    <w:rsid w:val="00E369CD"/>
    <w:rsid w:val="00E40D76"/>
    <w:rsid w:val="00E43DCE"/>
    <w:rsid w:val="00E47163"/>
    <w:rsid w:val="00E547CB"/>
    <w:rsid w:val="00E61AEB"/>
    <w:rsid w:val="00E677A5"/>
    <w:rsid w:val="00E71AC4"/>
    <w:rsid w:val="00E7314B"/>
    <w:rsid w:val="00E755F8"/>
    <w:rsid w:val="00E80A4C"/>
    <w:rsid w:val="00E80FE0"/>
    <w:rsid w:val="00E92286"/>
    <w:rsid w:val="00E964F7"/>
    <w:rsid w:val="00E96CF4"/>
    <w:rsid w:val="00EA2279"/>
    <w:rsid w:val="00EA5983"/>
    <w:rsid w:val="00EC73E3"/>
    <w:rsid w:val="00ED1474"/>
    <w:rsid w:val="00ED3C28"/>
    <w:rsid w:val="00ED494A"/>
    <w:rsid w:val="00EE2641"/>
    <w:rsid w:val="00EE3C78"/>
    <w:rsid w:val="00EE7441"/>
    <w:rsid w:val="00EF07E4"/>
    <w:rsid w:val="00F05AC6"/>
    <w:rsid w:val="00F10890"/>
    <w:rsid w:val="00F178FE"/>
    <w:rsid w:val="00F2506B"/>
    <w:rsid w:val="00F40EEC"/>
    <w:rsid w:val="00F50F0E"/>
    <w:rsid w:val="00F525F8"/>
    <w:rsid w:val="00F52AB4"/>
    <w:rsid w:val="00F618D4"/>
    <w:rsid w:val="00F72B23"/>
    <w:rsid w:val="00F72E57"/>
    <w:rsid w:val="00F74FD0"/>
    <w:rsid w:val="00F80EE2"/>
    <w:rsid w:val="00F94C3C"/>
    <w:rsid w:val="00F97694"/>
    <w:rsid w:val="00F9791F"/>
    <w:rsid w:val="00FB04FA"/>
    <w:rsid w:val="00FB1DC9"/>
    <w:rsid w:val="00FB4405"/>
    <w:rsid w:val="00FC6720"/>
    <w:rsid w:val="00FD0530"/>
    <w:rsid w:val="00FD148B"/>
    <w:rsid w:val="00FD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ct/sp/ecsuphs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urdev.usda.gov/utp_farmbill.html" TargetMode="External"/><Relationship Id="rId4" Type="http://schemas.microsoft.com/office/2007/relationships/stylesWithEffects" Target="stylesWithEffects.xml"/><Relationship Id="rId9" Type="http://schemas.openxmlformats.org/officeDocument/2006/relationships/hyperlink" Target="http://www.rurdev.usda.gov/utp_farmbil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4D33-5404-4BB3-988A-B0E527D1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2</cp:revision>
  <cp:lastPrinted>2014-08-15T18:26:00Z</cp:lastPrinted>
  <dcterms:created xsi:type="dcterms:W3CDTF">2015-06-19T15:13:00Z</dcterms:created>
  <dcterms:modified xsi:type="dcterms:W3CDTF">2015-06-19T15:13:00Z</dcterms:modified>
</cp:coreProperties>
</file>