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BB" w:rsidRDefault="009F56BB" w:rsidP="009F56BB">
      <w:pPr>
        <w:spacing w:after="0" w:line="240" w:lineRule="auto"/>
        <w:jc w:val="center"/>
        <w:rPr>
          <w:rFonts w:asciiTheme="majorHAnsi" w:hAnsiTheme="majorHAnsi"/>
          <w:b/>
          <w:sz w:val="20"/>
          <w:szCs w:val="20"/>
        </w:rPr>
      </w:pPr>
      <w:r>
        <w:rPr>
          <w:rFonts w:asciiTheme="majorHAnsi" w:hAnsiTheme="majorHAnsi"/>
          <w:b/>
          <w:sz w:val="20"/>
          <w:szCs w:val="20"/>
        </w:rPr>
        <w:t>Justification Statement</w:t>
      </w:r>
    </w:p>
    <w:p w:rsidR="009F56BB" w:rsidRPr="008F7A89" w:rsidRDefault="009F56BB" w:rsidP="009F56BB">
      <w:pPr>
        <w:spacing w:after="0" w:line="240" w:lineRule="auto"/>
        <w:jc w:val="center"/>
        <w:rPr>
          <w:rFonts w:asciiTheme="majorHAnsi" w:hAnsiTheme="majorHAnsi"/>
          <w:b/>
          <w:sz w:val="20"/>
          <w:szCs w:val="20"/>
        </w:rPr>
      </w:pPr>
      <w:r>
        <w:rPr>
          <w:rFonts w:asciiTheme="majorHAnsi" w:hAnsiTheme="majorHAnsi"/>
          <w:b/>
          <w:sz w:val="20"/>
          <w:szCs w:val="20"/>
        </w:rPr>
        <w:t>Funding and Liquidity Risk Management</w:t>
      </w:r>
    </w:p>
    <w:p w:rsidR="009F56BB" w:rsidRPr="008F7A89" w:rsidRDefault="009F56BB" w:rsidP="009F56BB">
      <w:pPr>
        <w:spacing w:after="0" w:line="240" w:lineRule="auto"/>
        <w:jc w:val="center"/>
        <w:rPr>
          <w:rFonts w:asciiTheme="majorHAnsi" w:hAnsiTheme="majorHAnsi"/>
          <w:b/>
          <w:sz w:val="20"/>
          <w:szCs w:val="20"/>
        </w:rPr>
      </w:pPr>
      <w:r>
        <w:rPr>
          <w:rFonts w:asciiTheme="majorHAnsi" w:hAnsiTheme="majorHAnsi"/>
          <w:b/>
          <w:sz w:val="20"/>
          <w:szCs w:val="20"/>
        </w:rPr>
        <w:t>OMB Control Number 3133-01</w:t>
      </w:r>
      <w:r>
        <w:rPr>
          <w:rFonts w:asciiTheme="majorHAnsi" w:hAnsiTheme="majorHAnsi"/>
          <w:b/>
          <w:sz w:val="20"/>
          <w:szCs w:val="20"/>
        </w:rPr>
        <w:t>80</w:t>
      </w:r>
    </w:p>
    <w:p w:rsidR="009F56BB" w:rsidRPr="008F7A89" w:rsidRDefault="009F56BB" w:rsidP="009F56BB">
      <w:pPr>
        <w:spacing w:after="0" w:line="240" w:lineRule="auto"/>
        <w:jc w:val="center"/>
        <w:rPr>
          <w:rFonts w:asciiTheme="majorHAnsi" w:hAnsiTheme="majorHAnsi"/>
          <w:b/>
          <w:sz w:val="20"/>
          <w:szCs w:val="20"/>
        </w:rPr>
      </w:pPr>
      <w:r w:rsidRPr="008F7A89">
        <w:rPr>
          <w:rFonts w:asciiTheme="majorHAnsi" w:hAnsiTheme="majorHAnsi"/>
          <w:b/>
          <w:sz w:val="20"/>
          <w:szCs w:val="20"/>
        </w:rPr>
        <w:t>2014</w:t>
      </w:r>
    </w:p>
    <w:p w:rsidR="007D55EF" w:rsidRPr="00E44F63" w:rsidRDefault="007D55EF" w:rsidP="007D55EF">
      <w:pPr>
        <w:pStyle w:val="ListParagraph"/>
        <w:ind w:left="0"/>
        <w:rPr>
          <w:b/>
        </w:rPr>
      </w:pPr>
    </w:p>
    <w:p w:rsidR="007D55EF"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Necessity of Information Collection</w:t>
      </w:r>
    </w:p>
    <w:p w:rsidR="007560F1" w:rsidRDefault="007560F1" w:rsidP="007560F1">
      <w:pPr>
        <w:pStyle w:val="ListParagraph"/>
        <w:spacing w:after="0" w:line="240" w:lineRule="auto"/>
        <w:ind w:left="0"/>
        <w:rPr>
          <w:rFonts w:asciiTheme="majorHAnsi" w:hAnsiTheme="majorHAnsi"/>
          <w:bCs/>
          <w:sz w:val="20"/>
        </w:rPr>
      </w:pPr>
      <w:r w:rsidRPr="007560F1">
        <w:rPr>
          <w:rFonts w:asciiTheme="majorHAnsi" w:hAnsiTheme="majorHAnsi"/>
          <w:sz w:val="20"/>
        </w:rPr>
        <w:t xml:space="preserve">The recent financial crisis demonstrated the importance of good liquidity risk management to the safety and soundness of financial institutions.  The NCUA remains concerned about the largely diminished liquidity protection for the credit union system. </w:t>
      </w:r>
      <w:r w:rsidR="00335987">
        <w:rPr>
          <w:rFonts w:asciiTheme="majorHAnsi" w:hAnsiTheme="majorHAnsi"/>
          <w:sz w:val="20"/>
        </w:rPr>
        <w:t xml:space="preserve"> </w:t>
      </w:r>
      <w:r w:rsidRPr="007560F1">
        <w:rPr>
          <w:rFonts w:asciiTheme="majorHAnsi" w:hAnsiTheme="majorHAnsi"/>
          <w:sz w:val="20"/>
        </w:rPr>
        <w:t xml:space="preserve">Therefore in conjunction with the OCC, FRB, FDIC, and Conference of State Bank Supervisors (CSBS), have adopted the </w:t>
      </w:r>
      <w:r w:rsidRPr="007560F1">
        <w:rPr>
          <w:rFonts w:asciiTheme="majorHAnsi" w:hAnsiTheme="majorHAnsi"/>
          <w:bCs/>
          <w:sz w:val="20"/>
        </w:rPr>
        <w:t>Interagency Policy Statement on Funding and Liquidity Risk Management.  Additionally, for clarity of NCUA’s expectation on the Interagency Policy Statement and to reduce the regulatory burden of credit union less than $50million NCUA issued Regulation 741.12 Liquidity and Contingency Funding Plans</w:t>
      </w:r>
      <w:r w:rsidR="00DF582D">
        <w:rPr>
          <w:rFonts w:asciiTheme="majorHAnsi" w:hAnsiTheme="majorHAnsi"/>
          <w:bCs/>
          <w:sz w:val="20"/>
        </w:rPr>
        <w:t xml:space="preserve">. </w:t>
      </w:r>
    </w:p>
    <w:p w:rsidR="003717CC" w:rsidRDefault="003717CC" w:rsidP="007560F1">
      <w:pPr>
        <w:pStyle w:val="ListParagraph"/>
        <w:spacing w:after="0" w:line="240" w:lineRule="auto"/>
        <w:ind w:left="0"/>
        <w:rPr>
          <w:rFonts w:asciiTheme="majorHAnsi" w:hAnsiTheme="majorHAnsi"/>
          <w:bCs/>
          <w:sz w:val="20"/>
        </w:rPr>
      </w:pPr>
    </w:p>
    <w:p w:rsidR="003717CC" w:rsidRPr="003717CC" w:rsidRDefault="003717CC" w:rsidP="003717CC">
      <w:pPr>
        <w:pStyle w:val="ListParagraph"/>
        <w:spacing w:line="240" w:lineRule="auto"/>
        <w:ind w:left="0"/>
        <w:rPr>
          <w:rFonts w:asciiTheme="majorHAnsi" w:hAnsiTheme="majorHAnsi"/>
          <w:bCs/>
          <w:sz w:val="20"/>
        </w:rPr>
      </w:pPr>
      <w:r w:rsidRPr="003717CC">
        <w:rPr>
          <w:rFonts w:asciiTheme="majorHAnsi" w:hAnsiTheme="majorHAnsi"/>
          <w:bCs/>
          <w:sz w:val="20"/>
        </w:rPr>
        <w:t xml:space="preserve">The rule establishes a three tier framework for federally insured credit unions, based on asset size.  Federally insured credit union with assets under $50 million must maintain a basic policy, federally insured credit unions with assets of $50 million and over must maintain a policy and a contingency funding plan, and federally insured credit unions with assets over $250 million must maintain a policy, contingency funding plan and establish a federal liquidity contingency source. </w:t>
      </w:r>
    </w:p>
    <w:p w:rsidR="003717CC" w:rsidRPr="007560F1" w:rsidRDefault="003717CC" w:rsidP="007560F1">
      <w:pPr>
        <w:pStyle w:val="ListParagraph"/>
        <w:spacing w:after="0" w:line="240" w:lineRule="auto"/>
        <w:ind w:left="0"/>
        <w:rPr>
          <w:rFonts w:asciiTheme="majorHAnsi" w:hAnsiTheme="majorHAnsi"/>
          <w:sz w:val="20"/>
        </w:rPr>
      </w:pPr>
    </w:p>
    <w:p w:rsidR="00FA1F56" w:rsidRDefault="00FA1F56" w:rsidP="00881DDD">
      <w:pPr>
        <w:spacing w:after="0" w:line="240" w:lineRule="auto"/>
        <w:rPr>
          <w:rFonts w:asciiTheme="majorHAnsi" w:hAnsiTheme="majorHAnsi"/>
          <w:sz w:val="20"/>
        </w:rPr>
      </w:pPr>
      <w:r>
        <w:rPr>
          <w:rFonts w:asciiTheme="majorHAnsi" w:hAnsiTheme="majorHAnsi"/>
          <w:sz w:val="20"/>
        </w:rPr>
        <w:t xml:space="preserve">In October 2013 NCUA amended </w:t>
      </w:r>
      <w:r w:rsidR="001453F5">
        <w:rPr>
          <w:rFonts w:asciiTheme="majorHAnsi" w:hAnsiTheme="majorHAnsi"/>
          <w:sz w:val="20"/>
        </w:rPr>
        <w:t xml:space="preserve">Section 741.12 of NCUA’s Rules and Regulation </w:t>
      </w:r>
      <w:r>
        <w:rPr>
          <w:rFonts w:asciiTheme="majorHAnsi" w:hAnsiTheme="majorHAnsi"/>
          <w:sz w:val="20"/>
        </w:rPr>
        <w:t>on liquidity and contingency funding plans</w:t>
      </w:r>
      <w:r w:rsidR="001453F5">
        <w:rPr>
          <w:rFonts w:asciiTheme="majorHAnsi" w:hAnsiTheme="majorHAnsi"/>
          <w:sz w:val="20"/>
        </w:rPr>
        <w:t xml:space="preserve"> for federally insured credit unions</w:t>
      </w:r>
      <w:r w:rsidR="00335987">
        <w:rPr>
          <w:rFonts w:asciiTheme="majorHAnsi" w:hAnsiTheme="majorHAnsi"/>
          <w:sz w:val="20"/>
        </w:rPr>
        <w:t xml:space="preserve">.  </w:t>
      </w:r>
      <w:r w:rsidR="00816A64">
        <w:rPr>
          <w:rFonts w:asciiTheme="majorHAnsi" w:hAnsiTheme="majorHAnsi"/>
          <w:sz w:val="20"/>
        </w:rPr>
        <w:t xml:space="preserve">This rule ensures all federally insured credit unions conduct sound liquidity planning, and requires large credit unions to establish </w:t>
      </w:r>
      <w:r w:rsidR="002A498E">
        <w:rPr>
          <w:rFonts w:asciiTheme="majorHAnsi" w:hAnsiTheme="majorHAnsi"/>
          <w:sz w:val="20"/>
        </w:rPr>
        <w:t>access</w:t>
      </w:r>
      <w:r w:rsidR="00816A64">
        <w:rPr>
          <w:rFonts w:asciiTheme="majorHAnsi" w:hAnsiTheme="majorHAnsi"/>
          <w:sz w:val="20"/>
        </w:rPr>
        <w:t xml:space="preserve"> to at least one federal source of contingent liquidity. </w:t>
      </w:r>
    </w:p>
    <w:p w:rsidR="007D55EF" w:rsidRDefault="007D55EF" w:rsidP="00DF09E5">
      <w:pPr>
        <w:spacing w:after="0" w:line="240" w:lineRule="auto"/>
        <w:rPr>
          <w:rFonts w:asciiTheme="majorHAnsi" w:hAnsiTheme="majorHAnsi"/>
          <w:sz w:val="20"/>
        </w:rPr>
      </w:pPr>
    </w:p>
    <w:p w:rsidR="00DF09E5" w:rsidRDefault="00DF09E5" w:rsidP="00DF09E5">
      <w:pPr>
        <w:spacing w:after="0" w:line="240" w:lineRule="auto"/>
        <w:rPr>
          <w:rFonts w:asciiTheme="majorHAnsi" w:hAnsiTheme="majorHAnsi"/>
          <w:sz w:val="20"/>
        </w:rPr>
      </w:pPr>
    </w:p>
    <w:p w:rsidR="00DF09E5" w:rsidRDefault="00DF09E5" w:rsidP="00DF09E5">
      <w:pPr>
        <w:spacing w:after="0" w:line="240" w:lineRule="auto"/>
        <w:rPr>
          <w:rFonts w:asciiTheme="majorHAnsi" w:hAnsiTheme="majorHAnsi"/>
          <w:sz w:val="20"/>
        </w:rPr>
      </w:pPr>
    </w:p>
    <w:p w:rsidR="003717CC" w:rsidRDefault="003717CC" w:rsidP="00DF09E5">
      <w:pPr>
        <w:spacing w:after="0" w:line="240" w:lineRule="auto"/>
        <w:rPr>
          <w:rFonts w:asciiTheme="majorHAnsi" w:hAnsiTheme="majorHAnsi"/>
          <w:sz w:val="20"/>
        </w:rPr>
      </w:pPr>
    </w:p>
    <w:p w:rsidR="003717CC" w:rsidRDefault="003717CC" w:rsidP="00DF09E5">
      <w:pPr>
        <w:spacing w:after="0" w:line="240" w:lineRule="auto"/>
        <w:rPr>
          <w:rFonts w:asciiTheme="majorHAnsi" w:hAnsiTheme="majorHAnsi"/>
          <w:sz w:val="20"/>
        </w:rPr>
      </w:pPr>
    </w:p>
    <w:p w:rsidR="003717CC" w:rsidRPr="00DF09E5" w:rsidRDefault="003717CC" w:rsidP="00DF09E5">
      <w:pPr>
        <w:spacing w:after="0" w:line="240" w:lineRule="auto"/>
        <w:rPr>
          <w:rFonts w:asciiTheme="majorHAnsi" w:hAnsiTheme="majorHAnsi"/>
          <w:sz w:val="20"/>
        </w:rPr>
      </w:pPr>
    </w:p>
    <w:p w:rsidR="007D55EF"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Purpose and Use of the Information Collection</w:t>
      </w:r>
    </w:p>
    <w:p w:rsidR="00DF09E5" w:rsidRPr="00DF09E5" w:rsidRDefault="00DF09E5" w:rsidP="00DF09E5">
      <w:pPr>
        <w:spacing w:after="0" w:line="240" w:lineRule="auto"/>
        <w:rPr>
          <w:rFonts w:asciiTheme="majorHAnsi" w:hAnsiTheme="majorHAnsi"/>
          <w:sz w:val="20"/>
        </w:rPr>
      </w:pPr>
      <w:r w:rsidRPr="00DF09E5">
        <w:rPr>
          <w:rFonts w:asciiTheme="majorHAnsi" w:hAnsiTheme="majorHAnsi"/>
          <w:sz w:val="20"/>
        </w:rPr>
        <w:t xml:space="preserve">NCUA examiners will review </w:t>
      </w:r>
      <w:r w:rsidR="00287B81">
        <w:rPr>
          <w:rFonts w:asciiTheme="majorHAnsi" w:hAnsiTheme="majorHAnsi"/>
          <w:sz w:val="20"/>
        </w:rPr>
        <w:t>credit union liquidity risk management procedure</w:t>
      </w:r>
      <w:r w:rsidR="0051290A">
        <w:rPr>
          <w:rFonts w:asciiTheme="majorHAnsi" w:hAnsiTheme="majorHAnsi"/>
          <w:sz w:val="20"/>
        </w:rPr>
        <w:t>s</w:t>
      </w:r>
      <w:r w:rsidR="00287B81">
        <w:rPr>
          <w:rFonts w:asciiTheme="majorHAnsi" w:hAnsiTheme="majorHAnsi"/>
          <w:sz w:val="20"/>
        </w:rPr>
        <w:t xml:space="preserve"> and policies during the regulatory examinations.</w:t>
      </w:r>
      <w:r w:rsidR="000C669F">
        <w:rPr>
          <w:rFonts w:asciiTheme="majorHAnsi" w:hAnsiTheme="majorHAnsi"/>
          <w:sz w:val="20"/>
        </w:rPr>
        <w:t xml:space="preserve">  The reviews will conclude if federally insured credit unions are maintaining appropriate liquidity levels for the amount of balance sheet risk exposure.  </w:t>
      </w:r>
      <w:r w:rsidRPr="00DF09E5">
        <w:rPr>
          <w:rFonts w:asciiTheme="majorHAnsi" w:hAnsiTheme="majorHAnsi"/>
          <w:sz w:val="20"/>
        </w:rPr>
        <w:t>As part of the</w:t>
      </w:r>
      <w:r w:rsidR="00287B81">
        <w:rPr>
          <w:rFonts w:asciiTheme="majorHAnsi" w:hAnsiTheme="majorHAnsi"/>
          <w:sz w:val="20"/>
        </w:rPr>
        <w:t xml:space="preserve"> routine examination process, these</w:t>
      </w:r>
      <w:r w:rsidRPr="00DF09E5">
        <w:rPr>
          <w:rFonts w:asciiTheme="majorHAnsi" w:hAnsiTheme="majorHAnsi"/>
          <w:sz w:val="20"/>
        </w:rPr>
        <w:t xml:space="preserve"> review</w:t>
      </w:r>
      <w:r w:rsidR="00287B81">
        <w:rPr>
          <w:rFonts w:asciiTheme="majorHAnsi" w:hAnsiTheme="majorHAnsi"/>
          <w:sz w:val="20"/>
        </w:rPr>
        <w:t>s</w:t>
      </w:r>
      <w:r w:rsidRPr="00DF09E5">
        <w:rPr>
          <w:rFonts w:asciiTheme="majorHAnsi" w:hAnsiTheme="majorHAnsi"/>
          <w:sz w:val="20"/>
        </w:rPr>
        <w:t xml:space="preserve"> help prevent losses to credit unions and the NCUSIF.</w:t>
      </w:r>
    </w:p>
    <w:p w:rsidR="00DF09E5" w:rsidRPr="00DF09E5" w:rsidRDefault="00DF09E5" w:rsidP="00DF09E5">
      <w:pPr>
        <w:spacing w:after="0" w:line="240" w:lineRule="auto"/>
        <w:rPr>
          <w:rFonts w:asciiTheme="majorHAnsi" w:hAnsiTheme="majorHAnsi"/>
          <w:sz w:val="20"/>
        </w:rPr>
      </w:pPr>
    </w:p>
    <w:p w:rsidR="007D55EF" w:rsidRPr="00C87C6E" w:rsidRDefault="007D55EF" w:rsidP="00287B81">
      <w:pPr>
        <w:spacing w:line="240" w:lineRule="auto"/>
        <w:rPr>
          <w:rFonts w:asciiTheme="majorHAnsi" w:hAnsiTheme="majorHAnsi"/>
          <w:sz w:val="20"/>
          <w:szCs w:val="20"/>
        </w:rPr>
      </w:pPr>
    </w:p>
    <w:p w:rsidR="00DE2942" w:rsidRDefault="007D55EF" w:rsidP="00DE2942">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Consideration Given to Information Technology</w:t>
      </w:r>
    </w:p>
    <w:p w:rsidR="00DE2942" w:rsidRPr="00DE2942" w:rsidRDefault="00DE2942" w:rsidP="00DE2942">
      <w:pPr>
        <w:pStyle w:val="ListParagraph"/>
        <w:spacing w:after="0" w:line="240" w:lineRule="auto"/>
        <w:ind w:left="0"/>
        <w:rPr>
          <w:rFonts w:asciiTheme="majorHAnsi" w:hAnsiTheme="majorHAnsi"/>
          <w:sz w:val="20"/>
        </w:rPr>
      </w:pPr>
      <w:r w:rsidRPr="00DE2942">
        <w:rPr>
          <w:rFonts w:asciiTheme="majorHAnsi" w:hAnsiTheme="majorHAnsi"/>
          <w:sz w:val="20"/>
        </w:rPr>
        <w:t xml:space="preserve">The information collected is the responsibility of the credit unions and part of routine operations. FICUs may use any technology </w:t>
      </w:r>
      <w:r w:rsidR="0051290A">
        <w:rPr>
          <w:rFonts w:asciiTheme="majorHAnsi" w:hAnsiTheme="majorHAnsi"/>
          <w:sz w:val="20"/>
        </w:rPr>
        <w:t>to</w:t>
      </w:r>
      <w:r w:rsidRPr="00DE2942">
        <w:rPr>
          <w:rFonts w:asciiTheme="majorHAnsi" w:hAnsiTheme="majorHAnsi"/>
          <w:sz w:val="20"/>
        </w:rPr>
        <w:t xml:space="preserve"> develop policies and contingency plan</w:t>
      </w:r>
      <w:r w:rsidR="0051290A">
        <w:rPr>
          <w:rFonts w:asciiTheme="majorHAnsi" w:hAnsiTheme="majorHAnsi"/>
          <w:sz w:val="20"/>
        </w:rPr>
        <w:t>s</w:t>
      </w:r>
      <w:r w:rsidRPr="00DE2942">
        <w:rPr>
          <w:rFonts w:asciiTheme="majorHAnsi" w:hAnsiTheme="majorHAnsi"/>
          <w:sz w:val="20"/>
        </w:rPr>
        <w:t>.</w:t>
      </w:r>
    </w:p>
    <w:p w:rsidR="00DE2942" w:rsidRDefault="00DE2942" w:rsidP="00DE2942">
      <w:pPr>
        <w:pStyle w:val="ListParagraph"/>
        <w:spacing w:after="0" w:line="240" w:lineRule="auto"/>
        <w:ind w:left="0"/>
        <w:rPr>
          <w:rFonts w:asciiTheme="majorHAnsi" w:hAnsiTheme="majorHAnsi"/>
          <w:b/>
          <w:sz w:val="20"/>
        </w:rPr>
      </w:pPr>
    </w:p>
    <w:p w:rsidR="00DE2942" w:rsidRDefault="00DE2942" w:rsidP="00DE2942">
      <w:pPr>
        <w:pStyle w:val="ListParagraph"/>
        <w:spacing w:after="0" w:line="240" w:lineRule="auto"/>
        <w:ind w:left="0"/>
        <w:rPr>
          <w:rFonts w:asciiTheme="majorHAnsi" w:hAnsiTheme="majorHAnsi"/>
          <w:b/>
          <w:sz w:val="20"/>
        </w:rPr>
      </w:pPr>
    </w:p>
    <w:p w:rsidR="007D55EF" w:rsidRDefault="007D55EF" w:rsidP="00DE2942">
      <w:pPr>
        <w:pStyle w:val="ListParagraph"/>
        <w:numPr>
          <w:ilvl w:val="0"/>
          <w:numId w:val="3"/>
        </w:numPr>
        <w:spacing w:after="0" w:line="240" w:lineRule="auto"/>
        <w:ind w:left="0"/>
        <w:rPr>
          <w:rFonts w:asciiTheme="majorHAnsi" w:hAnsiTheme="majorHAnsi"/>
          <w:b/>
          <w:sz w:val="20"/>
        </w:rPr>
      </w:pPr>
      <w:r w:rsidRPr="00DE2942">
        <w:rPr>
          <w:rFonts w:asciiTheme="majorHAnsi" w:hAnsiTheme="majorHAnsi"/>
          <w:b/>
          <w:sz w:val="20"/>
        </w:rPr>
        <w:t xml:space="preserve">Duplication </w:t>
      </w:r>
    </w:p>
    <w:p w:rsidR="00DE2942" w:rsidRDefault="00DE2942" w:rsidP="00DE2942">
      <w:pPr>
        <w:spacing w:after="0" w:line="240" w:lineRule="auto"/>
        <w:rPr>
          <w:rFonts w:asciiTheme="majorHAnsi" w:hAnsiTheme="majorHAnsi"/>
          <w:sz w:val="20"/>
        </w:rPr>
      </w:pPr>
      <w:r w:rsidRPr="00DE2942">
        <w:rPr>
          <w:rFonts w:asciiTheme="majorHAnsi" w:hAnsiTheme="majorHAnsi"/>
          <w:sz w:val="20"/>
        </w:rPr>
        <w:t xml:space="preserve">The information required is unique and it is not duplicated elsewhere. </w:t>
      </w:r>
      <w:r w:rsidR="00445B58">
        <w:rPr>
          <w:rFonts w:asciiTheme="majorHAnsi" w:hAnsiTheme="majorHAnsi"/>
          <w:sz w:val="20"/>
        </w:rPr>
        <w:t xml:space="preserve"> </w:t>
      </w:r>
    </w:p>
    <w:p w:rsidR="007D55EF" w:rsidRPr="00445B58" w:rsidRDefault="007D55EF" w:rsidP="00445B58">
      <w:pPr>
        <w:tabs>
          <w:tab w:val="left" w:pos="-720"/>
          <w:tab w:val="left" w:pos="286"/>
          <w:tab w:val="left" w:pos="403"/>
        </w:tabs>
        <w:suppressAutoHyphens/>
        <w:rPr>
          <w:rFonts w:asciiTheme="majorHAnsi" w:hAnsiTheme="majorHAnsi"/>
          <w:sz w:val="20"/>
        </w:rPr>
      </w:pPr>
    </w:p>
    <w:p w:rsidR="007D55EF" w:rsidRPr="00445B58" w:rsidRDefault="007D55EF" w:rsidP="007D55EF">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 xml:space="preserve"> Effect on Small Entities</w:t>
      </w:r>
    </w:p>
    <w:p w:rsidR="007D55EF" w:rsidRPr="00445B58" w:rsidRDefault="00072CFE" w:rsidP="00072CFE">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heme="majorHAnsi" w:hAnsiTheme="majorHAnsi"/>
          <w:sz w:val="20"/>
        </w:rPr>
      </w:pPr>
      <w:r w:rsidRPr="00445B58">
        <w:rPr>
          <w:rFonts w:asciiTheme="majorHAnsi" w:hAnsiTheme="majorHAnsi"/>
          <w:sz w:val="20"/>
        </w:rPr>
        <w:t xml:space="preserve">To minimize the regulatory burden on small entities </w:t>
      </w:r>
      <w:r w:rsidR="00335987">
        <w:rPr>
          <w:rFonts w:asciiTheme="majorHAnsi" w:hAnsiTheme="majorHAnsi"/>
          <w:sz w:val="20"/>
        </w:rPr>
        <w:t xml:space="preserve">and </w:t>
      </w:r>
      <w:r w:rsidRPr="00445B58">
        <w:rPr>
          <w:rFonts w:asciiTheme="majorHAnsi" w:hAnsiTheme="majorHAnsi"/>
          <w:sz w:val="20"/>
        </w:rPr>
        <w:t>provid</w:t>
      </w:r>
      <w:r w:rsidR="00335987">
        <w:rPr>
          <w:rFonts w:asciiTheme="majorHAnsi" w:hAnsiTheme="majorHAnsi"/>
          <w:sz w:val="20"/>
        </w:rPr>
        <w:t xml:space="preserve">e </w:t>
      </w:r>
      <w:r w:rsidRPr="00445B58">
        <w:rPr>
          <w:rFonts w:asciiTheme="majorHAnsi" w:hAnsiTheme="majorHAnsi"/>
          <w:sz w:val="20"/>
        </w:rPr>
        <w:t>regulatory consistency, NCUA established a tier</w:t>
      </w:r>
      <w:r w:rsidR="0051290A">
        <w:rPr>
          <w:rFonts w:asciiTheme="majorHAnsi" w:hAnsiTheme="majorHAnsi"/>
          <w:sz w:val="20"/>
        </w:rPr>
        <w:t>ed</w:t>
      </w:r>
      <w:r w:rsidRPr="00445B58">
        <w:rPr>
          <w:rFonts w:asciiTheme="majorHAnsi" w:hAnsiTheme="majorHAnsi"/>
          <w:sz w:val="20"/>
        </w:rPr>
        <w:t xml:space="preserve"> approach to the</w:t>
      </w:r>
      <w:r w:rsidR="00335987">
        <w:rPr>
          <w:rFonts w:asciiTheme="majorHAnsi" w:hAnsiTheme="majorHAnsi"/>
          <w:sz w:val="20"/>
        </w:rPr>
        <w:t xml:space="preserve"> 12 C.F.R.</w:t>
      </w:r>
      <w:r w:rsidRPr="00445B58">
        <w:rPr>
          <w:rFonts w:asciiTheme="majorHAnsi" w:hAnsiTheme="majorHAnsi"/>
          <w:sz w:val="20"/>
        </w:rPr>
        <w:t xml:space="preserve"> </w:t>
      </w:r>
      <w:r w:rsidR="0051290A">
        <w:rPr>
          <w:rFonts w:asciiTheme="majorHAnsi" w:hAnsiTheme="majorHAnsi"/>
          <w:sz w:val="20"/>
        </w:rPr>
        <w:t>§</w:t>
      </w:r>
      <w:r w:rsidRPr="00445B58">
        <w:rPr>
          <w:rFonts w:asciiTheme="majorHAnsi" w:hAnsiTheme="majorHAnsi"/>
          <w:bCs/>
          <w:sz w:val="20"/>
        </w:rPr>
        <w:t xml:space="preserve">741.12 Liquidity and Contingency Funding Plans.  Credit </w:t>
      </w:r>
      <w:r w:rsidR="0051290A">
        <w:rPr>
          <w:rFonts w:asciiTheme="majorHAnsi" w:hAnsiTheme="majorHAnsi"/>
          <w:bCs/>
          <w:sz w:val="20"/>
        </w:rPr>
        <w:t>u</w:t>
      </w:r>
      <w:r w:rsidRPr="00445B58">
        <w:rPr>
          <w:rFonts w:asciiTheme="majorHAnsi" w:hAnsiTheme="majorHAnsi"/>
          <w:bCs/>
          <w:sz w:val="20"/>
        </w:rPr>
        <w:t>nion</w:t>
      </w:r>
      <w:r w:rsidR="0051290A">
        <w:rPr>
          <w:rFonts w:asciiTheme="majorHAnsi" w:hAnsiTheme="majorHAnsi"/>
          <w:bCs/>
          <w:sz w:val="20"/>
        </w:rPr>
        <w:t>s</w:t>
      </w:r>
      <w:r w:rsidRPr="00445B58">
        <w:rPr>
          <w:rFonts w:asciiTheme="majorHAnsi" w:hAnsiTheme="majorHAnsi"/>
          <w:bCs/>
          <w:sz w:val="20"/>
        </w:rPr>
        <w:t xml:space="preserve"> with </w:t>
      </w:r>
      <w:r w:rsidR="0051290A">
        <w:rPr>
          <w:rFonts w:asciiTheme="majorHAnsi" w:hAnsiTheme="majorHAnsi"/>
          <w:bCs/>
          <w:sz w:val="20"/>
        </w:rPr>
        <w:t>less than</w:t>
      </w:r>
      <w:r w:rsidRPr="00445B58">
        <w:rPr>
          <w:rFonts w:asciiTheme="majorHAnsi" w:hAnsiTheme="majorHAnsi"/>
          <w:bCs/>
          <w:sz w:val="20"/>
        </w:rPr>
        <w:t xml:space="preserve"> $50 million</w:t>
      </w:r>
      <w:r w:rsidR="0051290A">
        <w:rPr>
          <w:rFonts w:asciiTheme="majorHAnsi" w:hAnsiTheme="majorHAnsi"/>
          <w:bCs/>
          <w:sz w:val="20"/>
        </w:rPr>
        <w:t xml:space="preserve"> in assets</w:t>
      </w:r>
      <w:r w:rsidRPr="00445B58">
        <w:rPr>
          <w:rFonts w:asciiTheme="majorHAnsi" w:hAnsiTheme="majorHAnsi"/>
          <w:bCs/>
          <w:sz w:val="20"/>
        </w:rPr>
        <w:t xml:space="preserve"> will only have to develop a fundamental liquidity policy, covering the purpose of liquidity management, limits for liquidity measures, primary and secondary sources of liquidity, and periodic liquidity policy reviews. </w:t>
      </w:r>
      <w:r w:rsidR="0051290A">
        <w:rPr>
          <w:rFonts w:asciiTheme="majorHAnsi" w:hAnsiTheme="majorHAnsi"/>
          <w:bCs/>
          <w:sz w:val="20"/>
        </w:rPr>
        <w:t xml:space="preserve"> </w:t>
      </w:r>
    </w:p>
    <w:p w:rsidR="007D55EF" w:rsidRPr="00445B58" w:rsidRDefault="007D55EF" w:rsidP="007D55EF">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Theme="majorHAnsi" w:hAnsiTheme="majorHAnsi"/>
          <w:sz w:val="20"/>
        </w:rPr>
      </w:pPr>
    </w:p>
    <w:p w:rsidR="00072CFE" w:rsidRPr="00445B58" w:rsidRDefault="007D55EF" w:rsidP="007D55EF">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lastRenderedPageBreak/>
        <w:t>Consequences of Not Conducting Collection</w:t>
      </w:r>
    </w:p>
    <w:p w:rsidR="008E3211" w:rsidRPr="00445B58" w:rsidRDefault="00072CFE" w:rsidP="008E3211">
      <w:pPr>
        <w:spacing w:after="0" w:line="240" w:lineRule="auto"/>
        <w:rPr>
          <w:rFonts w:asciiTheme="majorHAnsi" w:hAnsiTheme="majorHAnsi"/>
          <w:sz w:val="20"/>
        </w:rPr>
      </w:pPr>
      <w:r w:rsidRPr="00445B58">
        <w:rPr>
          <w:rFonts w:asciiTheme="majorHAnsi" w:hAnsiTheme="majorHAnsi"/>
          <w:sz w:val="20"/>
        </w:rPr>
        <w:t xml:space="preserve">Sound liquidity planning and access </w:t>
      </w:r>
      <w:r w:rsidR="00335987" w:rsidRPr="00445B58">
        <w:rPr>
          <w:rFonts w:asciiTheme="majorHAnsi" w:hAnsiTheme="majorHAnsi"/>
          <w:sz w:val="20"/>
        </w:rPr>
        <w:t>to federal</w:t>
      </w:r>
      <w:r w:rsidRPr="00445B58">
        <w:rPr>
          <w:rFonts w:asciiTheme="majorHAnsi" w:hAnsiTheme="majorHAnsi"/>
          <w:sz w:val="20"/>
        </w:rPr>
        <w:t xml:space="preserve"> liquidity sources are vital to the safety and soundness of the credit union system. </w:t>
      </w:r>
      <w:r w:rsidR="00335987">
        <w:rPr>
          <w:rFonts w:asciiTheme="majorHAnsi" w:hAnsiTheme="majorHAnsi"/>
          <w:sz w:val="20"/>
        </w:rPr>
        <w:t xml:space="preserve"> During the recent recession, m</w:t>
      </w:r>
      <w:r w:rsidR="00AA7F19" w:rsidRPr="00445B58">
        <w:rPr>
          <w:rFonts w:asciiTheme="majorHAnsi" w:hAnsiTheme="majorHAnsi"/>
          <w:sz w:val="20"/>
        </w:rPr>
        <w:t xml:space="preserve">any credit unions experienced significant financial stress because they did not manage their liquidity in a prudent manner.  In some cases, these credit unions had difficulty meeting their obligations as they became due because sources of funding became severely restricted. </w:t>
      </w:r>
      <w:r w:rsidR="00335987">
        <w:rPr>
          <w:rFonts w:asciiTheme="majorHAnsi" w:hAnsiTheme="majorHAnsi"/>
          <w:sz w:val="20"/>
        </w:rPr>
        <w:t xml:space="preserve"> </w:t>
      </w:r>
      <w:r w:rsidR="008E3211" w:rsidRPr="00445B58">
        <w:rPr>
          <w:rFonts w:asciiTheme="majorHAnsi" w:hAnsiTheme="majorHAnsi"/>
          <w:sz w:val="20"/>
        </w:rPr>
        <w:t xml:space="preserve">Gathering </w:t>
      </w:r>
      <w:r w:rsidR="00335987">
        <w:rPr>
          <w:rFonts w:asciiTheme="majorHAnsi" w:hAnsiTheme="majorHAnsi"/>
          <w:sz w:val="20"/>
        </w:rPr>
        <w:t>liquidity</w:t>
      </w:r>
      <w:r w:rsidR="008E3211" w:rsidRPr="00445B58">
        <w:rPr>
          <w:rFonts w:asciiTheme="majorHAnsi" w:hAnsiTheme="majorHAnsi"/>
          <w:sz w:val="20"/>
        </w:rPr>
        <w:t xml:space="preserve"> information, followed </w:t>
      </w:r>
      <w:r w:rsidR="00E96E4C" w:rsidRPr="00445B58">
        <w:rPr>
          <w:rFonts w:asciiTheme="majorHAnsi" w:hAnsiTheme="majorHAnsi"/>
          <w:sz w:val="20"/>
        </w:rPr>
        <w:t>by annual</w:t>
      </w:r>
      <w:r w:rsidR="008E3211" w:rsidRPr="00445B58">
        <w:rPr>
          <w:rFonts w:asciiTheme="majorHAnsi" w:hAnsiTheme="majorHAnsi"/>
          <w:sz w:val="20"/>
        </w:rPr>
        <w:t xml:space="preserve"> regulatory examinations and</w:t>
      </w:r>
      <w:r w:rsidR="00E96E4C" w:rsidRPr="00445B58">
        <w:rPr>
          <w:rFonts w:asciiTheme="majorHAnsi" w:hAnsiTheme="majorHAnsi"/>
          <w:sz w:val="20"/>
        </w:rPr>
        <w:t xml:space="preserve"> annual testing is</w:t>
      </w:r>
      <w:r w:rsidR="008E3211" w:rsidRPr="00445B58">
        <w:rPr>
          <w:rFonts w:asciiTheme="majorHAnsi" w:hAnsiTheme="majorHAnsi"/>
          <w:sz w:val="20"/>
        </w:rPr>
        <w:t xml:space="preserve"> crucial to ensuring the </w:t>
      </w:r>
      <w:r w:rsidR="00335987">
        <w:rPr>
          <w:rFonts w:asciiTheme="majorHAnsi" w:hAnsiTheme="majorHAnsi"/>
          <w:sz w:val="20"/>
        </w:rPr>
        <w:t>credit union system is resilience</w:t>
      </w:r>
      <w:r w:rsidR="008E3211" w:rsidRPr="00445B58">
        <w:rPr>
          <w:rFonts w:asciiTheme="majorHAnsi" w:hAnsiTheme="majorHAnsi"/>
          <w:sz w:val="20"/>
        </w:rPr>
        <w:t xml:space="preserve"> during periods of financial market stress.</w:t>
      </w:r>
    </w:p>
    <w:p w:rsidR="008E3211" w:rsidRPr="00445B58" w:rsidRDefault="008E3211" w:rsidP="00AA7F19">
      <w:pPr>
        <w:spacing w:after="0" w:line="240" w:lineRule="auto"/>
        <w:rPr>
          <w:rFonts w:asciiTheme="majorHAnsi" w:hAnsiTheme="majorHAnsi"/>
          <w:sz w:val="20"/>
        </w:rPr>
      </w:pPr>
    </w:p>
    <w:p w:rsidR="007D55EF" w:rsidRPr="00445B58" w:rsidRDefault="007D55EF" w:rsidP="007D55EF">
      <w:pPr>
        <w:spacing w:line="240" w:lineRule="auto"/>
        <w:ind w:hanging="360"/>
        <w:rPr>
          <w:rFonts w:asciiTheme="majorHAnsi" w:hAnsiTheme="majorHAnsi"/>
          <w:sz w:val="20"/>
          <w:szCs w:val="20"/>
        </w:rPr>
      </w:pPr>
    </w:p>
    <w:p w:rsidR="007D55EF" w:rsidRPr="00445B58" w:rsidRDefault="007D55EF" w:rsidP="007D55EF">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Inconsistencies with Guidelines in 5 CFR 1320.5(d)(2)</w:t>
      </w:r>
    </w:p>
    <w:p w:rsidR="007D55EF" w:rsidRPr="00335987" w:rsidRDefault="007D55EF" w:rsidP="00335987">
      <w:pPr>
        <w:pStyle w:val="ListParagraph"/>
        <w:ind w:left="0"/>
        <w:rPr>
          <w:rFonts w:asciiTheme="majorHAnsi" w:hAnsiTheme="majorHAnsi"/>
          <w:sz w:val="20"/>
        </w:rPr>
      </w:pPr>
      <w:r w:rsidRPr="00445B58">
        <w:rPr>
          <w:rFonts w:asciiTheme="majorHAnsi" w:hAnsiTheme="majorHAnsi"/>
          <w:sz w:val="20"/>
        </w:rPr>
        <w:t>There are no special circumstances. This collection is consistent with the guidelines in 5 CFR 1320.5(d) (2).</w:t>
      </w:r>
    </w:p>
    <w:p w:rsidR="007D55EF" w:rsidRPr="00445B58" w:rsidRDefault="007D55EF" w:rsidP="007D55EF">
      <w:pPr>
        <w:pStyle w:val="ListParagraph"/>
        <w:ind w:left="0" w:hanging="360"/>
        <w:rPr>
          <w:rFonts w:asciiTheme="majorHAnsi" w:hAnsiTheme="majorHAnsi"/>
          <w:b/>
          <w:sz w:val="20"/>
        </w:rPr>
      </w:pPr>
    </w:p>
    <w:p w:rsidR="00852737" w:rsidRPr="00445B58" w:rsidRDefault="007D55EF" w:rsidP="00852737">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Consultations Outside the Agency</w:t>
      </w:r>
    </w:p>
    <w:p w:rsidR="00852737" w:rsidRPr="00445B58" w:rsidRDefault="00852737" w:rsidP="00852737">
      <w:pPr>
        <w:pStyle w:val="ListParagraph"/>
        <w:spacing w:after="0" w:line="240" w:lineRule="auto"/>
        <w:ind w:left="0"/>
        <w:rPr>
          <w:rFonts w:asciiTheme="majorHAnsi" w:hAnsiTheme="majorHAnsi"/>
          <w:sz w:val="20"/>
        </w:rPr>
      </w:pPr>
      <w:r w:rsidRPr="00445B58">
        <w:rPr>
          <w:rFonts w:asciiTheme="majorHAnsi" w:hAnsiTheme="majorHAnsi"/>
          <w:sz w:val="20"/>
        </w:rPr>
        <w:t>The required Federal Register notice with a 60-day comment period soliciting comments on this collection of information was published.  No public comments were received.</w:t>
      </w:r>
    </w:p>
    <w:p w:rsidR="00852737" w:rsidRPr="00445B58" w:rsidRDefault="00852737" w:rsidP="00852737">
      <w:pPr>
        <w:pStyle w:val="ListParagraph"/>
        <w:spacing w:after="0" w:line="240" w:lineRule="auto"/>
        <w:ind w:left="0"/>
        <w:rPr>
          <w:rFonts w:asciiTheme="majorHAnsi" w:hAnsiTheme="majorHAnsi"/>
          <w:b/>
          <w:sz w:val="20"/>
        </w:rPr>
      </w:pPr>
    </w:p>
    <w:p w:rsidR="007D55EF" w:rsidRPr="00445B58" w:rsidRDefault="007D55EF" w:rsidP="00852737">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Payment or Gift</w:t>
      </w:r>
    </w:p>
    <w:p w:rsidR="007D55EF" w:rsidRDefault="00852737" w:rsidP="00C22DD8">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rFonts w:asciiTheme="majorHAnsi" w:hAnsiTheme="majorHAnsi"/>
          <w:sz w:val="20"/>
        </w:rPr>
      </w:pPr>
      <w:r w:rsidRPr="00445B58">
        <w:rPr>
          <w:rFonts w:asciiTheme="majorHAnsi" w:hAnsiTheme="majorHAnsi"/>
          <w:sz w:val="20"/>
        </w:rPr>
        <w:t xml:space="preserve">No payment, gifts, or remuneration </w:t>
      </w:r>
      <w:r w:rsidR="0051290A">
        <w:rPr>
          <w:rFonts w:asciiTheme="majorHAnsi" w:hAnsiTheme="majorHAnsi"/>
          <w:sz w:val="20"/>
        </w:rPr>
        <w:t>are</w:t>
      </w:r>
      <w:r w:rsidRPr="00445B58">
        <w:rPr>
          <w:rFonts w:asciiTheme="majorHAnsi" w:hAnsiTheme="majorHAnsi"/>
          <w:sz w:val="20"/>
        </w:rPr>
        <w:t xml:space="preserve"> provided for</w:t>
      </w:r>
      <w:r w:rsidR="0051290A">
        <w:rPr>
          <w:rFonts w:asciiTheme="majorHAnsi" w:hAnsiTheme="majorHAnsi"/>
          <w:sz w:val="20"/>
        </w:rPr>
        <w:t xml:space="preserve"> this collection.</w:t>
      </w:r>
      <w:r w:rsidRPr="00445B58">
        <w:rPr>
          <w:rFonts w:asciiTheme="majorHAnsi" w:hAnsiTheme="majorHAnsi"/>
          <w:sz w:val="20"/>
        </w:rPr>
        <w:t xml:space="preserve">  </w:t>
      </w:r>
    </w:p>
    <w:p w:rsidR="00C22DD8" w:rsidRPr="00C22DD8" w:rsidRDefault="00C22DD8" w:rsidP="00C22DD8">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rFonts w:asciiTheme="majorHAnsi" w:hAnsiTheme="majorHAnsi"/>
          <w:sz w:val="20"/>
        </w:rPr>
      </w:pPr>
    </w:p>
    <w:p w:rsidR="007D55EF" w:rsidRPr="00445B58" w:rsidRDefault="007D55EF" w:rsidP="007D55EF">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 xml:space="preserve"> Confidentiality </w:t>
      </w:r>
    </w:p>
    <w:p w:rsidR="00852737" w:rsidRPr="00445B58" w:rsidRDefault="00852737" w:rsidP="00DF582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rPr>
          <w:rFonts w:asciiTheme="majorHAnsi" w:hAnsiTheme="majorHAnsi"/>
          <w:sz w:val="20"/>
          <w:szCs w:val="20"/>
        </w:rPr>
      </w:pPr>
      <w:r w:rsidRPr="00445B58">
        <w:rPr>
          <w:rFonts w:asciiTheme="majorHAnsi" w:hAnsiTheme="majorHAnsi"/>
          <w:sz w:val="20"/>
          <w:szCs w:val="20"/>
        </w:rPr>
        <w:t>While the regulation does not have an express assurance of confidentiality, the request for approval, like all credit union data</w:t>
      </w:r>
      <w:r w:rsidR="00DF582D">
        <w:rPr>
          <w:rFonts w:asciiTheme="majorHAnsi" w:hAnsiTheme="majorHAnsi"/>
          <w:sz w:val="20"/>
          <w:szCs w:val="20"/>
        </w:rPr>
        <w:t>,</w:t>
      </w:r>
      <w:r w:rsidRPr="00445B58">
        <w:rPr>
          <w:rFonts w:asciiTheme="majorHAnsi" w:hAnsiTheme="majorHAnsi"/>
          <w:sz w:val="20"/>
          <w:szCs w:val="20"/>
        </w:rPr>
        <w:t xml:space="preserve"> </w:t>
      </w:r>
      <w:r w:rsidR="0051290A">
        <w:rPr>
          <w:rFonts w:asciiTheme="majorHAnsi" w:hAnsiTheme="majorHAnsi"/>
          <w:sz w:val="20"/>
          <w:szCs w:val="20"/>
        </w:rPr>
        <w:t xml:space="preserve">is not </w:t>
      </w:r>
      <w:r w:rsidRPr="00445B58">
        <w:rPr>
          <w:rFonts w:asciiTheme="majorHAnsi" w:hAnsiTheme="majorHAnsi"/>
          <w:sz w:val="20"/>
          <w:szCs w:val="20"/>
        </w:rPr>
        <w:t xml:space="preserve">available to the public if exempt under NCUA Freedom of Information Act regulation, 12 CFR Part 792. </w:t>
      </w:r>
    </w:p>
    <w:p w:rsidR="007D55EF" w:rsidRPr="00445B58" w:rsidRDefault="007D55EF" w:rsidP="007D55EF">
      <w:pPr>
        <w:pStyle w:val="ListParagraph"/>
        <w:numPr>
          <w:ilvl w:val="0"/>
          <w:numId w:val="3"/>
        </w:numPr>
        <w:spacing w:after="0" w:line="240" w:lineRule="auto"/>
        <w:ind w:left="0"/>
        <w:rPr>
          <w:rFonts w:asciiTheme="majorHAnsi" w:hAnsiTheme="majorHAnsi"/>
          <w:b/>
          <w:sz w:val="20"/>
        </w:rPr>
      </w:pPr>
      <w:r w:rsidRPr="00445B58">
        <w:rPr>
          <w:rFonts w:asciiTheme="majorHAnsi" w:hAnsiTheme="majorHAnsi"/>
          <w:b/>
          <w:sz w:val="20"/>
        </w:rPr>
        <w:t>Sensitive Questions</w:t>
      </w:r>
    </w:p>
    <w:p w:rsidR="00311AD2" w:rsidRDefault="007D55EF" w:rsidP="00D45FF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heme="majorHAnsi" w:hAnsiTheme="majorHAnsi"/>
          <w:sz w:val="20"/>
          <w:szCs w:val="20"/>
        </w:rPr>
      </w:pPr>
      <w:r w:rsidRPr="00445B58">
        <w:rPr>
          <w:rFonts w:asciiTheme="majorHAnsi" w:hAnsiTheme="majorHAnsi"/>
          <w:sz w:val="20"/>
        </w:rPr>
        <w:tab/>
      </w:r>
      <w:r w:rsidRPr="00445B58">
        <w:rPr>
          <w:rFonts w:asciiTheme="majorHAnsi" w:hAnsiTheme="majorHAnsi"/>
          <w:spacing w:val="-3"/>
          <w:sz w:val="20"/>
          <w:szCs w:val="20"/>
        </w:rPr>
        <w:t xml:space="preserve">No questions of a sensitive nature are asked.  </w:t>
      </w:r>
      <w:r w:rsidRPr="00445B58">
        <w:rPr>
          <w:rFonts w:asciiTheme="majorHAnsi" w:hAnsiTheme="majorHAnsi"/>
          <w:sz w:val="20"/>
          <w:szCs w:val="20"/>
        </w:rPr>
        <w:t>The information collection does not collect any Personally Identifiable Information (PII).</w:t>
      </w:r>
    </w:p>
    <w:p w:rsidR="00D45FF7" w:rsidRPr="00D45FF7" w:rsidRDefault="00D45FF7" w:rsidP="00D45FF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heme="majorHAnsi" w:hAnsiTheme="majorHAnsi"/>
          <w:bCs/>
          <w:i/>
          <w:sz w:val="20"/>
          <w:szCs w:val="20"/>
        </w:rPr>
      </w:pPr>
    </w:p>
    <w:p w:rsidR="007D55EF"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Burden of Information Collection</w:t>
      </w:r>
    </w:p>
    <w:p w:rsidR="000E451B" w:rsidRPr="00DF582D" w:rsidRDefault="000E451B" w:rsidP="000E451B">
      <w:pPr>
        <w:spacing w:after="0" w:line="240" w:lineRule="auto"/>
        <w:rPr>
          <w:rFonts w:asciiTheme="majorHAnsi" w:hAnsiTheme="majorHAnsi"/>
          <w:bCs/>
          <w:sz w:val="20"/>
          <w:szCs w:val="20"/>
        </w:rPr>
      </w:pPr>
      <w:r w:rsidRPr="00DF582D">
        <w:rPr>
          <w:rFonts w:asciiTheme="majorHAnsi" w:hAnsiTheme="majorHAnsi"/>
          <w:sz w:val="20"/>
          <w:szCs w:val="20"/>
        </w:rPr>
        <w:t xml:space="preserve">NCUA estimates the information listed below by asset size for a credit union to complete the </w:t>
      </w:r>
      <w:r w:rsidR="00EF070F" w:rsidRPr="00DF582D">
        <w:rPr>
          <w:rFonts w:asciiTheme="majorHAnsi" w:hAnsiTheme="majorHAnsi"/>
          <w:bCs/>
          <w:sz w:val="20"/>
          <w:szCs w:val="20"/>
        </w:rPr>
        <w:t>requirements</w:t>
      </w:r>
      <w:r w:rsidR="00C22DD8" w:rsidRPr="00DF582D">
        <w:rPr>
          <w:rFonts w:asciiTheme="majorHAnsi" w:hAnsiTheme="majorHAnsi"/>
          <w:bCs/>
          <w:sz w:val="20"/>
          <w:szCs w:val="20"/>
        </w:rPr>
        <w:t xml:space="preserve"> of 12 C.F.R</w:t>
      </w:r>
      <w:r w:rsidR="00EF070F" w:rsidRPr="00DF582D">
        <w:rPr>
          <w:rFonts w:asciiTheme="majorHAnsi" w:hAnsiTheme="majorHAnsi"/>
          <w:bCs/>
          <w:sz w:val="20"/>
          <w:szCs w:val="20"/>
        </w:rPr>
        <w:t>.</w:t>
      </w:r>
      <w:r w:rsidR="00C22DD8" w:rsidRPr="00DF582D">
        <w:rPr>
          <w:rFonts w:asciiTheme="majorHAnsi" w:hAnsiTheme="majorHAnsi"/>
          <w:bCs/>
          <w:sz w:val="20"/>
          <w:szCs w:val="20"/>
        </w:rPr>
        <w:t xml:space="preserve"> §741.12 Liquidity and Contingency Funding Plans. </w:t>
      </w:r>
      <w:r w:rsidR="00EF070F" w:rsidRPr="00DF582D">
        <w:rPr>
          <w:rFonts w:asciiTheme="majorHAnsi" w:hAnsiTheme="majorHAnsi"/>
          <w:bCs/>
          <w:sz w:val="20"/>
          <w:szCs w:val="20"/>
        </w:rPr>
        <w:t xml:space="preserve"> These estimates include time to gather and maintain data in the required form, review instructions, and complete the information collection. </w:t>
      </w:r>
    </w:p>
    <w:p w:rsidR="00D310E3" w:rsidRPr="00DF582D" w:rsidRDefault="00D310E3" w:rsidP="000E451B">
      <w:pPr>
        <w:spacing w:after="0" w:line="240" w:lineRule="auto"/>
        <w:rPr>
          <w:rFonts w:asciiTheme="majorHAnsi" w:hAnsiTheme="majorHAnsi"/>
          <w:bCs/>
          <w:sz w:val="20"/>
          <w:szCs w:val="20"/>
        </w:rPr>
      </w:pPr>
    </w:p>
    <w:p w:rsidR="00D310E3" w:rsidRPr="00DF582D" w:rsidRDefault="00D310E3" w:rsidP="000E451B">
      <w:pPr>
        <w:spacing w:after="0" w:line="240" w:lineRule="auto"/>
        <w:rPr>
          <w:rFonts w:asciiTheme="majorHAnsi" w:hAnsiTheme="majorHAnsi"/>
          <w:bCs/>
          <w:sz w:val="20"/>
          <w:szCs w:val="20"/>
        </w:rPr>
      </w:pPr>
      <w:r w:rsidRPr="00DF582D">
        <w:rPr>
          <w:rFonts w:asciiTheme="majorHAnsi" w:hAnsiTheme="majorHAnsi"/>
          <w:bCs/>
          <w:sz w:val="20"/>
          <w:szCs w:val="20"/>
        </w:rPr>
        <w:t xml:space="preserve">The information outlined below includes </w:t>
      </w:r>
      <w:r w:rsidR="005D260D" w:rsidRPr="00DF582D">
        <w:rPr>
          <w:rFonts w:asciiTheme="majorHAnsi" w:hAnsiTheme="majorHAnsi"/>
          <w:bCs/>
          <w:sz w:val="20"/>
          <w:szCs w:val="20"/>
        </w:rPr>
        <w:t>July 31</w:t>
      </w:r>
      <w:r w:rsidRPr="00DF582D">
        <w:rPr>
          <w:rFonts w:asciiTheme="majorHAnsi" w:hAnsiTheme="majorHAnsi"/>
          <w:bCs/>
          <w:sz w:val="20"/>
          <w:szCs w:val="20"/>
        </w:rPr>
        <w:t xml:space="preserve">, 2014 statistics. </w:t>
      </w:r>
    </w:p>
    <w:p w:rsidR="00EF070F" w:rsidRPr="00DF582D" w:rsidRDefault="00EF070F" w:rsidP="000E451B">
      <w:pPr>
        <w:spacing w:after="0" w:line="240" w:lineRule="auto"/>
        <w:rPr>
          <w:rFonts w:asciiTheme="majorHAnsi" w:hAnsiTheme="majorHAnsi"/>
          <w:bCs/>
          <w:sz w:val="20"/>
          <w:szCs w:val="20"/>
        </w:rPr>
      </w:pPr>
    </w:p>
    <w:p w:rsidR="00C86553" w:rsidRPr="00DF582D" w:rsidRDefault="00C86553" w:rsidP="00C86553">
      <w:pPr>
        <w:pStyle w:val="ListParagraph"/>
        <w:spacing w:after="0" w:line="240" w:lineRule="auto"/>
        <w:ind w:left="0"/>
        <w:rPr>
          <w:rFonts w:asciiTheme="majorHAnsi" w:hAnsiTheme="majorHAnsi"/>
          <w:sz w:val="20"/>
          <w:szCs w:val="20"/>
        </w:rPr>
      </w:pPr>
    </w:p>
    <w:p w:rsidR="00311AD2" w:rsidRPr="00DF582D" w:rsidRDefault="007D55EF" w:rsidP="00311AD2">
      <w:pPr>
        <w:tabs>
          <w:tab w:val="left" w:pos="-1440"/>
        </w:tabs>
        <w:ind w:left="720" w:hanging="720"/>
        <w:rPr>
          <w:rFonts w:asciiTheme="majorHAnsi" w:eastAsia="Times New Roman" w:hAnsiTheme="majorHAnsi"/>
          <w:sz w:val="20"/>
          <w:szCs w:val="20"/>
        </w:rPr>
      </w:pPr>
      <w:r w:rsidRPr="00DF582D">
        <w:rPr>
          <w:rFonts w:asciiTheme="majorHAnsi" w:hAnsiTheme="majorHAnsi"/>
          <w:sz w:val="20"/>
          <w:szCs w:val="20"/>
        </w:rPr>
        <w:tab/>
      </w:r>
      <w:r w:rsidR="00311AD2" w:rsidRPr="00DF582D">
        <w:rPr>
          <w:rFonts w:asciiTheme="majorHAnsi" w:eastAsia="Times New Roman" w:hAnsiTheme="majorHAnsi"/>
          <w:sz w:val="20"/>
          <w:szCs w:val="20"/>
          <w:u w:val="single"/>
        </w:rPr>
        <w:t>Affected public</w:t>
      </w:r>
      <w:r w:rsidR="00311AD2" w:rsidRPr="00DF582D">
        <w:rPr>
          <w:rFonts w:asciiTheme="majorHAnsi" w:eastAsia="Times New Roman" w:hAnsiTheme="majorHAnsi"/>
          <w:sz w:val="20"/>
          <w:szCs w:val="20"/>
        </w:rPr>
        <w:t>:  Federally insured credit unions.</w:t>
      </w:r>
    </w:p>
    <w:p w:rsidR="00311AD2" w:rsidRPr="00DF582D" w:rsidRDefault="00311AD2" w:rsidP="00311AD2">
      <w:pPr>
        <w:widowControl w:val="0"/>
        <w:snapToGrid w:val="0"/>
        <w:spacing w:after="0" w:line="240" w:lineRule="auto"/>
        <w:rPr>
          <w:rFonts w:asciiTheme="majorHAnsi" w:eastAsia="Times New Roman" w:hAnsiTheme="majorHAnsi"/>
          <w:sz w:val="20"/>
          <w:szCs w:val="20"/>
        </w:rPr>
      </w:pPr>
    </w:p>
    <w:p w:rsidR="00311AD2" w:rsidRPr="00DF582D" w:rsidRDefault="00311AD2" w:rsidP="00311AD2">
      <w:pPr>
        <w:widowControl w:val="0"/>
        <w:snapToGrid w:val="0"/>
        <w:spacing w:after="0" w:line="240" w:lineRule="auto"/>
        <w:ind w:firstLine="720"/>
        <w:rPr>
          <w:rFonts w:asciiTheme="majorHAnsi" w:eastAsia="Times New Roman" w:hAnsiTheme="majorHAnsi"/>
          <w:bCs/>
          <w:sz w:val="20"/>
          <w:szCs w:val="20"/>
        </w:rPr>
      </w:pPr>
      <w:r w:rsidRPr="00DF582D">
        <w:rPr>
          <w:rFonts w:asciiTheme="majorHAnsi" w:eastAsia="Times New Roman" w:hAnsiTheme="majorHAnsi"/>
          <w:sz w:val="20"/>
          <w:szCs w:val="20"/>
          <w:u w:val="single"/>
        </w:rPr>
        <w:t>Number of respondents</w:t>
      </w:r>
      <w:r w:rsidRPr="00DF582D">
        <w:rPr>
          <w:rFonts w:asciiTheme="majorHAnsi" w:eastAsia="Times New Roman" w:hAnsiTheme="majorHAnsi"/>
          <w:sz w:val="20"/>
          <w:szCs w:val="20"/>
        </w:rPr>
        <w:t xml:space="preserve">:  </w:t>
      </w:r>
      <w:r w:rsidR="005D260D" w:rsidRPr="00DF582D">
        <w:rPr>
          <w:rFonts w:asciiTheme="majorHAnsi" w:eastAsia="Times New Roman" w:hAnsiTheme="majorHAnsi"/>
          <w:bCs/>
          <w:sz w:val="20"/>
          <w:szCs w:val="20"/>
        </w:rPr>
        <w:t>6,468</w:t>
      </w:r>
      <w:r w:rsidRPr="00DF582D">
        <w:rPr>
          <w:rFonts w:asciiTheme="majorHAnsi" w:eastAsia="Times New Roman" w:hAnsiTheme="majorHAnsi"/>
          <w:bCs/>
          <w:sz w:val="20"/>
          <w:szCs w:val="20"/>
        </w:rPr>
        <w:t xml:space="preserve"> total (</w:t>
      </w:r>
      <w:r w:rsidR="00B54DA4" w:rsidRPr="00DF582D">
        <w:rPr>
          <w:rFonts w:asciiTheme="majorHAnsi" w:eastAsia="Times New Roman" w:hAnsiTheme="majorHAnsi"/>
          <w:bCs/>
          <w:sz w:val="20"/>
          <w:szCs w:val="20"/>
        </w:rPr>
        <w:t>786</w:t>
      </w:r>
      <w:r w:rsidRPr="00DF582D">
        <w:rPr>
          <w:rFonts w:asciiTheme="majorHAnsi" w:eastAsia="Times New Roman" w:hAnsiTheme="majorHAnsi"/>
          <w:bCs/>
          <w:sz w:val="20"/>
          <w:szCs w:val="20"/>
        </w:rPr>
        <w:t xml:space="preserve"> large credit unions </w:t>
      </w:r>
      <w:r w:rsidR="00B54DA4" w:rsidRPr="00DF582D">
        <w:rPr>
          <w:rFonts w:asciiTheme="majorHAnsi" w:eastAsia="Times New Roman" w:hAnsiTheme="majorHAnsi"/>
          <w:bCs/>
          <w:sz w:val="20"/>
          <w:szCs w:val="20"/>
        </w:rPr>
        <w:t>&gt; $250million</w:t>
      </w:r>
      <w:r w:rsidRPr="00DF582D">
        <w:rPr>
          <w:rFonts w:asciiTheme="majorHAnsi" w:eastAsia="Times New Roman" w:hAnsiTheme="majorHAnsi"/>
          <w:bCs/>
          <w:sz w:val="20"/>
          <w:szCs w:val="20"/>
        </w:rPr>
        <w:t xml:space="preserve">), </w:t>
      </w:r>
      <w:r w:rsidR="00B54DA4" w:rsidRPr="00DF582D">
        <w:rPr>
          <w:rFonts w:asciiTheme="majorHAnsi" w:eastAsia="Times New Roman" w:hAnsiTheme="majorHAnsi"/>
          <w:bCs/>
          <w:sz w:val="20"/>
          <w:szCs w:val="20"/>
        </w:rPr>
        <w:t>1,458</w:t>
      </w:r>
      <w:r w:rsidRPr="00DF582D">
        <w:rPr>
          <w:rFonts w:asciiTheme="majorHAnsi" w:eastAsia="Times New Roman" w:hAnsiTheme="majorHAnsi"/>
          <w:bCs/>
          <w:sz w:val="20"/>
          <w:szCs w:val="20"/>
        </w:rPr>
        <w:t xml:space="preserve"> mid-sized institutions ($</w:t>
      </w:r>
      <w:r w:rsidR="00B54DA4" w:rsidRPr="00DF582D">
        <w:rPr>
          <w:rFonts w:asciiTheme="majorHAnsi" w:eastAsia="Times New Roman" w:hAnsiTheme="majorHAnsi"/>
          <w:bCs/>
          <w:sz w:val="20"/>
          <w:szCs w:val="20"/>
        </w:rPr>
        <w:t>50 million to $250 million</w:t>
      </w:r>
      <w:r w:rsidRPr="00DF582D">
        <w:rPr>
          <w:rFonts w:asciiTheme="majorHAnsi" w:eastAsia="Times New Roman" w:hAnsiTheme="majorHAnsi"/>
          <w:bCs/>
          <w:sz w:val="20"/>
          <w:szCs w:val="20"/>
        </w:rPr>
        <w:t xml:space="preserve">), and </w:t>
      </w:r>
      <w:r w:rsidR="00B54DA4" w:rsidRPr="00DF582D">
        <w:rPr>
          <w:rFonts w:asciiTheme="majorHAnsi" w:eastAsia="Times New Roman" w:hAnsiTheme="majorHAnsi"/>
          <w:bCs/>
          <w:sz w:val="20"/>
          <w:szCs w:val="20"/>
        </w:rPr>
        <w:t>4,224 (less than $</w:t>
      </w:r>
      <w:r w:rsidRPr="00DF582D">
        <w:rPr>
          <w:rFonts w:asciiTheme="majorHAnsi" w:eastAsia="Times New Roman" w:hAnsiTheme="majorHAnsi"/>
          <w:bCs/>
          <w:sz w:val="20"/>
          <w:szCs w:val="20"/>
        </w:rPr>
        <w:t xml:space="preserve">50 million). </w:t>
      </w:r>
    </w:p>
    <w:p w:rsidR="00311AD2" w:rsidRPr="00DF582D" w:rsidRDefault="00311AD2" w:rsidP="00311AD2">
      <w:pPr>
        <w:widowControl w:val="0"/>
        <w:snapToGrid w:val="0"/>
        <w:spacing w:after="0" w:line="240" w:lineRule="auto"/>
        <w:ind w:firstLine="720"/>
        <w:rPr>
          <w:rFonts w:asciiTheme="majorHAnsi" w:eastAsia="Times New Roman" w:hAnsiTheme="majorHAnsi"/>
          <w:bCs/>
          <w:sz w:val="20"/>
          <w:szCs w:val="20"/>
        </w:rPr>
      </w:pPr>
    </w:p>
    <w:p w:rsidR="00311AD2" w:rsidRPr="00DF582D" w:rsidRDefault="00311AD2" w:rsidP="00311AD2">
      <w:pPr>
        <w:widowControl w:val="0"/>
        <w:snapToGrid w:val="0"/>
        <w:spacing w:after="0" w:line="240" w:lineRule="auto"/>
        <w:ind w:firstLine="720"/>
        <w:rPr>
          <w:rFonts w:asciiTheme="majorHAnsi" w:eastAsia="Times New Roman" w:hAnsiTheme="majorHAnsi"/>
          <w:bCs/>
          <w:sz w:val="20"/>
          <w:szCs w:val="20"/>
        </w:rPr>
      </w:pPr>
      <w:proofErr w:type="gramStart"/>
      <w:r w:rsidRPr="00DF582D">
        <w:rPr>
          <w:rFonts w:asciiTheme="majorHAnsi" w:eastAsia="Times New Roman" w:hAnsiTheme="majorHAnsi"/>
          <w:sz w:val="20"/>
          <w:szCs w:val="20"/>
          <w:u w:val="single"/>
        </w:rPr>
        <w:t>Burden under section 14</w:t>
      </w:r>
      <w:r w:rsidRPr="00DF582D">
        <w:rPr>
          <w:rFonts w:asciiTheme="majorHAnsi" w:eastAsia="Times New Roman" w:hAnsiTheme="majorHAnsi"/>
          <w:sz w:val="20"/>
          <w:szCs w:val="20"/>
        </w:rPr>
        <w:t xml:space="preserve">: </w:t>
      </w:r>
      <w:r w:rsidR="00607D3B" w:rsidRPr="00DF582D">
        <w:rPr>
          <w:rFonts w:asciiTheme="majorHAnsi" w:eastAsia="Times New Roman" w:hAnsiTheme="majorHAnsi"/>
          <w:bCs/>
          <w:sz w:val="20"/>
          <w:szCs w:val="20"/>
        </w:rPr>
        <w:t>1.5</w:t>
      </w:r>
      <w:r w:rsidRPr="00DF582D">
        <w:rPr>
          <w:rFonts w:asciiTheme="majorHAnsi" w:eastAsia="Times New Roman" w:hAnsiTheme="majorHAnsi"/>
          <w:bCs/>
          <w:sz w:val="20"/>
          <w:szCs w:val="20"/>
        </w:rPr>
        <w:t xml:space="preserve"> hours per large respondent, </w:t>
      </w:r>
      <w:r w:rsidR="00607D3B" w:rsidRPr="00DF582D">
        <w:rPr>
          <w:rFonts w:asciiTheme="majorHAnsi" w:eastAsia="Times New Roman" w:hAnsiTheme="majorHAnsi"/>
          <w:bCs/>
          <w:sz w:val="20"/>
          <w:szCs w:val="20"/>
        </w:rPr>
        <w:t xml:space="preserve">1 </w:t>
      </w:r>
      <w:r w:rsidRPr="00DF582D">
        <w:rPr>
          <w:rFonts w:asciiTheme="majorHAnsi" w:eastAsia="Times New Roman" w:hAnsiTheme="majorHAnsi"/>
          <w:bCs/>
          <w:sz w:val="20"/>
          <w:szCs w:val="20"/>
        </w:rPr>
        <w:t>hour per mid-size respondent, and</w:t>
      </w:r>
      <w:r w:rsidR="00607D3B" w:rsidRPr="00DF582D">
        <w:rPr>
          <w:rFonts w:asciiTheme="majorHAnsi" w:eastAsia="Times New Roman" w:hAnsiTheme="majorHAnsi"/>
          <w:bCs/>
          <w:sz w:val="20"/>
          <w:szCs w:val="20"/>
        </w:rPr>
        <w:t xml:space="preserve"> a</w:t>
      </w:r>
      <w:r w:rsidRPr="00DF582D">
        <w:rPr>
          <w:rFonts w:asciiTheme="majorHAnsi" w:eastAsia="Times New Roman" w:hAnsiTheme="majorHAnsi"/>
          <w:bCs/>
          <w:sz w:val="20"/>
          <w:szCs w:val="20"/>
        </w:rPr>
        <w:t xml:space="preserve"> </w:t>
      </w:r>
      <w:r w:rsidR="00607D3B" w:rsidRPr="00DF582D">
        <w:rPr>
          <w:rFonts w:asciiTheme="majorHAnsi" w:eastAsia="Times New Roman" w:hAnsiTheme="majorHAnsi"/>
          <w:bCs/>
          <w:sz w:val="20"/>
          <w:szCs w:val="20"/>
        </w:rPr>
        <w:t>0.5 hour</w:t>
      </w:r>
      <w:r w:rsidRPr="00DF582D">
        <w:rPr>
          <w:rFonts w:asciiTheme="majorHAnsi" w:eastAsia="Times New Roman" w:hAnsiTheme="majorHAnsi"/>
          <w:bCs/>
          <w:sz w:val="20"/>
          <w:szCs w:val="20"/>
        </w:rPr>
        <w:t xml:space="preserve"> per small respondent.</w:t>
      </w:r>
      <w:proofErr w:type="gramEnd"/>
    </w:p>
    <w:p w:rsidR="00311AD2" w:rsidRPr="00DF582D" w:rsidRDefault="00311AD2" w:rsidP="00311AD2">
      <w:pPr>
        <w:widowControl w:val="0"/>
        <w:snapToGrid w:val="0"/>
        <w:spacing w:after="0" w:line="240" w:lineRule="auto"/>
        <w:rPr>
          <w:rFonts w:asciiTheme="majorHAnsi" w:eastAsia="Times New Roman" w:hAnsiTheme="majorHAnsi"/>
          <w:bCs/>
          <w:sz w:val="20"/>
          <w:szCs w:val="20"/>
          <w:highlight w:val="yellow"/>
        </w:rPr>
      </w:pPr>
    </w:p>
    <w:p w:rsidR="00311AD2" w:rsidRPr="00DF582D" w:rsidRDefault="00311AD2" w:rsidP="00311AD2">
      <w:pPr>
        <w:widowControl w:val="0"/>
        <w:snapToGrid w:val="0"/>
        <w:spacing w:after="0" w:line="240" w:lineRule="auto"/>
        <w:rPr>
          <w:rFonts w:asciiTheme="majorHAnsi" w:eastAsia="Times New Roman" w:hAnsiTheme="majorHAnsi"/>
          <w:bCs/>
          <w:sz w:val="20"/>
          <w:szCs w:val="20"/>
        </w:rPr>
      </w:pPr>
      <w:r w:rsidRPr="00DF582D">
        <w:rPr>
          <w:rFonts w:asciiTheme="majorHAnsi" w:eastAsia="Times New Roman" w:hAnsiTheme="majorHAnsi"/>
          <w:bCs/>
          <w:sz w:val="20"/>
          <w:szCs w:val="20"/>
        </w:rPr>
        <w:t xml:space="preserve">Large respondents: </w:t>
      </w:r>
      <w:r w:rsidRPr="00DF582D">
        <w:rPr>
          <w:rFonts w:asciiTheme="majorHAnsi" w:eastAsia="Times New Roman" w:hAnsiTheme="majorHAnsi"/>
          <w:bCs/>
          <w:sz w:val="20"/>
          <w:szCs w:val="20"/>
        </w:rPr>
        <w:tab/>
      </w:r>
      <w:r w:rsidRPr="00DF582D">
        <w:rPr>
          <w:rFonts w:asciiTheme="majorHAnsi" w:eastAsia="Times New Roman" w:hAnsiTheme="majorHAnsi"/>
          <w:bCs/>
          <w:sz w:val="20"/>
          <w:szCs w:val="20"/>
        </w:rPr>
        <w:tab/>
      </w:r>
      <w:r w:rsidRPr="00DF582D">
        <w:rPr>
          <w:rFonts w:asciiTheme="majorHAnsi" w:eastAsia="Times New Roman" w:hAnsiTheme="majorHAnsi"/>
          <w:bCs/>
          <w:sz w:val="20"/>
          <w:szCs w:val="20"/>
        </w:rPr>
        <w:tab/>
        <w:t>(</w:t>
      </w:r>
      <w:r w:rsidR="00607D3B" w:rsidRPr="00DF582D">
        <w:rPr>
          <w:rFonts w:asciiTheme="majorHAnsi" w:eastAsia="Times New Roman" w:hAnsiTheme="majorHAnsi"/>
          <w:bCs/>
          <w:sz w:val="20"/>
          <w:szCs w:val="20"/>
        </w:rPr>
        <w:t>1.5</w:t>
      </w:r>
      <w:r w:rsidRPr="00DF582D">
        <w:rPr>
          <w:rFonts w:asciiTheme="majorHAnsi" w:eastAsia="Times New Roman" w:hAnsiTheme="majorHAnsi"/>
          <w:bCs/>
          <w:sz w:val="20"/>
          <w:szCs w:val="20"/>
        </w:rPr>
        <w:t xml:space="preserve"> hours x </w:t>
      </w:r>
      <w:r w:rsidR="00B54DA4" w:rsidRPr="00DF582D">
        <w:rPr>
          <w:rFonts w:asciiTheme="majorHAnsi" w:eastAsia="Times New Roman" w:hAnsiTheme="majorHAnsi"/>
          <w:bCs/>
          <w:sz w:val="20"/>
          <w:szCs w:val="20"/>
        </w:rPr>
        <w:t>786</w:t>
      </w:r>
      <w:r w:rsidRPr="00DF582D">
        <w:rPr>
          <w:rFonts w:asciiTheme="majorHAnsi" w:eastAsia="Times New Roman" w:hAnsiTheme="majorHAnsi"/>
          <w:bCs/>
          <w:sz w:val="20"/>
          <w:szCs w:val="20"/>
        </w:rPr>
        <w:t xml:space="preserve"> respondents = </w:t>
      </w:r>
      <w:r w:rsidR="00607D3B" w:rsidRPr="00DF582D">
        <w:rPr>
          <w:rFonts w:asciiTheme="majorHAnsi" w:eastAsia="Times New Roman" w:hAnsiTheme="majorHAnsi"/>
          <w:bCs/>
          <w:sz w:val="20"/>
          <w:szCs w:val="20"/>
        </w:rPr>
        <w:t>1,179</w:t>
      </w:r>
      <w:r w:rsidR="00DF582D">
        <w:rPr>
          <w:rFonts w:asciiTheme="majorHAnsi" w:eastAsia="Times New Roman" w:hAnsiTheme="majorHAnsi"/>
          <w:bCs/>
          <w:sz w:val="20"/>
          <w:szCs w:val="20"/>
        </w:rPr>
        <w:t xml:space="preserve"> </w:t>
      </w:r>
      <w:r w:rsidRPr="00DF582D">
        <w:rPr>
          <w:rFonts w:asciiTheme="majorHAnsi" w:eastAsia="Times New Roman" w:hAnsiTheme="majorHAnsi"/>
          <w:bCs/>
          <w:sz w:val="20"/>
          <w:szCs w:val="20"/>
        </w:rPr>
        <w:t>hours)</w:t>
      </w:r>
    </w:p>
    <w:p w:rsidR="00311AD2" w:rsidRPr="00DF582D" w:rsidRDefault="00311AD2" w:rsidP="00311AD2">
      <w:pPr>
        <w:widowControl w:val="0"/>
        <w:snapToGrid w:val="0"/>
        <w:spacing w:after="0" w:line="240" w:lineRule="auto"/>
        <w:rPr>
          <w:rFonts w:asciiTheme="majorHAnsi" w:eastAsia="Times New Roman" w:hAnsiTheme="majorHAnsi"/>
          <w:bCs/>
          <w:sz w:val="20"/>
          <w:szCs w:val="20"/>
        </w:rPr>
      </w:pPr>
      <w:r w:rsidRPr="00DF582D">
        <w:rPr>
          <w:rFonts w:asciiTheme="majorHAnsi" w:eastAsia="Times New Roman" w:hAnsiTheme="majorHAnsi"/>
          <w:bCs/>
          <w:sz w:val="20"/>
          <w:szCs w:val="20"/>
        </w:rPr>
        <w:t>Mid-siz</w:t>
      </w:r>
      <w:r w:rsidR="006B7900" w:rsidRPr="00DF582D">
        <w:rPr>
          <w:rFonts w:asciiTheme="majorHAnsi" w:eastAsia="Times New Roman" w:hAnsiTheme="majorHAnsi"/>
          <w:bCs/>
          <w:sz w:val="20"/>
          <w:szCs w:val="20"/>
        </w:rPr>
        <w:t>e respondents:</w:t>
      </w:r>
      <w:r w:rsidR="006B7900" w:rsidRPr="00DF582D">
        <w:rPr>
          <w:rFonts w:asciiTheme="majorHAnsi" w:eastAsia="Times New Roman" w:hAnsiTheme="majorHAnsi"/>
          <w:bCs/>
          <w:sz w:val="20"/>
          <w:szCs w:val="20"/>
        </w:rPr>
        <w:tab/>
      </w:r>
      <w:r w:rsidR="006B7900" w:rsidRPr="00DF582D">
        <w:rPr>
          <w:rFonts w:asciiTheme="majorHAnsi" w:eastAsia="Times New Roman" w:hAnsiTheme="majorHAnsi"/>
          <w:bCs/>
          <w:sz w:val="20"/>
          <w:szCs w:val="20"/>
        </w:rPr>
        <w:tab/>
      </w:r>
      <w:r w:rsidR="006B7900" w:rsidRPr="00DF582D">
        <w:rPr>
          <w:rFonts w:asciiTheme="majorHAnsi" w:eastAsia="Times New Roman" w:hAnsiTheme="majorHAnsi"/>
          <w:bCs/>
          <w:sz w:val="20"/>
          <w:szCs w:val="20"/>
        </w:rPr>
        <w:tab/>
        <w:t>(</w:t>
      </w:r>
      <w:r w:rsidR="00607D3B" w:rsidRPr="00DF582D">
        <w:rPr>
          <w:rFonts w:asciiTheme="majorHAnsi" w:eastAsia="Times New Roman" w:hAnsiTheme="majorHAnsi"/>
          <w:bCs/>
          <w:sz w:val="20"/>
          <w:szCs w:val="20"/>
        </w:rPr>
        <w:t>1</w:t>
      </w:r>
      <w:r w:rsidR="006B7900" w:rsidRPr="00DF582D">
        <w:rPr>
          <w:rFonts w:asciiTheme="majorHAnsi" w:eastAsia="Times New Roman" w:hAnsiTheme="majorHAnsi"/>
          <w:bCs/>
          <w:sz w:val="20"/>
          <w:szCs w:val="20"/>
        </w:rPr>
        <w:t xml:space="preserve"> hours x </w:t>
      </w:r>
      <w:r w:rsidR="00B54DA4" w:rsidRPr="00DF582D">
        <w:rPr>
          <w:rFonts w:asciiTheme="majorHAnsi" w:eastAsia="Times New Roman" w:hAnsiTheme="majorHAnsi"/>
          <w:bCs/>
          <w:sz w:val="20"/>
          <w:szCs w:val="20"/>
        </w:rPr>
        <w:t>1,458</w:t>
      </w:r>
      <w:r w:rsidR="00DF582D">
        <w:rPr>
          <w:rFonts w:asciiTheme="majorHAnsi" w:eastAsia="Times New Roman" w:hAnsiTheme="majorHAnsi"/>
          <w:bCs/>
          <w:sz w:val="20"/>
          <w:szCs w:val="20"/>
        </w:rPr>
        <w:t xml:space="preserve"> </w:t>
      </w:r>
      <w:r w:rsidRPr="00DF582D">
        <w:rPr>
          <w:rFonts w:asciiTheme="majorHAnsi" w:eastAsia="Times New Roman" w:hAnsiTheme="majorHAnsi"/>
          <w:bCs/>
          <w:sz w:val="20"/>
          <w:szCs w:val="20"/>
        </w:rPr>
        <w:t xml:space="preserve">respondents= </w:t>
      </w:r>
      <w:r w:rsidR="00607D3B" w:rsidRPr="00DF582D">
        <w:rPr>
          <w:rFonts w:asciiTheme="majorHAnsi" w:eastAsia="Times New Roman" w:hAnsiTheme="majorHAnsi"/>
          <w:bCs/>
          <w:sz w:val="20"/>
          <w:szCs w:val="20"/>
        </w:rPr>
        <w:t>1,458</w:t>
      </w:r>
      <w:r w:rsidR="00DF582D">
        <w:rPr>
          <w:rFonts w:asciiTheme="majorHAnsi" w:eastAsia="Times New Roman" w:hAnsiTheme="majorHAnsi"/>
          <w:bCs/>
          <w:sz w:val="20"/>
          <w:szCs w:val="20"/>
        </w:rPr>
        <w:t xml:space="preserve"> </w:t>
      </w:r>
      <w:r w:rsidRPr="00DF582D">
        <w:rPr>
          <w:rFonts w:asciiTheme="majorHAnsi" w:eastAsia="Times New Roman" w:hAnsiTheme="majorHAnsi"/>
          <w:bCs/>
          <w:sz w:val="20"/>
          <w:szCs w:val="20"/>
        </w:rPr>
        <w:t>hours)</w:t>
      </w:r>
    </w:p>
    <w:p w:rsidR="00311AD2" w:rsidRPr="00DF582D" w:rsidRDefault="00311AD2" w:rsidP="00311AD2">
      <w:pPr>
        <w:widowControl w:val="0"/>
        <w:snapToGrid w:val="0"/>
        <w:spacing w:after="0" w:line="240" w:lineRule="auto"/>
        <w:rPr>
          <w:rFonts w:asciiTheme="majorHAnsi" w:eastAsia="Times New Roman" w:hAnsiTheme="majorHAnsi"/>
          <w:bCs/>
          <w:sz w:val="20"/>
          <w:szCs w:val="20"/>
        </w:rPr>
      </w:pPr>
      <w:r w:rsidRPr="00DF582D">
        <w:rPr>
          <w:rFonts w:asciiTheme="majorHAnsi" w:eastAsia="Times New Roman" w:hAnsiTheme="majorHAnsi"/>
          <w:bCs/>
          <w:sz w:val="20"/>
          <w:szCs w:val="20"/>
        </w:rPr>
        <w:t>Respondents less than</w:t>
      </w:r>
      <w:r w:rsidR="00B54DA4" w:rsidRPr="00DF582D">
        <w:rPr>
          <w:rFonts w:asciiTheme="majorHAnsi" w:eastAsia="Times New Roman" w:hAnsiTheme="majorHAnsi"/>
          <w:bCs/>
          <w:sz w:val="20"/>
          <w:szCs w:val="20"/>
        </w:rPr>
        <w:t xml:space="preserve"> $50 m</w:t>
      </w:r>
      <w:r w:rsidR="006B7900" w:rsidRPr="00DF582D">
        <w:rPr>
          <w:rFonts w:asciiTheme="majorHAnsi" w:eastAsia="Times New Roman" w:hAnsiTheme="majorHAnsi"/>
          <w:bCs/>
          <w:sz w:val="20"/>
          <w:szCs w:val="20"/>
        </w:rPr>
        <w:t>illion:</w:t>
      </w:r>
      <w:r w:rsidR="006B7900" w:rsidRPr="00DF582D">
        <w:rPr>
          <w:rFonts w:asciiTheme="majorHAnsi" w:eastAsia="Times New Roman" w:hAnsiTheme="majorHAnsi"/>
          <w:bCs/>
          <w:sz w:val="20"/>
          <w:szCs w:val="20"/>
        </w:rPr>
        <w:tab/>
        <w:t>(</w:t>
      </w:r>
      <w:r w:rsidR="00607D3B" w:rsidRPr="00DF582D">
        <w:rPr>
          <w:rFonts w:asciiTheme="majorHAnsi" w:eastAsia="Times New Roman" w:hAnsiTheme="majorHAnsi"/>
          <w:bCs/>
          <w:sz w:val="20"/>
          <w:szCs w:val="20"/>
        </w:rPr>
        <w:t>0.5</w:t>
      </w:r>
      <w:r w:rsidR="006B7900" w:rsidRPr="00DF582D">
        <w:rPr>
          <w:rFonts w:asciiTheme="majorHAnsi" w:eastAsia="Times New Roman" w:hAnsiTheme="majorHAnsi"/>
          <w:bCs/>
          <w:sz w:val="20"/>
          <w:szCs w:val="20"/>
        </w:rPr>
        <w:t xml:space="preserve"> hours x </w:t>
      </w:r>
      <w:r w:rsidR="00B54DA4" w:rsidRPr="00DF582D">
        <w:rPr>
          <w:rFonts w:asciiTheme="majorHAnsi" w:eastAsia="Times New Roman" w:hAnsiTheme="majorHAnsi"/>
          <w:bCs/>
          <w:sz w:val="20"/>
          <w:szCs w:val="20"/>
        </w:rPr>
        <w:t>4,224</w:t>
      </w:r>
      <w:r w:rsidRPr="00DF582D">
        <w:rPr>
          <w:rFonts w:asciiTheme="majorHAnsi" w:eastAsia="Times New Roman" w:hAnsiTheme="majorHAnsi"/>
          <w:bCs/>
          <w:sz w:val="20"/>
          <w:szCs w:val="20"/>
        </w:rPr>
        <w:t xml:space="preserve"> respondents=</w:t>
      </w:r>
      <w:r w:rsidR="006B7900" w:rsidRPr="00DF582D">
        <w:rPr>
          <w:rFonts w:asciiTheme="majorHAnsi" w:eastAsia="Times New Roman" w:hAnsiTheme="majorHAnsi"/>
          <w:bCs/>
          <w:sz w:val="20"/>
          <w:szCs w:val="20"/>
        </w:rPr>
        <w:t xml:space="preserve"> </w:t>
      </w:r>
      <w:r w:rsidR="00607D3B" w:rsidRPr="00DF582D">
        <w:rPr>
          <w:rFonts w:asciiTheme="majorHAnsi" w:eastAsia="Times New Roman" w:hAnsiTheme="majorHAnsi"/>
          <w:bCs/>
          <w:sz w:val="20"/>
          <w:szCs w:val="20"/>
        </w:rPr>
        <w:t>2,112</w:t>
      </w:r>
      <w:r w:rsidRPr="00DF582D">
        <w:rPr>
          <w:rFonts w:asciiTheme="majorHAnsi" w:eastAsia="Times New Roman" w:hAnsiTheme="majorHAnsi"/>
          <w:bCs/>
          <w:sz w:val="20"/>
          <w:szCs w:val="20"/>
        </w:rPr>
        <w:t xml:space="preserve"> hours)</w:t>
      </w:r>
    </w:p>
    <w:p w:rsidR="00311AD2" w:rsidRPr="00DF582D" w:rsidRDefault="00311AD2" w:rsidP="00311AD2">
      <w:pPr>
        <w:widowControl w:val="0"/>
        <w:snapToGrid w:val="0"/>
        <w:spacing w:after="0" w:line="240" w:lineRule="auto"/>
        <w:rPr>
          <w:rFonts w:asciiTheme="majorHAnsi" w:eastAsia="Times New Roman" w:hAnsiTheme="majorHAnsi"/>
          <w:bCs/>
          <w:sz w:val="20"/>
          <w:szCs w:val="20"/>
          <w:highlight w:val="yellow"/>
        </w:rPr>
      </w:pPr>
    </w:p>
    <w:p w:rsidR="00311AD2" w:rsidRPr="00DF582D" w:rsidRDefault="00607D3B" w:rsidP="00311AD2">
      <w:pPr>
        <w:widowControl w:val="0"/>
        <w:snapToGrid w:val="0"/>
        <w:spacing w:after="0" w:line="240" w:lineRule="auto"/>
        <w:rPr>
          <w:rFonts w:asciiTheme="majorHAnsi" w:eastAsia="Times New Roman" w:hAnsiTheme="majorHAnsi"/>
          <w:bCs/>
          <w:i/>
          <w:sz w:val="20"/>
          <w:szCs w:val="20"/>
        </w:rPr>
      </w:pPr>
      <w:r w:rsidRPr="00DF582D">
        <w:rPr>
          <w:rFonts w:asciiTheme="majorHAnsi" w:eastAsia="Times New Roman" w:hAnsiTheme="majorHAnsi"/>
          <w:bCs/>
          <w:i/>
          <w:sz w:val="20"/>
          <w:szCs w:val="20"/>
        </w:rPr>
        <w:t>1,179</w:t>
      </w:r>
      <w:r w:rsidR="00311AD2" w:rsidRPr="00DF582D">
        <w:rPr>
          <w:rFonts w:asciiTheme="majorHAnsi" w:eastAsia="Times New Roman" w:hAnsiTheme="majorHAnsi"/>
          <w:bCs/>
          <w:i/>
          <w:sz w:val="20"/>
          <w:szCs w:val="20"/>
        </w:rPr>
        <w:t xml:space="preserve"> (large) + </w:t>
      </w:r>
      <w:r w:rsidRPr="00DF582D">
        <w:rPr>
          <w:rFonts w:asciiTheme="majorHAnsi" w:eastAsia="Times New Roman" w:hAnsiTheme="majorHAnsi"/>
          <w:bCs/>
          <w:i/>
          <w:sz w:val="20"/>
          <w:szCs w:val="20"/>
        </w:rPr>
        <w:t>1,458</w:t>
      </w:r>
      <w:r w:rsidR="00311AD2" w:rsidRPr="00DF582D">
        <w:rPr>
          <w:rFonts w:asciiTheme="majorHAnsi" w:eastAsia="Times New Roman" w:hAnsiTheme="majorHAnsi"/>
          <w:bCs/>
          <w:i/>
          <w:sz w:val="20"/>
          <w:szCs w:val="20"/>
        </w:rPr>
        <w:t xml:space="preserve"> (mid-size) + </w:t>
      </w:r>
      <w:r w:rsidRPr="00DF582D">
        <w:rPr>
          <w:rFonts w:asciiTheme="majorHAnsi" w:eastAsia="Times New Roman" w:hAnsiTheme="majorHAnsi"/>
          <w:bCs/>
          <w:i/>
          <w:sz w:val="20"/>
          <w:szCs w:val="20"/>
        </w:rPr>
        <w:t>2,112</w:t>
      </w:r>
      <w:r w:rsidR="00311AD2" w:rsidRPr="00DF582D">
        <w:rPr>
          <w:rFonts w:asciiTheme="majorHAnsi" w:eastAsia="Times New Roman" w:hAnsiTheme="majorHAnsi"/>
          <w:bCs/>
          <w:i/>
          <w:sz w:val="20"/>
          <w:szCs w:val="20"/>
        </w:rPr>
        <w:t xml:space="preserve">(&lt;250 million) = </w:t>
      </w:r>
      <w:r w:rsidRPr="00DF582D">
        <w:rPr>
          <w:rFonts w:asciiTheme="majorHAnsi" w:eastAsia="Times New Roman" w:hAnsiTheme="majorHAnsi"/>
          <w:bCs/>
          <w:i/>
          <w:sz w:val="20"/>
          <w:szCs w:val="20"/>
        </w:rPr>
        <w:t>4,749</w:t>
      </w:r>
      <w:r w:rsidR="00311AD2" w:rsidRPr="00DF582D">
        <w:rPr>
          <w:rFonts w:asciiTheme="majorHAnsi" w:eastAsia="Times New Roman" w:hAnsiTheme="majorHAnsi"/>
          <w:bCs/>
          <w:i/>
          <w:sz w:val="20"/>
          <w:szCs w:val="20"/>
        </w:rPr>
        <w:t xml:space="preserve"> total hours for section </w:t>
      </w:r>
      <w:r w:rsidR="00357048" w:rsidRPr="00DF582D">
        <w:rPr>
          <w:rFonts w:asciiTheme="majorHAnsi" w:eastAsia="Times New Roman" w:hAnsiTheme="majorHAnsi"/>
          <w:bCs/>
          <w:i/>
          <w:sz w:val="20"/>
          <w:szCs w:val="20"/>
        </w:rPr>
        <w:t xml:space="preserve">§741.12. </w:t>
      </w:r>
    </w:p>
    <w:p w:rsidR="00076D4E" w:rsidRPr="00555F48" w:rsidRDefault="00076D4E" w:rsidP="006B790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rPr>
          <w:rFonts w:asciiTheme="majorHAnsi" w:hAnsiTheme="majorHAnsi"/>
          <w:color w:val="7030A0"/>
          <w:sz w:val="20"/>
          <w:szCs w:val="20"/>
        </w:rPr>
      </w:pPr>
    </w:p>
    <w:p w:rsidR="007D55EF" w:rsidRPr="00C87C6E"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Costs to Respondents</w:t>
      </w:r>
    </w:p>
    <w:p w:rsidR="007D55EF" w:rsidRPr="005D260D" w:rsidRDefault="00257534" w:rsidP="00311AD2">
      <w:pPr>
        <w:pStyle w:val="ListParagraph"/>
        <w:tabs>
          <w:tab w:val="left" w:pos="-720"/>
          <w:tab w:val="left" w:pos="286"/>
          <w:tab w:val="left" w:pos="403"/>
        </w:tabs>
        <w:suppressAutoHyphens/>
        <w:ind w:left="0"/>
        <w:rPr>
          <w:rFonts w:asciiTheme="majorHAnsi" w:hAnsiTheme="majorHAnsi"/>
          <w:sz w:val="20"/>
        </w:rPr>
      </w:pPr>
      <w:r w:rsidRPr="005D260D">
        <w:rPr>
          <w:rFonts w:asciiTheme="majorHAnsi" w:hAnsiTheme="majorHAnsi"/>
          <w:sz w:val="20"/>
        </w:rPr>
        <w:lastRenderedPageBreak/>
        <w:t>Estimated annualized cost to respondents is calculated by multiplying the hours per respondent by the respondent’s hourly wage.  For credit union’s senior executive off</w:t>
      </w:r>
      <w:r w:rsidR="00EA532A" w:rsidRPr="005D260D">
        <w:rPr>
          <w:rFonts w:asciiTheme="majorHAnsi" w:hAnsiTheme="majorHAnsi"/>
          <w:sz w:val="20"/>
        </w:rPr>
        <w:t>icers</w:t>
      </w:r>
      <w:r w:rsidRPr="005D260D">
        <w:rPr>
          <w:rFonts w:asciiTheme="majorHAnsi" w:hAnsiTheme="majorHAnsi"/>
          <w:sz w:val="20"/>
        </w:rPr>
        <w:t xml:space="preserve">, the average hourly rate was calculated using call report information. </w:t>
      </w:r>
      <w:r w:rsidR="00EA532A" w:rsidRPr="005D260D">
        <w:rPr>
          <w:rFonts w:asciiTheme="majorHAnsi" w:hAnsiTheme="majorHAnsi"/>
          <w:sz w:val="20"/>
        </w:rPr>
        <w:t xml:space="preserve"> The number of submissions for senior executive officer was calculated by using </w:t>
      </w:r>
      <w:r w:rsidR="00076D4E">
        <w:rPr>
          <w:rFonts w:asciiTheme="majorHAnsi" w:hAnsiTheme="majorHAnsi"/>
          <w:sz w:val="20"/>
        </w:rPr>
        <w:t>June 30</w:t>
      </w:r>
      <w:r w:rsidR="00EA532A" w:rsidRPr="005D260D">
        <w:rPr>
          <w:rFonts w:asciiTheme="majorHAnsi" w:hAnsiTheme="majorHAnsi"/>
          <w:sz w:val="20"/>
        </w:rPr>
        <w:t xml:space="preserve">, 2014 federally insured credit union data. </w:t>
      </w:r>
    </w:p>
    <w:p w:rsidR="00EA532A" w:rsidRPr="00A32064" w:rsidRDefault="00EA532A" w:rsidP="00311AD2">
      <w:pPr>
        <w:pStyle w:val="ListParagraph"/>
        <w:tabs>
          <w:tab w:val="left" w:pos="-720"/>
          <w:tab w:val="left" w:pos="286"/>
          <w:tab w:val="left" w:pos="403"/>
        </w:tabs>
        <w:suppressAutoHyphens/>
        <w:ind w:left="0"/>
        <w:rPr>
          <w:rFonts w:asciiTheme="majorHAnsi" w:hAnsiTheme="majorHAnsi"/>
          <w:sz w:val="20"/>
          <w:highlight w:val="yellow"/>
        </w:rPr>
      </w:pPr>
    </w:p>
    <w:p w:rsidR="00EA532A" w:rsidRPr="00076D4E" w:rsidRDefault="00EA532A" w:rsidP="00311AD2">
      <w:pPr>
        <w:pStyle w:val="ListParagraph"/>
        <w:tabs>
          <w:tab w:val="left" w:pos="-720"/>
          <w:tab w:val="left" w:pos="286"/>
          <w:tab w:val="left" w:pos="403"/>
        </w:tabs>
        <w:suppressAutoHyphens/>
        <w:ind w:left="0"/>
        <w:rPr>
          <w:rFonts w:asciiTheme="majorHAnsi" w:hAnsiTheme="majorHAnsi"/>
          <w:sz w:val="20"/>
        </w:rPr>
      </w:pPr>
      <w:r w:rsidRPr="00076D4E">
        <w:rPr>
          <w:rFonts w:asciiTheme="majorHAnsi" w:hAnsiTheme="majorHAnsi"/>
          <w:sz w:val="20"/>
        </w:rPr>
        <w:t>The first year’s cost to respond was calculated</w:t>
      </w:r>
      <w:r w:rsidR="00076D4E" w:rsidRPr="00076D4E">
        <w:rPr>
          <w:rFonts w:asciiTheme="majorHAnsi" w:hAnsiTheme="majorHAnsi"/>
          <w:sz w:val="20"/>
        </w:rPr>
        <w:t xml:space="preserve"> using an average hourly rate of $31.89.  The total cost for all federally insured credit unions to respond is $</w:t>
      </w:r>
      <w:r w:rsidR="00607D3B">
        <w:rPr>
          <w:rFonts w:asciiTheme="majorHAnsi" w:hAnsiTheme="majorHAnsi"/>
          <w:sz w:val="20"/>
        </w:rPr>
        <w:t>151,</w:t>
      </w:r>
      <w:r w:rsidR="007873C0">
        <w:rPr>
          <w:rFonts w:asciiTheme="majorHAnsi" w:hAnsiTheme="majorHAnsi"/>
          <w:sz w:val="20"/>
        </w:rPr>
        <w:t>446</w:t>
      </w:r>
      <w:r w:rsidR="00076D4E" w:rsidRPr="00076D4E">
        <w:rPr>
          <w:rFonts w:asciiTheme="majorHAnsi" w:hAnsiTheme="majorHAnsi"/>
          <w:sz w:val="20"/>
        </w:rPr>
        <w:t xml:space="preserve">. </w:t>
      </w:r>
    </w:p>
    <w:p w:rsidR="00A32064" w:rsidRPr="00076D4E" w:rsidRDefault="00A32064" w:rsidP="00076D4E">
      <w:pPr>
        <w:rPr>
          <w:rFonts w:asciiTheme="majorHAnsi" w:hAnsiTheme="majorHAnsi"/>
          <w:sz w:val="20"/>
        </w:rPr>
      </w:pPr>
      <w:r w:rsidRPr="00076D4E">
        <w:rPr>
          <w:rFonts w:asciiTheme="majorHAnsi" w:hAnsiTheme="majorHAnsi"/>
          <w:sz w:val="20"/>
        </w:rPr>
        <w:t xml:space="preserve">Additionally, NCUA estimates an additional cost of </w:t>
      </w:r>
      <w:r w:rsidR="007873C0">
        <w:rPr>
          <w:rFonts w:asciiTheme="majorHAnsi" w:hAnsiTheme="majorHAnsi"/>
          <w:sz w:val="20"/>
        </w:rPr>
        <w:t>0</w:t>
      </w:r>
      <w:r w:rsidRPr="00076D4E">
        <w:rPr>
          <w:rFonts w:asciiTheme="majorHAnsi" w:hAnsiTheme="majorHAnsi"/>
          <w:sz w:val="20"/>
        </w:rPr>
        <w:t xml:space="preserve">.00 for various printing materials: </w:t>
      </w:r>
    </w:p>
    <w:p w:rsidR="00A32064" w:rsidRPr="005D260D" w:rsidRDefault="00CA77E5" w:rsidP="005D260D">
      <w:pPr>
        <w:pStyle w:val="ListParagraph"/>
        <w:numPr>
          <w:ilvl w:val="0"/>
          <w:numId w:val="9"/>
        </w:numPr>
        <w:rPr>
          <w:rFonts w:asciiTheme="majorHAnsi" w:hAnsiTheme="majorHAnsi"/>
          <w:bCs/>
          <w:sz w:val="20"/>
        </w:rPr>
      </w:pPr>
      <w:r w:rsidRPr="005D260D">
        <w:rPr>
          <w:rFonts w:asciiTheme="majorHAnsi" w:hAnsiTheme="majorHAnsi"/>
          <w:bCs/>
          <w:sz w:val="20"/>
        </w:rPr>
        <w:t xml:space="preserve">credit unions &gt; $250million </w:t>
      </w:r>
      <w:r w:rsidR="00A32064" w:rsidRPr="005D260D">
        <w:rPr>
          <w:rFonts w:asciiTheme="majorHAnsi" w:hAnsiTheme="majorHAnsi"/>
          <w:bCs/>
          <w:sz w:val="20"/>
        </w:rPr>
        <w:t xml:space="preserve">- $0 policies are kept in electronic format </w:t>
      </w:r>
      <w:r w:rsidR="00637DAF">
        <w:rPr>
          <w:rFonts w:asciiTheme="majorHAnsi" w:hAnsiTheme="majorHAnsi"/>
          <w:bCs/>
          <w:sz w:val="20"/>
        </w:rPr>
        <w:t>;</w:t>
      </w:r>
    </w:p>
    <w:p w:rsidR="00A32064" w:rsidRPr="005D260D" w:rsidRDefault="005D260D" w:rsidP="005D260D">
      <w:pPr>
        <w:pStyle w:val="ListParagraph"/>
        <w:numPr>
          <w:ilvl w:val="0"/>
          <w:numId w:val="9"/>
        </w:numPr>
        <w:rPr>
          <w:rFonts w:asciiTheme="majorHAnsi" w:hAnsiTheme="majorHAnsi"/>
          <w:bCs/>
          <w:sz w:val="20"/>
        </w:rPr>
      </w:pPr>
      <w:r w:rsidRPr="005D260D">
        <w:rPr>
          <w:rFonts w:asciiTheme="majorHAnsi" w:hAnsiTheme="majorHAnsi"/>
          <w:bCs/>
          <w:sz w:val="20"/>
        </w:rPr>
        <w:t xml:space="preserve">credit unions </w:t>
      </w:r>
      <w:r w:rsidR="00CA77E5" w:rsidRPr="005D260D">
        <w:rPr>
          <w:rFonts w:asciiTheme="majorHAnsi" w:hAnsiTheme="majorHAnsi"/>
          <w:bCs/>
          <w:sz w:val="20"/>
        </w:rPr>
        <w:t xml:space="preserve">$50 million to $250 million </w:t>
      </w:r>
      <w:r w:rsidR="00FA13A8" w:rsidRPr="005D260D">
        <w:rPr>
          <w:rFonts w:asciiTheme="majorHAnsi" w:hAnsiTheme="majorHAnsi"/>
          <w:bCs/>
          <w:sz w:val="20"/>
        </w:rPr>
        <w:t>- $0 pol</w:t>
      </w:r>
      <w:bookmarkStart w:id="0" w:name="_GoBack"/>
      <w:bookmarkEnd w:id="0"/>
      <w:r w:rsidR="00FA13A8" w:rsidRPr="005D260D">
        <w:rPr>
          <w:rFonts w:asciiTheme="majorHAnsi" w:hAnsiTheme="majorHAnsi"/>
          <w:bCs/>
          <w:sz w:val="20"/>
        </w:rPr>
        <w:t>icies are kept in electronic format</w:t>
      </w:r>
      <w:r w:rsidR="00637DAF">
        <w:rPr>
          <w:rFonts w:asciiTheme="majorHAnsi" w:hAnsiTheme="majorHAnsi"/>
          <w:bCs/>
          <w:sz w:val="20"/>
        </w:rPr>
        <w:t>; and,</w:t>
      </w:r>
    </w:p>
    <w:p w:rsidR="00FA13A8" w:rsidRPr="005D260D" w:rsidRDefault="005D260D" w:rsidP="005D260D">
      <w:pPr>
        <w:pStyle w:val="ListParagraph"/>
        <w:numPr>
          <w:ilvl w:val="0"/>
          <w:numId w:val="9"/>
        </w:numPr>
        <w:rPr>
          <w:rFonts w:asciiTheme="majorHAnsi" w:hAnsiTheme="majorHAnsi"/>
          <w:bCs/>
          <w:sz w:val="20"/>
        </w:rPr>
      </w:pPr>
      <w:proofErr w:type="gramStart"/>
      <w:r w:rsidRPr="005D260D">
        <w:rPr>
          <w:rFonts w:asciiTheme="majorHAnsi" w:hAnsiTheme="majorHAnsi"/>
          <w:bCs/>
          <w:sz w:val="20"/>
        </w:rPr>
        <w:t>credit</w:t>
      </w:r>
      <w:proofErr w:type="gramEnd"/>
      <w:r w:rsidRPr="005D260D">
        <w:rPr>
          <w:rFonts w:asciiTheme="majorHAnsi" w:hAnsiTheme="majorHAnsi"/>
          <w:bCs/>
          <w:sz w:val="20"/>
        </w:rPr>
        <w:t xml:space="preserve"> union </w:t>
      </w:r>
      <w:r w:rsidR="00CA77E5" w:rsidRPr="005D260D">
        <w:rPr>
          <w:rFonts w:asciiTheme="majorHAnsi" w:hAnsiTheme="majorHAnsi"/>
          <w:bCs/>
          <w:sz w:val="20"/>
        </w:rPr>
        <w:t xml:space="preserve">less than $50 million </w:t>
      </w:r>
      <w:r w:rsidR="00FA13A8" w:rsidRPr="005D260D">
        <w:rPr>
          <w:rFonts w:asciiTheme="majorHAnsi" w:hAnsiTheme="majorHAnsi"/>
          <w:bCs/>
          <w:sz w:val="20"/>
        </w:rPr>
        <w:t>- $</w:t>
      </w:r>
      <w:r w:rsidR="00637DAF">
        <w:rPr>
          <w:rFonts w:asciiTheme="majorHAnsi" w:hAnsiTheme="majorHAnsi"/>
          <w:bCs/>
          <w:sz w:val="20"/>
        </w:rPr>
        <w:t>0</w:t>
      </w:r>
      <w:r w:rsidR="00FA13A8" w:rsidRPr="005D260D">
        <w:rPr>
          <w:rFonts w:asciiTheme="majorHAnsi" w:hAnsiTheme="majorHAnsi"/>
          <w:bCs/>
          <w:sz w:val="20"/>
        </w:rPr>
        <w:t xml:space="preserve"> </w:t>
      </w:r>
      <w:r w:rsidR="00637DAF" w:rsidRPr="00637DAF">
        <w:rPr>
          <w:rFonts w:asciiTheme="majorHAnsi" w:hAnsiTheme="majorHAnsi"/>
          <w:bCs/>
          <w:sz w:val="20"/>
        </w:rPr>
        <w:t>policies are kept in electronic format</w:t>
      </w:r>
      <w:r w:rsidR="00637DAF">
        <w:rPr>
          <w:rFonts w:asciiTheme="majorHAnsi" w:hAnsiTheme="majorHAnsi"/>
          <w:bCs/>
          <w:sz w:val="20"/>
        </w:rPr>
        <w:t>.</w:t>
      </w:r>
    </w:p>
    <w:p w:rsidR="00A32064" w:rsidRPr="00076D4E" w:rsidRDefault="00FA13A8" w:rsidP="00076D4E">
      <w:pPr>
        <w:rPr>
          <w:rFonts w:asciiTheme="majorHAnsi" w:hAnsiTheme="majorHAnsi"/>
          <w:sz w:val="20"/>
        </w:rPr>
      </w:pPr>
      <w:r w:rsidRPr="00076D4E">
        <w:rPr>
          <w:rFonts w:asciiTheme="majorHAnsi" w:hAnsiTheme="majorHAnsi"/>
          <w:sz w:val="20"/>
        </w:rPr>
        <w:t>Based on this information, the estimated total cost to respondent</w:t>
      </w:r>
      <w:r w:rsidR="00076D4E" w:rsidRPr="00076D4E">
        <w:rPr>
          <w:rFonts w:asciiTheme="majorHAnsi" w:hAnsiTheme="majorHAnsi"/>
          <w:sz w:val="20"/>
        </w:rPr>
        <w:t xml:space="preserve"> including printing</w:t>
      </w:r>
      <w:r w:rsidRPr="00076D4E">
        <w:rPr>
          <w:rFonts w:asciiTheme="majorHAnsi" w:hAnsiTheme="majorHAnsi"/>
          <w:sz w:val="20"/>
        </w:rPr>
        <w:t xml:space="preserve"> is $</w:t>
      </w:r>
      <w:r w:rsidR="00607D3B">
        <w:rPr>
          <w:rFonts w:asciiTheme="majorHAnsi" w:hAnsiTheme="majorHAnsi"/>
          <w:sz w:val="20"/>
        </w:rPr>
        <w:t>151,44</w:t>
      </w:r>
      <w:r w:rsidR="007873C0">
        <w:rPr>
          <w:rFonts w:asciiTheme="majorHAnsi" w:hAnsiTheme="majorHAnsi"/>
          <w:sz w:val="20"/>
        </w:rPr>
        <w:t>6</w:t>
      </w:r>
      <w:r w:rsidR="00076D4E">
        <w:rPr>
          <w:rFonts w:asciiTheme="majorHAnsi" w:hAnsiTheme="majorHAnsi"/>
          <w:sz w:val="20"/>
        </w:rPr>
        <w:t>.</w:t>
      </w:r>
    </w:p>
    <w:p w:rsidR="007D55EF"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Costs to Federal Government</w:t>
      </w:r>
    </w:p>
    <w:p w:rsidR="007D55EF" w:rsidRDefault="00816A64" w:rsidP="005D260D">
      <w:pPr>
        <w:spacing w:after="0" w:line="240" w:lineRule="auto"/>
        <w:rPr>
          <w:rFonts w:asciiTheme="majorHAnsi" w:hAnsiTheme="majorHAnsi"/>
          <w:sz w:val="20"/>
        </w:rPr>
      </w:pPr>
      <w:r w:rsidRPr="00816A64">
        <w:rPr>
          <w:rFonts w:asciiTheme="majorHAnsi" w:hAnsiTheme="majorHAnsi"/>
          <w:sz w:val="20"/>
        </w:rPr>
        <w:t xml:space="preserve">This collection does not involve any unique costs to the agency.  Review of the submission is part of the usual and customary supervision of credit unions. </w:t>
      </w:r>
    </w:p>
    <w:p w:rsidR="005D260D" w:rsidRPr="005D260D" w:rsidRDefault="005D260D" w:rsidP="005D260D">
      <w:pPr>
        <w:spacing w:after="0" w:line="240" w:lineRule="auto"/>
        <w:rPr>
          <w:rFonts w:asciiTheme="majorHAnsi" w:hAnsiTheme="majorHAnsi"/>
          <w:sz w:val="20"/>
        </w:rPr>
      </w:pPr>
    </w:p>
    <w:p w:rsidR="007D55EF" w:rsidRPr="00C87C6E" w:rsidRDefault="007D55EF" w:rsidP="007D55EF">
      <w:pPr>
        <w:pStyle w:val="ListParagraph"/>
        <w:numPr>
          <w:ilvl w:val="0"/>
          <w:numId w:val="3"/>
        </w:numPr>
        <w:spacing w:after="0" w:line="240" w:lineRule="auto"/>
        <w:ind w:left="0"/>
        <w:rPr>
          <w:rFonts w:asciiTheme="majorHAnsi" w:hAnsiTheme="majorHAnsi"/>
          <w:b/>
          <w:sz w:val="20"/>
        </w:rPr>
      </w:pPr>
      <w:r w:rsidRPr="00C87C6E">
        <w:rPr>
          <w:rFonts w:asciiTheme="majorHAnsi" w:hAnsiTheme="majorHAnsi"/>
          <w:b/>
          <w:sz w:val="20"/>
        </w:rPr>
        <w:t>Changes in Burden</w:t>
      </w:r>
    </w:p>
    <w:p w:rsidR="007D55EF" w:rsidRPr="00C87C6E" w:rsidRDefault="00AA14EA" w:rsidP="007D55EF">
      <w:pPr>
        <w:spacing w:line="240" w:lineRule="auto"/>
        <w:rPr>
          <w:rFonts w:asciiTheme="majorHAnsi" w:hAnsiTheme="majorHAnsi"/>
          <w:sz w:val="20"/>
          <w:szCs w:val="20"/>
        </w:rPr>
      </w:pPr>
      <w:r>
        <w:rPr>
          <w:rFonts w:asciiTheme="majorHAnsi" w:hAnsiTheme="majorHAnsi"/>
          <w:sz w:val="20"/>
          <w:szCs w:val="20"/>
        </w:rPr>
        <w:t xml:space="preserve">Estimated burden </w:t>
      </w:r>
      <w:r w:rsidR="003717CC">
        <w:rPr>
          <w:rFonts w:asciiTheme="majorHAnsi" w:hAnsiTheme="majorHAnsi"/>
          <w:sz w:val="20"/>
          <w:szCs w:val="20"/>
        </w:rPr>
        <w:t>increased since the last implementation, due to the changes in NCUA regulations.  NCUA has implemented a</w:t>
      </w:r>
      <w:r w:rsidR="003717CC" w:rsidRPr="003717CC">
        <w:rPr>
          <w:rFonts w:asciiTheme="majorHAnsi" w:hAnsiTheme="majorHAnsi"/>
          <w:bCs/>
          <w:sz w:val="20"/>
          <w:szCs w:val="20"/>
        </w:rPr>
        <w:t xml:space="preserve"> three tier framework for federally insured cre</w:t>
      </w:r>
      <w:r w:rsidR="003717CC">
        <w:rPr>
          <w:rFonts w:asciiTheme="majorHAnsi" w:hAnsiTheme="majorHAnsi"/>
          <w:bCs/>
          <w:sz w:val="20"/>
          <w:szCs w:val="20"/>
        </w:rPr>
        <w:t xml:space="preserve">dit unions, based on asset size to address their liquidity concerns. </w:t>
      </w:r>
      <w:r w:rsidR="003717CC" w:rsidRPr="003717CC">
        <w:rPr>
          <w:rFonts w:asciiTheme="majorHAnsi" w:hAnsiTheme="majorHAnsi"/>
          <w:bCs/>
          <w:sz w:val="20"/>
          <w:szCs w:val="20"/>
        </w:rPr>
        <w:t xml:space="preserve">  </w:t>
      </w:r>
    </w:p>
    <w:p w:rsidR="007D55EF" w:rsidRPr="00816A64" w:rsidRDefault="007D55EF" w:rsidP="007D55EF">
      <w:pPr>
        <w:pStyle w:val="ListParagraph"/>
        <w:numPr>
          <w:ilvl w:val="0"/>
          <w:numId w:val="3"/>
        </w:numPr>
        <w:spacing w:after="0" w:line="240" w:lineRule="auto"/>
        <w:ind w:left="0"/>
        <w:rPr>
          <w:rFonts w:asciiTheme="majorHAnsi" w:hAnsiTheme="majorHAnsi"/>
          <w:b/>
          <w:sz w:val="20"/>
        </w:rPr>
      </w:pPr>
      <w:r w:rsidRPr="00816A64">
        <w:rPr>
          <w:rFonts w:asciiTheme="majorHAnsi" w:hAnsiTheme="majorHAnsi"/>
          <w:b/>
          <w:sz w:val="20"/>
        </w:rPr>
        <w:t>Information Collection Planned for Statistical Purposes</w:t>
      </w:r>
    </w:p>
    <w:p w:rsidR="007D55EF" w:rsidRPr="00816A64" w:rsidRDefault="00282A5A" w:rsidP="007D55E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ind w:hanging="360"/>
        <w:rPr>
          <w:rFonts w:asciiTheme="majorHAnsi" w:hAnsiTheme="majorHAnsi"/>
          <w:sz w:val="20"/>
          <w:szCs w:val="20"/>
        </w:rPr>
      </w:pPr>
      <w:r w:rsidRPr="00816A64">
        <w:rPr>
          <w:rFonts w:asciiTheme="majorHAnsi" w:hAnsiTheme="majorHAnsi"/>
          <w:sz w:val="20"/>
          <w:szCs w:val="20"/>
        </w:rPr>
        <w:tab/>
      </w:r>
      <w:r w:rsidR="007D55EF" w:rsidRPr="00816A64">
        <w:rPr>
          <w:rFonts w:asciiTheme="majorHAnsi" w:hAnsiTheme="majorHAnsi"/>
          <w:sz w:val="20"/>
          <w:szCs w:val="20"/>
        </w:rPr>
        <w:t>Not applicable.  The information collection is not used for statistical purposes</w:t>
      </w:r>
    </w:p>
    <w:p w:rsidR="007D55EF" w:rsidRPr="00816A64" w:rsidRDefault="007D55EF" w:rsidP="007D55EF">
      <w:pPr>
        <w:pStyle w:val="ListParagraph"/>
        <w:keepNext/>
        <w:numPr>
          <w:ilvl w:val="0"/>
          <w:numId w:val="3"/>
        </w:numPr>
        <w:spacing w:after="0" w:line="240" w:lineRule="auto"/>
        <w:ind w:left="0"/>
        <w:rPr>
          <w:rFonts w:asciiTheme="majorHAnsi" w:hAnsiTheme="majorHAnsi"/>
          <w:b/>
          <w:sz w:val="20"/>
        </w:rPr>
      </w:pPr>
      <w:r w:rsidRPr="00816A64">
        <w:rPr>
          <w:rFonts w:asciiTheme="majorHAnsi" w:hAnsiTheme="majorHAnsi"/>
          <w:b/>
          <w:sz w:val="20"/>
        </w:rPr>
        <w:t>Approval to Omit OMB Expiration Date</w:t>
      </w:r>
    </w:p>
    <w:p w:rsidR="007D55EF" w:rsidRPr="00816A64" w:rsidRDefault="007D55EF" w:rsidP="005D260D">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spacing w:line="240" w:lineRule="auto"/>
        <w:rPr>
          <w:rFonts w:asciiTheme="majorHAnsi" w:hAnsiTheme="majorHAnsi"/>
          <w:sz w:val="20"/>
          <w:szCs w:val="20"/>
        </w:rPr>
      </w:pPr>
      <w:r w:rsidRPr="00816A64">
        <w:rPr>
          <w:rFonts w:asciiTheme="majorHAnsi" w:hAnsiTheme="majorHAnsi"/>
          <w:sz w:val="20"/>
          <w:szCs w:val="20"/>
        </w:rPr>
        <w:t>NCUA is not seeking approval to omit the expiration date.</w:t>
      </w:r>
    </w:p>
    <w:p w:rsidR="007D55EF" w:rsidRPr="00816A64" w:rsidRDefault="007D55EF" w:rsidP="007D55EF">
      <w:pPr>
        <w:pStyle w:val="ListParagraph"/>
        <w:numPr>
          <w:ilvl w:val="0"/>
          <w:numId w:val="3"/>
        </w:numPr>
        <w:spacing w:after="0" w:line="240" w:lineRule="auto"/>
        <w:ind w:left="0"/>
        <w:rPr>
          <w:rFonts w:asciiTheme="majorHAnsi" w:hAnsiTheme="majorHAnsi"/>
          <w:b/>
          <w:sz w:val="20"/>
        </w:rPr>
      </w:pPr>
      <w:r w:rsidRPr="00816A64">
        <w:rPr>
          <w:rFonts w:asciiTheme="majorHAnsi" w:hAnsiTheme="majorHAnsi"/>
          <w:b/>
          <w:sz w:val="20"/>
        </w:rPr>
        <w:t>Exceptions to Certification for Paperwork Reduction Act Submissions</w:t>
      </w:r>
    </w:p>
    <w:p w:rsidR="007D55EF" w:rsidRPr="00816A64" w:rsidRDefault="007D55EF" w:rsidP="00282A5A">
      <w:pPr>
        <w:tabs>
          <w:tab w:val="left" w:pos="-720"/>
          <w:tab w:val="left" w:pos="286"/>
          <w:tab w:val="left" w:pos="403"/>
        </w:tabs>
        <w:suppressAutoHyphens/>
        <w:spacing w:line="240" w:lineRule="auto"/>
        <w:ind w:hanging="360"/>
        <w:rPr>
          <w:rFonts w:asciiTheme="majorHAnsi" w:hAnsiTheme="majorHAnsi"/>
          <w:sz w:val="20"/>
          <w:szCs w:val="20"/>
        </w:rPr>
      </w:pPr>
      <w:r w:rsidRPr="00816A64">
        <w:rPr>
          <w:rFonts w:asciiTheme="majorHAnsi" w:hAnsiTheme="majorHAnsi"/>
          <w:sz w:val="20"/>
          <w:szCs w:val="20"/>
        </w:rPr>
        <w:tab/>
        <w:t>This collection complies with the requirements in 5 CFR 1320.9.</w:t>
      </w:r>
    </w:p>
    <w:p w:rsidR="007D55EF" w:rsidRPr="00C87C6E" w:rsidRDefault="007D55EF" w:rsidP="007D55EF">
      <w:pPr>
        <w:tabs>
          <w:tab w:val="left" w:pos="-720"/>
          <w:tab w:val="left" w:pos="286"/>
          <w:tab w:val="left" w:pos="403"/>
        </w:tabs>
        <w:suppressAutoHyphens/>
        <w:spacing w:line="240" w:lineRule="auto"/>
        <w:ind w:hanging="360"/>
        <w:rPr>
          <w:rFonts w:asciiTheme="majorHAnsi" w:hAnsiTheme="majorHAnsi"/>
          <w:sz w:val="20"/>
          <w:szCs w:val="20"/>
        </w:rPr>
      </w:pPr>
    </w:p>
    <w:p w:rsidR="007D55EF" w:rsidRPr="00C87C6E" w:rsidRDefault="007D55EF" w:rsidP="007D55EF">
      <w:pPr>
        <w:pStyle w:val="Heading7"/>
        <w:jc w:val="center"/>
      </w:pPr>
      <w:r w:rsidRPr="00C87C6E">
        <w:rPr>
          <w:b/>
          <w:caps/>
          <w:sz w:val="20"/>
        </w:rPr>
        <w:br w:type="page"/>
      </w:r>
      <w:r>
        <w:rPr>
          <w:b/>
          <w:caps/>
          <w:sz w:val="20"/>
        </w:rPr>
        <w:lastRenderedPageBreak/>
        <w:t xml:space="preserve">  </w:t>
      </w:r>
      <w:r>
        <w:t>Supporting Statement Requirements for ICs employing statistical methods</w:t>
      </w:r>
    </w:p>
    <w:p w:rsidR="007D55EF" w:rsidRPr="00C87C6E" w:rsidRDefault="007D55EF" w:rsidP="007D55EF">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heme="majorHAnsi" w:hAnsiTheme="majorHAnsi"/>
          <w:sz w:val="20"/>
        </w:rPr>
      </w:pPr>
    </w:p>
    <w:p w:rsidR="007D55EF" w:rsidRPr="00C87C6E" w:rsidRDefault="007D55EF" w:rsidP="007D55E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ind w:hanging="360"/>
        <w:rPr>
          <w:rFonts w:asciiTheme="majorHAnsi" w:hAnsiTheme="majorHAnsi"/>
          <w:sz w:val="20"/>
          <w:szCs w:val="20"/>
        </w:rPr>
      </w:pPr>
      <w:r w:rsidRPr="00C87C6E">
        <w:rPr>
          <w:rFonts w:asciiTheme="majorHAnsi" w:hAnsiTheme="majorHAnsi"/>
          <w:sz w:val="20"/>
          <w:szCs w:val="20"/>
        </w:rPr>
        <w:tab/>
        <w:t xml:space="preserve">If the collection of information does not involve any statistical methods, please use the following statement: </w:t>
      </w:r>
    </w:p>
    <w:p w:rsidR="007D55EF" w:rsidRPr="00C87C6E" w:rsidRDefault="007D55EF" w:rsidP="007D55E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ind w:hanging="360"/>
        <w:rPr>
          <w:rFonts w:asciiTheme="majorHAnsi" w:hAnsiTheme="majorHAnsi"/>
          <w:sz w:val="20"/>
          <w:szCs w:val="20"/>
        </w:rPr>
      </w:pPr>
      <w:r w:rsidRPr="00C87C6E">
        <w:rPr>
          <w:rFonts w:asciiTheme="majorHAnsi" w:hAnsiTheme="majorHAnsi"/>
          <w:sz w:val="20"/>
          <w:szCs w:val="20"/>
        </w:rPr>
        <w:tab/>
        <w:t>This collection does no</w:t>
      </w:r>
      <w:r w:rsidR="00894FB1">
        <w:rPr>
          <w:rFonts w:asciiTheme="majorHAnsi" w:hAnsiTheme="majorHAnsi"/>
          <w:sz w:val="20"/>
          <w:szCs w:val="20"/>
        </w:rPr>
        <w:t>t involve statistical methods.</w:t>
      </w:r>
      <w:r w:rsidRPr="00C87C6E">
        <w:rPr>
          <w:rFonts w:asciiTheme="majorHAnsi" w:hAnsiTheme="majorHAnsi"/>
          <w:sz w:val="20"/>
          <w:szCs w:val="20"/>
        </w:rPr>
        <w:t xml:space="preserve"> </w:t>
      </w:r>
    </w:p>
    <w:p w:rsidR="007D55EF" w:rsidRPr="00C87C6E" w:rsidRDefault="007D55EF" w:rsidP="00894FB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ind w:hanging="360"/>
        <w:rPr>
          <w:rFonts w:asciiTheme="majorHAnsi" w:hAnsiTheme="majorHAnsi"/>
          <w:sz w:val="20"/>
          <w:szCs w:val="20"/>
        </w:rPr>
      </w:pPr>
      <w:r w:rsidRPr="00C87C6E">
        <w:rPr>
          <w:rFonts w:asciiTheme="majorHAnsi" w:hAnsiTheme="majorHAnsi"/>
          <w:sz w:val="20"/>
          <w:szCs w:val="20"/>
        </w:rPr>
        <w:tab/>
      </w:r>
    </w:p>
    <w:p w:rsidR="00D528C4" w:rsidRDefault="00D528C4"/>
    <w:sectPr w:rsidR="00D528C4" w:rsidSect="00D528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FC" w:rsidRDefault="007A15FC" w:rsidP="007D55EF">
      <w:pPr>
        <w:spacing w:after="0" w:line="240" w:lineRule="auto"/>
      </w:pPr>
      <w:r>
        <w:separator/>
      </w:r>
    </w:p>
  </w:endnote>
  <w:endnote w:type="continuationSeparator" w:id="0">
    <w:p w:rsidR="007A15FC" w:rsidRDefault="007A15FC"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FC" w:rsidRDefault="007A15FC" w:rsidP="007D55EF">
      <w:pPr>
        <w:spacing w:after="0" w:line="240" w:lineRule="auto"/>
      </w:pPr>
      <w:r>
        <w:separator/>
      </w:r>
    </w:p>
  </w:footnote>
  <w:footnote w:type="continuationSeparator" w:id="0">
    <w:p w:rsidR="007A15FC" w:rsidRDefault="007A15FC" w:rsidP="007D5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34013FB1"/>
    <w:multiLevelType w:val="hybridMultilevel"/>
    <w:tmpl w:val="0C22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8"/>
  </w:num>
  <w:num w:numId="4">
    <w:abstractNumId w:val="2"/>
  </w:num>
  <w:num w:numId="5">
    <w:abstractNumId w:val="0"/>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EF"/>
    <w:rsid w:val="0000645D"/>
    <w:rsid w:val="00007E12"/>
    <w:rsid w:val="00016260"/>
    <w:rsid w:val="00021019"/>
    <w:rsid w:val="000313A4"/>
    <w:rsid w:val="00072CFE"/>
    <w:rsid w:val="00076D4E"/>
    <w:rsid w:val="0008074C"/>
    <w:rsid w:val="000C669F"/>
    <w:rsid w:val="000E451B"/>
    <w:rsid w:val="000F1CE4"/>
    <w:rsid w:val="001453F5"/>
    <w:rsid w:val="001B545D"/>
    <w:rsid w:val="001E1712"/>
    <w:rsid w:val="0022707E"/>
    <w:rsid w:val="00244E46"/>
    <w:rsid w:val="00245081"/>
    <w:rsid w:val="00257534"/>
    <w:rsid w:val="00267007"/>
    <w:rsid w:val="00272BC2"/>
    <w:rsid w:val="002746BC"/>
    <w:rsid w:val="00282A5A"/>
    <w:rsid w:val="00287B81"/>
    <w:rsid w:val="002A498E"/>
    <w:rsid w:val="002A708E"/>
    <w:rsid w:val="002B50D0"/>
    <w:rsid w:val="002D2B7E"/>
    <w:rsid w:val="00300530"/>
    <w:rsid w:val="00311AD2"/>
    <w:rsid w:val="003131C8"/>
    <w:rsid w:val="003316F4"/>
    <w:rsid w:val="00335987"/>
    <w:rsid w:val="00354F0C"/>
    <w:rsid w:val="00357048"/>
    <w:rsid w:val="00361A90"/>
    <w:rsid w:val="00366D3D"/>
    <w:rsid w:val="003717CC"/>
    <w:rsid w:val="00377C3A"/>
    <w:rsid w:val="003A3233"/>
    <w:rsid w:val="003B60B9"/>
    <w:rsid w:val="003E441D"/>
    <w:rsid w:val="00445B58"/>
    <w:rsid w:val="00454CD5"/>
    <w:rsid w:val="00487164"/>
    <w:rsid w:val="004946A1"/>
    <w:rsid w:val="004A39F7"/>
    <w:rsid w:val="004B0C53"/>
    <w:rsid w:val="004D16DA"/>
    <w:rsid w:val="004D4A60"/>
    <w:rsid w:val="004D71D6"/>
    <w:rsid w:val="004E6E8A"/>
    <w:rsid w:val="004E74D5"/>
    <w:rsid w:val="00504B6B"/>
    <w:rsid w:val="0051290A"/>
    <w:rsid w:val="00524098"/>
    <w:rsid w:val="005245D3"/>
    <w:rsid w:val="00541CFB"/>
    <w:rsid w:val="00555F48"/>
    <w:rsid w:val="005613A4"/>
    <w:rsid w:val="0056696F"/>
    <w:rsid w:val="005D260D"/>
    <w:rsid w:val="005D6A96"/>
    <w:rsid w:val="00607D3B"/>
    <w:rsid w:val="00616470"/>
    <w:rsid w:val="00637DAF"/>
    <w:rsid w:val="0065063C"/>
    <w:rsid w:val="006632B6"/>
    <w:rsid w:val="006B7900"/>
    <w:rsid w:val="006C0A36"/>
    <w:rsid w:val="00715603"/>
    <w:rsid w:val="007220A3"/>
    <w:rsid w:val="0072332A"/>
    <w:rsid w:val="00745AB9"/>
    <w:rsid w:val="007468EA"/>
    <w:rsid w:val="007560F1"/>
    <w:rsid w:val="0077577B"/>
    <w:rsid w:val="007873C0"/>
    <w:rsid w:val="00791456"/>
    <w:rsid w:val="00796831"/>
    <w:rsid w:val="007A15FC"/>
    <w:rsid w:val="007C160F"/>
    <w:rsid w:val="007D3CE7"/>
    <w:rsid w:val="007D55EF"/>
    <w:rsid w:val="00816A64"/>
    <w:rsid w:val="00852737"/>
    <w:rsid w:val="00876715"/>
    <w:rsid w:val="00880C2E"/>
    <w:rsid w:val="00881DDD"/>
    <w:rsid w:val="00884FC7"/>
    <w:rsid w:val="00894FB1"/>
    <w:rsid w:val="008A3EC5"/>
    <w:rsid w:val="008E3211"/>
    <w:rsid w:val="009023E3"/>
    <w:rsid w:val="009103C4"/>
    <w:rsid w:val="0092489A"/>
    <w:rsid w:val="0098083A"/>
    <w:rsid w:val="0099247E"/>
    <w:rsid w:val="009B50C5"/>
    <w:rsid w:val="009C41F0"/>
    <w:rsid w:val="009F56BB"/>
    <w:rsid w:val="00A037D4"/>
    <w:rsid w:val="00A210AD"/>
    <w:rsid w:val="00A2286C"/>
    <w:rsid w:val="00A32064"/>
    <w:rsid w:val="00A749BB"/>
    <w:rsid w:val="00A90BA8"/>
    <w:rsid w:val="00AA14EA"/>
    <w:rsid w:val="00AA306C"/>
    <w:rsid w:val="00AA3DA0"/>
    <w:rsid w:val="00AA7F19"/>
    <w:rsid w:val="00AF605B"/>
    <w:rsid w:val="00B11086"/>
    <w:rsid w:val="00B54DA4"/>
    <w:rsid w:val="00B74AE4"/>
    <w:rsid w:val="00BC35AE"/>
    <w:rsid w:val="00BC4EF1"/>
    <w:rsid w:val="00BF6746"/>
    <w:rsid w:val="00C01F16"/>
    <w:rsid w:val="00C22DD8"/>
    <w:rsid w:val="00C43831"/>
    <w:rsid w:val="00C86553"/>
    <w:rsid w:val="00CA77E5"/>
    <w:rsid w:val="00D2187E"/>
    <w:rsid w:val="00D310E3"/>
    <w:rsid w:val="00D359F3"/>
    <w:rsid w:val="00D411A0"/>
    <w:rsid w:val="00D45FF7"/>
    <w:rsid w:val="00D528C4"/>
    <w:rsid w:val="00D93AFF"/>
    <w:rsid w:val="00DE2942"/>
    <w:rsid w:val="00DF09E5"/>
    <w:rsid w:val="00DF582D"/>
    <w:rsid w:val="00E667B3"/>
    <w:rsid w:val="00E96E4C"/>
    <w:rsid w:val="00EA1E8F"/>
    <w:rsid w:val="00EA532A"/>
    <w:rsid w:val="00EB28DE"/>
    <w:rsid w:val="00EC2912"/>
    <w:rsid w:val="00EC60F5"/>
    <w:rsid w:val="00ED4E54"/>
    <w:rsid w:val="00EF070F"/>
    <w:rsid w:val="00EF6F70"/>
    <w:rsid w:val="00F100B5"/>
    <w:rsid w:val="00F412AE"/>
    <w:rsid w:val="00F5460A"/>
    <w:rsid w:val="00F5543A"/>
    <w:rsid w:val="00F5762C"/>
    <w:rsid w:val="00F6674E"/>
    <w:rsid w:val="00F66863"/>
    <w:rsid w:val="00F74087"/>
    <w:rsid w:val="00F8405A"/>
    <w:rsid w:val="00FA13A8"/>
    <w:rsid w:val="00FA1F56"/>
    <w:rsid w:val="00FA7BA5"/>
    <w:rsid w:val="00FB6559"/>
    <w:rsid w:val="00FC2ED9"/>
    <w:rsid w:val="00FE0426"/>
    <w:rsid w:val="00FF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55F48"/>
    <w:rPr>
      <w:sz w:val="16"/>
      <w:szCs w:val="16"/>
    </w:rPr>
  </w:style>
  <w:style w:type="paragraph" w:styleId="CommentText">
    <w:name w:val="annotation text"/>
    <w:basedOn w:val="Normal"/>
    <w:link w:val="CommentTextChar"/>
    <w:uiPriority w:val="99"/>
    <w:semiHidden/>
    <w:unhideWhenUsed/>
    <w:rsid w:val="00555F48"/>
    <w:pPr>
      <w:spacing w:line="240" w:lineRule="auto"/>
    </w:pPr>
    <w:rPr>
      <w:sz w:val="20"/>
      <w:szCs w:val="20"/>
    </w:rPr>
  </w:style>
  <w:style w:type="character" w:customStyle="1" w:styleId="CommentTextChar">
    <w:name w:val="Comment Text Char"/>
    <w:basedOn w:val="DefaultParagraphFont"/>
    <w:link w:val="CommentText"/>
    <w:uiPriority w:val="99"/>
    <w:semiHidden/>
    <w:rsid w:val="00555F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5F48"/>
    <w:rPr>
      <w:b/>
      <w:bCs/>
    </w:rPr>
  </w:style>
  <w:style w:type="character" w:customStyle="1" w:styleId="CommentSubjectChar">
    <w:name w:val="Comment Subject Char"/>
    <w:basedOn w:val="CommentTextChar"/>
    <w:link w:val="CommentSubject"/>
    <w:uiPriority w:val="99"/>
    <w:semiHidden/>
    <w:rsid w:val="00555F48"/>
    <w:rPr>
      <w:rFonts w:ascii="Calibri" w:eastAsia="Calibri" w:hAnsi="Calibri"/>
      <w:b/>
      <w:bCs/>
      <w:sz w:val="20"/>
      <w:szCs w:val="20"/>
    </w:rPr>
  </w:style>
  <w:style w:type="paragraph" w:styleId="BalloonText">
    <w:name w:val="Balloon Text"/>
    <w:basedOn w:val="Normal"/>
    <w:link w:val="BalloonTextChar"/>
    <w:uiPriority w:val="99"/>
    <w:semiHidden/>
    <w:unhideWhenUsed/>
    <w:rsid w:val="005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48"/>
    <w:rPr>
      <w:rFonts w:ascii="Tahoma" w:eastAsia="Calibri" w:hAnsi="Tahoma" w:cs="Tahoma"/>
      <w:sz w:val="16"/>
      <w:szCs w:val="16"/>
    </w:rPr>
  </w:style>
  <w:style w:type="table" w:styleId="TableGrid">
    <w:name w:val="Table Grid"/>
    <w:basedOn w:val="TableNormal"/>
    <w:uiPriority w:val="59"/>
    <w:rsid w:val="00EA5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55F48"/>
    <w:rPr>
      <w:sz w:val="16"/>
      <w:szCs w:val="16"/>
    </w:rPr>
  </w:style>
  <w:style w:type="paragraph" w:styleId="CommentText">
    <w:name w:val="annotation text"/>
    <w:basedOn w:val="Normal"/>
    <w:link w:val="CommentTextChar"/>
    <w:uiPriority w:val="99"/>
    <w:semiHidden/>
    <w:unhideWhenUsed/>
    <w:rsid w:val="00555F48"/>
    <w:pPr>
      <w:spacing w:line="240" w:lineRule="auto"/>
    </w:pPr>
    <w:rPr>
      <w:sz w:val="20"/>
      <w:szCs w:val="20"/>
    </w:rPr>
  </w:style>
  <w:style w:type="character" w:customStyle="1" w:styleId="CommentTextChar">
    <w:name w:val="Comment Text Char"/>
    <w:basedOn w:val="DefaultParagraphFont"/>
    <w:link w:val="CommentText"/>
    <w:uiPriority w:val="99"/>
    <w:semiHidden/>
    <w:rsid w:val="00555F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5F48"/>
    <w:rPr>
      <w:b/>
      <w:bCs/>
    </w:rPr>
  </w:style>
  <w:style w:type="character" w:customStyle="1" w:styleId="CommentSubjectChar">
    <w:name w:val="Comment Subject Char"/>
    <w:basedOn w:val="CommentTextChar"/>
    <w:link w:val="CommentSubject"/>
    <w:uiPriority w:val="99"/>
    <w:semiHidden/>
    <w:rsid w:val="00555F48"/>
    <w:rPr>
      <w:rFonts w:ascii="Calibri" w:eastAsia="Calibri" w:hAnsi="Calibri"/>
      <w:b/>
      <w:bCs/>
      <w:sz w:val="20"/>
      <w:szCs w:val="20"/>
    </w:rPr>
  </w:style>
  <w:style w:type="paragraph" w:styleId="BalloonText">
    <w:name w:val="Balloon Text"/>
    <w:basedOn w:val="Normal"/>
    <w:link w:val="BalloonTextChar"/>
    <w:uiPriority w:val="99"/>
    <w:semiHidden/>
    <w:unhideWhenUsed/>
    <w:rsid w:val="005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48"/>
    <w:rPr>
      <w:rFonts w:ascii="Tahoma" w:eastAsia="Calibri" w:hAnsi="Tahoma" w:cs="Tahoma"/>
      <w:sz w:val="16"/>
      <w:szCs w:val="16"/>
    </w:rPr>
  </w:style>
  <w:style w:type="table" w:styleId="TableGrid">
    <w:name w:val="Table Grid"/>
    <w:basedOn w:val="TableNormal"/>
    <w:uiPriority w:val="59"/>
    <w:rsid w:val="00EA5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91F8-09A7-43ED-914F-EC5F8736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cp:lastModifiedBy>
  <cp:revision>2</cp:revision>
  <cp:lastPrinted>2014-11-07T14:06:00Z</cp:lastPrinted>
  <dcterms:created xsi:type="dcterms:W3CDTF">2014-12-11T19:05:00Z</dcterms:created>
  <dcterms:modified xsi:type="dcterms:W3CDTF">2014-12-11T19:05:00Z</dcterms:modified>
</cp:coreProperties>
</file>