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C36" w:rsidRDefault="009C5C36">
      <w:pPr>
        <w:pStyle w:val="Title"/>
      </w:pPr>
    </w:p>
    <w:p w:rsidR="0014457A" w:rsidRDefault="0014457A">
      <w:pPr>
        <w:pStyle w:val="Title"/>
      </w:pPr>
    </w:p>
    <w:p w:rsidR="009C5C36" w:rsidRPr="00EC3D6D" w:rsidRDefault="009C5C36">
      <w:pPr>
        <w:pStyle w:val="Title"/>
      </w:pPr>
      <w:r w:rsidRPr="00EC3D6D">
        <w:t>SUPPORTING STATEMENT</w:t>
      </w:r>
    </w:p>
    <w:p w:rsidR="009C5C36" w:rsidRDefault="009C5C36"/>
    <w:p w:rsidR="009C5C36" w:rsidRDefault="009C5C36">
      <w:pPr>
        <w:pStyle w:val="Heading1"/>
        <w:rPr>
          <w:u w:val="single"/>
        </w:rPr>
      </w:pPr>
      <w:r w:rsidRPr="0067021B">
        <w:rPr>
          <w:u w:val="single"/>
        </w:rPr>
        <w:t>Justification</w:t>
      </w:r>
      <w:r w:rsidR="0067021B" w:rsidRPr="005025A7">
        <w:t>:</w:t>
      </w:r>
    </w:p>
    <w:p w:rsidR="007518FF" w:rsidRDefault="007518FF" w:rsidP="007518FF"/>
    <w:p w:rsidR="009C5C36" w:rsidRDefault="009C5C36"/>
    <w:p w:rsidR="009C5C36" w:rsidRDefault="009C5C36">
      <w:pPr>
        <w:numPr>
          <w:ilvl w:val="0"/>
          <w:numId w:val="2"/>
        </w:numPr>
        <w:rPr>
          <w:sz w:val="22"/>
        </w:rPr>
      </w:pPr>
      <w:r>
        <w:rPr>
          <w:sz w:val="22"/>
        </w:rPr>
        <w:t>T</w:t>
      </w:r>
      <w:r w:rsidR="0067021B">
        <w:rPr>
          <w:sz w:val="22"/>
        </w:rPr>
        <w:t xml:space="preserve">he Federal Communications Commission (FCC), in accordance with the Communications Act of 1934, as amended, is required to assess and collect regulatory fees from its licensees and </w:t>
      </w:r>
      <w:proofErr w:type="spellStart"/>
      <w:r w:rsidR="0067021B">
        <w:rPr>
          <w:sz w:val="22"/>
        </w:rPr>
        <w:t>regulatees</w:t>
      </w:r>
      <w:proofErr w:type="spellEnd"/>
      <w:r w:rsidR="0067021B">
        <w:rPr>
          <w:sz w:val="22"/>
        </w:rPr>
        <w:t xml:space="preserve"> in order to recover its costs incurred in conducting enforcement, policy and rulemaking, international and user information services</w:t>
      </w:r>
      <w:r>
        <w:rPr>
          <w:sz w:val="22"/>
        </w:rPr>
        <w:t xml:space="preserve">.  </w:t>
      </w:r>
    </w:p>
    <w:p w:rsidR="007518FF" w:rsidRDefault="007518FF" w:rsidP="007518FF">
      <w:pPr>
        <w:rPr>
          <w:sz w:val="22"/>
        </w:rPr>
      </w:pPr>
    </w:p>
    <w:p w:rsidR="007518FF" w:rsidRDefault="0032058F" w:rsidP="007518FF">
      <w:pPr>
        <w:ind w:left="720"/>
        <w:rPr>
          <w:sz w:val="22"/>
        </w:rPr>
      </w:pPr>
      <w:r>
        <w:rPr>
          <w:sz w:val="22"/>
        </w:rPr>
        <w:t>T</w:t>
      </w:r>
      <w:r w:rsidR="007518FF">
        <w:rPr>
          <w:sz w:val="22"/>
        </w:rPr>
        <w:t>his information collection does not affect individuals or households; thus, there are no impacts under the Privacy Act.</w:t>
      </w:r>
    </w:p>
    <w:p w:rsidR="009C5C36" w:rsidRDefault="009C5C36">
      <w:pPr>
        <w:rPr>
          <w:sz w:val="22"/>
        </w:rPr>
      </w:pPr>
    </w:p>
    <w:p w:rsidR="009C5C36" w:rsidRDefault="0067021B" w:rsidP="00EB70E8">
      <w:pPr>
        <w:ind w:left="720"/>
        <w:rPr>
          <w:sz w:val="22"/>
        </w:rPr>
      </w:pPr>
      <w:r>
        <w:rPr>
          <w:sz w:val="22"/>
        </w:rPr>
        <w:t>Statutory authority to collect this information is 47 U.S.C. 159.</w:t>
      </w:r>
    </w:p>
    <w:p w:rsidR="009C5C36" w:rsidRDefault="009C5C36">
      <w:pPr>
        <w:ind w:left="360"/>
        <w:rPr>
          <w:sz w:val="22"/>
        </w:rPr>
      </w:pPr>
    </w:p>
    <w:p w:rsidR="001216C0" w:rsidRDefault="009C5C36">
      <w:pPr>
        <w:numPr>
          <w:ilvl w:val="0"/>
          <w:numId w:val="2"/>
        </w:numPr>
        <w:rPr>
          <w:sz w:val="22"/>
        </w:rPr>
      </w:pPr>
      <w:r>
        <w:rPr>
          <w:sz w:val="22"/>
        </w:rPr>
        <w:t xml:space="preserve">The </w:t>
      </w:r>
      <w:r w:rsidR="0067021B">
        <w:rPr>
          <w:sz w:val="22"/>
        </w:rPr>
        <w:t xml:space="preserve">purpose for the requirements are to:  </w:t>
      </w:r>
    </w:p>
    <w:p w:rsidR="001216C0" w:rsidRDefault="001216C0" w:rsidP="001216C0">
      <w:pPr>
        <w:ind w:left="360"/>
        <w:rPr>
          <w:sz w:val="22"/>
        </w:rPr>
      </w:pPr>
    </w:p>
    <w:p w:rsidR="001216C0" w:rsidRDefault="001216C0" w:rsidP="005025A7">
      <w:pPr>
        <w:ind w:left="1080" w:hanging="360"/>
        <w:rPr>
          <w:sz w:val="22"/>
        </w:rPr>
      </w:pPr>
      <w:r>
        <w:rPr>
          <w:sz w:val="22"/>
        </w:rPr>
        <w:t>a</w:t>
      </w:r>
      <w:r w:rsidR="0067021B">
        <w:rPr>
          <w:sz w:val="22"/>
        </w:rPr>
        <w:t xml:space="preserve">)  </w:t>
      </w:r>
      <w:proofErr w:type="gramStart"/>
      <w:r w:rsidR="0067021B">
        <w:rPr>
          <w:sz w:val="22"/>
        </w:rPr>
        <w:t>facilitate</w:t>
      </w:r>
      <w:proofErr w:type="gramEnd"/>
      <w:r w:rsidR="0067021B">
        <w:rPr>
          <w:sz w:val="22"/>
        </w:rPr>
        <w:t xml:space="preserve"> the statutory provision that non-profit entities be exempt from payment of regulatory fees; and </w:t>
      </w:r>
    </w:p>
    <w:p w:rsidR="001216C0" w:rsidRDefault="001216C0" w:rsidP="001216C0">
      <w:pPr>
        <w:ind w:left="720"/>
        <w:rPr>
          <w:sz w:val="22"/>
        </w:rPr>
      </w:pPr>
    </w:p>
    <w:p w:rsidR="009C5C36" w:rsidRDefault="001216C0" w:rsidP="001216C0">
      <w:pPr>
        <w:ind w:left="720"/>
        <w:rPr>
          <w:sz w:val="22"/>
        </w:rPr>
      </w:pPr>
      <w:r>
        <w:rPr>
          <w:sz w:val="22"/>
        </w:rPr>
        <w:t>b</w:t>
      </w:r>
      <w:r w:rsidR="0067021B">
        <w:rPr>
          <w:sz w:val="22"/>
        </w:rPr>
        <w:t xml:space="preserve">) </w:t>
      </w:r>
      <w:proofErr w:type="gramStart"/>
      <w:r w:rsidR="0067021B">
        <w:rPr>
          <w:sz w:val="22"/>
        </w:rPr>
        <w:t>facilitate</w:t>
      </w:r>
      <w:proofErr w:type="gramEnd"/>
      <w:r w:rsidR="0067021B">
        <w:rPr>
          <w:sz w:val="22"/>
        </w:rPr>
        <w:t xml:space="preserve"> the FCC’s ability to audit regulatory fee payment compliance.</w:t>
      </w:r>
    </w:p>
    <w:p w:rsidR="0067021B" w:rsidRDefault="0067021B" w:rsidP="0067021B">
      <w:pPr>
        <w:rPr>
          <w:sz w:val="22"/>
        </w:rPr>
      </w:pPr>
    </w:p>
    <w:p w:rsidR="007518FF" w:rsidRDefault="0067021B" w:rsidP="00EB70E8">
      <w:pPr>
        <w:ind w:left="720"/>
        <w:rPr>
          <w:sz w:val="22"/>
        </w:rPr>
      </w:pPr>
      <w:r>
        <w:rPr>
          <w:sz w:val="22"/>
        </w:rPr>
        <w:t xml:space="preserve">In order to develop a </w:t>
      </w:r>
      <w:r w:rsidRPr="001216C0">
        <w:rPr>
          <w:i/>
          <w:sz w:val="22"/>
        </w:rPr>
        <w:t>Schedule of Regulatory Fees</w:t>
      </w:r>
      <w:r>
        <w:rPr>
          <w:sz w:val="22"/>
        </w:rPr>
        <w:t>, the FCC must</w:t>
      </w:r>
      <w:r w:rsidR="00286D6C">
        <w:rPr>
          <w:sz w:val="22"/>
        </w:rPr>
        <w:t>,</w:t>
      </w:r>
      <w:r>
        <w:rPr>
          <w:sz w:val="22"/>
        </w:rPr>
        <w:t xml:space="preserve"> as accurately as possible, estimate the number of </w:t>
      </w:r>
      <w:r w:rsidR="00F648CA">
        <w:rPr>
          <w:sz w:val="22"/>
        </w:rPr>
        <w:t xml:space="preserve">fee </w:t>
      </w:r>
      <w:r>
        <w:rPr>
          <w:sz w:val="22"/>
        </w:rPr>
        <w:t xml:space="preserve">payment </w:t>
      </w:r>
      <w:r w:rsidR="00F648CA">
        <w:rPr>
          <w:sz w:val="22"/>
        </w:rPr>
        <w:t>entities</w:t>
      </w:r>
      <w:r>
        <w:rPr>
          <w:sz w:val="22"/>
        </w:rPr>
        <w:t xml:space="preserve"> and distribute the costs.</w:t>
      </w:r>
    </w:p>
    <w:p w:rsidR="001216C0" w:rsidRDefault="0067021B" w:rsidP="00EB70E8">
      <w:pPr>
        <w:ind w:left="720"/>
        <w:rPr>
          <w:sz w:val="22"/>
        </w:rPr>
      </w:pPr>
      <w:r>
        <w:rPr>
          <w:sz w:val="22"/>
        </w:rPr>
        <w:t xml:space="preserve">    </w:t>
      </w:r>
    </w:p>
    <w:p w:rsidR="001216C0" w:rsidRDefault="0067021B" w:rsidP="001216C0">
      <w:pPr>
        <w:numPr>
          <w:ilvl w:val="0"/>
          <w:numId w:val="3"/>
        </w:numPr>
        <w:rPr>
          <w:sz w:val="22"/>
        </w:rPr>
      </w:pPr>
      <w:r>
        <w:rPr>
          <w:sz w:val="22"/>
        </w:rPr>
        <w:t xml:space="preserve">These estimates must be adjusted to account for any licensees or </w:t>
      </w:r>
      <w:proofErr w:type="spellStart"/>
      <w:r>
        <w:rPr>
          <w:sz w:val="22"/>
        </w:rPr>
        <w:t>regulatees</w:t>
      </w:r>
      <w:proofErr w:type="spellEnd"/>
      <w:r>
        <w:rPr>
          <w:sz w:val="22"/>
        </w:rPr>
        <w:t xml:space="preserve"> that are exempt from payment of regulatory fees.    </w:t>
      </w:r>
    </w:p>
    <w:p w:rsidR="001216C0" w:rsidRDefault="001216C0" w:rsidP="001216C0">
      <w:pPr>
        <w:numPr>
          <w:ilvl w:val="0"/>
          <w:numId w:val="3"/>
        </w:numPr>
        <w:rPr>
          <w:sz w:val="22"/>
        </w:rPr>
      </w:pPr>
      <w:r>
        <w:rPr>
          <w:sz w:val="22"/>
        </w:rPr>
        <w:t xml:space="preserve">The </w:t>
      </w:r>
      <w:r w:rsidR="0067021B">
        <w:rPr>
          <w:sz w:val="22"/>
        </w:rPr>
        <w:t xml:space="preserve">FCC is requiring all licensees and </w:t>
      </w:r>
      <w:proofErr w:type="spellStart"/>
      <w:r w:rsidR="0067021B">
        <w:rPr>
          <w:sz w:val="22"/>
        </w:rPr>
        <w:t>regulatees</w:t>
      </w:r>
      <w:proofErr w:type="spellEnd"/>
      <w:r w:rsidR="0067021B">
        <w:rPr>
          <w:sz w:val="22"/>
        </w:rPr>
        <w:t xml:space="preserve"> that claim exemption as non-profit entities to provide one</w:t>
      </w:r>
      <w:r w:rsidR="007518FF">
        <w:rPr>
          <w:sz w:val="22"/>
        </w:rPr>
        <w:t>-</w:t>
      </w:r>
      <w:r w:rsidR="0067021B">
        <w:rPr>
          <w:sz w:val="22"/>
        </w:rPr>
        <w:t xml:space="preserve">time only documentation sufficient to establish their non-profit status.   </w:t>
      </w:r>
    </w:p>
    <w:p w:rsidR="001216C0" w:rsidRDefault="001216C0" w:rsidP="001216C0">
      <w:pPr>
        <w:numPr>
          <w:ilvl w:val="0"/>
          <w:numId w:val="3"/>
        </w:numPr>
        <w:rPr>
          <w:sz w:val="22"/>
        </w:rPr>
      </w:pPr>
      <w:r>
        <w:rPr>
          <w:sz w:val="22"/>
        </w:rPr>
        <w:t>T</w:t>
      </w:r>
      <w:r w:rsidR="0067021B">
        <w:rPr>
          <w:sz w:val="22"/>
        </w:rPr>
        <w:t xml:space="preserve">he FCC </w:t>
      </w:r>
      <w:r w:rsidR="00DC5B81">
        <w:rPr>
          <w:sz w:val="22"/>
        </w:rPr>
        <w:t xml:space="preserve">is requesting that it be similarly notified if for any reason that status changes.    </w:t>
      </w:r>
    </w:p>
    <w:p w:rsidR="0067021B" w:rsidRDefault="00DC5B81" w:rsidP="001216C0">
      <w:pPr>
        <w:numPr>
          <w:ilvl w:val="0"/>
          <w:numId w:val="3"/>
        </w:numPr>
        <w:rPr>
          <w:sz w:val="22"/>
        </w:rPr>
      </w:pPr>
      <w:r>
        <w:rPr>
          <w:sz w:val="22"/>
        </w:rPr>
        <w:t>Th</w:t>
      </w:r>
      <w:r w:rsidR="007518FF">
        <w:rPr>
          <w:sz w:val="22"/>
        </w:rPr>
        <w:t>e</w:t>
      </w:r>
      <w:r>
        <w:rPr>
          <w:sz w:val="22"/>
        </w:rPr>
        <w:t xml:space="preserve"> documentation </w:t>
      </w:r>
      <w:r w:rsidR="007518FF">
        <w:rPr>
          <w:sz w:val="22"/>
        </w:rPr>
        <w:t xml:space="preserve">necessary to provide to the Commission will likely take the </w:t>
      </w:r>
      <w:r w:rsidR="009B5A07">
        <w:rPr>
          <w:sz w:val="22"/>
        </w:rPr>
        <w:t xml:space="preserve">form of an Internal Revenue Service (IRS) Determination Letter, a state charter </w:t>
      </w:r>
      <w:r>
        <w:rPr>
          <w:sz w:val="22"/>
        </w:rPr>
        <w:t>indicating non-profit status, proof of church affiliation</w:t>
      </w:r>
      <w:r w:rsidR="008F465D">
        <w:rPr>
          <w:sz w:val="22"/>
        </w:rPr>
        <w:t xml:space="preserve"> indicating tax exempt status</w:t>
      </w:r>
      <w:r>
        <w:rPr>
          <w:sz w:val="22"/>
        </w:rPr>
        <w:t>, etc.</w:t>
      </w:r>
    </w:p>
    <w:p w:rsidR="00DC5B81" w:rsidRDefault="00DC5B81" w:rsidP="0067021B">
      <w:pPr>
        <w:ind w:left="360"/>
        <w:rPr>
          <w:sz w:val="22"/>
        </w:rPr>
      </w:pPr>
    </w:p>
    <w:p w:rsidR="001216C0" w:rsidRDefault="00AB0D7D" w:rsidP="00EB70E8">
      <w:pPr>
        <w:ind w:left="720"/>
        <w:rPr>
          <w:sz w:val="22"/>
        </w:rPr>
      </w:pPr>
      <w:r>
        <w:rPr>
          <w:sz w:val="22"/>
        </w:rPr>
        <w:t xml:space="preserve">The FCC is requiring licensees </w:t>
      </w:r>
      <w:r w:rsidR="007704AD">
        <w:rPr>
          <w:sz w:val="22"/>
        </w:rPr>
        <w:t xml:space="preserve">or </w:t>
      </w:r>
      <w:proofErr w:type="spellStart"/>
      <w:r w:rsidR="007704AD">
        <w:rPr>
          <w:sz w:val="22"/>
        </w:rPr>
        <w:t>regulatees</w:t>
      </w:r>
      <w:proofErr w:type="spellEnd"/>
      <w:r w:rsidR="007704AD">
        <w:rPr>
          <w:sz w:val="22"/>
        </w:rPr>
        <w:t xml:space="preserve"> </w:t>
      </w:r>
      <w:r>
        <w:rPr>
          <w:sz w:val="22"/>
        </w:rPr>
        <w:t>to maintain and to make available, upon request, for inspection such records they would normally keep in the course of doing business</w:t>
      </w:r>
      <w:r w:rsidR="001216C0">
        <w:rPr>
          <w:sz w:val="22"/>
        </w:rPr>
        <w:t xml:space="preserve">.   </w:t>
      </w:r>
      <w:r w:rsidR="007518FF">
        <w:rPr>
          <w:sz w:val="22"/>
        </w:rPr>
        <w:t xml:space="preserve">This will enable the FCC to conduct any audits deemed appropriate to determine whether fee payments were made correctly, and </w:t>
      </w:r>
      <w:r w:rsidR="002B2C40">
        <w:rPr>
          <w:sz w:val="22"/>
        </w:rPr>
        <w:t xml:space="preserve">it </w:t>
      </w:r>
      <w:r w:rsidR="007518FF">
        <w:rPr>
          <w:sz w:val="22"/>
        </w:rPr>
        <w:t xml:space="preserve">will help ensure compliance with </w:t>
      </w:r>
      <w:r w:rsidR="00F648CA">
        <w:rPr>
          <w:sz w:val="22"/>
        </w:rPr>
        <w:t>the FCC</w:t>
      </w:r>
      <w:r w:rsidR="007518FF">
        <w:rPr>
          <w:sz w:val="22"/>
        </w:rPr>
        <w:t xml:space="preserve"> fee exemption policies.</w:t>
      </w:r>
    </w:p>
    <w:p w:rsidR="009C5C36" w:rsidRDefault="009C5C36">
      <w:pPr>
        <w:rPr>
          <w:sz w:val="22"/>
        </w:rPr>
      </w:pPr>
    </w:p>
    <w:p w:rsidR="009C5C36" w:rsidRDefault="001216C0">
      <w:pPr>
        <w:numPr>
          <w:ilvl w:val="0"/>
          <w:numId w:val="2"/>
        </w:numPr>
        <w:rPr>
          <w:sz w:val="22"/>
        </w:rPr>
      </w:pPr>
      <w:r>
        <w:rPr>
          <w:sz w:val="22"/>
        </w:rPr>
        <w:t xml:space="preserve">The FCC does not specify how licensees and </w:t>
      </w:r>
      <w:proofErr w:type="spellStart"/>
      <w:r>
        <w:rPr>
          <w:sz w:val="22"/>
        </w:rPr>
        <w:t>regulatees</w:t>
      </w:r>
      <w:proofErr w:type="spellEnd"/>
      <w:r>
        <w:rPr>
          <w:sz w:val="22"/>
        </w:rPr>
        <w:t>’ records should be maintained, nor does the Commission restrict how the information is submitted to the FCC.   Such records may be kept in electronic form and submitted in whatever medi</w:t>
      </w:r>
      <w:r w:rsidR="002B2C40">
        <w:rPr>
          <w:sz w:val="22"/>
        </w:rPr>
        <w:t>um</w:t>
      </w:r>
      <w:r>
        <w:rPr>
          <w:sz w:val="22"/>
        </w:rPr>
        <w:t xml:space="preserve"> is most practical.    The Commission believes that 50 percent of non-profit licensees and </w:t>
      </w:r>
      <w:proofErr w:type="spellStart"/>
      <w:r>
        <w:rPr>
          <w:sz w:val="22"/>
        </w:rPr>
        <w:t>regulatees</w:t>
      </w:r>
      <w:proofErr w:type="spellEnd"/>
      <w:r>
        <w:rPr>
          <w:sz w:val="22"/>
        </w:rPr>
        <w:t xml:space="preserve"> maintain their recordkeeping documentation and submit this information on paper and the other half of the licensees or </w:t>
      </w:r>
      <w:proofErr w:type="spellStart"/>
      <w:r>
        <w:rPr>
          <w:sz w:val="22"/>
        </w:rPr>
        <w:t>regulatees</w:t>
      </w:r>
      <w:proofErr w:type="spellEnd"/>
      <w:r>
        <w:rPr>
          <w:sz w:val="22"/>
        </w:rPr>
        <w:t xml:space="preserve"> submit it electronically</w:t>
      </w:r>
      <w:r w:rsidR="00F645E8">
        <w:rPr>
          <w:sz w:val="22"/>
        </w:rPr>
        <w:t>.</w:t>
      </w:r>
    </w:p>
    <w:p w:rsidR="009C5C36" w:rsidRDefault="009C5C36">
      <w:pPr>
        <w:rPr>
          <w:sz w:val="22"/>
        </w:rPr>
      </w:pPr>
    </w:p>
    <w:p w:rsidR="009C5C36" w:rsidRDefault="009C5C36">
      <w:pPr>
        <w:numPr>
          <w:ilvl w:val="0"/>
          <w:numId w:val="2"/>
        </w:numPr>
        <w:rPr>
          <w:sz w:val="22"/>
        </w:rPr>
      </w:pPr>
      <w:r>
        <w:rPr>
          <w:sz w:val="22"/>
        </w:rPr>
        <w:t xml:space="preserve">The Commission does not impose a similar information collection on the respondents.  No similar data </w:t>
      </w:r>
      <w:r w:rsidR="009B7A82">
        <w:rPr>
          <w:sz w:val="22"/>
        </w:rPr>
        <w:t>are</w:t>
      </w:r>
      <w:r>
        <w:rPr>
          <w:sz w:val="22"/>
        </w:rPr>
        <w:t xml:space="preserve"> available.</w:t>
      </w:r>
    </w:p>
    <w:p w:rsidR="009C5C36" w:rsidRDefault="009C5C36">
      <w:pPr>
        <w:rPr>
          <w:sz w:val="22"/>
        </w:rPr>
      </w:pPr>
    </w:p>
    <w:p w:rsidR="009C5C36" w:rsidRDefault="008721EE">
      <w:pPr>
        <w:numPr>
          <w:ilvl w:val="0"/>
          <w:numId w:val="2"/>
        </w:numPr>
        <w:rPr>
          <w:sz w:val="22"/>
        </w:rPr>
      </w:pPr>
      <w:r>
        <w:rPr>
          <w:sz w:val="22"/>
        </w:rPr>
        <w:t xml:space="preserve">The </w:t>
      </w:r>
      <w:r w:rsidR="00E41276">
        <w:rPr>
          <w:sz w:val="22"/>
        </w:rPr>
        <w:t xml:space="preserve">Commission believes that this information collection affects few small businesses, </w:t>
      </w:r>
      <w:r w:rsidR="00E41276" w:rsidRPr="00B60095">
        <w:rPr>
          <w:i/>
          <w:sz w:val="22"/>
        </w:rPr>
        <w:t>i.e.</w:t>
      </w:r>
      <w:r w:rsidR="00E41276">
        <w:rPr>
          <w:sz w:val="22"/>
        </w:rPr>
        <w:t xml:space="preserve">, there is not a significant economic impact on “small entities”.   </w:t>
      </w:r>
      <w:r w:rsidR="009C5C36">
        <w:rPr>
          <w:sz w:val="22"/>
        </w:rPr>
        <w:t xml:space="preserve">In conformance with the Paperwork Reduction Act of 1995, the Commission has put forth every effort to minimize the burden on all respondents including small businesses.  The Commission has limited the information requirements to that absolutely necessary for evaluating and processing the </w:t>
      </w:r>
      <w:r w:rsidR="00F645E8">
        <w:rPr>
          <w:sz w:val="22"/>
        </w:rPr>
        <w:t>documentation a</w:t>
      </w:r>
      <w:r w:rsidR="009C5C36">
        <w:rPr>
          <w:sz w:val="22"/>
        </w:rPr>
        <w:t>nd to ensure compliance.</w:t>
      </w:r>
    </w:p>
    <w:p w:rsidR="009C5C36" w:rsidRDefault="009C5C36">
      <w:pPr>
        <w:rPr>
          <w:sz w:val="22"/>
        </w:rPr>
      </w:pPr>
    </w:p>
    <w:p w:rsidR="009C5C36" w:rsidRDefault="00F645E8">
      <w:pPr>
        <w:numPr>
          <w:ilvl w:val="0"/>
          <w:numId w:val="2"/>
        </w:numPr>
        <w:rPr>
          <w:sz w:val="22"/>
        </w:rPr>
      </w:pPr>
      <w:r>
        <w:rPr>
          <w:sz w:val="22"/>
        </w:rPr>
        <w:t xml:space="preserve">If the non-profit data were not collected, the FCC must either arbitrarily reduce the </w:t>
      </w:r>
      <w:r w:rsidR="00B508E9">
        <w:rPr>
          <w:sz w:val="22"/>
        </w:rPr>
        <w:t xml:space="preserve">estimated </w:t>
      </w:r>
      <w:r>
        <w:rPr>
          <w:sz w:val="22"/>
        </w:rPr>
        <w:t xml:space="preserve">fee payment </w:t>
      </w:r>
      <w:r w:rsidR="00B508E9">
        <w:rPr>
          <w:sz w:val="22"/>
        </w:rPr>
        <w:t>entities</w:t>
      </w:r>
      <w:r>
        <w:rPr>
          <w:sz w:val="22"/>
        </w:rPr>
        <w:t xml:space="preserve"> </w:t>
      </w:r>
      <w:r w:rsidR="00B508E9">
        <w:rPr>
          <w:sz w:val="22"/>
        </w:rPr>
        <w:t xml:space="preserve">which would </w:t>
      </w:r>
      <w:r>
        <w:rPr>
          <w:sz w:val="22"/>
        </w:rPr>
        <w:t>result in a higher fee payment unit</w:t>
      </w:r>
      <w:r w:rsidR="00B508E9">
        <w:rPr>
          <w:sz w:val="22"/>
        </w:rPr>
        <w:t>/charge</w:t>
      </w:r>
      <w:r>
        <w:rPr>
          <w:sz w:val="22"/>
        </w:rPr>
        <w:t>, or the FCC is at risk of failing to collect the full amount of regulatory fees mandated by Congress.   Likewise, subscriber regulatory fees would have to be increased for those who do pay to offset those that do not.</w:t>
      </w:r>
    </w:p>
    <w:p w:rsidR="009C5C36" w:rsidRDefault="009C5C36">
      <w:pPr>
        <w:rPr>
          <w:sz w:val="22"/>
        </w:rPr>
      </w:pPr>
    </w:p>
    <w:p w:rsidR="009C5C36" w:rsidRDefault="00F645E8">
      <w:pPr>
        <w:numPr>
          <w:ilvl w:val="0"/>
          <w:numId w:val="2"/>
        </w:numPr>
        <w:rPr>
          <w:sz w:val="22"/>
        </w:rPr>
      </w:pPr>
      <w:r>
        <w:rPr>
          <w:sz w:val="22"/>
        </w:rPr>
        <w:t xml:space="preserve">It is critical that the FCC continue to obtain the non-profit documentation.   This </w:t>
      </w:r>
      <w:r w:rsidR="00E41276">
        <w:rPr>
          <w:sz w:val="22"/>
        </w:rPr>
        <w:t xml:space="preserve">is </w:t>
      </w:r>
      <w:r>
        <w:rPr>
          <w:sz w:val="22"/>
        </w:rPr>
        <w:t>required for newly licensed or operating non-profit entities who are filing for exempt status within 60 days of receipt of license, authorization, permit, or of commencing operation.</w:t>
      </w:r>
    </w:p>
    <w:p w:rsidR="00F645E8" w:rsidRDefault="00F645E8" w:rsidP="00F645E8">
      <w:pPr>
        <w:rPr>
          <w:sz w:val="22"/>
        </w:rPr>
      </w:pPr>
    </w:p>
    <w:p w:rsidR="009C5C36" w:rsidRDefault="009C5C36">
      <w:pPr>
        <w:numPr>
          <w:ilvl w:val="0"/>
          <w:numId w:val="2"/>
        </w:numPr>
        <w:rPr>
          <w:sz w:val="22"/>
        </w:rPr>
      </w:pPr>
      <w:r>
        <w:rPr>
          <w:sz w:val="22"/>
        </w:rPr>
        <w:t xml:space="preserve">The Commission </w:t>
      </w:r>
      <w:r w:rsidR="00F645E8">
        <w:rPr>
          <w:sz w:val="22"/>
        </w:rPr>
        <w:t xml:space="preserve">published </w:t>
      </w:r>
      <w:r>
        <w:rPr>
          <w:sz w:val="22"/>
        </w:rPr>
        <w:t xml:space="preserve">a </w:t>
      </w:r>
      <w:r w:rsidR="00A57E09">
        <w:rPr>
          <w:sz w:val="22"/>
        </w:rPr>
        <w:t>60 Day N</w:t>
      </w:r>
      <w:r w:rsidR="00F645E8">
        <w:rPr>
          <w:sz w:val="22"/>
        </w:rPr>
        <w:t xml:space="preserve">otice </w:t>
      </w:r>
      <w:r w:rsidR="00E41276">
        <w:rPr>
          <w:sz w:val="22"/>
        </w:rPr>
        <w:t xml:space="preserve">in the Federal Register </w:t>
      </w:r>
      <w:r w:rsidR="00A57E09">
        <w:rPr>
          <w:sz w:val="22"/>
        </w:rPr>
        <w:t xml:space="preserve">soliciting public </w:t>
      </w:r>
      <w:r>
        <w:rPr>
          <w:sz w:val="22"/>
        </w:rPr>
        <w:t>comment</w:t>
      </w:r>
      <w:r w:rsidR="00A8683E">
        <w:rPr>
          <w:sz w:val="22"/>
        </w:rPr>
        <w:t>s</w:t>
      </w:r>
      <w:r>
        <w:rPr>
          <w:sz w:val="22"/>
        </w:rPr>
        <w:t xml:space="preserve"> on </w:t>
      </w:r>
      <w:r w:rsidR="00E41276">
        <w:rPr>
          <w:sz w:val="22"/>
        </w:rPr>
        <w:t xml:space="preserve">October </w:t>
      </w:r>
      <w:r w:rsidR="00A8683E">
        <w:rPr>
          <w:sz w:val="22"/>
        </w:rPr>
        <w:t>23</w:t>
      </w:r>
      <w:r w:rsidR="00E41276">
        <w:rPr>
          <w:sz w:val="22"/>
        </w:rPr>
        <w:t>, 20</w:t>
      </w:r>
      <w:r w:rsidR="00B508E9">
        <w:rPr>
          <w:sz w:val="22"/>
        </w:rPr>
        <w:t>1</w:t>
      </w:r>
      <w:r w:rsidR="00A57E09">
        <w:rPr>
          <w:sz w:val="22"/>
        </w:rPr>
        <w:t>4</w:t>
      </w:r>
      <w:r w:rsidR="00F645E8">
        <w:rPr>
          <w:sz w:val="22"/>
        </w:rPr>
        <w:t xml:space="preserve"> (</w:t>
      </w:r>
      <w:r w:rsidR="00A8683E">
        <w:rPr>
          <w:sz w:val="22"/>
        </w:rPr>
        <w:t xml:space="preserve">79 </w:t>
      </w:r>
      <w:r w:rsidR="00F645E8">
        <w:rPr>
          <w:sz w:val="22"/>
        </w:rPr>
        <w:t xml:space="preserve">FR </w:t>
      </w:r>
      <w:r w:rsidR="00A8683E">
        <w:rPr>
          <w:sz w:val="22"/>
        </w:rPr>
        <w:t>63393</w:t>
      </w:r>
      <w:r w:rsidR="00F645E8">
        <w:rPr>
          <w:sz w:val="22"/>
        </w:rPr>
        <w:t>).  No c</w:t>
      </w:r>
      <w:r>
        <w:rPr>
          <w:sz w:val="22"/>
        </w:rPr>
        <w:t xml:space="preserve">omments were received </w:t>
      </w:r>
      <w:r w:rsidR="00A57E09">
        <w:rPr>
          <w:sz w:val="22"/>
        </w:rPr>
        <w:t>from the public.</w:t>
      </w:r>
      <w:r w:rsidR="00E41276">
        <w:rPr>
          <w:sz w:val="22"/>
        </w:rPr>
        <w:t xml:space="preserve">   </w:t>
      </w:r>
    </w:p>
    <w:p w:rsidR="00354DDA" w:rsidRDefault="00354DDA" w:rsidP="00354DDA">
      <w:pPr>
        <w:ind w:left="360"/>
        <w:rPr>
          <w:sz w:val="22"/>
        </w:rPr>
      </w:pPr>
    </w:p>
    <w:p w:rsidR="009C5C36" w:rsidRDefault="009C5C36">
      <w:pPr>
        <w:numPr>
          <w:ilvl w:val="0"/>
          <w:numId w:val="2"/>
        </w:numPr>
        <w:rPr>
          <w:sz w:val="22"/>
        </w:rPr>
      </w:pPr>
      <w:r>
        <w:rPr>
          <w:sz w:val="22"/>
        </w:rPr>
        <w:t>Respondents will not receive</w:t>
      </w:r>
      <w:r w:rsidR="0032058F">
        <w:rPr>
          <w:sz w:val="22"/>
        </w:rPr>
        <w:t xml:space="preserve"> </w:t>
      </w:r>
      <w:r>
        <w:rPr>
          <w:sz w:val="22"/>
        </w:rPr>
        <w:t>payments or gifts.</w:t>
      </w:r>
    </w:p>
    <w:p w:rsidR="009C5C36" w:rsidRDefault="009C5C36">
      <w:pPr>
        <w:rPr>
          <w:sz w:val="22"/>
        </w:rPr>
      </w:pPr>
    </w:p>
    <w:p w:rsidR="009C5C36" w:rsidRDefault="007704AD">
      <w:pPr>
        <w:numPr>
          <w:ilvl w:val="0"/>
          <w:numId w:val="2"/>
        </w:numPr>
        <w:rPr>
          <w:sz w:val="22"/>
        </w:rPr>
      </w:pPr>
      <w:r>
        <w:rPr>
          <w:sz w:val="22"/>
        </w:rPr>
        <w:t>L</w:t>
      </w:r>
      <w:r w:rsidR="00376090">
        <w:rPr>
          <w:sz w:val="22"/>
        </w:rPr>
        <w:t xml:space="preserve">icensees </w:t>
      </w:r>
      <w:r>
        <w:rPr>
          <w:sz w:val="22"/>
        </w:rPr>
        <w:t xml:space="preserve">or </w:t>
      </w:r>
      <w:proofErr w:type="spellStart"/>
      <w:r>
        <w:rPr>
          <w:sz w:val="22"/>
        </w:rPr>
        <w:t>regulatees</w:t>
      </w:r>
      <w:proofErr w:type="spellEnd"/>
      <w:r>
        <w:rPr>
          <w:sz w:val="22"/>
        </w:rPr>
        <w:t xml:space="preserve"> </w:t>
      </w:r>
      <w:r w:rsidR="00376090">
        <w:rPr>
          <w:sz w:val="22"/>
        </w:rPr>
        <w:t>concerned about disclosure of sensitive information in any submissions to the FCC may request confidential treatment pursuant to Section 0.459 of the Commission’s rules.   See 47 CFR 0.459.</w:t>
      </w:r>
    </w:p>
    <w:p w:rsidR="009C5C36" w:rsidRDefault="009C5C36">
      <w:pPr>
        <w:rPr>
          <w:sz w:val="22"/>
        </w:rPr>
      </w:pPr>
    </w:p>
    <w:p w:rsidR="000E6581" w:rsidRDefault="009C5C36" w:rsidP="009B5A07">
      <w:pPr>
        <w:numPr>
          <w:ilvl w:val="0"/>
          <w:numId w:val="2"/>
        </w:numPr>
        <w:rPr>
          <w:sz w:val="22"/>
        </w:rPr>
      </w:pPr>
      <w:r>
        <w:rPr>
          <w:sz w:val="22"/>
        </w:rPr>
        <w:t>No private matters of a sensitive nature were addressed.</w:t>
      </w:r>
    </w:p>
    <w:p w:rsidR="00A436D1" w:rsidRDefault="00A436D1" w:rsidP="00A436D1">
      <w:pPr>
        <w:ind w:left="360"/>
        <w:rPr>
          <w:sz w:val="22"/>
        </w:rPr>
      </w:pPr>
    </w:p>
    <w:p w:rsidR="00D427AC" w:rsidRDefault="00D427AC" w:rsidP="00D427AC">
      <w:pPr>
        <w:numPr>
          <w:ilvl w:val="0"/>
          <w:numId w:val="2"/>
        </w:numPr>
        <w:rPr>
          <w:sz w:val="22"/>
          <w:szCs w:val="22"/>
        </w:rPr>
      </w:pPr>
      <w:r>
        <w:rPr>
          <w:sz w:val="22"/>
          <w:szCs w:val="22"/>
        </w:rPr>
        <w:t xml:space="preserve">The estimated number of respondents has increased, and as a result, </w:t>
      </w:r>
      <w:r w:rsidRPr="007518FF">
        <w:rPr>
          <w:sz w:val="22"/>
          <w:szCs w:val="22"/>
        </w:rPr>
        <w:t xml:space="preserve">the </w:t>
      </w:r>
      <w:r w:rsidR="009B7A82">
        <w:rPr>
          <w:sz w:val="22"/>
          <w:szCs w:val="22"/>
        </w:rPr>
        <w:t xml:space="preserve">total </w:t>
      </w:r>
      <w:r w:rsidRPr="007518FF">
        <w:rPr>
          <w:sz w:val="22"/>
          <w:szCs w:val="22"/>
        </w:rPr>
        <w:t xml:space="preserve">hourly burden on </w:t>
      </w:r>
      <w:r>
        <w:rPr>
          <w:sz w:val="22"/>
          <w:szCs w:val="22"/>
        </w:rPr>
        <w:t xml:space="preserve">all </w:t>
      </w:r>
      <w:r w:rsidRPr="007518FF">
        <w:rPr>
          <w:sz w:val="22"/>
          <w:szCs w:val="22"/>
        </w:rPr>
        <w:t>respondents</w:t>
      </w:r>
      <w:r>
        <w:rPr>
          <w:sz w:val="22"/>
          <w:szCs w:val="22"/>
        </w:rPr>
        <w:t xml:space="preserve"> </w:t>
      </w:r>
      <w:r w:rsidR="009B7A82">
        <w:rPr>
          <w:sz w:val="22"/>
          <w:szCs w:val="22"/>
        </w:rPr>
        <w:t>(</w:t>
      </w:r>
      <w:r>
        <w:rPr>
          <w:sz w:val="22"/>
          <w:szCs w:val="22"/>
        </w:rPr>
        <w:t>as a whole</w:t>
      </w:r>
      <w:r w:rsidR="009B7A82">
        <w:rPr>
          <w:sz w:val="22"/>
          <w:szCs w:val="22"/>
        </w:rPr>
        <w:t>)</w:t>
      </w:r>
      <w:r>
        <w:rPr>
          <w:sz w:val="22"/>
          <w:szCs w:val="22"/>
        </w:rPr>
        <w:t xml:space="preserve"> has increased.</w:t>
      </w:r>
    </w:p>
    <w:p w:rsidR="00D427AC" w:rsidRPr="007518FF" w:rsidRDefault="00D427AC" w:rsidP="00D427AC">
      <w:pPr>
        <w:ind w:left="360"/>
        <w:rPr>
          <w:sz w:val="22"/>
          <w:szCs w:val="22"/>
        </w:rPr>
      </w:pPr>
    </w:p>
    <w:p w:rsidR="00EE6F7E" w:rsidRDefault="00A436D1" w:rsidP="00D427AC">
      <w:pPr>
        <w:ind w:left="720"/>
        <w:rPr>
          <w:sz w:val="22"/>
        </w:rPr>
      </w:pPr>
      <w:r>
        <w:rPr>
          <w:sz w:val="22"/>
        </w:rPr>
        <w:t>T</w:t>
      </w:r>
      <w:r w:rsidR="000E6581">
        <w:rPr>
          <w:sz w:val="22"/>
        </w:rPr>
        <w:t xml:space="preserve">he </w:t>
      </w:r>
      <w:r w:rsidR="00E41276">
        <w:rPr>
          <w:sz w:val="22"/>
        </w:rPr>
        <w:t>Commission estimates that</w:t>
      </w:r>
      <w:r w:rsidR="00EE6F7E">
        <w:rPr>
          <w:sz w:val="22"/>
        </w:rPr>
        <w:t>:</w:t>
      </w:r>
    </w:p>
    <w:p w:rsidR="00EE6F7E" w:rsidRDefault="00EE6F7E" w:rsidP="00D427AC">
      <w:pPr>
        <w:ind w:left="720"/>
        <w:rPr>
          <w:sz w:val="22"/>
        </w:rPr>
      </w:pPr>
    </w:p>
    <w:p w:rsidR="00EE6F7E" w:rsidRDefault="00EE6F7E" w:rsidP="00D427AC">
      <w:pPr>
        <w:ind w:left="720"/>
        <w:rPr>
          <w:sz w:val="22"/>
        </w:rPr>
      </w:pPr>
      <w:r w:rsidRPr="00EE6F7E">
        <w:rPr>
          <w:b/>
          <w:sz w:val="22"/>
        </w:rPr>
        <w:t>T</w:t>
      </w:r>
      <w:r w:rsidR="00E41276" w:rsidRPr="00EE6F7E">
        <w:rPr>
          <w:b/>
          <w:sz w:val="22"/>
        </w:rPr>
        <w:t xml:space="preserve">otal </w:t>
      </w:r>
      <w:r w:rsidRPr="00EE6F7E">
        <w:rPr>
          <w:b/>
          <w:sz w:val="22"/>
        </w:rPr>
        <w:t>N</w:t>
      </w:r>
      <w:r w:rsidR="00E41276" w:rsidRPr="00EE6F7E">
        <w:rPr>
          <w:b/>
          <w:sz w:val="22"/>
        </w:rPr>
        <w:t xml:space="preserve">umber of </w:t>
      </w:r>
      <w:r w:rsidRPr="00EE6F7E">
        <w:rPr>
          <w:b/>
          <w:sz w:val="22"/>
        </w:rPr>
        <w:t>R</w:t>
      </w:r>
      <w:r w:rsidR="00E41276" w:rsidRPr="00EE6F7E">
        <w:rPr>
          <w:b/>
          <w:sz w:val="22"/>
        </w:rPr>
        <w:t>espondents</w:t>
      </w:r>
      <w:r>
        <w:rPr>
          <w:sz w:val="22"/>
        </w:rPr>
        <w:t xml:space="preserve"> (</w:t>
      </w:r>
      <w:r>
        <w:rPr>
          <w:i/>
          <w:sz w:val="22"/>
        </w:rPr>
        <w:t>i.e.</w:t>
      </w:r>
      <w:r w:rsidR="00A82BF8" w:rsidRPr="00D427AC">
        <w:rPr>
          <w:i/>
          <w:sz w:val="22"/>
        </w:rPr>
        <w:t>.</w:t>
      </w:r>
      <w:r w:rsidR="00E41276">
        <w:rPr>
          <w:sz w:val="22"/>
        </w:rPr>
        <w:t>, non-profit entities</w:t>
      </w:r>
      <w:r>
        <w:rPr>
          <w:sz w:val="22"/>
        </w:rPr>
        <w:t>)</w:t>
      </w:r>
      <w:r w:rsidRPr="00EE6F7E">
        <w:rPr>
          <w:b/>
          <w:sz w:val="22"/>
        </w:rPr>
        <w:t>:</w:t>
      </w:r>
      <w:r>
        <w:rPr>
          <w:sz w:val="22"/>
        </w:rPr>
        <w:t xml:space="preserve"> </w:t>
      </w:r>
      <w:r w:rsidR="007943C8" w:rsidRPr="007943C8">
        <w:rPr>
          <w:b/>
          <w:sz w:val="22"/>
        </w:rPr>
        <w:t>19,169</w:t>
      </w:r>
      <w:r w:rsidR="005F69B5" w:rsidRPr="007E29C9">
        <w:rPr>
          <w:b/>
          <w:sz w:val="22"/>
        </w:rPr>
        <w:t xml:space="preserve">. </w:t>
      </w:r>
      <w:r w:rsidR="005F69B5">
        <w:rPr>
          <w:sz w:val="22"/>
        </w:rPr>
        <w:t xml:space="preserve">  </w:t>
      </w:r>
    </w:p>
    <w:p w:rsidR="00EE6F7E" w:rsidRDefault="00EE6F7E" w:rsidP="00D427AC">
      <w:pPr>
        <w:ind w:left="720"/>
        <w:rPr>
          <w:sz w:val="22"/>
        </w:rPr>
      </w:pPr>
    </w:p>
    <w:p w:rsidR="00E41276" w:rsidRDefault="009B5A07" w:rsidP="00D427AC">
      <w:pPr>
        <w:ind w:left="720"/>
        <w:rPr>
          <w:sz w:val="22"/>
        </w:rPr>
      </w:pPr>
      <w:r>
        <w:rPr>
          <w:sz w:val="22"/>
        </w:rPr>
        <w:t xml:space="preserve">This estimate is based on </w:t>
      </w:r>
      <w:r w:rsidR="000E6581">
        <w:rPr>
          <w:sz w:val="22"/>
        </w:rPr>
        <w:t>t</w:t>
      </w:r>
      <w:r>
        <w:rPr>
          <w:sz w:val="22"/>
        </w:rPr>
        <w:t>he</w:t>
      </w:r>
      <w:r w:rsidR="00E41276">
        <w:rPr>
          <w:sz w:val="22"/>
        </w:rPr>
        <w:t xml:space="preserve"> </w:t>
      </w:r>
      <w:r>
        <w:rPr>
          <w:sz w:val="22"/>
        </w:rPr>
        <w:t xml:space="preserve">number of </w:t>
      </w:r>
      <w:r w:rsidR="00D43770">
        <w:rPr>
          <w:sz w:val="22"/>
        </w:rPr>
        <w:t xml:space="preserve">non-profit entities </w:t>
      </w:r>
      <w:r w:rsidR="008F4D97">
        <w:rPr>
          <w:sz w:val="22"/>
        </w:rPr>
        <w:t>currently listed by</w:t>
      </w:r>
      <w:r>
        <w:rPr>
          <w:sz w:val="22"/>
        </w:rPr>
        <w:t xml:space="preserve"> the Commission </w:t>
      </w:r>
      <w:r w:rsidR="008F4D97">
        <w:rPr>
          <w:sz w:val="22"/>
        </w:rPr>
        <w:t>as exempted from regulatory fees due to</w:t>
      </w:r>
      <w:r>
        <w:rPr>
          <w:sz w:val="22"/>
        </w:rPr>
        <w:t xml:space="preserve"> non-profit status.   </w:t>
      </w:r>
    </w:p>
    <w:p w:rsidR="00E41276" w:rsidRDefault="00E41276" w:rsidP="00E41276">
      <w:pPr>
        <w:rPr>
          <w:sz w:val="22"/>
        </w:rPr>
      </w:pPr>
    </w:p>
    <w:p w:rsidR="00EB70E8" w:rsidRDefault="00EB70E8" w:rsidP="00EB70E8">
      <w:pPr>
        <w:ind w:left="720"/>
        <w:rPr>
          <w:sz w:val="22"/>
        </w:rPr>
      </w:pPr>
      <w:r>
        <w:rPr>
          <w:sz w:val="22"/>
        </w:rPr>
        <w:t xml:space="preserve">The FCC is requiring </w:t>
      </w:r>
      <w:r w:rsidR="00E41276">
        <w:rPr>
          <w:sz w:val="22"/>
        </w:rPr>
        <w:t xml:space="preserve">all “non-profit” </w:t>
      </w:r>
      <w:r>
        <w:rPr>
          <w:sz w:val="22"/>
        </w:rPr>
        <w:t>licensees</w:t>
      </w:r>
      <w:r w:rsidR="00E41276">
        <w:rPr>
          <w:sz w:val="22"/>
        </w:rPr>
        <w:t xml:space="preserve"> and </w:t>
      </w:r>
      <w:proofErr w:type="spellStart"/>
      <w:r w:rsidR="00E41276">
        <w:rPr>
          <w:sz w:val="22"/>
        </w:rPr>
        <w:t>regulatees</w:t>
      </w:r>
      <w:proofErr w:type="spellEnd"/>
      <w:r>
        <w:rPr>
          <w:sz w:val="22"/>
        </w:rPr>
        <w:t xml:space="preserve"> to maintain for inspection, upon request, such records as they would normally keep in the course of doing business and those used to compute the amount of the regulatory fees payment for a period of two years from the time the fee payment was made.   This will allow adequate time for the FCC to conduct any audits deemed appropriate to determine whether fee payments were correct.</w:t>
      </w:r>
    </w:p>
    <w:p w:rsidR="00506C30" w:rsidRDefault="00506C30" w:rsidP="00C966CA">
      <w:pPr>
        <w:tabs>
          <w:tab w:val="left" w:pos="1080"/>
        </w:tabs>
        <w:rPr>
          <w:sz w:val="22"/>
        </w:rPr>
      </w:pPr>
    </w:p>
    <w:p w:rsidR="00506C30" w:rsidRDefault="00506C30" w:rsidP="00EB70E8">
      <w:pPr>
        <w:ind w:left="720"/>
        <w:rPr>
          <w:sz w:val="22"/>
        </w:rPr>
      </w:pPr>
    </w:p>
    <w:p w:rsidR="00E41276" w:rsidRDefault="00E41276" w:rsidP="00EB70E8">
      <w:pPr>
        <w:ind w:left="720"/>
        <w:rPr>
          <w:sz w:val="22"/>
        </w:rPr>
      </w:pPr>
      <w:r>
        <w:rPr>
          <w:sz w:val="22"/>
        </w:rPr>
        <w:t xml:space="preserve">The Commission </w:t>
      </w:r>
      <w:r w:rsidR="00301824">
        <w:rPr>
          <w:sz w:val="22"/>
        </w:rPr>
        <w:t xml:space="preserve">also </w:t>
      </w:r>
      <w:r>
        <w:rPr>
          <w:sz w:val="22"/>
        </w:rPr>
        <w:t>estimates the following:</w:t>
      </w:r>
    </w:p>
    <w:p w:rsidR="00E41276" w:rsidRDefault="00E41276" w:rsidP="00EB70E8">
      <w:pPr>
        <w:ind w:left="720"/>
        <w:rPr>
          <w:sz w:val="22"/>
        </w:rPr>
      </w:pPr>
    </w:p>
    <w:p w:rsidR="00E41276" w:rsidRDefault="00013E28" w:rsidP="00E41276">
      <w:pPr>
        <w:numPr>
          <w:ilvl w:val="0"/>
          <w:numId w:val="5"/>
        </w:numPr>
        <w:rPr>
          <w:sz w:val="22"/>
        </w:rPr>
      </w:pPr>
      <w:r w:rsidRPr="007943C8">
        <w:rPr>
          <w:b/>
          <w:sz w:val="22"/>
        </w:rPr>
        <w:t>19,169</w:t>
      </w:r>
      <w:r w:rsidR="00E41276">
        <w:rPr>
          <w:sz w:val="22"/>
        </w:rPr>
        <w:t xml:space="preserve"> non-profit licensees and </w:t>
      </w:r>
      <w:proofErr w:type="spellStart"/>
      <w:r w:rsidR="00E41276">
        <w:rPr>
          <w:sz w:val="22"/>
        </w:rPr>
        <w:t>regulatees</w:t>
      </w:r>
      <w:proofErr w:type="spellEnd"/>
      <w:r w:rsidR="00E41276">
        <w:rPr>
          <w:sz w:val="22"/>
        </w:rPr>
        <w:t xml:space="preserve"> (respondents) will spend approximately 30 minutes (or</w:t>
      </w:r>
      <w:r w:rsidR="003312F3">
        <w:rPr>
          <w:sz w:val="22"/>
        </w:rPr>
        <w:t xml:space="preserve"> 0</w:t>
      </w:r>
      <w:r w:rsidR="00E41276">
        <w:rPr>
          <w:sz w:val="22"/>
        </w:rPr>
        <w:t>.50 hours) annually to maintain these records:</w:t>
      </w:r>
    </w:p>
    <w:p w:rsidR="00E41276" w:rsidRDefault="00E41276" w:rsidP="00E41276">
      <w:pPr>
        <w:ind w:left="720"/>
        <w:rPr>
          <w:sz w:val="22"/>
        </w:rPr>
      </w:pPr>
    </w:p>
    <w:p w:rsidR="0032058F" w:rsidRDefault="0032058F" w:rsidP="00E41276">
      <w:pPr>
        <w:ind w:left="720"/>
        <w:rPr>
          <w:sz w:val="22"/>
        </w:rPr>
      </w:pPr>
    </w:p>
    <w:p w:rsidR="00E41276" w:rsidRDefault="00013E28" w:rsidP="00E41276">
      <w:pPr>
        <w:ind w:left="1080"/>
        <w:rPr>
          <w:b/>
          <w:sz w:val="22"/>
        </w:rPr>
      </w:pPr>
      <w:r w:rsidRPr="0032058F">
        <w:rPr>
          <w:sz w:val="22"/>
        </w:rPr>
        <w:t>19,169</w:t>
      </w:r>
      <w:r w:rsidR="00E41276">
        <w:rPr>
          <w:sz w:val="22"/>
        </w:rPr>
        <w:t xml:space="preserve"> respondents x </w:t>
      </w:r>
      <w:r w:rsidR="003312F3">
        <w:rPr>
          <w:sz w:val="22"/>
        </w:rPr>
        <w:t>0</w:t>
      </w:r>
      <w:r w:rsidR="00E41276">
        <w:rPr>
          <w:sz w:val="22"/>
        </w:rPr>
        <w:t xml:space="preserve">.50 hours/annum for recordkeeping = </w:t>
      </w:r>
      <w:r w:rsidRPr="0032058F">
        <w:rPr>
          <w:sz w:val="22"/>
        </w:rPr>
        <w:t>9,585</w:t>
      </w:r>
      <w:r w:rsidR="00E41276" w:rsidRPr="0032058F">
        <w:rPr>
          <w:sz w:val="22"/>
        </w:rPr>
        <w:t xml:space="preserve"> hours.</w:t>
      </w:r>
    </w:p>
    <w:p w:rsidR="00301824" w:rsidRDefault="00301824" w:rsidP="00E41276">
      <w:pPr>
        <w:ind w:left="1080"/>
        <w:rPr>
          <w:b/>
          <w:sz w:val="22"/>
        </w:rPr>
      </w:pPr>
    </w:p>
    <w:p w:rsidR="00301824" w:rsidRPr="00301824" w:rsidRDefault="00301824" w:rsidP="00E41276">
      <w:pPr>
        <w:ind w:left="1080"/>
        <w:rPr>
          <w:sz w:val="22"/>
        </w:rPr>
      </w:pPr>
    </w:p>
    <w:p w:rsidR="00E41276" w:rsidRDefault="00E41276" w:rsidP="00E41276">
      <w:pPr>
        <w:numPr>
          <w:ilvl w:val="0"/>
          <w:numId w:val="5"/>
        </w:numPr>
        <w:rPr>
          <w:sz w:val="22"/>
        </w:rPr>
      </w:pPr>
      <w:r>
        <w:rPr>
          <w:sz w:val="22"/>
        </w:rPr>
        <w:t xml:space="preserve">In any year, the Commission may require approximately </w:t>
      </w:r>
      <w:r w:rsidR="00013E28">
        <w:rPr>
          <w:sz w:val="22"/>
        </w:rPr>
        <w:t>100</w:t>
      </w:r>
      <w:r>
        <w:rPr>
          <w:sz w:val="22"/>
        </w:rPr>
        <w:t xml:space="preserve"> of the non-profit licensees and </w:t>
      </w:r>
      <w:proofErr w:type="spellStart"/>
      <w:r>
        <w:rPr>
          <w:sz w:val="22"/>
        </w:rPr>
        <w:t>regulatees</w:t>
      </w:r>
      <w:proofErr w:type="spellEnd"/>
      <w:r>
        <w:rPr>
          <w:sz w:val="22"/>
        </w:rPr>
        <w:t xml:space="preserve"> (respondents) to submit documentation to the FCC, as required, attesting/certifying to their “non-profit” status.</w:t>
      </w:r>
    </w:p>
    <w:p w:rsidR="00E41276" w:rsidRDefault="00E41276" w:rsidP="00E41276">
      <w:pPr>
        <w:ind w:left="720"/>
        <w:rPr>
          <w:sz w:val="22"/>
        </w:rPr>
      </w:pPr>
    </w:p>
    <w:p w:rsidR="00E41276" w:rsidRDefault="00E41276" w:rsidP="00E41276">
      <w:pPr>
        <w:ind w:left="1080"/>
        <w:rPr>
          <w:sz w:val="22"/>
        </w:rPr>
      </w:pPr>
      <w:r>
        <w:rPr>
          <w:sz w:val="22"/>
        </w:rPr>
        <w:t>The Commission estimates that respondents will spend approximately 30 minutes (</w:t>
      </w:r>
      <w:proofErr w:type="gramStart"/>
      <w:r>
        <w:rPr>
          <w:sz w:val="22"/>
        </w:rPr>
        <w:t>or</w:t>
      </w:r>
      <w:r w:rsidR="003312F3">
        <w:rPr>
          <w:sz w:val="22"/>
        </w:rPr>
        <w:t xml:space="preserve"> </w:t>
      </w:r>
      <w:r w:rsidR="0032058F">
        <w:rPr>
          <w:sz w:val="22"/>
        </w:rPr>
        <w:t xml:space="preserve"> </w:t>
      </w:r>
      <w:r w:rsidR="003312F3">
        <w:rPr>
          <w:sz w:val="22"/>
        </w:rPr>
        <w:t>0</w:t>
      </w:r>
      <w:r>
        <w:rPr>
          <w:sz w:val="22"/>
        </w:rPr>
        <w:t>.50</w:t>
      </w:r>
      <w:proofErr w:type="gramEnd"/>
      <w:r>
        <w:rPr>
          <w:sz w:val="22"/>
        </w:rPr>
        <w:t xml:space="preserve"> hours) annually preparing and submitting their documentation to the FCC.</w:t>
      </w:r>
    </w:p>
    <w:p w:rsidR="00E41276" w:rsidRDefault="00E41276" w:rsidP="00E41276">
      <w:pPr>
        <w:ind w:left="1080"/>
        <w:rPr>
          <w:sz w:val="22"/>
        </w:rPr>
      </w:pPr>
    </w:p>
    <w:p w:rsidR="00E41276" w:rsidRDefault="00013E28" w:rsidP="00E41276">
      <w:pPr>
        <w:ind w:left="1080"/>
        <w:rPr>
          <w:b/>
          <w:sz w:val="22"/>
        </w:rPr>
      </w:pPr>
      <w:r>
        <w:rPr>
          <w:sz w:val="22"/>
        </w:rPr>
        <w:t xml:space="preserve">100 </w:t>
      </w:r>
      <w:r w:rsidR="00E41276">
        <w:rPr>
          <w:sz w:val="22"/>
        </w:rPr>
        <w:t xml:space="preserve">respondents x </w:t>
      </w:r>
      <w:r w:rsidR="003312F3">
        <w:rPr>
          <w:sz w:val="22"/>
        </w:rPr>
        <w:t>0</w:t>
      </w:r>
      <w:r w:rsidR="00E41276">
        <w:rPr>
          <w:sz w:val="22"/>
        </w:rPr>
        <w:t xml:space="preserve">.50 hours/annum for document preparation and submission = </w:t>
      </w:r>
      <w:r w:rsidRPr="0032058F">
        <w:rPr>
          <w:sz w:val="22"/>
        </w:rPr>
        <w:t xml:space="preserve">50 </w:t>
      </w:r>
      <w:r w:rsidR="00E41276" w:rsidRPr="0032058F">
        <w:rPr>
          <w:sz w:val="22"/>
        </w:rPr>
        <w:t>hours.</w:t>
      </w:r>
    </w:p>
    <w:p w:rsidR="00B03283" w:rsidRDefault="00B03283" w:rsidP="00E41276">
      <w:pPr>
        <w:ind w:left="1080"/>
        <w:rPr>
          <w:b/>
          <w:sz w:val="22"/>
        </w:rPr>
      </w:pPr>
    </w:p>
    <w:p w:rsidR="00CD1762" w:rsidRDefault="00CD1762" w:rsidP="00CD1762">
      <w:pPr>
        <w:rPr>
          <w:sz w:val="22"/>
        </w:rPr>
      </w:pPr>
    </w:p>
    <w:p w:rsidR="00CD1762" w:rsidRDefault="00CD1762" w:rsidP="00CD1762">
      <w:pPr>
        <w:ind w:left="1080"/>
        <w:rPr>
          <w:b/>
          <w:sz w:val="22"/>
        </w:rPr>
      </w:pPr>
      <w:r w:rsidRPr="00E877F4">
        <w:rPr>
          <w:b/>
          <w:sz w:val="22"/>
        </w:rPr>
        <w:t xml:space="preserve">Total Annual </w:t>
      </w:r>
      <w:r>
        <w:rPr>
          <w:b/>
          <w:sz w:val="22"/>
        </w:rPr>
        <w:t xml:space="preserve">Hourly </w:t>
      </w:r>
      <w:r w:rsidRPr="00E877F4">
        <w:rPr>
          <w:b/>
          <w:sz w:val="22"/>
        </w:rPr>
        <w:t>Burden</w:t>
      </w:r>
      <w:r>
        <w:rPr>
          <w:b/>
          <w:sz w:val="22"/>
        </w:rPr>
        <w:t>:</w:t>
      </w:r>
    </w:p>
    <w:p w:rsidR="00CD1762" w:rsidRDefault="00CD1762" w:rsidP="00CD1762">
      <w:pPr>
        <w:ind w:left="1080"/>
        <w:rPr>
          <w:b/>
          <w:sz w:val="22"/>
        </w:rPr>
      </w:pPr>
    </w:p>
    <w:p w:rsidR="00CD1762" w:rsidRPr="00E877F4" w:rsidRDefault="00AB126F" w:rsidP="00CD1762">
      <w:pPr>
        <w:ind w:left="1080"/>
        <w:rPr>
          <w:b/>
          <w:sz w:val="22"/>
        </w:rPr>
      </w:pPr>
      <w:r>
        <w:rPr>
          <w:b/>
          <w:sz w:val="22"/>
        </w:rPr>
        <w:t>9,585</w:t>
      </w:r>
      <w:r w:rsidR="00CD1762" w:rsidRPr="00E877F4">
        <w:rPr>
          <w:b/>
          <w:sz w:val="22"/>
        </w:rPr>
        <w:t xml:space="preserve"> recordkeeping hours + </w:t>
      </w:r>
      <w:r w:rsidR="00FE7434">
        <w:rPr>
          <w:b/>
          <w:sz w:val="22"/>
        </w:rPr>
        <w:t>50</w:t>
      </w:r>
      <w:r w:rsidRPr="00E877F4">
        <w:rPr>
          <w:b/>
          <w:sz w:val="22"/>
        </w:rPr>
        <w:t xml:space="preserve"> </w:t>
      </w:r>
      <w:r w:rsidR="00CD1762" w:rsidRPr="00E877F4">
        <w:rPr>
          <w:b/>
          <w:sz w:val="22"/>
        </w:rPr>
        <w:t xml:space="preserve">reporting hours = </w:t>
      </w:r>
      <w:r w:rsidR="00FE7434">
        <w:rPr>
          <w:b/>
          <w:sz w:val="22"/>
        </w:rPr>
        <w:t>9,635</w:t>
      </w:r>
      <w:r w:rsidR="00CD1762" w:rsidRPr="00E877F4">
        <w:rPr>
          <w:b/>
          <w:sz w:val="22"/>
        </w:rPr>
        <w:t xml:space="preserve"> hours.</w:t>
      </w:r>
    </w:p>
    <w:p w:rsidR="00CD1762" w:rsidRDefault="00CD1762" w:rsidP="00CD1762">
      <w:pPr>
        <w:rPr>
          <w:sz w:val="22"/>
        </w:rPr>
      </w:pPr>
    </w:p>
    <w:p w:rsidR="00E877F4" w:rsidRDefault="00CB69DD" w:rsidP="00E41276">
      <w:pPr>
        <w:ind w:left="1080"/>
        <w:rPr>
          <w:b/>
          <w:sz w:val="22"/>
        </w:rPr>
      </w:pPr>
      <w:r w:rsidRPr="00E877F4">
        <w:rPr>
          <w:b/>
          <w:sz w:val="22"/>
        </w:rPr>
        <w:t xml:space="preserve">Total Number of Responses:  </w:t>
      </w:r>
    </w:p>
    <w:p w:rsidR="00E877F4" w:rsidRDefault="00E877F4" w:rsidP="00E41276">
      <w:pPr>
        <w:ind w:left="1080"/>
        <w:rPr>
          <w:b/>
          <w:sz w:val="22"/>
        </w:rPr>
      </w:pPr>
    </w:p>
    <w:p w:rsidR="00CB69DD" w:rsidRDefault="00625AC3" w:rsidP="00E41276">
      <w:pPr>
        <w:ind w:left="1080"/>
        <w:rPr>
          <w:b/>
          <w:sz w:val="22"/>
        </w:rPr>
      </w:pPr>
      <w:r>
        <w:rPr>
          <w:b/>
          <w:sz w:val="22"/>
        </w:rPr>
        <w:t>19,169</w:t>
      </w:r>
      <w:r w:rsidR="00CB69DD" w:rsidRPr="00E877F4">
        <w:rPr>
          <w:b/>
          <w:sz w:val="22"/>
        </w:rPr>
        <w:t xml:space="preserve"> </w:t>
      </w:r>
      <w:r w:rsidR="00E877F4" w:rsidRPr="00E877F4">
        <w:rPr>
          <w:b/>
          <w:sz w:val="22"/>
        </w:rPr>
        <w:t xml:space="preserve">recordkeeping </w:t>
      </w:r>
      <w:r w:rsidR="00E877F4">
        <w:rPr>
          <w:b/>
          <w:sz w:val="22"/>
        </w:rPr>
        <w:t xml:space="preserve">responses </w:t>
      </w:r>
      <w:r w:rsidR="00CB69DD" w:rsidRPr="00E877F4">
        <w:rPr>
          <w:b/>
          <w:sz w:val="22"/>
        </w:rPr>
        <w:t xml:space="preserve">+ </w:t>
      </w:r>
      <w:r>
        <w:rPr>
          <w:b/>
          <w:sz w:val="22"/>
        </w:rPr>
        <w:t>100</w:t>
      </w:r>
      <w:r w:rsidRPr="00E877F4">
        <w:rPr>
          <w:b/>
          <w:sz w:val="22"/>
        </w:rPr>
        <w:t xml:space="preserve"> </w:t>
      </w:r>
      <w:r w:rsidR="00E877F4" w:rsidRPr="00E877F4">
        <w:rPr>
          <w:b/>
          <w:sz w:val="22"/>
        </w:rPr>
        <w:t>reporting</w:t>
      </w:r>
      <w:r w:rsidR="00E877F4">
        <w:rPr>
          <w:b/>
          <w:sz w:val="22"/>
        </w:rPr>
        <w:t xml:space="preserve"> responses</w:t>
      </w:r>
      <w:r w:rsidR="00E877F4" w:rsidRPr="00E877F4">
        <w:rPr>
          <w:b/>
          <w:sz w:val="22"/>
        </w:rPr>
        <w:t xml:space="preserve"> </w:t>
      </w:r>
      <w:r w:rsidR="00CB69DD" w:rsidRPr="00E877F4">
        <w:rPr>
          <w:b/>
          <w:sz w:val="22"/>
        </w:rPr>
        <w:t xml:space="preserve">= </w:t>
      </w:r>
      <w:r>
        <w:rPr>
          <w:b/>
          <w:sz w:val="22"/>
        </w:rPr>
        <w:t>19,269</w:t>
      </w:r>
      <w:r w:rsidR="00CB69DD" w:rsidRPr="00E877F4">
        <w:rPr>
          <w:b/>
          <w:sz w:val="22"/>
        </w:rPr>
        <w:t xml:space="preserve"> responses</w:t>
      </w:r>
      <w:r w:rsidR="00CB69DD">
        <w:rPr>
          <w:b/>
          <w:sz w:val="22"/>
        </w:rPr>
        <w:t>.</w:t>
      </w:r>
    </w:p>
    <w:p w:rsidR="001F249B" w:rsidRDefault="001F249B" w:rsidP="00E41276">
      <w:pPr>
        <w:ind w:left="1080"/>
        <w:rPr>
          <w:b/>
          <w:sz w:val="22"/>
        </w:rPr>
      </w:pPr>
    </w:p>
    <w:p w:rsidR="009C5C36" w:rsidRDefault="009C5C36">
      <w:pPr>
        <w:rPr>
          <w:sz w:val="22"/>
        </w:rPr>
      </w:pPr>
    </w:p>
    <w:p w:rsidR="009C5C36" w:rsidRDefault="00EB70E8">
      <w:pPr>
        <w:numPr>
          <w:ilvl w:val="0"/>
          <w:numId w:val="2"/>
        </w:numPr>
        <w:rPr>
          <w:sz w:val="22"/>
        </w:rPr>
      </w:pPr>
      <w:r>
        <w:rPr>
          <w:sz w:val="22"/>
        </w:rPr>
        <w:t>The</w:t>
      </w:r>
      <w:r w:rsidR="00C116E3">
        <w:rPr>
          <w:sz w:val="22"/>
        </w:rPr>
        <w:t xml:space="preserve"> Commission estimates that non-profit licensees and/or </w:t>
      </w:r>
      <w:proofErr w:type="spellStart"/>
      <w:r w:rsidR="00C116E3">
        <w:rPr>
          <w:sz w:val="22"/>
        </w:rPr>
        <w:t>regulatees</w:t>
      </w:r>
      <w:proofErr w:type="spellEnd"/>
      <w:r w:rsidR="00C116E3">
        <w:rPr>
          <w:sz w:val="22"/>
        </w:rPr>
        <w:t xml:space="preserve"> will perform the recordkeeping and reporting requirements using “in-house” staff.   Thus, the</w:t>
      </w:r>
      <w:r>
        <w:rPr>
          <w:sz w:val="22"/>
        </w:rPr>
        <w:t>re is no</w:t>
      </w:r>
      <w:r w:rsidR="00752D7C">
        <w:rPr>
          <w:sz w:val="22"/>
        </w:rPr>
        <w:t xml:space="preserve"> capital/start</w:t>
      </w:r>
      <w:r w:rsidR="0032058F">
        <w:rPr>
          <w:sz w:val="22"/>
        </w:rPr>
        <w:t>-</w:t>
      </w:r>
      <w:r w:rsidR="00752D7C">
        <w:rPr>
          <w:sz w:val="22"/>
        </w:rPr>
        <w:t xml:space="preserve"> up</w:t>
      </w:r>
      <w:r>
        <w:rPr>
          <w:sz w:val="22"/>
        </w:rPr>
        <w:t xml:space="preserve"> cost</w:t>
      </w:r>
      <w:r w:rsidR="00752D7C">
        <w:rPr>
          <w:sz w:val="22"/>
        </w:rPr>
        <w:t>s</w:t>
      </w:r>
      <w:r>
        <w:rPr>
          <w:sz w:val="22"/>
        </w:rPr>
        <w:t xml:space="preserve"> </w:t>
      </w:r>
      <w:r w:rsidR="00752D7C">
        <w:rPr>
          <w:sz w:val="22"/>
        </w:rPr>
        <w:t xml:space="preserve">or operations and maintenance costs.   We estimate the in-house costs to be the following:  </w:t>
      </w:r>
    </w:p>
    <w:p w:rsidR="00752D7C" w:rsidRDefault="00752D7C" w:rsidP="00752D7C">
      <w:pPr>
        <w:rPr>
          <w:sz w:val="22"/>
        </w:rPr>
      </w:pPr>
    </w:p>
    <w:p w:rsidR="00752D7C" w:rsidRDefault="00752D7C" w:rsidP="00752D7C">
      <w:pPr>
        <w:numPr>
          <w:ilvl w:val="0"/>
          <w:numId w:val="6"/>
        </w:numPr>
        <w:rPr>
          <w:sz w:val="22"/>
        </w:rPr>
      </w:pPr>
      <w:r>
        <w:rPr>
          <w:sz w:val="22"/>
        </w:rPr>
        <w:t>Each respondent’s recordkeeping staff will earn an hourly salary equivalent to a GS-9-Step 5 in the Federal government, or $</w:t>
      </w:r>
      <w:r w:rsidR="00D43770">
        <w:rPr>
          <w:sz w:val="22"/>
        </w:rPr>
        <w:t xml:space="preserve">28.32 </w:t>
      </w:r>
      <w:r>
        <w:rPr>
          <w:sz w:val="22"/>
        </w:rPr>
        <w:t>per hour</w:t>
      </w:r>
      <w:r w:rsidR="003306C1">
        <w:rPr>
          <w:sz w:val="22"/>
        </w:rPr>
        <w:t xml:space="preserve"> for the “</w:t>
      </w:r>
      <w:r w:rsidR="00F32352">
        <w:rPr>
          <w:sz w:val="22"/>
        </w:rPr>
        <w:t>Washington-Baltimore-Northern Virginia</w:t>
      </w:r>
      <w:r w:rsidR="003306C1">
        <w:rPr>
          <w:sz w:val="22"/>
        </w:rPr>
        <w:t>” locality</w:t>
      </w:r>
      <w:r>
        <w:rPr>
          <w:sz w:val="22"/>
        </w:rPr>
        <w:t>.</w:t>
      </w:r>
      <w:r w:rsidR="00F32352">
        <w:rPr>
          <w:sz w:val="22"/>
        </w:rPr>
        <w:t xml:space="preserve"> </w:t>
      </w:r>
    </w:p>
    <w:p w:rsidR="00752D7C" w:rsidRDefault="00752D7C" w:rsidP="00752D7C">
      <w:pPr>
        <w:rPr>
          <w:sz w:val="22"/>
        </w:rPr>
      </w:pPr>
    </w:p>
    <w:p w:rsidR="00665EB1" w:rsidRDefault="001D643E" w:rsidP="00752D7C">
      <w:pPr>
        <w:ind w:left="1080"/>
        <w:rPr>
          <w:sz w:val="22"/>
        </w:rPr>
      </w:pPr>
      <w:r>
        <w:rPr>
          <w:sz w:val="22"/>
        </w:rPr>
        <w:tab/>
      </w:r>
      <w:r w:rsidR="00D43770">
        <w:rPr>
          <w:sz w:val="22"/>
        </w:rPr>
        <w:t xml:space="preserve">19,169 </w:t>
      </w:r>
      <w:proofErr w:type="gramStart"/>
      <w:r w:rsidR="00D43770">
        <w:rPr>
          <w:sz w:val="22"/>
        </w:rPr>
        <w:t xml:space="preserve">respondents </w:t>
      </w:r>
      <w:r w:rsidR="00665EB1">
        <w:rPr>
          <w:sz w:val="22"/>
        </w:rPr>
        <w:t xml:space="preserve"> x</w:t>
      </w:r>
      <w:proofErr w:type="gramEnd"/>
      <w:r w:rsidR="00665EB1">
        <w:rPr>
          <w:sz w:val="22"/>
        </w:rPr>
        <w:t xml:space="preserve"> 0.50 hours/recordkeeping x $</w:t>
      </w:r>
      <w:r w:rsidR="007325F5">
        <w:rPr>
          <w:sz w:val="22"/>
        </w:rPr>
        <w:t>2</w:t>
      </w:r>
      <w:r w:rsidR="00D43770">
        <w:rPr>
          <w:sz w:val="22"/>
        </w:rPr>
        <w:t xml:space="preserve">8.32 </w:t>
      </w:r>
      <w:r w:rsidR="00665EB1">
        <w:rPr>
          <w:sz w:val="22"/>
        </w:rPr>
        <w:t>/hour = $</w:t>
      </w:r>
      <w:r w:rsidR="007325F5">
        <w:rPr>
          <w:sz w:val="22"/>
        </w:rPr>
        <w:t>2</w:t>
      </w:r>
      <w:r w:rsidR="00D43770">
        <w:rPr>
          <w:sz w:val="22"/>
        </w:rPr>
        <w:t>71,433</w:t>
      </w:r>
      <w:r w:rsidR="00EF1BBC">
        <w:rPr>
          <w:sz w:val="22"/>
        </w:rPr>
        <w:t xml:space="preserve"> </w:t>
      </w:r>
    </w:p>
    <w:p w:rsidR="00752D7C" w:rsidRDefault="00EA47CE" w:rsidP="00EA47CE">
      <w:pPr>
        <w:ind w:left="5400" w:firstLine="360"/>
        <w:rPr>
          <w:sz w:val="22"/>
        </w:rPr>
      </w:pPr>
      <w:r>
        <w:rPr>
          <w:sz w:val="22"/>
        </w:rPr>
        <w:t xml:space="preserve">                                              </w:t>
      </w:r>
    </w:p>
    <w:p w:rsidR="00752D7C" w:rsidRDefault="00752D7C" w:rsidP="00752D7C">
      <w:pPr>
        <w:ind w:left="1080"/>
        <w:rPr>
          <w:sz w:val="22"/>
        </w:rPr>
      </w:pPr>
    </w:p>
    <w:p w:rsidR="00752D7C" w:rsidRDefault="00752D7C" w:rsidP="000151D0">
      <w:pPr>
        <w:numPr>
          <w:ilvl w:val="0"/>
          <w:numId w:val="6"/>
        </w:numPr>
        <w:rPr>
          <w:sz w:val="22"/>
        </w:rPr>
      </w:pPr>
      <w:r>
        <w:rPr>
          <w:sz w:val="22"/>
        </w:rPr>
        <w:t>Each respondent’s staff preparing and submitting the documentation attesting/certifying “non-profit” status will earn an hourly salary equivalent to a GS-14/Step 5 in the Federal Government, or $5</w:t>
      </w:r>
      <w:r w:rsidR="003C5359">
        <w:rPr>
          <w:sz w:val="22"/>
        </w:rPr>
        <w:t>7.</w:t>
      </w:r>
      <w:r w:rsidR="00D43770">
        <w:rPr>
          <w:sz w:val="22"/>
        </w:rPr>
        <w:t xml:space="preserve">70 </w:t>
      </w:r>
      <w:r>
        <w:rPr>
          <w:sz w:val="22"/>
        </w:rPr>
        <w:t>per hour</w:t>
      </w:r>
      <w:r w:rsidR="003306C1">
        <w:rPr>
          <w:sz w:val="22"/>
        </w:rPr>
        <w:t xml:space="preserve"> for the “</w:t>
      </w:r>
      <w:r w:rsidR="00EF1BBC">
        <w:rPr>
          <w:sz w:val="22"/>
        </w:rPr>
        <w:t>Washington-Baltimore-Northern Virginia</w:t>
      </w:r>
      <w:r w:rsidR="003306C1">
        <w:rPr>
          <w:sz w:val="22"/>
        </w:rPr>
        <w:t>.” locality</w:t>
      </w:r>
      <w:r>
        <w:rPr>
          <w:sz w:val="22"/>
        </w:rPr>
        <w:t>.</w:t>
      </w:r>
    </w:p>
    <w:p w:rsidR="00F05F4E" w:rsidRDefault="00F05F4E" w:rsidP="00752D7C">
      <w:pPr>
        <w:ind w:left="1080"/>
        <w:rPr>
          <w:sz w:val="22"/>
        </w:rPr>
      </w:pPr>
    </w:p>
    <w:p w:rsidR="00F05F4E" w:rsidRDefault="00F05F4E" w:rsidP="00C966CA">
      <w:pPr>
        <w:ind w:left="360" w:firstLine="720"/>
        <w:rPr>
          <w:sz w:val="22"/>
        </w:rPr>
      </w:pPr>
      <w:r>
        <w:rPr>
          <w:sz w:val="22"/>
        </w:rPr>
        <w:tab/>
      </w:r>
      <w:r w:rsidR="00EF1BBC">
        <w:rPr>
          <w:sz w:val="22"/>
        </w:rPr>
        <w:t xml:space="preserve">100 respondents </w:t>
      </w:r>
      <w:r>
        <w:rPr>
          <w:sz w:val="22"/>
        </w:rPr>
        <w:t>x 0.50 hours/reporting x $</w:t>
      </w:r>
      <w:r w:rsidR="008C65FD">
        <w:rPr>
          <w:sz w:val="22"/>
        </w:rPr>
        <w:t>5</w:t>
      </w:r>
      <w:r w:rsidR="00EF1BBC">
        <w:rPr>
          <w:sz w:val="22"/>
        </w:rPr>
        <w:t xml:space="preserve">7.70 </w:t>
      </w:r>
      <w:r>
        <w:rPr>
          <w:sz w:val="22"/>
        </w:rPr>
        <w:t>/hour = $</w:t>
      </w:r>
      <w:r w:rsidR="00EF1BBC">
        <w:rPr>
          <w:sz w:val="22"/>
        </w:rPr>
        <w:t xml:space="preserve">2,885 </w:t>
      </w:r>
      <w:r>
        <w:rPr>
          <w:sz w:val="22"/>
        </w:rPr>
        <w:t xml:space="preserve">                                     </w:t>
      </w:r>
    </w:p>
    <w:p w:rsidR="00C562FC" w:rsidRDefault="00C562FC" w:rsidP="00752D7C">
      <w:pPr>
        <w:ind w:left="1080"/>
        <w:rPr>
          <w:sz w:val="22"/>
        </w:rPr>
      </w:pPr>
    </w:p>
    <w:p w:rsidR="00EB311B" w:rsidRDefault="00C562FC" w:rsidP="007F7FD7">
      <w:pPr>
        <w:ind w:left="720"/>
        <w:rPr>
          <w:sz w:val="22"/>
        </w:rPr>
      </w:pPr>
      <w:r w:rsidRPr="00C562FC">
        <w:rPr>
          <w:b/>
          <w:sz w:val="22"/>
        </w:rPr>
        <w:t>Total “In</w:t>
      </w:r>
      <w:r w:rsidR="00E87410">
        <w:rPr>
          <w:b/>
          <w:sz w:val="22"/>
        </w:rPr>
        <w:t>-</w:t>
      </w:r>
      <w:r w:rsidRPr="00C562FC">
        <w:rPr>
          <w:b/>
          <w:sz w:val="22"/>
        </w:rPr>
        <w:t xml:space="preserve">House” Staff Cost: </w:t>
      </w:r>
      <w:r>
        <w:rPr>
          <w:b/>
          <w:sz w:val="22"/>
        </w:rPr>
        <w:t>$</w:t>
      </w:r>
      <w:r w:rsidR="00EF1BBC">
        <w:rPr>
          <w:b/>
          <w:sz w:val="22"/>
        </w:rPr>
        <w:t xml:space="preserve"> 271,433</w:t>
      </w:r>
      <w:r w:rsidR="00386159">
        <w:rPr>
          <w:b/>
          <w:sz w:val="22"/>
        </w:rPr>
        <w:t xml:space="preserve"> +</w:t>
      </w:r>
      <w:r>
        <w:rPr>
          <w:b/>
          <w:sz w:val="22"/>
        </w:rPr>
        <w:t xml:space="preserve"> $</w:t>
      </w:r>
      <w:r w:rsidR="00394918">
        <w:rPr>
          <w:b/>
          <w:sz w:val="22"/>
        </w:rPr>
        <w:t>2,</w:t>
      </w:r>
      <w:r w:rsidR="00EF1BBC">
        <w:rPr>
          <w:b/>
          <w:sz w:val="22"/>
        </w:rPr>
        <w:t>885</w:t>
      </w:r>
      <w:r>
        <w:rPr>
          <w:b/>
          <w:sz w:val="22"/>
        </w:rPr>
        <w:t xml:space="preserve"> = </w:t>
      </w:r>
      <w:r w:rsidR="00386159">
        <w:rPr>
          <w:b/>
          <w:sz w:val="22"/>
        </w:rPr>
        <w:t>$</w:t>
      </w:r>
      <w:r w:rsidR="00394918">
        <w:rPr>
          <w:b/>
          <w:sz w:val="22"/>
        </w:rPr>
        <w:t>2</w:t>
      </w:r>
      <w:r w:rsidR="00EF1BBC">
        <w:rPr>
          <w:b/>
          <w:sz w:val="22"/>
        </w:rPr>
        <w:t>74,318</w:t>
      </w:r>
    </w:p>
    <w:p w:rsidR="007F7FD7" w:rsidRDefault="007F7FD7" w:rsidP="007F7FD7">
      <w:pPr>
        <w:ind w:left="720"/>
        <w:rPr>
          <w:sz w:val="22"/>
        </w:rPr>
      </w:pPr>
    </w:p>
    <w:p w:rsidR="009C5C36" w:rsidRDefault="009C5C36">
      <w:pPr>
        <w:numPr>
          <w:ilvl w:val="0"/>
          <w:numId w:val="2"/>
        </w:numPr>
        <w:rPr>
          <w:sz w:val="22"/>
        </w:rPr>
      </w:pPr>
      <w:r>
        <w:rPr>
          <w:sz w:val="22"/>
        </w:rPr>
        <w:t>Cost to the Federal Government:</w:t>
      </w:r>
      <w:r w:rsidR="00061638">
        <w:rPr>
          <w:sz w:val="22"/>
        </w:rPr>
        <w:t xml:space="preserve">    </w:t>
      </w:r>
    </w:p>
    <w:p w:rsidR="009C5C36" w:rsidRDefault="009C5C36">
      <w:pPr>
        <w:rPr>
          <w:sz w:val="22"/>
        </w:rPr>
      </w:pPr>
    </w:p>
    <w:p w:rsidR="00EB70E8" w:rsidRDefault="003565B9" w:rsidP="004E0B1B">
      <w:pPr>
        <w:ind w:left="1080" w:hanging="360"/>
        <w:rPr>
          <w:sz w:val="22"/>
        </w:rPr>
      </w:pPr>
      <w:r>
        <w:rPr>
          <w:sz w:val="22"/>
        </w:rPr>
        <w:t xml:space="preserve">a)  </w:t>
      </w:r>
      <w:r w:rsidR="004E0B1B">
        <w:rPr>
          <w:sz w:val="22"/>
        </w:rPr>
        <w:t xml:space="preserve"> </w:t>
      </w:r>
      <w:r w:rsidR="00EB70E8">
        <w:rPr>
          <w:sz w:val="22"/>
        </w:rPr>
        <w:t xml:space="preserve">The FCC will incur the costs of </w:t>
      </w:r>
      <w:r w:rsidR="00511E5D">
        <w:rPr>
          <w:sz w:val="22"/>
        </w:rPr>
        <w:t xml:space="preserve">preparing, </w:t>
      </w:r>
      <w:r w:rsidR="00EB70E8">
        <w:rPr>
          <w:sz w:val="22"/>
        </w:rPr>
        <w:t>printing and distributing a Public Notice announcing this requirement.</w:t>
      </w:r>
    </w:p>
    <w:p w:rsidR="009C5C36" w:rsidRDefault="009C5C36" w:rsidP="004E0B1B">
      <w:pPr>
        <w:ind w:left="1080" w:hanging="360"/>
        <w:rPr>
          <w:sz w:val="22"/>
        </w:rPr>
      </w:pPr>
    </w:p>
    <w:p w:rsidR="006751DA" w:rsidRDefault="006751DA" w:rsidP="004E0B1B">
      <w:pPr>
        <w:ind w:left="1080" w:hanging="360"/>
        <w:rPr>
          <w:sz w:val="22"/>
        </w:rPr>
      </w:pPr>
    </w:p>
    <w:p w:rsidR="009C5C36" w:rsidRDefault="005F69B5" w:rsidP="004E0B1B">
      <w:pPr>
        <w:ind w:left="720"/>
        <w:rPr>
          <w:sz w:val="22"/>
        </w:rPr>
      </w:pPr>
      <w:r>
        <w:rPr>
          <w:sz w:val="22"/>
        </w:rPr>
        <w:lastRenderedPageBreak/>
        <w:t>One GS-14</w:t>
      </w:r>
      <w:r w:rsidR="006751DA">
        <w:rPr>
          <w:sz w:val="22"/>
        </w:rPr>
        <w:t>/</w:t>
      </w:r>
      <w:r w:rsidR="005901F3">
        <w:rPr>
          <w:sz w:val="22"/>
        </w:rPr>
        <w:t>Step 5,</w:t>
      </w:r>
      <w:r w:rsidR="00511E5D">
        <w:rPr>
          <w:sz w:val="22"/>
        </w:rPr>
        <w:t xml:space="preserve"> Management Analyst using one-half of an hour to </w:t>
      </w:r>
      <w:r>
        <w:rPr>
          <w:sz w:val="22"/>
        </w:rPr>
        <w:t xml:space="preserve">write the Public Notice will cost </w:t>
      </w:r>
      <w:r w:rsidR="00511E5D">
        <w:rPr>
          <w:sz w:val="22"/>
        </w:rPr>
        <w:t>$</w:t>
      </w:r>
      <w:r w:rsidR="00987DB3">
        <w:rPr>
          <w:sz w:val="22"/>
        </w:rPr>
        <w:t>28.85</w:t>
      </w:r>
      <w:r w:rsidR="00511E5D">
        <w:rPr>
          <w:sz w:val="22"/>
        </w:rPr>
        <w:t xml:space="preserve"> (</w:t>
      </w:r>
      <w:r>
        <w:rPr>
          <w:sz w:val="22"/>
        </w:rPr>
        <w:t>$</w:t>
      </w:r>
      <w:r w:rsidR="00987DB3" w:rsidRPr="00987DB3">
        <w:rPr>
          <w:sz w:val="22"/>
        </w:rPr>
        <w:t>57.70</w:t>
      </w:r>
      <w:r w:rsidR="00987DB3" w:rsidRPr="00987DB3" w:rsidDel="00987DB3">
        <w:rPr>
          <w:sz w:val="22"/>
        </w:rPr>
        <w:t xml:space="preserve"> </w:t>
      </w:r>
      <w:r w:rsidR="00511E5D">
        <w:rPr>
          <w:sz w:val="22"/>
        </w:rPr>
        <w:t xml:space="preserve">/hour </w:t>
      </w:r>
      <w:r w:rsidR="00987DB3">
        <w:rPr>
          <w:sz w:val="22"/>
        </w:rPr>
        <w:t xml:space="preserve">for the “Washington-Baltimore-Northern Virginia” locality </w:t>
      </w:r>
      <w:r w:rsidR="002C7669">
        <w:rPr>
          <w:sz w:val="22"/>
        </w:rPr>
        <w:t>x</w:t>
      </w:r>
      <w:r w:rsidR="00511E5D">
        <w:rPr>
          <w:sz w:val="22"/>
        </w:rPr>
        <w:t xml:space="preserve"> 0.5 hour)</w:t>
      </w:r>
      <w:r w:rsidR="005901F3">
        <w:rPr>
          <w:sz w:val="22"/>
        </w:rPr>
        <w:t>.</w:t>
      </w:r>
      <w:r w:rsidR="00511E5D">
        <w:rPr>
          <w:sz w:val="22"/>
        </w:rPr>
        <w:t xml:space="preserve"> </w:t>
      </w:r>
    </w:p>
    <w:p w:rsidR="00511E5D" w:rsidRDefault="00511E5D" w:rsidP="004E0B1B">
      <w:pPr>
        <w:ind w:left="1080" w:hanging="360"/>
        <w:rPr>
          <w:sz w:val="22"/>
        </w:rPr>
      </w:pPr>
    </w:p>
    <w:p w:rsidR="00511E5D" w:rsidRDefault="00511E5D" w:rsidP="004E0B1B">
      <w:pPr>
        <w:ind w:left="1080" w:hanging="360"/>
        <w:rPr>
          <w:sz w:val="22"/>
        </w:rPr>
      </w:pPr>
      <w:r>
        <w:rPr>
          <w:sz w:val="22"/>
        </w:rPr>
        <w:t xml:space="preserve">Printing cost is $95.46 per 1,000 x </w:t>
      </w:r>
      <w:r w:rsidR="007F7FD7">
        <w:rPr>
          <w:sz w:val="22"/>
        </w:rPr>
        <w:t>0</w:t>
      </w:r>
      <w:r>
        <w:rPr>
          <w:sz w:val="22"/>
        </w:rPr>
        <w:t>.5 (500 copies) = $47.73.</w:t>
      </w:r>
    </w:p>
    <w:p w:rsidR="003565B9" w:rsidRDefault="003565B9" w:rsidP="004E0B1B">
      <w:pPr>
        <w:ind w:left="1080" w:hanging="360"/>
        <w:rPr>
          <w:sz w:val="22"/>
        </w:rPr>
      </w:pPr>
    </w:p>
    <w:p w:rsidR="003565B9" w:rsidRDefault="003565B9" w:rsidP="004E0B1B">
      <w:pPr>
        <w:ind w:left="1080" w:hanging="360"/>
        <w:rPr>
          <w:sz w:val="22"/>
        </w:rPr>
      </w:pPr>
      <w:r>
        <w:rPr>
          <w:sz w:val="22"/>
        </w:rPr>
        <w:t>b)   The FCC will use approximately four (</w:t>
      </w:r>
      <w:r w:rsidR="004A553C">
        <w:rPr>
          <w:sz w:val="22"/>
        </w:rPr>
        <w:t>4</w:t>
      </w:r>
      <w:r>
        <w:rPr>
          <w:sz w:val="22"/>
        </w:rPr>
        <w:t>) staff persons at the GS-9/Step 5 ($</w:t>
      </w:r>
      <w:r w:rsidR="00987DB3" w:rsidRPr="00987DB3">
        <w:rPr>
          <w:sz w:val="22"/>
        </w:rPr>
        <w:t>28.32</w:t>
      </w:r>
      <w:r>
        <w:rPr>
          <w:sz w:val="22"/>
        </w:rPr>
        <w:t xml:space="preserve"> per hour</w:t>
      </w:r>
      <w:r w:rsidR="00987DB3">
        <w:rPr>
          <w:sz w:val="22"/>
        </w:rPr>
        <w:t xml:space="preserve"> for the “Washington-Baltimore-Northern Virginia” locality</w:t>
      </w:r>
      <w:r>
        <w:rPr>
          <w:sz w:val="22"/>
        </w:rPr>
        <w:t>) to review these document submissions, which will require approximately two (2) hours per submission.</w:t>
      </w:r>
    </w:p>
    <w:p w:rsidR="003565B9" w:rsidRDefault="003565B9" w:rsidP="00752D7C">
      <w:pPr>
        <w:ind w:left="360" w:firstLine="360"/>
        <w:rPr>
          <w:sz w:val="22"/>
        </w:rPr>
      </w:pPr>
    </w:p>
    <w:p w:rsidR="003565B9" w:rsidRDefault="003565B9" w:rsidP="001F1386">
      <w:pPr>
        <w:ind w:left="720"/>
        <w:rPr>
          <w:sz w:val="22"/>
        </w:rPr>
      </w:pPr>
      <w:r>
        <w:rPr>
          <w:sz w:val="22"/>
        </w:rPr>
        <w:t>1 GS-14/Step 5 x 0.5</w:t>
      </w:r>
      <w:r w:rsidR="006474E6">
        <w:rPr>
          <w:sz w:val="22"/>
        </w:rPr>
        <w:t>0</w:t>
      </w:r>
      <w:r>
        <w:rPr>
          <w:sz w:val="22"/>
        </w:rPr>
        <w:t xml:space="preserve"> hours/annually for public notice preparation x $</w:t>
      </w:r>
      <w:r w:rsidR="00D0562F">
        <w:rPr>
          <w:sz w:val="22"/>
        </w:rPr>
        <w:t>57.70</w:t>
      </w:r>
      <w:r>
        <w:rPr>
          <w:sz w:val="22"/>
        </w:rPr>
        <w:t>/hour = $</w:t>
      </w:r>
      <w:r w:rsidR="00D0562F">
        <w:rPr>
          <w:sz w:val="22"/>
        </w:rPr>
        <w:t>28.85</w:t>
      </w:r>
      <w:r>
        <w:rPr>
          <w:sz w:val="22"/>
        </w:rPr>
        <w:t>.</w:t>
      </w:r>
    </w:p>
    <w:p w:rsidR="003565B9" w:rsidRDefault="003565B9" w:rsidP="003565B9">
      <w:pPr>
        <w:ind w:left="720"/>
        <w:rPr>
          <w:sz w:val="22"/>
        </w:rPr>
      </w:pPr>
    </w:p>
    <w:p w:rsidR="00D916A5" w:rsidRDefault="004A553C" w:rsidP="001F1386">
      <w:pPr>
        <w:ind w:left="720"/>
        <w:rPr>
          <w:sz w:val="22"/>
        </w:rPr>
      </w:pPr>
      <w:r>
        <w:rPr>
          <w:sz w:val="22"/>
        </w:rPr>
        <w:t>4</w:t>
      </w:r>
      <w:r w:rsidR="003565B9">
        <w:rPr>
          <w:sz w:val="22"/>
        </w:rPr>
        <w:t xml:space="preserve"> GS-9/Step 5</w:t>
      </w:r>
      <w:r w:rsidR="000B30DB">
        <w:rPr>
          <w:sz w:val="22"/>
        </w:rPr>
        <w:t>’s</w:t>
      </w:r>
      <w:r w:rsidR="003565B9">
        <w:rPr>
          <w:sz w:val="22"/>
        </w:rPr>
        <w:t xml:space="preserve"> </w:t>
      </w:r>
      <w:r w:rsidR="00511E5D">
        <w:rPr>
          <w:sz w:val="22"/>
        </w:rPr>
        <w:t>to</w:t>
      </w:r>
      <w:r w:rsidR="003565B9">
        <w:rPr>
          <w:sz w:val="22"/>
        </w:rPr>
        <w:t xml:space="preserve"> review </w:t>
      </w:r>
      <w:r w:rsidR="00CD1E48">
        <w:rPr>
          <w:sz w:val="22"/>
        </w:rPr>
        <w:t xml:space="preserve">100 </w:t>
      </w:r>
      <w:r w:rsidR="003565B9">
        <w:rPr>
          <w:sz w:val="22"/>
        </w:rPr>
        <w:t>docu</w:t>
      </w:r>
      <w:r w:rsidR="00173252">
        <w:rPr>
          <w:sz w:val="22"/>
        </w:rPr>
        <w:t xml:space="preserve">ment submissions </w:t>
      </w:r>
      <w:r>
        <w:rPr>
          <w:sz w:val="22"/>
        </w:rPr>
        <w:t>@</w:t>
      </w:r>
      <w:r w:rsidR="00173252">
        <w:rPr>
          <w:sz w:val="22"/>
        </w:rPr>
        <w:t>$</w:t>
      </w:r>
      <w:r w:rsidR="00CD1E48">
        <w:rPr>
          <w:sz w:val="22"/>
        </w:rPr>
        <w:t>28.32</w:t>
      </w:r>
      <w:r w:rsidR="00511E5D">
        <w:rPr>
          <w:sz w:val="22"/>
        </w:rPr>
        <w:t xml:space="preserve"> per </w:t>
      </w:r>
      <w:r>
        <w:rPr>
          <w:sz w:val="22"/>
        </w:rPr>
        <w:t>hour</w:t>
      </w:r>
      <w:r w:rsidR="00D916A5">
        <w:rPr>
          <w:sz w:val="22"/>
        </w:rPr>
        <w:t>:</w:t>
      </w:r>
    </w:p>
    <w:p w:rsidR="003565B9" w:rsidRDefault="00D916A5" w:rsidP="001F1386">
      <w:pPr>
        <w:ind w:left="720"/>
        <w:rPr>
          <w:sz w:val="22"/>
        </w:rPr>
      </w:pPr>
      <w:r>
        <w:rPr>
          <w:sz w:val="22"/>
        </w:rPr>
        <w:t>($</w:t>
      </w:r>
      <w:r w:rsidR="00CD1E48">
        <w:rPr>
          <w:sz w:val="22"/>
        </w:rPr>
        <w:t>28.32</w:t>
      </w:r>
      <w:r>
        <w:rPr>
          <w:sz w:val="22"/>
        </w:rPr>
        <w:t>/h</w:t>
      </w:r>
      <w:r w:rsidR="00C966CA">
        <w:rPr>
          <w:sz w:val="22"/>
        </w:rPr>
        <w:t>ou</w:t>
      </w:r>
      <w:r>
        <w:rPr>
          <w:sz w:val="22"/>
        </w:rPr>
        <w:t xml:space="preserve">r </w:t>
      </w:r>
      <w:r w:rsidR="006C1FF0">
        <w:rPr>
          <w:sz w:val="22"/>
        </w:rPr>
        <w:t>x</w:t>
      </w:r>
      <w:r>
        <w:rPr>
          <w:sz w:val="22"/>
        </w:rPr>
        <w:t xml:space="preserve"> </w:t>
      </w:r>
      <w:r w:rsidR="00CD1E48">
        <w:rPr>
          <w:sz w:val="22"/>
        </w:rPr>
        <w:t xml:space="preserve">100 </w:t>
      </w:r>
      <w:r>
        <w:rPr>
          <w:sz w:val="22"/>
        </w:rPr>
        <w:t>documents</w:t>
      </w:r>
      <w:r w:rsidR="004A553C">
        <w:rPr>
          <w:sz w:val="22"/>
        </w:rPr>
        <w:t xml:space="preserve"> </w:t>
      </w:r>
      <w:r w:rsidR="0058790D">
        <w:rPr>
          <w:sz w:val="22"/>
        </w:rPr>
        <w:t>x</w:t>
      </w:r>
      <w:r w:rsidR="004A553C">
        <w:rPr>
          <w:sz w:val="22"/>
        </w:rPr>
        <w:t xml:space="preserve"> 2 hours</w:t>
      </w:r>
      <w:r>
        <w:rPr>
          <w:sz w:val="22"/>
        </w:rPr>
        <w:t>/submission</w:t>
      </w:r>
      <w:r w:rsidR="004A553C">
        <w:rPr>
          <w:sz w:val="22"/>
        </w:rPr>
        <w:t xml:space="preserve">) = </w:t>
      </w:r>
      <w:r w:rsidR="00511E5D">
        <w:rPr>
          <w:sz w:val="22"/>
        </w:rPr>
        <w:t>$</w:t>
      </w:r>
      <w:r w:rsidR="00CD1E48">
        <w:rPr>
          <w:sz w:val="22"/>
        </w:rPr>
        <w:t>5,664</w:t>
      </w:r>
    </w:p>
    <w:p w:rsidR="003565B9" w:rsidRDefault="003565B9" w:rsidP="003565B9">
      <w:pPr>
        <w:rPr>
          <w:sz w:val="22"/>
        </w:rPr>
      </w:pPr>
    </w:p>
    <w:p w:rsidR="003565B9" w:rsidRDefault="001376CB" w:rsidP="003565B9">
      <w:pPr>
        <w:ind w:left="720"/>
        <w:rPr>
          <w:sz w:val="22"/>
        </w:rPr>
      </w:pPr>
      <w:r>
        <w:rPr>
          <w:sz w:val="22"/>
        </w:rPr>
        <w:t xml:space="preserve">Public Notice Preparation </w:t>
      </w:r>
      <w:r>
        <w:rPr>
          <w:sz w:val="22"/>
        </w:rPr>
        <w:tab/>
      </w:r>
      <w:r>
        <w:rPr>
          <w:sz w:val="22"/>
        </w:rPr>
        <w:tab/>
      </w:r>
      <w:r>
        <w:rPr>
          <w:sz w:val="22"/>
        </w:rPr>
        <w:tab/>
      </w:r>
      <w:r w:rsidR="00360D1B">
        <w:rPr>
          <w:sz w:val="22"/>
        </w:rPr>
        <w:t>$</w:t>
      </w:r>
      <w:r w:rsidR="00C966CA">
        <w:rPr>
          <w:sz w:val="22"/>
        </w:rPr>
        <w:t xml:space="preserve">     </w:t>
      </w:r>
      <w:r w:rsidR="00CD1E48">
        <w:rPr>
          <w:sz w:val="22"/>
        </w:rPr>
        <w:t>28.85</w:t>
      </w:r>
    </w:p>
    <w:p w:rsidR="00511E5D" w:rsidRDefault="00177FDB" w:rsidP="003565B9">
      <w:pPr>
        <w:ind w:left="720"/>
        <w:rPr>
          <w:sz w:val="22"/>
        </w:rPr>
      </w:pPr>
      <w:r>
        <w:rPr>
          <w:sz w:val="22"/>
        </w:rPr>
        <w:t>Printing Costs</w:t>
      </w:r>
      <w:r>
        <w:rPr>
          <w:sz w:val="22"/>
        </w:rPr>
        <w:tab/>
      </w:r>
      <w:r>
        <w:rPr>
          <w:sz w:val="22"/>
        </w:rPr>
        <w:tab/>
      </w:r>
      <w:r>
        <w:rPr>
          <w:sz w:val="22"/>
        </w:rPr>
        <w:tab/>
      </w:r>
      <w:r>
        <w:rPr>
          <w:sz w:val="22"/>
        </w:rPr>
        <w:tab/>
      </w:r>
      <w:r>
        <w:rPr>
          <w:sz w:val="22"/>
        </w:rPr>
        <w:tab/>
        <w:t xml:space="preserve">    </w:t>
      </w:r>
      <w:r w:rsidR="00C966CA">
        <w:rPr>
          <w:sz w:val="22"/>
        </w:rPr>
        <w:t xml:space="preserve"> </w:t>
      </w:r>
      <w:r w:rsidR="00360D1B">
        <w:rPr>
          <w:sz w:val="22"/>
        </w:rPr>
        <w:t xml:space="preserve">  </w:t>
      </w:r>
      <w:r>
        <w:rPr>
          <w:sz w:val="22"/>
        </w:rPr>
        <w:t>47.73</w:t>
      </w:r>
    </w:p>
    <w:p w:rsidR="00C11081" w:rsidRPr="00177FDB" w:rsidRDefault="001376CB" w:rsidP="003565B9">
      <w:pPr>
        <w:ind w:left="720"/>
        <w:rPr>
          <w:sz w:val="22"/>
          <w:u w:val="single"/>
        </w:rPr>
      </w:pPr>
      <w:r>
        <w:rPr>
          <w:sz w:val="22"/>
        </w:rPr>
        <w:t>Cost of Reviewing Document Submissions</w:t>
      </w:r>
      <w:r>
        <w:rPr>
          <w:sz w:val="22"/>
        </w:rPr>
        <w:tab/>
      </w:r>
      <w:r w:rsidR="00173252" w:rsidRPr="00177FDB">
        <w:rPr>
          <w:sz w:val="22"/>
          <w:u w:val="single"/>
        </w:rPr>
        <w:t>$</w:t>
      </w:r>
      <w:r w:rsidR="00CD1E48">
        <w:rPr>
          <w:sz w:val="22"/>
          <w:u w:val="single"/>
        </w:rPr>
        <w:t>5,664.00</w:t>
      </w:r>
      <w:r w:rsidR="00C11081" w:rsidRPr="00177FDB">
        <w:rPr>
          <w:sz w:val="22"/>
          <w:u w:val="single"/>
        </w:rPr>
        <w:t xml:space="preserve"> </w:t>
      </w:r>
    </w:p>
    <w:p w:rsidR="00173252" w:rsidRDefault="001376CB" w:rsidP="003565B9">
      <w:pPr>
        <w:ind w:left="720"/>
        <w:rPr>
          <w:sz w:val="22"/>
        </w:rPr>
      </w:pPr>
      <w:r>
        <w:rPr>
          <w:sz w:val="22"/>
        </w:rPr>
        <w:t>Subtotal</w:t>
      </w:r>
      <w:r>
        <w:rPr>
          <w:sz w:val="22"/>
        </w:rPr>
        <w:tab/>
      </w:r>
      <w:r>
        <w:rPr>
          <w:sz w:val="22"/>
        </w:rPr>
        <w:tab/>
      </w:r>
      <w:r>
        <w:rPr>
          <w:sz w:val="22"/>
        </w:rPr>
        <w:tab/>
      </w:r>
      <w:r>
        <w:rPr>
          <w:sz w:val="22"/>
        </w:rPr>
        <w:tab/>
      </w:r>
      <w:r>
        <w:rPr>
          <w:sz w:val="22"/>
        </w:rPr>
        <w:tab/>
      </w:r>
      <w:r w:rsidR="00173252">
        <w:rPr>
          <w:sz w:val="22"/>
        </w:rPr>
        <w:t>$</w:t>
      </w:r>
      <w:r w:rsidR="00CD1E48">
        <w:rPr>
          <w:sz w:val="22"/>
        </w:rPr>
        <w:t>5,740.58</w:t>
      </w:r>
      <w:r w:rsidR="004073A7">
        <w:rPr>
          <w:sz w:val="22"/>
        </w:rPr>
        <w:t xml:space="preserve"> </w:t>
      </w:r>
    </w:p>
    <w:p w:rsidR="003565B9" w:rsidRPr="001376CB" w:rsidRDefault="001376CB" w:rsidP="003565B9">
      <w:pPr>
        <w:ind w:left="720"/>
        <w:rPr>
          <w:sz w:val="22"/>
        </w:rPr>
      </w:pPr>
      <w:r w:rsidRPr="001376CB">
        <w:rPr>
          <w:sz w:val="22"/>
        </w:rPr>
        <w:t>Overhead (30%)</w:t>
      </w:r>
      <w:r w:rsidRPr="001376CB">
        <w:rPr>
          <w:sz w:val="22"/>
        </w:rPr>
        <w:tab/>
      </w:r>
      <w:r w:rsidRPr="001376CB">
        <w:rPr>
          <w:sz w:val="22"/>
        </w:rPr>
        <w:tab/>
      </w:r>
      <w:r w:rsidRPr="001376CB">
        <w:rPr>
          <w:sz w:val="22"/>
        </w:rPr>
        <w:tab/>
      </w:r>
      <w:r w:rsidRPr="001376CB">
        <w:rPr>
          <w:sz w:val="22"/>
        </w:rPr>
        <w:tab/>
      </w:r>
      <w:r w:rsidR="003565B9" w:rsidRPr="001376CB">
        <w:rPr>
          <w:sz w:val="22"/>
          <w:u w:val="single"/>
        </w:rPr>
        <w:t>$</w:t>
      </w:r>
      <w:r w:rsidR="00CD1E48">
        <w:rPr>
          <w:sz w:val="22"/>
          <w:u w:val="single"/>
        </w:rPr>
        <w:t>1,722.17</w:t>
      </w:r>
      <w:r w:rsidR="003565B9" w:rsidRPr="001376CB">
        <w:rPr>
          <w:sz w:val="22"/>
        </w:rPr>
        <w:t xml:space="preserve"> </w:t>
      </w:r>
    </w:p>
    <w:p w:rsidR="009C5C36" w:rsidRDefault="003565B9" w:rsidP="00752D7C">
      <w:pPr>
        <w:ind w:left="360"/>
        <w:rPr>
          <w:b/>
          <w:sz w:val="22"/>
        </w:rPr>
      </w:pPr>
      <w:r>
        <w:rPr>
          <w:b/>
          <w:sz w:val="22"/>
        </w:rPr>
        <w:tab/>
      </w:r>
      <w:r w:rsidR="001376CB">
        <w:rPr>
          <w:b/>
          <w:sz w:val="22"/>
        </w:rPr>
        <w:t>Total Federal Government Costs</w:t>
      </w:r>
      <w:r w:rsidR="001376CB">
        <w:rPr>
          <w:b/>
          <w:sz w:val="22"/>
        </w:rPr>
        <w:tab/>
      </w:r>
      <w:r w:rsidR="002B4DBB" w:rsidRPr="000E4CF4">
        <w:rPr>
          <w:b/>
          <w:sz w:val="22"/>
        </w:rPr>
        <w:t xml:space="preserve">          </w:t>
      </w:r>
      <w:r w:rsidR="000E4CF4" w:rsidRPr="000E4CF4">
        <w:rPr>
          <w:b/>
          <w:sz w:val="22"/>
        </w:rPr>
        <w:t xml:space="preserve">   </w:t>
      </w:r>
      <w:r w:rsidRPr="000E4CF4">
        <w:rPr>
          <w:b/>
          <w:sz w:val="22"/>
        </w:rPr>
        <w:t>$</w:t>
      </w:r>
      <w:r w:rsidR="00CD1E48">
        <w:rPr>
          <w:b/>
          <w:sz w:val="22"/>
        </w:rPr>
        <w:t>7,462.75</w:t>
      </w:r>
    </w:p>
    <w:p w:rsidR="003565B9" w:rsidRPr="003565B9" w:rsidRDefault="001376CB" w:rsidP="00752D7C">
      <w:pPr>
        <w:ind w:left="360"/>
        <w:rPr>
          <w:b/>
          <w:sz w:val="22"/>
        </w:rPr>
      </w:pPr>
      <w:r>
        <w:rPr>
          <w:b/>
          <w:sz w:val="22"/>
        </w:rPr>
        <w:tab/>
      </w:r>
      <w:r>
        <w:rPr>
          <w:b/>
          <w:sz w:val="22"/>
        </w:rPr>
        <w:tab/>
      </w:r>
      <w:r>
        <w:rPr>
          <w:b/>
          <w:sz w:val="22"/>
        </w:rPr>
        <w:tab/>
      </w:r>
      <w:r>
        <w:rPr>
          <w:b/>
          <w:sz w:val="22"/>
        </w:rPr>
        <w:tab/>
      </w:r>
      <w:r>
        <w:rPr>
          <w:b/>
          <w:sz w:val="22"/>
        </w:rPr>
        <w:tab/>
      </w:r>
      <w:r>
        <w:rPr>
          <w:b/>
          <w:sz w:val="22"/>
        </w:rPr>
        <w:tab/>
      </w:r>
      <w:r>
        <w:rPr>
          <w:b/>
          <w:sz w:val="22"/>
        </w:rPr>
        <w:tab/>
      </w:r>
    </w:p>
    <w:p w:rsidR="00A34BFB" w:rsidRDefault="001A48B2" w:rsidP="001A48B2">
      <w:pPr>
        <w:numPr>
          <w:ilvl w:val="0"/>
          <w:numId w:val="2"/>
        </w:numPr>
        <w:tabs>
          <w:tab w:val="left" w:pos="720"/>
          <w:tab w:val="num" w:pos="1080"/>
        </w:tabs>
        <w:ind w:left="1080" w:hanging="720"/>
        <w:rPr>
          <w:sz w:val="22"/>
          <w:szCs w:val="22"/>
        </w:rPr>
      </w:pPr>
      <w:r>
        <w:rPr>
          <w:sz w:val="22"/>
        </w:rPr>
        <w:t xml:space="preserve">a)  </w:t>
      </w:r>
      <w:r>
        <w:rPr>
          <w:sz w:val="22"/>
          <w:szCs w:val="22"/>
        </w:rPr>
        <w:t>The</w:t>
      </w:r>
      <w:r w:rsidR="00A34BFB">
        <w:rPr>
          <w:sz w:val="22"/>
          <w:szCs w:val="22"/>
        </w:rPr>
        <w:t xml:space="preserve"> Commission is reporting that there are adjustments </w:t>
      </w:r>
      <w:r w:rsidR="00A82685">
        <w:rPr>
          <w:sz w:val="22"/>
          <w:szCs w:val="22"/>
        </w:rPr>
        <w:t>(increases) to this information collection</w:t>
      </w:r>
      <w:r w:rsidR="00A34BFB">
        <w:rPr>
          <w:sz w:val="22"/>
          <w:szCs w:val="22"/>
        </w:rPr>
        <w:t xml:space="preserve">. There are no program changes. </w:t>
      </w:r>
    </w:p>
    <w:p w:rsidR="001A48B2" w:rsidRDefault="001A48B2" w:rsidP="006751DA">
      <w:pPr>
        <w:rPr>
          <w:sz w:val="22"/>
          <w:szCs w:val="22"/>
        </w:rPr>
      </w:pPr>
    </w:p>
    <w:p w:rsidR="001A48B2" w:rsidRPr="007518FF" w:rsidRDefault="00A34BFB" w:rsidP="003A7D1A">
      <w:pPr>
        <w:numPr>
          <w:ilvl w:val="0"/>
          <w:numId w:val="7"/>
        </w:numPr>
        <w:rPr>
          <w:sz w:val="22"/>
          <w:szCs w:val="22"/>
        </w:rPr>
      </w:pPr>
      <w:r>
        <w:rPr>
          <w:sz w:val="22"/>
          <w:szCs w:val="22"/>
        </w:rPr>
        <w:t xml:space="preserve">The </w:t>
      </w:r>
      <w:r w:rsidR="001A48B2">
        <w:rPr>
          <w:sz w:val="22"/>
          <w:szCs w:val="22"/>
        </w:rPr>
        <w:t xml:space="preserve">estimated number of respondents, however, has increased, as a result, </w:t>
      </w:r>
      <w:r w:rsidR="001A48B2" w:rsidRPr="007518FF">
        <w:rPr>
          <w:sz w:val="22"/>
          <w:szCs w:val="22"/>
        </w:rPr>
        <w:t xml:space="preserve">the hourly burden on </w:t>
      </w:r>
      <w:r w:rsidR="001A48B2">
        <w:rPr>
          <w:sz w:val="22"/>
          <w:szCs w:val="22"/>
        </w:rPr>
        <w:t xml:space="preserve">all </w:t>
      </w:r>
      <w:r w:rsidR="001A48B2" w:rsidRPr="007518FF">
        <w:rPr>
          <w:sz w:val="22"/>
          <w:szCs w:val="22"/>
        </w:rPr>
        <w:t>respondents</w:t>
      </w:r>
      <w:r w:rsidR="001A48B2">
        <w:rPr>
          <w:sz w:val="22"/>
          <w:szCs w:val="22"/>
        </w:rPr>
        <w:t xml:space="preserve"> as a whole has increased</w:t>
      </w:r>
      <w:r w:rsidR="001A48B2" w:rsidRPr="007518FF">
        <w:rPr>
          <w:sz w:val="22"/>
          <w:szCs w:val="22"/>
        </w:rPr>
        <w:t>.</w:t>
      </w:r>
    </w:p>
    <w:p w:rsidR="001A48B2" w:rsidRDefault="001A48B2" w:rsidP="001A48B2">
      <w:pPr>
        <w:tabs>
          <w:tab w:val="num" w:pos="720"/>
        </w:tabs>
        <w:ind w:left="720" w:hanging="360"/>
        <w:rPr>
          <w:sz w:val="22"/>
        </w:rPr>
      </w:pPr>
    </w:p>
    <w:p w:rsidR="00391224" w:rsidRPr="00A65EE3" w:rsidRDefault="000E6581" w:rsidP="00A65EE3">
      <w:pPr>
        <w:pStyle w:val="ListParagraph"/>
        <w:numPr>
          <w:ilvl w:val="0"/>
          <w:numId w:val="7"/>
        </w:numPr>
        <w:rPr>
          <w:sz w:val="22"/>
        </w:rPr>
      </w:pPr>
      <w:r w:rsidRPr="00A65EE3">
        <w:rPr>
          <w:sz w:val="22"/>
        </w:rPr>
        <w:t>The</w:t>
      </w:r>
      <w:r w:rsidR="001376CB" w:rsidRPr="00A65EE3">
        <w:rPr>
          <w:sz w:val="22"/>
        </w:rPr>
        <w:t xml:space="preserve"> estimated number of</w:t>
      </w:r>
      <w:r w:rsidR="007D676C" w:rsidRPr="00A65EE3">
        <w:rPr>
          <w:sz w:val="22"/>
        </w:rPr>
        <w:t xml:space="preserve"> respondents</w:t>
      </w:r>
      <w:r w:rsidR="001376CB" w:rsidRPr="00A65EE3">
        <w:rPr>
          <w:sz w:val="22"/>
        </w:rPr>
        <w:t xml:space="preserve"> </w:t>
      </w:r>
      <w:r w:rsidR="00F94236" w:rsidRPr="00A65EE3">
        <w:rPr>
          <w:sz w:val="22"/>
        </w:rPr>
        <w:t xml:space="preserve">is </w:t>
      </w:r>
      <w:r w:rsidR="00A5085C" w:rsidRPr="00A65EE3">
        <w:rPr>
          <w:sz w:val="22"/>
        </w:rPr>
        <w:t xml:space="preserve">now </w:t>
      </w:r>
      <w:r w:rsidR="00F94236" w:rsidRPr="00A65EE3">
        <w:rPr>
          <w:sz w:val="22"/>
        </w:rPr>
        <w:t xml:space="preserve">estimated to be </w:t>
      </w:r>
      <w:r w:rsidR="00574DE4" w:rsidRPr="00A65EE3">
        <w:rPr>
          <w:sz w:val="22"/>
        </w:rPr>
        <w:t>19,169</w:t>
      </w:r>
      <w:r w:rsidR="00F94236" w:rsidRPr="00A65EE3">
        <w:rPr>
          <w:sz w:val="22"/>
        </w:rPr>
        <w:t xml:space="preserve">, an </w:t>
      </w:r>
      <w:r w:rsidR="001376CB" w:rsidRPr="00A65EE3">
        <w:rPr>
          <w:sz w:val="22"/>
        </w:rPr>
        <w:t>increase</w:t>
      </w:r>
      <w:r w:rsidR="00F94236" w:rsidRPr="00A65EE3">
        <w:rPr>
          <w:sz w:val="22"/>
        </w:rPr>
        <w:t xml:space="preserve"> of </w:t>
      </w:r>
      <w:r w:rsidR="00574DE4" w:rsidRPr="00A65EE3">
        <w:rPr>
          <w:sz w:val="22"/>
        </w:rPr>
        <w:t xml:space="preserve">13,869 </w:t>
      </w:r>
      <w:r w:rsidR="001376CB" w:rsidRPr="00A65EE3">
        <w:rPr>
          <w:sz w:val="22"/>
        </w:rPr>
        <w:t>from th</w:t>
      </w:r>
      <w:r w:rsidR="00177FDB" w:rsidRPr="00A65EE3">
        <w:rPr>
          <w:sz w:val="22"/>
        </w:rPr>
        <w:t xml:space="preserve">e </w:t>
      </w:r>
      <w:r w:rsidR="00574DE4" w:rsidRPr="00A65EE3">
        <w:rPr>
          <w:sz w:val="22"/>
        </w:rPr>
        <w:t>5,300</w:t>
      </w:r>
      <w:r w:rsidR="00266B2C" w:rsidRPr="00A65EE3">
        <w:rPr>
          <w:sz w:val="22"/>
        </w:rPr>
        <w:t xml:space="preserve"> respondents reported in the previous submission </w:t>
      </w:r>
      <w:r w:rsidR="00177FDB" w:rsidRPr="00A65EE3">
        <w:rPr>
          <w:sz w:val="22"/>
        </w:rPr>
        <w:t>three</w:t>
      </w:r>
      <w:r w:rsidR="00C966CA" w:rsidRPr="00A65EE3">
        <w:rPr>
          <w:sz w:val="22"/>
        </w:rPr>
        <w:t xml:space="preserve"> </w:t>
      </w:r>
      <w:r w:rsidR="00F94236" w:rsidRPr="00A65EE3">
        <w:rPr>
          <w:sz w:val="22"/>
        </w:rPr>
        <w:t>years ago.</w:t>
      </w:r>
      <w:r w:rsidR="001376CB" w:rsidRPr="00A65EE3">
        <w:rPr>
          <w:sz w:val="22"/>
        </w:rPr>
        <w:t xml:space="preserve">  This increase is mainly due to more entit</w:t>
      </w:r>
      <w:r w:rsidR="00266B2C" w:rsidRPr="00A65EE3">
        <w:rPr>
          <w:sz w:val="22"/>
        </w:rPr>
        <w:t>i</w:t>
      </w:r>
      <w:r w:rsidR="001376CB" w:rsidRPr="00A65EE3">
        <w:rPr>
          <w:sz w:val="22"/>
        </w:rPr>
        <w:t>es</w:t>
      </w:r>
      <w:r w:rsidR="00266B2C" w:rsidRPr="00A65EE3">
        <w:rPr>
          <w:sz w:val="22"/>
        </w:rPr>
        <w:t xml:space="preserve"> (respondents)</w:t>
      </w:r>
      <w:r w:rsidR="001376CB" w:rsidRPr="00A65EE3">
        <w:rPr>
          <w:sz w:val="22"/>
        </w:rPr>
        <w:t xml:space="preserve"> hav</w:t>
      </w:r>
      <w:r w:rsidR="00266B2C" w:rsidRPr="00A65EE3">
        <w:rPr>
          <w:sz w:val="22"/>
        </w:rPr>
        <w:t>ing</w:t>
      </w:r>
      <w:r w:rsidR="001376CB" w:rsidRPr="00A65EE3">
        <w:rPr>
          <w:sz w:val="22"/>
        </w:rPr>
        <w:t xml:space="preserve"> claimed non-profit status pursuant to IRS code</w:t>
      </w:r>
      <w:r w:rsidR="00A82BF8" w:rsidRPr="00A65EE3">
        <w:rPr>
          <w:sz w:val="22"/>
        </w:rPr>
        <w:t xml:space="preserve"> and state authority in the </w:t>
      </w:r>
      <w:r w:rsidR="00177FDB" w:rsidRPr="00A65EE3">
        <w:rPr>
          <w:sz w:val="22"/>
        </w:rPr>
        <w:t>p</w:t>
      </w:r>
      <w:r w:rsidR="00A82BF8" w:rsidRPr="00A65EE3">
        <w:rPr>
          <w:sz w:val="22"/>
        </w:rPr>
        <w:t>ast three</w:t>
      </w:r>
      <w:r w:rsidR="00C966CA" w:rsidRPr="00A65EE3">
        <w:rPr>
          <w:sz w:val="22"/>
        </w:rPr>
        <w:t xml:space="preserve"> </w:t>
      </w:r>
      <w:r w:rsidR="00A82BF8" w:rsidRPr="00A65EE3">
        <w:rPr>
          <w:sz w:val="22"/>
        </w:rPr>
        <w:t xml:space="preserve">years.  </w:t>
      </w:r>
      <w:r w:rsidR="00A8683E" w:rsidRPr="00A65EE3">
        <w:rPr>
          <w:sz w:val="22"/>
        </w:rPr>
        <w:t xml:space="preserve">Also, the estimated number of annual responses is now estimated to be 19,269, an increase of 13,969 from the 5,300 responses noted in the last submission. </w:t>
      </w:r>
    </w:p>
    <w:p w:rsidR="00A65EE3" w:rsidRPr="00A65EE3" w:rsidRDefault="00A65EE3" w:rsidP="00A65EE3">
      <w:pPr>
        <w:pStyle w:val="ListParagraph"/>
        <w:rPr>
          <w:sz w:val="22"/>
        </w:rPr>
      </w:pPr>
    </w:p>
    <w:p w:rsidR="00A65EE3" w:rsidRPr="00A65EE3" w:rsidRDefault="00A65EE3" w:rsidP="00A65EE3">
      <w:pPr>
        <w:pStyle w:val="ListParagraph"/>
        <w:numPr>
          <w:ilvl w:val="0"/>
          <w:numId w:val="7"/>
        </w:numPr>
        <w:rPr>
          <w:sz w:val="22"/>
        </w:rPr>
      </w:pPr>
      <w:r>
        <w:rPr>
          <w:sz w:val="22"/>
        </w:rPr>
        <w:t>The burden hours for each non-profit entity remain the same; however, the aggregate burden hours for all respondents have increased due to an estimated increase in non-profit entities, by 6,720 hours—from 2,915 hours to 9,635 hours.</w:t>
      </w:r>
    </w:p>
    <w:p w:rsidR="009C5C36" w:rsidRDefault="009C5C36">
      <w:pPr>
        <w:rPr>
          <w:sz w:val="22"/>
        </w:rPr>
      </w:pPr>
    </w:p>
    <w:p w:rsidR="009C5C36" w:rsidRDefault="000D4E3C" w:rsidP="000D4E3C">
      <w:pPr>
        <w:ind w:left="360"/>
        <w:rPr>
          <w:sz w:val="22"/>
        </w:rPr>
      </w:pPr>
      <w:bookmarkStart w:id="0" w:name="_GoBack"/>
      <w:bookmarkEnd w:id="0"/>
      <w:r>
        <w:rPr>
          <w:sz w:val="22"/>
        </w:rPr>
        <w:t xml:space="preserve">16. </w:t>
      </w:r>
      <w:r w:rsidR="009C5C36">
        <w:rPr>
          <w:sz w:val="22"/>
        </w:rPr>
        <w:t>The data will not be published for statistical use.</w:t>
      </w:r>
    </w:p>
    <w:p w:rsidR="009C5C36" w:rsidRDefault="009C5C36">
      <w:pPr>
        <w:rPr>
          <w:sz w:val="22"/>
        </w:rPr>
      </w:pPr>
    </w:p>
    <w:p w:rsidR="009C5C36" w:rsidRDefault="007D676C" w:rsidP="00D427AC">
      <w:pPr>
        <w:ind w:left="720" w:hanging="360"/>
        <w:rPr>
          <w:sz w:val="22"/>
        </w:rPr>
      </w:pPr>
      <w:r>
        <w:rPr>
          <w:sz w:val="22"/>
        </w:rPr>
        <w:t xml:space="preserve">17.   </w:t>
      </w:r>
      <w:r w:rsidR="009C5C36">
        <w:rPr>
          <w:sz w:val="22"/>
        </w:rPr>
        <w:t xml:space="preserve">We are requesting </w:t>
      </w:r>
      <w:r w:rsidR="00C116E3">
        <w:rPr>
          <w:sz w:val="22"/>
        </w:rPr>
        <w:t xml:space="preserve">continued </w:t>
      </w:r>
      <w:r w:rsidR="009C5C36">
        <w:rPr>
          <w:sz w:val="22"/>
        </w:rPr>
        <w:t xml:space="preserve">OMB approval to not display the expiration date for OMB approval of the information collection.  This will </w:t>
      </w:r>
      <w:r w:rsidR="00C116E3">
        <w:rPr>
          <w:sz w:val="22"/>
        </w:rPr>
        <w:t>alleviate</w:t>
      </w:r>
      <w:r w:rsidR="009C5C36">
        <w:rPr>
          <w:sz w:val="22"/>
        </w:rPr>
        <w:t xml:space="preserve"> the Commission from </w:t>
      </w:r>
      <w:r w:rsidR="00C116E3">
        <w:rPr>
          <w:sz w:val="22"/>
        </w:rPr>
        <w:t>having to update the OMB expiration date when they publish the Public Notice announcing this requirement</w:t>
      </w:r>
      <w:r w:rsidR="009C5C36">
        <w:rPr>
          <w:sz w:val="22"/>
        </w:rPr>
        <w:t xml:space="preserve">.   The Commission </w:t>
      </w:r>
      <w:r w:rsidR="00C116E3">
        <w:rPr>
          <w:sz w:val="22"/>
        </w:rPr>
        <w:t xml:space="preserve">publishes the </w:t>
      </w:r>
      <w:r w:rsidR="00123A29">
        <w:rPr>
          <w:sz w:val="22"/>
        </w:rPr>
        <w:t>OMB control number</w:t>
      </w:r>
      <w:r w:rsidR="00C116E3">
        <w:rPr>
          <w:sz w:val="22"/>
        </w:rPr>
        <w:t>, title</w:t>
      </w:r>
      <w:r w:rsidR="00123A29">
        <w:rPr>
          <w:sz w:val="22"/>
        </w:rPr>
        <w:t xml:space="preserve"> and </w:t>
      </w:r>
      <w:r w:rsidR="00C116E3">
        <w:rPr>
          <w:sz w:val="22"/>
        </w:rPr>
        <w:t xml:space="preserve">OMB </w:t>
      </w:r>
      <w:r w:rsidR="00123A29">
        <w:rPr>
          <w:sz w:val="22"/>
        </w:rPr>
        <w:t>expiration date i</w:t>
      </w:r>
      <w:r w:rsidR="00C116E3">
        <w:rPr>
          <w:sz w:val="22"/>
        </w:rPr>
        <w:t>n</w:t>
      </w:r>
      <w:r w:rsidR="00123A29">
        <w:rPr>
          <w:sz w:val="22"/>
        </w:rPr>
        <w:t xml:space="preserve"> 47 CFR 0.408</w:t>
      </w:r>
      <w:r w:rsidR="009C5C36">
        <w:rPr>
          <w:sz w:val="22"/>
        </w:rPr>
        <w:t>.</w:t>
      </w:r>
    </w:p>
    <w:p w:rsidR="009C5C36" w:rsidRDefault="009C5C36" w:rsidP="00D427AC">
      <w:pPr>
        <w:ind w:left="720" w:hanging="360"/>
        <w:rPr>
          <w:sz w:val="22"/>
        </w:rPr>
      </w:pPr>
    </w:p>
    <w:p w:rsidR="009C5C36" w:rsidRDefault="007D676C" w:rsidP="00D427AC">
      <w:pPr>
        <w:ind w:left="720" w:hanging="360"/>
        <w:rPr>
          <w:sz w:val="22"/>
        </w:rPr>
      </w:pPr>
      <w:r>
        <w:rPr>
          <w:sz w:val="22"/>
        </w:rPr>
        <w:t xml:space="preserve">18. </w:t>
      </w:r>
      <w:r w:rsidR="00123A29">
        <w:rPr>
          <w:sz w:val="22"/>
        </w:rPr>
        <w:t>The</w:t>
      </w:r>
      <w:r w:rsidR="00286D4D">
        <w:rPr>
          <w:sz w:val="22"/>
        </w:rPr>
        <w:t>re are no</w:t>
      </w:r>
      <w:r w:rsidR="00123A29">
        <w:rPr>
          <w:sz w:val="22"/>
        </w:rPr>
        <w:t xml:space="preserve"> exception</w:t>
      </w:r>
      <w:r w:rsidR="00286D4D">
        <w:rPr>
          <w:sz w:val="22"/>
        </w:rPr>
        <w:t>s</w:t>
      </w:r>
      <w:r w:rsidR="00123A29">
        <w:rPr>
          <w:sz w:val="22"/>
        </w:rPr>
        <w:t xml:space="preserve"> to the certification </w:t>
      </w:r>
      <w:r w:rsidR="00086CA0">
        <w:rPr>
          <w:sz w:val="22"/>
        </w:rPr>
        <w:t>statement.</w:t>
      </w:r>
    </w:p>
    <w:p w:rsidR="009C5C36" w:rsidRDefault="009C5C36" w:rsidP="00D427AC">
      <w:pPr>
        <w:ind w:left="720" w:hanging="360"/>
      </w:pPr>
    </w:p>
    <w:p w:rsidR="009C5C36" w:rsidRPr="00123A29" w:rsidRDefault="009C5C36" w:rsidP="00D427AC">
      <w:pPr>
        <w:pStyle w:val="Heading1"/>
        <w:ind w:left="720"/>
        <w:rPr>
          <w:u w:val="single"/>
        </w:rPr>
      </w:pPr>
      <w:r w:rsidRPr="00123A29">
        <w:rPr>
          <w:u w:val="single"/>
        </w:rPr>
        <w:t>Collections of Information Employing Statistical Methods</w:t>
      </w:r>
      <w:r w:rsidR="00123A29" w:rsidRPr="005025A7">
        <w:t>:</w:t>
      </w:r>
    </w:p>
    <w:p w:rsidR="009C5C36" w:rsidRDefault="009C5C36" w:rsidP="00D427AC">
      <w:pPr>
        <w:ind w:left="720" w:hanging="360"/>
      </w:pPr>
    </w:p>
    <w:p w:rsidR="009C5C36" w:rsidRDefault="009C5C36" w:rsidP="00D427AC">
      <w:pPr>
        <w:ind w:left="720" w:hanging="360"/>
      </w:pPr>
      <w:r>
        <w:rPr>
          <w:sz w:val="22"/>
        </w:rPr>
        <w:t>There were no statistical methods employed</w:t>
      </w:r>
      <w:r>
        <w:t>.</w:t>
      </w:r>
    </w:p>
    <w:sectPr w:rsidR="009C5C36" w:rsidSect="008E7362">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1A1" w:rsidRDefault="000611A1">
      <w:r>
        <w:separator/>
      </w:r>
    </w:p>
  </w:endnote>
  <w:endnote w:type="continuationSeparator" w:id="0">
    <w:p w:rsidR="000611A1" w:rsidRDefault="000611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30" w:rsidRDefault="006B1A3B" w:rsidP="007B14A2">
    <w:pPr>
      <w:pStyle w:val="Footer"/>
      <w:framePr w:wrap="around" w:vAnchor="text" w:hAnchor="margin" w:xAlign="center" w:y="1"/>
      <w:rPr>
        <w:rStyle w:val="PageNumber"/>
      </w:rPr>
    </w:pPr>
    <w:r>
      <w:rPr>
        <w:rStyle w:val="PageNumber"/>
      </w:rPr>
      <w:fldChar w:fldCharType="begin"/>
    </w:r>
    <w:r w:rsidR="00080C30">
      <w:rPr>
        <w:rStyle w:val="PageNumber"/>
      </w:rPr>
      <w:instrText xml:space="preserve">PAGE  </w:instrText>
    </w:r>
    <w:r>
      <w:rPr>
        <w:rStyle w:val="PageNumber"/>
      </w:rPr>
      <w:fldChar w:fldCharType="end"/>
    </w:r>
  </w:p>
  <w:p w:rsidR="00080C30" w:rsidRDefault="00080C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30" w:rsidRDefault="006B1A3B" w:rsidP="007B14A2">
    <w:pPr>
      <w:pStyle w:val="Footer"/>
      <w:framePr w:wrap="around" w:vAnchor="text" w:hAnchor="margin" w:xAlign="center" w:y="1"/>
      <w:rPr>
        <w:rStyle w:val="PageNumber"/>
      </w:rPr>
    </w:pPr>
    <w:r>
      <w:rPr>
        <w:rStyle w:val="PageNumber"/>
      </w:rPr>
      <w:fldChar w:fldCharType="begin"/>
    </w:r>
    <w:r w:rsidR="00080C30">
      <w:rPr>
        <w:rStyle w:val="PageNumber"/>
      </w:rPr>
      <w:instrText xml:space="preserve">PAGE  </w:instrText>
    </w:r>
    <w:r>
      <w:rPr>
        <w:rStyle w:val="PageNumber"/>
      </w:rPr>
      <w:fldChar w:fldCharType="separate"/>
    </w:r>
    <w:r w:rsidR="00A65EE3">
      <w:rPr>
        <w:rStyle w:val="PageNumber"/>
        <w:noProof/>
      </w:rPr>
      <w:t>4</w:t>
    </w:r>
    <w:r>
      <w:rPr>
        <w:rStyle w:val="PageNumber"/>
      </w:rPr>
      <w:fldChar w:fldCharType="end"/>
    </w:r>
  </w:p>
  <w:p w:rsidR="00080C30" w:rsidRDefault="00080C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1A1" w:rsidRDefault="000611A1">
      <w:r>
        <w:separator/>
      </w:r>
    </w:p>
  </w:footnote>
  <w:footnote w:type="continuationSeparator" w:id="0">
    <w:p w:rsidR="000611A1" w:rsidRDefault="000611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30" w:rsidRPr="00A10E0B" w:rsidRDefault="00080C30" w:rsidP="00360D1B">
    <w:pPr>
      <w:pStyle w:val="Title"/>
      <w:jc w:val="left"/>
    </w:pPr>
    <w:r>
      <w:t xml:space="preserve">3060-0812, Exemption from Payment of Regulatory Fees                                December </w:t>
    </w:r>
    <w:r w:rsidR="008721EE">
      <w:t>2014</w:t>
    </w:r>
    <w:r w:rsidR="00360D1B">
      <w:t xml:space="preserve"> </w:t>
    </w:r>
    <w:r>
      <w:t>When Claiming Non-Profit Status</w:t>
    </w:r>
    <w:r>
      <w:tab/>
    </w:r>
    <w:r>
      <w:tab/>
      <w:t xml:space="preserve">       </w:t>
    </w:r>
    <w:r>
      <w:tab/>
    </w:r>
  </w:p>
  <w:p w:rsidR="00080C30" w:rsidRDefault="00080C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139E"/>
    <w:multiLevelType w:val="hybridMultilevel"/>
    <w:tmpl w:val="D16A81D4"/>
    <w:lvl w:ilvl="0" w:tplc="04090017">
      <w:start w:val="1"/>
      <w:numFmt w:val="lowerLetter"/>
      <w:lvlText w:val="%1)"/>
      <w:lvlJc w:val="left"/>
      <w:pPr>
        <w:tabs>
          <w:tab w:val="num" w:pos="1080"/>
        </w:tabs>
        <w:ind w:left="1080" w:hanging="360"/>
      </w:pPr>
      <w:rPr>
        <w:rFonts w:hint="default"/>
      </w:rPr>
    </w:lvl>
    <w:lvl w:ilvl="1" w:tplc="588C6EFA">
      <w:start w:val="16"/>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4983283"/>
    <w:multiLevelType w:val="multilevel"/>
    <w:tmpl w:val="EE664EE8"/>
    <w:lvl w:ilvl="0">
      <w:start w:val="1"/>
      <w:numFmt w:val="decimal"/>
      <w:lvlText w:val="%1."/>
      <w:lvlJc w:val="left"/>
      <w:pPr>
        <w:tabs>
          <w:tab w:val="num" w:pos="720"/>
        </w:tabs>
        <w:ind w:left="720" w:hanging="360"/>
      </w:pPr>
      <w:rPr>
        <w:rFonts w:hint="default"/>
      </w:rPr>
    </w:lvl>
    <w:lvl w:ilvl="1">
      <w:start w:val="16"/>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597B1C1E"/>
    <w:multiLevelType w:val="hybridMultilevel"/>
    <w:tmpl w:val="72185DD8"/>
    <w:lvl w:ilvl="0" w:tplc="EDF2E8C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FA91CD1"/>
    <w:multiLevelType w:val="hybridMultilevel"/>
    <w:tmpl w:val="474EE166"/>
    <w:lvl w:ilvl="0" w:tplc="421ECAE0">
      <w:start w:val="1"/>
      <w:numFmt w:val="lowerLetter"/>
      <w:lvlText w:val="%1)"/>
      <w:lvlJc w:val="left"/>
      <w:pPr>
        <w:tabs>
          <w:tab w:val="num" w:pos="1080"/>
        </w:tabs>
        <w:ind w:left="1080" w:hanging="360"/>
      </w:pPr>
      <w:rPr>
        <w:rFonts w:hint="default"/>
      </w:rPr>
    </w:lvl>
    <w:lvl w:ilvl="1" w:tplc="95042874">
      <w:start w:val="1"/>
      <w:numFmt w:val="lowerRoman"/>
      <w:lvlText w:val="%2)"/>
      <w:lvlJc w:val="left"/>
      <w:pPr>
        <w:tabs>
          <w:tab w:val="num" w:pos="1890"/>
        </w:tabs>
        <w:ind w:left="189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E795BCC"/>
    <w:multiLevelType w:val="hybridMultilevel"/>
    <w:tmpl w:val="98987BB0"/>
    <w:lvl w:ilvl="0" w:tplc="DC24F52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8245D50"/>
    <w:multiLevelType w:val="singleLevel"/>
    <w:tmpl w:val="2704436C"/>
    <w:lvl w:ilvl="0">
      <w:start w:val="1"/>
      <w:numFmt w:val="upperLetter"/>
      <w:pStyle w:val="Heading1"/>
      <w:lvlText w:val="%1."/>
      <w:lvlJc w:val="left"/>
      <w:pPr>
        <w:tabs>
          <w:tab w:val="num" w:pos="360"/>
        </w:tabs>
        <w:ind w:left="360" w:hanging="360"/>
      </w:pPr>
      <w:rPr>
        <w:rFonts w:hint="default"/>
      </w:rPr>
    </w:lvl>
  </w:abstractNum>
  <w:abstractNum w:abstractNumId="6">
    <w:nsid w:val="7E1E1C0B"/>
    <w:multiLevelType w:val="hybridMultilevel"/>
    <w:tmpl w:val="0EF4F69E"/>
    <w:lvl w:ilvl="0" w:tplc="2608570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3"/>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C29B1"/>
    <w:rsid w:val="00010BA1"/>
    <w:rsid w:val="00013E28"/>
    <w:rsid w:val="000151D0"/>
    <w:rsid w:val="000337CF"/>
    <w:rsid w:val="00055481"/>
    <w:rsid w:val="000611A1"/>
    <w:rsid w:val="00061638"/>
    <w:rsid w:val="0006378F"/>
    <w:rsid w:val="00080C30"/>
    <w:rsid w:val="00086CA0"/>
    <w:rsid w:val="000B30DB"/>
    <w:rsid w:val="000D4E3C"/>
    <w:rsid w:val="000E003F"/>
    <w:rsid w:val="000E4CF4"/>
    <w:rsid w:val="000E6581"/>
    <w:rsid w:val="001216C0"/>
    <w:rsid w:val="00123A29"/>
    <w:rsid w:val="001376CB"/>
    <w:rsid w:val="0014457A"/>
    <w:rsid w:val="00173252"/>
    <w:rsid w:val="00177FDB"/>
    <w:rsid w:val="001A0034"/>
    <w:rsid w:val="001A48B2"/>
    <w:rsid w:val="001D643E"/>
    <w:rsid w:val="001E7B1F"/>
    <w:rsid w:val="001F1386"/>
    <w:rsid w:val="001F249B"/>
    <w:rsid w:val="001F6309"/>
    <w:rsid w:val="00226917"/>
    <w:rsid w:val="00233AC5"/>
    <w:rsid w:val="002453FD"/>
    <w:rsid w:val="00266B2C"/>
    <w:rsid w:val="00267C3D"/>
    <w:rsid w:val="00283F62"/>
    <w:rsid w:val="00286D4D"/>
    <w:rsid w:val="00286D6C"/>
    <w:rsid w:val="002B1401"/>
    <w:rsid w:val="002B2C40"/>
    <w:rsid w:val="002B4DBB"/>
    <w:rsid w:val="002C7669"/>
    <w:rsid w:val="00301824"/>
    <w:rsid w:val="003113DC"/>
    <w:rsid w:val="0032058F"/>
    <w:rsid w:val="003220FE"/>
    <w:rsid w:val="003306C1"/>
    <w:rsid w:val="003312F3"/>
    <w:rsid w:val="00340F07"/>
    <w:rsid w:val="00354DDA"/>
    <w:rsid w:val="003565B9"/>
    <w:rsid w:val="00360D1B"/>
    <w:rsid w:val="00363973"/>
    <w:rsid w:val="00376090"/>
    <w:rsid w:val="00386159"/>
    <w:rsid w:val="00386A0F"/>
    <w:rsid w:val="00391224"/>
    <w:rsid w:val="00394918"/>
    <w:rsid w:val="003A7D1A"/>
    <w:rsid w:val="003C5359"/>
    <w:rsid w:val="004073A7"/>
    <w:rsid w:val="004075DB"/>
    <w:rsid w:val="00433544"/>
    <w:rsid w:val="004800C6"/>
    <w:rsid w:val="004A553C"/>
    <w:rsid w:val="004D5123"/>
    <w:rsid w:val="004E0B1B"/>
    <w:rsid w:val="004E1650"/>
    <w:rsid w:val="004E5317"/>
    <w:rsid w:val="005025A7"/>
    <w:rsid w:val="00506C30"/>
    <w:rsid w:val="00511E5D"/>
    <w:rsid w:val="00520C93"/>
    <w:rsid w:val="00527A4E"/>
    <w:rsid w:val="005303EC"/>
    <w:rsid w:val="00554A50"/>
    <w:rsid w:val="00574DE4"/>
    <w:rsid w:val="00584CF5"/>
    <w:rsid w:val="0058790D"/>
    <w:rsid w:val="005901F3"/>
    <w:rsid w:val="005D6F87"/>
    <w:rsid w:val="005F69B5"/>
    <w:rsid w:val="006061AA"/>
    <w:rsid w:val="006121F5"/>
    <w:rsid w:val="00625AC3"/>
    <w:rsid w:val="00637FC0"/>
    <w:rsid w:val="006474E6"/>
    <w:rsid w:val="00652344"/>
    <w:rsid w:val="00665EB1"/>
    <w:rsid w:val="0067021B"/>
    <w:rsid w:val="006751DA"/>
    <w:rsid w:val="00687298"/>
    <w:rsid w:val="006B1A3B"/>
    <w:rsid w:val="006C1FF0"/>
    <w:rsid w:val="006E58C7"/>
    <w:rsid w:val="007325F5"/>
    <w:rsid w:val="007518FF"/>
    <w:rsid w:val="00752D7C"/>
    <w:rsid w:val="0077038A"/>
    <w:rsid w:val="007704AD"/>
    <w:rsid w:val="007943C8"/>
    <w:rsid w:val="007A3FCC"/>
    <w:rsid w:val="007A7233"/>
    <w:rsid w:val="007B14A2"/>
    <w:rsid w:val="007D676C"/>
    <w:rsid w:val="007E29C9"/>
    <w:rsid w:val="007F7FD7"/>
    <w:rsid w:val="00806C43"/>
    <w:rsid w:val="00823948"/>
    <w:rsid w:val="00861705"/>
    <w:rsid w:val="00864D2E"/>
    <w:rsid w:val="008661ED"/>
    <w:rsid w:val="008721EE"/>
    <w:rsid w:val="008B51A1"/>
    <w:rsid w:val="008C65FD"/>
    <w:rsid w:val="008E7362"/>
    <w:rsid w:val="008F465D"/>
    <w:rsid w:val="008F4D97"/>
    <w:rsid w:val="00902C83"/>
    <w:rsid w:val="00906116"/>
    <w:rsid w:val="00917BB7"/>
    <w:rsid w:val="0093352A"/>
    <w:rsid w:val="00987DB3"/>
    <w:rsid w:val="0099798F"/>
    <w:rsid w:val="009B5A07"/>
    <w:rsid w:val="009B7A82"/>
    <w:rsid w:val="009C5C36"/>
    <w:rsid w:val="009E71F8"/>
    <w:rsid w:val="00A10E0B"/>
    <w:rsid w:val="00A34BFB"/>
    <w:rsid w:val="00A436D1"/>
    <w:rsid w:val="00A5085C"/>
    <w:rsid w:val="00A558FC"/>
    <w:rsid w:val="00A57E09"/>
    <w:rsid w:val="00A61B3C"/>
    <w:rsid w:val="00A65EE3"/>
    <w:rsid w:val="00A82685"/>
    <w:rsid w:val="00A82BF8"/>
    <w:rsid w:val="00A8683E"/>
    <w:rsid w:val="00A9430E"/>
    <w:rsid w:val="00A95CA5"/>
    <w:rsid w:val="00AA2C79"/>
    <w:rsid w:val="00AA431A"/>
    <w:rsid w:val="00AB0D7D"/>
    <w:rsid w:val="00AB126F"/>
    <w:rsid w:val="00AC5A6F"/>
    <w:rsid w:val="00AE5FC3"/>
    <w:rsid w:val="00B03283"/>
    <w:rsid w:val="00B14855"/>
    <w:rsid w:val="00B508E9"/>
    <w:rsid w:val="00B60095"/>
    <w:rsid w:val="00B72CBE"/>
    <w:rsid w:val="00BD7808"/>
    <w:rsid w:val="00BF2131"/>
    <w:rsid w:val="00C0463A"/>
    <w:rsid w:val="00C11081"/>
    <w:rsid w:val="00C116E3"/>
    <w:rsid w:val="00C562FC"/>
    <w:rsid w:val="00C56D37"/>
    <w:rsid w:val="00C60A0F"/>
    <w:rsid w:val="00C60A54"/>
    <w:rsid w:val="00C92876"/>
    <w:rsid w:val="00C966CA"/>
    <w:rsid w:val="00CB566A"/>
    <w:rsid w:val="00CB69DD"/>
    <w:rsid w:val="00CD1762"/>
    <w:rsid w:val="00CD1E48"/>
    <w:rsid w:val="00D0562F"/>
    <w:rsid w:val="00D20900"/>
    <w:rsid w:val="00D427AC"/>
    <w:rsid w:val="00D43770"/>
    <w:rsid w:val="00D6202A"/>
    <w:rsid w:val="00D76530"/>
    <w:rsid w:val="00D916A5"/>
    <w:rsid w:val="00DC29B1"/>
    <w:rsid w:val="00DC4558"/>
    <w:rsid w:val="00DC5B81"/>
    <w:rsid w:val="00DD255B"/>
    <w:rsid w:val="00E41276"/>
    <w:rsid w:val="00E73910"/>
    <w:rsid w:val="00E87410"/>
    <w:rsid w:val="00E877F4"/>
    <w:rsid w:val="00E9476B"/>
    <w:rsid w:val="00E97E68"/>
    <w:rsid w:val="00EA47CE"/>
    <w:rsid w:val="00EB311B"/>
    <w:rsid w:val="00EB70E8"/>
    <w:rsid w:val="00EC3D6D"/>
    <w:rsid w:val="00ED59AB"/>
    <w:rsid w:val="00EE6F7E"/>
    <w:rsid w:val="00EF1BBC"/>
    <w:rsid w:val="00F015D7"/>
    <w:rsid w:val="00F05F4E"/>
    <w:rsid w:val="00F23EB8"/>
    <w:rsid w:val="00F32352"/>
    <w:rsid w:val="00F63A03"/>
    <w:rsid w:val="00F645E8"/>
    <w:rsid w:val="00F648CA"/>
    <w:rsid w:val="00F861E9"/>
    <w:rsid w:val="00F94236"/>
    <w:rsid w:val="00FB29F1"/>
    <w:rsid w:val="00FD54B0"/>
    <w:rsid w:val="00FE7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A3B"/>
  </w:style>
  <w:style w:type="paragraph" w:styleId="Heading1">
    <w:name w:val="heading 1"/>
    <w:basedOn w:val="Normal"/>
    <w:next w:val="Normal"/>
    <w:qFormat/>
    <w:rsid w:val="006B1A3B"/>
    <w:pPr>
      <w:keepNext/>
      <w:numPr>
        <w:numId w:val="1"/>
      </w:numPr>
      <w:outlineLvl w:val="0"/>
    </w:pPr>
    <w:rPr>
      <w:b/>
      <w:sz w:val="22"/>
    </w:rPr>
  </w:style>
  <w:style w:type="paragraph" w:styleId="Heading2">
    <w:name w:val="heading 2"/>
    <w:basedOn w:val="Normal"/>
    <w:next w:val="Normal"/>
    <w:qFormat/>
    <w:rsid w:val="006B1A3B"/>
    <w:pPr>
      <w:keepNext/>
      <w:ind w:left="36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B1A3B"/>
    <w:pPr>
      <w:jc w:val="center"/>
    </w:pPr>
    <w:rPr>
      <w:b/>
      <w:sz w:val="24"/>
    </w:rPr>
  </w:style>
  <w:style w:type="paragraph" w:styleId="BodyText">
    <w:name w:val="Body Text"/>
    <w:basedOn w:val="Normal"/>
    <w:rsid w:val="006B1A3B"/>
    <w:rPr>
      <w:b/>
      <w:sz w:val="22"/>
    </w:rPr>
  </w:style>
  <w:style w:type="paragraph" w:styleId="Header">
    <w:name w:val="header"/>
    <w:basedOn w:val="Normal"/>
    <w:rsid w:val="00EC3D6D"/>
    <w:pPr>
      <w:tabs>
        <w:tab w:val="center" w:pos="4320"/>
        <w:tab w:val="right" w:pos="8640"/>
      </w:tabs>
    </w:pPr>
  </w:style>
  <w:style w:type="paragraph" w:styleId="Footer">
    <w:name w:val="footer"/>
    <w:basedOn w:val="Normal"/>
    <w:rsid w:val="00EC3D6D"/>
    <w:pPr>
      <w:tabs>
        <w:tab w:val="center" w:pos="4320"/>
        <w:tab w:val="right" w:pos="8640"/>
      </w:tabs>
    </w:pPr>
  </w:style>
  <w:style w:type="paragraph" w:styleId="BalloonText">
    <w:name w:val="Balloon Text"/>
    <w:basedOn w:val="Normal"/>
    <w:semiHidden/>
    <w:rsid w:val="00D427AC"/>
    <w:rPr>
      <w:rFonts w:ascii="Tahoma" w:hAnsi="Tahoma" w:cs="Tahoma"/>
      <w:sz w:val="16"/>
      <w:szCs w:val="16"/>
    </w:rPr>
  </w:style>
  <w:style w:type="character" w:styleId="CommentReference">
    <w:name w:val="annotation reference"/>
    <w:basedOn w:val="DefaultParagraphFont"/>
    <w:semiHidden/>
    <w:rsid w:val="00C56D37"/>
    <w:rPr>
      <w:sz w:val="16"/>
      <w:szCs w:val="16"/>
    </w:rPr>
  </w:style>
  <w:style w:type="paragraph" w:styleId="CommentText">
    <w:name w:val="annotation text"/>
    <w:basedOn w:val="Normal"/>
    <w:semiHidden/>
    <w:rsid w:val="00C56D37"/>
  </w:style>
  <w:style w:type="paragraph" w:styleId="CommentSubject">
    <w:name w:val="annotation subject"/>
    <w:basedOn w:val="CommentText"/>
    <w:next w:val="CommentText"/>
    <w:semiHidden/>
    <w:rsid w:val="00C56D37"/>
    <w:rPr>
      <w:b/>
      <w:bCs/>
    </w:rPr>
  </w:style>
  <w:style w:type="character" w:styleId="PageNumber">
    <w:name w:val="page number"/>
    <w:basedOn w:val="DefaultParagraphFont"/>
    <w:rsid w:val="005025A7"/>
  </w:style>
  <w:style w:type="paragraph" w:styleId="ListParagraph">
    <w:name w:val="List Paragraph"/>
    <w:basedOn w:val="Normal"/>
    <w:uiPriority w:val="34"/>
    <w:qFormat/>
    <w:rsid w:val="00A65E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numPr>
        <w:numId w:val="1"/>
      </w:numPr>
      <w:outlineLvl w:val="0"/>
    </w:pPr>
    <w:rPr>
      <w:b/>
      <w:sz w:val="22"/>
    </w:rPr>
  </w:style>
  <w:style w:type="paragraph" w:styleId="Heading2">
    <w:name w:val="heading 2"/>
    <w:basedOn w:val="Normal"/>
    <w:next w:val="Normal"/>
    <w:qFormat/>
    <w:pPr>
      <w:keepNext/>
      <w:ind w:left="36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b/>
      <w:sz w:val="22"/>
    </w:rPr>
  </w:style>
  <w:style w:type="paragraph" w:styleId="Header">
    <w:name w:val="header"/>
    <w:basedOn w:val="Normal"/>
    <w:rsid w:val="00EC3D6D"/>
    <w:pPr>
      <w:tabs>
        <w:tab w:val="center" w:pos="4320"/>
        <w:tab w:val="right" w:pos="8640"/>
      </w:tabs>
    </w:pPr>
  </w:style>
  <w:style w:type="paragraph" w:styleId="Footer">
    <w:name w:val="footer"/>
    <w:basedOn w:val="Normal"/>
    <w:rsid w:val="00EC3D6D"/>
    <w:pPr>
      <w:tabs>
        <w:tab w:val="center" w:pos="4320"/>
        <w:tab w:val="right" w:pos="8640"/>
      </w:tabs>
    </w:pPr>
  </w:style>
  <w:style w:type="paragraph" w:styleId="BalloonText">
    <w:name w:val="Balloon Text"/>
    <w:basedOn w:val="Normal"/>
    <w:semiHidden/>
    <w:rsid w:val="00D427AC"/>
    <w:rPr>
      <w:rFonts w:ascii="Tahoma" w:hAnsi="Tahoma" w:cs="Tahoma"/>
      <w:sz w:val="16"/>
      <w:szCs w:val="16"/>
    </w:rPr>
  </w:style>
  <w:style w:type="character" w:styleId="CommentReference">
    <w:name w:val="annotation reference"/>
    <w:basedOn w:val="DefaultParagraphFont"/>
    <w:semiHidden/>
    <w:rsid w:val="00C56D37"/>
    <w:rPr>
      <w:sz w:val="16"/>
      <w:szCs w:val="16"/>
    </w:rPr>
  </w:style>
  <w:style w:type="paragraph" w:styleId="CommentText">
    <w:name w:val="annotation text"/>
    <w:basedOn w:val="Normal"/>
    <w:semiHidden/>
    <w:rsid w:val="00C56D37"/>
  </w:style>
  <w:style w:type="paragraph" w:styleId="CommentSubject">
    <w:name w:val="annotation subject"/>
    <w:basedOn w:val="CommentText"/>
    <w:next w:val="CommentText"/>
    <w:semiHidden/>
    <w:rsid w:val="00C56D37"/>
    <w:rPr>
      <w:b/>
      <w:bCs/>
    </w:rPr>
  </w:style>
  <w:style w:type="character" w:styleId="PageNumber">
    <w:name w:val="page number"/>
    <w:basedOn w:val="DefaultParagraphFont"/>
    <w:rsid w:val="005025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1F028-4F99-4E56-9246-52FFEA469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1464</Words>
  <Characters>8348</Characters>
  <Application>Microsoft Office Word</Application>
  <DocSecurity>2</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2011-10-03T17:53:00Z</cp:lastPrinted>
  <dcterms:created xsi:type="dcterms:W3CDTF">2014-12-24T17:19:00Z</dcterms:created>
  <dcterms:modified xsi:type="dcterms:W3CDTF">2014-12-24T17:20:00Z</dcterms:modified>
</cp:coreProperties>
</file>