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A58" w:rsidRDefault="00354A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16"/>
        </w:rPr>
        <w:sectPr w:rsidR="00354A58">
          <w:headerReference w:type="default" r:id="rId9"/>
          <w:footerReference w:type="default" r:id="rId10"/>
          <w:footerReference w:type="first" r:id="rId11"/>
          <w:pgSz w:w="12240" w:h="15840"/>
          <w:pgMar w:top="480" w:right="720" w:bottom="480" w:left="600" w:header="480" w:footer="480" w:gutter="0"/>
          <w:cols w:space="480" w:equalWidth="0">
            <w:col w:w="10800"/>
          </w:cols>
          <w:titlePg/>
        </w:sectPr>
      </w:pPr>
    </w:p>
    <w:p w:rsidR="00354A58" w:rsidRDefault="00354A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lastRenderedPageBreak/>
        <w:t>Supporting Statement for Paperwork Reduction Act Submissions</w:t>
      </w:r>
    </w:p>
    <w:p w:rsidR="00354A58" w:rsidRDefault="00354A58">
      <w:pPr>
        <w:rPr>
          <w:b/>
        </w:rPr>
      </w:pPr>
    </w:p>
    <w:p w:rsidR="00354A58" w:rsidRDefault="008B33CD" w:rsidP="008B33CD">
      <w:pPr>
        <w:jc w:val="center"/>
        <w:rPr>
          <w:b/>
          <w:sz w:val="22"/>
        </w:rPr>
      </w:pPr>
      <w:r w:rsidRPr="008B33CD">
        <w:rPr>
          <w:b/>
          <w:sz w:val="22"/>
        </w:rPr>
        <w:t>CDBG – Disaster Recovery 2-year Expenditure Deadline Waiver Request under P.L. 113-2</w:t>
      </w:r>
    </w:p>
    <w:p w:rsidR="008B33CD" w:rsidRDefault="008B33CD" w:rsidP="008B33CD">
      <w:pPr>
        <w:jc w:val="center"/>
        <w:rPr>
          <w:b/>
          <w:sz w:val="22"/>
        </w:rPr>
      </w:pPr>
    </w:p>
    <w:p w:rsidR="00354A58" w:rsidRDefault="00354A58">
      <w:pPr>
        <w:pStyle w:val="Heading2"/>
        <w:tabs>
          <w:tab w:val="left" w:pos="720"/>
        </w:tabs>
      </w:pPr>
      <w:r>
        <w:t>Justification</w:t>
      </w:r>
    </w:p>
    <w:p w:rsidR="00354A58" w:rsidRDefault="00354A58">
      <w:pPr>
        <w:tabs>
          <w:tab w:val="left" w:pos="360"/>
          <w:tab w:val="left" w:pos="720"/>
        </w:tabs>
        <w:ind w:left="360" w:hanging="360"/>
        <w:rPr>
          <w:sz w:val="22"/>
        </w:rPr>
      </w:pPr>
    </w:p>
    <w:p w:rsidR="00354A58" w:rsidRDefault="00354A58">
      <w:pPr>
        <w:numPr>
          <w:ilvl w:val="1"/>
          <w:numId w:val="10"/>
        </w:numPr>
        <w:tabs>
          <w:tab w:val="left" w:pos="360"/>
          <w:tab w:val="left" w:pos="720"/>
        </w:tabs>
        <w:rPr>
          <w:b/>
          <w:sz w:val="22"/>
        </w:rPr>
      </w:pPr>
      <w:r>
        <w:rPr>
          <w:b/>
          <w:sz w:val="22"/>
        </w:rPr>
        <w:t>Circumstances that make the collection of information necessary.</w:t>
      </w:r>
    </w:p>
    <w:p w:rsidR="00354A58" w:rsidRDefault="009D0F09" w:rsidP="009D0F09">
      <w:pPr>
        <w:tabs>
          <w:tab w:val="left" w:pos="0"/>
          <w:tab w:val="left" w:pos="720"/>
          <w:tab w:val="left" w:pos="840"/>
        </w:tabs>
        <w:rPr>
          <w:sz w:val="22"/>
          <w:szCs w:val="22"/>
        </w:rPr>
      </w:pPr>
      <w:r w:rsidRPr="009D0F09">
        <w:rPr>
          <w:sz w:val="22"/>
        </w:rPr>
        <w:t xml:space="preserve">This information collection is being conducted by CPD Office of Block Grant Assistance to assist the Administrator of HUD in determining, as required by section 904(c) under Title IX of the Disaster Relief Appropriations Act, 2013 (Public Law 113-2, enacted January 29, 2013), whether to grant waivers of the twenty-four month expenditure deadline for grantees (Entitlement communities, States and units of general local governments) receiving funds under the Act. </w:t>
      </w:r>
      <w:r w:rsidR="002E67B1" w:rsidRPr="00E24B39">
        <w:rPr>
          <w:sz w:val="22"/>
          <w:szCs w:val="22"/>
        </w:rPr>
        <w:t xml:space="preserve">  </w:t>
      </w:r>
      <w:r w:rsidR="00354A58" w:rsidRPr="00E24B39">
        <w:rPr>
          <w:sz w:val="22"/>
          <w:szCs w:val="22"/>
        </w:rPr>
        <w:tab/>
      </w:r>
    </w:p>
    <w:p w:rsidR="009D0F09" w:rsidRPr="00E24B39" w:rsidRDefault="009D0F09" w:rsidP="002E67B1">
      <w:pPr>
        <w:tabs>
          <w:tab w:val="left" w:pos="360"/>
          <w:tab w:val="left" w:pos="720"/>
          <w:tab w:val="left" w:pos="840"/>
        </w:tabs>
        <w:ind w:left="360" w:hanging="360"/>
        <w:rPr>
          <w:sz w:val="22"/>
          <w:szCs w:val="22"/>
        </w:rPr>
      </w:pPr>
    </w:p>
    <w:p w:rsidR="00E24B39" w:rsidRPr="00E24B39" w:rsidRDefault="00354A58" w:rsidP="00E24B39">
      <w:pPr>
        <w:keepNext/>
        <w:numPr>
          <w:ilvl w:val="1"/>
          <w:numId w:val="10"/>
        </w:numPr>
        <w:tabs>
          <w:tab w:val="left" w:pos="0"/>
          <w:tab w:val="left" w:pos="720"/>
          <w:tab w:val="left" w:pos="840"/>
        </w:tabs>
        <w:rPr>
          <w:sz w:val="22"/>
          <w:szCs w:val="22"/>
        </w:rPr>
      </w:pPr>
      <w:r w:rsidRPr="00E24B39">
        <w:rPr>
          <w:b/>
          <w:sz w:val="22"/>
          <w:szCs w:val="22"/>
        </w:rPr>
        <w:t>How the information is used</w:t>
      </w:r>
    </w:p>
    <w:p w:rsidR="009D0F09" w:rsidRPr="00017608" w:rsidRDefault="009D0F09" w:rsidP="00017608">
      <w:pPr>
        <w:pStyle w:val="Heading2"/>
        <w:numPr>
          <w:ilvl w:val="0"/>
          <w:numId w:val="0"/>
        </w:numPr>
        <w:rPr>
          <w:b w:val="0"/>
        </w:rPr>
      </w:pPr>
      <w:r w:rsidRPr="00017608">
        <w:rPr>
          <w:b w:val="0"/>
        </w:rPr>
        <w:t xml:space="preserve">The Office of Management and Budget authorized HUD to grant waivers of the expenditure deadline within certain parameters for grantee activities where it is impracticable for grantees to expend activity funds within the twenty-four month period and achieve program missions.  The </w:t>
      </w:r>
      <w:r w:rsidR="00687F2E" w:rsidRPr="00017608">
        <w:rPr>
          <w:b w:val="0"/>
        </w:rPr>
        <w:t>“</w:t>
      </w:r>
      <w:r w:rsidRPr="00017608">
        <w:rPr>
          <w:b w:val="0"/>
        </w:rPr>
        <w:t>CDBG-DR Expenditure Deadline Waiver Request Template (P.L. 113-2 Grantees Only)” will serve as a vehicle for standardizing the information submitted by grantees to HUD.</w:t>
      </w:r>
      <w:r w:rsidR="00A27C76" w:rsidRPr="00017608">
        <w:rPr>
          <w:b w:val="0"/>
        </w:rPr>
        <w:t xml:space="preserve"> </w:t>
      </w:r>
      <w:r w:rsidR="00017608" w:rsidRPr="00017608">
        <w:rPr>
          <w:b w:val="0"/>
        </w:rPr>
        <w:t xml:space="preserve">The Department derived the majority of fields in this template from information required by OMB for the Department’s request for authority to grant waivers. </w:t>
      </w:r>
      <w:r w:rsidR="00A27C76" w:rsidRPr="00017608">
        <w:rPr>
          <w:b w:val="0"/>
        </w:rPr>
        <w:t xml:space="preserve">Due to the time-sensitive nature of the Department’s review, the template will ensure grantees provide all the information necessary for the Department to evaluate an activity for a waiver in an expeditious manner.  </w:t>
      </w:r>
    </w:p>
    <w:p w:rsidR="009D0F09" w:rsidRDefault="009D0F09" w:rsidP="00E24B39">
      <w:pPr>
        <w:keepNext/>
        <w:tabs>
          <w:tab w:val="left" w:pos="0"/>
          <w:tab w:val="left" w:pos="720"/>
          <w:tab w:val="left" w:pos="840"/>
        </w:tabs>
        <w:rPr>
          <w:sz w:val="22"/>
          <w:szCs w:val="22"/>
        </w:rPr>
      </w:pPr>
    </w:p>
    <w:p w:rsidR="00354A58" w:rsidRPr="00687F2E" w:rsidRDefault="00354A58">
      <w:pPr>
        <w:numPr>
          <w:ilvl w:val="1"/>
          <w:numId w:val="10"/>
        </w:numPr>
        <w:tabs>
          <w:tab w:val="left" w:pos="360"/>
          <w:tab w:val="left" w:pos="720"/>
          <w:tab w:val="left" w:pos="840"/>
        </w:tabs>
        <w:rPr>
          <w:b/>
          <w:sz w:val="22"/>
          <w:szCs w:val="22"/>
        </w:rPr>
      </w:pPr>
      <w:r w:rsidRPr="00687F2E">
        <w:rPr>
          <w:b/>
          <w:sz w:val="22"/>
          <w:szCs w:val="22"/>
        </w:rPr>
        <w:t>Improved technology.</w:t>
      </w:r>
    </w:p>
    <w:p w:rsidR="009D0F09" w:rsidRPr="009D0F09" w:rsidRDefault="009D0F09" w:rsidP="009D0F09">
      <w:pPr>
        <w:overflowPunct/>
        <w:autoSpaceDE/>
        <w:autoSpaceDN/>
        <w:adjustRightInd/>
        <w:spacing w:after="200" w:line="276" w:lineRule="auto"/>
        <w:textAlignment w:val="auto"/>
        <w:rPr>
          <w:rFonts w:eastAsiaTheme="minorEastAsia"/>
          <w:sz w:val="22"/>
          <w:szCs w:val="22"/>
        </w:rPr>
      </w:pPr>
      <w:r w:rsidRPr="009D0F09">
        <w:rPr>
          <w:rFonts w:eastAsiaTheme="minorEastAsia"/>
          <w:sz w:val="22"/>
          <w:szCs w:val="22"/>
        </w:rPr>
        <w:t xml:space="preserve">The template can be submitted to the HUD grant manager (either field office or Headquarters) electronically (via email) as long as the template is accompanied by a letter requesting the waiver with the grant official’s authorized signature.   </w:t>
      </w:r>
    </w:p>
    <w:p w:rsidR="00354A58" w:rsidRPr="00687F2E" w:rsidRDefault="00354A58">
      <w:pPr>
        <w:numPr>
          <w:ilvl w:val="1"/>
          <w:numId w:val="10"/>
        </w:numPr>
        <w:tabs>
          <w:tab w:val="left" w:pos="360"/>
          <w:tab w:val="left" w:pos="720"/>
          <w:tab w:val="left" w:pos="840"/>
        </w:tabs>
        <w:rPr>
          <w:b/>
          <w:sz w:val="22"/>
          <w:szCs w:val="22"/>
        </w:rPr>
      </w:pPr>
      <w:r w:rsidRPr="00687F2E">
        <w:rPr>
          <w:b/>
          <w:sz w:val="22"/>
          <w:szCs w:val="22"/>
        </w:rPr>
        <w:t>Efforts to identify duplication.</w:t>
      </w:r>
    </w:p>
    <w:p w:rsidR="009D0F09" w:rsidRPr="00687F2E" w:rsidRDefault="009D0F09" w:rsidP="009D0F09">
      <w:pPr>
        <w:rPr>
          <w:sz w:val="22"/>
          <w:szCs w:val="22"/>
        </w:rPr>
      </w:pPr>
      <w:r w:rsidRPr="00687F2E">
        <w:rPr>
          <w:sz w:val="22"/>
          <w:szCs w:val="22"/>
        </w:rPr>
        <w:t>This information is not collected anywhere else, as it relates to a requirement unique to this supplemental disaster relief appropriations law.</w:t>
      </w:r>
    </w:p>
    <w:p w:rsidR="00354A58" w:rsidRDefault="00354A58">
      <w:pPr>
        <w:tabs>
          <w:tab w:val="left" w:pos="360"/>
          <w:tab w:val="left" w:pos="720"/>
          <w:tab w:val="left" w:pos="840"/>
        </w:tabs>
        <w:ind w:left="360" w:hanging="360"/>
        <w:rPr>
          <w:b/>
          <w:sz w:val="22"/>
        </w:rPr>
      </w:pPr>
    </w:p>
    <w:p w:rsidR="00354A58" w:rsidRDefault="00354A58">
      <w:pPr>
        <w:numPr>
          <w:ilvl w:val="1"/>
          <w:numId w:val="10"/>
        </w:numPr>
        <w:tabs>
          <w:tab w:val="left" w:pos="360"/>
          <w:tab w:val="left" w:pos="720"/>
          <w:tab w:val="left" w:pos="840"/>
        </w:tabs>
        <w:rPr>
          <w:b/>
          <w:sz w:val="22"/>
        </w:rPr>
      </w:pPr>
      <w:r>
        <w:rPr>
          <w:b/>
          <w:sz w:val="22"/>
        </w:rPr>
        <w:t>Burden to small business or small entities.</w:t>
      </w:r>
    </w:p>
    <w:p w:rsidR="00354A58" w:rsidRDefault="009D0F09" w:rsidP="009D0F09">
      <w:pPr>
        <w:tabs>
          <w:tab w:val="left" w:pos="0"/>
          <w:tab w:val="left" w:pos="720"/>
          <w:tab w:val="left" w:pos="840"/>
        </w:tabs>
        <w:rPr>
          <w:sz w:val="22"/>
        </w:rPr>
      </w:pPr>
      <w:r w:rsidRPr="009D0F09">
        <w:rPr>
          <w:sz w:val="22"/>
        </w:rPr>
        <w:t>There will be no impact on small businesses or other small entities.  Only entitlements, States and units of local governments have received grants under P.L. 113-2.</w:t>
      </w:r>
    </w:p>
    <w:p w:rsidR="00687F2E" w:rsidRDefault="00687F2E" w:rsidP="009D0F09">
      <w:pPr>
        <w:tabs>
          <w:tab w:val="left" w:pos="0"/>
          <w:tab w:val="left" w:pos="720"/>
          <w:tab w:val="left" w:pos="840"/>
        </w:tabs>
        <w:rPr>
          <w:sz w:val="22"/>
        </w:rPr>
      </w:pPr>
    </w:p>
    <w:p w:rsidR="00354A58" w:rsidRDefault="00354A58">
      <w:pPr>
        <w:numPr>
          <w:ilvl w:val="1"/>
          <w:numId w:val="10"/>
        </w:numPr>
        <w:tabs>
          <w:tab w:val="left" w:pos="360"/>
          <w:tab w:val="left" w:pos="720"/>
          <w:tab w:val="left" w:pos="840"/>
        </w:tabs>
        <w:rPr>
          <w:b/>
          <w:sz w:val="22"/>
        </w:rPr>
      </w:pPr>
      <w:r>
        <w:rPr>
          <w:b/>
          <w:sz w:val="22"/>
        </w:rPr>
        <w:t>Consequences if information is collected less frequently.</w:t>
      </w:r>
    </w:p>
    <w:p w:rsidR="002372D6" w:rsidRDefault="00FF671F" w:rsidP="00687F2E">
      <w:pPr>
        <w:tabs>
          <w:tab w:val="left" w:pos="0"/>
          <w:tab w:val="left" w:pos="720"/>
          <w:tab w:val="left" w:pos="840"/>
        </w:tabs>
        <w:rPr>
          <w:sz w:val="22"/>
        </w:rPr>
      </w:pPr>
      <w:r w:rsidRPr="00FF671F">
        <w:rPr>
          <w:sz w:val="22"/>
        </w:rPr>
        <w:t>If this collection does not occur, the Department will have difficulty in collecting the information necessary to fairly review and approve waivers of the expenditure deadline for recovery activities in an expeditious manner.   If the Department is unable to use this template, grantees may face the risk of not receiving a waiver for an activity and face the recapture of the CDBG-DR funds associated with the activity by the Department. Without standardizing the requested information, the Department may receive different information from grantees requesting waivers and may not be</w:t>
      </w:r>
      <w:r w:rsidR="00687F2E">
        <w:rPr>
          <w:sz w:val="22"/>
        </w:rPr>
        <w:t xml:space="preserve"> able to provide waivers fairly and in a timely manner.</w:t>
      </w:r>
    </w:p>
    <w:p w:rsidR="00FF671F" w:rsidRDefault="00FF671F">
      <w:pPr>
        <w:tabs>
          <w:tab w:val="left" w:pos="360"/>
          <w:tab w:val="left" w:pos="720"/>
          <w:tab w:val="left" w:pos="840"/>
        </w:tabs>
        <w:ind w:left="360" w:hanging="360"/>
        <w:rPr>
          <w:sz w:val="22"/>
        </w:rPr>
      </w:pPr>
    </w:p>
    <w:p w:rsidR="00354A58" w:rsidRDefault="00354A58">
      <w:pPr>
        <w:keepNext/>
        <w:keepLines/>
        <w:numPr>
          <w:ilvl w:val="1"/>
          <w:numId w:val="10"/>
        </w:numPr>
        <w:tabs>
          <w:tab w:val="left" w:pos="0"/>
          <w:tab w:val="left" w:pos="720"/>
          <w:tab w:val="left" w:pos="840"/>
        </w:tabs>
        <w:rPr>
          <w:b/>
          <w:sz w:val="22"/>
        </w:rPr>
      </w:pPr>
      <w:r>
        <w:rPr>
          <w:b/>
          <w:sz w:val="22"/>
        </w:rPr>
        <w:t>Special circumstances</w:t>
      </w:r>
    </w:p>
    <w:p w:rsidR="00354A58" w:rsidRDefault="00FF671F" w:rsidP="00687F2E">
      <w:pPr>
        <w:tabs>
          <w:tab w:val="left" w:pos="0"/>
          <w:tab w:val="left" w:pos="720"/>
          <w:tab w:val="left" w:pos="840"/>
        </w:tabs>
        <w:rPr>
          <w:sz w:val="22"/>
        </w:rPr>
      </w:pPr>
      <w:r w:rsidRPr="00FF671F">
        <w:rPr>
          <w:sz w:val="22"/>
        </w:rPr>
        <w:t>No other special circumstances would cause this information collection to be conducted in a manner that would impose one of the additional requirements identified under this item.</w:t>
      </w:r>
    </w:p>
    <w:p w:rsidR="00FF671F" w:rsidRDefault="00FF671F">
      <w:pPr>
        <w:tabs>
          <w:tab w:val="left" w:pos="360"/>
          <w:tab w:val="left" w:pos="720"/>
          <w:tab w:val="left" w:pos="840"/>
        </w:tabs>
        <w:ind w:left="360" w:hanging="360"/>
        <w:rPr>
          <w:sz w:val="22"/>
        </w:rPr>
      </w:pPr>
    </w:p>
    <w:p w:rsidR="00354A58" w:rsidRDefault="00354A58">
      <w:pPr>
        <w:keepNext/>
        <w:keepLines/>
        <w:numPr>
          <w:ilvl w:val="1"/>
          <w:numId w:val="10"/>
        </w:numPr>
        <w:tabs>
          <w:tab w:val="left" w:pos="360"/>
          <w:tab w:val="left" w:pos="720"/>
          <w:tab w:val="left" w:pos="840"/>
        </w:tabs>
        <w:rPr>
          <w:b/>
          <w:sz w:val="22"/>
        </w:rPr>
      </w:pPr>
      <w:r>
        <w:rPr>
          <w:b/>
          <w:sz w:val="22"/>
        </w:rPr>
        <w:t>Public Notice.</w:t>
      </w:r>
    </w:p>
    <w:p w:rsidR="00354A58" w:rsidRPr="00D64A55" w:rsidRDefault="00F97B4B">
      <w:pPr>
        <w:pStyle w:val="BodyText3"/>
        <w:tabs>
          <w:tab w:val="clear" w:pos="1440"/>
          <w:tab w:val="clear" w:pos="2160"/>
          <w:tab w:val="clear" w:pos="2880"/>
          <w:tab w:val="clear" w:pos="3600"/>
          <w:tab w:val="clear" w:pos="4320"/>
          <w:tab w:val="left" w:pos="840"/>
        </w:tabs>
        <w:overflowPunct w:val="0"/>
        <w:spacing w:line="240" w:lineRule="auto"/>
        <w:textAlignment w:val="baseline"/>
      </w:pPr>
      <w:r w:rsidRPr="00E13BF9">
        <w:t>HUD published a notice describing the Paperwork Reduction Act Submis</w:t>
      </w:r>
      <w:r w:rsidR="00F854F3">
        <w:t xml:space="preserve">sion in the Federal Register on </w:t>
      </w:r>
      <w:r w:rsidR="00F00CCC">
        <w:t>December 23, 2014</w:t>
      </w:r>
      <w:r w:rsidRPr="00E13BF9">
        <w:t xml:space="preserve"> for </w:t>
      </w:r>
      <w:r w:rsidR="00F00CCC">
        <w:t>30</w:t>
      </w:r>
      <w:r w:rsidRPr="00E13BF9">
        <w:t xml:space="preserve"> days, and no comments were received</w:t>
      </w:r>
      <w:r w:rsidR="00D64A55">
        <w:t>.</w:t>
      </w:r>
    </w:p>
    <w:p w:rsidR="00354A58" w:rsidRDefault="00354A58">
      <w:pPr>
        <w:tabs>
          <w:tab w:val="left" w:pos="360"/>
          <w:tab w:val="left" w:pos="720"/>
          <w:tab w:val="left" w:pos="840"/>
        </w:tabs>
        <w:ind w:left="360" w:hanging="360"/>
        <w:rPr>
          <w:sz w:val="22"/>
        </w:rPr>
      </w:pPr>
    </w:p>
    <w:p w:rsidR="00354A58" w:rsidRDefault="00354A58">
      <w:pPr>
        <w:numPr>
          <w:ilvl w:val="1"/>
          <w:numId w:val="10"/>
        </w:numPr>
        <w:tabs>
          <w:tab w:val="left" w:pos="360"/>
          <w:tab w:val="left" w:pos="720"/>
          <w:tab w:val="left" w:pos="840"/>
        </w:tabs>
        <w:rPr>
          <w:b/>
          <w:sz w:val="22"/>
        </w:rPr>
      </w:pPr>
      <w:r>
        <w:rPr>
          <w:b/>
          <w:sz w:val="22"/>
        </w:rPr>
        <w:t>Payment or gifts.</w:t>
      </w:r>
      <w:bookmarkStart w:id="0" w:name="_GoBack"/>
      <w:bookmarkEnd w:id="0"/>
    </w:p>
    <w:p w:rsidR="00354A58" w:rsidRDefault="00FF671F">
      <w:pPr>
        <w:tabs>
          <w:tab w:val="left" w:pos="360"/>
          <w:tab w:val="left" w:pos="720"/>
          <w:tab w:val="left" w:pos="840"/>
        </w:tabs>
        <w:ind w:left="360" w:hanging="360"/>
        <w:rPr>
          <w:sz w:val="22"/>
        </w:rPr>
      </w:pPr>
      <w:r w:rsidRPr="00FF671F">
        <w:rPr>
          <w:sz w:val="22"/>
        </w:rPr>
        <w:lastRenderedPageBreak/>
        <w:t>Not applicable.</w:t>
      </w:r>
      <w:r w:rsidR="00687F2E">
        <w:rPr>
          <w:sz w:val="22"/>
        </w:rPr>
        <w:t xml:space="preserve"> </w:t>
      </w:r>
      <w:r w:rsidRPr="00FF671F">
        <w:rPr>
          <w:sz w:val="22"/>
        </w:rPr>
        <w:t>No payment or gifts are provided to any respondents for any information.</w:t>
      </w:r>
    </w:p>
    <w:p w:rsidR="00FF671F" w:rsidRDefault="00FF671F">
      <w:pPr>
        <w:tabs>
          <w:tab w:val="left" w:pos="360"/>
          <w:tab w:val="left" w:pos="720"/>
          <w:tab w:val="left" w:pos="840"/>
        </w:tabs>
        <w:ind w:left="360" w:hanging="360"/>
        <w:rPr>
          <w:sz w:val="22"/>
        </w:rPr>
      </w:pPr>
    </w:p>
    <w:p w:rsidR="00354A58" w:rsidRDefault="00354A58">
      <w:pPr>
        <w:keepNext/>
        <w:numPr>
          <w:ilvl w:val="1"/>
          <w:numId w:val="10"/>
        </w:numPr>
        <w:tabs>
          <w:tab w:val="left" w:pos="360"/>
          <w:tab w:val="left" w:pos="720"/>
          <w:tab w:val="left" w:pos="840"/>
        </w:tabs>
        <w:rPr>
          <w:b/>
          <w:sz w:val="22"/>
        </w:rPr>
      </w:pPr>
      <w:r>
        <w:rPr>
          <w:b/>
          <w:sz w:val="22"/>
        </w:rPr>
        <w:t>Assurance of Confidentiality</w:t>
      </w:r>
    </w:p>
    <w:p w:rsidR="00354A58" w:rsidRDefault="00FF671F" w:rsidP="00FF671F">
      <w:pPr>
        <w:tabs>
          <w:tab w:val="left" w:pos="0"/>
          <w:tab w:val="left" w:pos="720"/>
          <w:tab w:val="left" w:pos="840"/>
        </w:tabs>
        <w:rPr>
          <w:sz w:val="22"/>
        </w:rPr>
      </w:pPr>
      <w:r w:rsidRPr="00FF671F">
        <w:rPr>
          <w:sz w:val="22"/>
        </w:rPr>
        <w:t xml:space="preserve">24 CFR 570.508 of the CDBG regulations states that grantees shall provide citizens with reasonable access to records regarding the past use of CDBG funds, consistent with applicable State and local laws regarding privacy and obligations of confidentiality.  </w:t>
      </w:r>
    </w:p>
    <w:p w:rsidR="00FF671F" w:rsidRDefault="00FF671F" w:rsidP="00FF671F">
      <w:pPr>
        <w:tabs>
          <w:tab w:val="left" w:pos="0"/>
          <w:tab w:val="left" w:pos="720"/>
          <w:tab w:val="left" w:pos="840"/>
        </w:tabs>
        <w:rPr>
          <w:sz w:val="22"/>
        </w:rPr>
      </w:pPr>
    </w:p>
    <w:p w:rsidR="00354A58" w:rsidRDefault="00354A58">
      <w:pPr>
        <w:numPr>
          <w:ilvl w:val="1"/>
          <w:numId w:val="10"/>
        </w:numPr>
        <w:tabs>
          <w:tab w:val="left" w:pos="360"/>
          <w:tab w:val="left" w:pos="720"/>
          <w:tab w:val="left" w:pos="840"/>
        </w:tabs>
        <w:rPr>
          <w:b/>
          <w:sz w:val="22"/>
        </w:rPr>
      </w:pPr>
      <w:r>
        <w:rPr>
          <w:b/>
          <w:sz w:val="22"/>
        </w:rPr>
        <w:t>Questions of a Sensitive Nature.</w:t>
      </w:r>
    </w:p>
    <w:p w:rsidR="00354A58" w:rsidRDefault="00FF671F">
      <w:pPr>
        <w:tabs>
          <w:tab w:val="left" w:pos="360"/>
          <w:tab w:val="left" w:pos="720"/>
          <w:tab w:val="left" w:pos="840"/>
        </w:tabs>
        <w:ind w:left="360" w:hanging="360"/>
        <w:rPr>
          <w:b/>
          <w:sz w:val="22"/>
        </w:rPr>
      </w:pPr>
      <w:r w:rsidRPr="00FF671F">
        <w:rPr>
          <w:sz w:val="22"/>
        </w:rPr>
        <w:t>The information collection request does not include any sensitive questions.</w:t>
      </w:r>
      <w:r w:rsidR="00354A58">
        <w:rPr>
          <w:b/>
          <w:sz w:val="22"/>
        </w:rPr>
        <w:br w:type="page"/>
      </w:r>
    </w:p>
    <w:p w:rsidR="00354A58" w:rsidRDefault="00354A58" w:rsidP="00C63E76">
      <w:pPr>
        <w:pStyle w:val="Heading2"/>
        <w:numPr>
          <w:ilvl w:val="1"/>
          <w:numId w:val="10"/>
        </w:numPr>
      </w:pPr>
      <w:r>
        <w:lastRenderedPageBreak/>
        <w:t>Annual Reporting and Recordkeeping Burden</w:t>
      </w:r>
    </w:p>
    <w:p w:rsidR="00FF671F" w:rsidRPr="00687F2E" w:rsidRDefault="00FF671F" w:rsidP="00FF671F">
      <w:pPr>
        <w:rPr>
          <w:sz w:val="22"/>
          <w:szCs w:val="22"/>
        </w:rPr>
      </w:pPr>
      <w:r w:rsidRPr="00687F2E">
        <w:rPr>
          <w:sz w:val="22"/>
          <w:szCs w:val="22"/>
        </w:rPr>
        <w:t xml:space="preserve">The following table demonstrates burden hours, established based on HUD’s estimates of grantees requesting waivers of the expenditure deadlines. Based on the number of grantees that are expected to need extensions, HUD estimates 102 total responses, equaling a burden for grantees of </w:t>
      </w:r>
      <w:r w:rsidR="00C15F04">
        <w:rPr>
          <w:sz w:val="22"/>
          <w:szCs w:val="22"/>
        </w:rPr>
        <w:t>2,448</w:t>
      </w:r>
      <w:r w:rsidRPr="00687F2E">
        <w:rPr>
          <w:sz w:val="22"/>
          <w:szCs w:val="22"/>
        </w:rPr>
        <w:t xml:space="preserve"> hours, and at an assumed rate of $24.34** per hour, the total cost would be $</w:t>
      </w:r>
      <w:r w:rsidR="009F3419">
        <w:rPr>
          <w:sz w:val="22"/>
          <w:szCs w:val="22"/>
        </w:rPr>
        <w:t>59,584.32</w:t>
      </w:r>
      <w:r w:rsidRPr="00687F2E">
        <w:rPr>
          <w:sz w:val="22"/>
          <w:szCs w:val="22"/>
        </w:rPr>
        <w:t xml:space="preserve">. The hour burdens were estimated by past experience of HUD staff working with grantees on similar individual requests. </w:t>
      </w:r>
    </w:p>
    <w:p w:rsidR="00FF671F" w:rsidRPr="00687F2E" w:rsidRDefault="00FF671F" w:rsidP="00FF671F">
      <w:pPr>
        <w:rPr>
          <w:sz w:val="22"/>
          <w:szCs w:val="22"/>
        </w:rPr>
      </w:pPr>
    </w:p>
    <w:p w:rsidR="00FF671F" w:rsidRPr="00687F2E" w:rsidRDefault="00FF671F" w:rsidP="00FF671F">
      <w:pPr>
        <w:rPr>
          <w:sz w:val="22"/>
          <w:szCs w:val="22"/>
        </w:rPr>
      </w:pPr>
      <w:r w:rsidRPr="00687F2E">
        <w:rPr>
          <w:sz w:val="22"/>
          <w:szCs w:val="22"/>
        </w:rPr>
        <w:t>**GS 11, step 1 (2014 OPM tables)</w:t>
      </w:r>
    </w:p>
    <w:p w:rsidR="00FF671F" w:rsidRDefault="00FF671F" w:rsidP="00FF671F"/>
    <w:p w:rsidR="00D53983" w:rsidRDefault="00D53983" w:rsidP="00EF2BF1">
      <w:pPr>
        <w:ind w:firstLine="720"/>
      </w:pPr>
    </w:p>
    <w:tbl>
      <w:tblPr>
        <w:tblW w:w="9121" w:type="dxa"/>
        <w:jc w:val="center"/>
        <w:tblInd w:w="85" w:type="dxa"/>
        <w:tblLayout w:type="fixed"/>
        <w:tblLook w:val="04A0" w:firstRow="1" w:lastRow="0" w:firstColumn="1" w:lastColumn="0" w:noHBand="0" w:noVBand="1"/>
      </w:tblPr>
      <w:tblGrid>
        <w:gridCol w:w="1643"/>
        <w:gridCol w:w="1350"/>
        <w:gridCol w:w="1080"/>
        <w:gridCol w:w="1080"/>
        <w:gridCol w:w="990"/>
        <w:gridCol w:w="810"/>
        <w:gridCol w:w="1080"/>
        <w:gridCol w:w="1088"/>
      </w:tblGrid>
      <w:tr w:rsidR="00D53983" w:rsidRPr="00A27C76" w:rsidTr="008B33CD">
        <w:trPr>
          <w:trHeight w:val="330"/>
          <w:jc w:val="center"/>
        </w:trPr>
        <w:tc>
          <w:tcPr>
            <w:tcW w:w="9121" w:type="dxa"/>
            <w:gridSpan w:val="8"/>
            <w:tcBorders>
              <w:top w:val="double" w:sz="6" w:space="0" w:color="3F3F3F"/>
              <w:left w:val="double" w:sz="6" w:space="0" w:color="3F3F3F"/>
              <w:bottom w:val="nil"/>
              <w:right w:val="double" w:sz="6" w:space="0" w:color="3F3F3F"/>
            </w:tcBorders>
            <w:shd w:val="clear" w:color="000000" w:fill="A5A5A5"/>
            <w:noWrap/>
            <w:vAlign w:val="bottom"/>
            <w:hideMark/>
          </w:tcPr>
          <w:p w:rsidR="00D53983" w:rsidRPr="00A27C76" w:rsidRDefault="008B33CD" w:rsidP="00D53983">
            <w:pPr>
              <w:overflowPunct/>
              <w:autoSpaceDE/>
              <w:autoSpaceDN/>
              <w:adjustRightInd/>
              <w:jc w:val="center"/>
              <w:textAlignment w:val="auto"/>
              <w:rPr>
                <w:b/>
                <w:bCs/>
                <w:color w:val="FFFFFF"/>
                <w:sz w:val="18"/>
                <w:szCs w:val="18"/>
              </w:rPr>
            </w:pPr>
            <w:r>
              <w:rPr>
                <w:b/>
                <w:bCs/>
                <w:color w:val="FFFFFF"/>
                <w:sz w:val="18"/>
                <w:szCs w:val="18"/>
              </w:rPr>
              <w:t xml:space="preserve">CDBG-DR </w:t>
            </w:r>
            <w:r w:rsidR="009D1522" w:rsidRPr="00A27C76">
              <w:rPr>
                <w:b/>
                <w:bCs/>
                <w:color w:val="FFFFFF"/>
                <w:sz w:val="18"/>
                <w:szCs w:val="18"/>
              </w:rPr>
              <w:t>2- year Expenditure Deadline Waiver Request</w:t>
            </w:r>
            <w:r>
              <w:rPr>
                <w:b/>
                <w:bCs/>
                <w:color w:val="FFFFFF"/>
                <w:sz w:val="18"/>
                <w:szCs w:val="18"/>
              </w:rPr>
              <w:t xml:space="preserve"> under P.L. 113-2</w:t>
            </w:r>
          </w:p>
        </w:tc>
      </w:tr>
      <w:tr w:rsidR="00D53983" w:rsidRPr="00A27C76" w:rsidTr="008B33CD">
        <w:trPr>
          <w:trHeight w:val="915"/>
          <w:jc w:val="center"/>
        </w:trPr>
        <w:tc>
          <w:tcPr>
            <w:tcW w:w="1643" w:type="dxa"/>
            <w:tcBorders>
              <w:top w:val="single" w:sz="8" w:space="0" w:color="auto"/>
              <w:left w:val="single" w:sz="8" w:space="0" w:color="auto"/>
              <w:bottom w:val="single" w:sz="8" w:space="0" w:color="auto"/>
              <w:right w:val="single" w:sz="8" w:space="0" w:color="auto"/>
            </w:tcBorders>
            <w:shd w:val="clear" w:color="auto" w:fill="auto"/>
            <w:hideMark/>
          </w:tcPr>
          <w:p w:rsidR="00D53983" w:rsidRPr="00A27C76" w:rsidRDefault="00D53983" w:rsidP="00D53983">
            <w:pPr>
              <w:overflowPunct/>
              <w:autoSpaceDE/>
              <w:autoSpaceDN/>
              <w:adjustRightInd/>
              <w:jc w:val="center"/>
              <w:textAlignment w:val="auto"/>
              <w:rPr>
                <w:b/>
                <w:bCs/>
                <w:color w:val="000000"/>
                <w:sz w:val="18"/>
                <w:szCs w:val="18"/>
              </w:rPr>
            </w:pPr>
            <w:r w:rsidRPr="00A27C76">
              <w:rPr>
                <w:b/>
                <w:bCs/>
                <w:color w:val="000000"/>
                <w:sz w:val="18"/>
                <w:szCs w:val="18"/>
              </w:rPr>
              <w:t>Description of Information Collection</w:t>
            </w:r>
          </w:p>
        </w:tc>
        <w:tc>
          <w:tcPr>
            <w:tcW w:w="1350" w:type="dxa"/>
            <w:tcBorders>
              <w:top w:val="single" w:sz="8" w:space="0" w:color="auto"/>
              <w:left w:val="nil"/>
              <w:bottom w:val="single" w:sz="8" w:space="0" w:color="auto"/>
              <w:right w:val="single" w:sz="8" w:space="0" w:color="auto"/>
            </w:tcBorders>
            <w:shd w:val="clear" w:color="auto" w:fill="auto"/>
            <w:hideMark/>
          </w:tcPr>
          <w:p w:rsidR="00D53983" w:rsidRPr="00A27C76" w:rsidRDefault="00D53983" w:rsidP="00D53983">
            <w:pPr>
              <w:overflowPunct/>
              <w:autoSpaceDE/>
              <w:autoSpaceDN/>
              <w:adjustRightInd/>
              <w:jc w:val="center"/>
              <w:textAlignment w:val="auto"/>
              <w:rPr>
                <w:b/>
                <w:bCs/>
                <w:color w:val="000000"/>
                <w:sz w:val="18"/>
                <w:szCs w:val="18"/>
              </w:rPr>
            </w:pPr>
            <w:r w:rsidRPr="00A27C76">
              <w:rPr>
                <w:b/>
                <w:bCs/>
                <w:color w:val="000000"/>
                <w:sz w:val="18"/>
                <w:szCs w:val="18"/>
              </w:rPr>
              <w:t>Number of Respondents</w:t>
            </w:r>
          </w:p>
        </w:tc>
        <w:tc>
          <w:tcPr>
            <w:tcW w:w="1080" w:type="dxa"/>
            <w:tcBorders>
              <w:top w:val="single" w:sz="8" w:space="0" w:color="auto"/>
              <w:left w:val="nil"/>
              <w:bottom w:val="single" w:sz="8" w:space="0" w:color="auto"/>
              <w:right w:val="single" w:sz="8" w:space="0" w:color="auto"/>
            </w:tcBorders>
            <w:shd w:val="clear" w:color="auto" w:fill="auto"/>
            <w:hideMark/>
          </w:tcPr>
          <w:p w:rsidR="00D53983" w:rsidRPr="00A27C76" w:rsidRDefault="00D53983" w:rsidP="00D53983">
            <w:pPr>
              <w:overflowPunct/>
              <w:autoSpaceDE/>
              <w:autoSpaceDN/>
              <w:adjustRightInd/>
              <w:jc w:val="center"/>
              <w:textAlignment w:val="auto"/>
              <w:rPr>
                <w:b/>
                <w:bCs/>
                <w:color w:val="000000"/>
                <w:sz w:val="18"/>
                <w:szCs w:val="18"/>
              </w:rPr>
            </w:pPr>
            <w:r w:rsidRPr="00A27C76">
              <w:rPr>
                <w:b/>
                <w:bCs/>
                <w:color w:val="000000"/>
                <w:sz w:val="18"/>
                <w:szCs w:val="18"/>
              </w:rPr>
              <w:t>Number of Responses</w:t>
            </w:r>
          </w:p>
        </w:tc>
        <w:tc>
          <w:tcPr>
            <w:tcW w:w="1080" w:type="dxa"/>
            <w:tcBorders>
              <w:top w:val="single" w:sz="8" w:space="0" w:color="auto"/>
              <w:left w:val="nil"/>
              <w:bottom w:val="single" w:sz="8" w:space="0" w:color="auto"/>
              <w:right w:val="single" w:sz="8" w:space="0" w:color="auto"/>
            </w:tcBorders>
            <w:shd w:val="clear" w:color="auto" w:fill="auto"/>
            <w:hideMark/>
          </w:tcPr>
          <w:p w:rsidR="00D53983" w:rsidRPr="00A27C76" w:rsidRDefault="00D53983" w:rsidP="00D53983">
            <w:pPr>
              <w:overflowPunct/>
              <w:autoSpaceDE/>
              <w:autoSpaceDN/>
              <w:adjustRightInd/>
              <w:jc w:val="center"/>
              <w:textAlignment w:val="auto"/>
              <w:rPr>
                <w:b/>
                <w:bCs/>
                <w:color w:val="000000"/>
                <w:sz w:val="18"/>
                <w:szCs w:val="18"/>
              </w:rPr>
            </w:pPr>
            <w:r w:rsidRPr="00A27C76">
              <w:rPr>
                <w:b/>
                <w:bCs/>
                <w:color w:val="000000"/>
                <w:sz w:val="18"/>
                <w:szCs w:val="18"/>
              </w:rPr>
              <w:t>Total Number of Responses</w:t>
            </w:r>
          </w:p>
        </w:tc>
        <w:tc>
          <w:tcPr>
            <w:tcW w:w="990" w:type="dxa"/>
            <w:tcBorders>
              <w:top w:val="single" w:sz="8" w:space="0" w:color="auto"/>
              <w:left w:val="nil"/>
              <w:bottom w:val="single" w:sz="8" w:space="0" w:color="auto"/>
              <w:right w:val="single" w:sz="8" w:space="0" w:color="auto"/>
            </w:tcBorders>
            <w:shd w:val="clear" w:color="auto" w:fill="auto"/>
            <w:hideMark/>
          </w:tcPr>
          <w:p w:rsidR="00D53983" w:rsidRPr="00A27C76" w:rsidRDefault="00D53983" w:rsidP="00D53983">
            <w:pPr>
              <w:overflowPunct/>
              <w:autoSpaceDE/>
              <w:autoSpaceDN/>
              <w:adjustRightInd/>
              <w:jc w:val="center"/>
              <w:textAlignment w:val="auto"/>
              <w:rPr>
                <w:b/>
                <w:bCs/>
                <w:color w:val="000000"/>
                <w:sz w:val="18"/>
                <w:szCs w:val="18"/>
              </w:rPr>
            </w:pPr>
            <w:r w:rsidRPr="00A27C76">
              <w:rPr>
                <w:b/>
                <w:bCs/>
                <w:color w:val="000000"/>
                <w:sz w:val="18"/>
                <w:szCs w:val="18"/>
              </w:rPr>
              <w:t>Hours Per Response</w:t>
            </w:r>
          </w:p>
        </w:tc>
        <w:tc>
          <w:tcPr>
            <w:tcW w:w="810" w:type="dxa"/>
            <w:tcBorders>
              <w:top w:val="single" w:sz="8" w:space="0" w:color="auto"/>
              <w:left w:val="nil"/>
              <w:bottom w:val="single" w:sz="8" w:space="0" w:color="auto"/>
              <w:right w:val="single" w:sz="8" w:space="0" w:color="auto"/>
            </w:tcBorders>
            <w:shd w:val="clear" w:color="auto" w:fill="auto"/>
            <w:hideMark/>
          </w:tcPr>
          <w:p w:rsidR="00D53983" w:rsidRPr="00A27C76" w:rsidRDefault="00D53983" w:rsidP="00D53983">
            <w:pPr>
              <w:overflowPunct/>
              <w:autoSpaceDE/>
              <w:autoSpaceDN/>
              <w:adjustRightInd/>
              <w:jc w:val="center"/>
              <w:textAlignment w:val="auto"/>
              <w:rPr>
                <w:b/>
                <w:bCs/>
                <w:color w:val="000000"/>
                <w:sz w:val="18"/>
                <w:szCs w:val="18"/>
              </w:rPr>
            </w:pPr>
            <w:r w:rsidRPr="00A27C76">
              <w:rPr>
                <w:b/>
                <w:bCs/>
                <w:color w:val="000000"/>
                <w:sz w:val="18"/>
                <w:szCs w:val="18"/>
              </w:rPr>
              <w:t>Total Hours</w:t>
            </w:r>
          </w:p>
        </w:tc>
        <w:tc>
          <w:tcPr>
            <w:tcW w:w="1080" w:type="dxa"/>
            <w:tcBorders>
              <w:top w:val="single" w:sz="8" w:space="0" w:color="auto"/>
              <w:left w:val="nil"/>
              <w:bottom w:val="single" w:sz="8" w:space="0" w:color="auto"/>
              <w:right w:val="single" w:sz="8" w:space="0" w:color="auto"/>
            </w:tcBorders>
            <w:shd w:val="clear" w:color="auto" w:fill="auto"/>
            <w:hideMark/>
          </w:tcPr>
          <w:p w:rsidR="00D53983" w:rsidRPr="00A27C76" w:rsidRDefault="00D53983" w:rsidP="00D53983">
            <w:pPr>
              <w:overflowPunct/>
              <w:autoSpaceDE/>
              <w:autoSpaceDN/>
              <w:adjustRightInd/>
              <w:jc w:val="center"/>
              <w:textAlignment w:val="auto"/>
              <w:rPr>
                <w:b/>
                <w:bCs/>
                <w:color w:val="000000"/>
                <w:sz w:val="18"/>
                <w:szCs w:val="18"/>
              </w:rPr>
            </w:pPr>
            <w:r w:rsidRPr="00A27C76">
              <w:rPr>
                <w:b/>
                <w:bCs/>
                <w:color w:val="000000"/>
                <w:sz w:val="18"/>
                <w:szCs w:val="18"/>
              </w:rPr>
              <w:t>Cost Per Response</w:t>
            </w:r>
          </w:p>
        </w:tc>
        <w:tc>
          <w:tcPr>
            <w:tcW w:w="1088" w:type="dxa"/>
            <w:tcBorders>
              <w:top w:val="single" w:sz="8" w:space="0" w:color="auto"/>
              <w:left w:val="nil"/>
              <w:bottom w:val="single" w:sz="8" w:space="0" w:color="auto"/>
              <w:right w:val="single" w:sz="8" w:space="0" w:color="auto"/>
            </w:tcBorders>
            <w:shd w:val="clear" w:color="auto" w:fill="auto"/>
            <w:hideMark/>
          </w:tcPr>
          <w:p w:rsidR="00D53983" w:rsidRPr="00A27C76" w:rsidRDefault="00D53983" w:rsidP="00D53983">
            <w:pPr>
              <w:overflowPunct/>
              <w:autoSpaceDE/>
              <w:autoSpaceDN/>
              <w:adjustRightInd/>
              <w:jc w:val="center"/>
              <w:textAlignment w:val="auto"/>
              <w:rPr>
                <w:b/>
                <w:bCs/>
                <w:color w:val="000000"/>
                <w:sz w:val="18"/>
                <w:szCs w:val="18"/>
              </w:rPr>
            </w:pPr>
            <w:r w:rsidRPr="00A27C76">
              <w:rPr>
                <w:b/>
                <w:bCs/>
                <w:color w:val="000000"/>
                <w:sz w:val="18"/>
                <w:szCs w:val="18"/>
              </w:rPr>
              <w:t>Total Cost</w:t>
            </w:r>
          </w:p>
        </w:tc>
      </w:tr>
      <w:tr w:rsidR="00D53983" w:rsidRPr="00A27C76" w:rsidTr="008B33CD">
        <w:trPr>
          <w:trHeight w:val="670"/>
          <w:jc w:val="center"/>
        </w:trPr>
        <w:tc>
          <w:tcPr>
            <w:tcW w:w="1643" w:type="dxa"/>
            <w:tcBorders>
              <w:top w:val="single" w:sz="4" w:space="0" w:color="auto"/>
              <w:left w:val="single" w:sz="8" w:space="0" w:color="auto"/>
              <w:bottom w:val="single" w:sz="4" w:space="0" w:color="auto"/>
              <w:right w:val="nil"/>
            </w:tcBorders>
            <w:shd w:val="clear" w:color="auto" w:fill="auto"/>
            <w:vAlign w:val="center"/>
            <w:hideMark/>
          </w:tcPr>
          <w:p w:rsidR="00D53983" w:rsidRPr="00A27C76" w:rsidRDefault="009D1522" w:rsidP="00D53983">
            <w:pPr>
              <w:overflowPunct/>
              <w:autoSpaceDE/>
              <w:autoSpaceDN/>
              <w:adjustRightInd/>
              <w:textAlignment w:val="auto"/>
              <w:rPr>
                <w:color w:val="000000"/>
                <w:sz w:val="18"/>
                <w:szCs w:val="18"/>
              </w:rPr>
            </w:pPr>
            <w:r w:rsidRPr="00A27C76">
              <w:rPr>
                <w:color w:val="000000"/>
                <w:sz w:val="18"/>
                <w:szCs w:val="18"/>
              </w:rPr>
              <w:t>CDBG-DR Expenditure Deadline Waiver Request Template (P.L. 113-2 Grantees Only)</w:t>
            </w:r>
          </w:p>
        </w:tc>
        <w:tc>
          <w:tcPr>
            <w:tcW w:w="135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D53983" w:rsidRPr="00A27C76" w:rsidRDefault="009D1522" w:rsidP="00D53983">
            <w:pPr>
              <w:overflowPunct/>
              <w:autoSpaceDE/>
              <w:autoSpaceDN/>
              <w:adjustRightInd/>
              <w:jc w:val="right"/>
              <w:textAlignment w:val="auto"/>
              <w:rPr>
                <w:color w:val="000000"/>
                <w:sz w:val="18"/>
                <w:szCs w:val="18"/>
              </w:rPr>
            </w:pPr>
            <w:r w:rsidRPr="00A27C76">
              <w:rPr>
                <w:color w:val="000000"/>
                <w:sz w:val="18"/>
                <w:szCs w:val="18"/>
              </w:rPr>
              <w:t>34</w:t>
            </w:r>
          </w:p>
        </w:tc>
        <w:tc>
          <w:tcPr>
            <w:tcW w:w="1080" w:type="dxa"/>
            <w:tcBorders>
              <w:top w:val="single" w:sz="8" w:space="0" w:color="auto"/>
              <w:left w:val="nil"/>
              <w:bottom w:val="single" w:sz="4" w:space="0" w:color="auto"/>
              <w:right w:val="single" w:sz="4" w:space="0" w:color="auto"/>
            </w:tcBorders>
            <w:shd w:val="clear" w:color="auto" w:fill="auto"/>
            <w:vAlign w:val="center"/>
            <w:hideMark/>
          </w:tcPr>
          <w:p w:rsidR="00D53983" w:rsidRPr="00A27C76" w:rsidRDefault="009D1522" w:rsidP="009D1522">
            <w:pPr>
              <w:overflowPunct/>
              <w:autoSpaceDE/>
              <w:autoSpaceDN/>
              <w:adjustRightInd/>
              <w:jc w:val="right"/>
              <w:textAlignment w:val="auto"/>
              <w:rPr>
                <w:color w:val="000000"/>
                <w:sz w:val="18"/>
                <w:szCs w:val="18"/>
              </w:rPr>
            </w:pPr>
            <w:r w:rsidRPr="00A27C76">
              <w:rPr>
                <w:color w:val="000000"/>
                <w:sz w:val="18"/>
                <w:szCs w:val="18"/>
              </w:rPr>
              <w:t>3</w:t>
            </w:r>
          </w:p>
        </w:tc>
        <w:tc>
          <w:tcPr>
            <w:tcW w:w="1080" w:type="dxa"/>
            <w:tcBorders>
              <w:top w:val="single" w:sz="8" w:space="0" w:color="auto"/>
              <w:left w:val="nil"/>
              <w:bottom w:val="single" w:sz="4" w:space="0" w:color="auto"/>
              <w:right w:val="single" w:sz="4" w:space="0" w:color="auto"/>
            </w:tcBorders>
            <w:shd w:val="clear" w:color="auto" w:fill="auto"/>
            <w:vAlign w:val="center"/>
            <w:hideMark/>
          </w:tcPr>
          <w:p w:rsidR="00D53983" w:rsidRPr="00A27C76" w:rsidRDefault="009D1522" w:rsidP="00D53983">
            <w:pPr>
              <w:overflowPunct/>
              <w:autoSpaceDE/>
              <w:autoSpaceDN/>
              <w:adjustRightInd/>
              <w:jc w:val="right"/>
              <w:textAlignment w:val="auto"/>
              <w:rPr>
                <w:color w:val="000000"/>
                <w:sz w:val="18"/>
                <w:szCs w:val="18"/>
              </w:rPr>
            </w:pPr>
            <w:r w:rsidRPr="00A27C76">
              <w:rPr>
                <w:color w:val="000000"/>
                <w:sz w:val="18"/>
                <w:szCs w:val="18"/>
              </w:rPr>
              <w:t>102</w:t>
            </w:r>
          </w:p>
        </w:tc>
        <w:tc>
          <w:tcPr>
            <w:tcW w:w="990" w:type="dxa"/>
            <w:tcBorders>
              <w:top w:val="single" w:sz="8" w:space="0" w:color="auto"/>
              <w:left w:val="nil"/>
              <w:bottom w:val="single" w:sz="4" w:space="0" w:color="auto"/>
              <w:right w:val="single" w:sz="4" w:space="0" w:color="auto"/>
            </w:tcBorders>
            <w:shd w:val="clear" w:color="auto" w:fill="auto"/>
            <w:noWrap/>
            <w:vAlign w:val="center"/>
            <w:hideMark/>
          </w:tcPr>
          <w:p w:rsidR="00D53983" w:rsidRPr="00A27C76" w:rsidRDefault="00C15F04" w:rsidP="00D53983">
            <w:pPr>
              <w:overflowPunct/>
              <w:autoSpaceDE/>
              <w:autoSpaceDN/>
              <w:adjustRightInd/>
              <w:jc w:val="right"/>
              <w:textAlignment w:val="auto"/>
              <w:rPr>
                <w:color w:val="000000"/>
                <w:sz w:val="18"/>
                <w:szCs w:val="18"/>
              </w:rPr>
            </w:pPr>
            <w:r>
              <w:rPr>
                <w:color w:val="000000"/>
                <w:sz w:val="18"/>
                <w:szCs w:val="18"/>
              </w:rPr>
              <w:t>24</w:t>
            </w:r>
          </w:p>
        </w:tc>
        <w:tc>
          <w:tcPr>
            <w:tcW w:w="810" w:type="dxa"/>
            <w:tcBorders>
              <w:top w:val="single" w:sz="8" w:space="0" w:color="auto"/>
              <w:left w:val="nil"/>
              <w:bottom w:val="single" w:sz="4" w:space="0" w:color="auto"/>
              <w:right w:val="single" w:sz="4" w:space="0" w:color="auto"/>
            </w:tcBorders>
            <w:shd w:val="clear" w:color="auto" w:fill="auto"/>
            <w:vAlign w:val="center"/>
            <w:hideMark/>
          </w:tcPr>
          <w:p w:rsidR="00D53983" w:rsidRPr="00A27C76" w:rsidRDefault="00C15F04" w:rsidP="00D53983">
            <w:pPr>
              <w:overflowPunct/>
              <w:autoSpaceDE/>
              <w:autoSpaceDN/>
              <w:adjustRightInd/>
              <w:jc w:val="right"/>
              <w:textAlignment w:val="auto"/>
              <w:rPr>
                <w:color w:val="000000"/>
                <w:sz w:val="18"/>
                <w:szCs w:val="18"/>
              </w:rPr>
            </w:pPr>
            <w:r>
              <w:rPr>
                <w:color w:val="000000"/>
                <w:sz w:val="18"/>
                <w:szCs w:val="18"/>
              </w:rPr>
              <w:t>2,448</w:t>
            </w:r>
          </w:p>
        </w:tc>
        <w:tc>
          <w:tcPr>
            <w:tcW w:w="1080" w:type="dxa"/>
            <w:tcBorders>
              <w:top w:val="single" w:sz="8" w:space="0" w:color="auto"/>
              <w:left w:val="nil"/>
              <w:bottom w:val="single" w:sz="4" w:space="0" w:color="auto"/>
              <w:right w:val="single" w:sz="4" w:space="0" w:color="auto"/>
            </w:tcBorders>
            <w:shd w:val="clear" w:color="auto" w:fill="auto"/>
            <w:vAlign w:val="center"/>
            <w:hideMark/>
          </w:tcPr>
          <w:p w:rsidR="00D53983" w:rsidRPr="00A27C76" w:rsidRDefault="00D53983" w:rsidP="00C15F04">
            <w:pPr>
              <w:overflowPunct/>
              <w:autoSpaceDE/>
              <w:autoSpaceDN/>
              <w:adjustRightInd/>
              <w:jc w:val="right"/>
              <w:textAlignment w:val="auto"/>
              <w:rPr>
                <w:color w:val="000000"/>
                <w:sz w:val="18"/>
                <w:szCs w:val="18"/>
              </w:rPr>
            </w:pPr>
            <w:r w:rsidRPr="00A27C76">
              <w:rPr>
                <w:color w:val="000000"/>
                <w:sz w:val="18"/>
                <w:szCs w:val="18"/>
              </w:rPr>
              <w:t>$</w:t>
            </w:r>
            <w:r w:rsidR="00C15F04">
              <w:rPr>
                <w:color w:val="000000"/>
                <w:sz w:val="18"/>
                <w:szCs w:val="18"/>
              </w:rPr>
              <w:t>584.1</w:t>
            </w:r>
            <w:r w:rsidR="009D1522" w:rsidRPr="00A27C76">
              <w:rPr>
                <w:color w:val="000000"/>
                <w:sz w:val="18"/>
                <w:szCs w:val="18"/>
              </w:rPr>
              <w:t>6</w:t>
            </w:r>
            <w:r w:rsidRPr="00A27C76">
              <w:rPr>
                <w:color w:val="000000"/>
                <w:sz w:val="18"/>
                <w:szCs w:val="18"/>
              </w:rPr>
              <w:t xml:space="preserve"> </w:t>
            </w:r>
          </w:p>
        </w:tc>
        <w:tc>
          <w:tcPr>
            <w:tcW w:w="1088" w:type="dxa"/>
            <w:tcBorders>
              <w:top w:val="single" w:sz="8" w:space="0" w:color="auto"/>
              <w:left w:val="nil"/>
              <w:bottom w:val="single" w:sz="4" w:space="0" w:color="auto"/>
              <w:right w:val="single" w:sz="8" w:space="0" w:color="auto"/>
            </w:tcBorders>
            <w:shd w:val="clear" w:color="auto" w:fill="auto"/>
            <w:noWrap/>
            <w:vAlign w:val="center"/>
            <w:hideMark/>
          </w:tcPr>
          <w:p w:rsidR="00D53983" w:rsidRPr="00A27C76" w:rsidRDefault="009D1522" w:rsidP="00C15F04">
            <w:pPr>
              <w:overflowPunct/>
              <w:autoSpaceDE/>
              <w:autoSpaceDN/>
              <w:adjustRightInd/>
              <w:jc w:val="right"/>
              <w:textAlignment w:val="auto"/>
              <w:rPr>
                <w:color w:val="000000"/>
                <w:sz w:val="18"/>
                <w:szCs w:val="18"/>
              </w:rPr>
            </w:pPr>
            <w:r w:rsidRPr="00A27C76">
              <w:rPr>
                <w:color w:val="000000"/>
                <w:sz w:val="18"/>
                <w:szCs w:val="18"/>
              </w:rPr>
              <w:t>$</w:t>
            </w:r>
            <w:r w:rsidR="00C15F04">
              <w:rPr>
                <w:color w:val="000000"/>
                <w:sz w:val="18"/>
                <w:szCs w:val="18"/>
              </w:rPr>
              <w:t>59,584.32</w:t>
            </w:r>
          </w:p>
        </w:tc>
      </w:tr>
      <w:tr w:rsidR="009D1522" w:rsidRPr="00A27C76" w:rsidTr="008B33CD">
        <w:trPr>
          <w:trHeight w:val="572"/>
          <w:jc w:val="center"/>
        </w:trPr>
        <w:tc>
          <w:tcPr>
            <w:tcW w:w="1643" w:type="dxa"/>
            <w:tcBorders>
              <w:top w:val="nil"/>
              <w:left w:val="single" w:sz="8" w:space="0" w:color="auto"/>
              <w:bottom w:val="single" w:sz="8" w:space="0" w:color="auto"/>
              <w:right w:val="nil"/>
            </w:tcBorders>
            <w:shd w:val="clear" w:color="auto" w:fill="auto"/>
            <w:vAlign w:val="center"/>
            <w:hideMark/>
          </w:tcPr>
          <w:p w:rsidR="009D1522" w:rsidRPr="00A27C76" w:rsidRDefault="009D1522" w:rsidP="00D53983">
            <w:pPr>
              <w:overflowPunct/>
              <w:autoSpaceDE/>
              <w:autoSpaceDN/>
              <w:adjustRightInd/>
              <w:textAlignment w:val="auto"/>
              <w:rPr>
                <w:b/>
                <w:bCs/>
                <w:color w:val="000000"/>
                <w:sz w:val="18"/>
                <w:szCs w:val="18"/>
              </w:rPr>
            </w:pPr>
            <w:r w:rsidRPr="00A27C76">
              <w:rPr>
                <w:b/>
                <w:bCs/>
                <w:color w:val="000000"/>
                <w:sz w:val="18"/>
                <w:szCs w:val="18"/>
              </w:rPr>
              <w:t>TOTAL PAPERWORK BURDEN</w:t>
            </w:r>
          </w:p>
        </w:tc>
        <w:tc>
          <w:tcPr>
            <w:tcW w:w="1350" w:type="dxa"/>
            <w:tcBorders>
              <w:top w:val="nil"/>
              <w:left w:val="single" w:sz="8" w:space="0" w:color="auto"/>
              <w:bottom w:val="single" w:sz="8" w:space="0" w:color="auto"/>
              <w:right w:val="single" w:sz="4" w:space="0" w:color="auto"/>
            </w:tcBorders>
            <w:shd w:val="clear" w:color="auto" w:fill="auto"/>
            <w:hideMark/>
          </w:tcPr>
          <w:p w:rsidR="009D1522" w:rsidRPr="00A27C76" w:rsidRDefault="009D1522" w:rsidP="00687F2E">
            <w:pPr>
              <w:overflowPunct/>
              <w:autoSpaceDE/>
              <w:autoSpaceDN/>
              <w:adjustRightInd/>
              <w:jc w:val="right"/>
              <w:textAlignment w:val="auto"/>
              <w:rPr>
                <w:b/>
                <w:color w:val="000000"/>
                <w:sz w:val="18"/>
                <w:szCs w:val="18"/>
              </w:rPr>
            </w:pPr>
            <w:r w:rsidRPr="00A27C76">
              <w:rPr>
                <w:b/>
                <w:color w:val="000000"/>
                <w:sz w:val="18"/>
                <w:szCs w:val="18"/>
              </w:rPr>
              <w:t>34</w:t>
            </w:r>
          </w:p>
        </w:tc>
        <w:tc>
          <w:tcPr>
            <w:tcW w:w="1080" w:type="dxa"/>
            <w:tcBorders>
              <w:top w:val="nil"/>
              <w:left w:val="nil"/>
              <w:bottom w:val="single" w:sz="8" w:space="0" w:color="auto"/>
              <w:right w:val="single" w:sz="4" w:space="0" w:color="auto"/>
            </w:tcBorders>
            <w:shd w:val="clear" w:color="auto" w:fill="auto"/>
            <w:hideMark/>
          </w:tcPr>
          <w:p w:rsidR="009D1522" w:rsidRPr="00A27C76" w:rsidRDefault="009D1522" w:rsidP="00687F2E">
            <w:pPr>
              <w:overflowPunct/>
              <w:autoSpaceDE/>
              <w:autoSpaceDN/>
              <w:adjustRightInd/>
              <w:jc w:val="right"/>
              <w:textAlignment w:val="auto"/>
              <w:rPr>
                <w:b/>
                <w:color w:val="000000"/>
                <w:sz w:val="18"/>
                <w:szCs w:val="18"/>
              </w:rPr>
            </w:pPr>
            <w:r w:rsidRPr="00A27C76">
              <w:rPr>
                <w:b/>
                <w:color w:val="000000"/>
                <w:sz w:val="18"/>
                <w:szCs w:val="18"/>
              </w:rPr>
              <w:t>3</w:t>
            </w:r>
          </w:p>
        </w:tc>
        <w:tc>
          <w:tcPr>
            <w:tcW w:w="1080" w:type="dxa"/>
            <w:tcBorders>
              <w:top w:val="nil"/>
              <w:left w:val="nil"/>
              <w:bottom w:val="single" w:sz="8" w:space="0" w:color="auto"/>
              <w:right w:val="single" w:sz="4" w:space="0" w:color="auto"/>
            </w:tcBorders>
            <w:shd w:val="clear" w:color="auto" w:fill="auto"/>
            <w:hideMark/>
          </w:tcPr>
          <w:p w:rsidR="009D1522" w:rsidRPr="00A27C76" w:rsidRDefault="009D1522" w:rsidP="00687F2E">
            <w:pPr>
              <w:overflowPunct/>
              <w:autoSpaceDE/>
              <w:autoSpaceDN/>
              <w:adjustRightInd/>
              <w:jc w:val="right"/>
              <w:textAlignment w:val="auto"/>
              <w:rPr>
                <w:b/>
                <w:color w:val="000000"/>
                <w:sz w:val="18"/>
                <w:szCs w:val="18"/>
              </w:rPr>
            </w:pPr>
            <w:r w:rsidRPr="00A27C76">
              <w:rPr>
                <w:b/>
                <w:color w:val="000000"/>
                <w:sz w:val="18"/>
                <w:szCs w:val="18"/>
              </w:rPr>
              <w:t>102</w:t>
            </w:r>
          </w:p>
        </w:tc>
        <w:tc>
          <w:tcPr>
            <w:tcW w:w="990" w:type="dxa"/>
            <w:tcBorders>
              <w:top w:val="nil"/>
              <w:left w:val="nil"/>
              <w:bottom w:val="single" w:sz="8" w:space="0" w:color="auto"/>
              <w:right w:val="single" w:sz="4" w:space="0" w:color="auto"/>
            </w:tcBorders>
            <w:shd w:val="clear" w:color="auto" w:fill="auto"/>
            <w:hideMark/>
          </w:tcPr>
          <w:p w:rsidR="009D1522" w:rsidRPr="00A27C76" w:rsidRDefault="00C15F04" w:rsidP="00687F2E">
            <w:pPr>
              <w:overflowPunct/>
              <w:autoSpaceDE/>
              <w:autoSpaceDN/>
              <w:adjustRightInd/>
              <w:jc w:val="right"/>
              <w:textAlignment w:val="auto"/>
              <w:rPr>
                <w:b/>
                <w:color w:val="000000"/>
                <w:sz w:val="18"/>
                <w:szCs w:val="18"/>
              </w:rPr>
            </w:pPr>
            <w:r>
              <w:rPr>
                <w:b/>
                <w:color w:val="000000"/>
                <w:sz w:val="18"/>
                <w:szCs w:val="18"/>
              </w:rPr>
              <w:t>24</w:t>
            </w:r>
          </w:p>
        </w:tc>
        <w:tc>
          <w:tcPr>
            <w:tcW w:w="810" w:type="dxa"/>
            <w:tcBorders>
              <w:top w:val="nil"/>
              <w:left w:val="nil"/>
              <w:bottom w:val="single" w:sz="8" w:space="0" w:color="auto"/>
              <w:right w:val="single" w:sz="4" w:space="0" w:color="auto"/>
            </w:tcBorders>
            <w:shd w:val="clear" w:color="auto" w:fill="auto"/>
            <w:hideMark/>
          </w:tcPr>
          <w:p w:rsidR="009D1522" w:rsidRPr="00A27C76" w:rsidRDefault="00C15F04" w:rsidP="00C15F04">
            <w:pPr>
              <w:overflowPunct/>
              <w:autoSpaceDE/>
              <w:autoSpaceDN/>
              <w:adjustRightInd/>
              <w:jc w:val="right"/>
              <w:textAlignment w:val="auto"/>
              <w:rPr>
                <w:b/>
                <w:color w:val="000000"/>
                <w:sz w:val="18"/>
                <w:szCs w:val="18"/>
              </w:rPr>
            </w:pPr>
            <w:r>
              <w:rPr>
                <w:b/>
                <w:color w:val="000000"/>
                <w:sz w:val="18"/>
                <w:szCs w:val="18"/>
              </w:rPr>
              <w:t>2,448</w:t>
            </w:r>
          </w:p>
        </w:tc>
        <w:tc>
          <w:tcPr>
            <w:tcW w:w="1080" w:type="dxa"/>
            <w:tcBorders>
              <w:top w:val="nil"/>
              <w:left w:val="nil"/>
              <w:bottom w:val="single" w:sz="8" w:space="0" w:color="auto"/>
              <w:right w:val="single" w:sz="4" w:space="0" w:color="auto"/>
            </w:tcBorders>
            <w:shd w:val="clear" w:color="auto" w:fill="auto"/>
            <w:hideMark/>
          </w:tcPr>
          <w:p w:rsidR="009D1522" w:rsidRPr="00A27C76" w:rsidRDefault="00C15F04" w:rsidP="00687F2E">
            <w:pPr>
              <w:overflowPunct/>
              <w:autoSpaceDE/>
              <w:autoSpaceDN/>
              <w:adjustRightInd/>
              <w:jc w:val="right"/>
              <w:textAlignment w:val="auto"/>
              <w:rPr>
                <w:b/>
                <w:color w:val="000000"/>
                <w:sz w:val="18"/>
                <w:szCs w:val="18"/>
              </w:rPr>
            </w:pPr>
            <w:r w:rsidRPr="00C15F04">
              <w:rPr>
                <w:b/>
                <w:color w:val="000000"/>
                <w:sz w:val="18"/>
                <w:szCs w:val="18"/>
              </w:rPr>
              <w:t>$584.16</w:t>
            </w:r>
          </w:p>
        </w:tc>
        <w:tc>
          <w:tcPr>
            <w:tcW w:w="1088" w:type="dxa"/>
            <w:tcBorders>
              <w:top w:val="nil"/>
              <w:left w:val="nil"/>
              <w:bottom w:val="single" w:sz="8" w:space="0" w:color="auto"/>
              <w:right w:val="single" w:sz="8" w:space="0" w:color="auto"/>
            </w:tcBorders>
            <w:shd w:val="clear" w:color="auto" w:fill="auto"/>
            <w:hideMark/>
          </w:tcPr>
          <w:p w:rsidR="009D1522" w:rsidRPr="00A27C76" w:rsidRDefault="009F3419" w:rsidP="00687F2E">
            <w:pPr>
              <w:overflowPunct/>
              <w:autoSpaceDE/>
              <w:autoSpaceDN/>
              <w:adjustRightInd/>
              <w:jc w:val="right"/>
              <w:textAlignment w:val="auto"/>
              <w:rPr>
                <w:b/>
                <w:color w:val="000000"/>
                <w:sz w:val="18"/>
                <w:szCs w:val="18"/>
              </w:rPr>
            </w:pPr>
            <w:r w:rsidRPr="009F3419">
              <w:rPr>
                <w:b/>
                <w:color w:val="000000"/>
                <w:sz w:val="18"/>
                <w:szCs w:val="18"/>
              </w:rPr>
              <w:t>$59,584.32</w:t>
            </w:r>
          </w:p>
        </w:tc>
      </w:tr>
    </w:tbl>
    <w:p w:rsidR="00D53983" w:rsidRPr="00A27C76" w:rsidRDefault="00D53983" w:rsidP="00EF2BF1">
      <w:pPr>
        <w:ind w:firstLine="720"/>
      </w:pPr>
    </w:p>
    <w:p w:rsidR="00C50CC5" w:rsidRDefault="00C50CC5" w:rsidP="00C50CC5">
      <w:pPr>
        <w:ind w:left="720"/>
      </w:pPr>
    </w:p>
    <w:p w:rsidR="00354A58" w:rsidRDefault="00354A58" w:rsidP="003A412A">
      <w:pPr>
        <w:keepNext/>
        <w:numPr>
          <w:ilvl w:val="1"/>
          <w:numId w:val="10"/>
        </w:numPr>
        <w:tabs>
          <w:tab w:val="left" w:pos="360"/>
          <w:tab w:val="left" w:pos="720"/>
          <w:tab w:val="right" w:pos="7680"/>
        </w:tabs>
        <w:rPr>
          <w:b/>
          <w:sz w:val="22"/>
        </w:rPr>
      </w:pPr>
      <w:r>
        <w:rPr>
          <w:b/>
          <w:sz w:val="22"/>
        </w:rPr>
        <w:t>Estimate of Total Costs to Respondents</w:t>
      </w:r>
    </w:p>
    <w:p w:rsidR="00354A58" w:rsidRDefault="00354A58" w:rsidP="003A412A">
      <w:pPr>
        <w:pStyle w:val="BodyText3"/>
        <w:keepNext/>
        <w:tabs>
          <w:tab w:val="clear" w:pos="1440"/>
          <w:tab w:val="clear" w:pos="2160"/>
          <w:tab w:val="clear" w:pos="2880"/>
          <w:tab w:val="clear" w:pos="3600"/>
          <w:tab w:val="clear" w:pos="4320"/>
          <w:tab w:val="right" w:pos="7680"/>
        </w:tabs>
        <w:overflowPunct w:val="0"/>
        <w:spacing w:line="240" w:lineRule="auto"/>
        <w:textAlignment w:val="baseline"/>
      </w:pPr>
      <w:r>
        <w:t xml:space="preserve">There are no additional costs to the respondents (other than the cost shown in item 12 above).  </w:t>
      </w:r>
    </w:p>
    <w:p w:rsidR="00354A58" w:rsidRDefault="00354A58" w:rsidP="003A412A">
      <w:pPr>
        <w:tabs>
          <w:tab w:val="left" w:pos="360"/>
          <w:tab w:val="left" w:pos="720"/>
          <w:tab w:val="right" w:pos="7680"/>
        </w:tabs>
        <w:ind w:left="360" w:hanging="360"/>
        <w:rPr>
          <w:sz w:val="22"/>
        </w:rPr>
      </w:pPr>
    </w:p>
    <w:p w:rsidR="00354A58" w:rsidRDefault="00354A58" w:rsidP="003A412A">
      <w:pPr>
        <w:numPr>
          <w:ilvl w:val="1"/>
          <w:numId w:val="10"/>
        </w:numPr>
        <w:tabs>
          <w:tab w:val="left" w:pos="360"/>
          <w:tab w:val="left" w:pos="720"/>
          <w:tab w:val="right" w:pos="7680"/>
        </w:tabs>
        <w:rPr>
          <w:sz w:val="22"/>
          <w:u w:val="single"/>
        </w:rPr>
      </w:pPr>
      <w:r>
        <w:rPr>
          <w:b/>
          <w:sz w:val="22"/>
        </w:rPr>
        <w:t>Estimate of Annualized Cost to Federal Government</w:t>
      </w:r>
    </w:p>
    <w:p w:rsidR="009D1522" w:rsidRPr="009D1522" w:rsidRDefault="009D1522" w:rsidP="009D1522">
      <w:pPr>
        <w:tabs>
          <w:tab w:val="left" w:pos="720"/>
        </w:tabs>
        <w:rPr>
          <w:sz w:val="22"/>
          <w:szCs w:val="22"/>
        </w:rPr>
      </w:pPr>
      <w:r w:rsidRPr="009D1522">
        <w:rPr>
          <w:sz w:val="22"/>
          <w:szCs w:val="22"/>
        </w:rPr>
        <w:t xml:space="preserve">It is estimated that HUD will receive </w:t>
      </w:r>
      <w:r w:rsidR="009F3419">
        <w:rPr>
          <w:sz w:val="22"/>
          <w:szCs w:val="22"/>
        </w:rPr>
        <w:t>102</w:t>
      </w:r>
      <w:r w:rsidRPr="009D1522">
        <w:rPr>
          <w:sz w:val="22"/>
          <w:szCs w:val="22"/>
        </w:rPr>
        <w:t xml:space="preserve"> responses, and that it will take HUD staff </w:t>
      </w:r>
      <w:r w:rsidR="009F3419">
        <w:rPr>
          <w:sz w:val="22"/>
          <w:szCs w:val="22"/>
        </w:rPr>
        <w:t>16</w:t>
      </w:r>
      <w:r w:rsidRPr="009D1522">
        <w:rPr>
          <w:sz w:val="22"/>
          <w:szCs w:val="22"/>
        </w:rPr>
        <w:t xml:space="preserve"> hours on average to review and complete each response. </w:t>
      </w:r>
    </w:p>
    <w:p w:rsidR="009D1522" w:rsidRDefault="009D1522" w:rsidP="009D1522">
      <w:pPr>
        <w:tabs>
          <w:tab w:val="left" w:pos="720"/>
        </w:tabs>
        <w:rPr>
          <w:sz w:val="22"/>
          <w:szCs w:val="22"/>
        </w:rPr>
      </w:pPr>
    </w:p>
    <w:p w:rsidR="009D1522" w:rsidRPr="009D1522" w:rsidRDefault="009F3419" w:rsidP="009D1522">
      <w:pPr>
        <w:tabs>
          <w:tab w:val="left" w:pos="720"/>
        </w:tabs>
        <w:rPr>
          <w:sz w:val="22"/>
          <w:szCs w:val="22"/>
        </w:rPr>
      </w:pPr>
      <w:r>
        <w:rPr>
          <w:sz w:val="22"/>
          <w:szCs w:val="22"/>
        </w:rPr>
        <w:t>102</w:t>
      </w:r>
      <w:r w:rsidR="009D1522" w:rsidRPr="009D1522">
        <w:rPr>
          <w:sz w:val="22"/>
          <w:szCs w:val="22"/>
        </w:rPr>
        <w:t xml:space="preserve"> (respon</w:t>
      </w:r>
      <w:r>
        <w:rPr>
          <w:sz w:val="22"/>
          <w:szCs w:val="22"/>
        </w:rPr>
        <w:t>ses</w:t>
      </w:r>
      <w:r w:rsidR="009D1522" w:rsidRPr="009D1522">
        <w:rPr>
          <w:sz w:val="22"/>
          <w:szCs w:val="22"/>
        </w:rPr>
        <w:t xml:space="preserve">) x </w:t>
      </w:r>
      <w:r w:rsidR="006152E6">
        <w:rPr>
          <w:sz w:val="22"/>
          <w:szCs w:val="22"/>
        </w:rPr>
        <w:t>8</w:t>
      </w:r>
      <w:r w:rsidR="009D1522" w:rsidRPr="009D1522">
        <w:rPr>
          <w:sz w:val="22"/>
          <w:szCs w:val="22"/>
        </w:rPr>
        <w:t xml:space="preserve"> (hours to review documentat</w:t>
      </w:r>
      <w:r>
        <w:rPr>
          <w:sz w:val="22"/>
          <w:szCs w:val="22"/>
        </w:rPr>
        <w:t xml:space="preserve">ion) x $34.69** (per hour) =$ </w:t>
      </w:r>
      <w:r w:rsidR="006152E6">
        <w:rPr>
          <w:sz w:val="22"/>
          <w:szCs w:val="22"/>
        </w:rPr>
        <w:t>28</w:t>
      </w:r>
      <w:r w:rsidR="009D1522" w:rsidRPr="009D1522">
        <w:rPr>
          <w:sz w:val="22"/>
          <w:szCs w:val="22"/>
        </w:rPr>
        <w:t>,</w:t>
      </w:r>
      <w:r w:rsidR="006152E6">
        <w:rPr>
          <w:sz w:val="22"/>
          <w:szCs w:val="22"/>
        </w:rPr>
        <w:t>307</w:t>
      </w:r>
      <w:r w:rsidR="009D1522" w:rsidRPr="009D1522">
        <w:rPr>
          <w:sz w:val="22"/>
          <w:szCs w:val="22"/>
        </w:rPr>
        <w:t>.</w:t>
      </w:r>
      <w:r>
        <w:rPr>
          <w:sz w:val="22"/>
          <w:szCs w:val="22"/>
        </w:rPr>
        <w:t>0</w:t>
      </w:r>
      <w:r w:rsidR="006152E6">
        <w:rPr>
          <w:sz w:val="22"/>
          <w:szCs w:val="22"/>
        </w:rPr>
        <w:t>4</w:t>
      </w:r>
      <w:r w:rsidR="009D1522" w:rsidRPr="009D1522">
        <w:rPr>
          <w:sz w:val="22"/>
          <w:szCs w:val="22"/>
        </w:rPr>
        <w:t xml:space="preserve"> is the estimate of total cost to the Federal government to complete the expenditure waiver review.   </w:t>
      </w:r>
    </w:p>
    <w:p w:rsidR="009D1522" w:rsidRDefault="009D1522" w:rsidP="009D1522">
      <w:pPr>
        <w:tabs>
          <w:tab w:val="left" w:pos="720"/>
        </w:tabs>
        <w:rPr>
          <w:sz w:val="22"/>
          <w:szCs w:val="22"/>
        </w:rPr>
      </w:pPr>
    </w:p>
    <w:p w:rsidR="009D1522" w:rsidRDefault="009D1522" w:rsidP="009D1522">
      <w:pPr>
        <w:tabs>
          <w:tab w:val="left" w:pos="720"/>
        </w:tabs>
        <w:rPr>
          <w:sz w:val="22"/>
          <w:szCs w:val="22"/>
        </w:rPr>
      </w:pPr>
      <w:r w:rsidRPr="009D1522">
        <w:rPr>
          <w:sz w:val="22"/>
          <w:szCs w:val="22"/>
        </w:rPr>
        <w:t>**GS 13, step 1 (2014 OPM tables)</w:t>
      </w:r>
    </w:p>
    <w:p w:rsidR="00C50CC5" w:rsidRDefault="00FD2F6C" w:rsidP="009D1522">
      <w:pPr>
        <w:tabs>
          <w:tab w:val="left" w:pos="720"/>
        </w:tabs>
        <w:rPr>
          <w:sz w:val="22"/>
        </w:rPr>
      </w:pPr>
      <w:r>
        <w:rPr>
          <w:sz w:val="22"/>
          <w:szCs w:val="22"/>
        </w:rPr>
        <w:t xml:space="preserve"> </w:t>
      </w:r>
    </w:p>
    <w:p w:rsidR="00354A58" w:rsidRDefault="00354A58" w:rsidP="003A412A">
      <w:pPr>
        <w:keepNext/>
        <w:numPr>
          <w:ilvl w:val="1"/>
          <w:numId w:val="10"/>
        </w:numPr>
        <w:tabs>
          <w:tab w:val="left" w:pos="360"/>
          <w:tab w:val="left" w:pos="720"/>
        </w:tabs>
        <w:rPr>
          <w:b/>
          <w:sz w:val="22"/>
        </w:rPr>
      </w:pPr>
      <w:r>
        <w:rPr>
          <w:b/>
          <w:sz w:val="22"/>
        </w:rPr>
        <w:t>Explanation of Program Changes / Adjustments</w:t>
      </w:r>
    </w:p>
    <w:p w:rsidR="00354A58" w:rsidRDefault="009D1522" w:rsidP="003A412A">
      <w:pPr>
        <w:pStyle w:val="BodyTextIndent"/>
        <w:keepNext/>
        <w:tabs>
          <w:tab w:val="clear" w:pos="360"/>
          <w:tab w:val="clear" w:pos="840"/>
          <w:tab w:val="left" w:pos="0"/>
          <w:tab w:val="left" w:pos="720"/>
        </w:tabs>
        <w:ind w:left="0" w:firstLine="0"/>
        <w:rPr>
          <w:szCs w:val="22"/>
        </w:rPr>
      </w:pPr>
      <w:r w:rsidRPr="009D1522">
        <w:rPr>
          <w:szCs w:val="22"/>
        </w:rPr>
        <w:t>There are no program changes or adjustments being reported.</w:t>
      </w:r>
    </w:p>
    <w:p w:rsidR="009D1522" w:rsidRDefault="009D1522" w:rsidP="003A412A">
      <w:pPr>
        <w:pStyle w:val="BodyTextIndent"/>
        <w:keepNext/>
        <w:tabs>
          <w:tab w:val="clear" w:pos="360"/>
          <w:tab w:val="clear" w:pos="840"/>
          <w:tab w:val="left" w:pos="0"/>
          <w:tab w:val="left" w:pos="720"/>
        </w:tabs>
        <w:ind w:left="0" w:firstLine="0"/>
        <w:rPr>
          <w:szCs w:val="22"/>
        </w:rPr>
      </w:pPr>
    </w:p>
    <w:p w:rsidR="00354A58" w:rsidRDefault="00354A58" w:rsidP="003A412A">
      <w:pPr>
        <w:numPr>
          <w:ilvl w:val="1"/>
          <w:numId w:val="10"/>
        </w:numPr>
        <w:tabs>
          <w:tab w:val="left" w:pos="360"/>
          <w:tab w:val="left" w:pos="720"/>
        </w:tabs>
        <w:rPr>
          <w:b/>
          <w:sz w:val="22"/>
        </w:rPr>
      </w:pPr>
      <w:r>
        <w:rPr>
          <w:b/>
          <w:sz w:val="22"/>
        </w:rPr>
        <w:t>Publication of Results</w:t>
      </w:r>
    </w:p>
    <w:p w:rsidR="009D1522" w:rsidRDefault="00687F2E" w:rsidP="00212DAD">
      <w:pPr>
        <w:tabs>
          <w:tab w:val="left" w:pos="0"/>
          <w:tab w:val="left" w:pos="720"/>
        </w:tabs>
        <w:rPr>
          <w:sz w:val="22"/>
        </w:rPr>
      </w:pPr>
      <w:r w:rsidRPr="00687F2E">
        <w:rPr>
          <w:sz w:val="22"/>
        </w:rPr>
        <w:t xml:space="preserve">The information collected is not for statistical </w:t>
      </w:r>
      <w:r w:rsidR="00212DAD">
        <w:rPr>
          <w:sz w:val="22"/>
        </w:rPr>
        <w:t xml:space="preserve">purposes </w:t>
      </w:r>
      <w:r w:rsidRPr="00687F2E">
        <w:rPr>
          <w:sz w:val="22"/>
        </w:rPr>
        <w:t>and does not use statistical methods.</w:t>
      </w:r>
      <w:r w:rsidRPr="00687F2E">
        <w:rPr>
          <w:b/>
          <w:sz w:val="22"/>
        </w:rPr>
        <w:t xml:space="preserve"> </w:t>
      </w:r>
      <w:r w:rsidR="00212DAD">
        <w:rPr>
          <w:sz w:val="22"/>
        </w:rPr>
        <w:t xml:space="preserve">Individual extension approvals will be published in the Federal Register and will include information identifying the </w:t>
      </w:r>
      <w:proofErr w:type="gramStart"/>
      <w:r w:rsidR="00212DAD">
        <w:rPr>
          <w:sz w:val="22"/>
        </w:rPr>
        <w:t>activity(</w:t>
      </w:r>
      <w:proofErr w:type="spellStart"/>
      <w:proofErr w:type="gramEnd"/>
      <w:r w:rsidR="00212DAD">
        <w:rPr>
          <w:sz w:val="22"/>
        </w:rPr>
        <w:t>ies</w:t>
      </w:r>
      <w:proofErr w:type="spellEnd"/>
      <w:r w:rsidR="00212DAD">
        <w:rPr>
          <w:sz w:val="22"/>
        </w:rPr>
        <w:t xml:space="preserve">) for which an extension is being </w:t>
      </w:r>
      <w:r w:rsidR="006152E6">
        <w:rPr>
          <w:sz w:val="22"/>
        </w:rPr>
        <w:t>granted</w:t>
      </w:r>
      <w:r w:rsidR="00212DAD">
        <w:rPr>
          <w:sz w:val="22"/>
        </w:rPr>
        <w:t xml:space="preserve">, the date of the new </w:t>
      </w:r>
      <w:r w:rsidR="006152E6">
        <w:rPr>
          <w:sz w:val="22"/>
        </w:rPr>
        <w:t xml:space="preserve">deadline, and the amount of funds subject to the extension. The template data </w:t>
      </w:r>
      <w:r w:rsidR="00212DAD">
        <w:rPr>
          <w:sz w:val="22"/>
        </w:rPr>
        <w:t xml:space="preserve">will not </w:t>
      </w:r>
      <w:r w:rsidRPr="00687F2E">
        <w:rPr>
          <w:sz w:val="22"/>
        </w:rPr>
        <w:t>be published.</w:t>
      </w:r>
    </w:p>
    <w:p w:rsidR="00687F2E" w:rsidRDefault="00687F2E" w:rsidP="003A412A">
      <w:pPr>
        <w:tabs>
          <w:tab w:val="left" w:pos="360"/>
          <w:tab w:val="left" w:pos="720"/>
        </w:tabs>
        <w:ind w:left="360" w:hanging="360"/>
        <w:rPr>
          <w:sz w:val="22"/>
        </w:rPr>
      </w:pPr>
    </w:p>
    <w:p w:rsidR="00354A58" w:rsidRPr="00370633" w:rsidRDefault="00354A58" w:rsidP="003A412A">
      <w:pPr>
        <w:numPr>
          <w:ilvl w:val="1"/>
          <w:numId w:val="10"/>
        </w:numPr>
        <w:tabs>
          <w:tab w:val="left" w:pos="360"/>
          <w:tab w:val="left" w:pos="720"/>
        </w:tabs>
        <w:rPr>
          <w:bCs/>
          <w:sz w:val="22"/>
        </w:rPr>
      </w:pPr>
      <w:r w:rsidRPr="00370633">
        <w:rPr>
          <w:b/>
          <w:sz w:val="22"/>
        </w:rPr>
        <w:t>Display of the Expiration date for OMB Approval of the Information Collection</w:t>
      </w:r>
    </w:p>
    <w:p w:rsidR="00354A58" w:rsidRDefault="00354A58" w:rsidP="003A412A">
      <w:pPr>
        <w:tabs>
          <w:tab w:val="left" w:pos="0"/>
          <w:tab w:val="left" w:pos="720"/>
        </w:tabs>
        <w:rPr>
          <w:bCs/>
          <w:sz w:val="22"/>
        </w:rPr>
      </w:pPr>
      <w:r w:rsidRPr="00370633">
        <w:rPr>
          <w:bCs/>
          <w:sz w:val="22"/>
        </w:rPr>
        <w:t xml:space="preserve">The Office of </w:t>
      </w:r>
      <w:r w:rsidR="002D65A0" w:rsidRPr="00370633">
        <w:rPr>
          <w:bCs/>
          <w:sz w:val="22"/>
        </w:rPr>
        <w:t>Community Planning and Development</w:t>
      </w:r>
      <w:r w:rsidRPr="00370633">
        <w:rPr>
          <w:bCs/>
          <w:sz w:val="22"/>
        </w:rPr>
        <w:t xml:space="preserve"> is </w:t>
      </w:r>
      <w:r w:rsidRPr="00370633">
        <w:rPr>
          <w:bCs/>
          <w:sz w:val="22"/>
          <w:u w:val="single"/>
        </w:rPr>
        <w:t>not</w:t>
      </w:r>
      <w:r w:rsidRPr="00370633">
        <w:rPr>
          <w:bCs/>
          <w:sz w:val="22"/>
        </w:rPr>
        <w:t xml:space="preserve"> seeking to not display the expiration date for OMB approval of the information collection.</w:t>
      </w:r>
    </w:p>
    <w:p w:rsidR="00354A58" w:rsidRDefault="00354A58" w:rsidP="003A412A">
      <w:pPr>
        <w:tabs>
          <w:tab w:val="left" w:pos="360"/>
          <w:tab w:val="left" w:pos="720"/>
        </w:tabs>
        <w:ind w:left="360" w:hanging="360"/>
        <w:rPr>
          <w:sz w:val="22"/>
        </w:rPr>
      </w:pPr>
    </w:p>
    <w:p w:rsidR="00354A58" w:rsidRDefault="00354A58" w:rsidP="003A412A">
      <w:pPr>
        <w:numPr>
          <w:ilvl w:val="1"/>
          <w:numId w:val="10"/>
        </w:numPr>
        <w:tabs>
          <w:tab w:val="left" w:pos="360"/>
          <w:tab w:val="left" w:pos="720"/>
        </w:tabs>
        <w:rPr>
          <w:b/>
          <w:bCs/>
          <w:sz w:val="22"/>
        </w:rPr>
      </w:pPr>
      <w:r>
        <w:rPr>
          <w:b/>
          <w:bCs/>
          <w:sz w:val="22"/>
        </w:rPr>
        <w:t>Explanation of Each Exception to the Certification Statement</w:t>
      </w:r>
    </w:p>
    <w:p w:rsidR="00354A58" w:rsidRDefault="00354A58" w:rsidP="003A412A">
      <w:pPr>
        <w:pStyle w:val="BodyText3"/>
        <w:tabs>
          <w:tab w:val="clear" w:pos="1440"/>
          <w:tab w:val="clear" w:pos="2160"/>
          <w:tab w:val="clear" w:pos="2880"/>
          <w:tab w:val="clear" w:pos="3600"/>
          <w:tab w:val="clear" w:pos="4320"/>
        </w:tabs>
        <w:overflowPunct w:val="0"/>
        <w:spacing w:line="240" w:lineRule="auto"/>
        <w:textAlignment w:val="baseline"/>
      </w:pPr>
      <w:r>
        <w:t>No exceptions are made to the certification statement identified in item 19, “Certification for Paperwork Reduction Act Submissions,” of OMB Form 83-I.</w:t>
      </w:r>
    </w:p>
    <w:p w:rsidR="00354A58" w:rsidRPr="00687F2E" w:rsidRDefault="00354A58" w:rsidP="00687F2E">
      <w:pPr>
        <w:tabs>
          <w:tab w:val="left" w:pos="360"/>
        </w:tabs>
        <w:ind w:left="360" w:hanging="360"/>
        <w:rPr>
          <w:b/>
          <w:bCs/>
          <w:sz w:val="22"/>
        </w:rPr>
      </w:pPr>
      <w:r>
        <w:rPr>
          <w:b/>
          <w:bCs/>
          <w:sz w:val="22"/>
        </w:rPr>
        <w:t xml:space="preserve"> </w:t>
      </w:r>
    </w:p>
    <w:sectPr w:rsidR="00354A58" w:rsidRPr="00687F2E" w:rsidSect="00140DB2">
      <w:type w:val="continuous"/>
      <w:pgSz w:w="12240" w:h="15840"/>
      <w:pgMar w:top="480" w:right="720" w:bottom="480" w:left="600" w:header="480" w:footer="480" w:gutter="0"/>
      <w:cols w:space="480" w:equalWidth="0">
        <w:col w:w="10800"/>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DE7" w:rsidRDefault="004E7DE7">
      <w:r>
        <w:separator/>
      </w:r>
    </w:p>
  </w:endnote>
  <w:endnote w:type="continuationSeparator" w:id="0">
    <w:p w:rsidR="004E7DE7" w:rsidRDefault="004E7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550" w:rsidRDefault="00EE1550">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left w:val="single" w:sz="6" w:space="0" w:color="auto"/>
      </w:tblBorders>
      <w:tblLayout w:type="fixed"/>
      <w:tblLook w:val="0000" w:firstRow="0" w:lastRow="0" w:firstColumn="0" w:lastColumn="0" w:noHBand="0" w:noVBand="0"/>
    </w:tblPr>
    <w:tblGrid>
      <w:gridCol w:w="8388"/>
      <w:gridCol w:w="2748"/>
    </w:tblGrid>
    <w:tr w:rsidR="00EE1550">
      <w:tc>
        <w:tcPr>
          <w:tcW w:w="8388" w:type="dxa"/>
          <w:tcBorders>
            <w:top w:val="single" w:sz="6" w:space="0" w:color="auto"/>
            <w:left w:val="nil"/>
            <w:right w:val="single" w:sz="6" w:space="0" w:color="auto"/>
          </w:tcBorders>
        </w:tcPr>
        <w:p w:rsidR="00EE1550" w:rsidRDefault="00EE1550">
          <w:pPr>
            <w:pStyle w:val="Footer"/>
            <w:rPr>
              <w:rFonts w:ascii="Helvetica" w:hAnsi="Helvetica"/>
              <w:sz w:val="16"/>
            </w:rPr>
          </w:pPr>
          <w:r>
            <w:rPr>
              <w:rFonts w:ascii="Helvetica" w:hAnsi="Helvetica"/>
              <w:sz w:val="16"/>
            </w:rPr>
            <w:t>Signature of Senior Officer or Designee:</w:t>
          </w:r>
        </w:p>
        <w:p w:rsidR="00EE1550" w:rsidRDefault="00EE1550">
          <w:pPr>
            <w:pStyle w:val="Footer"/>
            <w:rPr>
              <w:rFonts w:ascii="Helvetica" w:hAnsi="Helvetica"/>
              <w:sz w:val="16"/>
            </w:rPr>
          </w:pPr>
        </w:p>
        <w:p w:rsidR="00EE1550" w:rsidRDefault="00EE1550">
          <w:pPr>
            <w:pStyle w:val="Footer"/>
            <w:rPr>
              <w:rFonts w:ascii="Helvetica" w:hAnsi="Helvetica"/>
              <w:sz w:val="16"/>
            </w:rPr>
          </w:pPr>
        </w:p>
        <w:p w:rsidR="00EE1550" w:rsidRDefault="00EE1550">
          <w:pPr>
            <w:pStyle w:val="Footer"/>
            <w:rPr>
              <w:rFonts w:ascii="Helvetica" w:hAnsi="Helvetica"/>
              <w:sz w:val="16"/>
            </w:rPr>
          </w:pPr>
          <w:r>
            <w:rPr>
              <w:rFonts w:ascii="Helvetica" w:hAnsi="Helvetica"/>
              <w:sz w:val="16"/>
            </w:rPr>
            <w:t>X</w:t>
          </w:r>
        </w:p>
        <w:p w:rsidR="00EE1550" w:rsidRDefault="00620A4E">
          <w:pPr>
            <w:pStyle w:val="Footer"/>
            <w:rPr>
              <w:rFonts w:ascii="Helvetica" w:hAnsi="Helvetica"/>
              <w:sz w:val="16"/>
            </w:rPr>
          </w:pPr>
          <w:r>
            <w:rPr>
              <w:rFonts w:ascii="Helvetica" w:hAnsi="Helvetica"/>
              <w:sz w:val="16"/>
            </w:rPr>
            <w:t>Colette Pollard</w:t>
          </w:r>
          <w:r w:rsidR="00EE1550">
            <w:rPr>
              <w:rFonts w:ascii="Helvetica" w:hAnsi="Helvetica"/>
              <w:sz w:val="16"/>
            </w:rPr>
            <w:t>, Departmental Reports Management Officer,</w:t>
          </w:r>
        </w:p>
        <w:p w:rsidR="00EE1550" w:rsidRDefault="00EE1550">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rsidR="00EE1550" w:rsidRDefault="00EE1550">
          <w:pPr>
            <w:pStyle w:val="Footer"/>
            <w:rPr>
              <w:rFonts w:ascii="Helvetica" w:hAnsi="Helvetica"/>
              <w:sz w:val="16"/>
            </w:rPr>
          </w:pPr>
          <w:r>
            <w:rPr>
              <w:rFonts w:ascii="Helvetica" w:hAnsi="Helvetica"/>
              <w:sz w:val="16"/>
            </w:rPr>
            <w:t xml:space="preserve">Date: </w:t>
          </w:r>
        </w:p>
      </w:tc>
    </w:tr>
  </w:tbl>
  <w:p w:rsidR="00EE1550" w:rsidRDefault="00EE1550">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DE7" w:rsidRDefault="004E7DE7">
      <w:r>
        <w:separator/>
      </w:r>
    </w:p>
  </w:footnote>
  <w:footnote w:type="continuationSeparator" w:id="0">
    <w:p w:rsidR="004E7DE7" w:rsidRDefault="004E7D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550" w:rsidRDefault="00EE15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F6C51A0"/>
    <w:multiLevelType w:val="multilevel"/>
    <w:tmpl w:val="A530D354"/>
    <w:lvl w:ilvl="0">
      <w:start w:val="1"/>
      <w:numFmt w:val="upperLetter"/>
      <w:lvlText w:val="%1."/>
      <w:lvlJc w:val="left"/>
      <w:pPr>
        <w:tabs>
          <w:tab w:val="num" w:pos="720"/>
        </w:tabs>
        <w:ind w:left="720" w:hanging="360"/>
      </w:pPr>
      <w:rPr>
        <w:rFonts w:hint="default"/>
        <w:b/>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19B55E58"/>
    <w:multiLevelType w:val="hybridMultilevel"/>
    <w:tmpl w:val="546E9A2C"/>
    <w:lvl w:ilvl="0" w:tplc="D848F46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2D95A1F"/>
    <w:multiLevelType w:val="hybridMultilevel"/>
    <w:tmpl w:val="E370F53A"/>
    <w:lvl w:ilvl="0" w:tplc="64686B86">
      <w:start w:val="1"/>
      <w:numFmt w:val="decimal"/>
      <w:lvlText w:val="(%1)"/>
      <w:lvlJc w:val="left"/>
      <w:pPr>
        <w:ind w:left="1080" w:hanging="360"/>
      </w:pPr>
      <w:rPr>
        <w:rFonts w:hint="default"/>
      </w:rPr>
    </w:lvl>
    <w:lvl w:ilvl="1" w:tplc="3B86E244">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7">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BB85EA0"/>
    <w:multiLevelType w:val="multilevel"/>
    <w:tmpl w:val="85D81546"/>
    <w:lvl w:ilvl="0">
      <w:start w:val="1"/>
      <w:numFmt w:val="upperLetter"/>
      <w:pStyle w:val="Heading2"/>
      <w:suff w:val="space"/>
      <w:lvlText w:val="%1."/>
      <w:lvlJc w:val="left"/>
      <w:pPr>
        <w:ind w:left="1080" w:firstLine="0"/>
      </w:pPr>
      <w:rPr>
        <w:rFonts w:ascii="Times New Roman" w:hAnsi="Times New Roman" w:hint="default"/>
        <w:b w:val="0"/>
        <w:i w:val="0"/>
        <w:sz w:val="24"/>
      </w:rPr>
    </w:lvl>
    <w:lvl w:ilvl="1">
      <w:start w:val="1"/>
      <w:numFmt w:val="decimal"/>
      <w:suff w:val="space"/>
      <w:lvlText w:val="%2."/>
      <w:lvlJc w:val="left"/>
      <w:pPr>
        <w:ind w:left="0" w:firstLine="0"/>
      </w:pPr>
      <w:rPr>
        <w:rFonts w:ascii="Times New Roman" w:hAnsi="Times New Roman" w:hint="default"/>
        <w:b/>
        <w:i w:val="0"/>
        <w:sz w:val="24"/>
      </w:rPr>
    </w:lvl>
    <w:lvl w:ilvl="2">
      <w:start w:val="4"/>
      <w:numFmt w:val="decimal"/>
      <w:suff w:val="space"/>
      <w:lvlText w:val="%3."/>
      <w:lvlJc w:val="left"/>
      <w:pPr>
        <w:ind w:left="0" w:firstLine="0"/>
      </w:pPr>
      <w:rPr>
        <w:rFonts w:ascii="Times New Roman" w:hAnsi="Times New Roman" w:hint="default"/>
        <w:b w:val="0"/>
        <w:i w:val="0"/>
        <w:sz w:val="24"/>
      </w:rPr>
    </w:lvl>
    <w:lvl w:ilvl="3">
      <w:start w:val="1"/>
      <w:numFmt w:val="lowerLetter"/>
      <w:suff w:val="space"/>
      <w:lvlText w:val="%4."/>
      <w:lvlJc w:val="left"/>
      <w:pPr>
        <w:ind w:left="0" w:firstLine="0"/>
      </w:pPr>
      <w:rPr>
        <w:rFonts w:ascii="Times New Roman" w:hAnsi="Times New Roman" w:hint="default"/>
        <w:b w:val="0"/>
        <w:i w:val="0"/>
        <w:sz w:val="24"/>
      </w:rPr>
    </w:lvl>
    <w:lvl w:ilvl="4">
      <w:start w:val="2"/>
      <w:numFmt w:val="decimal"/>
      <w:suff w:val="space"/>
      <w:lvlText w:val="(%5)"/>
      <w:lvlJc w:val="left"/>
      <w:pPr>
        <w:ind w:left="0" w:firstLine="720"/>
      </w:pPr>
      <w:rPr>
        <w:rFonts w:ascii="Times New Roman" w:hAnsi="Times New Roman" w:hint="default"/>
        <w:b w:val="0"/>
        <w:i w:val="0"/>
        <w:sz w:val="24"/>
      </w:rPr>
    </w:lvl>
    <w:lvl w:ilvl="5">
      <w:start w:val="1"/>
      <w:numFmt w:val="lowerLetter"/>
      <w:suff w:val="space"/>
      <w:lvlText w:val="(%6)"/>
      <w:lvlJc w:val="left"/>
      <w:pPr>
        <w:ind w:left="0" w:firstLine="720"/>
      </w:pPr>
      <w:rPr>
        <w:rFonts w:ascii="Times New Roman" w:hAnsi="Times New Roman" w:hint="default"/>
        <w:b w:val="0"/>
        <w:i w:val="0"/>
        <w:sz w:val="24"/>
      </w:rPr>
    </w:lvl>
    <w:lvl w:ilvl="6">
      <w:start w:val="1"/>
      <w:numFmt w:val="lowerRoman"/>
      <w:suff w:val="space"/>
      <w:lvlText w:val="(%7)"/>
      <w:lvlJc w:val="left"/>
      <w:pPr>
        <w:ind w:left="0" w:firstLine="720"/>
      </w:pPr>
      <w:rPr>
        <w:rFonts w:ascii="Times New Roman" w:hAnsi="Times New Roman" w:hint="default"/>
        <w:b w:val="0"/>
        <w:i w:val="0"/>
        <w:sz w:val="24"/>
      </w:rPr>
    </w:lvl>
    <w:lvl w:ilvl="7">
      <w:start w:val="1"/>
      <w:numFmt w:val="lowerLetter"/>
      <w:suff w:val="space"/>
      <w:lvlText w:val="%8."/>
      <w:lvlJc w:val="left"/>
      <w:pPr>
        <w:ind w:left="720" w:firstLine="1800"/>
      </w:pPr>
      <w:rPr>
        <w:rFonts w:hint="default"/>
      </w:rPr>
    </w:lvl>
    <w:lvl w:ilvl="8">
      <w:start w:val="1"/>
      <w:numFmt w:val="lowerRoman"/>
      <w:suff w:val="space"/>
      <w:lvlText w:val="%9."/>
      <w:lvlJc w:val="left"/>
      <w:pPr>
        <w:ind w:left="720" w:firstLine="2160"/>
      </w:pPr>
      <w:rPr>
        <w:rFonts w:hint="default"/>
      </w:rPr>
    </w:lvl>
  </w:abstractNum>
  <w:abstractNum w:abstractNumId="9">
    <w:nsid w:val="66547C0B"/>
    <w:multiLevelType w:val="hybridMultilevel"/>
    <w:tmpl w:val="A530D354"/>
    <w:lvl w:ilvl="0" w:tplc="8D4CFD90">
      <w:start w:val="1"/>
      <w:numFmt w:val="upperLetter"/>
      <w:lvlText w:val="%1."/>
      <w:lvlJc w:val="left"/>
      <w:pPr>
        <w:tabs>
          <w:tab w:val="num" w:pos="720"/>
        </w:tabs>
        <w:ind w:left="720" w:hanging="360"/>
      </w:pPr>
      <w:rPr>
        <w:rFonts w:hint="default"/>
        <w:b/>
      </w:rPr>
    </w:lvl>
    <w:lvl w:ilvl="1" w:tplc="FF50363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1">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2">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13">
    <w:nsid w:val="7B541093"/>
    <w:multiLevelType w:val="hybridMultilevel"/>
    <w:tmpl w:val="84F8B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2"/>
  </w:num>
  <w:num w:numId="3">
    <w:abstractNumId w:val="1"/>
  </w:num>
  <w:num w:numId="4">
    <w:abstractNumId w:val="11"/>
  </w:num>
  <w:num w:numId="5">
    <w:abstractNumId w:val="10"/>
  </w:num>
  <w:num w:numId="6">
    <w:abstractNumId w:val="10"/>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6"/>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7"/>
  </w:num>
  <w:num w:numId="10">
    <w:abstractNumId w:val="8"/>
  </w:num>
  <w:num w:numId="11">
    <w:abstractNumId w:val="9"/>
  </w:num>
  <w:num w:numId="12">
    <w:abstractNumId w:val="2"/>
  </w:num>
  <w:num w:numId="13">
    <w:abstractNumId w:val="8"/>
    <w:lvlOverride w:ilvl="0">
      <w:startOverride w:val="1"/>
    </w:lvlOverride>
    <w:lvlOverride w:ilvl="1">
      <w:startOverride w:val="1"/>
    </w:lvlOverride>
    <w:lvlOverride w:ilvl="2">
      <w:startOverride w:val="4"/>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45E"/>
    <w:rsid w:val="00017608"/>
    <w:rsid w:val="000202F5"/>
    <w:rsid w:val="0008367B"/>
    <w:rsid w:val="000908A1"/>
    <w:rsid w:val="00093392"/>
    <w:rsid w:val="000C42FC"/>
    <w:rsid w:val="000D0062"/>
    <w:rsid w:val="00140DB2"/>
    <w:rsid w:val="00143496"/>
    <w:rsid w:val="00145558"/>
    <w:rsid w:val="00154DE0"/>
    <w:rsid w:val="00162B56"/>
    <w:rsid w:val="00182D65"/>
    <w:rsid w:val="00194338"/>
    <w:rsid w:val="001B27B8"/>
    <w:rsid w:val="001B2F17"/>
    <w:rsid w:val="001F365B"/>
    <w:rsid w:val="001F6E57"/>
    <w:rsid w:val="00212DAD"/>
    <w:rsid w:val="00225A41"/>
    <w:rsid w:val="002372D6"/>
    <w:rsid w:val="00250493"/>
    <w:rsid w:val="0025368C"/>
    <w:rsid w:val="002723DC"/>
    <w:rsid w:val="00276746"/>
    <w:rsid w:val="00293EA6"/>
    <w:rsid w:val="00297959"/>
    <w:rsid w:val="002C281D"/>
    <w:rsid w:val="002C6439"/>
    <w:rsid w:val="002C71A6"/>
    <w:rsid w:val="002C7F10"/>
    <w:rsid w:val="002D65A0"/>
    <w:rsid w:val="002E67B1"/>
    <w:rsid w:val="002E745E"/>
    <w:rsid w:val="002F3A27"/>
    <w:rsid w:val="003248F2"/>
    <w:rsid w:val="00333599"/>
    <w:rsid w:val="00337EDD"/>
    <w:rsid w:val="00350E97"/>
    <w:rsid w:val="00352054"/>
    <w:rsid w:val="00354A58"/>
    <w:rsid w:val="00357D5E"/>
    <w:rsid w:val="00370633"/>
    <w:rsid w:val="00384F7F"/>
    <w:rsid w:val="003A3307"/>
    <w:rsid w:val="003A412A"/>
    <w:rsid w:val="003A6EE3"/>
    <w:rsid w:val="003C3A89"/>
    <w:rsid w:val="003D2B63"/>
    <w:rsid w:val="003F3CAA"/>
    <w:rsid w:val="00417A35"/>
    <w:rsid w:val="00436EB7"/>
    <w:rsid w:val="00437C99"/>
    <w:rsid w:val="004A1D04"/>
    <w:rsid w:val="004B437C"/>
    <w:rsid w:val="004C203E"/>
    <w:rsid w:val="004E7BBD"/>
    <w:rsid w:val="004E7DE7"/>
    <w:rsid w:val="0050389A"/>
    <w:rsid w:val="00521B6A"/>
    <w:rsid w:val="0052459D"/>
    <w:rsid w:val="00534029"/>
    <w:rsid w:val="005603FB"/>
    <w:rsid w:val="00561B75"/>
    <w:rsid w:val="00566485"/>
    <w:rsid w:val="0057390E"/>
    <w:rsid w:val="00583FA3"/>
    <w:rsid w:val="005B7006"/>
    <w:rsid w:val="005C1B55"/>
    <w:rsid w:val="005E2697"/>
    <w:rsid w:val="005E3551"/>
    <w:rsid w:val="005E5494"/>
    <w:rsid w:val="005F00EF"/>
    <w:rsid w:val="005F5D90"/>
    <w:rsid w:val="00611FB4"/>
    <w:rsid w:val="006152E6"/>
    <w:rsid w:val="00620A4E"/>
    <w:rsid w:val="0065312A"/>
    <w:rsid w:val="0066041B"/>
    <w:rsid w:val="0067207E"/>
    <w:rsid w:val="00681485"/>
    <w:rsid w:val="00684CC7"/>
    <w:rsid w:val="00687F2E"/>
    <w:rsid w:val="006A1F25"/>
    <w:rsid w:val="006D1BB4"/>
    <w:rsid w:val="006D3925"/>
    <w:rsid w:val="006D45BA"/>
    <w:rsid w:val="006E4AE6"/>
    <w:rsid w:val="00711139"/>
    <w:rsid w:val="00711A55"/>
    <w:rsid w:val="00727690"/>
    <w:rsid w:val="00737812"/>
    <w:rsid w:val="007753C0"/>
    <w:rsid w:val="00785688"/>
    <w:rsid w:val="007B4A0F"/>
    <w:rsid w:val="007C6916"/>
    <w:rsid w:val="007D72DC"/>
    <w:rsid w:val="007F1E8E"/>
    <w:rsid w:val="00810168"/>
    <w:rsid w:val="00837B85"/>
    <w:rsid w:val="0084584B"/>
    <w:rsid w:val="0086497C"/>
    <w:rsid w:val="0087264D"/>
    <w:rsid w:val="0087481C"/>
    <w:rsid w:val="008769F7"/>
    <w:rsid w:val="00890F22"/>
    <w:rsid w:val="00891707"/>
    <w:rsid w:val="008961B0"/>
    <w:rsid w:val="008A0F6D"/>
    <w:rsid w:val="008B33CD"/>
    <w:rsid w:val="008B631D"/>
    <w:rsid w:val="008D530D"/>
    <w:rsid w:val="008D77EF"/>
    <w:rsid w:val="008F0581"/>
    <w:rsid w:val="008F2416"/>
    <w:rsid w:val="0091386F"/>
    <w:rsid w:val="00945385"/>
    <w:rsid w:val="00982374"/>
    <w:rsid w:val="009A1F75"/>
    <w:rsid w:val="009A30EF"/>
    <w:rsid w:val="009A6261"/>
    <w:rsid w:val="009D0F09"/>
    <w:rsid w:val="009D1522"/>
    <w:rsid w:val="009E295F"/>
    <w:rsid w:val="009F3419"/>
    <w:rsid w:val="00A00BCF"/>
    <w:rsid w:val="00A14B86"/>
    <w:rsid w:val="00A16A4D"/>
    <w:rsid w:val="00A16B41"/>
    <w:rsid w:val="00A27C76"/>
    <w:rsid w:val="00A56F08"/>
    <w:rsid w:val="00A57FCA"/>
    <w:rsid w:val="00AE04C9"/>
    <w:rsid w:val="00AE162A"/>
    <w:rsid w:val="00B021D4"/>
    <w:rsid w:val="00B10184"/>
    <w:rsid w:val="00B139A5"/>
    <w:rsid w:val="00B40275"/>
    <w:rsid w:val="00B529B1"/>
    <w:rsid w:val="00B60778"/>
    <w:rsid w:val="00B66A98"/>
    <w:rsid w:val="00B87DB8"/>
    <w:rsid w:val="00BA6D99"/>
    <w:rsid w:val="00BC4702"/>
    <w:rsid w:val="00BD7827"/>
    <w:rsid w:val="00C15F04"/>
    <w:rsid w:val="00C34575"/>
    <w:rsid w:val="00C50CC5"/>
    <w:rsid w:val="00C5576E"/>
    <w:rsid w:val="00C61C69"/>
    <w:rsid w:val="00C63E76"/>
    <w:rsid w:val="00C6635E"/>
    <w:rsid w:val="00CD0C8E"/>
    <w:rsid w:val="00D2515B"/>
    <w:rsid w:val="00D5032C"/>
    <w:rsid w:val="00D53983"/>
    <w:rsid w:val="00D64A55"/>
    <w:rsid w:val="00D801DF"/>
    <w:rsid w:val="00DC23FE"/>
    <w:rsid w:val="00DC4B6D"/>
    <w:rsid w:val="00DC53AB"/>
    <w:rsid w:val="00DC7111"/>
    <w:rsid w:val="00DE39B6"/>
    <w:rsid w:val="00DF7475"/>
    <w:rsid w:val="00E24B39"/>
    <w:rsid w:val="00E851AA"/>
    <w:rsid w:val="00E85DA6"/>
    <w:rsid w:val="00E92915"/>
    <w:rsid w:val="00EA3E8C"/>
    <w:rsid w:val="00EA53BA"/>
    <w:rsid w:val="00EA5F98"/>
    <w:rsid w:val="00EC1755"/>
    <w:rsid w:val="00EE080C"/>
    <w:rsid w:val="00EE1550"/>
    <w:rsid w:val="00EF0DA8"/>
    <w:rsid w:val="00EF2BF1"/>
    <w:rsid w:val="00F00CCC"/>
    <w:rsid w:val="00F274BF"/>
    <w:rsid w:val="00F47DF3"/>
    <w:rsid w:val="00F543A0"/>
    <w:rsid w:val="00F56D5A"/>
    <w:rsid w:val="00F81DCC"/>
    <w:rsid w:val="00F854F3"/>
    <w:rsid w:val="00F97B4B"/>
    <w:rsid w:val="00FA1256"/>
    <w:rsid w:val="00FA22D8"/>
    <w:rsid w:val="00FB2F04"/>
    <w:rsid w:val="00FD2F6C"/>
    <w:rsid w:val="00FE1E54"/>
    <w:rsid w:val="00FE3243"/>
    <w:rsid w:val="00FF671F"/>
    <w:rsid w:val="00FF6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0DB2"/>
    <w:pPr>
      <w:overflowPunct w:val="0"/>
      <w:autoSpaceDE w:val="0"/>
      <w:autoSpaceDN w:val="0"/>
      <w:adjustRightInd w:val="0"/>
      <w:textAlignment w:val="baseline"/>
    </w:pPr>
  </w:style>
  <w:style w:type="paragraph" w:styleId="Heading1">
    <w:name w:val="heading 1"/>
    <w:basedOn w:val="Normal"/>
    <w:next w:val="Normal"/>
    <w:qFormat/>
    <w:rsid w:val="00140DB2"/>
    <w:pPr>
      <w:keepNext/>
      <w:keepLines/>
      <w:tabs>
        <w:tab w:val="left" w:pos="1320"/>
        <w:tab w:val="right" w:pos="4560"/>
        <w:tab w:val="right" w:pos="6240"/>
        <w:tab w:val="right" w:pos="7680"/>
        <w:tab w:val="right" w:pos="9120"/>
      </w:tabs>
      <w:outlineLvl w:val="0"/>
    </w:pPr>
    <w:rPr>
      <w:b/>
    </w:rPr>
  </w:style>
  <w:style w:type="paragraph" w:styleId="Heading2">
    <w:name w:val="heading 2"/>
    <w:basedOn w:val="Normal"/>
    <w:next w:val="Normal"/>
    <w:qFormat/>
    <w:rsid w:val="00140DB2"/>
    <w:pPr>
      <w:keepNext/>
      <w:numPr>
        <w:numId w:val="10"/>
      </w:numPr>
      <w:tabs>
        <w:tab w:val="left" w:pos="360"/>
      </w:tabs>
      <w:ind w:left="0"/>
      <w:outlineLvl w:val="1"/>
    </w:pPr>
    <w:rPr>
      <w:b/>
      <w:sz w:val="22"/>
    </w:rPr>
  </w:style>
  <w:style w:type="paragraph" w:styleId="Heading3">
    <w:name w:val="heading 3"/>
    <w:basedOn w:val="Normal"/>
    <w:next w:val="Normal"/>
    <w:qFormat/>
    <w:rsid w:val="00140DB2"/>
    <w:pPr>
      <w:keepNext/>
      <w:keepLines/>
      <w:tabs>
        <w:tab w:val="left" w:pos="1320"/>
        <w:tab w:val="center" w:pos="5280"/>
        <w:tab w:val="center" w:pos="6480"/>
        <w:tab w:val="center" w:pos="6960"/>
        <w:tab w:val="center" w:pos="7680"/>
        <w:tab w:val="center" w:pos="8760"/>
      </w:tabs>
      <w:outlineLvl w:val="2"/>
    </w:pPr>
    <w:rPr>
      <w:rFonts w:ascii="Arial" w:hAnsi="Arial"/>
      <w:b/>
      <w:sz w:val="16"/>
      <w:u w:val="single"/>
    </w:rPr>
  </w:style>
  <w:style w:type="paragraph" w:styleId="Heading4">
    <w:name w:val="heading 4"/>
    <w:basedOn w:val="Normal"/>
    <w:next w:val="Normal"/>
    <w:qFormat/>
    <w:rsid w:val="00140DB2"/>
    <w:pPr>
      <w:keepNext/>
      <w:outlineLvl w:val="3"/>
    </w:pPr>
    <w:rPr>
      <w:rFonts w:ascii="Helvetica" w:hAnsi="Helvetica"/>
      <w:b/>
      <w:bCs/>
      <w:color w:val="000000"/>
      <w:sz w:val="18"/>
      <w:szCs w:val="18"/>
    </w:rPr>
  </w:style>
  <w:style w:type="paragraph" w:styleId="Heading5">
    <w:name w:val="heading 5"/>
    <w:basedOn w:val="Normal"/>
    <w:next w:val="Normal"/>
    <w:qFormat/>
    <w:rsid w:val="00140DB2"/>
    <w:pPr>
      <w:keepNext/>
      <w:outlineLvl w:val="4"/>
    </w:pPr>
    <w:rPr>
      <w:rFonts w:ascii="Helvetica" w:hAnsi="Helvetica"/>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0DB2"/>
    <w:pPr>
      <w:tabs>
        <w:tab w:val="center" w:pos="4320"/>
        <w:tab w:val="right" w:pos="8640"/>
      </w:tabs>
    </w:pPr>
  </w:style>
  <w:style w:type="paragraph" w:styleId="Footer">
    <w:name w:val="footer"/>
    <w:basedOn w:val="Normal"/>
    <w:rsid w:val="00140DB2"/>
    <w:pPr>
      <w:tabs>
        <w:tab w:val="center" w:pos="4320"/>
        <w:tab w:val="right" w:pos="8640"/>
      </w:tabs>
    </w:pPr>
  </w:style>
  <w:style w:type="paragraph" w:styleId="BlockText">
    <w:name w:val="Block Text"/>
    <w:basedOn w:val="Normal"/>
    <w:rsid w:val="00140DB2"/>
    <w:pPr>
      <w:tabs>
        <w:tab w:val="left" w:pos="240"/>
      </w:tabs>
      <w:spacing w:after="60"/>
      <w:ind w:left="120" w:right="-120"/>
    </w:pPr>
    <w:rPr>
      <w:noProof/>
      <w:sz w:val="22"/>
    </w:rPr>
  </w:style>
  <w:style w:type="paragraph" w:styleId="BodyTextIndent">
    <w:name w:val="Body Text Indent"/>
    <w:basedOn w:val="Normal"/>
    <w:rsid w:val="00140DB2"/>
    <w:pPr>
      <w:tabs>
        <w:tab w:val="left" w:pos="360"/>
        <w:tab w:val="left" w:pos="840"/>
      </w:tabs>
      <w:ind w:left="360" w:hanging="360"/>
    </w:pPr>
    <w:rPr>
      <w:sz w:val="22"/>
    </w:rPr>
  </w:style>
  <w:style w:type="paragraph" w:styleId="BodyTextIndent2">
    <w:name w:val="Body Text Indent 2"/>
    <w:basedOn w:val="Normal"/>
    <w:rsid w:val="00140DB2"/>
    <w:pPr>
      <w:keepLines/>
      <w:tabs>
        <w:tab w:val="left" w:pos="360"/>
        <w:tab w:val="left" w:pos="840"/>
      </w:tabs>
      <w:ind w:left="360"/>
    </w:pPr>
    <w:rPr>
      <w:noProof/>
      <w:sz w:val="22"/>
    </w:rPr>
  </w:style>
  <w:style w:type="paragraph" w:styleId="BodyText">
    <w:name w:val="Body Text"/>
    <w:basedOn w:val="Normal"/>
    <w:rsid w:val="00140DB2"/>
  </w:style>
  <w:style w:type="paragraph" w:styleId="BodyText2">
    <w:name w:val="Body Text 2"/>
    <w:basedOn w:val="Normal"/>
    <w:rsid w:val="00140DB2"/>
    <w:pPr>
      <w:keepNext/>
      <w:keepLines/>
      <w:tabs>
        <w:tab w:val="left" w:pos="1320"/>
        <w:tab w:val="right" w:pos="4560"/>
        <w:tab w:val="right" w:pos="6240"/>
        <w:tab w:val="right" w:pos="7680"/>
        <w:tab w:val="right" w:pos="9120"/>
      </w:tabs>
    </w:pPr>
    <w:rPr>
      <w:b/>
    </w:rPr>
  </w:style>
  <w:style w:type="paragraph" w:styleId="BodyText3">
    <w:name w:val="Body Text 3"/>
    <w:basedOn w:val="Normal"/>
    <w:rsid w:val="00140DB2"/>
    <w:pPr>
      <w:tabs>
        <w:tab w:val="left" w:pos="0"/>
        <w:tab w:val="left" w:pos="720"/>
        <w:tab w:val="left" w:pos="1440"/>
        <w:tab w:val="left" w:pos="2160"/>
        <w:tab w:val="left" w:pos="2880"/>
        <w:tab w:val="left" w:pos="3600"/>
        <w:tab w:val="left" w:pos="4320"/>
      </w:tabs>
      <w:overflowPunct/>
      <w:spacing w:line="240" w:lineRule="atLeast"/>
      <w:textAlignment w:val="auto"/>
    </w:pPr>
    <w:rPr>
      <w:sz w:val="22"/>
    </w:rPr>
  </w:style>
  <w:style w:type="paragraph" w:styleId="BodyTextIndent3">
    <w:name w:val="Body Text Indent 3"/>
    <w:basedOn w:val="Normal"/>
    <w:rsid w:val="00140DB2"/>
    <w:pPr>
      <w:tabs>
        <w:tab w:val="left" w:pos="360"/>
        <w:tab w:val="left" w:pos="840"/>
      </w:tabs>
      <w:ind w:left="360"/>
    </w:pPr>
  </w:style>
  <w:style w:type="character" w:styleId="Hyperlink">
    <w:name w:val="Hyperlink"/>
    <w:basedOn w:val="DefaultParagraphFont"/>
    <w:rsid w:val="00140DB2"/>
    <w:rPr>
      <w:color w:val="0000FF"/>
      <w:u w:val="single"/>
    </w:rPr>
  </w:style>
  <w:style w:type="character" w:styleId="FollowedHyperlink">
    <w:name w:val="FollowedHyperlink"/>
    <w:basedOn w:val="DefaultParagraphFont"/>
    <w:rsid w:val="00140DB2"/>
    <w:rPr>
      <w:color w:val="800080"/>
      <w:u w:val="single"/>
    </w:rPr>
  </w:style>
  <w:style w:type="paragraph" w:styleId="BalloonText">
    <w:name w:val="Balloon Text"/>
    <w:basedOn w:val="Normal"/>
    <w:link w:val="BalloonTextChar"/>
    <w:rsid w:val="002E67B1"/>
    <w:rPr>
      <w:rFonts w:ascii="Tahoma" w:hAnsi="Tahoma" w:cs="Tahoma"/>
      <w:sz w:val="16"/>
      <w:szCs w:val="16"/>
    </w:rPr>
  </w:style>
  <w:style w:type="character" w:customStyle="1" w:styleId="BalloonTextChar">
    <w:name w:val="Balloon Text Char"/>
    <w:basedOn w:val="DefaultParagraphFont"/>
    <w:link w:val="BalloonText"/>
    <w:rsid w:val="002E67B1"/>
    <w:rPr>
      <w:rFonts w:ascii="Tahoma" w:hAnsi="Tahoma" w:cs="Tahoma"/>
      <w:sz w:val="16"/>
      <w:szCs w:val="16"/>
    </w:rPr>
  </w:style>
  <w:style w:type="character" w:customStyle="1" w:styleId="apple-style-span">
    <w:name w:val="apple-style-span"/>
    <w:basedOn w:val="DefaultParagraphFont"/>
    <w:rsid w:val="00D64A55"/>
  </w:style>
  <w:style w:type="paragraph" w:styleId="ListParagraph">
    <w:name w:val="List Paragraph"/>
    <w:basedOn w:val="Normal"/>
    <w:uiPriority w:val="34"/>
    <w:qFormat/>
    <w:rsid w:val="00EF2BF1"/>
    <w:pPr>
      <w:ind w:left="720"/>
      <w:contextualSpacing/>
    </w:pPr>
  </w:style>
  <w:style w:type="paragraph" w:styleId="FootnoteText">
    <w:name w:val="footnote text"/>
    <w:basedOn w:val="Normal"/>
    <w:link w:val="FootnoteTextChar"/>
    <w:rsid w:val="00890F22"/>
  </w:style>
  <w:style w:type="character" w:customStyle="1" w:styleId="FootnoteTextChar">
    <w:name w:val="Footnote Text Char"/>
    <w:basedOn w:val="DefaultParagraphFont"/>
    <w:link w:val="FootnoteText"/>
    <w:rsid w:val="00890F22"/>
  </w:style>
  <w:style w:type="character" w:styleId="FootnoteReference">
    <w:name w:val="footnote reference"/>
    <w:basedOn w:val="DefaultParagraphFont"/>
    <w:rsid w:val="00890F22"/>
    <w:rPr>
      <w:vertAlign w:val="superscript"/>
    </w:rPr>
  </w:style>
  <w:style w:type="character" w:styleId="CommentReference">
    <w:name w:val="annotation reference"/>
    <w:basedOn w:val="DefaultParagraphFont"/>
    <w:rsid w:val="00FF671F"/>
    <w:rPr>
      <w:sz w:val="16"/>
      <w:szCs w:val="16"/>
    </w:rPr>
  </w:style>
  <w:style w:type="paragraph" w:styleId="CommentText">
    <w:name w:val="annotation text"/>
    <w:basedOn w:val="Normal"/>
    <w:link w:val="CommentTextChar"/>
    <w:rsid w:val="00FF671F"/>
  </w:style>
  <w:style w:type="character" w:customStyle="1" w:styleId="CommentTextChar">
    <w:name w:val="Comment Text Char"/>
    <w:basedOn w:val="DefaultParagraphFont"/>
    <w:link w:val="CommentText"/>
    <w:rsid w:val="00FF671F"/>
  </w:style>
  <w:style w:type="paragraph" w:styleId="CommentSubject">
    <w:name w:val="annotation subject"/>
    <w:basedOn w:val="CommentText"/>
    <w:next w:val="CommentText"/>
    <w:link w:val="CommentSubjectChar"/>
    <w:rsid w:val="00FF671F"/>
    <w:rPr>
      <w:b/>
      <w:bCs/>
    </w:rPr>
  </w:style>
  <w:style w:type="character" w:customStyle="1" w:styleId="CommentSubjectChar">
    <w:name w:val="Comment Subject Char"/>
    <w:basedOn w:val="CommentTextChar"/>
    <w:link w:val="CommentSubject"/>
    <w:rsid w:val="00FF671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0DB2"/>
    <w:pPr>
      <w:overflowPunct w:val="0"/>
      <w:autoSpaceDE w:val="0"/>
      <w:autoSpaceDN w:val="0"/>
      <w:adjustRightInd w:val="0"/>
      <w:textAlignment w:val="baseline"/>
    </w:pPr>
  </w:style>
  <w:style w:type="paragraph" w:styleId="Heading1">
    <w:name w:val="heading 1"/>
    <w:basedOn w:val="Normal"/>
    <w:next w:val="Normal"/>
    <w:qFormat/>
    <w:rsid w:val="00140DB2"/>
    <w:pPr>
      <w:keepNext/>
      <w:keepLines/>
      <w:tabs>
        <w:tab w:val="left" w:pos="1320"/>
        <w:tab w:val="right" w:pos="4560"/>
        <w:tab w:val="right" w:pos="6240"/>
        <w:tab w:val="right" w:pos="7680"/>
        <w:tab w:val="right" w:pos="9120"/>
      </w:tabs>
      <w:outlineLvl w:val="0"/>
    </w:pPr>
    <w:rPr>
      <w:b/>
    </w:rPr>
  </w:style>
  <w:style w:type="paragraph" w:styleId="Heading2">
    <w:name w:val="heading 2"/>
    <w:basedOn w:val="Normal"/>
    <w:next w:val="Normal"/>
    <w:qFormat/>
    <w:rsid w:val="00140DB2"/>
    <w:pPr>
      <w:keepNext/>
      <w:numPr>
        <w:numId w:val="10"/>
      </w:numPr>
      <w:tabs>
        <w:tab w:val="left" w:pos="360"/>
      </w:tabs>
      <w:ind w:left="0"/>
      <w:outlineLvl w:val="1"/>
    </w:pPr>
    <w:rPr>
      <w:b/>
      <w:sz w:val="22"/>
    </w:rPr>
  </w:style>
  <w:style w:type="paragraph" w:styleId="Heading3">
    <w:name w:val="heading 3"/>
    <w:basedOn w:val="Normal"/>
    <w:next w:val="Normal"/>
    <w:qFormat/>
    <w:rsid w:val="00140DB2"/>
    <w:pPr>
      <w:keepNext/>
      <w:keepLines/>
      <w:tabs>
        <w:tab w:val="left" w:pos="1320"/>
        <w:tab w:val="center" w:pos="5280"/>
        <w:tab w:val="center" w:pos="6480"/>
        <w:tab w:val="center" w:pos="6960"/>
        <w:tab w:val="center" w:pos="7680"/>
        <w:tab w:val="center" w:pos="8760"/>
      </w:tabs>
      <w:outlineLvl w:val="2"/>
    </w:pPr>
    <w:rPr>
      <w:rFonts w:ascii="Arial" w:hAnsi="Arial"/>
      <w:b/>
      <w:sz w:val="16"/>
      <w:u w:val="single"/>
    </w:rPr>
  </w:style>
  <w:style w:type="paragraph" w:styleId="Heading4">
    <w:name w:val="heading 4"/>
    <w:basedOn w:val="Normal"/>
    <w:next w:val="Normal"/>
    <w:qFormat/>
    <w:rsid w:val="00140DB2"/>
    <w:pPr>
      <w:keepNext/>
      <w:outlineLvl w:val="3"/>
    </w:pPr>
    <w:rPr>
      <w:rFonts w:ascii="Helvetica" w:hAnsi="Helvetica"/>
      <w:b/>
      <w:bCs/>
      <w:color w:val="000000"/>
      <w:sz w:val="18"/>
      <w:szCs w:val="18"/>
    </w:rPr>
  </w:style>
  <w:style w:type="paragraph" w:styleId="Heading5">
    <w:name w:val="heading 5"/>
    <w:basedOn w:val="Normal"/>
    <w:next w:val="Normal"/>
    <w:qFormat/>
    <w:rsid w:val="00140DB2"/>
    <w:pPr>
      <w:keepNext/>
      <w:outlineLvl w:val="4"/>
    </w:pPr>
    <w:rPr>
      <w:rFonts w:ascii="Helvetica" w:hAnsi="Helvetica"/>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0DB2"/>
    <w:pPr>
      <w:tabs>
        <w:tab w:val="center" w:pos="4320"/>
        <w:tab w:val="right" w:pos="8640"/>
      </w:tabs>
    </w:pPr>
  </w:style>
  <w:style w:type="paragraph" w:styleId="Footer">
    <w:name w:val="footer"/>
    <w:basedOn w:val="Normal"/>
    <w:rsid w:val="00140DB2"/>
    <w:pPr>
      <w:tabs>
        <w:tab w:val="center" w:pos="4320"/>
        <w:tab w:val="right" w:pos="8640"/>
      </w:tabs>
    </w:pPr>
  </w:style>
  <w:style w:type="paragraph" w:styleId="BlockText">
    <w:name w:val="Block Text"/>
    <w:basedOn w:val="Normal"/>
    <w:rsid w:val="00140DB2"/>
    <w:pPr>
      <w:tabs>
        <w:tab w:val="left" w:pos="240"/>
      </w:tabs>
      <w:spacing w:after="60"/>
      <w:ind w:left="120" w:right="-120"/>
    </w:pPr>
    <w:rPr>
      <w:noProof/>
      <w:sz w:val="22"/>
    </w:rPr>
  </w:style>
  <w:style w:type="paragraph" w:styleId="BodyTextIndent">
    <w:name w:val="Body Text Indent"/>
    <w:basedOn w:val="Normal"/>
    <w:rsid w:val="00140DB2"/>
    <w:pPr>
      <w:tabs>
        <w:tab w:val="left" w:pos="360"/>
        <w:tab w:val="left" w:pos="840"/>
      </w:tabs>
      <w:ind w:left="360" w:hanging="360"/>
    </w:pPr>
    <w:rPr>
      <w:sz w:val="22"/>
    </w:rPr>
  </w:style>
  <w:style w:type="paragraph" w:styleId="BodyTextIndent2">
    <w:name w:val="Body Text Indent 2"/>
    <w:basedOn w:val="Normal"/>
    <w:rsid w:val="00140DB2"/>
    <w:pPr>
      <w:keepLines/>
      <w:tabs>
        <w:tab w:val="left" w:pos="360"/>
        <w:tab w:val="left" w:pos="840"/>
      </w:tabs>
      <w:ind w:left="360"/>
    </w:pPr>
    <w:rPr>
      <w:noProof/>
      <w:sz w:val="22"/>
    </w:rPr>
  </w:style>
  <w:style w:type="paragraph" w:styleId="BodyText">
    <w:name w:val="Body Text"/>
    <w:basedOn w:val="Normal"/>
    <w:rsid w:val="00140DB2"/>
  </w:style>
  <w:style w:type="paragraph" w:styleId="BodyText2">
    <w:name w:val="Body Text 2"/>
    <w:basedOn w:val="Normal"/>
    <w:rsid w:val="00140DB2"/>
    <w:pPr>
      <w:keepNext/>
      <w:keepLines/>
      <w:tabs>
        <w:tab w:val="left" w:pos="1320"/>
        <w:tab w:val="right" w:pos="4560"/>
        <w:tab w:val="right" w:pos="6240"/>
        <w:tab w:val="right" w:pos="7680"/>
        <w:tab w:val="right" w:pos="9120"/>
      </w:tabs>
    </w:pPr>
    <w:rPr>
      <w:b/>
    </w:rPr>
  </w:style>
  <w:style w:type="paragraph" w:styleId="BodyText3">
    <w:name w:val="Body Text 3"/>
    <w:basedOn w:val="Normal"/>
    <w:rsid w:val="00140DB2"/>
    <w:pPr>
      <w:tabs>
        <w:tab w:val="left" w:pos="0"/>
        <w:tab w:val="left" w:pos="720"/>
        <w:tab w:val="left" w:pos="1440"/>
        <w:tab w:val="left" w:pos="2160"/>
        <w:tab w:val="left" w:pos="2880"/>
        <w:tab w:val="left" w:pos="3600"/>
        <w:tab w:val="left" w:pos="4320"/>
      </w:tabs>
      <w:overflowPunct/>
      <w:spacing w:line="240" w:lineRule="atLeast"/>
      <w:textAlignment w:val="auto"/>
    </w:pPr>
    <w:rPr>
      <w:sz w:val="22"/>
    </w:rPr>
  </w:style>
  <w:style w:type="paragraph" w:styleId="BodyTextIndent3">
    <w:name w:val="Body Text Indent 3"/>
    <w:basedOn w:val="Normal"/>
    <w:rsid w:val="00140DB2"/>
    <w:pPr>
      <w:tabs>
        <w:tab w:val="left" w:pos="360"/>
        <w:tab w:val="left" w:pos="840"/>
      </w:tabs>
      <w:ind w:left="360"/>
    </w:pPr>
  </w:style>
  <w:style w:type="character" w:styleId="Hyperlink">
    <w:name w:val="Hyperlink"/>
    <w:basedOn w:val="DefaultParagraphFont"/>
    <w:rsid w:val="00140DB2"/>
    <w:rPr>
      <w:color w:val="0000FF"/>
      <w:u w:val="single"/>
    </w:rPr>
  </w:style>
  <w:style w:type="character" w:styleId="FollowedHyperlink">
    <w:name w:val="FollowedHyperlink"/>
    <w:basedOn w:val="DefaultParagraphFont"/>
    <w:rsid w:val="00140DB2"/>
    <w:rPr>
      <w:color w:val="800080"/>
      <w:u w:val="single"/>
    </w:rPr>
  </w:style>
  <w:style w:type="paragraph" w:styleId="BalloonText">
    <w:name w:val="Balloon Text"/>
    <w:basedOn w:val="Normal"/>
    <w:link w:val="BalloonTextChar"/>
    <w:rsid w:val="002E67B1"/>
    <w:rPr>
      <w:rFonts w:ascii="Tahoma" w:hAnsi="Tahoma" w:cs="Tahoma"/>
      <w:sz w:val="16"/>
      <w:szCs w:val="16"/>
    </w:rPr>
  </w:style>
  <w:style w:type="character" w:customStyle="1" w:styleId="BalloonTextChar">
    <w:name w:val="Balloon Text Char"/>
    <w:basedOn w:val="DefaultParagraphFont"/>
    <w:link w:val="BalloonText"/>
    <w:rsid w:val="002E67B1"/>
    <w:rPr>
      <w:rFonts w:ascii="Tahoma" w:hAnsi="Tahoma" w:cs="Tahoma"/>
      <w:sz w:val="16"/>
      <w:szCs w:val="16"/>
    </w:rPr>
  </w:style>
  <w:style w:type="character" w:customStyle="1" w:styleId="apple-style-span">
    <w:name w:val="apple-style-span"/>
    <w:basedOn w:val="DefaultParagraphFont"/>
    <w:rsid w:val="00D64A55"/>
  </w:style>
  <w:style w:type="paragraph" w:styleId="ListParagraph">
    <w:name w:val="List Paragraph"/>
    <w:basedOn w:val="Normal"/>
    <w:uiPriority w:val="34"/>
    <w:qFormat/>
    <w:rsid w:val="00EF2BF1"/>
    <w:pPr>
      <w:ind w:left="720"/>
      <w:contextualSpacing/>
    </w:pPr>
  </w:style>
  <w:style w:type="paragraph" w:styleId="FootnoteText">
    <w:name w:val="footnote text"/>
    <w:basedOn w:val="Normal"/>
    <w:link w:val="FootnoteTextChar"/>
    <w:rsid w:val="00890F22"/>
  </w:style>
  <w:style w:type="character" w:customStyle="1" w:styleId="FootnoteTextChar">
    <w:name w:val="Footnote Text Char"/>
    <w:basedOn w:val="DefaultParagraphFont"/>
    <w:link w:val="FootnoteText"/>
    <w:rsid w:val="00890F22"/>
  </w:style>
  <w:style w:type="character" w:styleId="FootnoteReference">
    <w:name w:val="footnote reference"/>
    <w:basedOn w:val="DefaultParagraphFont"/>
    <w:rsid w:val="00890F22"/>
    <w:rPr>
      <w:vertAlign w:val="superscript"/>
    </w:rPr>
  </w:style>
  <w:style w:type="character" w:styleId="CommentReference">
    <w:name w:val="annotation reference"/>
    <w:basedOn w:val="DefaultParagraphFont"/>
    <w:rsid w:val="00FF671F"/>
    <w:rPr>
      <w:sz w:val="16"/>
      <w:szCs w:val="16"/>
    </w:rPr>
  </w:style>
  <w:style w:type="paragraph" w:styleId="CommentText">
    <w:name w:val="annotation text"/>
    <w:basedOn w:val="Normal"/>
    <w:link w:val="CommentTextChar"/>
    <w:rsid w:val="00FF671F"/>
  </w:style>
  <w:style w:type="character" w:customStyle="1" w:styleId="CommentTextChar">
    <w:name w:val="Comment Text Char"/>
    <w:basedOn w:val="DefaultParagraphFont"/>
    <w:link w:val="CommentText"/>
    <w:rsid w:val="00FF671F"/>
  </w:style>
  <w:style w:type="paragraph" w:styleId="CommentSubject">
    <w:name w:val="annotation subject"/>
    <w:basedOn w:val="CommentText"/>
    <w:next w:val="CommentText"/>
    <w:link w:val="CommentSubjectChar"/>
    <w:rsid w:val="00FF671F"/>
    <w:rPr>
      <w:b/>
      <w:bCs/>
    </w:rPr>
  </w:style>
  <w:style w:type="character" w:customStyle="1" w:styleId="CommentSubjectChar">
    <w:name w:val="Comment Subject Char"/>
    <w:basedOn w:val="CommentTextChar"/>
    <w:link w:val="CommentSubject"/>
    <w:rsid w:val="00FF67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93062">
      <w:bodyDiv w:val="1"/>
      <w:marLeft w:val="0"/>
      <w:marRight w:val="0"/>
      <w:marTop w:val="0"/>
      <w:marBottom w:val="0"/>
      <w:divBdr>
        <w:top w:val="none" w:sz="0" w:space="0" w:color="auto"/>
        <w:left w:val="none" w:sz="0" w:space="0" w:color="auto"/>
        <w:bottom w:val="none" w:sz="0" w:space="0" w:color="auto"/>
        <w:right w:val="none" w:sz="0" w:space="0" w:color="auto"/>
      </w:divBdr>
    </w:div>
    <w:div w:id="351348655">
      <w:bodyDiv w:val="1"/>
      <w:marLeft w:val="0"/>
      <w:marRight w:val="0"/>
      <w:marTop w:val="0"/>
      <w:marBottom w:val="0"/>
      <w:divBdr>
        <w:top w:val="none" w:sz="0" w:space="0" w:color="auto"/>
        <w:left w:val="none" w:sz="0" w:space="0" w:color="auto"/>
        <w:bottom w:val="none" w:sz="0" w:space="0" w:color="auto"/>
        <w:right w:val="none" w:sz="0" w:space="0" w:color="auto"/>
      </w:divBdr>
    </w:div>
    <w:div w:id="479156587">
      <w:bodyDiv w:val="1"/>
      <w:marLeft w:val="0"/>
      <w:marRight w:val="0"/>
      <w:marTop w:val="0"/>
      <w:marBottom w:val="0"/>
      <w:divBdr>
        <w:top w:val="none" w:sz="0" w:space="0" w:color="auto"/>
        <w:left w:val="none" w:sz="0" w:space="0" w:color="auto"/>
        <w:bottom w:val="none" w:sz="0" w:space="0" w:color="auto"/>
        <w:right w:val="none" w:sz="0" w:space="0" w:color="auto"/>
      </w:divBdr>
    </w:div>
    <w:div w:id="871842920">
      <w:bodyDiv w:val="1"/>
      <w:marLeft w:val="0"/>
      <w:marRight w:val="0"/>
      <w:marTop w:val="0"/>
      <w:marBottom w:val="0"/>
      <w:divBdr>
        <w:top w:val="none" w:sz="0" w:space="0" w:color="auto"/>
        <w:left w:val="none" w:sz="0" w:space="0" w:color="auto"/>
        <w:bottom w:val="none" w:sz="0" w:space="0" w:color="auto"/>
        <w:right w:val="none" w:sz="0" w:space="0" w:color="auto"/>
      </w:divBdr>
    </w:div>
    <w:div w:id="1271864013">
      <w:bodyDiv w:val="1"/>
      <w:marLeft w:val="0"/>
      <w:marRight w:val="0"/>
      <w:marTop w:val="0"/>
      <w:marBottom w:val="0"/>
      <w:divBdr>
        <w:top w:val="none" w:sz="0" w:space="0" w:color="auto"/>
        <w:left w:val="none" w:sz="0" w:space="0" w:color="auto"/>
        <w:bottom w:val="none" w:sz="0" w:space="0" w:color="auto"/>
        <w:right w:val="none" w:sz="0" w:space="0" w:color="auto"/>
      </w:divBdr>
    </w:div>
    <w:div w:id="1577327390">
      <w:bodyDiv w:val="1"/>
      <w:marLeft w:val="0"/>
      <w:marRight w:val="0"/>
      <w:marTop w:val="0"/>
      <w:marBottom w:val="0"/>
      <w:divBdr>
        <w:top w:val="none" w:sz="0" w:space="0" w:color="auto"/>
        <w:left w:val="none" w:sz="0" w:space="0" w:color="auto"/>
        <w:bottom w:val="none" w:sz="0" w:space="0" w:color="auto"/>
        <w:right w:val="none" w:sz="0" w:space="0" w:color="auto"/>
      </w:divBdr>
    </w:div>
    <w:div w:id="1863394411">
      <w:bodyDiv w:val="1"/>
      <w:marLeft w:val="0"/>
      <w:marRight w:val="0"/>
      <w:marTop w:val="0"/>
      <w:marBottom w:val="0"/>
      <w:divBdr>
        <w:top w:val="none" w:sz="0" w:space="0" w:color="auto"/>
        <w:left w:val="none" w:sz="0" w:space="0" w:color="auto"/>
        <w:bottom w:val="none" w:sz="0" w:space="0" w:color="auto"/>
        <w:right w:val="none" w:sz="0" w:space="0" w:color="auto"/>
      </w:divBdr>
    </w:div>
    <w:div w:id="201175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1D0AB-B696-40CF-BB9C-FEB4AF638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941</Words>
  <Characters>5367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6296</CharactersWithSpaces>
  <SharedDoc>false</SharedDoc>
  <HLinks>
    <vt:vector size="6" baseType="variant">
      <vt:variant>
        <vt:i4>3342389</vt:i4>
      </vt:variant>
      <vt:variant>
        <vt:i4>106</vt:i4>
      </vt:variant>
      <vt:variant>
        <vt:i4>0</vt:i4>
      </vt:variant>
      <vt:variant>
        <vt:i4>5</vt:i4>
      </vt:variant>
      <vt:variant>
        <vt:lpwstr>http://www.hud.gov/homeprogram/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Urnell Johnson-Spears</cp:lastModifiedBy>
  <cp:revision>2</cp:revision>
  <cp:lastPrinted>2014-12-05T17:16:00Z</cp:lastPrinted>
  <dcterms:created xsi:type="dcterms:W3CDTF">2014-12-22T17:40:00Z</dcterms:created>
  <dcterms:modified xsi:type="dcterms:W3CDTF">2014-12-22T17:40:00Z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1765889857</vt:i4>
  </property>
  <property fmtid="{D5CDD505-2E9C-101B-9397-08002B2CF9AE}" pid="3" name="_NewReviewCycle">
    <vt:lpwstr/>
  </property>
  <property fmtid="{D5CDD505-2E9C-101B-9397-08002B2CF9AE}" pid="4" name="_EmailSubject">
    <vt:lpwstr>PRA Request (Expenditure Deadline Waiver)</vt:lpwstr>
  </property>
  <property fmtid="{D5CDD505-2E9C-101B-9397-08002B2CF9AE}" pid="5" name="_AuthorEmail">
    <vt:lpwstr>Rhoda.M.Nicholson@hud.gov</vt:lpwstr>
  </property>
  <property fmtid="{D5CDD505-2E9C-101B-9397-08002B2CF9AE}" pid="6" name="_AuthorEmailDisplayName">
    <vt:lpwstr>Nicholson, Rhoda M</vt:lpwstr>
  </property>
  <property fmtid="{D5CDD505-2E9C-101B-9397-08002B2CF9AE}" pid="7" name="_PreviousAdHocReviewCycleID">
    <vt:i4>131182787</vt:i4>
  </property>
  <property fmtid="{D5CDD505-2E9C-101B-9397-08002B2CF9AE}" pid="8" name="_ReviewingToolsShownOnce">
    <vt:lpwstr/>
  </property>
</Properties>
</file>