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0" w:rsidRPr="005612EB" w:rsidRDefault="00470720">
      <w:pPr>
        <w:pStyle w:val="Title"/>
        <w:rPr>
          <w:rFonts w:ascii="Times New Roman" w:hAnsi="Times New Roman"/>
          <w:sz w:val="28"/>
          <w:szCs w:val="28"/>
          <w:u w:val="none"/>
        </w:rPr>
      </w:pPr>
      <w:r w:rsidRPr="005612EB">
        <w:rPr>
          <w:rFonts w:ascii="Times New Roman" w:hAnsi="Times New Roman"/>
          <w:sz w:val="28"/>
          <w:szCs w:val="28"/>
          <w:u w:val="none"/>
        </w:rPr>
        <w:t>Department</w:t>
      </w:r>
      <w:bookmarkStart w:id="0" w:name="_GoBack"/>
      <w:bookmarkEnd w:id="0"/>
      <w:r w:rsidRPr="005612EB">
        <w:rPr>
          <w:rFonts w:ascii="Times New Roman" w:hAnsi="Times New Roman"/>
          <w:sz w:val="28"/>
          <w:szCs w:val="28"/>
          <w:u w:val="none"/>
        </w:rPr>
        <w:t xml:space="preserve"> of Transportation</w:t>
      </w:r>
    </w:p>
    <w:p w:rsidR="00470720" w:rsidRPr="005612EB" w:rsidRDefault="00470720" w:rsidP="00407E96">
      <w:pPr>
        <w:pStyle w:val="Title"/>
        <w:outlineLvl w:val="0"/>
        <w:rPr>
          <w:rFonts w:ascii="Times New Roman" w:hAnsi="Times New Roman"/>
          <w:sz w:val="32"/>
          <w:szCs w:val="32"/>
        </w:rPr>
      </w:pPr>
      <w:r w:rsidRPr="005612EB">
        <w:rPr>
          <w:rFonts w:ascii="Times New Roman" w:hAnsi="Times New Roman"/>
          <w:sz w:val="28"/>
          <w:szCs w:val="28"/>
          <w:u w:val="none"/>
        </w:rPr>
        <w:t>Office of the Chief Information Officer</w:t>
      </w:r>
    </w:p>
    <w:p w:rsidR="00470720" w:rsidRPr="005612EB" w:rsidRDefault="00470720">
      <w:pPr>
        <w:pStyle w:val="Title"/>
        <w:rPr>
          <w:rFonts w:ascii="Times New Roman" w:hAnsi="Times New Roman"/>
        </w:rPr>
      </w:pPr>
    </w:p>
    <w:p w:rsidR="00470720" w:rsidRPr="005612EB" w:rsidRDefault="00470720">
      <w:pPr>
        <w:pStyle w:val="Title"/>
        <w:rPr>
          <w:rFonts w:ascii="Times New Roman" w:hAnsi="Times New Roman"/>
        </w:rPr>
      </w:pPr>
    </w:p>
    <w:p w:rsidR="0004749E" w:rsidRPr="005612EB" w:rsidRDefault="0004749E" w:rsidP="00407E96">
      <w:pPr>
        <w:pStyle w:val="Title"/>
        <w:outlineLvl w:val="0"/>
        <w:rPr>
          <w:rFonts w:ascii="Times New Roman" w:hAnsi="Times New Roman"/>
        </w:rPr>
      </w:pPr>
      <w:r w:rsidRPr="005612EB">
        <w:rPr>
          <w:rFonts w:ascii="Times New Roman" w:hAnsi="Times New Roman"/>
        </w:rPr>
        <w:t>SUPPORTING STATEMENT</w:t>
      </w:r>
    </w:p>
    <w:p w:rsidR="002F6FE2" w:rsidRDefault="002F6FE2">
      <w:pPr>
        <w:pStyle w:val="Title"/>
        <w:rPr>
          <w:rFonts w:ascii="Times New Roman" w:hAnsi="Times New Roman"/>
          <w:color w:val="FF0000"/>
          <w:u w:val="none"/>
        </w:rPr>
      </w:pPr>
    </w:p>
    <w:p w:rsidR="0004749E" w:rsidRPr="002F6FE2" w:rsidRDefault="000238A2">
      <w:pPr>
        <w:pStyle w:val="Title"/>
        <w:rPr>
          <w:rFonts w:ascii="Times New Roman" w:hAnsi="Times New Roman"/>
          <w:u w:val="none"/>
        </w:rPr>
      </w:pPr>
      <w:r w:rsidRPr="002F6FE2">
        <w:rPr>
          <w:rFonts w:ascii="Times New Roman" w:hAnsi="Times New Roman"/>
          <w:u w:val="none"/>
        </w:rPr>
        <w:t>Movement of Household Goods: Customer Satisfaction In-Depth Interviews</w:t>
      </w:r>
    </w:p>
    <w:p w:rsidR="0004749E" w:rsidRPr="005612EB" w:rsidRDefault="0004749E">
      <w:pPr>
        <w:rPr>
          <w:rFonts w:ascii="Times New Roman" w:hAnsi="Times New Roman"/>
          <w:b/>
          <w:bCs/>
          <w:sz w:val="24"/>
          <w:szCs w:val="24"/>
        </w:rPr>
      </w:pPr>
    </w:p>
    <w:p w:rsidR="00105F8E" w:rsidRPr="005612EB" w:rsidRDefault="00105F8E">
      <w:pPr>
        <w:rPr>
          <w:rFonts w:ascii="Times New Roman" w:hAnsi="Times New Roman"/>
          <w:b/>
          <w:bCs/>
          <w:sz w:val="24"/>
          <w:szCs w:val="24"/>
        </w:rPr>
      </w:pPr>
    </w:p>
    <w:p w:rsidR="0004749E" w:rsidRPr="005612EB" w:rsidRDefault="0004749E" w:rsidP="00407E96">
      <w:pPr>
        <w:pStyle w:val="Subtitle"/>
        <w:outlineLvl w:val="0"/>
        <w:rPr>
          <w:rFonts w:ascii="Times New Roman" w:hAnsi="Times New Roman"/>
        </w:rPr>
      </w:pPr>
      <w:r w:rsidRPr="005612EB">
        <w:rPr>
          <w:rFonts w:ascii="Times New Roman" w:hAnsi="Times New Roman"/>
        </w:rPr>
        <w:t>INTRODUCTION</w:t>
      </w:r>
    </w:p>
    <w:p w:rsidR="0004749E" w:rsidRPr="005612EB" w:rsidRDefault="0004749E">
      <w:pPr>
        <w:rPr>
          <w:rFonts w:ascii="Times New Roman" w:hAnsi="Times New Roman"/>
          <w:b/>
          <w:bCs/>
          <w:sz w:val="24"/>
          <w:szCs w:val="24"/>
        </w:rPr>
      </w:pPr>
    </w:p>
    <w:p w:rsidR="0004749E" w:rsidRPr="002F6FE2" w:rsidRDefault="0004749E">
      <w:pPr>
        <w:rPr>
          <w:rFonts w:ascii="Times New Roman" w:hAnsi="Times New Roman"/>
          <w:sz w:val="24"/>
          <w:szCs w:val="24"/>
        </w:rPr>
      </w:pPr>
      <w:r w:rsidRPr="002F6FE2">
        <w:rPr>
          <w:rFonts w:ascii="Times New Roman" w:hAnsi="Times New Roman"/>
          <w:sz w:val="24"/>
          <w:szCs w:val="24"/>
        </w:rPr>
        <w:t xml:space="preserve">This is to request the Office of Management and Budget’s (OMB) </w:t>
      </w:r>
      <w:r w:rsidR="005E6293">
        <w:rPr>
          <w:rFonts w:ascii="Times New Roman" w:hAnsi="Times New Roman"/>
          <w:sz w:val="24"/>
          <w:szCs w:val="24"/>
        </w:rPr>
        <w:t>approval</w:t>
      </w:r>
      <w:r w:rsidRPr="002F6FE2">
        <w:rPr>
          <w:rFonts w:ascii="Times New Roman" w:hAnsi="Times New Roman"/>
          <w:sz w:val="24"/>
          <w:szCs w:val="24"/>
        </w:rPr>
        <w:t xml:space="preserve"> for </w:t>
      </w:r>
      <w:r w:rsidR="002F6FE2">
        <w:rPr>
          <w:rFonts w:ascii="Times New Roman" w:hAnsi="Times New Roman"/>
          <w:sz w:val="24"/>
          <w:szCs w:val="24"/>
        </w:rPr>
        <w:t xml:space="preserve">a one-time </w:t>
      </w:r>
      <w:r w:rsidRPr="002F6FE2">
        <w:rPr>
          <w:rFonts w:ascii="Times New Roman" w:hAnsi="Times New Roman"/>
          <w:sz w:val="24"/>
          <w:szCs w:val="24"/>
        </w:rPr>
        <w:t xml:space="preserve">information collection </w:t>
      </w:r>
      <w:r w:rsidR="00962FFC" w:rsidRPr="002F6FE2">
        <w:rPr>
          <w:rFonts w:ascii="Times New Roman" w:hAnsi="Times New Roman"/>
          <w:sz w:val="24"/>
          <w:szCs w:val="24"/>
        </w:rPr>
        <w:t>entitled</w:t>
      </w:r>
      <w:r w:rsidR="00962FFC">
        <w:rPr>
          <w:rFonts w:ascii="Times New Roman" w:hAnsi="Times New Roman"/>
          <w:sz w:val="24"/>
          <w:szCs w:val="24"/>
        </w:rPr>
        <w:t xml:space="preserve"> “Movement</w:t>
      </w:r>
      <w:r w:rsidR="000238A2" w:rsidRPr="002F6FE2">
        <w:rPr>
          <w:rFonts w:ascii="Times New Roman" w:hAnsi="Times New Roman"/>
          <w:sz w:val="24"/>
          <w:szCs w:val="24"/>
        </w:rPr>
        <w:t xml:space="preserve"> of Household Goods</w:t>
      </w:r>
      <w:r w:rsidR="002F6FE2">
        <w:rPr>
          <w:rFonts w:ascii="Times New Roman" w:hAnsi="Times New Roman"/>
          <w:sz w:val="24"/>
          <w:szCs w:val="24"/>
        </w:rPr>
        <w:t>: Customer Satisfaction In-Depth Interviews</w:t>
      </w:r>
      <w:r w:rsidR="00331564">
        <w:rPr>
          <w:rFonts w:ascii="Times New Roman" w:hAnsi="Times New Roman"/>
          <w:sz w:val="24"/>
          <w:szCs w:val="24"/>
        </w:rPr>
        <w:t>,</w:t>
      </w:r>
      <w:r w:rsidR="005E6293">
        <w:rPr>
          <w:rFonts w:ascii="Times New Roman" w:hAnsi="Times New Roman"/>
          <w:sz w:val="24"/>
          <w:szCs w:val="24"/>
        </w:rPr>
        <w:t>”</w:t>
      </w:r>
      <w:r w:rsidR="00331564">
        <w:rPr>
          <w:rFonts w:ascii="Times New Roman" w:hAnsi="Times New Roman"/>
          <w:sz w:val="24"/>
          <w:szCs w:val="24"/>
        </w:rPr>
        <w:t xml:space="preserve"> under the OMB Control Number 2126-0061, “Generic Clearance of Customer Satisfaction Surveys,” information collection request (ICR).</w:t>
      </w:r>
    </w:p>
    <w:p w:rsidR="002F6FE2" w:rsidRPr="005612EB" w:rsidRDefault="002F6FE2">
      <w:pPr>
        <w:rPr>
          <w:rFonts w:ascii="Times New Roman" w:hAnsi="Times New Roman"/>
          <w:b/>
          <w:bCs/>
          <w:sz w:val="24"/>
          <w:szCs w:val="24"/>
        </w:rPr>
      </w:pPr>
    </w:p>
    <w:p w:rsidR="0004749E" w:rsidRPr="005612EB" w:rsidRDefault="0004749E" w:rsidP="00F77AAC">
      <w:pPr>
        <w:tabs>
          <w:tab w:val="left" w:pos="-1440"/>
          <w:tab w:val="left" w:pos="-720"/>
        </w:tabs>
        <w:outlineLvl w:val="0"/>
        <w:rPr>
          <w:rFonts w:ascii="Times New Roman" w:hAnsi="Times New Roman"/>
          <w:b/>
          <w:bCs/>
          <w:sz w:val="24"/>
          <w:szCs w:val="24"/>
        </w:rPr>
      </w:pPr>
      <w:r w:rsidRPr="005612EB">
        <w:rPr>
          <w:rFonts w:ascii="Times New Roman" w:hAnsi="Times New Roman"/>
          <w:b/>
          <w:bCs/>
          <w:sz w:val="24"/>
          <w:u w:val="single"/>
        </w:rPr>
        <w:t>Part A. Justification</w:t>
      </w:r>
    </w:p>
    <w:p w:rsidR="00F67F51" w:rsidRDefault="00F67F51" w:rsidP="00F67F51">
      <w:pPr>
        <w:tabs>
          <w:tab w:val="left" w:pos="360"/>
        </w:tabs>
        <w:rPr>
          <w:rFonts w:ascii="Times New Roman" w:hAnsi="Times New Roman"/>
          <w:b/>
          <w:bCs/>
          <w:sz w:val="24"/>
          <w:szCs w:val="24"/>
        </w:rPr>
      </w:pPr>
    </w:p>
    <w:p w:rsidR="00C26C9B" w:rsidRPr="00F67F51" w:rsidRDefault="00C14920" w:rsidP="00F67F51">
      <w:pPr>
        <w:pStyle w:val="ListParagraph"/>
        <w:numPr>
          <w:ilvl w:val="0"/>
          <w:numId w:val="40"/>
        </w:numPr>
        <w:tabs>
          <w:tab w:val="left" w:pos="360"/>
        </w:tabs>
        <w:rPr>
          <w:rFonts w:ascii="Times New Roman" w:hAnsi="Times New Roman"/>
          <w:sz w:val="24"/>
          <w:szCs w:val="22"/>
        </w:rPr>
      </w:pPr>
      <w:r w:rsidRPr="00F67F51">
        <w:rPr>
          <w:rFonts w:ascii="Times New Roman" w:hAnsi="Times New Roman"/>
          <w:b/>
          <w:bCs/>
          <w:sz w:val="24"/>
          <w:szCs w:val="24"/>
        </w:rPr>
        <w:t>CIRCUMSTANCES THAT MAKE THE COLLECTION OF INFORMATION NECESSARY</w:t>
      </w:r>
      <w:r w:rsidRPr="00F67F51">
        <w:rPr>
          <w:rFonts w:ascii="Times New Roman" w:hAnsi="Times New Roman"/>
          <w:b/>
          <w:bCs/>
          <w:sz w:val="24"/>
          <w:szCs w:val="24"/>
        </w:rPr>
        <w:br/>
      </w:r>
      <w:r w:rsidR="0004749E" w:rsidRPr="00F67F51">
        <w:rPr>
          <w:rFonts w:ascii="Times New Roman" w:hAnsi="Times New Roman"/>
          <w:i/>
          <w:sz w:val="24"/>
        </w:rPr>
        <w:br/>
      </w:r>
      <w:r w:rsidR="00C26C9B" w:rsidRPr="00F67F51">
        <w:rPr>
          <w:rFonts w:ascii="Times New Roman" w:hAnsi="Times New Roman"/>
          <w:sz w:val="24"/>
          <w:szCs w:val="22"/>
        </w:rPr>
        <w:t xml:space="preserve">Executive Order 12862, “Setting Customer Service Standards,” September 11, 1993 (Attachment A) directs Federal agencies to provide service to the public that matches or exceeds the best service available in the private sector. In order to work continuously to ensure that our programs are effective and meet our customers’ needs, the Federal Motor Carrier Safety Administration (FMCSA) seeks to obtain OMB approval of a generic clearance to collect feedback on our service delivery. </w:t>
      </w:r>
    </w:p>
    <w:p w:rsidR="00C26C9B" w:rsidRDefault="00C26C9B" w:rsidP="00C26C9B">
      <w:pPr>
        <w:tabs>
          <w:tab w:val="left" w:pos="-1440"/>
          <w:tab w:val="left" w:pos="-720"/>
        </w:tabs>
        <w:ind w:left="360"/>
        <w:rPr>
          <w:rFonts w:ascii="Times New Roman" w:hAnsi="Times New Roman"/>
          <w:sz w:val="24"/>
        </w:rPr>
      </w:pPr>
    </w:p>
    <w:p w:rsidR="00243688" w:rsidRPr="002F6FE2" w:rsidRDefault="000238A2" w:rsidP="00C26C9B">
      <w:pPr>
        <w:tabs>
          <w:tab w:val="left" w:pos="-1440"/>
          <w:tab w:val="left" w:pos="-720"/>
        </w:tabs>
        <w:ind w:left="360"/>
        <w:rPr>
          <w:rFonts w:ascii="Times New Roman" w:hAnsi="Times New Roman"/>
          <w:sz w:val="24"/>
        </w:rPr>
      </w:pPr>
      <w:r w:rsidRPr="002F6FE2">
        <w:rPr>
          <w:rFonts w:ascii="Times New Roman" w:hAnsi="Times New Roman"/>
          <w:sz w:val="24"/>
        </w:rPr>
        <w:t xml:space="preserve">Utilizing in-depth interviews with consumers, the </w:t>
      </w:r>
      <w:r w:rsidR="00243688" w:rsidRPr="002F6FE2">
        <w:rPr>
          <w:rFonts w:ascii="Times New Roman" w:hAnsi="Times New Roman"/>
          <w:sz w:val="24"/>
        </w:rPr>
        <w:t>FMCSA seeks to identify what consumers think of FMCSA communications, why they hold those specific thoughts and how FMCSA can utilize the findings to better communicate with its target audience. Because this highly specific information does not exist anywhere else, it is necessary to conduct primary research to gain these insights.</w:t>
      </w:r>
      <w:r w:rsidR="00DE52E4">
        <w:rPr>
          <w:rFonts w:ascii="Times New Roman" w:hAnsi="Times New Roman"/>
          <w:sz w:val="24"/>
        </w:rPr>
        <w:t xml:space="preserve"> FMCSA’s authority to regulate household goods transportation is found in 49 CFR 1.86.</w:t>
      </w:r>
    </w:p>
    <w:p w:rsidR="00243688" w:rsidRDefault="00243688" w:rsidP="00D52811">
      <w:pPr>
        <w:ind w:left="360"/>
        <w:rPr>
          <w:rFonts w:ascii="Times New Roman" w:hAnsi="Times New Roman"/>
          <w:sz w:val="24"/>
        </w:rPr>
      </w:pPr>
    </w:p>
    <w:p w:rsidR="000238A2" w:rsidRDefault="00243688" w:rsidP="00D52811">
      <w:pPr>
        <w:ind w:left="360"/>
        <w:rPr>
          <w:rFonts w:ascii="Times New Roman" w:hAnsi="Times New Roman"/>
          <w:sz w:val="24"/>
        </w:rPr>
      </w:pPr>
      <w:r>
        <w:rPr>
          <w:rFonts w:ascii="Times New Roman" w:hAnsi="Times New Roman"/>
          <w:sz w:val="24"/>
        </w:rPr>
        <w:t>A key part of FMCSA’s mission is to educate consumers on the process of interstate moving and avoiding mover fraud. By improving communication to its key target audience (consumers), FMCSA, will be in a position to maximize its strategic outreach to ensure</w:t>
      </w:r>
      <w:r w:rsidR="002F6FE2">
        <w:rPr>
          <w:rFonts w:ascii="Times New Roman" w:hAnsi="Times New Roman"/>
          <w:sz w:val="24"/>
        </w:rPr>
        <w:t xml:space="preserve"> the message is</w:t>
      </w:r>
      <w:r>
        <w:rPr>
          <w:rFonts w:ascii="Times New Roman" w:hAnsi="Times New Roman"/>
          <w:sz w:val="24"/>
        </w:rPr>
        <w:t xml:space="preserve"> heard and understood by consumers and its mission is more fully achieved. As a result, this information collection supports the agency’s goal of Organizational Excellence.</w:t>
      </w:r>
    </w:p>
    <w:p w:rsidR="00370FD3" w:rsidRDefault="00370FD3" w:rsidP="00D52811">
      <w:pPr>
        <w:ind w:left="360"/>
        <w:rPr>
          <w:rFonts w:ascii="Times New Roman" w:hAnsi="Times New Roman"/>
          <w:i/>
          <w:sz w:val="24"/>
        </w:rPr>
      </w:pPr>
    </w:p>
    <w:p w:rsidR="000238A2" w:rsidRDefault="000238A2" w:rsidP="00D52811">
      <w:pPr>
        <w:ind w:left="360"/>
        <w:rPr>
          <w:rFonts w:ascii="Times New Roman" w:hAnsi="Times New Roman"/>
          <w:i/>
          <w:sz w:val="24"/>
        </w:rPr>
      </w:pPr>
    </w:p>
    <w:p w:rsidR="00D462C9" w:rsidRPr="00F67F51" w:rsidRDefault="00C14920" w:rsidP="00F67F51">
      <w:pPr>
        <w:pStyle w:val="ListParagraph"/>
        <w:numPr>
          <w:ilvl w:val="0"/>
          <w:numId w:val="40"/>
        </w:numPr>
        <w:rPr>
          <w:rFonts w:ascii="Times New Roman" w:hAnsi="Times New Roman"/>
          <w:sz w:val="24"/>
          <w:szCs w:val="24"/>
        </w:rPr>
      </w:pPr>
      <w:r w:rsidRPr="00F67F51">
        <w:rPr>
          <w:rFonts w:ascii="Times New Roman" w:hAnsi="Times New Roman"/>
          <w:b/>
          <w:bCs/>
          <w:sz w:val="24"/>
          <w:szCs w:val="24"/>
        </w:rPr>
        <w:t>HOW, BY WHOM, AND FOR WHAT PURPOSE IS THE INFORMATION USED</w:t>
      </w:r>
      <w:r w:rsidR="009D4F72" w:rsidRPr="00F67F51">
        <w:rPr>
          <w:rFonts w:ascii="Times New Roman" w:hAnsi="Times New Roman"/>
          <w:b/>
          <w:bCs/>
          <w:sz w:val="24"/>
          <w:szCs w:val="24"/>
        </w:rPr>
        <w:t xml:space="preserve"> </w:t>
      </w:r>
      <w:r w:rsidR="005612EB" w:rsidRPr="00F67F51">
        <w:rPr>
          <w:rFonts w:ascii="Times New Roman" w:hAnsi="Times New Roman"/>
          <w:b/>
          <w:bCs/>
          <w:sz w:val="24"/>
          <w:szCs w:val="24"/>
        </w:rPr>
        <w:br/>
      </w:r>
      <w:r w:rsidR="00470720" w:rsidRPr="00F67F51">
        <w:rPr>
          <w:rFonts w:ascii="Times New Roman" w:hAnsi="Times New Roman"/>
          <w:i/>
        </w:rPr>
        <w:br/>
      </w:r>
      <w:r w:rsidR="001F094F" w:rsidRPr="00F67F51">
        <w:rPr>
          <w:rFonts w:ascii="Times New Roman" w:hAnsi="Times New Roman"/>
          <w:sz w:val="24"/>
          <w:szCs w:val="24"/>
        </w:rPr>
        <w:t xml:space="preserve">Through in-depth interviews (IDIs) with consumers, the Federal Motor Carrier Safety Administration (FMCSA) seeks to identify optimal messaging strategies and reveal key insights that can be utilized to make the FMCSA </w:t>
      </w:r>
      <w:r w:rsidR="00B63890" w:rsidRPr="00F67F51">
        <w:rPr>
          <w:rFonts w:ascii="Times New Roman" w:hAnsi="Times New Roman"/>
          <w:sz w:val="24"/>
          <w:szCs w:val="24"/>
        </w:rPr>
        <w:t xml:space="preserve">Protect Your Move </w:t>
      </w:r>
      <w:r w:rsidR="001F094F" w:rsidRPr="00F67F51">
        <w:rPr>
          <w:rFonts w:ascii="Times New Roman" w:hAnsi="Times New Roman"/>
          <w:sz w:val="24"/>
          <w:szCs w:val="24"/>
        </w:rPr>
        <w:t xml:space="preserve">website and other digital and non-digital FMCSA sources the pre-eminent set of integrated resources for </w:t>
      </w:r>
      <w:r w:rsidR="001F094F" w:rsidRPr="00F67F51">
        <w:rPr>
          <w:rFonts w:ascii="Times New Roman" w:hAnsi="Times New Roman"/>
          <w:sz w:val="24"/>
          <w:szCs w:val="24"/>
        </w:rPr>
        <w:lastRenderedPageBreak/>
        <w:t>consumer information on the prevention of moving fraud.</w:t>
      </w:r>
      <w:r w:rsidR="00D462C9" w:rsidRPr="00F67F51">
        <w:rPr>
          <w:rFonts w:ascii="Times New Roman" w:hAnsi="Times New Roman"/>
          <w:sz w:val="24"/>
          <w:szCs w:val="24"/>
        </w:rPr>
        <w:t xml:space="preserve"> </w:t>
      </w:r>
    </w:p>
    <w:p w:rsidR="00D462C9" w:rsidRPr="00E366CD" w:rsidRDefault="00D462C9" w:rsidP="001C2B3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rPr>
      </w:pPr>
    </w:p>
    <w:p w:rsidR="008E4E78" w:rsidRPr="00E366CD" w:rsidRDefault="00D462C9" w:rsidP="001C2B3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i/>
          <w:color w:val="auto"/>
        </w:rPr>
      </w:pPr>
      <w:r w:rsidRPr="00E366CD">
        <w:rPr>
          <w:rFonts w:ascii="Times New Roman" w:hAnsi="Times New Roman"/>
          <w:color w:val="auto"/>
        </w:rPr>
        <w:t xml:space="preserve">The research results will be reported as overall percentages (80% of respondents said…), and no individual responses will be revealed. The insights gathered from the results will be utilized by FMCSA to make modifications and improvements to existing marketing materials or create new communications that will resonate with consumers. The primary objective of this research is to identify current knowledge levels of consumers in regard to FMCSA and identify ways to improve communications with this key target audience in an effort to improve their aptitude on the topics of interstate moving and mover fraud.  </w:t>
      </w:r>
    </w:p>
    <w:p w:rsidR="005612EB" w:rsidRDefault="005612EB" w:rsidP="00470720">
      <w:pPr>
        <w:rPr>
          <w:rFonts w:ascii="Times New Roman" w:hAnsi="Times New Roman"/>
          <w:bCs/>
          <w:sz w:val="24"/>
          <w:szCs w:val="24"/>
        </w:rPr>
      </w:pPr>
    </w:p>
    <w:p w:rsidR="00C1155B" w:rsidRPr="00970FCB" w:rsidRDefault="00C14920" w:rsidP="00F67F51">
      <w:pPr>
        <w:numPr>
          <w:ilvl w:val="0"/>
          <w:numId w:val="40"/>
        </w:numPr>
        <w:rPr>
          <w:rFonts w:ascii="Times New Roman" w:hAnsi="Times New Roman"/>
          <w:sz w:val="24"/>
          <w:szCs w:val="24"/>
        </w:rPr>
      </w:pPr>
      <w:r w:rsidRPr="00970FCB">
        <w:rPr>
          <w:rFonts w:ascii="Times New Roman" w:hAnsi="Times New Roman"/>
          <w:b/>
          <w:bCs/>
          <w:sz w:val="24"/>
          <w:szCs w:val="24"/>
        </w:rPr>
        <w:t>EXTENT OF AUTOMATED INFORMATION COLLECTION</w:t>
      </w:r>
      <w:r w:rsidR="009D4F72" w:rsidRPr="00970FCB">
        <w:rPr>
          <w:rFonts w:ascii="Times New Roman" w:hAnsi="Times New Roman"/>
          <w:b/>
          <w:bCs/>
        </w:rPr>
        <w:t xml:space="preserve"> </w:t>
      </w:r>
      <w:r w:rsidR="005612EB" w:rsidRPr="00970FCB">
        <w:rPr>
          <w:rFonts w:ascii="Times New Roman" w:hAnsi="Times New Roman"/>
          <w:b/>
          <w:bCs/>
        </w:rPr>
        <w:br/>
      </w:r>
      <w:r w:rsidR="008F2CDB" w:rsidRPr="00970FCB">
        <w:rPr>
          <w:rFonts w:ascii="Times New Roman" w:hAnsi="Times New Roman"/>
          <w:i/>
        </w:rPr>
        <w:br/>
      </w:r>
      <w:r w:rsidR="00C1155B" w:rsidRPr="00970FCB">
        <w:rPr>
          <w:rFonts w:ascii="Times New Roman" w:hAnsi="Times New Roman"/>
          <w:sz w:val="24"/>
          <w:szCs w:val="24"/>
        </w:rPr>
        <w:t>Potential research participants will be asked to complete the following items over the course of the study:</w:t>
      </w:r>
    </w:p>
    <w:p w:rsidR="00C1155B" w:rsidRPr="00970FCB" w:rsidRDefault="00C1155B" w:rsidP="00D5281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C1155B" w:rsidRPr="00970FCB" w:rsidRDefault="00C1155B" w:rsidP="002F6FE2">
      <w:pPr>
        <w:pStyle w:val="BodyText3"/>
        <w:numPr>
          <w:ilvl w:val="0"/>
          <w:numId w:val="34"/>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970FCB">
        <w:rPr>
          <w:rFonts w:ascii="Times New Roman" w:hAnsi="Times New Roman"/>
          <w:color w:val="auto"/>
        </w:rPr>
        <w:t>Online screener</w:t>
      </w:r>
    </w:p>
    <w:p w:rsidR="00C1155B" w:rsidRPr="00970FCB" w:rsidRDefault="00C1155B" w:rsidP="002F6FE2">
      <w:pPr>
        <w:pStyle w:val="BodyText3"/>
        <w:numPr>
          <w:ilvl w:val="0"/>
          <w:numId w:val="34"/>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970FCB">
        <w:rPr>
          <w:rFonts w:ascii="Times New Roman" w:hAnsi="Times New Roman"/>
          <w:color w:val="auto"/>
        </w:rPr>
        <w:t>First 30-minute Phone Interview</w:t>
      </w:r>
    </w:p>
    <w:p w:rsidR="00C1155B" w:rsidRPr="00970FCB" w:rsidRDefault="00C1155B" w:rsidP="002F6FE2">
      <w:pPr>
        <w:pStyle w:val="BodyText3"/>
        <w:numPr>
          <w:ilvl w:val="0"/>
          <w:numId w:val="34"/>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970FCB">
        <w:rPr>
          <w:rFonts w:ascii="Times New Roman" w:hAnsi="Times New Roman"/>
          <w:color w:val="auto"/>
        </w:rPr>
        <w:t>Completion of Persona and Emotion sheet template (created in Microsoft Word)</w:t>
      </w:r>
    </w:p>
    <w:p w:rsidR="00C1155B" w:rsidRPr="00970FCB" w:rsidRDefault="00C1155B" w:rsidP="002F6FE2">
      <w:pPr>
        <w:pStyle w:val="BodyText3"/>
        <w:numPr>
          <w:ilvl w:val="0"/>
          <w:numId w:val="34"/>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970FCB">
        <w:rPr>
          <w:rFonts w:ascii="Times New Roman" w:hAnsi="Times New Roman"/>
          <w:color w:val="auto"/>
        </w:rPr>
        <w:t>Second 30-minute Phone Interview</w:t>
      </w:r>
    </w:p>
    <w:p w:rsidR="00C1155B" w:rsidRPr="00970FCB" w:rsidRDefault="00C1155B" w:rsidP="00D5281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C1155B" w:rsidRPr="00970FCB" w:rsidRDefault="00C1155B" w:rsidP="00D5281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00970FCB">
        <w:rPr>
          <w:rFonts w:ascii="Times New Roman" w:hAnsi="Times New Roman"/>
          <w:color w:val="auto"/>
        </w:rPr>
        <w:t>The online screener will contain approximately four questions related to previous moving experience and five demographic questions and should be completed in less than five minutes.</w:t>
      </w:r>
    </w:p>
    <w:p w:rsidR="00C1155B" w:rsidRPr="00970FCB" w:rsidRDefault="00C1155B" w:rsidP="00D5281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C1155B" w:rsidRPr="00970FCB" w:rsidRDefault="00C1155B" w:rsidP="00D5281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00970FCB">
        <w:rPr>
          <w:rFonts w:ascii="Times New Roman" w:hAnsi="Times New Roman"/>
          <w:color w:val="auto"/>
        </w:rPr>
        <w:t>The first phone and second interviews will be setup by FMCSA contractors and respondents will be required to provide verbal responses. All notes and responses will be recorded by the contractor.</w:t>
      </w:r>
    </w:p>
    <w:p w:rsidR="00C1155B" w:rsidRPr="00970FCB" w:rsidRDefault="00C1155B" w:rsidP="00D5281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C1155B" w:rsidRPr="00970FCB" w:rsidRDefault="00C1155B" w:rsidP="00D5281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00970FCB">
        <w:rPr>
          <w:rFonts w:ascii="Times New Roman" w:hAnsi="Times New Roman"/>
          <w:color w:val="auto"/>
        </w:rPr>
        <w:t>In between the interviews, respondents will be sent two worksheets which should not require more than 10 minutes complete. The worksheets will be created in a template format (in Microsoft Word) and sent and returned via email.</w:t>
      </w:r>
    </w:p>
    <w:p w:rsidR="00C1155B" w:rsidRPr="00970FCB" w:rsidRDefault="00C1155B" w:rsidP="00D5281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C1155B" w:rsidRDefault="00C1155B" w:rsidP="00D52811">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00970FCB">
        <w:rPr>
          <w:rFonts w:ascii="Times New Roman" w:hAnsi="Times New Roman"/>
          <w:color w:val="auto"/>
        </w:rPr>
        <w:t>For each step requiring consumer input, every effort has been made to ensure response can be provided online, in a template or verbally to ensure minimal effort and no submission of paperwork on the part of the consumer. Aside from the time required to complete the interviews, the burden to collect information rests entirely on the contractor based on the current structure of the survey methodology.</w:t>
      </w:r>
      <w:r w:rsidR="000F13D9">
        <w:rPr>
          <w:rFonts w:ascii="Times New Roman" w:hAnsi="Times New Roman"/>
          <w:color w:val="auto"/>
        </w:rPr>
        <w:t xml:space="preserve">  FMCSA estimate that </w:t>
      </w:r>
      <w:r w:rsidR="003C7127">
        <w:rPr>
          <w:rFonts w:ascii="Times New Roman" w:hAnsi="Times New Roman"/>
          <w:color w:val="auto"/>
        </w:rPr>
        <w:t>50</w:t>
      </w:r>
      <w:r w:rsidR="000F13D9">
        <w:rPr>
          <w:rFonts w:ascii="Times New Roman" w:hAnsi="Times New Roman"/>
          <w:color w:val="auto"/>
        </w:rPr>
        <w:t>% of the responses will be provided electronically.</w:t>
      </w:r>
    </w:p>
    <w:p w:rsidR="00A613EE" w:rsidRPr="005612EB" w:rsidRDefault="00A613EE">
      <w:pPr>
        <w:rPr>
          <w:rFonts w:ascii="Times New Roman" w:hAnsi="Times New Roman"/>
          <w:sz w:val="24"/>
        </w:rPr>
      </w:pPr>
    </w:p>
    <w:p w:rsidR="003D550F" w:rsidRPr="00370FD3" w:rsidRDefault="00C14920" w:rsidP="00A47BB8">
      <w:pPr>
        <w:pStyle w:val="NormalWeb"/>
        <w:numPr>
          <w:ilvl w:val="0"/>
          <w:numId w:val="40"/>
        </w:numPr>
        <w:spacing w:before="0" w:beforeAutospacing="0" w:after="0" w:afterAutospacing="0"/>
        <w:rPr>
          <w:rFonts w:ascii="Times New Roman" w:hAnsi="Times New Roman"/>
          <w:i/>
          <w:szCs w:val="20"/>
        </w:rPr>
      </w:pPr>
      <w:r w:rsidRPr="00370FD3">
        <w:rPr>
          <w:rFonts w:ascii="Times New Roman" w:hAnsi="Times New Roman" w:cs="Times New Roman"/>
          <w:b/>
          <w:bCs/>
          <w:szCs w:val="20"/>
        </w:rPr>
        <w:t>EFFORTS TO IDENTIFY DUPLICATION</w:t>
      </w:r>
      <w:r w:rsidR="00A613EE" w:rsidRPr="00370FD3">
        <w:rPr>
          <w:rFonts w:ascii="Times New Roman" w:hAnsi="Times New Roman" w:cs="Times New Roman"/>
          <w:b/>
          <w:bCs/>
          <w:szCs w:val="20"/>
        </w:rPr>
        <w:br/>
      </w:r>
    </w:p>
    <w:p w:rsidR="00734173" w:rsidRPr="00370FD3" w:rsidRDefault="00734173" w:rsidP="003D550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szCs w:val="20"/>
        </w:rPr>
      </w:pPr>
      <w:r w:rsidRPr="00370FD3">
        <w:rPr>
          <w:rFonts w:ascii="Times New Roman" w:hAnsi="Times New Roman"/>
          <w:color w:val="auto"/>
          <w:szCs w:val="20"/>
        </w:rPr>
        <w:t xml:space="preserve">Because FMCSA specifically seeks to measure the impact of its communications on consumers, it is not possible to utilize existing research as a proxy. There is not current research that examines the topic of what consumers think of FMCSA communications, why they hold those specific thoughts and how FMCSA can utilize the findings to better communicate with its target audience. Furthermore, there are no studies that explore user </w:t>
      </w:r>
      <w:r w:rsidRPr="00370FD3">
        <w:rPr>
          <w:rFonts w:ascii="Times New Roman" w:hAnsi="Times New Roman"/>
          <w:color w:val="auto"/>
          <w:szCs w:val="20"/>
        </w:rPr>
        <w:lastRenderedPageBreak/>
        <w:t xml:space="preserve">ease-of-use and satisfaction with specific areas of the FMCSA </w:t>
      </w:r>
      <w:r w:rsidR="00B63890" w:rsidRPr="00370FD3">
        <w:rPr>
          <w:rFonts w:ascii="Times New Roman" w:hAnsi="Times New Roman"/>
          <w:color w:val="auto"/>
          <w:szCs w:val="20"/>
        </w:rPr>
        <w:t xml:space="preserve">Protect Your Move </w:t>
      </w:r>
      <w:r w:rsidRPr="00370FD3">
        <w:rPr>
          <w:rFonts w:ascii="Times New Roman" w:hAnsi="Times New Roman"/>
          <w:color w:val="auto"/>
          <w:szCs w:val="20"/>
        </w:rPr>
        <w:t>website (as well as overall site impression and likability) or that identify prototypical moving “stories” into which FMCSA content and delivery channels can be designed to fit.</w:t>
      </w:r>
    </w:p>
    <w:p w:rsidR="00734173" w:rsidRPr="00370FD3" w:rsidRDefault="00734173" w:rsidP="003D550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szCs w:val="20"/>
        </w:rPr>
      </w:pPr>
    </w:p>
    <w:p w:rsidR="00734173" w:rsidRPr="00370FD3" w:rsidRDefault="00734173" w:rsidP="003D550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szCs w:val="20"/>
        </w:rPr>
      </w:pPr>
      <w:r w:rsidRPr="00370FD3">
        <w:rPr>
          <w:rFonts w:ascii="Times New Roman" w:hAnsi="Times New Roman"/>
          <w:color w:val="auto"/>
          <w:szCs w:val="20"/>
        </w:rPr>
        <w:t>Given the very specific and unique objectives of this research, it would be nearly impossible to find secondary research that was a duplication of this effort.</w:t>
      </w:r>
    </w:p>
    <w:p w:rsidR="008E4E78" w:rsidRDefault="008E4E78" w:rsidP="001C2B34">
      <w:pPr>
        <w:outlineLvl w:val="0"/>
        <w:rPr>
          <w:rFonts w:ascii="Times New Roman" w:hAnsi="Times New Roman"/>
          <w:b/>
          <w:bCs/>
          <w:sz w:val="24"/>
          <w:szCs w:val="24"/>
        </w:rPr>
      </w:pPr>
    </w:p>
    <w:p w:rsidR="0004749E" w:rsidRPr="001C2B34" w:rsidRDefault="00C14920" w:rsidP="00F67F51">
      <w:pPr>
        <w:numPr>
          <w:ilvl w:val="0"/>
          <w:numId w:val="40"/>
        </w:numPr>
        <w:rPr>
          <w:rFonts w:ascii="Times New Roman" w:hAnsi="Times New Roman"/>
          <w:sz w:val="24"/>
          <w:szCs w:val="24"/>
        </w:rPr>
      </w:pPr>
      <w:r w:rsidRPr="00F358A1">
        <w:rPr>
          <w:rFonts w:ascii="Times New Roman" w:hAnsi="Times New Roman"/>
          <w:b/>
          <w:bCs/>
          <w:sz w:val="24"/>
          <w:szCs w:val="24"/>
        </w:rPr>
        <w:t>EFFORTS TO MINIMIZE THE BURDEN ON SMALL BUSINESSES</w:t>
      </w:r>
      <w:r w:rsidR="00A613EE">
        <w:rPr>
          <w:rFonts w:ascii="Times New Roman" w:hAnsi="Times New Roman"/>
          <w:b/>
          <w:bCs/>
        </w:rPr>
        <w:br/>
      </w:r>
    </w:p>
    <w:p w:rsidR="008E4E78" w:rsidRDefault="00A31CDD" w:rsidP="0045670F">
      <w:pPr>
        <w:ind w:firstLine="360"/>
        <w:rPr>
          <w:rFonts w:ascii="Times New Roman" w:hAnsi="Times New Roman"/>
          <w:sz w:val="24"/>
        </w:rPr>
      </w:pPr>
      <w:r>
        <w:rPr>
          <w:rFonts w:ascii="Times New Roman" w:hAnsi="Times New Roman"/>
          <w:sz w:val="24"/>
        </w:rPr>
        <w:t>Not applicable.</w:t>
      </w:r>
    </w:p>
    <w:p w:rsidR="00A613EE" w:rsidRPr="005612EB" w:rsidRDefault="00A613EE">
      <w:pPr>
        <w:rPr>
          <w:rFonts w:ascii="Times New Roman" w:hAnsi="Times New Roman"/>
          <w:sz w:val="24"/>
        </w:rPr>
      </w:pPr>
    </w:p>
    <w:p w:rsidR="00C14920" w:rsidRPr="0045670F" w:rsidRDefault="00C14920" w:rsidP="00F67F51">
      <w:pPr>
        <w:numPr>
          <w:ilvl w:val="0"/>
          <w:numId w:val="40"/>
        </w:numPr>
        <w:rPr>
          <w:rFonts w:ascii="Times New Roman" w:hAnsi="Times New Roman"/>
          <w:b/>
        </w:rPr>
      </w:pPr>
      <w:r w:rsidRPr="0045670F">
        <w:rPr>
          <w:rFonts w:ascii="Times New Roman" w:hAnsi="Times New Roman"/>
          <w:b/>
          <w:bCs/>
          <w:sz w:val="24"/>
          <w:szCs w:val="24"/>
        </w:rPr>
        <w:t>IMPACT OF LESS FREQUENT COLLECTION OF INFORMATION</w:t>
      </w:r>
      <w:r w:rsidR="00A613EE" w:rsidRPr="0045670F">
        <w:rPr>
          <w:rFonts w:ascii="Times New Roman" w:hAnsi="Times New Roman"/>
          <w:b/>
          <w:sz w:val="24"/>
          <w:szCs w:val="24"/>
        </w:rPr>
        <w:br/>
      </w:r>
    </w:p>
    <w:p w:rsidR="00A31CDD" w:rsidRDefault="00A31CDD" w:rsidP="0045670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002F6FE2">
        <w:rPr>
          <w:rFonts w:ascii="Times New Roman" w:hAnsi="Times New Roman"/>
          <w:color w:val="auto"/>
        </w:rPr>
        <w:t xml:space="preserve">Without </w:t>
      </w:r>
      <w:r>
        <w:rPr>
          <w:rFonts w:ascii="Times New Roman" w:hAnsi="Times New Roman"/>
          <w:color w:val="auto"/>
        </w:rPr>
        <w:t xml:space="preserve">this data collection, FMCSA will be unable to gain critical input from consumers on the efficacy of its communications programs. Although FMCSA has some baseline quantitative data indicating some if </w:t>
      </w:r>
      <w:r w:rsidR="00274B6C">
        <w:rPr>
          <w:rFonts w:ascii="Times New Roman" w:hAnsi="Times New Roman"/>
          <w:color w:val="auto"/>
        </w:rPr>
        <w:t>it’s</w:t>
      </w:r>
      <w:r>
        <w:rPr>
          <w:rFonts w:ascii="Times New Roman" w:hAnsi="Times New Roman"/>
          <w:color w:val="auto"/>
        </w:rPr>
        <w:t xml:space="preserve"> messaging is making </w:t>
      </w:r>
      <w:r w:rsidR="00274B6C">
        <w:rPr>
          <w:rFonts w:ascii="Times New Roman" w:hAnsi="Times New Roman"/>
          <w:color w:val="auto"/>
        </w:rPr>
        <w:t>inroads that</w:t>
      </w:r>
      <w:r>
        <w:rPr>
          <w:rFonts w:ascii="Times New Roman" w:hAnsi="Times New Roman"/>
          <w:color w:val="auto"/>
        </w:rPr>
        <w:t xml:space="preserve"> data does not explain why the communications are working or how they can be leveraged to make greater advances toward realizing the Agency’s mission. With the collection, FMCSA will continue moving forward without full visibility of consumer attitudes and without the benefit of their input as the Agency attempts to improve its efforts to communicate with its key target audience.</w:t>
      </w:r>
    </w:p>
    <w:p w:rsidR="00A31CDD" w:rsidRDefault="00A31CDD" w:rsidP="0045670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A31CDD" w:rsidRPr="002F6FE2" w:rsidRDefault="00A31CDD" w:rsidP="0045670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Pr>
          <w:rFonts w:ascii="Times New Roman" w:hAnsi="Times New Roman"/>
          <w:color w:val="auto"/>
        </w:rPr>
        <w:t xml:space="preserve">Conducting the collection less frequently could lead to cost overruns as the timing of the research </w:t>
      </w:r>
      <w:r w:rsidR="00D3047B">
        <w:rPr>
          <w:rFonts w:ascii="Times New Roman" w:hAnsi="Times New Roman"/>
          <w:color w:val="auto"/>
        </w:rPr>
        <w:t>will necessarily</w:t>
      </w:r>
      <w:r>
        <w:rPr>
          <w:rFonts w:ascii="Times New Roman" w:hAnsi="Times New Roman"/>
          <w:color w:val="auto"/>
        </w:rPr>
        <w:t xml:space="preserve"> be elongated. Additionally, research participant recruitment </w:t>
      </w:r>
      <w:r w:rsidR="00D3047B">
        <w:rPr>
          <w:rFonts w:ascii="Times New Roman" w:hAnsi="Times New Roman"/>
          <w:color w:val="auto"/>
        </w:rPr>
        <w:t>would</w:t>
      </w:r>
      <w:r>
        <w:rPr>
          <w:rFonts w:ascii="Times New Roman" w:hAnsi="Times New Roman"/>
          <w:color w:val="auto"/>
        </w:rPr>
        <w:t xml:space="preserve"> become more difficult</w:t>
      </w:r>
      <w:r w:rsidR="00D3047B">
        <w:rPr>
          <w:rFonts w:ascii="Times New Roman" w:hAnsi="Times New Roman"/>
          <w:color w:val="auto"/>
        </w:rPr>
        <w:t xml:space="preserve"> and costly</w:t>
      </w:r>
      <w:r>
        <w:rPr>
          <w:rFonts w:ascii="Times New Roman" w:hAnsi="Times New Roman"/>
          <w:color w:val="auto"/>
        </w:rPr>
        <w:t xml:space="preserve"> </w:t>
      </w:r>
      <w:r w:rsidR="00D3047B">
        <w:rPr>
          <w:rFonts w:ascii="Times New Roman" w:hAnsi="Times New Roman"/>
          <w:color w:val="auto"/>
        </w:rPr>
        <w:t xml:space="preserve">as the pool of participants would have to be refreshed more frequently as attrition would become more common if collection (by way of interviews) was more intermittent. </w:t>
      </w:r>
    </w:p>
    <w:p w:rsidR="008E4E78" w:rsidRPr="005612EB" w:rsidRDefault="008E4E78">
      <w:pPr>
        <w:rPr>
          <w:rFonts w:ascii="Times New Roman" w:hAnsi="Times New Roman"/>
          <w:sz w:val="24"/>
          <w:szCs w:val="24"/>
        </w:rPr>
      </w:pPr>
    </w:p>
    <w:p w:rsidR="00D3047B" w:rsidRPr="00945669" w:rsidRDefault="00F358A1" w:rsidP="00F67F51">
      <w:pPr>
        <w:numPr>
          <w:ilvl w:val="0"/>
          <w:numId w:val="40"/>
        </w:numPr>
        <w:rPr>
          <w:rFonts w:ascii="Times New Roman" w:hAnsi="Times New Roman"/>
          <w:sz w:val="24"/>
          <w:szCs w:val="24"/>
        </w:rPr>
      </w:pPr>
      <w:r w:rsidRPr="00945669">
        <w:rPr>
          <w:rFonts w:ascii="Times New Roman" w:hAnsi="Times New Roman"/>
          <w:b/>
          <w:bCs/>
          <w:sz w:val="24"/>
          <w:szCs w:val="24"/>
        </w:rPr>
        <w:t>SPECIAL CIRCUMSTANCES</w:t>
      </w:r>
      <w:r w:rsidR="00470720" w:rsidRPr="00945669">
        <w:rPr>
          <w:rFonts w:ascii="Times New Roman" w:hAnsi="Times New Roman"/>
          <w:b/>
          <w:bCs/>
        </w:rPr>
        <w:t xml:space="preserve">  </w:t>
      </w:r>
      <w:r w:rsidR="00A613EE" w:rsidRPr="00945669">
        <w:rPr>
          <w:rFonts w:ascii="Times New Roman" w:hAnsi="Times New Roman"/>
          <w:b/>
          <w:bCs/>
        </w:rPr>
        <w:br/>
      </w:r>
    </w:p>
    <w:p w:rsidR="00D3047B" w:rsidRPr="00C14920" w:rsidRDefault="002C09C2" w:rsidP="00945669">
      <w:pPr>
        <w:ind w:firstLine="360"/>
        <w:rPr>
          <w:rFonts w:ascii="Times New Roman" w:hAnsi="Times New Roman"/>
          <w:sz w:val="24"/>
          <w:szCs w:val="24"/>
        </w:rPr>
      </w:pPr>
      <w:r>
        <w:rPr>
          <w:rFonts w:ascii="Times New Roman" w:hAnsi="Times New Roman"/>
          <w:sz w:val="24"/>
          <w:szCs w:val="24"/>
        </w:rPr>
        <w:t>There are no special circumstances</w:t>
      </w:r>
      <w:r w:rsidR="00D3047B">
        <w:rPr>
          <w:rFonts w:ascii="Times New Roman" w:hAnsi="Times New Roman"/>
          <w:sz w:val="24"/>
          <w:szCs w:val="24"/>
        </w:rPr>
        <w:t>.</w:t>
      </w:r>
    </w:p>
    <w:p w:rsidR="00470720" w:rsidRPr="00A613EE" w:rsidRDefault="00470720" w:rsidP="00470720">
      <w:pPr>
        <w:rPr>
          <w:rFonts w:ascii="Times New Roman" w:hAnsi="Times New Roman"/>
          <w:sz w:val="24"/>
          <w:szCs w:val="24"/>
        </w:rPr>
      </w:pPr>
    </w:p>
    <w:p w:rsidR="008E4E78" w:rsidRDefault="00F358A1" w:rsidP="00F67F51">
      <w:pPr>
        <w:numPr>
          <w:ilvl w:val="0"/>
          <w:numId w:val="40"/>
        </w:numPr>
        <w:rPr>
          <w:rFonts w:ascii="Times New Roman" w:hAnsi="Times New Roman"/>
          <w:b/>
          <w:bCs/>
          <w:sz w:val="24"/>
          <w:szCs w:val="24"/>
        </w:rPr>
      </w:pPr>
      <w:r w:rsidRPr="00F358A1">
        <w:rPr>
          <w:rFonts w:ascii="Times New Roman" w:hAnsi="Times New Roman"/>
          <w:b/>
          <w:bCs/>
          <w:sz w:val="24"/>
          <w:szCs w:val="24"/>
        </w:rPr>
        <w:t>COMPLIANCE WITH 5 CFR 1320.8</w:t>
      </w:r>
      <w:r w:rsidR="0004749E" w:rsidRPr="005612EB">
        <w:rPr>
          <w:rFonts w:ascii="Times New Roman" w:hAnsi="Times New Roman"/>
          <w:bCs/>
          <w:sz w:val="24"/>
          <w:szCs w:val="24"/>
        </w:rPr>
        <w:t>:</w:t>
      </w:r>
      <w:r w:rsidR="00470720" w:rsidRPr="005612EB">
        <w:rPr>
          <w:rFonts w:ascii="Times New Roman" w:hAnsi="Times New Roman"/>
          <w:b/>
          <w:bCs/>
        </w:rPr>
        <w:t xml:space="preserve">  </w:t>
      </w:r>
      <w:r w:rsidR="00A613EE">
        <w:rPr>
          <w:rFonts w:ascii="Times New Roman" w:hAnsi="Times New Roman"/>
          <w:b/>
          <w:bCs/>
        </w:rPr>
        <w:br/>
      </w:r>
    </w:p>
    <w:p w:rsidR="001E72BE" w:rsidRPr="001E72BE" w:rsidRDefault="001E72BE" w:rsidP="001E72BE">
      <w:pPr>
        <w:widowControl/>
        <w:autoSpaceDE/>
        <w:autoSpaceDN/>
        <w:adjustRightInd/>
        <w:spacing w:after="200"/>
        <w:ind w:left="288"/>
        <w:rPr>
          <w:rFonts w:ascii="Times New Roman" w:hAnsi="Times New Roman"/>
          <w:sz w:val="24"/>
          <w:szCs w:val="24"/>
        </w:rPr>
      </w:pPr>
      <w:r w:rsidRPr="001E72BE">
        <w:rPr>
          <w:rFonts w:ascii="Times New Roman" w:hAnsi="Times New Roman"/>
          <w:sz w:val="24"/>
          <w:szCs w:val="24"/>
        </w:rPr>
        <w:t xml:space="preserve">The FMCSA published a notice in the Federal Register (79 FR 51639) with a 60-day public                     comment period to announce this proposed information collection on August 29, 2014 (see Attachment B).  The agency received no comments in response to that notice. </w:t>
      </w:r>
    </w:p>
    <w:p w:rsidR="001E72BE" w:rsidRPr="001E72BE" w:rsidRDefault="001E72BE" w:rsidP="001E72BE">
      <w:pPr>
        <w:ind w:left="288"/>
        <w:rPr>
          <w:rFonts w:ascii="Times New Roman" w:hAnsi="Times New Roman"/>
          <w:sz w:val="24"/>
          <w:szCs w:val="24"/>
        </w:rPr>
      </w:pPr>
      <w:r w:rsidRPr="001E72BE">
        <w:rPr>
          <w:rFonts w:ascii="Times New Roman" w:hAnsi="Times New Roman"/>
          <w:sz w:val="24"/>
          <w:szCs w:val="24"/>
        </w:rPr>
        <w:t xml:space="preserve">The FMCSA published a notice in the Federal Register (79 FR 74158) with a 30-day public comment period that announced this information would be sent to OMB for approval on December 15, 2014 (see Attachment C). </w:t>
      </w:r>
    </w:p>
    <w:p w:rsidR="001E72BE" w:rsidRPr="00945669" w:rsidRDefault="001E72BE" w:rsidP="00F358A1">
      <w:pPr>
        <w:ind w:left="360"/>
        <w:outlineLvl w:val="0"/>
        <w:rPr>
          <w:rFonts w:ascii="Times New Roman" w:hAnsi="Times New Roman"/>
          <w:color w:val="C00000"/>
          <w:sz w:val="24"/>
          <w:szCs w:val="24"/>
        </w:rPr>
      </w:pPr>
    </w:p>
    <w:p w:rsidR="00470720" w:rsidRPr="005612EB" w:rsidRDefault="00F358A1" w:rsidP="00F67F51">
      <w:pPr>
        <w:numPr>
          <w:ilvl w:val="0"/>
          <w:numId w:val="40"/>
        </w:numPr>
        <w:rPr>
          <w:rFonts w:ascii="Times New Roman" w:hAnsi="Times New Roman"/>
        </w:rPr>
      </w:pPr>
      <w:r w:rsidRPr="009E43F8">
        <w:rPr>
          <w:rFonts w:ascii="Times New Roman" w:hAnsi="Times New Roman"/>
          <w:b/>
          <w:bCs/>
          <w:sz w:val="24"/>
          <w:szCs w:val="24"/>
        </w:rPr>
        <w:t>PAYMENTS OR GIFTS TO RESPONDENTS</w:t>
      </w:r>
      <w:r w:rsidR="00A613EE">
        <w:rPr>
          <w:rFonts w:ascii="Times New Roman" w:hAnsi="Times New Roman"/>
          <w:b/>
          <w:bCs/>
        </w:rPr>
        <w:br/>
      </w:r>
    </w:p>
    <w:p w:rsidR="00945669" w:rsidRDefault="00DA0AF4" w:rsidP="00945669">
      <w:pPr>
        <w:ind w:left="360"/>
        <w:outlineLvl w:val="0"/>
        <w:rPr>
          <w:sz w:val="24"/>
          <w:szCs w:val="24"/>
        </w:rPr>
      </w:pPr>
      <w:r w:rsidRPr="00945669">
        <w:rPr>
          <w:rFonts w:ascii="Times New Roman" w:hAnsi="Times New Roman"/>
          <w:sz w:val="24"/>
          <w:szCs w:val="24"/>
        </w:rPr>
        <w:t>For this qualitative effort, a sample of 60 individuals who have indicated a willingness to participate in a series of two 30 minute in-depth interviews (60 minutes total) will be obtained through the use of a screener. Individuals will be informed during the screening process that they will receive a $</w:t>
      </w:r>
      <w:r w:rsidR="007506BB">
        <w:rPr>
          <w:rFonts w:ascii="Times New Roman" w:hAnsi="Times New Roman"/>
          <w:sz w:val="24"/>
          <w:szCs w:val="24"/>
        </w:rPr>
        <w:t>7</w:t>
      </w:r>
      <w:r w:rsidRPr="00945669">
        <w:rPr>
          <w:rFonts w:ascii="Times New Roman" w:hAnsi="Times New Roman"/>
          <w:sz w:val="24"/>
          <w:szCs w:val="24"/>
        </w:rPr>
        <w:t xml:space="preserve">0 incentive if they are selected and complete both in-depth </w:t>
      </w:r>
      <w:r w:rsidRPr="00945669">
        <w:rPr>
          <w:rFonts w:ascii="Times New Roman" w:hAnsi="Times New Roman"/>
          <w:sz w:val="24"/>
          <w:szCs w:val="24"/>
        </w:rPr>
        <w:lastRenderedPageBreak/>
        <w:t>interviews.</w:t>
      </w:r>
      <w:r w:rsidRPr="00945669">
        <w:rPr>
          <w:sz w:val="24"/>
          <w:szCs w:val="24"/>
        </w:rPr>
        <w:t xml:space="preserve"> </w:t>
      </w:r>
    </w:p>
    <w:p w:rsidR="00945669" w:rsidRDefault="00945669" w:rsidP="00945669">
      <w:pPr>
        <w:ind w:left="360"/>
        <w:outlineLvl w:val="0"/>
        <w:rPr>
          <w:rFonts w:ascii="Times New Roman" w:hAnsi="Times New Roman"/>
          <w:sz w:val="24"/>
          <w:szCs w:val="24"/>
        </w:rPr>
      </w:pPr>
    </w:p>
    <w:p w:rsidR="00DA0AF4" w:rsidRPr="00945669" w:rsidRDefault="00DA0AF4" w:rsidP="00945669">
      <w:pPr>
        <w:ind w:left="360"/>
        <w:rPr>
          <w:rFonts w:ascii="Times New Roman" w:hAnsi="Times New Roman"/>
          <w:sz w:val="24"/>
          <w:szCs w:val="24"/>
        </w:rPr>
      </w:pPr>
      <w:r w:rsidRPr="00945669">
        <w:rPr>
          <w:rFonts w:ascii="Times New Roman" w:hAnsi="Times New Roman"/>
          <w:sz w:val="24"/>
          <w:szCs w:val="24"/>
        </w:rPr>
        <w:t xml:space="preserve">The use of incentives in consumer research has a demonstrated history of improving response rates. Given the participation time requirement for IDIs, and the possibility of cell phone usage for respondents, there is an inherent potential monetary cost to each respondent for time spent participating in this research. </w:t>
      </w:r>
    </w:p>
    <w:p w:rsidR="00DA0AF4" w:rsidRPr="00945669" w:rsidRDefault="00DA0AF4" w:rsidP="00945669">
      <w:pPr>
        <w:ind w:left="360"/>
        <w:rPr>
          <w:rFonts w:ascii="Times New Roman" w:hAnsi="Times New Roman"/>
          <w:sz w:val="24"/>
          <w:szCs w:val="24"/>
        </w:rPr>
      </w:pPr>
    </w:p>
    <w:p w:rsidR="00DA0AF4" w:rsidRPr="00945669" w:rsidRDefault="00DA0AF4" w:rsidP="00945669">
      <w:pPr>
        <w:ind w:left="360"/>
        <w:rPr>
          <w:rFonts w:ascii="Times New Roman" w:hAnsi="Times New Roman"/>
          <w:sz w:val="24"/>
          <w:szCs w:val="24"/>
        </w:rPr>
      </w:pPr>
      <w:r w:rsidRPr="00945669">
        <w:rPr>
          <w:rFonts w:ascii="Times New Roman" w:hAnsi="Times New Roman"/>
          <w:sz w:val="24"/>
          <w:szCs w:val="24"/>
        </w:rPr>
        <w:t xml:space="preserve">Using incentives introduces the possibility of bias to the research. That is, respondents participating to receive the monetary incentive and thus not providing useful or truthful data. However, the use of incentives is not only supported by international industry practice, but also from collaterally related studies conducted primarily in the field of Behavioral Economics; an area of psychology that studies the role and use of incentives in supporting and modifying behavior.  </w:t>
      </w:r>
    </w:p>
    <w:p w:rsidR="00DA0AF4" w:rsidRPr="00945669" w:rsidRDefault="00DA0AF4" w:rsidP="00945669">
      <w:pPr>
        <w:ind w:left="360"/>
        <w:rPr>
          <w:rFonts w:ascii="Times New Roman" w:hAnsi="Times New Roman"/>
          <w:sz w:val="24"/>
          <w:szCs w:val="24"/>
        </w:rPr>
      </w:pPr>
    </w:p>
    <w:p w:rsidR="00DA0AF4" w:rsidRPr="00945669" w:rsidRDefault="00DA0AF4" w:rsidP="00945669">
      <w:pPr>
        <w:ind w:left="360"/>
        <w:rPr>
          <w:rFonts w:ascii="Times New Roman" w:hAnsi="Times New Roman"/>
          <w:sz w:val="24"/>
          <w:szCs w:val="24"/>
        </w:rPr>
      </w:pPr>
      <w:r w:rsidRPr="00945669">
        <w:rPr>
          <w:rFonts w:ascii="Times New Roman" w:hAnsi="Times New Roman"/>
          <w:sz w:val="24"/>
          <w:szCs w:val="24"/>
        </w:rPr>
        <w:t xml:space="preserve">A study conducted by Daniel Ariely, the James B. Duke Professor of Psychology and Behavioral Economics at Duke University concluded in his book </w:t>
      </w:r>
      <w:r w:rsidRPr="00945669">
        <w:rPr>
          <w:rFonts w:ascii="Times New Roman" w:hAnsi="Times New Roman"/>
          <w:i/>
          <w:sz w:val="24"/>
          <w:szCs w:val="24"/>
        </w:rPr>
        <w:t>Predictably Irrational</w:t>
      </w:r>
      <w:r w:rsidRPr="00945669">
        <w:rPr>
          <w:rStyle w:val="FootnoteReference"/>
          <w:i/>
          <w:sz w:val="24"/>
          <w:szCs w:val="24"/>
        </w:rPr>
        <w:footnoteReference w:id="1"/>
      </w:r>
      <w:r w:rsidRPr="00945669">
        <w:rPr>
          <w:rFonts w:ascii="Times New Roman" w:hAnsi="Times New Roman"/>
          <w:sz w:val="24"/>
          <w:szCs w:val="24"/>
        </w:rPr>
        <w:t>, that most of ‘us’ tend to steal ‘things’ (pencils, rubber bands, staplers from work, etc.) rather than these objects’ cash equivalent, because of a natural aversion most of us have to stealing money.  An intuitive conclusion can easily be drawn from this that people tend to perceive actual money as more or less sacrosanct (and particularly as compared with what this money can purchase).  If this demonstrates the quantum of respect we have for money, it would not seem to be counter-intuitive that paying someone money to answer questions would tend to motivate respectful (read: ‘truthful’) answers.</w:t>
      </w:r>
    </w:p>
    <w:p w:rsidR="00DA0AF4" w:rsidRPr="005612EB" w:rsidRDefault="00DA0AF4" w:rsidP="00407E96">
      <w:pPr>
        <w:outlineLvl w:val="0"/>
        <w:rPr>
          <w:rFonts w:ascii="Times New Roman" w:hAnsi="Times New Roman"/>
        </w:rPr>
      </w:pPr>
    </w:p>
    <w:p w:rsidR="001E72BE" w:rsidRPr="00F42E70" w:rsidRDefault="00F358A1" w:rsidP="00F67F51">
      <w:pPr>
        <w:numPr>
          <w:ilvl w:val="0"/>
          <w:numId w:val="40"/>
        </w:numPr>
        <w:rPr>
          <w:rFonts w:ascii="Times New Roman" w:hAnsi="Times New Roman"/>
        </w:rPr>
      </w:pPr>
      <w:r w:rsidRPr="00945669">
        <w:rPr>
          <w:rFonts w:ascii="Times New Roman" w:hAnsi="Times New Roman"/>
          <w:b/>
          <w:bCs/>
          <w:sz w:val="24"/>
          <w:szCs w:val="24"/>
        </w:rPr>
        <w:t>ASSURANCE OF CONFIDENTIALITY</w:t>
      </w:r>
      <w:r w:rsidR="00A613EE" w:rsidRPr="00945669">
        <w:rPr>
          <w:rFonts w:ascii="Times New Roman" w:hAnsi="Times New Roman"/>
        </w:rPr>
        <w:br/>
      </w:r>
      <w:r w:rsidR="00F92057" w:rsidRPr="00945669">
        <w:rPr>
          <w:rFonts w:ascii="Times New Roman" w:hAnsi="Times New Roman"/>
        </w:rPr>
        <w:br/>
      </w:r>
      <w:r w:rsidR="001E72BE">
        <w:rPr>
          <w:rFonts w:ascii="Times New Roman" w:hAnsi="Times New Roman"/>
          <w:sz w:val="24"/>
          <w:szCs w:val="24"/>
        </w:rPr>
        <w:t xml:space="preserve">The information that you provide will be protected to the extent allowed by law. </w:t>
      </w:r>
    </w:p>
    <w:p w:rsidR="001E72BE" w:rsidRPr="00F42E70" w:rsidRDefault="001E72BE" w:rsidP="00F42E70">
      <w:pPr>
        <w:ind w:left="360"/>
        <w:rPr>
          <w:rFonts w:ascii="Times New Roman" w:hAnsi="Times New Roman"/>
        </w:rPr>
      </w:pPr>
    </w:p>
    <w:p w:rsidR="00312936" w:rsidRPr="00945669" w:rsidRDefault="00312936" w:rsidP="00F42E70">
      <w:pPr>
        <w:ind w:left="360"/>
        <w:rPr>
          <w:rFonts w:ascii="Times New Roman" w:hAnsi="Times New Roman"/>
        </w:rPr>
      </w:pPr>
      <w:r w:rsidRPr="00945669">
        <w:rPr>
          <w:rFonts w:ascii="Times New Roman" w:hAnsi="Times New Roman"/>
          <w:sz w:val="24"/>
          <w:szCs w:val="24"/>
        </w:rPr>
        <w:t>Prior to the first interview, the moderator will read from a script the following statement to ensure participants confidentiality:</w:t>
      </w:r>
    </w:p>
    <w:p w:rsidR="00312936" w:rsidRPr="00945669" w:rsidRDefault="00312936" w:rsidP="001C2B3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szCs w:val="20"/>
        </w:rPr>
      </w:pPr>
    </w:p>
    <w:p w:rsidR="00312936" w:rsidRPr="00945669" w:rsidRDefault="00312936" w:rsidP="001C2B3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
          <w:i/>
          <w:color w:val="auto"/>
        </w:rPr>
      </w:pPr>
      <w:r w:rsidRPr="00945669">
        <w:rPr>
          <w:rFonts w:ascii="Times New Roman" w:hAnsi="Times New Roman"/>
          <w:b/>
          <w:i/>
          <w:color w:val="auto"/>
        </w:rPr>
        <w:t xml:space="preserve">“I am an independent researcher and have no practical or financial interest in any of the information you provide whether it be positive or negative. </w:t>
      </w:r>
      <w:r w:rsidR="00CA3269">
        <w:rPr>
          <w:rFonts w:ascii="Times New Roman" w:hAnsi="Times New Roman"/>
          <w:b/>
          <w:i/>
          <w:color w:val="auto"/>
        </w:rPr>
        <w:t xml:space="preserve">Information you provide will be used strictly for the purposes of this study. We will not gather nor share any personal information during the interview process.”  </w:t>
      </w:r>
    </w:p>
    <w:p w:rsidR="00312936" w:rsidRPr="00945669" w:rsidRDefault="00312936" w:rsidP="001C2B3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
          <w:i/>
          <w:color w:val="auto"/>
        </w:rPr>
      </w:pPr>
    </w:p>
    <w:p w:rsidR="00312936" w:rsidRPr="00945669" w:rsidRDefault="00312936" w:rsidP="001C2B3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00945669">
        <w:rPr>
          <w:rFonts w:ascii="Times New Roman" w:hAnsi="Times New Roman"/>
          <w:color w:val="auto"/>
        </w:rPr>
        <w:t xml:space="preserve">During the interview appointment process, it is possible that appointment setters and even the moderator may use the full name of the research participant as a way of identifying that person. However, once the interview has started, the moderator will only use the participant’s first name and any notes will only feature that individual’s first name as well. For the most part, the first name is primarily used as a “filing system” for interview notes as the study is being conducted. </w:t>
      </w:r>
    </w:p>
    <w:p w:rsidR="00312936" w:rsidRPr="00945669" w:rsidRDefault="00312936" w:rsidP="001C2B3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312936" w:rsidRPr="00945669" w:rsidRDefault="00312936" w:rsidP="001C2B3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00945669">
        <w:rPr>
          <w:rFonts w:ascii="Times New Roman" w:hAnsi="Times New Roman"/>
          <w:color w:val="auto"/>
        </w:rPr>
        <w:t>As results are being analyzed and developed, all names are stripped from the notes when they are compiled into a summation. As such, the results become completely confidential and no finding or insight can be attributed to a specific person.</w:t>
      </w:r>
    </w:p>
    <w:p w:rsidR="00312936" w:rsidRPr="00945669" w:rsidRDefault="00312936" w:rsidP="001C2B3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312936" w:rsidRDefault="00F358A1" w:rsidP="00F67F51">
      <w:pPr>
        <w:numPr>
          <w:ilvl w:val="0"/>
          <w:numId w:val="40"/>
        </w:numPr>
        <w:rPr>
          <w:rFonts w:ascii="Times New Roman" w:hAnsi="Times New Roman"/>
          <w:sz w:val="24"/>
          <w:szCs w:val="24"/>
        </w:rPr>
      </w:pPr>
      <w:r w:rsidRPr="001C2B34">
        <w:rPr>
          <w:rFonts w:ascii="Times New Roman" w:hAnsi="Times New Roman"/>
          <w:b/>
          <w:bCs/>
          <w:sz w:val="24"/>
          <w:szCs w:val="24"/>
        </w:rPr>
        <w:t>JUSTIFICATION FOR COLLECTION OF SENSITIVE INFORMATION</w:t>
      </w:r>
      <w:r w:rsidR="00470720" w:rsidRPr="001C2B34">
        <w:rPr>
          <w:rFonts w:ascii="Times New Roman" w:hAnsi="Times New Roman"/>
        </w:rPr>
        <w:t xml:space="preserve"> </w:t>
      </w:r>
      <w:r w:rsidR="00A613EE" w:rsidRPr="001C2B34">
        <w:rPr>
          <w:rFonts w:ascii="Times New Roman" w:hAnsi="Times New Roman"/>
        </w:rPr>
        <w:br/>
      </w:r>
    </w:p>
    <w:p w:rsidR="00E2506B" w:rsidRPr="00E2506B" w:rsidRDefault="00E2506B" w:rsidP="00E2506B">
      <w:pPr>
        <w:ind w:firstLine="360"/>
        <w:rPr>
          <w:rFonts w:ascii="Times New Roman" w:hAnsi="Times New Roman"/>
          <w:sz w:val="24"/>
          <w:szCs w:val="24"/>
        </w:rPr>
      </w:pPr>
      <w:r w:rsidRPr="00E2506B">
        <w:rPr>
          <w:rFonts w:ascii="Times New Roman" w:hAnsi="Times New Roman"/>
          <w:sz w:val="24"/>
          <w:szCs w:val="24"/>
        </w:rPr>
        <w:t>No questions will be asked that are of a personal or sensitive nature.</w:t>
      </w:r>
    </w:p>
    <w:p w:rsidR="00312936" w:rsidRDefault="00312936" w:rsidP="002F6FE2">
      <w:pPr>
        <w:ind w:left="360"/>
        <w:rPr>
          <w:rFonts w:ascii="Times New Roman" w:hAnsi="Times New Roman"/>
          <w:sz w:val="24"/>
          <w:szCs w:val="24"/>
        </w:rPr>
      </w:pPr>
    </w:p>
    <w:p w:rsidR="00480D9C" w:rsidRPr="005612EB" w:rsidRDefault="001C2B34" w:rsidP="00F528EE">
      <w:pPr>
        <w:rPr>
          <w:rFonts w:ascii="Times New Roman" w:hAnsi="Times New Roman"/>
          <w:sz w:val="24"/>
          <w:szCs w:val="24"/>
        </w:rPr>
      </w:pPr>
      <w:r>
        <w:rPr>
          <w:rFonts w:ascii="Times New Roman" w:hAnsi="Times New Roman"/>
          <w:b/>
          <w:bCs/>
          <w:sz w:val="24"/>
          <w:szCs w:val="24"/>
        </w:rPr>
        <w:t xml:space="preserve">12. </w:t>
      </w:r>
      <w:r w:rsidR="009E0597" w:rsidRPr="001C2B34">
        <w:rPr>
          <w:rFonts w:ascii="Times New Roman" w:hAnsi="Times New Roman"/>
          <w:b/>
          <w:bCs/>
          <w:sz w:val="24"/>
          <w:szCs w:val="24"/>
        </w:rPr>
        <w:t>ESTIMATE OF BURDEN HOURS FOR INFORMATION REQUESTED</w:t>
      </w:r>
      <w:r w:rsidR="00A613EE" w:rsidRPr="001C2B34">
        <w:rPr>
          <w:rFonts w:ascii="Times New Roman" w:hAnsi="Times New Roman"/>
        </w:rPr>
        <w:br/>
      </w:r>
    </w:p>
    <w:p w:rsidR="00091B72" w:rsidRPr="002F6FE2" w:rsidRDefault="00091B72" w:rsidP="007D07D8">
      <w:pPr>
        <w:ind w:left="360"/>
        <w:rPr>
          <w:rFonts w:ascii="Times New Roman" w:hAnsi="Times New Roman"/>
          <w:sz w:val="24"/>
          <w:szCs w:val="24"/>
        </w:rPr>
      </w:pPr>
      <w:r w:rsidRPr="002F6FE2">
        <w:rPr>
          <w:rFonts w:ascii="Times New Roman" w:hAnsi="Times New Roman"/>
          <w:sz w:val="24"/>
          <w:szCs w:val="24"/>
        </w:rPr>
        <w:t>For this qualitative effort, a sample of 60 individuals who have indicated a willingness to participate in a series of two 30 minute in-depth interviews (60 minutes total) will be obtained through the use of a screener. Individuals will be informed during the screening process that they will receive a $</w:t>
      </w:r>
      <w:r w:rsidR="007506BB">
        <w:rPr>
          <w:rFonts w:ascii="Times New Roman" w:hAnsi="Times New Roman"/>
          <w:sz w:val="24"/>
          <w:szCs w:val="24"/>
        </w:rPr>
        <w:t>7</w:t>
      </w:r>
      <w:r w:rsidRPr="002F6FE2">
        <w:rPr>
          <w:rFonts w:ascii="Times New Roman" w:hAnsi="Times New Roman"/>
          <w:sz w:val="24"/>
          <w:szCs w:val="24"/>
        </w:rPr>
        <w:t xml:space="preserve">0 incentive if they are selected and complete both in-depth interviews. The sample will include </w:t>
      </w:r>
      <w:r>
        <w:rPr>
          <w:rFonts w:ascii="Times New Roman" w:hAnsi="Times New Roman"/>
          <w:sz w:val="24"/>
          <w:szCs w:val="24"/>
        </w:rPr>
        <w:t>30</w:t>
      </w:r>
      <w:r w:rsidRPr="002F6FE2">
        <w:rPr>
          <w:rFonts w:ascii="Times New Roman" w:hAnsi="Times New Roman"/>
          <w:sz w:val="24"/>
          <w:szCs w:val="24"/>
        </w:rPr>
        <w:t xml:space="preserve"> individuals who meet the Recent Mover criterion (those who were the primary decision maker for hiring a professional mover, to conduct an interstate move, completed within 12 months) and </w:t>
      </w:r>
      <w:r>
        <w:rPr>
          <w:rFonts w:ascii="Times New Roman" w:hAnsi="Times New Roman"/>
          <w:sz w:val="24"/>
          <w:szCs w:val="24"/>
        </w:rPr>
        <w:t>30</w:t>
      </w:r>
      <w:r w:rsidRPr="002F6FE2">
        <w:rPr>
          <w:rFonts w:ascii="Times New Roman" w:hAnsi="Times New Roman"/>
          <w:sz w:val="24"/>
          <w:szCs w:val="24"/>
        </w:rPr>
        <w:t xml:space="preserve"> who meet the Pre-Mover criterion (those who are currently the primary decision maker for planning an upcoming move with a professional mover, to conduct an interstate mover in the next 6 months).</w:t>
      </w:r>
    </w:p>
    <w:p w:rsidR="00091B72" w:rsidRPr="002F6FE2" w:rsidRDefault="00091B72" w:rsidP="007D07D8">
      <w:pPr>
        <w:ind w:left="360"/>
        <w:rPr>
          <w:rFonts w:ascii="Times New Roman" w:hAnsi="Times New Roman"/>
          <w:sz w:val="24"/>
          <w:szCs w:val="24"/>
        </w:rPr>
      </w:pPr>
    </w:p>
    <w:p w:rsidR="00091B72" w:rsidRDefault="00091B72" w:rsidP="007D07D8">
      <w:pPr>
        <w:ind w:left="360"/>
        <w:rPr>
          <w:rFonts w:ascii="Times New Roman" w:hAnsi="Times New Roman"/>
          <w:sz w:val="24"/>
          <w:szCs w:val="24"/>
        </w:rPr>
      </w:pPr>
      <w:r w:rsidRPr="002F6FE2">
        <w:rPr>
          <w:rFonts w:ascii="Times New Roman" w:hAnsi="Times New Roman"/>
          <w:sz w:val="24"/>
          <w:szCs w:val="24"/>
        </w:rPr>
        <w:t xml:space="preserve">Although a sample of 60 individuals will be obtained, a total of 30 interviews will be completed. A total of 15 interviews will be completed with individuals who meet the Recent Mover criterion and a total of 15 interviews will be conducted with individuals who meet the Pre-Mover criterion. Despite the fact that participants have been prescreened for the proper experiential and voluntary prerequisites, a total of 60 participants will be recruited to ensure completion of 30 interviews in an effort to account for potential non-participation or disqualification from the interview process.  </w:t>
      </w:r>
    </w:p>
    <w:p w:rsidR="00CE7FC6" w:rsidRDefault="00CE7FC6" w:rsidP="007D07D8">
      <w:pPr>
        <w:ind w:left="360"/>
        <w:rPr>
          <w:rFonts w:ascii="Times New Roman" w:hAnsi="Times New Roman"/>
          <w:sz w:val="24"/>
          <w:szCs w:val="24"/>
        </w:rPr>
      </w:pPr>
    </w:p>
    <w:p w:rsidR="00091B72" w:rsidRPr="002F6FE2" w:rsidRDefault="00CE7FC6" w:rsidP="007D07D8">
      <w:pPr>
        <w:ind w:left="360"/>
        <w:rPr>
          <w:rFonts w:ascii="Times New Roman" w:hAnsi="Times New Roman"/>
          <w:sz w:val="24"/>
          <w:szCs w:val="24"/>
        </w:rPr>
      </w:pPr>
      <w:r>
        <w:rPr>
          <w:rFonts w:ascii="Times New Roman" w:hAnsi="Times New Roman"/>
          <w:sz w:val="24"/>
          <w:szCs w:val="24"/>
        </w:rPr>
        <w:t>T</w:t>
      </w:r>
      <w:r w:rsidR="00091B72">
        <w:rPr>
          <w:rFonts w:ascii="Times New Roman" w:hAnsi="Times New Roman"/>
          <w:sz w:val="24"/>
          <w:szCs w:val="24"/>
        </w:rPr>
        <w:t>here will be a total of 30 respondents who will complete approximately 75 minutes of participation time</w:t>
      </w:r>
      <w:r>
        <w:rPr>
          <w:rFonts w:ascii="Times New Roman" w:hAnsi="Times New Roman"/>
          <w:sz w:val="24"/>
          <w:szCs w:val="24"/>
        </w:rPr>
        <w:t xml:space="preserve">. </w:t>
      </w:r>
      <w:r w:rsidR="00425961">
        <w:rPr>
          <w:rFonts w:ascii="Times New Roman" w:hAnsi="Times New Roman"/>
          <w:sz w:val="24"/>
          <w:szCs w:val="24"/>
        </w:rPr>
        <w:t xml:space="preserve">Each of the two interviews will last approximately 30 minutes and participants will be asked to complete a 15-minute Persona and Emotion Sheet exercise. </w:t>
      </w:r>
      <w:r>
        <w:rPr>
          <w:rFonts w:ascii="Times New Roman" w:hAnsi="Times New Roman"/>
          <w:sz w:val="24"/>
          <w:szCs w:val="24"/>
        </w:rPr>
        <w:t>Because there is only one option (online or via phone) to participate in the research, the time burden will remain constant throughout the study. As a result,</w:t>
      </w:r>
      <w:r w:rsidR="00091B72">
        <w:rPr>
          <w:rFonts w:ascii="Times New Roman" w:hAnsi="Times New Roman"/>
          <w:sz w:val="24"/>
          <w:szCs w:val="24"/>
        </w:rPr>
        <w:t xml:space="preserve"> there will be a total of 37.5 burden hours </w:t>
      </w:r>
      <w:r w:rsidR="007D07D8">
        <w:rPr>
          <w:rFonts w:ascii="Times New Roman" w:hAnsi="Times New Roman"/>
          <w:sz w:val="24"/>
          <w:szCs w:val="24"/>
        </w:rPr>
        <w:t xml:space="preserve">(30 respondents x 75 minutes </w:t>
      </w:r>
      <w:r w:rsidR="00091B72">
        <w:rPr>
          <w:rFonts w:ascii="Times New Roman" w:hAnsi="Times New Roman"/>
          <w:sz w:val="24"/>
          <w:szCs w:val="24"/>
        </w:rPr>
        <w:t>= 2,250</w:t>
      </w:r>
      <w:r w:rsidR="007D07D8">
        <w:rPr>
          <w:rFonts w:ascii="Times New Roman" w:hAnsi="Times New Roman"/>
          <w:sz w:val="24"/>
          <w:szCs w:val="24"/>
        </w:rPr>
        <w:t xml:space="preserve"> minutes</w:t>
      </w:r>
      <w:r w:rsidR="00091B72">
        <w:rPr>
          <w:rFonts w:ascii="Times New Roman" w:hAnsi="Times New Roman"/>
          <w:sz w:val="24"/>
          <w:szCs w:val="24"/>
        </w:rPr>
        <w:t>/6</w:t>
      </w:r>
      <w:r w:rsidR="007D07D8">
        <w:rPr>
          <w:rFonts w:ascii="Times New Roman" w:hAnsi="Times New Roman"/>
          <w:sz w:val="24"/>
          <w:szCs w:val="24"/>
        </w:rPr>
        <w:t>0</w:t>
      </w:r>
      <w:r w:rsidR="00091B72">
        <w:rPr>
          <w:rFonts w:ascii="Times New Roman" w:hAnsi="Times New Roman"/>
          <w:sz w:val="24"/>
          <w:szCs w:val="24"/>
        </w:rPr>
        <w:t xml:space="preserve"> = 37.5 hours). Using U.</w:t>
      </w:r>
      <w:r w:rsidR="00CA3269">
        <w:rPr>
          <w:rFonts w:ascii="Times New Roman" w:hAnsi="Times New Roman"/>
          <w:sz w:val="24"/>
          <w:szCs w:val="24"/>
        </w:rPr>
        <w:t>S.</w:t>
      </w:r>
      <w:r w:rsidR="00091B72">
        <w:rPr>
          <w:rFonts w:ascii="Times New Roman" w:hAnsi="Times New Roman"/>
          <w:sz w:val="24"/>
          <w:szCs w:val="24"/>
        </w:rPr>
        <w:t xml:space="preserve"> Department of </w:t>
      </w:r>
      <w:r>
        <w:rPr>
          <w:rFonts w:ascii="Times New Roman" w:hAnsi="Times New Roman"/>
          <w:sz w:val="24"/>
          <w:szCs w:val="24"/>
        </w:rPr>
        <w:t>L</w:t>
      </w:r>
      <w:r w:rsidR="00091B72">
        <w:rPr>
          <w:rFonts w:ascii="Times New Roman" w:hAnsi="Times New Roman"/>
          <w:sz w:val="24"/>
          <w:szCs w:val="24"/>
        </w:rPr>
        <w:t>abor statistics, it was determined that the hourly wage of employees on private non-farm payrolls is $23.87 (as of April 2013). Using that as a proxy for the value of a participant’s time, we come up with a total cost of $895.13 (37.5 hours x $23.87 = $895.13).</w:t>
      </w:r>
    </w:p>
    <w:p w:rsidR="001C2B34" w:rsidRDefault="001C2B34" w:rsidP="007D07D8">
      <w:pPr>
        <w:ind w:left="360"/>
        <w:rPr>
          <w:rFonts w:ascii="Times New Roman" w:hAnsi="Times New Roman"/>
          <w:sz w:val="24"/>
          <w:szCs w:val="24"/>
        </w:rPr>
      </w:pPr>
    </w:p>
    <w:p w:rsidR="00091B72" w:rsidRPr="007D2128" w:rsidRDefault="00091B72" w:rsidP="00091B72">
      <w:pPr>
        <w:rPr>
          <w:i/>
          <w:iCs/>
        </w:rPr>
      </w:pPr>
      <w:r w:rsidRPr="007D2128">
        <w:rPr>
          <w:b/>
          <w:bCs/>
        </w:rPr>
        <w:t>BURDEN HOURS</w:t>
      </w:r>
      <w:r w:rsidRPr="007D2128">
        <w:t xml:space="preserve"> </w:t>
      </w:r>
    </w:p>
    <w:p w:rsidR="00091B72" w:rsidRPr="007D2128" w:rsidRDefault="00091B72" w:rsidP="00091B72">
      <w:pPr>
        <w:keepNext/>
        <w:keepLines/>
        <w:rPr>
          <w:b/>
          <w:bCs/>
        </w:rPr>
      </w:pPr>
    </w:p>
    <w:tbl>
      <w:tblPr>
        <w:tblW w:w="96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1530"/>
        <w:gridCol w:w="1546"/>
        <w:gridCol w:w="1077"/>
      </w:tblGrid>
      <w:tr w:rsidR="00091B72" w:rsidRPr="007D2128" w:rsidTr="00EE365D">
        <w:trPr>
          <w:trHeight w:val="274"/>
        </w:trPr>
        <w:tc>
          <w:tcPr>
            <w:tcW w:w="9661" w:type="dxa"/>
            <w:gridSpan w:val="4"/>
            <w:shd w:val="pct25" w:color="auto" w:fill="auto"/>
          </w:tcPr>
          <w:p w:rsidR="00091B72" w:rsidRPr="007D2128" w:rsidRDefault="00091B72" w:rsidP="00EE365D">
            <w:pPr>
              <w:jc w:val="center"/>
              <w:rPr>
                <w:i/>
                <w:iCs/>
              </w:rPr>
            </w:pPr>
            <w:r w:rsidRPr="007D2128">
              <w:rPr>
                <w:b/>
                <w:bCs/>
              </w:rPr>
              <w:t>Table 1: Burden Hours</w:t>
            </w:r>
          </w:p>
        </w:tc>
      </w:tr>
      <w:tr w:rsidR="00091B72" w:rsidRPr="007D2128" w:rsidTr="00BC0ADA">
        <w:trPr>
          <w:trHeight w:val="629"/>
        </w:trPr>
        <w:tc>
          <w:tcPr>
            <w:tcW w:w="5508" w:type="dxa"/>
          </w:tcPr>
          <w:p w:rsidR="00091B72" w:rsidRPr="007D2128" w:rsidRDefault="00091B72" w:rsidP="00EE365D">
            <w:pPr>
              <w:rPr>
                <w:b/>
                <w:bCs/>
              </w:rPr>
            </w:pPr>
            <w:r w:rsidRPr="007D2128">
              <w:rPr>
                <w:b/>
                <w:bCs/>
              </w:rPr>
              <w:t xml:space="preserve">Category of Respondent </w:t>
            </w:r>
            <w:r w:rsidR="00CA3269">
              <w:rPr>
                <w:b/>
                <w:bCs/>
              </w:rPr>
              <w:t>/ Activity</w:t>
            </w:r>
          </w:p>
        </w:tc>
        <w:tc>
          <w:tcPr>
            <w:tcW w:w="1530" w:type="dxa"/>
          </w:tcPr>
          <w:p w:rsidR="00091B72" w:rsidRPr="007D2128" w:rsidRDefault="00091B72" w:rsidP="00EE365D">
            <w:pPr>
              <w:rPr>
                <w:b/>
                <w:bCs/>
              </w:rPr>
            </w:pPr>
            <w:r w:rsidRPr="007D2128">
              <w:rPr>
                <w:b/>
                <w:bCs/>
              </w:rPr>
              <w:t>No. of Respondents</w:t>
            </w:r>
          </w:p>
        </w:tc>
        <w:tc>
          <w:tcPr>
            <w:tcW w:w="1546" w:type="dxa"/>
          </w:tcPr>
          <w:p w:rsidR="00091B72" w:rsidRPr="007D2128" w:rsidRDefault="00091B72" w:rsidP="00EE365D">
            <w:pPr>
              <w:rPr>
                <w:b/>
                <w:bCs/>
              </w:rPr>
            </w:pPr>
            <w:r w:rsidRPr="007D2128">
              <w:rPr>
                <w:b/>
                <w:bCs/>
              </w:rPr>
              <w:t>Participation Time</w:t>
            </w:r>
          </w:p>
        </w:tc>
        <w:tc>
          <w:tcPr>
            <w:tcW w:w="1077" w:type="dxa"/>
          </w:tcPr>
          <w:p w:rsidR="00091B72" w:rsidRPr="007D2128" w:rsidRDefault="00091B72" w:rsidP="00EE365D">
            <w:pPr>
              <w:rPr>
                <w:b/>
                <w:bCs/>
              </w:rPr>
            </w:pPr>
            <w:r w:rsidRPr="007D2128">
              <w:rPr>
                <w:b/>
                <w:bCs/>
              </w:rPr>
              <w:t>Burden</w:t>
            </w:r>
          </w:p>
          <w:p w:rsidR="00091B72" w:rsidRPr="007D2128" w:rsidRDefault="00091B72" w:rsidP="00EE365D">
            <w:pPr>
              <w:rPr>
                <w:b/>
                <w:bCs/>
              </w:rPr>
            </w:pPr>
            <w:r w:rsidRPr="007D2128">
              <w:rPr>
                <w:b/>
                <w:bCs/>
              </w:rPr>
              <w:t>Hours</w:t>
            </w:r>
          </w:p>
        </w:tc>
      </w:tr>
      <w:tr w:rsidR="00091B72" w:rsidRPr="007D2128" w:rsidTr="00BC0ADA">
        <w:trPr>
          <w:trHeight w:val="274"/>
        </w:trPr>
        <w:tc>
          <w:tcPr>
            <w:tcW w:w="5508" w:type="dxa"/>
          </w:tcPr>
          <w:p w:rsidR="00091B72" w:rsidRPr="007D2128" w:rsidRDefault="00425961" w:rsidP="00EE365D">
            <w:r>
              <w:t xml:space="preserve">FMCSA Customer Universe: </w:t>
            </w:r>
            <w:r w:rsidR="00CA3269">
              <w:t>Interview 1</w:t>
            </w:r>
            <w:r w:rsidR="00091B72" w:rsidRPr="007D2128">
              <w:t xml:space="preserve"> </w:t>
            </w:r>
          </w:p>
        </w:tc>
        <w:tc>
          <w:tcPr>
            <w:tcW w:w="1530" w:type="dxa"/>
          </w:tcPr>
          <w:p w:rsidR="00091B72" w:rsidRPr="007D2128" w:rsidRDefault="00091B72" w:rsidP="00EE365D">
            <w:r w:rsidRPr="007D2128">
              <w:t>30</w:t>
            </w:r>
          </w:p>
        </w:tc>
        <w:tc>
          <w:tcPr>
            <w:tcW w:w="1546" w:type="dxa"/>
          </w:tcPr>
          <w:p w:rsidR="00091B72" w:rsidRPr="007D2128" w:rsidRDefault="00CA3269" w:rsidP="00EE365D">
            <w:r>
              <w:t xml:space="preserve">30 </w:t>
            </w:r>
            <w:r w:rsidR="00C97148">
              <w:t>minutes</w:t>
            </w:r>
          </w:p>
        </w:tc>
        <w:tc>
          <w:tcPr>
            <w:tcW w:w="1077" w:type="dxa"/>
          </w:tcPr>
          <w:p w:rsidR="00091B72" w:rsidRPr="007D2128" w:rsidRDefault="00CA3269" w:rsidP="00EE365D">
            <w:r>
              <w:t>15</w:t>
            </w:r>
          </w:p>
        </w:tc>
      </w:tr>
      <w:tr w:rsidR="00CA3269" w:rsidRPr="007D2128" w:rsidTr="00BC0ADA">
        <w:trPr>
          <w:trHeight w:val="274"/>
        </w:trPr>
        <w:tc>
          <w:tcPr>
            <w:tcW w:w="5508" w:type="dxa"/>
          </w:tcPr>
          <w:p w:rsidR="00CA3269" w:rsidRPr="007D2128" w:rsidRDefault="00425961" w:rsidP="00EE365D">
            <w:r>
              <w:t xml:space="preserve">FMCSA Customer Universe: </w:t>
            </w:r>
            <w:r w:rsidR="00CA3269">
              <w:t>Persona and Emotion Sheets</w:t>
            </w:r>
          </w:p>
        </w:tc>
        <w:tc>
          <w:tcPr>
            <w:tcW w:w="1530" w:type="dxa"/>
          </w:tcPr>
          <w:p w:rsidR="00CA3269" w:rsidRPr="007D2128" w:rsidRDefault="00CA3269" w:rsidP="00EE365D">
            <w:r>
              <w:t>30</w:t>
            </w:r>
          </w:p>
        </w:tc>
        <w:tc>
          <w:tcPr>
            <w:tcW w:w="1546" w:type="dxa"/>
          </w:tcPr>
          <w:p w:rsidR="00CA3269" w:rsidRDefault="00CA3269" w:rsidP="00EE365D">
            <w:r>
              <w:t>15 minutes</w:t>
            </w:r>
          </w:p>
        </w:tc>
        <w:tc>
          <w:tcPr>
            <w:tcW w:w="1077" w:type="dxa"/>
          </w:tcPr>
          <w:p w:rsidR="00CA3269" w:rsidRPr="007D2128" w:rsidRDefault="00CA3269" w:rsidP="00EE365D">
            <w:r>
              <w:t>7.5</w:t>
            </w:r>
          </w:p>
        </w:tc>
      </w:tr>
      <w:tr w:rsidR="00CA3269" w:rsidRPr="007D2128" w:rsidTr="00BC0ADA">
        <w:trPr>
          <w:trHeight w:val="274"/>
        </w:trPr>
        <w:tc>
          <w:tcPr>
            <w:tcW w:w="5508" w:type="dxa"/>
          </w:tcPr>
          <w:p w:rsidR="00CA3269" w:rsidRDefault="00425961" w:rsidP="00EE365D">
            <w:r>
              <w:t xml:space="preserve">FMCSA Customer Universe: </w:t>
            </w:r>
            <w:r w:rsidR="00CA3269">
              <w:t>Interview 2</w:t>
            </w:r>
          </w:p>
        </w:tc>
        <w:tc>
          <w:tcPr>
            <w:tcW w:w="1530" w:type="dxa"/>
          </w:tcPr>
          <w:p w:rsidR="00CA3269" w:rsidRDefault="00CA3269" w:rsidP="00EE365D">
            <w:r>
              <w:t>30</w:t>
            </w:r>
          </w:p>
        </w:tc>
        <w:tc>
          <w:tcPr>
            <w:tcW w:w="1546" w:type="dxa"/>
          </w:tcPr>
          <w:p w:rsidR="00CA3269" w:rsidRDefault="00CA3269" w:rsidP="00EE365D">
            <w:r>
              <w:t>30 minutes</w:t>
            </w:r>
          </w:p>
        </w:tc>
        <w:tc>
          <w:tcPr>
            <w:tcW w:w="1077" w:type="dxa"/>
          </w:tcPr>
          <w:p w:rsidR="00CA3269" w:rsidRPr="007D2128" w:rsidRDefault="00CA3269" w:rsidP="00EE365D">
            <w:r>
              <w:t>15</w:t>
            </w:r>
          </w:p>
        </w:tc>
      </w:tr>
      <w:tr w:rsidR="00091B72" w:rsidRPr="007D2128" w:rsidTr="00BC0ADA">
        <w:trPr>
          <w:trHeight w:val="289"/>
        </w:trPr>
        <w:tc>
          <w:tcPr>
            <w:tcW w:w="5508" w:type="dxa"/>
            <w:shd w:val="solid" w:color="auto" w:fill="auto"/>
          </w:tcPr>
          <w:p w:rsidR="00091B72" w:rsidRPr="007D2128" w:rsidRDefault="00091B72" w:rsidP="00EE365D"/>
        </w:tc>
        <w:tc>
          <w:tcPr>
            <w:tcW w:w="1530" w:type="dxa"/>
          </w:tcPr>
          <w:p w:rsidR="00091B72" w:rsidRPr="007D2128" w:rsidRDefault="00091B72" w:rsidP="00EE365D">
            <w:pPr>
              <w:rPr>
                <w:b/>
                <w:bCs/>
              </w:rPr>
            </w:pPr>
            <w:r w:rsidRPr="007D2128">
              <w:rPr>
                <w:b/>
                <w:bCs/>
              </w:rPr>
              <w:t>No. of Respondents</w:t>
            </w:r>
          </w:p>
        </w:tc>
        <w:tc>
          <w:tcPr>
            <w:tcW w:w="1546" w:type="dxa"/>
          </w:tcPr>
          <w:p w:rsidR="00091B72" w:rsidRPr="007D2128" w:rsidRDefault="00091B72" w:rsidP="00EE365D">
            <w:pPr>
              <w:rPr>
                <w:b/>
                <w:bCs/>
              </w:rPr>
            </w:pPr>
            <w:r w:rsidRPr="007D2128">
              <w:rPr>
                <w:b/>
                <w:bCs/>
              </w:rPr>
              <w:t>Burden Hours</w:t>
            </w:r>
          </w:p>
        </w:tc>
        <w:tc>
          <w:tcPr>
            <w:tcW w:w="1077" w:type="dxa"/>
          </w:tcPr>
          <w:p w:rsidR="00091B72" w:rsidRPr="007D2128" w:rsidRDefault="00091B72" w:rsidP="00EE365D">
            <w:pPr>
              <w:rPr>
                <w:b/>
                <w:bCs/>
              </w:rPr>
            </w:pPr>
            <w:r w:rsidRPr="007D2128">
              <w:rPr>
                <w:b/>
                <w:bCs/>
              </w:rPr>
              <w:t>Cost</w:t>
            </w:r>
          </w:p>
        </w:tc>
      </w:tr>
      <w:tr w:rsidR="00091B72" w:rsidRPr="007D2128" w:rsidTr="00BC0ADA">
        <w:trPr>
          <w:trHeight w:val="289"/>
        </w:trPr>
        <w:tc>
          <w:tcPr>
            <w:tcW w:w="5508" w:type="dxa"/>
            <w:shd w:val="clear" w:color="auto" w:fill="auto"/>
          </w:tcPr>
          <w:p w:rsidR="00091B72" w:rsidRPr="007D2128" w:rsidRDefault="00091B72" w:rsidP="00EE365D">
            <w:r w:rsidRPr="007D2128">
              <w:lastRenderedPageBreak/>
              <w:t>TOTAL ANNUALIZED Cost to Respondents</w:t>
            </w:r>
          </w:p>
        </w:tc>
        <w:tc>
          <w:tcPr>
            <w:tcW w:w="1530" w:type="dxa"/>
          </w:tcPr>
          <w:p w:rsidR="00091B72" w:rsidRPr="007D2128" w:rsidRDefault="00091B72" w:rsidP="00EE365D">
            <w:pPr>
              <w:rPr>
                <w:b/>
                <w:bCs/>
              </w:rPr>
            </w:pPr>
            <w:r w:rsidRPr="007D2128">
              <w:rPr>
                <w:b/>
                <w:bCs/>
              </w:rPr>
              <w:t>30</w:t>
            </w:r>
          </w:p>
        </w:tc>
        <w:tc>
          <w:tcPr>
            <w:tcW w:w="1546" w:type="dxa"/>
          </w:tcPr>
          <w:p w:rsidR="00091B72" w:rsidRPr="007D2128" w:rsidRDefault="00091B72" w:rsidP="00EE365D">
            <w:pPr>
              <w:rPr>
                <w:b/>
                <w:bCs/>
              </w:rPr>
            </w:pPr>
            <w:r>
              <w:rPr>
                <w:b/>
                <w:bCs/>
              </w:rPr>
              <w:t>37.5</w:t>
            </w:r>
          </w:p>
        </w:tc>
        <w:tc>
          <w:tcPr>
            <w:tcW w:w="1077" w:type="dxa"/>
          </w:tcPr>
          <w:p w:rsidR="00091B72" w:rsidRPr="007D2128" w:rsidRDefault="00091B72" w:rsidP="00091B72">
            <w:pPr>
              <w:rPr>
                <w:b/>
                <w:bCs/>
              </w:rPr>
            </w:pPr>
            <w:r w:rsidRPr="007D2128">
              <w:rPr>
                <w:b/>
                <w:bCs/>
              </w:rPr>
              <w:t>$</w:t>
            </w:r>
            <w:r>
              <w:rPr>
                <w:b/>
                <w:bCs/>
              </w:rPr>
              <w:t>895</w:t>
            </w:r>
            <w:r w:rsidRPr="007D2128">
              <w:rPr>
                <w:b/>
                <w:bCs/>
              </w:rPr>
              <w:t>.</w:t>
            </w:r>
            <w:r>
              <w:rPr>
                <w:b/>
                <w:bCs/>
              </w:rPr>
              <w:t>13</w:t>
            </w:r>
            <w:r w:rsidRPr="007D2128">
              <w:rPr>
                <w:rStyle w:val="FootnoteReference"/>
                <w:b/>
                <w:bCs/>
              </w:rPr>
              <w:footnoteReference w:id="2"/>
            </w:r>
          </w:p>
        </w:tc>
      </w:tr>
    </w:tbl>
    <w:p w:rsidR="00767AA6" w:rsidRDefault="00767AA6" w:rsidP="00F528EE">
      <w:pPr>
        <w:ind w:left="360"/>
        <w:rPr>
          <w:rFonts w:ascii="Times New Roman" w:hAnsi="Times New Roman"/>
          <w:b/>
          <w:sz w:val="24"/>
          <w:szCs w:val="24"/>
        </w:rPr>
      </w:pPr>
    </w:p>
    <w:p w:rsidR="00C97148" w:rsidRDefault="00C97148" w:rsidP="00F528EE">
      <w:pPr>
        <w:ind w:left="360"/>
        <w:rPr>
          <w:rFonts w:ascii="Times New Roman" w:hAnsi="Times New Roman"/>
          <w:b/>
          <w:sz w:val="24"/>
          <w:szCs w:val="24"/>
        </w:rPr>
      </w:pPr>
      <w:r>
        <w:rPr>
          <w:rFonts w:ascii="Times New Roman" w:hAnsi="Times New Roman"/>
          <w:b/>
          <w:sz w:val="24"/>
          <w:szCs w:val="24"/>
        </w:rPr>
        <w:t>Estimated Annual Number of Respondents: 30</w:t>
      </w:r>
    </w:p>
    <w:p w:rsidR="00C97148" w:rsidRDefault="00C97148" w:rsidP="00F528EE">
      <w:pPr>
        <w:ind w:left="360"/>
        <w:rPr>
          <w:rFonts w:ascii="Times New Roman" w:hAnsi="Times New Roman"/>
          <w:b/>
          <w:sz w:val="24"/>
          <w:szCs w:val="24"/>
        </w:rPr>
      </w:pPr>
    </w:p>
    <w:p w:rsidR="002F3428" w:rsidRPr="002F3428" w:rsidRDefault="00C97148" w:rsidP="00F528EE">
      <w:pPr>
        <w:ind w:left="360"/>
        <w:rPr>
          <w:rFonts w:ascii="Times New Roman" w:hAnsi="Times New Roman"/>
          <w:sz w:val="24"/>
          <w:szCs w:val="24"/>
        </w:rPr>
      </w:pPr>
      <w:r>
        <w:rPr>
          <w:rFonts w:ascii="Times New Roman" w:hAnsi="Times New Roman"/>
          <w:b/>
          <w:sz w:val="24"/>
          <w:szCs w:val="24"/>
        </w:rPr>
        <w:t xml:space="preserve">Estimated Annual Number of Responses:  </w:t>
      </w:r>
      <w:r w:rsidR="002F3428">
        <w:rPr>
          <w:rFonts w:ascii="Times New Roman" w:hAnsi="Times New Roman"/>
          <w:b/>
          <w:sz w:val="24"/>
          <w:szCs w:val="24"/>
        </w:rPr>
        <w:t>90 responses</w:t>
      </w:r>
      <w:r w:rsidR="002F3428">
        <w:rPr>
          <w:rFonts w:ascii="Times New Roman" w:hAnsi="Times New Roman"/>
          <w:sz w:val="24"/>
          <w:szCs w:val="24"/>
        </w:rPr>
        <w:t xml:space="preserve"> [30 responses for Interview 1 + 30 responses for Persona and Emotion Sheets + 30 responses for Interview 2 = 90]</w:t>
      </w:r>
    </w:p>
    <w:p w:rsidR="00C97148" w:rsidRDefault="00C97148" w:rsidP="00F528EE">
      <w:pPr>
        <w:ind w:left="360"/>
        <w:rPr>
          <w:rFonts w:ascii="Times New Roman" w:hAnsi="Times New Roman"/>
          <w:b/>
          <w:sz w:val="24"/>
          <w:szCs w:val="24"/>
        </w:rPr>
      </w:pPr>
    </w:p>
    <w:p w:rsidR="00C97148" w:rsidRPr="00C97148" w:rsidRDefault="00C97148" w:rsidP="00F528EE">
      <w:pPr>
        <w:ind w:left="360"/>
        <w:rPr>
          <w:rFonts w:ascii="Times New Roman" w:hAnsi="Times New Roman"/>
          <w:sz w:val="24"/>
          <w:szCs w:val="24"/>
        </w:rPr>
      </w:pPr>
      <w:r>
        <w:rPr>
          <w:rFonts w:ascii="Times New Roman" w:hAnsi="Times New Roman"/>
          <w:b/>
          <w:sz w:val="24"/>
          <w:szCs w:val="24"/>
        </w:rPr>
        <w:t xml:space="preserve">Estimated Annual Burden Hours:  </w:t>
      </w:r>
      <w:r w:rsidR="002F3428">
        <w:rPr>
          <w:rFonts w:ascii="Times New Roman" w:hAnsi="Times New Roman"/>
          <w:b/>
          <w:sz w:val="24"/>
          <w:szCs w:val="24"/>
        </w:rPr>
        <w:t>38</w:t>
      </w:r>
      <w:r>
        <w:rPr>
          <w:rFonts w:ascii="Times New Roman" w:hAnsi="Times New Roman"/>
          <w:b/>
          <w:sz w:val="24"/>
          <w:szCs w:val="24"/>
        </w:rPr>
        <w:t xml:space="preserve"> hours</w:t>
      </w:r>
      <w:r>
        <w:rPr>
          <w:rFonts w:ascii="Times New Roman" w:hAnsi="Times New Roman"/>
          <w:sz w:val="24"/>
          <w:szCs w:val="24"/>
        </w:rPr>
        <w:t xml:space="preserve"> [30 respondents x </w:t>
      </w:r>
      <w:r w:rsidR="00425961">
        <w:rPr>
          <w:rFonts w:ascii="Times New Roman" w:hAnsi="Times New Roman"/>
          <w:sz w:val="24"/>
          <w:szCs w:val="24"/>
        </w:rPr>
        <w:t xml:space="preserve">30 minutes Interview 1 x 15 minutes Persona and Emotion Sheets x 30 minutes Interview </w:t>
      </w:r>
      <w:r w:rsidR="00DE52E4">
        <w:rPr>
          <w:rFonts w:ascii="Times New Roman" w:hAnsi="Times New Roman"/>
          <w:sz w:val="24"/>
          <w:szCs w:val="24"/>
        </w:rPr>
        <w:t>2 =</w:t>
      </w:r>
      <w:r>
        <w:rPr>
          <w:rFonts w:ascii="Times New Roman" w:hAnsi="Times New Roman"/>
          <w:sz w:val="24"/>
          <w:szCs w:val="24"/>
        </w:rPr>
        <w:t xml:space="preserve"> 37.5</w:t>
      </w:r>
      <w:r w:rsidR="002F3428">
        <w:rPr>
          <w:rFonts w:ascii="Times New Roman" w:hAnsi="Times New Roman"/>
          <w:sz w:val="24"/>
          <w:szCs w:val="24"/>
        </w:rPr>
        <w:t xml:space="preserve"> rounded to 38</w:t>
      </w:r>
    </w:p>
    <w:p w:rsidR="001C2B34" w:rsidRDefault="001C2B34" w:rsidP="00F528EE">
      <w:pPr>
        <w:ind w:left="360"/>
        <w:rPr>
          <w:rFonts w:ascii="Times New Roman" w:hAnsi="Times New Roman"/>
          <w:sz w:val="24"/>
          <w:szCs w:val="24"/>
        </w:rPr>
      </w:pPr>
    </w:p>
    <w:p w:rsidR="00FE5895" w:rsidRDefault="009E0597" w:rsidP="007D07D8">
      <w:pPr>
        <w:numPr>
          <w:ilvl w:val="0"/>
          <w:numId w:val="31"/>
        </w:numPr>
        <w:rPr>
          <w:rFonts w:ascii="Times New Roman" w:hAnsi="Times New Roman"/>
        </w:rPr>
      </w:pPr>
      <w:r w:rsidRPr="009E43F8">
        <w:rPr>
          <w:rFonts w:ascii="Times New Roman" w:hAnsi="Times New Roman"/>
          <w:b/>
          <w:bCs/>
          <w:sz w:val="24"/>
          <w:szCs w:val="24"/>
        </w:rPr>
        <w:t>ESTIMATE OF TOTAL ANNUAL COSTS TO RESPONDENTS</w:t>
      </w:r>
      <w:r>
        <w:rPr>
          <w:rFonts w:ascii="Times New Roman" w:hAnsi="Times New Roman"/>
          <w:b/>
          <w:bCs/>
          <w:sz w:val="24"/>
          <w:szCs w:val="24"/>
        </w:rPr>
        <w:br/>
      </w:r>
    </w:p>
    <w:p w:rsidR="009639FC" w:rsidRPr="00A73EBC" w:rsidRDefault="00A73EBC" w:rsidP="009639FC">
      <w:pPr>
        <w:ind w:left="360"/>
        <w:rPr>
          <w:rFonts w:ascii="Times New Roman" w:hAnsi="Times New Roman"/>
          <w:sz w:val="24"/>
          <w:szCs w:val="24"/>
        </w:rPr>
      </w:pPr>
      <w:r>
        <w:rPr>
          <w:rFonts w:ascii="Times New Roman" w:hAnsi="Times New Roman"/>
          <w:sz w:val="24"/>
          <w:szCs w:val="24"/>
        </w:rPr>
        <w:t>No costs are anticipated.</w:t>
      </w:r>
    </w:p>
    <w:p w:rsidR="007D07D8" w:rsidRDefault="007D07D8" w:rsidP="007D07D8">
      <w:pPr>
        <w:rPr>
          <w:rFonts w:ascii="Times New Roman" w:hAnsi="Times New Roman"/>
        </w:rPr>
      </w:pPr>
    </w:p>
    <w:p w:rsidR="007D07D8" w:rsidRPr="005612EB" w:rsidRDefault="007D07D8" w:rsidP="007D07D8">
      <w:pPr>
        <w:rPr>
          <w:rFonts w:ascii="Times New Roman" w:hAnsi="Times New Roman"/>
        </w:rPr>
      </w:pPr>
    </w:p>
    <w:p w:rsidR="00FE5895" w:rsidRDefault="00CB46D4" w:rsidP="00C50FE9">
      <w:pPr>
        <w:numPr>
          <w:ilvl w:val="0"/>
          <w:numId w:val="31"/>
        </w:numPr>
        <w:rPr>
          <w:rFonts w:ascii="Times New Roman" w:hAnsi="Times New Roman"/>
        </w:rPr>
      </w:pPr>
      <w:r w:rsidRPr="009E43F8">
        <w:rPr>
          <w:rFonts w:ascii="Times New Roman" w:hAnsi="Times New Roman"/>
          <w:b/>
          <w:bCs/>
          <w:sz w:val="24"/>
          <w:szCs w:val="24"/>
        </w:rPr>
        <w:t>ESTIMATE OF COST TO THE FEDERAL GOVERNMENT</w:t>
      </w:r>
      <w:r>
        <w:rPr>
          <w:rFonts w:ascii="Times New Roman" w:hAnsi="Times New Roman"/>
          <w:b/>
          <w:sz w:val="24"/>
          <w:szCs w:val="24"/>
        </w:rPr>
        <w:br/>
      </w:r>
    </w:p>
    <w:p w:rsidR="00C50FE9" w:rsidRPr="00C50FE9" w:rsidRDefault="00767AA6" w:rsidP="00C50FE9">
      <w:pPr>
        <w:ind w:left="360"/>
        <w:rPr>
          <w:rFonts w:ascii="Times New Roman" w:hAnsi="Times New Roman"/>
          <w:sz w:val="24"/>
          <w:szCs w:val="24"/>
        </w:rPr>
      </w:pPr>
      <w:r>
        <w:rPr>
          <w:rFonts w:ascii="Times New Roman" w:hAnsi="Times New Roman"/>
          <w:sz w:val="24"/>
          <w:szCs w:val="24"/>
        </w:rPr>
        <w:t xml:space="preserve">The estimated cost to the federal government is </w:t>
      </w:r>
      <w:r w:rsidR="00C50FE9">
        <w:rPr>
          <w:rFonts w:ascii="Times New Roman" w:hAnsi="Times New Roman"/>
          <w:sz w:val="24"/>
          <w:szCs w:val="24"/>
        </w:rPr>
        <w:t>$56,250.00</w:t>
      </w:r>
      <w:r>
        <w:rPr>
          <w:rFonts w:ascii="Times New Roman" w:hAnsi="Times New Roman"/>
          <w:sz w:val="24"/>
          <w:szCs w:val="24"/>
        </w:rPr>
        <w:t xml:space="preserve"> under a firm-fixed price contract</w:t>
      </w:r>
      <w:r w:rsidR="00C50FE9">
        <w:rPr>
          <w:rFonts w:ascii="Times New Roman" w:hAnsi="Times New Roman"/>
          <w:sz w:val="24"/>
          <w:szCs w:val="24"/>
        </w:rPr>
        <w:t xml:space="preserve">. </w:t>
      </w:r>
    </w:p>
    <w:p w:rsidR="00C50FE9" w:rsidRPr="005612EB" w:rsidRDefault="00C50FE9" w:rsidP="00C50FE9">
      <w:pPr>
        <w:rPr>
          <w:rFonts w:ascii="Times New Roman" w:hAnsi="Times New Roman"/>
        </w:rPr>
      </w:pPr>
    </w:p>
    <w:p w:rsidR="001C2B34" w:rsidRDefault="00E24314" w:rsidP="00C50FE9">
      <w:pPr>
        <w:numPr>
          <w:ilvl w:val="0"/>
          <w:numId w:val="31"/>
        </w:numPr>
        <w:rPr>
          <w:rFonts w:ascii="Times New Roman" w:hAnsi="Times New Roman"/>
          <w:bCs/>
          <w:sz w:val="24"/>
          <w:szCs w:val="24"/>
        </w:rPr>
      </w:pPr>
      <w:r w:rsidRPr="009E43F8">
        <w:rPr>
          <w:rFonts w:ascii="Times New Roman" w:hAnsi="Times New Roman"/>
          <w:b/>
          <w:bCs/>
          <w:sz w:val="24"/>
          <w:szCs w:val="24"/>
        </w:rPr>
        <w:t>EXPLANATION OF PROGRAM CHANGES OR ADJUSTMENTS</w:t>
      </w:r>
      <w:r>
        <w:rPr>
          <w:rFonts w:ascii="Times New Roman" w:hAnsi="Times New Roman"/>
          <w:bCs/>
          <w:sz w:val="24"/>
          <w:szCs w:val="24"/>
          <w:u w:val="single"/>
        </w:rPr>
        <w:br/>
      </w:r>
    </w:p>
    <w:p w:rsidR="00C50FE9" w:rsidRDefault="00253274" w:rsidP="00C50FE9">
      <w:pPr>
        <w:ind w:left="360"/>
        <w:rPr>
          <w:rFonts w:ascii="Times New Roman" w:hAnsi="Times New Roman"/>
          <w:bCs/>
          <w:sz w:val="24"/>
          <w:szCs w:val="24"/>
        </w:rPr>
      </w:pPr>
      <w:r>
        <w:rPr>
          <w:rFonts w:ascii="Times New Roman" w:hAnsi="Times New Roman"/>
          <w:bCs/>
          <w:sz w:val="24"/>
          <w:szCs w:val="24"/>
        </w:rPr>
        <w:t xml:space="preserve">This program change increase of </w:t>
      </w:r>
      <w:r w:rsidR="00767AA6">
        <w:rPr>
          <w:rFonts w:ascii="Times New Roman" w:hAnsi="Times New Roman"/>
          <w:bCs/>
          <w:sz w:val="24"/>
          <w:szCs w:val="24"/>
        </w:rPr>
        <w:t xml:space="preserve">an estimated </w:t>
      </w:r>
      <w:r>
        <w:rPr>
          <w:rFonts w:ascii="Times New Roman" w:hAnsi="Times New Roman"/>
          <w:bCs/>
          <w:sz w:val="24"/>
          <w:szCs w:val="24"/>
        </w:rPr>
        <w:t>3</w:t>
      </w:r>
      <w:r w:rsidR="002F3428">
        <w:rPr>
          <w:rFonts w:ascii="Times New Roman" w:hAnsi="Times New Roman"/>
          <w:bCs/>
          <w:sz w:val="24"/>
          <w:szCs w:val="24"/>
        </w:rPr>
        <w:t>8</w:t>
      </w:r>
      <w:r>
        <w:rPr>
          <w:rFonts w:ascii="Times New Roman" w:hAnsi="Times New Roman"/>
          <w:bCs/>
          <w:sz w:val="24"/>
          <w:szCs w:val="24"/>
        </w:rPr>
        <w:t xml:space="preserve"> annual burden hours is due to a new IC.</w:t>
      </w:r>
    </w:p>
    <w:p w:rsidR="00407E96" w:rsidRPr="005612EB" w:rsidRDefault="00407E96" w:rsidP="008F2CDB">
      <w:pPr>
        <w:rPr>
          <w:rFonts w:ascii="Times New Roman" w:hAnsi="Times New Roman"/>
          <w:bCs/>
          <w:sz w:val="24"/>
          <w:szCs w:val="24"/>
        </w:rPr>
      </w:pPr>
    </w:p>
    <w:p w:rsidR="002D4BEF" w:rsidRPr="00C50FE9" w:rsidRDefault="00E24314" w:rsidP="009D4F72">
      <w:pPr>
        <w:numPr>
          <w:ilvl w:val="0"/>
          <w:numId w:val="31"/>
        </w:numPr>
        <w:rPr>
          <w:rFonts w:ascii="Times New Roman" w:hAnsi="Times New Roman"/>
        </w:rPr>
      </w:pPr>
      <w:r w:rsidRPr="00C50FE9">
        <w:rPr>
          <w:rFonts w:ascii="Times New Roman" w:hAnsi="Times New Roman"/>
          <w:b/>
          <w:bCs/>
          <w:sz w:val="24"/>
          <w:szCs w:val="24"/>
        </w:rPr>
        <w:t>PUBLICATION OF RESULTS OF DATA COLLECTION</w:t>
      </w:r>
      <w:r w:rsidRPr="00C50FE9">
        <w:rPr>
          <w:rFonts w:ascii="Times New Roman" w:hAnsi="Times New Roman"/>
          <w:b/>
          <w:sz w:val="24"/>
          <w:szCs w:val="24"/>
        </w:rPr>
        <w:br/>
      </w:r>
    </w:p>
    <w:p w:rsidR="006A5C08" w:rsidRDefault="005D4076" w:rsidP="00C50FE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firstLine="360"/>
        <w:rPr>
          <w:rFonts w:ascii="Times New Roman" w:hAnsi="Times New Roman"/>
          <w:color w:val="auto"/>
        </w:rPr>
      </w:pPr>
      <w:r>
        <w:rPr>
          <w:rFonts w:ascii="Times New Roman" w:hAnsi="Times New Roman"/>
          <w:color w:val="auto"/>
        </w:rPr>
        <w:t xml:space="preserve">The results of the information collection will not be published. </w:t>
      </w:r>
      <w:r w:rsidR="00253274">
        <w:rPr>
          <w:rFonts w:ascii="Times New Roman" w:hAnsi="Times New Roman"/>
          <w:color w:val="auto"/>
        </w:rPr>
        <w:t xml:space="preserve">  </w:t>
      </w:r>
    </w:p>
    <w:p w:rsidR="009E2F2D" w:rsidRPr="00FE7FAC" w:rsidRDefault="009E2F2D"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C50FE9" w:rsidRDefault="00E24314" w:rsidP="00C50FE9">
      <w:pPr>
        <w:pStyle w:val="BodyText3"/>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sidRPr="009E43F8">
        <w:rPr>
          <w:rFonts w:ascii="Times New Roman" w:hAnsi="Times New Roman"/>
          <w:b/>
          <w:bCs/>
          <w:color w:val="auto"/>
          <w:szCs w:val="20"/>
        </w:rPr>
        <w:t>APPROVAL FOR NOT DISPLAYING THE EXPIRATION DATE OF OMB APPROVAL</w:t>
      </w:r>
      <w:r>
        <w:rPr>
          <w:rFonts w:ascii="Times New Roman" w:hAnsi="Times New Roman"/>
          <w:bCs/>
          <w:color w:val="auto"/>
          <w:szCs w:val="20"/>
          <w:u w:val="single"/>
        </w:rPr>
        <w:br/>
      </w:r>
    </w:p>
    <w:p w:rsidR="002D4BEF" w:rsidRPr="00FE7FAC" w:rsidRDefault="00AB30DA" w:rsidP="00C50FE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firstLine="360"/>
        <w:rPr>
          <w:rFonts w:ascii="Times New Roman" w:hAnsi="Times New Roman"/>
          <w:color w:val="auto"/>
          <w:szCs w:val="20"/>
        </w:rPr>
      </w:pPr>
      <w:r>
        <w:rPr>
          <w:rFonts w:ascii="Times New Roman" w:hAnsi="Times New Roman"/>
          <w:color w:val="auto"/>
          <w:szCs w:val="20"/>
        </w:rPr>
        <w:t>No</w:t>
      </w:r>
      <w:r w:rsidR="00C97148">
        <w:rPr>
          <w:rFonts w:ascii="Times New Roman" w:hAnsi="Times New Roman"/>
          <w:color w:val="auto"/>
          <w:szCs w:val="20"/>
        </w:rPr>
        <w:t xml:space="preserve"> approval is being sought.</w:t>
      </w:r>
    </w:p>
    <w:p w:rsidR="00E24314" w:rsidRDefault="00E24314" w:rsidP="009E2F2D">
      <w:pPr>
        <w:rPr>
          <w:rFonts w:ascii="Times New Roman" w:hAnsi="Times New Roman"/>
          <w:bCs/>
          <w:sz w:val="24"/>
          <w:szCs w:val="24"/>
          <w:u w:val="single"/>
        </w:rPr>
      </w:pPr>
    </w:p>
    <w:p w:rsidR="00C50FE9" w:rsidRPr="00C50FE9" w:rsidRDefault="00E24314" w:rsidP="00C50FE9">
      <w:pPr>
        <w:numPr>
          <w:ilvl w:val="0"/>
          <w:numId w:val="31"/>
        </w:numPr>
        <w:rPr>
          <w:rFonts w:ascii="Times New Roman" w:hAnsi="Times New Roman"/>
          <w:bCs/>
        </w:rPr>
      </w:pPr>
      <w:r w:rsidRPr="009E43F8">
        <w:rPr>
          <w:rFonts w:ascii="Times New Roman" w:hAnsi="Times New Roman"/>
          <w:b/>
          <w:bCs/>
          <w:sz w:val="24"/>
          <w:szCs w:val="24"/>
        </w:rPr>
        <w:t>EXCEPTIONS TO CERTIFICATION STATEMEN</w:t>
      </w:r>
      <w:r w:rsidR="00C50FE9">
        <w:rPr>
          <w:rFonts w:ascii="Times New Roman" w:hAnsi="Times New Roman"/>
          <w:b/>
          <w:bCs/>
          <w:sz w:val="24"/>
          <w:szCs w:val="24"/>
        </w:rPr>
        <w:t>TS:</w:t>
      </w:r>
    </w:p>
    <w:p w:rsidR="00C50FE9" w:rsidRDefault="00C50FE9" w:rsidP="00C50FE9">
      <w:pPr>
        <w:rPr>
          <w:rFonts w:ascii="Times New Roman" w:hAnsi="Times New Roman"/>
          <w:bCs/>
        </w:rPr>
      </w:pPr>
    </w:p>
    <w:p w:rsidR="00CD7543" w:rsidRPr="001C2B34" w:rsidRDefault="00C50FE9" w:rsidP="00767AA6">
      <w:pPr>
        <w:ind w:firstLine="360"/>
        <w:rPr>
          <w:rFonts w:ascii="Times New Roman" w:hAnsi="Times New Roman"/>
          <w:sz w:val="24"/>
        </w:rPr>
      </w:pPr>
      <w:r w:rsidRPr="00C50FE9">
        <w:rPr>
          <w:rFonts w:ascii="Times New Roman" w:hAnsi="Times New Roman"/>
          <w:bCs/>
          <w:sz w:val="24"/>
          <w:szCs w:val="24"/>
        </w:rPr>
        <w:t>No</w:t>
      </w:r>
      <w:r w:rsidR="00C97148">
        <w:rPr>
          <w:rFonts w:ascii="Times New Roman" w:hAnsi="Times New Roman"/>
          <w:bCs/>
          <w:sz w:val="24"/>
          <w:szCs w:val="24"/>
        </w:rPr>
        <w:t xml:space="preserve"> exceptions are being requested.</w:t>
      </w:r>
      <w:r w:rsidR="00B2051C" w:rsidRPr="005612EB">
        <w:rPr>
          <w:rFonts w:ascii="Times New Roman" w:hAnsi="Times New Roman"/>
          <w:sz w:val="24"/>
        </w:rPr>
        <w:t xml:space="preserve"> </w:t>
      </w:r>
    </w:p>
    <w:sectPr w:rsidR="00CD7543" w:rsidRPr="001C2B34" w:rsidSect="00277860">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B66" w:rsidRDefault="00606B66">
      <w:r>
        <w:separator/>
      </w:r>
    </w:p>
  </w:endnote>
  <w:endnote w:type="continuationSeparator" w:id="0">
    <w:p w:rsidR="00606B66" w:rsidRDefault="0060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164175"/>
      <w:docPartObj>
        <w:docPartGallery w:val="Page Numbers (Bottom of Page)"/>
        <w:docPartUnique/>
      </w:docPartObj>
    </w:sdtPr>
    <w:sdtEndPr>
      <w:rPr>
        <w:noProof/>
      </w:rPr>
    </w:sdtEndPr>
    <w:sdtContent>
      <w:p w:rsidR="00331564" w:rsidRDefault="00331564">
        <w:pPr>
          <w:pStyle w:val="Footer"/>
          <w:jc w:val="center"/>
        </w:pPr>
        <w:r>
          <w:fldChar w:fldCharType="begin"/>
        </w:r>
        <w:r>
          <w:instrText xml:space="preserve"> PAGE   \* MERGEFORMAT </w:instrText>
        </w:r>
        <w:r>
          <w:fldChar w:fldCharType="separate"/>
        </w:r>
        <w:r w:rsidR="00DE52E4">
          <w:rPr>
            <w:noProof/>
          </w:rPr>
          <w:t>6</w:t>
        </w:r>
        <w:r>
          <w:rPr>
            <w:noProof/>
          </w:rPr>
          <w:fldChar w:fldCharType="end"/>
        </w:r>
      </w:p>
    </w:sdtContent>
  </w:sdt>
  <w:p w:rsidR="00B44DBE" w:rsidRDefault="00B44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B66" w:rsidRDefault="00606B66">
      <w:r>
        <w:separator/>
      </w:r>
    </w:p>
  </w:footnote>
  <w:footnote w:type="continuationSeparator" w:id="0">
    <w:p w:rsidR="00606B66" w:rsidRDefault="00606B66">
      <w:r>
        <w:continuationSeparator/>
      </w:r>
    </w:p>
  </w:footnote>
  <w:footnote w:id="1">
    <w:p w:rsidR="00DA0AF4" w:rsidRPr="00CB085C" w:rsidRDefault="00DA0AF4" w:rsidP="00DA0AF4">
      <w:pPr>
        <w:pStyle w:val="FootnoteText"/>
        <w:rPr>
          <w:rFonts w:ascii="Times New Roman" w:hAnsi="Times New Roman" w:cs="Times New Roman"/>
          <w:sz w:val="16"/>
          <w:szCs w:val="16"/>
        </w:rPr>
      </w:pPr>
      <w:r w:rsidRPr="00CB085C">
        <w:rPr>
          <w:rStyle w:val="FootnoteReference"/>
          <w:sz w:val="16"/>
          <w:szCs w:val="16"/>
        </w:rPr>
        <w:footnoteRef/>
      </w:r>
      <w:r w:rsidRPr="00CB085C">
        <w:rPr>
          <w:rFonts w:ascii="Times New Roman" w:hAnsi="Times New Roman" w:cs="Times New Roman"/>
          <w:sz w:val="16"/>
          <w:szCs w:val="16"/>
        </w:rPr>
        <w:t xml:space="preserve"> Daniel Ariely. James B. Duke Professor of Psychology and Behavioral Economics, Duke University. </w:t>
      </w:r>
      <w:r w:rsidRPr="00CB085C">
        <w:rPr>
          <w:rFonts w:ascii="Times New Roman" w:hAnsi="Times New Roman" w:cs="Times New Roman"/>
          <w:i/>
          <w:sz w:val="16"/>
          <w:szCs w:val="16"/>
        </w:rPr>
        <w:t xml:space="preserve">Predictably Irrational. </w:t>
      </w:r>
      <w:r w:rsidRPr="00CB085C">
        <w:rPr>
          <w:rFonts w:ascii="Times New Roman" w:hAnsi="Times New Roman" w:cs="Times New Roman"/>
          <w:sz w:val="16"/>
          <w:szCs w:val="16"/>
        </w:rPr>
        <w:t>Harper Perennial; 1 Exp Rev edition (April 27, 2010).</w:t>
      </w:r>
      <w:r w:rsidRPr="00CB085C">
        <w:rPr>
          <w:rFonts w:ascii="Times New Roman" w:hAnsi="Times New Roman" w:cs="Times New Roman"/>
          <w:i/>
          <w:sz w:val="16"/>
          <w:szCs w:val="16"/>
        </w:rPr>
        <w:t xml:space="preserve"> </w:t>
      </w:r>
      <w:r w:rsidRPr="00CB085C">
        <w:rPr>
          <w:rFonts w:ascii="Times New Roman" w:hAnsi="Times New Roman" w:cs="Times New Roman"/>
          <w:sz w:val="16"/>
          <w:szCs w:val="16"/>
        </w:rPr>
        <w:t>pps. 217-230</w:t>
      </w:r>
    </w:p>
  </w:footnote>
  <w:footnote w:id="2">
    <w:p w:rsidR="00091B72" w:rsidRPr="00652E9A" w:rsidRDefault="00091B72" w:rsidP="00091B72">
      <w:pPr>
        <w:rPr>
          <w:sz w:val="16"/>
          <w:szCs w:val="16"/>
        </w:rPr>
      </w:pPr>
      <w:r w:rsidRPr="00652E9A">
        <w:rPr>
          <w:rStyle w:val="FootnoteReference"/>
          <w:sz w:val="16"/>
          <w:szCs w:val="16"/>
        </w:rPr>
        <w:footnoteRef/>
      </w:r>
      <w:r w:rsidRPr="00652E9A">
        <w:rPr>
          <w:sz w:val="16"/>
          <w:szCs w:val="16"/>
        </w:rPr>
        <w:t xml:space="preserve"> U.S. Department of Labor, Bureau of Labor Statistics, Average hourly wage of employees on private nonfarm payrolls: $23.87 for April 2013. Accessed from the following website as of May 2013: http://www.bls.gov/webapps/legacy/cesbtab</w:t>
      </w:r>
      <w:r>
        <w:rPr>
          <w:sz w:val="16"/>
          <w:szCs w:val="16"/>
        </w:rPr>
        <w:t>3.htm</w:t>
      </w:r>
    </w:p>
    <w:p w:rsidR="00091B72" w:rsidRDefault="00091B72" w:rsidP="00091B7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EFD7E4A"/>
    <w:multiLevelType w:val="hybridMultilevel"/>
    <w:tmpl w:val="DF823D82"/>
    <w:lvl w:ilvl="0" w:tplc="4352FC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8D28F7"/>
    <w:multiLevelType w:val="hybridMultilevel"/>
    <w:tmpl w:val="EEE09232"/>
    <w:lvl w:ilvl="0" w:tplc="9A08C5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7A85651"/>
    <w:multiLevelType w:val="hybridMultilevel"/>
    <w:tmpl w:val="7A46585C"/>
    <w:lvl w:ilvl="0" w:tplc="8F1E03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1AF27F3"/>
    <w:multiLevelType w:val="hybridMultilevel"/>
    <w:tmpl w:val="AF029222"/>
    <w:lvl w:ilvl="0" w:tplc="A5D67D8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B523E6"/>
    <w:multiLevelType w:val="hybridMultilevel"/>
    <w:tmpl w:val="6A4C4994"/>
    <w:lvl w:ilvl="0" w:tplc="C75CA9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B0194D"/>
    <w:multiLevelType w:val="hybridMultilevel"/>
    <w:tmpl w:val="8C82FBEC"/>
    <w:lvl w:ilvl="0" w:tplc="EE6058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B10FB0"/>
    <w:multiLevelType w:val="hybridMultilevel"/>
    <w:tmpl w:val="F2F08A2A"/>
    <w:lvl w:ilvl="0" w:tplc="0409000F">
      <w:start w:val="1"/>
      <w:numFmt w:val="decimal"/>
      <w:lvlText w:val="%1."/>
      <w:lvlJc w:val="left"/>
      <w:pPr>
        <w:ind w:left="360" w:hanging="360"/>
      </w:pPr>
      <w:rPr>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FA9516C"/>
    <w:multiLevelType w:val="hybridMultilevel"/>
    <w:tmpl w:val="A94A1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8"/>
  </w:num>
  <w:num w:numId="4">
    <w:abstractNumId w:val="29"/>
  </w:num>
  <w:num w:numId="5">
    <w:abstractNumId w:val="26"/>
  </w:num>
  <w:num w:numId="6">
    <w:abstractNumId w:val="11"/>
  </w:num>
  <w:num w:numId="7">
    <w:abstractNumId w:val="25"/>
  </w:num>
  <w:num w:numId="8">
    <w:abstractNumId w:val="15"/>
  </w:num>
  <w:num w:numId="9">
    <w:abstractNumId w:val="5"/>
  </w:num>
  <w:num w:numId="10">
    <w:abstractNumId w:val="7"/>
  </w:num>
  <w:num w:numId="11">
    <w:abstractNumId w:val="18"/>
  </w:num>
  <w:num w:numId="12">
    <w:abstractNumId w:val="10"/>
  </w:num>
  <w:num w:numId="13">
    <w:abstractNumId w:val="36"/>
  </w:num>
  <w:num w:numId="14">
    <w:abstractNumId w:val="32"/>
  </w:num>
  <w:num w:numId="15">
    <w:abstractNumId w:val="22"/>
  </w:num>
  <w:num w:numId="16">
    <w:abstractNumId w:val="16"/>
  </w:num>
  <w:num w:numId="17">
    <w:abstractNumId w:val="17"/>
  </w:num>
  <w:num w:numId="18">
    <w:abstractNumId w:val="37"/>
  </w:num>
  <w:num w:numId="19">
    <w:abstractNumId w:val="13"/>
  </w:num>
  <w:num w:numId="20">
    <w:abstractNumId w:val="0"/>
  </w:num>
  <w:num w:numId="21">
    <w:abstractNumId w:val="3"/>
  </w:num>
  <w:num w:numId="22">
    <w:abstractNumId w:val="23"/>
  </w:num>
  <w:num w:numId="23">
    <w:abstractNumId w:val="24"/>
  </w:num>
  <w:num w:numId="24">
    <w:abstractNumId w:val="30"/>
  </w:num>
  <w:num w:numId="25">
    <w:abstractNumId w:val="1"/>
  </w:num>
  <w:num w:numId="26">
    <w:abstractNumId w:val="19"/>
  </w:num>
  <w:num w:numId="27">
    <w:abstractNumId w:val="4"/>
  </w:num>
  <w:num w:numId="28">
    <w:abstractNumId w:val="27"/>
  </w:num>
  <w:num w:numId="29">
    <w:abstractNumId w:val="31"/>
  </w:num>
  <w:num w:numId="30">
    <w:abstractNumId w:val="12"/>
  </w:num>
  <w:num w:numId="31">
    <w:abstractNumId w:val="38"/>
  </w:num>
  <w:num w:numId="32">
    <w:abstractNumId w:val="20"/>
  </w:num>
  <w:num w:numId="33">
    <w:abstractNumId w:val="14"/>
  </w:num>
  <w:num w:numId="34">
    <w:abstractNumId w:val="39"/>
  </w:num>
  <w:num w:numId="35">
    <w:abstractNumId w:val="34"/>
  </w:num>
  <w:num w:numId="36">
    <w:abstractNumId w:val="9"/>
  </w:num>
  <w:num w:numId="37">
    <w:abstractNumId w:val="28"/>
  </w:num>
  <w:num w:numId="38">
    <w:abstractNumId w:val="35"/>
  </w:num>
  <w:num w:numId="39">
    <w:abstractNumId w:val="2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238A2"/>
    <w:rsid w:val="00024AF3"/>
    <w:rsid w:val="00030F06"/>
    <w:rsid w:val="00040E1F"/>
    <w:rsid w:val="00041797"/>
    <w:rsid w:val="0004749E"/>
    <w:rsid w:val="0008270D"/>
    <w:rsid w:val="00091B72"/>
    <w:rsid w:val="000D1072"/>
    <w:rsid w:val="000F13D9"/>
    <w:rsid w:val="00103851"/>
    <w:rsid w:val="00105F8E"/>
    <w:rsid w:val="00140D3B"/>
    <w:rsid w:val="00152C82"/>
    <w:rsid w:val="00165690"/>
    <w:rsid w:val="0017628C"/>
    <w:rsid w:val="001823D6"/>
    <w:rsid w:val="00184CCB"/>
    <w:rsid w:val="0019117E"/>
    <w:rsid w:val="001C2B34"/>
    <w:rsid w:val="001D4111"/>
    <w:rsid w:val="001E72BE"/>
    <w:rsid w:val="001F094F"/>
    <w:rsid w:val="0022097E"/>
    <w:rsid w:val="00221C4A"/>
    <w:rsid w:val="00243688"/>
    <w:rsid w:val="00253274"/>
    <w:rsid w:val="00274B6C"/>
    <w:rsid w:val="00276C1F"/>
    <w:rsid w:val="00277860"/>
    <w:rsid w:val="002813FD"/>
    <w:rsid w:val="0029422F"/>
    <w:rsid w:val="002C09C2"/>
    <w:rsid w:val="002C25AB"/>
    <w:rsid w:val="002D4BEF"/>
    <w:rsid w:val="002F3428"/>
    <w:rsid w:val="002F3F2D"/>
    <w:rsid w:val="002F55E8"/>
    <w:rsid w:val="002F6FE2"/>
    <w:rsid w:val="00312936"/>
    <w:rsid w:val="00331564"/>
    <w:rsid w:val="00332F4B"/>
    <w:rsid w:val="00346352"/>
    <w:rsid w:val="0035237D"/>
    <w:rsid w:val="00353C80"/>
    <w:rsid w:val="00370FD3"/>
    <w:rsid w:val="003B1522"/>
    <w:rsid w:val="003C52E8"/>
    <w:rsid w:val="003C7127"/>
    <w:rsid w:val="003D550F"/>
    <w:rsid w:val="00407E96"/>
    <w:rsid w:val="00425961"/>
    <w:rsid w:val="00427F10"/>
    <w:rsid w:val="00434B61"/>
    <w:rsid w:val="004510BE"/>
    <w:rsid w:val="0045670F"/>
    <w:rsid w:val="00470720"/>
    <w:rsid w:val="00480D9C"/>
    <w:rsid w:val="004946A8"/>
    <w:rsid w:val="004C4BD0"/>
    <w:rsid w:val="004C60F6"/>
    <w:rsid w:val="004C7BCF"/>
    <w:rsid w:val="005114C1"/>
    <w:rsid w:val="00557018"/>
    <w:rsid w:val="005612EB"/>
    <w:rsid w:val="005902F4"/>
    <w:rsid w:val="005A127A"/>
    <w:rsid w:val="005D2628"/>
    <w:rsid w:val="005D4076"/>
    <w:rsid w:val="005E6293"/>
    <w:rsid w:val="00606B66"/>
    <w:rsid w:val="006146B9"/>
    <w:rsid w:val="00614928"/>
    <w:rsid w:val="00656E8B"/>
    <w:rsid w:val="00686EE0"/>
    <w:rsid w:val="006A5C08"/>
    <w:rsid w:val="006B5C1D"/>
    <w:rsid w:val="006C714E"/>
    <w:rsid w:val="006E0380"/>
    <w:rsid w:val="00704CEC"/>
    <w:rsid w:val="00734173"/>
    <w:rsid w:val="007506BB"/>
    <w:rsid w:val="007540F8"/>
    <w:rsid w:val="00754FAD"/>
    <w:rsid w:val="00767AA6"/>
    <w:rsid w:val="007D07D8"/>
    <w:rsid w:val="0081739B"/>
    <w:rsid w:val="00821168"/>
    <w:rsid w:val="00830F5D"/>
    <w:rsid w:val="00834ACC"/>
    <w:rsid w:val="00862E43"/>
    <w:rsid w:val="008B1990"/>
    <w:rsid w:val="008B5870"/>
    <w:rsid w:val="008D34A3"/>
    <w:rsid w:val="008E4E78"/>
    <w:rsid w:val="008F2CDB"/>
    <w:rsid w:val="00902DFA"/>
    <w:rsid w:val="0091655D"/>
    <w:rsid w:val="00945669"/>
    <w:rsid w:val="00953CFD"/>
    <w:rsid w:val="00962FFC"/>
    <w:rsid w:val="009639FC"/>
    <w:rsid w:val="00970FCB"/>
    <w:rsid w:val="009D4F72"/>
    <w:rsid w:val="009E0597"/>
    <w:rsid w:val="009E0EFF"/>
    <w:rsid w:val="009E2F2D"/>
    <w:rsid w:val="009E43F8"/>
    <w:rsid w:val="009F2324"/>
    <w:rsid w:val="00A016AB"/>
    <w:rsid w:val="00A31CDD"/>
    <w:rsid w:val="00A47427"/>
    <w:rsid w:val="00A47BB8"/>
    <w:rsid w:val="00A613EE"/>
    <w:rsid w:val="00A71897"/>
    <w:rsid w:val="00A72E59"/>
    <w:rsid w:val="00A73EBC"/>
    <w:rsid w:val="00AB30DA"/>
    <w:rsid w:val="00AC7F26"/>
    <w:rsid w:val="00B003EB"/>
    <w:rsid w:val="00B2051C"/>
    <w:rsid w:val="00B20DDA"/>
    <w:rsid w:val="00B22478"/>
    <w:rsid w:val="00B44DBE"/>
    <w:rsid w:val="00B5702F"/>
    <w:rsid w:val="00B63890"/>
    <w:rsid w:val="00B76E73"/>
    <w:rsid w:val="00B8451C"/>
    <w:rsid w:val="00B97360"/>
    <w:rsid w:val="00B977D1"/>
    <w:rsid w:val="00BA09BD"/>
    <w:rsid w:val="00BC0ADA"/>
    <w:rsid w:val="00BE6F02"/>
    <w:rsid w:val="00C1155B"/>
    <w:rsid w:val="00C14920"/>
    <w:rsid w:val="00C234EF"/>
    <w:rsid w:val="00C26C9B"/>
    <w:rsid w:val="00C50FE9"/>
    <w:rsid w:val="00C63CF5"/>
    <w:rsid w:val="00C97148"/>
    <w:rsid w:val="00CA3269"/>
    <w:rsid w:val="00CB46D4"/>
    <w:rsid w:val="00CD4CC4"/>
    <w:rsid w:val="00CD7543"/>
    <w:rsid w:val="00CE7FC6"/>
    <w:rsid w:val="00D15BE9"/>
    <w:rsid w:val="00D3047B"/>
    <w:rsid w:val="00D44E30"/>
    <w:rsid w:val="00D462C9"/>
    <w:rsid w:val="00D52811"/>
    <w:rsid w:val="00D569DC"/>
    <w:rsid w:val="00DA0AF4"/>
    <w:rsid w:val="00DB1F32"/>
    <w:rsid w:val="00DB269A"/>
    <w:rsid w:val="00DE52E4"/>
    <w:rsid w:val="00DF66E9"/>
    <w:rsid w:val="00E204D5"/>
    <w:rsid w:val="00E24314"/>
    <w:rsid w:val="00E2506B"/>
    <w:rsid w:val="00E366CD"/>
    <w:rsid w:val="00E674CF"/>
    <w:rsid w:val="00E958CF"/>
    <w:rsid w:val="00EE365D"/>
    <w:rsid w:val="00EF52E4"/>
    <w:rsid w:val="00F213A9"/>
    <w:rsid w:val="00F358A1"/>
    <w:rsid w:val="00F42E70"/>
    <w:rsid w:val="00F528EE"/>
    <w:rsid w:val="00F53FB7"/>
    <w:rsid w:val="00F54F6E"/>
    <w:rsid w:val="00F67F51"/>
    <w:rsid w:val="00F77AAC"/>
    <w:rsid w:val="00F92057"/>
    <w:rsid w:val="00FA153C"/>
    <w:rsid w:val="00FA1D6E"/>
    <w:rsid w:val="00FC7BBF"/>
    <w:rsid w:val="00FE5895"/>
    <w:rsid w:val="00FE7FAC"/>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DA0AF4"/>
    <w:pPr>
      <w:widowControl/>
      <w:autoSpaceDE/>
      <w:autoSpaceDN/>
      <w:adjustRightInd/>
    </w:pPr>
    <w:rPr>
      <w:rFonts w:ascii="Book Antiqua" w:hAnsi="Book Antiqua" w:cs="Book Antiqua"/>
    </w:rPr>
  </w:style>
  <w:style w:type="character" w:customStyle="1" w:styleId="FootnoteTextChar">
    <w:name w:val="Footnote Text Char"/>
    <w:link w:val="FootnoteText"/>
    <w:uiPriority w:val="99"/>
    <w:rsid w:val="00DA0AF4"/>
    <w:rPr>
      <w:rFonts w:ascii="Book Antiqua" w:hAnsi="Book Antiqua" w:cs="Book Antiqua"/>
    </w:rPr>
  </w:style>
  <w:style w:type="character" w:styleId="FootnoteReference">
    <w:name w:val="footnote reference"/>
    <w:uiPriority w:val="99"/>
    <w:rsid w:val="00DA0AF4"/>
    <w:rPr>
      <w:rFonts w:ascii="Times New Roman" w:hAnsi="Times New Roman" w:cs="Times New Roman"/>
      <w:vertAlign w:val="superscript"/>
    </w:rPr>
  </w:style>
  <w:style w:type="character" w:styleId="CommentReference">
    <w:name w:val="annotation reference"/>
    <w:basedOn w:val="DefaultParagraphFont"/>
    <w:rsid w:val="001E72BE"/>
    <w:rPr>
      <w:sz w:val="16"/>
      <w:szCs w:val="16"/>
    </w:rPr>
  </w:style>
  <w:style w:type="paragraph" w:styleId="CommentText">
    <w:name w:val="annotation text"/>
    <w:basedOn w:val="Normal"/>
    <w:link w:val="CommentTextChar"/>
    <w:rsid w:val="001E72BE"/>
  </w:style>
  <w:style w:type="character" w:customStyle="1" w:styleId="CommentTextChar">
    <w:name w:val="Comment Text Char"/>
    <w:basedOn w:val="DefaultParagraphFont"/>
    <w:link w:val="CommentText"/>
    <w:rsid w:val="001E72BE"/>
    <w:rPr>
      <w:rFonts w:ascii="Letter Gothic 12cpi" w:hAnsi="Letter Gothic 12cpi"/>
    </w:rPr>
  </w:style>
  <w:style w:type="paragraph" w:styleId="CommentSubject">
    <w:name w:val="annotation subject"/>
    <w:basedOn w:val="CommentText"/>
    <w:next w:val="CommentText"/>
    <w:link w:val="CommentSubjectChar"/>
    <w:rsid w:val="001E72BE"/>
    <w:rPr>
      <w:b/>
      <w:bCs/>
    </w:rPr>
  </w:style>
  <w:style w:type="character" w:customStyle="1" w:styleId="CommentSubjectChar">
    <w:name w:val="Comment Subject Char"/>
    <w:basedOn w:val="CommentTextChar"/>
    <w:link w:val="CommentSubject"/>
    <w:rsid w:val="001E72BE"/>
    <w:rPr>
      <w:rFonts w:ascii="Letter Gothic 12cpi" w:hAnsi="Letter Gothic 12cpi"/>
      <w:b/>
      <w:bCs/>
    </w:rPr>
  </w:style>
  <w:style w:type="character" w:customStyle="1" w:styleId="FooterChar">
    <w:name w:val="Footer Char"/>
    <w:basedOn w:val="DefaultParagraphFont"/>
    <w:link w:val="Footer"/>
    <w:uiPriority w:val="99"/>
    <w:rsid w:val="00331564"/>
    <w:rPr>
      <w:rFonts w:ascii="Letter Gothic 12cpi" w:hAnsi="Letter Gothic 12cp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DA0AF4"/>
    <w:pPr>
      <w:widowControl/>
      <w:autoSpaceDE/>
      <w:autoSpaceDN/>
      <w:adjustRightInd/>
    </w:pPr>
    <w:rPr>
      <w:rFonts w:ascii="Book Antiqua" w:hAnsi="Book Antiqua" w:cs="Book Antiqua"/>
    </w:rPr>
  </w:style>
  <w:style w:type="character" w:customStyle="1" w:styleId="FootnoteTextChar">
    <w:name w:val="Footnote Text Char"/>
    <w:link w:val="FootnoteText"/>
    <w:uiPriority w:val="99"/>
    <w:rsid w:val="00DA0AF4"/>
    <w:rPr>
      <w:rFonts w:ascii="Book Antiqua" w:hAnsi="Book Antiqua" w:cs="Book Antiqua"/>
    </w:rPr>
  </w:style>
  <w:style w:type="character" w:styleId="FootnoteReference">
    <w:name w:val="footnote reference"/>
    <w:uiPriority w:val="99"/>
    <w:rsid w:val="00DA0AF4"/>
    <w:rPr>
      <w:rFonts w:ascii="Times New Roman" w:hAnsi="Times New Roman" w:cs="Times New Roman"/>
      <w:vertAlign w:val="superscript"/>
    </w:rPr>
  </w:style>
  <w:style w:type="character" w:styleId="CommentReference">
    <w:name w:val="annotation reference"/>
    <w:basedOn w:val="DefaultParagraphFont"/>
    <w:rsid w:val="001E72BE"/>
    <w:rPr>
      <w:sz w:val="16"/>
      <w:szCs w:val="16"/>
    </w:rPr>
  </w:style>
  <w:style w:type="paragraph" w:styleId="CommentText">
    <w:name w:val="annotation text"/>
    <w:basedOn w:val="Normal"/>
    <w:link w:val="CommentTextChar"/>
    <w:rsid w:val="001E72BE"/>
  </w:style>
  <w:style w:type="character" w:customStyle="1" w:styleId="CommentTextChar">
    <w:name w:val="Comment Text Char"/>
    <w:basedOn w:val="DefaultParagraphFont"/>
    <w:link w:val="CommentText"/>
    <w:rsid w:val="001E72BE"/>
    <w:rPr>
      <w:rFonts w:ascii="Letter Gothic 12cpi" w:hAnsi="Letter Gothic 12cpi"/>
    </w:rPr>
  </w:style>
  <w:style w:type="paragraph" w:styleId="CommentSubject">
    <w:name w:val="annotation subject"/>
    <w:basedOn w:val="CommentText"/>
    <w:next w:val="CommentText"/>
    <w:link w:val="CommentSubjectChar"/>
    <w:rsid w:val="001E72BE"/>
    <w:rPr>
      <w:b/>
      <w:bCs/>
    </w:rPr>
  </w:style>
  <w:style w:type="character" w:customStyle="1" w:styleId="CommentSubjectChar">
    <w:name w:val="Comment Subject Char"/>
    <w:basedOn w:val="CommentTextChar"/>
    <w:link w:val="CommentSubject"/>
    <w:rsid w:val="001E72BE"/>
    <w:rPr>
      <w:rFonts w:ascii="Letter Gothic 12cpi" w:hAnsi="Letter Gothic 12cpi"/>
      <w:b/>
      <w:bCs/>
    </w:rPr>
  </w:style>
  <w:style w:type="character" w:customStyle="1" w:styleId="FooterChar">
    <w:name w:val="Footer Char"/>
    <w:basedOn w:val="DefaultParagraphFont"/>
    <w:link w:val="Footer"/>
    <w:uiPriority w:val="99"/>
    <w:rsid w:val="00331564"/>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DA4D0-BBCA-4D85-8141-0513D82F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2199</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herman.dogan</cp:lastModifiedBy>
  <cp:revision>2</cp:revision>
  <cp:lastPrinted>2014-05-07T16:48:00Z</cp:lastPrinted>
  <dcterms:created xsi:type="dcterms:W3CDTF">2015-07-17T14:24:00Z</dcterms:created>
  <dcterms:modified xsi:type="dcterms:W3CDTF">2015-07-17T14:24:00Z</dcterms:modified>
</cp:coreProperties>
</file>