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A4CD6" w:rsidRPr="006529B8" w:rsidRDefault="007C5842" w:rsidP="00A7661C">
      <w:pPr>
        <w:tabs>
          <w:tab w:val="center" w:pos="4680"/>
        </w:tabs>
        <w:jc w:val="center"/>
        <w:rPr>
          <w:b/>
          <w:bCs/>
        </w:rPr>
      </w:pPr>
      <w:r w:rsidRPr="006529B8">
        <w:rPr>
          <w:b/>
          <w:bCs/>
        </w:rPr>
        <w:fldChar w:fldCharType="begin"/>
      </w:r>
      <w:r w:rsidR="00CA4CD6" w:rsidRPr="006529B8">
        <w:rPr>
          <w:b/>
          <w:bCs/>
        </w:rPr>
        <w:instrText>tc \l2 "SF</w:instrText>
      </w:r>
      <w:r w:rsidRPr="006529B8">
        <w:rPr>
          <w:b/>
          <w:bCs/>
        </w:rPr>
        <w:fldChar w:fldCharType="end"/>
      </w:r>
      <w:r w:rsidR="00CA4CD6" w:rsidRPr="006529B8">
        <w:rPr>
          <w:b/>
          <w:bCs/>
        </w:rPr>
        <w:t>SUPPORTING STATEMENT</w:t>
      </w:r>
    </w:p>
    <w:p w:rsidR="00CA4CD6" w:rsidRPr="006529B8" w:rsidRDefault="00CA4CD6" w:rsidP="00504745">
      <w:pPr>
        <w:tabs>
          <w:tab w:val="center" w:pos="4680"/>
        </w:tabs>
        <w:outlineLvl w:val="0"/>
      </w:pPr>
      <w:r w:rsidRPr="006529B8">
        <w:rPr>
          <w:b/>
          <w:bCs/>
        </w:rPr>
        <w:tab/>
        <w:t>ENVIRONMENTAL PROTECTION AGENCY</w:t>
      </w:r>
    </w:p>
    <w:p w:rsidR="00CA4CD6" w:rsidRPr="006529B8" w:rsidRDefault="00CA4CD6">
      <w:pPr>
        <w:tabs>
          <w:tab w:val="center" w:pos="4680"/>
        </w:tabs>
      </w:pPr>
      <w:r w:rsidRPr="006529B8">
        <w:tab/>
      </w:r>
    </w:p>
    <w:p w:rsidR="00CA4CD6" w:rsidRPr="006529B8" w:rsidRDefault="00144F35">
      <w:r w:rsidRPr="006529B8">
        <w:rPr>
          <w:b/>
        </w:rPr>
        <w:t>NSPS</w:t>
      </w:r>
      <w:r w:rsidR="002B29A5" w:rsidRPr="006529B8">
        <w:rPr>
          <w:b/>
        </w:rPr>
        <w:t xml:space="preserve"> for </w:t>
      </w:r>
      <w:r w:rsidR="00CA4D35" w:rsidRPr="006529B8">
        <w:rPr>
          <w:b/>
        </w:rPr>
        <w:t>Sulfuric Acid Plants</w:t>
      </w:r>
      <w:r w:rsidR="002B29A5" w:rsidRPr="006529B8">
        <w:rPr>
          <w:b/>
        </w:rPr>
        <w:t xml:space="preserve"> (40 CFR Part</w:t>
      </w:r>
      <w:r w:rsidR="00CA4D35" w:rsidRPr="006529B8">
        <w:rPr>
          <w:b/>
        </w:rPr>
        <w:t xml:space="preserve"> 60</w:t>
      </w:r>
      <w:r w:rsidR="002B29A5" w:rsidRPr="006529B8">
        <w:rPr>
          <w:b/>
        </w:rPr>
        <w:t xml:space="preserve">, Subpart </w:t>
      </w:r>
      <w:r w:rsidR="00CA4D35" w:rsidRPr="006529B8">
        <w:rPr>
          <w:b/>
        </w:rPr>
        <w:t>H</w:t>
      </w:r>
      <w:r w:rsidR="002B29A5" w:rsidRPr="006529B8">
        <w:rPr>
          <w:b/>
        </w:rPr>
        <w:t>) (Renewal)</w:t>
      </w:r>
      <w:r w:rsidR="00CA4CD6" w:rsidRPr="006529B8">
        <w:t xml:space="preserve"> </w:t>
      </w:r>
    </w:p>
    <w:p w:rsidR="00CA4CD6" w:rsidRPr="006529B8" w:rsidRDefault="00CA4CD6"/>
    <w:p w:rsidR="00CA4CD6" w:rsidRPr="006529B8" w:rsidRDefault="00CA4CD6" w:rsidP="00504745">
      <w:pPr>
        <w:outlineLvl w:val="0"/>
        <w:rPr>
          <w:b/>
          <w:bCs/>
        </w:rPr>
      </w:pPr>
      <w:r w:rsidRPr="006529B8">
        <w:rPr>
          <w:b/>
          <w:bCs/>
        </w:rPr>
        <w:t>1.  Identification of the Information Collection</w:t>
      </w:r>
    </w:p>
    <w:p w:rsidR="00CA4CD6" w:rsidRPr="006529B8" w:rsidRDefault="00CA4CD6">
      <w:pPr>
        <w:rPr>
          <w:b/>
          <w:bCs/>
        </w:rPr>
      </w:pPr>
    </w:p>
    <w:p w:rsidR="00CA4CD6" w:rsidRPr="006529B8" w:rsidRDefault="00CA4CD6">
      <w:pPr>
        <w:ind w:firstLine="720"/>
        <w:rPr>
          <w:b/>
          <w:bCs/>
        </w:rPr>
      </w:pPr>
      <w:r w:rsidRPr="006529B8">
        <w:rPr>
          <w:b/>
          <w:bCs/>
        </w:rPr>
        <w:t>1(a</w:t>
      </w:r>
      <w:proofErr w:type="gramStart"/>
      <w:r w:rsidRPr="006529B8">
        <w:rPr>
          <w:b/>
          <w:bCs/>
        </w:rPr>
        <w:t>)  Title</w:t>
      </w:r>
      <w:proofErr w:type="gramEnd"/>
      <w:r w:rsidRPr="006529B8">
        <w:rPr>
          <w:b/>
          <w:bCs/>
        </w:rPr>
        <w:t xml:space="preserve"> of the Information Collection</w:t>
      </w:r>
    </w:p>
    <w:p w:rsidR="00CA4CD6" w:rsidRPr="006529B8" w:rsidRDefault="00CA4CD6">
      <w:pPr>
        <w:rPr>
          <w:b/>
          <w:bCs/>
        </w:rPr>
      </w:pPr>
    </w:p>
    <w:p w:rsidR="00CA4CD6" w:rsidRPr="006529B8" w:rsidRDefault="00CA4D35" w:rsidP="002B29A5">
      <w:pPr>
        <w:rPr>
          <w:bCs/>
        </w:rPr>
      </w:pPr>
      <w:r w:rsidRPr="006529B8">
        <w:rPr>
          <w:bCs/>
        </w:rPr>
        <w:t>NSPS</w:t>
      </w:r>
      <w:r w:rsidR="002B29A5" w:rsidRPr="006529B8">
        <w:rPr>
          <w:bCs/>
        </w:rPr>
        <w:t xml:space="preserve"> for </w:t>
      </w:r>
      <w:r w:rsidRPr="006529B8">
        <w:rPr>
          <w:bCs/>
        </w:rPr>
        <w:t>Sulfuric Acid Plants</w:t>
      </w:r>
      <w:r w:rsidR="002B29A5" w:rsidRPr="006529B8">
        <w:rPr>
          <w:bCs/>
        </w:rPr>
        <w:t xml:space="preserve"> (40 CFR Part</w:t>
      </w:r>
      <w:r w:rsidRPr="006529B8">
        <w:rPr>
          <w:bCs/>
        </w:rPr>
        <w:t xml:space="preserve"> 60</w:t>
      </w:r>
      <w:r w:rsidR="002B29A5" w:rsidRPr="006529B8">
        <w:rPr>
          <w:bCs/>
        </w:rPr>
        <w:t>, Subpart</w:t>
      </w:r>
      <w:r w:rsidRPr="006529B8">
        <w:rPr>
          <w:bCs/>
        </w:rPr>
        <w:t xml:space="preserve"> H</w:t>
      </w:r>
      <w:r w:rsidR="002B29A5" w:rsidRPr="006529B8">
        <w:rPr>
          <w:bCs/>
        </w:rPr>
        <w:t xml:space="preserve">) (Renewal), </w:t>
      </w:r>
      <w:r w:rsidR="009D439A">
        <w:rPr>
          <w:bCs/>
        </w:rPr>
        <w:t xml:space="preserve">                                   </w:t>
      </w:r>
      <w:r w:rsidR="002B29A5" w:rsidRPr="006529B8">
        <w:rPr>
          <w:bCs/>
        </w:rPr>
        <w:t xml:space="preserve">EPA ICR Number </w:t>
      </w:r>
      <w:r w:rsidRPr="006529B8">
        <w:rPr>
          <w:bCs/>
        </w:rPr>
        <w:t>1057.13</w:t>
      </w:r>
      <w:r w:rsidR="002B29A5" w:rsidRPr="006529B8">
        <w:rPr>
          <w:bCs/>
        </w:rPr>
        <w:t>, OMB Control Number 2060-</w:t>
      </w:r>
      <w:r w:rsidRPr="006529B8">
        <w:rPr>
          <w:bCs/>
        </w:rPr>
        <w:t>0041</w:t>
      </w:r>
      <w:r w:rsidR="002B29A5" w:rsidRPr="006529B8">
        <w:rPr>
          <w:bCs/>
        </w:rPr>
        <w:t xml:space="preserve">. </w:t>
      </w:r>
    </w:p>
    <w:p w:rsidR="00CA4CD6" w:rsidRPr="006529B8" w:rsidRDefault="00CA4CD6">
      <w:pPr>
        <w:rPr>
          <w:b/>
          <w:bCs/>
        </w:rPr>
      </w:pPr>
    </w:p>
    <w:p w:rsidR="00CA4CD6" w:rsidRPr="006529B8" w:rsidRDefault="00CA4CD6">
      <w:pPr>
        <w:ind w:firstLine="720"/>
      </w:pPr>
      <w:r w:rsidRPr="006529B8">
        <w:rPr>
          <w:b/>
          <w:bCs/>
        </w:rPr>
        <w:t>1(b</w:t>
      </w:r>
      <w:proofErr w:type="gramStart"/>
      <w:r w:rsidRPr="006529B8">
        <w:rPr>
          <w:b/>
          <w:bCs/>
        </w:rPr>
        <w:t>)  Short</w:t>
      </w:r>
      <w:proofErr w:type="gramEnd"/>
      <w:r w:rsidRPr="006529B8">
        <w:rPr>
          <w:b/>
          <w:bCs/>
        </w:rPr>
        <w:t xml:space="preserve"> Characterization/Abstract</w:t>
      </w:r>
    </w:p>
    <w:p w:rsidR="00CA4CD6" w:rsidRPr="006529B8" w:rsidRDefault="00CA4CD6"/>
    <w:p w:rsidR="00CA4CD6" w:rsidRPr="006529B8" w:rsidRDefault="00CA4CD6">
      <w:pPr>
        <w:ind w:firstLine="720"/>
      </w:pPr>
      <w:r w:rsidRPr="006529B8">
        <w:t xml:space="preserve">The New Source Performance Standards (NSPS) for </w:t>
      </w:r>
      <w:r w:rsidR="005456E5" w:rsidRPr="006529B8">
        <w:rPr>
          <w:bCs/>
        </w:rPr>
        <w:t xml:space="preserve">Sulfuric Acid Plants </w:t>
      </w:r>
      <w:r w:rsidRPr="006529B8">
        <w:t>were</w:t>
      </w:r>
      <w:r w:rsidR="000A51E0">
        <w:t>:</w:t>
      </w:r>
      <w:r w:rsidRPr="006529B8">
        <w:t xml:space="preserve"> proposed on </w:t>
      </w:r>
      <w:r w:rsidR="0038212D" w:rsidRPr="006529B8">
        <w:t>August 17,</w:t>
      </w:r>
      <w:r w:rsidR="00C548F1">
        <w:t xml:space="preserve"> </w:t>
      </w:r>
      <w:r w:rsidR="0038212D" w:rsidRPr="006529B8">
        <w:t>1971</w:t>
      </w:r>
      <w:r w:rsidR="000A51E0">
        <w:t>;</w:t>
      </w:r>
      <w:r w:rsidRPr="006529B8">
        <w:t xml:space="preserve"> promulgated on </w:t>
      </w:r>
      <w:r w:rsidR="0038212D" w:rsidRPr="006529B8">
        <w:t>December 23, 1971</w:t>
      </w:r>
      <w:r w:rsidR="000A51E0">
        <w:t>;</w:t>
      </w:r>
      <w:r w:rsidR="0038212D" w:rsidRPr="006529B8">
        <w:t xml:space="preserve"> and amended on: June 14, 1974 (39 </w:t>
      </w:r>
      <w:r w:rsidR="0038212D" w:rsidRPr="006529B8">
        <w:rPr>
          <w:u w:val="single"/>
        </w:rPr>
        <w:t>FR</w:t>
      </w:r>
      <w:r w:rsidR="0038212D" w:rsidRPr="006529B8">
        <w:t xml:space="preserve"> 20794); October 6, 1975 (40 </w:t>
      </w:r>
      <w:r w:rsidR="0038212D" w:rsidRPr="006529B8">
        <w:rPr>
          <w:u w:val="single"/>
        </w:rPr>
        <w:t>FR</w:t>
      </w:r>
      <w:r w:rsidR="0038212D" w:rsidRPr="006529B8">
        <w:t xml:space="preserve"> 46258); </w:t>
      </w:r>
      <w:r w:rsidR="00A565BF">
        <w:t xml:space="preserve">July 25, 1977 (42 </w:t>
      </w:r>
      <w:r w:rsidR="00A565BF" w:rsidRPr="005038A5">
        <w:rPr>
          <w:u w:val="single"/>
        </w:rPr>
        <w:t>FR</w:t>
      </w:r>
      <w:r w:rsidR="00A565BF">
        <w:t xml:space="preserve"> 37936); </w:t>
      </w:r>
      <w:r w:rsidR="0038212D" w:rsidRPr="006529B8">
        <w:t xml:space="preserve">May 25, 1983 (48 </w:t>
      </w:r>
      <w:r w:rsidR="0038212D" w:rsidRPr="006529B8">
        <w:rPr>
          <w:u w:val="single"/>
        </w:rPr>
        <w:t>FR</w:t>
      </w:r>
      <w:r w:rsidR="0038212D" w:rsidRPr="006529B8">
        <w:t xml:space="preserve"> 23611); September 29, 1983 (48 </w:t>
      </w:r>
      <w:r w:rsidR="0038212D" w:rsidRPr="006529B8">
        <w:rPr>
          <w:u w:val="single"/>
        </w:rPr>
        <w:t>FR</w:t>
      </w:r>
      <w:r w:rsidR="0038212D" w:rsidRPr="006529B8">
        <w:t xml:space="preserve"> 4700); October 20, 1983 (48 </w:t>
      </w:r>
      <w:r w:rsidR="0038212D" w:rsidRPr="006529B8">
        <w:rPr>
          <w:u w:val="single"/>
        </w:rPr>
        <w:t>FR</w:t>
      </w:r>
      <w:r w:rsidR="0038212D" w:rsidRPr="006529B8">
        <w:t xml:space="preserve"> 48669); February 14, 1989 (54 </w:t>
      </w:r>
      <w:r w:rsidR="0038212D" w:rsidRPr="006529B8">
        <w:rPr>
          <w:u w:val="single"/>
        </w:rPr>
        <w:t>FR</w:t>
      </w:r>
      <w:r w:rsidR="0038212D" w:rsidRPr="006529B8">
        <w:t xml:space="preserve"> 6666); October 17, 2000 (65 </w:t>
      </w:r>
      <w:r w:rsidR="0038212D" w:rsidRPr="006529B8">
        <w:rPr>
          <w:u w:val="single"/>
        </w:rPr>
        <w:t>FR</w:t>
      </w:r>
      <w:r w:rsidR="0038212D" w:rsidRPr="006529B8">
        <w:t xml:space="preserve"> 61753); </w:t>
      </w:r>
      <w:r w:rsidR="00A565BF">
        <w:t xml:space="preserve">January 9, 2012 (77 </w:t>
      </w:r>
      <w:r w:rsidR="00A565BF" w:rsidRPr="005038A5">
        <w:rPr>
          <w:u w:val="single"/>
        </w:rPr>
        <w:t>FR</w:t>
      </w:r>
      <w:r w:rsidR="00A565BF">
        <w:t xml:space="preserve"> 1130); </w:t>
      </w:r>
      <w:r w:rsidR="0038212D" w:rsidRPr="006529B8">
        <w:t xml:space="preserve">and February 27, 2014 (79 </w:t>
      </w:r>
      <w:r w:rsidR="0038212D" w:rsidRPr="005038A5">
        <w:rPr>
          <w:u w:val="single"/>
        </w:rPr>
        <w:t>FR</w:t>
      </w:r>
      <w:r w:rsidR="0038212D" w:rsidRPr="006529B8">
        <w:t xml:space="preserve"> 11250)</w:t>
      </w:r>
      <w:r w:rsidRPr="006529B8">
        <w:t xml:space="preserve">.  These regulations apply </w:t>
      </w:r>
      <w:r w:rsidR="00724BC7" w:rsidRPr="006529B8">
        <w:t xml:space="preserve">to existing facilities and new </w:t>
      </w:r>
      <w:r w:rsidRPr="006529B8">
        <w:t>facilities</w:t>
      </w:r>
      <w:r w:rsidR="0038212D" w:rsidRPr="006529B8">
        <w:t>.</w:t>
      </w:r>
      <w:r w:rsidRPr="006529B8">
        <w:t xml:space="preserve"> </w:t>
      </w:r>
      <w:r w:rsidR="000A51E0">
        <w:t xml:space="preserve"> </w:t>
      </w:r>
      <w:r w:rsidRPr="006529B8">
        <w:t xml:space="preserve">New facilities include those that commenced construction, modification or reconstruction after the date of proposal. </w:t>
      </w:r>
      <w:r w:rsidR="000A51E0">
        <w:t xml:space="preserve"> </w:t>
      </w:r>
      <w:r w:rsidR="0038212D" w:rsidRPr="006529B8">
        <w:t>A sulfuric acid plant is any facility producing sulfuric acid (H</w:t>
      </w:r>
      <w:r w:rsidR="0038212D" w:rsidRPr="006529B8">
        <w:rPr>
          <w:vertAlign w:val="subscript"/>
        </w:rPr>
        <w:t>2</w:t>
      </w:r>
      <w:r w:rsidR="0038212D" w:rsidRPr="006529B8">
        <w:t>SO</w:t>
      </w:r>
      <w:r w:rsidR="0038212D" w:rsidRPr="006529B8">
        <w:rPr>
          <w:vertAlign w:val="subscript"/>
        </w:rPr>
        <w:t>4</w:t>
      </w:r>
      <w:r w:rsidR="0038212D" w:rsidRPr="006529B8">
        <w:t xml:space="preserve">) by the contact process by burning elemental sulfur, alkylation acid, hydrogen sulfide, organic sulfides </w:t>
      </w:r>
      <w:proofErr w:type="gramStart"/>
      <w:r w:rsidR="0038212D" w:rsidRPr="006529B8">
        <w:t>and</w:t>
      </w:r>
      <w:proofErr w:type="gramEnd"/>
      <w:r w:rsidR="0038212D" w:rsidRPr="006529B8">
        <w:t xml:space="preserve"> </w:t>
      </w:r>
      <w:proofErr w:type="spellStart"/>
      <w:r w:rsidR="0038212D" w:rsidRPr="006529B8">
        <w:t>mercaptans</w:t>
      </w:r>
      <w:proofErr w:type="spellEnd"/>
      <w:r w:rsidR="0038212D" w:rsidRPr="006529B8">
        <w:t>, or acid sludge.  A sulfuric acid plant does not include facilities where conversion to sulfuric acid is used primarily as a means of preventing emissions to the atmosphere of sulfur dioxide (SO</w:t>
      </w:r>
      <w:r w:rsidR="0038212D" w:rsidRPr="006529B8">
        <w:rPr>
          <w:vertAlign w:val="subscript"/>
        </w:rPr>
        <w:t>2</w:t>
      </w:r>
      <w:r w:rsidR="0038212D" w:rsidRPr="006529B8">
        <w:t>) or other sulfur compounds.</w:t>
      </w:r>
      <w:r w:rsidRPr="006529B8">
        <w:t xml:space="preserve"> </w:t>
      </w:r>
      <w:r w:rsidR="000A51E0">
        <w:t xml:space="preserve"> </w:t>
      </w:r>
      <w:r w:rsidRPr="006529B8">
        <w:t xml:space="preserve">This information is being collected to assure compliance with 40 CFR </w:t>
      </w:r>
      <w:r w:rsidR="006810C3" w:rsidRPr="006529B8">
        <w:t xml:space="preserve">Part </w:t>
      </w:r>
      <w:r w:rsidRPr="006529B8">
        <w:t xml:space="preserve">60, </w:t>
      </w:r>
      <w:r w:rsidR="006810C3" w:rsidRPr="006529B8">
        <w:t xml:space="preserve">Subpart </w:t>
      </w:r>
      <w:r w:rsidR="0038212D" w:rsidRPr="006529B8">
        <w:t>H</w:t>
      </w:r>
      <w:r w:rsidRPr="006529B8">
        <w:t>.</w:t>
      </w:r>
    </w:p>
    <w:p w:rsidR="00CA4CD6" w:rsidRPr="006529B8" w:rsidRDefault="00CA4CD6"/>
    <w:p w:rsidR="00CA4CD6" w:rsidRPr="006529B8" w:rsidRDefault="00CA4CD6">
      <w:pPr>
        <w:ind w:firstLine="720"/>
      </w:pPr>
      <w:r w:rsidRPr="006529B8">
        <w:t>In general, all NSPS</w:t>
      </w:r>
      <w:r w:rsidR="0038212D" w:rsidRPr="006529B8">
        <w:t xml:space="preserve"> </w:t>
      </w:r>
      <w:r w:rsidRPr="006529B8">
        <w:t>standards require initial notification</w:t>
      </w:r>
      <w:r w:rsidR="000A51E0">
        <w:t xml:space="preserve"> report</w:t>
      </w:r>
      <w:r w:rsidRPr="006529B8">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038212D" w:rsidRPr="006529B8">
        <w:t>.</w:t>
      </w:r>
    </w:p>
    <w:p w:rsidR="00CA4CD6" w:rsidRPr="006529B8" w:rsidRDefault="00CA4CD6"/>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0A51E0">
        <w:t xml:space="preserve"> </w:t>
      </w:r>
      <w:r w:rsidRPr="006529B8">
        <w:t>In the event that there is no such delegated authority, the reports are sent directly to the U</w:t>
      </w:r>
      <w:r w:rsidR="000A51E0">
        <w:t>.</w:t>
      </w:r>
      <w:r w:rsidRPr="006529B8">
        <w:t>S</w:t>
      </w:r>
      <w:r w:rsidR="000A51E0">
        <w:t>.</w:t>
      </w:r>
      <w:r w:rsidRPr="006529B8">
        <w:t xml:space="preserve"> Environmental Protection Agency (EPA) regional office.</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E10DA7">
      <w:pPr>
        <w:pBdr>
          <w:top w:val="single" w:sz="6" w:space="0" w:color="FFFFFF"/>
          <w:left w:val="single" w:sz="6" w:space="0" w:color="FFFFFF"/>
          <w:bottom w:val="single" w:sz="6" w:space="0" w:color="FFFFFF"/>
          <w:right w:val="single" w:sz="6" w:space="0" w:color="FFFFFF"/>
        </w:pBdr>
        <w:ind w:firstLine="720"/>
      </w:pPr>
      <w:r w:rsidRPr="006529B8">
        <w:t xml:space="preserve">Over the next three years, an average of </w:t>
      </w:r>
      <w:r w:rsidR="00610D61" w:rsidRPr="006529B8">
        <w:t>53</w:t>
      </w:r>
      <w:r w:rsidR="00CA4CD6" w:rsidRPr="006529B8">
        <w:t xml:space="preserve"> respondents </w:t>
      </w:r>
      <w:r w:rsidRPr="006529B8">
        <w:t>per year will be subject to the standard</w:t>
      </w:r>
      <w:r w:rsidR="000A51E0">
        <w:t>s</w:t>
      </w:r>
      <w:r w:rsidR="00CA4CD6" w:rsidRPr="006529B8">
        <w:t xml:space="preserve">, and </w:t>
      </w:r>
      <w:r w:rsidR="00610D61" w:rsidRPr="006529B8">
        <w:t>it is estimated that no</w:t>
      </w:r>
      <w:r w:rsidR="00CA4CD6" w:rsidRPr="006529B8">
        <w:t xml:space="preserve"> </w:t>
      </w:r>
      <w:r w:rsidRPr="006529B8">
        <w:t xml:space="preserve">additional </w:t>
      </w:r>
      <w:r w:rsidR="00CA4CD6" w:rsidRPr="006529B8">
        <w:t xml:space="preserve">respondents </w:t>
      </w:r>
      <w:r w:rsidRPr="006529B8">
        <w:t xml:space="preserve">per year </w:t>
      </w:r>
      <w:r w:rsidR="00CA4CD6" w:rsidRPr="006529B8">
        <w:t xml:space="preserve">will become subject to the </w:t>
      </w:r>
      <w:r w:rsidRPr="006529B8">
        <w:t>standard</w:t>
      </w:r>
      <w:r w:rsidR="000A51E0">
        <w:t>s</w:t>
      </w:r>
      <w:r w:rsidRPr="006529B8">
        <w: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9B38E1">
      <w:pPr>
        <w:pBdr>
          <w:top w:val="single" w:sz="6" w:space="0" w:color="FFFFFF"/>
          <w:left w:val="single" w:sz="6" w:space="0" w:color="FFFFFF"/>
          <w:bottom w:val="single" w:sz="6" w:space="0" w:color="FFFFFF"/>
          <w:right w:val="single" w:sz="6" w:space="0" w:color="FFFFFF"/>
        </w:pBdr>
        <w:ind w:firstLine="720"/>
      </w:pPr>
      <w:r w:rsidRPr="006529B8">
        <w:t>The Office of Management and Budget (OMB) approved the currently active ICR without any Terms of Clearance.</w:t>
      </w:r>
    </w:p>
    <w:p w:rsidR="00CA4CD6" w:rsidRPr="006529B8" w:rsidRDefault="009D6567" w:rsidP="002B29A5">
      <w:r w:rsidRPr="006529B8">
        <w:lastRenderedPageBreak/>
        <w:tab/>
      </w:r>
      <w:r w:rsidR="009B38E1" w:rsidRPr="006529B8">
        <w:t xml:space="preserve">There are approximately 53 sulfuric acid plants in the United States, which are owned and operated by the </w:t>
      </w:r>
      <w:r w:rsidR="000A51E0">
        <w:t>S</w:t>
      </w:r>
      <w:r w:rsidR="009B38E1" w:rsidRPr="006529B8">
        <w:t xml:space="preserve">ulfuric </w:t>
      </w:r>
      <w:r w:rsidR="000A51E0">
        <w:t>A</w:t>
      </w:r>
      <w:r w:rsidR="009B38E1" w:rsidRPr="006529B8">
        <w:t xml:space="preserve">cid industry (the “Affected Public”).  None of the facilities in the United States are owned by </w:t>
      </w:r>
      <w:r w:rsidR="000A51E0">
        <w:t xml:space="preserve">either </w:t>
      </w:r>
      <w:r w:rsidR="009B38E1" w:rsidRPr="006529B8">
        <w:t>state, local, tribal or the Federal government; all are privately</w:t>
      </w:r>
      <w:r w:rsidR="000A51E0">
        <w:t>-</w:t>
      </w:r>
      <w:r w:rsidR="009B38E1" w:rsidRPr="006529B8">
        <w:t xml:space="preserve"> owned</w:t>
      </w:r>
      <w:r w:rsidR="000A51E0">
        <w:t>,</w:t>
      </w:r>
      <w:r w:rsidR="009B38E1" w:rsidRPr="006529B8">
        <w:t xml:space="preserve"> for-profit businesses. </w:t>
      </w:r>
      <w:r w:rsidR="005456E5">
        <w:t xml:space="preserve"> </w:t>
      </w:r>
      <w:r w:rsidR="002B29A5" w:rsidRPr="006529B8">
        <w:t xml:space="preserve">The </w:t>
      </w:r>
      <w:r w:rsidR="000A51E0">
        <w:t>“</w:t>
      </w:r>
      <w:r w:rsidR="002B29A5" w:rsidRPr="006529B8">
        <w:t>burden</w:t>
      </w:r>
      <w:r w:rsidR="000A51E0">
        <w:t>”</w:t>
      </w:r>
      <w:r w:rsidR="004A4B25" w:rsidRPr="006529B8">
        <w:t xml:space="preserve"> to the Affected Public may be found </w:t>
      </w:r>
      <w:r w:rsidR="000A51E0">
        <w:t xml:space="preserve">below </w:t>
      </w:r>
      <w:r w:rsidR="004A4B25" w:rsidRPr="006529B8">
        <w:t>in Table 1</w:t>
      </w:r>
      <w:r w:rsidR="002B29A5" w:rsidRPr="006529B8">
        <w:t xml:space="preserve">: Annual Respondent Burden and Cost – </w:t>
      </w:r>
      <w:r w:rsidR="009B38E1" w:rsidRPr="006529B8">
        <w:t xml:space="preserve">NSPS </w:t>
      </w:r>
      <w:r w:rsidR="002B29A5" w:rsidRPr="006529B8">
        <w:t xml:space="preserve">for </w:t>
      </w:r>
      <w:r w:rsidR="009B38E1" w:rsidRPr="006529B8">
        <w:t xml:space="preserve">Sulfuric Acid Plants </w:t>
      </w:r>
      <w:r w:rsidR="002B29A5" w:rsidRPr="006529B8">
        <w:t xml:space="preserve">(40 CFR Part </w:t>
      </w:r>
      <w:r w:rsidR="009B38E1" w:rsidRPr="006529B8">
        <w:t>60</w:t>
      </w:r>
      <w:r w:rsidR="002B29A5" w:rsidRPr="006529B8">
        <w:t xml:space="preserve">, Subpart </w:t>
      </w:r>
      <w:r w:rsidR="009B38E1" w:rsidRPr="006529B8">
        <w:t>H</w:t>
      </w:r>
      <w:r w:rsidR="002B29A5" w:rsidRPr="006529B8">
        <w:t>) (Renewal)</w:t>
      </w:r>
      <w:r w:rsidR="004A4B25" w:rsidRPr="006529B8">
        <w:t xml:space="preserve">.  </w:t>
      </w:r>
      <w:r w:rsidR="009B38E1" w:rsidRPr="006529B8">
        <w:t>T</w:t>
      </w:r>
      <w:r w:rsidR="004A4B25" w:rsidRPr="006529B8">
        <w:t xml:space="preserve">he </w:t>
      </w:r>
      <w:r w:rsidRPr="006529B8">
        <w:t xml:space="preserve">Federal Government </w:t>
      </w:r>
      <w:r w:rsidR="000A51E0">
        <w:t>“</w:t>
      </w:r>
      <w:r w:rsidRPr="006529B8">
        <w:t>burden</w:t>
      </w:r>
      <w:r w:rsidR="000A51E0">
        <w:t>”</w:t>
      </w:r>
      <w:r w:rsidRPr="006529B8">
        <w:t xml:space="preserve"> is attributed entirely to work performed by </w:t>
      </w:r>
      <w:r w:rsidR="000A51E0">
        <w:t>either F</w:t>
      </w:r>
      <w:r w:rsidRPr="006529B8">
        <w:t>ederal employees</w:t>
      </w:r>
      <w:r w:rsidR="004A4B25" w:rsidRPr="006529B8">
        <w:t xml:space="preserve"> or government contractor</w:t>
      </w:r>
      <w:r w:rsidR="00EF113F" w:rsidRPr="006529B8">
        <w:t>s</w:t>
      </w:r>
      <w:r w:rsidR="004A4B25" w:rsidRPr="006529B8">
        <w:t xml:space="preserve"> </w:t>
      </w:r>
      <w:r w:rsidR="005456E5">
        <w:t xml:space="preserve">and </w:t>
      </w:r>
      <w:r w:rsidR="009B38E1" w:rsidRPr="006529B8">
        <w:t xml:space="preserve">may be </w:t>
      </w:r>
      <w:r w:rsidR="000A51E0" w:rsidRPr="006529B8">
        <w:t>found</w:t>
      </w:r>
      <w:r w:rsidR="000A51E0">
        <w:t xml:space="preserve"> below </w:t>
      </w:r>
      <w:r w:rsidR="009B38E1" w:rsidRPr="006529B8">
        <w:t xml:space="preserve">in </w:t>
      </w:r>
      <w:r w:rsidR="004A4B25" w:rsidRPr="006529B8">
        <w:t xml:space="preserve">Table 2: </w:t>
      </w:r>
      <w:r w:rsidR="002B29A5" w:rsidRPr="006529B8">
        <w:t xml:space="preserve">Average Annual EPA Burden and Cost – </w:t>
      </w:r>
      <w:r w:rsidR="009B38E1" w:rsidRPr="006529B8">
        <w:t xml:space="preserve">NSPS </w:t>
      </w:r>
      <w:r w:rsidR="002B29A5" w:rsidRPr="006529B8">
        <w:t xml:space="preserve">for </w:t>
      </w:r>
      <w:r w:rsidR="009B38E1" w:rsidRPr="006529B8">
        <w:t xml:space="preserve">Sulfuric Acid Plants </w:t>
      </w:r>
      <w:r w:rsidR="002B29A5" w:rsidRPr="006529B8">
        <w:t xml:space="preserve">(40 CFR Part </w:t>
      </w:r>
      <w:r w:rsidR="009B38E1" w:rsidRPr="006529B8">
        <w:t>60</w:t>
      </w:r>
      <w:r w:rsidR="002B29A5" w:rsidRPr="006529B8">
        <w:t xml:space="preserve">, Subpart </w:t>
      </w:r>
      <w:r w:rsidR="009B38E1" w:rsidRPr="006529B8">
        <w:t>H</w:t>
      </w:r>
      <w:r w:rsidR="002B29A5" w:rsidRPr="006529B8">
        <w:t xml:space="preserve">) (Renewal). </w:t>
      </w:r>
    </w:p>
    <w:p w:rsidR="002B29A5" w:rsidRPr="006529B8" w:rsidRDefault="002B29A5" w:rsidP="002B29A5"/>
    <w:p w:rsidR="00CA4CD6" w:rsidRPr="006529B8" w:rsidRDefault="00CA4CD6" w:rsidP="00504745">
      <w:pPr>
        <w:pBdr>
          <w:top w:val="single" w:sz="6" w:space="0" w:color="FFFFFF"/>
          <w:left w:val="single" w:sz="6" w:space="0" w:color="FFFFFF"/>
          <w:bottom w:val="single" w:sz="6" w:space="0" w:color="FFFFFF"/>
          <w:right w:val="single" w:sz="6" w:space="0" w:color="FFFFFF"/>
        </w:pBdr>
        <w:outlineLvl w:val="0"/>
      </w:pPr>
      <w:r w:rsidRPr="006529B8">
        <w:rPr>
          <w:b/>
          <w:bCs/>
        </w:rPr>
        <w:t>2.  Need for and Use of the Collection</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rPr>
          <w:b/>
          <w:bCs/>
        </w:rPr>
      </w:pPr>
      <w:r w:rsidRPr="006529B8">
        <w:rPr>
          <w:b/>
          <w:bCs/>
        </w:rPr>
        <w:t>2(a</w:t>
      </w:r>
      <w:proofErr w:type="gramStart"/>
      <w:r w:rsidRPr="006529B8">
        <w:rPr>
          <w:b/>
          <w:bCs/>
        </w:rPr>
        <w:t>)  Need</w:t>
      </w:r>
      <w:proofErr w:type="gramEnd"/>
      <w:r w:rsidRPr="006529B8">
        <w:rPr>
          <w:b/>
          <w:bCs/>
        </w:rPr>
        <w:t>/Authority for the Collection</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The EPA is charged under Section 111 of the Clean Air Act (CAA), as amended, to establish standards of performance for new stationary sources that reflect: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left="1440" w:right="1440"/>
      </w:pPr>
      <w:r w:rsidRPr="006529B8">
        <w:rPr>
          <w:b/>
          <w:bCs/>
        </w:rPr>
        <w:t>. . .</w:t>
      </w:r>
      <w:r w:rsidRPr="006529B8">
        <w:t xml:space="preserve"> </w:t>
      </w:r>
      <w:proofErr w:type="gramStart"/>
      <w:r w:rsidRPr="006529B8">
        <w:t>application</w:t>
      </w:r>
      <w:proofErr w:type="gramEnd"/>
      <w:r w:rsidRPr="006529B8">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6529B8">
        <w:t>)(</w:t>
      </w:r>
      <w:proofErr w:type="gramEnd"/>
      <w:r w:rsidRPr="006529B8">
        <w:t>l).</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pPr>
      <w:r w:rsidRPr="006529B8">
        <w:t>The Agency refers to this charge as selecting the best demonstrated technology (BDT).  Section 111 also requires that the Administrator review and, if appropriate, revise such standards every four years.</w:t>
      </w:r>
    </w:p>
    <w:p w:rsidR="009B38E1" w:rsidRPr="006529B8" w:rsidRDefault="009B38E1">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In addition, section 114(a) states that the Administrator may require any owner/operator subject to any requirement of this Act to: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left="1440" w:right="1440"/>
      </w:pPr>
      <w:r w:rsidRPr="006529B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lastRenderedPageBreak/>
        <w:t xml:space="preserve">In the Administrator's judgment, </w:t>
      </w:r>
      <w:r w:rsidR="009B38E1" w:rsidRPr="006529B8">
        <w:t>SO</w:t>
      </w:r>
      <w:r w:rsidR="007C5842" w:rsidRPr="007C5842">
        <w:rPr>
          <w:vertAlign w:val="subscript"/>
        </w:rPr>
        <w:t>2</w:t>
      </w:r>
      <w:r w:rsidR="009B38E1" w:rsidRPr="006529B8">
        <w:t xml:space="preserve"> </w:t>
      </w:r>
      <w:r w:rsidRPr="006529B8">
        <w:t xml:space="preserve">emissions from </w:t>
      </w:r>
      <w:r w:rsidR="009B38E1" w:rsidRPr="006529B8">
        <w:t xml:space="preserve">sulfuric acid plants </w:t>
      </w:r>
      <w:r w:rsidRPr="006529B8">
        <w:t xml:space="preserve">cause or contribute to air pollution that may reasonably be anticipated to endanger </w:t>
      </w:r>
      <w:r w:rsidR="000A51E0">
        <w:t xml:space="preserve">either </w:t>
      </w:r>
      <w:r w:rsidRPr="006529B8">
        <w:t xml:space="preserve">public health </w:t>
      </w:r>
      <w:r w:rsidR="000A51E0">
        <w:t>and/</w:t>
      </w:r>
      <w:r w:rsidRPr="006529B8">
        <w:t xml:space="preserve">or welfare.  Therefore, the NSPS were promulgated for this source category at 40 CFR </w:t>
      </w:r>
      <w:r w:rsidR="006810C3" w:rsidRPr="006529B8">
        <w:t xml:space="preserve">Part </w:t>
      </w:r>
      <w:r w:rsidRPr="006529B8">
        <w:t>60,</w:t>
      </w:r>
      <w:r w:rsidRPr="006529B8">
        <w:rPr>
          <w:b/>
          <w:bCs/>
          <w:i/>
          <w:iCs/>
        </w:rPr>
        <w:t xml:space="preserve"> </w:t>
      </w:r>
      <w:r w:rsidR="006810C3" w:rsidRPr="006529B8">
        <w:t xml:space="preserve">Subpart </w:t>
      </w:r>
      <w:r w:rsidR="00FD25BF" w:rsidRPr="006529B8">
        <w:t>H</w:t>
      </w:r>
      <w:r w:rsidRPr="006529B8">
        <w:t>.</w:t>
      </w:r>
    </w:p>
    <w:p w:rsidR="00CA4CD6" w:rsidRPr="006529B8" w:rsidRDefault="00CA4CD6" w:rsidP="00FD25BF">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2(b</w:t>
      </w:r>
      <w:proofErr w:type="gramStart"/>
      <w:r w:rsidRPr="006529B8">
        <w:rPr>
          <w:b/>
          <w:bCs/>
        </w:rPr>
        <w:t>)  Practical</w:t>
      </w:r>
      <w:proofErr w:type="gramEnd"/>
      <w:r w:rsidRPr="006529B8">
        <w:rPr>
          <w:b/>
          <w:bCs/>
        </w:rPr>
        <w:t xml:space="preserve"> Utility/Users of the Data</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recordkeeping and reporting requirements in the standard ensure compliance with the</w:t>
      </w:r>
      <w:r w:rsidR="00BC11E9" w:rsidRPr="006529B8">
        <w:t xml:space="preserve"> applicable regulations which w</w:t>
      </w:r>
      <w:r w:rsidRPr="006529B8">
        <w:t>ere promulgated in accordance with the Clean Air Act.  The collected information is also used for targeting inspections and as evidence in legal proceedings.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Performance tests are required in order to determine an affected facility</w:t>
      </w:r>
      <w:r w:rsidR="00724BC7" w:rsidRPr="006529B8">
        <w:t>’</w:t>
      </w:r>
      <w:r w:rsidRPr="006529B8">
        <w:t>s initial capability to comply with the emission standard</w:t>
      </w:r>
      <w:r w:rsidR="000A51E0">
        <w:t>s</w:t>
      </w:r>
      <w:r w:rsidRPr="006529B8">
        <w:t>. Continuous emission monitors are used to ensure compliance with the standard</w:t>
      </w:r>
      <w:r w:rsidR="000A51E0">
        <w:t>s</w:t>
      </w:r>
      <w:r w:rsidRPr="006529B8">
        <w:t xml:space="preserve"> at all times. During the performance test a record of the operating parameters under which compliance was achieved may be recorded and used to determine compliance in place of a continuous emission monitor</w:t>
      </w:r>
      <w:r w:rsidR="00FD25BF" w:rsidRPr="006529B8">
        <w: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notifications required in the</w:t>
      </w:r>
      <w:r w:rsidR="000A51E0">
        <w:t>se</w:t>
      </w:r>
      <w:r w:rsidRPr="006529B8">
        <w:t xml:space="preserve"> standard</w:t>
      </w:r>
      <w:r w:rsidR="000A51E0">
        <w:t>s</w:t>
      </w:r>
      <w:r w:rsidRPr="006529B8">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FD25BF" w:rsidRPr="006529B8">
        <w:t xml:space="preserve">, </w:t>
      </w:r>
      <w:r w:rsidRPr="006529B8">
        <w:t>leaks are being detected and repaired</w:t>
      </w:r>
      <w:r w:rsidR="00FD25BF" w:rsidRPr="006529B8">
        <w:t>,</w:t>
      </w:r>
      <w:r w:rsidRPr="006529B8">
        <w:t xml:space="preserve"> and </w:t>
      </w:r>
      <w:r w:rsidR="00FD25BF" w:rsidRPr="006529B8">
        <w:t xml:space="preserve">that </w:t>
      </w:r>
      <w:r w:rsidRPr="006529B8">
        <w:t>the standard</w:t>
      </w:r>
      <w:r w:rsidR="00FD25BF" w:rsidRPr="006529B8">
        <w:t xml:space="preserve"> </w:t>
      </w:r>
      <w:r w:rsidRPr="006529B8">
        <w:t>are being met.  The performance test may also be observed.</w:t>
      </w:r>
    </w:p>
    <w:p w:rsidR="00CA4CD6" w:rsidRPr="006529B8" w:rsidRDefault="00CA4CD6">
      <w:pPr>
        <w:pBdr>
          <w:top w:val="single" w:sz="6" w:space="0" w:color="FFFFFF"/>
          <w:left w:val="single" w:sz="6" w:space="0" w:color="FFFFFF"/>
          <w:bottom w:val="single" w:sz="6" w:space="0" w:color="FFFFFF"/>
          <w:right w:val="single" w:sz="6" w:space="0" w:color="FFFFFF"/>
        </w:pBdr>
        <w:ind w:firstLine="720"/>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required semiannual reports are used to determine periods of excess emissions, identify problems at the facility, verify operation/maintenance procedures and for compliance determinations.</w:t>
      </w:r>
    </w:p>
    <w:p w:rsidR="00606DEF" w:rsidRPr="006529B8" w:rsidRDefault="00606DEF">
      <w:pPr>
        <w:pBdr>
          <w:top w:val="single" w:sz="6" w:space="0" w:color="FFFFFF"/>
          <w:left w:val="single" w:sz="6" w:space="0" w:color="FFFFFF"/>
          <w:bottom w:val="single" w:sz="6" w:space="0" w:color="FFFFFF"/>
          <w:right w:val="single" w:sz="6" w:space="0" w:color="FFFFFF"/>
        </w:pBdr>
      </w:pPr>
    </w:p>
    <w:p w:rsidR="00CA4CD6" w:rsidRPr="006529B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529B8">
        <w:rPr>
          <w:b/>
          <w:bCs/>
        </w:rPr>
        <w:t>3.  Non</w:t>
      </w:r>
      <w:r w:rsidR="000A51E0">
        <w:rPr>
          <w:b/>
          <w:bCs/>
        </w:rPr>
        <w:t>-</w:t>
      </w:r>
      <w:r w:rsidRPr="006529B8">
        <w:rPr>
          <w:b/>
          <w:bCs/>
        </w:rPr>
        <w:t>duplication, Consultations, and Other Collection Criteria</w:t>
      </w:r>
    </w:p>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pPr>
        <w:pBdr>
          <w:top w:val="single" w:sz="6" w:space="0" w:color="FFFFFF"/>
          <w:left w:val="single" w:sz="6" w:space="0" w:color="FFFFFF"/>
          <w:bottom w:val="single" w:sz="6" w:space="0" w:color="FFFFFF"/>
          <w:right w:val="single" w:sz="6" w:space="0" w:color="FFFFFF"/>
        </w:pBdr>
        <w:ind w:firstLine="720"/>
        <w:rPr>
          <w:b/>
          <w:bCs/>
        </w:rPr>
      </w:pPr>
      <w:r w:rsidRPr="006529B8">
        <w:t>The requested recordkeeping an</w:t>
      </w:r>
      <w:r w:rsidR="003F1AFC" w:rsidRPr="006529B8">
        <w:t xml:space="preserve">d reporting are required under </w:t>
      </w:r>
      <w:r w:rsidRPr="006529B8">
        <w:t xml:space="preserve">40 CFR </w:t>
      </w:r>
      <w:r w:rsidR="006810C3" w:rsidRPr="006529B8">
        <w:t xml:space="preserve">Part </w:t>
      </w:r>
      <w:r w:rsidRPr="006529B8">
        <w:t xml:space="preserve">60, </w:t>
      </w:r>
      <w:r w:rsidR="006810C3" w:rsidRPr="006529B8">
        <w:t>Subpart</w:t>
      </w:r>
      <w:r w:rsidR="003F1AFC" w:rsidRPr="006529B8">
        <w:t xml:space="preserve"> </w:t>
      </w:r>
      <w:r w:rsidR="00FD25BF" w:rsidRPr="006529B8">
        <w:t>H</w:t>
      </w:r>
      <w:r w:rsidRPr="006529B8">
        <w:t>.</w:t>
      </w:r>
    </w:p>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3(a</w:t>
      </w:r>
      <w:proofErr w:type="gramStart"/>
      <w:r w:rsidRPr="006529B8">
        <w:rPr>
          <w:b/>
          <w:bCs/>
        </w:rPr>
        <w:t>)  Non</w:t>
      </w:r>
      <w:proofErr w:type="gramEnd"/>
      <w:r w:rsidR="000A51E0">
        <w:rPr>
          <w:b/>
          <w:bCs/>
        </w:rPr>
        <w:t>-</w:t>
      </w:r>
      <w:r w:rsidRPr="006529B8">
        <w:rPr>
          <w:b/>
          <w:bCs/>
        </w:rPr>
        <w:t>duplication</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6529B8">
        <w:t>,  duplication</w:t>
      </w:r>
      <w:proofErr w:type="gramEnd"/>
      <w:r w:rsidRPr="006529B8">
        <w:t xml:space="preserve"> </w:t>
      </w:r>
      <w:r w:rsidR="000A51E0">
        <w:t xml:space="preserve">does not </w:t>
      </w:r>
      <w:r w:rsidRPr="006529B8">
        <w:t>exist.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3(b</w:t>
      </w:r>
      <w:proofErr w:type="gramStart"/>
      <w:r w:rsidRPr="006529B8">
        <w:rPr>
          <w:b/>
          <w:bCs/>
        </w:rPr>
        <w:t>)  Public</w:t>
      </w:r>
      <w:proofErr w:type="gramEnd"/>
      <w:r w:rsidRPr="006529B8">
        <w:rPr>
          <w:b/>
          <w:bCs/>
        </w:rPr>
        <w:t xml:space="preserve"> Notice Required Prior to ICR Submission to OMB</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An announcement of a public comment period for the renewal of this ICR was published </w:t>
      </w:r>
      <w:r w:rsidRPr="006529B8">
        <w:lastRenderedPageBreak/>
        <w:t xml:space="preserve">in the </w:t>
      </w:r>
      <w:r w:rsidRPr="006529B8">
        <w:rPr>
          <w:u w:val="single"/>
        </w:rPr>
        <w:t>Federal Register</w:t>
      </w:r>
      <w:r w:rsidRPr="006529B8">
        <w:t xml:space="preserve"> (</w:t>
      </w:r>
      <w:r w:rsidR="003D0D94" w:rsidRPr="006529B8">
        <w:t>79</w:t>
      </w:r>
      <w:r w:rsidRPr="006529B8">
        <w:t xml:space="preserve"> </w:t>
      </w:r>
      <w:r w:rsidRPr="006529B8">
        <w:rPr>
          <w:u w:val="single"/>
        </w:rPr>
        <w:t>FR</w:t>
      </w:r>
      <w:r w:rsidRPr="006529B8">
        <w:t xml:space="preserve"> </w:t>
      </w:r>
      <w:r w:rsidR="003D0D94" w:rsidRPr="006529B8">
        <w:t>30117</w:t>
      </w:r>
      <w:r w:rsidRPr="006529B8">
        <w:t xml:space="preserve">) on </w:t>
      </w:r>
      <w:r w:rsidR="003D0D94" w:rsidRPr="006529B8">
        <w:t>May 27, 2014</w:t>
      </w:r>
      <w:r w:rsidRPr="006529B8">
        <w:t xml:space="preserve">. No comments were received on the burden published in the </w:t>
      </w:r>
      <w:r w:rsidRPr="006529B8">
        <w:rPr>
          <w:u w:val="single"/>
        </w:rPr>
        <w:t>Federal Register</w:t>
      </w:r>
      <w:r w:rsidRPr="006529B8">
        <w:t>.</w:t>
      </w:r>
    </w:p>
    <w:p w:rsidR="00CA4CD6" w:rsidRPr="006529B8" w:rsidRDefault="00CA4CD6">
      <w:pPr>
        <w:pBdr>
          <w:top w:val="single" w:sz="6" w:space="0" w:color="FFFFFF"/>
          <w:left w:val="single" w:sz="6" w:space="0" w:color="FFFFFF"/>
          <w:bottom w:val="single" w:sz="6" w:space="0" w:color="FFFFFF"/>
          <w:right w:val="single" w:sz="6" w:space="0" w:color="FFFFFF"/>
        </w:pBdr>
      </w:pPr>
    </w:p>
    <w:p w:rsidR="00123889" w:rsidRPr="006529B8" w:rsidRDefault="00123889" w:rsidP="00123889">
      <w:pPr>
        <w:pBdr>
          <w:top w:val="single" w:sz="6" w:space="0" w:color="FFFFFF"/>
          <w:left w:val="single" w:sz="6" w:space="0" w:color="FFFFFF"/>
          <w:bottom w:val="single" w:sz="6" w:space="0" w:color="FFFFFF"/>
          <w:right w:val="single" w:sz="6" w:space="0" w:color="FFFFFF"/>
        </w:pBdr>
        <w:ind w:firstLine="720"/>
      </w:pPr>
      <w:r w:rsidRPr="006529B8">
        <w:rPr>
          <w:b/>
          <w:bCs/>
        </w:rPr>
        <w:t>3(c</w:t>
      </w:r>
      <w:proofErr w:type="gramStart"/>
      <w:r w:rsidRPr="006529B8">
        <w:rPr>
          <w:b/>
          <w:bCs/>
        </w:rPr>
        <w:t>)  Consultations</w:t>
      </w:r>
      <w:proofErr w:type="gramEnd"/>
    </w:p>
    <w:p w:rsidR="00E53137" w:rsidRPr="006529B8" w:rsidRDefault="00E53137" w:rsidP="00D92F66">
      <w:pPr>
        <w:spacing w:line="244" w:lineRule="exact"/>
      </w:pPr>
    </w:p>
    <w:p w:rsidR="003D0D94" w:rsidRPr="006529B8" w:rsidRDefault="003D0D94" w:rsidP="003D0D94">
      <w:pPr>
        <w:pBdr>
          <w:top w:val="single" w:sz="6" w:space="0" w:color="FFFFFF"/>
          <w:left w:val="single" w:sz="6" w:space="0" w:color="FFFFFF"/>
          <w:bottom w:val="single" w:sz="6" w:space="0" w:color="FFFFFF"/>
          <w:right w:val="single" w:sz="6" w:space="0" w:color="FFFFFF"/>
        </w:pBdr>
        <w:ind w:firstLine="720"/>
      </w:pPr>
      <w:r w:rsidRPr="006529B8">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3D0D94" w:rsidRPr="006529B8" w:rsidRDefault="003D0D94" w:rsidP="003D0D94">
      <w:pPr>
        <w:widowControl/>
        <w:outlineLvl w:val="0"/>
      </w:pPr>
    </w:p>
    <w:p w:rsidR="003D0D94" w:rsidRPr="006529B8" w:rsidRDefault="003D0D94" w:rsidP="003D0D94">
      <w:pPr>
        <w:pBdr>
          <w:top w:val="single" w:sz="4" w:space="0" w:color="FFFFFF"/>
          <w:left w:val="single" w:sz="4" w:space="0" w:color="FFFFFF"/>
          <w:bottom w:val="single" w:sz="4" w:space="0" w:color="FFFFFF"/>
          <w:right w:val="single" w:sz="4" w:space="0" w:color="FFFFFF"/>
        </w:pBdr>
        <w:ind w:firstLine="720"/>
        <w:rPr>
          <w:bCs/>
        </w:rPr>
      </w:pPr>
      <w:r w:rsidRPr="006529B8">
        <w:rPr>
          <w:bCs/>
        </w:rPr>
        <w:t xml:space="preserve">Industry trade associations and other interested parties were provided an opportunity to comment on the burden associated with the standard as it was being developed.  In developing this ICR, we contacted </w:t>
      </w:r>
      <w:proofErr w:type="spellStart"/>
      <w:r w:rsidRPr="006529B8">
        <w:rPr>
          <w:bCs/>
        </w:rPr>
        <w:t>Chemtrade</w:t>
      </w:r>
      <w:proofErr w:type="spellEnd"/>
      <w:r w:rsidRPr="006529B8">
        <w:rPr>
          <w:bCs/>
        </w:rPr>
        <w:t xml:space="preserve"> Logistics</w:t>
      </w:r>
      <w:r w:rsidR="000A51E0">
        <w:rPr>
          <w:bCs/>
        </w:rPr>
        <w:t>,</w:t>
      </w:r>
      <w:r w:rsidRPr="006529B8">
        <w:rPr>
          <w:bCs/>
        </w:rPr>
        <w:t xml:space="preserve"> at (416) 496-5856, and Southern States Chemical</w:t>
      </w:r>
      <w:r w:rsidR="000A51E0">
        <w:rPr>
          <w:bCs/>
        </w:rPr>
        <w:t>,</w:t>
      </w:r>
      <w:r w:rsidRPr="006529B8">
        <w:rPr>
          <w:bCs/>
        </w:rPr>
        <w:t xml:space="preserve"> at (910) 762-5054.  </w:t>
      </w:r>
    </w:p>
    <w:p w:rsidR="003D0D94" w:rsidRPr="006529B8" w:rsidRDefault="003D0D94" w:rsidP="003D0D94">
      <w:pPr>
        <w:pBdr>
          <w:top w:val="single" w:sz="6" w:space="0" w:color="FFFFFF"/>
          <w:left w:val="single" w:sz="6" w:space="0" w:color="FFFFFF"/>
          <w:bottom w:val="single" w:sz="6" w:space="0" w:color="FFFFFF"/>
          <w:right w:val="single" w:sz="6" w:space="0" w:color="FFFFFF"/>
        </w:pBdr>
      </w:pPr>
    </w:p>
    <w:p w:rsidR="007C5842" w:rsidRDefault="003D0D94" w:rsidP="007C5842">
      <w:pPr>
        <w:spacing w:line="244" w:lineRule="exact"/>
        <w:ind w:firstLine="720"/>
      </w:pPr>
      <w:r w:rsidRPr="006529B8">
        <w:rPr>
          <w:bCs/>
        </w:rPr>
        <w:t xml:space="preserve">It is our policy to respond after a thorough review of comments received since the last ICR renewal as well as those submitted in response to the first </w:t>
      </w:r>
      <w:r w:rsidRPr="006529B8">
        <w:rPr>
          <w:bCs/>
          <w:u w:val="single"/>
        </w:rPr>
        <w:t>Federal Register</w:t>
      </w:r>
      <w:r w:rsidRPr="006529B8">
        <w:rPr>
          <w:bCs/>
        </w:rPr>
        <w:t xml:space="preserve"> notice. </w:t>
      </w:r>
      <w:r w:rsidR="005456E5">
        <w:rPr>
          <w:bCs/>
        </w:rPr>
        <w:t xml:space="preserve">  </w:t>
      </w:r>
      <w:r w:rsidRPr="006529B8">
        <w:rPr>
          <w:bCs/>
        </w:rPr>
        <w:t xml:space="preserve">In this case, no comments were received. </w:t>
      </w:r>
    </w:p>
    <w:p w:rsidR="00123889" w:rsidRPr="006529B8" w:rsidRDefault="00123889">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3(d</w:t>
      </w:r>
      <w:proofErr w:type="gramStart"/>
      <w:r w:rsidRPr="006529B8">
        <w:rPr>
          <w:b/>
          <w:bCs/>
        </w:rPr>
        <w:t>)  Effects</w:t>
      </w:r>
      <w:proofErr w:type="gramEnd"/>
      <w:r w:rsidRPr="006529B8">
        <w:rPr>
          <w:b/>
          <w:bCs/>
        </w:rPr>
        <w:t xml:space="preserve"> of Less Frequent Collection</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6529B8">
        <w:t xml:space="preserve">the proper </w:t>
      </w:r>
      <w:r w:rsidRPr="006529B8">
        <w:t xml:space="preserve">operation and maintenance of control equipment </w:t>
      </w:r>
      <w:r w:rsidR="002C1F95" w:rsidRPr="006529B8">
        <w:t>and the possibility of detecting violations would be less likely.</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3(e</w:t>
      </w:r>
      <w:proofErr w:type="gramStart"/>
      <w:r w:rsidRPr="006529B8">
        <w:rPr>
          <w:b/>
          <w:bCs/>
        </w:rPr>
        <w:t>)  General</w:t>
      </w:r>
      <w:proofErr w:type="gramEnd"/>
      <w:r w:rsidRPr="006529B8">
        <w:rPr>
          <w:b/>
          <w:bCs/>
        </w:rPr>
        <w:t xml:space="preserve"> Guidelines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101B40">
      <w:pPr>
        <w:pBdr>
          <w:top w:val="single" w:sz="6" w:space="0" w:color="FFFFFF"/>
          <w:left w:val="single" w:sz="6" w:space="0" w:color="FFFFFF"/>
          <w:bottom w:val="single" w:sz="6" w:space="0" w:color="FFFFFF"/>
          <w:right w:val="single" w:sz="6" w:space="0" w:color="FFFFFF"/>
        </w:pBdr>
        <w:ind w:firstLine="720"/>
      </w:pPr>
      <w:r w:rsidRPr="006529B8">
        <w:t>T</w:t>
      </w:r>
      <w:r w:rsidR="00CA4CD6" w:rsidRPr="006529B8">
        <w:t xml:space="preserve">hese reporting or recordkeeping requirements </w:t>
      </w:r>
      <w:r w:rsidRPr="006529B8">
        <w:t xml:space="preserve">do not </w:t>
      </w:r>
      <w:r w:rsidR="00CA4CD6" w:rsidRPr="006529B8">
        <w:t xml:space="preserve">violate any of the regulations </w:t>
      </w:r>
      <w:r w:rsidR="00206932" w:rsidRPr="006529B8">
        <w:t>promulgated by</w:t>
      </w:r>
      <w:r w:rsidRPr="006529B8">
        <w:t xml:space="preserve"> </w:t>
      </w:r>
      <w:r w:rsidR="00CA4CD6" w:rsidRPr="006529B8">
        <w:t xml:space="preserve">OMB </w:t>
      </w:r>
      <w:r w:rsidRPr="006529B8">
        <w:t>under</w:t>
      </w:r>
      <w:r w:rsidR="00CA4CD6" w:rsidRPr="006529B8">
        <w:t xml:space="preserve"> 5 CFR </w:t>
      </w:r>
      <w:r w:rsidR="003B384B" w:rsidRPr="006529B8">
        <w:t xml:space="preserve">Part </w:t>
      </w:r>
      <w:r w:rsidR="00CA4CD6" w:rsidRPr="006529B8">
        <w:t xml:space="preserve">1320, </w:t>
      </w:r>
      <w:r w:rsidR="003B384B" w:rsidRPr="006529B8">
        <w:t xml:space="preserve">Section </w:t>
      </w:r>
      <w:r w:rsidR="00CA4CD6" w:rsidRPr="006529B8">
        <w:t>1320.5.</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3(f</w:t>
      </w:r>
      <w:proofErr w:type="gramStart"/>
      <w:r w:rsidRPr="006529B8">
        <w:rPr>
          <w:b/>
          <w:bCs/>
        </w:rPr>
        <w:t>)  Confidentiality</w:t>
      </w:r>
      <w:proofErr w:type="gramEnd"/>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Any information submitted to the Agency for which a claim of confidentiality is made will be safeguarded according to the Agency policies set forth in Title 40, chapter 1, part 2, subpart B - Confidentiality of Business Information</w:t>
      </w:r>
      <w:r w:rsidR="000A51E0">
        <w:t xml:space="preserve"> (CBI)</w:t>
      </w:r>
      <w:r w:rsidRPr="006529B8">
        <w:t xml:space="preserve"> (see 40 CFR 2; 41 </w:t>
      </w:r>
      <w:r w:rsidRPr="006529B8">
        <w:rPr>
          <w:u w:val="single"/>
        </w:rPr>
        <w:t>FR</w:t>
      </w:r>
      <w:r w:rsidRPr="006529B8">
        <w:t xml:space="preserve"> 36902, September 1, 1976; amended by 43 </w:t>
      </w:r>
      <w:r w:rsidRPr="006529B8">
        <w:rPr>
          <w:u w:val="single"/>
        </w:rPr>
        <w:t>FR</w:t>
      </w:r>
      <w:r w:rsidRPr="006529B8">
        <w:t xml:space="preserve"> 40000, September 8, 1978; 43 </w:t>
      </w:r>
      <w:r w:rsidRPr="006529B8">
        <w:rPr>
          <w:u w:val="single"/>
        </w:rPr>
        <w:t>FR</w:t>
      </w:r>
      <w:r w:rsidRPr="006529B8">
        <w:t xml:space="preserve"> 42251, September 20, 1978; 44 </w:t>
      </w:r>
      <w:r w:rsidRPr="006529B8">
        <w:rPr>
          <w:u w:val="single"/>
        </w:rPr>
        <w:t>FR</w:t>
      </w:r>
      <w:r w:rsidRPr="006529B8">
        <w:t xml:space="preserve"> 17674, March 23, 1979).</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lastRenderedPageBreak/>
        <w:t>3(g</w:t>
      </w:r>
      <w:proofErr w:type="gramStart"/>
      <w:r w:rsidRPr="006529B8">
        <w:rPr>
          <w:b/>
          <w:bCs/>
        </w:rPr>
        <w:t>)  Sensitive</w:t>
      </w:r>
      <w:proofErr w:type="gramEnd"/>
      <w:r w:rsidRPr="006529B8">
        <w:rPr>
          <w:b/>
          <w:bCs/>
        </w:rPr>
        <w:t xml:space="preserve"> Questions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40391F">
      <w:pPr>
        <w:pBdr>
          <w:top w:val="single" w:sz="6" w:space="0" w:color="FFFFFF"/>
          <w:left w:val="single" w:sz="6" w:space="0" w:color="FFFFFF"/>
          <w:bottom w:val="single" w:sz="6" w:space="0" w:color="FFFFFF"/>
          <w:right w:val="single" w:sz="6" w:space="0" w:color="FFFFFF"/>
        </w:pBdr>
        <w:ind w:firstLine="720"/>
      </w:pPr>
      <w:r w:rsidRPr="006529B8">
        <w:t>T</w:t>
      </w:r>
      <w:r w:rsidR="00CA4CD6" w:rsidRPr="006529B8">
        <w:t xml:space="preserve">he reporting or recordkeeping requirements </w:t>
      </w:r>
      <w:r w:rsidRPr="006529B8">
        <w:t xml:space="preserve">in the standard do not </w:t>
      </w:r>
      <w:r w:rsidR="00B46A57" w:rsidRPr="006529B8">
        <w:t xml:space="preserve">include </w:t>
      </w:r>
      <w:r w:rsidR="00CA4CD6" w:rsidRPr="006529B8">
        <w:t>sensitive questions.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529B8">
        <w:rPr>
          <w:b/>
          <w:bCs/>
        </w:rPr>
        <w:t>4.  The Respondents and the Information Requested</w:t>
      </w:r>
    </w:p>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4(a</w:t>
      </w:r>
      <w:proofErr w:type="gramStart"/>
      <w:r w:rsidRPr="006529B8">
        <w:rPr>
          <w:b/>
          <w:bCs/>
        </w:rPr>
        <w:t>)  Respondents</w:t>
      </w:r>
      <w:proofErr w:type="gramEnd"/>
      <w:r w:rsidRPr="006529B8">
        <w:rPr>
          <w:b/>
          <w:bCs/>
        </w:rPr>
        <w:t>/SIC Codes</w:t>
      </w:r>
    </w:p>
    <w:p w:rsidR="00CA4CD6" w:rsidRPr="006529B8" w:rsidRDefault="00CA4CD6">
      <w:pPr>
        <w:pBdr>
          <w:top w:val="single" w:sz="6" w:space="0" w:color="FFFFFF"/>
          <w:left w:val="single" w:sz="6" w:space="0" w:color="FFFFFF"/>
          <w:bottom w:val="single" w:sz="6" w:space="0" w:color="FFFFFF"/>
          <w:right w:val="single" w:sz="6" w:space="0" w:color="FFFFFF"/>
        </w:pBdr>
      </w:pPr>
    </w:p>
    <w:p w:rsidR="007C5842" w:rsidRDefault="00CA4CD6" w:rsidP="007C5842">
      <w:pPr>
        <w:pBdr>
          <w:top w:val="single" w:sz="6" w:space="0" w:color="FFFFFF"/>
          <w:left w:val="single" w:sz="6" w:space="0" w:color="FFFFFF"/>
          <w:bottom w:val="single" w:sz="6" w:space="0" w:color="FFFFFF"/>
          <w:right w:val="single" w:sz="6" w:space="0" w:color="FFFFFF"/>
        </w:pBdr>
        <w:ind w:firstLine="720"/>
      </w:pPr>
      <w:r w:rsidRPr="006529B8">
        <w:t xml:space="preserve">The respondents to the recordkeeping and reporting requirements are </w:t>
      </w:r>
      <w:r w:rsidR="00167081" w:rsidRPr="006529B8">
        <w:t>sulfuric acid plants</w:t>
      </w:r>
      <w:r w:rsidRPr="006529B8">
        <w:t xml:space="preserve">.  The </w:t>
      </w:r>
      <w:r w:rsidR="00CF2B37" w:rsidRPr="006529B8">
        <w:t>United States Standard Industrial Classification (</w:t>
      </w:r>
      <w:r w:rsidRPr="006529B8">
        <w:t>SIC</w:t>
      </w:r>
      <w:r w:rsidR="00CF2B37" w:rsidRPr="006529B8">
        <w:t>)</w:t>
      </w:r>
      <w:r w:rsidRPr="006529B8">
        <w:t xml:space="preserve"> code for the respondents affected by the standards is SIC </w:t>
      </w:r>
      <w:r w:rsidR="00167081" w:rsidRPr="006529B8">
        <w:t>2819</w:t>
      </w:r>
      <w:r w:rsidR="009034AB">
        <w:t>,</w:t>
      </w:r>
      <w:r w:rsidRPr="006529B8">
        <w:t xml:space="preserve"> which corresponds to the North American Industry Classification System</w:t>
      </w:r>
      <w:r w:rsidR="00CF2B37" w:rsidRPr="006529B8">
        <w:t xml:space="preserve"> (NAICS</w:t>
      </w:r>
      <w:r w:rsidRPr="006529B8">
        <w:t xml:space="preserve">) </w:t>
      </w:r>
      <w:r w:rsidR="009034AB">
        <w:t xml:space="preserve">code </w:t>
      </w:r>
      <w:r w:rsidR="00167081" w:rsidRPr="006529B8">
        <w:t>325188</w:t>
      </w:r>
      <w:r w:rsidRPr="006529B8">
        <w:t xml:space="preserve"> for </w:t>
      </w:r>
      <w:r w:rsidR="00167081" w:rsidRPr="006529B8">
        <w:t>Inorganic Chemical Manufacturing</w:t>
      </w:r>
      <w:r w:rsidRPr="006529B8">
        <w:t xml:space="preserve">. </w:t>
      </w:r>
    </w:p>
    <w:p w:rsidR="009034AB" w:rsidRDefault="009034AB" w:rsidP="007C5842">
      <w:pPr>
        <w:pBdr>
          <w:top w:val="single" w:sz="6" w:space="0" w:color="FFFFFF"/>
          <w:left w:val="single" w:sz="6" w:space="0" w:color="FFFFFF"/>
          <w:bottom w:val="single" w:sz="6" w:space="0" w:color="FFFFFF"/>
          <w:right w:val="single" w:sz="6" w:space="0" w:color="FFFFFF"/>
        </w:pBdr>
        <w:ind w:firstLine="720"/>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4(b</w:t>
      </w:r>
      <w:proofErr w:type="gramStart"/>
      <w:r w:rsidRPr="006529B8">
        <w:rPr>
          <w:b/>
          <w:bCs/>
        </w:rPr>
        <w:t>)  Information</w:t>
      </w:r>
      <w:proofErr w:type="gramEnd"/>
      <w:r w:rsidRPr="006529B8">
        <w:rPr>
          <w:b/>
          <w:bCs/>
        </w:rPr>
        <w:t xml:space="preserve"> Requested</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529B8">
        <w:rPr>
          <w:b/>
          <w:bCs/>
        </w:rPr>
        <w:t>(</w:t>
      </w:r>
      <w:proofErr w:type="spellStart"/>
      <w:r w:rsidRPr="006529B8">
        <w:rPr>
          <w:b/>
          <w:bCs/>
        </w:rPr>
        <w:t>i</w:t>
      </w:r>
      <w:proofErr w:type="spellEnd"/>
      <w:r w:rsidRPr="006529B8">
        <w:rPr>
          <w:b/>
          <w:bCs/>
        </w:rPr>
        <w:t>)  Data Items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817E8B">
      <w:pPr>
        <w:pBdr>
          <w:top w:val="single" w:sz="6" w:space="0" w:color="FFFFFF"/>
          <w:left w:val="single" w:sz="6" w:space="0" w:color="FFFFFF"/>
          <w:bottom w:val="single" w:sz="6" w:space="0" w:color="FFFFFF"/>
          <w:right w:val="single" w:sz="6" w:space="0" w:color="FFFFFF"/>
        </w:pBdr>
        <w:ind w:firstLine="720"/>
      </w:pPr>
      <w:r w:rsidRPr="006529B8">
        <w:t>I</w:t>
      </w:r>
      <w:r w:rsidR="00CA4CD6" w:rsidRPr="006529B8">
        <w:t>n this ICR</w:t>
      </w:r>
      <w:r w:rsidRPr="006529B8">
        <w:t>, all the data</w:t>
      </w:r>
      <w:r w:rsidR="00CA4CD6" w:rsidRPr="006529B8">
        <w:t xml:space="preserve"> </w:t>
      </w:r>
      <w:r w:rsidRPr="006529B8">
        <w:t xml:space="preserve">that is </w:t>
      </w:r>
      <w:r w:rsidR="00CA4CD6" w:rsidRPr="006529B8">
        <w:t xml:space="preserve">recorded or reported </w:t>
      </w:r>
      <w:r w:rsidRPr="006529B8">
        <w:t>is</w:t>
      </w:r>
      <w:r w:rsidR="00CA4CD6" w:rsidRPr="006529B8">
        <w:t xml:space="preserve"> required by </w:t>
      </w:r>
      <w:r w:rsidR="000C393D">
        <w:t xml:space="preserve">the </w:t>
      </w:r>
      <w:r w:rsidR="00167081" w:rsidRPr="006529B8">
        <w:t>NSPS for Sulfuric Acid Plants (40 CFR Part 60, Subpart H) (Renewal)</w:t>
      </w:r>
      <w:r w:rsidR="00CA4CD6" w:rsidRPr="006529B8">
        <w:t xml:space="preserve">.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A source must make the following reports:</w:t>
      </w:r>
    </w:p>
    <w:p w:rsidR="00CA4CD6" w:rsidRPr="006529B8"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6529B8" w:rsidTr="0016708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529B8" w:rsidRDefault="00CA4CD6">
            <w:pPr>
              <w:spacing w:line="120" w:lineRule="exact"/>
            </w:pPr>
          </w:p>
          <w:p w:rsidR="00CA4CD6" w:rsidRPr="006529B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529B8">
              <w:rPr>
                <w:b/>
              </w:rPr>
              <w:t>Notification</w:t>
            </w:r>
            <w:r w:rsidR="006E4A6E" w:rsidRPr="006529B8">
              <w:rPr>
                <w:b/>
              </w:rPr>
              <w:t>s</w:t>
            </w:r>
          </w:p>
        </w:tc>
      </w:tr>
      <w:tr w:rsidR="00167081" w:rsidRPr="006529B8">
        <w:trPr>
          <w:jc w:val="center"/>
        </w:trPr>
        <w:tc>
          <w:tcPr>
            <w:tcW w:w="702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60.7(a)(1)</w:t>
            </w:r>
          </w:p>
        </w:tc>
      </w:tr>
      <w:tr w:rsidR="00167081" w:rsidRPr="006529B8">
        <w:trPr>
          <w:jc w:val="center"/>
        </w:trPr>
        <w:tc>
          <w:tcPr>
            <w:tcW w:w="702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60.7(a)(3)</w:t>
            </w:r>
          </w:p>
        </w:tc>
      </w:tr>
      <w:tr w:rsidR="00167081" w:rsidRPr="006529B8">
        <w:trPr>
          <w:jc w:val="center"/>
        </w:trPr>
        <w:tc>
          <w:tcPr>
            <w:tcW w:w="702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60.7(a)(4)</w:t>
            </w:r>
          </w:p>
        </w:tc>
      </w:tr>
      <w:tr w:rsidR="00167081" w:rsidRPr="006529B8">
        <w:trPr>
          <w:jc w:val="center"/>
        </w:trPr>
        <w:tc>
          <w:tcPr>
            <w:tcW w:w="702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Notification of continuous monitoring system (CMS) demonstration</w:t>
            </w:r>
          </w:p>
        </w:tc>
        <w:tc>
          <w:tcPr>
            <w:tcW w:w="234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 xml:space="preserve">60.7(a)(5) </w:t>
            </w:r>
          </w:p>
        </w:tc>
      </w:tr>
      <w:tr w:rsidR="00167081" w:rsidRPr="006529B8">
        <w:trPr>
          <w:jc w:val="center"/>
        </w:trPr>
        <w:tc>
          <w:tcPr>
            <w:tcW w:w="702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60.8(a)</w:t>
            </w:r>
          </w:p>
        </w:tc>
      </w:tr>
      <w:tr w:rsidR="00167081" w:rsidRPr="006529B8" w:rsidTr="00167081">
        <w:trPr>
          <w:jc w:val="center"/>
        </w:trPr>
        <w:tc>
          <w:tcPr>
            <w:tcW w:w="7020" w:type="dxa"/>
            <w:tcBorders>
              <w:top w:val="single" w:sz="7" w:space="0" w:color="000000"/>
              <w:left w:val="single" w:sz="7" w:space="0" w:color="000000"/>
              <w:bottom w:val="single" w:sz="8"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Initial performance test</w:t>
            </w:r>
          </w:p>
        </w:tc>
        <w:tc>
          <w:tcPr>
            <w:tcW w:w="2340" w:type="dxa"/>
            <w:tcBorders>
              <w:top w:val="single" w:sz="7" w:space="0" w:color="000000"/>
              <w:left w:val="single" w:sz="7" w:space="0" w:color="000000"/>
              <w:bottom w:val="single" w:sz="8" w:space="0" w:color="000000"/>
              <w:right w:val="single" w:sz="7"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60.8(d)</w:t>
            </w:r>
          </w:p>
        </w:tc>
      </w:tr>
      <w:tr w:rsidR="00167081" w:rsidRPr="006529B8" w:rsidTr="00167081">
        <w:trPr>
          <w:jc w:val="center"/>
        </w:trPr>
        <w:tc>
          <w:tcPr>
            <w:tcW w:w="7020" w:type="dxa"/>
            <w:tcBorders>
              <w:top w:val="single" w:sz="8" w:space="0" w:color="000000"/>
              <w:left w:val="single" w:sz="8" w:space="0" w:color="000000"/>
              <w:bottom w:val="single" w:sz="8" w:space="0" w:color="000000"/>
              <w:right w:val="single" w:sz="8"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Reference Test Method 9</w:t>
            </w:r>
          </w:p>
        </w:tc>
        <w:tc>
          <w:tcPr>
            <w:tcW w:w="2340" w:type="dxa"/>
            <w:tcBorders>
              <w:top w:val="single" w:sz="8" w:space="0" w:color="000000"/>
              <w:left w:val="single" w:sz="8" w:space="0" w:color="000000"/>
              <w:bottom w:val="single" w:sz="8" w:space="0" w:color="000000"/>
              <w:right w:val="single" w:sz="8" w:space="0" w:color="000000"/>
            </w:tcBorders>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60.11(b)</w:t>
            </w:r>
          </w:p>
        </w:tc>
      </w:tr>
    </w:tbl>
    <w:p w:rsidR="00CA4CD6" w:rsidRPr="006529B8"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290"/>
        <w:gridCol w:w="2070"/>
      </w:tblGrid>
      <w:tr w:rsidR="00A73600" w:rsidRPr="006529B8" w:rsidTr="00167081">
        <w:trPr>
          <w:tblHeader/>
          <w:jc w:val="center"/>
        </w:trPr>
        <w:tc>
          <w:tcPr>
            <w:tcW w:w="9360" w:type="dxa"/>
            <w:gridSpan w:val="2"/>
          </w:tcPr>
          <w:p w:rsidR="00CA4CD6" w:rsidRPr="006529B8" w:rsidRDefault="00CA4CD6">
            <w:pPr>
              <w:spacing w:line="120" w:lineRule="exact"/>
            </w:pPr>
          </w:p>
          <w:p w:rsidR="00CA4CD6" w:rsidRPr="006529B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529B8">
              <w:rPr>
                <w:b/>
              </w:rPr>
              <w:t>Reports</w:t>
            </w:r>
          </w:p>
        </w:tc>
      </w:tr>
      <w:tr w:rsidR="00167081" w:rsidRPr="006529B8" w:rsidTr="00167081">
        <w:trPr>
          <w:jc w:val="center"/>
        </w:trPr>
        <w:tc>
          <w:tcPr>
            <w:tcW w:w="7290" w:type="dxa"/>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Semiannual report of excess emissions</w:t>
            </w:r>
          </w:p>
        </w:tc>
        <w:tc>
          <w:tcPr>
            <w:tcW w:w="2070" w:type="dxa"/>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60.7(c)</w:t>
            </w:r>
          </w:p>
        </w:tc>
      </w:tr>
    </w:tbl>
    <w:p w:rsidR="00CA4CD6" w:rsidRPr="006529B8" w:rsidRDefault="00CA4CD6">
      <w:pPr>
        <w:pBdr>
          <w:top w:val="single" w:sz="6" w:space="0" w:color="FFFFFF"/>
          <w:left w:val="single" w:sz="6" w:space="0" w:color="FFFFFF"/>
          <w:bottom w:val="single" w:sz="6" w:space="0" w:color="FFFFFF"/>
          <w:right w:val="single" w:sz="6" w:space="0" w:color="FFFFFF"/>
        </w:pBdr>
        <w:ind w:firstLine="720"/>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A source must keep the following records:</w:t>
      </w:r>
    </w:p>
    <w:p w:rsidR="00CA4CD6" w:rsidRPr="006529B8"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110"/>
        <w:gridCol w:w="2250"/>
      </w:tblGrid>
      <w:tr w:rsidR="00A73600" w:rsidRPr="006529B8" w:rsidTr="00167081">
        <w:trPr>
          <w:tblHeader/>
          <w:jc w:val="center"/>
        </w:trPr>
        <w:tc>
          <w:tcPr>
            <w:tcW w:w="9360" w:type="dxa"/>
            <w:gridSpan w:val="2"/>
          </w:tcPr>
          <w:p w:rsidR="00CA4CD6" w:rsidRPr="006529B8" w:rsidRDefault="00CA4CD6">
            <w:pPr>
              <w:spacing w:line="120" w:lineRule="exact"/>
            </w:pPr>
          </w:p>
          <w:p w:rsidR="00CA4CD6" w:rsidRPr="006529B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529B8">
              <w:rPr>
                <w:b/>
              </w:rPr>
              <w:t>Recordkeeping</w:t>
            </w:r>
          </w:p>
        </w:tc>
      </w:tr>
      <w:tr w:rsidR="00167081" w:rsidRPr="006529B8" w:rsidTr="00167081">
        <w:trPr>
          <w:jc w:val="center"/>
        </w:trPr>
        <w:tc>
          <w:tcPr>
            <w:tcW w:w="7110" w:type="dxa"/>
            <w:vAlign w:val="center"/>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Maintain records of startup, shutdown, or malfunction period where the continuous monitoring system is inoperative</w:t>
            </w:r>
          </w:p>
        </w:tc>
        <w:tc>
          <w:tcPr>
            <w:tcW w:w="2250" w:type="dxa"/>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60.7(b)</w:t>
            </w:r>
          </w:p>
        </w:tc>
      </w:tr>
      <w:tr w:rsidR="00167081" w:rsidRPr="006529B8" w:rsidTr="00167081">
        <w:trPr>
          <w:jc w:val="center"/>
        </w:trPr>
        <w:tc>
          <w:tcPr>
            <w:tcW w:w="7110" w:type="dxa"/>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Maintain records for two years</w:t>
            </w:r>
          </w:p>
        </w:tc>
        <w:tc>
          <w:tcPr>
            <w:tcW w:w="2250" w:type="dxa"/>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60.7(f)</w:t>
            </w:r>
          </w:p>
        </w:tc>
      </w:tr>
      <w:tr w:rsidR="00167081" w:rsidRPr="006529B8" w:rsidTr="00167081">
        <w:trPr>
          <w:jc w:val="center"/>
        </w:trPr>
        <w:tc>
          <w:tcPr>
            <w:tcW w:w="7110" w:type="dxa"/>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Maintain annual performance test, as required</w:t>
            </w:r>
          </w:p>
        </w:tc>
        <w:tc>
          <w:tcPr>
            <w:tcW w:w="2250" w:type="dxa"/>
            <w:vAlign w:val="center"/>
          </w:tcPr>
          <w:p w:rsidR="00167081" w:rsidRPr="006529B8" w:rsidRDefault="00167081">
            <w:pPr>
              <w:pBdr>
                <w:top w:val="single" w:sz="6" w:space="0" w:color="FFFFFF"/>
                <w:left w:val="single" w:sz="6" w:space="0" w:color="FFFFFF"/>
                <w:bottom w:val="single" w:sz="6" w:space="0" w:color="FFFFFF"/>
                <w:right w:val="single" w:sz="6" w:space="0" w:color="FFFFFF"/>
              </w:pBdr>
              <w:spacing w:after="58"/>
            </w:pPr>
            <w:r w:rsidRPr="006529B8">
              <w:t>60.7(f)</w:t>
            </w:r>
          </w:p>
        </w:tc>
      </w:tr>
    </w:tbl>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504745">
      <w:pPr>
        <w:pBdr>
          <w:top w:val="single" w:sz="6" w:space="0" w:color="FFFFFF"/>
          <w:left w:val="single" w:sz="6" w:space="0" w:color="FFFFFF"/>
          <w:bottom w:val="single" w:sz="6" w:space="0" w:color="FFFFFF"/>
          <w:right w:val="single" w:sz="6" w:space="0" w:color="FFFFFF"/>
        </w:pBdr>
        <w:outlineLvl w:val="0"/>
      </w:pPr>
      <w:r w:rsidRPr="006529B8">
        <w:rPr>
          <w:u w:val="single"/>
        </w:rPr>
        <w:t>Electronic Reporting</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2743D2">
      <w:pPr>
        <w:pBdr>
          <w:top w:val="single" w:sz="6" w:space="0" w:color="FFFFFF"/>
          <w:left w:val="single" w:sz="6" w:space="0" w:color="FFFFFF"/>
          <w:bottom w:val="single" w:sz="6" w:space="0" w:color="FFFFFF"/>
          <w:right w:val="single" w:sz="6" w:space="0" w:color="FFFFFF"/>
        </w:pBdr>
        <w:ind w:firstLine="720"/>
      </w:pPr>
      <w:r w:rsidRPr="006529B8">
        <w:t>Some of the r</w:t>
      </w:r>
      <w:r w:rsidR="00CA4CD6" w:rsidRPr="006529B8">
        <w:t xml:space="preserve">espondents are using monitoring equipment that automatically records parameter data.  Although personnel at the affected facility must </w:t>
      </w:r>
      <w:r w:rsidRPr="006529B8">
        <w:t xml:space="preserve">still </w:t>
      </w:r>
      <w:r w:rsidR="00CA4CD6" w:rsidRPr="006529B8">
        <w:t xml:space="preserve">evaluate the data, internal automation has significantly reduced the burden associated with monitoring and recordkeeping at </w:t>
      </w:r>
      <w:r w:rsidRPr="006529B8">
        <w:t>a</w:t>
      </w:r>
      <w:r w:rsidR="00CA4CD6" w:rsidRPr="006529B8">
        <w:t xml:space="preserve"> plant site.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Also, regulatory agencies in cooperation with th</w:t>
      </w:r>
      <w:r w:rsidR="00724BC7" w:rsidRPr="006529B8">
        <w:t>e respondents</w:t>
      </w:r>
      <w:r w:rsidRPr="006529B8">
        <w:t xml:space="preserve"> continue to create reporting systems to transmit data electronically.  However, electronic reporting systems are still not widely used.  At this time, it is estimated that approximately </w:t>
      </w:r>
      <w:r w:rsidR="00167081" w:rsidRPr="006529B8">
        <w:t>2</w:t>
      </w:r>
      <w:r w:rsidRPr="006529B8">
        <w:t>0 percent of the respondents use electronic reporting.</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529B8">
        <w:rPr>
          <w:b/>
          <w:bCs/>
        </w:rPr>
        <w:t>(ii)  Respondent Activities</w:t>
      </w:r>
      <w:r w:rsidRPr="006529B8">
        <w:rPr>
          <w:b/>
          <w:bCs/>
        </w:rPr>
        <w:tab/>
      </w:r>
    </w:p>
    <w:p w:rsidR="00CA4CD6" w:rsidRPr="006529B8"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6529B8">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6529B8">
              <w:rPr>
                <w:b/>
                <w:bCs/>
              </w:rPr>
              <w:t>Respondent Activities</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rPr>
                <w:b/>
                <w:bCs/>
              </w:rPr>
            </w:pPr>
          </w:p>
          <w:p w:rsidR="00CA4CD6" w:rsidRPr="006529B8" w:rsidRDefault="00CA4CD6">
            <w:pPr>
              <w:pBdr>
                <w:top w:val="single" w:sz="6" w:space="0" w:color="FFFFFF"/>
                <w:left w:val="single" w:sz="6" w:space="0" w:color="FFFFFF"/>
                <w:bottom w:val="single" w:sz="6" w:space="0" w:color="FFFFFF"/>
                <w:right w:val="single" w:sz="6" w:space="0" w:color="FFFFFF"/>
              </w:pBdr>
              <w:spacing w:after="55"/>
            </w:pPr>
            <w:r w:rsidRPr="006529B8">
              <w:t>Read instructions.</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rsidP="00F2416C">
            <w:pPr>
              <w:pBdr>
                <w:top w:val="single" w:sz="6" w:space="0" w:color="FFFFFF"/>
                <w:left w:val="single" w:sz="6" w:space="0" w:color="FFFFFF"/>
                <w:bottom w:val="single" w:sz="6" w:space="0" w:color="FFFFFF"/>
                <w:right w:val="single" w:sz="6" w:space="0" w:color="FFFFFF"/>
              </w:pBdr>
              <w:spacing w:after="55"/>
            </w:pPr>
            <w:r w:rsidRPr="006529B8">
              <w:t xml:space="preserve">Perform initial performance test, Reference Method </w:t>
            </w:r>
            <w:r w:rsidR="00F2416C" w:rsidRPr="006529B8">
              <w:t xml:space="preserve">9 </w:t>
            </w:r>
            <w:r w:rsidRPr="006529B8">
              <w:t>test, and repeat performance tests if necessary.</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5"/>
            </w:pPr>
            <w:r w:rsidRPr="006529B8">
              <w:t>Write the notifications and reports listed above.</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5"/>
            </w:pPr>
            <w:r w:rsidRPr="006529B8">
              <w:t>Enter information required to be recorded above.</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5"/>
            </w:pPr>
            <w:r w:rsidRPr="006529B8">
              <w:t>Submit the required reports developing, acquiring, installing, and utilizing technology and systems for the purpose of collecting, validating, and verifying information.</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5"/>
            </w:pPr>
            <w:r w:rsidRPr="006529B8">
              <w:t>Develop, acquire, install, and utilize technology and systems for the purpose of processing and maintaining information.</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5"/>
            </w:pPr>
            <w:r w:rsidRPr="006529B8">
              <w:t>Develop, acquire, install, and utilize technology and systems for the purpose of disclosing and providing information.</w:t>
            </w:r>
          </w:p>
        </w:tc>
      </w:tr>
      <w:tr w:rsidR="00F2416C" w:rsidRPr="006529B8" w:rsidTr="009034AB">
        <w:trPr>
          <w:jc w:val="center"/>
        </w:trPr>
        <w:tc>
          <w:tcPr>
            <w:tcW w:w="9360" w:type="dxa"/>
            <w:tcBorders>
              <w:top w:val="single" w:sz="7" w:space="0" w:color="000000"/>
              <w:left w:val="single" w:sz="7" w:space="0" w:color="000000"/>
              <w:bottom w:val="single" w:sz="6" w:space="0" w:color="FFFFFF"/>
              <w:right w:val="single" w:sz="7" w:space="0" w:color="000000"/>
            </w:tcBorders>
          </w:tcPr>
          <w:p w:rsidR="00F2416C" w:rsidRPr="006529B8" w:rsidRDefault="00F2416C" w:rsidP="009034AB">
            <w:pPr>
              <w:spacing w:line="120" w:lineRule="exact"/>
            </w:pPr>
          </w:p>
          <w:p w:rsidR="00F2416C" w:rsidRPr="006529B8" w:rsidRDefault="00F2416C" w:rsidP="009034AB">
            <w:pPr>
              <w:pBdr>
                <w:top w:val="single" w:sz="6" w:space="0" w:color="FFFFFF"/>
                <w:left w:val="single" w:sz="6" w:space="0" w:color="FFFFFF"/>
                <w:bottom w:val="single" w:sz="6" w:space="0" w:color="FFFFFF"/>
                <w:right w:val="single" w:sz="6" w:space="0" w:color="FFFFFF"/>
              </w:pBdr>
              <w:spacing w:after="55"/>
            </w:pPr>
            <w:r w:rsidRPr="006529B8">
              <w:t>Adjust the existing ways to comply with any previously applicable instructions and requirements.</w:t>
            </w:r>
          </w:p>
        </w:tc>
      </w:tr>
      <w:tr w:rsidR="00CA4CD6" w:rsidRPr="006529B8">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5"/>
            </w:pPr>
            <w:r w:rsidRPr="006529B8">
              <w:lastRenderedPageBreak/>
              <w:t>Train personnel to be able to respond to a collection of information.</w:t>
            </w:r>
          </w:p>
        </w:tc>
      </w:tr>
      <w:tr w:rsidR="00CA4CD6" w:rsidRPr="006529B8">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74"/>
            </w:pPr>
            <w:r w:rsidRPr="006529B8">
              <w:t>Transmit, or otherwise disclose the information.</w:t>
            </w:r>
          </w:p>
        </w:tc>
      </w:tr>
    </w:tbl>
    <w:p w:rsidR="00CA4CD6" w:rsidRPr="006529B8" w:rsidRDefault="00CA4CD6">
      <w:pPr>
        <w:pBdr>
          <w:top w:val="single" w:sz="6" w:space="0" w:color="FFFFFF"/>
          <w:left w:val="single" w:sz="6" w:space="0" w:color="FFFFFF"/>
          <w:bottom w:val="single" w:sz="6" w:space="0" w:color="FFFFFF"/>
          <w:right w:val="single" w:sz="6" w:space="0" w:color="FFFFFF"/>
        </w:pBdr>
      </w:pPr>
    </w:p>
    <w:p w:rsidR="00606DEF" w:rsidRPr="006529B8" w:rsidRDefault="00CF2B37" w:rsidP="00CF2B37">
      <w:pPr>
        <w:pBdr>
          <w:top w:val="single" w:sz="6" w:space="0" w:color="FFFFFF"/>
          <w:left w:val="single" w:sz="6" w:space="0" w:color="FFFFFF"/>
          <w:bottom w:val="single" w:sz="6" w:space="0" w:color="FFFFFF"/>
          <w:right w:val="single" w:sz="6" w:space="0" w:color="FFFFFF"/>
        </w:pBdr>
        <w:ind w:firstLine="720"/>
      </w:pPr>
      <w:r w:rsidRPr="006529B8">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Pr="006529B8" w:rsidRDefault="00CF2B37">
      <w:pPr>
        <w:pBdr>
          <w:top w:val="single" w:sz="6" w:space="0" w:color="FFFFFF"/>
          <w:left w:val="single" w:sz="6" w:space="0" w:color="FFFFFF"/>
          <w:bottom w:val="single" w:sz="6" w:space="0" w:color="FFFFFF"/>
          <w:right w:val="single" w:sz="6" w:space="0" w:color="FFFFFF"/>
        </w:pBdr>
        <w:rPr>
          <w:b/>
          <w:bCs/>
        </w:rPr>
      </w:pPr>
    </w:p>
    <w:p w:rsidR="00CA4CD6" w:rsidRPr="006529B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529B8">
        <w:rPr>
          <w:b/>
          <w:bCs/>
        </w:rPr>
        <w:t>5.  The Information Collected:  Agency Activities, Collection Methodology, and Information Management</w:t>
      </w:r>
    </w:p>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5(a</w:t>
      </w:r>
      <w:proofErr w:type="gramStart"/>
      <w:r w:rsidRPr="006529B8">
        <w:rPr>
          <w:b/>
          <w:bCs/>
        </w:rPr>
        <w:t>)  Agency</w:t>
      </w:r>
      <w:proofErr w:type="gramEnd"/>
      <w:r w:rsidRPr="006529B8">
        <w:rPr>
          <w:b/>
          <w:bCs/>
        </w:rPr>
        <w:t xml:space="preserve"> Activities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EPA conducts the following activities in connection with the acquisition, analysis, storage, and distribution of the required information.</w:t>
      </w:r>
    </w:p>
    <w:p w:rsidR="00CA4CD6" w:rsidRPr="006529B8"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6529B8">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529B8">
              <w:rPr>
                <w:b/>
                <w:bCs/>
              </w:rPr>
              <w:t>Agency Activities</w:t>
            </w:r>
          </w:p>
        </w:tc>
      </w:tr>
      <w:tr w:rsidR="00F2416C" w:rsidRPr="006529B8" w:rsidTr="009034AB">
        <w:tc>
          <w:tcPr>
            <w:tcW w:w="9360" w:type="dxa"/>
            <w:tcBorders>
              <w:top w:val="single" w:sz="7" w:space="0" w:color="000000"/>
              <w:left w:val="single" w:sz="7" w:space="0" w:color="000000"/>
              <w:bottom w:val="single" w:sz="6" w:space="0" w:color="FFFFFF"/>
              <w:right w:val="single" w:sz="7" w:space="0" w:color="000000"/>
            </w:tcBorders>
            <w:vAlign w:val="center"/>
          </w:tcPr>
          <w:p w:rsidR="00F2416C" w:rsidRPr="006529B8" w:rsidRDefault="00F2416C" w:rsidP="009034AB">
            <w:pPr>
              <w:pBdr>
                <w:top w:val="single" w:sz="6" w:space="0" w:color="FFFFFF"/>
                <w:left w:val="single" w:sz="6" w:space="0" w:color="FFFFFF"/>
                <w:bottom w:val="single" w:sz="6" w:space="0" w:color="FFFFFF"/>
                <w:right w:val="single" w:sz="6" w:space="0" w:color="FFFFFF"/>
              </w:pBdr>
              <w:spacing w:after="52"/>
            </w:pPr>
            <w:r w:rsidRPr="006529B8">
              <w:t>Observe initial performance tests and repeat performance tests if necessary.</w:t>
            </w:r>
          </w:p>
        </w:tc>
      </w:tr>
      <w:tr w:rsidR="00F2416C" w:rsidRPr="006529B8">
        <w:tc>
          <w:tcPr>
            <w:tcW w:w="9360" w:type="dxa"/>
            <w:tcBorders>
              <w:top w:val="single" w:sz="7" w:space="0" w:color="000000"/>
              <w:left w:val="single" w:sz="7" w:space="0" w:color="000000"/>
              <w:bottom w:val="single" w:sz="6" w:space="0" w:color="FFFFFF"/>
              <w:right w:val="single" w:sz="7" w:space="0" w:color="000000"/>
            </w:tcBorders>
          </w:tcPr>
          <w:p w:rsidR="00F2416C" w:rsidRPr="006529B8" w:rsidRDefault="00F2416C">
            <w:pPr>
              <w:spacing w:line="120" w:lineRule="exact"/>
            </w:pPr>
          </w:p>
          <w:p w:rsidR="00F2416C" w:rsidRPr="006529B8" w:rsidRDefault="00F2416C">
            <w:pPr>
              <w:pBdr>
                <w:top w:val="single" w:sz="6" w:space="0" w:color="FFFFFF"/>
                <w:left w:val="single" w:sz="6" w:space="0" w:color="FFFFFF"/>
                <w:bottom w:val="single" w:sz="6" w:space="0" w:color="FFFFFF"/>
                <w:right w:val="single" w:sz="6" w:space="0" w:color="FFFFFF"/>
              </w:pBdr>
              <w:spacing w:after="52"/>
            </w:pPr>
            <w:r w:rsidRPr="006529B8">
              <w:t>Review notifications and reports, including performance test reports, and excess emissions reports, required to be submitted by industry.</w:t>
            </w:r>
          </w:p>
        </w:tc>
      </w:tr>
      <w:tr w:rsidR="00F2416C" w:rsidRPr="006529B8">
        <w:tc>
          <w:tcPr>
            <w:tcW w:w="9360" w:type="dxa"/>
            <w:tcBorders>
              <w:top w:val="single" w:sz="7" w:space="0" w:color="000000"/>
              <w:left w:val="single" w:sz="7" w:space="0" w:color="000000"/>
              <w:bottom w:val="single" w:sz="6" w:space="0" w:color="FFFFFF"/>
              <w:right w:val="single" w:sz="7" w:space="0" w:color="000000"/>
            </w:tcBorders>
          </w:tcPr>
          <w:p w:rsidR="00F2416C" w:rsidRPr="006529B8" w:rsidRDefault="00F2416C">
            <w:pPr>
              <w:spacing w:line="120" w:lineRule="exact"/>
            </w:pPr>
          </w:p>
          <w:p w:rsidR="00F2416C" w:rsidRPr="006529B8" w:rsidRDefault="00F2416C">
            <w:pPr>
              <w:pBdr>
                <w:top w:val="single" w:sz="6" w:space="0" w:color="FFFFFF"/>
                <w:left w:val="single" w:sz="6" w:space="0" w:color="FFFFFF"/>
                <w:bottom w:val="single" w:sz="6" w:space="0" w:color="FFFFFF"/>
                <w:right w:val="single" w:sz="6" w:space="0" w:color="FFFFFF"/>
              </w:pBdr>
              <w:spacing w:after="52"/>
            </w:pPr>
            <w:r w:rsidRPr="006529B8">
              <w:t>Audit facility records.</w:t>
            </w:r>
          </w:p>
        </w:tc>
      </w:tr>
      <w:tr w:rsidR="00F2416C" w:rsidRPr="006529B8">
        <w:tc>
          <w:tcPr>
            <w:tcW w:w="9360" w:type="dxa"/>
            <w:tcBorders>
              <w:top w:val="single" w:sz="7" w:space="0" w:color="000000"/>
              <w:left w:val="single" w:sz="7" w:space="0" w:color="000000"/>
              <w:bottom w:val="single" w:sz="7" w:space="0" w:color="000000"/>
              <w:right w:val="single" w:sz="7" w:space="0" w:color="000000"/>
            </w:tcBorders>
          </w:tcPr>
          <w:p w:rsidR="00F2416C" w:rsidRPr="006529B8" w:rsidRDefault="00F2416C">
            <w:pPr>
              <w:spacing w:line="120" w:lineRule="exact"/>
            </w:pPr>
          </w:p>
          <w:p w:rsidR="00F2416C" w:rsidRPr="006529B8" w:rsidRDefault="00F2416C" w:rsidP="004C701D">
            <w:pPr>
              <w:pBdr>
                <w:top w:val="single" w:sz="6" w:space="0" w:color="FFFFFF"/>
                <w:left w:val="single" w:sz="6" w:space="0" w:color="FFFFFF"/>
                <w:bottom w:val="single" w:sz="6" w:space="0" w:color="FFFFFF"/>
                <w:right w:val="single" w:sz="6" w:space="0" w:color="FFFFFF"/>
              </w:pBdr>
              <w:spacing w:after="72"/>
            </w:pPr>
            <w:r w:rsidRPr="006529B8">
              <w:t xml:space="preserve">Input, analyze, and maintain data in the Online Tracking Information System (OTIS). </w:t>
            </w:r>
          </w:p>
        </w:tc>
      </w:tr>
    </w:tbl>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5(b</w:t>
      </w:r>
      <w:proofErr w:type="gramStart"/>
      <w:r w:rsidRPr="006529B8">
        <w:rPr>
          <w:b/>
          <w:bCs/>
        </w:rPr>
        <w:t>)  Collection</w:t>
      </w:r>
      <w:proofErr w:type="gramEnd"/>
      <w:r w:rsidRPr="006529B8">
        <w:rPr>
          <w:b/>
          <w:bCs/>
        </w:rPr>
        <w:t xml:space="preserve"> Methodology and Management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Following notification of startup, the reviewing authority </w:t>
      </w:r>
      <w:r w:rsidR="002B29A7" w:rsidRPr="006529B8">
        <w:t xml:space="preserve">could </w:t>
      </w:r>
      <w:r w:rsidRPr="006529B8">
        <w:t xml:space="preserve">inspect the source </w:t>
      </w:r>
      <w:r w:rsidR="007906BA">
        <w:t xml:space="preserve">         </w:t>
      </w:r>
      <w:r w:rsidRPr="006529B8">
        <w:t xml:space="preserve">to determine whether the pollution control devices are properly installed and operated. </w:t>
      </w:r>
      <w:r w:rsidR="007906BA">
        <w:t xml:space="preserve"> </w:t>
      </w:r>
      <w:r w:rsidRPr="006529B8">
        <w:t>Performance test reports are used by the Agency to discern a source</w:t>
      </w:r>
      <w:r w:rsidR="004C701D" w:rsidRPr="006529B8">
        <w:t>’</w:t>
      </w:r>
      <w:r w:rsidRPr="006529B8">
        <w:t>s initial capability to comply with the emission standard.  Data and records maintained by the respondents are tabulated and published for use in compliance and enforcement programs.</w:t>
      </w:r>
      <w:r w:rsidR="00F2416C" w:rsidRPr="006529B8">
        <w:t xml:space="preserve"> </w:t>
      </w:r>
      <w:r w:rsidR="007906BA">
        <w:t xml:space="preserve"> </w:t>
      </w:r>
      <w:r w:rsidRPr="006529B8">
        <w:t>The semiannual reports are used for problem identification, as a check on source operation and maintenance, and for compliance determinations.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Information contained in </w:t>
      </w:r>
      <w:r w:rsidR="004C701D" w:rsidRPr="006529B8">
        <w:t xml:space="preserve">the reports is entered into OTIS </w:t>
      </w:r>
      <w:r w:rsidRPr="006529B8">
        <w:t xml:space="preserve">which is operated and maintained by EPA's Office of Compliance.  </w:t>
      </w:r>
      <w:r w:rsidR="004C701D" w:rsidRPr="006529B8">
        <w:t xml:space="preserve">OTIS </w:t>
      </w:r>
      <w:r w:rsidRPr="006529B8">
        <w:t>is EPA</w:t>
      </w:r>
      <w:r w:rsidR="004C701D" w:rsidRPr="006529B8">
        <w:t>’</w:t>
      </w:r>
      <w:r w:rsidRPr="006529B8">
        <w:t xml:space="preserve">s database for the collection, maintenance, and retrieval of compliance data for approximately 125,000 industrial and government-owned facilities.  EPA uses the </w:t>
      </w:r>
      <w:r w:rsidR="004C701D" w:rsidRPr="006529B8">
        <w:t>OTIS</w:t>
      </w:r>
      <w:r w:rsidRPr="006529B8">
        <w:t xml:space="preserve"> for tracking air pollution compliance and </w:t>
      </w:r>
      <w:r w:rsidRPr="006529B8">
        <w:lastRenderedPageBreak/>
        <w:t>enforcement by local and state regulatory agencies, EPA regional offices and EPA headquarters.  EPA and its delegated Authorities can edit, store, retrieve and analyze the data.</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 The records required by this regulation must be retained by the owner/operator for two years.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5(c</w:t>
      </w:r>
      <w:proofErr w:type="gramStart"/>
      <w:r w:rsidRPr="006529B8">
        <w:rPr>
          <w:b/>
          <w:bCs/>
        </w:rPr>
        <w:t>)  Small</w:t>
      </w:r>
      <w:proofErr w:type="gramEnd"/>
      <w:r w:rsidRPr="006529B8">
        <w:rPr>
          <w:b/>
          <w:bCs/>
        </w:rPr>
        <w:t xml:space="preserve"> Entity Flexibility</w:t>
      </w:r>
    </w:p>
    <w:p w:rsidR="00CA4CD6" w:rsidRPr="006529B8" w:rsidRDefault="00CA4CD6" w:rsidP="006E4A6E">
      <w:pPr>
        <w:pBdr>
          <w:top w:val="single" w:sz="6" w:space="0" w:color="FFFFFF"/>
          <w:left w:val="single" w:sz="6" w:space="0" w:color="FFFFFF"/>
          <w:bottom w:val="single" w:sz="6" w:space="0" w:color="FFFFFF"/>
          <w:right w:val="single" w:sz="6" w:space="0" w:color="FFFFFF"/>
        </w:pBdr>
      </w:pPr>
    </w:p>
    <w:p w:rsidR="00CA4CD6" w:rsidRPr="006529B8" w:rsidRDefault="00F2416C" w:rsidP="00F2416C">
      <w:pPr>
        <w:pBdr>
          <w:top w:val="single" w:sz="6" w:space="0" w:color="FFFFFF"/>
          <w:left w:val="single" w:sz="6" w:space="0" w:color="FFFFFF"/>
          <w:bottom w:val="single" w:sz="6" w:space="0" w:color="FFFFFF"/>
          <w:right w:val="single" w:sz="6" w:space="0" w:color="FFFFFF"/>
        </w:pBdr>
        <w:ind w:firstLine="720"/>
        <w:rPr>
          <w:b/>
          <w:bCs/>
        </w:rPr>
      </w:pPr>
      <w:r w:rsidRPr="006529B8">
        <w:t xml:space="preserve">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5(d</w:t>
      </w:r>
      <w:proofErr w:type="gramStart"/>
      <w:r w:rsidRPr="006529B8">
        <w:rPr>
          <w:b/>
          <w:bCs/>
        </w:rPr>
        <w:t>)  Collection</w:t>
      </w:r>
      <w:proofErr w:type="gramEnd"/>
      <w:r w:rsidRPr="006529B8">
        <w:rPr>
          <w:b/>
          <w:bCs/>
        </w:rPr>
        <w:t xml:space="preserve"> Schedule</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rPr>
          <w:b/>
          <w:bCs/>
        </w:rPr>
      </w:pPr>
      <w:r w:rsidRPr="006529B8">
        <w:t xml:space="preserve">The specific frequency for each information collection activity within this request is shown </w:t>
      </w:r>
      <w:r w:rsidR="007A458D" w:rsidRPr="006529B8">
        <w:t xml:space="preserve">below </w:t>
      </w:r>
      <w:r w:rsidR="007906BA">
        <w:t xml:space="preserve">in </w:t>
      </w:r>
      <w:r w:rsidRPr="006529B8">
        <w:t xml:space="preserve">Table 1: </w:t>
      </w:r>
      <w:r w:rsidR="00CF2B37" w:rsidRPr="006529B8">
        <w:t>Annual Respondent Burden and Cost –</w:t>
      </w:r>
      <w:r w:rsidRPr="006529B8">
        <w:t xml:space="preserve"> </w:t>
      </w:r>
      <w:r w:rsidR="00F2416C" w:rsidRPr="006529B8">
        <w:t>NSPS for Sulfuric Acid Plants (40 CFR Part 60, Subpart H) (Renewal).</w:t>
      </w:r>
    </w:p>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6529B8">
        <w:rPr>
          <w:b/>
          <w:bCs/>
        </w:rPr>
        <w:t>6.  Estimating the Burden and Cost of the Collection</w:t>
      </w:r>
    </w:p>
    <w:p w:rsidR="00CA4CD6" w:rsidRPr="006529B8"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6529B8" w:rsidRDefault="00CA4CD6" w:rsidP="004C701D">
      <w:pPr>
        <w:pBdr>
          <w:top w:val="single" w:sz="6" w:space="1" w:color="FFFFFF"/>
          <w:left w:val="single" w:sz="6" w:space="0" w:color="FFFFFF"/>
          <w:bottom w:val="single" w:sz="6" w:space="0" w:color="FFFFFF"/>
          <w:right w:val="single" w:sz="6" w:space="0" w:color="FFFFFF"/>
        </w:pBdr>
        <w:ind w:firstLine="720"/>
      </w:pPr>
      <w:r w:rsidRPr="006529B8">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6529B8" w:rsidRDefault="00CA4CD6" w:rsidP="004C701D">
      <w:pPr>
        <w:pBdr>
          <w:top w:val="single" w:sz="6" w:space="1" w:color="FFFFFF"/>
          <w:left w:val="single" w:sz="6" w:space="0" w:color="FFFFFF"/>
          <w:bottom w:val="single" w:sz="6" w:space="0" w:color="FFFFFF"/>
          <w:right w:val="single" w:sz="6" w:space="0" w:color="FFFFFF"/>
        </w:pBdr>
      </w:pPr>
    </w:p>
    <w:p w:rsidR="00CA4CD6" w:rsidRPr="006529B8" w:rsidRDefault="00CA4CD6" w:rsidP="004C701D">
      <w:pPr>
        <w:pBdr>
          <w:top w:val="single" w:sz="6" w:space="1" w:color="FFFFFF"/>
          <w:left w:val="single" w:sz="6" w:space="0" w:color="FFFFFF"/>
          <w:bottom w:val="single" w:sz="6" w:space="0" w:color="FFFFFF"/>
          <w:right w:val="single" w:sz="6" w:space="0" w:color="FFFFFF"/>
        </w:pBdr>
        <w:ind w:firstLine="720"/>
      </w:pPr>
      <w:r w:rsidRPr="006529B8">
        <w:t>The Agency may not conduct or sponsor, and a person is not required to respond to, a collection of information unless it displays a currently valid OMB Control Number.</w:t>
      </w:r>
    </w:p>
    <w:p w:rsidR="00CA4CD6" w:rsidRPr="006529B8" w:rsidRDefault="00CA4CD6" w:rsidP="004C701D">
      <w:pPr>
        <w:pBdr>
          <w:top w:val="single" w:sz="6" w:space="1" w:color="FFFFFF"/>
          <w:left w:val="single" w:sz="6" w:space="0" w:color="FFFFFF"/>
          <w:bottom w:val="single" w:sz="6" w:space="0" w:color="FFFFFF"/>
          <w:right w:val="single" w:sz="6" w:space="0" w:color="FFFFFF"/>
        </w:pBdr>
      </w:pPr>
    </w:p>
    <w:p w:rsidR="00CA4CD6" w:rsidRPr="006529B8" w:rsidRDefault="00CA4CD6" w:rsidP="004C701D">
      <w:pPr>
        <w:pBdr>
          <w:top w:val="single" w:sz="6" w:space="1" w:color="FFFFFF"/>
          <w:left w:val="single" w:sz="6" w:space="0" w:color="FFFFFF"/>
          <w:bottom w:val="single" w:sz="6" w:space="0" w:color="FFFFFF"/>
          <w:right w:val="single" w:sz="6" w:space="0" w:color="FFFFFF"/>
        </w:pBdr>
        <w:ind w:firstLine="720"/>
      </w:pPr>
      <w:r w:rsidRPr="006529B8">
        <w:rPr>
          <w:b/>
          <w:bCs/>
        </w:rPr>
        <w:t>6(a</w:t>
      </w:r>
      <w:proofErr w:type="gramStart"/>
      <w:r w:rsidRPr="006529B8">
        <w:rPr>
          <w:b/>
          <w:bCs/>
        </w:rPr>
        <w:t>)  Estimating</w:t>
      </w:r>
      <w:proofErr w:type="gramEnd"/>
      <w:r w:rsidRPr="006529B8">
        <w:rPr>
          <w:b/>
          <w:bCs/>
        </w:rPr>
        <w:t xml:space="preserve"> Respondent Burden</w:t>
      </w:r>
    </w:p>
    <w:p w:rsidR="00CA4CD6" w:rsidRPr="006529B8" w:rsidRDefault="00CA4CD6" w:rsidP="004C701D">
      <w:pPr>
        <w:pBdr>
          <w:top w:val="single" w:sz="6" w:space="1" w:color="FFFFFF"/>
          <w:left w:val="single" w:sz="6" w:space="0" w:color="FFFFFF"/>
          <w:bottom w:val="single" w:sz="6" w:space="0" w:color="FFFFFF"/>
          <w:right w:val="single" w:sz="6" w:space="0" w:color="FFFFFF"/>
        </w:pBdr>
      </w:pPr>
    </w:p>
    <w:p w:rsidR="00CA4CD6" w:rsidRPr="006529B8" w:rsidRDefault="00CA4CD6" w:rsidP="004C701D">
      <w:pPr>
        <w:pBdr>
          <w:top w:val="single" w:sz="6" w:space="1" w:color="FFFFFF"/>
          <w:left w:val="single" w:sz="6" w:space="0" w:color="FFFFFF"/>
          <w:bottom w:val="single" w:sz="6" w:space="0" w:color="FFFFFF"/>
          <w:right w:val="single" w:sz="6" w:space="0" w:color="FFFFFF"/>
        </w:pBdr>
        <w:ind w:firstLine="720"/>
      </w:pPr>
      <w:r w:rsidRPr="006529B8">
        <w:t>The average annual burden to industry over the next three years from these recordkeeping and reporting requirement</w:t>
      </w:r>
      <w:r w:rsidR="004C701D" w:rsidRPr="006529B8">
        <w:t xml:space="preserve">s is estimated to be </w:t>
      </w:r>
      <w:r w:rsidR="00F2416C" w:rsidRPr="006529B8">
        <w:t>13,409</w:t>
      </w:r>
      <w:r w:rsidR="007906BA">
        <w:t xml:space="preserve"> hours</w:t>
      </w:r>
      <w:r w:rsidR="004C701D" w:rsidRPr="006529B8">
        <w:t xml:space="preserve"> (</w:t>
      </w:r>
      <w:r w:rsidRPr="006529B8">
        <w:t xml:space="preserve">Total Labor Hours from Table 1). </w:t>
      </w:r>
      <w:r w:rsidR="001C5991" w:rsidRPr="006529B8">
        <w:t xml:space="preserve">  T</w:t>
      </w:r>
      <w:r w:rsidRPr="006529B8">
        <w:t>hese hours are based on Agency studies and background documen</w:t>
      </w:r>
      <w:r w:rsidR="004C701D" w:rsidRPr="006529B8">
        <w:t xml:space="preserve">ts from the development of the </w:t>
      </w:r>
      <w:r w:rsidRPr="006529B8">
        <w:t>regulation, Agency knowledge and experience with the NSPS</w:t>
      </w:r>
      <w:r w:rsidR="00F2416C" w:rsidRPr="006529B8">
        <w:t xml:space="preserve"> </w:t>
      </w:r>
      <w:r w:rsidRPr="006529B8">
        <w:t>program, the previously</w:t>
      </w:r>
      <w:r w:rsidR="007906BA">
        <w:t>-</w:t>
      </w:r>
      <w:r w:rsidRPr="006529B8">
        <w:t xml:space="preserve"> approved ICR, and any comments received.</w:t>
      </w:r>
    </w:p>
    <w:p w:rsidR="00CA4CD6" w:rsidRPr="006529B8" w:rsidRDefault="00CA4CD6" w:rsidP="004C701D">
      <w:pPr>
        <w:pBdr>
          <w:top w:val="single" w:sz="6" w:space="1" w:color="FFFFFF"/>
          <w:left w:val="single" w:sz="6" w:space="0" w:color="FFFFFF"/>
          <w:bottom w:val="single" w:sz="6" w:space="0" w:color="FFFFFF"/>
          <w:right w:val="single" w:sz="6" w:space="0" w:color="FFFFFF"/>
        </w:pBdr>
      </w:pPr>
    </w:p>
    <w:p w:rsidR="007906BA" w:rsidRDefault="007906BA" w:rsidP="004C701D">
      <w:pPr>
        <w:pBdr>
          <w:top w:val="single" w:sz="6" w:space="1" w:color="FFFFFF"/>
          <w:left w:val="single" w:sz="6" w:space="0" w:color="FFFFFF"/>
          <w:bottom w:val="single" w:sz="6" w:space="0" w:color="FFFFFF"/>
          <w:right w:val="single" w:sz="6" w:space="0" w:color="FFFFFF"/>
        </w:pBdr>
        <w:ind w:firstLine="720"/>
        <w:rPr>
          <w:b/>
          <w:bCs/>
        </w:rPr>
      </w:pPr>
    </w:p>
    <w:p w:rsidR="007906BA" w:rsidRDefault="007906BA" w:rsidP="004C701D">
      <w:pPr>
        <w:pBdr>
          <w:top w:val="single" w:sz="6" w:space="1" w:color="FFFFFF"/>
          <w:left w:val="single" w:sz="6" w:space="0" w:color="FFFFFF"/>
          <w:bottom w:val="single" w:sz="6" w:space="0" w:color="FFFFFF"/>
          <w:right w:val="single" w:sz="6" w:space="0" w:color="FFFFFF"/>
        </w:pBdr>
        <w:ind w:firstLine="720"/>
        <w:rPr>
          <w:b/>
          <w:bCs/>
        </w:rPr>
      </w:pPr>
    </w:p>
    <w:p w:rsidR="002712EB" w:rsidRPr="006529B8"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6529B8">
        <w:rPr>
          <w:b/>
          <w:bCs/>
        </w:rPr>
        <w:lastRenderedPageBreak/>
        <w:t>6(b</w:t>
      </w:r>
      <w:proofErr w:type="gramStart"/>
      <w:r w:rsidRPr="006529B8">
        <w:rPr>
          <w:b/>
          <w:bCs/>
        </w:rPr>
        <w:t>)  Estimating</w:t>
      </w:r>
      <w:proofErr w:type="gramEnd"/>
      <w:r w:rsidRPr="006529B8">
        <w:rPr>
          <w:b/>
          <w:bCs/>
        </w:rPr>
        <w:t xml:space="preserve"> Respondent Costs</w:t>
      </w:r>
    </w:p>
    <w:p w:rsidR="002712EB" w:rsidRPr="006529B8"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6529B8"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6529B8">
        <w:rPr>
          <w:b/>
          <w:bCs/>
        </w:rPr>
        <w:t>(</w:t>
      </w:r>
      <w:proofErr w:type="spellStart"/>
      <w:r w:rsidRPr="006529B8">
        <w:rPr>
          <w:b/>
          <w:bCs/>
        </w:rPr>
        <w:t>i</w:t>
      </w:r>
      <w:proofErr w:type="spellEnd"/>
      <w:r w:rsidRPr="006529B8">
        <w:rPr>
          <w:b/>
          <w:bCs/>
        </w:rPr>
        <w:t>)  Estimating Labor Costs</w:t>
      </w:r>
      <w:r w:rsidRPr="006529B8">
        <w:t xml:space="preserve"> </w:t>
      </w:r>
    </w:p>
    <w:p w:rsidR="002712EB" w:rsidRPr="006529B8" w:rsidRDefault="002712EB" w:rsidP="004C701D">
      <w:pPr>
        <w:pBdr>
          <w:top w:val="single" w:sz="6" w:space="1" w:color="FFFFFF"/>
          <w:left w:val="single" w:sz="6" w:space="0" w:color="FFFFFF"/>
          <w:bottom w:val="single" w:sz="6" w:space="0" w:color="FFFFFF"/>
          <w:right w:val="single" w:sz="6" w:space="0" w:color="FFFFFF"/>
        </w:pBdr>
      </w:pPr>
      <w:r w:rsidRPr="006529B8">
        <w:t xml:space="preserve"> </w:t>
      </w:r>
    </w:p>
    <w:p w:rsidR="002712EB" w:rsidRPr="006529B8" w:rsidRDefault="002712EB" w:rsidP="004C701D">
      <w:pPr>
        <w:pBdr>
          <w:top w:val="single" w:sz="6" w:space="1" w:color="FFFFFF"/>
          <w:left w:val="single" w:sz="6" w:space="0" w:color="FFFFFF"/>
          <w:bottom w:val="single" w:sz="6" w:space="0" w:color="FFFFFF"/>
          <w:right w:val="single" w:sz="6" w:space="0" w:color="FFFFFF"/>
        </w:pBdr>
        <w:ind w:firstLine="720"/>
      </w:pPr>
      <w:r w:rsidRPr="006529B8">
        <w:t xml:space="preserve">This ICR uses the following labor rates: </w:t>
      </w:r>
    </w:p>
    <w:p w:rsidR="002712EB" w:rsidRPr="006529B8" w:rsidRDefault="002712EB" w:rsidP="004C701D">
      <w:pPr>
        <w:pBdr>
          <w:top w:val="single" w:sz="6" w:space="1" w:color="FFFFFF"/>
          <w:left w:val="single" w:sz="6" w:space="0" w:color="FFFFFF"/>
          <w:bottom w:val="single" w:sz="6" w:space="0" w:color="FFFFFF"/>
          <w:right w:val="single" w:sz="6" w:space="0" w:color="FFFFFF"/>
        </w:pBdr>
      </w:pPr>
    </w:p>
    <w:p w:rsidR="002712EB" w:rsidRPr="006529B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529B8">
        <w:t>Managerial</w:t>
      </w:r>
      <w:r w:rsidRPr="006529B8">
        <w:tab/>
        <w:t>$1</w:t>
      </w:r>
      <w:r w:rsidR="00861489" w:rsidRPr="006529B8">
        <w:t>2</w:t>
      </w:r>
      <w:r w:rsidR="00D043CA" w:rsidRPr="006529B8">
        <w:t>8</w:t>
      </w:r>
      <w:r w:rsidR="004F6FCD" w:rsidRPr="006529B8">
        <w:t>.</w:t>
      </w:r>
      <w:r w:rsidR="00F87E6A" w:rsidRPr="006529B8">
        <w:t>0</w:t>
      </w:r>
      <w:r w:rsidR="00D043CA" w:rsidRPr="006529B8">
        <w:t>2</w:t>
      </w:r>
      <w:r w:rsidRPr="006529B8">
        <w:t xml:space="preserve"> ($</w:t>
      </w:r>
      <w:r w:rsidR="00D043CA" w:rsidRPr="006529B8">
        <w:t xml:space="preserve">60.98 </w:t>
      </w:r>
      <w:r w:rsidRPr="006529B8">
        <w:t xml:space="preserve">+ 110%)   </w:t>
      </w:r>
    </w:p>
    <w:p w:rsidR="002712EB" w:rsidRPr="006529B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529B8">
        <w:t>Technical</w:t>
      </w:r>
      <w:r w:rsidRPr="006529B8">
        <w:tab/>
        <w:t>$</w:t>
      </w:r>
      <w:r w:rsidR="00102B52" w:rsidRPr="006529B8">
        <w:t>10</w:t>
      </w:r>
      <w:r w:rsidR="00E72D70" w:rsidRPr="006529B8">
        <w:t>1</w:t>
      </w:r>
      <w:r w:rsidR="00861489" w:rsidRPr="006529B8">
        <w:t>.</w:t>
      </w:r>
      <w:r w:rsidR="00D043CA" w:rsidRPr="006529B8">
        <w:t>05</w:t>
      </w:r>
      <w:r w:rsidRPr="006529B8">
        <w:t xml:space="preserve"> ($4</w:t>
      </w:r>
      <w:r w:rsidR="00E72D70" w:rsidRPr="006529B8">
        <w:t>8</w:t>
      </w:r>
      <w:r w:rsidRPr="006529B8">
        <w:t>.</w:t>
      </w:r>
      <w:r w:rsidR="00D043CA" w:rsidRPr="006529B8">
        <w:t>12</w:t>
      </w:r>
      <w:r w:rsidRPr="006529B8">
        <w:t xml:space="preserve"> + 110%)</w:t>
      </w:r>
    </w:p>
    <w:p w:rsidR="002712EB" w:rsidRPr="006529B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529B8">
        <w:t>Clerical</w:t>
      </w:r>
      <w:r w:rsidRPr="006529B8">
        <w:tab/>
        <w:t>$</w:t>
      </w:r>
      <w:r w:rsidR="00102B52" w:rsidRPr="006529B8">
        <w:t>5</w:t>
      </w:r>
      <w:r w:rsidR="00F87E6A" w:rsidRPr="006529B8">
        <w:t>1</w:t>
      </w:r>
      <w:r w:rsidRPr="006529B8">
        <w:t>.</w:t>
      </w:r>
      <w:r w:rsidR="00D043CA" w:rsidRPr="006529B8">
        <w:t>37</w:t>
      </w:r>
      <w:r w:rsidRPr="006529B8">
        <w:t xml:space="preserve"> ($2</w:t>
      </w:r>
      <w:r w:rsidR="00102B52" w:rsidRPr="006529B8">
        <w:t>4</w:t>
      </w:r>
      <w:r w:rsidRPr="006529B8">
        <w:t>.</w:t>
      </w:r>
      <w:r w:rsidR="00D043CA" w:rsidRPr="006529B8">
        <w:t>46</w:t>
      </w:r>
      <w:r w:rsidRPr="006529B8">
        <w:t xml:space="preserve"> + 110%)</w:t>
      </w:r>
    </w:p>
    <w:p w:rsidR="002712EB" w:rsidRPr="006529B8" w:rsidRDefault="002712EB" w:rsidP="002712EB">
      <w:pPr>
        <w:pBdr>
          <w:top w:val="single" w:sz="6" w:space="0" w:color="FFFFFF"/>
          <w:left w:val="single" w:sz="6" w:space="0" w:color="FFFFFF"/>
          <w:bottom w:val="single" w:sz="6" w:space="0" w:color="FFFFFF"/>
          <w:right w:val="single" w:sz="6" w:space="0" w:color="FFFFFF"/>
        </w:pBdr>
      </w:pPr>
    </w:p>
    <w:p w:rsidR="002712EB" w:rsidRPr="006529B8" w:rsidRDefault="002712EB" w:rsidP="002712EB">
      <w:pPr>
        <w:pBdr>
          <w:top w:val="single" w:sz="6" w:space="0" w:color="FFFFFF"/>
          <w:left w:val="single" w:sz="6" w:space="0" w:color="FFFFFF"/>
          <w:bottom w:val="single" w:sz="6" w:space="0" w:color="FFFFFF"/>
          <w:right w:val="single" w:sz="6" w:space="0" w:color="FFFFFF"/>
        </w:pBdr>
      </w:pPr>
      <w:r w:rsidRPr="006529B8">
        <w:t xml:space="preserve">These rates are from the United States Department of Labor, Bureau of Labor Statistics, </w:t>
      </w:r>
      <w:r w:rsidR="00D043CA" w:rsidRPr="006529B8">
        <w:t>March 2014</w:t>
      </w:r>
      <w:r w:rsidRPr="006529B8">
        <w:t xml:space="preserve">, </w:t>
      </w:r>
      <w:r w:rsidR="004C701D" w:rsidRPr="006529B8">
        <w:t>“</w:t>
      </w:r>
      <w:r w:rsidRPr="006529B8">
        <w:t>Table 2. Civilian Workers, by occupational and industry group.</w:t>
      </w:r>
      <w:r w:rsidR="004C701D" w:rsidRPr="006529B8">
        <w:t>”</w:t>
      </w:r>
      <w:r w:rsidRPr="006529B8">
        <w:t xml:space="preserve">  The rates are from column 1, </w:t>
      </w:r>
      <w:r w:rsidR="004C701D" w:rsidRPr="006529B8">
        <w:t>“</w:t>
      </w:r>
      <w:r w:rsidRPr="006529B8">
        <w:t>Total compensation.</w:t>
      </w:r>
      <w:r w:rsidR="004C701D" w:rsidRPr="006529B8">
        <w:t>”</w:t>
      </w:r>
      <w:r w:rsidRPr="006529B8">
        <w:t xml:space="preserve">  The rates have been increased by 110 percent to account for the benefit packages available to those employed by private industry.</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529B8">
        <w:rPr>
          <w:b/>
          <w:bCs/>
        </w:rPr>
        <w:t>(ii)  Estimating Capital/Startup and Operation and Maintenance Costs</w:t>
      </w:r>
    </w:p>
    <w:p w:rsidR="000C393D" w:rsidRPr="006529B8" w:rsidRDefault="000C393D"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type of industry costs associated with the information collection activities in the subject standard(s) are both labor costs which are addressed elsewhere in this ICR and the costs associated with continuous monitoring.  The capital/startup costs are one</w:t>
      </w:r>
      <w:r w:rsidR="007C4F16">
        <w:t>-</w:t>
      </w:r>
      <w:r w:rsidRPr="006529B8">
        <w:t>time costs when a facility becomes subject to the regulation.  The annual operation and maintenance costs are the ongoing costs to maintain the monitor and other costs such as photocopying and postage.</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529B8">
        <w:rPr>
          <w:b/>
          <w:bCs/>
        </w:rPr>
        <w:t>(iii)  Capital/Startup vs. Operation and Maintenance (O&amp;M) Costs</w:t>
      </w:r>
    </w:p>
    <w:p w:rsidR="00CA4CD6" w:rsidRPr="006529B8"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6529B8" w:rsidTr="00547E17">
        <w:trPr>
          <w:tblHeader/>
        </w:trPr>
        <w:tc>
          <w:tcPr>
            <w:tcW w:w="9360" w:type="dxa"/>
            <w:gridSpan w:val="7"/>
            <w:tcBorders>
              <w:top w:val="single" w:sz="8" w:space="0" w:color="000000"/>
              <w:left w:val="single" w:sz="8" w:space="0" w:color="000000"/>
              <w:bottom w:val="single" w:sz="6" w:space="0" w:color="FFFFFF"/>
              <w:right w:val="single" w:sz="8"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529B8">
              <w:rPr>
                <w:b/>
                <w:bCs/>
              </w:rPr>
              <w:t>Capital/Startup vs. Operation and Maintenance (O&amp;M) Costs</w:t>
            </w:r>
          </w:p>
        </w:tc>
      </w:tr>
      <w:tr w:rsidR="00CA4CD6" w:rsidRPr="006529B8" w:rsidTr="00547E17">
        <w:tc>
          <w:tcPr>
            <w:tcW w:w="1170" w:type="dxa"/>
            <w:tcBorders>
              <w:top w:val="single" w:sz="7" w:space="0" w:color="000000"/>
              <w:left w:val="single" w:sz="8" w:space="0" w:color="000000"/>
              <w:bottom w:val="single" w:sz="6" w:space="0" w:color="FFFFFF"/>
              <w:right w:val="single" w:sz="8" w:space="0" w:color="000000"/>
            </w:tcBorders>
          </w:tcPr>
          <w:p w:rsidR="00CA4CD6" w:rsidRPr="006529B8" w:rsidRDefault="00CA4CD6" w:rsidP="009D342F">
            <w:pPr>
              <w:spacing w:line="120" w:lineRule="exact"/>
              <w:jc w:val="center"/>
              <w:rPr>
                <w:b/>
                <w:bCs/>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(A)</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Continuous Monitoring Device</w:t>
            </w:r>
          </w:p>
        </w:tc>
        <w:tc>
          <w:tcPr>
            <w:tcW w:w="1440" w:type="dxa"/>
            <w:tcBorders>
              <w:top w:val="single" w:sz="7" w:space="0" w:color="000000"/>
              <w:left w:val="single" w:sz="8" w:space="0" w:color="000000"/>
              <w:bottom w:val="single" w:sz="6" w:space="0" w:color="FFFFFF"/>
              <w:right w:val="single" w:sz="8"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(B)</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Capital/Startup Cost for One Respondent</w:t>
            </w:r>
          </w:p>
        </w:tc>
        <w:tc>
          <w:tcPr>
            <w:tcW w:w="1350" w:type="dxa"/>
            <w:tcBorders>
              <w:top w:val="single" w:sz="7" w:space="0" w:color="000000"/>
              <w:left w:val="single" w:sz="8" w:space="0" w:color="000000"/>
              <w:bottom w:val="single" w:sz="6" w:space="0" w:color="FFFFFF"/>
              <w:right w:val="single" w:sz="8"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(C)</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Number of New Respondents</w:t>
            </w:r>
          </w:p>
        </w:tc>
        <w:tc>
          <w:tcPr>
            <w:tcW w:w="1440" w:type="dxa"/>
            <w:tcBorders>
              <w:top w:val="single" w:sz="7" w:space="0" w:color="000000"/>
              <w:left w:val="single" w:sz="8" w:space="0" w:color="000000"/>
              <w:bottom w:val="single" w:sz="6" w:space="0" w:color="FFFFFF"/>
              <w:right w:val="single" w:sz="8"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(D)</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Total Capital/Startup Cost,  (B X C)</w:t>
            </w:r>
          </w:p>
        </w:tc>
        <w:tc>
          <w:tcPr>
            <w:tcW w:w="1350" w:type="dxa"/>
            <w:tcBorders>
              <w:top w:val="single" w:sz="7" w:space="0" w:color="000000"/>
              <w:left w:val="single" w:sz="8" w:space="0" w:color="000000"/>
              <w:bottom w:val="single" w:sz="6" w:space="0" w:color="FFFFFF"/>
              <w:right w:val="single" w:sz="8"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(E)</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Annual O&amp;M Costs for One Respondent</w:t>
            </w:r>
          </w:p>
        </w:tc>
        <w:tc>
          <w:tcPr>
            <w:tcW w:w="1260" w:type="dxa"/>
            <w:tcBorders>
              <w:top w:val="single" w:sz="7" w:space="0" w:color="000000"/>
              <w:left w:val="single" w:sz="8" w:space="0" w:color="000000"/>
              <w:bottom w:val="single" w:sz="6" w:space="0" w:color="FFFFFF"/>
              <w:right w:val="single" w:sz="8"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(F)</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Number of Respondents  with O&amp;M</w:t>
            </w:r>
          </w:p>
        </w:tc>
        <w:tc>
          <w:tcPr>
            <w:tcW w:w="1350" w:type="dxa"/>
            <w:tcBorders>
              <w:top w:val="single" w:sz="7" w:space="0" w:color="000000"/>
              <w:left w:val="single" w:sz="8" w:space="0" w:color="000000"/>
              <w:bottom w:val="single" w:sz="6" w:space="0" w:color="FFFFFF"/>
              <w:right w:val="single" w:sz="8"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(G)</w:t>
            </w: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Total O&amp;M,</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(E X F)</w:t>
            </w:r>
          </w:p>
        </w:tc>
      </w:tr>
      <w:tr w:rsidR="00CA4CD6" w:rsidRPr="006529B8" w:rsidTr="00547E17">
        <w:tc>
          <w:tcPr>
            <w:tcW w:w="1170" w:type="dxa"/>
            <w:tcBorders>
              <w:top w:val="single" w:sz="7" w:space="0" w:color="000000"/>
              <w:left w:val="single" w:sz="8" w:space="0" w:color="000000"/>
              <w:bottom w:val="single" w:sz="6" w:space="0" w:color="FFFFFF"/>
              <w:right w:val="single" w:sz="8" w:space="0" w:color="000000"/>
            </w:tcBorders>
          </w:tcPr>
          <w:p w:rsidR="00CA4CD6" w:rsidRPr="006529B8" w:rsidRDefault="00CA4CD6">
            <w:pPr>
              <w:spacing w:line="120" w:lineRule="exact"/>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rPr>
                <w:sz w:val="20"/>
                <w:szCs w:val="20"/>
              </w:rPr>
            </w:pPr>
            <w:r w:rsidRPr="006529B8">
              <w:rPr>
                <w:sz w:val="20"/>
                <w:szCs w:val="20"/>
              </w:rPr>
              <w:t>CMS</w:t>
            </w:r>
          </w:p>
        </w:tc>
        <w:tc>
          <w:tcPr>
            <w:tcW w:w="1440" w:type="dxa"/>
            <w:tcBorders>
              <w:top w:val="single" w:sz="7" w:space="0" w:color="000000"/>
              <w:left w:val="single" w:sz="8" w:space="0" w:color="000000"/>
              <w:bottom w:val="single" w:sz="6" w:space="0" w:color="FFFFFF"/>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$120,000</w:t>
            </w:r>
          </w:p>
        </w:tc>
        <w:tc>
          <w:tcPr>
            <w:tcW w:w="1350" w:type="dxa"/>
            <w:tcBorders>
              <w:top w:val="single" w:sz="7" w:space="0" w:color="000000"/>
              <w:left w:val="single" w:sz="8" w:space="0" w:color="000000"/>
              <w:bottom w:val="single" w:sz="6" w:space="0" w:color="FFFFFF"/>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0</w:t>
            </w:r>
          </w:p>
        </w:tc>
        <w:tc>
          <w:tcPr>
            <w:tcW w:w="1440" w:type="dxa"/>
            <w:tcBorders>
              <w:top w:val="single" w:sz="7" w:space="0" w:color="000000"/>
              <w:left w:val="single" w:sz="8" w:space="0" w:color="000000"/>
              <w:bottom w:val="single" w:sz="6" w:space="0" w:color="FFFFFF"/>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$0</w:t>
            </w:r>
          </w:p>
        </w:tc>
        <w:tc>
          <w:tcPr>
            <w:tcW w:w="1350" w:type="dxa"/>
            <w:tcBorders>
              <w:top w:val="single" w:sz="7" w:space="0" w:color="000000"/>
              <w:left w:val="single" w:sz="8" w:space="0" w:color="000000"/>
              <w:bottom w:val="single" w:sz="6" w:space="0" w:color="FFFFFF"/>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$4,500</w:t>
            </w:r>
          </w:p>
        </w:tc>
        <w:tc>
          <w:tcPr>
            <w:tcW w:w="1260" w:type="dxa"/>
            <w:tcBorders>
              <w:top w:val="single" w:sz="7" w:space="0" w:color="000000"/>
              <w:left w:val="single" w:sz="8" w:space="0" w:color="000000"/>
              <w:bottom w:val="single" w:sz="6" w:space="0" w:color="FFFFFF"/>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53</w:t>
            </w:r>
          </w:p>
        </w:tc>
        <w:tc>
          <w:tcPr>
            <w:tcW w:w="1350" w:type="dxa"/>
            <w:tcBorders>
              <w:top w:val="single" w:sz="7" w:space="0" w:color="000000"/>
              <w:left w:val="single" w:sz="8" w:space="0" w:color="000000"/>
              <w:bottom w:val="single" w:sz="6" w:space="0" w:color="FFFFFF"/>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$238,500</w:t>
            </w:r>
          </w:p>
        </w:tc>
      </w:tr>
      <w:tr w:rsidR="00CA4CD6" w:rsidRPr="006529B8" w:rsidTr="00547E17">
        <w:tc>
          <w:tcPr>
            <w:tcW w:w="1170" w:type="dxa"/>
            <w:tcBorders>
              <w:top w:val="single" w:sz="7" w:space="0" w:color="000000"/>
              <w:left w:val="single" w:sz="8" w:space="0" w:color="000000"/>
              <w:bottom w:val="single" w:sz="8" w:space="0" w:color="000000"/>
              <w:right w:val="single" w:sz="8" w:space="0" w:color="000000"/>
            </w:tcBorders>
          </w:tcPr>
          <w:p w:rsidR="00CA4CD6" w:rsidRPr="006529B8" w:rsidRDefault="00CA4CD6">
            <w:pPr>
              <w:spacing w:line="120" w:lineRule="exact"/>
              <w:rPr>
                <w:sz w:val="20"/>
                <w:szCs w:val="20"/>
              </w:rPr>
            </w:pPr>
          </w:p>
          <w:p w:rsidR="00CA4CD6" w:rsidRPr="006529B8" w:rsidRDefault="00547E17">
            <w:pPr>
              <w:pBdr>
                <w:top w:val="single" w:sz="6" w:space="0" w:color="FFFFFF"/>
                <w:left w:val="single" w:sz="6" w:space="0" w:color="FFFFFF"/>
                <w:bottom w:val="single" w:sz="6" w:space="0" w:color="FFFFFF"/>
                <w:right w:val="single" w:sz="6" w:space="0" w:color="FFFFFF"/>
              </w:pBdr>
              <w:spacing w:after="52"/>
              <w:rPr>
                <w:sz w:val="20"/>
                <w:szCs w:val="20"/>
              </w:rPr>
            </w:pPr>
            <w:r w:rsidRPr="006529B8">
              <w:rPr>
                <w:sz w:val="20"/>
                <w:szCs w:val="20"/>
              </w:rPr>
              <w:t>Total</w:t>
            </w:r>
          </w:p>
        </w:tc>
        <w:tc>
          <w:tcPr>
            <w:tcW w:w="1440" w:type="dxa"/>
            <w:tcBorders>
              <w:top w:val="single" w:sz="7" w:space="0" w:color="000000"/>
              <w:left w:val="single" w:sz="8" w:space="0" w:color="000000"/>
              <w:bottom w:val="single" w:sz="8" w:space="0" w:color="000000"/>
              <w:right w:val="single" w:sz="8" w:space="0" w:color="000000"/>
            </w:tcBorders>
          </w:tcPr>
          <w:p w:rsidR="00CA4CD6" w:rsidRPr="006529B8" w:rsidRDefault="00CA4CD6" w:rsidP="00547E17">
            <w:pPr>
              <w:spacing w:line="120" w:lineRule="exact"/>
              <w:jc w:val="center"/>
              <w:rPr>
                <w:sz w:val="20"/>
                <w:szCs w:val="20"/>
              </w:rPr>
            </w:pPr>
          </w:p>
          <w:p w:rsidR="00CA4CD6" w:rsidRPr="006529B8" w:rsidRDefault="00CA4CD6"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350" w:type="dxa"/>
            <w:tcBorders>
              <w:top w:val="single" w:sz="7" w:space="0" w:color="000000"/>
              <w:left w:val="single" w:sz="8" w:space="0" w:color="000000"/>
              <w:bottom w:val="single" w:sz="8" w:space="0" w:color="000000"/>
              <w:right w:val="single" w:sz="8" w:space="0" w:color="000000"/>
            </w:tcBorders>
          </w:tcPr>
          <w:p w:rsidR="00CA4CD6" w:rsidRPr="006529B8" w:rsidRDefault="00CA4CD6" w:rsidP="00547E17">
            <w:pPr>
              <w:spacing w:line="120" w:lineRule="exact"/>
              <w:jc w:val="center"/>
              <w:rPr>
                <w:sz w:val="20"/>
                <w:szCs w:val="20"/>
              </w:rPr>
            </w:pPr>
          </w:p>
          <w:p w:rsidR="00CA4CD6" w:rsidRPr="006529B8" w:rsidRDefault="00CA4CD6"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440" w:type="dxa"/>
            <w:tcBorders>
              <w:top w:val="single" w:sz="7" w:space="0" w:color="000000"/>
              <w:left w:val="single" w:sz="8" w:space="0" w:color="000000"/>
              <w:bottom w:val="single" w:sz="8" w:space="0" w:color="000000"/>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$0</w:t>
            </w:r>
          </w:p>
        </w:tc>
        <w:tc>
          <w:tcPr>
            <w:tcW w:w="1350" w:type="dxa"/>
            <w:tcBorders>
              <w:top w:val="single" w:sz="7" w:space="0" w:color="000000"/>
              <w:left w:val="single" w:sz="8" w:space="0" w:color="000000"/>
              <w:bottom w:val="single" w:sz="8" w:space="0" w:color="000000"/>
              <w:right w:val="single" w:sz="8" w:space="0" w:color="000000"/>
            </w:tcBorders>
          </w:tcPr>
          <w:p w:rsidR="00CA4CD6" w:rsidRPr="006529B8" w:rsidRDefault="00CA4CD6" w:rsidP="00547E17">
            <w:pPr>
              <w:spacing w:line="120" w:lineRule="exact"/>
              <w:jc w:val="center"/>
              <w:rPr>
                <w:sz w:val="20"/>
                <w:szCs w:val="20"/>
              </w:rPr>
            </w:pPr>
          </w:p>
          <w:p w:rsidR="00CA4CD6" w:rsidRPr="006529B8" w:rsidRDefault="00CA4CD6"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tcBorders>
              <w:top w:val="single" w:sz="7" w:space="0" w:color="000000"/>
              <w:left w:val="single" w:sz="8" w:space="0" w:color="000000"/>
              <w:bottom w:val="single" w:sz="8" w:space="0" w:color="000000"/>
              <w:right w:val="single" w:sz="8" w:space="0" w:color="000000"/>
            </w:tcBorders>
          </w:tcPr>
          <w:p w:rsidR="00CA4CD6" w:rsidRPr="006529B8" w:rsidRDefault="00CA4CD6" w:rsidP="00547E17">
            <w:pPr>
              <w:spacing w:line="120" w:lineRule="exact"/>
              <w:jc w:val="center"/>
              <w:rPr>
                <w:sz w:val="20"/>
                <w:szCs w:val="20"/>
              </w:rPr>
            </w:pPr>
          </w:p>
          <w:p w:rsidR="00CA4CD6" w:rsidRPr="006529B8" w:rsidRDefault="00CA4CD6"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350" w:type="dxa"/>
            <w:tcBorders>
              <w:top w:val="single" w:sz="7" w:space="0" w:color="000000"/>
              <w:left w:val="single" w:sz="8" w:space="0" w:color="000000"/>
              <w:bottom w:val="single" w:sz="8" w:space="0" w:color="000000"/>
              <w:right w:val="single" w:sz="8" w:space="0" w:color="000000"/>
            </w:tcBorders>
          </w:tcPr>
          <w:p w:rsidR="00CA4CD6" w:rsidRPr="006529B8" w:rsidRDefault="00CA4CD6" w:rsidP="00547E17">
            <w:pPr>
              <w:spacing w:line="120" w:lineRule="exact"/>
              <w:jc w:val="center"/>
              <w:rPr>
                <w:sz w:val="20"/>
                <w:szCs w:val="20"/>
              </w:rPr>
            </w:pPr>
          </w:p>
          <w:p w:rsidR="00CA4CD6" w:rsidRPr="006529B8" w:rsidRDefault="00547E17" w:rsidP="00547E17">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$238,500</w:t>
            </w:r>
          </w:p>
        </w:tc>
      </w:tr>
    </w:tbl>
    <w:p w:rsidR="00CA4CD6" w:rsidRPr="006529B8" w:rsidRDefault="00CA4CD6">
      <w:pPr>
        <w:pBdr>
          <w:top w:val="single" w:sz="6" w:space="0" w:color="FFFFFF"/>
          <w:left w:val="single" w:sz="6" w:space="0" w:color="FFFFFF"/>
          <w:bottom w:val="single" w:sz="6" w:space="0" w:color="FFFFFF"/>
          <w:right w:val="single" w:sz="6" w:space="0" w:color="FFFFFF"/>
        </w:pBdr>
      </w:pPr>
      <w:r w:rsidRPr="006529B8">
        <w:t xml:space="preserve"> </w:t>
      </w:r>
      <w:r w:rsidRPr="006529B8">
        <w:tab/>
      </w: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total capital/startup costs for this ICR are $</w:t>
      </w:r>
      <w:r w:rsidR="00547E17" w:rsidRPr="006529B8">
        <w:t>0</w:t>
      </w:r>
      <w:r w:rsidRPr="006529B8">
        <w:t>.  This is the total o</w:t>
      </w:r>
      <w:r w:rsidR="00507EC5" w:rsidRPr="006529B8">
        <w:t xml:space="preserve">f column D in the above table.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total operation and maintenance (</w:t>
      </w:r>
      <w:r w:rsidR="003F1AFC" w:rsidRPr="006529B8">
        <w:t>O&amp;M) costs for this ICR are $</w:t>
      </w:r>
      <w:r w:rsidR="00547E17" w:rsidRPr="006529B8">
        <w:t>238,500</w:t>
      </w:r>
      <w:r w:rsidRPr="006529B8">
        <w:t xml:space="preserve">.  </w:t>
      </w:r>
      <w:r w:rsidR="00507EC5" w:rsidRPr="006529B8">
        <w:t xml:space="preserve">This is </w:t>
      </w:r>
      <w:r w:rsidR="007C4F16">
        <w:t xml:space="preserve">  </w:t>
      </w:r>
      <w:r w:rsidR="00507EC5" w:rsidRPr="006529B8">
        <w:t xml:space="preserve">the total of column G. </w:t>
      </w:r>
    </w:p>
    <w:p w:rsidR="004C701D" w:rsidRPr="006529B8" w:rsidRDefault="004C701D">
      <w:pPr>
        <w:pBdr>
          <w:top w:val="single" w:sz="6" w:space="0" w:color="FFFFFF"/>
          <w:left w:val="single" w:sz="6" w:space="0" w:color="FFFFFF"/>
          <w:bottom w:val="single" w:sz="6" w:space="0" w:color="FFFFFF"/>
          <w:right w:val="single" w:sz="6" w:space="0" w:color="FFFFFF"/>
        </w:pBdr>
        <w:ind w:firstLine="720"/>
      </w:pPr>
    </w:p>
    <w:p w:rsidR="007C5842" w:rsidRDefault="00CA4CD6" w:rsidP="007C5842">
      <w:pPr>
        <w:pBdr>
          <w:top w:val="single" w:sz="6" w:space="0" w:color="FFFFFF"/>
          <w:left w:val="single" w:sz="6" w:space="0" w:color="FFFFFF"/>
          <w:bottom w:val="single" w:sz="6" w:space="0" w:color="FFFFFF"/>
          <w:right w:val="single" w:sz="6" w:space="0" w:color="FFFFFF"/>
        </w:pBdr>
        <w:ind w:firstLine="720"/>
      </w:pPr>
      <w:r w:rsidRPr="006529B8">
        <w:t xml:space="preserve">The average annual cost for capital/startup and operation and maintenance costs </w:t>
      </w:r>
      <w:r w:rsidR="007C4F16">
        <w:t xml:space="preserve">            </w:t>
      </w:r>
      <w:r w:rsidRPr="006529B8">
        <w:t>to industry over the next three years of the ICR is estimated to be $</w:t>
      </w:r>
      <w:r w:rsidR="00547E17" w:rsidRPr="006529B8">
        <w:t>238,500</w:t>
      </w:r>
      <w:r w:rsidRPr="006529B8">
        <w:t xml:space="preserve">. </w:t>
      </w:r>
      <w:r w:rsidR="001C5991" w:rsidRPr="006529B8">
        <w:t xml:space="preserve">  These are </w:t>
      </w:r>
      <w:r w:rsidR="001C5991" w:rsidRPr="006529B8">
        <w:lastRenderedPageBreak/>
        <w:t>recordkeeping costs</w:t>
      </w:r>
      <w:r w:rsidR="009D342F" w:rsidRPr="006529B8">
        <w: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6(c</w:t>
      </w:r>
      <w:proofErr w:type="gramStart"/>
      <w:r w:rsidRPr="006529B8">
        <w:rPr>
          <w:b/>
          <w:bCs/>
        </w:rPr>
        <w:t>)  Estimating</w:t>
      </w:r>
      <w:proofErr w:type="gramEnd"/>
      <w:r w:rsidRPr="006529B8">
        <w:rPr>
          <w:b/>
          <w:bCs/>
        </w:rPr>
        <w:t xml:space="preserve"> Agency Burden and Cost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only costs to the Agency are those costs associated with analysis of the reported information.  EPA's overall compliance and enforcement program i</w:t>
      </w:r>
      <w:r w:rsidR="005C42AC" w:rsidRPr="006529B8">
        <w:t xml:space="preserve">ncludes activities such as the </w:t>
      </w:r>
      <w:r w:rsidRPr="006529B8">
        <w:t>examination of records maint</w:t>
      </w:r>
      <w:r w:rsidR="0035325B" w:rsidRPr="006529B8">
        <w:t xml:space="preserve">ained by the respondents, </w:t>
      </w:r>
      <w:r w:rsidRPr="006529B8">
        <w:t xml:space="preserve">periodic inspection of sources of emissions, and the publication and distribution of collected information.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average annual Agency cost during the three years of the ICR is estimated to be $</w:t>
      </w:r>
      <w:r w:rsidR="009D342F" w:rsidRPr="006529B8">
        <w:t>22,192</w:t>
      </w:r>
      <w:r w:rsidRPr="006529B8">
        <w:t xml:space="preserve">.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This cost is based on the average hourly labor rate as follows:</w:t>
      </w:r>
    </w:p>
    <w:p w:rsidR="00D2273E" w:rsidRPr="006529B8" w:rsidRDefault="00D2273E" w:rsidP="00D2273E"/>
    <w:p w:rsidR="00CA4CD6" w:rsidRPr="006529B8" w:rsidRDefault="00D2273E" w:rsidP="00D2273E">
      <w:r w:rsidRPr="006529B8">
        <w:tab/>
      </w:r>
      <w:r w:rsidRPr="006529B8">
        <w:tab/>
      </w:r>
      <w:r w:rsidR="00CA4CD6" w:rsidRPr="006529B8">
        <w:t>Managerial</w:t>
      </w:r>
      <w:r w:rsidR="00CA4CD6" w:rsidRPr="006529B8">
        <w:tab/>
        <w:t>$</w:t>
      </w:r>
      <w:r w:rsidR="00A038EC" w:rsidRPr="006529B8">
        <w:t>6</w:t>
      </w:r>
      <w:r w:rsidR="002B517F" w:rsidRPr="006529B8">
        <w:t>2.</w:t>
      </w:r>
      <w:r w:rsidR="003D536B" w:rsidRPr="006529B8">
        <w:t>90</w:t>
      </w:r>
      <w:r w:rsidR="00CA4CD6" w:rsidRPr="006529B8">
        <w:t xml:space="preserve"> (GS-13, Step 5, $</w:t>
      </w:r>
      <w:r w:rsidR="009018EC" w:rsidRPr="006529B8">
        <w:t>3</w:t>
      </w:r>
      <w:r w:rsidR="003D536B" w:rsidRPr="006529B8">
        <w:t>9.31</w:t>
      </w:r>
      <w:r w:rsidR="00CA4CD6" w:rsidRPr="006529B8">
        <w:t xml:space="preserve"> </w:t>
      </w:r>
      <w:r w:rsidR="00E77D5E" w:rsidRPr="006529B8">
        <w:t>+ 60%</w:t>
      </w:r>
      <w:r w:rsidR="00D46FA2" w:rsidRPr="006529B8">
        <w:t xml:space="preserve">) </w:t>
      </w:r>
    </w:p>
    <w:p w:rsidR="00CA4CD6" w:rsidRPr="006529B8" w:rsidRDefault="00D2273E" w:rsidP="00D2273E">
      <w:r w:rsidRPr="006529B8">
        <w:tab/>
      </w:r>
      <w:r w:rsidRPr="006529B8">
        <w:tab/>
      </w:r>
      <w:r w:rsidR="00CA4CD6" w:rsidRPr="006529B8">
        <w:t>Technical</w:t>
      </w:r>
      <w:r w:rsidR="00CA4CD6" w:rsidRPr="006529B8">
        <w:tab/>
        <w:t>$</w:t>
      </w:r>
      <w:r w:rsidR="009018EC" w:rsidRPr="006529B8">
        <w:t>4</w:t>
      </w:r>
      <w:r w:rsidR="002B517F" w:rsidRPr="006529B8">
        <w:t>6</w:t>
      </w:r>
      <w:r w:rsidR="00A038EC" w:rsidRPr="006529B8">
        <w:t>.</w:t>
      </w:r>
      <w:r w:rsidR="003D536B" w:rsidRPr="006529B8">
        <w:t>67</w:t>
      </w:r>
      <w:r w:rsidR="00CA4CD6" w:rsidRPr="006529B8">
        <w:t xml:space="preserve"> (GS-12, Step 1, $</w:t>
      </w:r>
      <w:r w:rsidR="00A038EC" w:rsidRPr="006529B8">
        <w:t>2</w:t>
      </w:r>
      <w:r w:rsidR="003D536B" w:rsidRPr="006529B8">
        <w:t>9</w:t>
      </w:r>
      <w:r w:rsidR="00A038EC" w:rsidRPr="006529B8">
        <w:t>.</w:t>
      </w:r>
      <w:r w:rsidR="003D536B" w:rsidRPr="006529B8">
        <w:t>17</w:t>
      </w:r>
      <w:r w:rsidR="00CA4CD6" w:rsidRPr="006529B8">
        <w:t xml:space="preserve"> </w:t>
      </w:r>
      <w:r w:rsidR="00E77D5E" w:rsidRPr="006529B8">
        <w:t>+ 60%</w:t>
      </w:r>
      <w:r w:rsidR="00CA4CD6" w:rsidRPr="006529B8">
        <w:t>)</w:t>
      </w:r>
    </w:p>
    <w:p w:rsidR="00CA4CD6" w:rsidRPr="006529B8" w:rsidRDefault="00D2273E" w:rsidP="00D2273E">
      <w:r w:rsidRPr="006529B8">
        <w:tab/>
      </w:r>
      <w:r w:rsidRPr="006529B8">
        <w:tab/>
      </w:r>
      <w:r w:rsidR="00CA4CD6" w:rsidRPr="006529B8">
        <w:t>Clerical</w:t>
      </w:r>
      <w:r w:rsidR="00CA4CD6" w:rsidRPr="006529B8">
        <w:tab/>
        <w:t>$2</w:t>
      </w:r>
      <w:r w:rsidR="002B517F" w:rsidRPr="006529B8">
        <w:t>5.</w:t>
      </w:r>
      <w:r w:rsidR="003D536B" w:rsidRPr="006529B8">
        <w:t>25</w:t>
      </w:r>
      <w:r w:rsidR="00CA4CD6" w:rsidRPr="006529B8">
        <w:t xml:space="preserve"> (GS-6, Step 3, $</w:t>
      </w:r>
      <w:r w:rsidR="00A038EC" w:rsidRPr="006529B8">
        <w:t>15.</w:t>
      </w:r>
      <w:r w:rsidR="003D536B" w:rsidRPr="006529B8">
        <w:t>78</w:t>
      </w:r>
      <w:r w:rsidR="00CA4CD6" w:rsidRPr="006529B8">
        <w:t xml:space="preserve"> </w:t>
      </w:r>
      <w:r w:rsidR="00E77D5E" w:rsidRPr="006529B8">
        <w:t>+ 60%</w:t>
      </w:r>
      <w:r w:rsidR="00CA4CD6" w:rsidRPr="006529B8">
        <w: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pPr>
      <w:r w:rsidRPr="006529B8">
        <w:t>These rates are from the Office of Personnel Management (OPM)</w:t>
      </w:r>
      <w:r w:rsidR="007A458D" w:rsidRPr="006529B8">
        <w:t>,</w:t>
      </w:r>
      <w:r w:rsidRPr="006529B8">
        <w:t xml:space="preserve"> 20</w:t>
      </w:r>
      <w:r w:rsidR="002B517F" w:rsidRPr="006529B8">
        <w:t>1</w:t>
      </w:r>
      <w:r w:rsidR="003D536B" w:rsidRPr="006529B8">
        <w:t>4</w:t>
      </w:r>
      <w:r w:rsidRPr="006529B8">
        <w:t xml:space="preserve"> General Schedule</w:t>
      </w:r>
      <w:r w:rsidR="007A458D" w:rsidRPr="006529B8">
        <w:t>,</w:t>
      </w:r>
      <w:r w:rsidRPr="006529B8">
        <w:t xml:space="preserve"> which excludes locality rates of pay.</w:t>
      </w:r>
      <w:r w:rsidR="00E77D5E" w:rsidRPr="006529B8">
        <w:t xml:space="preserve">  The rates have been increased by 60</w:t>
      </w:r>
      <w:r w:rsidR="00D2273E" w:rsidRPr="006529B8">
        <w:t xml:space="preserve"> percent</w:t>
      </w:r>
      <w:r w:rsidR="00E77D5E" w:rsidRPr="006529B8">
        <w:t xml:space="preserve"> to account for the benefit packages available to government employees.  </w:t>
      </w:r>
      <w:r w:rsidRPr="006529B8">
        <w:t xml:space="preserve">Details upon which this estimate is based appear </w:t>
      </w:r>
      <w:r w:rsidR="007A458D" w:rsidRPr="006529B8">
        <w:t xml:space="preserve">below in </w:t>
      </w:r>
      <w:r w:rsidRPr="006529B8">
        <w:t xml:space="preserve">Table 2: </w:t>
      </w:r>
      <w:r w:rsidR="00CF2B37" w:rsidRPr="006529B8">
        <w:t>Average Annual EPA Burden and Cost –</w:t>
      </w:r>
      <w:r w:rsidR="00144F35" w:rsidRPr="006529B8">
        <w:t xml:space="preserve"> </w:t>
      </w:r>
      <w:r w:rsidR="009D342F" w:rsidRPr="006529B8">
        <w:t>NSPS for Sulfuric Acid Plants (40 CFR Part 60, Subpart H) (Renewal).</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rPr>
          <w:b/>
          <w:bCs/>
        </w:rPr>
      </w:pPr>
      <w:r w:rsidRPr="006529B8">
        <w:rPr>
          <w:b/>
          <w:bCs/>
        </w:rPr>
        <w:t>6(d</w:t>
      </w:r>
      <w:proofErr w:type="gramStart"/>
      <w:r w:rsidRPr="006529B8">
        <w:rPr>
          <w:b/>
          <w:bCs/>
        </w:rPr>
        <w:t>)  Estimating</w:t>
      </w:r>
      <w:proofErr w:type="gramEnd"/>
      <w:r w:rsidRPr="006529B8">
        <w:rPr>
          <w:b/>
          <w:bCs/>
        </w:rPr>
        <w:t xml:space="preserve"> the Respondent Universe and Total Burden and Costs</w:t>
      </w:r>
    </w:p>
    <w:p w:rsidR="00CA4CD6" w:rsidRPr="006529B8" w:rsidRDefault="00CA4CD6">
      <w:pPr>
        <w:pBdr>
          <w:top w:val="single" w:sz="6" w:space="0" w:color="FFFFFF"/>
          <w:left w:val="single" w:sz="6" w:space="0" w:color="FFFFFF"/>
          <w:bottom w:val="single" w:sz="6" w:space="0" w:color="FFFFFF"/>
          <w:right w:val="single" w:sz="6" w:space="0" w:color="FFFFFF"/>
        </w:pBdr>
        <w:rPr>
          <w:b/>
          <w:bCs/>
        </w:rP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Based on our research for this ICR, on average over the next three years, approximately </w:t>
      </w:r>
      <w:r w:rsidR="009D342F" w:rsidRPr="006529B8">
        <w:t>53</w:t>
      </w:r>
      <w:r w:rsidRPr="006529B8">
        <w:t xml:space="preserve"> existing respondents will be subject to the standard.  It is estimated that n</w:t>
      </w:r>
      <w:r w:rsidR="009D342F" w:rsidRPr="006529B8">
        <w:t>o</w:t>
      </w:r>
      <w:r w:rsidRPr="006529B8">
        <w:t xml:space="preserve"> additional respondents per year will become subject.  The overall average number of responden</w:t>
      </w:r>
      <w:r w:rsidR="0035325B" w:rsidRPr="006529B8">
        <w:t>ts, as shown in the table below,</w:t>
      </w:r>
      <w:r w:rsidRPr="006529B8">
        <w:t xml:space="preserve"> is </w:t>
      </w:r>
      <w:r w:rsidR="009D342F" w:rsidRPr="006529B8">
        <w:t>53</w:t>
      </w:r>
      <w:r w:rsidRPr="006529B8">
        <w:t xml:space="preserve"> per year.</w:t>
      </w:r>
      <w:r w:rsidR="000C393D">
        <w:t xml:space="preserve">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The number of respondents is calculated using the following table </w:t>
      </w:r>
      <w:r w:rsidR="002B29A7" w:rsidRPr="006529B8">
        <w:t xml:space="preserve">that </w:t>
      </w:r>
      <w:r w:rsidRPr="006529B8">
        <w:t xml:space="preserve">addresses the three years covered by this ICR.  </w:t>
      </w:r>
    </w:p>
    <w:p w:rsidR="00CA4CD6" w:rsidRPr="006529B8"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6529B8">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pPr>
          </w:p>
          <w:p w:rsidR="00CA4CD6" w:rsidRPr="006529B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529B8">
              <w:rPr>
                <w:b/>
                <w:bCs/>
              </w:rPr>
              <w:t>Number of Respondents</w:t>
            </w:r>
          </w:p>
        </w:tc>
      </w:tr>
      <w:tr w:rsidR="00A73600" w:rsidRPr="006529B8">
        <w:tc>
          <w:tcPr>
            <w:tcW w:w="900" w:type="dxa"/>
            <w:tcBorders>
              <w:top w:val="single" w:sz="7" w:space="0" w:color="000000"/>
              <w:left w:val="single" w:sz="7" w:space="0" w:color="000000"/>
              <w:bottom w:val="single" w:sz="6" w:space="0" w:color="FFFFFF"/>
              <w:right w:val="single" w:sz="6" w:space="0" w:color="FFFFFF"/>
            </w:tcBorders>
          </w:tcPr>
          <w:p w:rsidR="00CA4CD6" w:rsidRPr="006529B8" w:rsidRDefault="00CA4CD6">
            <w:pPr>
              <w:spacing w:line="120" w:lineRule="exact"/>
              <w:rPr>
                <w:b/>
                <w:bCs/>
              </w:rPr>
            </w:pPr>
          </w:p>
          <w:p w:rsidR="00CA4CD6" w:rsidRPr="006529B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6529B8" w:rsidRDefault="00CA4CD6">
            <w:pPr>
              <w:spacing w:line="120" w:lineRule="exact"/>
              <w:rPr>
                <w:sz w:val="18"/>
                <w:szCs w:val="18"/>
              </w:rPr>
            </w:pPr>
          </w:p>
          <w:p w:rsidR="00CA4CD6" w:rsidRPr="006529B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529B8">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6529B8" w:rsidRDefault="00CA4CD6">
            <w:pPr>
              <w:spacing w:line="120" w:lineRule="exact"/>
              <w:rPr>
                <w:sz w:val="18"/>
                <w:szCs w:val="18"/>
              </w:rPr>
            </w:pPr>
          </w:p>
          <w:p w:rsidR="00CA4CD6" w:rsidRPr="006529B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529B8">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6529B8" w:rsidRDefault="00CA4CD6">
            <w:pPr>
              <w:spacing w:line="120" w:lineRule="exact"/>
              <w:rPr>
                <w:sz w:val="18"/>
                <w:szCs w:val="18"/>
              </w:rPr>
            </w:pPr>
          </w:p>
          <w:p w:rsidR="00CA4CD6" w:rsidRPr="006529B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6529B8" w:rsidTr="003F1AFC">
        <w:tc>
          <w:tcPr>
            <w:tcW w:w="900" w:type="dxa"/>
            <w:tcBorders>
              <w:top w:val="single" w:sz="7" w:space="0" w:color="000000"/>
              <w:left w:val="single" w:sz="7" w:space="0" w:color="000000"/>
              <w:bottom w:val="single" w:sz="8" w:space="0" w:color="000000"/>
              <w:right w:val="single" w:sz="6" w:space="0" w:color="FFFFFF"/>
            </w:tcBorders>
          </w:tcPr>
          <w:p w:rsidR="00CA4CD6" w:rsidRPr="006529B8" w:rsidRDefault="00CA4CD6">
            <w:pPr>
              <w:spacing w:line="120" w:lineRule="exact"/>
              <w:rPr>
                <w:sz w:val="18"/>
                <w:szCs w:val="18"/>
              </w:rPr>
            </w:pPr>
          </w:p>
          <w:p w:rsidR="00CA4CD6" w:rsidRPr="006529B8"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6529B8"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(A)</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 xml:space="preserve">Number of New Respondents </w:t>
            </w:r>
            <w:r w:rsidRPr="006529B8">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(B)</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(C)</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(D)</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6529B8" w:rsidRDefault="00CA4CD6" w:rsidP="009D342F">
            <w:pPr>
              <w:spacing w:line="120" w:lineRule="exact"/>
              <w:jc w:val="center"/>
              <w:rPr>
                <w:sz w:val="20"/>
                <w:szCs w:val="20"/>
              </w:rPr>
            </w:pP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(E)</w:t>
            </w:r>
          </w:p>
          <w:p w:rsidR="00CA4CD6" w:rsidRPr="006529B8" w:rsidRDefault="00CA4CD6" w:rsidP="009D342F">
            <w:pPr>
              <w:pBdr>
                <w:top w:val="single" w:sz="6" w:space="0" w:color="FFFFFF"/>
                <w:left w:val="single" w:sz="6" w:space="0" w:color="FFFFFF"/>
                <w:bottom w:val="single" w:sz="6" w:space="0" w:color="FFFFFF"/>
                <w:right w:val="single" w:sz="6" w:space="0" w:color="FFFFFF"/>
              </w:pBdr>
              <w:jc w:val="center"/>
              <w:rPr>
                <w:sz w:val="20"/>
                <w:szCs w:val="20"/>
              </w:rPr>
            </w:pPr>
            <w:r w:rsidRPr="006529B8">
              <w:rPr>
                <w:sz w:val="20"/>
                <w:szCs w:val="20"/>
              </w:rPr>
              <w:t>Number of Respondents</w:t>
            </w:r>
          </w:p>
          <w:p w:rsidR="00CA4CD6" w:rsidRPr="006529B8" w:rsidRDefault="00CA4CD6" w:rsidP="009D342F">
            <w:pPr>
              <w:pBdr>
                <w:top w:val="single" w:sz="6" w:space="0" w:color="FFFFFF"/>
                <w:left w:val="single" w:sz="6" w:space="0" w:color="FFFFFF"/>
                <w:bottom w:val="single" w:sz="6" w:space="0" w:color="FFFFFF"/>
                <w:right w:val="single" w:sz="6" w:space="0" w:color="FFFFFF"/>
              </w:pBdr>
              <w:spacing w:after="52"/>
              <w:jc w:val="center"/>
              <w:rPr>
                <w:sz w:val="20"/>
                <w:szCs w:val="20"/>
              </w:rPr>
            </w:pPr>
            <w:r w:rsidRPr="006529B8">
              <w:rPr>
                <w:sz w:val="20"/>
                <w:szCs w:val="20"/>
              </w:rPr>
              <w:t>(E=A+B+C-D)</w:t>
            </w:r>
          </w:p>
        </w:tc>
      </w:tr>
      <w:tr w:rsidR="00CA4CD6" w:rsidRPr="006529B8">
        <w:tc>
          <w:tcPr>
            <w:tcW w:w="900" w:type="dxa"/>
            <w:tcBorders>
              <w:top w:val="single" w:sz="8" w:space="0" w:color="000000"/>
              <w:left w:val="single" w:sz="8" w:space="0" w:color="000000"/>
              <w:bottom w:val="single" w:sz="6" w:space="0" w:color="000000"/>
              <w:right w:val="single" w:sz="6" w:space="0" w:color="000000"/>
            </w:tcBorders>
          </w:tcPr>
          <w:p w:rsidR="00CA4CD6" w:rsidRPr="006529B8" w:rsidRDefault="00CA4CD6">
            <w:pPr>
              <w:spacing w:line="120" w:lineRule="exact"/>
              <w:rPr>
                <w:sz w:val="20"/>
                <w:szCs w:val="20"/>
              </w:rPr>
            </w:pPr>
          </w:p>
          <w:p w:rsidR="00CA4CD6" w:rsidRPr="006529B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53</w:t>
            </w:r>
          </w:p>
        </w:tc>
        <w:tc>
          <w:tcPr>
            <w:tcW w:w="2070" w:type="dxa"/>
            <w:tcBorders>
              <w:top w:val="single" w:sz="8"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53</w:t>
            </w:r>
          </w:p>
        </w:tc>
      </w:tr>
      <w:tr w:rsidR="00CA4CD6" w:rsidRPr="006529B8">
        <w:tc>
          <w:tcPr>
            <w:tcW w:w="900" w:type="dxa"/>
            <w:tcBorders>
              <w:top w:val="single" w:sz="6" w:space="0" w:color="000000"/>
              <w:left w:val="single" w:sz="8"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53</w:t>
            </w:r>
          </w:p>
        </w:tc>
        <w:tc>
          <w:tcPr>
            <w:tcW w:w="2070"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52"/>
              <w:jc w:val="center"/>
              <w:rPr>
                <w:sz w:val="18"/>
                <w:szCs w:val="18"/>
              </w:rPr>
            </w:pPr>
            <w:r w:rsidRPr="006529B8">
              <w:rPr>
                <w:sz w:val="18"/>
                <w:szCs w:val="18"/>
              </w:rPr>
              <w:t>53</w:t>
            </w:r>
          </w:p>
        </w:tc>
      </w:tr>
      <w:tr w:rsidR="00CA4CD6" w:rsidRPr="006529B8">
        <w:tc>
          <w:tcPr>
            <w:tcW w:w="900" w:type="dxa"/>
            <w:tcBorders>
              <w:top w:val="single" w:sz="6" w:space="0" w:color="000000"/>
              <w:left w:val="single" w:sz="8"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53</w:t>
            </w:r>
          </w:p>
        </w:tc>
        <w:tc>
          <w:tcPr>
            <w:tcW w:w="2070"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53</w:t>
            </w:r>
          </w:p>
        </w:tc>
      </w:tr>
      <w:tr w:rsidR="00CA4CD6" w:rsidRPr="006529B8">
        <w:tc>
          <w:tcPr>
            <w:tcW w:w="900" w:type="dxa"/>
            <w:tcBorders>
              <w:top w:val="single" w:sz="6" w:space="0" w:color="000000"/>
              <w:left w:val="single" w:sz="8" w:space="0" w:color="000000"/>
              <w:bottom w:val="single" w:sz="8" w:space="0" w:color="000000"/>
              <w:right w:val="single" w:sz="6" w:space="0" w:color="000000"/>
            </w:tcBorders>
          </w:tcPr>
          <w:p w:rsidR="00CA4CD6" w:rsidRPr="006529B8" w:rsidRDefault="00CA4CD6">
            <w:pPr>
              <w:spacing w:line="120" w:lineRule="exact"/>
              <w:rPr>
                <w:sz w:val="18"/>
                <w:szCs w:val="18"/>
              </w:rPr>
            </w:pPr>
          </w:p>
          <w:p w:rsidR="00CA4CD6" w:rsidRPr="006529B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53</w:t>
            </w:r>
          </w:p>
        </w:tc>
        <w:tc>
          <w:tcPr>
            <w:tcW w:w="2070" w:type="dxa"/>
            <w:tcBorders>
              <w:top w:val="single" w:sz="6" w:space="0" w:color="000000"/>
              <w:left w:val="single" w:sz="6" w:space="0" w:color="000000"/>
              <w:bottom w:val="single" w:sz="8"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6529B8" w:rsidRDefault="00CA4CD6">
            <w:pPr>
              <w:spacing w:line="120" w:lineRule="exact"/>
              <w:rPr>
                <w:sz w:val="18"/>
                <w:szCs w:val="18"/>
              </w:rPr>
            </w:pPr>
          </w:p>
          <w:p w:rsidR="00CA4CD6" w:rsidRPr="006529B8" w:rsidRDefault="009D342F">
            <w:pPr>
              <w:pBdr>
                <w:top w:val="single" w:sz="6" w:space="0" w:color="FFFFFF"/>
                <w:left w:val="single" w:sz="6" w:space="0" w:color="FFFFFF"/>
                <w:bottom w:val="single" w:sz="6" w:space="0" w:color="FFFFFF"/>
                <w:right w:val="single" w:sz="6" w:space="0" w:color="FFFFFF"/>
              </w:pBdr>
              <w:spacing w:after="72"/>
              <w:jc w:val="center"/>
              <w:rPr>
                <w:sz w:val="18"/>
                <w:szCs w:val="18"/>
              </w:rPr>
            </w:pPr>
            <w:r w:rsidRPr="006529B8">
              <w:rPr>
                <w:sz w:val="18"/>
                <w:szCs w:val="18"/>
              </w:rPr>
              <w:t>53</w:t>
            </w:r>
          </w:p>
        </w:tc>
      </w:tr>
    </w:tbl>
    <w:p w:rsidR="00CA4CD6" w:rsidRPr="006529B8"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529B8">
        <w:rPr>
          <w:vertAlign w:val="superscript"/>
        </w:rPr>
        <w:t>1</w:t>
      </w:r>
      <w:r w:rsidRPr="006529B8">
        <w:t xml:space="preserve"> </w:t>
      </w:r>
      <w:r w:rsidRPr="006529B8">
        <w:rPr>
          <w:sz w:val="20"/>
          <w:szCs w:val="20"/>
        </w:rPr>
        <w:t>New respondents include sources with constructed, reconstructed and modified affected facilities.</w:t>
      </w:r>
    </w:p>
    <w:p w:rsidR="00CA4CD6" w:rsidRPr="006529B8" w:rsidRDefault="00CA4CD6">
      <w:pPr>
        <w:pBdr>
          <w:top w:val="single" w:sz="6" w:space="0" w:color="FFFFFF"/>
          <w:left w:val="single" w:sz="6" w:space="0" w:color="FFFFFF"/>
          <w:bottom w:val="single" w:sz="6" w:space="0" w:color="FFFFFF"/>
          <w:right w:val="single" w:sz="6" w:space="0" w:color="FFFFFF"/>
        </w:pBdr>
        <w:ind w:firstLine="5760"/>
      </w:pPr>
    </w:p>
    <w:p w:rsidR="00CA4CD6" w:rsidRPr="006529B8" w:rsidRDefault="002B29A7">
      <w:pPr>
        <w:pBdr>
          <w:top w:val="single" w:sz="6" w:space="0" w:color="FFFFFF"/>
          <w:left w:val="single" w:sz="6" w:space="0" w:color="FFFFFF"/>
          <w:bottom w:val="single" w:sz="6" w:space="0" w:color="FFFFFF"/>
          <w:right w:val="single" w:sz="6" w:space="0" w:color="FFFFFF"/>
        </w:pBdr>
        <w:ind w:firstLine="720"/>
      </w:pPr>
      <w:r w:rsidRPr="006529B8">
        <w:t>C</w:t>
      </w:r>
      <w:r w:rsidR="00CA4CD6" w:rsidRPr="006529B8">
        <w:t>olumn D is subtracted</w:t>
      </w:r>
      <w:r w:rsidRPr="006529B8">
        <w:t xml:space="preserve"> to avoid double-counting respondents</w:t>
      </w:r>
      <w:r w:rsidR="00CA4CD6" w:rsidRPr="006529B8">
        <w:t>.</w:t>
      </w:r>
      <w:r w:rsidRPr="006529B8">
        <w:t xml:space="preserve">  </w:t>
      </w:r>
      <w:r w:rsidR="00CA4CD6" w:rsidRPr="006529B8">
        <w:t xml:space="preserve">As shown above, the average Number of Respondents over the three year period of this ICR is </w:t>
      </w:r>
      <w:r w:rsidR="009D342F" w:rsidRPr="006529B8">
        <w:t>53</w:t>
      </w:r>
      <w:r w:rsidR="00507EC5" w:rsidRPr="006529B8">
        <w:t xml:space="preserve">. </w:t>
      </w:r>
    </w:p>
    <w:p w:rsidR="00CA4CD6" w:rsidRPr="006529B8" w:rsidRDefault="00CA4CD6">
      <w:pPr>
        <w:pBdr>
          <w:top w:val="single" w:sz="6" w:space="0" w:color="FFFFFF"/>
          <w:left w:val="single" w:sz="6" w:space="0" w:color="FFFFFF"/>
          <w:bottom w:val="single" w:sz="6" w:space="0" w:color="FFFFFF"/>
          <w:right w:val="single" w:sz="6" w:space="0" w:color="FFFFFF"/>
        </w:pBdr>
        <w:ind w:firstLine="720"/>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The total number of annual responses per year is calculated using the following table: </w:t>
      </w:r>
    </w:p>
    <w:p w:rsidR="00CA4CD6" w:rsidRPr="006529B8"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6529B8" w:rsidTr="009D342F">
        <w:trPr>
          <w:tblHeader/>
        </w:trPr>
        <w:tc>
          <w:tcPr>
            <w:tcW w:w="9180" w:type="dxa"/>
            <w:gridSpan w:val="5"/>
          </w:tcPr>
          <w:p w:rsidR="00CA4CD6" w:rsidRPr="006529B8" w:rsidRDefault="00CA4CD6" w:rsidP="000C393D">
            <w:pPr>
              <w:keepNext/>
              <w:keepLines/>
              <w:spacing w:after="100" w:afterAutospacing="1" w:line="120" w:lineRule="exact"/>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b/>
                <w:bCs/>
                <w:sz w:val="18"/>
                <w:szCs w:val="18"/>
              </w:rPr>
            </w:pPr>
            <w:r w:rsidRPr="006529B8">
              <w:rPr>
                <w:b/>
                <w:bCs/>
              </w:rPr>
              <w:t>Total Annual Responses</w:t>
            </w:r>
          </w:p>
        </w:tc>
      </w:tr>
      <w:tr w:rsidR="00CA4CD6" w:rsidRPr="006529B8">
        <w:tc>
          <w:tcPr>
            <w:tcW w:w="2700" w:type="dxa"/>
          </w:tcPr>
          <w:p w:rsidR="00CA4CD6" w:rsidRPr="006529B8" w:rsidRDefault="00CA4CD6" w:rsidP="000C393D">
            <w:pPr>
              <w:keepNext/>
              <w:keepLines/>
              <w:spacing w:after="100" w:afterAutospacing="1" w:line="120" w:lineRule="exact"/>
              <w:jc w:val="center"/>
              <w:rPr>
                <w:b/>
                <w:bCs/>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(A)</w:t>
            </w: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Information Collection Activity</w:t>
            </w:r>
          </w:p>
        </w:tc>
        <w:tc>
          <w:tcPr>
            <w:tcW w:w="1260" w:type="dxa"/>
          </w:tcPr>
          <w:p w:rsidR="00CA4CD6" w:rsidRPr="006529B8" w:rsidRDefault="00CA4CD6" w:rsidP="000C393D">
            <w:pPr>
              <w:keepNext/>
              <w:keepLines/>
              <w:spacing w:after="100" w:afterAutospacing="1" w:line="120" w:lineRule="exact"/>
              <w:jc w:val="center"/>
              <w:rPr>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(B)</w:t>
            </w: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Number of Respondents</w:t>
            </w:r>
          </w:p>
        </w:tc>
        <w:tc>
          <w:tcPr>
            <w:tcW w:w="1260" w:type="dxa"/>
          </w:tcPr>
          <w:p w:rsidR="00CA4CD6" w:rsidRPr="006529B8" w:rsidRDefault="00CA4CD6" w:rsidP="000C393D">
            <w:pPr>
              <w:keepNext/>
              <w:keepLines/>
              <w:spacing w:after="100" w:afterAutospacing="1" w:line="120" w:lineRule="exact"/>
              <w:jc w:val="center"/>
              <w:rPr>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(C)</w:t>
            </w: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Number of Responses</w:t>
            </w:r>
          </w:p>
        </w:tc>
        <w:tc>
          <w:tcPr>
            <w:tcW w:w="1890" w:type="dxa"/>
          </w:tcPr>
          <w:p w:rsidR="00CA4CD6" w:rsidRPr="006529B8" w:rsidRDefault="00CA4CD6" w:rsidP="000C393D">
            <w:pPr>
              <w:keepNext/>
              <w:keepLines/>
              <w:spacing w:after="100" w:afterAutospacing="1" w:line="120" w:lineRule="exact"/>
              <w:jc w:val="center"/>
              <w:rPr>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(D)</w:t>
            </w: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Number of Existing Respondents That Keep Records But Do Not Submit Reports</w:t>
            </w:r>
          </w:p>
        </w:tc>
        <w:tc>
          <w:tcPr>
            <w:tcW w:w="2070" w:type="dxa"/>
          </w:tcPr>
          <w:p w:rsidR="00CA4CD6" w:rsidRPr="006529B8" w:rsidRDefault="00CA4CD6" w:rsidP="000C393D">
            <w:pPr>
              <w:keepNext/>
              <w:keepLines/>
              <w:spacing w:after="100" w:afterAutospacing="1" w:line="120" w:lineRule="exact"/>
              <w:jc w:val="center"/>
              <w:rPr>
                <w:sz w:val="18"/>
                <w:szCs w:val="18"/>
              </w:rPr>
            </w:pP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(E)</w:t>
            </w: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Total Annual  Responses</w:t>
            </w:r>
          </w:p>
          <w:p w:rsidR="00CA4CD6" w:rsidRPr="006529B8" w:rsidRDefault="00CA4CD6"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18"/>
                <w:szCs w:val="18"/>
              </w:rPr>
            </w:pPr>
            <w:r w:rsidRPr="006529B8">
              <w:rPr>
                <w:sz w:val="18"/>
                <w:szCs w:val="18"/>
              </w:rPr>
              <w:t>E=(</w:t>
            </w:r>
            <w:proofErr w:type="spellStart"/>
            <w:r w:rsidRPr="006529B8">
              <w:rPr>
                <w:sz w:val="18"/>
                <w:szCs w:val="18"/>
              </w:rPr>
              <w:t>BxC</w:t>
            </w:r>
            <w:proofErr w:type="spellEnd"/>
            <w:r w:rsidRPr="006529B8">
              <w:rPr>
                <w:sz w:val="18"/>
                <w:szCs w:val="18"/>
              </w:rPr>
              <w:t>)+D</w:t>
            </w:r>
          </w:p>
        </w:tc>
      </w:tr>
      <w:tr w:rsidR="009D342F" w:rsidRPr="006529B8" w:rsidTr="009034AB">
        <w:tc>
          <w:tcPr>
            <w:tcW w:w="270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rPr>
                <w:sz w:val="20"/>
                <w:szCs w:val="20"/>
              </w:rPr>
            </w:pPr>
            <w:r w:rsidRPr="006529B8">
              <w:rPr>
                <w:sz w:val="20"/>
                <w:szCs w:val="20"/>
              </w:rPr>
              <w:t>Notification of construction or modification</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1</w:t>
            </w:r>
          </w:p>
        </w:tc>
        <w:tc>
          <w:tcPr>
            <w:tcW w:w="189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N/A</w:t>
            </w:r>
          </w:p>
        </w:tc>
        <w:tc>
          <w:tcPr>
            <w:tcW w:w="207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r>
      <w:tr w:rsidR="009D342F" w:rsidRPr="006529B8" w:rsidTr="009D342F">
        <w:trPr>
          <w:trHeight w:val="507"/>
        </w:trPr>
        <w:tc>
          <w:tcPr>
            <w:tcW w:w="270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rPr>
                <w:sz w:val="20"/>
                <w:szCs w:val="20"/>
              </w:rPr>
            </w:pPr>
            <w:r w:rsidRPr="006529B8">
              <w:rPr>
                <w:sz w:val="20"/>
                <w:szCs w:val="20"/>
              </w:rPr>
              <w:t>Notification of actual startup</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1</w:t>
            </w:r>
          </w:p>
        </w:tc>
        <w:tc>
          <w:tcPr>
            <w:tcW w:w="189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N/A</w:t>
            </w:r>
          </w:p>
        </w:tc>
        <w:tc>
          <w:tcPr>
            <w:tcW w:w="207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r>
      <w:tr w:rsidR="009D342F" w:rsidRPr="006529B8" w:rsidTr="009034AB">
        <w:tc>
          <w:tcPr>
            <w:tcW w:w="270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rPr>
                <w:sz w:val="20"/>
                <w:szCs w:val="20"/>
              </w:rPr>
            </w:pPr>
            <w:r w:rsidRPr="006529B8">
              <w:rPr>
                <w:sz w:val="20"/>
                <w:szCs w:val="20"/>
              </w:rPr>
              <w:t>Notification of  physical or operational change</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1</w:t>
            </w:r>
          </w:p>
        </w:tc>
        <w:tc>
          <w:tcPr>
            <w:tcW w:w="189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N/A</w:t>
            </w:r>
          </w:p>
        </w:tc>
        <w:tc>
          <w:tcPr>
            <w:tcW w:w="207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r>
      <w:tr w:rsidR="009D342F" w:rsidRPr="006529B8" w:rsidTr="009034AB">
        <w:tc>
          <w:tcPr>
            <w:tcW w:w="270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rPr>
                <w:sz w:val="20"/>
                <w:szCs w:val="20"/>
              </w:rPr>
            </w:pPr>
            <w:r w:rsidRPr="006529B8">
              <w:rPr>
                <w:sz w:val="20"/>
                <w:szCs w:val="20"/>
              </w:rPr>
              <w:t>Notification of demonstration of CMS</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1</w:t>
            </w:r>
          </w:p>
        </w:tc>
        <w:tc>
          <w:tcPr>
            <w:tcW w:w="189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N/A</w:t>
            </w:r>
          </w:p>
        </w:tc>
        <w:tc>
          <w:tcPr>
            <w:tcW w:w="207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r>
      <w:tr w:rsidR="009D342F" w:rsidRPr="006529B8" w:rsidTr="009034AB">
        <w:tc>
          <w:tcPr>
            <w:tcW w:w="270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rPr>
                <w:sz w:val="20"/>
                <w:szCs w:val="20"/>
              </w:rPr>
            </w:pPr>
            <w:r w:rsidRPr="006529B8">
              <w:rPr>
                <w:sz w:val="20"/>
                <w:szCs w:val="20"/>
              </w:rPr>
              <w:t>Notification of initial performance test</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1</w:t>
            </w:r>
          </w:p>
        </w:tc>
        <w:tc>
          <w:tcPr>
            <w:tcW w:w="189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N/A</w:t>
            </w:r>
          </w:p>
        </w:tc>
        <w:tc>
          <w:tcPr>
            <w:tcW w:w="207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0</w:t>
            </w:r>
          </w:p>
        </w:tc>
      </w:tr>
      <w:tr w:rsidR="009D342F" w:rsidRPr="006529B8" w:rsidTr="009034AB">
        <w:tc>
          <w:tcPr>
            <w:tcW w:w="270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rPr>
                <w:sz w:val="20"/>
                <w:szCs w:val="20"/>
              </w:rPr>
            </w:pPr>
            <w:r w:rsidRPr="006529B8">
              <w:rPr>
                <w:sz w:val="20"/>
                <w:szCs w:val="20"/>
              </w:rPr>
              <w:t>Semiannual report of excess emissions</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53</w:t>
            </w: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2</w:t>
            </w:r>
          </w:p>
        </w:tc>
        <w:tc>
          <w:tcPr>
            <w:tcW w:w="189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N/A</w:t>
            </w:r>
          </w:p>
        </w:tc>
        <w:tc>
          <w:tcPr>
            <w:tcW w:w="207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106</w:t>
            </w:r>
          </w:p>
        </w:tc>
      </w:tr>
      <w:tr w:rsidR="009D342F" w:rsidRPr="006529B8" w:rsidTr="009034AB">
        <w:tc>
          <w:tcPr>
            <w:tcW w:w="270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rPr>
                <w:sz w:val="20"/>
                <w:szCs w:val="20"/>
              </w:rPr>
            </w:pP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p>
        </w:tc>
        <w:tc>
          <w:tcPr>
            <w:tcW w:w="126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p>
        </w:tc>
        <w:tc>
          <w:tcPr>
            <w:tcW w:w="189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Total</w:t>
            </w:r>
          </w:p>
        </w:tc>
        <w:tc>
          <w:tcPr>
            <w:tcW w:w="2070" w:type="dxa"/>
            <w:vAlign w:val="center"/>
          </w:tcPr>
          <w:p w:rsidR="009D342F" w:rsidRPr="006529B8" w:rsidRDefault="009D342F" w:rsidP="000C393D">
            <w:pPr>
              <w:keepNext/>
              <w:keepLines/>
              <w:pBdr>
                <w:top w:val="single" w:sz="6" w:space="0" w:color="FFFFFF"/>
                <w:left w:val="single" w:sz="6" w:space="0" w:color="FFFFFF"/>
                <w:bottom w:val="single" w:sz="6" w:space="0" w:color="FFFFFF"/>
                <w:right w:val="single" w:sz="6" w:space="0" w:color="FFFFFF"/>
              </w:pBdr>
              <w:spacing w:after="100" w:afterAutospacing="1"/>
              <w:jc w:val="center"/>
              <w:rPr>
                <w:sz w:val="20"/>
                <w:szCs w:val="20"/>
              </w:rPr>
            </w:pPr>
            <w:r w:rsidRPr="006529B8">
              <w:rPr>
                <w:sz w:val="20"/>
                <w:szCs w:val="20"/>
              </w:rPr>
              <w:t>106</w:t>
            </w:r>
          </w:p>
        </w:tc>
      </w:tr>
    </w:tbl>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The number of Total Annual Responses is </w:t>
      </w:r>
      <w:r w:rsidR="009D342F" w:rsidRPr="006529B8">
        <w:t>106</w:t>
      </w:r>
      <w:r w:rsidRPr="006529B8">
        <w:t>.</w:t>
      </w:r>
    </w:p>
    <w:p w:rsidR="00CA4CD6" w:rsidRPr="006529B8" w:rsidRDefault="00CA4CD6">
      <w:pPr>
        <w:pBdr>
          <w:top w:val="single" w:sz="6" w:space="0" w:color="FFFFFF"/>
          <w:left w:val="single" w:sz="6" w:space="0" w:color="FFFFFF"/>
          <w:bottom w:val="single" w:sz="6" w:space="0" w:color="FFFFFF"/>
          <w:right w:val="single" w:sz="6" w:space="0" w:color="FFFFFF"/>
        </w:pBdr>
      </w:pPr>
    </w:p>
    <w:p w:rsidR="009D342F" w:rsidRPr="006529B8" w:rsidRDefault="00CA4CD6" w:rsidP="009D342F">
      <w:pPr>
        <w:ind w:firstLine="720"/>
      </w:pPr>
      <w:r w:rsidRPr="006529B8">
        <w:t xml:space="preserve">The total annual labor costs are </w:t>
      </w:r>
      <w:r w:rsidR="009D342F" w:rsidRPr="006529B8">
        <w:t>$1,312,776</w:t>
      </w:r>
      <w:r w:rsidRPr="006529B8">
        <w:t>.</w:t>
      </w:r>
      <w:r w:rsidR="00507EC5" w:rsidRPr="006529B8">
        <w:t xml:space="preserve">  </w:t>
      </w:r>
      <w:r w:rsidRPr="006529B8">
        <w:t xml:space="preserve">Details regarding these estimates may be found </w:t>
      </w:r>
      <w:r w:rsidR="007A458D" w:rsidRPr="006529B8">
        <w:t xml:space="preserve">below </w:t>
      </w:r>
      <w:r w:rsidR="0035325B" w:rsidRPr="006529B8">
        <w:t>in Table 1:</w:t>
      </w:r>
      <w:r w:rsidRPr="006529B8">
        <w:t xml:space="preserve"> Annual Respondent Burden and Cost</w:t>
      </w:r>
      <w:r w:rsidR="00CF2B37" w:rsidRPr="006529B8">
        <w:t xml:space="preserve"> –</w:t>
      </w:r>
      <w:r w:rsidR="009D342F" w:rsidRPr="006529B8">
        <w:t xml:space="preserve"> NSPS for Sulfuric Acid Plants (40 CFR Part 60, Subpart H) (Renewal).</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lastRenderedPageBreak/>
        <w:t>6(e</w:t>
      </w:r>
      <w:proofErr w:type="gramStart"/>
      <w:r w:rsidRPr="006529B8">
        <w:rPr>
          <w:b/>
          <w:bCs/>
        </w:rPr>
        <w:t>)  Bottom</w:t>
      </w:r>
      <w:proofErr w:type="gramEnd"/>
      <w:r w:rsidRPr="006529B8">
        <w:rPr>
          <w:b/>
          <w:bCs/>
        </w:rPr>
        <w:t xml:space="preserve"> Line Burden Hours and Cost Tables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The detailed bottom line burden hours and cost calculations for the respondents and the Agency are shown in Tables 1 and 2</w:t>
      </w:r>
      <w:r w:rsidR="00FE2099" w:rsidRPr="006529B8">
        <w:t xml:space="preserve"> below</w:t>
      </w:r>
      <w:r w:rsidRPr="006529B8">
        <w:t xml:space="preserve">, respectively, and summarized below.  </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529B8">
        <w:rPr>
          <w:b/>
          <w:bCs/>
        </w:rPr>
        <w:t>(</w:t>
      </w:r>
      <w:proofErr w:type="spellStart"/>
      <w:r w:rsidRPr="006529B8">
        <w:rPr>
          <w:b/>
          <w:bCs/>
        </w:rPr>
        <w:t>i</w:t>
      </w:r>
      <w:proofErr w:type="spellEnd"/>
      <w:r w:rsidRPr="006529B8">
        <w:rPr>
          <w:b/>
          <w:bCs/>
        </w:rPr>
        <w:t>) Respondent Tally</w:t>
      </w:r>
    </w:p>
    <w:p w:rsidR="00CA4CD6" w:rsidRPr="006529B8" w:rsidRDefault="00CA4CD6">
      <w:pPr>
        <w:pBdr>
          <w:top w:val="single" w:sz="6" w:space="0" w:color="FFFFFF"/>
          <w:left w:val="single" w:sz="6" w:space="0" w:color="FFFFFF"/>
          <w:bottom w:val="single" w:sz="6" w:space="0" w:color="FFFFFF"/>
          <w:right w:val="single" w:sz="6" w:space="0" w:color="FFFFFF"/>
        </w:pBdr>
      </w:pPr>
    </w:p>
    <w:p w:rsidR="00144F35" w:rsidRPr="006529B8" w:rsidRDefault="00CA4CD6" w:rsidP="00083E46">
      <w:pPr>
        <w:ind w:firstLine="720"/>
      </w:pPr>
      <w:r w:rsidRPr="006529B8">
        <w:t xml:space="preserve">The total annual labor </w:t>
      </w:r>
      <w:r w:rsidR="002C416A" w:rsidRPr="006529B8">
        <w:t>hours are</w:t>
      </w:r>
      <w:r w:rsidR="00083E46" w:rsidRPr="006529B8">
        <w:t xml:space="preserve"> 13,409</w:t>
      </w:r>
      <w:r w:rsidR="007C4F16">
        <w:t xml:space="preserve"> hours</w:t>
      </w:r>
      <w:r w:rsidRPr="006529B8">
        <w:t>.</w:t>
      </w:r>
      <w:r w:rsidR="00507EC5" w:rsidRPr="006529B8">
        <w:t xml:space="preserve">  </w:t>
      </w:r>
      <w:r w:rsidRPr="006529B8">
        <w:t>Details regarding these estimates may be found in Table 1</w:t>
      </w:r>
      <w:r w:rsidR="007C4F16">
        <w:t>:</w:t>
      </w:r>
      <w:r w:rsidRPr="006529B8">
        <w:t xml:space="preserve">  Annual Respondent Burden and Cost</w:t>
      </w:r>
      <w:r w:rsidR="00CF2B37" w:rsidRPr="006529B8">
        <w:t xml:space="preserve"> – </w:t>
      </w:r>
      <w:r w:rsidR="00083E46" w:rsidRPr="006529B8">
        <w:t>NSPS for Sulfuric Acid Plants (40 CFR Part 60, Subpart H) (Renewal).</w:t>
      </w:r>
    </w:p>
    <w:p w:rsidR="00144F35" w:rsidRPr="006529B8"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6529B8" w:rsidRDefault="00CA4CD6" w:rsidP="0021722B">
      <w:pPr>
        <w:pBdr>
          <w:top w:val="single" w:sz="6" w:space="0" w:color="FFFFFF"/>
          <w:left w:val="single" w:sz="6" w:space="0" w:color="FFFFFF"/>
          <w:bottom w:val="single" w:sz="6" w:space="0" w:color="FFFFFF"/>
          <w:right w:val="single" w:sz="6" w:space="0" w:color="FFFFFF"/>
        </w:pBdr>
        <w:ind w:firstLine="720"/>
      </w:pPr>
      <w:r w:rsidRPr="006529B8">
        <w:t xml:space="preserve">Furthermore, the annual public reporting and recordkeeping burden for this collection of information is estimated to average </w:t>
      </w:r>
      <w:r w:rsidR="00083E46" w:rsidRPr="006529B8">
        <w:t>12</w:t>
      </w:r>
      <w:r w:rsidR="000C393D">
        <w:t>7</w:t>
      </w:r>
      <w:r w:rsidR="00083E46" w:rsidRPr="006529B8">
        <w:t xml:space="preserve"> </w:t>
      </w:r>
      <w:r w:rsidRPr="006529B8">
        <w:t>hours per response</w:t>
      </w:r>
      <w:r w:rsidR="0021722B" w:rsidRPr="006529B8">
        <w:t>.</w:t>
      </w:r>
    </w:p>
    <w:p w:rsidR="0021722B" w:rsidRPr="006529B8"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The total annual capital/startup and O&amp;M costs to the regulated entity are </w:t>
      </w:r>
      <w:r w:rsidR="00083E46" w:rsidRPr="006529B8">
        <w:t>$238,500</w:t>
      </w:r>
      <w:r w:rsidR="00507EC5" w:rsidRPr="006529B8">
        <w:t xml:space="preserve">.  </w:t>
      </w:r>
      <w:r w:rsidRPr="006529B8">
        <w:t>The cost calculations are detailed in Section 6(b</w:t>
      </w:r>
      <w:proofErr w:type="gramStart"/>
      <w:r w:rsidRPr="006529B8">
        <w:t>)(</w:t>
      </w:r>
      <w:proofErr w:type="gramEnd"/>
      <w:r w:rsidRPr="006529B8">
        <w:t>iii), Capital/Startup vs. Operation and Maintenance (O&amp;M) Costs.</w:t>
      </w:r>
    </w:p>
    <w:p w:rsidR="00CA4CD6" w:rsidRPr="006529B8" w:rsidRDefault="00CA4CD6">
      <w:pPr>
        <w:pBdr>
          <w:top w:val="single" w:sz="6" w:space="0" w:color="FFFFFF"/>
          <w:left w:val="single" w:sz="6" w:space="0" w:color="FFFFFF"/>
          <w:bottom w:val="single" w:sz="6" w:space="0" w:color="FFFFFF"/>
          <w:right w:val="single" w:sz="6" w:space="0" w:color="FFFFFF"/>
        </w:pBdr>
        <w:ind w:firstLine="2160"/>
      </w:pPr>
    </w:p>
    <w:p w:rsidR="00CA4CD6" w:rsidRPr="006529B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529B8">
        <w:rPr>
          <w:b/>
          <w:bCs/>
        </w:rPr>
        <w:t>(ii) The Agency Tally</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144F35">
      <w:pPr>
        <w:pBdr>
          <w:top w:val="single" w:sz="6" w:space="0" w:color="FFFFFF"/>
          <w:left w:val="single" w:sz="6" w:space="0" w:color="FFFFFF"/>
          <w:bottom w:val="single" w:sz="6" w:space="0" w:color="FFFFFF"/>
          <w:right w:val="single" w:sz="6" w:space="0" w:color="FFFFFF"/>
        </w:pBdr>
        <w:ind w:firstLine="720"/>
      </w:pPr>
      <w:r w:rsidRPr="006529B8">
        <w:t xml:space="preserve">The average annual Agency burden and cost over next three years is estimated to be </w:t>
      </w:r>
      <w:r w:rsidR="00083E46" w:rsidRPr="006529B8">
        <w:t>488</w:t>
      </w:r>
      <w:r w:rsidRPr="006529B8">
        <w:t xml:space="preserve"> labor hours at a cost of </w:t>
      </w:r>
      <w:r w:rsidR="00083E46" w:rsidRPr="006529B8">
        <w:t>$22,192</w:t>
      </w:r>
      <w:r w:rsidR="00144F35" w:rsidRPr="006529B8">
        <w:t xml:space="preserve">.  See </w:t>
      </w:r>
      <w:r w:rsidR="007C4F16">
        <w:t xml:space="preserve">below </w:t>
      </w:r>
      <w:r w:rsidR="00144F35" w:rsidRPr="006529B8">
        <w:t xml:space="preserve">Table 2: </w:t>
      </w:r>
      <w:r w:rsidR="00CF2B37" w:rsidRPr="006529B8">
        <w:t>Average Annual EPA Burden and Cost –</w:t>
      </w:r>
      <w:r w:rsidR="00144F35" w:rsidRPr="006529B8">
        <w:t xml:space="preserve"> </w:t>
      </w:r>
      <w:r w:rsidR="00083E46" w:rsidRPr="006529B8">
        <w:t>NSPS for Sulfuric Acid Plants (40 CFR Part 63, Subpart H) (Renewal).</w:t>
      </w:r>
    </w:p>
    <w:p w:rsidR="00CA4CD6" w:rsidRPr="006529B8" w:rsidRDefault="00083E46" w:rsidP="00083E46">
      <w:pPr>
        <w:pBdr>
          <w:top w:val="single" w:sz="6" w:space="0" w:color="FFFFFF"/>
          <w:left w:val="single" w:sz="6" w:space="0" w:color="FFFFFF"/>
          <w:bottom w:val="single" w:sz="6" w:space="0" w:color="FFFFFF"/>
          <w:right w:val="single" w:sz="6" w:space="0" w:color="FFFFFF"/>
        </w:pBdr>
        <w:tabs>
          <w:tab w:val="left" w:pos="3135"/>
        </w:tabs>
      </w:pPr>
      <w:r w:rsidRPr="006529B8">
        <w:tab/>
      </w: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6(f</w:t>
      </w:r>
      <w:proofErr w:type="gramStart"/>
      <w:r w:rsidRPr="006529B8">
        <w:rPr>
          <w:b/>
          <w:bCs/>
        </w:rPr>
        <w:t>)  Reasons</w:t>
      </w:r>
      <w:proofErr w:type="gramEnd"/>
      <w:r w:rsidRPr="006529B8">
        <w:rPr>
          <w:b/>
          <w:bCs/>
        </w:rPr>
        <w:t xml:space="preserve"> for Change in Burden</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rsidP="004545F4">
      <w:pPr>
        <w:pBdr>
          <w:top w:val="single" w:sz="6" w:space="0" w:color="FFFFFF"/>
          <w:left w:val="single" w:sz="6" w:space="0" w:color="FFFFFF"/>
          <w:bottom w:val="single" w:sz="6" w:space="0" w:color="FFFFFF"/>
          <w:right w:val="single" w:sz="6" w:space="0" w:color="FFFFFF"/>
        </w:pBdr>
        <w:ind w:firstLine="720"/>
      </w:pPr>
      <w:r w:rsidRPr="006529B8">
        <w:t>The</w:t>
      </w:r>
      <w:r w:rsidR="00C41628" w:rsidRPr="006529B8">
        <w:t>re is an</w:t>
      </w:r>
      <w:r w:rsidRPr="006529B8">
        <w:t xml:space="preserve"> increase in </w:t>
      </w:r>
      <w:r w:rsidR="000C393D">
        <w:t xml:space="preserve">respondent burden </w:t>
      </w:r>
      <w:r w:rsidR="00C41628" w:rsidRPr="006529B8">
        <w:t>in this ICR as compared to the previous ICR. This</w:t>
      </w:r>
      <w:r w:rsidRPr="006529B8">
        <w:t xml:space="preserve"> </w:t>
      </w:r>
      <w:r w:rsidR="00C41628" w:rsidRPr="006529B8">
        <w:t>is not due to any program changes</w:t>
      </w:r>
      <w:r w:rsidR="000C393D">
        <w:t>; rather, it</w:t>
      </w:r>
      <w:r w:rsidR="00C41628" w:rsidRPr="006529B8">
        <w:t xml:space="preserve"> </w:t>
      </w:r>
      <w:r w:rsidRPr="006529B8">
        <w:t>is</w:t>
      </w:r>
      <w:r w:rsidR="00C41628" w:rsidRPr="006529B8">
        <w:t xml:space="preserve"> </w:t>
      </w:r>
      <w:r w:rsidRPr="006529B8">
        <w:t xml:space="preserve">due to </w:t>
      </w:r>
      <w:r w:rsidR="00083E46" w:rsidRPr="006529B8">
        <w:t xml:space="preserve">the correction of </w:t>
      </w:r>
      <w:r w:rsidRPr="006529B8">
        <w:t>a</w:t>
      </w:r>
      <w:r w:rsidR="00083E46" w:rsidRPr="006529B8">
        <w:t xml:space="preserve"> mathematical error. </w:t>
      </w:r>
      <w:r w:rsidR="004545F4">
        <w:t xml:space="preserve">We assume that </w:t>
      </w:r>
      <w:r w:rsidR="00C41628" w:rsidRPr="006529B8">
        <w:t xml:space="preserve">0.25 hours per occurrence </w:t>
      </w:r>
      <w:r w:rsidR="004545F4">
        <w:t>over 350 occurrences per year is required to enter records of operating parameters</w:t>
      </w:r>
      <w:r w:rsidR="00C41628" w:rsidRPr="006529B8">
        <w:t xml:space="preserve">. </w:t>
      </w:r>
      <w:r w:rsidR="004545F4">
        <w:t xml:space="preserve"> The previous ICR calculated </w:t>
      </w:r>
      <w:r w:rsidR="00C41628" w:rsidRPr="006529B8">
        <w:t>8 hours</w:t>
      </w:r>
      <w:r w:rsidR="004545F4">
        <w:t xml:space="preserve"> per respondent for this burden item (instead of 87.5 hours per respondent)</w:t>
      </w:r>
      <w:r w:rsidR="00C41628" w:rsidRPr="006529B8">
        <w:t xml:space="preserve">, </w:t>
      </w:r>
      <w:r w:rsidR="004545F4">
        <w:t xml:space="preserve">which grossly underestimated recordkeeping burden.  This correction </w:t>
      </w:r>
      <w:r w:rsidR="00C4751A" w:rsidRPr="00E90E03">
        <w:t xml:space="preserve">changes the total </w:t>
      </w:r>
      <w:r w:rsidR="00C4751A">
        <w:t xml:space="preserve">respondent </w:t>
      </w:r>
      <w:r w:rsidR="00C4751A" w:rsidRPr="00E90E03">
        <w:t xml:space="preserve">burden from 8,594 hours to 13,409 hours and the estimated burden cost from $822,650 to $1,312,776. </w:t>
      </w:r>
      <w:r w:rsidR="00C4751A">
        <w:t xml:space="preserve"> </w:t>
      </w:r>
      <w:r w:rsidR="004545F4">
        <w:t xml:space="preserve">There is also an increase in the estimated Agency costs due to the use of more </w:t>
      </w:r>
      <w:r w:rsidR="00C41628" w:rsidRPr="006529B8">
        <w:t>updated labor rates.</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rPr>
          <w:b/>
          <w:bCs/>
        </w:rPr>
        <w:t>6(g</w:t>
      </w:r>
      <w:proofErr w:type="gramStart"/>
      <w:r w:rsidRPr="006529B8">
        <w:rPr>
          <w:b/>
          <w:bCs/>
        </w:rPr>
        <w:t>)  Burden</w:t>
      </w:r>
      <w:proofErr w:type="gramEnd"/>
      <w:r w:rsidRPr="006529B8">
        <w:rPr>
          <w:b/>
          <w:bCs/>
        </w:rPr>
        <w:t xml:space="preserve"> Statement</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 xml:space="preserve">The annual public reporting and recordkeeping burden for this collection of information is estimated to average </w:t>
      </w:r>
      <w:r w:rsidR="00083E46" w:rsidRPr="006529B8">
        <w:t>127</w:t>
      </w:r>
      <w:r w:rsidRPr="006529B8">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rsidRPr="006529B8">
        <w:lastRenderedPageBreak/>
        <w:t>requirements; train personnel to be able to respond to a collection of information; search data sources; complete and review the collection of information; and transmit or otherwise disclose the information.</w:t>
      </w:r>
    </w:p>
    <w:p w:rsidR="00CA4CD6" w:rsidRPr="006529B8" w:rsidRDefault="00CA4CD6">
      <w:pPr>
        <w:pBdr>
          <w:top w:val="single" w:sz="6" w:space="0" w:color="FFFFFF"/>
          <w:left w:val="single" w:sz="6" w:space="0" w:color="FFFFFF"/>
          <w:bottom w:val="single" w:sz="6" w:space="0" w:color="FFFFFF"/>
          <w:right w:val="single" w:sz="6" w:space="0" w:color="FFFFFF"/>
        </w:pBdr>
      </w:pPr>
    </w:p>
    <w:p w:rsidR="00CA4CD6" w:rsidRPr="006529B8" w:rsidRDefault="00CA4CD6">
      <w:pPr>
        <w:pBdr>
          <w:top w:val="single" w:sz="6" w:space="0" w:color="FFFFFF"/>
          <w:left w:val="single" w:sz="6" w:space="0" w:color="FFFFFF"/>
          <w:bottom w:val="single" w:sz="6" w:space="0" w:color="FFFFFF"/>
          <w:right w:val="single" w:sz="6" w:space="0" w:color="FFFFFF"/>
        </w:pBdr>
        <w:ind w:firstLine="720"/>
      </w:pPr>
      <w:r w:rsidRPr="006529B8">
        <w:t>An agency may not conduct or sponsor, and a person is not required to respond to, a collection of information unless it displays a valid OMB Control Number.  The OMB Control Numbers for EPA</w:t>
      </w:r>
      <w:r w:rsidR="00906EDB" w:rsidRPr="006529B8">
        <w:t xml:space="preserve"> </w:t>
      </w:r>
      <w:r w:rsidRPr="006529B8">
        <w:t xml:space="preserve">regulations are listed at 40 CFR </w:t>
      </w:r>
      <w:r w:rsidR="00377D7F" w:rsidRPr="006529B8">
        <w:t xml:space="preserve">Part </w:t>
      </w:r>
      <w:r w:rsidRPr="006529B8">
        <w:t xml:space="preserve">9 and 48 CFR </w:t>
      </w:r>
      <w:r w:rsidR="00377D7F" w:rsidRPr="006529B8">
        <w:t xml:space="preserve">Chapter </w:t>
      </w:r>
      <w:r w:rsidRPr="006529B8">
        <w:t>15.</w:t>
      </w:r>
    </w:p>
    <w:p w:rsidR="006741F7" w:rsidRPr="006529B8" w:rsidRDefault="006741F7" w:rsidP="00354C15"/>
    <w:p w:rsidR="00354C15" w:rsidRPr="006529B8" w:rsidRDefault="00FB0650" w:rsidP="00354C15">
      <w:r w:rsidRPr="006529B8">
        <w:tab/>
      </w:r>
      <w:r w:rsidR="00CA4CD6" w:rsidRPr="006529B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6529B8">
        <w:t>EPA-HQ-OECA-201</w:t>
      </w:r>
      <w:r w:rsidR="00083E46" w:rsidRPr="006529B8">
        <w:t>4</w:t>
      </w:r>
      <w:r w:rsidR="0035325B" w:rsidRPr="006529B8">
        <w:t>-</w:t>
      </w:r>
      <w:r w:rsidR="00083E46" w:rsidRPr="006529B8">
        <w:t>0035</w:t>
      </w:r>
      <w:r w:rsidR="00354C15" w:rsidRPr="006529B8">
        <w:t xml:space="preserve">.  An electronic version of the public docket is available at </w:t>
      </w:r>
      <w:hyperlink r:id="rId8" w:history="1">
        <w:r w:rsidR="00377D7F" w:rsidRPr="006529B8">
          <w:rPr>
            <w:rStyle w:val="Hyperlink"/>
            <w:color w:val="auto"/>
          </w:rPr>
          <w:t>http://www.regulations.gov/</w:t>
        </w:r>
      </w:hyperlink>
      <w:r w:rsidR="00377D7F" w:rsidRPr="006529B8">
        <w:t xml:space="preserve"> </w:t>
      </w:r>
      <w:r w:rsidR="00354C15" w:rsidRPr="006529B8">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6529B8">
        <w:rPr>
          <w:rStyle w:val="1"/>
        </w:rPr>
        <w:t xml:space="preserve">, select “search,” then key in the docket ID number identified in this document.  The documents are also </w:t>
      </w:r>
      <w:r w:rsidR="00CA4CD6" w:rsidRPr="006529B8">
        <w:t xml:space="preserve">available for public viewing at the Enforcement and Compliance Docket and Information Center in the EPA Docket Center (EPA/DC), </w:t>
      </w:r>
      <w:r w:rsidR="00D95819" w:rsidRPr="006529B8">
        <w:t>EPA West, Room 3334</w:t>
      </w:r>
      <w:r w:rsidR="00CA4CD6" w:rsidRPr="006529B8">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6529B8">
        <w:t>for the docket center i</w:t>
      </w:r>
      <w:r w:rsidR="00CA4CD6" w:rsidRPr="006529B8">
        <w:t>s (202) 566-</w:t>
      </w:r>
      <w:r w:rsidR="00850ACF" w:rsidRPr="006529B8">
        <w:t>1927</w:t>
      </w:r>
      <w:r w:rsidR="00354C15" w:rsidRPr="006529B8">
        <w:t xml:space="preserve">.  </w:t>
      </w:r>
      <w:r w:rsidR="00CA4CD6" w:rsidRPr="006529B8">
        <w:t xml:space="preserve">Also, you can send comments to the Office of Information and Regulatory Affairs, Office of Management and Budget, 725 17th Street, NW, Washington, DC 20503, Attention: Desk Officer for EPA.  Please include the EPA Docket ID Number </w:t>
      </w:r>
      <w:r w:rsidR="00144A82" w:rsidRPr="006529B8">
        <w:t>EPA-HQ-OECA-20</w:t>
      </w:r>
      <w:r w:rsidR="0035325B" w:rsidRPr="006529B8">
        <w:t>1</w:t>
      </w:r>
      <w:r w:rsidR="00083E46" w:rsidRPr="006529B8">
        <w:t>4</w:t>
      </w:r>
      <w:r w:rsidR="00CA4CD6" w:rsidRPr="006529B8">
        <w:t>-</w:t>
      </w:r>
      <w:r w:rsidR="00083E46" w:rsidRPr="006529B8">
        <w:t>0035</w:t>
      </w:r>
      <w:r w:rsidR="00CA4CD6" w:rsidRPr="006529B8">
        <w:t xml:space="preserve"> and OMB Control Number </w:t>
      </w:r>
      <w:r w:rsidR="00083E46" w:rsidRPr="006529B8">
        <w:t>2060-0041</w:t>
      </w:r>
      <w:r w:rsidR="00CA4CD6" w:rsidRPr="006529B8">
        <w:t xml:space="preserve"> in any correspondence. </w:t>
      </w:r>
    </w:p>
    <w:p w:rsidR="00F340DF" w:rsidRPr="006529B8" w:rsidRDefault="00F340DF" w:rsidP="00F340DF">
      <w:pPr>
        <w:rPr>
          <w:rStyle w:val="1"/>
          <w:rFonts w:ascii="WP TypographicSymbols" w:hAnsi="WP TypographicSymbols" w:cs="WP TypographicSymbols"/>
        </w:rPr>
      </w:pPr>
    </w:p>
    <w:p w:rsidR="00F340DF" w:rsidRPr="006529B8" w:rsidRDefault="00CA4CD6" w:rsidP="00504745">
      <w:pPr>
        <w:outlineLvl w:val="0"/>
        <w:rPr>
          <w:b/>
          <w:bCs/>
        </w:rPr>
      </w:pPr>
      <w:r w:rsidRPr="006529B8">
        <w:rPr>
          <w:b/>
          <w:bCs/>
        </w:rPr>
        <w:t>Part B of the Supporting Statement</w:t>
      </w:r>
    </w:p>
    <w:p w:rsidR="00F340DF" w:rsidRPr="006529B8" w:rsidRDefault="00F340DF" w:rsidP="00F340DF">
      <w:pPr>
        <w:rPr>
          <w:b/>
          <w:bCs/>
        </w:rPr>
      </w:pPr>
    </w:p>
    <w:p w:rsidR="00CA4CD6" w:rsidRPr="006529B8" w:rsidRDefault="00CA4CD6" w:rsidP="00F340DF">
      <w:r w:rsidRPr="006529B8">
        <w:t>This part is not applicable because no statistical methods were used in collecting this information.</w:t>
      </w:r>
    </w:p>
    <w:p w:rsidR="00144F35" w:rsidRPr="006529B8" w:rsidRDefault="00144F35" w:rsidP="00F340DF">
      <w:pPr>
        <w:sectPr w:rsidR="00144F35" w:rsidRPr="006529B8"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6529B8" w:rsidRDefault="00144F35" w:rsidP="004545F4">
      <w:pPr>
        <w:jc w:val="center"/>
        <w:outlineLvl w:val="0"/>
        <w:rPr>
          <w:b/>
          <w:bCs/>
        </w:rPr>
      </w:pPr>
      <w:r w:rsidRPr="006529B8">
        <w:rPr>
          <w:b/>
          <w:bCs/>
        </w:rPr>
        <w:lastRenderedPageBreak/>
        <w:t>Table 1: Annual Respondent Burden and Cost –</w:t>
      </w:r>
      <w:r w:rsidR="004545F4">
        <w:rPr>
          <w:b/>
          <w:bCs/>
        </w:rPr>
        <w:t xml:space="preserve"> </w:t>
      </w:r>
      <w:r w:rsidRPr="006529B8">
        <w:rPr>
          <w:b/>
          <w:bCs/>
        </w:rPr>
        <w:t>N</w:t>
      </w:r>
      <w:r w:rsidR="00F513E3">
        <w:rPr>
          <w:b/>
          <w:bCs/>
        </w:rPr>
        <w:t>SPS for Sulfuric Acid Plants (40 CFR Part 60, Subpart H</w:t>
      </w:r>
      <w:r w:rsidRPr="006529B8">
        <w:rPr>
          <w:b/>
          <w:bCs/>
        </w:rPr>
        <w:t>) (Renewal)</w:t>
      </w:r>
    </w:p>
    <w:p w:rsidR="00144F35" w:rsidRPr="006529B8" w:rsidRDefault="00144F35" w:rsidP="00F340DF">
      <w:pPr>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firstRow="0" w:lastRow="0" w:firstColumn="0" w:lastColumn="0" w:noHBand="0" w:noVBand="0"/>
      </w:tblPr>
      <w:tblGrid>
        <w:gridCol w:w="4350"/>
        <w:gridCol w:w="1260"/>
        <w:gridCol w:w="1350"/>
        <w:gridCol w:w="1260"/>
        <w:gridCol w:w="1440"/>
        <w:gridCol w:w="1170"/>
        <w:gridCol w:w="1440"/>
        <w:gridCol w:w="990"/>
        <w:gridCol w:w="1560"/>
      </w:tblGrid>
      <w:tr w:rsidR="006E1602" w:rsidTr="009034AB">
        <w:trPr>
          <w:tblHeader/>
          <w:jc w:val="center"/>
        </w:trPr>
        <w:tc>
          <w:tcPr>
            <w:tcW w:w="4350" w:type="dxa"/>
            <w:tcBorders>
              <w:top w:val="single" w:sz="2" w:space="0" w:color="000000"/>
              <w:left w:val="single" w:sz="2" w:space="0" w:color="000000"/>
              <w:bottom w:val="single" w:sz="2" w:space="0" w:color="000000"/>
              <w:right w:val="single" w:sz="2" w:space="0" w:color="000000"/>
            </w:tcBorders>
            <w:vAlign w:val="center"/>
          </w:tcPr>
          <w:p w:rsidR="006E1602" w:rsidRDefault="006E1602" w:rsidP="009034AB">
            <w:pPr>
              <w:tabs>
                <w:tab w:val="center" w:pos="1351"/>
              </w:tabs>
              <w:spacing w:after="58"/>
              <w:jc w:val="center"/>
              <w:rPr>
                <w:b/>
                <w:bCs/>
                <w:sz w:val="20"/>
                <w:szCs w:val="20"/>
              </w:rPr>
            </w:pPr>
            <w:r>
              <w:rPr>
                <w:b/>
                <w:bCs/>
                <w:sz w:val="20"/>
                <w:szCs w:val="20"/>
              </w:rPr>
              <w:t>Burden item</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541"/>
              </w:tabs>
              <w:jc w:val="center"/>
              <w:rPr>
                <w:b/>
                <w:bCs/>
                <w:sz w:val="20"/>
                <w:szCs w:val="20"/>
              </w:rPr>
            </w:pPr>
            <w:r>
              <w:rPr>
                <w:b/>
                <w:bCs/>
                <w:sz w:val="20"/>
                <w:szCs w:val="20"/>
              </w:rPr>
              <w:t>(A)</w:t>
            </w:r>
          </w:p>
          <w:p w:rsidR="006E1602" w:rsidRDefault="006E1602" w:rsidP="009034AB">
            <w:pPr>
              <w:tabs>
                <w:tab w:val="center" w:pos="541"/>
              </w:tabs>
              <w:jc w:val="center"/>
              <w:rPr>
                <w:b/>
                <w:bCs/>
                <w:sz w:val="20"/>
                <w:szCs w:val="20"/>
              </w:rPr>
            </w:pPr>
            <w:r>
              <w:rPr>
                <w:b/>
                <w:bCs/>
                <w:sz w:val="20"/>
                <w:szCs w:val="20"/>
              </w:rPr>
              <w:t>Person hours per occurrence</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541"/>
              </w:tabs>
              <w:jc w:val="center"/>
              <w:rPr>
                <w:b/>
                <w:bCs/>
                <w:sz w:val="20"/>
                <w:szCs w:val="20"/>
              </w:rPr>
            </w:pPr>
            <w:r>
              <w:rPr>
                <w:b/>
                <w:bCs/>
                <w:sz w:val="20"/>
                <w:szCs w:val="20"/>
              </w:rPr>
              <w:t>(B)</w:t>
            </w:r>
          </w:p>
          <w:p w:rsidR="006E1602" w:rsidRDefault="006E1602" w:rsidP="009034AB">
            <w:pPr>
              <w:tabs>
                <w:tab w:val="center" w:pos="541"/>
              </w:tabs>
              <w:jc w:val="center"/>
              <w:rPr>
                <w:b/>
                <w:bCs/>
                <w:sz w:val="20"/>
                <w:szCs w:val="20"/>
              </w:rPr>
            </w:pPr>
            <w:r>
              <w:rPr>
                <w:b/>
                <w:bCs/>
                <w:sz w:val="20"/>
                <w:szCs w:val="20"/>
              </w:rPr>
              <w:t>No. of occurrences per respondent per year</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541"/>
              </w:tabs>
              <w:jc w:val="center"/>
              <w:rPr>
                <w:b/>
                <w:bCs/>
                <w:sz w:val="20"/>
                <w:szCs w:val="20"/>
              </w:rPr>
            </w:pPr>
            <w:r>
              <w:rPr>
                <w:b/>
                <w:bCs/>
                <w:sz w:val="20"/>
                <w:szCs w:val="20"/>
              </w:rPr>
              <w:t>(C)</w:t>
            </w:r>
          </w:p>
          <w:p w:rsidR="006E1602" w:rsidRDefault="006E1602" w:rsidP="009034AB">
            <w:pPr>
              <w:tabs>
                <w:tab w:val="center" w:pos="541"/>
              </w:tabs>
              <w:jc w:val="center"/>
              <w:rPr>
                <w:b/>
                <w:bCs/>
                <w:sz w:val="20"/>
                <w:szCs w:val="20"/>
              </w:rPr>
            </w:pPr>
            <w:r>
              <w:rPr>
                <w:b/>
                <w:bCs/>
                <w:sz w:val="20"/>
                <w:szCs w:val="20"/>
              </w:rPr>
              <w:t>Person hours per respondent per year</w:t>
            </w:r>
          </w:p>
          <w:p w:rsidR="006E1602" w:rsidRDefault="006E1602" w:rsidP="009034AB">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541"/>
              </w:tabs>
              <w:jc w:val="center"/>
              <w:rPr>
                <w:b/>
                <w:bCs/>
                <w:sz w:val="20"/>
                <w:szCs w:val="20"/>
              </w:rPr>
            </w:pPr>
            <w:r>
              <w:rPr>
                <w:b/>
                <w:bCs/>
                <w:sz w:val="20"/>
                <w:szCs w:val="20"/>
              </w:rPr>
              <w:t>(D)</w:t>
            </w:r>
          </w:p>
          <w:p w:rsidR="006E1602" w:rsidRDefault="006E1602" w:rsidP="009034AB">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451"/>
              </w:tabs>
              <w:jc w:val="center"/>
              <w:rPr>
                <w:b/>
                <w:bCs/>
                <w:sz w:val="20"/>
                <w:szCs w:val="20"/>
              </w:rPr>
            </w:pPr>
            <w:r>
              <w:rPr>
                <w:b/>
                <w:bCs/>
                <w:sz w:val="20"/>
                <w:szCs w:val="20"/>
              </w:rPr>
              <w:t>(E)</w:t>
            </w:r>
          </w:p>
          <w:p w:rsidR="006E1602" w:rsidRDefault="006E1602" w:rsidP="009034AB">
            <w:pPr>
              <w:tabs>
                <w:tab w:val="center" w:pos="451"/>
              </w:tabs>
              <w:jc w:val="center"/>
              <w:rPr>
                <w:b/>
                <w:bCs/>
                <w:sz w:val="20"/>
                <w:szCs w:val="20"/>
              </w:rPr>
            </w:pPr>
            <w:r>
              <w:rPr>
                <w:b/>
                <w:bCs/>
                <w:sz w:val="20"/>
                <w:szCs w:val="20"/>
              </w:rPr>
              <w:t>Technical person- hours per year</w:t>
            </w:r>
          </w:p>
          <w:p w:rsidR="006E1602" w:rsidRDefault="006E1602" w:rsidP="009034AB">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586"/>
              </w:tabs>
              <w:jc w:val="center"/>
              <w:rPr>
                <w:b/>
                <w:bCs/>
                <w:sz w:val="20"/>
                <w:szCs w:val="20"/>
              </w:rPr>
            </w:pPr>
            <w:r>
              <w:rPr>
                <w:b/>
                <w:bCs/>
                <w:sz w:val="20"/>
                <w:szCs w:val="20"/>
              </w:rPr>
              <w:t>(F)</w:t>
            </w:r>
          </w:p>
          <w:p w:rsidR="006E1602" w:rsidRDefault="006E1602" w:rsidP="009034AB">
            <w:pPr>
              <w:tabs>
                <w:tab w:val="center" w:pos="586"/>
              </w:tabs>
              <w:jc w:val="center"/>
              <w:rPr>
                <w:b/>
                <w:bCs/>
                <w:sz w:val="20"/>
                <w:szCs w:val="20"/>
              </w:rPr>
            </w:pPr>
            <w:r>
              <w:rPr>
                <w:b/>
                <w:bCs/>
                <w:sz w:val="20"/>
                <w:szCs w:val="20"/>
              </w:rPr>
              <w:t>Management person hours per year</w:t>
            </w:r>
          </w:p>
          <w:p w:rsidR="006E1602" w:rsidRDefault="006E1602" w:rsidP="009034AB">
            <w:pPr>
              <w:tabs>
                <w:tab w:val="center" w:pos="586"/>
              </w:tabs>
              <w:spacing w:after="58"/>
              <w:jc w:val="center"/>
              <w:rPr>
                <w:b/>
                <w:bCs/>
                <w:sz w:val="20"/>
                <w:szCs w:val="20"/>
              </w:rPr>
            </w:pPr>
            <w:r>
              <w:rPr>
                <w:b/>
                <w:bCs/>
                <w:sz w:val="20"/>
                <w:szCs w:val="20"/>
              </w:rPr>
              <w:t>(Ex0.05)</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406"/>
              </w:tabs>
              <w:jc w:val="center"/>
              <w:rPr>
                <w:b/>
                <w:bCs/>
                <w:sz w:val="20"/>
                <w:szCs w:val="20"/>
              </w:rPr>
            </w:pPr>
            <w:r>
              <w:rPr>
                <w:b/>
                <w:bCs/>
                <w:sz w:val="20"/>
                <w:szCs w:val="20"/>
              </w:rPr>
              <w:t>(G)</w:t>
            </w:r>
          </w:p>
          <w:p w:rsidR="006E1602" w:rsidRDefault="006E1602" w:rsidP="009034AB">
            <w:pPr>
              <w:tabs>
                <w:tab w:val="center" w:pos="406"/>
              </w:tabs>
              <w:jc w:val="center"/>
              <w:rPr>
                <w:b/>
                <w:bCs/>
                <w:sz w:val="20"/>
                <w:szCs w:val="20"/>
              </w:rPr>
            </w:pPr>
            <w:r>
              <w:rPr>
                <w:b/>
                <w:bCs/>
                <w:sz w:val="20"/>
                <w:szCs w:val="20"/>
              </w:rPr>
              <w:t>Clerical person hours per year</w:t>
            </w:r>
          </w:p>
          <w:p w:rsidR="006E1602" w:rsidRDefault="006E1602" w:rsidP="009034AB">
            <w:pPr>
              <w:tabs>
                <w:tab w:val="center" w:pos="406"/>
              </w:tabs>
              <w:spacing w:after="58"/>
              <w:rPr>
                <w:b/>
                <w:bCs/>
                <w:sz w:val="20"/>
                <w:szCs w:val="20"/>
              </w:rPr>
            </w:pPr>
            <w:r>
              <w:rPr>
                <w:b/>
                <w:bCs/>
                <w:sz w:val="20"/>
                <w:szCs w:val="20"/>
              </w:rPr>
              <w:t>(Ex0.1)</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tabs>
                <w:tab w:val="center" w:pos="631"/>
              </w:tabs>
              <w:jc w:val="center"/>
              <w:rPr>
                <w:b/>
                <w:bCs/>
                <w:sz w:val="20"/>
                <w:szCs w:val="20"/>
              </w:rPr>
            </w:pPr>
            <w:r>
              <w:rPr>
                <w:b/>
                <w:bCs/>
                <w:sz w:val="20"/>
                <w:szCs w:val="20"/>
              </w:rPr>
              <w:t>(H)</w:t>
            </w:r>
          </w:p>
          <w:p w:rsidR="006E1602" w:rsidRDefault="006E1602" w:rsidP="009034AB">
            <w:pPr>
              <w:tabs>
                <w:tab w:val="center" w:pos="631"/>
              </w:tabs>
              <w:spacing w:after="58"/>
              <w:jc w:val="center"/>
              <w:rPr>
                <w:b/>
                <w:bCs/>
                <w:sz w:val="20"/>
                <w:szCs w:val="20"/>
              </w:rPr>
            </w:pPr>
            <w:r>
              <w:rPr>
                <w:b/>
                <w:bCs/>
                <w:sz w:val="20"/>
                <w:szCs w:val="20"/>
              </w:rPr>
              <w:t xml:space="preserve">Total Cost </w:t>
            </w:r>
          </w:p>
          <w:p w:rsidR="006E1602" w:rsidRDefault="006E1602" w:rsidP="009034AB">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6E1602" w:rsidRDefault="006E1602" w:rsidP="009034AB">
            <w:pPr>
              <w:tabs>
                <w:tab w:val="center" w:pos="631"/>
              </w:tabs>
              <w:spacing w:after="58"/>
              <w:rPr>
                <w:b/>
                <w:bCs/>
                <w:sz w:val="20"/>
                <w:szCs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1.  Applications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N/A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2.  Survey and Studies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N/A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3.  Reporting requirements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00"/>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A.  Read instructions </w:t>
            </w:r>
            <w:r>
              <w:rPr>
                <w:sz w:val="20"/>
                <w:vertAlign w:val="superscript"/>
              </w:rPr>
              <w:t>c</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B.  Required activities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Initial performance tests </w:t>
            </w:r>
            <w:r>
              <w:rPr>
                <w:sz w:val="20"/>
                <w:vertAlign w:val="superscript"/>
              </w:rPr>
              <w:t>d</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300</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300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Reference Method 9 test </w:t>
            </w:r>
            <w:r>
              <w:rPr>
                <w:sz w:val="20"/>
                <w:vertAlign w:val="superscript"/>
              </w:rPr>
              <w:t>e</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4</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4</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Repeat of performance tests </w:t>
            </w:r>
            <w:r>
              <w:rPr>
                <w:sz w:val="20"/>
                <w:vertAlign w:val="superscript"/>
              </w:rPr>
              <w:t>f</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300</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300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C.  Create information</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 xml:space="preserve">See 3B </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D.  Gather existing information</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 xml:space="preserve">See 3B </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E.  Write Report</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Application of construction or modification</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Notification of actual startup</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Notification of physical or operational change</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Notification of demonstration of CMS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Notification of initial performance test</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$0</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Semiannual report of excess emissions </w:t>
            </w:r>
            <w:r>
              <w:rPr>
                <w:sz w:val="20"/>
                <w:vertAlign w:val="superscript"/>
              </w:rPr>
              <w:t>g</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40</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80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53</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4,240</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212</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424</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$477,373.12</w:t>
            </w:r>
          </w:p>
        </w:tc>
      </w:tr>
      <w:tr w:rsidR="006E1602" w:rsidTr="009034AB">
        <w:trPr>
          <w:jc w:val="center"/>
        </w:trPr>
        <w:tc>
          <w:tcPr>
            <w:tcW w:w="9660" w:type="dxa"/>
            <w:gridSpan w:val="5"/>
            <w:tcBorders>
              <w:top w:val="single" w:sz="2" w:space="0" w:color="000000"/>
              <w:left w:val="single" w:sz="2" w:space="0" w:color="000000"/>
              <w:bottom w:val="single" w:sz="2" w:space="0" w:color="000000"/>
              <w:right w:val="single" w:sz="2" w:space="0" w:color="000000"/>
            </w:tcBorders>
          </w:tcPr>
          <w:p w:rsidR="006E1602" w:rsidRPr="006E1602" w:rsidRDefault="006E1602" w:rsidP="006E1602">
            <w:pPr>
              <w:rPr>
                <w:b/>
                <w:i/>
                <w:sz w:val="20"/>
              </w:rPr>
            </w:pPr>
            <w:r w:rsidRPr="006E1602">
              <w:rPr>
                <w:b/>
                <w:i/>
                <w:sz w:val="20"/>
              </w:rPr>
              <w:t>Subtotal  for Reporting  Requirements</w:t>
            </w:r>
          </w:p>
        </w:tc>
        <w:tc>
          <w:tcPr>
            <w:tcW w:w="3600" w:type="dxa"/>
            <w:gridSpan w:val="3"/>
            <w:tcBorders>
              <w:top w:val="single" w:sz="2" w:space="0" w:color="000000"/>
              <w:left w:val="single" w:sz="2" w:space="0" w:color="000000"/>
              <w:bottom w:val="single" w:sz="2" w:space="0" w:color="000000"/>
              <w:right w:val="single" w:sz="2" w:space="0" w:color="000000"/>
            </w:tcBorders>
          </w:tcPr>
          <w:p w:rsidR="006E1602" w:rsidRPr="006E1602" w:rsidRDefault="006E1602" w:rsidP="009034AB">
            <w:pPr>
              <w:jc w:val="center"/>
              <w:rPr>
                <w:b/>
                <w:i/>
                <w:sz w:val="20"/>
              </w:rPr>
            </w:pPr>
            <w:r w:rsidRPr="006E1602">
              <w:rPr>
                <w:b/>
                <w:i/>
                <w:sz w:val="20"/>
              </w:rPr>
              <w:t>4,876</w:t>
            </w:r>
          </w:p>
        </w:tc>
        <w:tc>
          <w:tcPr>
            <w:tcW w:w="1560" w:type="dxa"/>
            <w:tcBorders>
              <w:top w:val="single" w:sz="2" w:space="0" w:color="000000"/>
              <w:left w:val="single" w:sz="2" w:space="0" w:color="000000"/>
              <w:bottom w:val="single" w:sz="2" w:space="0" w:color="000000"/>
              <w:right w:val="single" w:sz="2" w:space="0" w:color="000000"/>
            </w:tcBorders>
          </w:tcPr>
          <w:p w:rsidR="006E1602" w:rsidRPr="006E1602" w:rsidRDefault="006E1602" w:rsidP="009034AB">
            <w:pPr>
              <w:ind w:right="-14"/>
              <w:jc w:val="right"/>
              <w:rPr>
                <w:b/>
                <w:i/>
                <w:sz w:val="20"/>
              </w:rPr>
            </w:pPr>
            <w:r w:rsidRPr="006E1602">
              <w:rPr>
                <w:b/>
                <w:i/>
                <w:sz w:val="20"/>
              </w:rPr>
              <w:t>$477,373</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4.  Recordkeeping requirements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A.  Read instructions </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See 3A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B.  Plan activities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See 3A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C.  Implement Activities </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See 3A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D.  Develop record system</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N/A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E.  Time to enter information</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Records of operating parameters </w:t>
            </w:r>
            <w:r>
              <w:rPr>
                <w:sz w:val="20"/>
                <w:vertAlign w:val="superscript"/>
              </w:rPr>
              <w:t>h</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0.25</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350</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87.5</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53</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4637.5</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231.88</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463.75</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$522,126.85</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Record of conversion factors/calculation </w:t>
            </w:r>
            <w:proofErr w:type="spellStart"/>
            <w:r>
              <w:rPr>
                <w:sz w:val="20"/>
                <w:vertAlign w:val="superscript"/>
              </w:rPr>
              <w:t>i</w:t>
            </w:r>
            <w:proofErr w:type="spellEnd"/>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0.05</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1,050</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52.5</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53</w:t>
            </w: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2,782.5</w:t>
            </w: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139.13</w:t>
            </w: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278.25</w:t>
            </w: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r>
              <w:rPr>
                <w:sz w:val="20"/>
              </w:rPr>
              <w:t>$313,276.11</w:t>
            </w: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t xml:space="preserve">    F.  Time to train personnel </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N/A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4350" w:type="dxa"/>
            <w:tcBorders>
              <w:top w:val="single" w:sz="2" w:space="0" w:color="000000"/>
              <w:left w:val="single" w:sz="2" w:space="0" w:color="000000"/>
              <w:bottom w:val="single" w:sz="2" w:space="0" w:color="000000"/>
              <w:right w:val="single" w:sz="2" w:space="0" w:color="000000"/>
            </w:tcBorders>
          </w:tcPr>
          <w:p w:rsidR="006E1602" w:rsidRDefault="006E1602" w:rsidP="009034AB">
            <w:pPr>
              <w:rPr>
                <w:sz w:val="20"/>
              </w:rPr>
            </w:pPr>
            <w:r>
              <w:rPr>
                <w:sz w:val="20"/>
              </w:rPr>
              <w:lastRenderedPageBreak/>
              <w:t xml:space="preserve">    G.  Time for audits</w:t>
            </w: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r>
              <w:rPr>
                <w:sz w:val="20"/>
              </w:rPr>
              <w:t>N/A</w:t>
            </w:r>
          </w:p>
        </w:tc>
        <w:tc>
          <w:tcPr>
            <w:tcW w:w="135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26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17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44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990" w:type="dxa"/>
            <w:tcBorders>
              <w:top w:val="single" w:sz="2" w:space="0" w:color="000000"/>
              <w:left w:val="single" w:sz="2" w:space="0" w:color="000000"/>
              <w:bottom w:val="single" w:sz="2" w:space="0" w:color="000000"/>
              <w:right w:val="single" w:sz="2" w:space="0" w:color="000000"/>
            </w:tcBorders>
          </w:tcPr>
          <w:p w:rsidR="006E1602" w:rsidRDefault="006E1602" w:rsidP="009034AB">
            <w:pPr>
              <w:jc w:val="center"/>
              <w:rPr>
                <w:sz w:val="20"/>
              </w:rPr>
            </w:pPr>
          </w:p>
        </w:tc>
        <w:tc>
          <w:tcPr>
            <w:tcW w:w="1560" w:type="dxa"/>
            <w:tcBorders>
              <w:top w:val="single" w:sz="2" w:space="0" w:color="000000"/>
              <w:left w:val="single" w:sz="2" w:space="0" w:color="000000"/>
              <w:bottom w:val="single" w:sz="2" w:space="0" w:color="000000"/>
              <w:right w:val="single" w:sz="2" w:space="0" w:color="000000"/>
            </w:tcBorders>
          </w:tcPr>
          <w:p w:rsidR="006E1602" w:rsidRDefault="006E1602" w:rsidP="009034AB">
            <w:pPr>
              <w:ind w:right="-14"/>
              <w:jc w:val="right"/>
              <w:rPr>
                <w:sz w:val="20"/>
              </w:rPr>
            </w:pPr>
          </w:p>
        </w:tc>
      </w:tr>
      <w:tr w:rsidR="006E1602" w:rsidTr="009034AB">
        <w:trPr>
          <w:jc w:val="center"/>
        </w:trPr>
        <w:tc>
          <w:tcPr>
            <w:tcW w:w="9660" w:type="dxa"/>
            <w:gridSpan w:val="5"/>
            <w:tcBorders>
              <w:top w:val="single" w:sz="2" w:space="0" w:color="000000"/>
              <w:left w:val="single" w:sz="2" w:space="0" w:color="000000"/>
              <w:bottom w:val="single" w:sz="2" w:space="0" w:color="000000"/>
              <w:right w:val="single" w:sz="2" w:space="0" w:color="000000"/>
            </w:tcBorders>
          </w:tcPr>
          <w:p w:rsidR="006E1602" w:rsidRDefault="006E1602" w:rsidP="006E1602">
            <w:pPr>
              <w:rPr>
                <w:sz w:val="20"/>
              </w:rPr>
            </w:pPr>
            <w:r w:rsidRPr="006E1602">
              <w:rPr>
                <w:b/>
                <w:i/>
                <w:sz w:val="20"/>
              </w:rPr>
              <w:t xml:space="preserve">Subtotal  for Recordkeeping Requirements  </w:t>
            </w:r>
          </w:p>
        </w:tc>
        <w:tc>
          <w:tcPr>
            <w:tcW w:w="3600" w:type="dxa"/>
            <w:gridSpan w:val="3"/>
            <w:tcBorders>
              <w:top w:val="single" w:sz="2" w:space="0" w:color="000000"/>
              <w:left w:val="single" w:sz="2" w:space="0" w:color="000000"/>
              <w:bottom w:val="single" w:sz="2" w:space="0" w:color="000000"/>
              <w:right w:val="single" w:sz="2" w:space="0" w:color="000000"/>
            </w:tcBorders>
          </w:tcPr>
          <w:p w:rsidR="006E1602" w:rsidRPr="006E1602" w:rsidRDefault="006E1602" w:rsidP="009034AB">
            <w:pPr>
              <w:jc w:val="center"/>
              <w:rPr>
                <w:b/>
                <w:i/>
                <w:sz w:val="20"/>
              </w:rPr>
            </w:pPr>
            <w:r w:rsidRPr="006E1602">
              <w:rPr>
                <w:b/>
                <w:i/>
                <w:sz w:val="20"/>
              </w:rPr>
              <w:t>8,533</w:t>
            </w:r>
          </w:p>
        </w:tc>
        <w:tc>
          <w:tcPr>
            <w:tcW w:w="1560" w:type="dxa"/>
            <w:tcBorders>
              <w:top w:val="single" w:sz="2" w:space="0" w:color="000000"/>
              <w:left w:val="single" w:sz="2" w:space="0" w:color="000000"/>
              <w:bottom w:val="single" w:sz="2" w:space="0" w:color="000000"/>
              <w:right w:val="single" w:sz="2" w:space="0" w:color="000000"/>
            </w:tcBorders>
          </w:tcPr>
          <w:p w:rsidR="006E1602" w:rsidRPr="006E1602" w:rsidRDefault="006E1602" w:rsidP="009034AB">
            <w:pPr>
              <w:ind w:right="-14"/>
              <w:jc w:val="right"/>
              <w:rPr>
                <w:b/>
                <w:i/>
                <w:sz w:val="20"/>
              </w:rPr>
            </w:pPr>
            <w:r w:rsidRPr="006E1602">
              <w:rPr>
                <w:b/>
                <w:i/>
                <w:sz w:val="20"/>
              </w:rPr>
              <w:t>$835,403</w:t>
            </w:r>
          </w:p>
        </w:tc>
      </w:tr>
      <w:tr w:rsidR="006E1602" w:rsidTr="009034AB">
        <w:trPr>
          <w:cantSplit/>
          <w:jc w:val="center"/>
        </w:trPr>
        <w:tc>
          <w:tcPr>
            <w:tcW w:w="9660" w:type="dxa"/>
            <w:gridSpan w:val="5"/>
            <w:tcBorders>
              <w:top w:val="single" w:sz="2" w:space="0" w:color="000000"/>
              <w:left w:val="single" w:sz="2" w:space="0" w:color="000000"/>
              <w:bottom w:val="single" w:sz="2" w:space="0" w:color="000000"/>
              <w:right w:val="single" w:sz="2" w:space="0" w:color="000000"/>
            </w:tcBorders>
          </w:tcPr>
          <w:p w:rsidR="006E1602" w:rsidRDefault="006E1602" w:rsidP="006E1602">
            <w:pPr>
              <w:jc w:val="both"/>
              <w:rPr>
                <w:sz w:val="20"/>
              </w:rPr>
            </w:pPr>
            <w:r>
              <w:rPr>
                <w:b/>
                <w:sz w:val="20"/>
              </w:rPr>
              <w:t>TOTAL LABOR BURDEN AND COST (rounded)</w:t>
            </w:r>
          </w:p>
        </w:tc>
        <w:tc>
          <w:tcPr>
            <w:tcW w:w="3600" w:type="dxa"/>
            <w:gridSpan w:val="3"/>
            <w:tcBorders>
              <w:top w:val="single" w:sz="2" w:space="0" w:color="000000"/>
              <w:left w:val="single" w:sz="2" w:space="0" w:color="000000"/>
              <w:bottom w:val="single" w:sz="2" w:space="0" w:color="000000"/>
              <w:right w:val="single" w:sz="2" w:space="0" w:color="000000"/>
            </w:tcBorders>
          </w:tcPr>
          <w:p w:rsidR="006E1602" w:rsidRPr="006E1602" w:rsidRDefault="006E1602" w:rsidP="009034AB">
            <w:pPr>
              <w:jc w:val="center"/>
              <w:rPr>
                <w:b/>
                <w:sz w:val="20"/>
              </w:rPr>
            </w:pPr>
            <w:r w:rsidRPr="006E1602">
              <w:rPr>
                <w:b/>
                <w:sz w:val="20"/>
              </w:rPr>
              <w:t xml:space="preserve">13,409                                                                                                                     </w:t>
            </w:r>
          </w:p>
        </w:tc>
        <w:tc>
          <w:tcPr>
            <w:tcW w:w="1560" w:type="dxa"/>
            <w:tcBorders>
              <w:top w:val="single" w:sz="2" w:space="0" w:color="000000"/>
              <w:left w:val="single" w:sz="2" w:space="0" w:color="000000"/>
              <w:bottom w:val="single" w:sz="2" w:space="0" w:color="000000"/>
              <w:right w:val="single" w:sz="2" w:space="0" w:color="000000"/>
            </w:tcBorders>
          </w:tcPr>
          <w:p w:rsidR="006E1602" w:rsidRPr="006E1602" w:rsidRDefault="006E1602" w:rsidP="006E1602">
            <w:pPr>
              <w:ind w:right="-14"/>
              <w:jc w:val="right"/>
              <w:rPr>
                <w:b/>
                <w:sz w:val="20"/>
              </w:rPr>
            </w:pPr>
            <w:r w:rsidRPr="006E1602">
              <w:rPr>
                <w:b/>
                <w:sz w:val="20"/>
              </w:rPr>
              <w:t>$1,312,776</w:t>
            </w:r>
          </w:p>
        </w:tc>
      </w:tr>
    </w:tbl>
    <w:p w:rsidR="006E1602" w:rsidRDefault="006E1602" w:rsidP="006E1602">
      <w:pPr>
        <w:ind w:left="-180" w:right="-270"/>
        <w:rPr>
          <w:b/>
          <w:bCs/>
          <w:sz w:val="20"/>
          <w:szCs w:val="20"/>
        </w:rPr>
      </w:pPr>
    </w:p>
    <w:p w:rsidR="006E1602" w:rsidRDefault="006E1602" w:rsidP="006E1602">
      <w:pPr>
        <w:ind w:left="-180" w:right="-270"/>
        <w:rPr>
          <w:sz w:val="20"/>
          <w:szCs w:val="20"/>
        </w:rPr>
      </w:pPr>
      <w:r>
        <w:rPr>
          <w:b/>
          <w:bCs/>
          <w:sz w:val="20"/>
          <w:szCs w:val="20"/>
        </w:rPr>
        <w:t>Assumptions:</w:t>
      </w:r>
    </w:p>
    <w:p w:rsidR="006E1602" w:rsidRDefault="006E1602" w:rsidP="006E1602">
      <w:pPr>
        <w:ind w:left="-180" w:right="270" w:hanging="90"/>
        <w:rPr>
          <w:sz w:val="20"/>
          <w:szCs w:val="20"/>
        </w:rPr>
      </w:pPr>
      <w:r>
        <w:rPr>
          <w:vertAlign w:val="superscript"/>
        </w:rPr>
        <w:t xml:space="preserve">  </w:t>
      </w:r>
      <w:proofErr w:type="spellStart"/>
      <w:proofErr w:type="gramStart"/>
      <w:r>
        <w:rPr>
          <w:vertAlign w:val="superscript"/>
        </w:rPr>
        <w:t>a</w:t>
      </w:r>
      <w:proofErr w:type="spellEnd"/>
      <w:proofErr w:type="gramEnd"/>
      <w:r>
        <w:rPr>
          <w:sz w:val="20"/>
          <w:szCs w:val="20"/>
        </w:rPr>
        <w:t xml:space="preserve"> </w:t>
      </w:r>
      <w:r>
        <w:rPr>
          <w:sz w:val="20"/>
          <w:szCs w:val="20"/>
        </w:rPr>
        <w:tab/>
        <w:t xml:space="preserve"> We have assumed that there are approximately 53 respondents, with no additional new or reconstructed sources becoming subject to the rule over the next three years.</w:t>
      </w:r>
    </w:p>
    <w:p w:rsidR="006E1602" w:rsidRDefault="006E1602" w:rsidP="006E1602">
      <w:pPr>
        <w:ind w:left="-180" w:right="270" w:hanging="90"/>
        <w:rPr>
          <w:sz w:val="20"/>
          <w:szCs w:val="20"/>
        </w:rPr>
      </w:pPr>
      <w:r>
        <w:rPr>
          <w:vertAlign w:val="superscript"/>
        </w:rPr>
        <w:t xml:space="preserve">  </w:t>
      </w:r>
      <w:proofErr w:type="gramStart"/>
      <w:r>
        <w:rPr>
          <w:vertAlign w:val="superscript"/>
        </w:rPr>
        <w:t>b</w:t>
      </w:r>
      <w:r>
        <w:rPr>
          <w:sz w:val="20"/>
          <w:szCs w:val="20"/>
        </w:rPr>
        <w:t xml:space="preserve">  </w:t>
      </w:r>
      <w:r w:rsidRPr="006E1602">
        <w:rPr>
          <w:sz w:val="20"/>
          <w:szCs w:val="20"/>
        </w:rPr>
        <w:t>This</w:t>
      </w:r>
      <w:proofErr w:type="gramEnd"/>
      <w:r w:rsidRPr="006E1602">
        <w:rPr>
          <w:sz w:val="20"/>
          <w:szCs w:val="20"/>
        </w:rPr>
        <w:t xml:space="preserve">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groups.  The rates are from column 1, Total Compensation.  The rates have been increased by 110 percent to account for the benefit packages available to those employed by private industry.</w:t>
      </w:r>
    </w:p>
    <w:p w:rsidR="006E1602" w:rsidRDefault="006E1602" w:rsidP="006E1602">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it will take one hour for each respondent to read instructions.</w:t>
      </w:r>
    </w:p>
    <w:p w:rsidR="006E1602" w:rsidRDefault="006E1602" w:rsidP="006E1602">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it will take 300 hours for each respondent to complete an initial performance test.</w:t>
      </w:r>
    </w:p>
    <w:p w:rsidR="006E1602" w:rsidRDefault="006E1602" w:rsidP="006E1602">
      <w:pPr>
        <w:ind w:left="-18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it will take four hours for each respondent to complete a reference Method 9 test.</w:t>
      </w:r>
    </w:p>
    <w:p w:rsidR="006E1602" w:rsidRDefault="006E1602" w:rsidP="006E1602">
      <w:pPr>
        <w:ind w:left="-180" w:right="-270"/>
        <w:rPr>
          <w:sz w:val="20"/>
          <w:szCs w:val="20"/>
        </w:rPr>
      </w:pPr>
      <w:proofErr w:type="gramStart"/>
      <w:r>
        <w:rPr>
          <w:vertAlign w:val="superscript"/>
        </w:rPr>
        <w:t>f</w:t>
      </w:r>
      <w:r>
        <w:rPr>
          <w:sz w:val="20"/>
          <w:szCs w:val="20"/>
        </w:rPr>
        <w:t xml:space="preserve">  We</w:t>
      </w:r>
      <w:proofErr w:type="gramEnd"/>
      <w:r>
        <w:rPr>
          <w:sz w:val="20"/>
          <w:szCs w:val="20"/>
        </w:rPr>
        <w:t xml:space="preserve"> have assumed that it will take 300 hours to repeat performance test due to failures.</w:t>
      </w:r>
    </w:p>
    <w:p w:rsidR="006E1602" w:rsidRDefault="006E1602" w:rsidP="006E1602">
      <w:pPr>
        <w:ind w:left="-180" w:right="-270"/>
        <w:rPr>
          <w:sz w:val="20"/>
          <w:szCs w:val="20"/>
        </w:rPr>
      </w:pPr>
      <w:proofErr w:type="gramStart"/>
      <w:r>
        <w:rPr>
          <w:vertAlign w:val="superscript"/>
        </w:rPr>
        <w:t>g</w:t>
      </w:r>
      <w:r>
        <w:rPr>
          <w:sz w:val="20"/>
          <w:szCs w:val="20"/>
        </w:rPr>
        <w:t xml:space="preserve">  We</w:t>
      </w:r>
      <w:proofErr w:type="gramEnd"/>
      <w:r>
        <w:rPr>
          <w:sz w:val="20"/>
          <w:szCs w:val="20"/>
        </w:rPr>
        <w:t xml:space="preserve"> have assumed that it will take 40 hours, twice a year, for each respondent to write an excess emission report.</w:t>
      </w:r>
    </w:p>
    <w:p w:rsidR="006E1602" w:rsidRDefault="006E1602" w:rsidP="006E1602">
      <w:pPr>
        <w:ind w:left="-180" w:right="-270"/>
        <w:rPr>
          <w:sz w:val="20"/>
          <w:szCs w:val="20"/>
        </w:rPr>
      </w:pPr>
      <w:proofErr w:type="gramStart"/>
      <w:r>
        <w:rPr>
          <w:vertAlign w:val="superscript"/>
        </w:rPr>
        <w:t xml:space="preserve">h  </w:t>
      </w:r>
      <w:r>
        <w:rPr>
          <w:sz w:val="20"/>
          <w:szCs w:val="20"/>
        </w:rPr>
        <w:t>We</w:t>
      </w:r>
      <w:proofErr w:type="gramEnd"/>
      <w:r>
        <w:rPr>
          <w:sz w:val="20"/>
          <w:szCs w:val="20"/>
        </w:rPr>
        <w:t xml:space="preserve"> have assumed that each respondent will enter information on records of operating parameters 350 times per year.</w:t>
      </w:r>
    </w:p>
    <w:p w:rsidR="006E1602" w:rsidRDefault="006E1602" w:rsidP="006E1602">
      <w:pPr>
        <w:ind w:left="-180" w:right="-270"/>
        <w:rPr>
          <w:sz w:val="20"/>
          <w:szCs w:val="20"/>
        </w:rPr>
      </w:pPr>
      <w:proofErr w:type="spellStart"/>
      <w:proofErr w:type="gramStart"/>
      <w:r>
        <w:rPr>
          <w:vertAlign w:val="superscript"/>
        </w:rPr>
        <w:t>i</w:t>
      </w:r>
      <w:proofErr w:type="spellEnd"/>
      <w:proofErr w:type="gramEnd"/>
      <w:r>
        <w:rPr>
          <w:vertAlign w:val="superscript"/>
        </w:rPr>
        <w:t xml:space="preserve"> </w:t>
      </w:r>
      <w:r>
        <w:rPr>
          <w:sz w:val="20"/>
          <w:szCs w:val="20"/>
        </w:rPr>
        <w:t xml:space="preserve">  We have assumed that all information is entered on a weekly basis.</w:t>
      </w:r>
    </w:p>
    <w:p w:rsidR="006E1602" w:rsidRDefault="006E1602" w:rsidP="006E1602">
      <w:pPr>
        <w:ind w:left="-180" w:right="-270"/>
        <w:rPr>
          <w:sz w:val="20"/>
          <w:szCs w:val="20"/>
        </w:rPr>
      </w:pPr>
      <w:proofErr w:type="gramStart"/>
      <w:r>
        <w:rPr>
          <w:vertAlign w:val="superscript"/>
        </w:rPr>
        <w:t>j</w:t>
      </w:r>
      <w:proofErr w:type="gramEnd"/>
      <w:r>
        <w:rPr>
          <w:vertAlign w:val="superscript"/>
        </w:rPr>
        <w:t xml:space="preserve"> </w:t>
      </w:r>
      <w:r>
        <w:rPr>
          <w:sz w:val="20"/>
          <w:szCs w:val="20"/>
        </w:rPr>
        <w:t xml:space="preserve">  We have assumed that records of conversion factors will be recorded three times daily, at 350 days per year, for a total of 3x350=1,050 times per year.</w:t>
      </w:r>
    </w:p>
    <w:p w:rsidR="003D6951" w:rsidRPr="006529B8" w:rsidRDefault="003D6951" w:rsidP="003D6951"/>
    <w:p w:rsidR="00144F35" w:rsidRPr="006529B8" w:rsidRDefault="00144F35" w:rsidP="004545F4">
      <w:pPr>
        <w:jc w:val="center"/>
        <w:outlineLvl w:val="0"/>
        <w:rPr>
          <w:b/>
          <w:bCs/>
        </w:rPr>
      </w:pPr>
      <w:r w:rsidRPr="006529B8">
        <w:rPr>
          <w:b/>
          <w:bCs/>
        </w:rPr>
        <w:br w:type="page"/>
      </w:r>
      <w:r w:rsidRPr="006529B8">
        <w:rPr>
          <w:b/>
          <w:bCs/>
        </w:rPr>
        <w:lastRenderedPageBreak/>
        <w:t>Table 2: Average Annual EPA Burden and Cost –</w:t>
      </w:r>
      <w:r w:rsidR="004545F4">
        <w:rPr>
          <w:b/>
          <w:bCs/>
        </w:rPr>
        <w:t xml:space="preserve"> </w:t>
      </w:r>
      <w:r w:rsidRPr="006529B8">
        <w:rPr>
          <w:b/>
          <w:bCs/>
        </w:rPr>
        <w:t>N</w:t>
      </w:r>
      <w:r w:rsidR="00F513E3">
        <w:rPr>
          <w:b/>
          <w:bCs/>
        </w:rPr>
        <w:t>SPS for Sulfuric Acid Plants (40 CFR Part 60, Subpart H</w:t>
      </w:r>
      <w:r w:rsidRPr="006529B8">
        <w:rPr>
          <w:b/>
          <w:bCs/>
        </w:rPr>
        <w:t>) (Renewal)</w:t>
      </w:r>
    </w:p>
    <w:p w:rsidR="00144F35" w:rsidRPr="006529B8" w:rsidRDefault="00144F35" w:rsidP="00F340DF">
      <w:pPr>
        <w:rPr>
          <w:b/>
          <w:bCs/>
        </w:rPr>
      </w:pPr>
    </w:p>
    <w:tbl>
      <w:tblPr>
        <w:tblW w:w="13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34" w:type="dxa"/>
          <w:right w:w="134" w:type="dxa"/>
        </w:tblCellMar>
        <w:tblLook w:val="0000" w:firstRow="0" w:lastRow="0" w:firstColumn="0" w:lastColumn="0" w:noHBand="0" w:noVBand="0"/>
      </w:tblPr>
      <w:tblGrid>
        <w:gridCol w:w="4436"/>
        <w:gridCol w:w="1260"/>
        <w:gridCol w:w="1260"/>
        <w:gridCol w:w="1170"/>
        <w:gridCol w:w="810"/>
        <w:gridCol w:w="1170"/>
        <w:gridCol w:w="1440"/>
        <w:gridCol w:w="990"/>
        <w:gridCol w:w="1195"/>
      </w:tblGrid>
      <w:tr w:rsidR="006E1602" w:rsidTr="009034AB">
        <w:trPr>
          <w:cantSplit/>
          <w:tblHeader/>
          <w:jc w:val="center"/>
        </w:trPr>
        <w:tc>
          <w:tcPr>
            <w:tcW w:w="4436" w:type="dxa"/>
            <w:vAlign w:val="center"/>
          </w:tcPr>
          <w:p w:rsidR="006E1602" w:rsidRDefault="006E1602" w:rsidP="009034AB">
            <w:pPr>
              <w:tabs>
                <w:tab w:val="center" w:pos="1306"/>
              </w:tabs>
              <w:spacing w:after="58"/>
              <w:jc w:val="center"/>
              <w:rPr>
                <w:b/>
                <w:bCs/>
                <w:sz w:val="20"/>
                <w:szCs w:val="20"/>
              </w:rPr>
            </w:pPr>
            <w:r>
              <w:rPr>
                <w:b/>
                <w:bCs/>
                <w:sz w:val="20"/>
                <w:szCs w:val="20"/>
              </w:rPr>
              <w:t>Activity</w:t>
            </w:r>
          </w:p>
        </w:tc>
        <w:tc>
          <w:tcPr>
            <w:tcW w:w="1260" w:type="dxa"/>
          </w:tcPr>
          <w:p w:rsidR="006E1602" w:rsidRDefault="006E1602" w:rsidP="009034AB">
            <w:pPr>
              <w:tabs>
                <w:tab w:val="center" w:pos="496"/>
              </w:tabs>
              <w:jc w:val="center"/>
              <w:rPr>
                <w:b/>
                <w:bCs/>
                <w:sz w:val="20"/>
                <w:szCs w:val="20"/>
              </w:rPr>
            </w:pPr>
            <w:r>
              <w:rPr>
                <w:b/>
                <w:bCs/>
                <w:sz w:val="20"/>
                <w:szCs w:val="20"/>
              </w:rPr>
              <w:t>(A)</w:t>
            </w:r>
          </w:p>
          <w:p w:rsidR="006E1602" w:rsidRDefault="006E1602" w:rsidP="009034AB">
            <w:pPr>
              <w:jc w:val="center"/>
              <w:rPr>
                <w:b/>
                <w:bCs/>
                <w:sz w:val="20"/>
                <w:szCs w:val="20"/>
              </w:rPr>
            </w:pPr>
            <w:r>
              <w:rPr>
                <w:b/>
                <w:bCs/>
                <w:sz w:val="20"/>
                <w:szCs w:val="20"/>
              </w:rPr>
              <w:t>EPA person- hours per occurrence</w:t>
            </w:r>
          </w:p>
        </w:tc>
        <w:tc>
          <w:tcPr>
            <w:tcW w:w="1260" w:type="dxa"/>
          </w:tcPr>
          <w:p w:rsidR="006E1602" w:rsidRDefault="006E1602" w:rsidP="009034AB">
            <w:pPr>
              <w:tabs>
                <w:tab w:val="center" w:pos="541"/>
              </w:tabs>
              <w:jc w:val="center"/>
              <w:rPr>
                <w:b/>
                <w:bCs/>
                <w:sz w:val="20"/>
                <w:szCs w:val="20"/>
              </w:rPr>
            </w:pPr>
            <w:r>
              <w:rPr>
                <w:b/>
                <w:bCs/>
                <w:sz w:val="20"/>
                <w:szCs w:val="20"/>
              </w:rPr>
              <w:t>(B)</w:t>
            </w:r>
          </w:p>
          <w:p w:rsidR="006E1602" w:rsidRDefault="006E1602" w:rsidP="009034AB">
            <w:pPr>
              <w:tabs>
                <w:tab w:val="center" w:pos="541"/>
              </w:tabs>
              <w:jc w:val="center"/>
              <w:rPr>
                <w:b/>
                <w:bCs/>
                <w:sz w:val="20"/>
                <w:szCs w:val="20"/>
              </w:rPr>
            </w:pPr>
            <w:r>
              <w:rPr>
                <w:b/>
                <w:bCs/>
                <w:sz w:val="20"/>
                <w:szCs w:val="20"/>
              </w:rPr>
              <w:t>No. of occurrences per plant per year</w:t>
            </w:r>
          </w:p>
        </w:tc>
        <w:tc>
          <w:tcPr>
            <w:tcW w:w="1170" w:type="dxa"/>
          </w:tcPr>
          <w:p w:rsidR="006E1602" w:rsidRDefault="006E1602" w:rsidP="009034AB">
            <w:pPr>
              <w:tabs>
                <w:tab w:val="center" w:pos="541"/>
              </w:tabs>
              <w:jc w:val="center"/>
              <w:rPr>
                <w:b/>
                <w:bCs/>
                <w:sz w:val="20"/>
                <w:szCs w:val="20"/>
              </w:rPr>
            </w:pPr>
            <w:r>
              <w:rPr>
                <w:b/>
                <w:bCs/>
                <w:sz w:val="20"/>
                <w:szCs w:val="20"/>
              </w:rPr>
              <w:t>(C)</w:t>
            </w:r>
          </w:p>
          <w:p w:rsidR="006E1602" w:rsidRDefault="006E1602" w:rsidP="009034AB">
            <w:pPr>
              <w:tabs>
                <w:tab w:val="center" w:pos="541"/>
              </w:tabs>
              <w:jc w:val="center"/>
              <w:rPr>
                <w:b/>
                <w:bCs/>
                <w:sz w:val="20"/>
                <w:szCs w:val="20"/>
              </w:rPr>
            </w:pPr>
            <w:r>
              <w:rPr>
                <w:b/>
                <w:bCs/>
                <w:sz w:val="20"/>
                <w:szCs w:val="20"/>
              </w:rPr>
              <w:t>EPA person- hours per plant per year</w:t>
            </w:r>
          </w:p>
          <w:p w:rsidR="006E1602" w:rsidRDefault="006E1602" w:rsidP="009034AB">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810" w:type="dxa"/>
          </w:tcPr>
          <w:p w:rsidR="006E1602" w:rsidRDefault="006E1602" w:rsidP="009034AB">
            <w:pPr>
              <w:tabs>
                <w:tab w:val="center" w:pos="451"/>
              </w:tabs>
              <w:jc w:val="center"/>
              <w:rPr>
                <w:b/>
                <w:bCs/>
                <w:sz w:val="20"/>
                <w:szCs w:val="20"/>
              </w:rPr>
            </w:pPr>
            <w:r>
              <w:rPr>
                <w:b/>
                <w:bCs/>
                <w:sz w:val="20"/>
                <w:szCs w:val="20"/>
              </w:rPr>
              <w:t>(D)</w:t>
            </w:r>
          </w:p>
          <w:p w:rsidR="006E1602" w:rsidRDefault="006E1602" w:rsidP="009034AB">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Pr>
          <w:p w:rsidR="006E1602" w:rsidRDefault="006E1602" w:rsidP="009034AB">
            <w:pPr>
              <w:tabs>
                <w:tab w:val="center" w:pos="451"/>
              </w:tabs>
              <w:jc w:val="center"/>
              <w:rPr>
                <w:b/>
                <w:bCs/>
                <w:sz w:val="20"/>
                <w:szCs w:val="20"/>
              </w:rPr>
            </w:pPr>
            <w:r>
              <w:rPr>
                <w:b/>
                <w:bCs/>
                <w:sz w:val="20"/>
                <w:szCs w:val="20"/>
              </w:rPr>
              <w:t>(E)</w:t>
            </w:r>
          </w:p>
          <w:p w:rsidR="006E1602" w:rsidRDefault="006E1602" w:rsidP="009034AB">
            <w:pPr>
              <w:tabs>
                <w:tab w:val="center" w:pos="451"/>
              </w:tabs>
              <w:jc w:val="center"/>
              <w:rPr>
                <w:b/>
                <w:bCs/>
                <w:sz w:val="20"/>
                <w:szCs w:val="20"/>
              </w:rPr>
            </w:pPr>
            <w:r>
              <w:rPr>
                <w:b/>
                <w:bCs/>
                <w:sz w:val="20"/>
                <w:szCs w:val="20"/>
              </w:rPr>
              <w:t>Technical person- hours per year</w:t>
            </w:r>
          </w:p>
          <w:p w:rsidR="006E1602" w:rsidRDefault="006E1602" w:rsidP="009034AB">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Pr>
          <w:p w:rsidR="006E1602" w:rsidRDefault="006E1602" w:rsidP="009034AB">
            <w:pPr>
              <w:tabs>
                <w:tab w:val="center" w:pos="676"/>
              </w:tabs>
              <w:jc w:val="center"/>
              <w:rPr>
                <w:b/>
                <w:bCs/>
                <w:sz w:val="20"/>
                <w:szCs w:val="20"/>
              </w:rPr>
            </w:pPr>
            <w:r>
              <w:rPr>
                <w:b/>
                <w:bCs/>
                <w:sz w:val="20"/>
                <w:szCs w:val="20"/>
              </w:rPr>
              <w:t>(F)</w:t>
            </w:r>
          </w:p>
          <w:p w:rsidR="006E1602" w:rsidRDefault="006E1602" w:rsidP="009034AB">
            <w:pPr>
              <w:tabs>
                <w:tab w:val="center" w:pos="676"/>
              </w:tabs>
              <w:jc w:val="center"/>
              <w:rPr>
                <w:b/>
                <w:bCs/>
                <w:sz w:val="20"/>
                <w:szCs w:val="20"/>
              </w:rPr>
            </w:pPr>
            <w:r>
              <w:rPr>
                <w:b/>
                <w:bCs/>
                <w:sz w:val="20"/>
                <w:szCs w:val="20"/>
              </w:rPr>
              <w:t>Management person-hours per year</w:t>
            </w:r>
          </w:p>
          <w:p w:rsidR="006E1602" w:rsidRDefault="006E1602" w:rsidP="009034AB">
            <w:pPr>
              <w:tabs>
                <w:tab w:val="center" w:pos="676"/>
              </w:tabs>
              <w:jc w:val="center"/>
              <w:rPr>
                <w:b/>
                <w:bCs/>
                <w:sz w:val="20"/>
                <w:szCs w:val="20"/>
              </w:rPr>
            </w:pPr>
            <w:r>
              <w:rPr>
                <w:b/>
                <w:bCs/>
                <w:sz w:val="20"/>
                <w:szCs w:val="20"/>
              </w:rPr>
              <w:t>(Ex0.05)</w:t>
            </w:r>
          </w:p>
          <w:p w:rsidR="006E1602" w:rsidRDefault="006E1602" w:rsidP="009034AB">
            <w:pPr>
              <w:spacing w:after="58"/>
              <w:jc w:val="center"/>
              <w:rPr>
                <w:b/>
                <w:bCs/>
                <w:sz w:val="20"/>
                <w:szCs w:val="20"/>
              </w:rPr>
            </w:pPr>
          </w:p>
        </w:tc>
        <w:tc>
          <w:tcPr>
            <w:tcW w:w="990" w:type="dxa"/>
          </w:tcPr>
          <w:p w:rsidR="006E1602" w:rsidRDefault="006E1602" w:rsidP="009034AB">
            <w:pPr>
              <w:tabs>
                <w:tab w:val="center" w:pos="451"/>
              </w:tabs>
              <w:jc w:val="center"/>
              <w:rPr>
                <w:b/>
                <w:bCs/>
                <w:sz w:val="20"/>
                <w:szCs w:val="20"/>
              </w:rPr>
            </w:pPr>
            <w:r>
              <w:rPr>
                <w:b/>
                <w:bCs/>
                <w:sz w:val="20"/>
                <w:szCs w:val="20"/>
              </w:rPr>
              <w:t>(G)</w:t>
            </w:r>
          </w:p>
          <w:p w:rsidR="006E1602" w:rsidRDefault="006E1602" w:rsidP="009034AB">
            <w:pPr>
              <w:tabs>
                <w:tab w:val="center" w:pos="451"/>
              </w:tabs>
              <w:jc w:val="center"/>
              <w:rPr>
                <w:b/>
                <w:bCs/>
                <w:sz w:val="20"/>
                <w:szCs w:val="20"/>
              </w:rPr>
            </w:pPr>
            <w:r>
              <w:rPr>
                <w:b/>
                <w:bCs/>
                <w:sz w:val="20"/>
                <w:szCs w:val="20"/>
              </w:rPr>
              <w:t>Clerical person-hours per year</w:t>
            </w:r>
          </w:p>
          <w:p w:rsidR="006E1602" w:rsidRDefault="006E1602" w:rsidP="009034AB">
            <w:pPr>
              <w:tabs>
                <w:tab w:val="center" w:pos="451"/>
              </w:tabs>
              <w:jc w:val="center"/>
              <w:rPr>
                <w:b/>
                <w:bCs/>
                <w:sz w:val="20"/>
                <w:szCs w:val="20"/>
              </w:rPr>
            </w:pPr>
            <w:r>
              <w:rPr>
                <w:b/>
                <w:bCs/>
                <w:sz w:val="20"/>
                <w:szCs w:val="20"/>
              </w:rPr>
              <w:t>(Ex0.1)</w:t>
            </w:r>
          </w:p>
        </w:tc>
        <w:tc>
          <w:tcPr>
            <w:tcW w:w="1195" w:type="dxa"/>
          </w:tcPr>
          <w:p w:rsidR="006E1602" w:rsidRDefault="006E1602" w:rsidP="009034AB">
            <w:pPr>
              <w:tabs>
                <w:tab w:val="center" w:pos="541"/>
              </w:tabs>
              <w:jc w:val="center"/>
              <w:rPr>
                <w:b/>
                <w:bCs/>
                <w:sz w:val="20"/>
                <w:szCs w:val="20"/>
              </w:rPr>
            </w:pPr>
            <w:r>
              <w:rPr>
                <w:b/>
                <w:bCs/>
                <w:sz w:val="20"/>
                <w:szCs w:val="20"/>
              </w:rPr>
              <w:t>(H)</w:t>
            </w:r>
          </w:p>
          <w:p w:rsidR="006E1602" w:rsidRDefault="006E1602" w:rsidP="009034AB">
            <w:pPr>
              <w:tabs>
                <w:tab w:val="center" w:pos="541"/>
              </w:tabs>
              <w:spacing w:after="58"/>
              <w:jc w:val="center"/>
              <w:rPr>
                <w:b/>
                <w:bCs/>
                <w:sz w:val="20"/>
                <w:szCs w:val="20"/>
              </w:rPr>
            </w:pPr>
            <w:r>
              <w:rPr>
                <w:b/>
                <w:bCs/>
                <w:sz w:val="20"/>
                <w:szCs w:val="20"/>
              </w:rPr>
              <w:t xml:space="preserve">Cost, $ </w:t>
            </w:r>
            <w:r>
              <w:rPr>
                <w:b/>
                <w:bCs/>
                <w:vertAlign w:val="superscript"/>
              </w:rPr>
              <w:t>b</w:t>
            </w:r>
          </w:p>
        </w:tc>
      </w:tr>
      <w:tr w:rsidR="006E1602" w:rsidTr="009034AB">
        <w:trPr>
          <w:cantSplit/>
          <w:jc w:val="center"/>
        </w:trPr>
        <w:tc>
          <w:tcPr>
            <w:tcW w:w="4436" w:type="dxa"/>
          </w:tcPr>
          <w:p w:rsidR="006E1602" w:rsidRDefault="006E1602" w:rsidP="009034AB">
            <w:pPr>
              <w:rPr>
                <w:sz w:val="20"/>
              </w:rPr>
            </w:pPr>
            <w:r>
              <w:rPr>
                <w:sz w:val="20"/>
              </w:rPr>
              <w:t>New facility</w:t>
            </w:r>
          </w:p>
        </w:tc>
        <w:tc>
          <w:tcPr>
            <w:tcW w:w="1260" w:type="dxa"/>
          </w:tcPr>
          <w:p w:rsidR="006E1602" w:rsidRDefault="006E1602" w:rsidP="009034AB">
            <w:pPr>
              <w:jc w:val="center"/>
              <w:rPr>
                <w:sz w:val="20"/>
              </w:rPr>
            </w:pPr>
          </w:p>
        </w:tc>
        <w:tc>
          <w:tcPr>
            <w:tcW w:w="1260" w:type="dxa"/>
          </w:tcPr>
          <w:p w:rsidR="006E1602" w:rsidRDefault="006E1602" w:rsidP="009034AB">
            <w:pPr>
              <w:jc w:val="center"/>
              <w:rPr>
                <w:sz w:val="20"/>
              </w:rPr>
            </w:pPr>
          </w:p>
        </w:tc>
        <w:tc>
          <w:tcPr>
            <w:tcW w:w="1170" w:type="dxa"/>
          </w:tcPr>
          <w:p w:rsidR="006E1602" w:rsidRDefault="006E1602" w:rsidP="009034AB">
            <w:pPr>
              <w:jc w:val="center"/>
              <w:rPr>
                <w:sz w:val="20"/>
              </w:rPr>
            </w:pPr>
          </w:p>
        </w:tc>
        <w:tc>
          <w:tcPr>
            <w:tcW w:w="810" w:type="dxa"/>
          </w:tcPr>
          <w:p w:rsidR="006E1602" w:rsidRDefault="006E1602" w:rsidP="009034AB">
            <w:pPr>
              <w:jc w:val="center"/>
              <w:rPr>
                <w:sz w:val="20"/>
              </w:rPr>
            </w:pPr>
          </w:p>
        </w:tc>
        <w:tc>
          <w:tcPr>
            <w:tcW w:w="1170" w:type="dxa"/>
          </w:tcPr>
          <w:p w:rsidR="006E1602" w:rsidRDefault="006E1602" w:rsidP="009034AB">
            <w:pPr>
              <w:jc w:val="center"/>
              <w:rPr>
                <w:sz w:val="20"/>
              </w:rPr>
            </w:pPr>
          </w:p>
        </w:tc>
        <w:tc>
          <w:tcPr>
            <w:tcW w:w="1440" w:type="dxa"/>
          </w:tcPr>
          <w:p w:rsidR="006E1602" w:rsidRDefault="006E1602" w:rsidP="009034AB">
            <w:pPr>
              <w:jc w:val="center"/>
              <w:rPr>
                <w:sz w:val="20"/>
              </w:rPr>
            </w:pPr>
          </w:p>
        </w:tc>
        <w:tc>
          <w:tcPr>
            <w:tcW w:w="990" w:type="dxa"/>
          </w:tcPr>
          <w:p w:rsidR="006E1602" w:rsidRDefault="006E1602" w:rsidP="009034AB">
            <w:pPr>
              <w:jc w:val="center"/>
              <w:rPr>
                <w:sz w:val="20"/>
              </w:rPr>
            </w:pPr>
          </w:p>
        </w:tc>
        <w:tc>
          <w:tcPr>
            <w:tcW w:w="1195" w:type="dxa"/>
          </w:tcPr>
          <w:p w:rsidR="006E1602" w:rsidRDefault="006E1602" w:rsidP="009034AB">
            <w:pPr>
              <w:jc w:val="right"/>
              <w:rPr>
                <w:sz w:val="20"/>
              </w:rPr>
            </w:pPr>
          </w:p>
        </w:tc>
      </w:tr>
      <w:tr w:rsidR="006E1602" w:rsidTr="009034AB">
        <w:trPr>
          <w:cantSplit/>
          <w:jc w:val="center"/>
        </w:trPr>
        <w:tc>
          <w:tcPr>
            <w:tcW w:w="4436" w:type="dxa"/>
          </w:tcPr>
          <w:p w:rsidR="006E1602" w:rsidRDefault="006E1602" w:rsidP="009034AB">
            <w:pPr>
              <w:rPr>
                <w:sz w:val="20"/>
              </w:rPr>
            </w:pPr>
            <w:r>
              <w:rPr>
                <w:sz w:val="20"/>
              </w:rPr>
              <w:t xml:space="preserve">    Initial performance test </w:t>
            </w:r>
            <w:r>
              <w:rPr>
                <w:sz w:val="20"/>
                <w:vertAlign w:val="superscript"/>
              </w:rPr>
              <w:t>c</w:t>
            </w:r>
          </w:p>
        </w:tc>
        <w:tc>
          <w:tcPr>
            <w:tcW w:w="1260" w:type="dxa"/>
          </w:tcPr>
          <w:p w:rsidR="006E1602" w:rsidRDefault="006E1602" w:rsidP="009034AB">
            <w:pPr>
              <w:jc w:val="center"/>
              <w:rPr>
                <w:sz w:val="20"/>
              </w:rPr>
            </w:pPr>
            <w:r>
              <w:rPr>
                <w:sz w:val="20"/>
              </w:rPr>
              <w:t>50</w:t>
            </w:r>
          </w:p>
        </w:tc>
        <w:tc>
          <w:tcPr>
            <w:tcW w:w="1260" w:type="dxa"/>
          </w:tcPr>
          <w:p w:rsidR="006E1602" w:rsidRDefault="006E1602" w:rsidP="009034AB">
            <w:pPr>
              <w:jc w:val="center"/>
              <w:rPr>
                <w:sz w:val="20"/>
              </w:rPr>
            </w:pPr>
            <w:r>
              <w:rPr>
                <w:sz w:val="20"/>
              </w:rPr>
              <w:t>1</w:t>
            </w:r>
          </w:p>
        </w:tc>
        <w:tc>
          <w:tcPr>
            <w:tcW w:w="1170" w:type="dxa"/>
          </w:tcPr>
          <w:p w:rsidR="006E1602" w:rsidRDefault="006E1602" w:rsidP="009034AB">
            <w:pPr>
              <w:jc w:val="center"/>
              <w:rPr>
                <w:sz w:val="20"/>
              </w:rPr>
            </w:pPr>
            <w:r>
              <w:rPr>
                <w:sz w:val="20"/>
              </w:rPr>
              <w:t>50</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 xml:space="preserve">    Repeat performance test/observed </w:t>
            </w:r>
            <w:r>
              <w:rPr>
                <w:sz w:val="20"/>
                <w:vertAlign w:val="superscript"/>
              </w:rPr>
              <w:t>d</w:t>
            </w:r>
          </w:p>
        </w:tc>
        <w:tc>
          <w:tcPr>
            <w:tcW w:w="1260" w:type="dxa"/>
          </w:tcPr>
          <w:p w:rsidR="006E1602" w:rsidRDefault="006E1602" w:rsidP="009034AB">
            <w:pPr>
              <w:jc w:val="center"/>
              <w:rPr>
                <w:sz w:val="20"/>
              </w:rPr>
            </w:pPr>
            <w:r>
              <w:rPr>
                <w:sz w:val="20"/>
              </w:rPr>
              <w:t>24</w:t>
            </w:r>
          </w:p>
        </w:tc>
        <w:tc>
          <w:tcPr>
            <w:tcW w:w="1260" w:type="dxa"/>
          </w:tcPr>
          <w:p w:rsidR="006E1602" w:rsidRDefault="006E1602" w:rsidP="009034AB">
            <w:pPr>
              <w:jc w:val="center"/>
              <w:rPr>
                <w:sz w:val="20"/>
              </w:rPr>
            </w:pPr>
            <w:r>
              <w:rPr>
                <w:sz w:val="20"/>
              </w:rPr>
              <w:t>1</w:t>
            </w:r>
          </w:p>
        </w:tc>
        <w:tc>
          <w:tcPr>
            <w:tcW w:w="1170" w:type="dxa"/>
          </w:tcPr>
          <w:p w:rsidR="006E1602" w:rsidRDefault="006E1602" w:rsidP="009034AB">
            <w:pPr>
              <w:jc w:val="center"/>
              <w:rPr>
                <w:sz w:val="20"/>
              </w:rPr>
            </w:pPr>
            <w:r>
              <w:rPr>
                <w:sz w:val="20"/>
              </w:rPr>
              <w:t>24</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Review reports</w:t>
            </w:r>
          </w:p>
        </w:tc>
        <w:tc>
          <w:tcPr>
            <w:tcW w:w="1260" w:type="dxa"/>
          </w:tcPr>
          <w:p w:rsidR="006E1602" w:rsidRDefault="006E1602" w:rsidP="009034AB">
            <w:pPr>
              <w:jc w:val="center"/>
              <w:rPr>
                <w:sz w:val="20"/>
              </w:rPr>
            </w:pPr>
          </w:p>
        </w:tc>
        <w:tc>
          <w:tcPr>
            <w:tcW w:w="1260" w:type="dxa"/>
          </w:tcPr>
          <w:p w:rsidR="006E1602" w:rsidRDefault="006E1602" w:rsidP="009034AB">
            <w:pPr>
              <w:jc w:val="center"/>
              <w:rPr>
                <w:sz w:val="20"/>
              </w:rPr>
            </w:pPr>
          </w:p>
        </w:tc>
        <w:tc>
          <w:tcPr>
            <w:tcW w:w="1170" w:type="dxa"/>
          </w:tcPr>
          <w:p w:rsidR="006E1602" w:rsidRDefault="006E1602" w:rsidP="009034AB">
            <w:pPr>
              <w:jc w:val="center"/>
              <w:rPr>
                <w:sz w:val="20"/>
              </w:rPr>
            </w:pPr>
          </w:p>
        </w:tc>
        <w:tc>
          <w:tcPr>
            <w:tcW w:w="810" w:type="dxa"/>
          </w:tcPr>
          <w:p w:rsidR="006E1602" w:rsidRDefault="006E1602" w:rsidP="009034AB">
            <w:pPr>
              <w:jc w:val="center"/>
              <w:rPr>
                <w:sz w:val="20"/>
              </w:rPr>
            </w:pPr>
          </w:p>
        </w:tc>
        <w:tc>
          <w:tcPr>
            <w:tcW w:w="1170" w:type="dxa"/>
          </w:tcPr>
          <w:p w:rsidR="006E1602" w:rsidRDefault="006E1602" w:rsidP="009034AB">
            <w:pPr>
              <w:jc w:val="center"/>
              <w:rPr>
                <w:sz w:val="20"/>
              </w:rPr>
            </w:pPr>
          </w:p>
        </w:tc>
        <w:tc>
          <w:tcPr>
            <w:tcW w:w="1440" w:type="dxa"/>
          </w:tcPr>
          <w:p w:rsidR="006E1602" w:rsidRDefault="006E1602" w:rsidP="009034AB">
            <w:pPr>
              <w:jc w:val="center"/>
              <w:rPr>
                <w:sz w:val="20"/>
              </w:rPr>
            </w:pPr>
          </w:p>
        </w:tc>
        <w:tc>
          <w:tcPr>
            <w:tcW w:w="990" w:type="dxa"/>
          </w:tcPr>
          <w:p w:rsidR="006E1602" w:rsidRDefault="006E1602" w:rsidP="009034AB">
            <w:pPr>
              <w:jc w:val="center"/>
              <w:rPr>
                <w:sz w:val="20"/>
              </w:rPr>
            </w:pPr>
          </w:p>
        </w:tc>
        <w:tc>
          <w:tcPr>
            <w:tcW w:w="1195" w:type="dxa"/>
          </w:tcPr>
          <w:p w:rsidR="006E1602" w:rsidRDefault="006E1602" w:rsidP="009034AB">
            <w:pPr>
              <w:jc w:val="right"/>
              <w:rPr>
                <w:sz w:val="20"/>
              </w:rPr>
            </w:pPr>
          </w:p>
        </w:tc>
      </w:tr>
      <w:tr w:rsidR="006E1602" w:rsidTr="009034AB">
        <w:trPr>
          <w:cantSplit/>
          <w:jc w:val="center"/>
        </w:trPr>
        <w:tc>
          <w:tcPr>
            <w:tcW w:w="4436" w:type="dxa"/>
          </w:tcPr>
          <w:p w:rsidR="006E1602" w:rsidRDefault="006E1602" w:rsidP="009034AB">
            <w:pPr>
              <w:rPr>
                <w:sz w:val="20"/>
              </w:rPr>
            </w:pPr>
            <w:r>
              <w:rPr>
                <w:sz w:val="20"/>
              </w:rPr>
              <w:t xml:space="preserve">   Notification of construction</w:t>
            </w:r>
          </w:p>
        </w:tc>
        <w:tc>
          <w:tcPr>
            <w:tcW w:w="1260" w:type="dxa"/>
          </w:tcPr>
          <w:p w:rsidR="006E1602" w:rsidRDefault="006E1602" w:rsidP="009034AB">
            <w:pPr>
              <w:jc w:val="center"/>
              <w:rPr>
                <w:sz w:val="20"/>
              </w:rPr>
            </w:pPr>
            <w:r>
              <w:rPr>
                <w:sz w:val="20"/>
              </w:rPr>
              <w:t>2</w:t>
            </w:r>
          </w:p>
        </w:tc>
        <w:tc>
          <w:tcPr>
            <w:tcW w:w="1260" w:type="dxa"/>
          </w:tcPr>
          <w:p w:rsidR="006E1602" w:rsidRDefault="006E1602" w:rsidP="009034AB">
            <w:pPr>
              <w:jc w:val="center"/>
              <w:rPr>
                <w:sz w:val="20"/>
              </w:rPr>
            </w:pPr>
            <w:r>
              <w:rPr>
                <w:sz w:val="20"/>
              </w:rPr>
              <w:t>1</w:t>
            </w:r>
          </w:p>
        </w:tc>
        <w:tc>
          <w:tcPr>
            <w:tcW w:w="1170" w:type="dxa"/>
          </w:tcPr>
          <w:p w:rsidR="006E1602" w:rsidRDefault="006E1602" w:rsidP="009034AB">
            <w:pPr>
              <w:jc w:val="center"/>
              <w:rPr>
                <w:sz w:val="20"/>
              </w:rPr>
            </w:pPr>
            <w:r>
              <w:rPr>
                <w:sz w:val="20"/>
              </w:rPr>
              <w:t>2</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 xml:space="preserve">   Notification of actual startup</w:t>
            </w:r>
          </w:p>
        </w:tc>
        <w:tc>
          <w:tcPr>
            <w:tcW w:w="1260" w:type="dxa"/>
          </w:tcPr>
          <w:p w:rsidR="006E1602" w:rsidRDefault="006E1602" w:rsidP="009034AB">
            <w:pPr>
              <w:jc w:val="center"/>
              <w:rPr>
                <w:sz w:val="20"/>
              </w:rPr>
            </w:pPr>
            <w:r>
              <w:rPr>
                <w:sz w:val="20"/>
              </w:rPr>
              <w:t>0.5</w:t>
            </w:r>
          </w:p>
        </w:tc>
        <w:tc>
          <w:tcPr>
            <w:tcW w:w="1260" w:type="dxa"/>
          </w:tcPr>
          <w:p w:rsidR="006E1602" w:rsidRDefault="006E1602" w:rsidP="009034AB">
            <w:pPr>
              <w:jc w:val="center"/>
              <w:rPr>
                <w:sz w:val="20"/>
              </w:rPr>
            </w:pPr>
            <w:r>
              <w:rPr>
                <w:sz w:val="20"/>
              </w:rPr>
              <w:t>1</w:t>
            </w:r>
          </w:p>
        </w:tc>
        <w:tc>
          <w:tcPr>
            <w:tcW w:w="1170" w:type="dxa"/>
          </w:tcPr>
          <w:p w:rsidR="006E1602" w:rsidRDefault="006E1602" w:rsidP="009034AB">
            <w:pPr>
              <w:jc w:val="center"/>
              <w:rPr>
                <w:sz w:val="20"/>
              </w:rPr>
            </w:pPr>
            <w:r>
              <w:rPr>
                <w:sz w:val="20"/>
              </w:rPr>
              <w:t>0.5</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 xml:space="preserve">   Notification of initial test</w:t>
            </w:r>
          </w:p>
        </w:tc>
        <w:tc>
          <w:tcPr>
            <w:tcW w:w="1260" w:type="dxa"/>
          </w:tcPr>
          <w:p w:rsidR="006E1602" w:rsidRDefault="006E1602" w:rsidP="009034AB">
            <w:pPr>
              <w:jc w:val="center"/>
              <w:rPr>
                <w:sz w:val="20"/>
              </w:rPr>
            </w:pPr>
            <w:r>
              <w:rPr>
                <w:sz w:val="20"/>
              </w:rPr>
              <w:t>0.5</w:t>
            </w:r>
          </w:p>
        </w:tc>
        <w:tc>
          <w:tcPr>
            <w:tcW w:w="1260" w:type="dxa"/>
          </w:tcPr>
          <w:p w:rsidR="006E1602" w:rsidRDefault="006E1602" w:rsidP="009034AB">
            <w:pPr>
              <w:jc w:val="center"/>
              <w:rPr>
                <w:sz w:val="20"/>
              </w:rPr>
            </w:pPr>
            <w:r>
              <w:rPr>
                <w:sz w:val="20"/>
              </w:rPr>
              <w:t>1.2</w:t>
            </w:r>
          </w:p>
        </w:tc>
        <w:tc>
          <w:tcPr>
            <w:tcW w:w="1170" w:type="dxa"/>
          </w:tcPr>
          <w:p w:rsidR="006E1602" w:rsidRDefault="006E1602" w:rsidP="009034AB">
            <w:pPr>
              <w:jc w:val="center"/>
              <w:rPr>
                <w:sz w:val="20"/>
              </w:rPr>
            </w:pPr>
            <w:r>
              <w:rPr>
                <w:sz w:val="20"/>
              </w:rPr>
              <w:t>0.6</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 xml:space="preserve">   Review test results</w:t>
            </w:r>
          </w:p>
        </w:tc>
        <w:tc>
          <w:tcPr>
            <w:tcW w:w="1260" w:type="dxa"/>
          </w:tcPr>
          <w:p w:rsidR="006E1602" w:rsidRDefault="006E1602" w:rsidP="009034AB">
            <w:pPr>
              <w:jc w:val="center"/>
              <w:rPr>
                <w:sz w:val="20"/>
              </w:rPr>
            </w:pPr>
            <w:r>
              <w:rPr>
                <w:sz w:val="20"/>
              </w:rPr>
              <w:t>8</w:t>
            </w:r>
          </w:p>
        </w:tc>
        <w:tc>
          <w:tcPr>
            <w:tcW w:w="1260" w:type="dxa"/>
          </w:tcPr>
          <w:p w:rsidR="006E1602" w:rsidRDefault="006E1602" w:rsidP="009034AB">
            <w:pPr>
              <w:jc w:val="center"/>
              <w:rPr>
                <w:sz w:val="20"/>
              </w:rPr>
            </w:pPr>
            <w:r>
              <w:rPr>
                <w:sz w:val="20"/>
              </w:rPr>
              <w:t>1.2</w:t>
            </w:r>
          </w:p>
        </w:tc>
        <w:tc>
          <w:tcPr>
            <w:tcW w:w="1170" w:type="dxa"/>
          </w:tcPr>
          <w:p w:rsidR="006E1602" w:rsidRDefault="006E1602" w:rsidP="009034AB">
            <w:pPr>
              <w:jc w:val="center"/>
              <w:rPr>
                <w:sz w:val="20"/>
              </w:rPr>
            </w:pPr>
            <w:r>
              <w:rPr>
                <w:sz w:val="20"/>
              </w:rPr>
              <w:t>9.6</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 xml:space="preserve">   Notification of CMS demonstration</w:t>
            </w:r>
          </w:p>
        </w:tc>
        <w:tc>
          <w:tcPr>
            <w:tcW w:w="1260" w:type="dxa"/>
          </w:tcPr>
          <w:p w:rsidR="006E1602" w:rsidRDefault="006E1602" w:rsidP="009034AB">
            <w:pPr>
              <w:jc w:val="center"/>
              <w:rPr>
                <w:sz w:val="20"/>
              </w:rPr>
            </w:pPr>
            <w:r>
              <w:rPr>
                <w:sz w:val="20"/>
              </w:rPr>
              <w:t>0.5</w:t>
            </w:r>
          </w:p>
        </w:tc>
        <w:tc>
          <w:tcPr>
            <w:tcW w:w="1260" w:type="dxa"/>
          </w:tcPr>
          <w:p w:rsidR="006E1602" w:rsidRDefault="006E1602" w:rsidP="009034AB">
            <w:pPr>
              <w:jc w:val="center"/>
              <w:rPr>
                <w:sz w:val="20"/>
              </w:rPr>
            </w:pPr>
            <w:r>
              <w:rPr>
                <w:sz w:val="20"/>
              </w:rPr>
              <w:t>1</w:t>
            </w:r>
          </w:p>
        </w:tc>
        <w:tc>
          <w:tcPr>
            <w:tcW w:w="1170" w:type="dxa"/>
          </w:tcPr>
          <w:p w:rsidR="006E1602" w:rsidRDefault="006E1602" w:rsidP="009034AB">
            <w:pPr>
              <w:jc w:val="center"/>
              <w:rPr>
                <w:sz w:val="20"/>
              </w:rPr>
            </w:pPr>
            <w:r>
              <w:rPr>
                <w:sz w:val="20"/>
              </w:rPr>
              <w:t>0.5</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 xml:space="preserve">   Existing facility</w:t>
            </w:r>
          </w:p>
        </w:tc>
        <w:tc>
          <w:tcPr>
            <w:tcW w:w="1260" w:type="dxa"/>
          </w:tcPr>
          <w:p w:rsidR="006E1602" w:rsidRDefault="006E1602" w:rsidP="009034AB">
            <w:pPr>
              <w:jc w:val="center"/>
              <w:rPr>
                <w:sz w:val="20"/>
              </w:rPr>
            </w:pPr>
            <w:r>
              <w:rPr>
                <w:sz w:val="20"/>
              </w:rPr>
              <w:t>0.5</w:t>
            </w:r>
          </w:p>
        </w:tc>
        <w:tc>
          <w:tcPr>
            <w:tcW w:w="1260" w:type="dxa"/>
          </w:tcPr>
          <w:p w:rsidR="006E1602" w:rsidRDefault="006E1602" w:rsidP="009034AB">
            <w:pPr>
              <w:jc w:val="center"/>
              <w:rPr>
                <w:sz w:val="20"/>
              </w:rPr>
            </w:pPr>
            <w:r>
              <w:rPr>
                <w:sz w:val="20"/>
              </w:rPr>
              <w:t>1</w:t>
            </w:r>
          </w:p>
        </w:tc>
        <w:tc>
          <w:tcPr>
            <w:tcW w:w="1170" w:type="dxa"/>
          </w:tcPr>
          <w:p w:rsidR="006E1602" w:rsidRDefault="006E1602" w:rsidP="009034AB">
            <w:pPr>
              <w:jc w:val="center"/>
              <w:rPr>
                <w:sz w:val="20"/>
              </w:rPr>
            </w:pPr>
            <w:r>
              <w:rPr>
                <w:sz w:val="20"/>
              </w:rPr>
              <w:t>0.5</w:t>
            </w:r>
          </w:p>
        </w:tc>
        <w:tc>
          <w:tcPr>
            <w:tcW w:w="810" w:type="dxa"/>
          </w:tcPr>
          <w:p w:rsidR="006E1602" w:rsidRDefault="006E1602" w:rsidP="009034AB">
            <w:pPr>
              <w:jc w:val="center"/>
              <w:rPr>
                <w:sz w:val="20"/>
              </w:rPr>
            </w:pPr>
            <w:r>
              <w:rPr>
                <w:sz w:val="20"/>
              </w:rPr>
              <w:t>0</w:t>
            </w:r>
          </w:p>
        </w:tc>
        <w:tc>
          <w:tcPr>
            <w:tcW w:w="1170" w:type="dxa"/>
          </w:tcPr>
          <w:p w:rsidR="006E1602" w:rsidRDefault="006E1602" w:rsidP="009034AB">
            <w:pPr>
              <w:jc w:val="center"/>
              <w:rPr>
                <w:sz w:val="20"/>
              </w:rPr>
            </w:pPr>
            <w:r>
              <w:rPr>
                <w:sz w:val="20"/>
              </w:rPr>
              <w:t>0</w:t>
            </w:r>
          </w:p>
        </w:tc>
        <w:tc>
          <w:tcPr>
            <w:tcW w:w="1440" w:type="dxa"/>
          </w:tcPr>
          <w:p w:rsidR="006E1602" w:rsidRDefault="006E1602" w:rsidP="009034AB">
            <w:pPr>
              <w:jc w:val="center"/>
              <w:rPr>
                <w:sz w:val="20"/>
              </w:rPr>
            </w:pPr>
            <w:r>
              <w:rPr>
                <w:sz w:val="20"/>
              </w:rPr>
              <w:t>0</w:t>
            </w:r>
          </w:p>
        </w:tc>
        <w:tc>
          <w:tcPr>
            <w:tcW w:w="990" w:type="dxa"/>
          </w:tcPr>
          <w:p w:rsidR="006E1602" w:rsidRDefault="006E1602" w:rsidP="009034AB">
            <w:pPr>
              <w:jc w:val="center"/>
              <w:rPr>
                <w:sz w:val="20"/>
              </w:rPr>
            </w:pPr>
            <w:r>
              <w:rPr>
                <w:sz w:val="20"/>
              </w:rPr>
              <w:t>0</w:t>
            </w:r>
          </w:p>
        </w:tc>
        <w:tc>
          <w:tcPr>
            <w:tcW w:w="1195" w:type="dxa"/>
          </w:tcPr>
          <w:p w:rsidR="006E1602" w:rsidRDefault="006E1602" w:rsidP="009034AB">
            <w:pPr>
              <w:jc w:val="right"/>
              <w:rPr>
                <w:sz w:val="20"/>
              </w:rPr>
            </w:pPr>
            <w:r>
              <w:rPr>
                <w:sz w:val="20"/>
              </w:rPr>
              <w:t>$0</w:t>
            </w:r>
          </w:p>
        </w:tc>
      </w:tr>
      <w:tr w:rsidR="006E1602" w:rsidTr="009034AB">
        <w:trPr>
          <w:cantSplit/>
          <w:jc w:val="center"/>
        </w:trPr>
        <w:tc>
          <w:tcPr>
            <w:tcW w:w="4436" w:type="dxa"/>
          </w:tcPr>
          <w:p w:rsidR="006E1602" w:rsidRDefault="006E1602" w:rsidP="009034AB">
            <w:pPr>
              <w:rPr>
                <w:sz w:val="20"/>
              </w:rPr>
            </w:pPr>
            <w:r>
              <w:rPr>
                <w:sz w:val="20"/>
              </w:rPr>
              <w:t xml:space="preserve">   Excess emission reports </w:t>
            </w:r>
            <w:r>
              <w:rPr>
                <w:sz w:val="20"/>
                <w:vertAlign w:val="superscript"/>
              </w:rPr>
              <w:t>e</w:t>
            </w:r>
          </w:p>
        </w:tc>
        <w:tc>
          <w:tcPr>
            <w:tcW w:w="1260" w:type="dxa"/>
          </w:tcPr>
          <w:p w:rsidR="006E1602" w:rsidRDefault="006E1602" w:rsidP="009034AB">
            <w:pPr>
              <w:jc w:val="center"/>
              <w:rPr>
                <w:sz w:val="20"/>
              </w:rPr>
            </w:pPr>
            <w:r>
              <w:rPr>
                <w:sz w:val="20"/>
              </w:rPr>
              <w:t>4</w:t>
            </w:r>
          </w:p>
        </w:tc>
        <w:tc>
          <w:tcPr>
            <w:tcW w:w="1260" w:type="dxa"/>
          </w:tcPr>
          <w:p w:rsidR="006E1602" w:rsidRDefault="006E1602" w:rsidP="009034AB">
            <w:pPr>
              <w:jc w:val="center"/>
              <w:rPr>
                <w:sz w:val="20"/>
              </w:rPr>
            </w:pPr>
            <w:r>
              <w:rPr>
                <w:sz w:val="20"/>
              </w:rPr>
              <w:t>2</w:t>
            </w:r>
          </w:p>
        </w:tc>
        <w:tc>
          <w:tcPr>
            <w:tcW w:w="1170" w:type="dxa"/>
          </w:tcPr>
          <w:p w:rsidR="006E1602" w:rsidRDefault="006E1602" w:rsidP="009034AB">
            <w:pPr>
              <w:jc w:val="center"/>
              <w:rPr>
                <w:sz w:val="20"/>
              </w:rPr>
            </w:pPr>
            <w:r>
              <w:rPr>
                <w:sz w:val="20"/>
              </w:rPr>
              <w:t>8</w:t>
            </w:r>
          </w:p>
        </w:tc>
        <w:tc>
          <w:tcPr>
            <w:tcW w:w="810" w:type="dxa"/>
          </w:tcPr>
          <w:p w:rsidR="006E1602" w:rsidRDefault="006E1602" w:rsidP="009034AB">
            <w:pPr>
              <w:jc w:val="center"/>
              <w:rPr>
                <w:sz w:val="20"/>
              </w:rPr>
            </w:pPr>
            <w:r>
              <w:rPr>
                <w:sz w:val="20"/>
              </w:rPr>
              <w:t>53</w:t>
            </w:r>
          </w:p>
        </w:tc>
        <w:tc>
          <w:tcPr>
            <w:tcW w:w="1170" w:type="dxa"/>
          </w:tcPr>
          <w:p w:rsidR="006E1602" w:rsidRDefault="006E1602" w:rsidP="009034AB">
            <w:pPr>
              <w:jc w:val="center"/>
              <w:rPr>
                <w:sz w:val="20"/>
              </w:rPr>
            </w:pPr>
            <w:r>
              <w:rPr>
                <w:sz w:val="20"/>
              </w:rPr>
              <w:t>424</w:t>
            </w:r>
          </w:p>
        </w:tc>
        <w:tc>
          <w:tcPr>
            <w:tcW w:w="1440" w:type="dxa"/>
          </w:tcPr>
          <w:p w:rsidR="006E1602" w:rsidRDefault="006E1602" w:rsidP="009034AB">
            <w:pPr>
              <w:jc w:val="center"/>
              <w:rPr>
                <w:sz w:val="20"/>
              </w:rPr>
            </w:pPr>
            <w:r>
              <w:rPr>
                <w:sz w:val="20"/>
              </w:rPr>
              <w:t>21.2</w:t>
            </w:r>
          </w:p>
        </w:tc>
        <w:tc>
          <w:tcPr>
            <w:tcW w:w="990" w:type="dxa"/>
          </w:tcPr>
          <w:p w:rsidR="006E1602" w:rsidRDefault="006E1602" w:rsidP="009034AB">
            <w:pPr>
              <w:jc w:val="center"/>
              <w:rPr>
                <w:sz w:val="20"/>
              </w:rPr>
            </w:pPr>
            <w:r>
              <w:rPr>
                <w:sz w:val="20"/>
              </w:rPr>
              <w:t>42.4</w:t>
            </w:r>
          </w:p>
        </w:tc>
        <w:tc>
          <w:tcPr>
            <w:tcW w:w="1195" w:type="dxa"/>
          </w:tcPr>
          <w:p w:rsidR="006E1602" w:rsidRDefault="006E1602" w:rsidP="009034AB">
            <w:pPr>
              <w:jc w:val="right"/>
              <w:rPr>
                <w:sz w:val="20"/>
              </w:rPr>
            </w:pPr>
            <w:r>
              <w:rPr>
                <w:sz w:val="20"/>
              </w:rPr>
              <w:t>$</w:t>
            </w:r>
            <w:r w:rsidR="00F513E3">
              <w:rPr>
                <w:sz w:val="20"/>
              </w:rPr>
              <w:t>22</w:t>
            </w:r>
            <w:r>
              <w:rPr>
                <w:sz w:val="20"/>
              </w:rPr>
              <w:t>,</w:t>
            </w:r>
            <w:r w:rsidR="00F513E3">
              <w:rPr>
                <w:sz w:val="20"/>
              </w:rPr>
              <w:t>192.16</w:t>
            </w:r>
          </w:p>
        </w:tc>
      </w:tr>
      <w:tr w:rsidR="00F513E3" w:rsidTr="00F513E3">
        <w:trPr>
          <w:cantSplit/>
          <w:trHeight w:val="238"/>
          <w:jc w:val="center"/>
        </w:trPr>
        <w:tc>
          <w:tcPr>
            <w:tcW w:w="8936" w:type="dxa"/>
            <w:gridSpan w:val="5"/>
          </w:tcPr>
          <w:p w:rsidR="00F513E3" w:rsidRPr="00F513E3" w:rsidRDefault="00F513E3" w:rsidP="00F513E3">
            <w:pPr>
              <w:rPr>
                <w:b/>
                <w:sz w:val="20"/>
              </w:rPr>
            </w:pPr>
            <w:r>
              <w:rPr>
                <w:b/>
                <w:sz w:val="20"/>
              </w:rPr>
              <w:t>TOTAL ANNUAL BURDEN AND COST (rounded)</w:t>
            </w:r>
          </w:p>
        </w:tc>
        <w:tc>
          <w:tcPr>
            <w:tcW w:w="3600" w:type="dxa"/>
            <w:gridSpan w:val="3"/>
          </w:tcPr>
          <w:p w:rsidR="00F513E3" w:rsidRPr="00F513E3" w:rsidRDefault="00F513E3" w:rsidP="009034AB">
            <w:pPr>
              <w:jc w:val="center"/>
              <w:rPr>
                <w:b/>
                <w:sz w:val="20"/>
              </w:rPr>
            </w:pPr>
            <w:r w:rsidRPr="00F513E3">
              <w:rPr>
                <w:b/>
                <w:sz w:val="20"/>
              </w:rPr>
              <w:t>488</w:t>
            </w:r>
          </w:p>
        </w:tc>
        <w:tc>
          <w:tcPr>
            <w:tcW w:w="1195" w:type="dxa"/>
          </w:tcPr>
          <w:p w:rsidR="00F513E3" w:rsidRPr="00F513E3" w:rsidRDefault="00F513E3" w:rsidP="009034AB">
            <w:pPr>
              <w:jc w:val="right"/>
              <w:rPr>
                <w:b/>
                <w:sz w:val="20"/>
              </w:rPr>
            </w:pPr>
            <w:r w:rsidRPr="00F513E3">
              <w:rPr>
                <w:b/>
                <w:sz w:val="20"/>
              </w:rPr>
              <w:t>$2</w:t>
            </w:r>
            <w:r>
              <w:rPr>
                <w:b/>
                <w:sz w:val="20"/>
              </w:rPr>
              <w:t>2,192</w:t>
            </w:r>
          </w:p>
        </w:tc>
      </w:tr>
    </w:tbl>
    <w:p w:rsidR="00144F35" w:rsidRDefault="00144F35" w:rsidP="00F340DF">
      <w:pPr>
        <w:rPr>
          <w:bCs/>
        </w:rPr>
      </w:pPr>
    </w:p>
    <w:p w:rsidR="006E1602" w:rsidRDefault="006E1602" w:rsidP="006E1602">
      <w:pPr>
        <w:pBdr>
          <w:between w:val="single" w:sz="4" w:space="1" w:color="auto"/>
        </w:pBdr>
        <w:ind w:hanging="270"/>
        <w:rPr>
          <w:sz w:val="20"/>
          <w:szCs w:val="20"/>
        </w:rPr>
      </w:pPr>
      <w:r>
        <w:rPr>
          <w:b/>
          <w:bCs/>
          <w:sz w:val="20"/>
          <w:szCs w:val="20"/>
        </w:rPr>
        <w:t>Assumptions:</w:t>
      </w:r>
    </w:p>
    <w:p w:rsidR="006E1602" w:rsidRDefault="006E1602" w:rsidP="006E1602">
      <w:pPr>
        <w:ind w:left="-180" w:right="-270"/>
        <w:rPr>
          <w:sz w:val="20"/>
          <w:szCs w:val="20"/>
        </w:rPr>
      </w:pPr>
      <w:r>
        <w:rPr>
          <w:vertAlign w:val="superscript"/>
        </w:rPr>
        <w:t xml:space="preserve">    </w:t>
      </w: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approximately 53 respondents, with no additional new or reconstructed sources becoming subject to the rule over the next</w:t>
      </w:r>
    </w:p>
    <w:p w:rsidR="006E1602" w:rsidRDefault="006E1602" w:rsidP="006E1602">
      <w:pPr>
        <w:ind w:left="-180" w:right="-270"/>
        <w:rPr>
          <w:sz w:val="20"/>
          <w:szCs w:val="20"/>
        </w:rPr>
      </w:pPr>
      <w:r>
        <w:rPr>
          <w:sz w:val="20"/>
          <w:szCs w:val="20"/>
        </w:rPr>
        <w:t xml:space="preserve">    </w:t>
      </w:r>
      <w:proofErr w:type="gramStart"/>
      <w:r>
        <w:rPr>
          <w:sz w:val="20"/>
          <w:szCs w:val="20"/>
        </w:rPr>
        <w:t>three</w:t>
      </w:r>
      <w:proofErr w:type="gramEnd"/>
      <w:r>
        <w:rPr>
          <w:sz w:val="20"/>
          <w:szCs w:val="20"/>
        </w:rPr>
        <w:t xml:space="preserve"> years. </w:t>
      </w:r>
    </w:p>
    <w:p w:rsidR="006E1602" w:rsidRDefault="006E1602" w:rsidP="006E1602">
      <w:pPr>
        <w:rPr>
          <w:sz w:val="20"/>
          <w:szCs w:val="20"/>
        </w:rPr>
      </w:pPr>
      <w:proofErr w:type="gramStart"/>
      <w:r>
        <w:rPr>
          <w:vertAlign w:val="superscript"/>
        </w:rPr>
        <w:t>b</w:t>
      </w:r>
      <w:r>
        <w:rPr>
          <w:sz w:val="20"/>
          <w:szCs w:val="20"/>
        </w:rPr>
        <w:t xml:space="preserve">  </w:t>
      </w:r>
      <w:r w:rsidR="00F513E3" w:rsidRPr="00F513E3">
        <w:rPr>
          <w:sz w:val="20"/>
          <w:szCs w:val="20"/>
        </w:rPr>
        <w:t>This</w:t>
      </w:r>
      <w:proofErr w:type="gramEnd"/>
      <w:r w:rsidR="00F513E3" w:rsidRPr="00F513E3">
        <w:rPr>
          <w:sz w:val="20"/>
          <w:szCs w:val="20"/>
        </w:rPr>
        <w:t xml:space="preserve"> ICR uses the following rates: $62.90 for Managerial (GS-13, Step 5, $39.31 + 60%), $46.67 for Technical (GS-12, Step 1, $29.17 + 60%) and $25.25 Clerical (GS-6, Step 3, $15.78 + 60%).  These rates are from the Office of Personnel Management (OPM) 2014 General Schedule which excludes locality rates of pay. The rates have been increased by 60 percent to account for the benefit packages available to government employees.</w:t>
      </w:r>
    </w:p>
    <w:p w:rsidR="006E1602" w:rsidRDefault="006E1602" w:rsidP="006E1602">
      <w:pPr>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it will take fifty hours for each respondent to perform the initial performance test.</w:t>
      </w:r>
    </w:p>
    <w:p w:rsidR="006E1602" w:rsidRDefault="006E1602" w:rsidP="006E1602">
      <w:pPr>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it will take twenty-four hours for each respondent to repeat the performance test due to failure.</w:t>
      </w:r>
    </w:p>
    <w:p w:rsidR="006E1602" w:rsidRDefault="006E1602" w:rsidP="006E1602">
      <w:pPr>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it will take four hours, twice per year, for each respondent to review the excess emission reports.</w:t>
      </w:r>
    </w:p>
    <w:p w:rsidR="006E1602" w:rsidRPr="006529B8" w:rsidRDefault="006E1602" w:rsidP="00F340DF">
      <w:pPr>
        <w:rPr>
          <w:bCs/>
        </w:rPr>
      </w:pPr>
    </w:p>
    <w:p w:rsidR="00144F35" w:rsidRPr="006529B8" w:rsidRDefault="00144F35" w:rsidP="00F340DF"/>
    <w:sectPr w:rsidR="00144F35" w:rsidRPr="006529B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6BA" w:rsidRDefault="007906BA">
      <w:r>
        <w:separator/>
      </w:r>
    </w:p>
  </w:endnote>
  <w:endnote w:type="continuationSeparator" w:id="0">
    <w:p w:rsidR="007906BA" w:rsidRDefault="0079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6BA" w:rsidRDefault="007906BA">
      <w:r>
        <w:separator/>
      </w:r>
    </w:p>
  </w:footnote>
  <w:footnote w:type="continuationSeparator" w:id="0">
    <w:p w:rsidR="007906BA" w:rsidRDefault="00790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6BA" w:rsidRDefault="007906BA">
    <w:pPr>
      <w:framePr w:w="9361" w:wrap="notBeside" w:vAnchor="text" w:hAnchor="text" w:x="1" w:y="1"/>
      <w:jc w:val="center"/>
    </w:pPr>
    <w:r>
      <w:fldChar w:fldCharType="begin"/>
    </w:r>
    <w:r>
      <w:instrText xml:space="preserve">PAGE </w:instrText>
    </w:r>
    <w:r>
      <w:fldChar w:fldCharType="separate"/>
    </w:r>
    <w:r w:rsidR="005038A5">
      <w:rPr>
        <w:noProof/>
      </w:rPr>
      <w:t>16</w:t>
    </w:r>
    <w:r>
      <w:rPr>
        <w:noProof/>
      </w:rPr>
      <w:fldChar w:fldCharType="end"/>
    </w:r>
  </w:p>
  <w:p w:rsidR="007906BA" w:rsidRDefault="007906BA"/>
  <w:p w:rsidR="007906BA" w:rsidRDefault="007906B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0BBC"/>
    <w:rsid w:val="00055BDF"/>
    <w:rsid w:val="00055DC5"/>
    <w:rsid w:val="00083E46"/>
    <w:rsid w:val="000A1FBB"/>
    <w:rsid w:val="000A51E0"/>
    <w:rsid w:val="000A687C"/>
    <w:rsid w:val="000C393D"/>
    <w:rsid w:val="000D2272"/>
    <w:rsid w:val="000F772C"/>
    <w:rsid w:val="00101B40"/>
    <w:rsid w:val="00102B52"/>
    <w:rsid w:val="0010697C"/>
    <w:rsid w:val="00123889"/>
    <w:rsid w:val="00126A7C"/>
    <w:rsid w:val="001356D4"/>
    <w:rsid w:val="0014079D"/>
    <w:rsid w:val="00144978"/>
    <w:rsid w:val="00144A82"/>
    <w:rsid w:val="00144F35"/>
    <w:rsid w:val="0015433E"/>
    <w:rsid w:val="00167081"/>
    <w:rsid w:val="00186DA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638A0"/>
    <w:rsid w:val="002677F7"/>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315B"/>
    <w:rsid w:val="002F674B"/>
    <w:rsid w:val="002F6DB3"/>
    <w:rsid w:val="003139FC"/>
    <w:rsid w:val="00341540"/>
    <w:rsid w:val="003511C6"/>
    <w:rsid w:val="0035325B"/>
    <w:rsid w:val="00354C15"/>
    <w:rsid w:val="00377D7F"/>
    <w:rsid w:val="0038212D"/>
    <w:rsid w:val="00386CFB"/>
    <w:rsid w:val="003B384B"/>
    <w:rsid w:val="003C4B46"/>
    <w:rsid w:val="003C5023"/>
    <w:rsid w:val="003D0D94"/>
    <w:rsid w:val="003D536B"/>
    <w:rsid w:val="003D6951"/>
    <w:rsid w:val="003E30B5"/>
    <w:rsid w:val="003E3BD0"/>
    <w:rsid w:val="003E4C18"/>
    <w:rsid w:val="003F164C"/>
    <w:rsid w:val="003F1AFC"/>
    <w:rsid w:val="0040391F"/>
    <w:rsid w:val="0044133C"/>
    <w:rsid w:val="004545F4"/>
    <w:rsid w:val="00455557"/>
    <w:rsid w:val="00473407"/>
    <w:rsid w:val="00484A45"/>
    <w:rsid w:val="004A4B25"/>
    <w:rsid w:val="004C5E95"/>
    <w:rsid w:val="004C701D"/>
    <w:rsid w:val="004F1469"/>
    <w:rsid w:val="004F6FCD"/>
    <w:rsid w:val="005038A5"/>
    <w:rsid w:val="00504745"/>
    <w:rsid w:val="00507EC5"/>
    <w:rsid w:val="00516952"/>
    <w:rsid w:val="005253D4"/>
    <w:rsid w:val="005456E5"/>
    <w:rsid w:val="00547E17"/>
    <w:rsid w:val="00551815"/>
    <w:rsid w:val="00560AD2"/>
    <w:rsid w:val="00565A51"/>
    <w:rsid w:val="00571260"/>
    <w:rsid w:val="00574842"/>
    <w:rsid w:val="00583626"/>
    <w:rsid w:val="005A1986"/>
    <w:rsid w:val="005B5DE8"/>
    <w:rsid w:val="005C3665"/>
    <w:rsid w:val="005C42AC"/>
    <w:rsid w:val="005D385C"/>
    <w:rsid w:val="005E194B"/>
    <w:rsid w:val="005F42F8"/>
    <w:rsid w:val="00601205"/>
    <w:rsid w:val="00606DEF"/>
    <w:rsid w:val="00610D61"/>
    <w:rsid w:val="00631517"/>
    <w:rsid w:val="00635DBD"/>
    <w:rsid w:val="006529B8"/>
    <w:rsid w:val="006741F7"/>
    <w:rsid w:val="006810C3"/>
    <w:rsid w:val="00694B55"/>
    <w:rsid w:val="006D1B12"/>
    <w:rsid w:val="006D6333"/>
    <w:rsid w:val="006E1602"/>
    <w:rsid w:val="006E4A6E"/>
    <w:rsid w:val="006E642B"/>
    <w:rsid w:val="00702E40"/>
    <w:rsid w:val="00724BC7"/>
    <w:rsid w:val="00763160"/>
    <w:rsid w:val="00780612"/>
    <w:rsid w:val="00786A20"/>
    <w:rsid w:val="007906BA"/>
    <w:rsid w:val="007A0634"/>
    <w:rsid w:val="007A16F4"/>
    <w:rsid w:val="007A458D"/>
    <w:rsid w:val="007C0FAA"/>
    <w:rsid w:val="007C4F16"/>
    <w:rsid w:val="007C5842"/>
    <w:rsid w:val="007E6FF4"/>
    <w:rsid w:val="007F07FB"/>
    <w:rsid w:val="00801440"/>
    <w:rsid w:val="00810507"/>
    <w:rsid w:val="00813E69"/>
    <w:rsid w:val="00817E8B"/>
    <w:rsid w:val="008338D4"/>
    <w:rsid w:val="00837642"/>
    <w:rsid w:val="0084255D"/>
    <w:rsid w:val="00850ACF"/>
    <w:rsid w:val="00852038"/>
    <w:rsid w:val="00861489"/>
    <w:rsid w:val="0088639E"/>
    <w:rsid w:val="008A46EB"/>
    <w:rsid w:val="008B407C"/>
    <w:rsid w:val="008E65E6"/>
    <w:rsid w:val="008F285B"/>
    <w:rsid w:val="008F4564"/>
    <w:rsid w:val="008F490E"/>
    <w:rsid w:val="009018EC"/>
    <w:rsid w:val="009034AB"/>
    <w:rsid w:val="00906EDB"/>
    <w:rsid w:val="00912E00"/>
    <w:rsid w:val="00923C46"/>
    <w:rsid w:val="009711DB"/>
    <w:rsid w:val="009A0F50"/>
    <w:rsid w:val="009A16CD"/>
    <w:rsid w:val="009B38E1"/>
    <w:rsid w:val="009C06F5"/>
    <w:rsid w:val="009D342F"/>
    <w:rsid w:val="009D439A"/>
    <w:rsid w:val="009D6567"/>
    <w:rsid w:val="009E0F31"/>
    <w:rsid w:val="00A007F5"/>
    <w:rsid w:val="00A038EC"/>
    <w:rsid w:val="00A145B0"/>
    <w:rsid w:val="00A15172"/>
    <w:rsid w:val="00A26EF7"/>
    <w:rsid w:val="00A277D6"/>
    <w:rsid w:val="00A379F8"/>
    <w:rsid w:val="00A54EEA"/>
    <w:rsid w:val="00A565BF"/>
    <w:rsid w:val="00A56BFF"/>
    <w:rsid w:val="00A73600"/>
    <w:rsid w:val="00A74C1E"/>
    <w:rsid w:val="00A7661C"/>
    <w:rsid w:val="00A949F7"/>
    <w:rsid w:val="00A95BC7"/>
    <w:rsid w:val="00A962DF"/>
    <w:rsid w:val="00AA4008"/>
    <w:rsid w:val="00AF70A1"/>
    <w:rsid w:val="00B07F79"/>
    <w:rsid w:val="00B16C07"/>
    <w:rsid w:val="00B46A57"/>
    <w:rsid w:val="00B641F0"/>
    <w:rsid w:val="00B65754"/>
    <w:rsid w:val="00B66231"/>
    <w:rsid w:val="00B70292"/>
    <w:rsid w:val="00B769F1"/>
    <w:rsid w:val="00B82025"/>
    <w:rsid w:val="00BA0A91"/>
    <w:rsid w:val="00BA4887"/>
    <w:rsid w:val="00BB3390"/>
    <w:rsid w:val="00BB3C1A"/>
    <w:rsid w:val="00BC11E9"/>
    <w:rsid w:val="00BC6DEF"/>
    <w:rsid w:val="00BD7CAE"/>
    <w:rsid w:val="00BE10AF"/>
    <w:rsid w:val="00BE2989"/>
    <w:rsid w:val="00BE7A11"/>
    <w:rsid w:val="00BF722F"/>
    <w:rsid w:val="00C13FE8"/>
    <w:rsid w:val="00C30A60"/>
    <w:rsid w:val="00C33ABA"/>
    <w:rsid w:val="00C37BB6"/>
    <w:rsid w:val="00C41628"/>
    <w:rsid w:val="00C4751A"/>
    <w:rsid w:val="00C52EFD"/>
    <w:rsid w:val="00C548F1"/>
    <w:rsid w:val="00C64378"/>
    <w:rsid w:val="00C75CF0"/>
    <w:rsid w:val="00C808B5"/>
    <w:rsid w:val="00C82DB6"/>
    <w:rsid w:val="00CA4CD6"/>
    <w:rsid w:val="00CA4D35"/>
    <w:rsid w:val="00CA7DA0"/>
    <w:rsid w:val="00CC48AB"/>
    <w:rsid w:val="00CC58F6"/>
    <w:rsid w:val="00CD2069"/>
    <w:rsid w:val="00CD280D"/>
    <w:rsid w:val="00CF2B37"/>
    <w:rsid w:val="00D043CA"/>
    <w:rsid w:val="00D13D9A"/>
    <w:rsid w:val="00D14A8D"/>
    <w:rsid w:val="00D21198"/>
    <w:rsid w:val="00D2273E"/>
    <w:rsid w:val="00D42D52"/>
    <w:rsid w:val="00D46FA2"/>
    <w:rsid w:val="00D5080D"/>
    <w:rsid w:val="00D56F5F"/>
    <w:rsid w:val="00D61B37"/>
    <w:rsid w:val="00D62AA3"/>
    <w:rsid w:val="00D63B96"/>
    <w:rsid w:val="00D92F66"/>
    <w:rsid w:val="00D95819"/>
    <w:rsid w:val="00DA407F"/>
    <w:rsid w:val="00DA7285"/>
    <w:rsid w:val="00DB4408"/>
    <w:rsid w:val="00DB59E1"/>
    <w:rsid w:val="00DD0312"/>
    <w:rsid w:val="00DD1AC1"/>
    <w:rsid w:val="00DD7D49"/>
    <w:rsid w:val="00DF5C4E"/>
    <w:rsid w:val="00E026C9"/>
    <w:rsid w:val="00E10DA7"/>
    <w:rsid w:val="00E1538C"/>
    <w:rsid w:val="00E25DB6"/>
    <w:rsid w:val="00E276CD"/>
    <w:rsid w:val="00E32EDA"/>
    <w:rsid w:val="00E53137"/>
    <w:rsid w:val="00E702F6"/>
    <w:rsid w:val="00E72D70"/>
    <w:rsid w:val="00E77D5E"/>
    <w:rsid w:val="00E868BB"/>
    <w:rsid w:val="00EA37A9"/>
    <w:rsid w:val="00EA7026"/>
    <w:rsid w:val="00EC09C1"/>
    <w:rsid w:val="00EC4074"/>
    <w:rsid w:val="00ED741E"/>
    <w:rsid w:val="00EF113F"/>
    <w:rsid w:val="00F02EB3"/>
    <w:rsid w:val="00F033F0"/>
    <w:rsid w:val="00F03803"/>
    <w:rsid w:val="00F066C9"/>
    <w:rsid w:val="00F20584"/>
    <w:rsid w:val="00F20822"/>
    <w:rsid w:val="00F2416C"/>
    <w:rsid w:val="00F30FDB"/>
    <w:rsid w:val="00F340DF"/>
    <w:rsid w:val="00F513E3"/>
    <w:rsid w:val="00F538BC"/>
    <w:rsid w:val="00F87E6A"/>
    <w:rsid w:val="00F9092B"/>
    <w:rsid w:val="00F92D22"/>
    <w:rsid w:val="00FB0650"/>
    <w:rsid w:val="00FB4D98"/>
    <w:rsid w:val="00FB6378"/>
    <w:rsid w:val="00FB7BCE"/>
    <w:rsid w:val="00FC4E09"/>
    <w:rsid w:val="00FD25BF"/>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7F5EC3-307B-43F2-ADFD-76A7D572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610D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B422-1015-483B-8574-755B57C3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5009</Words>
  <Characters>28092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2014-12-22T13:51:00Z</dcterms:created>
  <dcterms:modified xsi:type="dcterms:W3CDTF">2014-12-22T13:51:00Z</dcterms:modified>
</cp:coreProperties>
</file>