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8ADE4" w14:textId="77777777" w:rsidR="001D6943" w:rsidRPr="00127B7B" w:rsidRDefault="001D6943" w:rsidP="001D6943">
      <w:pPr>
        <w:jc w:val="center"/>
        <w:rPr>
          <w:szCs w:val="26"/>
        </w:rPr>
      </w:pPr>
      <w:bookmarkStart w:id="0" w:name="_GoBack"/>
      <w:bookmarkEnd w:id="0"/>
      <w:r w:rsidRPr="00127B7B">
        <w:rPr>
          <w:szCs w:val="26"/>
        </w:rPr>
        <w:t>UNITED STATES OF AMERICA</w:t>
      </w:r>
    </w:p>
    <w:p w14:paraId="78F40022" w14:textId="77777777" w:rsidR="001D6943" w:rsidRPr="00127B7B" w:rsidRDefault="001D6943" w:rsidP="001D6943">
      <w:pPr>
        <w:jc w:val="center"/>
        <w:rPr>
          <w:szCs w:val="26"/>
        </w:rPr>
      </w:pPr>
      <w:r w:rsidRPr="00127B7B">
        <w:rPr>
          <w:szCs w:val="26"/>
        </w:rPr>
        <w:t>FEDERAL ENERGY REGULATORY COMMISSION</w:t>
      </w:r>
    </w:p>
    <w:p w14:paraId="43B5FF4E" w14:textId="77777777" w:rsidR="001D6943" w:rsidRPr="00127B7B" w:rsidRDefault="001D6943" w:rsidP="001D6943">
      <w:pPr>
        <w:rPr>
          <w:szCs w:val="26"/>
        </w:rPr>
      </w:pPr>
    </w:p>
    <w:p w14:paraId="38101CD7" w14:textId="2871BBBA" w:rsidR="001D6943" w:rsidRPr="00127B7B" w:rsidRDefault="001D6943" w:rsidP="001D6943">
      <w:pPr>
        <w:jc w:val="center"/>
        <w:rPr>
          <w:szCs w:val="26"/>
        </w:rPr>
      </w:pPr>
      <w:r w:rsidRPr="00127B7B">
        <w:rPr>
          <w:szCs w:val="26"/>
        </w:rPr>
        <w:t xml:space="preserve">[Docket No. </w:t>
      </w:r>
      <w:r w:rsidR="00C96B65" w:rsidRPr="00127B7B">
        <w:rPr>
          <w:szCs w:val="26"/>
        </w:rPr>
        <w:t>RM</w:t>
      </w:r>
      <w:r w:rsidR="00000855" w:rsidRPr="00127B7B">
        <w:rPr>
          <w:szCs w:val="26"/>
        </w:rPr>
        <w:t>14-</w:t>
      </w:r>
      <w:r w:rsidR="00C96B65" w:rsidRPr="00127B7B">
        <w:rPr>
          <w:szCs w:val="26"/>
        </w:rPr>
        <w:t>22</w:t>
      </w:r>
      <w:r w:rsidRPr="00127B7B">
        <w:rPr>
          <w:szCs w:val="26"/>
        </w:rPr>
        <w:t>-000]</w:t>
      </w:r>
    </w:p>
    <w:p w14:paraId="5D2F4536" w14:textId="77777777" w:rsidR="001D6943" w:rsidRPr="00127B7B" w:rsidRDefault="001D6943" w:rsidP="001D6943">
      <w:pPr>
        <w:rPr>
          <w:szCs w:val="26"/>
        </w:rPr>
      </w:pPr>
    </w:p>
    <w:p w14:paraId="797F120A" w14:textId="53473FD1" w:rsidR="001D6943" w:rsidRPr="00127B7B" w:rsidRDefault="001041E1" w:rsidP="001D6943">
      <w:pPr>
        <w:jc w:val="center"/>
        <w:rPr>
          <w:szCs w:val="26"/>
        </w:rPr>
      </w:pPr>
      <w:r w:rsidRPr="00127B7B">
        <w:rPr>
          <w:szCs w:val="26"/>
        </w:rPr>
        <w:t>PROPOSED AGENCY INFORMATION COLLECTION</w:t>
      </w:r>
    </w:p>
    <w:p w14:paraId="1AE3F947" w14:textId="3FFE1777" w:rsidR="001D6943" w:rsidRPr="00127B7B" w:rsidRDefault="00DE5D91" w:rsidP="001D6943">
      <w:pPr>
        <w:rPr>
          <w:szCs w:val="26"/>
        </w:rPr>
      </w:pPr>
      <w:r w:rsidRPr="00127B7B">
        <w:rPr>
          <w:szCs w:val="26"/>
        </w:rPr>
        <w:tab/>
      </w:r>
      <w:r w:rsidRPr="00127B7B">
        <w:rPr>
          <w:szCs w:val="26"/>
        </w:rPr>
        <w:tab/>
      </w:r>
      <w:r w:rsidRPr="00127B7B">
        <w:rPr>
          <w:szCs w:val="26"/>
        </w:rPr>
        <w:tab/>
        <w:t xml:space="preserve">                      </w:t>
      </w:r>
    </w:p>
    <w:p w14:paraId="1852EA95" w14:textId="253FF6CA" w:rsidR="00DE5D91" w:rsidRPr="00127B7B" w:rsidRDefault="00DE5D91" w:rsidP="001D6943">
      <w:pPr>
        <w:rPr>
          <w:szCs w:val="26"/>
        </w:rPr>
      </w:pPr>
      <w:r w:rsidRPr="00127B7B">
        <w:rPr>
          <w:szCs w:val="26"/>
        </w:rPr>
        <w:tab/>
      </w:r>
      <w:r w:rsidRPr="00127B7B">
        <w:rPr>
          <w:szCs w:val="26"/>
        </w:rPr>
        <w:tab/>
      </w:r>
      <w:r w:rsidRPr="00127B7B">
        <w:rPr>
          <w:szCs w:val="26"/>
        </w:rPr>
        <w:tab/>
      </w:r>
      <w:r w:rsidRPr="00127B7B">
        <w:rPr>
          <w:szCs w:val="26"/>
        </w:rPr>
        <w:tab/>
      </w:r>
      <w:r w:rsidRPr="00127B7B">
        <w:rPr>
          <w:szCs w:val="26"/>
        </w:rPr>
        <w:tab/>
        <w:t>(</w:t>
      </w:r>
      <w:r w:rsidR="002D5FD9" w:rsidRPr="00127B7B">
        <w:rPr>
          <w:szCs w:val="26"/>
        </w:rPr>
        <w:t>December</w:t>
      </w:r>
      <w:r w:rsidR="00C01B1D" w:rsidRPr="00127B7B">
        <w:rPr>
          <w:szCs w:val="26"/>
        </w:rPr>
        <w:t xml:space="preserve"> </w:t>
      </w:r>
      <w:r w:rsidR="00E65143">
        <w:rPr>
          <w:szCs w:val="26"/>
        </w:rPr>
        <w:t>5</w:t>
      </w:r>
      <w:r w:rsidRPr="00127B7B">
        <w:rPr>
          <w:szCs w:val="26"/>
        </w:rPr>
        <w:t>, 2014)</w:t>
      </w:r>
    </w:p>
    <w:p w14:paraId="2003DA10" w14:textId="77777777" w:rsidR="001D6943" w:rsidRPr="00127B7B" w:rsidRDefault="001D6943" w:rsidP="001D6943">
      <w:pPr>
        <w:rPr>
          <w:szCs w:val="26"/>
        </w:rPr>
      </w:pPr>
    </w:p>
    <w:p w14:paraId="4ED15FF8" w14:textId="77777777" w:rsidR="001D6943" w:rsidRPr="00127B7B" w:rsidRDefault="001D6943" w:rsidP="001D6943">
      <w:pPr>
        <w:spacing w:line="480" w:lineRule="auto"/>
        <w:rPr>
          <w:szCs w:val="26"/>
        </w:rPr>
      </w:pPr>
      <w:r w:rsidRPr="00127B7B">
        <w:rPr>
          <w:b/>
          <w:szCs w:val="26"/>
        </w:rPr>
        <w:t>AGENCY:</w:t>
      </w:r>
      <w:r w:rsidRPr="00127B7B">
        <w:rPr>
          <w:szCs w:val="26"/>
        </w:rPr>
        <w:t xml:space="preserve">  Federal Energy Regulatory Commission.</w:t>
      </w:r>
    </w:p>
    <w:p w14:paraId="515B83DC" w14:textId="77777777" w:rsidR="001D6943" w:rsidRPr="00127B7B" w:rsidRDefault="001D6943" w:rsidP="001D6943">
      <w:pPr>
        <w:spacing w:line="480" w:lineRule="auto"/>
        <w:rPr>
          <w:szCs w:val="26"/>
        </w:rPr>
      </w:pPr>
      <w:r w:rsidRPr="00127B7B">
        <w:rPr>
          <w:b/>
          <w:szCs w:val="26"/>
        </w:rPr>
        <w:t>ACTION:</w:t>
      </w:r>
      <w:r w:rsidRPr="00127B7B">
        <w:rPr>
          <w:szCs w:val="26"/>
        </w:rPr>
        <w:t xml:space="preserve">  Comment request.</w:t>
      </w:r>
    </w:p>
    <w:p w14:paraId="7914826C" w14:textId="6649EF20" w:rsidR="006121AB" w:rsidRDefault="001D6943" w:rsidP="00E01541">
      <w:pPr>
        <w:spacing w:line="480" w:lineRule="auto"/>
        <w:rPr>
          <w:bCs/>
          <w:szCs w:val="26"/>
        </w:rPr>
      </w:pPr>
      <w:r w:rsidRPr="00127B7B">
        <w:rPr>
          <w:b/>
          <w:szCs w:val="26"/>
        </w:rPr>
        <w:t>SUMMARY:</w:t>
      </w:r>
      <w:r w:rsidRPr="00127B7B">
        <w:rPr>
          <w:szCs w:val="26"/>
        </w:rPr>
        <w:t xml:space="preserve">  In compliance with the requirements of the Paperwork Reduction Act of 1995</w:t>
      </w:r>
      <w:r w:rsidR="00676094">
        <w:rPr>
          <w:szCs w:val="26"/>
        </w:rPr>
        <w:t>,</w:t>
      </w:r>
      <w:r w:rsidRPr="00015EA8">
        <w:rPr>
          <w:szCs w:val="26"/>
        </w:rPr>
        <w:t xml:space="preserve"> the Federal Energy Regulatory Commission (Commission or FERC) is submitting the information collection</w:t>
      </w:r>
      <w:r w:rsidR="00F52901" w:rsidRPr="00015EA8">
        <w:rPr>
          <w:szCs w:val="26"/>
        </w:rPr>
        <w:t>s</w:t>
      </w:r>
      <w:r w:rsidRPr="00015EA8">
        <w:rPr>
          <w:szCs w:val="26"/>
        </w:rPr>
        <w:t xml:space="preserve"> </w:t>
      </w:r>
      <w:r w:rsidR="00C96B65" w:rsidRPr="00015EA8">
        <w:rPr>
          <w:szCs w:val="26"/>
        </w:rPr>
        <w:t xml:space="preserve">in Docket No. </w:t>
      </w:r>
      <w:proofErr w:type="gramStart"/>
      <w:r w:rsidR="00C96B65" w:rsidRPr="00015EA8">
        <w:rPr>
          <w:szCs w:val="26"/>
        </w:rPr>
        <w:t>RM14-22-000 to the Office of Management and Budget (OMB) for review of the information collection requirements.</w:t>
      </w:r>
      <w:proofErr w:type="gramEnd"/>
      <w:r w:rsidR="00C96B65" w:rsidRPr="00015EA8">
        <w:rPr>
          <w:szCs w:val="26"/>
        </w:rPr>
        <w:t xml:space="preserve">  Any interested person may file comments directly with OMB and should </w:t>
      </w:r>
      <w:r w:rsidR="00DD2C22">
        <w:rPr>
          <w:szCs w:val="26"/>
        </w:rPr>
        <w:t>file</w:t>
      </w:r>
      <w:r w:rsidR="00C96B65" w:rsidRPr="00015EA8">
        <w:rPr>
          <w:szCs w:val="26"/>
        </w:rPr>
        <w:t xml:space="preserve"> a copy of those comments to the Commission as explained below. </w:t>
      </w:r>
    </w:p>
    <w:p w14:paraId="3EDE75CC" w14:textId="3D678414" w:rsidR="001D6943" w:rsidRPr="00015EA8" w:rsidRDefault="001D6943" w:rsidP="00015EA8">
      <w:pPr>
        <w:spacing w:line="480" w:lineRule="auto"/>
        <w:ind w:firstLine="720"/>
        <w:rPr>
          <w:bCs/>
          <w:szCs w:val="26"/>
        </w:rPr>
      </w:pPr>
      <w:r w:rsidRPr="00015EA8">
        <w:rPr>
          <w:bCs/>
          <w:szCs w:val="26"/>
        </w:rPr>
        <w:t xml:space="preserve">The Commission solicited comments </w:t>
      </w:r>
      <w:r w:rsidR="004A75EE" w:rsidRPr="00015EA8">
        <w:rPr>
          <w:bCs/>
          <w:szCs w:val="26"/>
        </w:rPr>
        <w:t>on the information collection</w:t>
      </w:r>
      <w:r w:rsidR="00F52901" w:rsidRPr="00015EA8">
        <w:rPr>
          <w:bCs/>
          <w:szCs w:val="26"/>
        </w:rPr>
        <w:t>s</w:t>
      </w:r>
      <w:r w:rsidR="004A75EE" w:rsidRPr="00015EA8">
        <w:rPr>
          <w:bCs/>
          <w:szCs w:val="26"/>
        </w:rPr>
        <w:t xml:space="preserve"> associated with </w:t>
      </w:r>
      <w:r w:rsidR="00C01B1D" w:rsidRPr="00015EA8">
        <w:rPr>
          <w:bCs/>
          <w:szCs w:val="26"/>
        </w:rPr>
        <w:t>RM14-22-000</w:t>
      </w:r>
      <w:r w:rsidR="004A75EE" w:rsidRPr="00015EA8">
        <w:rPr>
          <w:bCs/>
          <w:szCs w:val="26"/>
        </w:rPr>
        <w:t xml:space="preserve"> </w:t>
      </w:r>
      <w:r w:rsidRPr="00015EA8">
        <w:rPr>
          <w:bCs/>
          <w:szCs w:val="26"/>
        </w:rPr>
        <w:t xml:space="preserve">in </w:t>
      </w:r>
      <w:r w:rsidR="009745A6">
        <w:rPr>
          <w:bCs/>
          <w:szCs w:val="26"/>
        </w:rPr>
        <w:t xml:space="preserve">Order </w:t>
      </w:r>
      <w:r w:rsidR="00121789">
        <w:rPr>
          <w:bCs/>
          <w:szCs w:val="26"/>
        </w:rPr>
        <w:t xml:space="preserve">No. </w:t>
      </w:r>
      <w:r w:rsidR="009745A6">
        <w:rPr>
          <w:bCs/>
          <w:szCs w:val="26"/>
        </w:rPr>
        <w:t>800</w:t>
      </w:r>
      <w:r w:rsidRPr="00015EA8">
        <w:rPr>
          <w:bCs/>
          <w:szCs w:val="26"/>
        </w:rPr>
        <w:t xml:space="preserve"> published in the </w:t>
      </w:r>
      <w:r w:rsidRPr="00821BF7">
        <w:rPr>
          <w:bCs/>
          <w:i/>
          <w:szCs w:val="26"/>
        </w:rPr>
        <w:t>Federal Register</w:t>
      </w:r>
      <w:r w:rsidRPr="00015EA8">
        <w:rPr>
          <w:bCs/>
          <w:szCs w:val="26"/>
        </w:rPr>
        <w:t xml:space="preserve"> (</w:t>
      </w:r>
      <w:r w:rsidR="00765402" w:rsidRPr="00015EA8">
        <w:rPr>
          <w:bCs/>
          <w:szCs w:val="26"/>
        </w:rPr>
        <w:t>79 F</w:t>
      </w:r>
      <w:r w:rsidR="00AD4846" w:rsidRPr="00015EA8">
        <w:rPr>
          <w:bCs/>
          <w:szCs w:val="26"/>
        </w:rPr>
        <w:t>R</w:t>
      </w:r>
      <w:r w:rsidR="00765402" w:rsidRPr="00015EA8">
        <w:rPr>
          <w:bCs/>
          <w:szCs w:val="26"/>
        </w:rPr>
        <w:t xml:space="preserve"> 59105</w:t>
      </w:r>
      <w:r w:rsidR="00AD4846" w:rsidRPr="00015EA8">
        <w:rPr>
          <w:bCs/>
          <w:szCs w:val="26"/>
        </w:rPr>
        <w:t>, October</w:t>
      </w:r>
      <w:r w:rsidR="00015EA8">
        <w:rPr>
          <w:bCs/>
          <w:szCs w:val="26"/>
        </w:rPr>
        <w:t> </w:t>
      </w:r>
      <w:r w:rsidR="00AD4846" w:rsidRPr="00015EA8">
        <w:rPr>
          <w:bCs/>
          <w:szCs w:val="26"/>
        </w:rPr>
        <w:t xml:space="preserve">1, </w:t>
      </w:r>
      <w:r w:rsidR="00765402" w:rsidRPr="00015EA8">
        <w:rPr>
          <w:bCs/>
          <w:szCs w:val="26"/>
        </w:rPr>
        <w:t>2014)</w:t>
      </w:r>
      <w:r w:rsidRPr="00015EA8">
        <w:rPr>
          <w:bCs/>
          <w:szCs w:val="26"/>
        </w:rPr>
        <w:t xml:space="preserve">.  </w:t>
      </w:r>
      <w:r w:rsidR="00C01B1D" w:rsidRPr="00015EA8">
        <w:rPr>
          <w:bCs/>
          <w:szCs w:val="26"/>
        </w:rPr>
        <w:t xml:space="preserve">The Commission </w:t>
      </w:r>
      <w:r w:rsidRPr="0012620B">
        <w:rPr>
          <w:bCs/>
          <w:szCs w:val="26"/>
        </w:rPr>
        <w:t>received no comments</w:t>
      </w:r>
      <w:r w:rsidRPr="00015EA8">
        <w:rPr>
          <w:bCs/>
          <w:szCs w:val="26"/>
        </w:rPr>
        <w:t xml:space="preserve"> on the </w:t>
      </w:r>
      <w:r w:rsidR="00D4142F" w:rsidRPr="00015EA8">
        <w:rPr>
          <w:bCs/>
          <w:szCs w:val="26"/>
        </w:rPr>
        <w:t>information collection</w:t>
      </w:r>
      <w:r w:rsidR="00F52901" w:rsidRPr="00015EA8">
        <w:rPr>
          <w:bCs/>
          <w:szCs w:val="26"/>
        </w:rPr>
        <w:t>s</w:t>
      </w:r>
      <w:r w:rsidR="00D4142F" w:rsidRPr="00015EA8">
        <w:rPr>
          <w:bCs/>
          <w:szCs w:val="26"/>
        </w:rPr>
        <w:t xml:space="preserve"> </w:t>
      </w:r>
      <w:r w:rsidRPr="00015EA8">
        <w:rPr>
          <w:bCs/>
          <w:szCs w:val="26"/>
        </w:rPr>
        <w:t>and is making this notation in its submission to OMB.</w:t>
      </w:r>
    </w:p>
    <w:p w14:paraId="7759FC02" w14:textId="424E849E" w:rsidR="001D6943" w:rsidRPr="00015EA8" w:rsidRDefault="001D6943" w:rsidP="001D6943">
      <w:pPr>
        <w:spacing w:line="480" w:lineRule="auto"/>
        <w:rPr>
          <w:szCs w:val="26"/>
        </w:rPr>
      </w:pPr>
      <w:r w:rsidRPr="00015EA8">
        <w:rPr>
          <w:b/>
          <w:szCs w:val="26"/>
        </w:rPr>
        <w:t xml:space="preserve">DATES: </w:t>
      </w:r>
      <w:r w:rsidRPr="00015EA8">
        <w:rPr>
          <w:szCs w:val="26"/>
        </w:rPr>
        <w:t xml:space="preserve"> Comments on the </w:t>
      </w:r>
      <w:r w:rsidR="00DD2C22">
        <w:rPr>
          <w:szCs w:val="26"/>
        </w:rPr>
        <w:t xml:space="preserve">information </w:t>
      </w:r>
      <w:r w:rsidRPr="00015EA8">
        <w:rPr>
          <w:szCs w:val="26"/>
        </w:rPr>
        <w:t>collection</w:t>
      </w:r>
      <w:r w:rsidR="00F52901" w:rsidRPr="00015EA8">
        <w:rPr>
          <w:szCs w:val="26"/>
        </w:rPr>
        <w:t>s</w:t>
      </w:r>
      <w:r w:rsidRPr="00015EA8">
        <w:rPr>
          <w:szCs w:val="26"/>
        </w:rPr>
        <w:t xml:space="preserve"> are due by [</w:t>
      </w:r>
      <w:r w:rsidR="00C96B65" w:rsidRPr="00015EA8">
        <w:rPr>
          <w:szCs w:val="26"/>
        </w:rPr>
        <w:t>INSERT</w:t>
      </w:r>
      <w:r w:rsidR="005002B9" w:rsidRPr="00015EA8">
        <w:rPr>
          <w:szCs w:val="26"/>
        </w:rPr>
        <w:t xml:space="preserve"> </w:t>
      </w:r>
      <w:r w:rsidR="00335812" w:rsidRPr="00015EA8">
        <w:rPr>
          <w:szCs w:val="26"/>
        </w:rPr>
        <w:t>D</w:t>
      </w:r>
      <w:r w:rsidR="001E6C94" w:rsidRPr="00015EA8">
        <w:rPr>
          <w:szCs w:val="26"/>
        </w:rPr>
        <w:t xml:space="preserve">ate </w:t>
      </w:r>
      <w:r w:rsidR="00C96B65" w:rsidRPr="00015EA8">
        <w:rPr>
          <w:szCs w:val="26"/>
        </w:rPr>
        <w:t xml:space="preserve">30 days </w:t>
      </w:r>
      <w:proofErr w:type="gramStart"/>
      <w:r w:rsidR="00C96B65" w:rsidRPr="00015EA8">
        <w:rPr>
          <w:szCs w:val="26"/>
        </w:rPr>
        <w:t>after</w:t>
      </w:r>
      <w:proofErr w:type="gramEnd"/>
      <w:r w:rsidR="00C96B65" w:rsidRPr="00015EA8">
        <w:rPr>
          <w:szCs w:val="26"/>
        </w:rPr>
        <w:t xml:space="preserve"> </w:t>
      </w:r>
      <w:r w:rsidRPr="00015EA8">
        <w:rPr>
          <w:szCs w:val="26"/>
        </w:rPr>
        <w:t xml:space="preserve">publication of this Notice in the </w:t>
      </w:r>
      <w:r w:rsidR="00AD4846" w:rsidRPr="00015EA8">
        <w:rPr>
          <w:szCs w:val="26"/>
        </w:rPr>
        <w:t>FEDERAL REGISTER</w:t>
      </w:r>
      <w:r w:rsidRPr="00015EA8">
        <w:rPr>
          <w:szCs w:val="26"/>
        </w:rPr>
        <w:t xml:space="preserve">].   </w:t>
      </w:r>
    </w:p>
    <w:p w14:paraId="5225BDF4" w14:textId="418E74A3" w:rsidR="001D6943" w:rsidRPr="00015EA8" w:rsidRDefault="001D6943" w:rsidP="001D6943">
      <w:pPr>
        <w:spacing w:line="480" w:lineRule="auto"/>
        <w:rPr>
          <w:szCs w:val="26"/>
        </w:rPr>
      </w:pPr>
      <w:r w:rsidRPr="00015EA8">
        <w:rPr>
          <w:b/>
          <w:szCs w:val="26"/>
        </w:rPr>
        <w:t>ADDRESSES:</w:t>
      </w:r>
      <w:r w:rsidRPr="00015EA8">
        <w:rPr>
          <w:szCs w:val="26"/>
        </w:rPr>
        <w:t xml:space="preserve">  Comments filed with OMB, identified by</w:t>
      </w:r>
      <w:r w:rsidR="00C96B65" w:rsidRPr="00015EA8">
        <w:rPr>
          <w:szCs w:val="26"/>
        </w:rPr>
        <w:t xml:space="preserve"> </w:t>
      </w:r>
      <w:r w:rsidR="001E6C94" w:rsidRPr="00015EA8">
        <w:rPr>
          <w:szCs w:val="26"/>
        </w:rPr>
        <w:t>FERC-505 and FERC</w:t>
      </w:r>
      <w:r w:rsidR="00127B7B" w:rsidRPr="00015EA8">
        <w:rPr>
          <w:szCs w:val="26"/>
        </w:rPr>
        <w:t>-5</w:t>
      </w:r>
      <w:r w:rsidR="001E6C94" w:rsidRPr="00015EA8">
        <w:rPr>
          <w:szCs w:val="26"/>
        </w:rPr>
        <w:t>12</w:t>
      </w:r>
      <w:r w:rsidRPr="00015EA8">
        <w:rPr>
          <w:szCs w:val="26"/>
        </w:rPr>
        <w:t xml:space="preserve">, should be sent </w:t>
      </w:r>
      <w:r w:rsidR="002B18A4" w:rsidRPr="00015EA8">
        <w:rPr>
          <w:szCs w:val="26"/>
        </w:rPr>
        <w:t xml:space="preserve">by </w:t>
      </w:r>
      <w:r w:rsidRPr="00015EA8">
        <w:rPr>
          <w:szCs w:val="26"/>
        </w:rPr>
        <w:t xml:space="preserve">email to the Office of Information and Regulatory Affairs: </w:t>
      </w:r>
      <w:hyperlink r:id="rId9" w:history="1">
        <w:r w:rsidRPr="00015EA8">
          <w:rPr>
            <w:rStyle w:val="Hyperlink"/>
            <w:szCs w:val="26"/>
          </w:rPr>
          <w:t>oira_submission@omb.gov</w:t>
        </w:r>
      </w:hyperlink>
      <w:r w:rsidR="00BF3116" w:rsidRPr="00015EA8">
        <w:rPr>
          <w:szCs w:val="26"/>
        </w:rPr>
        <w:t>,</w:t>
      </w:r>
      <w:r w:rsidRPr="00015EA8">
        <w:rPr>
          <w:szCs w:val="26"/>
        </w:rPr>
        <w:t xml:space="preserve"> Attention: Federal Energy Regulatory Commission Desk Officer.  The Desk Officer may also be reached </w:t>
      </w:r>
      <w:r w:rsidR="00F64A7F" w:rsidRPr="00015EA8">
        <w:rPr>
          <w:szCs w:val="26"/>
        </w:rPr>
        <w:t xml:space="preserve">by </w:t>
      </w:r>
      <w:r w:rsidRPr="00015EA8">
        <w:rPr>
          <w:szCs w:val="26"/>
        </w:rPr>
        <w:t xml:space="preserve">telephone at </w:t>
      </w:r>
      <w:r w:rsidR="00F64A7F" w:rsidRPr="00015EA8">
        <w:rPr>
          <w:szCs w:val="26"/>
        </w:rPr>
        <w:t>(</w:t>
      </w:r>
      <w:r w:rsidRPr="00015EA8">
        <w:rPr>
          <w:szCs w:val="26"/>
        </w:rPr>
        <w:t>202</w:t>
      </w:r>
      <w:r w:rsidR="00F64A7F" w:rsidRPr="00015EA8">
        <w:rPr>
          <w:szCs w:val="26"/>
        </w:rPr>
        <w:t xml:space="preserve">) </w:t>
      </w:r>
      <w:r w:rsidRPr="00015EA8">
        <w:rPr>
          <w:szCs w:val="26"/>
        </w:rPr>
        <w:t>395-4718.</w:t>
      </w:r>
    </w:p>
    <w:p w14:paraId="0CF522C5" w14:textId="3FCAC36B" w:rsidR="001D6943" w:rsidRPr="00015EA8" w:rsidRDefault="001D6943" w:rsidP="001D6943">
      <w:pPr>
        <w:spacing w:line="480" w:lineRule="auto"/>
        <w:ind w:firstLine="720"/>
        <w:rPr>
          <w:szCs w:val="26"/>
        </w:rPr>
      </w:pPr>
      <w:r w:rsidRPr="00015EA8">
        <w:rPr>
          <w:szCs w:val="26"/>
        </w:rPr>
        <w:t xml:space="preserve">A copy of the comments should also be </w:t>
      </w:r>
      <w:r w:rsidR="00411539">
        <w:rPr>
          <w:szCs w:val="26"/>
        </w:rPr>
        <w:t xml:space="preserve">filed with </w:t>
      </w:r>
      <w:r w:rsidRPr="00015EA8">
        <w:rPr>
          <w:szCs w:val="26"/>
        </w:rPr>
        <w:t xml:space="preserve">the Commission, identified by the Docket No. </w:t>
      </w:r>
      <w:r w:rsidR="00000855" w:rsidRPr="00015EA8">
        <w:rPr>
          <w:szCs w:val="26"/>
        </w:rPr>
        <w:t>R</w:t>
      </w:r>
      <w:r w:rsidR="00C01B1D" w:rsidRPr="00015EA8">
        <w:rPr>
          <w:szCs w:val="26"/>
        </w:rPr>
        <w:t>M14-22-000</w:t>
      </w:r>
      <w:r w:rsidRPr="00015EA8">
        <w:rPr>
          <w:szCs w:val="26"/>
        </w:rPr>
        <w:t>, by either of the following methods:</w:t>
      </w:r>
    </w:p>
    <w:p w14:paraId="33438CF9" w14:textId="77777777" w:rsidR="001D6943" w:rsidRPr="00015EA8" w:rsidRDefault="001D6943" w:rsidP="001D6943">
      <w:pPr>
        <w:numPr>
          <w:ilvl w:val="0"/>
          <w:numId w:val="2"/>
        </w:numPr>
        <w:tabs>
          <w:tab w:val="clear" w:pos="1500"/>
          <w:tab w:val="num" w:pos="1080"/>
        </w:tabs>
        <w:spacing w:line="480" w:lineRule="auto"/>
        <w:ind w:left="720" w:firstLine="0"/>
        <w:rPr>
          <w:szCs w:val="26"/>
        </w:rPr>
      </w:pPr>
      <w:proofErr w:type="spellStart"/>
      <w:proofErr w:type="gramStart"/>
      <w:r w:rsidRPr="00015EA8">
        <w:rPr>
          <w:szCs w:val="26"/>
        </w:rPr>
        <w:t>eFiling</w:t>
      </w:r>
      <w:proofErr w:type="spellEnd"/>
      <w:proofErr w:type="gramEnd"/>
      <w:r w:rsidRPr="00015EA8">
        <w:rPr>
          <w:szCs w:val="26"/>
        </w:rPr>
        <w:t xml:space="preserve"> at Commission’s Web Site: </w:t>
      </w:r>
      <w:hyperlink r:id="rId10" w:history="1">
        <w:r w:rsidRPr="00015EA8">
          <w:rPr>
            <w:rStyle w:val="Hyperlink"/>
            <w:szCs w:val="26"/>
          </w:rPr>
          <w:t>http://www.ferc.gov/docs-filing/efiling.asp</w:t>
        </w:r>
      </w:hyperlink>
      <w:r w:rsidRPr="00015EA8">
        <w:rPr>
          <w:szCs w:val="26"/>
        </w:rPr>
        <w:t xml:space="preserve">.  </w:t>
      </w:r>
    </w:p>
    <w:p w14:paraId="41840925" w14:textId="75740742" w:rsidR="001D6943" w:rsidRPr="00015EA8" w:rsidRDefault="001D6943" w:rsidP="001D6943">
      <w:pPr>
        <w:numPr>
          <w:ilvl w:val="0"/>
          <w:numId w:val="2"/>
        </w:numPr>
        <w:tabs>
          <w:tab w:val="clear" w:pos="1500"/>
          <w:tab w:val="num" w:pos="1080"/>
        </w:tabs>
        <w:spacing w:line="480" w:lineRule="auto"/>
        <w:ind w:left="1080"/>
        <w:rPr>
          <w:szCs w:val="26"/>
        </w:rPr>
      </w:pPr>
      <w:r w:rsidRPr="00015EA8">
        <w:rPr>
          <w:szCs w:val="26"/>
        </w:rPr>
        <w:t>Mail/Hand Delivery/Courier: Federal Energy Regulatory Commission, Secretary of the Commission, 888 First Street, NE, Washington, D</w:t>
      </w:r>
      <w:r w:rsidR="00C96B65" w:rsidRPr="00015EA8">
        <w:rPr>
          <w:szCs w:val="26"/>
        </w:rPr>
        <w:t>.</w:t>
      </w:r>
      <w:r w:rsidRPr="00015EA8">
        <w:rPr>
          <w:szCs w:val="26"/>
        </w:rPr>
        <w:t>C</w:t>
      </w:r>
      <w:r w:rsidR="00C96B65" w:rsidRPr="00015EA8">
        <w:rPr>
          <w:szCs w:val="26"/>
        </w:rPr>
        <w:t>.</w:t>
      </w:r>
      <w:r w:rsidRPr="00015EA8">
        <w:rPr>
          <w:szCs w:val="26"/>
        </w:rPr>
        <w:t xml:space="preserve"> 20426.</w:t>
      </w:r>
    </w:p>
    <w:p w14:paraId="015F9E5F" w14:textId="4CCB07B8" w:rsidR="001D6943" w:rsidRPr="00015EA8" w:rsidRDefault="001D6943" w:rsidP="001D6943">
      <w:pPr>
        <w:spacing w:line="480" w:lineRule="auto"/>
        <w:rPr>
          <w:szCs w:val="26"/>
        </w:rPr>
      </w:pPr>
      <w:r w:rsidRPr="00015EA8">
        <w:rPr>
          <w:i/>
          <w:szCs w:val="26"/>
        </w:rPr>
        <w:t>Instructions</w:t>
      </w:r>
      <w:r w:rsidRPr="00015EA8">
        <w:rPr>
          <w:szCs w:val="26"/>
        </w:rPr>
        <w:t>:</w:t>
      </w:r>
      <w:r w:rsidR="00C01B1D" w:rsidRPr="00015EA8">
        <w:rPr>
          <w:i/>
          <w:szCs w:val="26"/>
        </w:rPr>
        <w:t xml:space="preserve"> </w:t>
      </w:r>
      <w:r w:rsidRPr="00015EA8">
        <w:rPr>
          <w:i/>
          <w:szCs w:val="26"/>
        </w:rPr>
        <w:t xml:space="preserve"> </w:t>
      </w:r>
      <w:r w:rsidRPr="00015EA8">
        <w:rPr>
          <w:szCs w:val="26"/>
        </w:rPr>
        <w:t xml:space="preserve">All submissions </w:t>
      </w:r>
      <w:r w:rsidR="00411539" w:rsidRPr="00E26DB2">
        <w:rPr>
          <w:szCs w:val="26"/>
        </w:rPr>
        <w:t>to the Commission</w:t>
      </w:r>
      <w:r w:rsidR="00411539">
        <w:rPr>
          <w:szCs w:val="26"/>
        </w:rPr>
        <w:t xml:space="preserve"> </w:t>
      </w:r>
      <w:r w:rsidRPr="00015EA8">
        <w:rPr>
          <w:szCs w:val="26"/>
        </w:rPr>
        <w:t xml:space="preserve">must be formatted and filed in accordance with submission guidelines at: </w:t>
      </w:r>
      <w:hyperlink r:id="rId11" w:history="1">
        <w:r w:rsidRPr="00015EA8">
          <w:rPr>
            <w:rStyle w:val="Hyperlink"/>
            <w:szCs w:val="26"/>
          </w:rPr>
          <w:t>http://www.ferc.gov/help/submission-guide.asp</w:t>
        </w:r>
      </w:hyperlink>
      <w:r w:rsidRPr="00015EA8">
        <w:rPr>
          <w:szCs w:val="26"/>
        </w:rPr>
        <w:t xml:space="preserve">.  For user assistance contact FERC Online Support by email at </w:t>
      </w:r>
      <w:hyperlink r:id="rId12" w:history="1">
        <w:r w:rsidR="00127B7B" w:rsidRPr="00015EA8">
          <w:rPr>
            <w:rStyle w:val="Hyperlink"/>
            <w:szCs w:val="26"/>
          </w:rPr>
          <w:t>ferconlinesupport@ferc.gov</w:t>
        </w:r>
      </w:hyperlink>
      <w:r w:rsidRPr="00015EA8">
        <w:rPr>
          <w:szCs w:val="26"/>
        </w:rPr>
        <w:t xml:space="preserve">, or by phone at: (866) 208-3676 (toll-free), or (202) 502-8659 </w:t>
      </w:r>
      <w:r w:rsidR="00676094">
        <w:rPr>
          <w:szCs w:val="26"/>
        </w:rPr>
        <w:t>(</w:t>
      </w:r>
      <w:r w:rsidRPr="00015EA8">
        <w:rPr>
          <w:szCs w:val="26"/>
        </w:rPr>
        <w:t>TTY</w:t>
      </w:r>
      <w:r w:rsidR="00676094">
        <w:rPr>
          <w:szCs w:val="26"/>
        </w:rPr>
        <w:t>)</w:t>
      </w:r>
      <w:r w:rsidRPr="00015EA8">
        <w:rPr>
          <w:szCs w:val="26"/>
        </w:rPr>
        <w:t>.</w:t>
      </w:r>
    </w:p>
    <w:p w14:paraId="4C4B5264" w14:textId="0C57FE2A" w:rsidR="001D6943" w:rsidRPr="00015EA8" w:rsidRDefault="001D6943" w:rsidP="001D6943">
      <w:pPr>
        <w:spacing w:line="480" w:lineRule="auto"/>
        <w:rPr>
          <w:szCs w:val="26"/>
        </w:rPr>
      </w:pPr>
      <w:r w:rsidRPr="00015EA8">
        <w:rPr>
          <w:i/>
          <w:szCs w:val="26"/>
        </w:rPr>
        <w:t>Docket</w:t>
      </w:r>
      <w:r w:rsidRPr="00015EA8">
        <w:rPr>
          <w:szCs w:val="26"/>
        </w:rPr>
        <w:t xml:space="preserve">: </w:t>
      </w:r>
      <w:r w:rsidR="00C01B1D" w:rsidRPr="00015EA8">
        <w:rPr>
          <w:szCs w:val="26"/>
        </w:rPr>
        <w:t xml:space="preserve"> </w:t>
      </w:r>
      <w:r w:rsidRPr="00015EA8">
        <w:rPr>
          <w:szCs w:val="26"/>
        </w:rPr>
        <w:t xml:space="preserve">Users interested in receiving automatic notification of activity in this docket or in viewing/downloading comments and issuances in this docket may do so at </w:t>
      </w:r>
      <w:hyperlink r:id="rId13" w:history="1">
        <w:r w:rsidRPr="00015EA8">
          <w:rPr>
            <w:rStyle w:val="Hyperlink"/>
            <w:szCs w:val="26"/>
          </w:rPr>
          <w:t>http://www.ferc.gov/docs-filing/docs-filing.asp</w:t>
        </w:r>
      </w:hyperlink>
      <w:r w:rsidRPr="00015EA8">
        <w:rPr>
          <w:szCs w:val="26"/>
        </w:rPr>
        <w:t xml:space="preserve">.  </w:t>
      </w:r>
    </w:p>
    <w:p w14:paraId="00A4A2CC" w14:textId="097EA0BC" w:rsidR="001D6943" w:rsidRPr="00015EA8" w:rsidRDefault="001D6943" w:rsidP="001D6943">
      <w:pPr>
        <w:spacing w:line="480" w:lineRule="auto"/>
        <w:rPr>
          <w:szCs w:val="26"/>
        </w:rPr>
      </w:pPr>
      <w:r w:rsidRPr="00015EA8">
        <w:rPr>
          <w:b/>
          <w:szCs w:val="26"/>
        </w:rPr>
        <w:t>FOR FURTHER INFORMATION:</w:t>
      </w:r>
      <w:r w:rsidRPr="00015EA8">
        <w:rPr>
          <w:szCs w:val="26"/>
        </w:rPr>
        <w:t xml:space="preserve">   </w:t>
      </w:r>
      <w:r w:rsidR="00676094">
        <w:rPr>
          <w:szCs w:val="26"/>
        </w:rPr>
        <w:t xml:space="preserve">Contact </w:t>
      </w:r>
      <w:r w:rsidRPr="00015EA8">
        <w:rPr>
          <w:szCs w:val="26"/>
        </w:rPr>
        <w:t xml:space="preserve">Ellen Brown by email at </w:t>
      </w:r>
      <w:hyperlink r:id="rId14" w:history="1">
        <w:r w:rsidRPr="00015EA8">
          <w:rPr>
            <w:rStyle w:val="Hyperlink"/>
            <w:szCs w:val="26"/>
          </w:rPr>
          <w:t>DataClearance@FERC.gov</w:t>
        </w:r>
      </w:hyperlink>
      <w:r w:rsidRPr="00015EA8">
        <w:rPr>
          <w:szCs w:val="26"/>
        </w:rPr>
        <w:t xml:space="preserve">, by telephone at (202) 502-8663, </w:t>
      </w:r>
      <w:r w:rsidR="00676094">
        <w:rPr>
          <w:szCs w:val="26"/>
        </w:rPr>
        <w:t>or</w:t>
      </w:r>
      <w:r w:rsidRPr="00015EA8">
        <w:rPr>
          <w:szCs w:val="26"/>
        </w:rPr>
        <w:t xml:space="preserve"> by fax at (202) 273-0873. </w:t>
      </w:r>
    </w:p>
    <w:p w14:paraId="70D40119" w14:textId="4CD37B73" w:rsidR="00C534F7" w:rsidRPr="00015EA8" w:rsidRDefault="001D6943" w:rsidP="00C534F7">
      <w:pPr>
        <w:spacing w:line="480" w:lineRule="auto"/>
        <w:rPr>
          <w:szCs w:val="26"/>
        </w:rPr>
      </w:pPr>
      <w:r w:rsidRPr="00015EA8">
        <w:rPr>
          <w:b/>
          <w:szCs w:val="26"/>
        </w:rPr>
        <w:t>SUPPLEMENTARY INFORMATION:</w:t>
      </w:r>
      <w:r w:rsidRPr="00015EA8">
        <w:rPr>
          <w:szCs w:val="26"/>
        </w:rPr>
        <w:t xml:space="preserve">  </w:t>
      </w:r>
      <w:r w:rsidR="00C96B65" w:rsidRPr="00015EA8">
        <w:rPr>
          <w:szCs w:val="26"/>
        </w:rPr>
        <w:t>The information collection</w:t>
      </w:r>
      <w:r w:rsidR="00F52901" w:rsidRPr="00015EA8">
        <w:rPr>
          <w:szCs w:val="26"/>
        </w:rPr>
        <w:t>s</w:t>
      </w:r>
      <w:r w:rsidR="00C96B65" w:rsidRPr="00015EA8">
        <w:rPr>
          <w:szCs w:val="26"/>
        </w:rPr>
        <w:t xml:space="preserve"> in Docket </w:t>
      </w:r>
      <w:r w:rsidR="00C534F7" w:rsidRPr="00015EA8">
        <w:rPr>
          <w:szCs w:val="26"/>
        </w:rPr>
        <w:t>No. RM14-22-000 relate to Commission-a</w:t>
      </w:r>
      <w:r w:rsidR="00C96B65" w:rsidRPr="00015EA8">
        <w:rPr>
          <w:szCs w:val="26"/>
        </w:rPr>
        <w:t>pproved revisions to conform the Commission’s regulations on preliminary permits and exemptions to the Hydr</w:t>
      </w:r>
      <w:r w:rsidR="00C534F7" w:rsidRPr="00015EA8">
        <w:rPr>
          <w:szCs w:val="26"/>
        </w:rPr>
        <w:t>o</w:t>
      </w:r>
      <w:r w:rsidR="00027C92" w:rsidRPr="00015EA8">
        <w:rPr>
          <w:szCs w:val="26"/>
        </w:rPr>
        <w:t>power Regu</w:t>
      </w:r>
      <w:r w:rsidR="00765402" w:rsidRPr="00015EA8">
        <w:rPr>
          <w:szCs w:val="26"/>
        </w:rPr>
        <w:t>la</w:t>
      </w:r>
      <w:r w:rsidR="00027C92" w:rsidRPr="00015EA8">
        <w:rPr>
          <w:szCs w:val="26"/>
        </w:rPr>
        <w:t xml:space="preserve">tory </w:t>
      </w:r>
      <w:r w:rsidR="00027C92" w:rsidRPr="00015EA8">
        <w:rPr>
          <w:szCs w:val="26"/>
        </w:rPr>
        <w:lastRenderedPageBreak/>
        <w:t>Effi</w:t>
      </w:r>
      <w:r w:rsidR="00C96B65" w:rsidRPr="00015EA8">
        <w:rPr>
          <w:szCs w:val="26"/>
        </w:rPr>
        <w:t>ciency Act of 2013</w:t>
      </w:r>
      <w:r w:rsidR="00C534F7" w:rsidRPr="00015EA8">
        <w:rPr>
          <w:szCs w:val="26"/>
        </w:rPr>
        <w:t xml:space="preserve"> (Hydropower Efficiency Act)</w:t>
      </w:r>
      <w:r w:rsidR="00C96B65" w:rsidRPr="00015EA8">
        <w:rPr>
          <w:szCs w:val="26"/>
        </w:rPr>
        <w:t>.</w:t>
      </w:r>
      <w:r w:rsidR="00127B7B" w:rsidRPr="00015EA8">
        <w:rPr>
          <w:rStyle w:val="FootnoteReference"/>
        </w:rPr>
        <w:footnoteReference w:id="1"/>
      </w:r>
      <w:r w:rsidR="00171F4D" w:rsidRPr="00015EA8">
        <w:rPr>
          <w:szCs w:val="26"/>
        </w:rPr>
        <w:t xml:space="preserve">  The information collection requirements for preliminary permits and exemptions are contained in</w:t>
      </w:r>
      <w:r w:rsidR="00944E16" w:rsidRPr="00015EA8">
        <w:rPr>
          <w:szCs w:val="26"/>
        </w:rPr>
        <w:t>:</w:t>
      </w:r>
      <w:r w:rsidR="00171F4D" w:rsidRPr="00015EA8">
        <w:rPr>
          <w:szCs w:val="26"/>
        </w:rPr>
        <w:t xml:space="preserve"> FERC-505</w:t>
      </w:r>
      <w:r w:rsidR="00C534F7" w:rsidRPr="00015EA8">
        <w:rPr>
          <w:szCs w:val="26"/>
        </w:rPr>
        <w:t xml:space="preserve"> (</w:t>
      </w:r>
      <w:r w:rsidR="00F52901" w:rsidRPr="00015EA8">
        <w:rPr>
          <w:szCs w:val="26"/>
        </w:rPr>
        <w:t xml:space="preserve">Small Hydropower Projects and Conduits </w:t>
      </w:r>
      <w:r w:rsidR="00127B7B" w:rsidRPr="00015EA8">
        <w:rPr>
          <w:szCs w:val="26"/>
        </w:rPr>
        <w:t xml:space="preserve">Facilities </w:t>
      </w:r>
      <w:r w:rsidR="00F52901" w:rsidRPr="00015EA8">
        <w:rPr>
          <w:szCs w:val="26"/>
        </w:rPr>
        <w:t xml:space="preserve">including License/Relicense, Exemption, and Qualifying Conduit Facility Determination, </w:t>
      </w:r>
      <w:r w:rsidR="00C534F7" w:rsidRPr="00015EA8">
        <w:rPr>
          <w:szCs w:val="26"/>
        </w:rPr>
        <w:t>OMB Control Number 1902-0115)</w:t>
      </w:r>
      <w:r w:rsidR="00171F4D" w:rsidRPr="00015EA8">
        <w:rPr>
          <w:szCs w:val="26"/>
        </w:rPr>
        <w:t xml:space="preserve"> and FERC-512 (</w:t>
      </w:r>
      <w:r w:rsidR="00F52901" w:rsidRPr="00015EA8">
        <w:rPr>
          <w:szCs w:val="26"/>
        </w:rPr>
        <w:t xml:space="preserve">Preliminary Permit, </w:t>
      </w:r>
      <w:r w:rsidR="00171F4D" w:rsidRPr="00015EA8">
        <w:rPr>
          <w:szCs w:val="26"/>
        </w:rPr>
        <w:t>OMB Control Number</w:t>
      </w:r>
      <w:r w:rsidR="00C534F7" w:rsidRPr="00015EA8">
        <w:rPr>
          <w:szCs w:val="26"/>
        </w:rPr>
        <w:t xml:space="preserve"> </w:t>
      </w:r>
      <w:r w:rsidR="00171F4D" w:rsidRPr="00015EA8">
        <w:rPr>
          <w:szCs w:val="26"/>
        </w:rPr>
        <w:t>1902-0073).</w:t>
      </w:r>
    </w:p>
    <w:p w14:paraId="685FDE3C" w14:textId="77777777" w:rsidR="004D4BD8" w:rsidRDefault="001041E1" w:rsidP="004D4BD8">
      <w:pPr>
        <w:spacing w:line="480" w:lineRule="auto"/>
        <w:ind w:firstLine="720"/>
        <w:rPr>
          <w:szCs w:val="26"/>
        </w:rPr>
      </w:pPr>
      <w:r w:rsidRPr="00015EA8">
        <w:rPr>
          <w:szCs w:val="26"/>
        </w:rPr>
        <w:t>Th</w:t>
      </w:r>
      <w:r w:rsidR="00C534F7" w:rsidRPr="00015EA8">
        <w:rPr>
          <w:szCs w:val="26"/>
        </w:rPr>
        <w:t>e Hydropower Efficiency Act amend</w:t>
      </w:r>
      <w:r w:rsidRPr="00015EA8">
        <w:rPr>
          <w:szCs w:val="26"/>
        </w:rPr>
        <w:t>ed</w:t>
      </w:r>
      <w:r w:rsidR="00C534F7" w:rsidRPr="00015EA8">
        <w:rPr>
          <w:szCs w:val="26"/>
        </w:rPr>
        <w:t xml:space="preserve"> statutory provisions pertaining to preliminary permits and </w:t>
      </w:r>
      <w:r w:rsidR="00D27B71" w:rsidRPr="00015EA8">
        <w:rPr>
          <w:szCs w:val="26"/>
        </w:rPr>
        <w:t xml:space="preserve">to </w:t>
      </w:r>
      <w:r w:rsidR="00C534F7" w:rsidRPr="00015EA8">
        <w:rPr>
          <w:szCs w:val="26"/>
        </w:rPr>
        <w:t xml:space="preserve">projects that are exempt from </w:t>
      </w:r>
      <w:r w:rsidR="00E05FAE" w:rsidRPr="00015EA8">
        <w:rPr>
          <w:szCs w:val="26"/>
        </w:rPr>
        <w:t xml:space="preserve">certain </w:t>
      </w:r>
      <w:r w:rsidR="00C534F7" w:rsidRPr="00015EA8">
        <w:rPr>
          <w:szCs w:val="26"/>
        </w:rPr>
        <w:t xml:space="preserve">licensing </w:t>
      </w:r>
      <w:r w:rsidR="00E05FAE" w:rsidRPr="00015EA8">
        <w:rPr>
          <w:szCs w:val="26"/>
        </w:rPr>
        <w:t>requirements under the Federal Power Act (FPA)</w:t>
      </w:r>
      <w:r w:rsidR="00676094">
        <w:rPr>
          <w:rStyle w:val="FootnoteReference"/>
        </w:rPr>
        <w:footnoteReference w:id="2"/>
      </w:r>
      <w:r w:rsidR="00E05FAE" w:rsidRPr="00015EA8">
        <w:rPr>
          <w:szCs w:val="26"/>
        </w:rPr>
        <w:t xml:space="preserve"> </w:t>
      </w:r>
      <w:r w:rsidR="00C534F7" w:rsidRPr="00015EA8">
        <w:rPr>
          <w:szCs w:val="26"/>
        </w:rPr>
        <w:t xml:space="preserve">in order to reduce cost and regulatory burden, and in turn, promote hydropower development.  Specifically, the Hydropower Efficiency Act gave the Commission authority to extend a preliminary permit once for not more than two additional years without </w:t>
      </w:r>
      <w:r w:rsidR="00E05FAE" w:rsidRPr="00015EA8">
        <w:rPr>
          <w:szCs w:val="26"/>
        </w:rPr>
        <w:t xml:space="preserve">requiring the </w:t>
      </w:r>
      <w:proofErr w:type="spellStart"/>
      <w:r w:rsidR="00E05FAE" w:rsidRPr="00015EA8">
        <w:rPr>
          <w:szCs w:val="26"/>
        </w:rPr>
        <w:t>permittee</w:t>
      </w:r>
      <w:proofErr w:type="spellEnd"/>
      <w:r w:rsidR="00E05FAE" w:rsidRPr="00015EA8">
        <w:rPr>
          <w:szCs w:val="26"/>
        </w:rPr>
        <w:t xml:space="preserve"> to </w:t>
      </w:r>
      <w:r w:rsidR="00C534F7" w:rsidRPr="00015EA8">
        <w:rPr>
          <w:szCs w:val="26"/>
        </w:rPr>
        <w:t xml:space="preserve">apply for a successive preliminary permit.  </w:t>
      </w:r>
      <w:r w:rsidR="00D27B71" w:rsidRPr="00015EA8">
        <w:rPr>
          <w:szCs w:val="26"/>
        </w:rPr>
        <w:t>T</w:t>
      </w:r>
      <w:r w:rsidR="00C534F7" w:rsidRPr="00015EA8">
        <w:rPr>
          <w:szCs w:val="26"/>
        </w:rPr>
        <w:t xml:space="preserve">he Hydropower Efficiency Act </w:t>
      </w:r>
      <w:r w:rsidR="00D27B71" w:rsidRPr="00015EA8">
        <w:rPr>
          <w:szCs w:val="26"/>
        </w:rPr>
        <w:t xml:space="preserve">also </w:t>
      </w:r>
      <w:r w:rsidR="00C534F7" w:rsidRPr="00015EA8">
        <w:rPr>
          <w:szCs w:val="26"/>
        </w:rPr>
        <w:t xml:space="preserve">expanded the number of projects that may qualify for exemptions from </w:t>
      </w:r>
      <w:r w:rsidR="00E05FAE" w:rsidRPr="00015EA8">
        <w:rPr>
          <w:szCs w:val="26"/>
        </w:rPr>
        <w:t xml:space="preserve">certain </w:t>
      </w:r>
      <w:r w:rsidR="00C534F7" w:rsidRPr="00015EA8">
        <w:rPr>
          <w:szCs w:val="26"/>
        </w:rPr>
        <w:t xml:space="preserve">licensing </w:t>
      </w:r>
      <w:r w:rsidR="00E05FAE" w:rsidRPr="00015EA8">
        <w:rPr>
          <w:szCs w:val="26"/>
        </w:rPr>
        <w:t xml:space="preserve">requirements </w:t>
      </w:r>
      <w:r w:rsidR="00C534F7" w:rsidRPr="00015EA8">
        <w:rPr>
          <w:szCs w:val="26"/>
        </w:rPr>
        <w:t>under the FPA</w:t>
      </w:r>
      <w:r w:rsidR="00E05FAE" w:rsidRPr="00015EA8">
        <w:rPr>
          <w:szCs w:val="26"/>
        </w:rPr>
        <w:t xml:space="preserve"> (i.e., small conduit </w:t>
      </w:r>
      <w:r w:rsidR="00127B7B" w:rsidRPr="00015EA8">
        <w:rPr>
          <w:szCs w:val="26"/>
        </w:rPr>
        <w:t>exemptions</w:t>
      </w:r>
      <w:r w:rsidR="00E05FAE" w:rsidRPr="00015EA8">
        <w:rPr>
          <w:szCs w:val="26"/>
        </w:rPr>
        <w:t xml:space="preserve"> or small hydroelectric power projects), and allowed other projects to qualify to operate without Commission oversight (i.e., qualifying conduit hydropower facilities).</w:t>
      </w:r>
      <w:r w:rsidR="00027C92" w:rsidRPr="00015EA8">
        <w:rPr>
          <w:szCs w:val="26"/>
        </w:rPr>
        <w:t xml:space="preserve">  </w:t>
      </w:r>
    </w:p>
    <w:p w14:paraId="79C03818" w14:textId="13ED0277" w:rsidR="00593B43" w:rsidRPr="00015EA8" w:rsidRDefault="004D4BD8" w:rsidP="004D4BD8">
      <w:pPr>
        <w:spacing w:line="480" w:lineRule="auto"/>
        <w:ind w:firstLine="720"/>
        <w:rPr>
          <w:szCs w:val="26"/>
        </w:rPr>
      </w:pPr>
      <w:r>
        <w:rPr>
          <w:szCs w:val="26"/>
        </w:rPr>
        <w:t xml:space="preserve">The Commission approved the revised regulations in Order </w:t>
      </w:r>
      <w:r w:rsidR="00121789">
        <w:rPr>
          <w:szCs w:val="26"/>
        </w:rPr>
        <w:t xml:space="preserve">No. </w:t>
      </w:r>
      <w:r>
        <w:rPr>
          <w:szCs w:val="26"/>
        </w:rPr>
        <w:t xml:space="preserve">800.  While the </w:t>
      </w:r>
      <w:r w:rsidR="00F223CC" w:rsidRPr="00015EA8">
        <w:rPr>
          <w:szCs w:val="26"/>
        </w:rPr>
        <w:t>revised regulations</w:t>
      </w:r>
      <w:r w:rsidR="00027C92" w:rsidRPr="00015EA8">
        <w:rPr>
          <w:szCs w:val="26"/>
        </w:rPr>
        <w:t xml:space="preserve"> formally implement the Hydropower Efficiency Act</w:t>
      </w:r>
      <w:r w:rsidR="00F223CC" w:rsidRPr="00015EA8">
        <w:rPr>
          <w:szCs w:val="26"/>
        </w:rPr>
        <w:t>, t</w:t>
      </w:r>
      <w:r w:rsidR="00C25220" w:rsidRPr="00015EA8">
        <w:rPr>
          <w:szCs w:val="26"/>
        </w:rPr>
        <w:t>he Commission has compli</w:t>
      </w:r>
      <w:r w:rsidR="00ED0191" w:rsidRPr="00015EA8">
        <w:rPr>
          <w:szCs w:val="26"/>
        </w:rPr>
        <w:t xml:space="preserve">ed with the </w:t>
      </w:r>
      <w:r w:rsidR="00C25220" w:rsidRPr="00015EA8">
        <w:rPr>
          <w:szCs w:val="26"/>
        </w:rPr>
        <w:t xml:space="preserve">Act since its </w:t>
      </w:r>
      <w:r>
        <w:rPr>
          <w:szCs w:val="26"/>
        </w:rPr>
        <w:t>enactment.  Moreover, in Order</w:t>
      </w:r>
      <w:r w:rsidR="00121789">
        <w:rPr>
          <w:szCs w:val="26"/>
        </w:rPr>
        <w:t xml:space="preserve"> No.</w:t>
      </w:r>
      <w:r>
        <w:rPr>
          <w:szCs w:val="26"/>
        </w:rPr>
        <w:t xml:space="preserve"> 800, the </w:t>
      </w:r>
      <w:r w:rsidR="00CF54C2">
        <w:rPr>
          <w:rFonts w:eastAsiaTheme="minorHAnsi"/>
          <w:szCs w:val="26"/>
        </w:rPr>
        <w:lastRenderedPageBreak/>
        <w:t>Commission found that</w:t>
      </w:r>
      <w:r w:rsidR="00B84729">
        <w:rPr>
          <w:rFonts w:eastAsiaTheme="minorHAnsi"/>
          <w:szCs w:val="26"/>
        </w:rPr>
        <w:t xml:space="preserve"> the revised regulations</w:t>
      </w:r>
      <w:r w:rsidR="00593B43">
        <w:rPr>
          <w:rFonts w:eastAsiaTheme="minorHAnsi"/>
          <w:szCs w:val="26"/>
        </w:rPr>
        <w:t xml:space="preserve"> will reduce the current burden for affected entities.</w:t>
      </w:r>
      <w:r>
        <w:rPr>
          <w:rStyle w:val="FootnoteReference"/>
          <w:rFonts w:eastAsiaTheme="minorHAnsi"/>
        </w:rPr>
        <w:footnoteReference w:id="3"/>
      </w:r>
      <w:r w:rsidR="00593B43" w:rsidRPr="00015EA8">
        <w:rPr>
          <w:rFonts w:eastAsiaTheme="minorHAnsi"/>
          <w:szCs w:val="26"/>
        </w:rPr>
        <w:t xml:space="preserve">  </w:t>
      </w:r>
    </w:p>
    <w:p w14:paraId="24D4BD74" w14:textId="4721981F" w:rsidR="005C47C8" w:rsidRPr="00015EA8" w:rsidRDefault="0034402D" w:rsidP="00505528">
      <w:pPr>
        <w:spacing w:line="480" w:lineRule="auto"/>
        <w:rPr>
          <w:rFonts w:eastAsiaTheme="minorHAnsi"/>
          <w:szCs w:val="26"/>
        </w:rPr>
      </w:pPr>
      <w:r>
        <w:rPr>
          <w:i/>
          <w:szCs w:val="26"/>
        </w:rPr>
        <w:t>B</w:t>
      </w:r>
      <w:r w:rsidR="006121AB">
        <w:rPr>
          <w:i/>
          <w:szCs w:val="26"/>
        </w:rPr>
        <w:t>urden Statement</w:t>
      </w:r>
      <w:r w:rsidR="006121AB">
        <w:rPr>
          <w:szCs w:val="26"/>
        </w:rPr>
        <w:t>:</w:t>
      </w:r>
      <w:r w:rsidR="001D6943" w:rsidRPr="00015EA8">
        <w:rPr>
          <w:rStyle w:val="FootnoteReference"/>
        </w:rPr>
        <w:footnoteReference w:id="4"/>
      </w:r>
      <w:r w:rsidR="001D6943" w:rsidRPr="00015EA8">
        <w:rPr>
          <w:szCs w:val="26"/>
        </w:rPr>
        <w:t xml:space="preserve"> </w:t>
      </w:r>
    </w:p>
    <w:p w14:paraId="1074BEB2" w14:textId="45129354" w:rsidR="005C47C8" w:rsidRPr="00015EA8" w:rsidRDefault="00DA74A5" w:rsidP="00DA74A5">
      <w:pPr>
        <w:tabs>
          <w:tab w:val="left" w:pos="720"/>
          <w:tab w:val="num" w:pos="5140"/>
        </w:tabs>
        <w:autoSpaceDE w:val="0"/>
        <w:autoSpaceDN w:val="0"/>
        <w:adjustRightInd w:val="0"/>
        <w:spacing w:after="240" w:line="480" w:lineRule="auto"/>
        <w:rPr>
          <w:rFonts w:eastAsiaTheme="minorHAnsi"/>
          <w:szCs w:val="26"/>
        </w:rPr>
      </w:pPr>
      <w:r w:rsidRPr="00015EA8">
        <w:rPr>
          <w:rFonts w:eastAsiaTheme="minorHAnsi"/>
          <w:szCs w:val="26"/>
        </w:rPr>
        <w:tab/>
      </w:r>
      <w:r w:rsidR="005C47C8" w:rsidRPr="00015EA8">
        <w:rPr>
          <w:rFonts w:eastAsiaTheme="minorHAnsi"/>
          <w:szCs w:val="26"/>
        </w:rPr>
        <w:t>The Commission</w:t>
      </w:r>
      <w:r w:rsidR="00B84729">
        <w:rPr>
          <w:rFonts w:eastAsiaTheme="minorHAnsi"/>
          <w:szCs w:val="26"/>
        </w:rPr>
        <w:t xml:space="preserve"> estimates the average annual reporting burden and cost as follows: </w:t>
      </w:r>
      <w:r w:rsidR="0034402D">
        <w:rPr>
          <w:rFonts w:eastAsiaTheme="minorHAnsi"/>
          <w:szCs w:val="26"/>
        </w:rPr>
        <w:t xml:space="preserve">  </w:t>
      </w:r>
    </w:p>
    <w:tbl>
      <w:tblPr>
        <w:tblW w:w="1032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6"/>
        <w:gridCol w:w="1646"/>
        <w:gridCol w:w="1545"/>
        <w:gridCol w:w="1476"/>
        <w:gridCol w:w="1271"/>
        <w:gridCol w:w="1461"/>
        <w:gridCol w:w="1545"/>
      </w:tblGrid>
      <w:tr w:rsidR="00D5362E" w:rsidRPr="00015EA8" w14:paraId="7C5AE724" w14:textId="77777777" w:rsidTr="00676094">
        <w:trPr>
          <w:cantSplit/>
          <w:trHeight w:val="140"/>
        </w:trPr>
        <w:tc>
          <w:tcPr>
            <w:tcW w:w="10324" w:type="dxa"/>
            <w:gridSpan w:val="7"/>
            <w:tcBorders>
              <w:bottom w:val="single" w:sz="4" w:space="0" w:color="auto"/>
            </w:tcBorders>
            <w:shd w:val="clear" w:color="auto" w:fill="D9D9D9" w:themeFill="background1" w:themeFillShade="D9"/>
          </w:tcPr>
          <w:p w14:paraId="4E465C97" w14:textId="77777777" w:rsidR="00D5362E" w:rsidRPr="00015EA8" w:rsidRDefault="00D5362E" w:rsidP="00172693">
            <w:pPr>
              <w:keepNext/>
              <w:jc w:val="center"/>
              <w:rPr>
                <w:b/>
                <w:szCs w:val="26"/>
              </w:rPr>
            </w:pPr>
            <w:r w:rsidRPr="00015EA8">
              <w:rPr>
                <w:b/>
                <w:szCs w:val="26"/>
              </w:rPr>
              <w:t xml:space="preserve">Annual Changes Implemented by the Final Rule in RM14-22 </w:t>
            </w:r>
            <w:r w:rsidRPr="00015EA8">
              <w:rPr>
                <w:rStyle w:val="FootnoteReference"/>
              </w:rPr>
              <w:footnoteReference w:id="5"/>
            </w:r>
          </w:p>
        </w:tc>
      </w:tr>
      <w:tr w:rsidR="00D5362E" w:rsidRPr="00015EA8" w14:paraId="5944120A" w14:textId="77777777" w:rsidTr="00676094">
        <w:trPr>
          <w:cantSplit/>
          <w:trHeight w:val="140"/>
        </w:trPr>
        <w:tc>
          <w:tcPr>
            <w:tcW w:w="1605" w:type="dxa"/>
            <w:shd w:val="clear" w:color="auto" w:fill="D9D9D9" w:themeFill="background1" w:themeFillShade="D9"/>
            <w:vAlign w:val="bottom"/>
          </w:tcPr>
          <w:p w14:paraId="46624B8F" w14:textId="77777777" w:rsidR="00D5362E" w:rsidRPr="00015EA8" w:rsidRDefault="00D5362E" w:rsidP="00172693">
            <w:pPr>
              <w:jc w:val="center"/>
              <w:rPr>
                <w:b/>
                <w:szCs w:val="26"/>
              </w:rPr>
            </w:pPr>
            <w:r w:rsidRPr="00015EA8">
              <w:rPr>
                <w:b/>
                <w:szCs w:val="26"/>
              </w:rPr>
              <w:t xml:space="preserve">Type of Respondents </w:t>
            </w:r>
          </w:p>
          <w:p w14:paraId="43F993FA" w14:textId="77777777" w:rsidR="00D5362E" w:rsidRPr="00015EA8" w:rsidRDefault="00D5362E" w:rsidP="00172693">
            <w:pPr>
              <w:jc w:val="center"/>
              <w:rPr>
                <w:b/>
                <w:szCs w:val="26"/>
              </w:rPr>
            </w:pPr>
          </w:p>
        </w:tc>
        <w:tc>
          <w:tcPr>
            <w:tcW w:w="1605" w:type="dxa"/>
            <w:shd w:val="clear" w:color="auto" w:fill="D9D9D9" w:themeFill="background1" w:themeFillShade="D9"/>
            <w:vAlign w:val="bottom"/>
          </w:tcPr>
          <w:p w14:paraId="58AEAE4B" w14:textId="77777777" w:rsidR="00D5362E" w:rsidRPr="00015EA8" w:rsidRDefault="00D5362E" w:rsidP="00172693">
            <w:pPr>
              <w:jc w:val="center"/>
              <w:rPr>
                <w:b/>
                <w:szCs w:val="26"/>
              </w:rPr>
            </w:pPr>
            <w:r w:rsidRPr="00015EA8">
              <w:rPr>
                <w:b/>
                <w:szCs w:val="26"/>
              </w:rPr>
              <w:t>Number of Respondents</w:t>
            </w:r>
          </w:p>
          <w:p w14:paraId="4061503B" w14:textId="77777777" w:rsidR="00D5362E" w:rsidRPr="00015EA8" w:rsidRDefault="00D5362E" w:rsidP="00172693">
            <w:pPr>
              <w:jc w:val="center"/>
              <w:rPr>
                <w:b/>
                <w:szCs w:val="26"/>
              </w:rPr>
            </w:pPr>
            <w:r w:rsidRPr="00015EA8">
              <w:rPr>
                <w:b/>
                <w:szCs w:val="26"/>
              </w:rPr>
              <w:t>(a)</w:t>
            </w:r>
          </w:p>
        </w:tc>
        <w:tc>
          <w:tcPr>
            <w:tcW w:w="1506" w:type="dxa"/>
            <w:shd w:val="clear" w:color="auto" w:fill="D9D9D9" w:themeFill="background1" w:themeFillShade="D9"/>
            <w:vAlign w:val="bottom"/>
          </w:tcPr>
          <w:p w14:paraId="704FD13B" w14:textId="77777777" w:rsidR="00D5362E" w:rsidRPr="00015EA8" w:rsidRDefault="00D5362E" w:rsidP="00172693">
            <w:pPr>
              <w:jc w:val="center"/>
              <w:rPr>
                <w:b/>
                <w:szCs w:val="26"/>
              </w:rPr>
            </w:pPr>
            <w:r w:rsidRPr="00015EA8">
              <w:rPr>
                <w:b/>
                <w:szCs w:val="26"/>
              </w:rPr>
              <w:t>Annual Number of Responses</w:t>
            </w:r>
            <w:r w:rsidRPr="00015EA8">
              <w:rPr>
                <w:rStyle w:val="FootnoteReference"/>
              </w:rPr>
              <w:footnoteReference w:id="6"/>
            </w:r>
            <w:r w:rsidRPr="00015EA8">
              <w:rPr>
                <w:b/>
                <w:szCs w:val="26"/>
              </w:rPr>
              <w:t xml:space="preserve"> per Respondent</w:t>
            </w:r>
            <w:r w:rsidRPr="00015EA8" w:rsidDel="00D2508E">
              <w:rPr>
                <w:b/>
                <w:szCs w:val="26"/>
              </w:rPr>
              <w:t xml:space="preserve"> </w:t>
            </w:r>
            <w:r w:rsidRPr="00015EA8">
              <w:rPr>
                <w:b/>
                <w:szCs w:val="26"/>
              </w:rPr>
              <w:t>(b)</w:t>
            </w:r>
          </w:p>
        </w:tc>
        <w:tc>
          <w:tcPr>
            <w:tcW w:w="1439" w:type="dxa"/>
            <w:shd w:val="clear" w:color="auto" w:fill="D9D9D9" w:themeFill="background1" w:themeFillShade="D9"/>
            <w:vAlign w:val="bottom"/>
          </w:tcPr>
          <w:p w14:paraId="411AB08E" w14:textId="77777777" w:rsidR="00D5362E" w:rsidRPr="00015EA8" w:rsidRDefault="00D5362E" w:rsidP="00172693">
            <w:pPr>
              <w:jc w:val="center"/>
              <w:rPr>
                <w:b/>
                <w:szCs w:val="26"/>
              </w:rPr>
            </w:pPr>
            <w:r w:rsidRPr="00015EA8">
              <w:rPr>
                <w:b/>
                <w:szCs w:val="26"/>
              </w:rPr>
              <w:t>Total Number of Responses</w:t>
            </w:r>
          </w:p>
          <w:p w14:paraId="37F4159F" w14:textId="77777777" w:rsidR="00D5362E" w:rsidRPr="00015EA8" w:rsidRDefault="00D5362E" w:rsidP="00172693">
            <w:pPr>
              <w:jc w:val="center"/>
              <w:rPr>
                <w:b/>
                <w:szCs w:val="26"/>
              </w:rPr>
            </w:pPr>
            <w:r w:rsidRPr="00015EA8">
              <w:rPr>
                <w:b/>
                <w:szCs w:val="26"/>
              </w:rPr>
              <w:t>(a)X(b)=(c)</w:t>
            </w:r>
          </w:p>
        </w:tc>
        <w:tc>
          <w:tcPr>
            <w:tcW w:w="1239" w:type="dxa"/>
            <w:tcBorders>
              <w:bottom w:val="single" w:sz="4" w:space="0" w:color="auto"/>
            </w:tcBorders>
            <w:shd w:val="clear" w:color="auto" w:fill="D9D9D9" w:themeFill="background1" w:themeFillShade="D9"/>
            <w:vAlign w:val="bottom"/>
          </w:tcPr>
          <w:p w14:paraId="29EE4D07" w14:textId="77777777" w:rsidR="00D5362E" w:rsidRPr="00015EA8" w:rsidRDefault="00D5362E" w:rsidP="00172693">
            <w:pPr>
              <w:jc w:val="center"/>
              <w:rPr>
                <w:b/>
                <w:szCs w:val="26"/>
              </w:rPr>
            </w:pPr>
            <w:r w:rsidRPr="00015EA8">
              <w:rPr>
                <w:b/>
                <w:szCs w:val="26"/>
              </w:rPr>
              <w:t xml:space="preserve">Average Burden &amp; Cost Per Response </w:t>
            </w:r>
          </w:p>
          <w:p w14:paraId="360DDE55" w14:textId="77777777" w:rsidR="00D5362E" w:rsidRPr="00015EA8" w:rsidRDefault="00D5362E" w:rsidP="00172693">
            <w:pPr>
              <w:jc w:val="center"/>
              <w:rPr>
                <w:b/>
                <w:szCs w:val="26"/>
              </w:rPr>
            </w:pPr>
            <w:r w:rsidRPr="00015EA8">
              <w:rPr>
                <w:b/>
                <w:szCs w:val="26"/>
              </w:rPr>
              <w:t>(d)</w:t>
            </w:r>
          </w:p>
        </w:tc>
        <w:tc>
          <w:tcPr>
            <w:tcW w:w="1424" w:type="dxa"/>
            <w:tcBorders>
              <w:bottom w:val="single" w:sz="4" w:space="0" w:color="auto"/>
            </w:tcBorders>
            <w:shd w:val="clear" w:color="auto" w:fill="D9D9D9" w:themeFill="background1" w:themeFillShade="D9"/>
            <w:vAlign w:val="bottom"/>
          </w:tcPr>
          <w:p w14:paraId="4D174615" w14:textId="77777777" w:rsidR="00D5362E" w:rsidRPr="00015EA8" w:rsidRDefault="00D5362E" w:rsidP="00172693">
            <w:pPr>
              <w:jc w:val="center"/>
              <w:rPr>
                <w:b/>
                <w:szCs w:val="26"/>
              </w:rPr>
            </w:pPr>
            <w:r w:rsidRPr="00015EA8">
              <w:rPr>
                <w:b/>
                <w:szCs w:val="26"/>
              </w:rPr>
              <w:t>Total Annual Burden Hours &amp; Total Annual Cost</w:t>
            </w:r>
          </w:p>
          <w:p w14:paraId="10E8805A" w14:textId="77777777" w:rsidR="00D5362E" w:rsidRPr="00015EA8" w:rsidRDefault="00D5362E" w:rsidP="00172693">
            <w:pPr>
              <w:jc w:val="center"/>
              <w:rPr>
                <w:b/>
                <w:szCs w:val="26"/>
              </w:rPr>
            </w:pPr>
            <w:r w:rsidRPr="00015EA8">
              <w:rPr>
                <w:b/>
                <w:szCs w:val="26"/>
              </w:rPr>
              <w:t>(c)X(d)=(e)</w:t>
            </w:r>
          </w:p>
        </w:tc>
        <w:tc>
          <w:tcPr>
            <w:tcW w:w="1506" w:type="dxa"/>
            <w:shd w:val="clear" w:color="auto" w:fill="D9D9D9" w:themeFill="background1" w:themeFillShade="D9"/>
            <w:vAlign w:val="bottom"/>
          </w:tcPr>
          <w:p w14:paraId="4290C5AD" w14:textId="77777777" w:rsidR="00D5362E" w:rsidRPr="00015EA8" w:rsidRDefault="00D5362E" w:rsidP="00172693">
            <w:pPr>
              <w:jc w:val="center"/>
              <w:rPr>
                <w:b/>
                <w:szCs w:val="26"/>
              </w:rPr>
            </w:pPr>
            <w:r w:rsidRPr="00015EA8">
              <w:rPr>
                <w:b/>
                <w:szCs w:val="26"/>
              </w:rPr>
              <w:t>Cost per Respondent</w:t>
            </w:r>
          </w:p>
          <w:p w14:paraId="46FC548A" w14:textId="77777777" w:rsidR="00D5362E" w:rsidRPr="00015EA8" w:rsidRDefault="00D5362E" w:rsidP="00172693">
            <w:pPr>
              <w:jc w:val="center"/>
              <w:rPr>
                <w:b/>
                <w:szCs w:val="26"/>
              </w:rPr>
            </w:pPr>
            <w:r w:rsidRPr="00015EA8">
              <w:rPr>
                <w:b/>
                <w:szCs w:val="26"/>
              </w:rPr>
              <w:t>(e)/(a)</w:t>
            </w:r>
          </w:p>
        </w:tc>
      </w:tr>
      <w:tr w:rsidR="00D5362E" w:rsidRPr="00015EA8" w14:paraId="59274985" w14:textId="77777777" w:rsidTr="00676094">
        <w:trPr>
          <w:cantSplit/>
          <w:trHeight w:val="140"/>
        </w:trPr>
        <w:tc>
          <w:tcPr>
            <w:tcW w:w="10324" w:type="dxa"/>
            <w:gridSpan w:val="7"/>
            <w:shd w:val="clear" w:color="auto" w:fill="F2F2F2" w:themeFill="background1" w:themeFillShade="F2"/>
            <w:vAlign w:val="bottom"/>
          </w:tcPr>
          <w:p w14:paraId="2374F6A8" w14:textId="77777777" w:rsidR="00D5362E" w:rsidRPr="00015EA8" w:rsidRDefault="00D5362E" w:rsidP="00172693">
            <w:pPr>
              <w:spacing w:after="120"/>
              <w:jc w:val="center"/>
              <w:rPr>
                <w:b/>
                <w:szCs w:val="26"/>
              </w:rPr>
            </w:pPr>
            <w:r w:rsidRPr="00015EA8">
              <w:rPr>
                <w:b/>
                <w:szCs w:val="26"/>
              </w:rPr>
              <w:t>FERC-505, Small Hydropower Projects and Conduit Facilities including License/Relicense, Exemption, and Qualifying Conduit Facility Determination</w:t>
            </w:r>
          </w:p>
        </w:tc>
      </w:tr>
      <w:tr w:rsidR="00D5362E" w:rsidRPr="00015EA8" w14:paraId="10920B05" w14:textId="77777777" w:rsidTr="00676094">
        <w:trPr>
          <w:cantSplit/>
          <w:trHeight w:val="1350"/>
        </w:trPr>
        <w:tc>
          <w:tcPr>
            <w:tcW w:w="1605" w:type="dxa"/>
            <w:vMerge w:val="restart"/>
          </w:tcPr>
          <w:p w14:paraId="533C5FE3" w14:textId="77777777" w:rsidR="00D5362E" w:rsidRPr="00015EA8" w:rsidRDefault="00D5362E" w:rsidP="00172693">
            <w:pPr>
              <w:spacing w:after="120"/>
              <w:rPr>
                <w:szCs w:val="26"/>
              </w:rPr>
            </w:pPr>
            <w:r w:rsidRPr="00015EA8">
              <w:rPr>
                <w:szCs w:val="26"/>
              </w:rPr>
              <w:t xml:space="preserve">Small conduit exemption applications </w:t>
            </w:r>
            <w:r w:rsidRPr="00015EA8">
              <w:rPr>
                <w:szCs w:val="26"/>
              </w:rPr>
              <w:lastRenderedPageBreak/>
              <w:t>(40 MW or less, which can now be on fed. lands)</w:t>
            </w:r>
            <w:r w:rsidRPr="00015EA8">
              <w:rPr>
                <w:rStyle w:val="FootnoteReference"/>
              </w:rPr>
              <w:footnoteReference w:id="7"/>
            </w:r>
          </w:p>
        </w:tc>
        <w:tc>
          <w:tcPr>
            <w:tcW w:w="1605" w:type="dxa"/>
            <w:vMerge w:val="restart"/>
            <w:vAlign w:val="bottom"/>
          </w:tcPr>
          <w:p w14:paraId="4E3768DF" w14:textId="77777777" w:rsidR="00D5362E" w:rsidRPr="00015EA8" w:rsidRDefault="00D5362E" w:rsidP="00172693">
            <w:pPr>
              <w:spacing w:after="120"/>
              <w:jc w:val="right"/>
              <w:rPr>
                <w:szCs w:val="26"/>
              </w:rPr>
            </w:pPr>
          </w:p>
          <w:p w14:paraId="3EBF11F2" w14:textId="77777777" w:rsidR="00D5362E" w:rsidRPr="00015EA8" w:rsidRDefault="00D5362E" w:rsidP="00172693">
            <w:pPr>
              <w:spacing w:after="120"/>
              <w:jc w:val="right"/>
              <w:rPr>
                <w:szCs w:val="26"/>
              </w:rPr>
            </w:pPr>
          </w:p>
          <w:p w14:paraId="43205013" w14:textId="77777777" w:rsidR="00D5362E" w:rsidRPr="00015EA8" w:rsidRDefault="00D5362E" w:rsidP="00172693">
            <w:pPr>
              <w:spacing w:after="120"/>
              <w:jc w:val="right"/>
              <w:rPr>
                <w:szCs w:val="26"/>
              </w:rPr>
            </w:pPr>
          </w:p>
          <w:p w14:paraId="49ACB69A" w14:textId="77777777" w:rsidR="00D5362E" w:rsidRPr="00015EA8" w:rsidRDefault="00D5362E" w:rsidP="00172693">
            <w:pPr>
              <w:spacing w:after="120"/>
              <w:jc w:val="right"/>
              <w:rPr>
                <w:szCs w:val="26"/>
              </w:rPr>
            </w:pPr>
          </w:p>
          <w:p w14:paraId="01E619A6" w14:textId="77777777" w:rsidR="00D5362E" w:rsidRPr="00015EA8" w:rsidRDefault="00D5362E" w:rsidP="00172693">
            <w:pPr>
              <w:spacing w:after="120"/>
              <w:jc w:val="right"/>
              <w:rPr>
                <w:szCs w:val="26"/>
              </w:rPr>
            </w:pPr>
          </w:p>
          <w:p w14:paraId="19730C91" w14:textId="77777777" w:rsidR="00DD2C22" w:rsidRDefault="00DD2C22" w:rsidP="00172693">
            <w:pPr>
              <w:spacing w:after="120"/>
              <w:jc w:val="right"/>
              <w:rPr>
                <w:szCs w:val="26"/>
              </w:rPr>
            </w:pPr>
          </w:p>
          <w:p w14:paraId="7372B7C3" w14:textId="59E9082A" w:rsidR="00D5362E" w:rsidRPr="00015EA8" w:rsidRDefault="008B634A" w:rsidP="00172693">
            <w:pPr>
              <w:spacing w:after="120"/>
              <w:jc w:val="right"/>
              <w:rPr>
                <w:szCs w:val="26"/>
              </w:rPr>
            </w:pPr>
            <w:r>
              <w:rPr>
                <w:szCs w:val="26"/>
              </w:rPr>
              <w:t>2</w:t>
            </w:r>
            <w:r w:rsidR="00D5362E" w:rsidRPr="00015EA8">
              <w:rPr>
                <w:rStyle w:val="FootnoteReference"/>
              </w:rPr>
              <w:footnoteReference w:id="8"/>
            </w:r>
          </w:p>
        </w:tc>
        <w:tc>
          <w:tcPr>
            <w:tcW w:w="1506" w:type="dxa"/>
            <w:vMerge w:val="restart"/>
            <w:vAlign w:val="bottom"/>
          </w:tcPr>
          <w:p w14:paraId="1300B878" w14:textId="77777777" w:rsidR="00D5362E" w:rsidRPr="00015EA8" w:rsidRDefault="00D5362E" w:rsidP="00172693">
            <w:pPr>
              <w:spacing w:after="120"/>
              <w:jc w:val="right"/>
              <w:rPr>
                <w:szCs w:val="26"/>
              </w:rPr>
            </w:pPr>
          </w:p>
          <w:p w14:paraId="1DB18AF8" w14:textId="77777777" w:rsidR="00D5362E" w:rsidRPr="00015EA8" w:rsidRDefault="00D5362E" w:rsidP="00172693">
            <w:pPr>
              <w:spacing w:after="120"/>
              <w:jc w:val="right"/>
              <w:rPr>
                <w:szCs w:val="26"/>
              </w:rPr>
            </w:pPr>
          </w:p>
          <w:p w14:paraId="3F2D087D" w14:textId="77777777" w:rsidR="00D5362E" w:rsidRPr="00015EA8" w:rsidRDefault="00D5362E" w:rsidP="00172693">
            <w:pPr>
              <w:spacing w:after="120"/>
              <w:jc w:val="right"/>
              <w:rPr>
                <w:szCs w:val="26"/>
              </w:rPr>
            </w:pPr>
          </w:p>
          <w:p w14:paraId="3DAB6652" w14:textId="77777777" w:rsidR="00D5362E" w:rsidRPr="00015EA8" w:rsidRDefault="00D5362E" w:rsidP="00172693">
            <w:pPr>
              <w:spacing w:after="120"/>
              <w:jc w:val="right"/>
              <w:rPr>
                <w:szCs w:val="26"/>
              </w:rPr>
            </w:pPr>
          </w:p>
          <w:p w14:paraId="7381397E" w14:textId="77777777" w:rsidR="00D5362E" w:rsidRPr="00015EA8" w:rsidRDefault="00D5362E" w:rsidP="00172693">
            <w:pPr>
              <w:spacing w:after="120"/>
              <w:jc w:val="right"/>
              <w:rPr>
                <w:szCs w:val="26"/>
              </w:rPr>
            </w:pPr>
          </w:p>
          <w:p w14:paraId="6DB5C44F" w14:textId="77777777" w:rsidR="00DD2C22" w:rsidRDefault="00DD2C22" w:rsidP="00172693">
            <w:pPr>
              <w:spacing w:after="120"/>
              <w:jc w:val="right"/>
              <w:rPr>
                <w:szCs w:val="26"/>
              </w:rPr>
            </w:pPr>
          </w:p>
          <w:p w14:paraId="3F879195" w14:textId="77777777" w:rsidR="00D5362E" w:rsidRPr="00015EA8" w:rsidRDefault="00D5362E" w:rsidP="00172693">
            <w:pPr>
              <w:spacing w:after="120"/>
              <w:jc w:val="right"/>
              <w:rPr>
                <w:szCs w:val="26"/>
              </w:rPr>
            </w:pPr>
            <w:r w:rsidRPr="00015EA8">
              <w:rPr>
                <w:szCs w:val="26"/>
              </w:rPr>
              <w:t>1</w:t>
            </w:r>
          </w:p>
        </w:tc>
        <w:tc>
          <w:tcPr>
            <w:tcW w:w="1439" w:type="dxa"/>
            <w:vMerge w:val="restart"/>
            <w:vAlign w:val="bottom"/>
          </w:tcPr>
          <w:p w14:paraId="4EE8CFE1" w14:textId="77777777" w:rsidR="00D5362E" w:rsidRPr="00015EA8" w:rsidRDefault="00D5362E" w:rsidP="00172693">
            <w:pPr>
              <w:spacing w:after="120"/>
              <w:jc w:val="right"/>
              <w:rPr>
                <w:szCs w:val="26"/>
              </w:rPr>
            </w:pPr>
          </w:p>
          <w:p w14:paraId="547BC0E8" w14:textId="77777777" w:rsidR="00D5362E" w:rsidRPr="00015EA8" w:rsidRDefault="00D5362E" w:rsidP="00172693">
            <w:pPr>
              <w:spacing w:after="120"/>
              <w:jc w:val="right"/>
              <w:rPr>
                <w:szCs w:val="26"/>
              </w:rPr>
            </w:pPr>
          </w:p>
          <w:p w14:paraId="2AA459C7" w14:textId="77777777" w:rsidR="00D5362E" w:rsidRPr="00015EA8" w:rsidRDefault="00D5362E" w:rsidP="00172693">
            <w:pPr>
              <w:spacing w:after="120"/>
              <w:jc w:val="right"/>
              <w:rPr>
                <w:szCs w:val="26"/>
              </w:rPr>
            </w:pPr>
          </w:p>
          <w:p w14:paraId="7E14E46E" w14:textId="77777777" w:rsidR="00D5362E" w:rsidRPr="00015EA8" w:rsidRDefault="00D5362E" w:rsidP="00172693">
            <w:pPr>
              <w:spacing w:after="120"/>
              <w:jc w:val="right"/>
              <w:rPr>
                <w:szCs w:val="26"/>
              </w:rPr>
            </w:pPr>
          </w:p>
          <w:p w14:paraId="028C588F" w14:textId="77777777" w:rsidR="00D5362E" w:rsidRPr="00015EA8" w:rsidRDefault="00D5362E" w:rsidP="00172693">
            <w:pPr>
              <w:spacing w:after="120"/>
              <w:jc w:val="right"/>
              <w:rPr>
                <w:szCs w:val="26"/>
              </w:rPr>
            </w:pPr>
          </w:p>
          <w:p w14:paraId="7138ECED" w14:textId="77777777" w:rsidR="00DD2C22" w:rsidRDefault="00DD2C22" w:rsidP="00172693">
            <w:pPr>
              <w:spacing w:after="120"/>
              <w:jc w:val="right"/>
              <w:rPr>
                <w:szCs w:val="26"/>
              </w:rPr>
            </w:pPr>
          </w:p>
          <w:p w14:paraId="5D2E1E85" w14:textId="30FCFD58" w:rsidR="00D5362E" w:rsidRPr="00015EA8" w:rsidRDefault="00676094" w:rsidP="00172693">
            <w:pPr>
              <w:spacing w:after="120"/>
              <w:jc w:val="right"/>
              <w:rPr>
                <w:szCs w:val="26"/>
              </w:rPr>
            </w:pPr>
            <w:r>
              <w:rPr>
                <w:szCs w:val="26"/>
              </w:rPr>
              <w:t>2</w:t>
            </w:r>
          </w:p>
        </w:tc>
        <w:tc>
          <w:tcPr>
            <w:tcW w:w="1239" w:type="dxa"/>
            <w:vAlign w:val="bottom"/>
          </w:tcPr>
          <w:p w14:paraId="4D55B37A" w14:textId="77777777" w:rsidR="00D5362E" w:rsidRPr="00015EA8" w:rsidRDefault="00D5362E" w:rsidP="00172693">
            <w:pPr>
              <w:spacing w:after="120"/>
              <w:jc w:val="right"/>
              <w:rPr>
                <w:szCs w:val="26"/>
              </w:rPr>
            </w:pPr>
            <w:r w:rsidRPr="00015EA8">
              <w:rPr>
                <w:szCs w:val="26"/>
              </w:rPr>
              <w:lastRenderedPageBreak/>
              <w:t xml:space="preserve">46 hrs.  </w:t>
            </w:r>
          </w:p>
        </w:tc>
        <w:tc>
          <w:tcPr>
            <w:tcW w:w="1424" w:type="dxa"/>
            <w:vAlign w:val="bottom"/>
          </w:tcPr>
          <w:p w14:paraId="6BD33406" w14:textId="5BEB1D9E" w:rsidR="00D5362E" w:rsidRPr="00015EA8" w:rsidRDefault="008B634A" w:rsidP="00172693">
            <w:pPr>
              <w:spacing w:after="120"/>
              <w:jc w:val="right"/>
              <w:rPr>
                <w:szCs w:val="26"/>
              </w:rPr>
            </w:pPr>
            <w:r>
              <w:rPr>
                <w:szCs w:val="26"/>
              </w:rPr>
              <w:t>92</w:t>
            </w:r>
            <w:r w:rsidR="00D5362E" w:rsidRPr="00015EA8">
              <w:rPr>
                <w:szCs w:val="26"/>
              </w:rPr>
              <w:t xml:space="preserve"> hrs.   </w:t>
            </w:r>
          </w:p>
        </w:tc>
        <w:tc>
          <w:tcPr>
            <w:tcW w:w="1506" w:type="dxa"/>
            <w:vMerge w:val="restart"/>
            <w:vAlign w:val="bottom"/>
          </w:tcPr>
          <w:p w14:paraId="207FA8D1" w14:textId="77777777" w:rsidR="00D5362E" w:rsidRPr="00015EA8" w:rsidRDefault="00D5362E" w:rsidP="00172693">
            <w:pPr>
              <w:spacing w:after="120"/>
              <w:jc w:val="right"/>
              <w:rPr>
                <w:szCs w:val="26"/>
              </w:rPr>
            </w:pPr>
          </w:p>
          <w:p w14:paraId="5C7C1D49" w14:textId="77777777" w:rsidR="00D5362E" w:rsidRPr="00015EA8" w:rsidRDefault="00D5362E" w:rsidP="00172693">
            <w:pPr>
              <w:spacing w:after="120"/>
              <w:jc w:val="right"/>
              <w:rPr>
                <w:szCs w:val="26"/>
              </w:rPr>
            </w:pPr>
          </w:p>
          <w:p w14:paraId="207C5EAD" w14:textId="77777777" w:rsidR="00D5362E" w:rsidRPr="00015EA8" w:rsidRDefault="00D5362E" w:rsidP="00172693">
            <w:pPr>
              <w:spacing w:after="120"/>
              <w:jc w:val="right"/>
              <w:rPr>
                <w:szCs w:val="26"/>
              </w:rPr>
            </w:pPr>
          </w:p>
          <w:p w14:paraId="5E48CE90" w14:textId="77777777" w:rsidR="00D5362E" w:rsidRPr="00015EA8" w:rsidRDefault="00D5362E" w:rsidP="00172693">
            <w:pPr>
              <w:spacing w:after="120"/>
              <w:jc w:val="right"/>
              <w:rPr>
                <w:szCs w:val="26"/>
              </w:rPr>
            </w:pPr>
          </w:p>
          <w:p w14:paraId="2FE64565" w14:textId="77777777" w:rsidR="00DD2C22" w:rsidRDefault="00DD2C22" w:rsidP="00172693">
            <w:pPr>
              <w:spacing w:after="120"/>
              <w:jc w:val="right"/>
              <w:rPr>
                <w:szCs w:val="26"/>
              </w:rPr>
            </w:pPr>
          </w:p>
          <w:p w14:paraId="300112ED" w14:textId="77777777" w:rsidR="00DD2C22" w:rsidRDefault="00DD2C22" w:rsidP="00172693">
            <w:pPr>
              <w:spacing w:after="120"/>
              <w:jc w:val="right"/>
              <w:rPr>
                <w:szCs w:val="26"/>
              </w:rPr>
            </w:pPr>
          </w:p>
          <w:p w14:paraId="2A29619A" w14:textId="77777777" w:rsidR="00D5362E" w:rsidRPr="00015EA8" w:rsidRDefault="00D5362E" w:rsidP="00172693">
            <w:pPr>
              <w:spacing w:after="120"/>
              <w:jc w:val="right"/>
              <w:rPr>
                <w:szCs w:val="26"/>
              </w:rPr>
            </w:pPr>
            <w:r w:rsidRPr="00015EA8">
              <w:rPr>
                <w:szCs w:val="26"/>
              </w:rPr>
              <w:t>$3,243</w:t>
            </w:r>
          </w:p>
        </w:tc>
      </w:tr>
      <w:tr w:rsidR="00D5362E" w:rsidRPr="00015EA8" w14:paraId="0B15AA8F" w14:textId="77777777" w:rsidTr="00676094">
        <w:trPr>
          <w:cantSplit/>
          <w:trHeight w:val="1147"/>
        </w:trPr>
        <w:tc>
          <w:tcPr>
            <w:tcW w:w="1605" w:type="dxa"/>
            <w:vMerge/>
          </w:tcPr>
          <w:p w14:paraId="4DBD6986" w14:textId="77777777" w:rsidR="00D5362E" w:rsidRPr="00015EA8" w:rsidRDefault="00D5362E" w:rsidP="00172693">
            <w:pPr>
              <w:spacing w:after="120"/>
              <w:rPr>
                <w:szCs w:val="26"/>
              </w:rPr>
            </w:pPr>
          </w:p>
        </w:tc>
        <w:tc>
          <w:tcPr>
            <w:tcW w:w="1605" w:type="dxa"/>
            <w:vMerge/>
            <w:vAlign w:val="bottom"/>
          </w:tcPr>
          <w:p w14:paraId="7686280C" w14:textId="77777777" w:rsidR="00D5362E" w:rsidRPr="00015EA8" w:rsidRDefault="00D5362E" w:rsidP="00172693">
            <w:pPr>
              <w:spacing w:after="120"/>
              <w:jc w:val="right"/>
              <w:rPr>
                <w:szCs w:val="26"/>
              </w:rPr>
            </w:pPr>
          </w:p>
        </w:tc>
        <w:tc>
          <w:tcPr>
            <w:tcW w:w="1506" w:type="dxa"/>
            <w:vMerge/>
            <w:vAlign w:val="bottom"/>
          </w:tcPr>
          <w:p w14:paraId="13BB438E" w14:textId="77777777" w:rsidR="00D5362E" w:rsidRPr="00015EA8" w:rsidRDefault="00D5362E" w:rsidP="00172693">
            <w:pPr>
              <w:spacing w:after="120"/>
              <w:jc w:val="right"/>
              <w:rPr>
                <w:szCs w:val="26"/>
              </w:rPr>
            </w:pPr>
          </w:p>
        </w:tc>
        <w:tc>
          <w:tcPr>
            <w:tcW w:w="1439" w:type="dxa"/>
            <w:vMerge/>
            <w:vAlign w:val="bottom"/>
          </w:tcPr>
          <w:p w14:paraId="121B6758" w14:textId="77777777" w:rsidR="00D5362E" w:rsidRPr="00015EA8" w:rsidRDefault="00D5362E" w:rsidP="00172693">
            <w:pPr>
              <w:spacing w:after="120"/>
              <w:jc w:val="right"/>
              <w:rPr>
                <w:szCs w:val="26"/>
              </w:rPr>
            </w:pPr>
          </w:p>
        </w:tc>
        <w:tc>
          <w:tcPr>
            <w:tcW w:w="1239" w:type="dxa"/>
            <w:vAlign w:val="bottom"/>
          </w:tcPr>
          <w:p w14:paraId="40585CC2" w14:textId="77777777" w:rsidR="00D5362E" w:rsidRPr="00015EA8" w:rsidRDefault="00D5362E" w:rsidP="00172693">
            <w:pPr>
              <w:spacing w:after="120"/>
              <w:jc w:val="right"/>
              <w:rPr>
                <w:szCs w:val="26"/>
              </w:rPr>
            </w:pPr>
            <w:r w:rsidRPr="00015EA8">
              <w:rPr>
                <w:szCs w:val="26"/>
              </w:rPr>
              <w:t>$3,243</w:t>
            </w:r>
          </w:p>
        </w:tc>
        <w:tc>
          <w:tcPr>
            <w:tcW w:w="1424" w:type="dxa"/>
            <w:vAlign w:val="bottom"/>
          </w:tcPr>
          <w:p w14:paraId="18EB4463" w14:textId="65DC1D46" w:rsidR="00D5362E" w:rsidRPr="00015EA8" w:rsidRDefault="00D5362E" w:rsidP="008B634A">
            <w:pPr>
              <w:spacing w:after="120"/>
              <w:jc w:val="right"/>
              <w:rPr>
                <w:szCs w:val="26"/>
              </w:rPr>
            </w:pPr>
            <w:r w:rsidRPr="00015EA8">
              <w:rPr>
                <w:szCs w:val="26"/>
              </w:rPr>
              <w:t>$</w:t>
            </w:r>
            <w:r w:rsidR="008B634A">
              <w:rPr>
                <w:szCs w:val="26"/>
              </w:rPr>
              <w:t>6,486</w:t>
            </w:r>
          </w:p>
        </w:tc>
        <w:tc>
          <w:tcPr>
            <w:tcW w:w="1506" w:type="dxa"/>
            <w:vMerge/>
            <w:vAlign w:val="bottom"/>
          </w:tcPr>
          <w:p w14:paraId="14AB4F80" w14:textId="77777777" w:rsidR="00D5362E" w:rsidRPr="00015EA8" w:rsidRDefault="00D5362E" w:rsidP="00172693">
            <w:pPr>
              <w:spacing w:after="120"/>
              <w:jc w:val="right"/>
              <w:rPr>
                <w:szCs w:val="26"/>
              </w:rPr>
            </w:pPr>
          </w:p>
        </w:tc>
      </w:tr>
      <w:tr w:rsidR="00D5362E" w:rsidRPr="00015EA8" w14:paraId="15BCEB6E" w14:textId="77777777" w:rsidTr="00B839E0">
        <w:trPr>
          <w:cantSplit/>
          <w:trHeight w:val="1790"/>
        </w:trPr>
        <w:tc>
          <w:tcPr>
            <w:tcW w:w="1605" w:type="dxa"/>
            <w:vMerge w:val="restart"/>
          </w:tcPr>
          <w:p w14:paraId="593CE73F" w14:textId="77777777" w:rsidR="00D5362E" w:rsidRPr="00015EA8" w:rsidDel="00D27855" w:rsidRDefault="00D5362E" w:rsidP="00172693">
            <w:pPr>
              <w:spacing w:after="120"/>
              <w:rPr>
                <w:szCs w:val="26"/>
              </w:rPr>
            </w:pPr>
            <w:r w:rsidRPr="00015EA8">
              <w:rPr>
                <w:szCs w:val="26"/>
              </w:rPr>
              <w:lastRenderedPageBreak/>
              <w:t xml:space="preserve">Small conduit exemption holder—notice to fed. agencies of petition to surrender and steps to be taken to restore lands </w:t>
            </w:r>
          </w:p>
        </w:tc>
        <w:tc>
          <w:tcPr>
            <w:tcW w:w="1605" w:type="dxa"/>
            <w:vMerge w:val="restart"/>
            <w:vAlign w:val="bottom"/>
          </w:tcPr>
          <w:p w14:paraId="108037AD" w14:textId="77777777" w:rsidR="00D5362E" w:rsidRPr="00015EA8" w:rsidRDefault="00D5362E" w:rsidP="00172693">
            <w:pPr>
              <w:spacing w:after="120"/>
              <w:jc w:val="right"/>
              <w:rPr>
                <w:szCs w:val="26"/>
              </w:rPr>
            </w:pPr>
            <w:r w:rsidRPr="00015EA8">
              <w:rPr>
                <w:szCs w:val="26"/>
              </w:rPr>
              <w:t>1</w:t>
            </w:r>
          </w:p>
        </w:tc>
        <w:tc>
          <w:tcPr>
            <w:tcW w:w="1506" w:type="dxa"/>
            <w:vMerge w:val="restart"/>
            <w:vAlign w:val="bottom"/>
          </w:tcPr>
          <w:p w14:paraId="21E4AEE2" w14:textId="77777777" w:rsidR="00D5362E" w:rsidRPr="00015EA8" w:rsidRDefault="00D5362E" w:rsidP="00172693">
            <w:pPr>
              <w:spacing w:after="120"/>
              <w:jc w:val="right"/>
              <w:rPr>
                <w:szCs w:val="26"/>
              </w:rPr>
            </w:pPr>
            <w:r w:rsidRPr="00015EA8">
              <w:rPr>
                <w:szCs w:val="26"/>
              </w:rPr>
              <w:t>0.1</w:t>
            </w:r>
            <w:r w:rsidRPr="00015EA8">
              <w:rPr>
                <w:rStyle w:val="FootnoteReference"/>
              </w:rPr>
              <w:footnoteReference w:id="9"/>
            </w:r>
          </w:p>
        </w:tc>
        <w:tc>
          <w:tcPr>
            <w:tcW w:w="1439" w:type="dxa"/>
            <w:vMerge w:val="restart"/>
            <w:vAlign w:val="bottom"/>
          </w:tcPr>
          <w:p w14:paraId="5D15CF12" w14:textId="77777777" w:rsidR="00D5362E" w:rsidRPr="00015EA8" w:rsidRDefault="00D5362E" w:rsidP="00172693">
            <w:pPr>
              <w:spacing w:after="120"/>
              <w:jc w:val="right"/>
              <w:rPr>
                <w:szCs w:val="26"/>
              </w:rPr>
            </w:pPr>
            <w:r w:rsidRPr="00015EA8">
              <w:rPr>
                <w:szCs w:val="26"/>
              </w:rPr>
              <w:t>0.1</w:t>
            </w:r>
          </w:p>
        </w:tc>
        <w:tc>
          <w:tcPr>
            <w:tcW w:w="1239" w:type="dxa"/>
            <w:vAlign w:val="bottom"/>
          </w:tcPr>
          <w:p w14:paraId="28B5BD82" w14:textId="77777777" w:rsidR="00D5362E" w:rsidRPr="00015EA8" w:rsidRDefault="00D5362E" w:rsidP="00172693">
            <w:pPr>
              <w:spacing w:after="120"/>
              <w:jc w:val="right"/>
              <w:rPr>
                <w:szCs w:val="26"/>
              </w:rPr>
            </w:pPr>
            <w:r w:rsidRPr="00015EA8">
              <w:rPr>
                <w:szCs w:val="26"/>
              </w:rPr>
              <w:t xml:space="preserve">46 hrs. </w:t>
            </w:r>
          </w:p>
        </w:tc>
        <w:tc>
          <w:tcPr>
            <w:tcW w:w="1424" w:type="dxa"/>
            <w:tcBorders>
              <w:bottom w:val="single" w:sz="4" w:space="0" w:color="auto"/>
            </w:tcBorders>
            <w:vAlign w:val="bottom"/>
          </w:tcPr>
          <w:p w14:paraId="5F33E124" w14:textId="77777777" w:rsidR="00D5362E" w:rsidRPr="00015EA8" w:rsidRDefault="00D5362E" w:rsidP="00172693">
            <w:pPr>
              <w:spacing w:after="120"/>
              <w:jc w:val="right"/>
              <w:rPr>
                <w:szCs w:val="26"/>
              </w:rPr>
            </w:pPr>
            <w:r w:rsidRPr="00015EA8">
              <w:rPr>
                <w:szCs w:val="26"/>
              </w:rPr>
              <w:t>4.6 hrs.</w:t>
            </w:r>
            <w:r w:rsidRPr="00015EA8">
              <w:rPr>
                <w:rStyle w:val="FootnoteReference"/>
              </w:rPr>
              <w:t xml:space="preserve"> </w:t>
            </w:r>
          </w:p>
        </w:tc>
        <w:tc>
          <w:tcPr>
            <w:tcW w:w="1506" w:type="dxa"/>
            <w:vMerge w:val="restart"/>
            <w:vAlign w:val="bottom"/>
          </w:tcPr>
          <w:p w14:paraId="645115C4" w14:textId="77777777" w:rsidR="00D5362E" w:rsidRPr="00015EA8" w:rsidRDefault="00D5362E" w:rsidP="00172693">
            <w:pPr>
              <w:spacing w:after="120"/>
              <w:jc w:val="right"/>
              <w:rPr>
                <w:szCs w:val="26"/>
              </w:rPr>
            </w:pPr>
            <w:r w:rsidRPr="00015EA8">
              <w:rPr>
                <w:szCs w:val="26"/>
              </w:rPr>
              <w:t xml:space="preserve">$324  </w:t>
            </w:r>
          </w:p>
        </w:tc>
      </w:tr>
      <w:tr w:rsidR="00D5362E" w:rsidRPr="00015EA8" w14:paraId="28CC6E71" w14:textId="77777777" w:rsidTr="00676094">
        <w:trPr>
          <w:cantSplit/>
          <w:trHeight w:val="1550"/>
        </w:trPr>
        <w:tc>
          <w:tcPr>
            <w:tcW w:w="1605" w:type="dxa"/>
            <w:vMerge/>
            <w:tcBorders>
              <w:bottom w:val="single" w:sz="4" w:space="0" w:color="auto"/>
            </w:tcBorders>
          </w:tcPr>
          <w:p w14:paraId="0BA08BAB" w14:textId="77777777" w:rsidR="00D5362E" w:rsidRPr="00015EA8" w:rsidRDefault="00D5362E" w:rsidP="00172693">
            <w:pPr>
              <w:spacing w:after="120"/>
              <w:rPr>
                <w:szCs w:val="26"/>
              </w:rPr>
            </w:pPr>
          </w:p>
        </w:tc>
        <w:tc>
          <w:tcPr>
            <w:tcW w:w="1605" w:type="dxa"/>
            <w:vMerge/>
            <w:tcBorders>
              <w:bottom w:val="single" w:sz="4" w:space="0" w:color="auto"/>
            </w:tcBorders>
            <w:vAlign w:val="bottom"/>
          </w:tcPr>
          <w:p w14:paraId="291AD525" w14:textId="77777777" w:rsidR="00D5362E" w:rsidRPr="00015EA8" w:rsidRDefault="00D5362E" w:rsidP="00172693">
            <w:pPr>
              <w:spacing w:after="120"/>
              <w:jc w:val="right"/>
              <w:rPr>
                <w:szCs w:val="26"/>
              </w:rPr>
            </w:pPr>
          </w:p>
        </w:tc>
        <w:tc>
          <w:tcPr>
            <w:tcW w:w="1506" w:type="dxa"/>
            <w:vMerge/>
            <w:tcBorders>
              <w:bottom w:val="single" w:sz="4" w:space="0" w:color="auto"/>
            </w:tcBorders>
            <w:vAlign w:val="bottom"/>
          </w:tcPr>
          <w:p w14:paraId="056FC4DC" w14:textId="77777777" w:rsidR="00D5362E" w:rsidRPr="00015EA8" w:rsidRDefault="00D5362E" w:rsidP="00172693">
            <w:pPr>
              <w:spacing w:after="120"/>
              <w:jc w:val="right"/>
              <w:rPr>
                <w:szCs w:val="26"/>
              </w:rPr>
            </w:pPr>
          </w:p>
        </w:tc>
        <w:tc>
          <w:tcPr>
            <w:tcW w:w="1439" w:type="dxa"/>
            <w:vMerge/>
            <w:tcBorders>
              <w:bottom w:val="single" w:sz="4" w:space="0" w:color="auto"/>
            </w:tcBorders>
            <w:vAlign w:val="bottom"/>
          </w:tcPr>
          <w:p w14:paraId="2BDFEC49" w14:textId="77777777" w:rsidR="00D5362E" w:rsidRPr="00015EA8" w:rsidRDefault="00D5362E" w:rsidP="00172693">
            <w:pPr>
              <w:spacing w:after="120"/>
              <w:jc w:val="right"/>
              <w:rPr>
                <w:szCs w:val="26"/>
              </w:rPr>
            </w:pPr>
          </w:p>
        </w:tc>
        <w:tc>
          <w:tcPr>
            <w:tcW w:w="1239" w:type="dxa"/>
            <w:tcBorders>
              <w:bottom w:val="single" w:sz="4" w:space="0" w:color="auto"/>
            </w:tcBorders>
            <w:vAlign w:val="bottom"/>
          </w:tcPr>
          <w:p w14:paraId="4878877B" w14:textId="77777777" w:rsidR="00D5362E" w:rsidRPr="00015EA8" w:rsidRDefault="00D5362E" w:rsidP="00172693">
            <w:pPr>
              <w:spacing w:after="120"/>
              <w:jc w:val="right"/>
              <w:rPr>
                <w:szCs w:val="26"/>
              </w:rPr>
            </w:pPr>
            <w:r w:rsidRPr="00015EA8">
              <w:rPr>
                <w:szCs w:val="26"/>
              </w:rPr>
              <w:t xml:space="preserve">$3,243  </w:t>
            </w:r>
          </w:p>
        </w:tc>
        <w:tc>
          <w:tcPr>
            <w:tcW w:w="1424" w:type="dxa"/>
            <w:tcBorders>
              <w:bottom w:val="single" w:sz="4" w:space="0" w:color="auto"/>
            </w:tcBorders>
            <w:vAlign w:val="bottom"/>
          </w:tcPr>
          <w:p w14:paraId="52F26727" w14:textId="77777777" w:rsidR="00D5362E" w:rsidRPr="00015EA8" w:rsidRDefault="00D5362E" w:rsidP="00172693">
            <w:pPr>
              <w:spacing w:after="120"/>
              <w:jc w:val="right"/>
              <w:rPr>
                <w:szCs w:val="26"/>
              </w:rPr>
            </w:pPr>
            <w:r w:rsidRPr="00015EA8">
              <w:rPr>
                <w:szCs w:val="26"/>
              </w:rPr>
              <w:t xml:space="preserve">$324  </w:t>
            </w:r>
          </w:p>
        </w:tc>
        <w:tc>
          <w:tcPr>
            <w:tcW w:w="1506" w:type="dxa"/>
            <w:vMerge/>
            <w:tcBorders>
              <w:bottom w:val="single" w:sz="4" w:space="0" w:color="auto"/>
            </w:tcBorders>
            <w:vAlign w:val="bottom"/>
          </w:tcPr>
          <w:p w14:paraId="386C2B78" w14:textId="77777777" w:rsidR="00D5362E" w:rsidRPr="00015EA8" w:rsidRDefault="00D5362E" w:rsidP="00172693">
            <w:pPr>
              <w:spacing w:after="120"/>
              <w:jc w:val="right"/>
              <w:rPr>
                <w:szCs w:val="26"/>
              </w:rPr>
            </w:pPr>
          </w:p>
        </w:tc>
      </w:tr>
      <w:tr w:rsidR="00D5362E" w:rsidRPr="00015EA8" w14:paraId="2029A80F" w14:textId="77777777" w:rsidTr="00B839E0">
        <w:trPr>
          <w:cantSplit/>
          <w:trHeight w:val="1610"/>
        </w:trPr>
        <w:tc>
          <w:tcPr>
            <w:tcW w:w="1605" w:type="dxa"/>
            <w:vMerge w:val="restart"/>
          </w:tcPr>
          <w:p w14:paraId="45B5A258" w14:textId="72BE1DA3" w:rsidR="00D5362E" w:rsidRPr="00015EA8" w:rsidRDefault="00D5362E" w:rsidP="00015EA8">
            <w:pPr>
              <w:spacing w:after="120"/>
              <w:rPr>
                <w:szCs w:val="26"/>
              </w:rPr>
            </w:pPr>
            <w:r w:rsidRPr="00015EA8">
              <w:rPr>
                <w:szCs w:val="26"/>
              </w:rPr>
              <w:lastRenderedPageBreak/>
              <w:t>Small hydroelectric power project exemption applications (greater than 5 MW and up to 10 MW)</w:t>
            </w:r>
          </w:p>
        </w:tc>
        <w:tc>
          <w:tcPr>
            <w:tcW w:w="1605" w:type="dxa"/>
            <w:vMerge w:val="restart"/>
            <w:vAlign w:val="bottom"/>
          </w:tcPr>
          <w:p w14:paraId="6421D3C5" w14:textId="04541625" w:rsidR="00D5362E" w:rsidRPr="00015EA8" w:rsidRDefault="00D5362E" w:rsidP="00172693">
            <w:pPr>
              <w:spacing w:after="120"/>
              <w:jc w:val="right"/>
              <w:rPr>
                <w:szCs w:val="26"/>
              </w:rPr>
            </w:pPr>
            <w:r w:rsidRPr="00015EA8">
              <w:rPr>
                <w:szCs w:val="26"/>
              </w:rPr>
              <w:t>2</w:t>
            </w:r>
            <w:r w:rsidR="00127B7B" w:rsidRPr="00015EA8">
              <w:rPr>
                <w:rStyle w:val="FootnoteReference"/>
              </w:rPr>
              <w:footnoteReference w:id="10"/>
            </w:r>
          </w:p>
        </w:tc>
        <w:tc>
          <w:tcPr>
            <w:tcW w:w="1506" w:type="dxa"/>
            <w:vMerge w:val="restart"/>
            <w:vAlign w:val="bottom"/>
          </w:tcPr>
          <w:p w14:paraId="00C6298D" w14:textId="77777777" w:rsidR="00D5362E" w:rsidRPr="00015EA8" w:rsidRDefault="00D5362E" w:rsidP="00172693">
            <w:pPr>
              <w:spacing w:after="120"/>
              <w:jc w:val="right"/>
              <w:rPr>
                <w:szCs w:val="26"/>
              </w:rPr>
            </w:pPr>
            <w:r w:rsidRPr="00015EA8">
              <w:rPr>
                <w:szCs w:val="26"/>
              </w:rPr>
              <w:t>1</w:t>
            </w:r>
          </w:p>
        </w:tc>
        <w:tc>
          <w:tcPr>
            <w:tcW w:w="1439" w:type="dxa"/>
            <w:vMerge w:val="restart"/>
            <w:vAlign w:val="bottom"/>
          </w:tcPr>
          <w:p w14:paraId="4D34B8CC" w14:textId="77777777" w:rsidR="00D5362E" w:rsidRPr="00015EA8" w:rsidDel="001A7B44" w:rsidRDefault="00D5362E" w:rsidP="00172693">
            <w:pPr>
              <w:spacing w:after="120"/>
              <w:jc w:val="right"/>
              <w:rPr>
                <w:szCs w:val="26"/>
              </w:rPr>
            </w:pPr>
            <w:r w:rsidRPr="00015EA8">
              <w:rPr>
                <w:szCs w:val="26"/>
              </w:rPr>
              <w:t>2</w:t>
            </w:r>
          </w:p>
        </w:tc>
        <w:tc>
          <w:tcPr>
            <w:tcW w:w="1239" w:type="dxa"/>
            <w:vAlign w:val="bottom"/>
          </w:tcPr>
          <w:p w14:paraId="7AA25B40" w14:textId="77777777" w:rsidR="00D5362E" w:rsidRPr="00015EA8" w:rsidRDefault="00D5362E" w:rsidP="00172693">
            <w:pPr>
              <w:spacing w:after="120"/>
              <w:jc w:val="right"/>
              <w:rPr>
                <w:szCs w:val="26"/>
              </w:rPr>
            </w:pPr>
            <w:r w:rsidRPr="00015EA8">
              <w:rPr>
                <w:szCs w:val="26"/>
              </w:rPr>
              <w:t xml:space="preserve">46 hrs.   </w:t>
            </w:r>
          </w:p>
        </w:tc>
        <w:tc>
          <w:tcPr>
            <w:tcW w:w="1424" w:type="dxa"/>
            <w:tcBorders>
              <w:bottom w:val="single" w:sz="4" w:space="0" w:color="auto"/>
            </w:tcBorders>
            <w:vAlign w:val="bottom"/>
          </w:tcPr>
          <w:p w14:paraId="41939631" w14:textId="77777777" w:rsidR="00D5362E" w:rsidRPr="00015EA8" w:rsidRDefault="00D5362E" w:rsidP="00172693">
            <w:pPr>
              <w:spacing w:after="120"/>
              <w:jc w:val="right"/>
              <w:rPr>
                <w:szCs w:val="26"/>
              </w:rPr>
            </w:pPr>
            <w:r w:rsidRPr="00015EA8">
              <w:rPr>
                <w:szCs w:val="26"/>
              </w:rPr>
              <w:t xml:space="preserve">92 hrs.    </w:t>
            </w:r>
          </w:p>
        </w:tc>
        <w:tc>
          <w:tcPr>
            <w:tcW w:w="1506" w:type="dxa"/>
            <w:vMerge w:val="restart"/>
            <w:vAlign w:val="bottom"/>
          </w:tcPr>
          <w:p w14:paraId="55F5BDE0" w14:textId="77777777" w:rsidR="00D5362E" w:rsidRPr="00015EA8" w:rsidRDefault="00D5362E" w:rsidP="00172693">
            <w:pPr>
              <w:spacing w:after="120"/>
              <w:jc w:val="right"/>
              <w:rPr>
                <w:szCs w:val="26"/>
              </w:rPr>
            </w:pPr>
          </w:p>
          <w:p w14:paraId="4F821FAD" w14:textId="77777777" w:rsidR="00D5362E" w:rsidRPr="00015EA8" w:rsidRDefault="00D5362E" w:rsidP="00172693">
            <w:pPr>
              <w:spacing w:after="120"/>
              <w:jc w:val="right"/>
              <w:rPr>
                <w:szCs w:val="26"/>
              </w:rPr>
            </w:pPr>
          </w:p>
          <w:p w14:paraId="4E061FDD" w14:textId="77777777" w:rsidR="00D5362E" w:rsidRPr="00015EA8" w:rsidRDefault="00D5362E" w:rsidP="00172693">
            <w:pPr>
              <w:spacing w:after="120"/>
              <w:jc w:val="right"/>
              <w:rPr>
                <w:szCs w:val="26"/>
              </w:rPr>
            </w:pPr>
          </w:p>
          <w:p w14:paraId="5C015054" w14:textId="77777777" w:rsidR="00D5362E" w:rsidRPr="00015EA8" w:rsidRDefault="00D5362E" w:rsidP="00172693">
            <w:pPr>
              <w:spacing w:after="120"/>
              <w:jc w:val="right"/>
              <w:rPr>
                <w:szCs w:val="26"/>
              </w:rPr>
            </w:pPr>
          </w:p>
          <w:p w14:paraId="397387B3" w14:textId="77777777" w:rsidR="00D5362E" w:rsidRPr="00015EA8" w:rsidRDefault="00D5362E" w:rsidP="00172693">
            <w:pPr>
              <w:spacing w:after="120"/>
              <w:jc w:val="right"/>
              <w:rPr>
                <w:szCs w:val="26"/>
              </w:rPr>
            </w:pPr>
            <w:r w:rsidRPr="00015EA8">
              <w:rPr>
                <w:szCs w:val="26"/>
              </w:rPr>
              <w:t>$3,243</w:t>
            </w:r>
          </w:p>
        </w:tc>
      </w:tr>
      <w:tr w:rsidR="00D5362E" w:rsidRPr="00015EA8" w14:paraId="03509977" w14:textId="77777777" w:rsidTr="00676094">
        <w:trPr>
          <w:cantSplit/>
          <w:trHeight w:val="1043"/>
        </w:trPr>
        <w:tc>
          <w:tcPr>
            <w:tcW w:w="1605" w:type="dxa"/>
            <w:vMerge/>
            <w:tcBorders>
              <w:bottom w:val="single" w:sz="4" w:space="0" w:color="auto"/>
            </w:tcBorders>
          </w:tcPr>
          <w:p w14:paraId="79210C9B" w14:textId="77777777" w:rsidR="00D5362E" w:rsidRPr="00015EA8" w:rsidRDefault="00D5362E" w:rsidP="00172693">
            <w:pPr>
              <w:spacing w:after="120"/>
              <w:rPr>
                <w:szCs w:val="26"/>
              </w:rPr>
            </w:pPr>
          </w:p>
        </w:tc>
        <w:tc>
          <w:tcPr>
            <w:tcW w:w="1605" w:type="dxa"/>
            <w:vMerge/>
            <w:tcBorders>
              <w:bottom w:val="single" w:sz="4" w:space="0" w:color="auto"/>
            </w:tcBorders>
            <w:vAlign w:val="bottom"/>
          </w:tcPr>
          <w:p w14:paraId="03ED8941" w14:textId="77777777" w:rsidR="00D5362E" w:rsidRPr="00015EA8" w:rsidRDefault="00D5362E" w:rsidP="00172693">
            <w:pPr>
              <w:spacing w:after="120"/>
              <w:jc w:val="right"/>
              <w:rPr>
                <w:szCs w:val="26"/>
              </w:rPr>
            </w:pPr>
          </w:p>
        </w:tc>
        <w:tc>
          <w:tcPr>
            <w:tcW w:w="1506" w:type="dxa"/>
            <w:vMerge/>
            <w:tcBorders>
              <w:bottom w:val="single" w:sz="4" w:space="0" w:color="auto"/>
            </w:tcBorders>
            <w:vAlign w:val="bottom"/>
          </w:tcPr>
          <w:p w14:paraId="4AB72827" w14:textId="77777777" w:rsidR="00D5362E" w:rsidRPr="00015EA8" w:rsidRDefault="00D5362E" w:rsidP="00172693">
            <w:pPr>
              <w:spacing w:after="120"/>
              <w:jc w:val="right"/>
              <w:rPr>
                <w:szCs w:val="26"/>
              </w:rPr>
            </w:pPr>
          </w:p>
        </w:tc>
        <w:tc>
          <w:tcPr>
            <w:tcW w:w="1439" w:type="dxa"/>
            <w:vMerge/>
            <w:tcBorders>
              <w:bottom w:val="single" w:sz="4" w:space="0" w:color="auto"/>
            </w:tcBorders>
            <w:vAlign w:val="bottom"/>
          </w:tcPr>
          <w:p w14:paraId="6F8C3A14" w14:textId="77777777" w:rsidR="00D5362E" w:rsidRPr="00015EA8" w:rsidRDefault="00D5362E" w:rsidP="00172693">
            <w:pPr>
              <w:spacing w:after="120"/>
              <w:jc w:val="right"/>
              <w:rPr>
                <w:szCs w:val="26"/>
              </w:rPr>
            </w:pPr>
          </w:p>
        </w:tc>
        <w:tc>
          <w:tcPr>
            <w:tcW w:w="1239" w:type="dxa"/>
            <w:tcBorders>
              <w:bottom w:val="single" w:sz="4" w:space="0" w:color="auto"/>
            </w:tcBorders>
            <w:vAlign w:val="bottom"/>
          </w:tcPr>
          <w:p w14:paraId="719D1044" w14:textId="77777777" w:rsidR="00D5362E" w:rsidRPr="00015EA8" w:rsidRDefault="00D5362E" w:rsidP="00172693">
            <w:pPr>
              <w:spacing w:after="120"/>
              <w:jc w:val="right"/>
              <w:rPr>
                <w:szCs w:val="26"/>
              </w:rPr>
            </w:pPr>
            <w:r w:rsidRPr="00015EA8">
              <w:rPr>
                <w:szCs w:val="26"/>
              </w:rPr>
              <w:t>$3,243</w:t>
            </w:r>
          </w:p>
        </w:tc>
        <w:tc>
          <w:tcPr>
            <w:tcW w:w="1424" w:type="dxa"/>
            <w:tcBorders>
              <w:bottom w:val="single" w:sz="4" w:space="0" w:color="auto"/>
            </w:tcBorders>
            <w:vAlign w:val="bottom"/>
          </w:tcPr>
          <w:p w14:paraId="3185FC69" w14:textId="77777777" w:rsidR="00D5362E" w:rsidRPr="00015EA8" w:rsidRDefault="00D5362E" w:rsidP="00172693">
            <w:pPr>
              <w:spacing w:after="120"/>
              <w:jc w:val="right"/>
              <w:rPr>
                <w:szCs w:val="26"/>
              </w:rPr>
            </w:pPr>
            <w:r w:rsidRPr="00015EA8">
              <w:rPr>
                <w:szCs w:val="26"/>
              </w:rPr>
              <w:t>$6,486</w:t>
            </w:r>
          </w:p>
        </w:tc>
        <w:tc>
          <w:tcPr>
            <w:tcW w:w="1506" w:type="dxa"/>
            <w:vMerge/>
            <w:tcBorders>
              <w:bottom w:val="single" w:sz="4" w:space="0" w:color="auto"/>
            </w:tcBorders>
            <w:vAlign w:val="bottom"/>
          </w:tcPr>
          <w:p w14:paraId="7C311DC9" w14:textId="77777777" w:rsidR="00D5362E" w:rsidRPr="00015EA8" w:rsidRDefault="00D5362E" w:rsidP="00172693">
            <w:pPr>
              <w:spacing w:after="120"/>
              <w:jc w:val="right"/>
              <w:rPr>
                <w:szCs w:val="26"/>
              </w:rPr>
            </w:pPr>
          </w:p>
        </w:tc>
      </w:tr>
      <w:tr w:rsidR="00D5362E" w:rsidRPr="00015EA8" w14:paraId="7071C79B" w14:textId="77777777" w:rsidTr="00676094">
        <w:trPr>
          <w:cantSplit/>
          <w:trHeight w:val="929"/>
        </w:trPr>
        <w:tc>
          <w:tcPr>
            <w:tcW w:w="1605" w:type="dxa"/>
            <w:vMerge w:val="restart"/>
          </w:tcPr>
          <w:p w14:paraId="461C1DDB" w14:textId="77777777" w:rsidR="00D5362E" w:rsidRPr="00015EA8" w:rsidRDefault="00D5362E" w:rsidP="00172693">
            <w:pPr>
              <w:spacing w:after="120"/>
              <w:rPr>
                <w:szCs w:val="26"/>
              </w:rPr>
            </w:pPr>
            <w:r w:rsidRPr="00015EA8">
              <w:rPr>
                <w:szCs w:val="26"/>
              </w:rPr>
              <w:t>Qualifying conduit hydropower facility -notices of intent</w:t>
            </w:r>
            <w:r w:rsidRPr="00015EA8">
              <w:rPr>
                <w:rStyle w:val="FootnoteReference"/>
              </w:rPr>
              <w:footnoteReference w:id="11"/>
            </w:r>
          </w:p>
        </w:tc>
        <w:tc>
          <w:tcPr>
            <w:tcW w:w="1605" w:type="dxa"/>
            <w:vMerge w:val="restart"/>
            <w:vAlign w:val="bottom"/>
          </w:tcPr>
          <w:p w14:paraId="3FB23A2B" w14:textId="77777777" w:rsidR="00D5362E" w:rsidRPr="00015EA8" w:rsidRDefault="00D5362E" w:rsidP="00172693">
            <w:pPr>
              <w:spacing w:after="120"/>
              <w:jc w:val="right"/>
              <w:rPr>
                <w:szCs w:val="26"/>
              </w:rPr>
            </w:pPr>
          </w:p>
          <w:p w14:paraId="336E6BC6" w14:textId="77777777" w:rsidR="00D5362E" w:rsidRPr="00015EA8" w:rsidRDefault="00D5362E" w:rsidP="00172693">
            <w:pPr>
              <w:spacing w:after="120"/>
              <w:jc w:val="right"/>
              <w:rPr>
                <w:szCs w:val="26"/>
              </w:rPr>
            </w:pPr>
          </w:p>
          <w:p w14:paraId="2E2950D7" w14:textId="77777777" w:rsidR="00D5362E" w:rsidRPr="00015EA8" w:rsidRDefault="00D5362E" w:rsidP="00172693">
            <w:pPr>
              <w:spacing w:after="120"/>
              <w:jc w:val="right"/>
              <w:rPr>
                <w:szCs w:val="26"/>
              </w:rPr>
            </w:pPr>
            <w:r w:rsidRPr="00015EA8">
              <w:rPr>
                <w:szCs w:val="26"/>
              </w:rPr>
              <w:t>8</w:t>
            </w:r>
            <w:r w:rsidRPr="00015EA8">
              <w:rPr>
                <w:rStyle w:val="FootnoteReference"/>
              </w:rPr>
              <w:footnoteReference w:id="12"/>
            </w:r>
          </w:p>
        </w:tc>
        <w:tc>
          <w:tcPr>
            <w:tcW w:w="1506" w:type="dxa"/>
            <w:vMerge w:val="restart"/>
            <w:vAlign w:val="bottom"/>
          </w:tcPr>
          <w:p w14:paraId="020F0DA5" w14:textId="77777777" w:rsidR="00D5362E" w:rsidRPr="00015EA8" w:rsidRDefault="00D5362E" w:rsidP="00172693">
            <w:pPr>
              <w:spacing w:after="120"/>
              <w:jc w:val="right"/>
              <w:rPr>
                <w:szCs w:val="26"/>
              </w:rPr>
            </w:pPr>
          </w:p>
          <w:p w14:paraId="168B15A3" w14:textId="77777777" w:rsidR="00D5362E" w:rsidRPr="00015EA8" w:rsidRDefault="00D5362E" w:rsidP="00172693">
            <w:pPr>
              <w:spacing w:after="120"/>
              <w:jc w:val="right"/>
              <w:rPr>
                <w:szCs w:val="26"/>
              </w:rPr>
            </w:pPr>
          </w:p>
          <w:p w14:paraId="70C9C583" w14:textId="77777777" w:rsidR="00D5362E" w:rsidRPr="00015EA8" w:rsidRDefault="00D5362E" w:rsidP="00172693">
            <w:pPr>
              <w:spacing w:after="120"/>
              <w:jc w:val="right"/>
              <w:rPr>
                <w:szCs w:val="26"/>
              </w:rPr>
            </w:pPr>
          </w:p>
          <w:p w14:paraId="07AB2562" w14:textId="77777777" w:rsidR="00D5362E" w:rsidRPr="00015EA8" w:rsidRDefault="00D5362E" w:rsidP="00172693">
            <w:pPr>
              <w:spacing w:after="120"/>
              <w:jc w:val="right"/>
              <w:rPr>
                <w:szCs w:val="26"/>
              </w:rPr>
            </w:pPr>
            <w:r w:rsidRPr="00015EA8">
              <w:rPr>
                <w:szCs w:val="26"/>
              </w:rPr>
              <w:t>1</w:t>
            </w:r>
          </w:p>
        </w:tc>
        <w:tc>
          <w:tcPr>
            <w:tcW w:w="1439" w:type="dxa"/>
            <w:vMerge w:val="restart"/>
            <w:vAlign w:val="bottom"/>
          </w:tcPr>
          <w:p w14:paraId="4BC5DE91" w14:textId="77777777" w:rsidR="00D5362E" w:rsidRPr="00015EA8" w:rsidRDefault="00D5362E" w:rsidP="00172693">
            <w:pPr>
              <w:spacing w:after="120"/>
              <w:jc w:val="right"/>
              <w:rPr>
                <w:szCs w:val="26"/>
              </w:rPr>
            </w:pPr>
          </w:p>
          <w:p w14:paraId="00F842D6" w14:textId="77777777" w:rsidR="00D5362E" w:rsidRPr="00015EA8" w:rsidRDefault="00D5362E" w:rsidP="00172693">
            <w:pPr>
              <w:spacing w:after="120"/>
              <w:jc w:val="right"/>
              <w:rPr>
                <w:szCs w:val="26"/>
              </w:rPr>
            </w:pPr>
          </w:p>
          <w:p w14:paraId="4F28BD45" w14:textId="77777777" w:rsidR="00D5362E" w:rsidRPr="00015EA8" w:rsidRDefault="00D5362E" w:rsidP="00172693">
            <w:pPr>
              <w:spacing w:after="120"/>
              <w:jc w:val="right"/>
              <w:rPr>
                <w:szCs w:val="26"/>
              </w:rPr>
            </w:pPr>
          </w:p>
          <w:p w14:paraId="68F1DC61" w14:textId="77777777" w:rsidR="00D5362E" w:rsidRPr="00015EA8" w:rsidRDefault="00D5362E" w:rsidP="00172693">
            <w:pPr>
              <w:spacing w:after="120"/>
              <w:jc w:val="right"/>
              <w:rPr>
                <w:szCs w:val="26"/>
              </w:rPr>
            </w:pPr>
            <w:r w:rsidRPr="00015EA8">
              <w:rPr>
                <w:szCs w:val="26"/>
              </w:rPr>
              <w:t>8</w:t>
            </w:r>
          </w:p>
        </w:tc>
        <w:tc>
          <w:tcPr>
            <w:tcW w:w="1239" w:type="dxa"/>
            <w:vAlign w:val="bottom"/>
          </w:tcPr>
          <w:p w14:paraId="21A05227" w14:textId="77777777" w:rsidR="00D5362E" w:rsidRPr="00015EA8" w:rsidRDefault="00D5362E" w:rsidP="00172693">
            <w:pPr>
              <w:spacing w:after="120"/>
              <w:jc w:val="right"/>
              <w:rPr>
                <w:szCs w:val="26"/>
              </w:rPr>
            </w:pPr>
            <w:r w:rsidRPr="00015EA8">
              <w:rPr>
                <w:szCs w:val="26"/>
              </w:rPr>
              <w:t xml:space="preserve">46 hrs. </w:t>
            </w:r>
          </w:p>
        </w:tc>
        <w:tc>
          <w:tcPr>
            <w:tcW w:w="1424" w:type="dxa"/>
            <w:tcBorders>
              <w:bottom w:val="single" w:sz="4" w:space="0" w:color="auto"/>
            </w:tcBorders>
            <w:vAlign w:val="bottom"/>
          </w:tcPr>
          <w:p w14:paraId="1E7C5EA3" w14:textId="77777777" w:rsidR="00D5362E" w:rsidRPr="00015EA8" w:rsidRDefault="00D5362E" w:rsidP="00172693">
            <w:pPr>
              <w:spacing w:after="120"/>
              <w:jc w:val="right"/>
              <w:rPr>
                <w:szCs w:val="26"/>
              </w:rPr>
            </w:pPr>
            <w:r w:rsidRPr="00015EA8">
              <w:rPr>
                <w:szCs w:val="26"/>
              </w:rPr>
              <w:t xml:space="preserve">368 hrs.    </w:t>
            </w:r>
          </w:p>
        </w:tc>
        <w:tc>
          <w:tcPr>
            <w:tcW w:w="1506" w:type="dxa"/>
            <w:vMerge w:val="restart"/>
            <w:vAlign w:val="bottom"/>
          </w:tcPr>
          <w:p w14:paraId="24475D19" w14:textId="77777777" w:rsidR="00D5362E" w:rsidRPr="00015EA8" w:rsidRDefault="00D5362E" w:rsidP="00172693">
            <w:pPr>
              <w:spacing w:after="120"/>
              <w:jc w:val="right"/>
              <w:rPr>
                <w:szCs w:val="26"/>
              </w:rPr>
            </w:pPr>
          </w:p>
          <w:p w14:paraId="60CB3F4D" w14:textId="77777777" w:rsidR="00D5362E" w:rsidRPr="00015EA8" w:rsidRDefault="00D5362E" w:rsidP="00172693">
            <w:pPr>
              <w:spacing w:after="120"/>
              <w:jc w:val="right"/>
              <w:rPr>
                <w:szCs w:val="26"/>
              </w:rPr>
            </w:pPr>
          </w:p>
          <w:p w14:paraId="70486827" w14:textId="77777777" w:rsidR="00D5362E" w:rsidRPr="00015EA8" w:rsidRDefault="00D5362E" w:rsidP="00172693">
            <w:pPr>
              <w:spacing w:after="120"/>
              <w:jc w:val="right"/>
              <w:rPr>
                <w:szCs w:val="26"/>
              </w:rPr>
            </w:pPr>
          </w:p>
          <w:p w14:paraId="24D091B0" w14:textId="77777777" w:rsidR="00D5362E" w:rsidRPr="00015EA8" w:rsidRDefault="00D5362E" w:rsidP="00172693">
            <w:pPr>
              <w:spacing w:after="120"/>
              <w:jc w:val="right"/>
              <w:rPr>
                <w:szCs w:val="26"/>
              </w:rPr>
            </w:pPr>
            <w:r w:rsidRPr="00015EA8">
              <w:rPr>
                <w:szCs w:val="26"/>
              </w:rPr>
              <w:t>$3,243</w:t>
            </w:r>
          </w:p>
        </w:tc>
      </w:tr>
      <w:tr w:rsidR="00D5362E" w:rsidRPr="00015EA8" w14:paraId="7D9E63AD" w14:textId="77777777" w:rsidTr="00676094">
        <w:trPr>
          <w:cantSplit/>
          <w:trHeight w:val="868"/>
        </w:trPr>
        <w:tc>
          <w:tcPr>
            <w:tcW w:w="1605" w:type="dxa"/>
            <w:vMerge/>
            <w:tcBorders>
              <w:bottom w:val="single" w:sz="4" w:space="0" w:color="auto"/>
            </w:tcBorders>
          </w:tcPr>
          <w:p w14:paraId="580367C3" w14:textId="77777777" w:rsidR="00D5362E" w:rsidRPr="00015EA8" w:rsidRDefault="00D5362E" w:rsidP="00172693">
            <w:pPr>
              <w:spacing w:after="120"/>
              <w:rPr>
                <w:szCs w:val="26"/>
              </w:rPr>
            </w:pPr>
          </w:p>
        </w:tc>
        <w:tc>
          <w:tcPr>
            <w:tcW w:w="1605" w:type="dxa"/>
            <w:vMerge/>
            <w:tcBorders>
              <w:bottom w:val="single" w:sz="4" w:space="0" w:color="auto"/>
            </w:tcBorders>
            <w:vAlign w:val="bottom"/>
          </w:tcPr>
          <w:p w14:paraId="15B0979B" w14:textId="77777777" w:rsidR="00D5362E" w:rsidRPr="00015EA8" w:rsidRDefault="00D5362E" w:rsidP="00172693">
            <w:pPr>
              <w:spacing w:after="120"/>
              <w:jc w:val="right"/>
              <w:rPr>
                <w:szCs w:val="26"/>
              </w:rPr>
            </w:pPr>
          </w:p>
        </w:tc>
        <w:tc>
          <w:tcPr>
            <w:tcW w:w="1506" w:type="dxa"/>
            <w:vMerge/>
            <w:tcBorders>
              <w:bottom w:val="single" w:sz="4" w:space="0" w:color="auto"/>
            </w:tcBorders>
            <w:vAlign w:val="bottom"/>
          </w:tcPr>
          <w:p w14:paraId="32B4E123" w14:textId="77777777" w:rsidR="00D5362E" w:rsidRPr="00015EA8" w:rsidRDefault="00D5362E" w:rsidP="00172693">
            <w:pPr>
              <w:spacing w:after="120"/>
              <w:jc w:val="right"/>
              <w:rPr>
                <w:szCs w:val="26"/>
              </w:rPr>
            </w:pPr>
          </w:p>
        </w:tc>
        <w:tc>
          <w:tcPr>
            <w:tcW w:w="1439" w:type="dxa"/>
            <w:vMerge/>
            <w:tcBorders>
              <w:bottom w:val="single" w:sz="4" w:space="0" w:color="auto"/>
            </w:tcBorders>
            <w:vAlign w:val="bottom"/>
          </w:tcPr>
          <w:p w14:paraId="602DCEA9" w14:textId="77777777" w:rsidR="00D5362E" w:rsidRPr="00015EA8" w:rsidRDefault="00D5362E" w:rsidP="00172693">
            <w:pPr>
              <w:spacing w:after="120"/>
              <w:jc w:val="right"/>
              <w:rPr>
                <w:szCs w:val="26"/>
              </w:rPr>
            </w:pPr>
          </w:p>
        </w:tc>
        <w:tc>
          <w:tcPr>
            <w:tcW w:w="1239" w:type="dxa"/>
            <w:tcBorders>
              <w:bottom w:val="single" w:sz="4" w:space="0" w:color="auto"/>
            </w:tcBorders>
            <w:vAlign w:val="bottom"/>
          </w:tcPr>
          <w:p w14:paraId="585E0628" w14:textId="77777777" w:rsidR="00D5362E" w:rsidRPr="00015EA8" w:rsidRDefault="00D5362E" w:rsidP="00172693">
            <w:pPr>
              <w:spacing w:after="120"/>
              <w:jc w:val="right"/>
              <w:rPr>
                <w:szCs w:val="26"/>
              </w:rPr>
            </w:pPr>
            <w:r w:rsidRPr="00015EA8">
              <w:rPr>
                <w:szCs w:val="26"/>
              </w:rPr>
              <w:t>$3,243</w:t>
            </w:r>
          </w:p>
        </w:tc>
        <w:tc>
          <w:tcPr>
            <w:tcW w:w="1424" w:type="dxa"/>
            <w:tcBorders>
              <w:bottom w:val="single" w:sz="4" w:space="0" w:color="auto"/>
            </w:tcBorders>
            <w:vAlign w:val="bottom"/>
          </w:tcPr>
          <w:p w14:paraId="2A1F016D" w14:textId="77777777" w:rsidR="00D5362E" w:rsidRPr="00015EA8" w:rsidRDefault="00D5362E" w:rsidP="00172693">
            <w:pPr>
              <w:spacing w:after="120"/>
              <w:jc w:val="right"/>
              <w:rPr>
                <w:szCs w:val="26"/>
              </w:rPr>
            </w:pPr>
            <w:r w:rsidRPr="00015EA8">
              <w:rPr>
                <w:szCs w:val="26"/>
              </w:rPr>
              <w:t>$25,944</w:t>
            </w:r>
          </w:p>
        </w:tc>
        <w:tc>
          <w:tcPr>
            <w:tcW w:w="1506" w:type="dxa"/>
            <w:vMerge/>
            <w:tcBorders>
              <w:bottom w:val="single" w:sz="4" w:space="0" w:color="auto"/>
            </w:tcBorders>
            <w:vAlign w:val="bottom"/>
          </w:tcPr>
          <w:p w14:paraId="028684B9" w14:textId="77777777" w:rsidR="00D5362E" w:rsidRPr="00015EA8" w:rsidRDefault="00D5362E" w:rsidP="00172693">
            <w:pPr>
              <w:spacing w:after="120"/>
              <w:jc w:val="right"/>
              <w:rPr>
                <w:szCs w:val="26"/>
              </w:rPr>
            </w:pPr>
          </w:p>
        </w:tc>
      </w:tr>
      <w:tr w:rsidR="00D5362E" w:rsidRPr="00015EA8" w14:paraId="2D214BD5" w14:textId="77777777" w:rsidTr="00676094">
        <w:trPr>
          <w:cantSplit/>
          <w:trHeight w:val="140"/>
        </w:trPr>
        <w:tc>
          <w:tcPr>
            <w:tcW w:w="10324" w:type="dxa"/>
            <w:gridSpan w:val="7"/>
            <w:shd w:val="clear" w:color="auto" w:fill="F2F2F2" w:themeFill="background1" w:themeFillShade="F2"/>
            <w:vAlign w:val="bottom"/>
          </w:tcPr>
          <w:p w14:paraId="4062E613" w14:textId="47D26AD3" w:rsidR="00D5362E" w:rsidRPr="00015EA8" w:rsidRDefault="00D5362E" w:rsidP="00172693">
            <w:pPr>
              <w:spacing w:after="120"/>
              <w:jc w:val="center"/>
              <w:rPr>
                <w:b/>
                <w:szCs w:val="26"/>
              </w:rPr>
            </w:pPr>
            <w:r w:rsidRPr="00015EA8">
              <w:rPr>
                <w:b/>
                <w:szCs w:val="26"/>
              </w:rPr>
              <w:t>FERC-512, Preliminary Permit</w:t>
            </w:r>
          </w:p>
        </w:tc>
      </w:tr>
      <w:tr w:rsidR="00D5362E" w:rsidRPr="00015EA8" w14:paraId="2F0452CB" w14:textId="77777777" w:rsidTr="00676094">
        <w:trPr>
          <w:cantSplit/>
          <w:trHeight w:val="461"/>
        </w:trPr>
        <w:tc>
          <w:tcPr>
            <w:tcW w:w="1605" w:type="dxa"/>
            <w:vMerge w:val="restart"/>
          </w:tcPr>
          <w:p w14:paraId="7166F78D" w14:textId="77777777" w:rsidR="00D5362E" w:rsidRPr="00015EA8" w:rsidRDefault="00D5362E" w:rsidP="00172693">
            <w:pPr>
              <w:spacing w:after="120"/>
              <w:rPr>
                <w:szCs w:val="26"/>
              </w:rPr>
            </w:pPr>
            <w:r w:rsidRPr="00015EA8">
              <w:rPr>
                <w:szCs w:val="26"/>
              </w:rPr>
              <w:t>Request for extension to 5 years</w:t>
            </w:r>
            <w:r w:rsidRPr="00015EA8">
              <w:rPr>
                <w:i/>
                <w:szCs w:val="26"/>
              </w:rPr>
              <w:t xml:space="preserve"> </w:t>
            </w:r>
          </w:p>
        </w:tc>
        <w:tc>
          <w:tcPr>
            <w:tcW w:w="1605" w:type="dxa"/>
            <w:vMerge w:val="restart"/>
            <w:vAlign w:val="bottom"/>
          </w:tcPr>
          <w:p w14:paraId="1633DFE0" w14:textId="77777777" w:rsidR="00D5362E" w:rsidRPr="00015EA8" w:rsidRDefault="00D5362E" w:rsidP="00172693">
            <w:pPr>
              <w:spacing w:after="120"/>
              <w:jc w:val="right"/>
              <w:rPr>
                <w:szCs w:val="26"/>
              </w:rPr>
            </w:pPr>
            <w:r w:rsidRPr="00015EA8">
              <w:rPr>
                <w:szCs w:val="26"/>
              </w:rPr>
              <w:t>80</w:t>
            </w:r>
            <w:r w:rsidRPr="00015EA8">
              <w:rPr>
                <w:rStyle w:val="FootnoteReference"/>
              </w:rPr>
              <w:footnoteReference w:id="13"/>
            </w:r>
          </w:p>
        </w:tc>
        <w:tc>
          <w:tcPr>
            <w:tcW w:w="1506" w:type="dxa"/>
            <w:vMerge w:val="restart"/>
            <w:vAlign w:val="bottom"/>
          </w:tcPr>
          <w:p w14:paraId="5F204D65" w14:textId="77777777" w:rsidR="00D5362E" w:rsidRPr="00015EA8" w:rsidRDefault="00D5362E" w:rsidP="00172693">
            <w:pPr>
              <w:spacing w:after="120"/>
              <w:jc w:val="right"/>
              <w:rPr>
                <w:szCs w:val="26"/>
              </w:rPr>
            </w:pPr>
            <w:r w:rsidRPr="00015EA8">
              <w:rPr>
                <w:szCs w:val="26"/>
              </w:rPr>
              <w:t>1</w:t>
            </w:r>
          </w:p>
        </w:tc>
        <w:tc>
          <w:tcPr>
            <w:tcW w:w="1439" w:type="dxa"/>
            <w:vMerge w:val="restart"/>
            <w:vAlign w:val="bottom"/>
          </w:tcPr>
          <w:p w14:paraId="7545FE4B" w14:textId="77777777" w:rsidR="00D5362E" w:rsidRPr="00015EA8" w:rsidRDefault="00D5362E" w:rsidP="00172693">
            <w:pPr>
              <w:spacing w:after="120"/>
              <w:jc w:val="right"/>
              <w:rPr>
                <w:szCs w:val="26"/>
              </w:rPr>
            </w:pPr>
            <w:r w:rsidRPr="00015EA8">
              <w:rPr>
                <w:szCs w:val="26"/>
              </w:rPr>
              <w:t>80</w:t>
            </w:r>
          </w:p>
        </w:tc>
        <w:tc>
          <w:tcPr>
            <w:tcW w:w="1239" w:type="dxa"/>
            <w:vAlign w:val="bottom"/>
          </w:tcPr>
          <w:p w14:paraId="193984F3" w14:textId="77777777" w:rsidR="00D5362E" w:rsidRPr="00015EA8" w:rsidRDefault="00D5362E" w:rsidP="00172693">
            <w:pPr>
              <w:spacing w:after="120"/>
              <w:jc w:val="right"/>
              <w:rPr>
                <w:szCs w:val="26"/>
              </w:rPr>
            </w:pPr>
            <w:r w:rsidRPr="00015EA8">
              <w:rPr>
                <w:szCs w:val="26"/>
              </w:rPr>
              <w:t xml:space="preserve">4 hrs. </w:t>
            </w:r>
          </w:p>
        </w:tc>
        <w:tc>
          <w:tcPr>
            <w:tcW w:w="1424" w:type="dxa"/>
            <w:vAlign w:val="bottom"/>
          </w:tcPr>
          <w:p w14:paraId="4EAE21F0" w14:textId="77777777" w:rsidR="00D5362E" w:rsidRPr="00015EA8" w:rsidRDefault="00D5362E" w:rsidP="00172693">
            <w:pPr>
              <w:spacing w:after="120"/>
              <w:jc w:val="right"/>
              <w:rPr>
                <w:szCs w:val="26"/>
              </w:rPr>
            </w:pPr>
            <w:r w:rsidRPr="00015EA8">
              <w:rPr>
                <w:szCs w:val="26"/>
              </w:rPr>
              <w:t xml:space="preserve">320 hrs.  </w:t>
            </w:r>
          </w:p>
        </w:tc>
        <w:tc>
          <w:tcPr>
            <w:tcW w:w="1506" w:type="dxa"/>
            <w:vMerge w:val="restart"/>
            <w:vAlign w:val="bottom"/>
          </w:tcPr>
          <w:p w14:paraId="0958CEDB" w14:textId="77777777" w:rsidR="00D5362E" w:rsidRPr="00015EA8" w:rsidRDefault="00D5362E" w:rsidP="00172693">
            <w:pPr>
              <w:spacing w:after="120"/>
              <w:jc w:val="right"/>
              <w:rPr>
                <w:szCs w:val="26"/>
              </w:rPr>
            </w:pPr>
            <w:r w:rsidRPr="00015EA8">
              <w:rPr>
                <w:szCs w:val="26"/>
              </w:rPr>
              <w:t>$282</w:t>
            </w:r>
          </w:p>
        </w:tc>
      </w:tr>
      <w:tr w:rsidR="00D5362E" w:rsidRPr="00015EA8" w14:paraId="71CDDF52" w14:textId="77777777" w:rsidTr="00676094">
        <w:trPr>
          <w:cantSplit/>
          <w:trHeight w:val="460"/>
        </w:trPr>
        <w:tc>
          <w:tcPr>
            <w:tcW w:w="1605" w:type="dxa"/>
            <w:vMerge/>
          </w:tcPr>
          <w:p w14:paraId="53E9082B" w14:textId="77777777" w:rsidR="00D5362E" w:rsidRPr="00015EA8" w:rsidRDefault="00D5362E" w:rsidP="00172693">
            <w:pPr>
              <w:spacing w:after="120"/>
              <w:rPr>
                <w:szCs w:val="26"/>
              </w:rPr>
            </w:pPr>
          </w:p>
        </w:tc>
        <w:tc>
          <w:tcPr>
            <w:tcW w:w="1605" w:type="dxa"/>
            <w:vMerge/>
            <w:vAlign w:val="bottom"/>
          </w:tcPr>
          <w:p w14:paraId="2DEB2BF8" w14:textId="77777777" w:rsidR="00D5362E" w:rsidRPr="00015EA8" w:rsidRDefault="00D5362E" w:rsidP="00172693">
            <w:pPr>
              <w:spacing w:after="120"/>
              <w:jc w:val="right"/>
              <w:rPr>
                <w:szCs w:val="26"/>
              </w:rPr>
            </w:pPr>
          </w:p>
        </w:tc>
        <w:tc>
          <w:tcPr>
            <w:tcW w:w="1506" w:type="dxa"/>
            <w:vMerge/>
            <w:vAlign w:val="bottom"/>
          </w:tcPr>
          <w:p w14:paraId="32029479" w14:textId="77777777" w:rsidR="00D5362E" w:rsidRPr="00015EA8" w:rsidRDefault="00D5362E" w:rsidP="00172693">
            <w:pPr>
              <w:spacing w:after="120"/>
              <w:jc w:val="right"/>
              <w:rPr>
                <w:szCs w:val="26"/>
              </w:rPr>
            </w:pPr>
          </w:p>
        </w:tc>
        <w:tc>
          <w:tcPr>
            <w:tcW w:w="1439" w:type="dxa"/>
            <w:vMerge/>
            <w:vAlign w:val="bottom"/>
          </w:tcPr>
          <w:p w14:paraId="2806B575" w14:textId="77777777" w:rsidR="00D5362E" w:rsidRPr="00015EA8" w:rsidRDefault="00D5362E" w:rsidP="00172693">
            <w:pPr>
              <w:spacing w:after="120"/>
              <w:jc w:val="right"/>
              <w:rPr>
                <w:szCs w:val="26"/>
              </w:rPr>
            </w:pPr>
          </w:p>
        </w:tc>
        <w:tc>
          <w:tcPr>
            <w:tcW w:w="1239" w:type="dxa"/>
            <w:vAlign w:val="bottom"/>
          </w:tcPr>
          <w:p w14:paraId="246C18A1" w14:textId="77777777" w:rsidR="00D5362E" w:rsidRPr="00015EA8" w:rsidRDefault="00D5362E" w:rsidP="00172693">
            <w:pPr>
              <w:spacing w:after="120"/>
              <w:jc w:val="right"/>
              <w:rPr>
                <w:szCs w:val="26"/>
              </w:rPr>
            </w:pPr>
            <w:r w:rsidRPr="00015EA8">
              <w:rPr>
                <w:szCs w:val="26"/>
              </w:rPr>
              <w:t>$282</w:t>
            </w:r>
          </w:p>
        </w:tc>
        <w:tc>
          <w:tcPr>
            <w:tcW w:w="1424" w:type="dxa"/>
            <w:vAlign w:val="bottom"/>
          </w:tcPr>
          <w:p w14:paraId="61F9AB22" w14:textId="77777777" w:rsidR="00D5362E" w:rsidRPr="00015EA8" w:rsidRDefault="00D5362E" w:rsidP="00172693">
            <w:pPr>
              <w:spacing w:after="120"/>
              <w:jc w:val="right"/>
              <w:rPr>
                <w:szCs w:val="26"/>
              </w:rPr>
            </w:pPr>
            <w:r w:rsidRPr="00015EA8">
              <w:rPr>
                <w:szCs w:val="26"/>
              </w:rPr>
              <w:t>$22,560</w:t>
            </w:r>
          </w:p>
        </w:tc>
        <w:tc>
          <w:tcPr>
            <w:tcW w:w="1506" w:type="dxa"/>
            <w:vMerge/>
            <w:vAlign w:val="bottom"/>
          </w:tcPr>
          <w:p w14:paraId="42271E9A" w14:textId="77777777" w:rsidR="00D5362E" w:rsidRPr="00015EA8" w:rsidRDefault="00D5362E" w:rsidP="00172693">
            <w:pPr>
              <w:spacing w:after="120"/>
              <w:jc w:val="right"/>
              <w:rPr>
                <w:szCs w:val="26"/>
              </w:rPr>
            </w:pPr>
          </w:p>
        </w:tc>
      </w:tr>
    </w:tbl>
    <w:p w14:paraId="2636D3CD" w14:textId="4C773304" w:rsidR="001D6943" w:rsidRPr="00015EA8" w:rsidRDefault="001D6943" w:rsidP="001D6943">
      <w:pPr>
        <w:spacing w:line="480" w:lineRule="auto"/>
        <w:rPr>
          <w:szCs w:val="26"/>
        </w:rPr>
      </w:pPr>
      <w:r w:rsidRPr="00015EA8">
        <w:rPr>
          <w:i/>
          <w:szCs w:val="26"/>
        </w:rPr>
        <w:t xml:space="preserve">Comments:  </w:t>
      </w:r>
      <w:r w:rsidRPr="00015EA8">
        <w:rPr>
          <w:szCs w:val="26"/>
        </w:rPr>
        <w:t xml:space="preserve">Comments are invited on: (1) whether the information </w:t>
      </w:r>
      <w:r w:rsidR="00DD2C22">
        <w:rPr>
          <w:szCs w:val="26"/>
        </w:rPr>
        <w:t xml:space="preserve">collections </w:t>
      </w:r>
      <w:r w:rsidR="00F52901" w:rsidRPr="00015EA8">
        <w:rPr>
          <w:szCs w:val="26"/>
        </w:rPr>
        <w:t xml:space="preserve">are </w:t>
      </w:r>
      <w:r w:rsidRPr="00015EA8">
        <w:rPr>
          <w:szCs w:val="26"/>
        </w:rPr>
        <w:t xml:space="preserve">necessary for the proper performance of the functions of the Commission, including whether the information will have practical utility; (2) the accuracy of the agency's estimate of the burden and cost of the </w:t>
      </w:r>
      <w:r w:rsidR="00DD2C22">
        <w:rPr>
          <w:szCs w:val="26"/>
        </w:rPr>
        <w:t xml:space="preserve">information </w:t>
      </w:r>
      <w:r w:rsidRPr="00015EA8">
        <w:rPr>
          <w:szCs w:val="26"/>
        </w:rPr>
        <w:t>collection</w:t>
      </w:r>
      <w:r w:rsidR="00F52901" w:rsidRPr="00015EA8">
        <w:rPr>
          <w:szCs w:val="26"/>
        </w:rPr>
        <w:t>s</w:t>
      </w:r>
      <w:r w:rsidRPr="00015EA8">
        <w:rPr>
          <w:szCs w:val="26"/>
        </w:rPr>
        <w:t>, including the validity of the methodology and assumptions used; (3) ways to enhance the quality, utility</w:t>
      </w:r>
      <w:r w:rsidR="00127B7B">
        <w:rPr>
          <w:szCs w:val="26"/>
        </w:rPr>
        <w:t>,</w:t>
      </w:r>
      <w:r w:rsidRPr="00015EA8">
        <w:rPr>
          <w:szCs w:val="26"/>
        </w:rPr>
        <w:t xml:space="preserve"> and clarity of the information collection</w:t>
      </w:r>
      <w:r w:rsidR="00F52901" w:rsidRPr="00015EA8">
        <w:rPr>
          <w:szCs w:val="26"/>
        </w:rPr>
        <w:t>s</w:t>
      </w:r>
      <w:r w:rsidRPr="00015EA8">
        <w:rPr>
          <w:szCs w:val="26"/>
        </w:rPr>
        <w:t>; and (4) ways to minim</w:t>
      </w:r>
      <w:r w:rsidR="00DD2C22">
        <w:rPr>
          <w:szCs w:val="26"/>
        </w:rPr>
        <w:t>ize the burden of the</w:t>
      </w:r>
      <w:r w:rsidRPr="00015EA8">
        <w:rPr>
          <w:szCs w:val="26"/>
        </w:rPr>
        <w:t xml:space="preserve"> information </w:t>
      </w:r>
      <w:r w:rsidR="00DD2C22">
        <w:rPr>
          <w:szCs w:val="26"/>
        </w:rPr>
        <w:t xml:space="preserve">collections </w:t>
      </w:r>
      <w:r w:rsidRPr="00015EA8">
        <w:rPr>
          <w:szCs w:val="26"/>
        </w:rPr>
        <w:t>on those who are to respond, including the use of automated collection techniques or other forms of information technology.</w:t>
      </w:r>
    </w:p>
    <w:p w14:paraId="20682A07" w14:textId="77777777" w:rsidR="001D6943" w:rsidRPr="00015EA8" w:rsidRDefault="001D6943" w:rsidP="001D6943">
      <w:pPr>
        <w:rPr>
          <w:szCs w:val="26"/>
        </w:rPr>
      </w:pPr>
    </w:p>
    <w:p w14:paraId="0E4EA9BD" w14:textId="10BDFB62" w:rsidR="001D6943" w:rsidRDefault="001D6943" w:rsidP="00222704">
      <w:pPr>
        <w:rPr>
          <w:szCs w:val="26"/>
        </w:rPr>
      </w:pPr>
    </w:p>
    <w:p w14:paraId="6361991E" w14:textId="323C0EC8" w:rsidR="00222704" w:rsidRDefault="00222704" w:rsidP="00222704">
      <w:pPr>
        <w:rPr>
          <w:szCs w:val="26"/>
        </w:rPr>
      </w:pPr>
    </w:p>
    <w:p w14:paraId="450FE44D" w14:textId="0DB6290E" w:rsidR="00222704" w:rsidRDefault="00222704" w:rsidP="00222704">
      <w:pPr>
        <w:rPr>
          <w:szCs w:val="26"/>
        </w:rPr>
      </w:pPr>
    </w:p>
    <w:p w14:paraId="2051B1B7" w14:textId="791B72B9" w:rsidR="00222704" w:rsidRDefault="00222704" w:rsidP="00222704">
      <w:pPr>
        <w:rPr>
          <w:szCs w:val="26"/>
        </w:rPr>
      </w:pPr>
    </w:p>
    <w:p w14:paraId="2D0D1AB8" w14:textId="2B2F5F6F" w:rsidR="00222704" w:rsidRPr="00222704" w:rsidRDefault="00222704" w:rsidP="00222704">
      <w:pPr>
        <w:ind w:firstLine="2606"/>
        <w:jc w:val="center"/>
      </w:pPr>
      <w:r w:rsidRPr="00222704">
        <w:t>Nathaniel J. Davis, Sr.,</w:t>
      </w:r>
    </w:p>
    <w:p w14:paraId="68BBC3DE" w14:textId="536CFE7D" w:rsidR="00222704" w:rsidRPr="00222704" w:rsidRDefault="00222704" w:rsidP="00222704">
      <w:pPr>
        <w:ind w:firstLine="2606"/>
        <w:jc w:val="center"/>
      </w:pPr>
      <w:r w:rsidRPr="00222704">
        <w:t>Deputy Secretary.</w:t>
      </w:r>
    </w:p>
    <w:p w14:paraId="2D582FD2" w14:textId="77777777" w:rsidR="00222704" w:rsidRPr="00015EA8" w:rsidRDefault="00222704" w:rsidP="00222704">
      <w:pPr>
        <w:rPr>
          <w:szCs w:val="26"/>
        </w:rPr>
      </w:pPr>
    </w:p>
    <w:sectPr w:rsidR="00222704" w:rsidRPr="00015EA8" w:rsidSect="00127B7B">
      <w:headerReference w:type="even" r:id="rId15"/>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7DA9" w14:textId="77777777" w:rsidR="00F430C3" w:rsidRDefault="00F430C3" w:rsidP="001D6943">
      <w:r>
        <w:separator/>
      </w:r>
    </w:p>
  </w:endnote>
  <w:endnote w:type="continuationSeparator" w:id="0">
    <w:p w14:paraId="318E6D8B" w14:textId="77777777" w:rsidR="00F430C3" w:rsidRDefault="00F430C3" w:rsidP="001D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CEA98" w14:textId="77777777" w:rsidR="00F430C3" w:rsidRDefault="00F430C3" w:rsidP="001D6943">
      <w:r>
        <w:separator/>
      </w:r>
    </w:p>
  </w:footnote>
  <w:footnote w:type="continuationSeparator" w:id="0">
    <w:p w14:paraId="45E7B70D" w14:textId="77777777" w:rsidR="00F430C3" w:rsidRDefault="00F430C3" w:rsidP="001D6943">
      <w:r>
        <w:continuationSeparator/>
      </w:r>
    </w:p>
  </w:footnote>
  <w:footnote w:id="1">
    <w:p w14:paraId="010D1F23" w14:textId="528A4FC4" w:rsidR="00127B7B" w:rsidRDefault="00127B7B" w:rsidP="00015EA8">
      <w:pPr>
        <w:pStyle w:val="FootnoteText"/>
        <w:ind w:left="720"/>
        <w:rPr>
          <w:sz w:val="26"/>
          <w:szCs w:val="26"/>
        </w:rPr>
      </w:pPr>
      <w:r w:rsidRPr="00015EA8">
        <w:rPr>
          <w:rStyle w:val="FootnoteReference"/>
        </w:rPr>
        <w:footnoteRef/>
      </w:r>
      <w:r w:rsidRPr="00015EA8">
        <w:rPr>
          <w:sz w:val="26"/>
          <w:szCs w:val="26"/>
        </w:rPr>
        <w:t xml:space="preserve"> </w:t>
      </w:r>
      <w:proofErr w:type="gramStart"/>
      <w:r w:rsidRPr="00015EA8">
        <w:rPr>
          <w:sz w:val="26"/>
          <w:szCs w:val="26"/>
        </w:rPr>
        <w:t>Pub.</w:t>
      </w:r>
      <w:proofErr w:type="gramEnd"/>
      <w:r w:rsidRPr="00015EA8">
        <w:rPr>
          <w:sz w:val="26"/>
          <w:szCs w:val="26"/>
        </w:rPr>
        <w:t xml:space="preserve">  L. 113-23 (2013). </w:t>
      </w:r>
    </w:p>
    <w:p w14:paraId="15A2F0E0" w14:textId="77777777" w:rsidR="00593B43" w:rsidRPr="00015EA8" w:rsidRDefault="00593B43" w:rsidP="00015EA8">
      <w:pPr>
        <w:pStyle w:val="FootnoteText"/>
        <w:ind w:left="720"/>
        <w:rPr>
          <w:sz w:val="26"/>
          <w:szCs w:val="26"/>
        </w:rPr>
      </w:pPr>
    </w:p>
  </w:footnote>
  <w:footnote w:id="2">
    <w:p w14:paraId="106EB6CD" w14:textId="413BE1DB" w:rsidR="00676094" w:rsidRPr="00676094" w:rsidRDefault="00676094" w:rsidP="00676094">
      <w:pPr>
        <w:pStyle w:val="FootnoteText"/>
        <w:ind w:firstLine="720"/>
        <w:rPr>
          <w:sz w:val="26"/>
          <w:szCs w:val="26"/>
        </w:rPr>
      </w:pPr>
      <w:r w:rsidRPr="00676094">
        <w:rPr>
          <w:rStyle w:val="FootnoteReference"/>
        </w:rPr>
        <w:footnoteRef/>
      </w:r>
      <w:r w:rsidRPr="00676094">
        <w:rPr>
          <w:sz w:val="26"/>
          <w:szCs w:val="26"/>
        </w:rPr>
        <w:t xml:space="preserve"> 16 U.S.C. 798 (2012), </w:t>
      </w:r>
      <w:r w:rsidRPr="00311DA9">
        <w:rPr>
          <w:i/>
          <w:sz w:val="26"/>
          <w:szCs w:val="26"/>
        </w:rPr>
        <w:t>amended by</w:t>
      </w:r>
      <w:r w:rsidRPr="00676094">
        <w:rPr>
          <w:sz w:val="26"/>
          <w:szCs w:val="26"/>
        </w:rPr>
        <w:t>, Hydropower Regulatory Efficiency Act of</w:t>
      </w:r>
      <w:r>
        <w:rPr>
          <w:sz w:val="26"/>
          <w:szCs w:val="26"/>
        </w:rPr>
        <w:t> </w:t>
      </w:r>
      <w:r w:rsidRPr="00676094">
        <w:rPr>
          <w:sz w:val="26"/>
          <w:szCs w:val="26"/>
        </w:rPr>
        <w:t xml:space="preserve">2013, Pub. </w:t>
      </w:r>
      <w:proofErr w:type="gramStart"/>
      <w:r w:rsidRPr="00676094">
        <w:rPr>
          <w:sz w:val="26"/>
          <w:szCs w:val="26"/>
        </w:rPr>
        <w:t>L. No. 113-23, 5, 127 Stat. 493 (2013).</w:t>
      </w:r>
      <w:proofErr w:type="gramEnd"/>
    </w:p>
  </w:footnote>
  <w:footnote w:id="3">
    <w:p w14:paraId="4F0C8AD5" w14:textId="646011ED" w:rsidR="004D4BD8" w:rsidRDefault="004D4BD8" w:rsidP="004D4BD8">
      <w:pPr>
        <w:pStyle w:val="FootnoteText"/>
        <w:ind w:firstLine="720"/>
        <w:rPr>
          <w:sz w:val="26"/>
          <w:szCs w:val="26"/>
        </w:rPr>
      </w:pPr>
      <w:r>
        <w:rPr>
          <w:rStyle w:val="FootnoteReference"/>
        </w:rPr>
        <w:footnoteRef/>
      </w:r>
      <w:r>
        <w:t xml:space="preserve"> </w:t>
      </w:r>
      <w:proofErr w:type="gramStart"/>
      <w:r w:rsidR="00E65143" w:rsidRPr="00812A90">
        <w:rPr>
          <w:i/>
          <w:sz w:val="26"/>
          <w:szCs w:val="26"/>
        </w:rPr>
        <w:t>Revisions and Technical Corrections to Conform the Commission’s Regulations to the Hydropower Regulatory Efficiency Act of 2013</w:t>
      </w:r>
      <w:r w:rsidR="00E65143" w:rsidRPr="00812A90">
        <w:rPr>
          <w:sz w:val="26"/>
          <w:szCs w:val="26"/>
        </w:rPr>
        <w:t>, Order</w:t>
      </w:r>
      <w:r w:rsidR="00E65143">
        <w:rPr>
          <w:sz w:val="26"/>
          <w:szCs w:val="26"/>
        </w:rPr>
        <w:t xml:space="preserve"> No.</w:t>
      </w:r>
      <w:r w:rsidR="00E65143" w:rsidRPr="00812A90">
        <w:rPr>
          <w:sz w:val="26"/>
          <w:szCs w:val="26"/>
        </w:rPr>
        <w:t xml:space="preserve"> 800, 79 FR 59105 (Oct.</w:t>
      </w:r>
      <w:r w:rsidR="00E65143">
        <w:rPr>
          <w:sz w:val="26"/>
          <w:szCs w:val="26"/>
        </w:rPr>
        <w:t> 1</w:t>
      </w:r>
      <w:r w:rsidR="00E65143" w:rsidRPr="00812A90">
        <w:rPr>
          <w:sz w:val="26"/>
          <w:szCs w:val="26"/>
        </w:rPr>
        <w:t>, 2014), 148 FERC ¶ 61,197</w:t>
      </w:r>
      <w:r w:rsidR="00E65143">
        <w:rPr>
          <w:sz w:val="26"/>
          <w:szCs w:val="26"/>
        </w:rPr>
        <w:t>,</w:t>
      </w:r>
      <w:r w:rsidR="00E65143" w:rsidRPr="00812A90">
        <w:rPr>
          <w:sz w:val="26"/>
          <w:szCs w:val="26"/>
        </w:rPr>
        <w:t xml:space="preserve"> </w:t>
      </w:r>
      <w:r w:rsidR="00812A90">
        <w:rPr>
          <w:sz w:val="26"/>
          <w:szCs w:val="26"/>
        </w:rPr>
        <w:t xml:space="preserve">at </w:t>
      </w:r>
      <w:r>
        <w:rPr>
          <w:sz w:val="26"/>
          <w:szCs w:val="26"/>
        </w:rPr>
        <w:t>P 13</w:t>
      </w:r>
      <w:r w:rsidR="00E65143">
        <w:rPr>
          <w:sz w:val="26"/>
          <w:szCs w:val="26"/>
        </w:rPr>
        <w:t xml:space="preserve"> </w:t>
      </w:r>
      <w:r w:rsidR="00E65143" w:rsidRPr="00812A90">
        <w:rPr>
          <w:sz w:val="26"/>
          <w:szCs w:val="26"/>
        </w:rPr>
        <w:t>(2014)</w:t>
      </w:r>
      <w:r>
        <w:rPr>
          <w:sz w:val="26"/>
          <w:szCs w:val="26"/>
        </w:rPr>
        <w:t>.</w:t>
      </w:r>
      <w:proofErr w:type="gramEnd"/>
      <w:r>
        <w:rPr>
          <w:sz w:val="26"/>
          <w:szCs w:val="26"/>
        </w:rPr>
        <w:t xml:space="preserve"> </w:t>
      </w:r>
      <w:r w:rsidRPr="000D3645">
        <w:rPr>
          <w:sz w:val="26"/>
          <w:szCs w:val="26"/>
        </w:rPr>
        <w:t xml:space="preserve"> </w:t>
      </w:r>
    </w:p>
    <w:p w14:paraId="331DE449" w14:textId="77777777" w:rsidR="004D4BD8" w:rsidRDefault="004D4BD8" w:rsidP="004D4BD8">
      <w:pPr>
        <w:pStyle w:val="FootnoteText"/>
      </w:pPr>
    </w:p>
  </w:footnote>
  <w:footnote w:id="4">
    <w:p w14:paraId="4A302296" w14:textId="5798C787" w:rsidR="001D6943" w:rsidRPr="00015EA8" w:rsidRDefault="001D6943" w:rsidP="00B84729">
      <w:pPr>
        <w:pStyle w:val="FootnoteText"/>
        <w:spacing w:after="240"/>
        <w:ind w:firstLine="720"/>
        <w:rPr>
          <w:sz w:val="26"/>
          <w:szCs w:val="26"/>
        </w:rPr>
      </w:pPr>
      <w:r w:rsidRPr="00015EA8">
        <w:rPr>
          <w:rStyle w:val="FootnoteReference"/>
        </w:rPr>
        <w:footnoteRef/>
      </w:r>
      <w:r w:rsidRPr="00015EA8">
        <w:rPr>
          <w:sz w:val="26"/>
          <w:szCs w:val="26"/>
        </w:rPr>
        <w:t xml:space="preserve"> </w:t>
      </w:r>
      <w:r w:rsidR="001041E1" w:rsidRPr="00015EA8">
        <w:rPr>
          <w:sz w:val="26"/>
          <w:szCs w:val="26"/>
        </w:rPr>
        <w:t>The Commission defines b</w:t>
      </w:r>
      <w:r w:rsidRPr="00015EA8">
        <w:rPr>
          <w:sz w:val="26"/>
          <w:szCs w:val="26"/>
        </w:rPr>
        <w:t xml:space="preserve">urden as the total time, effort, or financial resources expended by persons to generate, maintain, retain, or disclose or provide information to or for a Federal agency. </w:t>
      </w:r>
      <w:r w:rsidR="00D5362E" w:rsidRPr="00015EA8">
        <w:rPr>
          <w:sz w:val="26"/>
          <w:szCs w:val="26"/>
        </w:rPr>
        <w:t xml:space="preserve"> </w:t>
      </w:r>
      <w:r w:rsidRPr="00015EA8">
        <w:rPr>
          <w:sz w:val="26"/>
          <w:szCs w:val="26"/>
        </w:rPr>
        <w:t>For further explanation of what is included in the information collection burden, reference 5 CFR 1320.3.</w:t>
      </w:r>
    </w:p>
  </w:footnote>
  <w:footnote w:id="5">
    <w:p w14:paraId="01FD43C8" w14:textId="77777777" w:rsidR="00D5362E" w:rsidRPr="00015EA8"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The estimated average hourly cost (salary plus benefits) is $70.50. </w:t>
      </w:r>
    </w:p>
  </w:footnote>
  <w:footnote w:id="6">
    <w:p w14:paraId="6C1DEDDA" w14:textId="485BEF54" w:rsidR="00D5362E" w:rsidRPr="00015EA8"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w:t>
      </w:r>
      <w:r w:rsidR="008B634A">
        <w:rPr>
          <w:sz w:val="26"/>
          <w:szCs w:val="26"/>
        </w:rPr>
        <w:t xml:space="preserve">The Commission </w:t>
      </w:r>
      <w:r w:rsidRPr="00015EA8">
        <w:rPr>
          <w:sz w:val="26"/>
          <w:szCs w:val="26"/>
        </w:rPr>
        <w:t>consider</w:t>
      </w:r>
      <w:r w:rsidR="008B634A">
        <w:rPr>
          <w:sz w:val="26"/>
          <w:szCs w:val="26"/>
        </w:rPr>
        <w:t>s</w:t>
      </w:r>
      <w:r w:rsidRPr="00015EA8">
        <w:rPr>
          <w:sz w:val="26"/>
          <w:szCs w:val="26"/>
        </w:rPr>
        <w:t xml:space="preserve"> an application to be a “response.”</w:t>
      </w:r>
    </w:p>
  </w:footnote>
  <w:footnote w:id="7">
    <w:p w14:paraId="533AA5C1" w14:textId="77777777" w:rsidR="00D5362E" w:rsidRPr="00222704"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The estimates provided for small conduit exemption applications are for all conduit exemption applications, including applications for non-municipal conduit exemptions that have an installed capacity of greater than 15 MW and up to 40 MW, and for any conduit exemption located on federal land. </w:t>
      </w:r>
    </w:p>
  </w:footnote>
  <w:footnote w:id="8">
    <w:p w14:paraId="0BF5BA8D" w14:textId="1C63ACD5" w:rsidR="00D5362E" w:rsidRPr="00015EA8"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w:t>
      </w:r>
      <w:r w:rsidR="008B634A">
        <w:rPr>
          <w:sz w:val="26"/>
          <w:szCs w:val="26"/>
        </w:rPr>
        <w:t>In the Commission’s first solicitation of comments on the information collections</w:t>
      </w:r>
      <w:r w:rsidR="00676094">
        <w:rPr>
          <w:sz w:val="26"/>
          <w:szCs w:val="26"/>
        </w:rPr>
        <w:t xml:space="preserve"> in </w:t>
      </w:r>
      <w:r w:rsidR="00B84729">
        <w:rPr>
          <w:sz w:val="26"/>
          <w:szCs w:val="26"/>
        </w:rPr>
        <w:t xml:space="preserve">Order </w:t>
      </w:r>
      <w:r w:rsidR="00121789">
        <w:rPr>
          <w:sz w:val="26"/>
          <w:szCs w:val="26"/>
        </w:rPr>
        <w:t xml:space="preserve">No. </w:t>
      </w:r>
      <w:r w:rsidR="00B84729">
        <w:rPr>
          <w:sz w:val="26"/>
          <w:szCs w:val="26"/>
        </w:rPr>
        <w:t>800</w:t>
      </w:r>
      <w:r w:rsidR="008B634A">
        <w:rPr>
          <w:sz w:val="26"/>
          <w:szCs w:val="26"/>
        </w:rPr>
        <w:t>, Commission staff estimated that the Commission would receive five conduit exemption applications per year.  Since the Hydropower Efficiency Act’s enactment in Augus</w:t>
      </w:r>
      <w:r w:rsidR="00812A90">
        <w:rPr>
          <w:sz w:val="26"/>
          <w:szCs w:val="26"/>
        </w:rPr>
        <w:t xml:space="preserve">t 2013, the Commission has </w:t>
      </w:r>
      <w:r w:rsidR="008B634A">
        <w:rPr>
          <w:sz w:val="26"/>
          <w:szCs w:val="26"/>
        </w:rPr>
        <w:t xml:space="preserve">received </w:t>
      </w:r>
      <w:r w:rsidR="00812A90">
        <w:rPr>
          <w:sz w:val="26"/>
          <w:szCs w:val="26"/>
        </w:rPr>
        <w:t xml:space="preserve">only </w:t>
      </w:r>
      <w:r w:rsidR="008B634A">
        <w:rPr>
          <w:sz w:val="26"/>
          <w:szCs w:val="26"/>
        </w:rPr>
        <w:t xml:space="preserve">three conduit exemption applications.  Therefore, Commission </w:t>
      </w:r>
      <w:r w:rsidR="00676094">
        <w:rPr>
          <w:sz w:val="26"/>
          <w:szCs w:val="26"/>
        </w:rPr>
        <w:t xml:space="preserve">staff </w:t>
      </w:r>
      <w:r w:rsidR="008B634A">
        <w:rPr>
          <w:sz w:val="26"/>
          <w:szCs w:val="26"/>
        </w:rPr>
        <w:t xml:space="preserve">reduces its estimate of anticipated conduit exemption applications to two applications per year.  </w:t>
      </w:r>
    </w:p>
  </w:footnote>
  <w:footnote w:id="9">
    <w:p w14:paraId="6D027A1A" w14:textId="687EE7B2" w:rsidR="00D5362E" w:rsidRPr="00015EA8"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w:t>
      </w:r>
      <w:r w:rsidR="008B634A">
        <w:rPr>
          <w:sz w:val="26"/>
          <w:szCs w:val="26"/>
        </w:rPr>
        <w:t>Given that</w:t>
      </w:r>
      <w:r w:rsidR="00676094">
        <w:rPr>
          <w:sz w:val="26"/>
          <w:szCs w:val="26"/>
        </w:rPr>
        <w:t xml:space="preserve"> Commission staff estimates</w:t>
      </w:r>
      <w:r w:rsidR="008B634A">
        <w:rPr>
          <w:sz w:val="26"/>
          <w:szCs w:val="26"/>
        </w:rPr>
        <w:t xml:space="preserve"> two conduit exemption applications per </w:t>
      </w:r>
      <w:proofErr w:type="gramStart"/>
      <w:r w:rsidR="008B634A">
        <w:rPr>
          <w:sz w:val="26"/>
          <w:szCs w:val="26"/>
        </w:rPr>
        <w:t>year,</w:t>
      </w:r>
      <w:proofErr w:type="gramEnd"/>
      <w:r w:rsidR="008B634A">
        <w:rPr>
          <w:sz w:val="26"/>
          <w:szCs w:val="26"/>
        </w:rPr>
        <w:t xml:space="preserve"> Commission staff</w:t>
      </w:r>
      <w:r w:rsidRPr="00015EA8">
        <w:rPr>
          <w:sz w:val="26"/>
          <w:szCs w:val="26"/>
        </w:rPr>
        <w:t xml:space="preserve"> anticipate</w:t>
      </w:r>
      <w:r w:rsidR="008B634A">
        <w:rPr>
          <w:sz w:val="26"/>
          <w:szCs w:val="26"/>
        </w:rPr>
        <w:t>s</w:t>
      </w:r>
      <w:r w:rsidRPr="00015EA8">
        <w:rPr>
          <w:sz w:val="26"/>
          <w:szCs w:val="26"/>
        </w:rPr>
        <w:t xml:space="preserve"> surrenders of conduit exemptions on federal lands to be rare</w:t>
      </w:r>
      <w:r w:rsidR="00676094">
        <w:rPr>
          <w:sz w:val="26"/>
          <w:szCs w:val="26"/>
        </w:rPr>
        <w:t xml:space="preserve">.  </w:t>
      </w:r>
      <w:r w:rsidR="00A65E8D">
        <w:rPr>
          <w:sz w:val="26"/>
          <w:szCs w:val="26"/>
        </w:rPr>
        <w:t>Hence</w:t>
      </w:r>
      <w:r w:rsidRPr="00015EA8">
        <w:rPr>
          <w:sz w:val="26"/>
          <w:szCs w:val="26"/>
        </w:rPr>
        <w:t xml:space="preserve">, </w:t>
      </w:r>
      <w:r w:rsidR="00676094">
        <w:rPr>
          <w:sz w:val="26"/>
          <w:szCs w:val="26"/>
        </w:rPr>
        <w:t>Commission staff</w:t>
      </w:r>
      <w:r w:rsidR="008B634A">
        <w:rPr>
          <w:sz w:val="26"/>
          <w:szCs w:val="26"/>
        </w:rPr>
        <w:t xml:space="preserve"> </w:t>
      </w:r>
      <w:r w:rsidRPr="00015EA8">
        <w:rPr>
          <w:sz w:val="26"/>
          <w:szCs w:val="26"/>
        </w:rPr>
        <w:t>estimate</w:t>
      </w:r>
      <w:r w:rsidR="008B634A">
        <w:rPr>
          <w:sz w:val="26"/>
          <w:szCs w:val="26"/>
        </w:rPr>
        <w:t>s</w:t>
      </w:r>
      <w:r w:rsidRPr="00015EA8">
        <w:rPr>
          <w:sz w:val="26"/>
          <w:szCs w:val="26"/>
        </w:rPr>
        <w:t xml:space="preserve"> </w:t>
      </w:r>
      <w:proofErr w:type="gramStart"/>
      <w:r w:rsidRPr="00015EA8">
        <w:rPr>
          <w:sz w:val="26"/>
          <w:szCs w:val="26"/>
        </w:rPr>
        <w:t>one surrender</w:t>
      </w:r>
      <w:proofErr w:type="gramEnd"/>
      <w:r w:rsidRPr="00015EA8">
        <w:rPr>
          <w:sz w:val="26"/>
          <w:szCs w:val="26"/>
        </w:rPr>
        <w:t xml:space="preserve"> of a conduit exemption on federal lands to be filed every ten years (equaling on average 0.1 applications per year).  The one surrender would trigger agency notification, which is estimated to take 46 hours.  The burden and cost are being averaged over that ten-year period (equaling on average 4.6 hours per year).</w:t>
      </w:r>
    </w:p>
  </w:footnote>
  <w:footnote w:id="10">
    <w:p w14:paraId="28E244F0" w14:textId="7EB7C6F6" w:rsidR="00127B7B" w:rsidRPr="00015EA8" w:rsidRDefault="00127B7B" w:rsidP="00015EA8">
      <w:pPr>
        <w:pStyle w:val="FootnoteText"/>
        <w:ind w:firstLine="720"/>
        <w:rPr>
          <w:sz w:val="26"/>
          <w:szCs w:val="26"/>
        </w:rPr>
      </w:pPr>
      <w:r w:rsidRPr="00015EA8">
        <w:rPr>
          <w:rStyle w:val="FootnoteReference"/>
        </w:rPr>
        <w:footnoteRef/>
      </w:r>
      <w:r w:rsidRPr="00015EA8">
        <w:rPr>
          <w:sz w:val="26"/>
          <w:szCs w:val="26"/>
        </w:rPr>
        <w:t xml:space="preserve"> The Commission received six license applications between 2010 and 2013 that proposed projects with installed capacity greater than 5 MW, which could now qualify for a small hydroelectric power project exemption.  Therefore, Commission staff estimates that on average the Commission receives two applications per year.</w:t>
      </w:r>
    </w:p>
    <w:p w14:paraId="724F0020" w14:textId="77777777" w:rsidR="00127B7B" w:rsidRPr="00015EA8" w:rsidRDefault="00127B7B" w:rsidP="00015EA8">
      <w:pPr>
        <w:pStyle w:val="FootnoteText"/>
        <w:rPr>
          <w:sz w:val="26"/>
          <w:szCs w:val="26"/>
        </w:rPr>
      </w:pPr>
    </w:p>
  </w:footnote>
  <w:footnote w:id="11">
    <w:p w14:paraId="6253782C" w14:textId="77777777" w:rsidR="00D5362E" w:rsidRPr="00015EA8"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A notice of intent is a request that the Commission determine a project is a qualifying conduit hydropower facility.</w:t>
      </w:r>
    </w:p>
  </w:footnote>
  <w:footnote w:id="12">
    <w:p w14:paraId="3736197C" w14:textId="5856B500" w:rsidR="00D5362E" w:rsidRPr="00222704"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w:t>
      </w:r>
      <w:r w:rsidRPr="00D757D2">
        <w:rPr>
          <w:sz w:val="26"/>
          <w:szCs w:val="26"/>
        </w:rPr>
        <w:t xml:space="preserve">While the Commission initially received a rash of notices of intent to construct qualifying conduit hydropower facilities, </w:t>
      </w:r>
      <w:r w:rsidR="008B634A">
        <w:rPr>
          <w:sz w:val="26"/>
          <w:szCs w:val="26"/>
        </w:rPr>
        <w:t>Commission staff e</w:t>
      </w:r>
      <w:r w:rsidRPr="00D757D2">
        <w:rPr>
          <w:sz w:val="26"/>
          <w:szCs w:val="26"/>
        </w:rPr>
        <w:t>xpect</w:t>
      </w:r>
      <w:r w:rsidR="008B634A">
        <w:rPr>
          <w:sz w:val="26"/>
          <w:szCs w:val="26"/>
        </w:rPr>
        <w:t>s</w:t>
      </w:r>
      <w:r w:rsidRPr="00D757D2">
        <w:rPr>
          <w:sz w:val="26"/>
          <w:szCs w:val="26"/>
        </w:rPr>
        <w:t xml:space="preserve"> notices of intent to taper off.  </w:t>
      </w:r>
      <w:r w:rsidR="006E6D00" w:rsidRPr="00D757D2">
        <w:rPr>
          <w:sz w:val="26"/>
          <w:szCs w:val="26"/>
        </w:rPr>
        <w:t>Over 60</w:t>
      </w:r>
      <w:r w:rsidRPr="00D757D2">
        <w:rPr>
          <w:sz w:val="26"/>
          <w:szCs w:val="26"/>
        </w:rPr>
        <w:t xml:space="preserve"> percent of the </w:t>
      </w:r>
      <w:r w:rsidR="006E6D00" w:rsidRPr="00D757D2">
        <w:rPr>
          <w:sz w:val="26"/>
          <w:szCs w:val="26"/>
        </w:rPr>
        <w:t xml:space="preserve">36 </w:t>
      </w:r>
      <w:r w:rsidRPr="00D757D2">
        <w:rPr>
          <w:sz w:val="26"/>
          <w:szCs w:val="26"/>
        </w:rPr>
        <w:t xml:space="preserve">notices of intent </w:t>
      </w:r>
      <w:r w:rsidR="006E6D00" w:rsidRPr="00D757D2">
        <w:rPr>
          <w:sz w:val="26"/>
          <w:szCs w:val="26"/>
        </w:rPr>
        <w:t xml:space="preserve">the Commission </w:t>
      </w:r>
      <w:r w:rsidRPr="00D757D2">
        <w:rPr>
          <w:sz w:val="26"/>
          <w:szCs w:val="26"/>
        </w:rPr>
        <w:t xml:space="preserve">received </w:t>
      </w:r>
      <w:r w:rsidR="006E6D00" w:rsidRPr="00D757D2">
        <w:rPr>
          <w:sz w:val="26"/>
          <w:szCs w:val="26"/>
        </w:rPr>
        <w:t xml:space="preserve">since the Hydropower Efficiency Act’s enactment </w:t>
      </w:r>
      <w:r w:rsidRPr="00D757D2">
        <w:rPr>
          <w:sz w:val="26"/>
          <w:szCs w:val="26"/>
        </w:rPr>
        <w:t xml:space="preserve">were filed within the first </w:t>
      </w:r>
      <w:r w:rsidR="00015EA8" w:rsidRPr="00D757D2">
        <w:rPr>
          <w:sz w:val="26"/>
          <w:szCs w:val="26"/>
        </w:rPr>
        <w:t xml:space="preserve">six </w:t>
      </w:r>
      <w:r w:rsidRPr="00D757D2">
        <w:rPr>
          <w:sz w:val="26"/>
          <w:szCs w:val="26"/>
        </w:rPr>
        <w:t xml:space="preserve">months of the program.  In the last three months, </w:t>
      </w:r>
      <w:r w:rsidR="006E6D00" w:rsidRPr="00D757D2">
        <w:rPr>
          <w:sz w:val="26"/>
          <w:szCs w:val="26"/>
        </w:rPr>
        <w:t>the Commission</w:t>
      </w:r>
      <w:r w:rsidRPr="00D757D2">
        <w:rPr>
          <w:sz w:val="26"/>
          <w:szCs w:val="26"/>
        </w:rPr>
        <w:t xml:space="preserve"> received </w:t>
      </w:r>
      <w:r w:rsidR="006E6D00" w:rsidRPr="00D757D2">
        <w:rPr>
          <w:sz w:val="26"/>
          <w:szCs w:val="26"/>
        </w:rPr>
        <w:t xml:space="preserve">three </w:t>
      </w:r>
      <w:r w:rsidRPr="00D757D2">
        <w:rPr>
          <w:sz w:val="26"/>
          <w:szCs w:val="26"/>
        </w:rPr>
        <w:t>notices of intent</w:t>
      </w:r>
      <w:r w:rsidR="006E6D00" w:rsidRPr="00D757D2">
        <w:rPr>
          <w:sz w:val="26"/>
          <w:szCs w:val="26"/>
        </w:rPr>
        <w:t>; one of which the applicant refiled after Commission staff rejected the applicant’s first notice of intent</w:t>
      </w:r>
      <w:r w:rsidRPr="00D757D2">
        <w:rPr>
          <w:sz w:val="26"/>
          <w:szCs w:val="26"/>
        </w:rPr>
        <w:t xml:space="preserve">.  Therefore, </w:t>
      </w:r>
      <w:r w:rsidR="006E6D00" w:rsidRPr="00D757D2">
        <w:rPr>
          <w:sz w:val="26"/>
          <w:szCs w:val="26"/>
        </w:rPr>
        <w:t xml:space="preserve">Commission staff </w:t>
      </w:r>
      <w:r w:rsidRPr="00D757D2">
        <w:rPr>
          <w:sz w:val="26"/>
          <w:szCs w:val="26"/>
        </w:rPr>
        <w:t>estimate</w:t>
      </w:r>
      <w:r w:rsidR="006E6D00" w:rsidRPr="00D757D2">
        <w:rPr>
          <w:sz w:val="26"/>
          <w:szCs w:val="26"/>
        </w:rPr>
        <w:t>s</w:t>
      </w:r>
      <w:r w:rsidRPr="00D757D2">
        <w:rPr>
          <w:sz w:val="26"/>
          <w:szCs w:val="26"/>
        </w:rPr>
        <w:t xml:space="preserve"> that </w:t>
      </w:r>
      <w:r w:rsidR="006E6D00" w:rsidRPr="00D757D2">
        <w:rPr>
          <w:sz w:val="26"/>
          <w:szCs w:val="26"/>
        </w:rPr>
        <w:t xml:space="preserve">it </w:t>
      </w:r>
      <w:r w:rsidRPr="00D757D2">
        <w:rPr>
          <w:sz w:val="26"/>
          <w:szCs w:val="26"/>
        </w:rPr>
        <w:t>will receive eight notices of intent per year.</w:t>
      </w:r>
      <w:r w:rsidRPr="00127B7B">
        <w:rPr>
          <w:sz w:val="26"/>
          <w:szCs w:val="26"/>
        </w:rPr>
        <w:t xml:space="preserve"> </w:t>
      </w:r>
    </w:p>
  </w:footnote>
  <w:footnote w:id="13">
    <w:p w14:paraId="317C7A4C" w14:textId="6BFFC766" w:rsidR="00D5362E" w:rsidRPr="00015EA8" w:rsidRDefault="00D5362E" w:rsidP="00015EA8">
      <w:pPr>
        <w:pStyle w:val="FootnoteText"/>
        <w:spacing w:after="240"/>
        <w:ind w:firstLine="720"/>
        <w:rPr>
          <w:sz w:val="26"/>
          <w:szCs w:val="26"/>
        </w:rPr>
      </w:pPr>
      <w:r w:rsidRPr="00015EA8">
        <w:rPr>
          <w:rStyle w:val="FootnoteReference"/>
        </w:rPr>
        <w:footnoteRef/>
      </w:r>
      <w:r w:rsidRPr="00015EA8">
        <w:rPr>
          <w:sz w:val="26"/>
          <w:szCs w:val="26"/>
        </w:rPr>
        <w:t xml:space="preserve"> Based on the number of preliminary permits issued in the past </w:t>
      </w:r>
      <w:r w:rsidR="00015EA8">
        <w:rPr>
          <w:sz w:val="26"/>
          <w:szCs w:val="26"/>
        </w:rPr>
        <w:t>three</w:t>
      </w:r>
      <w:r w:rsidR="00015EA8" w:rsidRPr="00015EA8">
        <w:rPr>
          <w:sz w:val="26"/>
          <w:szCs w:val="26"/>
        </w:rPr>
        <w:t xml:space="preserve"> </w:t>
      </w:r>
      <w:r w:rsidRPr="00015EA8">
        <w:rPr>
          <w:sz w:val="26"/>
          <w:szCs w:val="26"/>
        </w:rPr>
        <w:t xml:space="preserve">years, Commission staff estimates that an annual average of 80 permits will be eligible to request an extension.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E203" w14:textId="395128EB" w:rsidR="0057111C" w:rsidRDefault="00126922"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37">
      <w:rPr>
        <w:rStyle w:val="PageNumber"/>
        <w:noProof/>
      </w:rPr>
      <w:t>7</w:t>
    </w:r>
    <w:r>
      <w:rPr>
        <w:rStyle w:val="PageNumber"/>
      </w:rPr>
      <w:fldChar w:fldCharType="end"/>
    </w:r>
  </w:p>
  <w:p w14:paraId="350356AC" w14:textId="77777777" w:rsidR="0057111C" w:rsidRDefault="00114D37"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05177" w14:textId="799BA412" w:rsidR="0057111C" w:rsidRDefault="00126922"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37">
      <w:rPr>
        <w:rStyle w:val="PageNumber"/>
        <w:noProof/>
      </w:rPr>
      <w:t>2</w:t>
    </w:r>
    <w:r>
      <w:rPr>
        <w:rStyle w:val="PageNumber"/>
      </w:rPr>
      <w:fldChar w:fldCharType="end"/>
    </w:r>
  </w:p>
  <w:p w14:paraId="3A223240" w14:textId="5AD3210C" w:rsidR="0057111C" w:rsidRDefault="00126922" w:rsidP="0096632C">
    <w:pPr>
      <w:pStyle w:val="Header"/>
      <w:ind w:right="360"/>
    </w:pPr>
    <w:r>
      <w:t xml:space="preserve">Docket </w:t>
    </w:r>
    <w:r w:rsidRPr="00B35C0B">
      <w:t>No</w:t>
    </w:r>
    <w:r>
      <w:t xml:space="preserve">. </w:t>
    </w:r>
    <w:r w:rsidR="00000855">
      <w:t>R</w:t>
    </w:r>
    <w:r w:rsidR="00C96B65">
      <w:t>M</w:t>
    </w:r>
    <w:r w:rsidR="00000855">
      <w:t>14-</w:t>
    </w:r>
    <w:r w:rsidR="00C96B65">
      <w:t>22</w:t>
    </w:r>
    <w:r>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3B5002B"/>
    <w:multiLevelType w:val="hybridMultilevel"/>
    <w:tmpl w:val="4E90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F171A"/>
    <w:multiLevelType w:val="hybridMultilevel"/>
    <w:tmpl w:val="14B6FC8A"/>
    <w:lvl w:ilvl="0" w:tplc="9CD6476A">
      <w:start w:val="1"/>
      <w:numFmt w:val="decimal"/>
      <w:lvlText w:val="%1."/>
      <w:lvlJc w:val="left"/>
      <w:pPr>
        <w:tabs>
          <w:tab w:val="num" w:pos="720"/>
        </w:tabs>
        <w:ind w:left="0" w:firstLine="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107FA1"/>
    <w:multiLevelType w:val="hybridMultilevel"/>
    <w:tmpl w:val="2BCE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BAEEB6D0"/>
    <w:lvl w:ilvl="0" w:tplc="04090001">
      <w:start w:val="1"/>
      <w:numFmt w:val="bullet"/>
      <w:lvlText w:val=""/>
      <w:lvlJc w:val="left"/>
      <w:pPr>
        <w:tabs>
          <w:tab w:val="num" w:pos="5140"/>
        </w:tabs>
        <w:ind w:left="4420" w:firstLine="0"/>
      </w:pPr>
      <w:rPr>
        <w:rFonts w:ascii="Symbol" w:hAnsi="Symbol" w:hint="default"/>
      </w:rPr>
    </w:lvl>
    <w:lvl w:ilvl="1" w:tplc="EA267460">
      <w:start w:val="1"/>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6"/>
  </w:num>
  <w:num w:numId="5">
    <w:abstractNumId w:val="1"/>
  </w:num>
  <w:num w:numId="6">
    <w:abstractNumId w:val="6"/>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Palmer">
    <w15:presenceInfo w15:providerId="AD" w15:userId="S-1-5-21-842925246-1078145449-725345543-96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43"/>
    <w:rsid w:val="00000855"/>
    <w:rsid w:val="00010CB2"/>
    <w:rsid w:val="00015EA8"/>
    <w:rsid w:val="00027C92"/>
    <w:rsid w:val="0009603A"/>
    <w:rsid w:val="000A7477"/>
    <w:rsid w:val="000B4119"/>
    <w:rsid w:val="000C14F9"/>
    <w:rsid w:val="000D3645"/>
    <w:rsid w:val="000F46AB"/>
    <w:rsid w:val="001041E1"/>
    <w:rsid w:val="001116CB"/>
    <w:rsid w:val="00114D37"/>
    <w:rsid w:val="00121789"/>
    <w:rsid w:val="0012620B"/>
    <w:rsid w:val="00126922"/>
    <w:rsid w:val="00127B7B"/>
    <w:rsid w:val="00147FDE"/>
    <w:rsid w:val="00171F4D"/>
    <w:rsid w:val="00181AFD"/>
    <w:rsid w:val="001A5D0E"/>
    <w:rsid w:val="001B4B44"/>
    <w:rsid w:val="001B592F"/>
    <w:rsid w:val="001C0F50"/>
    <w:rsid w:val="001D6943"/>
    <w:rsid w:val="001E6C94"/>
    <w:rsid w:val="001F4FB5"/>
    <w:rsid w:val="00222704"/>
    <w:rsid w:val="002248B3"/>
    <w:rsid w:val="00251ACD"/>
    <w:rsid w:val="00261B7E"/>
    <w:rsid w:val="00297AA6"/>
    <w:rsid w:val="002B18A4"/>
    <w:rsid w:val="002B6729"/>
    <w:rsid w:val="002D5FD9"/>
    <w:rsid w:val="002F5755"/>
    <w:rsid w:val="00310E97"/>
    <w:rsid w:val="00311DA9"/>
    <w:rsid w:val="003147FF"/>
    <w:rsid w:val="00335812"/>
    <w:rsid w:val="0034402D"/>
    <w:rsid w:val="003B0869"/>
    <w:rsid w:val="003B5FA3"/>
    <w:rsid w:val="00411539"/>
    <w:rsid w:val="00422DA3"/>
    <w:rsid w:val="0044449A"/>
    <w:rsid w:val="00450898"/>
    <w:rsid w:val="004A5E74"/>
    <w:rsid w:val="004A75EE"/>
    <w:rsid w:val="004C4D5C"/>
    <w:rsid w:val="004C4FBB"/>
    <w:rsid w:val="004D4BD8"/>
    <w:rsid w:val="005002B9"/>
    <w:rsid w:val="00505528"/>
    <w:rsid w:val="00574B1F"/>
    <w:rsid w:val="00593B43"/>
    <w:rsid w:val="005949E1"/>
    <w:rsid w:val="005C3772"/>
    <w:rsid w:val="005C47C8"/>
    <w:rsid w:val="005C6EAF"/>
    <w:rsid w:val="005E1617"/>
    <w:rsid w:val="005E6DAE"/>
    <w:rsid w:val="005F43E8"/>
    <w:rsid w:val="0060381A"/>
    <w:rsid w:val="006121AB"/>
    <w:rsid w:val="00632538"/>
    <w:rsid w:val="00665C1E"/>
    <w:rsid w:val="00676094"/>
    <w:rsid w:val="006971D7"/>
    <w:rsid w:val="006E0251"/>
    <w:rsid w:val="006E0A75"/>
    <w:rsid w:val="006E6D00"/>
    <w:rsid w:val="007112CA"/>
    <w:rsid w:val="00712429"/>
    <w:rsid w:val="00751769"/>
    <w:rsid w:val="0075360B"/>
    <w:rsid w:val="00765402"/>
    <w:rsid w:val="00805579"/>
    <w:rsid w:val="00812A90"/>
    <w:rsid w:val="00821BF7"/>
    <w:rsid w:val="00846F1C"/>
    <w:rsid w:val="00850893"/>
    <w:rsid w:val="00855BBE"/>
    <w:rsid w:val="00867E20"/>
    <w:rsid w:val="008A34F7"/>
    <w:rsid w:val="008B634A"/>
    <w:rsid w:val="00902310"/>
    <w:rsid w:val="009201F3"/>
    <w:rsid w:val="00931C94"/>
    <w:rsid w:val="00935327"/>
    <w:rsid w:val="00944E16"/>
    <w:rsid w:val="00947271"/>
    <w:rsid w:val="00954592"/>
    <w:rsid w:val="009745A6"/>
    <w:rsid w:val="0098658A"/>
    <w:rsid w:val="009A1983"/>
    <w:rsid w:val="009A4805"/>
    <w:rsid w:val="00A004AF"/>
    <w:rsid w:val="00A018B2"/>
    <w:rsid w:val="00A265C7"/>
    <w:rsid w:val="00A60421"/>
    <w:rsid w:val="00A65E8D"/>
    <w:rsid w:val="00A80633"/>
    <w:rsid w:val="00A80F0F"/>
    <w:rsid w:val="00A879EC"/>
    <w:rsid w:val="00AD4846"/>
    <w:rsid w:val="00B32E1A"/>
    <w:rsid w:val="00B6051C"/>
    <w:rsid w:val="00B72C51"/>
    <w:rsid w:val="00B839E0"/>
    <w:rsid w:val="00B84729"/>
    <w:rsid w:val="00B937C0"/>
    <w:rsid w:val="00BB75C1"/>
    <w:rsid w:val="00BC0884"/>
    <w:rsid w:val="00BC1158"/>
    <w:rsid w:val="00BF06B5"/>
    <w:rsid w:val="00BF3116"/>
    <w:rsid w:val="00C01B1D"/>
    <w:rsid w:val="00C22594"/>
    <w:rsid w:val="00C25220"/>
    <w:rsid w:val="00C33466"/>
    <w:rsid w:val="00C534F7"/>
    <w:rsid w:val="00C96B65"/>
    <w:rsid w:val="00CC74A0"/>
    <w:rsid w:val="00CF41A1"/>
    <w:rsid w:val="00CF54C2"/>
    <w:rsid w:val="00D27B71"/>
    <w:rsid w:val="00D31D6B"/>
    <w:rsid w:val="00D35992"/>
    <w:rsid w:val="00D4142F"/>
    <w:rsid w:val="00D5362E"/>
    <w:rsid w:val="00D64A2C"/>
    <w:rsid w:val="00D757D2"/>
    <w:rsid w:val="00DA74A5"/>
    <w:rsid w:val="00DB2C3C"/>
    <w:rsid w:val="00DD2C22"/>
    <w:rsid w:val="00DE0B2E"/>
    <w:rsid w:val="00DE5D91"/>
    <w:rsid w:val="00E01541"/>
    <w:rsid w:val="00E05FAE"/>
    <w:rsid w:val="00E26DB2"/>
    <w:rsid w:val="00E65143"/>
    <w:rsid w:val="00EA4DB5"/>
    <w:rsid w:val="00EA7461"/>
    <w:rsid w:val="00ED0191"/>
    <w:rsid w:val="00ED26B1"/>
    <w:rsid w:val="00EE219C"/>
    <w:rsid w:val="00EE542B"/>
    <w:rsid w:val="00F223CC"/>
    <w:rsid w:val="00F430C3"/>
    <w:rsid w:val="00F52901"/>
    <w:rsid w:val="00F52980"/>
    <w:rsid w:val="00F64A7F"/>
    <w:rsid w:val="00F80B1A"/>
    <w:rsid w:val="00FB5EB8"/>
    <w:rsid w:val="00FD4B27"/>
    <w:rsid w:val="00FD69F3"/>
    <w:rsid w:val="00FF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DA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4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qFormat/>
    <w:rsid w:val="001D6943"/>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1D6943"/>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
    <w:basedOn w:val="Normal"/>
    <w:link w:val="FootnoteTextChar2"/>
    <w:rsid w:val="001D6943"/>
    <w:rPr>
      <w:sz w:val="22"/>
      <w:szCs w:val="20"/>
    </w:rPr>
  </w:style>
  <w:style w:type="character" w:customStyle="1" w:styleId="FootnoteTextChar">
    <w:name w:val="Footnote Text Char"/>
    <w:basedOn w:val="DefaultParagraphFont"/>
    <w:rsid w:val="001D6943"/>
    <w:rPr>
      <w:rFonts w:ascii="Times New Roman" w:eastAsia="Times New Roman" w:hAnsi="Times New Roman" w:cs="Times New Roman"/>
      <w:sz w:val="20"/>
      <w:szCs w:val="20"/>
    </w:rPr>
  </w:style>
  <w:style w:type="paragraph" w:styleId="Header">
    <w:name w:val="header"/>
    <w:basedOn w:val="Normal"/>
    <w:link w:val="HeaderChar"/>
    <w:rsid w:val="001D6943"/>
    <w:pPr>
      <w:tabs>
        <w:tab w:val="center" w:pos="4320"/>
        <w:tab w:val="right" w:pos="8640"/>
      </w:tabs>
    </w:pPr>
  </w:style>
  <w:style w:type="character" w:customStyle="1" w:styleId="HeaderChar">
    <w:name w:val="Header Char"/>
    <w:basedOn w:val="DefaultParagraphFont"/>
    <w:link w:val="Header"/>
    <w:rsid w:val="001D6943"/>
    <w:rPr>
      <w:rFonts w:ascii="Times New Roman" w:eastAsia="Times New Roman" w:hAnsi="Times New Roman" w:cs="Times New Roman"/>
      <w:sz w:val="26"/>
      <w:szCs w:val="24"/>
    </w:rPr>
  </w:style>
  <w:style w:type="character" w:styleId="PageNumber">
    <w:name w:val="page number"/>
    <w:basedOn w:val="DefaultParagraphFont"/>
    <w:rsid w:val="001D6943"/>
  </w:style>
  <w:style w:type="character" w:styleId="Hyperlink">
    <w:name w:val="Hyperlink"/>
    <w:basedOn w:val="DefaultParagraphFont"/>
    <w:rsid w:val="001D6943"/>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link w:val="FootnoteText"/>
    <w:rsid w:val="001D6943"/>
    <w:rPr>
      <w:rFonts w:ascii="Times New Roman" w:eastAsia="Times New Roman" w:hAnsi="Times New Roman" w:cs="Times New Roman"/>
      <w:szCs w:val="20"/>
    </w:rPr>
  </w:style>
  <w:style w:type="character" w:customStyle="1" w:styleId="FERCparanumberChar1">
    <w:name w:val="FERC paranumber Char1"/>
    <w:link w:val="FERCparanumber"/>
    <w:rsid w:val="001D6943"/>
    <w:rPr>
      <w:rFonts w:ascii="Times New Roman" w:eastAsia="Times New Roman" w:hAnsi="Times New Roman" w:cs="Times New Roman"/>
      <w:sz w:val="26"/>
      <w:szCs w:val="24"/>
    </w:rPr>
  </w:style>
  <w:style w:type="paragraph" w:styleId="ListParagraph">
    <w:name w:val="List Paragraph"/>
    <w:basedOn w:val="Normal"/>
    <w:uiPriority w:val="34"/>
    <w:qFormat/>
    <w:rsid w:val="001D6943"/>
    <w:pPr>
      <w:widowControl w:val="0"/>
      <w:autoSpaceDE w:val="0"/>
      <w:autoSpaceDN w:val="0"/>
      <w:adjustRightInd w:val="0"/>
      <w:ind w:left="720"/>
    </w:pPr>
  </w:style>
  <w:style w:type="paragraph" w:styleId="BalloonText">
    <w:name w:val="Balloon Text"/>
    <w:basedOn w:val="Normal"/>
    <w:link w:val="BalloonTextChar"/>
    <w:uiPriority w:val="99"/>
    <w:semiHidden/>
    <w:unhideWhenUsed/>
    <w:rsid w:val="00126922"/>
    <w:rPr>
      <w:rFonts w:ascii="Tahoma" w:hAnsi="Tahoma" w:cs="Tahoma"/>
      <w:sz w:val="16"/>
      <w:szCs w:val="16"/>
    </w:rPr>
  </w:style>
  <w:style w:type="character" w:customStyle="1" w:styleId="BalloonTextChar">
    <w:name w:val="Balloon Text Char"/>
    <w:basedOn w:val="DefaultParagraphFont"/>
    <w:link w:val="BalloonText"/>
    <w:uiPriority w:val="99"/>
    <w:semiHidden/>
    <w:rsid w:val="00126922"/>
    <w:rPr>
      <w:rFonts w:ascii="Tahoma" w:eastAsia="Times New Roman" w:hAnsi="Tahoma" w:cs="Tahoma"/>
      <w:sz w:val="16"/>
      <w:szCs w:val="16"/>
    </w:rPr>
  </w:style>
  <w:style w:type="paragraph" w:styleId="Footer">
    <w:name w:val="footer"/>
    <w:basedOn w:val="Normal"/>
    <w:link w:val="FooterChar"/>
    <w:uiPriority w:val="99"/>
    <w:unhideWhenUsed/>
    <w:rsid w:val="00000855"/>
    <w:pPr>
      <w:tabs>
        <w:tab w:val="center" w:pos="4680"/>
        <w:tab w:val="right" w:pos="9360"/>
      </w:tabs>
    </w:pPr>
  </w:style>
  <w:style w:type="character" w:customStyle="1" w:styleId="FooterChar">
    <w:name w:val="Footer Char"/>
    <w:basedOn w:val="DefaultParagraphFont"/>
    <w:link w:val="Footer"/>
    <w:uiPriority w:val="99"/>
    <w:rsid w:val="00000855"/>
    <w:rPr>
      <w:rFonts w:ascii="Times New Roman" w:eastAsia="Times New Roman" w:hAnsi="Times New Roman" w:cs="Times New Roman"/>
      <w:sz w:val="26"/>
      <w:szCs w:val="24"/>
    </w:r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fn Char1 Char1,fn Char Char1"/>
    <w:semiHidden/>
    <w:locked/>
    <w:rsid w:val="00BF06B5"/>
    <w:rPr>
      <w:sz w:val="26"/>
    </w:rPr>
  </w:style>
  <w:style w:type="character" w:styleId="Emphasis">
    <w:name w:val="Emphasis"/>
    <w:basedOn w:val="DefaultParagraphFont"/>
    <w:uiPriority w:val="20"/>
    <w:qFormat/>
    <w:rsid w:val="00BF06B5"/>
    <w:rPr>
      <w:i/>
      <w:iCs/>
    </w:rPr>
  </w:style>
  <w:style w:type="character" w:styleId="CommentReference">
    <w:name w:val="annotation reference"/>
    <w:basedOn w:val="DefaultParagraphFont"/>
    <w:uiPriority w:val="99"/>
    <w:semiHidden/>
    <w:unhideWhenUsed/>
    <w:rsid w:val="0044449A"/>
    <w:rPr>
      <w:sz w:val="16"/>
      <w:szCs w:val="16"/>
    </w:rPr>
  </w:style>
  <w:style w:type="paragraph" w:styleId="CommentText">
    <w:name w:val="annotation text"/>
    <w:basedOn w:val="Normal"/>
    <w:link w:val="CommentTextChar"/>
    <w:uiPriority w:val="99"/>
    <w:semiHidden/>
    <w:unhideWhenUsed/>
    <w:rsid w:val="0044449A"/>
    <w:rPr>
      <w:sz w:val="20"/>
      <w:szCs w:val="20"/>
    </w:rPr>
  </w:style>
  <w:style w:type="character" w:customStyle="1" w:styleId="CommentTextChar">
    <w:name w:val="Comment Text Char"/>
    <w:basedOn w:val="DefaultParagraphFont"/>
    <w:link w:val="CommentText"/>
    <w:uiPriority w:val="99"/>
    <w:semiHidden/>
    <w:rsid w:val="00444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49A"/>
    <w:rPr>
      <w:b/>
      <w:bCs/>
    </w:rPr>
  </w:style>
  <w:style w:type="character" w:customStyle="1" w:styleId="CommentSubjectChar">
    <w:name w:val="Comment Subject Char"/>
    <w:basedOn w:val="CommentTextChar"/>
    <w:link w:val="CommentSubject"/>
    <w:uiPriority w:val="99"/>
    <w:semiHidden/>
    <w:rsid w:val="0044449A"/>
    <w:rPr>
      <w:rFonts w:ascii="Times New Roman" w:eastAsia="Times New Roman" w:hAnsi="Times New Roman" w:cs="Times New Roman"/>
      <w:b/>
      <w:bCs/>
      <w:sz w:val="20"/>
      <w:szCs w:val="20"/>
    </w:rPr>
  </w:style>
  <w:style w:type="character" w:customStyle="1" w:styleId="FERCparanumberChar">
    <w:name w:val="FERC paranumber Char"/>
    <w:basedOn w:val="DefaultParagraphFont"/>
    <w:rsid w:val="00A879EC"/>
    <w:rPr>
      <w:sz w:val="26"/>
      <w:szCs w:val="24"/>
      <w:lang w:bidi="ar-SA"/>
    </w:rPr>
  </w:style>
  <w:style w:type="character" w:customStyle="1" w:styleId="volume">
    <w:name w:val="volume"/>
    <w:basedOn w:val="DefaultParagraphFont"/>
    <w:rsid w:val="00765402"/>
  </w:style>
  <w:style w:type="character" w:customStyle="1" w:styleId="apple-converted-space">
    <w:name w:val="apple-converted-space"/>
    <w:basedOn w:val="DefaultParagraphFont"/>
    <w:rsid w:val="00765402"/>
  </w:style>
  <w:style w:type="character" w:customStyle="1" w:styleId="page">
    <w:name w:val="page"/>
    <w:basedOn w:val="DefaultParagraphFont"/>
    <w:rsid w:val="00765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4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qFormat/>
    <w:rsid w:val="001D6943"/>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1D6943"/>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
    <w:basedOn w:val="Normal"/>
    <w:link w:val="FootnoteTextChar2"/>
    <w:rsid w:val="001D6943"/>
    <w:rPr>
      <w:sz w:val="22"/>
      <w:szCs w:val="20"/>
    </w:rPr>
  </w:style>
  <w:style w:type="character" w:customStyle="1" w:styleId="FootnoteTextChar">
    <w:name w:val="Footnote Text Char"/>
    <w:basedOn w:val="DefaultParagraphFont"/>
    <w:rsid w:val="001D6943"/>
    <w:rPr>
      <w:rFonts w:ascii="Times New Roman" w:eastAsia="Times New Roman" w:hAnsi="Times New Roman" w:cs="Times New Roman"/>
      <w:sz w:val="20"/>
      <w:szCs w:val="20"/>
    </w:rPr>
  </w:style>
  <w:style w:type="paragraph" w:styleId="Header">
    <w:name w:val="header"/>
    <w:basedOn w:val="Normal"/>
    <w:link w:val="HeaderChar"/>
    <w:rsid w:val="001D6943"/>
    <w:pPr>
      <w:tabs>
        <w:tab w:val="center" w:pos="4320"/>
        <w:tab w:val="right" w:pos="8640"/>
      </w:tabs>
    </w:pPr>
  </w:style>
  <w:style w:type="character" w:customStyle="1" w:styleId="HeaderChar">
    <w:name w:val="Header Char"/>
    <w:basedOn w:val="DefaultParagraphFont"/>
    <w:link w:val="Header"/>
    <w:rsid w:val="001D6943"/>
    <w:rPr>
      <w:rFonts w:ascii="Times New Roman" w:eastAsia="Times New Roman" w:hAnsi="Times New Roman" w:cs="Times New Roman"/>
      <w:sz w:val="26"/>
      <w:szCs w:val="24"/>
    </w:rPr>
  </w:style>
  <w:style w:type="character" w:styleId="PageNumber">
    <w:name w:val="page number"/>
    <w:basedOn w:val="DefaultParagraphFont"/>
    <w:rsid w:val="001D6943"/>
  </w:style>
  <w:style w:type="character" w:styleId="Hyperlink">
    <w:name w:val="Hyperlink"/>
    <w:basedOn w:val="DefaultParagraphFont"/>
    <w:rsid w:val="001D6943"/>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link w:val="FootnoteText"/>
    <w:rsid w:val="001D6943"/>
    <w:rPr>
      <w:rFonts w:ascii="Times New Roman" w:eastAsia="Times New Roman" w:hAnsi="Times New Roman" w:cs="Times New Roman"/>
      <w:szCs w:val="20"/>
    </w:rPr>
  </w:style>
  <w:style w:type="character" w:customStyle="1" w:styleId="FERCparanumberChar1">
    <w:name w:val="FERC paranumber Char1"/>
    <w:link w:val="FERCparanumber"/>
    <w:rsid w:val="001D6943"/>
    <w:rPr>
      <w:rFonts w:ascii="Times New Roman" w:eastAsia="Times New Roman" w:hAnsi="Times New Roman" w:cs="Times New Roman"/>
      <w:sz w:val="26"/>
      <w:szCs w:val="24"/>
    </w:rPr>
  </w:style>
  <w:style w:type="paragraph" w:styleId="ListParagraph">
    <w:name w:val="List Paragraph"/>
    <w:basedOn w:val="Normal"/>
    <w:uiPriority w:val="34"/>
    <w:qFormat/>
    <w:rsid w:val="001D6943"/>
    <w:pPr>
      <w:widowControl w:val="0"/>
      <w:autoSpaceDE w:val="0"/>
      <w:autoSpaceDN w:val="0"/>
      <w:adjustRightInd w:val="0"/>
      <w:ind w:left="720"/>
    </w:pPr>
  </w:style>
  <w:style w:type="paragraph" w:styleId="BalloonText">
    <w:name w:val="Balloon Text"/>
    <w:basedOn w:val="Normal"/>
    <w:link w:val="BalloonTextChar"/>
    <w:uiPriority w:val="99"/>
    <w:semiHidden/>
    <w:unhideWhenUsed/>
    <w:rsid w:val="00126922"/>
    <w:rPr>
      <w:rFonts w:ascii="Tahoma" w:hAnsi="Tahoma" w:cs="Tahoma"/>
      <w:sz w:val="16"/>
      <w:szCs w:val="16"/>
    </w:rPr>
  </w:style>
  <w:style w:type="character" w:customStyle="1" w:styleId="BalloonTextChar">
    <w:name w:val="Balloon Text Char"/>
    <w:basedOn w:val="DefaultParagraphFont"/>
    <w:link w:val="BalloonText"/>
    <w:uiPriority w:val="99"/>
    <w:semiHidden/>
    <w:rsid w:val="00126922"/>
    <w:rPr>
      <w:rFonts w:ascii="Tahoma" w:eastAsia="Times New Roman" w:hAnsi="Tahoma" w:cs="Tahoma"/>
      <w:sz w:val="16"/>
      <w:szCs w:val="16"/>
    </w:rPr>
  </w:style>
  <w:style w:type="paragraph" w:styleId="Footer">
    <w:name w:val="footer"/>
    <w:basedOn w:val="Normal"/>
    <w:link w:val="FooterChar"/>
    <w:uiPriority w:val="99"/>
    <w:unhideWhenUsed/>
    <w:rsid w:val="00000855"/>
    <w:pPr>
      <w:tabs>
        <w:tab w:val="center" w:pos="4680"/>
        <w:tab w:val="right" w:pos="9360"/>
      </w:tabs>
    </w:pPr>
  </w:style>
  <w:style w:type="character" w:customStyle="1" w:styleId="FooterChar">
    <w:name w:val="Footer Char"/>
    <w:basedOn w:val="DefaultParagraphFont"/>
    <w:link w:val="Footer"/>
    <w:uiPriority w:val="99"/>
    <w:rsid w:val="00000855"/>
    <w:rPr>
      <w:rFonts w:ascii="Times New Roman" w:eastAsia="Times New Roman" w:hAnsi="Times New Roman" w:cs="Times New Roman"/>
      <w:sz w:val="26"/>
      <w:szCs w:val="24"/>
    </w:r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fn Char1 Char1,fn Char Char1"/>
    <w:semiHidden/>
    <w:locked/>
    <w:rsid w:val="00BF06B5"/>
    <w:rPr>
      <w:sz w:val="26"/>
    </w:rPr>
  </w:style>
  <w:style w:type="character" w:styleId="Emphasis">
    <w:name w:val="Emphasis"/>
    <w:basedOn w:val="DefaultParagraphFont"/>
    <w:uiPriority w:val="20"/>
    <w:qFormat/>
    <w:rsid w:val="00BF06B5"/>
    <w:rPr>
      <w:i/>
      <w:iCs/>
    </w:rPr>
  </w:style>
  <w:style w:type="character" w:styleId="CommentReference">
    <w:name w:val="annotation reference"/>
    <w:basedOn w:val="DefaultParagraphFont"/>
    <w:uiPriority w:val="99"/>
    <w:semiHidden/>
    <w:unhideWhenUsed/>
    <w:rsid w:val="0044449A"/>
    <w:rPr>
      <w:sz w:val="16"/>
      <w:szCs w:val="16"/>
    </w:rPr>
  </w:style>
  <w:style w:type="paragraph" w:styleId="CommentText">
    <w:name w:val="annotation text"/>
    <w:basedOn w:val="Normal"/>
    <w:link w:val="CommentTextChar"/>
    <w:uiPriority w:val="99"/>
    <w:semiHidden/>
    <w:unhideWhenUsed/>
    <w:rsid w:val="0044449A"/>
    <w:rPr>
      <w:sz w:val="20"/>
      <w:szCs w:val="20"/>
    </w:rPr>
  </w:style>
  <w:style w:type="character" w:customStyle="1" w:styleId="CommentTextChar">
    <w:name w:val="Comment Text Char"/>
    <w:basedOn w:val="DefaultParagraphFont"/>
    <w:link w:val="CommentText"/>
    <w:uiPriority w:val="99"/>
    <w:semiHidden/>
    <w:rsid w:val="00444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49A"/>
    <w:rPr>
      <w:b/>
      <w:bCs/>
    </w:rPr>
  </w:style>
  <w:style w:type="character" w:customStyle="1" w:styleId="CommentSubjectChar">
    <w:name w:val="Comment Subject Char"/>
    <w:basedOn w:val="CommentTextChar"/>
    <w:link w:val="CommentSubject"/>
    <w:uiPriority w:val="99"/>
    <w:semiHidden/>
    <w:rsid w:val="0044449A"/>
    <w:rPr>
      <w:rFonts w:ascii="Times New Roman" w:eastAsia="Times New Roman" w:hAnsi="Times New Roman" w:cs="Times New Roman"/>
      <w:b/>
      <w:bCs/>
      <w:sz w:val="20"/>
      <w:szCs w:val="20"/>
    </w:rPr>
  </w:style>
  <w:style w:type="character" w:customStyle="1" w:styleId="FERCparanumberChar">
    <w:name w:val="FERC paranumber Char"/>
    <w:basedOn w:val="DefaultParagraphFont"/>
    <w:rsid w:val="00A879EC"/>
    <w:rPr>
      <w:sz w:val="26"/>
      <w:szCs w:val="24"/>
      <w:lang w:bidi="ar-SA"/>
    </w:rPr>
  </w:style>
  <w:style w:type="character" w:customStyle="1" w:styleId="volume">
    <w:name w:val="volume"/>
    <w:basedOn w:val="DefaultParagraphFont"/>
    <w:rsid w:val="00765402"/>
  </w:style>
  <w:style w:type="character" w:customStyle="1" w:styleId="apple-converted-space">
    <w:name w:val="apple-converted-space"/>
    <w:basedOn w:val="DefaultParagraphFont"/>
    <w:rsid w:val="00765402"/>
  </w:style>
  <w:style w:type="character" w:customStyle="1" w:styleId="page">
    <w:name w:val="page"/>
    <w:basedOn w:val="DefaultParagraphFont"/>
    <w:rsid w:val="0076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08">
      <w:bodyDiv w:val="1"/>
      <w:marLeft w:val="0"/>
      <w:marRight w:val="0"/>
      <w:marTop w:val="0"/>
      <w:marBottom w:val="0"/>
      <w:divBdr>
        <w:top w:val="none" w:sz="0" w:space="0" w:color="auto"/>
        <w:left w:val="none" w:sz="0" w:space="0" w:color="auto"/>
        <w:bottom w:val="none" w:sz="0" w:space="0" w:color="auto"/>
        <w:right w:val="none" w:sz="0" w:space="0" w:color="auto"/>
      </w:divBdr>
    </w:div>
    <w:div w:id="406879484">
      <w:bodyDiv w:val="1"/>
      <w:marLeft w:val="0"/>
      <w:marRight w:val="0"/>
      <w:marTop w:val="0"/>
      <w:marBottom w:val="0"/>
      <w:divBdr>
        <w:top w:val="none" w:sz="0" w:space="0" w:color="auto"/>
        <w:left w:val="none" w:sz="0" w:space="0" w:color="auto"/>
        <w:bottom w:val="none" w:sz="0" w:space="0" w:color="auto"/>
        <w:right w:val="none" w:sz="0" w:space="0" w:color="auto"/>
      </w:divBdr>
    </w:div>
    <w:div w:id="1238594282">
      <w:bodyDiv w:val="1"/>
      <w:marLeft w:val="0"/>
      <w:marRight w:val="0"/>
      <w:marTop w:val="0"/>
      <w:marBottom w:val="0"/>
      <w:divBdr>
        <w:top w:val="none" w:sz="0" w:space="0" w:color="auto"/>
        <w:left w:val="none" w:sz="0" w:space="0" w:color="auto"/>
        <w:bottom w:val="none" w:sz="0" w:space="0" w:color="auto"/>
        <w:right w:val="none" w:sz="0" w:space="0" w:color="auto"/>
      </w:divBdr>
    </w:div>
    <w:div w:id="201511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rc.gov/docs-filing/docs-filing.asp" TargetMode="External"/><Relationship Id="rId18" Type="http://schemas.openxmlformats.org/officeDocument/2006/relationships/theme" Target="theme/theme1.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erconlinesupport@ferc.gov" TargetMode="External"/><Relationship Id="rId17" Type="http://schemas.openxmlformats.org/officeDocument/2006/relationships/fontTable" Target="fontTable.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rc.gov/help/submission-guide.asp"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http://www.ferc.gov/docs-filing/efiling.asp" TargetMode="External"/><Relationship Id="rId4" Type="http://schemas.microsoft.com/office/2007/relationships/stylesWithEffects" Target="stylesWithEffects.xml"/><Relationship Id="rId9" Type="http://schemas.openxmlformats.org/officeDocument/2006/relationships/hyperlink" Target="mailto:oira_submission@omb.gov" TargetMode="External"/><Relationship Id="rId14" Type="http://schemas.openxmlformats.org/officeDocument/2006/relationships/hyperlink" Target="mailto:DataClearance@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1776987-9053-462F-9CF0-46007E12710F}"/>
</file>

<file path=customXml/itemProps2.xml><?xml version="1.0" encoding="utf-8"?>
<ds:datastoreItem xmlns:ds="http://schemas.openxmlformats.org/officeDocument/2006/customXml" ds:itemID="{4E75E1C1-9B79-4ABD-A880-5D415F16DD31}"/>
</file>

<file path=customXml/itemProps3.xml><?xml version="1.0" encoding="utf-8"?>
<ds:datastoreItem xmlns:ds="http://schemas.openxmlformats.org/officeDocument/2006/customXml" ds:itemID="{C5D806CB-E426-4EEB-BC65-A2769BF22349}"/>
</file>

<file path=customXml/itemProps4.xml><?xml version="1.0" encoding="utf-8"?>
<ds:datastoreItem xmlns:ds="http://schemas.openxmlformats.org/officeDocument/2006/customXml" ds:itemID="{C12AC453-ADD9-4AE0-B7BC-433240739285}"/>
</file>

<file path=docProps/app.xml><?xml version="1.0" encoding="utf-8"?>
<ap:Properties xmlns:vt="http://schemas.openxmlformats.org/officeDocument/2006/docPropsVTypes" xmlns:ap="http://schemas.openxmlformats.org/officeDocument/2006/extended-properties">
  <ap:Template>Normal</ap:Template>
  <ap:TotalTime>0</ap:TotalTime>
  <ap:Pages>7</ap:Pages>
  <ap:Words>999</ap:Words>
  <ap:Characters>5700</ap:Characters>
  <ap:Application>Microsoft Office Word</ap:Application>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6686</ap:CharactersWithSpaces>
  <ap:SharedDoc>false</ap:SharedDoc>
  <ap:HyperlinksChanged>false</ap:HyperlinksChanged>
  <ap:AppVersion>14.0000</ap:AppVersion>
  <ap:Manager/>
  <ap:Company/>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2014-12-05T14:01:00.0000000Z</dcterms:created>
  <dcterms:modified xsi:type="dcterms:W3CDTF">2014-12-05T14:02:00.0000000Z</dcterms:modified>
  <dc:identifier/>
  <version/>
  <category/>
  <contentStatus/>
  <dc:description/>
</coreProperties>
</file>

<file path=docProps/custom.xml><?xml version="1.0" encoding="utf-8"?>
<op:Properties xmlns:vt="http://schemas.openxmlformats.org/officeDocument/2006/docPropsVTypes" xmlns:op="http://schemas.openxmlformats.org/officeDocument/2006/custom-properties"/>
</file>