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0C1F20" w:rsidRPr="00104EAE" w:rsidRDefault="000C1F20" w:rsidP="000C1F20">
      <w:pPr>
        <w:jc w:val="center"/>
        <w:rPr>
          <w:b/>
          <w:sz w:val="24"/>
          <w:szCs w:val="24"/>
        </w:rPr>
      </w:pPr>
      <w:r w:rsidRPr="00104EAE">
        <w:rPr>
          <w:b/>
          <w:sz w:val="24"/>
          <w:szCs w:val="24"/>
        </w:rPr>
        <w:t>U.S. Department of Education</w:t>
      </w:r>
    </w:p>
    <w:p w:rsidR="00B0399B" w:rsidRPr="00B0399B" w:rsidRDefault="00B0399B" w:rsidP="000C1F20">
      <w:pPr>
        <w:rPr>
          <w:sz w:val="24"/>
          <w:szCs w:val="24"/>
        </w:rPr>
      </w:pPr>
    </w:p>
    <w:p w:rsidR="000C1F20" w:rsidRPr="00B0399B" w:rsidRDefault="000C1F20" w:rsidP="000C1F20">
      <w:pPr>
        <w:rPr>
          <w:sz w:val="24"/>
          <w:szCs w:val="24"/>
        </w:rPr>
      </w:pPr>
    </w:p>
    <w:p w:rsidR="000C1F20" w:rsidRPr="00B0399B" w:rsidRDefault="000C1F20" w:rsidP="000C1F20">
      <w:pPr>
        <w:rPr>
          <w:sz w:val="24"/>
          <w:szCs w:val="24"/>
        </w:rPr>
      </w:pPr>
    </w:p>
    <w:p w:rsidR="000C1F20" w:rsidRPr="00B0399B" w:rsidRDefault="000C1F20" w:rsidP="000C1F20">
      <w:pPr>
        <w:rPr>
          <w:sz w:val="24"/>
          <w:szCs w:val="24"/>
        </w:rPr>
      </w:pPr>
    </w:p>
    <w:p w:rsidR="000C1F20" w:rsidRPr="00B0399B" w:rsidRDefault="000C1F20" w:rsidP="000C1F20">
      <w:pPr>
        <w:pStyle w:val="SL-FlLftSgl"/>
        <w:rPr>
          <w:sz w:val="24"/>
          <w:szCs w:val="24"/>
        </w:rPr>
      </w:pPr>
    </w:p>
    <w:p w:rsidR="00AA0B87" w:rsidRPr="00AA0B87" w:rsidRDefault="00AA0B87" w:rsidP="00AA0B87">
      <w:pPr>
        <w:pStyle w:val="HTMLPreformatted"/>
        <w:jc w:val="center"/>
        <w:rPr>
          <w:rFonts w:ascii="Times New Roman" w:hAnsi="Times New Roman" w:cs="Times New Roman"/>
          <w:sz w:val="24"/>
          <w:szCs w:val="24"/>
        </w:rPr>
      </w:pPr>
      <w:r w:rsidRPr="00AA0B87">
        <w:rPr>
          <w:rFonts w:ascii="Times New Roman" w:hAnsi="Times New Roman" w:cs="Times New Roman"/>
          <w:sz w:val="24"/>
          <w:szCs w:val="24"/>
        </w:rPr>
        <w:t>Special Education</w:t>
      </w:r>
      <w:r>
        <w:rPr>
          <w:rFonts w:ascii="Times New Roman" w:hAnsi="Times New Roman" w:cs="Times New Roman"/>
          <w:sz w:val="24"/>
          <w:szCs w:val="24"/>
        </w:rPr>
        <w:t xml:space="preserve"> </w:t>
      </w:r>
      <w:r w:rsidRPr="00AA0B87">
        <w:rPr>
          <w:rFonts w:ascii="Times New Roman" w:hAnsi="Times New Roman" w:cs="Times New Roman"/>
          <w:sz w:val="24"/>
          <w:szCs w:val="24"/>
        </w:rPr>
        <w:t>- Individual Reporting on</w:t>
      </w:r>
    </w:p>
    <w:p w:rsidR="00AA0B87" w:rsidRPr="00AA0B87" w:rsidRDefault="00AA0B87" w:rsidP="00AA0B87">
      <w:pPr>
        <w:pStyle w:val="HTMLPreformatted"/>
        <w:jc w:val="center"/>
        <w:rPr>
          <w:rFonts w:ascii="Times New Roman" w:hAnsi="Times New Roman" w:cs="Times New Roman"/>
          <w:sz w:val="24"/>
          <w:szCs w:val="24"/>
        </w:rPr>
      </w:pPr>
      <w:r w:rsidRPr="00AA0B87">
        <w:rPr>
          <w:rFonts w:ascii="Times New Roman" w:hAnsi="Times New Roman" w:cs="Times New Roman"/>
          <w:sz w:val="24"/>
          <w:szCs w:val="24"/>
        </w:rPr>
        <w:t>Regulatory Compliance Related to the Personnel Development Program</w:t>
      </w:r>
    </w:p>
    <w:p w:rsidR="00AA0B87" w:rsidRPr="00AA0B87" w:rsidRDefault="00AA0B87" w:rsidP="00AA0B87">
      <w:pPr>
        <w:pStyle w:val="HTMLPreformatted"/>
        <w:jc w:val="center"/>
        <w:rPr>
          <w:rFonts w:ascii="Times New Roman" w:hAnsi="Times New Roman" w:cs="Times New Roman"/>
          <w:sz w:val="24"/>
          <w:szCs w:val="24"/>
        </w:rPr>
      </w:pPr>
      <w:r w:rsidRPr="00AA0B87">
        <w:rPr>
          <w:rFonts w:ascii="Times New Roman" w:hAnsi="Times New Roman" w:cs="Times New Roman"/>
          <w:sz w:val="24"/>
          <w:szCs w:val="24"/>
        </w:rPr>
        <w:t>Service Obligation and the Government Performance and Results Act</w:t>
      </w:r>
    </w:p>
    <w:p w:rsidR="00AA0B87" w:rsidRPr="00AA0B87" w:rsidRDefault="00AA0B87" w:rsidP="00AA0B87">
      <w:pPr>
        <w:pStyle w:val="HTMLPreformatted"/>
        <w:jc w:val="center"/>
        <w:rPr>
          <w:rFonts w:ascii="Times New Roman" w:hAnsi="Times New Roman" w:cs="Times New Roman"/>
          <w:sz w:val="24"/>
          <w:szCs w:val="24"/>
        </w:rPr>
      </w:pPr>
      <w:r w:rsidRPr="00AA0B87">
        <w:rPr>
          <w:rFonts w:ascii="Times New Roman" w:hAnsi="Times New Roman" w:cs="Times New Roman"/>
          <w:sz w:val="24"/>
          <w:szCs w:val="24"/>
        </w:rPr>
        <w:t>(GPRA)</w:t>
      </w:r>
    </w:p>
    <w:p w:rsidR="000C1F20" w:rsidRPr="00B0399B" w:rsidRDefault="000C1F20" w:rsidP="000C1F20">
      <w:pPr>
        <w:rPr>
          <w:sz w:val="24"/>
          <w:szCs w:val="24"/>
        </w:rPr>
      </w:pPr>
    </w:p>
    <w:p w:rsidR="000C1F20" w:rsidRPr="00B0399B" w:rsidRDefault="000C1F20" w:rsidP="000C1F20">
      <w:pPr>
        <w:rPr>
          <w:sz w:val="24"/>
          <w:szCs w:val="24"/>
        </w:rPr>
      </w:pPr>
    </w:p>
    <w:p w:rsidR="000C1F20" w:rsidRPr="00B0399B" w:rsidRDefault="000C1F20" w:rsidP="000C1F20">
      <w:pPr>
        <w:pStyle w:val="SL-FlLftSgl"/>
        <w:jc w:val="center"/>
        <w:rPr>
          <w:sz w:val="24"/>
          <w:szCs w:val="24"/>
        </w:rPr>
      </w:pPr>
      <w:r w:rsidRPr="00104EAE">
        <w:rPr>
          <w:sz w:val="24"/>
          <w:szCs w:val="24"/>
        </w:rPr>
        <w:t>Supporting Statement</w:t>
      </w:r>
    </w:p>
    <w:p w:rsidR="000C1F20" w:rsidRPr="00B0399B" w:rsidRDefault="000C1F20" w:rsidP="000C1F20">
      <w:pPr>
        <w:pStyle w:val="SL-FlLftSgl"/>
        <w:rPr>
          <w:sz w:val="24"/>
          <w:szCs w:val="24"/>
        </w:rPr>
      </w:pPr>
    </w:p>
    <w:p w:rsidR="000C1F20" w:rsidRPr="00B0399B" w:rsidRDefault="000C1F20" w:rsidP="000C1F20">
      <w:pPr>
        <w:rPr>
          <w:sz w:val="24"/>
          <w:szCs w:val="24"/>
        </w:rPr>
      </w:pPr>
    </w:p>
    <w:p w:rsidR="000C1F20" w:rsidRPr="00104EAE" w:rsidRDefault="000C1F20" w:rsidP="000C1F20">
      <w:pPr>
        <w:jc w:val="center"/>
        <w:rPr>
          <w:i/>
          <w:sz w:val="24"/>
          <w:szCs w:val="24"/>
        </w:rPr>
      </w:pPr>
      <w:r w:rsidRPr="00104EAE">
        <w:rPr>
          <w:i/>
          <w:sz w:val="24"/>
          <w:szCs w:val="24"/>
        </w:rPr>
        <w:t>Office of Management and Budget</w:t>
      </w:r>
    </w:p>
    <w:p w:rsidR="000C1F20" w:rsidRPr="00B0399B" w:rsidRDefault="000C1F20" w:rsidP="000C1F20">
      <w:pPr>
        <w:jc w:val="center"/>
        <w:rPr>
          <w:i/>
          <w:sz w:val="24"/>
          <w:szCs w:val="24"/>
        </w:rPr>
      </w:pPr>
      <w:r w:rsidRPr="00B0399B">
        <w:rPr>
          <w:i/>
          <w:sz w:val="24"/>
          <w:szCs w:val="24"/>
        </w:rPr>
        <w:t>Clearance Package Supporting Statement</w:t>
      </w:r>
    </w:p>
    <w:p w:rsidR="000C1F20" w:rsidRPr="00B0399B" w:rsidRDefault="000C1F20" w:rsidP="000C1F20">
      <w:pPr>
        <w:jc w:val="center"/>
        <w:rPr>
          <w:i/>
          <w:sz w:val="24"/>
          <w:szCs w:val="24"/>
        </w:rPr>
      </w:pPr>
      <w:r w:rsidRPr="00B0399B">
        <w:rPr>
          <w:i/>
          <w:sz w:val="24"/>
          <w:szCs w:val="24"/>
        </w:rPr>
        <w:t>And Data Collection Instrument</w:t>
      </w:r>
    </w:p>
    <w:p w:rsidR="000C1F20" w:rsidRPr="00B0399B" w:rsidRDefault="000C1F20" w:rsidP="000C1F20">
      <w:pPr>
        <w:rPr>
          <w:sz w:val="24"/>
          <w:szCs w:val="24"/>
        </w:rPr>
      </w:pPr>
    </w:p>
    <w:p w:rsidR="000C1F20" w:rsidRPr="00B0399B" w:rsidRDefault="000C1F20" w:rsidP="000C1F20">
      <w:pPr>
        <w:pStyle w:val="C2-CtrSglSp"/>
        <w:keepLines w:val="0"/>
        <w:rPr>
          <w:b/>
          <w:sz w:val="24"/>
          <w:szCs w:val="24"/>
        </w:rPr>
        <w:sectPr w:rsidR="000C1F20" w:rsidRPr="00B0399B" w:rsidSect="000C1F20">
          <w:headerReference w:type="default" r:id="rId9"/>
          <w:footerReference w:type="even" r:id="rId10"/>
          <w:footerReference w:type="default" r:id="rId11"/>
          <w:headerReference w:type="first" r:id="rId12"/>
          <w:footnotePr>
            <w:numRestart w:val="eachSect"/>
          </w:footnotePr>
          <w:endnotePr>
            <w:numFmt w:val="decimal"/>
          </w:endnotePr>
          <w:pgSz w:w="12240" w:h="15840"/>
          <w:pgMar w:top="1440" w:right="1440" w:bottom="1440" w:left="1440" w:header="720" w:footer="720" w:gutter="0"/>
          <w:pgNumType w:start="0"/>
          <w:cols w:space="720"/>
          <w:titlePg/>
          <w:docGrid w:linePitch="272"/>
        </w:sectPr>
      </w:pPr>
    </w:p>
    <w:p w:rsidR="000C1F20" w:rsidRPr="00B0399B" w:rsidRDefault="000C1F20" w:rsidP="000C1F20">
      <w:pPr>
        <w:pStyle w:val="C2-CtrSglSp"/>
        <w:keepLines w:val="0"/>
        <w:jc w:val="left"/>
        <w:rPr>
          <w:b/>
          <w:sz w:val="24"/>
          <w:szCs w:val="24"/>
        </w:rPr>
      </w:pPr>
    </w:p>
    <w:p w:rsidR="000C1F20" w:rsidRPr="00B0399B" w:rsidRDefault="000C1F20" w:rsidP="000C1F20">
      <w:pPr>
        <w:pStyle w:val="C2-CtrSglSp"/>
        <w:keepLines w:val="0"/>
        <w:rPr>
          <w:b/>
          <w:sz w:val="24"/>
          <w:szCs w:val="24"/>
        </w:rPr>
      </w:pPr>
      <w:r w:rsidRPr="00B0399B">
        <w:rPr>
          <w:b/>
          <w:sz w:val="24"/>
          <w:szCs w:val="24"/>
        </w:rPr>
        <w:t>TABLE OF CONTENTS</w:t>
      </w:r>
    </w:p>
    <w:p w:rsidR="000C1F20" w:rsidRPr="00B0399B" w:rsidRDefault="000C1F20" w:rsidP="000C1F20">
      <w:pPr>
        <w:rPr>
          <w:sz w:val="24"/>
          <w:szCs w:val="24"/>
          <w:highlight w:val="yellow"/>
        </w:rPr>
      </w:pPr>
    </w:p>
    <w:p w:rsidR="000C1F20" w:rsidRPr="00B0399B" w:rsidRDefault="000C1F20" w:rsidP="000C1F20">
      <w:pPr>
        <w:rPr>
          <w:sz w:val="24"/>
          <w:szCs w:val="24"/>
          <w:highlight w:val="yellow"/>
        </w:rPr>
      </w:pPr>
    </w:p>
    <w:p w:rsidR="000C1F20" w:rsidRPr="00B0399B" w:rsidRDefault="000C1F20" w:rsidP="000C1F20">
      <w:pPr>
        <w:rPr>
          <w:sz w:val="24"/>
          <w:szCs w:val="24"/>
          <w:highlight w:val="yellow"/>
        </w:rPr>
      </w:pPr>
    </w:p>
    <w:p w:rsidR="000C1F20" w:rsidRPr="00B0399B" w:rsidRDefault="000C1F20" w:rsidP="000C1F20">
      <w:pPr>
        <w:rPr>
          <w:sz w:val="24"/>
          <w:szCs w:val="24"/>
        </w:rPr>
      </w:pPr>
      <w:r w:rsidRPr="00B0399B">
        <w:rPr>
          <w:sz w:val="24"/>
          <w:szCs w:val="24"/>
        </w:rPr>
        <w:t>INTRODUCTION</w:t>
      </w:r>
      <w:r w:rsidRPr="00B0399B">
        <w:rPr>
          <w:sz w:val="24"/>
          <w:szCs w:val="24"/>
        </w:rPr>
        <w:tab/>
      </w:r>
      <w:r w:rsidRPr="00B0399B">
        <w:rPr>
          <w:sz w:val="24"/>
          <w:szCs w:val="24"/>
        </w:rPr>
        <w:tab/>
      </w:r>
      <w:r w:rsidRPr="00B0399B">
        <w:rPr>
          <w:sz w:val="24"/>
          <w:szCs w:val="24"/>
        </w:rPr>
        <w:tab/>
      </w:r>
      <w:r w:rsidRPr="00B0399B">
        <w:rPr>
          <w:sz w:val="24"/>
          <w:szCs w:val="24"/>
        </w:rPr>
        <w:tab/>
      </w:r>
      <w:r w:rsidRPr="00B0399B">
        <w:rPr>
          <w:sz w:val="24"/>
          <w:szCs w:val="24"/>
        </w:rPr>
        <w:tab/>
      </w:r>
      <w:r w:rsidRPr="00B0399B">
        <w:rPr>
          <w:sz w:val="24"/>
          <w:szCs w:val="24"/>
        </w:rPr>
        <w:tab/>
      </w:r>
      <w:r w:rsidRPr="00B0399B">
        <w:rPr>
          <w:sz w:val="24"/>
          <w:szCs w:val="24"/>
        </w:rPr>
        <w:tab/>
      </w:r>
      <w:r w:rsidRPr="00B0399B">
        <w:rPr>
          <w:sz w:val="24"/>
          <w:szCs w:val="24"/>
        </w:rPr>
        <w:tab/>
      </w:r>
      <w:r w:rsidRPr="00B0399B">
        <w:rPr>
          <w:sz w:val="24"/>
          <w:szCs w:val="24"/>
        </w:rPr>
        <w:tab/>
      </w:r>
      <w:r w:rsidR="00214F94">
        <w:rPr>
          <w:sz w:val="24"/>
          <w:szCs w:val="24"/>
        </w:rPr>
        <w:t>2</w:t>
      </w:r>
    </w:p>
    <w:p w:rsidR="000C1F20" w:rsidRPr="00B0399B" w:rsidRDefault="000C1F20" w:rsidP="000C1F20">
      <w:pPr>
        <w:tabs>
          <w:tab w:val="left" w:pos="720"/>
        </w:tabs>
        <w:ind w:left="720" w:hanging="720"/>
        <w:rPr>
          <w:bCs/>
          <w:sz w:val="24"/>
          <w:szCs w:val="24"/>
        </w:rPr>
      </w:pPr>
    </w:p>
    <w:p w:rsidR="000C1F20" w:rsidRDefault="000C1F20" w:rsidP="000C1F20">
      <w:pPr>
        <w:tabs>
          <w:tab w:val="left" w:pos="720"/>
        </w:tabs>
        <w:ind w:left="720" w:hanging="720"/>
        <w:rPr>
          <w:bCs/>
          <w:sz w:val="24"/>
          <w:szCs w:val="24"/>
        </w:rPr>
      </w:pPr>
      <w:proofErr w:type="gramStart"/>
      <w:r w:rsidRPr="00B0399B">
        <w:rPr>
          <w:bCs/>
          <w:sz w:val="24"/>
          <w:szCs w:val="24"/>
        </w:rPr>
        <w:t>SECTION A.</w:t>
      </w:r>
      <w:proofErr w:type="gramEnd"/>
      <w:r w:rsidRPr="00B0399B">
        <w:rPr>
          <w:bCs/>
          <w:sz w:val="24"/>
          <w:szCs w:val="24"/>
        </w:rPr>
        <w:t xml:space="preserve">  JUSTIFICATION</w:t>
      </w:r>
    </w:p>
    <w:p w:rsidR="00214F94" w:rsidRPr="00B0399B" w:rsidRDefault="00214F94" w:rsidP="000C1F20">
      <w:pPr>
        <w:tabs>
          <w:tab w:val="left" w:pos="720"/>
        </w:tabs>
        <w:ind w:left="720" w:hanging="720"/>
        <w:rPr>
          <w:bCs/>
          <w:sz w:val="24"/>
          <w:szCs w:val="24"/>
        </w:rPr>
      </w:pPr>
    </w:p>
    <w:p w:rsidR="000C1F20" w:rsidRPr="00B0399B" w:rsidRDefault="000C1F20" w:rsidP="000C1F20">
      <w:pPr>
        <w:tabs>
          <w:tab w:val="left" w:pos="720"/>
        </w:tabs>
        <w:ind w:left="720" w:hanging="720"/>
        <w:rPr>
          <w:bCs/>
          <w:sz w:val="24"/>
          <w:szCs w:val="24"/>
        </w:rPr>
      </w:pPr>
      <w:r w:rsidRPr="00B0399B">
        <w:rPr>
          <w:bCs/>
          <w:sz w:val="24"/>
          <w:szCs w:val="24"/>
        </w:rPr>
        <w:t>A.1</w:t>
      </w:r>
      <w:r w:rsidRPr="00B0399B">
        <w:rPr>
          <w:bCs/>
          <w:sz w:val="24"/>
          <w:szCs w:val="24"/>
        </w:rPr>
        <w:tab/>
        <w:t>Circumstances Making the Collection of Information Necessary</w:t>
      </w:r>
      <w:r w:rsidRPr="00B0399B">
        <w:rPr>
          <w:bCs/>
          <w:sz w:val="24"/>
          <w:szCs w:val="24"/>
        </w:rPr>
        <w:tab/>
      </w:r>
      <w:r w:rsidRPr="00B0399B">
        <w:rPr>
          <w:bCs/>
          <w:sz w:val="24"/>
          <w:szCs w:val="24"/>
        </w:rPr>
        <w:tab/>
      </w:r>
      <w:r w:rsidR="00214F94">
        <w:rPr>
          <w:bCs/>
          <w:sz w:val="24"/>
          <w:szCs w:val="24"/>
        </w:rPr>
        <w:t>2</w:t>
      </w:r>
    </w:p>
    <w:p w:rsidR="000C1F20" w:rsidRPr="00B0399B" w:rsidRDefault="000C1F20" w:rsidP="000C1F20">
      <w:pPr>
        <w:tabs>
          <w:tab w:val="left" w:pos="720"/>
        </w:tabs>
        <w:ind w:left="720" w:hanging="720"/>
        <w:rPr>
          <w:bCs/>
          <w:sz w:val="24"/>
          <w:szCs w:val="24"/>
        </w:rPr>
      </w:pPr>
      <w:r w:rsidRPr="00B0399B">
        <w:rPr>
          <w:bCs/>
          <w:sz w:val="24"/>
          <w:szCs w:val="24"/>
        </w:rPr>
        <w:t>A.2</w:t>
      </w:r>
      <w:r w:rsidRPr="00B0399B">
        <w:rPr>
          <w:bCs/>
          <w:sz w:val="24"/>
          <w:szCs w:val="24"/>
        </w:rPr>
        <w:tab/>
        <w:t>Purposes and Uses of the Data</w:t>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00893C1C">
        <w:rPr>
          <w:bCs/>
          <w:sz w:val="24"/>
          <w:szCs w:val="24"/>
        </w:rPr>
        <w:t>5</w:t>
      </w:r>
    </w:p>
    <w:p w:rsidR="000C1F20" w:rsidRPr="00B0399B" w:rsidRDefault="000C1F20" w:rsidP="000C1F20">
      <w:pPr>
        <w:tabs>
          <w:tab w:val="left" w:pos="720"/>
        </w:tabs>
        <w:ind w:left="720" w:hanging="720"/>
        <w:rPr>
          <w:bCs/>
          <w:sz w:val="24"/>
          <w:szCs w:val="24"/>
        </w:rPr>
      </w:pPr>
      <w:r w:rsidRPr="00B0399B">
        <w:rPr>
          <w:bCs/>
          <w:sz w:val="24"/>
          <w:szCs w:val="24"/>
        </w:rPr>
        <w:t>A.3</w:t>
      </w:r>
      <w:r w:rsidRPr="00B0399B">
        <w:rPr>
          <w:bCs/>
          <w:sz w:val="24"/>
          <w:szCs w:val="24"/>
        </w:rPr>
        <w:tab/>
        <w:t>Use of Technology to Reduce Burden</w:t>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t>6</w:t>
      </w:r>
    </w:p>
    <w:p w:rsidR="000C1F20" w:rsidRPr="00B0399B" w:rsidRDefault="000C1F20" w:rsidP="000C1F20">
      <w:pPr>
        <w:tabs>
          <w:tab w:val="left" w:pos="720"/>
        </w:tabs>
        <w:ind w:left="720" w:hanging="720"/>
        <w:rPr>
          <w:bCs/>
          <w:sz w:val="24"/>
          <w:szCs w:val="24"/>
        </w:rPr>
      </w:pPr>
      <w:r w:rsidRPr="00B0399B">
        <w:rPr>
          <w:bCs/>
          <w:sz w:val="24"/>
          <w:szCs w:val="24"/>
        </w:rPr>
        <w:t>A.4</w:t>
      </w:r>
      <w:r w:rsidRPr="00B0399B">
        <w:rPr>
          <w:bCs/>
          <w:sz w:val="24"/>
          <w:szCs w:val="24"/>
        </w:rPr>
        <w:tab/>
        <w:t>Efforts to Identify Duplication</w:t>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t>6</w:t>
      </w:r>
    </w:p>
    <w:p w:rsidR="000C1F20" w:rsidRPr="00B0399B" w:rsidRDefault="000C1F20" w:rsidP="000C1F20">
      <w:pPr>
        <w:tabs>
          <w:tab w:val="left" w:pos="720"/>
        </w:tabs>
        <w:ind w:left="720" w:hanging="720"/>
        <w:rPr>
          <w:bCs/>
          <w:sz w:val="24"/>
          <w:szCs w:val="24"/>
        </w:rPr>
      </w:pPr>
      <w:r w:rsidRPr="00B0399B">
        <w:rPr>
          <w:bCs/>
          <w:sz w:val="24"/>
          <w:szCs w:val="24"/>
        </w:rPr>
        <w:t>A.5</w:t>
      </w:r>
      <w:r w:rsidRPr="00B0399B">
        <w:rPr>
          <w:bCs/>
          <w:sz w:val="24"/>
          <w:szCs w:val="24"/>
        </w:rPr>
        <w:tab/>
        <w:t>Methods to Minimize Burden on Small Entities</w:t>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00893C1C">
        <w:rPr>
          <w:bCs/>
          <w:sz w:val="24"/>
          <w:szCs w:val="24"/>
        </w:rPr>
        <w:t>6</w:t>
      </w:r>
    </w:p>
    <w:p w:rsidR="000C1F20" w:rsidRPr="00B0399B" w:rsidRDefault="000C1F20" w:rsidP="000C1F20">
      <w:pPr>
        <w:tabs>
          <w:tab w:val="left" w:pos="720"/>
        </w:tabs>
        <w:ind w:left="720" w:hanging="720"/>
        <w:rPr>
          <w:bCs/>
          <w:sz w:val="24"/>
          <w:szCs w:val="24"/>
        </w:rPr>
      </w:pPr>
      <w:r w:rsidRPr="00B0399B">
        <w:rPr>
          <w:bCs/>
          <w:sz w:val="24"/>
          <w:szCs w:val="24"/>
        </w:rPr>
        <w:t xml:space="preserve">A.6 </w:t>
      </w:r>
      <w:r w:rsidRPr="00B0399B">
        <w:rPr>
          <w:bCs/>
          <w:sz w:val="24"/>
          <w:szCs w:val="24"/>
        </w:rPr>
        <w:tab/>
        <w:t>Consequences of Not Collecting Data</w:t>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t>7</w:t>
      </w:r>
    </w:p>
    <w:p w:rsidR="000C1F20" w:rsidRPr="00B0399B" w:rsidRDefault="000C1F20" w:rsidP="000C1F20">
      <w:pPr>
        <w:tabs>
          <w:tab w:val="left" w:pos="720"/>
        </w:tabs>
        <w:ind w:left="720" w:hanging="720"/>
        <w:rPr>
          <w:bCs/>
          <w:sz w:val="24"/>
          <w:szCs w:val="24"/>
        </w:rPr>
      </w:pPr>
      <w:r w:rsidRPr="00B0399B">
        <w:rPr>
          <w:bCs/>
          <w:sz w:val="24"/>
          <w:szCs w:val="24"/>
        </w:rPr>
        <w:t>A.7</w:t>
      </w:r>
      <w:r w:rsidRPr="00B0399B">
        <w:rPr>
          <w:bCs/>
          <w:sz w:val="24"/>
          <w:szCs w:val="24"/>
        </w:rPr>
        <w:tab/>
        <w:t>Special Circumstances</w:t>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t>7</w:t>
      </w:r>
    </w:p>
    <w:p w:rsidR="000C1F20" w:rsidRPr="00B0399B" w:rsidRDefault="000C1F20" w:rsidP="000C1F20">
      <w:pPr>
        <w:tabs>
          <w:tab w:val="left" w:pos="720"/>
        </w:tabs>
        <w:ind w:left="720" w:hanging="720"/>
        <w:rPr>
          <w:bCs/>
          <w:sz w:val="24"/>
          <w:szCs w:val="24"/>
        </w:rPr>
      </w:pPr>
      <w:r w:rsidRPr="00B0399B">
        <w:rPr>
          <w:bCs/>
          <w:sz w:val="24"/>
          <w:szCs w:val="24"/>
        </w:rPr>
        <w:t>A.8</w:t>
      </w:r>
      <w:r w:rsidRPr="00B0399B">
        <w:rPr>
          <w:bCs/>
          <w:sz w:val="24"/>
          <w:szCs w:val="24"/>
        </w:rPr>
        <w:tab/>
        <w:t>Federal Register Comments and Persons Consulted Outside the Agency</w:t>
      </w:r>
      <w:r w:rsidRPr="00B0399B">
        <w:rPr>
          <w:bCs/>
          <w:sz w:val="24"/>
          <w:szCs w:val="24"/>
        </w:rPr>
        <w:tab/>
        <w:t>7</w:t>
      </w:r>
    </w:p>
    <w:p w:rsidR="000C1F20" w:rsidRPr="00B0399B" w:rsidRDefault="000C1F20" w:rsidP="000C1F20">
      <w:pPr>
        <w:tabs>
          <w:tab w:val="left" w:pos="720"/>
        </w:tabs>
        <w:ind w:left="720" w:hanging="720"/>
        <w:rPr>
          <w:bCs/>
          <w:sz w:val="24"/>
          <w:szCs w:val="24"/>
        </w:rPr>
      </w:pPr>
      <w:r w:rsidRPr="00B0399B">
        <w:rPr>
          <w:bCs/>
          <w:sz w:val="24"/>
          <w:szCs w:val="24"/>
        </w:rPr>
        <w:t>A.9</w:t>
      </w:r>
      <w:r w:rsidRPr="00B0399B">
        <w:rPr>
          <w:bCs/>
          <w:sz w:val="24"/>
          <w:szCs w:val="24"/>
        </w:rPr>
        <w:tab/>
        <w:t>Payments or Gifts</w:t>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t>7</w:t>
      </w:r>
    </w:p>
    <w:p w:rsidR="000C1F20" w:rsidRPr="00B0399B" w:rsidRDefault="000C1F20" w:rsidP="000C1F20">
      <w:pPr>
        <w:tabs>
          <w:tab w:val="left" w:pos="720"/>
        </w:tabs>
        <w:ind w:left="720" w:hanging="720"/>
        <w:rPr>
          <w:bCs/>
          <w:sz w:val="24"/>
          <w:szCs w:val="24"/>
        </w:rPr>
      </w:pPr>
      <w:r w:rsidRPr="00B0399B">
        <w:rPr>
          <w:bCs/>
          <w:sz w:val="24"/>
          <w:szCs w:val="24"/>
        </w:rPr>
        <w:t>A.10</w:t>
      </w:r>
      <w:r w:rsidRPr="00B0399B">
        <w:rPr>
          <w:bCs/>
          <w:sz w:val="24"/>
          <w:szCs w:val="24"/>
        </w:rPr>
        <w:tab/>
        <w:t>Assurances of Confidentiality</w:t>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00893C1C">
        <w:rPr>
          <w:bCs/>
          <w:sz w:val="24"/>
          <w:szCs w:val="24"/>
        </w:rPr>
        <w:t>7</w:t>
      </w:r>
    </w:p>
    <w:p w:rsidR="000C1F20" w:rsidRPr="00B0399B" w:rsidRDefault="000C1F20" w:rsidP="000C1F20">
      <w:pPr>
        <w:tabs>
          <w:tab w:val="left" w:pos="720"/>
        </w:tabs>
        <w:ind w:left="720" w:hanging="720"/>
        <w:rPr>
          <w:bCs/>
          <w:sz w:val="24"/>
          <w:szCs w:val="24"/>
        </w:rPr>
      </w:pPr>
      <w:r w:rsidRPr="00B0399B">
        <w:rPr>
          <w:bCs/>
          <w:sz w:val="24"/>
          <w:szCs w:val="24"/>
        </w:rPr>
        <w:t xml:space="preserve">A.11 </w:t>
      </w:r>
      <w:r w:rsidRPr="00B0399B">
        <w:rPr>
          <w:bCs/>
          <w:sz w:val="24"/>
          <w:szCs w:val="24"/>
        </w:rPr>
        <w:tab/>
        <w:t>Justification of Sensitive Questions</w:t>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t>8</w:t>
      </w:r>
    </w:p>
    <w:p w:rsidR="000C1F20" w:rsidRPr="00B0399B" w:rsidRDefault="000C1F20" w:rsidP="000C1F20">
      <w:pPr>
        <w:tabs>
          <w:tab w:val="left" w:pos="720"/>
        </w:tabs>
        <w:ind w:left="720" w:hanging="720"/>
        <w:rPr>
          <w:bCs/>
          <w:sz w:val="24"/>
          <w:szCs w:val="24"/>
        </w:rPr>
      </w:pPr>
      <w:r w:rsidRPr="00B0399B">
        <w:rPr>
          <w:bCs/>
          <w:sz w:val="24"/>
          <w:szCs w:val="24"/>
        </w:rPr>
        <w:t>A.12</w:t>
      </w:r>
      <w:r w:rsidRPr="00B0399B">
        <w:rPr>
          <w:bCs/>
          <w:sz w:val="24"/>
          <w:szCs w:val="24"/>
        </w:rPr>
        <w:tab/>
        <w:t>Estimates of Hour Burden</w:t>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t>8</w:t>
      </w:r>
    </w:p>
    <w:p w:rsidR="000C1F20" w:rsidRPr="00B0399B" w:rsidRDefault="000C1F20" w:rsidP="000C1F20">
      <w:pPr>
        <w:tabs>
          <w:tab w:val="left" w:pos="720"/>
        </w:tabs>
        <w:ind w:left="720" w:hanging="720"/>
        <w:rPr>
          <w:bCs/>
          <w:sz w:val="24"/>
          <w:szCs w:val="24"/>
        </w:rPr>
      </w:pPr>
      <w:r w:rsidRPr="00B0399B">
        <w:rPr>
          <w:bCs/>
          <w:sz w:val="24"/>
          <w:szCs w:val="24"/>
        </w:rPr>
        <w:t>A.13</w:t>
      </w:r>
      <w:r w:rsidRPr="00B0399B">
        <w:rPr>
          <w:bCs/>
          <w:sz w:val="24"/>
          <w:szCs w:val="24"/>
        </w:rPr>
        <w:tab/>
        <w:t>Estimates of Cost of Burden to Respondents</w:t>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00893C1C">
        <w:rPr>
          <w:bCs/>
          <w:sz w:val="24"/>
          <w:szCs w:val="24"/>
        </w:rPr>
        <w:t>12</w:t>
      </w:r>
    </w:p>
    <w:p w:rsidR="000C1F20" w:rsidRPr="00B0399B" w:rsidRDefault="000C1F20" w:rsidP="000C1F20">
      <w:pPr>
        <w:tabs>
          <w:tab w:val="left" w:pos="720"/>
        </w:tabs>
        <w:ind w:left="720" w:hanging="720"/>
        <w:rPr>
          <w:bCs/>
          <w:sz w:val="24"/>
          <w:szCs w:val="24"/>
        </w:rPr>
      </w:pPr>
      <w:r w:rsidRPr="00B0399B">
        <w:rPr>
          <w:bCs/>
          <w:sz w:val="24"/>
          <w:szCs w:val="24"/>
        </w:rPr>
        <w:t>A.14</w:t>
      </w:r>
      <w:r w:rsidRPr="00B0399B">
        <w:rPr>
          <w:bCs/>
          <w:sz w:val="24"/>
          <w:szCs w:val="24"/>
        </w:rPr>
        <w:tab/>
        <w:t>Estimate of Annual Cost to the Federal Government</w:t>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00893C1C">
        <w:rPr>
          <w:bCs/>
          <w:sz w:val="24"/>
          <w:szCs w:val="24"/>
        </w:rPr>
        <w:t>12</w:t>
      </w:r>
    </w:p>
    <w:p w:rsidR="000C1F20" w:rsidRPr="00B0399B" w:rsidRDefault="000C1F20" w:rsidP="000C1F20">
      <w:pPr>
        <w:tabs>
          <w:tab w:val="left" w:pos="720"/>
        </w:tabs>
        <w:ind w:left="720" w:hanging="720"/>
        <w:rPr>
          <w:bCs/>
          <w:sz w:val="24"/>
          <w:szCs w:val="24"/>
        </w:rPr>
      </w:pPr>
      <w:r w:rsidRPr="00B0399B">
        <w:rPr>
          <w:bCs/>
          <w:sz w:val="24"/>
          <w:szCs w:val="24"/>
        </w:rPr>
        <w:t>A.15</w:t>
      </w:r>
      <w:r w:rsidRPr="00B0399B">
        <w:rPr>
          <w:bCs/>
          <w:sz w:val="24"/>
          <w:szCs w:val="24"/>
        </w:rPr>
        <w:tab/>
        <w:t>Program Changes or Adjustments</w:t>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00893C1C">
        <w:rPr>
          <w:bCs/>
          <w:sz w:val="24"/>
          <w:szCs w:val="24"/>
        </w:rPr>
        <w:t>13</w:t>
      </w:r>
    </w:p>
    <w:p w:rsidR="000C1F20" w:rsidRPr="00B0399B" w:rsidRDefault="000C1F20" w:rsidP="000C1F20">
      <w:pPr>
        <w:tabs>
          <w:tab w:val="left" w:pos="720"/>
        </w:tabs>
        <w:ind w:left="720" w:hanging="720"/>
        <w:rPr>
          <w:bCs/>
          <w:sz w:val="24"/>
          <w:szCs w:val="24"/>
        </w:rPr>
      </w:pPr>
      <w:r w:rsidRPr="00B0399B">
        <w:rPr>
          <w:bCs/>
          <w:sz w:val="24"/>
          <w:szCs w:val="24"/>
        </w:rPr>
        <w:t>A.16</w:t>
      </w:r>
      <w:r w:rsidRPr="00B0399B">
        <w:rPr>
          <w:bCs/>
          <w:sz w:val="24"/>
          <w:szCs w:val="24"/>
        </w:rPr>
        <w:tab/>
        <w:t>Plans for Tabulation and Publication of Results</w:t>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00893C1C">
        <w:rPr>
          <w:bCs/>
          <w:sz w:val="24"/>
          <w:szCs w:val="24"/>
        </w:rPr>
        <w:t>13</w:t>
      </w:r>
    </w:p>
    <w:p w:rsidR="000C1F20" w:rsidRPr="00B0399B" w:rsidRDefault="000C1F20" w:rsidP="000C1F20">
      <w:pPr>
        <w:tabs>
          <w:tab w:val="left" w:pos="720"/>
        </w:tabs>
        <w:ind w:left="720" w:hanging="720"/>
        <w:rPr>
          <w:bCs/>
          <w:sz w:val="24"/>
          <w:szCs w:val="24"/>
        </w:rPr>
      </w:pPr>
      <w:r w:rsidRPr="00B0399B">
        <w:rPr>
          <w:bCs/>
          <w:sz w:val="24"/>
          <w:szCs w:val="24"/>
        </w:rPr>
        <w:t>A.17</w:t>
      </w:r>
      <w:r w:rsidRPr="00B0399B">
        <w:rPr>
          <w:bCs/>
          <w:sz w:val="24"/>
          <w:szCs w:val="24"/>
        </w:rPr>
        <w:tab/>
        <w:t>Approval to Not Display the OMB Expiration Date</w:t>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00893C1C">
        <w:rPr>
          <w:bCs/>
          <w:sz w:val="24"/>
          <w:szCs w:val="24"/>
        </w:rPr>
        <w:t>14</w:t>
      </w:r>
    </w:p>
    <w:p w:rsidR="000C1F20" w:rsidRPr="00B0399B" w:rsidRDefault="000C1F20" w:rsidP="000C1F20">
      <w:pPr>
        <w:tabs>
          <w:tab w:val="left" w:pos="720"/>
        </w:tabs>
        <w:ind w:left="720" w:hanging="720"/>
        <w:rPr>
          <w:bCs/>
          <w:sz w:val="24"/>
          <w:szCs w:val="24"/>
        </w:rPr>
      </w:pPr>
      <w:r w:rsidRPr="00B0399B">
        <w:rPr>
          <w:bCs/>
          <w:sz w:val="24"/>
          <w:szCs w:val="24"/>
        </w:rPr>
        <w:t>A.18</w:t>
      </w:r>
      <w:r w:rsidRPr="00B0399B">
        <w:rPr>
          <w:bCs/>
          <w:sz w:val="24"/>
          <w:szCs w:val="24"/>
        </w:rPr>
        <w:tab/>
        <w:t>Explanation of Exceptions</w:t>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Pr="00B0399B">
        <w:rPr>
          <w:bCs/>
          <w:sz w:val="24"/>
          <w:szCs w:val="24"/>
        </w:rPr>
        <w:tab/>
      </w:r>
      <w:r w:rsidR="00893C1C">
        <w:rPr>
          <w:bCs/>
          <w:sz w:val="24"/>
          <w:szCs w:val="24"/>
        </w:rPr>
        <w:t>14</w:t>
      </w:r>
    </w:p>
    <w:p w:rsidR="000C1F20" w:rsidRPr="00B0399B" w:rsidRDefault="000C1F20" w:rsidP="000C1F20">
      <w:pPr>
        <w:tabs>
          <w:tab w:val="left" w:pos="720"/>
        </w:tabs>
        <w:rPr>
          <w:bCs/>
          <w:sz w:val="24"/>
          <w:szCs w:val="24"/>
        </w:rPr>
      </w:pPr>
    </w:p>
    <w:p w:rsidR="000C1F20" w:rsidRDefault="000C1F20" w:rsidP="000C1F20">
      <w:pPr>
        <w:tabs>
          <w:tab w:val="left" w:pos="720"/>
        </w:tabs>
        <w:rPr>
          <w:bCs/>
          <w:sz w:val="24"/>
          <w:szCs w:val="24"/>
        </w:rPr>
      </w:pPr>
      <w:proofErr w:type="gramStart"/>
      <w:r w:rsidRPr="00B0399B">
        <w:rPr>
          <w:bCs/>
          <w:sz w:val="24"/>
          <w:szCs w:val="24"/>
        </w:rPr>
        <w:t>SECTION B.</w:t>
      </w:r>
      <w:proofErr w:type="gramEnd"/>
      <w:r w:rsidRPr="00B0399B">
        <w:rPr>
          <w:bCs/>
          <w:sz w:val="24"/>
          <w:szCs w:val="24"/>
        </w:rPr>
        <w:t xml:space="preserve">  COLLECTION OF INFORMATION EMPLOYING STATISICAL METHODS</w:t>
      </w:r>
    </w:p>
    <w:p w:rsidR="00214F94" w:rsidRPr="00B0399B" w:rsidRDefault="00214F94" w:rsidP="000C1F20">
      <w:pPr>
        <w:tabs>
          <w:tab w:val="left" w:pos="720"/>
        </w:tabs>
        <w:rPr>
          <w:bCs/>
          <w:sz w:val="24"/>
          <w:szCs w:val="24"/>
        </w:rPr>
      </w:pPr>
    </w:p>
    <w:p w:rsidR="000C1F20" w:rsidRPr="00B0399B" w:rsidRDefault="000C1F20" w:rsidP="000C1F20">
      <w:pPr>
        <w:tabs>
          <w:tab w:val="left" w:pos="720"/>
        </w:tabs>
        <w:ind w:left="720" w:hanging="720"/>
        <w:rPr>
          <w:bCs/>
          <w:sz w:val="24"/>
          <w:szCs w:val="24"/>
        </w:rPr>
      </w:pPr>
      <w:r w:rsidRPr="00B0399B">
        <w:rPr>
          <w:bCs/>
          <w:sz w:val="24"/>
          <w:szCs w:val="24"/>
        </w:rPr>
        <w:t>B.1</w:t>
      </w:r>
      <w:r w:rsidRPr="00B0399B">
        <w:rPr>
          <w:bCs/>
          <w:sz w:val="24"/>
          <w:szCs w:val="24"/>
        </w:rPr>
        <w:tab/>
        <w:t>Collection of Information Employing Statistical Methods</w:t>
      </w:r>
      <w:r w:rsidRPr="00B0399B">
        <w:rPr>
          <w:bCs/>
          <w:sz w:val="24"/>
          <w:szCs w:val="24"/>
        </w:rPr>
        <w:tab/>
      </w:r>
      <w:r w:rsidRPr="00B0399B">
        <w:rPr>
          <w:bCs/>
          <w:sz w:val="24"/>
          <w:szCs w:val="24"/>
        </w:rPr>
        <w:tab/>
      </w:r>
      <w:r w:rsidRPr="00B0399B">
        <w:rPr>
          <w:bCs/>
          <w:sz w:val="24"/>
          <w:szCs w:val="24"/>
        </w:rPr>
        <w:tab/>
      </w:r>
      <w:r w:rsidR="00893C1C">
        <w:rPr>
          <w:bCs/>
          <w:sz w:val="24"/>
          <w:szCs w:val="24"/>
        </w:rPr>
        <w:t>15</w:t>
      </w:r>
    </w:p>
    <w:p w:rsidR="000C1F20" w:rsidRPr="00B0399B" w:rsidRDefault="000C1F20" w:rsidP="000C1F20">
      <w:pPr>
        <w:rPr>
          <w:bCs/>
          <w:sz w:val="24"/>
          <w:szCs w:val="24"/>
        </w:rPr>
      </w:pPr>
      <w:r w:rsidRPr="00B0399B">
        <w:rPr>
          <w:bCs/>
          <w:sz w:val="24"/>
          <w:szCs w:val="24"/>
        </w:rPr>
        <w:br w:type="page"/>
      </w:r>
    </w:p>
    <w:p w:rsidR="00B75FA4" w:rsidRPr="00B0399B" w:rsidRDefault="00B75FA4" w:rsidP="00991753">
      <w:pPr>
        <w:rPr>
          <w:sz w:val="24"/>
          <w:szCs w:val="24"/>
        </w:rPr>
      </w:pPr>
    </w:p>
    <w:p w:rsidR="00B75FA4" w:rsidRPr="00B0399B" w:rsidRDefault="00B75FA4" w:rsidP="00991753">
      <w:pPr>
        <w:rPr>
          <w:sz w:val="24"/>
          <w:szCs w:val="24"/>
        </w:rPr>
      </w:pPr>
    </w:p>
    <w:p w:rsidR="000C1F20" w:rsidRPr="00B0399B" w:rsidRDefault="00B75FA4" w:rsidP="00991753">
      <w:pPr>
        <w:jc w:val="center"/>
        <w:rPr>
          <w:b/>
          <w:sz w:val="24"/>
          <w:szCs w:val="24"/>
        </w:rPr>
      </w:pPr>
      <w:r w:rsidRPr="00B0399B">
        <w:rPr>
          <w:b/>
          <w:sz w:val="24"/>
          <w:szCs w:val="24"/>
        </w:rPr>
        <w:t xml:space="preserve">SUPPORTING STATEMENT </w:t>
      </w:r>
    </w:p>
    <w:p w:rsidR="00B75FA4" w:rsidRPr="00B0399B" w:rsidRDefault="00B75FA4" w:rsidP="00991753">
      <w:pPr>
        <w:jc w:val="center"/>
        <w:rPr>
          <w:b/>
          <w:sz w:val="24"/>
          <w:szCs w:val="24"/>
        </w:rPr>
      </w:pPr>
      <w:r w:rsidRPr="00B0399B">
        <w:rPr>
          <w:b/>
          <w:sz w:val="24"/>
          <w:szCs w:val="24"/>
        </w:rPr>
        <w:t>FOR PAPERWORK REDUCTION ACT</w:t>
      </w:r>
      <w:r w:rsidR="000C1F20" w:rsidRPr="00B0399B">
        <w:rPr>
          <w:b/>
          <w:i/>
          <w:sz w:val="24"/>
          <w:szCs w:val="24"/>
        </w:rPr>
        <w:t xml:space="preserve"> </w:t>
      </w:r>
      <w:r w:rsidR="000C1F20" w:rsidRPr="00104EAE">
        <w:rPr>
          <w:b/>
          <w:sz w:val="24"/>
          <w:szCs w:val="24"/>
        </w:rPr>
        <w:t>SUBMISSION</w:t>
      </w:r>
    </w:p>
    <w:p w:rsidR="000C1F20" w:rsidRPr="00B0399B" w:rsidRDefault="000C1F20" w:rsidP="00B0399B">
      <w:pPr>
        <w:rPr>
          <w:b/>
          <w:sz w:val="24"/>
          <w:szCs w:val="24"/>
        </w:rPr>
      </w:pPr>
    </w:p>
    <w:p w:rsidR="000C1F20" w:rsidRPr="00B0399B" w:rsidRDefault="000C1F20" w:rsidP="00B0399B">
      <w:pPr>
        <w:rPr>
          <w:b/>
          <w:sz w:val="24"/>
          <w:szCs w:val="24"/>
        </w:rPr>
      </w:pPr>
    </w:p>
    <w:p w:rsidR="00B75FA4" w:rsidRPr="00B0399B" w:rsidRDefault="000C1F20" w:rsidP="00991753">
      <w:pPr>
        <w:rPr>
          <w:sz w:val="24"/>
          <w:szCs w:val="24"/>
        </w:rPr>
      </w:pPr>
      <w:r w:rsidRPr="00B0399B">
        <w:rPr>
          <w:b/>
          <w:sz w:val="24"/>
          <w:szCs w:val="24"/>
        </w:rPr>
        <w:t>INTRODUCTION</w:t>
      </w:r>
    </w:p>
    <w:p w:rsidR="00B75FA4" w:rsidRPr="00B0399B" w:rsidRDefault="00B75FA4" w:rsidP="00991753">
      <w:pPr>
        <w:ind w:left="720"/>
        <w:rPr>
          <w:sz w:val="24"/>
          <w:szCs w:val="24"/>
        </w:rPr>
      </w:pPr>
    </w:p>
    <w:p w:rsidR="00726F75" w:rsidRDefault="00B75FA4" w:rsidP="00FF1830">
      <w:pPr>
        <w:pStyle w:val="HTMLPreformatted"/>
        <w:rPr>
          <w:rFonts w:ascii="Times New Roman" w:hAnsi="Times New Roman" w:cs="Times New Roman"/>
          <w:sz w:val="24"/>
          <w:szCs w:val="24"/>
        </w:rPr>
      </w:pPr>
      <w:r w:rsidRPr="00B0399B">
        <w:rPr>
          <w:rFonts w:ascii="Times New Roman" w:hAnsi="Times New Roman" w:cs="Times New Roman"/>
          <w:sz w:val="24"/>
          <w:szCs w:val="24"/>
        </w:rPr>
        <w:t xml:space="preserve">In the </w:t>
      </w:r>
      <w:r w:rsidRPr="00B0399B">
        <w:rPr>
          <w:rFonts w:ascii="Times New Roman" w:hAnsi="Times New Roman" w:cs="Times New Roman"/>
          <w:noProof/>
          <w:sz w:val="24"/>
          <w:szCs w:val="24"/>
        </w:rPr>
        <w:t>Individuals with Disabilities Education Act of 2004 (IDEA)</w:t>
      </w:r>
      <w:r w:rsidRPr="00B0399B">
        <w:rPr>
          <w:rFonts w:ascii="Times New Roman" w:hAnsi="Times New Roman" w:cs="Times New Roman"/>
          <w:sz w:val="24"/>
          <w:szCs w:val="24"/>
        </w:rPr>
        <w:t xml:space="preserve">, Congress stated that “the education of children with disabilities can be made more effective by… supporting high-quality, intensive </w:t>
      </w:r>
      <w:proofErr w:type="spellStart"/>
      <w:r w:rsidRPr="00B0399B">
        <w:rPr>
          <w:rFonts w:ascii="Times New Roman" w:hAnsi="Times New Roman" w:cs="Times New Roman"/>
          <w:sz w:val="24"/>
          <w:szCs w:val="24"/>
        </w:rPr>
        <w:t>preservice</w:t>
      </w:r>
      <w:proofErr w:type="spellEnd"/>
      <w:r w:rsidRPr="00B0399B">
        <w:rPr>
          <w:rFonts w:ascii="Times New Roman" w:hAnsi="Times New Roman" w:cs="Times New Roman"/>
          <w:sz w:val="24"/>
          <w:szCs w:val="24"/>
        </w:rPr>
        <w:t xml:space="preserve"> preparation and professional development for all personnel who work with children with disabilities in order to ensure that such personnel have the skills and knowledge necessary to improve the academic achievement and functional performance o</w:t>
      </w:r>
      <w:r w:rsidR="003E3F97" w:rsidRPr="00B0399B">
        <w:rPr>
          <w:rFonts w:ascii="Times New Roman" w:hAnsi="Times New Roman" w:cs="Times New Roman"/>
          <w:sz w:val="24"/>
          <w:szCs w:val="24"/>
        </w:rPr>
        <w:t>f children with disabilities” (s</w:t>
      </w:r>
      <w:r w:rsidRPr="00B0399B">
        <w:rPr>
          <w:rFonts w:ascii="Times New Roman" w:hAnsi="Times New Roman" w:cs="Times New Roman"/>
          <w:sz w:val="24"/>
          <w:szCs w:val="24"/>
        </w:rPr>
        <w:t xml:space="preserve">ection 601(a)(5)(E)). </w:t>
      </w:r>
      <w:r w:rsidR="009C2488" w:rsidRPr="00B0399B">
        <w:rPr>
          <w:rFonts w:ascii="Times New Roman" w:hAnsi="Times New Roman" w:cs="Times New Roman"/>
          <w:sz w:val="24"/>
          <w:szCs w:val="24"/>
        </w:rPr>
        <w:t>To meet this need, t</w:t>
      </w:r>
      <w:r w:rsidRPr="00B0399B">
        <w:rPr>
          <w:rFonts w:ascii="Times New Roman" w:hAnsi="Times New Roman" w:cs="Times New Roman"/>
          <w:sz w:val="24"/>
          <w:szCs w:val="24"/>
        </w:rPr>
        <w:t xml:space="preserve">he Office of Special Education Program's (OSEP) Personnel Development to Improve Services and Results for Children with Disabilities (CFDA No. 84.325) funds </w:t>
      </w:r>
      <w:r w:rsidR="00DB5F22" w:rsidRPr="00B0399B">
        <w:rPr>
          <w:rFonts w:ascii="Times New Roman" w:hAnsi="Times New Roman" w:cs="Times New Roman"/>
          <w:sz w:val="24"/>
          <w:szCs w:val="24"/>
        </w:rPr>
        <w:t xml:space="preserve">one of </w:t>
      </w:r>
      <w:r w:rsidRPr="00B0399B">
        <w:rPr>
          <w:rFonts w:ascii="Times New Roman" w:hAnsi="Times New Roman" w:cs="Times New Roman"/>
          <w:sz w:val="24"/>
          <w:szCs w:val="24"/>
        </w:rPr>
        <w:t xml:space="preserve">the largest personnel </w:t>
      </w:r>
      <w:r w:rsidR="00726F75" w:rsidRPr="00B0399B">
        <w:rPr>
          <w:rFonts w:ascii="Times New Roman" w:hAnsi="Times New Roman" w:cs="Times New Roman"/>
          <w:sz w:val="24"/>
          <w:szCs w:val="24"/>
        </w:rPr>
        <w:t>development</w:t>
      </w:r>
      <w:r w:rsidRPr="00B0399B">
        <w:rPr>
          <w:rFonts w:ascii="Times New Roman" w:hAnsi="Times New Roman" w:cs="Times New Roman"/>
          <w:sz w:val="24"/>
          <w:szCs w:val="24"/>
        </w:rPr>
        <w:t xml:space="preserve"> grant program</w:t>
      </w:r>
      <w:r w:rsidR="00DB5F22" w:rsidRPr="00B0399B">
        <w:rPr>
          <w:rFonts w:ascii="Times New Roman" w:hAnsi="Times New Roman" w:cs="Times New Roman"/>
          <w:sz w:val="24"/>
          <w:szCs w:val="24"/>
        </w:rPr>
        <w:t>s</w:t>
      </w:r>
      <w:r w:rsidRPr="00B0399B">
        <w:rPr>
          <w:rFonts w:ascii="Times New Roman" w:hAnsi="Times New Roman" w:cs="Times New Roman"/>
          <w:sz w:val="24"/>
          <w:szCs w:val="24"/>
        </w:rPr>
        <w:t xml:space="preserve"> in the </w:t>
      </w:r>
      <w:r w:rsidR="00DB5F22" w:rsidRPr="00B0399B">
        <w:rPr>
          <w:rFonts w:ascii="Times New Roman" w:hAnsi="Times New Roman" w:cs="Times New Roman"/>
          <w:sz w:val="24"/>
          <w:szCs w:val="24"/>
        </w:rPr>
        <w:t xml:space="preserve">U.S. </w:t>
      </w:r>
      <w:r w:rsidRPr="00B0399B">
        <w:rPr>
          <w:rFonts w:ascii="Times New Roman" w:hAnsi="Times New Roman" w:cs="Times New Roman"/>
          <w:sz w:val="24"/>
          <w:szCs w:val="24"/>
        </w:rPr>
        <w:t>Department of Education</w:t>
      </w:r>
      <w:r w:rsidR="009C2488" w:rsidRPr="00B0399B">
        <w:rPr>
          <w:rFonts w:ascii="Times New Roman" w:hAnsi="Times New Roman" w:cs="Times New Roman"/>
          <w:sz w:val="24"/>
          <w:szCs w:val="24"/>
        </w:rPr>
        <w:t xml:space="preserve"> (ED)</w:t>
      </w:r>
      <w:r w:rsidRPr="00B0399B">
        <w:rPr>
          <w:rFonts w:ascii="Times New Roman" w:hAnsi="Times New Roman" w:cs="Times New Roman"/>
          <w:sz w:val="24"/>
          <w:szCs w:val="24"/>
        </w:rPr>
        <w:t xml:space="preserve">. </w:t>
      </w:r>
    </w:p>
    <w:p w:rsidR="007523AE" w:rsidRDefault="007523AE" w:rsidP="00FF1830">
      <w:pPr>
        <w:pStyle w:val="HTMLPreformatted"/>
        <w:rPr>
          <w:rFonts w:ascii="Times New Roman" w:hAnsi="Times New Roman" w:cs="Times New Roman"/>
          <w:sz w:val="24"/>
          <w:szCs w:val="24"/>
        </w:rPr>
      </w:pPr>
    </w:p>
    <w:p w:rsidR="007523AE" w:rsidRDefault="007523AE" w:rsidP="00FF1830">
      <w:pPr>
        <w:rPr>
          <w:rFonts w:eastAsiaTheme="minorEastAsia"/>
          <w:bCs/>
          <w:iCs/>
          <w:color w:val="000000" w:themeColor="text1"/>
          <w:kern w:val="24"/>
          <w:sz w:val="24"/>
          <w:szCs w:val="24"/>
        </w:rPr>
      </w:pPr>
      <w:r w:rsidRPr="007523AE">
        <w:rPr>
          <w:sz w:val="24"/>
          <w:szCs w:val="24"/>
        </w:rPr>
        <w:t xml:space="preserve">The </w:t>
      </w:r>
      <w:r w:rsidR="00FF1830">
        <w:rPr>
          <w:sz w:val="24"/>
          <w:szCs w:val="24"/>
        </w:rPr>
        <w:t>objectives</w:t>
      </w:r>
      <w:r w:rsidR="00FF1830" w:rsidRPr="007523AE">
        <w:rPr>
          <w:sz w:val="24"/>
          <w:szCs w:val="24"/>
        </w:rPr>
        <w:t xml:space="preserve"> </w:t>
      </w:r>
      <w:r w:rsidRPr="007523AE">
        <w:rPr>
          <w:sz w:val="24"/>
          <w:szCs w:val="24"/>
        </w:rPr>
        <w:t xml:space="preserve">of the </w:t>
      </w:r>
      <w:r w:rsidRPr="00FF0EFC">
        <w:rPr>
          <w:sz w:val="24"/>
          <w:szCs w:val="24"/>
        </w:rPr>
        <w:t xml:space="preserve">Personnel Development Program (PDP) </w:t>
      </w:r>
      <w:r w:rsidR="00FF1830">
        <w:rPr>
          <w:sz w:val="24"/>
          <w:szCs w:val="24"/>
        </w:rPr>
        <w:t>are</w:t>
      </w:r>
      <w:r w:rsidRPr="007523AE">
        <w:rPr>
          <w:bCs/>
          <w:color w:val="000000"/>
          <w:sz w:val="24"/>
          <w:szCs w:val="24"/>
        </w:rPr>
        <w:t xml:space="preserve"> </w:t>
      </w:r>
      <w:r w:rsidRPr="007523AE">
        <w:rPr>
          <w:bCs/>
          <w:sz w:val="24"/>
          <w:szCs w:val="24"/>
        </w:rPr>
        <w:t>to</w:t>
      </w:r>
      <w:r w:rsidR="00FF1830">
        <w:rPr>
          <w:bCs/>
          <w:sz w:val="24"/>
          <w:szCs w:val="24"/>
        </w:rPr>
        <w:t>:</w:t>
      </w:r>
      <w:r w:rsidRPr="007523AE">
        <w:rPr>
          <w:bCs/>
          <w:sz w:val="24"/>
          <w:szCs w:val="24"/>
        </w:rPr>
        <w:t xml:space="preserve"> </w:t>
      </w:r>
      <w:r w:rsidR="001303CB">
        <w:rPr>
          <w:rFonts w:eastAsiaTheme="minorEastAsia"/>
          <w:bCs/>
          <w:iCs/>
          <w:color w:val="000000" w:themeColor="text1"/>
          <w:kern w:val="24"/>
          <w:sz w:val="24"/>
          <w:szCs w:val="24"/>
        </w:rPr>
        <w:t>a</w:t>
      </w:r>
      <w:r w:rsidR="00FF1830">
        <w:rPr>
          <w:rFonts w:eastAsiaTheme="minorEastAsia"/>
          <w:bCs/>
          <w:iCs/>
          <w:color w:val="000000" w:themeColor="text1"/>
          <w:kern w:val="24"/>
          <w:sz w:val="24"/>
          <w:szCs w:val="24"/>
        </w:rPr>
        <w:t>)</w:t>
      </w:r>
      <w:r w:rsidRPr="00870CD1">
        <w:rPr>
          <w:rFonts w:eastAsiaTheme="minorEastAsia"/>
          <w:bCs/>
          <w:iCs/>
          <w:color w:val="000000" w:themeColor="text1"/>
          <w:kern w:val="24"/>
          <w:sz w:val="24"/>
          <w:szCs w:val="24"/>
        </w:rPr>
        <w:t xml:space="preserve"> </w:t>
      </w:r>
      <w:r w:rsidRPr="00FF0EFC">
        <w:rPr>
          <w:rFonts w:eastAsiaTheme="minorEastAsia"/>
          <w:bCs/>
          <w:iCs/>
          <w:color w:val="000000" w:themeColor="text1"/>
          <w:kern w:val="24"/>
          <w:sz w:val="24"/>
          <w:szCs w:val="24"/>
        </w:rPr>
        <w:t>Improve the curricula of IDEA training programs to ensure that personnel preparing to serve children with disabilities are knowledgeable and skilled in practices that reflect the current knowledge base</w:t>
      </w:r>
      <w:r w:rsidR="00FF1830">
        <w:rPr>
          <w:rFonts w:eastAsiaTheme="minorEastAsia"/>
          <w:bCs/>
          <w:iCs/>
          <w:color w:val="000000" w:themeColor="text1"/>
          <w:kern w:val="24"/>
          <w:sz w:val="24"/>
          <w:szCs w:val="24"/>
        </w:rPr>
        <w:t xml:space="preserve">; </w:t>
      </w:r>
      <w:r w:rsidR="001303CB">
        <w:rPr>
          <w:rFonts w:eastAsiaTheme="minorEastAsia"/>
          <w:bCs/>
          <w:iCs/>
          <w:color w:val="000000" w:themeColor="text1"/>
          <w:kern w:val="24"/>
          <w:sz w:val="24"/>
          <w:szCs w:val="24"/>
        </w:rPr>
        <w:t>b</w:t>
      </w:r>
      <w:r w:rsidR="00FF1830">
        <w:rPr>
          <w:rFonts w:eastAsiaTheme="minorEastAsia"/>
          <w:bCs/>
          <w:iCs/>
          <w:color w:val="000000" w:themeColor="text1"/>
          <w:kern w:val="24"/>
          <w:sz w:val="24"/>
          <w:szCs w:val="24"/>
        </w:rPr>
        <w:t>)</w:t>
      </w:r>
      <w:r w:rsidRPr="00FF0EFC">
        <w:rPr>
          <w:rFonts w:eastAsiaTheme="minorEastAsia"/>
          <w:bCs/>
          <w:iCs/>
          <w:color w:val="000000" w:themeColor="text1"/>
          <w:kern w:val="24"/>
          <w:sz w:val="24"/>
          <w:szCs w:val="24"/>
        </w:rPr>
        <w:t xml:space="preserve"> Increase the supply of teachers and service providers who are highly qualified for and </w:t>
      </w:r>
      <w:r w:rsidR="00610133">
        <w:rPr>
          <w:rFonts w:eastAsiaTheme="minorEastAsia"/>
          <w:bCs/>
          <w:iCs/>
          <w:color w:val="000000" w:themeColor="text1"/>
          <w:kern w:val="24"/>
          <w:sz w:val="24"/>
          <w:szCs w:val="24"/>
        </w:rPr>
        <w:t xml:space="preserve">effectively </w:t>
      </w:r>
      <w:r w:rsidRPr="00FF0EFC">
        <w:rPr>
          <w:rFonts w:eastAsiaTheme="minorEastAsia"/>
          <w:bCs/>
          <w:iCs/>
          <w:color w:val="000000" w:themeColor="text1"/>
          <w:kern w:val="24"/>
          <w:sz w:val="24"/>
          <w:szCs w:val="24"/>
        </w:rPr>
        <w:t>serve in positions for which they are trained</w:t>
      </w:r>
      <w:r w:rsidR="00FF1830">
        <w:rPr>
          <w:rFonts w:eastAsiaTheme="minorEastAsia"/>
          <w:bCs/>
          <w:iCs/>
          <w:color w:val="000000" w:themeColor="text1"/>
          <w:kern w:val="24"/>
          <w:sz w:val="24"/>
          <w:szCs w:val="24"/>
        </w:rPr>
        <w:t xml:space="preserve">; and </w:t>
      </w:r>
      <w:r w:rsidR="001303CB">
        <w:rPr>
          <w:rFonts w:eastAsiaTheme="minorEastAsia"/>
          <w:bCs/>
          <w:iCs/>
          <w:color w:val="000000" w:themeColor="text1"/>
          <w:kern w:val="24"/>
          <w:sz w:val="24"/>
          <w:szCs w:val="24"/>
        </w:rPr>
        <w:t>c</w:t>
      </w:r>
      <w:r w:rsidR="00FF1830">
        <w:rPr>
          <w:rFonts w:eastAsiaTheme="minorEastAsia"/>
          <w:bCs/>
          <w:iCs/>
          <w:color w:val="000000" w:themeColor="text1"/>
          <w:kern w:val="24"/>
          <w:sz w:val="24"/>
          <w:szCs w:val="24"/>
        </w:rPr>
        <w:t>)</w:t>
      </w:r>
      <w:r w:rsidRPr="00FF0EFC">
        <w:rPr>
          <w:rFonts w:eastAsiaTheme="minorEastAsia"/>
          <w:bCs/>
          <w:iCs/>
          <w:color w:val="000000" w:themeColor="text1"/>
          <w:kern w:val="24"/>
          <w:sz w:val="24"/>
          <w:szCs w:val="24"/>
        </w:rPr>
        <w:t xml:space="preserve"> Enhance the efficiency of the expenditure of Federal dollars under this program</w:t>
      </w:r>
      <w:r w:rsidR="00FF0EFC">
        <w:rPr>
          <w:rFonts w:eastAsiaTheme="minorEastAsia"/>
          <w:bCs/>
          <w:iCs/>
          <w:color w:val="000000" w:themeColor="text1"/>
          <w:kern w:val="24"/>
          <w:sz w:val="24"/>
          <w:szCs w:val="24"/>
        </w:rPr>
        <w:t>.</w:t>
      </w:r>
    </w:p>
    <w:p w:rsidR="00FF0EFC" w:rsidRDefault="00FF0EFC" w:rsidP="00FF0EFC">
      <w:pPr>
        <w:ind w:left="360"/>
        <w:rPr>
          <w:color w:val="000000"/>
          <w:sz w:val="24"/>
          <w:szCs w:val="24"/>
        </w:rPr>
      </w:pPr>
    </w:p>
    <w:p w:rsidR="00FF0EFC" w:rsidRPr="00FF0EFC" w:rsidRDefault="00FF0EFC" w:rsidP="00FF1830">
      <w:pPr>
        <w:rPr>
          <w:sz w:val="24"/>
          <w:szCs w:val="24"/>
        </w:rPr>
      </w:pPr>
      <w:r w:rsidRPr="00FF0EFC">
        <w:rPr>
          <w:sz w:val="24"/>
          <w:szCs w:val="24"/>
        </w:rPr>
        <w:t xml:space="preserve">The proposed data collection serves three purposes. First, data from three sources (grantees, </w:t>
      </w:r>
      <w:r>
        <w:rPr>
          <w:sz w:val="24"/>
          <w:szCs w:val="24"/>
        </w:rPr>
        <w:t>scholars/</w:t>
      </w:r>
      <w:proofErr w:type="spellStart"/>
      <w:r>
        <w:rPr>
          <w:sz w:val="24"/>
          <w:szCs w:val="24"/>
        </w:rPr>
        <w:t>obligees</w:t>
      </w:r>
      <w:proofErr w:type="spellEnd"/>
      <w:r w:rsidRPr="00FF0EFC">
        <w:rPr>
          <w:sz w:val="24"/>
          <w:szCs w:val="24"/>
        </w:rPr>
        <w:t xml:space="preserve">, and employers) are necessary to assess the performance of the </w:t>
      </w:r>
      <w:r>
        <w:rPr>
          <w:sz w:val="24"/>
          <w:szCs w:val="24"/>
        </w:rPr>
        <w:t>PDP</w:t>
      </w:r>
      <w:r w:rsidRPr="00FF0EFC">
        <w:rPr>
          <w:sz w:val="24"/>
          <w:szCs w:val="24"/>
        </w:rPr>
        <w:t xml:space="preserve"> on its </w:t>
      </w:r>
      <w:r w:rsidRPr="00567608">
        <w:rPr>
          <w:sz w:val="24"/>
          <w:szCs w:val="24"/>
        </w:rPr>
        <w:t>Government Performance Results Act (GPRA)</w:t>
      </w:r>
      <w:r w:rsidRPr="00FF0EFC">
        <w:rPr>
          <w:sz w:val="24"/>
          <w:szCs w:val="24"/>
        </w:rPr>
        <w:t xml:space="preserve"> measures (see Section A2, below).  Second, data from all three sources are necessary to determine if </w:t>
      </w:r>
      <w:r>
        <w:rPr>
          <w:sz w:val="24"/>
          <w:szCs w:val="24"/>
        </w:rPr>
        <w:t>scholars/</w:t>
      </w:r>
      <w:proofErr w:type="spellStart"/>
      <w:r>
        <w:rPr>
          <w:sz w:val="24"/>
          <w:szCs w:val="24"/>
        </w:rPr>
        <w:t>obligees</w:t>
      </w:r>
      <w:proofErr w:type="spellEnd"/>
      <w:r w:rsidRPr="00FF0EFC">
        <w:rPr>
          <w:sz w:val="24"/>
          <w:szCs w:val="24"/>
        </w:rPr>
        <w:t xml:space="preserve"> </w:t>
      </w:r>
      <w:r w:rsidR="00FF1830">
        <w:rPr>
          <w:sz w:val="24"/>
          <w:szCs w:val="24"/>
        </w:rPr>
        <w:t>comply with the</w:t>
      </w:r>
      <w:r w:rsidRPr="00870CD1">
        <w:rPr>
          <w:sz w:val="24"/>
          <w:szCs w:val="24"/>
        </w:rPr>
        <w:t xml:space="preserve"> service</w:t>
      </w:r>
      <w:r>
        <w:rPr>
          <w:sz w:val="24"/>
          <w:szCs w:val="24"/>
        </w:rPr>
        <w:t xml:space="preserve"> obligation</w:t>
      </w:r>
      <w:r w:rsidRPr="00FF0EFC">
        <w:rPr>
          <w:sz w:val="24"/>
          <w:szCs w:val="24"/>
        </w:rPr>
        <w:t xml:space="preserve"> requirements.  And finally, project-specific performance data are collected from </w:t>
      </w:r>
      <w:r>
        <w:rPr>
          <w:sz w:val="24"/>
          <w:szCs w:val="24"/>
        </w:rPr>
        <w:t>PDP</w:t>
      </w:r>
      <w:r w:rsidRPr="00FF0EFC">
        <w:rPr>
          <w:sz w:val="24"/>
          <w:szCs w:val="24"/>
        </w:rPr>
        <w:t xml:space="preserve"> grantees for project monitoring</w:t>
      </w:r>
      <w:r w:rsidR="00CC31BD">
        <w:rPr>
          <w:sz w:val="24"/>
          <w:szCs w:val="24"/>
        </w:rPr>
        <w:t xml:space="preserve"> and program improvement.</w:t>
      </w:r>
    </w:p>
    <w:p w:rsidR="00FF0EFC" w:rsidRPr="00FF0EFC" w:rsidRDefault="00FF0EFC" w:rsidP="00FF1830">
      <w:pPr>
        <w:rPr>
          <w:sz w:val="24"/>
          <w:szCs w:val="24"/>
        </w:rPr>
      </w:pPr>
    </w:p>
    <w:p w:rsidR="00FF0EFC" w:rsidRDefault="00FF0EFC" w:rsidP="00FF1830">
      <w:pPr>
        <w:rPr>
          <w:sz w:val="24"/>
          <w:szCs w:val="24"/>
        </w:rPr>
      </w:pPr>
      <w:r w:rsidRPr="00FF0EFC">
        <w:rPr>
          <w:sz w:val="24"/>
          <w:szCs w:val="24"/>
        </w:rPr>
        <w:t>The proposed forms in this package are</w:t>
      </w:r>
      <w:r w:rsidR="00FF1830">
        <w:rPr>
          <w:sz w:val="24"/>
          <w:szCs w:val="24"/>
        </w:rPr>
        <w:t xml:space="preserve"> updates to</w:t>
      </w:r>
      <w:r w:rsidR="00CC31BD">
        <w:rPr>
          <w:sz w:val="24"/>
          <w:szCs w:val="24"/>
        </w:rPr>
        <w:t xml:space="preserve"> existing</w:t>
      </w:r>
      <w:r w:rsidR="009F226D">
        <w:rPr>
          <w:sz w:val="24"/>
          <w:szCs w:val="24"/>
        </w:rPr>
        <w:t xml:space="preserve"> Office of Management and Budget</w:t>
      </w:r>
      <w:r w:rsidR="00CC31BD">
        <w:rPr>
          <w:sz w:val="24"/>
          <w:szCs w:val="24"/>
        </w:rPr>
        <w:t xml:space="preserve"> </w:t>
      </w:r>
      <w:r w:rsidR="009F226D">
        <w:rPr>
          <w:sz w:val="24"/>
          <w:szCs w:val="24"/>
        </w:rPr>
        <w:t>(</w:t>
      </w:r>
      <w:r w:rsidR="00CC31BD">
        <w:rPr>
          <w:sz w:val="24"/>
          <w:szCs w:val="24"/>
        </w:rPr>
        <w:t>OMB</w:t>
      </w:r>
      <w:r w:rsidR="009F226D">
        <w:rPr>
          <w:sz w:val="24"/>
          <w:szCs w:val="24"/>
        </w:rPr>
        <w:t>)</w:t>
      </w:r>
      <w:r w:rsidR="00CC31BD">
        <w:rPr>
          <w:sz w:val="24"/>
          <w:szCs w:val="24"/>
        </w:rPr>
        <w:t xml:space="preserve"> approved forms</w:t>
      </w:r>
      <w:r w:rsidR="00F55E94">
        <w:rPr>
          <w:sz w:val="24"/>
          <w:szCs w:val="24"/>
        </w:rPr>
        <w:t xml:space="preserve"> (1820-0686)</w:t>
      </w:r>
      <w:r w:rsidR="00CC31BD">
        <w:rPr>
          <w:sz w:val="24"/>
          <w:szCs w:val="24"/>
        </w:rPr>
        <w:t xml:space="preserve">: </w:t>
      </w:r>
      <w:r w:rsidR="001303CB">
        <w:rPr>
          <w:sz w:val="24"/>
          <w:szCs w:val="24"/>
        </w:rPr>
        <w:t>a</w:t>
      </w:r>
      <w:r w:rsidR="00CC31BD">
        <w:rPr>
          <w:sz w:val="24"/>
          <w:szCs w:val="24"/>
        </w:rPr>
        <w:t>) Scholar/</w:t>
      </w:r>
      <w:proofErr w:type="spellStart"/>
      <w:r w:rsidR="00CC31BD">
        <w:rPr>
          <w:sz w:val="24"/>
          <w:szCs w:val="24"/>
        </w:rPr>
        <w:t>Obligee</w:t>
      </w:r>
      <w:proofErr w:type="spellEnd"/>
      <w:r w:rsidR="00CC31BD" w:rsidRPr="00FF0EFC">
        <w:rPr>
          <w:sz w:val="24"/>
          <w:szCs w:val="24"/>
        </w:rPr>
        <w:t xml:space="preserve"> Re</w:t>
      </w:r>
      <w:r w:rsidR="00CC31BD">
        <w:rPr>
          <w:sz w:val="24"/>
          <w:szCs w:val="24"/>
        </w:rPr>
        <w:t>cord</w:t>
      </w:r>
      <w:r w:rsidR="00CC31BD" w:rsidRPr="00FF0EFC">
        <w:rPr>
          <w:sz w:val="24"/>
          <w:szCs w:val="24"/>
        </w:rPr>
        <w:t xml:space="preserve"> </w:t>
      </w:r>
      <w:r w:rsidRPr="00FF0EFC">
        <w:rPr>
          <w:sz w:val="24"/>
          <w:szCs w:val="24"/>
        </w:rPr>
        <w:t>Form</w:t>
      </w:r>
      <w:r w:rsidR="00CC31BD">
        <w:rPr>
          <w:sz w:val="24"/>
          <w:szCs w:val="24"/>
        </w:rPr>
        <w:t>;</w:t>
      </w:r>
      <w:r w:rsidRPr="00FF0EFC">
        <w:rPr>
          <w:sz w:val="24"/>
          <w:szCs w:val="24"/>
        </w:rPr>
        <w:t xml:space="preserve"> </w:t>
      </w:r>
      <w:r w:rsidR="001303CB">
        <w:rPr>
          <w:sz w:val="24"/>
          <w:szCs w:val="24"/>
        </w:rPr>
        <w:t>b</w:t>
      </w:r>
      <w:r w:rsidR="00CC31BD">
        <w:rPr>
          <w:sz w:val="24"/>
          <w:szCs w:val="24"/>
        </w:rPr>
        <w:t xml:space="preserve">) </w:t>
      </w:r>
      <w:r w:rsidRPr="00FF0EFC">
        <w:rPr>
          <w:sz w:val="24"/>
          <w:szCs w:val="24"/>
        </w:rPr>
        <w:t xml:space="preserve">the </w:t>
      </w:r>
      <w:r w:rsidR="00CC31BD">
        <w:rPr>
          <w:sz w:val="24"/>
          <w:szCs w:val="24"/>
        </w:rPr>
        <w:t>Scholar/</w:t>
      </w:r>
      <w:proofErr w:type="spellStart"/>
      <w:r w:rsidR="00CC31BD">
        <w:rPr>
          <w:sz w:val="24"/>
          <w:szCs w:val="24"/>
        </w:rPr>
        <w:t>Obligee</w:t>
      </w:r>
      <w:proofErr w:type="spellEnd"/>
      <w:r w:rsidRPr="00FF0EFC">
        <w:rPr>
          <w:sz w:val="24"/>
          <w:szCs w:val="24"/>
        </w:rPr>
        <w:t xml:space="preserve"> Employment </w:t>
      </w:r>
      <w:r w:rsidR="00CC31BD">
        <w:rPr>
          <w:sz w:val="24"/>
          <w:szCs w:val="24"/>
        </w:rPr>
        <w:t>Record</w:t>
      </w:r>
      <w:r w:rsidR="00CC31BD" w:rsidRPr="00FF0EFC">
        <w:rPr>
          <w:sz w:val="24"/>
          <w:szCs w:val="24"/>
        </w:rPr>
        <w:t xml:space="preserve"> </w:t>
      </w:r>
      <w:r w:rsidRPr="00FF0EFC">
        <w:rPr>
          <w:sz w:val="24"/>
          <w:szCs w:val="24"/>
        </w:rPr>
        <w:t>Form;</w:t>
      </w:r>
      <w:r w:rsidR="00CC31BD">
        <w:rPr>
          <w:sz w:val="24"/>
          <w:szCs w:val="24"/>
        </w:rPr>
        <w:t xml:space="preserve"> </w:t>
      </w:r>
      <w:r w:rsidR="001303CB">
        <w:rPr>
          <w:sz w:val="24"/>
          <w:szCs w:val="24"/>
        </w:rPr>
        <w:t>c</w:t>
      </w:r>
      <w:r w:rsidR="00CC31BD">
        <w:rPr>
          <w:sz w:val="24"/>
          <w:szCs w:val="24"/>
        </w:rPr>
        <w:t>)</w:t>
      </w:r>
      <w:r w:rsidRPr="00FF0EFC">
        <w:rPr>
          <w:sz w:val="24"/>
          <w:szCs w:val="24"/>
        </w:rPr>
        <w:t xml:space="preserve"> the Employment Verification Form</w:t>
      </w:r>
      <w:r w:rsidR="00FF1830">
        <w:rPr>
          <w:sz w:val="24"/>
          <w:szCs w:val="24"/>
        </w:rPr>
        <w:t>; and</w:t>
      </w:r>
      <w:r w:rsidR="00CC31BD">
        <w:rPr>
          <w:sz w:val="24"/>
          <w:szCs w:val="24"/>
        </w:rPr>
        <w:t xml:space="preserve"> </w:t>
      </w:r>
      <w:r w:rsidR="001303CB">
        <w:rPr>
          <w:sz w:val="24"/>
          <w:szCs w:val="24"/>
        </w:rPr>
        <w:t>d</w:t>
      </w:r>
      <w:r w:rsidR="00CC31BD">
        <w:rPr>
          <w:sz w:val="24"/>
          <w:szCs w:val="24"/>
        </w:rPr>
        <w:t xml:space="preserve">) </w:t>
      </w:r>
      <w:r w:rsidR="00FF1830">
        <w:rPr>
          <w:sz w:val="24"/>
          <w:szCs w:val="24"/>
        </w:rPr>
        <w:t>the Pre-Scholarship Agreement and Exit Certification Forms.</w:t>
      </w:r>
      <w:r w:rsidRPr="00FF0EFC">
        <w:rPr>
          <w:sz w:val="24"/>
          <w:szCs w:val="24"/>
        </w:rPr>
        <w:t xml:space="preserve">  </w:t>
      </w:r>
    </w:p>
    <w:p w:rsidR="00CC31BD" w:rsidRDefault="00CC31BD" w:rsidP="00FF1830">
      <w:pPr>
        <w:rPr>
          <w:sz w:val="24"/>
          <w:szCs w:val="24"/>
        </w:rPr>
      </w:pPr>
    </w:p>
    <w:p w:rsidR="00CC31BD" w:rsidRPr="00B0399B" w:rsidRDefault="00CC31BD" w:rsidP="00CC31BD">
      <w:pPr>
        <w:tabs>
          <w:tab w:val="left" w:pos="720"/>
        </w:tabs>
        <w:rPr>
          <w:sz w:val="24"/>
          <w:szCs w:val="24"/>
        </w:rPr>
      </w:pPr>
      <w:r w:rsidRPr="00B0399B">
        <w:rPr>
          <w:b/>
          <w:bCs/>
          <w:sz w:val="24"/>
          <w:szCs w:val="24"/>
        </w:rPr>
        <w:t>A.</w:t>
      </w:r>
      <w:r w:rsidRPr="00B0399B">
        <w:rPr>
          <w:b/>
          <w:bCs/>
          <w:sz w:val="24"/>
          <w:szCs w:val="24"/>
        </w:rPr>
        <w:tab/>
        <w:t>JUSTIFICATION</w:t>
      </w:r>
    </w:p>
    <w:p w:rsidR="00CC31BD" w:rsidRPr="00B0399B" w:rsidRDefault="00CC31BD" w:rsidP="00CC31BD">
      <w:pPr>
        <w:rPr>
          <w:bCs/>
          <w:sz w:val="24"/>
          <w:szCs w:val="24"/>
        </w:rPr>
      </w:pPr>
    </w:p>
    <w:p w:rsidR="00CC31BD" w:rsidRPr="00FF0EFC" w:rsidRDefault="00CC31BD" w:rsidP="00CC31BD">
      <w:pPr>
        <w:rPr>
          <w:sz w:val="24"/>
          <w:szCs w:val="24"/>
        </w:rPr>
      </w:pPr>
      <w:r w:rsidRPr="00B0399B">
        <w:rPr>
          <w:b/>
          <w:bCs/>
          <w:sz w:val="24"/>
          <w:szCs w:val="24"/>
        </w:rPr>
        <w:t>A1.</w:t>
      </w:r>
      <w:r w:rsidRPr="00B0399B">
        <w:rPr>
          <w:b/>
          <w:bCs/>
          <w:sz w:val="24"/>
          <w:szCs w:val="24"/>
        </w:rPr>
        <w:tab/>
        <w:t>Circumstances Making the Collection of Information Necessary</w:t>
      </w:r>
    </w:p>
    <w:p w:rsidR="00726F75" w:rsidRPr="00B0399B" w:rsidRDefault="00726F75" w:rsidP="00FF0EFC">
      <w:pPr>
        <w:pStyle w:val="HTMLPreformatted"/>
        <w:rPr>
          <w:rFonts w:ascii="Times New Roman" w:hAnsi="Times New Roman" w:cs="Times New Roman"/>
          <w:sz w:val="24"/>
          <w:szCs w:val="24"/>
        </w:rPr>
      </w:pPr>
    </w:p>
    <w:p w:rsidR="00870CD1" w:rsidRPr="00A305F7" w:rsidRDefault="00B75FA4" w:rsidP="00FF0EFC">
      <w:pPr>
        <w:rPr>
          <w:sz w:val="22"/>
          <w:szCs w:val="22"/>
        </w:rPr>
      </w:pPr>
      <w:r w:rsidRPr="00B0399B">
        <w:rPr>
          <w:sz w:val="24"/>
          <w:szCs w:val="24"/>
        </w:rPr>
        <w:t xml:space="preserve">In order to ensure that OSEP is meeting the needs of children with disabilities and their families, OSEP needs to collect data on the results of </w:t>
      </w:r>
      <w:r w:rsidR="00DE3ADC" w:rsidRPr="00B0399B">
        <w:rPr>
          <w:sz w:val="24"/>
          <w:szCs w:val="24"/>
        </w:rPr>
        <w:t>its</w:t>
      </w:r>
      <w:r w:rsidR="00DB5F22" w:rsidRPr="00B0399B">
        <w:rPr>
          <w:sz w:val="24"/>
          <w:szCs w:val="24"/>
        </w:rPr>
        <w:t xml:space="preserve"> grant awards</w:t>
      </w:r>
      <w:r w:rsidR="005D0B1E">
        <w:rPr>
          <w:sz w:val="24"/>
          <w:szCs w:val="24"/>
        </w:rPr>
        <w:t>.</w:t>
      </w:r>
      <w:r w:rsidR="00726F75" w:rsidRPr="00B0399B">
        <w:rPr>
          <w:sz w:val="24"/>
          <w:szCs w:val="24"/>
        </w:rPr>
        <w:t xml:space="preserve"> </w:t>
      </w:r>
      <w:r w:rsidRPr="00B0399B">
        <w:rPr>
          <w:sz w:val="24"/>
          <w:szCs w:val="24"/>
        </w:rPr>
        <w:t>Th</w:t>
      </w:r>
      <w:r w:rsidR="007523AE">
        <w:rPr>
          <w:sz w:val="24"/>
          <w:szCs w:val="24"/>
        </w:rPr>
        <w:t>ese</w:t>
      </w:r>
      <w:r w:rsidRPr="00B0399B">
        <w:rPr>
          <w:sz w:val="24"/>
          <w:szCs w:val="24"/>
        </w:rPr>
        <w:t xml:space="preserve"> </w:t>
      </w:r>
      <w:r w:rsidR="005F456C" w:rsidRPr="00B0399B">
        <w:rPr>
          <w:sz w:val="24"/>
          <w:szCs w:val="24"/>
        </w:rPr>
        <w:t xml:space="preserve">data </w:t>
      </w:r>
      <w:r w:rsidRPr="00B0399B">
        <w:rPr>
          <w:sz w:val="24"/>
          <w:szCs w:val="24"/>
        </w:rPr>
        <w:t>includes the number and characteristics (e.g.</w:t>
      </w:r>
      <w:r w:rsidR="00DB5F22" w:rsidRPr="00B0399B">
        <w:rPr>
          <w:sz w:val="24"/>
          <w:szCs w:val="24"/>
        </w:rPr>
        <w:t>,</w:t>
      </w:r>
      <w:r w:rsidRPr="00B0399B">
        <w:rPr>
          <w:sz w:val="24"/>
          <w:szCs w:val="24"/>
        </w:rPr>
        <w:t xml:space="preserve"> minority status, related professional experience) of professionals trained and the program outcomes (e.g.</w:t>
      </w:r>
      <w:r w:rsidR="00DB5F22" w:rsidRPr="00B0399B">
        <w:rPr>
          <w:sz w:val="24"/>
          <w:szCs w:val="24"/>
        </w:rPr>
        <w:t>,</w:t>
      </w:r>
      <w:r w:rsidRPr="00B0399B">
        <w:rPr>
          <w:sz w:val="24"/>
          <w:szCs w:val="24"/>
        </w:rPr>
        <w:t xml:space="preserve"> program completion, certification, </w:t>
      </w:r>
      <w:proofErr w:type="gramStart"/>
      <w:r w:rsidRPr="00B0399B">
        <w:rPr>
          <w:sz w:val="24"/>
          <w:szCs w:val="24"/>
        </w:rPr>
        <w:t>employment</w:t>
      </w:r>
      <w:proofErr w:type="gramEnd"/>
      <w:r w:rsidRPr="00B0399B">
        <w:rPr>
          <w:sz w:val="24"/>
          <w:szCs w:val="24"/>
        </w:rPr>
        <w:t xml:space="preserve"> in area support</w:t>
      </w:r>
      <w:r w:rsidR="00DE3ADC" w:rsidRPr="00B0399B">
        <w:rPr>
          <w:sz w:val="24"/>
          <w:szCs w:val="24"/>
        </w:rPr>
        <w:t xml:space="preserve">ed by training). </w:t>
      </w:r>
      <w:r w:rsidR="005F456C" w:rsidRPr="00B0399B">
        <w:rPr>
          <w:snapToGrid w:val="0"/>
          <w:sz w:val="24"/>
          <w:szCs w:val="24"/>
        </w:rPr>
        <w:t xml:space="preserve">In addition, </w:t>
      </w:r>
      <w:r w:rsidR="003E3F97" w:rsidRPr="00B0399B">
        <w:rPr>
          <w:snapToGrid w:val="0"/>
          <w:sz w:val="24"/>
          <w:szCs w:val="24"/>
        </w:rPr>
        <w:t xml:space="preserve">section </w:t>
      </w:r>
      <w:r w:rsidR="005F456C" w:rsidRPr="00B0399B">
        <w:rPr>
          <w:snapToGrid w:val="0"/>
          <w:sz w:val="24"/>
          <w:szCs w:val="24"/>
        </w:rPr>
        <w:t xml:space="preserve">662 of IDEA requires OSEP to collect data to confirm that scholars who receive funding under this program complete their service obligation requirements. </w:t>
      </w:r>
      <w:r w:rsidR="00726F75" w:rsidRPr="00B0399B">
        <w:rPr>
          <w:snapToGrid w:val="0"/>
          <w:sz w:val="24"/>
          <w:szCs w:val="24"/>
        </w:rPr>
        <w:t>ED is responsible for collecting the necessary information, verifying the completion of the service obligation, and referring scholars to the Debt and Payment Management Group</w:t>
      </w:r>
      <w:r w:rsidR="007523AE">
        <w:rPr>
          <w:snapToGrid w:val="0"/>
          <w:sz w:val="24"/>
          <w:szCs w:val="24"/>
        </w:rPr>
        <w:t xml:space="preserve"> </w:t>
      </w:r>
      <w:r w:rsidR="00726F75" w:rsidRPr="00B0399B">
        <w:rPr>
          <w:snapToGrid w:val="0"/>
          <w:sz w:val="24"/>
          <w:szCs w:val="24"/>
        </w:rPr>
        <w:t>for repayment, if necessary.</w:t>
      </w:r>
    </w:p>
    <w:p w:rsidR="00E44719" w:rsidRPr="00B0399B" w:rsidRDefault="00E44719" w:rsidP="00870CD1">
      <w:pPr>
        <w:rPr>
          <w:snapToGrid w:val="0"/>
          <w:sz w:val="24"/>
          <w:szCs w:val="24"/>
          <w:highlight w:val="yellow"/>
        </w:rPr>
      </w:pPr>
    </w:p>
    <w:p w:rsidR="00B75FA4" w:rsidRPr="00B0399B" w:rsidRDefault="00DE3ADC" w:rsidP="005D0B1E">
      <w:pPr>
        <w:pStyle w:val="HTMLPreformatted"/>
        <w:rPr>
          <w:snapToGrid w:val="0"/>
        </w:rPr>
      </w:pPr>
      <w:r w:rsidRPr="00B0399B">
        <w:rPr>
          <w:rFonts w:ascii="Times New Roman" w:hAnsi="Times New Roman" w:cs="Times New Roman"/>
          <w:sz w:val="24"/>
          <w:szCs w:val="24"/>
        </w:rPr>
        <w:t xml:space="preserve">These data are </w:t>
      </w:r>
      <w:r w:rsidR="005D0B1E">
        <w:rPr>
          <w:rFonts w:ascii="Times New Roman" w:hAnsi="Times New Roman" w:cs="Times New Roman"/>
          <w:sz w:val="24"/>
          <w:szCs w:val="24"/>
        </w:rPr>
        <w:t>used</w:t>
      </w:r>
      <w:r w:rsidR="005D0B1E" w:rsidRPr="00B0399B">
        <w:rPr>
          <w:rFonts w:ascii="Times New Roman" w:hAnsi="Times New Roman" w:cs="Times New Roman"/>
          <w:sz w:val="24"/>
          <w:szCs w:val="24"/>
        </w:rPr>
        <w:t xml:space="preserve"> </w:t>
      </w:r>
      <w:r w:rsidR="00B75FA4" w:rsidRPr="00B0399B">
        <w:rPr>
          <w:rFonts w:ascii="Times New Roman" w:hAnsi="Times New Roman" w:cs="Times New Roman"/>
          <w:sz w:val="24"/>
          <w:szCs w:val="24"/>
        </w:rPr>
        <w:t>to assess program effectiveness and efficiency</w:t>
      </w:r>
      <w:r w:rsidR="00A86E73" w:rsidRPr="00B0399B">
        <w:rPr>
          <w:rFonts w:ascii="Times New Roman" w:hAnsi="Times New Roman" w:cs="Times New Roman"/>
          <w:sz w:val="24"/>
          <w:szCs w:val="24"/>
        </w:rPr>
        <w:t xml:space="preserve">, and to meet the reporting requirements of the Government Performance and Results Act (GPRA). </w:t>
      </w:r>
      <w:r w:rsidR="00B75FA4" w:rsidRPr="00B0399B">
        <w:rPr>
          <w:rFonts w:ascii="Times New Roman" w:hAnsi="Times New Roman" w:cs="Times New Roman"/>
          <w:snapToGrid w:val="0"/>
          <w:sz w:val="24"/>
          <w:szCs w:val="24"/>
        </w:rPr>
        <w:t xml:space="preserve">The data will provide information on the supply of the OSEP-funded projects nationally, within each state, and within and across personnel categories, including special educators certified to teach </w:t>
      </w:r>
      <w:r w:rsidR="00A86E73" w:rsidRPr="00B0399B">
        <w:rPr>
          <w:rFonts w:ascii="Times New Roman" w:hAnsi="Times New Roman" w:cs="Times New Roman"/>
          <w:snapToGrid w:val="0"/>
          <w:sz w:val="24"/>
          <w:szCs w:val="24"/>
        </w:rPr>
        <w:t>children with disabilities</w:t>
      </w:r>
      <w:r w:rsidR="00B75FA4" w:rsidRPr="00B0399B">
        <w:rPr>
          <w:rFonts w:ascii="Times New Roman" w:hAnsi="Times New Roman" w:cs="Times New Roman"/>
          <w:snapToGrid w:val="0"/>
          <w:sz w:val="24"/>
          <w:szCs w:val="24"/>
        </w:rPr>
        <w:t xml:space="preserve">, </w:t>
      </w:r>
      <w:r w:rsidR="00DB5F22" w:rsidRPr="00B0399B">
        <w:rPr>
          <w:rFonts w:ascii="Times New Roman" w:hAnsi="Times New Roman" w:cs="Times New Roman"/>
          <w:snapToGrid w:val="0"/>
          <w:sz w:val="24"/>
          <w:szCs w:val="24"/>
        </w:rPr>
        <w:t>university faculty</w:t>
      </w:r>
      <w:r w:rsidR="00B75FA4" w:rsidRPr="00B0399B">
        <w:rPr>
          <w:rFonts w:ascii="Times New Roman" w:hAnsi="Times New Roman" w:cs="Times New Roman"/>
          <w:snapToGrid w:val="0"/>
          <w:sz w:val="24"/>
          <w:szCs w:val="24"/>
        </w:rPr>
        <w:t xml:space="preserve">, </w:t>
      </w:r>
      <w:r w:rsidR="00DB5F22" w:rsidRPr="00B0399B">
        <w:rPr>
          <w:rFonts w:ascii="Times New Roman" w:hAnsi="Times New Roman" w:cs="Times New Roman"/>
          <w:snapToGrid w:val="0"/>
          <w:sz w:val="24"/>
          <w:szCs w:val="24"/>
        </w:rPr>
        <w:t xml:space="preserve">related-service personnel, </w:t>
      </w:r>
      <w:r w:rsidR="00B75FA4" w:rsidRPr="00B0399B">
        <w:rPr>
          <w:rFonts w:ascii="Times New Roman" w:hAnsi="Times New Roman" w:cs="Times New Roman"/>
          <w:snapToGrid w:val="0"/>
          <w:sz w:val="24"/>
          <w:szCs w:val="24"/>
        </w:rPr>
        <w:t>p</w:t>
      </w:r>
      <w:r w:rsidR="00A86E73" w:rsidRPr="00B0399B">
        <w:rPr>
          <w:rFonts w:ascii="Times New Roman" w:hAnsi="Times New Roman" w:cs="Times New Roman"/>
          <w:snapToGrid w:val="0"/>
          <w:sz w:val="24"/>
          <w:szCs w:val="24"/>
        </w:rPr>
        <w:t>reschool service providers, paraprofessionals, administrators and other personnel</w:t>
      </w:r>
      <w:r w:rsidR="005D0B1E">
        <w:rPr>
          <w:rFonts w:ascii="Times New Roman" w:hAnsi="Times New Roman" w:cs="Times New Roman"/>
          <w:snapToGrid w:val="0"/>
          <w:sz w:val="24"/>
          <w:szCs w:val="24"/>
        </w:rPr>
        <w:t xml:space="preserve"> (see Section 2A, below).</w:t>
      </w:r>
    </w:p>
    <w:p w:rsidR="000C1F20" w:rsidRPr="00B0399B" w:rsidRDefault="000C1F20" w:rsidP="00EF1598">
      <w:pPr>
        <w:rPr>
          <w:snapToGrid w:val="0"/>
          <w:sz w:val="24"/>
          <w:szCs w:val="24"/>
        </w:rPr>
      </w:pPr>
    </w:p>
    <w:p w:rsidR="0058687B" w:rsidRPr="00B0399B" w:rsidRDefault="005D0B1E" w:rsidP="00EF1598">
      <w:pPr>
        <w:rPr>
          <w:snapToGrid w:val="0"/>
          <w:sz w:val="24"/>
          <w:szCs w:val="24"/>
        </w:rPr>
      </w:pPr>
      <w:r>
        <w:rPr>
          <w:rFonts w:eastAsia="Arial Unicode MS"/>
          <w:noProof/>
          <w:sz w:val="24"/>
          <w:szCs w:val="24"/>
        </w:rPr>
        <w:t xml:space="preserve">To collect the needed data, </w:t>
      </w:r>
      <w:r w:rsidRPr="00B0399B">
        <w:rPr>
          <w:rFonts w:eastAsia="Arial Unicode MS"/>
          <w:noProof/>
          <w:sz w:val="24"/>
          <w:szCs w:val="24"/>
        </w:rPr>
        <w:t xml:space="preserve">OSEP is creating a </w:t>
      </w:r>
      <w:r>
        <w:rPr>
          <w:rFonts w:eastAsia="Arial Unicode MS"/>
          <w:noProof/>
          <w:sz w:val="24"/>
          <w:szCs w:val="24"/>
        </w:rPr>
        <w:t>merged</w:t>
      </w:r>
      <w:r w:rsidRPr="00B0399B">
        <w:rPr>
          <w:rFonts w:eastAsia="Arial Unicode MS"/>
          <w:noProof/>
          <w:sz w:val="24"/>
          <w:szCs w:val="24"/>
        </w:rPr>
        <w:t xml:space="preserve"> data collection system, the Personnel Development Program Data Collection System (DCS), that will </w:t>
      </w:r>
      <w:r>
        <w:rPr>
          <w:rFonts w:eastAsia="Arial Unicode MS"/>
          <w:noProof/>
          <w:sz w:val="24"/>
          <w:szCs w:val="24"/>
        </w:rPr>
        <w:t>combine</w:t>
      </w:r>
      <w:r w:rsidRPr="00B0399B">
        <w:rPr>
          <w:rFonts w:eastAsia="Arial Unicode MS"/>
          <w:noProof/>
          <w:sz w:val="24"/>
          <w:szCs w:val="24"/>
        </w:rPr>
        <w:t xml:space="preserve"> all data previously collected by the </w:t>
      </w:r>
      <w:r>
        <w:rPr>
          <w:rFonts w:eastAsia="Arial Unicode MS"/>
          <w:noProof/>
          <w:sz w:val="24"/>
          <w:szCs w:val="24"/>
        </w:rPr>
        <w:t xml:space="preserve">two, </w:t>
      </w:r>
      <w:r w:rsidRPr="00B0399B">
        <w:rPr>
          <w:rFonts w:eastAsia="Arial Unicode MS"/>
          <w:noProof/>
          <w:sz w:val="24"/>
          <w:szCs w:val="24"/>
        </w:rPr>
        <w:t xml:space="preserve">separate </w:t>
      </w:r>
      <w:r>
        <w:rPr>
          <w:rFonts w:eastAsia="Arial Unicode MS"/>
          <w:noProof/>
          <w:sz w:val="24"/>
          <w:szCs w:val="24"/>
        </w:rPr>
        <w:t xml:space="preserve">systems. </w:t>
      </w:r>
      <w:r w:rsidR="005F456C" w:rsidRPr="00B0399B">
        <w:rPr>
          <w:snapToGrid w:val="0"/>
          <w:sz w:val="24"/>
          <w:szCs w:val="24"/>
        </w:rPr>
        <w:t xml:space="preserve">OSEP </w:t>
      </w:r>
      <w:r w:rsidR="00C07FEA">
        <w:rPr>
          <w:snapToGrid w:val="0"/>
          <w:sz w:val="24"/>
          <w:szCs w:val="24"/>
        </w:rPr>
        <w:t xml:space="preserve">will </w:t>
      </w:r>
      <w:r w:rsidR="005F456C" w:rsidRPr="00B0399B">
        <w:rPr>
          <w:snapToGrid w:val="0"/>
          <w:sz w:val="24"/>
          <w:szCs w:val="24"/>
        </w:rPr>
        <w:t xml:space="preserve">reduce burden on its PDP </w:t>
      </w:r>
      <w:r>
        <w:rPr>
          <w:snapToGrid w:val="0"/>
          <w:sz w:val="24"/>
          <w:szCs w:val="24"/>
        </w:rPr>
        <w:t>grantees, scholars/</w:t>
      </w:r>
      <w:proofErr w:type="spellStart"/>
      <w:r>
        <w:rPr>
          <w:snapToGrid w:val="0"/>
          <w:sz w:val="24"/>
          <w:szCs w:val="24"/>
        </w:rPr>
        <w:t>obligees</w:t>
      </w:r>
      <w:proofErr w:type="spellEnd"/>
      <w:r>
        <w:rPr>
          <w:snapToGrid w:val="0"/>
          <w:sz w:val="24"/>
          <w:szCs w:val="24"/>
        </w:rPr>
        <w:t>, and employers</w:t>
      </w:r>
      <w:r w:rsidRPr="00B0399B">
        <w:rPr>
          <w:snapToGrid w:val="0"/>
          <w:sz w:val="24"/>
          <w:szCs w:val="24"/>
        </w:rPr>
        <w:t xml:space="preserve"> </w:t>
      </w:r>
      <w:r w:rsidR="005F456C" w:rsidRPr="00B0399B">
        <w:rPr>
          <w:snapToGrid w:val="0"/>
          <w:sz w:val="24"/>
          <w:szCs w:val="24"/>
        </w:rPr>
        <w:t xml:space="preserve">by </w:t>
      </w:r>
      <w:r w:rsidR="00C07FEA">
        <w:rPr>
          <w:snapToGrid w:val="0"/>
          <w:sz w:val="24"/>
          <w:szCs w:val="24"/>
        </w:rPr>
        <w:t>merging</w:t>
      </w:r>
      <w:r w:rsidR="00C07FEA" w:rsidRPr="00B0399B">
        <w:rPr>
          <w:snapToGrid w:val="0"/>
          <w:sz w:val="24"/>
          <w:szCs w:val="24"/>
        </w:rPr>
        <w:t xml:space="preserve"> </w:t>
      </w:r>
      <w:r w:rsidR="00C07FEA">
        <w:rPr>
          <w:snapToGrid w:val="0"/>
          <w:sz w:val="24"/>
          <w:szCs w:val="24"/>
        </w:rPr>
        <w:t xml:space="preserve">the </w:t>
      </w:r>
      <w:r w:rsidR="00CC31BD">
        <w:rPr>
          <w:snapToGrid w:val="0"/>
          <w:sz w:val="24"/>
          <w:szCs w:val="24"/>
        </w:rPr>
        <w:t>two</w:t>
      </w:r>
      <w:r w:rsidR="00CC31BD" w:rsidRPr="00B0399B">
        <w:rPr>
          <w:snapToGrid w:val="0"/>
          <w:sz w:val="24"/>
          <w:szCs w:val="24"/>
        </w:rPr>
        <w:t xml:space="preserve"> </w:t>
      </w:r>
      <w:r w:rsidR="00E44719" w:rsidRPr="00B0399B">
        <w:rPr>
          <w:snapToGrid w:val="0"/>
          <w:sz w:val="24"/>
          <w:szCs w:val="24"/>
        </w:rPr>
        <w:t>existing</w:t>
      </w:r>
      <w:r w:rsidR="00C07FEA">
        <w:rPr>
          <w:snapToGrid w:val="0"/>
          <w:sz w:val="24"/>
          <w:szCs w:val="24"/>
        </w:rPr>
        <w:t xml:space="preserve"> data</w:t>
      </w:r>
      <w:r w:rsidR="00975C33" w:rsidRPr="00B0399B">
        <w:rPr>
          <w:snapToGrid w:val="0"/>
          <w:sz w:val="24"/>
          <w:szCs w:val="24"/>
        </w:rPr>
        <w:t xml:space="preserve"> collection</w:t>
      </w:r>
      <w:r w:rsidR="00CC31BD">
        <w:rPr>
          <w:snapToGrid w:val="0"/>
          <w:sz w:val="24"/>
          <w:szCs w:val="24"/>
        </w:rPr>
        <w:t>s</w:t>
      </w:r>
      <w:r w:rsidR="001303CB">
        <w:rPr>
          <w:snapToGrid w:val="0"/>
          <w:sz w:val="24"/>
          <w:szCs w:val="24"/>
        </w:rPr>
        <w:t>:  a)</w:t>
      </w:r>
      <w:r w:rsidR="00975C33" w:rsidRPr="00B0399B">
        <w:rPr>
          <w:snapToGrid w:val="0"/>
          <w:sz w:val="24"/>
          <w:szCs w:val="24"/>
        </w:rPr>
        <w:t xml:space="preserve"> 1820-0686</w:t>
      </w:r>
      <w:r w:rsidR="00726F75" w:rsidRPr="00B0399B">
        <w:rPr>
          <w:snapToGrid w:val="0"/>
          <w:sz w:val="24"/>
          <w:szCs w:val="24"/>
        </w:rPr>
        <w:t>,</w:t>
      </w:r>
      <w:r w:rsidR="00A67BB1" w:rsidRPr="00B0399B">
        <w:rPr>
          <w:snapToGrid w:val="0"/>
          <w:sz w:val="24"/>
          <w:szCs w:val="24"/>
        </w:rPr>
        <w:t xml:space="preserve"> </w:t>
      </w:r>
      <w:r w:rsidR="00AA0B87">
        <w:rPr>
          <w:snapToGrid w:val="0"/>
          <w:sz w:val="24"/>
          <w:szCs w:val="24"/>
        </w:rPr>
        <w:t xml:space="preserve">Special Education - </w:t>
      </w:r>
      <w:r w:rsidR="00726F75" w:rsidRPr="00B0399B">
        <w:rPr>
          <w:snapToGrid w:val="0"/>
          <w:sz w:val="24"/>
          <w:szCs w:val="24"/>
        </w:rPr>
        <w:t>Individual Reporting On Regulatory Compliance Related To the Personnel Development Program's Service Obligation and the Government Performance Results Act (GPRA)</w:t>
      </w:r>
      <w:r w:rsidR="009F226D">
        <w:rPr>
          <w:snapToGrid w:val="0"/>
          <w:sz w:val="24"/>
          <w:szCs w:val="24"/>
        </w:rPr>
        <w:t xml:space="preserve"> which expires in 8/31/2014</w:t>
      </w:r>
      <w:r w:rsidR="001303CB">
        <w:rPr>
          <w:snapToGrid w:val="0"/>
          <w:sz w:val="24"/>
          <w:szCs w:val="24"/>
        </w:rPr>
        <w:t>;</w:t>
      </w:r>
      <w:r w:rsidR="00975C33" w:rsidRPr="00B0399B">
        <w:rPr>
          <w:snapToGrid w:val="0"/>
          <w:sz w:val="24"/>
          <w:szCs w:val="24"/>
        </w:rPr>
        <w:t xml:space="preserve"> </w:t>
      </w:r>
      <w:r w:rsidR="00CC31BD">
        <w:rPr>
          <w:snapToGrid w:val="0"/>
          <w:sz w:val="24"/>
          <w:szCs w:val="24"/>
        </w:rPr>
        <w:t>and</w:t>
      </w:r>
      <w:r w:rsidR="001303CB">
        <w:rPr>
          <w:snapToGrid w:val="0"/>
          <w:sz w:val="24"/>
          <w:szCs w:val="24"/>
        </w:rPr>
        <w:t xml:space="preserve"> b)</w:t>
      </w:r>
      <w:r w:rsidR="00CC31BD">
        <w:rPr>
          <w:snapToGrid w:val="0"/>
          <w:sz w:val="24"/>
          <w:szCs w:val="24"/>
        </w:rPr>
        <w:t xml:space="preserve"> </w:t>
      </w:r>
      <w:r w:rsidR="00726F75" w:rsidRPr="00B0399B">
        <w:rPr>
          <w:snapToGrid w:val="0"/>
          <w:sz w:val="24"/>
          <w:szCs w:val="24"/>
        </w:rPr>
        <w:t>1820-0530,</w:t>
      </w:r>
      <w:r w:rsidR="005F456C" w:rsidRPr="00B0399B">
        <w:rPr>
          <w:snapToGrid w:val="0"/>
          <w:sz w:val="24"/>
          <w:szCs w:val="24"/>
        </w:rPr>
        <w:t xml:space="preserve"> </w:t>
      </w:r>
      <w:r w:rsidR="00726F75" w:rsidRPr="00B0399B">
        <w:rPr>
          <w:snapToGrid w:val="0"/>
          <w:sz w:val="24"/>
          <w:szCs w:val="24"/>
        </w:rPr>
        <w:t>Performance Report: Personnel Development for the Individuals with Disabilities Education Act (IDEA)</w:t>
      </w:r>
      <w:r w:rsidR="009F226D">
        <w:rPr>
          <w:snapToGrid w:val="0"/>
          <w:sz w:val="24"/>
          <w:szCs w:val="24"/>
        </w:rPr>
        <w:t xml:space="preserve"> which expires in 1/31/2014</w:t>
      </w:r>
      <w:r w:rsidR="00726F75" w:rsidRPr="00B0399B">
        <w:rPr>
          <w:snapToGrid w:val="0"/>
          <w:sz w:val="24"/>
          <w:szCs w:val="24"/>
        </w:rPr>
        <w:t>.</w:t>
      </w:r>
      <w:r w:rsidR="00C07FEA">
        <w:rPr>
          <w:snapToGrid w:val="0"/>
          <w:sz w:val="24"/>
          <w:szCs w:val="24"/>
        </w:rPr>
        <w:t xml:space="preserve"> This effort </w:t>
      </w:r>
      <w:r w:rsidR="00C07FEA">
        <w:rPr>
          <w:rFonts w:eastAsia="Arial Unicode MS"/>
          <w:noProof/>
          <w:sz w:val="24"/>
          <w:szCs w:val="24"/>
        </w:rPr>
        <w:t xml:space="preserve">will </w:t>
      </w:r>
      <w:r w:rsidR="00C07FEA" w:rsidRPr="00B0399B">
        <w:rPr>
          <w:rFonts w:eastAsia="Arial Unicode MS"/>
          <w:noProof/>
          <w:sz w:val="24"/>
          <w:szCs w:val="24"/>
        </w:rPr>
        <w:t xml:space="preserve">eliminate item duplication across the two </w:t>
      </w:r>
      <w:r w:rsidR="00C07FEA">
        <w:rPr>
          <w:rFonts w:eastAsia="Arial Unicode MS"/>
          <w:noProof/>
          <w:sz w:val="24"/>
          <w:szCs w:val="24"/>
        </w:rPr>
        <w:t xml:space="preserve">separate </w:t>
      </w:r>
      <w:r w:rsidR="00C07FEA" w:rsidRPr="00B0399B">
        <w:rPr>
          <w:rFonts w:eastAsia="Arial Unicode MS"/>
          <w:noProof/>
          <w:sz w:val="24"/>
          <w:szCs w:val="24"/>
        </w:rPr>
        <w:t>collections</w:t>
      </w:r>
      <w:r w:rsidR="00B12F57">
        <w:rPr>
          <w:rFonts w:eastAsia="Arial Unicode MS"/>
          <w:noProof/>
          <w:sz w:val="24"/>
          <w:szCs w:val="24"/>
        </w:rPr>
        <w:t xml:space="preserve">, use one website for data collection rather than two, </w:t>
      </w:r>
      <w:r w:rsidR="00C07FEA">
        <w:rPr>
          <w:rFonts w:eastAsia="Arial Unicode MS"/>
          <w:noProof/>
          <w:sz w:val="24"/>
          <w:szCs w:val="24"/>
        </w:rPr>
        <w:t xml:space="preserve"> </w:t>
      </w:r>
      <w:r w:rsidR="00C07FEA" w:rsidRPr="00B0399B">
        <w:rPr>
          <w:rFonts w:eastAsia="Arial Unicode MS"/>
          <w:noProof/>
          <w:sz w:val="24"/>
          <w:szCs w:val="24"/>
        </w:rPr>
        <w:t>and provide users a single resource for information related to PDP data</w:t>
      </w:r>
      <w:r w:rsidR="00B12F57">
        <w:rPr>
          <w:rFonts w:eastAsia="Arial Unicode MS"/>
          <w:noProof/>
          <w:sz w:val="24"/>
          <w:szCs w:val="24"/>
        </w:rPr>
        <w:t xml:space="preserve"> collection</w:t>
      </w:r>
      <w:r w:rsidR="00C07FEA" w:rsidRPr="00B0399B">
        <w:rPr>
          <w:rFonts w:eastAsia="Arial Unicode MS"/>
          <w:noProof/>
          <w:sz w:val="24"/>
          <w:szCs w:val="24"/>
        </w:rPr>
        <w:t>.</w:t>
      </w:r>
    </w:p>
    <w:p w:rsidR="0058687B" w:rsidRPr="00B0399B" w:rsidRDefault="0058687B" w:rsidP="00EF1598">
      <w:pPr>
        <w:rPr>
          <w:rFonts w:eastAsia="Arial Unicode MS"/>
          <w:noProof/>
          <w:sz w:val="24"/>
          <w:szCs w:val="24"/>
          <w:highlight w:val="yellow"/>
        </w:rPr>
      </w:pPr>
    </w:p>
    <w:p w:rsidR="005F456C" w:rsidRPr="00B0399B" w:rsidRDefault="005F456C" w:rsidP="00EF1598">
      <w:pPr>
        <w:rPr>
          <w:rFonts w:eastAsia="Arial Unicode MS"/>
          <w:noProof/>
          <w:sz w:val="24"/>
          <w:szCs w:val="24"/>
        </w:rPr>
      </w:pPr>
      <w:r w:rsidRPr="00B0399B">
        <w:rPr>
          <w:rFonts w:eastAsia="Arial Unicode MS"/>
          <w:noProof/>
          <w:sz w:val="24"/>
          <w:szCs w:val="24"/>
        </w:rPr>
        <w:t xml:space="preserve">In addition, OSEP is revising its </w:t>
      </w:r>
      <w:r w:rsidR="00975C33" w:rsidRPr="00B0399B">
        <w:rPr>
          <w:rFonts w:eastAsia="Arial Unicode MS"/>
          <w:noProof/>
          <w:sz w:val="24"/>
          <w:szCs w:val="24"/>
        </w:rPr>
        <w:t xml:space="preserve">data collection </w:t>
      </w:r>
      <w:r w:rsidRPr="00B0399B">
        <w:rPr>
          <w:rFonts w:eastAsia="Arial Unicode MS"/>
          <w:noProof/>
          <w:sz w:val="24"/>
          <w:szCs w:val="24"/>
        </w:rPr>
        <w:t xml:space="preserve">instruments to collect </w:t>
      </w:r>
      <w:r w:rsidR="00975C33" w:rsidRPr="00B0399B">
        <w:rPr>
          <w:rFonts w:eastAsia="Arial Unicode MS"/>
          <w:noProof/>
          <w:sz w:val="24"/>
          <w:szCs w:val="24"/>
        </w:rPr>
        <w:t xml:space="preserve">data for </w:t>
      </w:r>
      <w:r w:rsidRPr="00B0399B">
        <w:rPr>
          <w:rFonts w:eastAsia="Arial Unicode MS"/>
          <w:noProof/>
          <w:sz w:val="24"/>
          <w:szCs w:val="24"/>
        </w:rPr>
        <w:t xml:space="preserve">three additional measures </w:t>
      </w:r>
      <w:r w:rsidR="009C2488" w:rsidRPr="00B0399B">
        <w:rPr>
          <w:rFonts w:eastAsia="Arial Unicode MS"/>
          <w:noProof/>
          <w:sz w:val="24"/>
          <w:szCs w:val="24"/>
        </w:rPr>
        <w:t>requested</w:t>
      </w:r>
      <w:r w:rsidRPr="00B0399B">
        <w:rPr>
          <w:rFonts w:eastAsia="Arial Unicode MS"/>
          <w:noProof/>
          <w:sz w:val="24"/>
          <w:szCs w:val="24"/>
        </w:rPr>
        <w:t xml:space="preserve"> by </w:t>
      </w:r>
      <w:r w:rsidR="009C2488" w:rsidRPr="00B0399B">
        <w:rPr>
          <w:rFonts w:eastAsia="Arial Unicode MS"/>
          <w:noProof/>
          <w:sz w:val="24"/>
          <w:szCs w:val="24"/>
        </w:rPr>
        <w:t>OMB</w:t>
      </w:r>
      <w:r w:rsidRPr="00B0399B">
        <w:rPr>
          <w:rFonts w:eastAsia="Arial Unicode MS"/>
          <w:noProof/>
          <w:sz w:val="24"/>
          <w:szCs w:val="24"/>
        </w:rPr>
        <w:t>:</w:t>
      </w:r>
    </w:p>
    <w:p w:rsidR="005F456C" w:rsidRPr="00B0399B" w:rsidRDefault="009C2488" w:rsidP="009F226D">
      <w:pPr>
        <w:pStyle w:val="ListParagraph"/>
        <w:numPr>
          <w:ilvl w:val="0"/>
          <w:numId w:val="12"/>
        </w:numPr>
        <w:ind w:left="720"/>
        <w:rPr>
          <w:rFonts w:ascii="Times New Roman" w:eastAsia="Arial Unicode MS" w:hAnsi="Times New Roman" w:cs="Times New Roman"/>
          <w:noProof/>
          <w:sz w:val="24"/>
          <w:szCs w:val="24"/>
        </w:rPr>
      </w:pPr>
      <w:r w:rsidRPr="00B0399B">
        <w:rPr>
          <w:rFonts w:ascii="Times New Roman" w:eastAsia="Arial Unicode MS" w:hAnsi="Times New Roman" w:cs="Times New Roman"/>
          <w:noProof/>
          <w:sz w:val="24"/>
          <w:szCs w:val="24"/>
        </w:rPr>
        <w:t>The number and percentage of degree/certi</w:t>
      </w:r>
      <w:r w:rsidR="003E3F97" w:rsidRPr="00B0399B">
        <w:rPr>
          <w:rFonts w:ascii="Times New Roman" w:eastAsia="Arial Unicode MS" w:hAnsi="Times New Roman" w:cs="Times New Roman"/>
          <w:noProof/>
          <w:sz w:val="24"/>
          <w:szCs w:val="24"/>
        </w:rPr>
        <w:t>f</w:t>
      </w:r>
      <w:r w:rsidRPr="00B0399B">
        <w:rPr>
          <w:rFonts w:ascii="Times New Roman" w:eastAsia="Arial Unicode MS" w:hAnsi="Times New Roman" w:cs="Times New Roman"/>
          <w:noProof/>
          <w:sz w:val="24"/>
          <w:szCs w:val="24"/>
        </w:rPr>
        <w:t>i</w:t>
      </w:r>
      <w:r w:rsidR="003E3F97" w:rsidRPr="00B0399B">
        <w:rPr>
          <w:rFonts w:ascii="Times New Roman" w:eastAsia="Arial Unicode MS" w:hAnsi="Times New Roman" w:cs="Times New Roman"/>
          <w:noProof/>
          <w:sz w:val="24"/>
          <w:szCs w:val="24"/>
        </w:rPr>
        <w:t>c</w:t>
      </w:r>
      <w:r w:rsidRPr="00B0399B">
        <w:rPr>
          <w:rFonts w:ascii="Times New Roman" w:eastAsia="Arial Unicode MS" w:hAnsi="Times New Roman" w:cs="Times New Roman"/>
          <w:noProof/>
          <w:sz w:val="24"/>
          <w:szCs w:val="24"/>
        </w:rPr>
        <w:t>ation recipients who are employed in high-need schools;</w:t>
      </w:r>
    </w:p>
    <w:p w:rsidR="009C2488" w:rsidRPr="00B0399B" w:rsidRDefault="009C2488" w:rsidP="009F226D">
      <w:pPr>
        <w:pStyle w:val="ListParagraph"/>
        <w:numPr>
          <w:ilvl w:val="0"/>
          <w:numId w:val="12"/>
        </w:numPr>
        <w:ind w:left="720"/>
        <w:rPr>
          <w:rFonts w:ascii="Times New Roman" w:eastAsia="Arial Unicode MS" w:hAnsi="Times New Roman" w:cs="Times New Roman"/>
          <w:noProof/>
          <w:sz w:val="24"/>
          <w:szCs w:val="24"/>
        </w:rPr>
      </w:pPr>
      <w:r w:rsidRPr="00B0399B">
        <w:rPr>
          <w:rFonts w:ascii="Times New Roman" w:eastAsia="Arial Unicode MS" w:hAnsi="Times New Roman" w:cs="Times New Roman"/>
          <w:noProof/>
          <w:sz w:val="24"/>
          <w:szCs w:val="24"/>
        </w:rPr>
        <w:t>The number and percentage of degree/certification recipi</w:t>
      </w:r>
      <w:r w:rsidR="003E3F97" w:rsidRPr="00B0399B">
        <w:rPr>
          <w:rFonts w:ascii="Times New Roman" w:eastAsia="Arial Unicode MS" w:hAnsi="Times New Roman" w:cs="Times New Roman"/>
          <w:noProof/>
          <w:sz w:val="24"/>
          <w:szCs w:val="24"/>
        </w:rPr>
        <w:t>e</w:t>
      </w:r>
      <w:r w:rsidRPr="00B0399B">
        <w:rPr>
          <w:rFonts w:ascii="Times New Roman" w:eastAsia="Arial Unicode MS" w:hAnsi="Times New Roman" w:cs="Times New Roman"/>
          <w:noProof/>
          <w:sz w:val="24"/>
          <w:szCs w:val="24"/>
        </w:rPr>
        <w:t>nts who are employed in a school for at least three years; and</w:t>
      </w:r>
    </w:p>
    <w:p w:rsidR="009C2488" w:rsidRPr="00B0399B" w:rsidRDefault="002952C8" w:rsidP="009F226D">
      <w:pPr>
        <w:pStyle w:val="ListParagraph"/>
        <w:numPr>
          <w:ilvl w:val="0"/>
          <w:numId w:val="12"/>
        </w:numPr>
        <w:ind w:left="720"/>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The number and per</w:t>
      </w:r>
      <w:r w:rsidR="009C2488" w:rsidRPr="00B0399B">
        <w:rPr>
          <w:rFonts w:ascii="Times New Roman" w:eastAsia="Arial Unicode MS" w:hAnsi="Times New Roman" w:cs="Times New Roman"/>
          <w:noProof/>
          <w:sz w:val="24"/>
          <w:szCs w:val="24"/>
        </w:rPr>
        <w:t>centage of degree/certification recipients who receive a positive evaluation from their employer.</w:t>
      </w:r>
    </w:p>
    <w:p w:rsidR="0067201A" w:rsidRPr="00B0399B" w:rsidRDefault="00975C33" w:rsidP="00BD34F5">
      <w:pPr>
        <w:rPr>
          <w:rFonts w:eastAsia="Arial Unicode MS"/>
          <w:noProof/>
          <w:sz w:val="24"/>
          <w:szCs w:val="24"/>
        </w:rPr>
      </w:pPr>
      <w:r w:rsidRPr="00B0399B">
        <w:rPr>
          <w:rFonts w:eastAsia="Arial Unicode MS"/>
          <w:noProof/>
          <w:sz w:val="24"/>
          <w:szCs w:val="24"/>
        </w:rPr>
        <w:t>In combining the two data collection</w:t>
      </w:r>
      <w:r w:rsidR="001303CB">
        <w:rPr>
          <w:rFonts w:eastAsia="Arial Unicode MS"/>
          <w:noProof/>
          <w:sz w:val="24"/>
          <w:szCs w:val="24"/>
        </w:rPr>
        <w:t>s</w:t>
      </w:r>
      <w:r w:rsidRPr="00B0399B">
        <w:rPr>
          <w:rFonts w:eastAsia="Arial Unicode MS"/>
          <w:noProof/>
          <w:sz w:val="24"/>
          <w:szCs w:val="24"/>
        </w:rPr>
        <w:t>, OSEP made the following changes</w:t>
      </w:r>
      <w:r w:rsidR="0058687B" w:rsidRPr="00B0399B">
        <w:rPr>
          <w:rFonts w:eastAsia="Arial Unicode MS"/>
          <w:noProof/>
          <w:sz w:val="24"/>
          <w:szCs w:val="24"/>
        </w:rPr>
        <w:t>:</w:t>
      </w:r>
    </w:p>
    <w:p w:rsidR="0008270F" w:rsidRPr="00B0399B" w:rsidRDefault="0008270F" w:rsidP="00567608">
      <w:pPr>
        <w:pStyle w:val="BodyTextIndent"/>
        <w:ind w:left="360"/>
      </w:pPr>
    </w:p>
    <w:p w:rsidR="00567608" w:rsidRDefault="00D76F78" w:rsidP="008D3730">
      <w:pPr>
        <w:pStyle w:val="BodyTextIndent"/>
        <w:numPr>
          <w:ilvl w:val="0"/>
          <w:numId w:val="21"/>
        </w:numPr>
      </w:pPr>
      <w:r w:rsidRPr="00B0399B">
        <w:t xml:space="preserve">We added one additional item to the Employer Verification </w:t>
      </w:r>
      <w:r w:rsidR="00C07FEA">
        <w:t>F</w:t>
      </w:r>
      <w:r w:rsidRPr="00B0399B">
        <w:t>orm</w:t>
      </w:r>
      <w:r w:rsidR="00CF7988" w:rsidRPr="00B0399B">
        <w:t xml:space="preserve"> (1820-0686)</w:t>
      </w:r>
      <w:r w:rsidRPr="00B0399B">
        <w:t xml:space="preserve"> to collect data for </w:t>
      </w:r>
      <w:r w:rsidR="00C07FEA">
        <w:t>an</w:t>
      </w:r>
      <w:r w:rsidR="00C07FEA" w:rsidRPr="00B0399B">
        <w:t xml:space="preserve"> </w:t>
      </w:r>
      <w:r w:rsidRPr="00B0399B">
        <w:t xml:space="preserve">OMB requested performance measure on the number and </w:t>
      </w:r>
      <w:r w:rsidRPr="00B0399B">
        <w:rPr>
          <w:rFonts w:eastAsia="Arial Unicode MS"/>
          <w:noProof/>
        </w:rPr>
        <w:t>p</w:t>
      </w:r>
      <w:r w:rsidR="00CF7988" w:rsidRPr="00B0399B">
        <w:rPr>
          <w:rFonts w:eastAsia="Arial Unicode MS"/>
          <w:noProof/>
        </w:rPr>
        <w:t>er</w:t>
      </w:r>
      <w:r w:rsidRPr="00B0399B">
        <w:rPr>
          <w:rFonts w:eastAsia="Arial Unicode MS"/>
          <w:noProof/>
        </w:rPr>
        <w:t xml:space="preserve">centage of degree/certification recipients who receive a positive evaluation </w:t>
      </w:r>
      <w:r w:rsidRPr="00B0399B">
        <w:t>from their employer</w:t>
      </w:r>
      <w:r w:rsidR="008369ED" w:rsidRPr="00B0399B">
        <w:t xml:space="preserve"> (Item #8)</w:t>
      </w:r>
      <w:r w:rsidR="00E13CA5">
        <w:t>.</w:t>
      </w:r>
    </w:p>
    <w:p w:rsidR="00567608" w:rsidRDefault="00567608" w:rsidP="00567608">
      <w:pPr>
        <w:pStyle w:val="BodyTextIndent"/>
        <w:ind w:left="720"/>
      </w:pPr>
    </w:p>
    <w:p w:rsidR="00E13CA5" w:rsidRDefault="007E28B5" w:rsidP="00214F94">
      <w:pPr>
        <w:pStyle w:val="BodyTextIndent"/>
        <w:numPr>
          <w:ilvl w:val="0"/>
          <w:numId w:val="21"/>
        </w:numPr>
      </w:pPr>
      <w:r w:rsidRPr="00B0399B">
        <w:t xml:space="preserve">We clarified </w:t>
      </w:r>
      <w:r w:rsidR="00CF7988" w:rsidRPr="00B0399B">
        <w:t>two items</w:t>
      </w:r>
      <w:r w:rsidRPr="00B0399B">
        <w:t xml:space="preserve"> on the Employer Verification</w:t>
      </w:r>
      <w:r w:rsidR="006E59D3" w:rsidRPr="00B0399B">
        <w:t xml:space="preserve"> </w:t>
      </w:r>
      <w:r w:rsidR="00F55E94">
        <w:t>F</w:t>
      </w:r>
      <w:r w:rsidR="006E59D3" w:rsidRPr="00B0399B">
        <w:t>orm to better align with the Service Obligation Regulations</w:t>
      </w:r>
      <w:r w:rsidR="008369ED" w:rsidRPr="00B0399B">
        <w:t xml:space="preserve"> (Items #5 and #6)</w:t>
      </w:r>
      <w:r w:rsidR="006E59D3" w:rsidRPr="00B0399B">
        <w:t>.</w:t>
      </w:r>
      <w:r w:rsidR="00214F94" w:rsidRPr="00BD34F5" w:rsidDel="00214F94">
        <w:t xml:space="preserve"> </w:t>
      </w:r>
    </w:p>
    <w:p w:rsidR="00214F94" w:rsidRDefault="00214F94" w:rsidP="00E13CA5">
      <w:pPr>
        <w:pStyle w:val="BodyTextIndent"/>
        <w:ind w:left="720"/>
      </w:pPr>
    </w:p>
    <w:p w:rsidR="00214F94" w:rsidRDefault="00214F94" w:rsidP="00214F94">
      <w:pPr>
        <w:pStyle w:val="BodyTextIndent"/>
        <w:numPr>
          <w:ilvl w:val="0"/>
          <w:numId w:val="21"/>
        </w:numPr>
      </w:pPr>
      <w:r w:rsidRPr="00BD34F5">
        <w:t>We inserted the items from Sections A, B, C, D, and E from the Scholar Data Report (SDR) (1820-0530) into the Scholar/</w:t>
      </w:r>
      <w:proofErr w:type="spellStart"/>
      <w:r w:rsidRPr="00BD34F5">
        <w:t>Obligee</w:t>
      </w:r>
      <w:proofErr w:type="spellEnd"/>
      <w:r w:rsidRPr="00BD34F5">
        <w:t xml:space="preserve"> Record Form (1820-0686). </w:t>
      </w:r>
    </w:p>
    <w:p w:rsidR="00E13CA5" w:rsidRPr="00E13CA5" w:rsidRDefault="00D76F78" w:rsidP="00214F94">
      <w:pPr>
        <w:pStyle w:val="BodyTextIndent"/>
        <w:ind w:left="720"/>
        <w:rPr>
          <w:rFonts w:eastAsia="Arial Unicode MS"/>
          <w:noProof/>
        </w:rPr>
      </w:pPr>
      <w:r w:rsidRPr="00BD34F5">
        <w:t>We eliminated duplicate items concerning</w:t>
      </w:r>
      <w:r w:rsidRPr="00E13CA5">
        <w:t xml:space="preserve"> the scholar’s demographic information, educational history, and current training information. Section F of the SDR is no longer required as this data will be collected directly from the scholar through the Scholar/</w:t>
      </w:r>
      <w:proofErr w:type="spellStart"/>
      <w:r w:rsidRPr="00E13CA5">
        <w:t>Obligee</w:t>
      </w:r>
      <w:proofErr w:type="spellEnd"/>
      <w:r w:rsidRPr="00E13CA5">
        <w:t xml:space="preserve"> Employment Information Form</w:t>
      </w:r>
      <w:r w:rsidR="007E28B5" w:rsidRPr="00E13CA5">
        <w:t>.</w:t>
      </w:r>
    </w:p>
    <w:p w:rsidR="00E13CA5" w:rsidRPr="00E13CA5" w:rsidRDefault="00E13CA5" w:rsidP="00E13CA5">
      <w:pPr>
        <w:rPr>
          <w:rFonts w:eastAsia="Arial Unicode MS"/>
          <w:noProof/>
        </w:rPr>
      </w:pPr>
    </w:p>
    <w:p w:rsidR="00E13CA5" w:rsidRDefault="008369ED" w:rsidP="008D3730">
      <w:pPr>
        <w:pStyle w:val="BodyTextIndent"/>
        <w:numPr>
          <w:ilvl w:val="0"/>
          <w:numId w:val="21"/>
        </w:numPr>
      </w:pPr>
      <w:r w:rsidRPr="00E13CA5">
        <w:t>We added an option</w:t>
      </w:r>
      <w:r w:rsidR="00214F94">
        <w:t>,</w:t>
      </w:r>
      <w:r w:rsidRPr="00E13CA5">
        <w:t xml:space="preserve"> in Section I. Scholar Status of the Scholar/</w:t>
      </w:r>
      <w:proofErr w:type="spellStart"/>
      <w:r w:rsidRPr="00E13CA5">
        <w:t>Obligee</w:t>
      </w:r>
      <w:proofErr w:type="spellEnd"/>
      <w:r w:rsidRPr="00B0399B">
        <w:t xml:space="preserve"> Record Form</w:t>
      </w:r>
      <w:r w:rsidR="00214F94">
        <w:t>,</w:t>
      </w:r>
      <w:r w:rsidRPr="00B0399B">
        <w:t xml:space="preserve"> to indicate when the grant ends and the scholar has not yet completed the program, if the scholar continue</w:t>
      </w:r>
      <w:r w:rsidR="00214F94">
        <w:t>s</w:t>
      </w:r>
      <w:r w:rsidRPr="00B0399B">
        <w:t xml:space="preserve"> enrollment </w:t>
      </w:r>
      <w:r w:rsidR="00BD34F5">
        <w:t xml:space="preserve">and </w:t>
      </w:r>
      <w:r w:rsidR="00214F94">
        <w:t xml:space="preserve">will </w:t>
      </w:r>
      <w:r w:rsidR="00BD34F5">
        <w:t xml:space="preserve">complete the </w:t>
      </w:r>
      <w:r w:rsidR="00C84DA1">
        <w:t xml:space="preserve">program </w:t>
      </w:r>
      <w:r w:rsidRPr="00B0399B">
        <w:t>through another OSEP-funded preparation grant</w:t>
      </w:r>
      <w:r w:rsidR="00C84DA1">
        <w:t>.</w:t>
      </w:r>
    </w:p>
    <w:p w:rsidR="00E13CA5" w:rsidRPr="00B0399B" w:rsidRDefault="00E13CA5" w:rsidP="00567608">
      <w:pPr>
        <w:pStyle w:val="BodyTextIndent"/>
        <w:ind w:left="720"/>
      </w:pPr>
    </w:p>
    <w:p w:rsidR="00E13CA5" w:rsidRDefault="002C6EAC" w:rsidP="008D3730">
      <w:pPr>
        <w:pStyle w:val="BodyTextIndent"/>
        <w:numPr>
          <w:ilvl w:val="0"/>
          <w:numId w:val="21"/>
        </w:numPr>
      </w:pPr>
      <w:r w:rsidRPr="00B0399B">
        <w:t>Prior to our submission to OMB for 1820-0686 in 2011, grantees developed their own Service Obligation Agreement and Exit Certification forms in which the content varied widely. ED has found that some grantees did not develop forms or provided inaccurate or vague information to their scholars. Many grantees have requested ED to provide standardized forms that include all the relevant information related to the service obligation. Since the 2011 forms were approved, OSEP has determined that revisions are necessary to ensure that</w:t>
      </w:r>
      <w:r w:rsidR="00C84DA1">
        <w:t>: a)</w:t>
      </w:r>
      <w:r w:rsidRPr="00B0399B">
        <w:t xml:space="preserve"> scholars understand the conditions of their scholarships, and </w:t>
      </w:r>
      <w:r w:rsidR="00C84DA1">
        <w:t xml:space="preserve">b) </w:t>
      </w:r>
      <w:r w:rsidRPr="00B0399B">
        <w:t xml:space="preserve">when </w:t>
      </w:r>
      <w:r w:rsidR="00C84DA1">
        <w:t>scholars</w:t>
      </w:r>
      <w:r w:rsidR="00C84DA1" w:rsidRPr="00B0399B">
        <w:t xml:space="preserve"> </w:t>
      </w:r>
      <w:r w:rsidRPr="00B0399B">
        <w:t>exit or complete their program, they certify on the Exit Certification</w:t>
      </w:r>
      <w:r w:rsidR="008D3730">
        <w:t xml:space="preserve"> Form</w:t>
      </w:r>
      <w:r w:rsidRPr="00B0399B">
        <w:t xml:space="preserve"> that the grantee has provided them with accurate information about the length of their service obligation and the amount that they owe</w:t>
      </w:r>
      <w:r w:rsidR="001B14FB" w:rsidRPr="00B0399B">
        <w:t>,</w:t>
      </w:r>
      <w:r w:rsidRPr="00B0399B">
        <w:t xml:space="preserve"> if they do not complete their obligation through service. This should provide accurate information to scholars, grantees and ED. </w:t>
      </w:r>
      <w:r w:rsidR="00A67BB1" w:rsidRPr="00B0399B">
        <w:t xml:space="preserve">The revised </w:t>
      </w:r>
      <w:r w:rsidR="00214F94">
        <w:t xml:space="preserve">Pre-Scholarship Agreement and Exit Certification Forms </w:t>
      </w:r>
      <w:r w:rsidR="00A67BB1" w:rsidRPr="00B0399B">
        <w:t>are submitted for OMB approval with this information package</w:t>
      </w:r>
      <w:r w:rsidR="008E7A9D" w:rsidRPr="00B0399B">
        <w:t>.</w:t>
      </w:r>
    </w:p>
    <w:p w:rsidR="008D3730" w:rsidRDefault="008D3730" w:rsidP="008D3730">
      <w:pPr>
        <w:pStyle w:val="BodyTextIndent"/>
        <w:ind w:left="0"/>
      </w:pPr>
    </w:p>
    <w:p w:rsidR="002C6EAC" w:rsidRPr="00B0399B" w:rsidRDefault="002C6EAC" w:rsidP="008D3730">
      <w:pPr>
        <w:pStyle w:val="BodyTextIndent"/>
        <w:numPr>
          <w:ilvl w:val="0"/>
          <w:numId w:val="21"/>
        </w:numPr>
      </w:pPr>
      <w:r w:rsidRPr="00B0399B">
        <w:t xml:space="preserve">Finally, the Pre-Scholarship Agreement and the Exit Certification </w:t>
      </w:r>
      <w:r w:rsidR="00C84DA1">
        <w:t xml:space="preserve">Forms </w:t>
      </w:r>
      <w:r w:rsidRPr="00B0399B">
        <w:t xml:space="preserve">need to be </w:t>
      </w:r>
      <w:r w:rsidR="001B14FB" w:rsidRPr="00B0399B">
        <w:t>submitted directly into</w:t>
      </w:r>
      <w:r w:rsidRPr="00B0399B">
        <w:t xml:space="preserve"> the</w:t>
      </w:r>
      <w:r w:rsidR="00F55E94">
        <w:t xml:space="preserve"> web-based,</w:t>
      </w:r>
      <w:r w:rsidRPr="00B0399B">
        <w:t xml:space="preserve"> service obligation database for two reasons: </w:t>
      </w:r>
      <w:r w:rsidR="00C84DA1">
        <w:t>a</w:t>
      </w:r>
      <w:r w:rsidRPr="00B0399B">
        <w:t>) ED will be assured that grantees are following requirements</w:t>
      </w:r>
      <w:r w:rsidR="00B12F57">
        <w:t>;</w:t>
      </w:r>
      <w:r w:rsidRPr="00B0399B">
        <w:t xml:space="preserve"> and </w:t>
      </w:r>
      <w:r w:rsidR="00C84DA1">
        <w:t>b</w:t>
      </w:r>
      <w:r w:rsidRPr="00B0399B">
        <w:t xml:space="preserve">) during 2012, </w:t>
      </w:r>
      <w:r w:rsidR="001B14FB" w:rsidRPr="00B0399B">
        <w:t xml:space="preserve">the Debt and Payment Management Group </w:t>
      </w:r>
      <w:r w:rsidRPr="00B0399B">
        <w:t>began requesting copies of these documents when scholars/</w:t>
      </w:r>
      <w:proofErr w:type="spellStart"/>
      <w:r w:rsidRPr="00B0399B">
        <w:t>obligees</w:t>
      </w:r>
      <w:proofErr w:type="spellEnd"/>
      <w:r w:rsidRPr="00B0399B">
        <w:t xml:space="preserve"> were referred to them for repayment. </w:t>
      </w:r>
    </w:p>
    <w:p w:rsidR="00A67BB1" w:rsidRPr="00B0399B" w:rsidRDefault="00A67BB1" w:rsidP="00991753">
      <w:pPr>
        <w:rPr>
          <w:rFonts w:eastAsia="Arial Unicode MS"/>
          <w:sz w:val="24"/>
          <w:szCs w:val="24"/>
          <w:highlight w:val="yellow"/>
        </w:rPr>
      </w:pPr>
    </w:p>
    <w:p w:rsidR="00B0399B" w:rsidRDefault="00255CA1" w:rsidP="008D3730">
      <w:pPr>
        <w:rPr>
          <w:rFonts w:eastAsia="Arial Unicode MS"/>
          <w:sz w:val="24"/>
          <w:szCs w:val="24"/>
        </w:rPr>
      </w:pPr>
      <w:r w:rsidRPr="00B0399B">
        <w:rPr>
          <w:rFonts w:eastAsia="Arial Unicode MS"/>
          <w:sz w:val="24"/>
          <w:szCs w:val="24"/>
        </w:rPr>
        <w:t xml:space="preserve">In summary, because OSEP is </w:t>
      </w:r>
      <w:r w:rsidR="00214F94">
        <w:rPr>
          <w:rFonts w:eastAsia="Arial Unicode MS"/>
          <w:sz w:val="24"/>
          <w:szCs w:val="24"/>
        </w:rPr>
        <w:t>updating</w:t>
      </w:r>
      <w:r w:rsidR="00214F94" w:rsidRPr="00B0399B">
        <w:rPr>
          <w:rFonts w:eastAsia="Arial Unicode MS"/>
          <w:sz w:val="24"/>
          <w:szCs w:val="24"/>
        </w:rPr>
        <w:t xml:space="preserve"> </w:t>
      </w:r>
      <w:r w:rsidRPr="00B0399B">
        <w:rPr>
          <w:rFonts w:eastAsia="Arial Unicode MS"/>
          <w:sz w:val="24"/>
          <w:szCs w:val="24"/>
        </w:rPr>
        <w:t>its</w:t>
      </w:r>
      <w:r w:rsidR="00C84DA1">
        <w:rPr>
          <w:rFonts w:eastAsia="Arial Unicode MS"/>
          <w:sz w:val="24"/>
          <w:szCs w:val="24"/>
        </w:rPr>
        <w:t xml:space="preserve"> </w:t>
      </w:r>
      <w:r w:rsidRPr="00B0399B">
        <w:rPr>
          <w:rFonts w:eastAsia="Arial Unicode MS"/>
          <w:sz w:val="24"/>
          <w:szCs w:val="24"/>
        </w:rPr>
        <w:t xml:space="preserve">data collection to </w:t>
      </w:r>
      <w:r w:rsidR="00C84DA1">
        <w:rPr>
          <w:rFonts w:eastAsia="Arial Unicode MS"/>
          <w:sz w:val="24"/>
          <w:szCs w:val="24"/>
        </w:rPr>
        <w:t>be more efficient</w:t>
      </w:r>
      <w:r w:rsidRPr="00B0399B">
        <w:rPr>
          <w:rFonts w:eastAsia="Arial Unicode MS"/>
          <w:sz w:val="24"/>
          <w:szCs w:val="24"/>
        </w:rPr>
        <w:t xml:space="preserve"> </w:t>
      </w:r>
      <w:r w:rsidR="00C84DA1">
        <w:rPr>
          <w:rFonts w:eastAsia="Arial Unicode MS"/>
          <w:sz w:val="24"/>
          <w:szCs w:val="24"/>
        </w:rPr>
        <w:t>for</w:t>
      </w:r>
      <w:r w:rsidRPr="00B0399B">
        <w:rPr>
          <w:rFonts w:eastAsia="Arial Unicode MS"/>
          <w:sz w:val="24"/>
          <w:szCs w:val="24"/>
        </w:rPr>
        <w:t xml:space="preserve"> use by grantees and </w:t>
      </w:r>
      <w:r w:rsidR="00C84DA1">
        <w:rPr>
          <w:rFonts w:eastAsia="Arial Unicode MS"/>
          <w:sz w:val="24"/>
          <w:szCs w:val="24"/>
        </w:rPr>
        <w:t>is</w:t>
      </w:r>
      <w:r w:rsidR="00C84DA1" w:rsidRPr="00B0399B">
        <w:rPr>
          <w:rFonts w:eastAsia="Arial Unicode MS"/>
          <w:sz w:val="24"/>
          <w:szCs w:val="24"/>
        </w:rPr>
        <w:t xml:space="preserve"> </w:t>
      </w:r>
      <w:r w:rsidRPr="00B0399B">
        <w:rPr>
          <w:rFonts w:eastAsia="Arial Unicode MS"/>
          <w:sz w:val="24"/>
          <w:szCs w:val="24"/>
        </w:rPr>
        <w:t>request</w:t>
      </w:r>
      <w:r w:rsidR="00C84DA1">
        <w:rPr>
          <w:rFonts w:eastAsia="Arial Unicode MS"/>
          <w:sz w:val="24"/>
          <w:szCs w:val="24"/>
        </w:rPr>
        <w:t>ing</w:t>
      </w:r>
      <w:r w:rsidRPr="00B0399B">
        <w:rPr>
          <w:rFonts w:eastAsia="Arial Unicode MS"/>
          <w:sz w:val="24"/>
          <w:szCs w:val="24"/>
        </w:rPr>
        <w:t xml:space="preserve"> only additional information on </w:t>
      </w:r>
      <w:r w:rsidR="000D532C" w:rsidRPr="00B0399B">
        <w:rPr>
          <w:rFonts w:eastAsia="Arial Unicode MS"/>
          <w:sz w:val="24"/>
          <w:szCs w:val="24"/>
        </w:rPr>
        <w:t>a small subset of</w:t>
      </w:r>
      <w:r w:rsidRPr="00B0399B">
        <w:rPr>
          <w:rFonts w:eastAsia="Arial Unicode MS"/>
          <w:sz w:val="24"/>
          <w:szCs w:val="24"/>
        </w:rPr>
        <w:t xml:space="preserve"> scholars</w:t>
      </w:r>
      <w:r w:rsidR="00C84DA1">
        <w:rPr>
          <w:rFonts w:eastAsia="Arial Unicode MS"/>
          <w:sz w:val="24"/>
          <w:szCs w:val="24"/>
        </w:rPr>
        <w:t>,</w:t>
      </w:r>
      <w:r w:rsidRPr="00B0399B">
        <w:rPr>
          <w:rFonts w:eastAsia="Arial Unicode MS"/>
          <w:sz w:val="24"/>
          <w:szCs w:val="24"/>
        </w:rPr>
        <w:t xml:space="preserve"> OSEP will be able to more accurately and efficiently respond to reporting requirements for GPRA</w:t>
      </w:r>
      <w:r w:rsidR="00D76F78" w:rsidRPr="00B0399B">
        <w:rPr>
          <w:rFonts w:eastAsia="Arial Unicode MS"/>
          <w:sz w:val="24"/>
          <w:szCs w:val="24"/>
        </w:rPr>
        <w:t xml:space="preserve"> and OMB</w:t>
      </w:r>
      <w:r w:rsidR="00B67954">
        <w:rPr>
          <w:rFonts w:eastAsia="Arial Unicode MS"/>
          <w:sz w:val="24"/>
          <w:szCs w:val="24"/>
        </w:rPr>
        <w:t>,</w:t>
      </w:r>
      <w:r w:rsidR="00C84DA1">
        <w:rPr>
          <w:rFonts w:eastAsia="Arial Unicode MS"/>
          <w:sz w:val="24"/>
          <w:szCs w:val="24"/>
        </w:rPr>
        <w:t xml:space="preserve"> while</w:t>
      </w:r>
      <w:r w:rsidR="00B12F57">
        <w:rPr>
          <w:rFonts w:eastAsia="Arial Unicode MS"/>
          <w:sz w:val="24"/>
          <w:szCs w:val="24"/>
        </w:rPr>
        <w:t xml:space="preserve"> significantly</w:t>
      </w:r>
      <w:r w:rsidR="00C84DA1">
        <w:rPr>
          <w:rFonts w:eastAsia="Arial Unicode MS"/>
          <w:sz w:val="24"/>
          <w:szCs w:val="24"/>
        </w:rPr>
        <w:t xml:space="preserve"> decreasing</w:t>
      </w:r>
      <w:r w:rsidR="00C84DA1" w:rsidRPr="00B0399B">
        <w:rPr>
          <w:rFonts w:eastAsia="Arial Unicode MS"/>
          <w:sz w:val="24"/>
          <w:szCs w:val="24"/>
        </w:rPr>
        <w:t xml:space="preserve"> burden for grantees.</w:t>
      </w:r>
    </w:p>
    <w:p w:rsidR="00B75FA4" w:rsidRPr="00B0399B" w:rsidRDefault="00255CA1" w:rsidP="00B0399B">
      <w:pPr>
        <w:rPr>
          <w:sz w:val="24"/>
          <w:szCs w:val="24"/>
        </w:rPr>
      </w:pPr>
      <w:r w:rsidRPr="00B0399B">
        <w:rPr>
          <w:rFonts w:eastAsia="Arial Unicode MS"/>
          <w:sz w:val="24"/>
          <w:szCs w:val="24"/>
        </w:rPr>
        <w:t xml:space="preserve"> </w:t>
      </w:r>
    </w:p>
    <w:p w:rsidR="00E879B6" w:rsidRDefault="00E879B6" w:rsidP="00E879B6">
      <w:pPr>
        <w:pStyle w:val="Heading8"/>
        <w:rPr>
          <w:rFonts w:ascii="Times New Roman" w:hAnsi="Times New Roman"/>
          <w:sz w:val="24"/>
          <w:szCs w:val="24"/>
        </w:rPr>
      </w:pPr>
      <w:r w:rsidRPr="00A67BB1">
        <w:rPr>
          <w:rFonts w:ascii="Times New Roman" w:hAnsi="Times New Roman"/>
          <w:sz w:val="24"/>
          <w:szCs w:val="24"/>
        </w:rPr>
        <w:t>Authorization for Collection</w:t>
      </w:r>
    </w:p>
    <w:p w:rsidR="00E879B6" w:rsidRPr="00E879B6" w:rsidRDefault="00E879B6" w:rsidP="00E879B6"/>
    <w:p w:rsidR="00B75FA4" w:rsidRPr="00B0399B" w:rsidRDefault="00B75FA4" w:rsidP="008D3730">
      <w:pPr>
        <w:rPr>
          <w:sz w:val="24"/>
          <w:szCs w:val="24"/>
        </w:rPr>
      </w:pPr>
      <w:r w:rsidRPr="00B0399B">
        <w:rPr>
          <w:sz w:val="24"/>
          <w:szCs w:val="24"/>
        </w:rPr>
        <w:t>This data collection is authorized by the following Public Law</w:t>
      </w:r>
      <w:r w:rsidR="00171876" w:rsidRPr="00B0399B">
        <w:rPr>
          <w:sz w:val="24"/>
          <w:szCs w:val="24"/>
        </w:rPr>
        <w:t>s</w:t>
      </w:r>
      <w:r w:rsidRPr="00B0399B">
        <w:rPr>
          <w:sz w:val="24"/>
          <w:szCs w:val="24"/>
        </w:rPr>
        <w:t>:</w:t>
      </w:r>
    </w:p>
    <w:p w:rsidR="00171876" w:rsidRPr="00B0399B" w:rsidRDefault="00171876" w:rsidP="00B27D59">
      <w:pPr>
        <w:ind w:left="720"/>
        <w:rPr>
          <w:sz w:val="24"/>
          <w:szCs w:val="24"/>
        </w:rPr>
      </w:pPr>
    </w:p>
    <w:p w:rsidR="006958E3" w:rsidRDefault="006958E3" w:rsidP="006958E3">
      <w:pPr>
        <w:rPr>
          <w:sz w:val="24"/>
          <w:szCs w:val="24"/>
        </w:rPr>
      </w:pPr>
      <w:r w:rsidRPr="006958E3">
        <w:rPr>
          <w:sz w:val="24"/>
          <w:szCs w:val="24"/>
        </w:rPr>
        <w:t xml:space="preserve">The information is being collected under the authority of the </w:t>
      </w:r>
      <w:r w:rsidRPr="006958E3">
        <w:rPr>
          <w:rStyle w:val="Emphasis"/>
          <w:i w:val="0"/>
          <w:sz w:val="24"/>
          <w:szCs w:val="24"/>
        </w:rPr>
        <w:t>Individuals wit</w:t>
      </w:r>
      <w:r>
        <w:rPr>
          <w:rStyle w:val="Emphasis"/>
          <w:i w:val="0"/>
          <w:sz w:val="24"/>
          <w:szCs w:val="24"/>
        </w:rPr>
        <w:t>h Disabilities Education Act (IDEA)</w:t>
      </w:r>
      <w:r w:rsidRPr="006958E3">
        <w:rPr>
          <w:i/>
          <w:sz w:val="24"/>
          <w:szCs w:val="24"/>
        </w:rPr>
        <w:t xml:space="preserve"> </w:t>
      </w:r>
      <w:r w:rsidRPr="00EA48CB">
        <w:rPr>
          <w:sz w:val="24"/>
          <w:szCs w:val="24"/>
        </w:rPr>
        <w:t>(20 U.S.C. 1462)</w:t>
      </w:r>
      <w:r>
        <w:rPr>
          <w:sz w:val="24"/>
          <w:szCs w:val="24"/>
        </w:rPr>
        <w:t xml:space="preserve"> </w:t>
      </w:r>
      <w:r w:rsidRPr="006958E3">
        <w:rPr>
          <w:sz w:val="24"/>
          <w:szCs w:val="24"/>
        </w:rPr>
        <w:t xml:space="preserve">and the implementing </w:t>
      </w:r>
      <w:r w:rsidR="008D3730">
        <w:rPr>
          <w:sz w:val="24"/>
          <w:szCs w:val="24"/>
        </w:rPr>
        <w:t xml:space="preserve">service obligation </w:t>
      </w:r>
      <w:r w:rsidRPr="006958E3">
        <w:rPr>
          <w:sz w:val="24"/>
          <w:szCs w:val="24"/>
        </w:rPr>
        <w:t xml:space="preserve">regulations at 34 CFR Part </w:t>
      </w:r>
      <w:r>
        <w:rPr>
          <w:sz w:val="24"/>
          <w:szCs w:val="24"/>
        </w:rPr>
        <w:t>304</w:t>
      </w:r>
      <w:r w:rsidRPr="006958E3">
        <w:rPr>
          <w:sz w:val="24"/>
          <w:szCs w:val="24"/>
        </w:rPr>
        <w:t>,</w:t>
      </w:r>
      <w:r>
        <w:rPr>
          <w:sz w:val="24"/>
          <w:szCs w:val="24"/>
        </w:rPr>
        <w:t xml:space="preserve"> </w:t>
      </w:r>
      <w:r w:rsidRPr="006958E3">
        <w:rPr>
          <w:sz w:val="24"/>
          <w:szCs w:val="24"/>
        </w:rPr>
        <w:t xml:space="preserve">as well as with the Government Performance and Results Act of 1993 (GPRA), </w:t>
      </w:r>
      <w:r>
        <w:rPr>
          <w:sz w:val="24"/>
          <w:szCs w:val="24"/>
        </w:rPr>
        <w:t>s</w:t>
      </w:r>
      <w:r w:rsidRPr="006958E3">
        <w:rPr>
          <w:sz w:val="24"/>
          <w:szCs w:val="24"/>
        </w:rPr>
        <w:t xml:space="preserve">ection 4. </w:t>
      </w:r>
      <w:r w:rsidR="00E879B6">
        <w:rPr>
          <w:sz w:val="24"/>
          <w:szCs w:val="24"/>
        </w:rPr>
        <w:t xml:space="preserve"> In particular, these sections authorize this collection:</w:t>
      </w:r>
    </w:p>
    <w:p w:rsidR="0054506C" w:rsidRDefault="0054506C" w:rsidP="006958E3">
      <w:pPr>
        <w:rPr>
          <w:sz w:val="24"/>
          <w:szCs w:val="24"/>
        </w:rPr>
      </w:pPr>
    </w:p>
    <w:p w:rsidR="00171876" w:rsidRPr="00E13CA5" w:rsidRDefault="00E879B6" w:rsidP="006D1261">
      <w:pPr>
        <w:ind w:left="720"/>
        <w:rPr>
          <w:sz w:val="24"/>
          <w:szCs w:val="24"/>
        </w:rPr>
      </w:pPr>
      <w:r>
        <w:rPr>
          <w:sz w:val="24"/>
          <w:szCs w:val="24"/>
        </w:rPr>
        <w:t xml:space="preserve">1) </w:t>
      </w:r>
      <w:r w:rsidR="006958E3">
        <w:rPr>
          <w:sz w:val="24"/>
          <w:szCs w:val="24"/>
        </w:rPr>
        <w:t>T</w:t>
      </w:r>
      <w:r w:rsidR="00171876" w:rsidRPr="00EA48CB">
        <w:rPr>
          <w:sz w:val="24"/>
          <w:szCs w:val="24"/>
        </w:rPr>
        <w:t>he service obligation requirement of the Personnel Development Program can be found in</w:t>
      </w:r>
      <w:r w:rsidR="006958E3">
        <w:rPr>
          <w:sz w:val="24"/>
          <w:szCs w:val="24"/>
        </w:rPr>
        <w:t xml:space="preserve"> IDEA,</w:t>
      </w:r>
      <w:r w:rsidR="00171876" w:rsidRPr="00EA48CB">
        <w:rPr>
          <w:sz w:val="24"/>
          <w:szCs w:val="24"/>
        </w:rPr>
        <w:t xml:space="preserve"> </w:t>
      </w:r>
      <w:r w:rsidR="006958E3" w:rsidRPr="00EA48CB">
        <w:rPr>
          <w:sz w:val="24"/>
          <w:szCs w:val="24"/>
        </w:rPr>
        <w:t>Public Law 108-446, section 662</w:t>
      </w:r>
      <w:r w:rsidR="00B67954" w:rsidRPr="006958E3">
        <w:rPr>
          <w:sz w:val="24"/>
          <w:szCs w:val="24"/>
        </w:rPr>
        <w:t>(h)</w:t>
      </w:r>
      <w:r w:rsidR="00EA48CB" w:rsidRPr="006958E3">
        <w:rPr>
          <w:sz w:val="24"/>
          <w:szCs w:val="24"/>
        </w:rPr>
        <w:t>(1)</w:t>
      </w:r>
      <w:r w:rsidR="00171876" w:rsidRPr="006958E3">
        <w:rPr>
          <w:sz w:val="24"/>
          <w:szCs w:val="24"/>
        </w:rPr>
        <w:t xml:space="preserve"> which states that </w:t>
      </w:r>
      <w:r w:rsidR="00EA48CB" w:rsidRPr="006958E3">
        <w:rPr>
          <w:sz w:val="24"/>
          <w:szCs w:val="24"/>
        </w:rPr>
        <w:t>“</w:t>
      </w:r>
      <w:r w:rsidR="00171876" w:rsidRPr="006958E3">
        <w:rPr>
          <w:sz w:val="24"/>
          <w:szCs w:val="24"/>
        </w:rPr>
        <w:t>Each application for assistance…shall include an assurance that the eligible entity will ensure that scholars who receive a scholarship under the proposed project agree to subsequently provide special education and related services to children with disabilities, or in the case of leadership personnel to subsequently work in the appropriate field, for a period of two years for every year which the scholarship was received or repay all or part of the amount of the scholarship, in accordance with regulations issued by the Secretary.</w:t>
      </w:r>
      <w:r w:rsidR="007D178C" w:rsidRPr="006958E3">
        <w:rPr>
          <w:sz w:val="24"/>
          <w:szCs w:val="24"/>
        </w:rPr>
        <w:t xml:space="preserve">  </w:t>
      </w:r>
      <w:r w:rsidR="00EA48CB" w:rsidRPr="006958E3">
        <w:rPr>
          <w:sz w:val="24"/>
          <w:szCs w:val="24"/>
        </w:rPr>
        <w:t>S</w:t>
      </w:r>
      <w:r w:rsidR="00EA48CB" w:rsidRPr="00E13CA5">
        <w:rPr>
          <w:sz w:val="24"/>
          <w:szCs w:val="24"/>
        </w:rPr>
        <w:t>ection 662(h</w:t>
      </w:r>
      <w:proofErr w:type="gramStart"/>
      <w:r w:rsidR="00EA48CB" w:rsidRPr="00E13CA5">
        <w:rPr>
          <w:sz w:val="24"/>
          <w:szCs w:val="24"/>
        </w:rPr>
        <w:t>)(</w:t>
      </w:r>
      <w:proofErr w:type="gramEnd"/>
      <w:r w:rsidR="00EA48CB" w:rsidRPr="00E13CA5">
        <w:rPr>
          <w:sz w:val="24"/>
          <w:szCs w:val="24"/>
        </w:rPr>
        <w:t>3) “</w:t>
      </w:r>
      <w:r w:rsidR="00171876" w:rsidRPr="00E13CA5">
        <w:rPr>
          <w:sz w:val="24"/>
          <w:szCs w:val="24"/>
        </w:rPr>
        <w:t>Secretary’s responsibility.—The Secretary—(A) shall ensure that individuals described in paragraph (1) comply with the requirements of th</w:t>
      </w:r>
      <w:r w:rsidR="00EA48CB" w:rsidRPr="00E13CA5">
        <w:rPr>
          <w:sz w:val="24"/>
          <w:szCs w:val="24"/>
        </w:rPr>
        <w:t>at</w:t>
      </w:r>
      <w:r w:rsidR="00171876" w:rsidRPr="00E13CA5">
        <w:rPr>
          <w:sz w:val="24"/>
          <w:szCs w:val="24"/>
        </w:rPr>
        <w:t xml:space="preserve"> paragraph.</w:t>
      </w:r>
      <w:r w:rsidR="00EA48CB" w:rsidRPr="00E13CA5">
        <w:rPr>
          <w:sz w:val="24"/>
          <w:szCs w:val="24"/>
        </w:rPr>
        <w:t>”</w:t>
      </w:r>
    </w:p>
    <w:p w:rsidR="00171876" w:rsidRPr="00E13CA5" w:rsidRDefault="00171876" w:rsidP="00B27D59">
      <w:pPr>
        <w:autoSpaceDE w:val="0"/>
        <w:autoSpaceDN w:val="0"/>
        <w:adjustRightInd w:val="0"/>
        <w:ind w:left="720"/>
        <w:rPr>
          <w:sz w:val="24"/>
          <w:szCs w:val="24"/>
        </w:rPr>
      </w:pPr>
    </w:p>
    <w:p w:rsidR="00171876" w:rsidRPr="00E13CA5" w:rsidRDefault="007D178C" w:rsidP="006D1261">
      <w:pPr>
        <w:autoSpaceDE w:val="0"/>
        <w:autoSpaceDN w:val="0"/>
        <w:adjustRightInd w:val="0"/>
        <w:ind w:left="1440"/>
        <w:rPr>
          <w:sz w:val="24"/>
          <w:szCs w:val="24"/>
        </w:rPr>
      </w:pPr>
      <w:r w:rsidRPr="00E13CA5">
        <w:rPr>
          <w:sz w:val="24"/>
          <w:szCs w:val="24"/>
        </w:rPr>
        <w:t xml:space="preserve"> </w:t>
      </w:r>
      <w:r w:rsidR="00E879B6">
        <w:rPr>
          <w:sz w:val="24"/>
          <w:szCs w:val="24"/>
        </w:rPr>
        <w:t>a</w:t>
      </w:r>
      <w:r w:rsidR="00171876" w:rsidRPr="00E13CA5">
        <w:rPr>
          <w:sz w:val="24"/>
          <w:szCs w:val="24"/>
        </w:rPr>
        <w:t>) For scholarships made from grants made</w:t>
      </w:r>
      <w:r w:rsidR="002B186A" w:rsidRPr="00E13CA5">
        <w:rPr>
          <w:sz w:val="24"/>
          <w:szCs w:val="24"/>
        </w:rPr>
        <w:t xml:space="preserve"> in</w:t>
      </w:r>
      <w:r w:rsidR="00104EAE" w:rsidRPr="00E13CA5">
        <w:rPr>
          <w:sz w:val="24"/>
          <w:szCs w:val="24"/>
        </w:rPr>
        <w:t xml:space="preserve"> fiscal year</w:t>
      </w:r>
      <w:r w:rsidR="002B186A" w:rsidRPr="00E13CA5">
        <w:rPr>
          <w:sz w:val="24"/>
          <w:szCs w:val="24"/>
        </w:rPr>
        <w:t xml:space="preserve"> </w:t>
      </w:r>
      <w:r w:rsidR="00104EAE" w:rsidRPr="00E13CA5">
        <w:rPr>
          <w:sz w:val="24"/>
          <w:szCs w:val="24"/>
        </w:rPr>
        <w:t>(</w:t>
      </w:r>
      <w:r w:rsidR="002B186A" w:rsidRPr="00E13CA5">
        <w:rPr>
          <w:sz w:val="24"/>
          <w:szCs w:val="24"/>
        </w:rPr>
        <w:t>FY</w:t>
      </w:r>
      <w:r w:rsidR="00104EAE" w:rsidRPr="00E13CA5">
        <w:rPr>
          <w:sz w:val="24"/>
          <w:szCs w:val="24"/>
        </w:rPr>
        <w:t>)</w:t>
      </w:r>
      <w:r w:rsidR="002B186A" w:rsidRPr="00E13CA5">
        <w:rPr>
          <w:sz w:val="24"/>
          <w:szCs w:val="24"/>
        </w:rPr>
        <w:t xml:space="preserve"> 2006 and every year thereafter</w:t>
      </w:r>
      <w:r w:rsidR="00171876" w:rsidRPr="00E13CA5">
        <w:rPr>
          <w:sz w:val="24"/>
          <w:szCs w:val="24"/>
        </w:rPr>
        <w:t xml:space="preserve">, 34 CFR 304.23 through 304.30, which implements section 662(h) of IDEA for those fiscal years; </w:t>
      </w:r>
      <w:r w:rsidR="00EA48CB" w:rsidRPr="00E13CA5">
        <w:rPr>
          <w:sz w:val="24"/>
          <w:szCs w:val="24"/>
        </w:rPr>
        <w:t>and</w:t>
      </w:r>
    </w:p>
    <w:p w:rsidR="00171876" w:rsidRDefault="00E879B6" w:rsidP="006D1261">
      <w:pPr>
        <w:autoSpaceDE w:val="0"/>
        <w:autoSpaceDN w:val="0"/>
        <w:adjustRightInd w:val="0"/>
        <w:ind w:left="1440"/>
        <w:rPr>
          <w:sz w:val="24"/>
          <w:szCs w:val="24"/>
        </w:rPr>
      </w:pPr>
      <w:r>
        <w:rPr>
          <w:sz w:val="24"/>
          <w:szCs w:val="24"/>
        </w:rPr>
        <w:t>b</w:t>
      </w:r>
      <w:r w:rsidR="00171876" w:rsidRPr="00E13CA5">
        <w:rPr>
          <w:sz w:val="24"/>
          <w:szCs w:val="24"/>
        </w:rPr>
        <w:t xml:space="preserve">) For scholarships made from FY 2005 grants, the notice published in the </w:t>
      </w:r>
      <w:r w:rsidR="00171876" w:rsidRPr="00E13CA5">
        <w:rPr>
          <w:sz w:val="24"/>
          <w:szCs w:val="24"/>
          <w:u w:val="single"/>
        </w:rPr>
        <w:t>Federal Register</w:t>
      </w:r>
      <w:r w:rsidR="00171876" w:rsidRPr="00E13CA5">
        <w:rPr>
          <w:sz w:val="24"/>
          <w:szCs w:val="24"/>
        </w:rPr>
        <w:t xml:space="preserve"> on March 25, 2005 (70 FR 15306), which implements section 662(h) of IDEA for that fiscal year</w:t>
      </w:r>
      <w:r w:rsidR="00EA48CB" w:rsidRPr="00E13CA5">
        <w:rPr>
          <w:sz w:val="24"/>
          <w:szCs w:val="24"/>
        </w:rPr>
        <w:t>.</w:t>
      </w:r>
      <w:r w:rsidR="00171876" w:rsidRPr="00E13CA5">
        <w:rPr>
          <w:sz w:val="24"/>
          <w:szCs w:val="24"/>
        </w:rPr>
        <w:t xml:space="preserve"> </w:t>
      </w:r>
    </w:p>
    <w:p w:rsidR="00EA48CB" w:rsidRPr="00EA48CB" w:rsidRDefault="00EA48CB" w:rsidP="006D1261">
      <w:pPr>
        <w:autoSpaceDE w:val="0"/>
        <w:autoSpaceDN w:val="0"/>
        <w:adjustRightInd w:val="0"/>
        <w:ind w:left="2160"/>
        <w:rPr>
          <w:sz w:val="24"/>
          <w:szCs w:val="24"/>
        </w:rPr>
      </w:pPr>
    </w:p>
    <w:p w:rsidR="00B75FA4" w:rsidRDefault="00E879B6" w:rsidP="006D1261">
      <w:pPr>
        <w:pStyle w:val="HTMLPreformatted"/>
        <w:ind w:left="720"/>
        <w:rPr>
          <w:rFonts w:ascii="Times New Roman" w:hAnsi="Times New Roman" w:cs="Times New Roman"/>
          <w:sz w:val="24"/>
          <w:szCs w:val="24"/>
        </w:rPr>
      </w:pPr>
      <w:r>
        <w:rPr>
          <w:rFonts w:ascii="Times New Roman" w:hAnsi="Times New Roman" w:cs="Times New Roman"/>
          <w:sz w:val="24"/>
          <w:szCs w:val="24"/>
        </w:rPr>
        <w:t xml:space="preserve">2) </w:t>
      </w:r>
      <w:r w:rsidR="00B762BF" w:rsidRPr="00EA48CB">
        <w:rPr>
          <w:rFonts w:ascii="Times New Roman" w:hAnsi="Times New Roman" w:cs="Times New Roman"/>
          <w:sz w:val="24"/>
          <w:szCs w:val="24"/>
        </w:rPr>
        <w:t xml:space="preserve">Public Law 108-446, </w:t>
      </w:r>
      <w:r w:rsidR="00EA48CB" w:rsidRPr="00EA48CB">
        <w:rPr>
          <w:rFonts w:ascii="Times New Roman" w:hAnsi="Times New Roman" w:cs="Times New Roman"/>
          <w:sz w:val="24"/>
          <w:szCs w:val="24"/>
        </w:rPr>
        <w:t>s</w:t>
      </w:r>
      <w:r w:rsidR="00B762BF" w:rsidRPr="00EA48CB">
        <w:rPr>
          <w:rFonts w:ascii="Times New Roman" w:hAnsi="Times New Roman" w:cs="Times New Roman"/>
          <w:sz w:val="24"/>
          <w:szCs w:val="24"/>
        </w:rPr>
        <w:t>ection 662(a) (20 U.S.C. 1462) “The Secretary shall, on a competitive basis, make grants to, or enter into contracts or cooperative agreements with, eligible entities…to help address the needs identified in the State plan…for highly qualified personnel…to work with infants or toddlers with disabilities, or children with disabilities."</w:t>
      </w:r>
    </w:p>
    <w:p w:rsidR="00EA48CB" w:rsidRDefault="00EA48CB" w:rsidP="006D1261">
      <w:pPr>
        <w:pStyle w:val="HTMLPreformatted"/>
        <w:ind w:left="720"/>
        <w:rPr>
          <w:rFonts w:ascii="Times New Roman" w:hAnsi="Times New Roman" w:cs="Times New Roman"/>
          <w:sz w:val="24"/>
          <w:szCs w:val="24"/>
        </w:rPr>
      </w:pPr>
    </w:p>
    <w:p w:rsidR="00EA48CB" w:rsidRPr="009E1E1F" w:rsidRDefault="00E879B6" w:rsidP="006D1261">
      <w:pPr>
        <w:pStyle w:val="HTMLPreformatted"/>
        <w:ind w:left="720"/>
        <w:rPr>
          <w:rFonts w:ascii="Times New Roman" w:hAnsi="Times New Roman" w:cs="Times New Roman"/>
          <w:sz w:val="24"/>
          <w:szCs w:val="24"/>
        </w:rPr>
      </w:pPr>
      <w:r>
        <w:rPr>
          <w:rFonts w:ascii="Times New Roman" w:hAnsi="Times New Roman" w:cs="Times New Roman"/>
          <w:sz w:val="24"/>
          <w:szCs w:val="24"/>
        </w:rPr>
        <w:t xml:space="preserve">3) </w:t>
      </w:r>
      <w:r w:rsidR="00EA48CB" w:rsidRPr="009E1E1F">
        <w:rPr>
          <w:rFonts w:ascii="Times New Roman" w:hAnsi="Times New Roman" w:cs="Times New Roman"/>
          <w:sz w:val="24"/>
          <w:szCs w:val="24"/>
        </w:rPr>
        <w:t>Public Law 108-446, section 682(c) (20 U.S.C. 1482) “The Secretary may use funds made available to carry out subpart 2 or 3 to evaluate activities carried out under subpart 2 or 3, respectively.”</w:t>
      </w:r>
    </w:p>
    <w:p w:rsidR="00EA48CB" w:rsidRPr="00EA48CB" w:rsidRDefault="00EA48CB" w:rsidP="006D1261">
      <w:pPr>
        <w:pStyle w:val="HTMLPreformatted"/>
        <w:ind w:left="720"/>
        <w:rPr>
          <w:sz w:val="24"/>
          <w:szCs w:val="24"/>
        </w:rPr>
      </w:pPr>
    </w:p>
    <w:p w:rsidR="00B75FA4" w:rsidRPr="00E13CA5" w:rsidRDefault="00E879B6" w:rsidP="006D1261">
      <w:pPr>
        <w:ind w:left="720"/>
        <w:rPr>
          <w:sz w:val="24"/>
          <w:szCs w:val="24"/>
        </w:rPr>
      </w:pPr>
      <w:r>
        <w:rPr>
          <w:sz w:val="24"/>
          <w:szCs w:val="24"/>
        </w:rPr>
        <w:t xml:space="preserve">4) </w:t>
      </w:r>
      <w:r w:rsidR="00B75FA4" w:rsidRPr="00E13CA5">
        <w:rPr>
          <w:sz w:val="24"/>
          <w:szCs w:val="24"/>
        </w:rPr>
        <w:t xml:space="preserve">Education Department General Administrative Regulations (EDGAR) require that grantees cooperate in any evaluation of the program by the Secretary (EDGAR, </w:t>
      </w:r>
      <w:r w:rsidR="00214F94">
        <w:rPr>
          <w:sz w:val="24"/>
          <w:szCs w:val="24"/>
        </w:rPr>
        <w:t>s</w:t>
      </w:r>
      <w:r w:rsidR="00B75FA4" w:rsidRPr="00E13CA5">
        <w:rPr>
          <w:sz w:val="24"/>
          <w:szCs w:val="24"/>
        </w:rPr>
        <w:t>ec</w:t>
      </w:r>
      <w:r w:rsidR="00214F94">
        <w:rPr>
          <w:sz w:val="24"/>
          <w:szCs w:val="24"/>
        </w:rPr>
        <w:t>tion</w:t>
      </w:r>
      <w:r w:rsidR="00B75FA4" w:rsidRPr="00E13CA5">
        <w:rPr>
          <w:sz w:val="24"/>
          <w:szCs w:val="24"/>
        </w:rPr>
        <w:t xml:space="preserve"> 75.591) (20 U.S.C. 1221e-3 and 3474).</w:t>
      </w:r>
    </w:p>
    <w:p w:rsidR="00EA48CB" w:rsidRPr="00567608" w:rsidRDefault="00EA48CB" w:rsidP="00567608">
      <w:pPr>
        <w:rPr>
          <w:sz w:val="24"/>
          <w:szCs w:val="24"/>
        </w:rPr>
      </w:pPr>
    </w:p>
    <w:p w:rsidR="000C1F20" w:rsidRPr="00B0399B" w:rsidRDefault="000C1F20" w:rsidP="000C1F20">
      <w:pPr>
        <w:rPr>
          <w:b/>
          <w:bCs/>
          <w:sz w:val="24"/>
          <w:szCs w:val="24"/>
        </w:rPr>
      </w:pPr>
      <w:r w:rsidRPr="00B0399B">
        <w:rPr>
          <w:b/>
          <w:bCs/>
          <w:sz w:val="24"/>
          <w:szCs w:val="24"/>
        </w:rPr>
        <w:t>A2.</w:t>
      </w:r>
      <w:r w:rsidRPr="00B0399B">
        <w:rPr>
          <w:b/>
          <w:bCs/>
          <w:sz w:val="24"/>
          <w:szCs w:val="24"/>
        </w:rPr>
        <w:tab/>
        <w:t>Purposes and Uses of the Data</w:t>
      </w:r>
    </w:p>
    <w:p w:rsidR="00B75FA4" w:rsidRPr="00B0399B" w:rsidRDefault="00B75FA4" w:rsidP="007D178C">
      <w:pPr>
        <w:ind w:left="720"/>
        <w:rPr>
          <w:sz w:val="24"/>
          <w:szCs w:val="24"/>
        </w:rPr>
      </w:pPr>
    </w:p>
    <w:p w:rsidR="007D178C" w:rsidRPr="00B0399B" w:rsidRDefault="00104765" w:rsidP="00B12F57">
      <w:pPr>
        <w:rPr>
          <w:sz w:val="24"/>
          <w:szCs w:val="24"/>
        </w:rPr>
      </w:pPr>
      <w:r w:rsidRPr="00B0399B">
        <w:rPr>
          <w:bCs/>
          <w:sz w:val="24"/>
          <w:szCs w:val="24"/>
        </w:rPr>
        <w:t xml:space="preserve">There are three primary purposes for the data that are being collected. The first use is to fulfill </w:t>
      </w:r>
      <w:r w:rsidR="001B3769" w:rsidRPr="00B0399B">
        <w:rPr>
          <w:bCs/>
          <w:sz w:val="24"/>
          <w:szCs w:val="24"/>
        </w:rPr>
        <w:t>Government Performance and Results Act (</w:t>
      </w:r>
      <w:r w:rsidRPr="00B0399B">
        <w:rPr>
          <w:bCs/>
          <w:sz w:val="24"/>
          <w:szCs w:val="24"/>
        </w:rPr>
        <w:t>GPRA</w:t>
      </w:r>
      <w:r w:rsidR="001B3769" w:rsidRPr="00B0399B">
        <w:rPr>
          <w:bCs/>
          <w:sz w:val="24"/>
          <w:szCs w:val="24"/>
        </w:rPr>
        <w:t>)</w:t>
      </w:r>
      <w:r w:rsidR="007D178C" w:rsidRPr="00B0399B">
        <w:rPr>
          <w:bCs/>
          <w:sz w:val="24"/>
          <w:szCs w:val="24"/>
        </w:rPr>
        <w:t xml:space="preserve"> </w:t>
      </w:r>
      <w:r w:rsidRPr="00B0399B">
        <w:rPr>
          <w:bCs/>
          <w:sz w:val="24"/>
          <w:szCs w:val="24"/>
        </w:rPr>
        <w:t xml:space="preserve">reporting requirements. </w:t>
      </w:r>
      <w:r w:rsidRPr="00B0399B">
        <w:rPr>
          <w:sz w:val="24"/>
          <w:szCs w:val="24"/>
        </w:rPr>
        <w:t>GPRA requires</w:t>
      </w:r>
      <w:r w:rsidR="001B3769" w:rsidRPr="00B0399B">
        <w:rPr>
          <w:sz w:val="24"/>
          <w:szCs w:val="24"/>
        </w:rPr>
        <w:t xml:space="preserve"> that</w:t>
      </w:r>
      <w:r w:rsidRPr="00B0399B">
        <w:rPr>
          <w:sz w:val="24"/>
          <w:szCs w:val="24"/>
        </w:rPr>
        <w:t xml:space="preserve"> </w:t>
      </w:r>
      <w:r w:rsidR="001B3769" w:rsidRPr="00B0399B">
        <w:rPr>
          <w:sz w:val="24"/>
          <w:szCs w:val="24"/>
        </w:rPr>
        <w:t>F</w:t>
      </w:r>
      <w:r w:rsidRPr="00B0399B">
        <w:rPr>
          <w:sz w:val="24"/>
          <w:szCs w:val="24"/>
        </w:rPr>
        <w:t>ederally</w:t>
      </w:r>
      <w:r w:rsidR="001B3769" w:rsidRPr="00B0399B">
        <w:rPr>
          <w:sz w:val="24"/>
          <w:szCs w:val="24"/>
        </w:rPr>
        <w:t>-</w:t>
      </w:r>
      <w:r w:rsidRPr="00B0399B">
        <w:rPr>
          <w:sz w:val="24"/>
          <w:szCs w:val="24"/>
        </w:rPr>
        <w:t xml:space="preserve">funded agencies develop and implement an accountability system based on performance measurement. Grantees are required to report on their progress toward meeting the objectives and goals established for each ED grant program. However, OSEP needs data directly from </w:t>
      </w:r>
      <w:r w:rsidR="001303CB">
        <w:rPr>
          <w:sz w:val="24"/>
          <w:szCs w:val="24"/>
        </w:rPr>
        <w:t>scholars/</w:t>
      </w:r>
      <w:proofErr w:type="spellStart"/>
      <w:r w:rsidR="001303CB">
        <w:rPr>
          <w:sz w:val="24"/>
          <w:szCs w:val="24"/>
        </w:rPr>
        <w:t>obligees</w:t>
      </w:r>
      <w:proofErr w:type="spellEnd"/>
      <w:r w:rsidR="001303CB" w:rsidRPr="00B0399B">
        <w:rPr>
          <w:sz w:val="24"/>
          <w:szCs w:val="24"/>
        </w:rPr>
        <w:t xml:space="preserve"> </w:t>
      </w:r>
      <w:r w:rsidRPr="00B0399B">
        <w:rPr>
          <w:sz w:val="24"/>
          <w:szCs w:val="24"/>
        </w:rPr>
        <w:t xml:space="preserve">and their employers in addition to grantee data for GPRA reporting. OSEP </w:t>
      </w:r>
      <w:r w:rsidR="001B3769" w:rsidRPr="00B0399B">
        <w:rPr>
          <w:sz w:val="24"/>
          <w:szCs w:val="24"/>
        </w:rPr>
        <w:t>uses</w:t>
      </w:r>
      <w:r w:rsidRPr="00B0399B">
        <w:rPr>
          <w:sz w:val="24"/>
          <w:szCs w:val="24"/>
        </w:rPr>
        <w:t xml:space="preserve"> performance measure data in its annual budget justification.</w:t>
      </w:r>
    </w:p>
    <w:p w:rsidR="00104765" w:rsidRPr="00B0399B" w:rsidRDefault="00104765" w:rsidP="00B12F57">
      <w:pPr>
        <w:rPr>
          <w:sz w:val="24"/>
          <w:szCs w:val="24"/>
        </w:rPr>
      </w:pPr>
    </w:p>
    <w:p w:rsidR="00104765" w:rsidRPr="00B0399B" w:rsidRDefault="00104765" w:rsidP="00B12F57">
      <w:pPr>
        <w:rPr>
          <w:sz w:val="24"/>
          <w:szCs w:val="24"/>
        </w:rPr>
      </w:pPr>
      <w:r w:rsidRPr="00B0399B">
        <w:rPr>
          <w:sz w:val="24"/>
          <w:szCs w:val="24"/>
        </w:rPr>
        <w:t>The second use of the data is to</w:t>
      </w:r>
      <w:r w:rsidR="002B186A" w:rsidRPr="00B0399B">
        <w:rPr>
          <w:sz w:val="24"/>
          <w:szCs w:val="24"/>
        </w:rPr>
        <w:t xml:space="preserve"> fulfill the requirements of IDEA 2004 and the </w:t>
      </w:r>
      <w:r w:rsidR="00762DBE" w:rsidRPr="00B0399B">
        <w:rPr>
          <w:sz w:val="24"/>
          <w:szCs w:val="24"/>
        </w:rPr>
        <w:t>corresponding</w:t>
      </w:r>
      <w:r w:rsidR="001F5103" w:rsidRPr="00B0399B">
        <w:rPr>
          <w:sz w:val="24"/>
          <w:szCs w:val="24"/>
        </w:rPr>
        <w:t xml:space="preserve"> regulations (Service Obligations Under Special Education – Personnel Development to Improve Services and Results for Children with Disabilities 2006</w:t>
      </w:r>
      <w:r w:rsidR="001F5103" w:rsidRPr="00104EAE">
        <w:rPr>
          <w:sz w:val="24"/>
          <w:szCs w:val="24"/>
        </w:rPr>
        <w:t>)</w:t>
      </w:r>
      <w:r w:rsidR="001F5103" w:rsidRPr="00B0399B">
        <w:rPr>
          <w:sz w:val="24"/>
          <w:szCs w:val="24"/>
        </w:rPr>
        <w:t xml:space="preserve"> to</w:t>
      </w:r>
      <w:r w:rsidRPr="00B0399B">
        <w:rPr>
          <w:sz w:val="24"/>
          <w:szCs w:val="24"/>
        </w:rPr>
        <w:t xml:space="preserve"> verify the fulfillment of the service obligation</w:t>
      </w:r>
      <w:r w:rsidR="002B186A" w:rsidRPr="00B0399B">
        <w:rPr>
          <w:sz w:val="24"/>
          <w:szCs w:val="24"/>
        </w:rPr>
        <w:t>s</w:t>
      </w:r>
      <w:r w:rsidR="001F5103" w:rsidRPr="00B0399B">
        <w:rPr>
          <w:sz w:val="24"/>
          <w:szCs w:val="24"/>
        </w:rPr>
        <w:t xml:space="preserve"> of scholars who receive scholarships from Institutions of Higher Education</w:t>
      </w:r>
      <w:r w:rsidR="00E879B6">
        <w:rPr>
          <w:sz w:val="24"/>
          <w:szCs w:val="24"/>
        </w:rPr>
        <w:t xml:space="preserve"> (IHEs)</w:t>
      </w:r>
      <w:r w:rsidR="001F5103" w:rsidRPr="00B0399B">
        <w:rPr>
          <w:sz w:val="24"/>
          <w:szCs w:val="24"/>
        </w:rPr>
        <w:t xml:space="preserve"> under OSEP’s Personnel Development to Improve Services and Results for Children with Disabilities program.  These requirements include IHE, scholar and employer input as well as referral of scholars to </w:t>
      </w:r>
      <w:r w:rsidR="00580594" w:rsidRPr="00B0399B">
        <w:rPr>
          <w:sz w:val="24"/>
          <w:szCs w:val="24"/>
        </w:rPr>
        <w:t>Debt and Payment Management Group</w:t>
      </w:r>
      <w:r w:rsidR="00762DBE" w:rsidRPr="00B0399B">
        <w:rPr>
          <w:sz w:val="24"/>
          <w:szCs w:val="24"/>
        </w:rPr>
        <w:t xml:space="preserve"> </w:t>
      </w:r>
      <w:r w:rsidRPr="00B0399B">
        <w:rPr>
          <w:sz w:val="24"/>
          <w:szCs w:val="24"/>
        </w:rPr>
        <w:t>for repayment of part or all of the scholarship received</w:t>
      </w:r>
      <w:r w:rsidR="00E879B6">
        <w:rPr>
          <w:sz w:val="24"/>
          <w:szCs w:val="24"/>
        </w:rPr>
        <w:t>,</w:t>
      </w:r>
      <w:r w:rsidR="001F5103" w:rsidRPr="00B0399B">
        <w:rPr>
          <w:sz w:val="24"/>
          <w:szCs w:val="24"/>
        </w:rPr>
        <w:t xml:space="preserve"> if they are not fulfilling their obligations through service</w:t>
      </w:r>
      <w:r w:rsidRPr="00B0399B">
        <w:rPr>
          <w:sz w:val="24"/>
          <w:szCs w:val="24"/>
        </w:rPr>
        <w:t xml:space="preserve">. </w:t>
      </w:r>
    </w:p>
    <w:p w:rsidR="00104765" w:rsidRPr="00B0399B" w:rsidRDefault="00104765" w:rsidP="00B12F57">
      <w:pPr>
        <w:rPr>
          <w:sz w:val="24"/>
          <w:szCs w:val="24"/>
        </w:rPr>
      </w:pPr>
    </w:p>
    <w:p w:rsidR="00104765" w:rsidRPr="00B0399B" w:rsidRDefault="00104765" w:rsidP="00B12F57">
      <w:pPr>
        <w:rPr>
          <w:sz w:val="24"/>
          <w:szCs w:val="24"/>
        </w:rPr>
      </w:pPr>
      <w:r w:rsidRPr="00B0399B">
        <w:rPr>
          <w:sz w:val="24"/>
          <w:szCs w:val="24"/>
        </w:rPr>
        <w:t xml:space="preserve">Finally, the data collected </w:t>
      </w:r>
      <w:r w:rsidR="00171876" w:rsidRPr="00B0399B">
        <w:rPr>
          <w:sz w:val="24"/>
          <w:szCs w:val="24"/>
        </w:rPr>
        <w:t xml:space="preserve">are </w:t>
      </w:r>
      <w:r w:rsidRPr="00B0399B">
        <w:rPr>
          <w:sz w:val="24"/>
          <w:szCs w:val="24"/>
        </w:rPr>
        <w:t xml:space="preserve">used by OSEP </w:t>
      </w:r>
      <w:r w:rsidR="00923626" w:rsidRPr="00B0399B">
        <w:rPr>
          <w:sz w:val="24"/>
          <w:szCs w:val="24"/>
        </w:rPr>
        <w:t xml:space="preserve">for </w:t>
      </w:r>
      <w:r w:rsidR="00214F94">
        <w:rPr>
          <w:sz w:val="24"/>
          <w:szCs w:val="24"/>
        </w:rPr>
        <w:t xml:space="preserve">project monitoring and </w:t>
      </w:r>
      <w:r w:rsidR="00923626" w:rsidRPr="00B0399B">
        <w:rPr>
          <w:sz w:val="24"/>
          <w:szCs w:val="24"/>
        </w:rPr>
        <w:t>program improvement</w:t>
      </w:r>
      <w:r w:rsidR="00E879B6">
        <w:rPr>
          <w:sz w:val="24"/>
          <w:szCs w:val="24"/>
        </w:rPr>
        <w:t>,</w:t>
      </w:r>
      <w:r w:rsidR="00923626" w:rsidRPr="00B0399B">
        <w:rPr>
          <w:sz w:val="24"/>
          <w:szCs w:val="24"/>
        </w:rPr>
        <w:t xml:space="preserve"> and </w:t>
      </w:r>
      <w:r w:rsidRPr="00B0399B">
        <w:rPr>
          <w:sz w:val="24"/>
          <w:szCs w:val="24"/>
        </w:rPr>
        <w:t xml:space="preserve">to provide information on the characteristics of teachers and other personnel supported in these </w:t>
      </w:r>
      <w:r w:rsidR="00923626" w:rsidRPr="00B0399B">
        <w:rPr>
          <w:sz w:val="24"/>
          <w:szCs w:val="24"/>
        </w:rPr>
        <w:t xml:space="preserve">preparation </w:t>
      </w:r>
      <w:r w:rsidRPr="00B0399B">
        <w:rPr>
          <w:sz w:val="24"/>
          <w:szCs w:val="24"/>
        </w:rPr>
        <w:t xml:space="preserve">programs and the outcomes of the </w:t>
      </w:r>
      <w:r w:rsidR="00923626" w:rsidRPr="00B0399B">
        <w:rPr>
          <w:sz w:val="24"/>
          <w:szCs w:val="24"/>
        </w:rPr>
        <w:t xml:space="preserve">grants </w:t>
      </w:r>
      <w:r w:rsidRPr="00B0399B">
        <w:rPr>
          <w:sz w:val="24"/>
          <w:szCs w:val="24"/>
        </w:rPr>
        <w:t>(program completion, certification, employment in the area supported by training, etc.).</w:t>
      </w:r>
      <w:r w:rsidR="0010458D" w:rsidRPr="00B0399B">
        <w:rPr>
          <w:sz w:val="24"/>
          <w:szCs w:val="24"/>
        </w:rPr>
        <w:t xml:space="preserve"> </w:t>
      </w:r>
      <w:r w:rsidRPr="00B0399B">
        <w:rPr>
          <w:sz w:val="24"/>
          <w:szCs w:val="24"/>
        </w:rPr>
        <w:t xml:space="preserve">Collection of these data is critical in assessing accountability for the grant program. These data, submitted annually, also serve as the primary source of information for OSEP to </w:t>
      </w:r>
      <w:r w:rsidR="00923626" w:rsidRPr="00B0399B">
        <w:rPr>
          <w:sz w:val="24"/>
          <w:szCs w:val="24"/>
        </w:rPr>
        <w:t>target program areas in need of improvement</w:t>
      </w:r>
      <w:r w:rsidRPr="00B0399B">
        <w:rPr>
          <w:sz w:val="24"/>
          <w:szCs w:val="24"/>
        </w:rPr>
        <w:t>.</w:t>
      </w:r>
    </w:p>
    <w:p w:rsidR="00B75FA4" w:rsidRPr="00B0399B" w:rsidRDefault="00B75FA4" w:rsidP="007D178C">
      <w:pPr>
        <w:ind w:left="720"/>
        <w:rPr>
          <w:sz w:val="24"/>
          <w:szCs w:val="24"/>
          <w:highlight w:val="yellow"/>
        </w:rPr>
      </w:pPr>
    </w:p>
    <w:p w:rsidR="00B75FA4" w:rsidRPr="00B0399B" w:rsidRDefault="000C1F20" w:rsidP="007D178C">
      <w:pPr>
        <w:rPr>
          <w:sz w:val="24"/>
          <w:szCs w:val="24"/>
          <w:u w:val="single"/>
        </w:rPr>
      </w:pPr>
      <w:r w:rsidRPr="00B0399B">
        <w:rPr>
          <w:b/>
          <w:bCs/>
          <w:sz w:val="24"/>
          <w:szCs w:val="24"/>
        </w:rPr>
        <w:t xml:space="preserve">A3. </w:t>
      </w:r>
      <w:r w:rsidRPr="00B0399B">
        <w:rPr>
          <w:b/>
          <w:bCs/>
          <w:sz w:val="24"/>
          <w:szCs w:val="24"/>
        </w:rPr>
        <w:tab/>
        <w:t>Use of Technology to Reduce Burden</w:t>
      </w:r>
    </w:p>
    <w:p w:rsidR="00B75FA4" w:rsidRPr="00B0399B" w:rsidRDefault="00B75FA4" w:rsidP="007D178C">
      <w:pPr>
        <w:rPr>
          <w:sz w:val="24"/>
          <w:szCs w:val="24"/>
        </w:rPr>
      </w:pPr>
    </w:p>
    <w:p w:rsidR="00B75FA4" w:rsidRPr="00B0399B" w:rsidRDefault="00B75FA4" w:rsidP="008D3730">
      <w:pPr>
        <w:rPr>
          <w:sz w:val="24"/>
          <w:szCs w:val="24"/>
          <w:highlight w:val="yellow"/>
        </w:rPr>
      </w:pPr>
      <w:r w:rsidRPr="00B0399B">
        <w:rPr>
          <w:sz w:val="24"/>
          <w:szCs w:val="24"/>
        </w:rPr>
        <w:t xml:space="preserve">OSEP will collect </w:t>
      </w:r>
      <w:r w:rsidR="000C1F20" w:rsidRPr="00B0399B">
        <w:rPr>
          <w:sz w:val="24"/>
          <w:szCs w:val="24"/>
        </w:rPr>
        <w:t xml:space="preserve">all </w:t>
      </w:r>
      <w:r w:rsidRPr="00B0399B">
        <w:rPr>
          <w:sz w:val="24"/>
          <w:szCs w:val="24"/>
        </w:rPr>
        <w:t>data in a web-based data collection</w:t>
      </w:r>
      <w:r w:rsidR="000C1F20" w:rsidRPr="00B0399B">
        <w:rPr>
          <w:sz w:val="24"/>
          <w:szCs w:val="24"/>
        </w:rPr>
        <w:t xml:space="preserve"> system which is maintained on a secured server.</w:t>
      </w:r>
      <w:r w:rsidR="0010458D" w:rsidRPr="00B0399B">
        <w:rPr>
          <w:sz w:val="24"/>
          <w:szCs w:val="24"/>
        </w:rPr>
        <w:t xml:space="preserve"> </w:t>
      </w:r>
      <w:r w:rsidRPr="00B0399B">
        <w:rPr>
          <w:sz w:val="24"/>
          <w:szCs w:val="24"/>
        </w:rPr>
        <w:t>Grantees</w:t>
      </w:r>
      <w:r w:rsidR="0058687B" w:rsidRPr="00B0399B">
        <w:rPr>
          <w:sz w:val="24"/>
          <w:szCs w:val="24"/>
        </w:rPr>
        <w:t xml:space="preserve"> and scholars/</w:t>
      </w:r>
      <w:proofErr w:type="spellStart"/>
      <w:r w:rsidR="0058687B" w:rsidRPr="00B0399B">
        <w:rPr>
          <w:sz w:val="24"/>
          <w:szCs w:val="24"/>
        </w:rPr>
        <w:t>obligees</w:t>
      </w:r>
      <w:proofErr w:type="spellEnd"/>
      <w:r w:rsidRPr="00B0399B">
        <w:rPr>
          <w:sz w:val="24"/>
          <w:szCs w:val="24"/>
        </w:rPr>
        <w:t xml:space="preserve"> will be given username</w:t>
      </w:r>
      <w:r w:rsidR="006167EA" w:rsidRPr="00B0399B">
        <w:rPr>
          <w:sz w:val="24"/>
          <w:szCs w:val="24"/>
        </w:rPr>
        <w:t>s</w:t>
      </w:r>
      <w:r w:rsidRPr="00B0399B">
        <w:rPr>
          <w:sz w:val="24"/>
          <w:szCs w:val="24"/>
        </w:rPr>
        <w:t xml:space="preserve"> and password</w:t>
      </w:r>
      <w:r w:rsidR="006167EA" w:rsidRPr="00B0399B">
        <w:rPr>
          <w:sz w:val="24"/>
          <w:szCs w:val="24"/>
        </w:rPr>
        <w:t>s</w:t>
      </w:r>
      <w:r w:rsidRPr="00B0399B">
        <w:rPr>
          <w:sz w:val="24"/>
          <w:szCs w:val="24"/>
        </w:rPr>
        <w:t xml:space="preserve"> </w:t>
      </w:r>
      <w:r w:rsidR="0058687B" w:rsidRPr="00B0399B">
        <w:rPr>
          <w:sz w:val="24"/>
          <w:szCs w:val="24"/>
        </w:rPr>
        <w:t xml:space="preserve">to enter data. Employers will be provided secure links to review and verify employment. </w:t>
      </w:r>
      <w:r w:rsidRPr="00B0399B">
        <w:rPr>
          <w:sz w:val="24"/>
          <w:szCs w:val="24"/>
        </w:rPr>
        <w:t>T</w:t>
      </w:r>
      <w:r w:rsidR="0058687B" w:rsidRPr="00B0399B">
        <w:rPr>
          <w:sz w:val="24"/>
          <w:szCs w:val="24"/>
        </w:rPr>
        <w:t>he system is designed to minimize burden on respondents by programmatically skipping inapplicable items and storing</w:t>
      </w:r>
      <w:r w:rsidR="006167EA" w:rsidRPr="00B0399B">
        <w:rPr>
          <w:sz w:val="24"/>
          <w:szCs w:val="24"/>
        </w:rPr>
        <w:t xml:space="preserve"> and displaying</w:t>
      </w:r>
      <w:r w:rsidR="0058687B" w:rsidRPr="00B0399B">
        <w:rPr>
          <w:sz w:val="24"/>
          <w:szCs w:val="24"/>
        </w:rPr>
        <w:t xml:space="preserve"> data previously entered. </w:t>
      </w:r>
      <w:r w:rsidR="006167EA" w:rsidRPr="00B0399B">
        <w:rPr>
          <w:sz w:val="24"/>
          <w:szCs w:val="24"/>
        </w:rPr>
        <w:t>For many items,</w:t>
      </w:r>
      <w:r w:rsidR="0058687B" w:rsidRPr="00B0399B">
        <w:rPr>
          <w:sz w:val="24"/>
          <w:szCs w:val="24"/>
        </w:rPr>
        <w:t xml:space="preserve"> users will simply review data previously entered and verify its </w:t>
      </w:r>
      <w:r w:rsidR="006167EA" w:rsidRPr="00B0399B">
        <w:rPr>
          <w:sz w:val="24"/>
          <w:szCs w:val="24"/>
        </w:rPr>
        <w:t xml:space="preserve">continued </w:t>
      </w:r>
      <w:r w:rsidR="0058687B" w:rsidRPr="00B0399B">
        <w:rPr>
          <w:sz w:val="24"/>
          <w:szCs w:val="24"/>
        </w:rPr>
        <w:t>accuracy</w:t>
      </w:r>
      <w:r w:rsidR="000C1F20" w:rsidRPr="00B0399B">
        <w:rPr>
          <w:sz w:val="24"/>
          <w:szCs w:val="24"/>
        </w:rPr>
        <w:t xml:space="preserve">  The data collection instruments and frequently asked questions will be available online to respondents.</w:t>
      </w:r>
    </w:p>
    <w:p w:rsidR="000C1F20" w:rsidRPr="00B0399B" w:rsidRDefault="00B75FA4" w:rsidP="000C1F20">
      <w:pPr>
        <w:rPr>
          <w:b/>
          <w:bCs/>
          <w:sz w:val="24"/>
          <w:szCs w:val="24"/>
        </w:rPr>
      </w:pPr>
      <w:r w:rsidRPr="00B0399B">
        <w:rPr>
          <w:sz w:val="24"/>
          <w:szCs w:val="24"/>
        </w:rPr>
        <w:tab/>
      </w:r>
    </w:p>
    <w:p w:rsidR="000C1F20" w:rsidRPr="00B0399B" w:rsidRDefault="000C1F20" w:rsidP="000C1F20">
      <w:pPr>
        <w:rPr>
          <w:b/>
          <w:bCs/>
          <w:sz w:val="24"/>
          <w:szCs w:val="24"/>
        </w:rPr>
      </w:pPr>
      <w:r w:rsidRPr="00B0399B">
        <w:rPr>
          <w:b/>
          <w:bCs/>
          <w:sz w:val="24"/>
          <w:szCs w:val="24"/>
        </w:rPr>
        <w:t xml:space="preserve">A4. </w:t>
      </w:r>
      <w:r w:rsidRPr="00B0399B">
        <w:rPr>
          <w:b/>
          <w:bCs/>
          <w:sz w:val="24"/>
          <w:szCs w:val="24"/>
        </w:rPr>
        <w:tab/>
        <w:t>Efforts to Identify Duplication</w:t>
      </w:r>
    </w:p>
    <w:p w:rsidR="00B75FA4" w:rsidRPr="00B0399B" w:rsidRDefault="00B75FA4" w:rsidP="007D178C">
      <w:pPr>
        <w:rPr>
          <w:sz w:val="24"/>
          <w:szCs w:val="24"/>
          <w:highlight w:val="yellow"/>
        </w:rPr>
      </w:pPr>
    </w:p>
    <w:p w:rsidR="001B3769" w:rsidRPr="00B0399B" w:rsidRDefault="00994DE6" w:rsidP="008D3730">
      <w:pPr>
        <w:rPr>
          <w:rFonts w:eastAsia="Arial Unicode MS"/>
          <w:noProof/>
          <w:sz w:val="24"/>
          <w:szCs w:val="24"/>
        </w:rPr>
      </w:pPr>
      <w:r w:rsidRPr="00B0399B">
        <w:rPr>
          <w:sz w:val="24"/>
          <w:szCs w:val="24"/>
        </w:rPr>
        <w:t>There will be no duplication of reporting efforts. The information requested for</w:t>
      </w:r>
      <w:r w:rsidR="00736D7D" w:rsidRPr="00B0399B">
        <w:rPr>
          <w:sz w:val="24"/>
          <w:szCs w:val="24"/>
        </w:rPr>
        <w:t xml:space="preserve"> </w:t>
      </w:r>
      <w:r w:rsidRPr="00104EAE">
        <w:rPr>
          <w:sz w:val="24"/>
          <w:szCs w:val="24"/>
        </w:rPr>
        <w:t xml:space="preserve">this reporting is not collected or reported elsewhere. Data to determine </w:t>
      </w:r>
      <w:r w:rsidR="008C549F" w:rsidRPr="00B0399B">
        <w:rPr>
          <w:sz w:val="24"/>
          <w:szCs w:val="24"/>
        </w:rPr>
        <w:t>whether a school is “high-need”</w:t>
      </w:r>
      <w:r w:rsidRPr="00B0399B">
        <w:rPr>
          <w:sz w:val="24"/>
          <w:szCs w:val="24"/>
        </w:rPr>
        <w:t xml:space="preserve"> will not be collected from any respondents </w:t>
      </w:r>
      <w:r w:rsidR="008C549F" w:rsidRPr="00B0399B">
        <w:rPr>
          <w:sz w:val="24"/>
          <w:szCs w:val="24"/>
        </w:rPr>
        <w:t>to reduce</w:t>
      </w:r>
      <w:r w:rsidRPr="00B0399B">
        <w:rPr>
          <w:sz w:val="24"/>
          <w:szCs w:val="24"/>
        </w:rPr>
        <w:t xml:space="preserve"> burden. This </w:t>
      </w:r>
      <w:r w:rsidR="008C549F" w:rsidRPr="00B0399B">
        <w:rPr>
          <w:sz w:val="24"/>
          <w:szCs w:val="24"/>
        </w:rPr>
        <w:t>demographic</w:t>
      </w:r>
      <w:r w:rsidRPr="00B0399B">
        <w:rPr>
          <w:sz w:val="24"/>
          <w:szCs w:val="24"/>
        </w:rPr>
        <w:t xml:space="preserve"> data will be gather</w:t>
      </w:r>
      <w:r w:rsidR="008C549F" w:rsidRPr="00B0399B">
        <w:rPr>
          <w:sz w:val="24"/>
          <w:szCs w:val="24"/>
        </w:rPr>
        <w:t>ed</w:t>
      </w:r>
      <w:r w:rsidRPr="00B0399B">
        <w:rPr>
          <w:sz w:val="24"/>
          <w:szCs w:val="24"/>
        </w:rPr>
        <w:t xml:space="preserve"> from ED’s Common Core of Data by the contractor.</w:t>
      </w:r>
      <w:r w:rsidR="001B3769" w:rsidRPr="00B0399B">
        <w:rPr>
          <w:sz w:val="24"/>
          <w:szCs w:val="24"/>
        </w:rPr>
        <w:t xml:space="preserve">  Determining a “high-need” school is necessary to calculate the OMB requested performance measure on the number </w:t>
      </w:r>
      <w:r w:rsidR="001B3769" w:rsidRPr="00B0399B">
        <w:rPr>
          <w:rFonts w:eastAsia="Arial Unicode MS"/>
          <w:noProof/>
          <w:sz w:val="24"/>
          <w:szCs w:val="24"/>
        </w:rPr>
        <w:t>and percentage of degree/certification recipients who are employed in high-need schools.</w:t>
      </w:r>
    </w:p>
    <w:p w:rsidR="00994DE6" w:rsidRPr="00B0399B" w:rsidRDefault="00994DE6" w:rsidP="00B27D59">
      <w:pPr>
        <w:rPr>
          <w:sz w:val="24"/>
          <w:szCs w:val="24"/>
        </w:rPr>
      </w:pPr>
    </w:p>
    <w:p w:rsidR="000C1F20" w:rsidRPr="00B0399B" w:rsidRDefault="000C1F20" w:rsidP="000C1F20">
      <w:pPr>
        <w:rPr>
          <w:b/>
          <w:sz w:val="24"/>
          <w:szCs w:val="24"/>
        </w:rPr>
      </w:pPr>
      <w:r w:rsidRPr="00B0399B">
        <w:rPr>
          <w:b/>
          <w:bCs/>
          <w:sz w:val="24"/>
          <w:szCs w:val="24"/>
        </w:rPr>
        <w:t xml:space="preserve">A5. </w:t>
      </w:r>
      <w:r w:rsidRPr="00B0399B">
        <w:rPr>
          <w:sz w:val="24"/>
          <w:szCs w:val="24"/>
        </w:rPr>
        <w:tab/>
      </w:r>
      <w:r w:rsidRPr="00B0399B">
        <w:rPr>
          <w:b/>
          <w:sz w:val="24"/>
          <w:szCs w:val="24"/>
        </w:rPr>
        <w:t>Methods to Minimize Burden on Small Entities</w:t>
      </w:r>
    </w:p>
    <w:p w:rsidR="00B75FA4" w:rsidRPr="00B0399B" w:rsidRDefault="00B75FA4" w:rsidP="007D178C">
      <w:pPr>
        <w:rPr>
          <w:sz w:val="24"/>
          <w:szCs w:val="24"/>
          <w:highlight w:val="yellow"/>
        </w:rPr>
      </w:pPr>
    </w:p>
    <w:p w:rsidR="006167EA" w:rsidRPr="00B0399B" w:rsidRDefault="006167EA" w:rsidP="008D3730">
      <w:pPr>
        <w:rPr>
          <w:sz w:val="24"/>
          <w:szCs w:val="24"/>
        </w:rPr>
      </w:pPr>
      <w:r w:rsidRPr="00B0399B">
        <w:rPr>
          <w:sz w:val="24"/>
          <w:szCs w:val="24"/>
        </w:rPr>
        <w:t xml:space="preserve">The information requested rarely involves the collection of information from small businesses. There may be some employers classified as small businesses; however, the </w:t>
      </w:r>
      <w:r w:rsidR="00B12F57">
        <w:rPr>
          <w:sz w:val="24"/>
          <w:szCs w:val="24"/>
        </w:rPr>
        <w:t>Employment Verification Form</w:t>
      </w:r>
      <w:r w:rsidRPr="00B0399B">
        <w:rPr>
          <w:sz w:val="24"/>
          <w:szCs w:val="24"/>
        </w:rPr>
        <w:t xml:space="preserve"> was designed to solicit only the information necessary to respond to program and GPRA requirements. Thus, the burden of reporting is minimized to only those elements necessary to meet </w:t>
      </w:r>
      <w:r w:rsidR="00736D7D" w:rsidRPr="00B0399B">
        <w:rPr>
          <w:sz w:val="24"/>
          <w:szCs w:val="24"/>
        </w:rPr>
        <w:t>F</w:t>
      </w:r>
      <w:r w:rsidRPr="00B0399B">
        <w:rPr>
          <w:sz w:val="24"/>
          <w:szCs w:val="24"/>
        </w:rPr>
        <w:t xml:space="preserve">ederal requirements for budget and program activity data. In addition, this system utilizes a secure online tracking system which will allow employers to easily review information already entered by the scholar and then submit </w:t>
      </w:r>
      <w:r w:rsidR="00923626" w:rsidRPr="00B0399B">
        <w:rPr>
          <w:sz w:val="24"/>
          <w:szCs w:val="24"/>
        </w:rPr>
        <w:t xml:space="preserve">verification </w:t>
      </w:r>
      <w:r w:rsidRPr="00B0399B">
        <w:rPr>
          <w:sz w:val="24"/>
          <w:szCs w:val="24"/>
        </w:rPr>
        <w:t>or provide revisions.</w:t>
      </w:r>
    </w:p>
    <w:p w:rsidR="00B75FA4" w:rsidRPr="00B0399B" w:rsidRDefault="00B75FA4" w:rsidP="007D178C">
      <w:pPr>
        <w:rPr>
          <w:sz w:val="24"/>
          <w:szCs w:val="24"/>
        </w:rPr>
      </w:pPr>
    </w:p>
    <w:p w:rsidR="00214F94" w:rsidRDefault="000C1F20" w:rsidP="007D178C">
      <w:pPr>
        <w:rPr>
          <w:b/>
          <w:sz w:val="24"/>
          <w:szCs w:val="24"/>
        </w:rPr>
      </w:pPr>
      <w:r w:rsidRPr="00B0399B">
        <w:rPr>
          <w:b/>
          <w:bCs/>
          <w:sz w:val="24"/>
          <w:szCs w:val="24"/>
        </w:rPr>
        <w:t xml:space="preserve">A6. </w:t>
      </w:r>
      <w:r w:rsidRPr="00B0399B">
        <w:rPr>
          <w:sz w:val="24"/>
          <w:szCs w:val="24"/>
        </w:rPr>
        <w:tab/>
      </w:r>
      <w:r w:rsidRPr="00B0399B">
        <w:rPr>
          <w:b/>
          <w:sz w:val="24"/>
          <w:szCs w:val="24"/>
        </w:rPr>
        <w:t>Consequences of Not Collecting Data</w:t>
      </w:r>
    </w:p>
    <w:p w:rsidR="00B75FA4" w:rsidRPr="00B0399B" w:rsidRDefault="000C1F20" w:rsidP="007D178C">
      <w:pPr>
        <w:rPr>
          <w:sz w:val="24"/>
          <w:szCs w:val="24"/>
          <w:highlight w:val="yellow"/>
        </w:rPr>
      </w:pPr>
      <w:r w:rsidRPr="00104EAE" w:rsidDel="000C1F20">
        <w:rPr>
          <w:sz w:val="24"/>
          <w:szCs w:val="24"/>
        </w:rPr>
        <w:t xml:space="preserve"> </w:t>
      </w:r>
    </w:p>
    <w:p w:rsidR="006167EA" w:rsidRPr="00B0399B" w:rsidRDefault="006167EA" w:rsidP="008D3730">
      <w:pPr>
        <w:rPr>
          <w:sz w:val="24"/>
          <w:szCs w:val="24"/>
        </w:rPr>
      </w:pPr>
      <w:proofErr w:type="spellStart"/>
      <w:r w:rsidRPr="00B0399B">
        <w:rPr>
          <w:sz w:val="24"/>
          <w:szCs w:val="24"/>
        </w:rPr>
        <w:t>Obligee</w:t>
      </w:r>
      <w:proofErr w:type="spellEnd"/>
      <w:r w:rsidRPr="00B0399B">
        <w:rPr>
          <w:sz w:val="24"/>
          <w:szCs w:val="24"/>
        </w:rPr>
        <w:t xml:space="preserve"> follow-up is necessary for the program office to monitor service obligation requirements. </w:t>
      </w:r>
      <w:r w:rsidR="005A6185" w:rsidRPr="00B0399B">
        <w:rPr>
          <w:sz w:val="24"/>
          <w:szCs w:val="24"/>
        </w:rPr>
        <w:t xml:space="preserve">To require less frequent data collection would result in the inability of the Secretary to assure that grantees, scholars and </w:t>
      </w:r>
      <w:proofErr w:type="spellStart"/>
      <w:r w:rsidR="005A6185" w:rsidRPr="00B0399B">
        <w:rPr>
          <w:sz w:val="24"/>
          <w:szCs w:val="24"/>
        </w:rPr>
        <w:t>obligees</w:t>
      </w:r>
      <w:proofErr w:type="spellEnd"/>
      <w:r w:rsidR="005A6185" w:rsidRPr="00B0399B">
        <w:rPr>
          <w:sz w:val="24"/>
          <w:szCs w:val="24"/>
        </w:rPr>
        <w:t xml:space="preserve"> are complying with the statutory requirements.</w:t>
      </w:r>
      <w:r w:rsidRPr="00B0399B">
        <w:rPr>
          <w:sz w:val="24"/>
          <w:szCs w:val="24"/>
        </w:rPr>
        <w:t xml:space="preserve"> In addition, th</w:t>
      </w:r>
      <w:r w:rsidR="00736D7D" w:rsidRPr="00B0399B">
        <w:rPr>
          <w:sz w:val="24"/>
          <w:szCs w:val="24"/>
        </w:rPr>
        <w:t>ese</w:t>
      </w:r>
      <w:r w:rsidRPr="00B0399B">
        <w:rPr>
          <w:sz w:val="24"/>
          <w:szCs w:val="24"/>
        </w:rPr>
        <w:t xml:space="preserve"> data </w:t>
      </w:r>
      <w:r w:rsidR="00736D7D" w:rsidRPr="00B0399B">
        <w:rPr>
          <w:sz w:val="24"/>
          <w:szCs w:val="24"/>
        </w:rPr>
        <w:t>are</w:t>
      </w:r>
      <w:r w:rsidRPr="00B0399B">
        <w:rPr>
          <w:sz w:val="24"/>
          <w:szCs w:val="24"/>
        </w:rPr>
        <w:t xml:space="preserve"> needed annually so that OSEP can meet its PDP annual </w:t>
      </w:r>
      <w:r w:rsidR="00923626" w:rsidRPr="00B0399B">
        <w:rPr>
          <w:sz w:val="24"/>
          <w:szCs w:val="24"/>
        </w:rPr>
        <w:t xml:space="preserve">program </w:t>
      </w:r>
      <w:r w:rsidRPr="00B0399B">
        <w:rPr>
          <w:sz w:val="24"/>
          <w:szCs w:val="24"/>
        </w:rPr>
        <w:t>performance measure reporting requirements under GPRA.</w:t>
      </w:r>
    </w:p>
    <w:p w:rsidR="006167EA" w:rsidRPr="00B0399B" w:rsidRDefault="006167EA" w:rsidP="007D178C">
      <w:pPr>
        <w:jc w:val="both"/>
        <w:rPr>
          <w:sz w:val="24"/>
          <w:szCs w:val="24"/>
        </w:rPr>
      </w:pPr>
    </w:p>
    <w:p w:rsidR="000C1F20" w:rsidRPr="00B0399B" w:rsidRDefault="000C1F20" w:rsidP="000C1F20">
      <w:pPr>
        <w:rPr>
          <w:sz w:val="24"/>
          <w:szCs w:val="24"/>
        </w:rPr>
      </w:pPr>
      <w:r w:rsidRPr="00B0399B">
        <w:rPr>
          <w:b/>
          <w:bCs/>
          <w:sz w:val="24"/>
          <w:szCs w:val="24"/>
        </w:rPr>
        <w:t xml:space="preserve">A7. </w:t>
      </w:r>
      <w:r w:rsidRPr="00B0399B">
        <w:rPr>
          <w:b/>
          <w:bCs/>
          <w:sz w:val="24"/>
          <w:szCs w:val="24"/>
        </w:rPr>
        <w:tab/>
        <w:t>Special Circumstances</w:t>
      </w:r>
    </w:p>
    <w:p w:rsidR="00B75FA4" w:rsidRPr="00B0399B" w:rsidRDefault="00B75FA4" w:rsidP="007D178C">
      <w:pPr>
        <w:rPr>
          <w:sz w:val="24"/>
          <w:szCs w:val="24"/>
          <w:highlight w:val="yellow"/>
        </w:rPr>
      </w:pPr>
    </w:p>
    <w:p w:rsidR="005A6185" w:rsidRPr="00B0399B" w:rsidRDefault="005A6185" w:rsidP="008D3730">
      <w:pPr>
        <w:jc w:val="both"/>
        <w:rPr>
          <w:sz w:val="24"/>
          <w:szCs w:val="24"/>
        </w:rPr>
      </w:pPr>
      <w:r w:rsidRPr="00B0399B">
        <w:rPr>
          <w:sz w:val="24"/>
          <w:szCs w:val="24"/>
        </w:rPr>
        <w:t>There are no special circumstances that would require the collection to be conducted in a manner inconsistent with OMB guidelines.</w:t>
      </w:r>
    </w:p>
    <w:p w:rsidR="00B75FA4" w:rsidRPr="00B0399B" w:rsidRDefault="00B75FA4" w:rsidP="007D178C">
      <w:pPr>
        <w:rPr>
          <w:sz w:val="24"/>
          <w:szCs w:val="24"/>
          <w:highlight w:val="yellow"/>
        </w:rPr>
      </w:pPr>
    </w:p>
    <w:p w:rsidR="000C1F20" w:rsidRPr="00B0399B" w:rsidRDefault="000C1F20" w:rsidP="000C1F20">
      <w:pPr>
        <w:rPr>
          <w:b/>
          <w:sz w:val="24"/>
          <w:szCs w:val="24"/>
        </w:rPr>
      </w:pPr>
      <w:r w:rsidRPr="00B0399B">
        <w:rPr>
          <w:b/>
          <w:bCs/>
          <w:sz w:val="24"/>
          <w:szCs w:val="24"/>
        </w:rPr>
        <w:t xml:space="preserve">A8. </w:t>
      </w:r>
      <w:r w:rsidRPr="00B0399B">
        <w:rPr>
          <w:b/>
          <w:bCs/>
          <w:sz w:val="24"/>
          <w:szCs w:val="24"/>
        </w:rPr>
        <w:tab/>
        <w:t xml:space="preserve">Federal Register Comments and </w:t>
      </w:r>
      <w:r w:rsidRPr="00B0399B">
        <w:rPr>
          <w:b/>
          <w:sz w:val="24"/>
          <w:szCs w:val="24"/>
        </w:rPr>
        <w:t>Persons Consulted Outside the Agency</w:t>
      </w:r>
    </w:p>
    <w:p w:rsidR="00B75FA4" w:rsidRPr="00B0399B" w:rsidRDefault="00B75FA4" w:rsidP="007D178C">
      <w:pPr>
        <w:tabs>
          <w:tab w:val="num" w:pos="2880"/>
        </w:tabs>
        <w:ind w:left="720"/>
        <w:rPr>
          <w:sz w:val="24"/>
          <w:szCs w:val="24"/>
        </w:rPr>
      </w:pPr>
    </w:p>
    <w:p w:rsidR="00B75FA4" w:rsidRPr="00B0399B" w:rsidRDefault="000C1F20" w:rsidP="008D3730">
      <w:pPr>
        <w:tabs>
          <w:tab w:val="num" w:pos="2880"/>
        </w:tabs>
        <w:rPr>
          <w:sz w:val="24"/>
          <w:szCs w:val="24"/>
        </w:rPr>
      </w:pPr>
      <w:r w:rsidRPr="00B0399B">
        <w:rPr>
          <w:sz w:val="24"/>
          <w:szCs w:val="24"/>
        </w:rPr>
        <w:t xml:space="preserve">Information Collection 1820-0686 </w:t>
      </w:r>
      <w:r w:rsidR="00C07DD1">
        <w:rPr>
          <w:sz w:val="24"/>
          <w:szCs w:val="24"/>
        </w:rPr>
        <w:t>was</w:t>
      </w:r>
      <w:r w:rsidRPr="00B0399B">
        <w:rPr>
          <w:sz w:val="24"/>
          <w:szCs w:val="24"/>
        </w:rPr>
        <w:t xml:space="preserve"> placed in the Federal Register for a </w:t>
      </w:r>
      <w:r w:rsidR="00C07DD1">
        <w:rPr>
          <w:sz w:val="24"/>
          <w:szCs w:val="24"/>
        </w:rPr>
        <w:t>60-and 3-</w:t>
      </w:r>
      <w:r w:rsidRPr="00B0399B">
        <w:rPr>
          <w:sz w:val="24"/>
          <w:szCs w:val="24"/>
        </w:rPr>
        <w:t xml:space="preserve"> day comment period. We </w:t>
      </w:r>
      <w:r w:rsidR="00C07DD1">
        <w:rPr>
          <w:sz w:val="24"/>
          <w:szCs w:val="24"/>
        </w:rPr>
        <w:t>did not receive any public</w:t>
      </w:r>
      <w:r w:rsidRPr="00B0399B">
        <w:rPr>
          <w:sz w:val="24"/>
          <w:szCs w:val="24"/>
        </w:rPr>
        <w:t xml:space="preserve"> comments </w:t>
      </w:r>
      <w:r w:rsidR="00C07DD1">
        <w:rPr>
          <w:sz w:val="24"/>
          <w:szCs w:val="24"/>
        </w:rPr>
        <w:t xml:space="preserve">during the 60-day comment period. </w:t>
      </w:r>
    </w:p>
    <w:p w:rsidR="000C1F20" w:rsidRPr="00B0399B" w:rsidRDefault="000C1F20" w:rsidP="007D178C">
      <w:pPr>
        <w:tabs>
          <w:tab w:val="num" w:pos="2880"/>
        </w:tabs>
        <w:ind w:left="720"/>
        <w:rPr>
          <w:sz w:val="24"/>
          <w:szCs w:val="24"/>
        </w:rPr>
      </w:pPr>
    </w:p>
    <w:p w:rsidR="000C1F20" w:rsidRPr="00B0399B" w:rsidRDefault="000C1F20" w:rsidP="008D3730">
      <w:pPr>
        <w:rPr>
          <w:b/>
          <w:bCs/>
          <w:sz w:val="24"/>
          <w:szCs w:val="24"/>
        </w:rPr>
      </w:pPr>
      <w:r w:rsidRPr="00B0399B">
        <w:rPr>
          <w:sz w:val="24"/>
          <w:szCs w:val="24"/>
        </w:rPr>
        <w:t>The original system of record notice</w:t>
      </w:r>
      <w:r w:rsidR="000F356B" w:rsidRPr="00104EAE">
        <w:rPr>
          <w:sz w:val="24"/>
          <w:szCs w:val="24"/>
        </w:rPr>
        <w:t xml:space="preserve">, </w:t>
      </w:r>
      <w:r w:rsidR="000F356B" w:rsidRPr="00B0399B">
        <w:rPr>
          <w:sz w:val="24"/>
          <w:szCs w:val="24"/>
        </w:rPr>
        <w:t xml:space="preserve">The Special Education—Individual Reporting on </w:t>
      </w:r>
      <w:r w:rsidR="00F55E94">
        <w:rPr>
          <w:sz w:val="24"/>
          <w:szCs w:val="24"/>
        </w:rPr>
        <w:t>R</w:t>
      </w:r>
      <w:r w:rsidR="000F356B" w:rsidRPr="00B0399B">
        <w:rPr>
          <w:sz w:val="24"/>
          <w:szCs w:val="24"/>
        </w:rPr>
        <w:t>egulatory Compliance Related to the Personnel Development Program’s Service Obligation and the Government Performance and Results Act of 1993 (GPRA), SORN 18-16-04, 73 FR 63453-63457, was published in the Federal Register on October 24, 2008.</w:t>
      </w:r>
    </w:p>
    <w:p w:rsidR="000C1F20" w:rsidRPr="00104EAE" w:rsidRDefault="000C1F20" w:rsidP="008D3730">
      <w:pPr>
        <w:tabs>
          <w:tab w:val="num" w:pos="2880"/>
        </w:tabs>
        <w:rPr>
          <w:sz w:val="24"/>
          <w:szCs w:val="24"/>
        </w:rPr>
      </w:pPr>
    </w:p>
    <w:p w:rsidR="00B75FA4" w:rsidRPr="00B0399B" w:rsidRDefault="00B75FA4" w:rsidP="008D3730">
      <w:pPr>
        <w:tabs>
          <w:tab w:val="num" w:pos="2880"/>
        </w:tabs>
        <w:rPr>
          <w:sz w:val="24"/>
          <w:szCs w:val="24"/>
          <w:highlight w:val="yellow"/>
        </w:rPr>
      </w:pPr>
      <w:r w:rsidRPr="00B0399B">
        <w:rPr>
          <w:sz w:val="24"/>
          <w:szCs w:val="24"/>
        </w:rPr>
        <w:t xml:space="preserve">OSEP </w:t>
      </w:r>
      <w:r w:rsidR="000F356B" w:rsidRPr="00B0399B">
        <w:rPr>
          <w:sz w:val="24"/>
          <w:szCs w:val="24"/>
        </w:rPr>
        <w:t>provides training on data collection quality at least annually to</w:t>
      </w:r>
      <w:r w:rsidRPr="00B0399B">
        <w:rPr>
          <w:sz w:val="24"/>
          <w:szCs w:val="24"/>
        </w:rPr>
        <w:t xml:space="preserve"> grantees who receive funds under Personnel Development to Improve Services and Results for Children with Disabilities, CFDA No. 84.325</w:t>
      </w:r>
      <w:r w:rsidR="000F356B" w:rsidRPr="00B0399B">
        <w:rPr>
          <w:sz w:val="24"/>
          <w:szCs w:val="24"/>
        </w:rPr>
        <w:t>.</w:t>
      </w:r>
      <w:r w:rsidRPr="00B0399B">
        <w:rPr>
          <w:sz w:val="24"/>
          <w:szCs w:val="24"/>
        </w:rPr>
        <w:t xml:space="preserve"> .</w:t>
      </w:r>
      <w:r w:rsidR="0010458D" w:rsidRPr="00B0399B">
        <w:rPr>
          <w:sz w:val="24"/>
          <w:szCs w:val="24"/>
        </w:rPr>
        <w:t xml:space="preserve"> </w:t>
      </w:r>
      <w:r w:rsidR="00462DF0" w:rsidRPr="00B0399B">
        <w:rPr>
          <w:sz w:val="24"/>
          <w:szCs w:val="24"/>
        </w:rPr>
        <w:t xml:space="preserve">In addition, </w:t>
      </w:r>
      <w:r w:rsidR="005A6185" w:rsidRPr="00B0399B">
        <w:rPr>
          <w:sz w:val="24"/>
          <w:szCs w:val="24"/>
        </w:rPr>
        <w:t>suggestions</w:t>
      </w:r>
      <w:r w:rsidRPr="00B0399B">
        <w:rPr>
          <w:sz w:val="24"/>
          <w:szCs w:val="24"/>
        </w:rPr>
        <w:t xml:space="preserve"> from grantees</w:t>
      </w:r>
      <w:r w:rsidR="005A6185" w:rsidRPr="00B0399B">
        <w:rPr>
          <w:sz w:val="24"/>
          <w:szCs w:val="24"/>
        </w:rPr>
        <w:t xml:space="preserve"> and scholars provided to OSEP and its contractors over the past four years </w:t>
      </w:r>
      <w:r w:rsidRPr="00B0399B">
        <w:rPr>
          <w:sz w:val="24"/>
          <w:szCs w:val="24"/>
        </w:rPr>
        <w:t xml:space="preserve">were used to clarify questions and response options on the survey instrument. </w:t>
      </w:r>
    </w:p>
    <w:p w:rsidR="00B75FA4" w:rsidRPr="00B0399B" w:rsidRDefault="00B75FA4" w:rsidP="007D178C">
      <w:pPr>
        <w:rPr>
          <w:sz w:val="24"/>
          <w:szCs w:val="24"/>
          <w:highlight w:val="yellow"/>
        </w:rPr>
      </w:pPr>
    </w:p>
    <w:p w:rsidR="000F356B" w:rsidRPr="00B0399B" w:rsidRDefault="000F356B" w:rsidP="000F356B">
      <w:pPr>
        <w:rPr>
          <w:sz w:val="24"/>
          <w:szCs w:val="24"/>
        </w:rPr>
      </w:pPr>
      <w:r w:rsidRPr="00B0399B">
        <w:rPr>
          <w:b/>
          <w:bCs/>
          <w:sz w:val="24"/>
          <w:szCs w:val="24"/>
        </w:rPr>
        <w:t xml:space="preserve">A9. </w:t>
      </w:r>
      <w:r w:rsidRPr="00B0399B">
        <w:rPr>
          <w:b/>
          <w:bCs/>
          <w:sz w:val="24"/>
          <w:szCs w:val="24"/>
        </w:rPr>
        <w:tab/>
        <w:t>Payments or Gifts</w:t>
      </w:r>
    </w:p>
    <w:p w:rsidR="00B75FA4" w:rsidRPr="00B0399B" w:rsidRDefault="00B75FA4" w:rsidP="008D3730">
      <w:pPr>
        <w:rPr>
          <w:sz w:val="24"/>
          <w:szCs w:val="24"/>
        </w:rPr>
      </w:pPr>
    </w:p>
    <w:p w:rsidR="00B75FA4" w:rsidRPr="00B0399B" w:rsidRDefault="000F356B" w:rsidP="008D3730">
      <w:pPr>
        <w:rPr>
          <w:sz w:val="24"/>
          <w:szCs w:val="24"/>
        </w:rPr>
      </w:pPr>
      <w:r w:rsidRPr="00B0399B">
        <w:rPr>
          <w:sz w:val="24"/>
          <w:szCs w:val="24"/>
        </w:rPr>
        <w:t>There are no payments or gifts</w:t>
      </w:r>
      <w:r w:rsidR="00B75FA4" w:rsidRPr="00B0399B">
        <w:rPr>
          <w:sz w:val="24"/>
          <w:szCs w:val="24"/>
        </w:rPr>
        <w:t xml:space="preserve"> to respondents </w:t>
      </w:r>
      <w:r w:rsidRPr="00B0399B">
        <w:rPr>
          <w:sz w:val="24"/>
          <w:szCs w:val="24"/>
        </w:rPr>
        <w:t>in support of the data collection</w:t>
      </w:r>
      <w:r w:rsidR="00B75FA4" w:rsidRPr="00B0399B">
        <w:rPr>
          <w:sz w:val="24"/>
          <w:szCs w:val="24"/>
        </w:rPr>
        <w:t>.</w:t>
      </w:r>
    </w:p>
    <w:p w:rsidR="00F0227D" w:rsidRPr="00B0399B" w:rsidRDefault="00F0227D" w:rsidP="007D178C">
      <w:pPr>
        <w:rPr>
          <w:sz w:val="24"/>
          <w:szCs w:val="24"/>
        </w:rPr>
      </w:pPr>
    </w:p>
    <w:p w:rsidR="000F356B" w:rsidRPr="00B0399B" w:rsidRDefault="000F356B" w:rsidP="000F356B">
      <w:pPr>
        <w:ind w:left="720" w:hanging="720"/>
        <w:rPr>
          <w:b/>
          <w:bCs/>
          <w:sz w:val="24"/>
          <w:szCs w:val="24"/>
        </w:rPr>
      </w:pPr>
      <w:r w:rsidRPr="00B0399B">
        <w:rPr>
          <w:b/>
          <w:bCs/>
          <w:sz w:val="24"/>
          <w:szCs w:val="24"/>
        </w:rPr>
        <w:t xml:space="preserve">A10. </w:t>
      </w:r>
      <w:r w:rsidRPr="00B0399B">
        <w:rPr>
          <w:b/>
          <w:bCs/>
          <w:sz w:val="24"/>
          <w:szCs w:val="24"/>
        </w:rPr>
        <w:tab/>
        <w:t>Assurances of Confidentiality</w:t>
      </w:r>
    </w:p>
    <w:p w:rsidR="005A6185" w:rsidRPr="00B0399B" w:rsidRDefault="005A6185" w:rsidP="00B12F57">
      <w:pPr>
        <w:pStyle w:val="NormalWeb"/>
      </w:pPr>
      <w:r w:rsidRPr="00B0399B">
        <w:t xml:space="preserve">All data collection activities will be conducted in full compliance with ED regulations. Data collection activities will be conducted in compliance with The Privacy Act of 1974, P.L. 93-579, 5 </w:t>
      </w:r>
      <w:smartTag w:uri="urn:schemas-microsoft-com:office:smarttags" w:element="stockticker">
        <w:r w:rsidRPr="00B0399B">
          <w:t>USC</w:t>
        </w:r>
      </w:smartTag>
      <w:r w:rsidR="00C07DD1">
        <w:t xml:space="preserve"> 552 a. </w:t>
      </w:r>
      <w:r w:rsidR="000F356B" w:rsidRPr="00B0399B">
        <w:t>The</w:t>
      </w:r>
      <w:r w:rsidR="00736D7D" w:rsidRPr="00B0399B">
        <w:t xml:space="preserve"> Privacy Impact Assessment</w:t>
      </w:r>
      <w:r w:rsidR="000F356B" w:rsidRPr="00B0399B">
        <w:t xml:space="preserve"> (PIA)</w:t>
      </w:r>
      <w:r w:rsidR="00736D7D" w:rsidRPr="00B0399B">
        <w:t xml:space="preserve"> for The Special Education—Individual Reporting on Regulatory Compliance Related to the Personnel Development Program’s Service Obligation and the Government Performance and Results Act of 1993 (GPRA), </w:t>
      </w:r>
      <w:r w:rsidR="000F356B" w:rsidRPr="00B0399B">
        <w:t xml:space="preserve">was published on </w:t>
      </w:r>
      <w:r w:rsidR="00736D7D" w:rsidRPr="00B0399B">
        <w:t xml:space="preserve">March 21, 2011. </w:t>
      </w:r>
      <w:r w:rsidR="00923626" w:rsidRPr="00B0399B">
        <w:t xml:space="preserve">In accordance with the Privacy Act of </w:t>
      </w:r>
      <w:r w:rsidR="00923626" w:rsidRPr="00B0399B">
        <w:rPr>
          <w:color w:val="171717"/>
        </w:rPr>
        <w:t>1974, a system of records</w:t>
      </w:r>
      <w:r w:rsidR="000F356B" w:rsidRPr="00B0399B">
        <w:rPr>
          <w:color w:val="171717"/>
        </w:rPr>
        <w:t xml:space="preserve"> (SORN)</w:t>
      </w:r>
      <w:r w:rsidR="00923626" w:rsidRPr="00B0399B">
        <w:rPr>
          <w:color w:val="171717"/>
        </w:rPr>
        <w:t xml:space="preserve"> titled</w:t>
      </w:r>
      <w:r w:rsidR="00923626" w:rsidRPr="00B0399B">
        <w:t xml:space="preserve"> </w:t>
      </w:r>
      <w:r w:rsidR="00923626" w:rsidRPr="00B0399B">
        <w:rPr>
          <w:color w:val="171717"/>
        </w:rPr>
        <w:t>Special Education--Individual Reporting on Regulatory Compliance Related to the Personnel Development Program's Service Obligation and the Government Performance and Results Act of 1993 (GPRA)" (18-16-04) was published on Oct</w:t>
      </w:r>
      <w:r w:rsidR="000F356B" w:rsidRPr="00B0399B">
        <w:rPr>
          <w:color w:val="171717"/>
        </w:rPr>
        <w:t>ober</w:t>
      </w:r>
      <w:r w:rsidR="00923626" w:rsidRPr="00B0399B">
        <w:rPr>
          <w:color w:val="171717"/>
        </w:rPr>
        <w:t xml:space="preserve"> 24, 2008.</w:t>
      </w:r>
      <w:r w:rsidR="000F356B" w:rsidRPr="00B0399B">
        <w:rPr>
          <w:color w:val="171717"/>
        </w:rPr>
        <w:t xml:space="preserve"> </w:t>
      </w:r>
    </w:p>
    <w:p w:rsidR="005A6185" w:rsidRPr="00B0399B" w:rsidRDefault="005A6185" w:rsidP="00B12F57">
      <w:pPr>
        <w:rPr>
          <w:sz w:val="24"/>
          <w:szCs w:val="24"/>
        </w:rPr>
      </w:pPr>
      <w:r w:rsidRPr="00B0399B">
        <w:rPr>
          <w:sz w:val="24"/>
          <w:szCs w:val="24"/>
        </w:rPr>
        <w:t xml:space="preserve">Project staff and contractors will adhere to the regulations and laws regarding the confidentiality of individually identifiable information. </w:t>
      </w:r>
    </w:p>
    <w:p w:rsidR="00B75FA4" w:rsidRPr="00B0399B" w:rsidRDefault="00B75FA4" w:rsidP="007D178C">
      <w:pPr>
        <w:rPr>
          <w:sz w:val="24"/>
          <w:szCs w:val="24"/>
          <w:highlight w:val="yellow"/>
        </w:rPr>
      </w:pPr>
    </w:p>
    <w:p w:rsidR="000F356B" w:rsidRPr="00B0399B" w:rsidRDefault="000F356B" w:rsidP="000F356B">
      <w:pPr>
        <w:ind w:left="720" w:hanging="720"/>
        <w:rPr>
          <w:sz w:val="24"/>
          <w:szCs w:val="24"/>
        </w:rPr>
      </w:pPr>
      <w:r w:rsidRPr="00B0399B">
        <w:rPr>
          <w:b/>
          <w:bCs/>
          <w:sz w:val="24"/>
          <w:szCs w:val="24"/>
        </w:rPr>
        <w:t>A11.</w:t>
      </w:r>
      <w:r w:rsidRPr="00B0399B">
        <w:rPr>
          <w:b/>
          <w:bCs/>
          <w:sz w:val="24"/>
          <w:szCs w:val="24"/>
        </w:rPr>
        <w:tab/>
        <w:t>Justification of Sensitive Questions</w:t>
      </w:r>
    </w:p>
    <w:p w:rsidR="00B75FA4" w:rsidRPr="00B0399B" w:rsidRDefault="00B75FA4" w:rsidP="007D178C">
      <w:pPr>
        <w:rPr>
          <w:sz w:val="24"/>
          <w:szCs w:val="24"/>
        </w:rPr>
      </w:pPr>
    </w:p>
    <w:p w:rsidR="0066209B" w:rsidRPr="00B0399B" w:rsidRDefault="00B33A91" w:rsidP="008D3730">
      <w:pPr>
        <w:rPr>
          <w:sz w:val="24"/>
          <w:szCs w:val="24"/>
        </w:rPr>
      </w:pPr>
      <w:r w:rsidRPr="00B0399B">
        <w:rPr>
          <w:sz w:val="24"/>
          <w:szCs w:val="24"/>
        </w:rPr>
        <w:t>Questions regarding Social Security Number (SSN), employment status, and service obligation status may be considered sensitive. However,</w:t>
      </w:r>
      <w:r w:rsidR="0066209B" w:rsidRPr="00B0399B">
        <w:rPr>
          <w:sz w:val="24"/>
          <w:szCs w:val="24"/>
        </w:rPr>
        <w:t xml:space="preserve"> SSN, employment and service </w:t>
      </w:r>
      <w:r w:rsidR="000F356B" w:rsidRPr="00B0399B">
        <w:rPr>
          <w:sz w:val="24"/>
          <w:szCs w:val="24"/>
        </w:rPr>
        <w:t>obligation</w:t>
      </w:r>
      <w:r w:rsidR="0066209B" w:rsidRPr="00B0399B">
        <w:rPr>
          <w:sz w:val="24"/>
          <w:szCs w:val="24"/>
        </w:rPr>
        <w:t xml:space="preserve"> status questions are necessary to directly respond to GPRA measures and program requirements for service obligation. </w:t>
      </w:r>
      <w:r w:rsidRPr="00B0399B">
        <w:rPr>
          <w:sz w:val="24"/>
          <w:szCs w:val="24"/>
        </w:rPr>
        <w:t xml:space="preserve"> </w:t>
      </w:r>
      <w:r w:rsidR="0066209B" w:rsidRPr="00B0399B">
        <w:rPr>
          <w:sz w:val="24"/>
          <w:szCs w:val="24"/>
        </w:rPr>
        <w:t>In addition, the Debt and Payment Management Group and the Department of Treasury require SSN</w:t>
      </w:r>
      <w:r w:rsidR="000F356B" w:rsidRPr="00B0399B">
        <w:rPr>
          <w:sz w:val="24"/>
          <w:szCs w:val="24"/>
        </w:rPr>
        <w:t>s</w:t>
      </w:r>
      <w:r w:rsidR="0066209B" w:rsidRPr="00B0399B">
        <w:rPr>
          <w:sz w:val="24"/>
          <w:szCs w:val="24"/>
        </w:rPr>
        <w:t xml:space="preserve"> when scholars/</w:t>
      </w:r>
      <w:proofErr w:type="spellStart"/>
      <w:r w:rsidR="0066209B" w:rsidRPr="00B0399B">
        <w:rPr>
          <w:sz w:val="24"/>
          <w:szCs w:val="24"/>
        </w:rPr>
        <w:t>obligees</w:t>
      </w:r>
      <w:proofErr w:type="spellEnd"/>
      <w:r w:rsidR="0066209B" w:rsidRPr="00B0399B">
        <w:rPr>
          <w:sz w:val="24"/>
          <w:szCs w:val="24"/>
        </w:rPr>
        <w:t xml:space="preserve"> are referred because they d</w:t>
      </w:r>
      <w:r w:rsidR="000F356B" w:rsidRPr="00B0399B">
        <w:rPr>
          <w:sz w:val="24"/>
          <w:szCs w:val="24"/>
        </w:rPr>
        <w:t>id</w:t>
      </w:r>
      <w:r w:rsidR="0066209B" w:rsidRPr="00B0399B">
        <w:rPr>
          <w:sz w:val="24"/>
          <w:szCs w:val="24"/>
        </w:rPr>
        <w:t xml:space="preserve"> not repay their service obligation through eligible employment and must, therefore, repay part or all of the funding they have received.  </w:t>
      </w:r>
    </w:p>
    <w:p w:rsidR="00B27D59" w:rsidRPr="00B0399B" w:rsidRDefault="00B27D59" w:rsidP="008D3730">
      <w:pPr>
        <w:rPr>
          <w:b/>
          <w:bCs/>
          <w:sz w:val="24"/>
          <w:szCs w:val="24"/>
        </w:rPr>
      </w:pPr>
    </w:p>
    <w:p w:rsidR="00B33A91" w:rsidRPr="00B0399B" w:rsidRDefault="00B33A91" w:rsidP="008D3730">
      <w:pPr>
        <w:pStyle w:val="HTMLPreformatted"/>
        <w:rPr>
          <w:rFonts w:ascii="Times New Roman" w:hAnsi="Times New Roman" w:cs="Times New Roman"/>
          <w:sz w:val="24"/>
          <w:szCs w:val="24"/>
        </w:rPr>
      </w:pPr>
      <w:r w:rsidRPr="00B0399B">
        <w:rPr>
          <w:rFonts w:ascii="Times New Roman" w:hAnsi="Times New Roman" w:cs="Times New Roman"/>
          <w:sz w:val="24"/>
          <w:szCs w:val="24"/>
        </w:rPr>
        <w:t>Race/ethnicity</w:t>
      </w:r>
      <w:r w:rsidR="001B27A5">
        <w:rPr>
          <w:rFonts w:ascii="Times New Roman" w:hAnsi="Times New Roman" w:cs="Times New Roman"/>
          <w:sz w:val="24"/>
          <w:szCs w:val="24"/>
        </w:rPr>
        <w:t xml:space="preserve"> </w:t>
      </w:r>
      <w:r w:rsidRPr="00B0399B">
        <w:rPr>
          <w:rFonts w:ascii="Times New Roman" w:hAnsi="Times New Roman" w:cs="Times New Roman"/>
          <w:sz w:val="24"/>
          <w:szCs w:val="24"/>
        </w:rPr>
        <w:t>data are also collected in this performance report. The IDEA 2004 emphasizes that the training of professionals in the area of special education by minority individuals is essential if the nation is to obtain greater success in the education of minority children with disabilities (Section 601(10)(D)).</w:t>
      </w:r>
      <w:r w:rsidR="0010458D" w:rsidRPr="00B0399B">
        <w:rPr>
          <w:rFonts w:ascii="Times New Roman" w:hAnsi="Times New Roman" w:cs="Times New Roman"/>
          <w:sz w:val="24"/>
          <w:szCs w:val="24"/>
        </w:rPr>
        <w:t xml:space="preserve"> </w:t>
      </w:r>
      <w:r w:rsidRPr="00B0399B">
        <w:rPr>
          <w:rFonts w:ascii="Times New Roman" w:hAnsi="Times New Roman" w:cs="Times New Roman"/>
          <w:sz w:val="24"/>
          <w:szCs w:val="24"/>
        </w:rPr>
        <w:t>Collecting these data will assist in analyzing and increasing the number of minorities trained in special education.</w:t>
      </w:r>
    </w:p>
    <w:p w:rsidR="000F356B" w:rsidRPr="00B0399B" w:rsidRDefault="000F356B" w:rsidP="000F356B">
      <w:pPr>
        <w:rPr>
          <w:b/>
          <w:bCs/>
          <w:sz w:val="24"/>
          <w:szCs w:val="24"/>
        </w:rPr>
      </w:pPr>
    </w:p>
    <w:p w:rsidR="000F356B" w:rsidRPr="00B0399B" w:rsidRDefault="000F356B" w:rsidP="000F356B">
      <w:pPr>
        <w:rPr>
          <w:b/>
          <w:bCs/>
          <w:sz w:val="24"/>
          <w:szCs w:val="24"/>
        </w:rPr>
      </w:pPr>
      <w:r w:rsidRPr="00B0399B">
        <w:rPr>
          <w:b/>
          <w:bCs/>
          <w:sz w:val="24"/>
          <w:szCs w:val="24"/>
        </w:rPr>
        <w:t>A12.</w:t>
      </w:r>
      <w:r w:rsidRPr="00B0399B">
        <w:rPr>
          <w:b/>
          <w:bCs/>
          <w:sz w:val="24"/>
          <w:szCs w:val="24"/>
        </w:rPr>
        <w:tab/>
        <w:t xml:space="preserve">Estimates of Hour Burden </w:t>
      </w:r>
    </w:p>
    <w:p w:rsidR="00B75FA4" w:rsidRPr="00B0399B" w:rsidRDefault="00B75FA4" w:rsidP="007D178C">
      <w:pPr>
        <w:rPr>
          <w:sz w:val="24"/>
          <w:szCs w:val="24"/>
          <w:highlight w:val="yellow"/>
        </w:rPr>
      </w:pPr>
    </w:p>
    <w:p w:rsidR="0010458D" w:rsidRPr="00B0399B" w:rsidRDefault="0010458D" w:rsidP="008D3730">
      <w:pPr>
        <w:rPr>
          <w:sz w:val="24"/>
          <w:szCs w:val="24"/>
        </w:rPr>
      </w:pPr>
      <w:r w:rsidRPr="00B0399B">
        <w:rPr>
          <w:sz w:val="24"/>
          <w:szCs w:val="24"/>
        </w:rPr>
        <w:t>Three different sources—the grantees, scholars/</w:t>
      </w:r>
      <w:proofErr w:type="spellStart"/>
      <w:r w:rsidRPr="00B0399B">
        <w:rPr>
          <w:sz w:val="24"/>
          <w:szCs w:val="24"/>
        </w:rPr>
        <w:t>obligees</w:t>
      </w:r>
      <w:proofErr w:type="spellEnd"/>
      <w:r w:rsidRPr="00B0399B">
        <w:rPr>
          <w:sz w:val="24"/>
          <w:szCs w:val="24"/>
        </w:rPr>
        <w:t xml:space="preserve"> and employers—will be asked to report or verify information about the scholar/</w:t>
      </w:r>
      <w:proofErr w:type="spellStart"/>
      <w:r w:rsidRPr="00B0399B">
        <w:rPr>
          <w:sz w:val="24"/>
          <w:szCs w:val="24"/>
        </w:rPr>
        <w:t>obligee</w:t>
      </w:r>
      <w:proofErr w:type="spellEnd"/>
      <w:r w:rsidRPr="00B0399B">
        <w:rPr>
          <w:sz w:val="24"/>
          <w:szCs w:val="24"/>
        </w:rPr>
        <w:t>. The time taken by a scholar/</w:t>
      </w:r>
      <w:proofErr w:type="spellStart"/>
      <w:r w:rsidRPr="00B0399B">
        <w:rPr>
          <w:sz w:val="24"/>
          <w:szCs w:val="24"/>
        </w:rPr>
        <w:t>obligee</w:t>
      </w:r>
      <w:proofErr w:type="spellEnd"/>
      <w:r w:rsidRPr="00B0399B">
        <w:rPr>
          <w:sz w:val="24"/>
          <w:szCs w:val="24"/>
        </w:rPr>
        <w:t xml:space="preserve"> to complete the Scholar/</w:t>
      </w:r>
      <w:proofErr w:type="spellStart"/>
      <w:r w:rsidRPr="00B0399B">
        <w:rPr>
          <w:sz w:val="24"/>
          <w:szCs w:val="24"/>
        </w:rPr>
        <w:t>Obligee</w:t>
      </w:r>
      <w:proofErr w:type="spellEnd"/>
      <w:r w:rsidRPr="00B0399B">
        <w:rPr>
          <w:sz w:val="24"/>
          <w:szCs w:val="24"/>
        </w:rPr>
        <w:t xml:space="preserve"> Training and Employment Information Form will vary based on the individual’s employment. The approximate time required for grantees to complete the Scholar/</w:t>
      </w:r>
      <w:proofErr w:type="spellStart"/>
      <w:r w:rsidRPr="00B0399B">
        <w:rPr>
          <w:sz w:val="24"/>
          <w:szCs w:val="24"/>
        </w:rPr>
        <w:t>Obligee</w:t>
      </w:r>
      <w:proofErr w:type="spellEnd"/>
      <w:r w:rsidRPr="00B0399B">
        <w:rPr>
          <w:sz w:val="24"/>
          <w:szCs w:val="24"/>
        </w:rPr>
        <w:t xml:space="preserve"> Record Form and for employers to complete the Employer Verification </w:t>
      </w:r>
      <w:r w:rsidR="00923626" w:rsidRPr="00B0399B">
        <w:rPr>
          <w:sz w:val="24"/>
          <w:szCs w:val="24"/>
        </w:rPr>
        <w:t>F</w:t>
      </w:r>
      <w:r w:rsidRPr="00B0399B">
        <w:rPr>
          <w:sz w:val="24"/>
          <w:szCs w:val="24"/>
        </w:rPr>
        <w:t>orm will not vary widely. For all respondents, much of the information in these forms are pre-populated and require only verification.</w:t>
      </w:r>
    </w:p>
    <w:p w:rsidR="0010458D" w:rsidRPr="00B0399B" w:rsidRDefault="0010458D" w:rsidP="008D3730">
      <w:pPr>
        <w:rPr>
          <w:sz w:val="24"/>
          <w:szCs w:val="24"/>
        </w:rPr>
      </w:pPr>
    </w:p>
    <w:p w:rsidR="0010458D" w:rsidRPr="00B0399B" w:rsidRDefault="0010458D" w:rsidP="008D3730">
      <w:pPr>
        <w:rPr>
          <w:sz w:val="24"/>
          <w:szCs w:val="24"/>
        </w:rPr>
      </w:pPr>
      <w:r w:rsidRPr="00B0399B">
        <w:rPr>
          <w:sz w:val="24"/>
          <w:szCs w:val="24"/>
        </w:rPr>
        <w:t xml:space="preserve">Initially, grantees developed individual Service Obligation Agreement and Exit Certification forms that have varied widely in terms of quality. Many grantees have requested that ED provide standardized forms that included all the relevant information related to the service obligation. Therefore, ED developed a standard Service Obligation Pre-Scholarship Agreement </w:t>
      </w:r>
      <w:r w:rsidR="00E879B6">
        <w:rPr>
          <w:sz w:val="24"/>
          <w:szCs w:val="24"/>
        </w:rPr>
        <w:t>F</w:t>
      </w:r>
      <w:r w:rsidR="00E879B6" w:rsidRPr="00B0399B">
        <w:rPr>
          <w:sz w:val="24"/>
          <w:szCs w:val="24"/>
        </w:rPr>
        <w:t xml:space="preserve">orm </w:t>
      </w:r>
      <w:r w:rsidRPr="00B0399B">
        <w:rPr>
          <w:sz w:val="24"/>
          <w:szCs w:val="24"/>
        </w:rPr>
        <w:t>for grantees</w:t>
      </w:r>
      <w:r w:rsidR="00584A37" w:rsidRPr="00B0399B">
        <w:rPr>
          <w:sz w:val="24"/>
          <w:szCs w:val="24"/>
        </w:rPr>
        <w:t xml:space="preserve"> and scholars</w:t>
      </w:r>
      <w:r w:rsidRPr="00B0399B">
        <w:rPr>
          <w:sz w:val="24"/>
          <w:szCs w:val="24"/>
        </w:rPr>
        <w:t xml:space="preserve"> to </w:t>
      </w:r>
      <w:r w:rsidR="00584A37" w:rsidRPr="00B0399B">
        <w:rPr>
          <w:sz w:val="24"/>
          <w:szCs w:val="24"/>
        </w:rPr>
        <w:t xml:space="preserve">complete and sign </w:t>
      </w:r>
      <w:r w:rsidRPr="00B0399B">
        <w:rPr>
          <w:sz w:val="24"/>
          <w:szCs w:val="24"/>
        </w:rPr>
        <w:t xml:space="preserve">prior to offering a scholarship to a scholar and an Exit Certification </w:t>
      </w:r>
      <w:r w:rsidR="00E879B6">
        <w:rPr>
          <w:sz w:val="24"/>
          <w:szCs w:val="24"/>
        </w:rPr>
        <w:t>F</w:t>
      </w:r>
      <w:r w:rsidRPr="00B0399B">
        <w:rPr>
          <w:sz w:val="24"/>
          <w:szCs w:val="24"/>
        </w:rPr>
        <w:t xml:space="preserve">orm </w:t>
      </w:r>
      <w:r w:rsidR="00584A37" w:rsidRPr="00B0399B">
        <w:rPr>
          <w:sz w:val="24"/>
          <w:szCs w:val="24"/>
        </w:rPr>
        <w:t xml:space="preserve">for </w:t>
      </w:r>
      <w:r w:rsidRPr="00B0399B">
        <w:rPr>
          <w:sz w:val="24"/>
          <w:szCs w:val="24"/>
        </w:rPr>
        <w:t xml:space="preserve">the grantee </w:t>
      </w:r>
      <w:r w:rsidR="00584A37" w:rsidRPr="00B0399B">
        <w:rPr>
          <w:sz w:val="24"/>
          <w:szCs w:val="24"/>
        </w:rPr>
        <w:t xml:space="preserve">to </w:t>
      </w:r>
      <w:r w:rsidRPr="00B0399B">
        <w:rPr>
          <w:sz w:val="24"/>
          <w:szCs w:val="24"/>
        </w:rPr>
        <w:t>complete</w:t>
      </w:r>
      <w:r w:rsidR="00B12F57">
        <w:rPr>
          <w:sz w:val="24"/>
          <w:szCs w:val="24"/>
        </w:rPr>
        <w:t>,</w:t>
      </w:r>
      <w:r w:rsidRPr="00B0399B">
        <w:rPr>
          <w:sz w:val="24"/>
          <w:szCs w:val="24"/>
        </w:rPr>
        <w:t xml:space="preserve"> and the scholar </w:t>
      </w:r>
      <w:r w:rsidR="00584A37" w:rsidRPr="00B0399B">
        <w:rPr>
          <w:sz w:val="24"/>
          <w:szCs w:val="24"/>
        </w:rPr>
        <w:t xml:space="preserve">to </w:t>
      </w:r>
      <w:r w:rsidRPr="00B0399B">
        <w:rPr>
          <w:sz w:val="24"/>
          <w:szCs w:val="24"/>
        </w:rPr>
        <w:t>verify</w:t>
      </w:r>
      <w:r w:rsidR="00584A37" w:rsidRPr="00B0399B">
        <w:rPr>
          <w:sz w:val="24"/>
          <w:szCs w:val="24"/>
        </w:rPr>
        <w:t xml:space="preserve"> and sign</w:t>
      </w:r>
      <w:r w:rsidR="00B12F57">
        <w:rPr>
          <w:sz w:val="24"/>
          <w:szCs w:val="24"/>
        </w:rPr>
        <w:t>,</w:t>
      </w:r>
      <w:r w:rsidRPr="00B0399B">
        <w:rPr>
          <w:sz w:val="24"/>
          <w:szCs w:val="24"/>
        </w:rPr>
        <w:t xml:space="preserve"> when the scholar exits</w:t>
      </w:r>
      <w:r w:rsidR="00923626" w:rsidRPr="00B0399B">
        <w:rPr>
          <w:sz w:val="24"/>
          <w:szCs w:val="24"/>
        </w:rPr>
        <w:t xml:space="preserve"> or completes</w:t>
      </w:r>
      <w:r w:rsidRPr="00B0399B">
        <w:rPr>
          <w:sz w:val="24"/>
          <w:szCs w:val="24"/>
        </w:rPr>
        <w:t xml:space="preserve"> the program. </w:t>
      </w:r>
      <w:r w:rsidR="00584A37" w:rsidRPr="00B0399B">
        <w:rPr>
          <w:sz w:val="24"/>
          <w:szCs w:val="24"/>
        </w:rPr>
        <w:t xml:space="preserve">The standardized form was submitted and approved by </w:t>
      </w:r>
      <w:r w:rsidR="00E879B6">
        <w:rPr>
          <w:sz w:val="24"/>
          <w:szCs w:val="24"/>
        </w:rPr>
        <w:t xml:space="preserve">OMB </w:t>
      </w:r>
      <w:r w:rsidR="00584A37" w:rsidRPr="00104EAE">
        <w:rPr>
          <w:sz w:val="24"/>
          <w:szCs w:val="24"/>
        </w:rPr>
        <w:t xml:space="preserve">in 2011.  Subsequently, we have determined a need to include additional information to ensure scholars </w:t>
      </w:r>
      <w:r w:rsidR="00584A37" w:rsidRPr="00B0399B">
        <w:rPr>
          <w:sz w:val="24"/>
          <w:szCs w:val="24"/>
        </w:rPr>
        <w:t>understand their service obligation responsibility.   The revised forms are submitted with this package.</w:t>
      </w:r>
    </w:p>
    <w:p w:rsidR="0010458D" w:rsidRPr="00B0399B" w:rsidRDefault="0010458D" w:rsidP="00B27D59">
      <w:pPr>
        <w:ind w:left="720"/>
        <w:jc w:val="both"/>
        <w:rPr>
          <w:sz w:val="24"/>
          <w:szCs w:val="24"/>
        </w:rPr>
      </w:pPr>
    </w:p>
    <w:p w:rsidR="00423BB0" w:rsidRPr="00B0399B" w:rsidRDefault="00991753" w:rsidP="00B12F57">
      <w:pPr>
        <w:rPr>
          <w:sz w:val="24"/>
          <w:szCs w:val="24"/>
        </w:rPr>
      </w:pPr>
      <w:r w:rsidRPr="00B0399B">
        <w:rPr>
          <w:sz w:val="24"/>
          <w:szCs w:val="24"/>
        </w:rPr>
        <w:t>Table A</w:t>
      </w:r>
      <w:r w:rsidR="00923626" w:rsidRPr="00B0399B">
        <w:rPr>
          <w:sz w:val="24"/>
          <w:szCs w:val="24"/>
        </w:rPr>
        <w:t xml:space="preserve">-1 </w:t>
      </w:r>
      <w:r w:rsidRPr="00B0399B">
        <w:rPr>
          <w:sz w:val="24"/>
          <w:szCs w:val="24"/>
        </w:rPr>
        <w:t xml:space="preserve">presents the </w:t>
      </w:r>
      <w:r w:rsidRPr="00B0399B">
        <w:rPr>
          <w:b/>
          <w:sz w:val="24"/>
          <w:szCs w:val="24"/>
        </w:rPr>
        <w:t>maximum</w:t>
      </w:r>
      <w:r w:rsidRPr="00B0399B">
        <w:rPr>
          <w:sz w:val="24"/>
          <w:szCs w:val="24"/>
        </w:rPr>
        <w:t xml:space="preserve"> annual burden estimates</w:t>
      </w:r>
      <w:r w:rsidR="00F55E94">
        <w:rPr>
          <w:sz w:val="24"/>
          <w:szCs w:val="24"/>
        </w:rPr>
        <w:t xml:space="preserve"> at 14,761 hours</w:t>
      </w:r>
      <w:r w:rsidRPr="00B0399B">
        <w:rPr>
          <w:sz w:val="24"/>
          <w:szCs w:val="24"/>
        </w:rPr>
        <w:t xml:space="preserve"> for grantees, </w:t>
      </w:r>
      <w:r w:rsidR="005B3C74" w:rsidRPr="00B0399B">
        <w:rPr>
          <w:sz w:val="24"/>
          <w:szCs w:val="24"/>
        </w:rPr>
        <w:t>scholars/</w:t>
      </w:r>
      <w:proofErr w:type="spellStart"/>
      <w:r w:rsidR="005B3C74" w:rsidRPr="00B0399B">
        <w:rPr>
          <w:sz w:val="24"/>
          <w:szCs w:val="24"/>
        </w:rPr>
        <w:t>obligees</w:t>
      </w:r>
      <w:proofErr w:type="spellEnd"/>
      <w:r w:rsidRPr="00B0399B">
        <w:rPr>
          <w:sz w:val="24"/>
          <w:szCs w:val="24"/>
        </w:rPr>
        <w:t xml:space="preserve">, and employers. </w:t>
      </w:r>
      <w:r w:rsidR="000F356B" w:rsidRPr="00B0399B">
        <w:rPr>
          <w:sz w:val="24"/>
          <w:szCs w:val="24"/>
        </w:rPr>
        <w:t xml:space="preserve">The program office estimates that 638 grantees, </w:t>
      </w:r>
      <w:r w:rsidR="000F356B" w:rsidRPr="00104EAE">
        <w:rPr>
          <w:sz w:val="24"/>
          <w:szCs w:val="24"/>
        </w:rPr>
        <w:t xml:space="preserve">14,212 </w:t>
      </w:r>
      <w:r w:rsidR="000F356B" w:rsidRPr="00B0399B">
        <w:rPr>
          <w:sz w:val="24"/>
          <w:szCs w:val="24"/>
        </w:rPr>
        <w:t xml:space="preserve"> </w:t>
      </w:r>
      <w:r w:rsidR="001303CB">
        <w:rPr>
          <w:sz w:val="24"/>
          <w:szCs w:val="24"/>
        </w:rPr>
        <w:t>scholars/</w:t>
      </w:r>
      <w:proofErr w:type="spellStart"/>
      <w:r w:rsidR="001303CB">
        <w:rPr>
          <w:sz w:val="24"/>
          <w:szCs w:val="24"/>
        </w:rPr>
        <w:t>obligees</w:t>
      </w:r>
      <w:proofErr w:type="spellEnd"/>
      <w:r w:rsidR="000F356B" w:rsidRPr="00B0399B">
        <w:rPr>
          <w:sz w:val="24"/>
          <w:szCs w:val="24"/>
        </w:rPr>
        <w:t xml:space="preserve">, and </w:t>
      </w:r>
      <w:r w:rsidR="000F356B" w:rsidRPr="00104EAE">
        <w:rPr>
          <w:sz w:val="24"/>
          <w:szCs w:val="24"/>
        </w:rPr>
        <w:t xml:space="preserve">14,212 </w:t>
      </w:r>
      <w:r w:rsidR="000F356B" w:rsidRPr="00B0399B">
        <w:rPr>
          <w:sz w:val="24"/>
          <w:szCs w:val="24"/>
        </w:rPr>
        <w:t xml:space="preserve"> employers will respond to this collection.  </w:t>
      </w:r>
      <w:r w:rsidR="00423BB0" w:rsidRPr="00104EAE">
        <w:rPr>
          <w:sz w:val="24"/>
          <w:szCs w:val="24"/>
        </w:rPr>
        <w:t>Given that scholars/</w:t>
      </w:r>
      <w:proofErr w:type="spellStart"/>
      <w:r w:rsidR="00423BB0" w:rsidRPr="00104EAE">
        <w:rPr>
          <w:sz w:val="24"/>
          <w:szCs w:val="24"/>
        </w:rPr>
        <w:t>obligees</w:t>
      </w:r>
      <w:proofErr w:type="spellEnd"/>
      <w:r w:rsidR="00423BB0" w:rsidRPr="00104EAE">
        <w:rPr>
          <w:sz w:val="24"/>
          <w:szCs w:val="24"/>
        </w:rPr>
        <w:t xml:space="preserve"> and employers are only required to respond once a scholar/</w:t>
      </w:r>
      <w:proofErr w:type="spellStart"/>
      <w:r w:rsidR="00423BB0" w:rsidRPr="00104EAE">
        <w:rPr>
          <w:sz w:val="24"/>
          <w:szCs w:val="24"/>
        </w:rPr>
        <w:t>obligee</w:t>
      </w:r>
      <w:proofErr w:type="spellEnd"/>
      <w:r w:rsidR="00423BB0" w:rsidRPr="00104EAE">
        <w:rPr>
          <w:sz w:val="24"/>
          <w:szCs w:val="24"/>
        </w:rPr>
        <w:t xml:space="preserve"> has completed or exited a grant training program, it is possible that not all scholars/</w:t>
      </w:r>
      <w:proofErr w:type="spellStart"/>
      <w:r w:rsidR="00423BB0" w:rsidRPr="00104EAE">
        <w:rPr>
          <w:sz w:val="24"/>
          <w:szCs w:val="24"/>
        </w:rPr>
        <w:t>obligees</w:t>
      </w:r>
      <w:proofErr w:type="spellEnd"/>
      <w:r w:rsidR="00423BB0" w:rsidRPr="00104EAE">
        <w:rPr>
          <w:sz w:val="24"/>
          <w:szCs w:val="24"/>
        </w:rPr>
        <w:t>/employers in the counts below will respond in any given year; h</w:t>
      </w:r>
      <w:r w:rsidR="00423BB0" w:rsidRPr="00B0399B">
        <w:rPr>
          <w:sz w:val="24"/>
          <w:szCs w:val="24"/>
        </w:rPr>
        <w:t>owever, for the purposes of estimating burden, we present the maximum burden estimate by assuming that all of t</w:t>
      </w:r>
      <w:r w:rsidR="00831E62" w:rsidRPr="00B0399B">
        <w:rPr>
          <w:sz w:val="24"/>
          <w:szCs w:val="24"/>
        </w:rPr>
        <w:t xml:space="preserve">he </w:t>
      </w:r>
      <w:r w:rsidR="000F356B" w:rsidRPr="00B0399B">
        <w:rPr>
          <w:sz w:val="24"/>
          <w:szCs w:val="24"/>
        </w:rPr>
        <w:t xml:space="preserve">14,212  </w:t>
      </w:r>
      <w:r w:rsidR="00423BB0" w:rsidRPr="00104EAE">
        <w:rPr>
          <w:sz w:val="24"/>
          <w:szCs w:val="24"/>
        </w:rPr>
        <w:t>scholars/</w:t>
      </w:r>
      <w:proofErr w:type="spellStart"/>
      <w:r w:rsidR="00423BB0" w:rsidRPr="00104EAE">
        <w:rPr>
          <w:sz w:val="24"/>
          <w:szCs w:val="24"/>
        </w:rPr>
        <w:t>obligees</w:t>
      </w:r>
      <w:proofErr w:type="spellEnd"/>
      <w:r w:rsidR="00423BB0" w:rsidRPr="00104EAE">
        <w:rPr>
          <w:sz w:val="24"/>
          <w:szCs w:val="24"/>
        </w:rPr>
        <w:t xml:space="preserve"> will be contacted annually, and all </w:t>
      </w:r>
      <w:r w:rsidR="001303CB">
        <w:rPr>
          <w:sz w:val="24"/>
          <w:szCs w:val="24"/>
        </w:rPr>
        <w:t>scholars/</w:t>
      </w:r>
      <w:proofErr w:type="spellStart"/>
      <w:r w:rsidR="001303CB">
        <w:rPr>
          <w:sz w:val="24"/>
          <w:szCs w:val="24"/>
        </w:rPr>
        <w:t>obligees</w:t>
      </w:r>
      <w:proofErr w:type="spellEnd"/>
      <w:r w:rsidR="001303CB" w:rsidRPr="00104EAE">
        <w:rPr>
          <w:sz w:val="24"/>
          <w:szCs w:val="24"/>
        </w:rPr>
        <w:t xml:space="preserve"> </w:t>
      </w:r>
      <w:r w:rsidR="00423BB0" w:rsidRPr="00104EAE">
        <w:rPr>
          <w:sz w:val="24"/>
          <w:szCs w:val="24"/>
        </w:rPr>
        <w:t>will be employed. The actual number of grantees, scholars/</w:t>
      </w:r>
      <w:proofErr w:type="spellStart"/>
      <w:r w:rsidR="00423BB0" w:rsidRPr="00104EAE">
        <w:rPr>
          <w:sz w:val="24"/>
          <w:szCs w:val="24"/>
        </w:rPr>
        <w:t>obligees</w:t>
      </w:r>
      <w:proofErr w:type="spellEnd"/>
      <w:r w:rsidR="00423BB0" w:rsidRPr="00104EAE">
        <w:rPr>
          <w:sz w:val="24"/>
          <w:szCs w:val="24"/>
        </w:rPr>
        <w:t xml:space="preserve"> </w:t>
      </w:r>
      <w:r w:rsidR="00423BB0" w:rsidRPr="00B0399B">
        <w:rPr>
          <w:sz w:val="24"/>
          <w:szCs w:val="24"/>
        </w:rPr>
        <w:t>and employers may vary due to the availability of Federal appropriations, number of grant awards made, and the number of scholars recruited by each project. This is our best estimate taking these variables into consideration.</w:t>
      </w:r>
    </w:p>
    <w:p w:rsidR="00423BB0" w:rsidRPr="00B0399B" w:rsidRDefault="00423BB0" w:rsidP="00B12F57">
      <w:pPr>
        <w:rPr>
          <w:sz w:val="24"/>
          <w:szCs w:val="24"/>
        </w:rPr>
      </w:pPr>
    </w:p>
    <w:p w:rsidR="00423BB0" w:rsidRPr="00B0399B" w:rsidRDefault="004A6346" w:rsidP="00B12F57">
      <w:pPr>
        <w:rPr>
          <w:sz w:val="24"/>
          <w:szCs w:val="24"/>
        </w:rPr>
      </w:pPr>
      <w:r w:rsidRPr="00B0399B">
        <w:rPr>
          <w:bCs/>
          <w:sz w:val="24"/>
          <w:szCs w:val="24"/>
        </w:rPr>
        <w:t xml:space="preserve">For burden estimates, we assume that grantee administrators and employer representatives have an hourly rate of $50. We assume an average hourly rate of $24.69 for </w:t>
      </w:r>
      <w:proofErr w:type="spellStart"/>
      <w:r w:rsidRPr="00B0399B">
        <w:rPr>
          <w:bCs/>
          <w:sz w:val="24"/>
          <w:szCs w:val="24"/>
        </w:rPr>
        <w:t>obligees</w:t>
      </w:r>
      <w:proofErr w:type="spellEnd"/>
      <w:r w:rsidRPr="00B0399B">
        <w:rPr>
          <w:bCs/>
          <w:sz w:val="24"/>
          <w:szCs w:val="24"/>
        </w:rPr>
        <w:t xml:space="preserve">, understanding that some </w:t>
      </w:r>
      <w:proofErr w:type="spellStart"/>
      <w:r w:rsidRPr="00B0399B">
        <w:rPr>
          <w:bCs/>
          <w:sz w:val="24"/>
          <w:szCs w:val="24"/>
        </w:rPr>
        <w:t>obligees</w:t>
      </w:r>
      <w:proofErr w:type="spellEnd"/>
      <w:r w:rsidRPr="00B0399B">
        <w:rPr>
          <w:bCs/>
          <w:sz w:val="24"/>
          <w:szCs w:val="24"/>
        </w:rPr>
        <w:t xml:space="preserve"> may be earning more as administrators, and some may be earning less as teachers or while in deferment. Given these rates and the hour estimates above, the maximum estimated annual burden is </w:t>
      </w:r>
      <w:r w:rsidRPr="00B0399B">
        <w:rPr>
          <w:sz w:val="24"/>
          <w:szCs w:val="24"/>
        </w:rPr>
        <w:t>$5</w:t>
      </w:r>
      <w:r w:rsidR="00490E3A" w:rsidRPr="00B0399B">
        <w:rPr>
          <w:sz w:val="24"/>
          <w:szCs w:val="24"/>
        </w:rPr>
        <w:t>85</w:t>
      </w:r>
      <w:r w:rsidRPr="00B0399B">
        <w:rPr>
          <w:sz w:val="24"/>
          <w:szCs w:val="24"/>
        </w:rPr>
        <w:t>,</w:t>
      </w:r>
      <w:r w:rsidR="00490E3A" w:rsidRPr="00B0399B">
        <w:rPr>
          <w:sz w:val="24"/>
          <w:szCs w:val="24"/>
        </w:rPr>
        <w:t>0</w:t>
      </w:r>
      <w:r w:rsidRPr="00B0399B">
        <w:rPr>
          <w:sz w:val="24"/>
          <w:szCs w:val="24"/>
        </w:rPr>
        <w:t>5</w:t>
      </w:r>
      <w:r w:rsidR="00A01F68" w:rsidRPr="00B0399B">
        <w:rPr>
          <w:sz w:val="24"/>
          <w:szCs w:val="24"/>
        </w:rPr>
        <w:t>3</w:t>
      </w:r>
      <w:r w:rsidRPr="00B0399B">
        <w:rPr>
          <w:b/>
          <w:sz w:val="24"/>
          <w:szCs w:val="24"/>
        </w:rPr>
        <w:t xml:space="preserve"> </w:t>
      </w:r>
      <w:r w:rsidRPr="00B0399B">
        <w:rPr>
          <w:bCs/>
          <w:sz w:val="24"/>
          <w:szCs w:val="24"/>
        </w:rPr>
        <w:t xml:space="preserve">across all grantees, </w:t>
      </w:r>
      <w:proofErr w:type="spellStart"/>
      <w:r w:rsidRPr="00B0399B">
        <w:rPr>
          <w:bCs/>
          <w:sz w:val="24"/>
          <w:szCs w:val="24"/>
        </w:rPr>
        <w:t>obligees</w:t>
      </w:r>
      <w:proofErr w:type="spellEnd"/>
      <w:r w:rsidRPr="00B0399B">
        <w:rPr>
          <w:bCs/>
          <w:sz w:val="24"/>
          <w:szCs w:val="24"/>
        </w:rPr>
        <w:t xml:space="preserve">, and employer representatives. </w:t>
      </w:r>
      <w:r w:rsidR="00423BB0" w:rsidRPr="00B0399B">
        <w:rPr>
          <w:sz w:val="24"/>
          <w:szCs w:val="24"/>
        </w:rPr>
        <w:t>Below we describe how these estimates were derived</w:t>
      </w:r>
      <w:r w:rsidR="00831E62" w:rsidRPr="00B0399B">
        <w:rPr>
          <w:sz w:val="24"/>
          <w:szCs w:val="24"/>
        </w:rPr>
        <w:t xml:space="preserve"> for each instrument</w:t>
      </w:r>
      <w:r w:rsidR="00423BB0" w:rsidRPr="00B0399B">
        <w:rPr>
          <w:sz w:val="24"/>
          <w:szCs w:val="24"/>
        </w:rPr>
        <w:t>.</w:t>
      </w:r>
    </w:p>
    <w:p w:rsidR="00423BB0" w:rsidRPr="00B0399B" w:rsidRDefault="00423BB0" w:rsidP="00B12F57">
      <w:pPr>
        <w:ind w:left="720"/>
        <w:rPr>
          <w:sz w:val="24"/>
          <w:szCs w:val="24"/>
        </w:rPr>
      </w:pPr>
    </w:p>
    <w:p w:rsidR="00831E62" w:rsidRPr="00B0399B" w:rsidRDefault="00831E62" w:rsidP="00B12F57">
      <w:pPr>
        <w:rPr>
          <w:i/>
          <w:sz w:val="24"/>
          <w:szCs w:val="24"/>
        </w:rPr>
      </w:pPr>
      <w:r w:rsidRPr="00B0399B">
        <w:rPr>
          <w:i/>
          <w:sz w:val="24"/>
          <w:szCs w:val="24"/>
        </w:rPr>
        <w:t>IH</w:t>
      </w:r>
      <w:r w:rsidR="009A783E" w:rsidRPr="00B0399B">
        <w:rPr>
          <w:i/>
          <w:sz w:val="24"/>
          <w:szCs w:val="24"/>
        </w:rPr>
        <w:t>Es: Scholar/</w:t>
      </w:r>
      <w:proofErr w:type="spellStart"/>
      <w:r w:rsidR="009A783E" w:rsidRPr="00B0399B">
        <w:rPr>
          <w:i/>
          <w:sz w:val="24"/>
          <w:szCs w:val="24"/>
        </w:rPr>
        <w:t>Obligee</w:t>
      </w:r>
      <w:proofErr w:type="spellEnd"/>
      <w:r w:rsidR="009A783E" w:rsidRPr="00B0399B">
        <w:rPr>
          <w:i/>
          <w:sz w:val="24"/>
          <w:szCs w:val="24"/>
        </w:rPr>
        <w:t xml:space="preserve"> Record Form</w:t>
      </w:r>
    </w:p>
    <w:p w:rsidR="00831E62" w:rsidRPr="00B0399B" w:rsidRDefault="00831E62" w:rsidP="00B12F57">
      <w:pPr>
        <w:rPr>
          <w:sz w:val="24"/>
          <w:szCs w:val="24"/>
        </w:rPr>
      </w:pPr>
    </w:p>
    <w:p w:rsidR="00991753" w:rsidRPr="00B0399B" w:rsidRDefault="00185679" w:rsidP="00B12F57">
      <w:pPr>
        <w:rPr>
          <w:sz w:val="24"/>
          <w:szCs w:val="24"/>
        </w:rPr>
      </w:pPr>
      <w:r w:rsidRPr="00B0399B">
        <w:rPr>
          <w:sz w:val="24"/>
          <w:szCs w:val="24"/>
        </w:rPr>
        <w:t>We estimate</w:t>
      </w:r>
      <w:r w:rsidR="00991753" w:rsidRPr="00B0399B">
        <w:rPr>
          <w:sz w:val="24"/>
          <w:szCs w:val="24"/>
        </w:rPr>
        <w:t xml:space="preserve"> that </w:t>
      </w:r>
      <w:r w:rsidR="00FB7B94" w:rsidRPr="00B0399B">
        <w:rPr>
          <w:sz w:val="24"/>
          <w:szCs w:val="24"/>
        </w:rPr>
        <w:t>6</w:t>
      </w:r>
      <w:r w:rsidR="009A783E" w:rsidRPr="00B0399B">
        <w:rPr>
          <w:sz w:val="24"/>
          <w:szCs w:val="24"/>
        </w:rPr>
        <w:t>3</w:t>
      </w:r>
      <w:r w:rsidR="00FB7B94" w:rsidRPr="00B0399B">
        <w:rPr>
          <w:sz w:val="24"/>
          <w:szCs w:val="24"/>
        </w:rPr>
        <w:t>8</w:t>
      </w:r>
      <w:r w:rsidR="00831E62" w:rsidRPr="00B0399B">
        <w:rPr>
          <w:sz w:val="24"/>
          <w:szCs w:val="24"/>
        </w:rPr>
        <w:t xml:space="preserve"> grantees will respond to </w:t>
      </w:r>
      <w:r w:rsidRPr="00B0399B">
        <w:rPr>
          <w:sz w:val="24"/>
          <w:szCs w:val="24"/>
        </w:rPr>
        <w:t>this data collection instrument</w:t>
      </w:r>
      <w:r w:rsidR="009A783E" w:rsidRPr="00B0399B">
        <w:rPr>
          <w:sz w:val="24"/>
          <w:szCs w:val="24"/>
        </w:rPr>
        <w:t xml:space="preserve"> annually</w:t>
      </w:r>
      <w:r w:rsidRPr="00B0399B">
        <w:rPr>
          <w:sz w:val="24"/>
          <w:szCs w:val="24"/>
        </w:rPr>
        <w:t>. To date, there are currently 587 grantees in the database. Based on awards made during FY 2012, we anticipate adding another 51 grantees this summer</w:t>
      </w:r>
      <w:r w:rsidR="00991753" w:rsidRPr="00B0399B">
        <w:rPr>
          <w:sz w:val="24"/>
          <w:szCs w:val="24"/>
        </w:rPr>
        <w:t xml:space="preserve">. </w:t>
      </w:r>
    </w:p>
    <w:p w:rsidR="00185679" w:rsidRPr="00B0399B" w:rsidRDefault="00185679" w:rsidP="00B12F57">
      <w:pPr>
        <w:ind w:left="720"/>
        <w:rPr>
          <w:sz w:val="24"/>
          <w:szCs w:val="24"/>
        </w:rPr>
      </w:pPr>
    </w:p>
    <w:p w:rsidR="00185679" w:rsidRPr="00B0399B" w:rsidRDefault="00991753" w:rsidP="00B12F57">
      <w:pPr>
        <w:rPr>
          <w:sz w:val="24"/>
          <w:szCs w:val="24"/>
        </w:rPr>
      </w:pPr>
      <w:r w:rsidRPr="00B0399B">
        <w:rPr>
          <w:bCs/>
          <w:sz w:val="24"/>
          <w:szCs w:val="24"/>
        </w:rPr>
        <w:t xml:space="preserve">The burden for grantees of completing the </w:t>
      </w:r>
      <w:r w:rsidR="00AF77A1" w:rsidRPr="00B0399B">
        <w:rPr>
          <w:bCs/>
          <w:sz w:val="24"/>
          <w:szCs w:val="24"/>
        </w:rPr>
        <w:t>IHE Scholar/</w:t>
      </w:r>
      <w:proofErr w:type="spellStart"/>
      <w:r w:rsidR="00AF77A1" w:rsidRPr="00B0399B">
        <w:rPr>
          <w:bCs/>
          <w:sz w:val="24"/>
          <w:szCs w:val="24"/>
        </w:rPr>
        <w:t>Obligee</w:t>
      </w:r>
      <w:proofErr w:type="spellEnd"/>
      <w:r w:rsidRPr="00B0399B">
        <w:rPr>
          <w:bCs/>
          <w:sz w:val="24"/>
          <w:szCs w:val="24"/>
        </w:rPr>
        <w:t xml:space="preserve"> Record form is estimated at </w:t>
      </w:r>
      <w:r w:rsidR="00AF77A1" w:rsidRPr="00B0399B">
        <w:rPr>
          <w:bCs/>
          <w:sz w:val="24"/>
          <w:szCs w:val="24"/>
        </w:rPr>
        <w:t>8</w:t>
      </w:r>
      <w:r w:rsidRPr="00B0399B">
        <w:rPr>
          <w:bCs/>
          <w:sz w:val="24"/>
          <w:szCs w:val="24"/>
        </w:rPr>
        <w:t xml:space="preserve"> hours per grantee per year. This estimate includes an average of </w:t>
      </w:r>
      <w:r w:rsidR="00AF77A1" w:rsidRPr="00B0399B">
        <w:rPr>
          <w:bCs/>
          <w:sz w:val="24"/>
          <w:szCs w:val="24"/>
        </w:rPr>
        <w:t>25</w:t>
      </w:r>
      <w:r w:rsidRPr="00B0399B">
        <w:rPr>
          <w:bCs/>
          <w:sz w:val="24"/>
          <w:szCs w:val="24"/>
        </w:rPr>
        <w:t xml:space="preserve"> minutes per </w:t>
      </w:r>
      <w:r w:rsidR="00AF77A1" w:rsidRPr="00B0399B">
        <w:rPr>
          <w:bCs/>
          <w:sz w:val="24"/>
          <w:szCs w:val="24"/>
        </w:rPr>
        <w:t>scholar/</w:t>
      </w:r>
      <w:proofErr w:type="spellStart"/>
      <w:r w:rsidR="00AF77A1" w:rsidRPr="00B0399B">
        <w:rPr>
          <w:bCs/>
          <w:sz w:val="24"/>
          <w:szCs w:val="24"/>
        </w:rPr>
        <w:t>obligee</w:t>
      </w:r>
      <w:proofErr w:type="spellEnd"/>
      <w:r w:rsidRPr="00B0399B">
        <w:rPr>
          <w:bCs/>
          <w:sz w:val="24"/>
          <w:szCs w:val="24"/>
        </w:rPr>
        <w:t xml:space="preserve"> the grantee will spend entering and updating information each </w:t>
      </w:r>
      <w:r w:rsidR="00AF77A1" w:rsidRPr="00B0399B">
        <w:rPr>
          <w:bCs/>
          <w:sz w:val="24"/>
          <w:szCs w:val="24"/>
        </w:rPr>
        <w:t>year.</w:t>
      </w:r>
      <w:r w:rsidRPr="00B0399B">
        <w:rPr>
          <w:bCs/>
          <w:sz w:val="24"/>
          <w:szCs w:val="24"/>
        </w:rPr>
        <w:t xml:space="preserve"> </w:t>
      </w:r>
      <w:r w:rsidR="00185679" w:rsidRPr="00B0399B">
        <w:rPr>
          <w:sz w:val="24"/>
          <w:szCs w:val="24"/>
        </w:rPr>
        <w:t xml:space="preserve">Using actual data from previous collections, OSEP has estimated that each grant would </w:t>
      </w:r>
      <w:r w:rsidR="002163D2" w:rsidRPr="00B0399B">
        <w:rPr>
          <w:sz w:val="24"/>
          <w:szCs w:val="24"/>
        </w:rPr>
        <w:t>need to update data annually on 20 scholars</w:t>
      </w:r>
      <w:r w:rsidR="00185679" w:rsidRPr="00B0399B">
        <w:rPr>
          <w:sz w:val="24"/>
          <w:szCs w:val="24"/>
        </w:rPr>
        <w:t xml:space="preserve">. </w:t>
      </w:r>
      <w:r w:rsidR="002163D2" w:rsidRPr="00B0399B">
        <w:rPr>
          <w:sz w:val="24"/>
          <w:szCs w:val="24"/>
        </w:rPr>
        <w:t>The estimate of 20 scholars is based on enrollment data collected from grantees over the past 10 years.</w:t>
      </w:r>
    </w:p>
    <w:p w:rsidR="00AF77A1" w:rsidRPr="00B0399B" w:rsidRDefault="00AF77A1" w:rsidP="008D3730">
      <w:pPr>
        <w:jc w:val="both"/>
        <w:rPr>
          <w:bCs/>
          <w:sz w:val="24"/>
          <w:szCs w:val="24"/>
          <w:highlight w:val="yellow"/>
        </w:rPr>
      </w:pPr>
    </w:p>
    <w:p w:rsidR="009A783E" w:rsidRPr="00B0399B" w:rsidRDefault="009A783E" w:rsidP="008D3730">
      <w:pPr>
        <w:jc w:val="both"/>
        <w:rPr>
          <w:i/>
          <w:sz w:val="24"/>
          <w:szCs w:val="24"/>
        </w:rPr>
      </w:pPr>
      <w:r w:rsidRPr="00B0399B">
        <w:rPr>
          <w:i/>
          <w:sz w:val="24"/>
          <w:szCs w:val="24"/>
        </w:rPr>
        <w:t>IHEs: Pre-Scholarship Agreement</w:t>
      </w:r>
    </w:p>
    <w:p w:rsidR="009A783E" w:rsidRPr="00B0399B" w:rsidRDefault="009A783E" w:rsidP="00B12F57">
      <w:pPr>
        <w:rPr>
          <w:sz w:val="24"/>
          <w:szCs w:val="24"/>
        </w:rPr>
      </w:pPr>
    </w:p>
    <w:p w:rsidR="009A783E" w:rsidRPr="00B0399B" w:rsidRDefault="009A783E" w:rsidP="00B12F57">
      <w:pPr>
        <w:rPr>
          <w:sz w:val="24"/>
          <w:szCs w:val="24"/>
        </w:rPr>
      </w:pPr>
      <w:r w:rsidRPr="00B0399B">
        <w:rPr>
          <w:sz w:val="24"/>
          <w:szCs w:val="24"/>
        </w:rPr>
        <w:t xml:space="preserve">The Pre-Scholarship Agreement is completed only once per scholar per grant. These agreements are signed at the time the scholar enrolls in the grant-supported training. We anticipate that the grant project directors are presenting information about their programs and explaining the agreement during their program orientations. Therefore, we expect project directors to conduct these sessions in groups rather than individually. These sessions are estimated to take 30 minutes to ensure scholars are well informed about the nature of the agreement. </w:t>
      </w:r>
    </w:p>
    <w:p w:rsidR="009A783E" w:rsidRPr="00B0399B" w:rsidRDefault="009A783E" w:rsidP="00B12F57">
      <w:pPr>
        <w:rPr>
          <w:sz w:val="24"/>
          <w:szCs w:val="24"/>
        </w:rPr>
      </w:pPr>
    </w:p>
    <w:p w:rsidR="009A783E" w:rsidRPr="00B0399B" w:rsidRDefault="009A783E" w:rsidP="00B12F57">
      <w:pPr>
        <w:rPr>
          <w:sz w:val="24"/>
          <w:szCs w:val="24"/>
        </w:rPr>
      </w:pPr>
      <w:r w:rsidRPr="00B0399B">
        <w:rPr>
          <w:sz w:val="24"/>
          <w:szCs w:val="24"/>
        </w:rPr>
        <w:t xml:space="preserve">Our estimate is based on the assumption that grantees will meet with scholars in groups of </w:t>
      </w:r>
      <w:r w:rsidR="002163D2" w:rsidRPr="00B0399B">
        <w:rPr>
          <w:sz w:val="24"/>
          <w:szCs w:val="24"/>
        </w:rPr>
        <w:t xml:space="preserve">five to explain the agreement, answer questions, and </w:t>
      </w:r>
      <w:r w:rsidR="00923626" w:rsidRPr="00B0399B">
        <w:rPr>
          <w:sz w:val="24"/>
          <w:szCs w:val="24"/>
        </w:rPr>
        <w:t xml:space="preserve">submit </w:t>
      </w:r>
      <w:r w:rsidR="002163D2" w:rsidRPr="00B0399B">
        <w:rPr>
          <w:sz w:val="24"/>
          <w:szCs w:val="24"/>
        </w:rPr>
        <w:t>the form</w:t>
      </w:r>
      <w:r w:rsidRPr="00B0399B">
        <w:rPr>
          <w:sz w:val="24"/>
          <w:szCs w:val="24"/>
        </w:rPr>
        <w:t xml:space="preserve">. Because the agreement is only </w:t>
      </w:r>
      <w:r w:rsidR="00923626" w:rsidRPr="00B0399B">
        <w:rPr>
          <w:sz w:val="24"/>
          <w:szCs w:val="24"/>
        </w:rPr>
        <w:t xml:space="preserve">submitted </w:t>
      </w:r>
      <w:r w:rsidRPr="00B0399B">
        <w:rPr>
          <w:sz w:val="24"/>
          <w:szCs w:val="24"/>
        </w:rPr>
        <w:t>prior to the start of training, grantees will</w:t>
      </w:r>
      <w:r w:rsidR="002163D2" w:rsidRPr="00B0399B">
        <w:rPr>
          <w:sz w:val="24"/>
          <w:szCs w:val="24"/>
        </w:rPr>
        <w:t xml:space="preserve"> primarily</w:t>
      </w:r>
      <w:r w:rsidRPr="00B0399B">
        <w:rPr>
          <w:sz w:val="24"/>
          <w:szCs w:val="24"/>
        </w:rPr>
        <w:t xml:space="preserve"> be conducting this activity in the first and second years of their </w:t>
      </w:r>
      <w:r w:rsidR="00923626" w:rsidRPr="00B0399B">
        <w:rPr>
          <w:sz w:val="24"/>
          <w:szCs w:val="24"/>
        </w:rPr>
        <w:t>grant</w:t>
      </w:r>
      <w:r w:rsidRPr="00B0399B">
        <w:rPr>
          <w:sz w:val="24"/>
          <w:szCs w:val="24"/>
        </w:rPr>
        <w:t>. We estimated that 120 grants would need to conduct this activity annually with an average of 28 scholars per grant, or approximately 6 times</w:t>
      </w:r>
      <w:r w:rsidR="002163D2" w:rsidRPr="00B0399B">
        <w:rPr>
          <w:sz w:val="24"/>
          <w:szCs w:val="24"/>
        </w:rPr>
        <w:t>. Our estimate is based on roughly 50 to 60 grant awards being made in each FY.</w:t>
      </w:r>
    </w:p>
    <w:p w:rsidR="009A783E" w:rsidRPr="00B0399B" w:rsidRDefault="009A783E" w:rsidP="00B12F57">
      <w:pPr>
        <w:rPr>
          <w:bCs/>
          <w:sz w:val="24"/>
          <w:szCs w:val="24"/>
          <w:highlight w:val="yellow"/>
        </w:rPr>
      </w:pPr>
    </w:p>
    <w:p w:rsidR="002163D2" w:rsidRPr="00B0399B" w:rsidRDefault="002163D2" w:rsidP="00B12F57">
      <w:pPr>
        <w:rPr>
          <w:i/>
          <w:sz w:val="24"/>
          <w:szCs w:val="24"/>
        </w:rPr>
      </w:pPr>
      <w:r w:rsidRPr="00B0399B">
        <w:rPr>
          <w:i/>
          <w:sz w:val="24"/>
          <w:szCs w:val="24"/>
        </w:rPr>
        <w:t>IHEs: Exit Certification</w:t>
      </w:r>
    </w:p>
    <w:p w:rsidR="002163D2" w:rsidRPr="00B0399B" w:rsidRDefault="002163D2" w:rsidP="00B12F57">
      <w:pPr>
        <w:rPr>
          <w:bCs/>
          <w:sz w:val="24"/>
          <w:szCs w:val="24"/>
        </w:rPr>
      </w:pPr>
    </w:p>
    <w:p w:rsidR="002163D2" w:rsidRPr="00B0399B" w:rsidRDefault="002163D2" w:rsidP="00B12F57">
      <w:pPr>
        <w:rPr>
          <w:bCs/>
          <w:sz w:val="24"/>
          <w:szCs w:val="24"/>
        </w:rPr>
      </w:pPr>
      <w:r w:rsidRPr="00B0399B">
        <w:rPr>
          <w:bCs/>
          <w:sz w:val="24"/>
          <w:szCs w:val="24"/>
        </w:rPr>
        <w:t xml:space="preserve">The Exit Certification is completed only once per scholar per grant. The exit certifications are signed and issued when a scholar completes the grant training program or exits prior to completion. We anticipate that grant project directors are completing these agreements one-on-one with the scholars and that it will take approximately 15 minutes to review the agreement and </w:t>
      </w:r>
      <w:r w:rsidR="00923626" w:rsidRPr="00B0399B">
        <w:rPr>
          <w:bCs/>
          <w:sz w:val="24"/>
          <w:szCs w:val="24"/>
        </w:rPr>
        <w:t>submit</w:t>
      </w:r>
      <w:r w:rsidRPr="00B0399B">
        <w:rPr>
          <w:bCs/>
          <w:sz w:val="24"/>
          <w:szCs w:val="24"/>
        </w:rPr>
        <w:t>.</w:t>
      </w:r>
    </w:p>
    <w:p w:rsidR="002163D2" w:rsidRPr="00B0399B" w:rsidRDefault="002163D2" w:rsidP="00B12F57">
      <w:pPr>
        <w:rPr>
          <w:bCs/>
          <w:sz w:val="24"/>
          <w:szCs w:val="24"/>
        </w:rPr>
      </w:pPr>
    </w:p>
    <w:p w:rsidR="002163D2" w:rsidRPr="00B0399B" w:rsidRDefault="002163D2" w:rsidP="00B12F57">
      <w:pPr>
        <w:rPr>
          <w:bCs/>
          <w:sz w:val="24"/>
          <w:szCs w:val="24"/>
        </w:rPr>
      </w:pPr>
      <w:r w:rsidRPr="00B0399B">
        <w:rPr>
          <w:bCs/>
          <w:sz w:val="24"/>
          <w:szCs w:val="24"/>
        </w:rPr>
        <w:t>Using data from our previous collections, we estimate that approximately 418 grants will need to complete at least one exit certificate annually.</w:t>
      </w:r>
      <w:r w:rsidR="0007625B" w:rsidRPr="00B0399B">
        <w:rPr>
          <w:bCs/>
          <w:sz w:val="24"/>
          <w:szCs w:val="24"/>
        </w:rPr>
        <w:t xml:space="preserve"> There are currently 418 active grants that have enrolled scholars who will eventually exit. </w:t>
      </w:r>
      <w:r w:rsidRPr="00B0399B">
        <w:rPr>
          <w:bCs/>
          <w:sz w:val="24"/>
          <w:szCs w:val="24"/>
        </w:rPr>
        <w:t>Again, because we wanted to report the maximum burden, we averaged the number of completers per grant over the last five years</w:t>
      </w:r>
      <w:r w:rsidR="0007625B" w:rsidRPr="00B0399B">
        <w:rPr>
          <w:bCs/>
          <w:sz w:val="24"/>
          <w:szCs w:val="24"/>
        </w:rPr>
        <w:t xml:space="preserve">. The estimates in the table are based on each grant needing to complete exit agreements for </w:t>
      </w:r>
      <w:r w:rsidR="00F0227D" w:rsidRPr="00B0399B">
        <w:rPr>
          <w:bCs/>
          <w:sz w:val="24"/>
          <w:szCs w:val="24"/>
        </w:rPr>
        <w:t>eight</w:t>
      </w:r>
      <w:r w:rsidR="0007625B" w:rsidRPr="00B0399B">
        <w:rPr>
          <w:bCs/>
          <w:sz w:val="24"/>
          <w:szCs w:val="24"/>
        </w:rPr>
        <w:t xml:space="preserve"> scholars.</w:t>
      </w:r>
    </w:p>
    <w:p w:rsidR="002163D2" w:rsidRPr="00B0399B" w:rsidRDefault="002163D2" w:rsidP="008D3730">
      <w:pPr>
        <w:jc w:val="both"/>
        <w:rPr>
          <w:bCs/>
          <w:sz w:val="24"/>
          <w:szCs w:val="24"/>
          <w:highlight w:val="yellow"/>
        </w:rPr>
      </w:pPr>
    </w:p>
    <w:p w:rsidR="0007625B" w:rsidRPr="00B0399B" w:rsidRDefault="0007625B" w:rsidP="008D3730">
      <w:pPr>
        <w:jc w:val="both"/>
        <w:rPr>
          <w:bCs/>
          <w:i/>
          <w:sz w:val="24"/>
          <w:szCs w:val="24"/>
        </w:rPr>
      </w:pPr>
      <w:r w:rsidRPr="00B0399B">
        <w:rPr>
          <w:i/>
          <w:sz w:val="24"/>
          <w:szCs w:val="24"/>
        </w:rPr>
        <w:t>Scholars: Scholar/</w:t>
      </w:r>
      <w:proofErr w:type="spellStart"/>
      <w:r w:rsidRPr="00B0399B">
        <w:rPr>
          <w:i/>
          <w:sz w:val="24"/>
          <w:szCs w:val="24"/>
        </w:rPr>
        <w:t>Obligee</w:t>
      </w:r>
      <w:proofErr w:type="spellEnd"/>
      <w:r w:rsidRPr="00B0399B">
        <w:rPr>
          <w:i/>
          <w:sz w:val="24"/>
          <w:szCs w:val="24"/>
        </w:rPr>
        <w:t xml:space="preserve"> Training and Employment Information Form</w:t>
      </w:r>
    </w:p>
    <w:p w:rsidR="0007625B" w:rsidRPr="00B0399B" w:rsidRDefault="0007625B" w:rsidP="008D3730">
      <w:pPr>
        <w:jc w:val="both"/>
        <w:rPr>
          <w:bCs/>
          <w:sz w:val="24"/>
          <w:szCs w:val="24"/>
        </w:rPr>
      </w:pPr>
    </w:p>
    <w:p w:rsidR="00991753" w:rsidRPr="00B0399B" w:rsidRDefault="00991753" w:rsidP="00B12F57">
      <w:pPr>
        <w:rPr>
          <w:bCs/>
          <w:sz w:val="24"/>
          <w:szCs w:val="24"/>
        </w:rPr>
      </w:pPr>
      <w:r w:rsidRPr="00B0399B">
        <w:rPr>
          <w:bCs/>
          <w:sz w:val="24"/>
          <w:szCs w:val="24"/>
        </w:rPr>
        <w:t xml:space="preserve">For </w:t>
      </w:r>
      <w:r w:rsidR="00AF77A1" w:rsidRPr="00B0399B">
        <w:rPr>
          <w:bCs/>
          <w:sz w:val="24"/>
          <w:szCs w:val="24"/>
        </w:rPr>
        <w:t>scholars/</w:t>
      </w:r>
      <w:proofErr w:type="spellStart"/>
      <w:r w:rsidR="00AF77A1" w:rsidRPr="00B0399B">
        <w:rPr>
          <w:bCs/>
          <w:sz w:val="24"/>
          <w:szCs w:val="24"/>
        </w:rPr>
        <w:t>obligees</w:t>
      </w:r>
      <w:proofErr w:type="spellEnd"/>
      <w:r w:rsidRPr="00B0399B">
        <w:rPr>
          <w:bCs/>
          <w:sz w:val="24"/>
          <w:szCs w:val="24"/>
        </w:rPr>
        <w:t xml:space="preserve">, follow up begins </w:t>
      </w:r>
      <w:r w:rsidR="00AF77A1" w:rsidRPr="00B0399B">
        <w:rPr>
          <w:bCs/>
          <w:sz w:val="24"/>
          <w:szCs w:val="24"/>
        </w:rPr>
        <w:t>when the scholar/</w:t>
      </w:r>
      <w:proofErr w:type="spellStart"/>
      <w:r w:rsidR="00AF77A1" w:rsidRPr="00B0399B">
        <w:rPr>
          <w:bCs/>
          <w:sz w:val="24"/>
          <w:szCs w:val="24"/>
        </w:rPr>
        <w:t>obligee</w:t>
      </w:r>
      <w:proofErr w:type="spellEnd"/>
      <w:r w:rsidR="00AF77A1" w:rsidRPr="00B0399B">
        <w:rPr>
          <w:bCs/>
          <w:sz w:val="24"/>
          <w:szCs w:val="24"/>
        </w:rPr>
        <w:t xml:space="preserve"> complete</w:t>
      </w:r>
      <w:r w:rsidRPr="00B0399B">
        <w:rPr>
          <w:bCs/>
          <w:sz w:val="24"/>
          <w:szCs w:val="24"/>
        </w:rPr>
        <w:t>s</w:t>
      </w:r>
      <w:r w:rsidR="00AF77A1" w:rsidRPr="00B0399B">
        <w:rPr>
          <w:bCs/>
          <w:sz w:val="24"/>
          <w:szCs w:val="24"/>
        </w:rPr>
        <w:t xml:space="preserve"> or exits the program prior to completion</w:t>
      </w:r>
      <w:r w:rsidRPr="00B0399B">
        <w:rPr>
          <w:bCs/>
          <w:sz w:val="24"/>
          <w:szCs w:val="24"/>
        </w:rPr>
        <w:t xml:space="preserve">. </w:t>
      </w:r>
      <w:r w:rsidR="00423BB0" w:rsidRPr="00B0399B">
        <w:rPr>
          <w:bCs/>
          <w:sz w:val="24"/>
          <w:szCs w:val="24"/>
        </w:rPr>
        <w:t>Some scholars elect to</w:t>
      </w:r>
      <w:r w:rsidR="00584A37" w:rsidRPr="00B0399B">
        <w:rPr>
          <w:bCs/>
          <w:sz w:val="24"/>
          <w:szCs w:val="24"/>
        </w:rPr>
        <w:t xml:space="preserve"> begin</w:t>
      </w:r>
      <w:r w:rsidR="00423BB0" w:rsidRPr="00B0399B">
        <w:rPr>
          <w:bCs/>
          <w:sz w:val="24"/>
          <w:szCs w:val="24"/>
        </w:rPr>
        <w:t xml:space="preserve"> fulfill</w:t>
      </w:r>
      <w:r w:rsidR="00584A37" w:rsidRPr="00B0399B">
        <w:rPr>
          <w:bCs/>
          <w:sz w:val="24"/>
          <w:szCs w:val="24"/>
        </w:rPr>
        <w:t>ing</w:t>
      </w:r>
      <w:r w:rsidR="00423BB0" w:rsidRPr="00B0399B">
        <w:rPr>
          <w:bCs/>
          <w:sz w:val="24"/>
          <w:szCs w:val="24"/>
        </w:rPr>
        <w:t xml:space="preserve"> their </w:t>
      </w:r>
      <w:r w:rsidR="00584A37" w:rsidRPr="00B0399B">
        <w:rPr>
          <w:bCs/>
          <w:sz w:val="24"/>
          <w:szCs w:val="24"/>
        </w:rPr>
        <w:t xml:space="preserve">service obligation through eligible employment after they have completed one full-time academic year of the program but </w:t>
      </w:r>
      <w:r w:rsidR="00423BB0" w:rsidRPr="00B0399B">
        <w:rPr>
          <w:bCs/>
          <w:sz w:val="24"/>
          <w:szCs w:val="24"/>
        </w:rPr>
        <w:t xml:space="preserve">while still enrolled in their programs. </w:t>
      </w:r>
      <w:r w:rsidRPr="00B0399B">
        <w:rPr>
          <w:bCs/>
          <w:sz w:val="24"/>
          <w:szCs w:val="24"/>
        </w:rPr>
        <w:t xml:space="preserve">The number of </w:t>
      </w:r>
      <w:proofErr w:type="spellStart"/>
      <w:r w:rsidR="00AF77A1" w:rsidRPr="00B0399B">
        <w:rPr>
          <w:bCs/>
          <w:sz w:val="24"/>
          <w:szCs w:val="24"/>
        </w:rPr>
        <w:t>obligees</w:t>
      </w:r>
      <w:proofErr w:type="spellEnd"/>
      <w:r w:rsidRPr="00B0399B">
        <w:rPr>
          <w:bCs/>
          <w:sz w:val="24"/>
          <w:szCs w:val="24"/>
        </w:rPr>
        <w:t xml:space="preserve"> </w:t>
      </w:r>
      <w:r w:rsidR="00423BB0" w:rsidRPr="00B0399B">
        <w:rPr>
          <w:bCs/>
          <w:sz w:val="24"/>
          <w:szCs w:val="24"/>
        </w:rPr>
        <w:t xml:space="preserve">entering data in any given project year will vary but may be </w:t>
      </w:r>
      <w:r w:rsidRPr="00B0399B">
        <w:rPr>
          <w:bCs/>
          <w:sz w:val="24"/>
          <w:szCs w:val="24"/>
        </w:rPr>
        <w:t xml:space="preserve">as many as </w:t>
      </w:r>
      <w:r w:rsidR="00AF77A1" w:rsidRPr="00B0399B">
        <w:rPr>
          <w:bCs/>
          <w:sz w:val="24"/>
          <w:szCs w:val="24"/>
        </w:rPr>
        <w:t>1</w:t>
      </w:r>
      <w:r w:rsidR="0007625B" w:rsidRPr="00B0399B">
        <w:rPr>
          <w:bCs/>
          <w:sz w:val="24"/>
          <w:szCs w:val="24"/>
        </w:rPr>
        <w:t>4</w:t>
      </w:r>
      <w:r w:rsidR="00AF77A1" w:rsidRPr="00B0399B">
        <w:rPr>
          <w:bCs/>
          <w:sz w:val="24"/>
          <w:szCs w:val="24"/>
        </w:rPr>
        <w:t>,</w:t>
      </w:r>
      <w:r w:rsidR="0007625B" w:rsidRPr="00B0399B">
        <w:rPr>
          <w:bCs/>
          <w:sz w:val="24"/>
          <w:szCs w:val="24"/>
        </w:rPr>
        <w:t>212</w:t>
      </w:r>
      <w:r w:rsidRPr="00B0399B">
        <w:rPr>
          <w:bCs/>
          <w:sz w:val="24"/>
          <w:szCs w:val="24"/>
        </w:rPr>
        <w:t xml:space="preserve"> </w:t>
      </w:r>
      <w:r w:rsidR="001303CB" w:rsidRPr="00B0399B">
        <w:rPr>
          <w:bCs/>
          <w:sz w:val="24"/>
          <w:szCs w:val="24"/>
        </w:rPr>
        <w:t>scholars/</w:t>
      </w:r>
      <w:proofErr w:type="spellStart"/>
      <w:r w:rsidR="001303CB" w:rsidRPr="00B0399B">
        <w:rPr>
          <w:bCs/>
          <w:sz w:val="24"/>
          <w:szCs w:val="24"/>
        </w:rPr>
        <w:t>obligees</w:t>
      </w:r>
      <w:proofErr w:type="spellEnd"/>
      <w:r w:rsidRPr="00B0399B">
        <w:rPr>
          <w:bCs/>
          <w:sz w:val="24"/>
          <w:szCs w:val="24"/>
        </w:rPr>
        <w:t xml:space="preserve"> across all </w:t>
      </w:r>
      <w:r w:rsidR="00923626" w:rsidRPr="00B0399B">
        <w:rPr>
          <w:bCs/>
          <w:sz w:val="24"/>
          <w:szCs w:val="24"/>
        </w:rPr>
        <w:t>grants</w:t>
      </w:r>
      <w:r w:rsidRPr="00B0399B">
        <w:rPr>
          <w:bCs/>
          <w:sz w:val="24"/>
          <w:szCs w:val="24"/>
        </w:rPr>
        <w:t xml:space="preserve">. </w:t>
      </w:r>
      <w:r w:rsidR="0007625B" w:rsidRPr="00B0399B">
        <w:rPr>
          <w:bCs/>
          <w:sz w:val="24"/>
          <w:szCs w:val="24"/>
        </w:rPr>
        <w:t xml:space="preserve">There are currently 10,829 scholars in the database, and we anticipate another 3,383 being added in the next year. This number reflects the average number of new scholars added to the system over the last five years. </w:t>
      </w:r>
      <w:r w:rsidRPr="00B0399B">
        <w:rPr>
          <w:bCs/>
          <w:sz w:val="24"/>
          <w:szCs w:val="24"/>
        </w:rPr>
        <w:t xml:space="preserve">We anticipate that </w:t>
      </w:r>
      <w:proofErr w:type="spellStart"/>
      <w:r w:rsidR="00AF77A1" w:rsidRPr="00B0399B">
        <w:rPr>
          <w:bCs/>
          <w:sz w:val="24"/>
          <w:szCs w:val="24"/>
        </w:rPr>
        <w:t>obligee</w:t>
      </w:r>
      <w:proofErr w:type="spellEnd"/>
      <w:r w:rsidRPr="00B0399B">
        <w:rPr>
          <w:bCs/>
          <w:sz w:val="24"/>
          <w:szCs w:val="24"/>
        </w:rPr>
        <w:t xml:space="preserve"> burden for follow up will </w:t>
      </w:r>
      <w:r w:rsidR="00DD0B69" w:rsidRPr="00B0399B">
        <w:rPr>
          <w:bCs/>
          <w:sz w:val="24"/>
          <w:szCs w:val="24"/>
        </w:rPr>
        <w:t>average 15 minutes per year</w:t>
      </w:r>
      <w:r w:rsidRPr="00B0399B">
        <w:rPr>
          <w:bCs/>
          <w:sz w:val="24"/>
          <w:szCs w:val="24"/>
        </w:rPr>
        <w:t>.</w:t>
      </w:r>
    </w:p>
    <w:p w:rsidR="00991753" w:rsidRPr="00B0399B" w:rsidRDefault="00991753" w:rsidP="00B27D59">
      <w:pPr>
        <w:ind w:left="720"/>
        <w:jc w:val="both"/>
        <w:rPr>
          <w:bCs/>
          <w:sz w:val="24"/>
          <w:szCs w:val="24"/>
          <w:highlight w:val="yellow"/>
        </w:rPr>
      </w:pPr>
    </w:p>
    <w:p w:rsidR="00DD0B69" w:rsidRPr="00B0399B" w:rsidRDefault="00DD0B69" w:rsidP="008D3730">
      <w:pPr>
        <w:jc w:val="both"/>
        <w:rPr>
          <w:i/>
          <w:sz w:val="24"/>
          <w:szCs w:val="24"/>
        </w:rPr>
      </w:pPr>
      <w:r w:rsidRPr="00B0399B">
        <w:rPr>
          <w:i/>
          <w:sz w:val="24"/>
          <w:szCs w:val="24"/>
        </w:rPr>
        <w:t>Scholars: Pre-Scholarship Agreement</w:t>
      </w:r>
    </w:p>
    <w:p w:rsidR="0007625B" w:rsidRPr="00B0399B" w:rsidRDefault="0007625B" w:rsidP="008D3730">
      <w:pPr>
        <w:jc w:val="both"/>
        <w:rPr>
          <w:bCs/>
          <w:sz w:val="24"/>
          <w:szCs w:val="24"/>
        </w:rPr>
      </w:pPr>
    </w:p>
    <w:p w:rsidR="00DD0B69" w:rsidRPr="00B0399B" w:rsidRDefault="00DD0B69" w:rsidP="00B12F57">
      <w:pPr>
        <w:rPr>
          <w:sz w:val="24"/>
          <w:szCs w:val="24"/>
        </w:rPr>
      </w:pPr>
      <w:r w:rsidRPr="00B0399B">
        <w:rPr>
          <w:bCs/>
          <w:sz w:val="24"/>
          <w:szCs w:val="24"/>
        </w:rPr>
        <w:t xml:space="preserve">As noted above under the IHE: Pre-Scholarship Agreement, the </w:t>
      </w:r>
      <w:r w:rsidR="00584A37" w:rsidRPr="00B0399B">
        <w:rPr>
          <w:bCs/>
          <w:sz w:val="24"/>
          <w:szCs w:val="24"/>
        </w:rPr>
        <w:t>P</w:t>
      </w:r>
      <w:r w:rsidRPr="00B0399B">
        <w:rPr>
          <w:bCs/>
          <w:sz w:val="24"/>
          <w:szCs w:val="24"/>
        </w:rPr>
        <w:t>re-</w:t>
      </w:r>
      <w:r w:rsidR="00584A37" w:rsidRPr="00B0399B">
        <w:rPr>
          <w:bCs/>
          <w:sz w:val="24"/>
          <w:szCs w:val="24"/>
        </w:rPr>
        <w:t>S</w:t>
      </w:r>
      <w:r w:rsidRPr="00B0399B">
        <w:rPr>
          <w:bCs/>
          <w:sz w:val="24"/>
          <w:szCs w:val="24"/>
        </w:rPr>
        <w:t xml:space="preserve">cholarship </w:t>
      </w:r>
      <w:r w:rsidR="00584A37" w:rsidRPr="00B0399B">
        <w:rPr>
          <w:bCs/>
          <w:sz w:val="24"/>
          <w:szCs w:val="24"/>
        </w:rPr>
        <w:t>A</w:t>
      </w:r>
      <w:r w:rsidRPr="00B0399B">
        <w:rPr>
          <w:bCs/>
          <w:sz w:val="24"/>
          <w:szCs w:val="24"/>
        </w:rPr>
        <w:t xml:space="preserve">greement is completed only once per scholar per grant. Each scholar will participate in an information session with his/her project director to discuss and complete the agreement. We estimate that these sessions will last roughly 30 minutes. These agreements are completed when the scholars begin their programs, so we averaged the number of new scholars from </w:t>
      </w:r>
      <w:r w:rsidRPr="00B0399B">
        <w:rPr>
          <w:color w:val="000000"/>
          <w:sz w:val="24"/>
          <w:szCs w:val="24"/>
        </w:rPr>
        <w:t>FY 2006 – FY 2010 to obtain our estimate of the annual number of scholars who would need to complete these agreements.</w:t>
      </w:r>
    </w:p>
    <w:p w:rsidR="00DD0B69" w:rsidRPr="00B0399B" w:rsidRDefault="00DD0B69" w:rsidP="00B12F57">
      <w:pPr>
        <w:rPr>
          <w:bCs/>
          <w:sz w:val="24"/>
          <w:szCs w:val="24"/>
          <w:highlight w:val="yellow"/>
        </w:rPr>
      </w:pPr>
    </w:p>
    <w:p w:rsidR="00DD0B69" w:rsidRPr="00B0399B" w:rsidRDefault="00DD0B69" w:rsidP="00B12F57">
      <w:pPr>
        <w:rPr>
          <w:i/>
          <w:sz w:val="24"/>
          <w:szCs w:val="24"/>
        </w:rPr>
      </w:pPr>
      <w:r w:rsidRPr="00B0399B">
        <w:rPr>
          <w:i/>
          <w:sz w:val="24"/>
          <w:szCs w:val="24"/>
        </w:rPr>
        <w:t>Scholars: Exit Certification</w:t>
      </w:r>
    </w:p>
    <w:p w:rsidR="00DD0B69" w:rsidRPr="00B0399B" w:rsidRDefault="00DD0B69" w:rsidP="00B12F57">
      <w:pPr>
        <w:rPr>
          <w:bCs/>
          <w:sz w:val="24"/>
          <w:szCs w:val="24"/>
        </w:rPr>
      </w:pPr>
    </w:p>
    <w:p w:rsidR="00DD0B69" w:rsidRPr="00B0399B" w:rsidRDefault="00DD0B69" w:rsidP="00B12F57">
      <w:pPr>
        <w:rPr>
          <w:sz w:val="24"/>
          <w:szCs w:val="24"/>
        </w:rPr>
      </w:pPr>
      <w:r w:rsidRPr="00B0399B">
        <w:rPr>
          <w:bCs/>
          <w:sz w:val="24"/>
          <w:szCs w:val="24"/>
        </w:rPr>
        <w:t xml:space="preserve">As noted above under the IHE: Exit Certification, the </w:t>
      </w:r>
      <w:r w:rsidR="00E879B6">
        <w:rPr>
          <w:bCs/>
          <w:sz w:val="24"/>
          <w:szCs w:val="24"/>
        </w:rPr>
        <w:t>E</w:t>
      </w:r>
      <w:r w:rsidRPr="00B0399B">
        <w:rPr>
          <w:bCs/>
          <w:sz w:val="24"/>
          <w:szCs w:val="24"/>
        </w:rPr>
        <w:t xml:space="preserve">xit </w:t>
      </w:r>
      <w:r w:rsidR="00E879B6">
        <w:rPr>
          <w:bCs/>
          <w:sz w:val="24"/>
          <w:szCs w:val="24"/>
        </w:rPr>
        <w:t>C</w:t>
      </w:r>
      <w:r w:rsidRPr="00B0399B">
        <w:rPr>
          <w:bCs/>
          <w:sz w:val="24"/>
          <w:szCs w:val="24"/>
        </w:rPr>
        <w:t>ertification is completed only once per scholar per grant. Each scholar will meet with his/her project director at the time he/she complete</w:t>
      </w:r>
      <w:r w:rsidR="00E879B6">
        <w:rPr>
          <w:bCs/>
          <w:sz w:val="24"/>
          <w:szCs w:val="24"/>
        </w:rPr>
        <w:t>s</w:t>
      </w:r>
      <w:r w:rsidRPr="00B0399B">
        <w:rPr>
          <w:bCs/>
          <w:sz w:val="24"/>
          <w:szCs w:val="24"/>
        </w:rPr>
        <w:t xml:space="preserve"> the program or leaves prior to completion. We estimate that it will take 15 minutes for each scholar to review, discuss, and sign the </w:t>
      </w:r>
      <w:r w:rsidR="00584A37" w:rsidRPr="00B0399B">
        <w:rPr>
          <w:bCs/>
          <w:sz w:val="24"/>
          <w:szCs w:val="24"/>
        </w:rPr>
        <w:t>E</w:t>
      </w:r>
      <w:r w:rsidRPr="00B0399B">
        <w:rPr>
          <w:bCs/>
          <w:sz w:val="24"/>
          <w:szCs w:val="24"/>
        </w:rPr>
        <w:t xml:space="preserve">xit </w:t>
      </w:r>
      <w:r w:rsidR="00584A37" w:rsidRPr="00B0399B">
        <w:rPr>
          <w:bCs/>
          <w:sz w:val="24"/>
          <w:szCs w:val="24"/>
        </w:rPr>
        <w:t>C</w:t>
      </w:r>
      <w:r w:rsidRPr="00B0399B">
        <w:rPr>
          <w:bCs/>
          <w:sz w:val="24"/>
          <w:szCs w:val="24"/>
        </w:rPr>
        <w:t>ertifications. To calculate the annual number of scholars who would need to complete the exit certifications, we averaged the number of scholars who completed or exited prior to completed from FY 2006- FY 2010.</w:t>
      </w:r>
    </w:p>
    <w:p w:rsidR="00DD0B69" w:rsidRPr="00B0399B" w:rsidRDefault="00DD0B69" w:rsidP="00B12F57">
      <w:pPr>
        <w:rPr>
          <w:bCs/>
          <w:sz w:val="24"/>
          <w:szCs w:val="24"/>
          <w:highlight w:val="yellow"/>
        </w:rPr>
      </w:pPr>
    </w:p>
    <w:p w:rsidR="004A6346" w:rsidRPr="00B0399B" w:rsidRDefault="004A6346" w:rsidP="00B12F57">
      <w:pPr>
        <w:rPr>
          <w:bCs/>
          <w:i/>
          <w:sz w:val="24"/>
          <w:szCs w:val="24"/>
          <w:highlight w:val="yellow"/>
        </w:rPr>
      </w:pPr>
      <w:r w:rsidRPr="00B0399B">
        <w:rPr>
          <w:i/>
          <w:sz w:val="24"/>
          <w:szCs w:val="24"/>
        </w:rPr>
        <w:t>Employer representatives: Employment Verification Form</w:t>
      </w:r>
    </w:p>
    <w:p w:rsidR="004A6346" w:rsidRPr="00B0399B" w:rsidRDefault="004A6346" w:rsidP="00B12F57">
      <w:pPr>
        <w:rPr>
          <w:bCs/>
          <w:sz w:val="24"/>
          <w:szCs w:val="24"/>
          <w:highlight w:val="yellow"/>
        </w:rPr>
      </w:pPr>
    </w:p>
    <w:p w:rsidR="00991753" w:rsidRPr="00B0399B" w:rsidRDefault="00991753" w:rsidP="00B12F57">
      <w:pPr>
        <w:rPr>
          <w:bCs/>
          <w:sz w:val="24"/>
          <w:szCs w:val="24"/>
        </w:rPr>
      </w:pPr>
      <w:r w:rsidRPr="00B0399B">
        <w:rPr>
          <w:bCs/>
          <w:sz w:val="24"/>
          <w:szCs w:val="24"/>
        </w:rPr>
        <w:t xml:space="preserve">For employers, </w:t>
      </w:r>
      <w:r w:rsidR="004A6346" w:rsidRPr="00B0399B">
        <w:rPr>
          <w:bCs/>
          <w:sz w:val="24"/>
          <w:szCs w:val="24"/>
        </w:rPr>
        <w:t>t</w:t>
      </w:r>
      <w:r w:rsidRPr="00B0399B">
        <w:rPr>
          <w:bCs/>
          <w:sz w:val="24"/>
          <w:szCs w:val="24"/>
        </w:rPr>
        <w:t xml:space="preserve">he </w:t>
      </w:r>
      <w:proofErr w:type="spellStart"/>
      <w:r w:rsidR="00D602E3" w:rsidRPr="00B0399B">
        <w:rPr>
          <w:bCs/>
          <w:sz w:val="24"/>
          <w:szCs w:val="24"/>
        </w:rPr>
        <w:t>obligee</w:t>
      </w:r>
      <w:proofErr w:type="spellEnd"/>
      <w:r w:rsidRPr="00B0399B">
        <w:rPr>
          <w:bCs/>
          <w:sz w:val="24"/>
          <w:szCs w:val="24"/>
        </w:rPr>
        <w:t xml:space="preserve"> will initiate employment verification</w:t>
      </w:r>
      <w:r w:rsidR="004A6346" w:rsidRPr="00B0399B">
        <w:rPr>
          <w:bCs/>
          <w:sz w:val="24"/>
          <w:szCs w:val="24"/>
        </w:rPr>
        <w:t xml:space="preserve"> annually; however, s</w:t>
      </w:r>
      <w:r w:rsidRPr="00B0399B">
        <w:rPr>
          <w:sz w:val="24"/>
          <w:szCs w:val="24"/>
        </w:rPr>
        <w:t xml:space="preserve">ome </w:t>
      </w:r>
      <w:proofErr w:type="spellStart"/>
      <w:r w:rsidR="00D602E3" w:rsidRPr="00B0399B">
        <w:rPr>
          <w:sz w:val="24"/>
          <w:szCs w:val="24"/>
        </w:rPr>
        <w:t>obligees</w:t>
      </w:r>
      <w:proofErr w:type="spellEnd"/>
      <w:r w:rsidR="00923626" w:rsidRPr="00B0399B">
        <w:rPr>
          <w:sz w:val="24"/>
          <w:szCs w:val="24"/>
        </w:rPr>
        <w:t xml:space="preserve">: </w:t>
      </w:r>
      <w:r w:rsidR="00D602E3" w:rsidRPr="00B0399B">
        <w:rPr>
          <w:sz w:val="24"/>
          <w:szCs w:val="24"/>
        </w:rPr>
        <w:t xml:space="preserve"> </w:t>
      </w:r>
      <w:r w:rsidR="00923626" w:rsidRPr="00B0399B">
        <w:rPr>
          <w:sz w:val="24"/>
          <w:szCs w:val="24"/>
        </w:rPr>
        <w:t xml:space="preserve">a) will </w:t>
      </w:r>
      <w:r w:rsidR="00D602E3" w:rsidRPr="00B0399B">
        <w:rPr>
          <w:sz w:val="24"/>
          <w:szCs w:val="24"/>
        </w:rPr>
        <w:t xml:space="preserve">exercise their allowable grace period; </w:t>
      </w:r>
      <w:r w:rsidR="00923626" w:rsidRPr="00B0399B">
        <w:rPr>
          <w:sz w:val="24"/>
          <w:szCs w:val="24"/>
        </w:rPr>
        <w:t xml:space="preserve">b) </w:t>
      </w:r>
      <w:r w:rsidRPr="00B0399B">
        <w:rPr>
          <w:sz w:val="24"/>
          <w:szCs w:val="24"/>
        </w:rPr>
        <w:t>do not stay employed in education</w:t>
      </w:r>
      <w:r w:rsidR="00D602E3" w:rsidRPr="00B0399B">
        <w:rPr>
          <w:sz w:val="24"/>
          <w:szCs w:val="24"/>
        </w:rPr>
        <w:t>;</w:t>
      </w:r>
      <w:r w:rsidRPr="00B0399B">
        <w:rPr>
          <w:sz w:val="24"/>
          <w:szCs w:val="24"/>
        </w:rPr>
        <w:t xml:space="preserve"> or </w:t>
      </w:r>
      <w:r w:rsidR="00923626" w:rsidRPr="00B0399B">
        <w:rPr>
          <w:sz w:val="24"/>
          <w:szCs w:val="24"/>
        </w:rPr>
        <w:t xml:space="preserve">c) </w:t>
      </w:r>
      <w:r w:rsidRPr="00B0399B">
        <w:rPr>
          <w:sz w:val="24"/>
          <w:szCs w:val="24"/>
        </w:rPr>
        <w:t xml:space="preserve">enter deferment due to </w:t>
      </w:r>
      <w:r w:rsidR="00923626" w:rsidRPr="00B0399B">
        <w:rPr>
          <w:sz w:val="24"/>
          <w:szCs w:val="24"/>
        </w:rPr>
        <w:t xml:space="preserve">an </w:t>
      </w:r>
      <w:r w:rsidRPr="00B0399B">
        <w:rPr>
          <w:sz w:val="24"/>
          <w:szCs w:val="24"/>
        </w:rPr>
        <w:t xml:space="preserve">approved </w:t>
      </w:r>
      <w:r w:rsidR="00D602E3" w:rsidRPr="00B0399B">
        <w:rPr>
          <w:sz w:val="24"/>
          <w:szCs w:val="24"/>
        </w:rPr>
        <w:t>reason</w:t>
      </w:r>
      <w:r w:rsidRPr="00B0399B">
        <w:rPr>
          <w:sz w:val="24"/>
          <w:szCs w:val="24"/>
        </w:rPr>
        <w:t>. Therefore</w:t>
      </w:r>
      <w:r w:rsidR="00923626" w:rsidRPr="00B0399B">
        <w:rPr>
          <w:sz w:val="24"/>
          <w:szCs w:val="24"/>
        </w:rPr>
        <w:t>,</w:t>
      </w:r>
      <w:r w:rsidRPr="00B0399B">
        <w:rPr>
          <w:sz w:val="24"/>
          <w:szCs w:val="24"/>
        </w:rPr>
        <w:t xml:space="preserve"> the number of employer representatives asked to provide verification may be lower than the number of </w:t>
      </w:r>
      <w:proofErr w:type="spellStart"/>
      <w:r w:rsidR="00D602E3" w:rsidRPr="00B0399B">
        <w:rPr>
          <w:sz w:val="24"/>
          <w:szCs w:val="24"/>
        </w:rPr>
        <w:t>obligees</w:t>
      </w:r>
      <w:proofErr w:type="spellEnd"/>
      <w:r w:rsidRPr="00B0399B">
        <w:rPr>
          <w:sz w:val="24"/>
          <w:szCs w:val="24"/>
        </w:rPr>
        <w:t xml:space="preserve"> that exited the </w:t>
      </w:r>
      <w:r w:rsidR="00D602E3" w:rsidRPr="00B0399B">
        <w:rPr>
          <w:sz w:val="24"/>
          <w:szCs w:val="24"/>
        </w:rPr>
        <w:t>PDP</w:t>
      </w:r>
      <w:r w:rsidRPr="00B0399B">
        <w:rPr>
          <w:sz w:val="24"/>
          <w:szCs w:val="24"/>
        </w:rPr>
        <w:t xml:space="preserve"> training</w:t>
      </w:r>
      <w:r w:rsidR="00D602E3" w:rsidRPr="00B0399B">
        <w:rPr>
          <w:sz w:val="24"/>
          <w:szCs w:val="24"/>
        </w:rPr>
        <w:t xml:space="preserve"> grants</w:t>
      </w:r>
      <w:r w:rsidRPr="00B0399B">
        <w:rPr>
          <w:sz w:val="24"/>
          <w:szCs w:val="24"/>
        </w:rPr>
        <w:t xml:space="preserve">. </w:t>
      </w:r>
      <w:r w:rsidRPr="00B0399B">
        <w:rPr>
          <w:bCs/>
          <w:sz w:val="24"/>
          <w:szCs w:val="24"/>
        </w:rPr>
        <w:t xml:space="preserve">We anticipate the employer representative burden to be 10 minutes per </w:t>
      </w:r>
      <w:proofErr w:type="spellStart"/>
      <w:r w:rsidR="00D602E3" w:rsidRPr="00B0399B">
        <w:rPr>
          <w:bCs/>
          <w:sz w:val="24"/>
          <w:szCs w:val="24"/>
        </w:rPr>
        <w:t>obligee</w:t>
      </w:r>
      <w:proofErr w:type="spellEnd"/>
      <w:r w:rsidR="00D602E3" w:rsidRPr="00B0399B">
        <w:rPr>
          <w:bCs/>
          <w:sz w:val="24"/>
          <w:szCs w:val="24"/>
        </w:rPr>
        <w:t xml:space="preserve"> per year</w:t>
      </w:r>
      <w:r w:rsidRPr="00B0399B">
        <w:rPr>
          <w:bCs/>
          <w:sz w:val="24"/>
          <w:szCs w:val="24"/>
        </w:rPr>
        <w:t xml:space="preserve">. </w:t>
      </w:r>
    </w:p>
    <w:p w:rsidR="004A6346" w:rsidRPr="00B0399B" w:rsidRDefault="004A6346" w:rsidP="00B0399B">
      <w:pPr>
        <w:rPr>
          <w:sz w:val="24"/>
          <w:szCs w:val="24"/>
        </w:rPr>
      </w:pPr>
    </w:p>
    <w:p w:rsidR="00991753" w:rsidRDefault="00991753" w:rsidP="00DD0B69">
      <w:pPr>
        <w:ind w:left="-540" w:firstLine="450"/>
        <w:jc w:val="both"/>
        <w:rPr>
          <w:sz w:val="24"/>
          <w:szCs w:val="24"/>
        </w:rPr>
      </w:pPr>
      <w:r w:rsidRPr="00B0399B">
        <w:rPr>
          <w:sz w:val="24"/>
          <w:szCs w:val="24"/>
        </w:rPr>
        <w:t>Table A-</w:t>
      </w:r>
      <w:r w:rsidR="00923626" w:rsidRPr="00B0399B">
        <w:rPr>
          <w:sz w:val="24"/>
          <w:szCs w:val="24"/>
        </w:rPr>
        <w:t>1</w:t>
      </w:r>
      <w:r w:rsidRPr="00B0399B">
        <w:rPr>
          <w:sz w:val="24"/>
          <w:szCs w:val="24"/>
        </w:rPr>
        <w:t>. Maximum Annual Burden Estimates, by Data Source</w:t>
      </w:r>
    </w:p>
    <w:p w:rsidR="001A65B6" w:rsidRPr="00B0399B" w:rsidRDefault="001A65B6" w:rsidP="00DD0B69">
      <w:pPr>
        <w:ind w:left="-540" w:firstLine="450"/>
        <w:jc w:val="both"/>
        <w:rPr>
          <w:sz w:val="24"/>
          <w:szCs w:val="24"/>
        </w:rPr>
      </w:pPr>
    </w:p>
    <w:tbl>
      <w:tblPr>
        <w:tblW w:w="863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66"/>
        <w:gridCol w:w="1458"/>
        <w:gridCol w:w="1332"/>
        <w:gridCol w:w="1620"/>
      </w:tblGrid>
      <w:tr w:rsidR="00991753" w:rsidRPr="00B0399B" w:rsidTr="00F0227D">
        <w:trPr>
          <w:trHeight w:val="28"/>
        </w:trPr>
        <w:tc>
          <w:tcPr>
            <w:tcW w:w="2160" w:type="dxa"/>
            <w:tcBorders>
              <w:bottom w:val="single" w:sz="4" w:space="0" w:color="auto"/>
            </w:tcBorders>
            <w:vAlign w:val="bottom"/>
          </w:tcPr>
          <w:p w:rsidR="00991753" w:rsidRPr="00B0399B" w:rsidRDefault="00991753" w:rsidP="00991753">
            <w:pPr>
              <w:jc w:val="center"/>
              <w:rPr>
                <w:b/>
                <w:sz w:val="24"/>
                <w:szCs w:val="24"/>
              </w:rPr>
            </w:pPr>
            <w:r w:rsidRPr="00B0399B">
              <w:rPr>
                <w:b/>
                <w:sz w:val="24"/>
                <w:szCs w:val="24"/>
              </w:rPr>
              <w:t>Data Source</w:t>
            </w:r>
            <w:r w:rsidR="00D21622" w:rsidRPr="00B0399B">
              <w:rPr>
                <w:b/>
                <w:sz w:val="24"/>
                <w:szCs w:val="24"/>
              </w:rPr>
              <w:t xml:space="preserve"> (Frequency)</w:t>
            </w:r>
          </w:p>
        </w:tc>
        <w:tc>
          <w:tcPr>
            <w:tcW w:w="2066" w:type="dxa"/>
            <w:tcBorders>
              <w:bottom w:val="single" w:sz="4" w:space="0" w:color="auto"/>
            </w:tcBorders>
            <w:vAlign w:val="bottom"/>
          </w:tcPr>
          <w:p w:rsidR="00991753" w:rsidRPr="00B0399B" w:rsidRDefault="00991753" w:rsidP="00991753">
            <w:pPr>
              <w:jc w:val="center"/>
              <w:rPr>
                <w:b/>
                <w:sz w:val="24"/>
                <w:szCs w:val="24"/>
              </w:rPr>
            </w:pPr>
            <w:r w:rsidRPr="00B0399B">
              <w:rPr>
                <w:b/>
                <w:sz w:val="24"/>
                <w:szCs w:val="24"/>
              </w:rPr>
              <w:t>Estimated</w:t>
            </w:r>
          </w:p>
          <w:p w:rsidR="00991753" w:rsidRPr="00B0399B" w:rsidRDefault="00991753" w:rsidP="00991753">
            <w:pPr>
              <w:jc w:val="center"/>
              <w:rPr>
                <w:b/>
                <w:sz w:val="24"/>
                <w:szCs w:val="24"/>
              </w:rPr>
            </w:pPr>
            <w:r w:rsidRPr="00B0399B">
              <w:rPr>
                <w:b/>
                <w:sz w:val="24"/>
                <w:szCs w:val="24"/>
              </w:rPr>
              <w:t xml:space="preserve">Number of Respondents </w:t>
            </w:r>
          </w:p>
        </w:tc>
        <w:tc>
          <w:tcPr>
            <w:tcW w:w="1458" w:type="dxa"/>
            <w:tcBorders>
              <w:bottom w:val="single" w:sz="4" w:space="0" w:color="auto"/>
            </w:tcBorders>
            <w:vAlign w:val="bottom"/>
          </w:tcPr>
          <w:p w:rsidR="00991753" w:rsidRPr="00B0399B" w:rsidRDefault="00991753" w:rsidP="00991753">
            <w:pPr>
              <w:jc w:val="center"/>
              <w:rPr>
                <w:b/>
                <w:sz w:val="24"/>
                <w:szCs w:val="24"/>
              </w:rPr>
            </w:pPr>
            <w:r w:rsidRPr="00B0399B">
              <w:rPr>
                <w:b/>
                <w:sz w:val="24"/>
                <w:szCs w:val="24"/>
              </w:rPr>
              <w:t xml:space="preserve">Estimated Annual Burden per </w:t>
            </w:r>
            <w:r w:rsidR="00AF77A1" w:rsidRPr="00B0399B">
              <w:rPr>
                <w:b/>
                <w:sz w:val="24"/>
                <w:szCs w:val="24"/>
              </w:rPr>
              <w:t>Respondent</w:t>
            </w:r>
            <w:r w:rsidRPr="00B0399B">
              <w:rPr>
                <w:b/>
                <w:sz w:val="24"/>
                <w:szCs w:val="24"/>
              </w:rPr>
              <w:t xml:space="preserve"> </w:t>
            </w:r>
          </w:p>
          <w:p w:rsidR="00991753" w:rsidRPr="00B0399B" w:rsidRDefault="00991753" w:rsidP="00991753">
            <w:pPr>
              <w:jc w:val="center"/>
              <w:rPr>
                <w:b/>
                <w:sz w:val="24"/>
                <w:szCs w:val="24"/>
              </w:rPr>
            </w:pPr>
            <w:r w:rsidRPr="00B0399B">
              <w:rPr>
                <w:b/>
                <w:sz w:val="24"/>
                <w:szCs w:val="24"/>
              </w:rPr>
              <w:t>(in Hours)</w:t>
            </w:r>
          </w:p>
        </w:tc>
        <w:tc>
          <w:tcPr>
            <w:tcW w:w="1332" w:type="dxa"/>
            <w:tcBorders>
              <w:bottom w:val="single" w:sz="4" w:space="0" w:color="auto"/>
            </w:tcBorders>
            <w:vAlign w:val="bottom"/>
          </w:tcPr>
          <w:p w:rsidR="00991753" w:rsidRPr="00B0399B" w:rsidRDefault="00991753" w:rsidP="00991753">
            <w:pPr>
              <w:jc w:val="center"/>
              <w:rPr>
                <w:b/>
                <w:sz w:val="24"/>
                <w:szCs w:val="24"/>
              </w:rPr>
            </w:pPr>
            <w:r w:rsidRPr="00B0399B">
              <w:rPr>
                <w:b/>
                <w:sz w:val="24"/>
                <w:szCs w:val="24"/>
              </w:rPr>
              <w:t>Estimated Annual Burden</w:t>
            </w:r>
          </w:p>
          <w:p w:rsidR="00991753" w:rsidRPr="00B0399B" w:rsidRDefault="00991753" w:rsidP="00991753">
            <w:pPr>
              <w:jc w:val="center"/>
              <w:rPr>
                <w:b/>
                <w:sz w:val="24"/>
                <w:szCs w:val="24"/>
              </w:rPr>
            </w:pPr>
            <w:r w:rsidRPr="00B0399B">
              <w:rPr>
                <w:b/>
                <w:sz w:val="24"/>
                <w:szCs w:val="24"/>
              </w:rPr>
              <w:t>(in Hours)</w:t>
            </w:r>
          </w:p>
        </w:tc>
        <w:tc>
          <w:tcPr>
            <w:tcW w:w="1620" w:type="dxa"/>
            <w:tcBorders>
              <w:bottom w:val="single" w:sz="4" w:space="0" w:color="auto"/>
            </w:tcBorders>
          </w:tcPr>
          <w:p w:rsidR="00991753" w:rsidRPr="00B0399B" w:rsidRDefault="00991753" w:rsidP="00991753">
            <w:pPr>
              <w:jc w:val="center"/>
              <w:rPr>
                <w:b/>
                <w:sz w:val="24"/>
                <w:szCs w:val="24"/>
              </w:rPr>
            </w:pPr>
          </w:p>
          <w:p w:rsidR="00991753" w:rsidRPr="00B0399B" w:rsidRDefault="00991753" w:rsidP="00991753">
            <w:pPr>
              <w:jc w:val="center"/>
              <w:rPr>
                <w:b/>
                <w:sz w:val="24"/>
                <w:szCs w:val="24"/>
              </w:rPr>
            </w:pPr>
            <w:r w:rsidRPr="00B0399B">
              <w:rPr>
                <w:b/>
                <w:sz w:val="24"/>
                <w:szCs w:val="24"/>
              </w:rPr>
              <w:t>Estimated Total Annual Cost</w:t>
            </w:r>
          </w:p>
          <w:p w:rsidR="00991753" w:rsidRPr="00B0399B" w:rsidRDefault="00991753" w:rsidP="00991753">
            <w:pPr>
              <w:jc w:val="center"/>
              <w:rPr>
                <w:b/>
                <w:sz w:val="24"/>
                <w:szCs w:val="24"/>
              </w:rPr>
            </w:pPr>
            <w:r w:rsidRPr="00B0399B">
              <w:rPr>
                <w:b/>
                <w:sz w:val="24"/>
                <w:szCs w:val="24"/>
              </w:rPr>
              <w:t>(in Dollars)</w:t>
            </w:r>
          </w:p>
        </w:tc>
      </w:tr>
      <w:tr w:rsidR="00991753" w:rsidRPr="00B0399B" w:rsidTr="00F0227D">
        <w:trPr>
          <w:trHeight w:val="432"/>
        </w:trPr>
        <w:tc>
          <w:tcPr>
            <w:tcW w:w="2160" w:type="dxa"/>
            <w:vAlign w:val="center"/>
          </w:tcPr>
          <w:p w:rsidR="00991753" w:rsidRPr="00B0399B" w:rsidRDefault="00991753" w:rsidP="00991753">
            <w:pPr>
              <w:rPr>
                <w:sz w:val="24"/>
                <w:szCs w:val="24"/>
              </w:rPr>
            </w:pPr>
            <w:r w:rsidRPr="00104EAE">
              <w:rPr>
                <w:sz w:val="24"/>
                <w:szCs w:val="24"/>
              </w:rPr>
              <w:t>IHEs: Scholar/</w:t>
            </w:r>
            <w:proofErr w:type="spellStart"/>
            <w:r w:rsidRPr="00104EAE">
              <w:rPr>
                <w:sz w:val="24"/>
                <w:szCs w:val="24"/>
              </w:rPr>
              <w:t>Obligee</w:t>
            </w:r>
            <w:proofErr w:type="spellEnd"/>
            <w:r w:rsidRPr="00104EAE">
              <w:rPr>
                <w:sz w:val="24"/>
                <w:szCs w:val="24"/>
              </w:rPr>
              <w:t xml:space="preserve"> Record Form (Annual</w:t>
            </w:r>
            <w:r w:rsidRPr="00B0399B">
              <w:rPr>
                <w:sz w:val="24"/>
                <w:szCs w:val="24"/>
              </w:rPr>
              <w:t>)</w:t>
            </w:r>
          </w:p>
        </w:tc>
        <w:tc>
          <w:tcPr>
            <w:tcW w:w="2066" w:type="dxa"/>
            <w:vAlign w:val="center"/>
          </w:tcPr>
          <w:p w:rsidR="00991753" w:rsidRPr="00B0399B" w:rsidRDefault="00AF77A1" w:rsidP="009A783E">
            <w:pPr>
              <w:ind w:right="41"/>
              <w:rPr>
                <w:sz w:val="24"/>
                <w:szCs w:val="24"/>
              </w:rPr>
            </w:pPr>
            <w:r w:rsidRPr="00B0399B">
              <w:rPr>
                <w:sz w:val="24"/>
                <w:szCs w:val="24"/>
              </w:rPr>
              <w:t>6</w:t>
            </w:r>
            <w:r w:rsidR="009A783E" w:rsidRPr="00B0399B">
              <w:rPr>
                <w:sz w:val="24"/>
                <w:szCs w:val="24"/>
              </w:rPr>
              <w:t>3</w:t>
            </w:r>
            <w:r w:rsidRPr="00B0399B">
              <w:rPr>
                <w:sz w:val="24"/>
                <w:szCs w:val="24"/>
              </w:rPr>
              <w:t>8</w:t>
            </w:r>
            <w:r w:rsidR="00991753" w:rsidRPr="00B0399B">
              <w:rPr>
                <w:sz w:val="24"/>
                <w:szCs w:val="24"/>
              </w:rPr>
              <w:t xml:space="preserve"> grantees</w:t>
            </w:r>
          </w:p>
        </w:tc>
        <w:tc>
          <w:tcPr>
            <w:tcW w:w="1458" w:type="dxa"/>
            <w:vAlign w:val="center"/>
          </w:tcPr>
          <w:p w:rsidR="00991753" w:rsidRPr="00B0399B" w:rsidRDefault="00AF77A1" w:rsidP="00991753">
            <w:pPr>
              <w:ind w:right="25"/>
              <w:jc w:val="center"/>
              <w:rPr>
                <w:sz w:val="24"/>
                <w:szCs w:val="24"/>
              </w:rPr>
            </w:pPr>
            <w:r w:rsidRPr="00B0399B">
              <w:rPr>
                <w:sz w:val="24"/>
                <w:szCs w:val="24"/>
              </w:rPr>
              <w:t>8</w:t>
            </w:r>
          </w:p>
        </w:tc>
        <w:tc>
          <w:tcPr>
            <w:tcW w:w="1332" w:type="dxa"/>
            <w:vAlign w:val="center"/>
          </w:tcPr>
          <w:p w:rsidR="00991753" w:rsidRPr="00B0399B" w:rsidRDefault="00AF77A1" w:rsidP="009A783E">
            <w:pPr>
              <w:ind w:right="96"/>
              <w:jc w:val="center"/>
              <w:rPr>
                <w:sz w:val="24"/>
                <w:szCs w:val="24"/>
              </w:rPr>
            </w:pPr>
            <w:r w:rsidRPr="00B0399B">
              <w:rPr>
                <w:sz w:val="24"/>
                <w:szCs w:val="24"/>
              </w:rPr>
              <w:t>5,</w:t>
            </w:r>
            <w:r w:rsidR="009A783E" w:rsidRPr="00B0399B">
              <w:rPr>
                <w:sz w:val="24"/>
                <w:szCs w:val="24"/>
              </w:rPr>
              <w:t>10</w:t>
            </w:r>
            <w:r w:rsidRPr="00B0399B">
              <w:rPr>
                <w:sz w:val="24"/>
                <w:szCs w:val="24"/>
              </w:rPr>
              <w:t>4</w:t>
            </w:r>
          </w:p>
        </w:tc>
        <w:tc>
          <w:tcPr>
            <w:tcW w:w="1620" w:type="dxa"/>
            <w:vAlign w:val="center"/>
          </w:tcPr>
          <w:p w:rsidR="00991753" w:rsidRPr="00B0399B" w:rsidRDefault="00991753" w:rsidP="009A783E">
            <w:pPr>
              <w:jc w:val="center"/>
              <w:rPr>
                <w:sz w:val="24"/>
                <w:szCs w:val="24"/>
              </w:rPr>
            </w:pPr>
            <w:r w:rsidRPr="00B0399B">
              <w:rPr>
                <w:sz w:val="24"/>
                <w:szCs w:val="24"/>
              </w:rPr>
              <w:t>$</w:t>
            </w:r>
            <w:r w:rsidR="00AF77A1" w:rsidRPr="00B0399B">
              <w:rPr>
                <w:sz w:val="24"/>
                <w:szCs w:val="24"/>
              </w:rPr>
              <w:t>25</w:t>
            </w:r>
            <w:r w:rsidR="009A783E" w:rsidRPr="00B0399B">
              <w:rPr>
                <w:sz w:val="24"/>
                <w:szCs w:val="24"/>
              </w:rPr>
              <w:t>5</w:t>
            </w:r>
            <w:r w:rsidRPr="00B0399B">
              <w:rPr>
                <w:sz w:val="24"/>
                <w:szCs w:val="24"/>
              </w:rPr>
              <w:t>,</w:t>
            </w:r>
            <w:r w:rsidR="00AF77A1" w:rsidRPr="00B0399B">
              <w:rPr>
                <w:sz w:val="24"/>
                <w:szCs w:val="24"/>
              </w:rPr>
              <w:t>2</w:t>
            </w:r>
            <w:r w:rsidRPr="00B0399B">
              <w:rPr>
                <w:sz w:val="24"/>
                <w:szCs w:val="24"/>
              </w:rPr>
              <w:t>00</w:t>
            </w:r>
            <w:r w:rsidRPr="00B0399B">
              <w:rPr>
                <w:sz w:val="24"/>
                <w:szCs w:val="24"/>
                <w:vertAlign w:val="superscript"/>
              </w:rPr>
              <w:t>1</w:t>
            </w:r>
          </w:p>
        </w:tc>
      </w:tr>
      <w:tr w:rsidR="00991753" w:rsidRPr="00B0399B" w:rsidTr="00F0227D">
        <w:trPr>
          <w:trHeight w:val="432"/>
        </w:trPr>
        <w:tc>
          <w:tcPr>
            <w:tcW w:w="2160" w:type="dxa"/>
            <w:vAlign w:val="center"/>
          </w:tcPr>
          <w:p w:rsidR="00991753" w:rsidRPr="00B0399B" w:rsidRDefault="00E42D5E" w:rsidP="00C92C82">
            <w:pPr>
              <w:rPr>
                <w:sz w:val="24"/>
                <w:szCs w:val="24"/>
              </w:rPr>
            </w:pPr>
            <w:r w:rsidRPr="00104EAE">
              <w:rPr>
                <w:sz w:val="24"/>
                <w:szCs w:val="24"/>
              </w:rPr>
              <w:t>IHE</w:t>
            </w:r>
            <w:r w:rsidR="009A783E" w:rsidRPr="00104EAE">
              <w:rPr>
                <w:sz w:val="24"/>
                <w:szCs w:val="24"/>
              </w:rPr>
              <w:t>s</w:t>
            </w:r>
            <w:r w:rsidRPr="00B0399B">
              <w:rPr>
                <w:sz w:val="24"/>
                <w:szCs w:val="24"/>
              </w:rPr>
              <w:t>:</w:t>
            </w:r>
            <w:r w:rsidR="009A783E" w:rsidRPr="00B0399B">
              <w:rPr>
                <w:sz w:val="24"/>
                <w:szCs w:val="24"/>
              </w:rPr>
              <w:t xml:space="preserve"> Pre-Scholarship Agreement</w:t>
            </w:r>
            <w:r w:rsidRPr="00B0399B">
              <w:rPr>
                <w:sz w:val="24"/>
                <w:szCs w:val="24"/>
              </w:rPr>
              <w:t xml:space="preserve"> </w:t>
            </w:r>
            <w:r w:rsidR="002750A2" w:rsidRPr="00B0399B">
              <w:rPr>
                <w:sz w:val="24"/>
                <w:szCs w:val="24"/>
              </w:rPr>
              <w:t>(Once per scholar/grant; conducted in groups of five</w:t>
            </w:r>
            <w:r w:rsidR="00C92C82" w:rsidRPr="00B0399B">
              <w:rPr>
                <w:sz w:val="24"/>
                <w:szCs w:val="24"/>
              </w:rPr>
              <w:t xml:space="preserve"> scholars</w:t>
            </w:r>
            <w:r w:rsidR="002750A2" w:rsidRPr="00B0399B">
              <w:rPr>
                <w:sz w:val="24"/>
                <w:szCs w:val="24"/>
              </w:rPr>
              <w:t>)</w:t>
            </w:r>
          </w:p>
        </w:tc>
        <w:tc>
          <w:tcPr>
            <w:tcW w:w="2066" w:type="dxa"/>
            <w:vAlign w:val="center"/>
          </w:tcPr>
          <w:p w:rsidR="00991753" w:rsidRPr="00B0399B" w:rsidRDefault="00D21622" w:rsidP="002750A2">
            <w:pPr>
              <w:ind w:right="41"/>
              <w:rPr>
                <w:sz w:val="24"/>
                <w:szCs w:val="24"/>
              </w:rPr>
            </w:pPr>
            <w:r w:rsidRPr="00B0399B">
              <w:rPr>
                <w:sz w:val="24"/>
                <w:szCs w:val="24"/>
              </w:rPr>
              <w:t>120 (28 enrolled/</w:t>
            </w:r>
            <w:proofErr w:type="spellStart"/>
            <w:r w:rsidRPr="00B0399B">
              <w:rPr>
                <w:sz w:val="24"/>
                <w:szCs w:val="24"/>
              </w:rPr>
              <w:t>yr</w:t>
            </w:r>
            <w:proofErr w:type="spellEnd"/>
            <w:r w:rsidRPr="00B0399B">
              <w:rPr>
                <w:sz w:val="24"/>
                <w:szCs w:val="24"/>
              </w:rPr>
              <w:t>)</w:t>
            </w:r>
          </w:p>
        </w:tc>
        <w:tc>
          <w:tcPr>
            <w:tcW w:w="1458" w:type="dxa"/>
            <w:vAlign w:val="center"/>
          </w:tcPr>
          <w:p w:rsidR="00991753" w:rsidRPr="00B0399B" w:rsidRDefault="00D21622" w:rsidP="00991753">
            <w:pPr>
              <w:ind w:right="25"/>
              <w:jc w:val="center"/>
              <w:rPr>
                <w:sz w:val="24"/>
                <w:szCs w:val="24"/>
              </w:rPr>
            </w:pPr>
            <w:r w:rsidRPr="00B0399B">
              <w:rPr>
                <w:sz w:val="24"/>
                <w:szCs w:val="24"/>
              </w:rPr>
              <w:t>3</w:t>
            </w:r>
          </w:p>
        </w:tc>
        <w:tc>
          <w:tcPr>
            <w:tcW w:w="1332" w:type="dxa"/>
            <w:vAlign w:val="center"/>
          </w:tcPr>
          <w:p w:rsidR="00991753" w:rsidRPr="00B0399B" w:rsidRDefault="00D21622" w:rsidP="00991753">
            <w:pPr>
              <w:ind w:right="96"/>
              <w:jc w:val="center"/>
              <w:rPr>
                <w:sz w:val="24"/>
                <w:szCs w:val="24"/>
              </w:rPr>
            </w:pPr>
            <w:r w:rsidRPr="00B0399B">
              <w:rPr>
                <w:sz w:val="24"/>
                <w:szCs w:val="24"/>
              </w:rPr>
              <w:t>360</w:t>
            </w:r>
          </w:p>
        </w:tc>
        <w:tc>
          <w:tcPr>
            <w:tcW w:w="1620" w:type="dxa"/>
            <w:vAlign w:val="center"/>
          </w:tcPr>
          <w:p w:rsidR="00991753" w:rsidRPr="00B0399B" w:rsidRDefault="000F356B" w:rsidP="00D602E3">
            <w:pPr>
              <w:jc w:val="center"/>
              <w:rPr>
                <w:sz w:val="24"/>
                <w:szCs w:val="24"/>
              </w:rPr>
            </w:pPr>
            <w:r w:rsidRPr="00B0399B">
              <w:rPr>
                <w:sz w:val="24"/>
                <w:szCs w:val="24"/>
              </w:rPr>
              <w:t>$</w:t>
            </w:r>
            <w:r w:rsidR="00D21622" w:rsidRPr="00B0399B">
              <w:rPr>
                <w:sz w:val="24"/>
                <w:szCs w:val="24"/>
              </w:rPr>
              <w:t>18,000</w:t>
            </w:r>
            <w:r w:rsidR="002750A2" w:rsidRPr="00B0399B">
              <w:rPr>
                <w:sz w:val="24"/>
                <w:szCs w:val="24"/>
                <w:vertAlign w:val="superscript"/>
              </w:rPr>
              <w:t>1</w:t>
            </w:r>
          </w:p>
        </w:tc>
      </w:tr>
      <w:tr w:rsidR="00991753" w:rsidRPr="00B0399B" w:rsidTr="00F0227D">
        <w:trPr>
          <w:trHeight w:val="432"/>
        </w:trPr>
        <w:tc>
          <w:tcPr>
            <w:tcW w:w="2160" w:type="dxa"/>
            <w:vAlign w:val="center"/>
          </w:tcPr>
          <w:p w:rsidR="00991753" w:rsidRPr="00B0399B" w:rsidRDefault="002163D2" w:rsidP="00991753">
            <w:pPr>
              <w:rPr>
                <w:sz w:val="24"/>
                <w:szCs w:val="24"/>
              </w:rPr>
            </w:pPr>
            <w:r w:rsidRPr="00104EAE">
              <w:rPr>
                <w:sz w:val="24"/>
                <w:szCs w:val="24"/>
              </w:rPr>
              <w:t xml:space="preserve">IHEs: Exit Certification </w:t>
            </w:r>
            <w:r w:rsidR="002750A2" w:rsidRPr="00B0399B">
              <w:rPr>
                <w:sz w:val="24"/>
                <w:szCs w:val="24"/>
              </w:rPr>
              <w:t xml:space="preserve">(Once per </w:t>
            </w:r>
            <w:proofErr w:type="spellStart"/>
            <w:r w:rsidR="002750A2" w:rsidRPr="00B0399B">
              <w:rPr>
                <w:sz w:val="24"/>
                <w:szCs w:val="24"/>
              </w:rPr>
              <w:t>obligee</w:t>
            </w:r>
            <w:proofErr w:type="spellEnd"/>
            <w:r w:rsidR="002750A2" w:rsidRPr="00B0399B">
              <w:rPr>
                <w:sz w:val="24"/>
                <w:szCs w:val="24"/>
              </w:rPr>
              <w:t>/grant)</w:t>
            </w:r>
          </w:p>
        </w:tc>
        <w:tc>
          <w:tcPr>
            <w:tcW w:w="2066" w:type="dxa"/>
            <w:vAlign w:val="center"/>
          </w:tcPr>
          <w:p w:rsidR="00991753" w:rsidRPr="00B0399B" w:rsidRDefault="008C73A1" w:rsidP="00F0227D">
            <w:pPr>
              <w:ind w:right="41"/>
              <w:rPr>
                <w:sz w:val="24"/>
                <w:szCs w:val="24"/>
              </w:rPr>
            </w:pPr>
            <w:r w:rsidRPr="00B0399B">
              <w:rPr>
                <w:sz w:val="24"/>
                <w:szCs w:val="24"/>
              </w:rPr>
              <w:t>418</w:t>
            </w:r>
            <w:r w:rsidR="00D21622" w:rsidRPr="00B0399B">
              <w:rPr>
                <w:sz w:val="24"/>
                <w:szCs w:val="24"/>
              </w:rPr>
              <w:t xml:space="preserve"> (</w:t>
            </w:r>
            <w:r w:rsidR="00F0227D" w:rsidRPr="00B0399B">
              <w:rPr>
                <w:sz w:val="24"/>
                <w:szCs w:val="24"/>
              </w:rPr>
              <w:t>8</w:t>
            </w:r>
            <w:r w:rsidR="00D21622" w:rsidRPr="00B0399B">
              <w:rPr>
                <w:sz w:val="24"/>
                <w:szCs w:val="24"/>
              </w:rPr>
              <w:t xml:space="preserve"> completers/</w:t>
            </w:r>
            <w:proofErr w:type="spellStart"/>
            <w:r w:rsidR="00D21622" w:rsidRPr="00B0399B">
              <w:rPr>
                <w:sz w:val="24"/>
                <w:szCs w:val="24"/>
              </w:rPr>
              <w:t>yr</w:t>
            </w:r>
            <w:proofErr w:type="spellEnd"/>
            <w:r w:rsidR="00D21622" w:rsidRPr="00B0399B">
              <w:rPr>
                <w:sz w:val="24"/>
                <w:szCs w:val="24"/>
              </w:rPr>
              <w:t>)</w:t>
            </w:r>
          </w:p>
        </w:tc>
        <w:tc>
          <w:tcPr>
            <w:tcW w:w="1458" w:type="dxa"/>
            <w:vAlign w:val="center"/>
          </w:tcPr>
          <w:p w:rsidR="00991753" w:rsidRPr="00B0399B" w:rsidRDefault="00490E3A" w:rsidP="00991753">
            <w:pPr>
              <w:ind w:right="96"/>
              <w:jc w:val="center"/>
              <w:rPr>
                <w:sz w:val="24"/>
                <w:szCs w:val="24"/>
              </w:rPr>
            </w:pPr>
            <w:r w:rsidRPr="00B0399B">
              <w:rPr>
                <w:sz w:val="24"/>
                <w:szCs w:val="24"/>
              </w:rPr>
              <w:t>2</w:t>
            </w:r>
          </w:p>
        </w:tc>
        <w:tc>
          <w:tcPr>
            <w:tcW w:w="1332" w:type="dxa"/>
            <w:vAlign w:val="center"/>
          </w:tcPr>
          <w:p w:rsidR="00991753" w:rsidRPr="00B0399B" w:rsidRDefault="00490E3A" w:rsidP="00991753">
            <w:pPr>
              <w:ind w:right="96"/>
              <w:jc w:val="center"/>
              <w:rPr>
                <w:sz w:val="24"/>
                <w:szCs w:val="24"/>
              </w:rPr>
            </w:pPr>
            <w:r w:rsidRPr="00B0399B">
              <w:rPr>
                <w:sz w:val="24"/>
                <w:szCs w:val="24"/>
              </w:rPr>
              <w:t>836</w:t>
            </w:r>
          </w:p>
        </w:tc>
        <w:tc>
          <w:tcPr>
            <w:tcW w:w="1620" w:type="dxa"/>
            <w:vAlign w:val="center"/>
          </w:tcPr>
          <w:p w:rsidR="00991753" w:rsidRPr="00B0399B" w:rsidRDefault="00D21622" w:rsidP="00490E3A">
            <w:pPr>
              <w:jc w:val="center"/>
              <w:rPr>
                <w:sz w:val="24"/>
                <w:szCs w:val="24"/>
              </w:rPr>
            </w:pPr>
            <w:r w:rsidRPr="00B0399B">
              <w:rPr>
                <w:sz w:val="24"/>
                <w:szCs w:val="24"/>
              </w:rPr>
              <w:t>$</w:t>
            </w:r>
            <w:r w:rsidR="00490E3A" w:rsidRPr="00B0399B">
              <w:rPr>
                <w:sz w:val="24"/>
                <w:szCs w:val="24"/>
              </w:rPr>
              <w:t>41</w:t>
            </w:r>
            <w:r w:rsidRPr="00B0399B">
              <w:rPr>
                <w:sz w:val="24"/>
                <w:szCs w:val="24"/>
              </w:rPr>
              <w:t>,</w:t>
            </w:r>
            <w:r w:rsidR="00490E3A" w:rsidRPr="00B0399B">
              <w:rPr>
                <w:sz w:val="24"/>
                <w:szCs w:val="24"/>
              </w:rPr>
              <w:t>8</w:t>
            </w:r>
            <w:r w:rsidRPr="00B0399B">
              <w:rPr>
                <w:sz w:val="24"/>
                <w:szCs w:val="24"/>
              </w:rPr>
              <w:t>00</w:t>
            </w:r>
            <w:r w:rsidR="002750A2" w:rsidRPr="00B0399B">
              <w:rPr>
                <w:sz w:val="24"/>
                <w:szCs w:val="24"/>
                <w:vertAlign w:val="superscript"/>
              </w:rPr>
              <w:t>1</w:t>
            </w:r>
          </w:p>
        </w:tc>
      </w:tr>
      <w:tr w:rsidR="00E42D5E" w:rsidRPr="00B0399B" w:rsidTr="00F0227D">
        <w:trPr>
          <w:trHeight w:val="25"/>
        </w:trPr>
        <w:tc>
          <w:tcPr>
            <w:tcW w:w="2160" w:type="dxa"/>
            <w:vAlign w:val="center"/>
          </w:tcPr>
          <w:p w:rsidR="00E42D5E" w:rsidRPr="00104EAE" w:rsidRDefault="00E42D5E" w:rsidP="002466AD">
            <w:pPr>
              <w:rPr>
                <w:sz w:val="24"/>
                <w:szCs w:val="24"/>
              </w:rPr>
            </w:pPr>
            <w:r w:rsidRPr="00104EAE">
              <w:rPr>
                <w:sz w:val="24"/>
                <w:szCs w:val="24"/>
              </w:rPr>
              <w:t>Scholars: Scholar/</w:t>
            </w:r>
            <w:proofErr w:type="spellStart"/>
            <w:r w:rsidRPr="00104EAE">
              <w:rPr>
                <w:sz w:val="24"/>
                <w:szCs w:val="24"/>
              </w:rPr>
              <w:t>Obligee</w:t>
            </w:r>
            <w:proofErr w:type="spellEnd"/>
            <w:r w:rsidRPr="00104EAE">
              <w:rPr>
                <w:sz w:val="24"/>
                <w:szCs w:val="24"/>
              </w:rPr>
              <w:t xml:space="preserve"> Training and Employment Information Form (Annual)</w:t>
            </w:r>
          </w:p>
        </w:tc>
        <w:tc>
          <w:tcPr>
            <w:tcW w:w="2066" w:type="dxa"/>
            <w:vAlign w:val="center"/>
          </w:tcPr>
          <w:p w:rsidR="00E42D5E" w:rsidRPr="00B0399B" w:rsidRDefault="00E42D5E" w:rsidP="0007625B">
            <w:pPr>
              <w:ind w:right="41"/>
              <w:rPr>
                <w:sz w:val="24"/>
                <w:szCs w:val="24"/>
              </w:rPr>
            </w:pPr>
            <w:r w:rsidRPr="00B0399B">
              <w:rPr>
                <w:sz w:val="24"/>
                <w:szCs w:val="24"/>
              </w:rPr>
              <w:t>1</w:t>
            </w:r>
            <w:r w:rsidR="0007625B" w:rsidRPr="00B0399B">
              <w:rPr>
                <w:sz w:val="24"/>
                <w:szCs w:val="24"/>
              </w:rPr>
              <w:t>4</w:t>
            </w:r>
            <w:r w:rsidRPr="00B0399B">
              <w:rPr>
                <w:sz w:val="24"/>
                <w:szCs w:val="24"/>
              </w:rPr>
              <w:t>,</w:t>
            </w:r>
            <w:r w:rsidR="0007625B" w:rsidRPr="00B0399B">
              <w:rPr>
                <w:sz w:val="24"/>
                <w:szCs w:val="24"/>
              </w:rPr>
              <w:t>212</w:t>
            </w:r>
            <w:r w:rsidRPr="00B0399B">
              <w:rPr>
                <w:sz w:val="24"/>
                <w:szCs w:val="24"/>
              </w:rPr>
              <w:t xml:space="preserve"> </w:t>
            </w:r>
            <w:r w:rsidR="00450470" w:rsidRPr="00B0399B">
              <w:rPr>
                <w:sz w:val="24"/>
                <w:szCs w:val="24"/>
              </w:rPr>
              <w:t>scholars/</w:t>
            </w:r>
            <w:proofErr w:type="spellStart"/>
            <w:r w:rsidR="00450470" w:rsidRPr="00B0399B">
              <w:rPr>
                <w:sz w:val="24"/>
                <w:szCs w:val="24"/>
              </w:rPr>
              <w:t>obligees</w:t>
            </w:r>
            <w:proofErr w:type="spellEnd"/>
          </w:p>
        </w:tc>
        <w:tc>
          <w:tcPr>
            <w:tcW w:w="1458" w:type="dxa"/>
            <w:vAlign w:val="center"/>
          </w:tcPr>
          <w:p w:rsidR="00E42D5E" w:rsidRPr="00B0399B" w:rsidRDefault="00E42D5E" w:rsidP="002466AD">
            <w:pPr>
              <w:ind w:right="25"/>
              <w:jc w:val="center"/>
              <w:rPr>
                <w:sz w:val="24"/>
                <w:szCs w:val="24"/>
              </w:rPr>
            </w:pPr>
            <w:r w:rsidRPr="00B0399B">
              <w:rPr>
                <w:sz w:val="24"/>
                <w:szCs w:val="24"/>
              </w:rPr>
              <w:t>0.25</w:t>
            </w:r>
          </w:p>
        </w:tc>
        <w:tc>
          <w:tcPr>
            <w:tcW w:w="1332" w:type="dxa"/>
            <w:vAlign w:val="center"/>
          </w:tcPr>
          <w:p w:rsidR="00E42D5E" w:rsidRPr="00B0399B" w:rsidRDefault="00E42D5E" w:rsidP="0007625B">
            <w:pPr>
              <w:ind w:right="96"/>
              <w:jc w:val="center"/>
              <w:rPr>
                <w:sz w:val="24"/>
                <w:szCs w:val="24"/>
              </w:rPr>
            </w:pPr>
            <w:r w:rsidRPr="00B0399B">
              <w:rPr>
                <w:sz w:val="24"/>
                <w:szCs w:val="24"/>
              </w:rPr>
              <w:t>3,</w:t>
            </w:r>
            <w:r w:rsidR="0007625B" w:rsidRPr="00B0399B">
              <w:rPr>
                <w:sz w:val="24"/>
                <w:szCs w:val="24"/>
              </w:rPr>
              <w:t>553</w:t>
            </w:r>
          </w:p>
        </w:tc>
        <w:tc>
          <w:tcPr>
            <w:tcW w:w="1620" w:type="dxa"/>
            <w:vAlign w:val="center"/>
          </w:tcPr>
          <w:p w:rsidR="00E42D5E" w:rsidRPr="00B0399B" w:rsidRDefault="00E42D5E" w:rsidP="00C10962">
            <w:pPr>
              <w:jc w:val="center"/>
              <w:rPr>
                <w:sz w:val="24"/>
                <w:szCs w:val="24"/>
              </w:rPr>
            </w:pPr>
            <w:r w:rsidRPr="00B0399B">
              <w:rPr>
                <w:sz w:val="24"/>
                <w:szCs w:val="24"/>
              </w:rPr>
              <w:t>$</w:t>
            </w:r>
            <w:r w:rsidR="0007625B" w:rsidRPr="00B0399B">
              <w:rPr>
                <w:sz w:val="24"/>
                <w:szCs w:val="24"/>
              </w:rPr>
              <w:t>8</w:t>
            </w:r>
            <w:r w:rsidRPr="00B0399B">
              <w:rPr>
                <w:sz w:val="24"/>
                <w:szCs w:val="24"/>
              </w:rPr>
              <w:t>7,</w:t>
            </w:r>
            <w:r w:rsidR="00DD0B69" w:rsidRPr="00B0399B">
              <w:rPr>
                <w:sz w:val="24"/>
                <w:szCs w:val="24"/>
              </w:rPr>
              <w:t>72</w:t>
            </w:r>
            <w:r w:rsidR="00C10962" w:rsidRPr="00B0399B">
              <w:rPr>
                <w:sz w:val="24"/>
                <w:szCs w:val="24"/>
              </w:rPr>
              <w:t>4</w:t>
            </w:r>
            <w:r w:rsidRPr="00B0399B">
              <w:rPr>
                <w:sz w:val="24"/>
                <w:szCs w:val="24"/>
                <w:vertAlign w:val="superscript"/>
              </w:rPr>
              <w:t>2</w:t>
            </w:r>
          </w:p>
        </w:tc>
      </w:tr>
      <w:tr w:rsidR="00E42D5E" w:rsidRPr="00B0399B" w:rsidTr="00F0227D">
        <w:trPr>
          <w:trHeight w:val="25"/>
        </w:trPr>
        <w:tc>
          <w:tcPr>
            <w:tcW w:w="2160" w:type="dxa"/>
            <w:vAlign w:val="center"/>
          </w:tcPr>
          <w:p w:rsidR="00E42D5E" w:rsidRPr="00104EAE" w:rsidRDefault="00E42D5E" w:rsidP="002466AD">
            <w:pPr>
              <w:rPr>
                <w:sz w:val="24"/>
                <w:szCs w:val="24"/>
              </w:rPr>
            </w:pPr>
            <w:r w:rsidRPr="00104EAE">
              <w:rPr>
                <w:sz w:val="24"/>
                <w:szCs w:val="24"/>
              </w:rPr>
              <w:t xml:space="preserve">Employer representatives: Employment Verification Form(Annual) </w:t>
            </w:r>
          </w:p>
        </w:tc>
        <w:tc>
          <w:tcPr>
            <w:tcW w:w="2066" w:type="dxa"/>
            <w:vAlign w:val="center"/>
          </w:tcPr>
          <w:p w:rsidR="00E42D5E" w:rsidRPr="00B0399B" w:rsidRDefault="00DD0B69" w:rsidP="002750A2">
            <w:pPr>
              <w:ind w:right="41"/>
              <w:rPr>
                <w:sz w:val="24"/>
                <w:szCs w:val="24"/>
              </w:rPr>
            </w:pPr>
            <w:r w:rsidRPr="00B0399B">
              <w:rPr>
                <w:sz w:val="24"/>
                <w:szCs w:val="24"/>
              </w:rPr>
              <w:t xml:space="preserve">14,212 </w:t>
            </w:r>
            <w:r w:rsidR="00E42D5E" w:rsidRPr="00B0399B">
              <w:rPr>
                <w:sz w:val="24"/>
                <w:szCs w:val="24"/>
              </w:rPr>
              <w:t>employers</w:t>
            </w:r>
            <w:r w:rsidR="00E42D5E" w:rsidRPr="00B0399B">
              <w:rPr>
                <w:sz w:val="24"/>
                <w:szCs w:val="24"/>
                <w:vertAlign w:val="superscript"/>
              </w:rPr>
              <w:t>3</w:t>
            </w:r>
          </w:p>
        </w:tc>
        <w:tc>
          <w:tcPr>
            <w:tcW w:w="1458" w:type="dxa"/>
            <w:vAlign w:val="center"/>
          </w:tcPr>
          <w:p w:rsidR="00E42D5E" w:rsidRPr="00B0399B" w:rsidRDefault="00E42D5E" w:rsidP="002466AD">
            <w:pPr>
              <w:ind w:right="96"/>
              <w:jc w:val="center"/>
              <w:rPr>
                <w:sz w:val="24"/>
                <w:szCs w:val="24"/>
              </w:rPr>
            </w:pPr>
            <w:r w:rsidRPr="00B0399B">
              <w:rPr>
                <w:sz w:val="24"/>
                <w:szCs w:val="24"/>
              </w:rPr>
              <w:t>0.17</w:t>
            </w:r>
          </w:p>
        </w:tc>
        <w:tc>
          <w:tcPr>
            <w:tcW w:w="1332" w:type="dxa"/>
            <w:vAlign w:val="center"/>
          </w:tcPr>
          <w:p w:rsidR="00E42D5E" w:rsidRPr="00B0399B" w:rsidRDefault="00E42D5E" w:rsidP="00DD0B69">
            <w:pPr>
              <w:ind w:right="96"/>
              <w:jc w:val="center"/>
              <w:rPr>
                <w:sz w:val="24"/>
                <w:szCs w:val="24"/>
              </w:rPr>
            </w:pPr>
            <w:r w:rsidRPr="00B0399B">
              <w:rPr>
                <w:sz w:val="24"/>
                <w:szCs w:val="24"/>
              </w:rPr>
              <w:t>2,</w:t>
            </w:r>
            <w:r w:rsidR="00DD0B69" w:rsidRPr="00B0399B">
              <w:rPr>
                <w:sz w:val="24"/>
                <w:szCs w:val="24"/>
              </w:rPr>
              <w:t>416</w:t>
            </w:r>
          </w:p>
        </w:tc>
        <w:tc>
          <w:tcPr>
            <w:tcW w:w="1620" w:type="dxa"/>
            <w:vAlign w:val="center"/>
          </w:tcPr>
          <w:p w:rsidR="00E42D5E" w:rsidRPr="00B0399B" w:rsidRDefault="00E42D5E" w:rsidP="00DD0B69">
            <w:pPr>
              <w:jc w:val="center"/>
              <w:rPr>
                <w:sz w:val="24"/>
                <w:szCs w:val="24"/>
              </w:rPr>
            </w:pPr>
            <w:r w:rsidRPr="00B0399B">
              <w:rPr>
                <w:sz w:val="24"/>
                <w:szCs w:val="24"/>
              </w:rPr>
              <w:t>$1</w:t>
            </w:r>
            <w:r w:rsidR="00DD0B69" w:rsidRPr="00B0399B">
              <w:rPr>
                <w:sz w:val="24"/>
                <w:szCs w:val="24"/>
              </w:rPr>
              <w:t>20</w:t>
            </w:r>
            <w:r w:rsidRPr="00B0399B">
              <w:rPr>
                <w:sz w:val="24"/>
                <w:szCs w:val="24"/>
              </w:rPr>
              <w:t>,</w:t>
            </w:r>
            <w:r w:rsidR="00DD0B69" w:rsidRPr="00B0399B">
              <w:rPr>
                <w:sz w:val="24"/>
                <w:szCs w:val="24"/>
              </w:rPr>
              <w:t>802</w:t>
            </w:r>
            <w:r w:rsidRPr="00B0399B">
              <w:rPr>
                <w:sz w:val="24"/>
                <w:szCs w:val="24"/>
                <w:vertAlign w:val="superscript"/>
              </w:rPr>
              <w:t>1</w:t>
            </w:r>
          </w:p>
        </w:tc>
      </w:tr>
      <w:tr w:rsidR="00E42D5E" w:rsidRPr="00B0399B" w:rsidTr="00F0227D">
        <w:trPr>
          <w:trHeight w:val="25"/>
        </w:trPr>
        <w:tc>
          <w:tcPr>
            <w:tcW w:w="2160" w:type="dxa"/>
          </w:tcPr>
          <w:p w:rsidR="00E42D5E" w:rsidRPr="00104EAE" w:rsidRDefault="00E42D5E" w:rsidP="00991753">
            <w:pPr>
              <w:rPr>
                <w:b/>
                <w:sz w:val="24"/>
                <w:szCs w:val="24"/>
              </w:rPr>
            </w:pPr>
            <w:r w:rsidRPr="00104EAE">
              <w:rPr>
                <w:b/>
                <w:sz w:val="24"/>
                <w:szCs w:val="24"/>
              </w:rPr>
              <w:t xml:space="preserve">Totals </w:t>
            </w:r>
          </w:p>
        </w:tc>
        <w:tc>
          <w:tcPr>
            <w:tcW w:w="2066" w:type="dxa"/>
            <w:vAlign w:val="center"/>
          </w:tcPr>
          <w:p w:rsidR="00E42D5E" w:rsidRPr="00B0399B" w:rsidRDefault="00036EFF" w:rsidP="004A6346">
            <w:pPr>
              <w:ind w:right="432"/>
              <w:jc w:val="center"/>
              <w:rPr>
                <w:b/>
                <w:sz w:val="24"/>
                <w:szCs w:val="24"/>
              </w:rPr>
            </w:pPr>
            <w:r>
              <w:rPr>
                <w:b/>
                <w:sz w:val="24"/>
                <w:szCs w:val="24"/>
              </w:rPr>
              <w:t>29,600</w:t>
            </w:r>
          </w:p>
        </w:tc>
        <w:tc>
          <w:tcPr>
            <w:tcW w:w="1458" w:type="dxa"/>
            <w:vAlign w:val="center"/>
          </w:tcPr>
          <w:p w:rsidR="00E42D5E" w:rsidRPr="00B0399B" w:rsidRDefault="00490E3A" w:rsidP="004A6346">
            <w:pPr>
              <w:ind w:right="96"/>
              <w:jc w:val="center"/>
              <w:rPr>
                <w:b/>
                <w:sz w:val="24"/>
                <w:szCs w:val="24"/>
              </w:rPr>
            </w:pPr>
            <w:r w:rsidRPr="00B0399B">
              <w:rPr>
                <w:b/>
                <w:sz w:val="24"/>
                <w:szCs w:val="24"/>
              </w:rPr>
              <w:t>14.17</w:t>
            </w:r>
          </w:p>
        </w:tc>
        <w:tc>
          <w:tcPr>
            <w:tcW w:w="1332" w:type="dxa"/>
            <w:vAlign w:val="center"/>
          </w:tcPr>
          <w:p w:rsidR="00E42D5E" w:rsidRPr="00B0399B" w:rsidRDefault="00036EFF" w:rsidP="00490E3A">
            <w:pPr>
              <w:ind w:right="96"/>
              <w:jc w:val="center"/>
              <w:rPr>
                <w:b/>
                <w:sz w:val="24"/>
                <w:szCs w:val="24"/>
              </w:rPr>
            </w:pPr>
            <w:r>
              <w:rPr>
                <w:b/>
                <w:sz w:val="24"/>
                <w:szCs w:val="24"/>
              </w:rPr>
              <w:t>12,269</w:t>
            </w:r>
          </w:p>
        </w:tc>
        <w:tc>
          <w:tcPr>
            <w:tcW w:w="1620" w:type="dxa"/>
            <w:vAlign w:val="center"/>
          </w:tcPr>
          <w:p w:rsidR="00E42D5E" w:rsidRPr="00B0399B" w:rsidRDefault="00E42D5E" w:rsidP="00C10962">
            <w:pPr>
              <w:jc w:val="center"/>
              <w:rPr>
                <w:b/>
                <w:sz w:val="24"/>
                <w:szCs w:val="24"/>
              </w:rPr>
            </w:pPr>
            <w:r w:rsidRPr="00B0399B">
              <w:rPr>
                <w:b/>
                <w:sz w:val="24"/>
                <w:szCs w:val="24"/>
              </w:rPr>
              <w:t>$</w:t>
            </w:r>
            <w:r w:rsidR="004A6346" w:rsidRPr="00B0399B">
              <w:rPr>
                <w:b/>
                <w:sz w:val="24"/>
                <w:szCs w:val="24"/>
              </w:rPr>
              <w:t>5</w:t>
            </w:r>
            <w:r w:rsidR="00490E3A" w:rsidRPr="00B0399B">
              <w:rPr>
                <w:b/>
                <w:sz w:val="24"/>
                <w:szCs w:val="24"/>
              </w:rPr>
              <w:t>85</w:t>
            </w:r>
            <w:r w:rsidR="004A6346" w:rsidRPr="00B0399B">
              <w:rPr>
                <w:b/>
                <w:sz w:val="24"/>
                <w:szCs w:val="24"/>
              </w:rPr>
              <w:t>,</w:t>
            </w:r>
            <w:r w:rsidR="00490E3A" w:rsidRPr="00B0399B">
              <w:rPr>
                <w:b/>
                <w:sz w:val="24"/>
                <w:szCs w:val="24"/>
              </w:rPr>
              <w:t>0</w:t>
            </w:r>
            <w:r w:rsidR="004A6346" w:rsidRPr="00B0399B">
              <w:rPr>
                <w:b/>
                <w:sz w:val="24"/>
                <w:szCs w:val="24"/>
              </w:rPr>
              <w:t>5</w:t>
            </w:r>
            <w:r w:rsidR="00C10962" w:rsidRPr="00B0399B">
              <w:rPr>
                <w:b/>
                <w:sz w:val="24"/>
                <w:szCs w:val="24"/>
              </w:rPr>
              <w:t>3</w:t>
            </w:r>
          </w:p>
        </w:tc>
      </w:tr>
    </w:tbl>
    <w:p w:rsidR="00991753" w:rsidRPr="00B0399B" w:rsidRDefault="00991753" w:rsidP="00DD0B69">
      <w:pPr>
        <w:ind w:left="-90"/>
        <w:rPr>
          <w:sz w:val="24"/>
          <w:szCs w:val="24"/>
          <w:vertAlign w:val="superscript"/>
        </w:rPr>
      </w:pPr>
      <w:r w:rsidRPr="00B0399B">
        <w:rPr>
          <w:sz w:val="24"/>
          <w:szCs w:val="24"/>
          <w:vertAlign w:val="superscript"/>
        </w:rPr>
        <w:t xml:space="preserve">1 </w:t>
      </w:r>
      <w:r w:rsidRPr="00B0399B">
        <w:rPr>
          <w:sz w:val="24"/>
          <w:szCs w:val="24"/>
        </w:rPr>
        <w:t>Based on an estimated hourly rate of $50 for grantee administrators and principals/LEA representatives.</w:t>
      </w:r>
    </w:p>
    <w:p w:rsidR="00991753" w:rsidRPr="00B0399B" w:rsidRDefault="00991753" w:rsidP="00DD0B69">
      <w:pPr>
        <w:ind w:left="-90"/>
        <w:rPr>
          <w:sz w:val="24"/>
          <w:szCs w:val="24"/>
        </w:rPr>
      </w:pPr>
      <w:r w:rsidRPr="00B0399B">
        <w:rPr>
          <w:sz w:val="24"/>
          <w:szCs w:val="24"/>
          <w:vertAlign w:val="superscript"/>
        </w:rPr>
        <w:t xml:space="preserve">2 </w:t>
      </w:r>
      <w:r w:rsidRPr="00B0399B">
        <w:rPr>
          <w:sz w:val="24"/>
          <w:szCs w:val="24"/>
        </w:rPr>
        <w:t xml:space="preserve">Based on an estimated average hourly rate of $24.69 for </w:t>
      </w:r>
      <w:r w:rsidR="00D602E3" w:rsidRPr="00B0399B">
        <w:rPr>
          <w:sz w:val="24"/>
          <w:szCs w:val="24"/>
        </w:rPr>
        <w:t>scholars/</w:t>
      </w:r>
      <w:proofErr w:type="spellStart"/>
      <w:r w:rsidR="00D602E3" w:rsidRPr="00B0399B">
        <w:rPr>
          <w:sz w:val="24"/>
          <w:szCs w:val="24"/>
        </w:rPr>
        <w:t>obligees</w:t>
      </w:r>
      <w:proofErr w:type="spellEnd"/>
      <w:r w:rsidRPr="00B0399B">
        <w:rPr>
          <w:sz w:val="24"/>
          <w:szCs w:val="24"/>
        </w:rPr>
        <w:t>.</w:t>
      </w:r>
    </w:p>
    <w:p w:rsidR="00991753" w:rsidRPr="00B0399B" w:rsidRDefault="00991753" w:rsidP="00DD0B69">
      <w:pPr>
        <w:ind w:left="-90"/>
        <w:rPr>
          <w:sz w:val="24"/>
          <w:szCs w:val="24"/>
        </w:rPr>
      </w:pPr>
      <w:r w:rsidRPr="00B0399B">
        <w:rPr>
          <w:sz w:val="24"/>
          <w:szCs w:val="24"/>
          <w:vertAlign w:val="superscript"/>
        </w:rPr>
        <w:t>3</w:t>
      </w:r>
      <w:r w:rsidRPr="00B0399B">
        <w:rPr>
          <w:sz w:val="24"/>
          <w:szCs w:val="24"/>
        </w:rPr>
        <w:t xml:space="preserve">Assumes that all </w:t>
      </w:r>
      <w:r w:rsidR="00D602E3" w:rsidRPr="00B0399B">
        <w:rPr>
          <w:sz w:val="24"/>
          <w:szCs w:val="24"/>
        </w:rPr>
        <w:t>scholars/</w:t>
      </w:r>
      <w:proofErr w:type="spellStart"/>
      <w:r w:rsidR="00D602E3" w:rsidRPr="00B0399B">
        <w:rPr>
          <w:sz w:val="24"/>
          <w:szCs w:val="24"/>
        </w:rPr>
        <w:t>obligees</w:t>
      </w:r>
      <w:proofErr w:type="spellEnd"/>
      <w:r w:rsidRPr="00B0399B">
        <w:rPr>
          <w:sz w:val="24"/>
          <w:szCs w:val="24"/>
        </w:rPr>
        <w:t xml:space="preserve"> are employed</w:t>
      </w:r>
    </w:p>
    <w:p w:rsidR="00A67BB1" w:rsidRPr="00B0399B" w:rsidRDefault="00A67BB1">
      <w:pPr>
        <w:rPr>
          <w:sz w:val="24"/>
          <w:szCs w:val="24"/>
        </w:rPr>
      </w:pPr>
    </w:p>
    <w:p w:rsidR="000F356B" w:rsidRPr="00B0399B" w:rsidRDefault="000F356B" w:rsidP="000F356B">
      <w:pPr>
        <w:ind w:left="720" w:hanging="720"/>
        <w:rPr>
          <w:sz w:val="24"/>
          <w:szCs w:val="24"/>
        </w:rPr>
      </w:pPr>
      <w:r w:rsidRPr="00B0399B">
        <w:rPr>
          <w:b/>
          <w:bCs/>
          <w:sz w:val="24"/>
          <w:szCs w:val="24"/>
        </w:rPr>
        <w:t>A13.</w:t>
      </w:r>
      <w:r w:rsidRPr="00B0399B">
        <w:rPr>
          <w:b/>
          <w:bCs/>
          <w:sz w:val="24"/>
          <w:szCs w:val="24"/>
        </w:rPr>
        <w:tab/>
        <w:t>Estimate of Cost Burden to Respondents</w:t>
      </w:r>
    </w:p>
    <w:p w:rsidR="00B75FA4" w:rsidRPr="00B0399B" w:rsidRDefault="00B75FA4" w:rsidP="00991753">
      <w:pPr>
        <w:ind w:left="720"/>
        <w:rPr>
          <w:sz w:val="24"/>
          <w:szCs w:val="24"/>
        </w:rPr>
      </w:pPr>
    </w:p>
    <w:p w:rsidR="00991753" w:rsidRDefault="00991753" w:rsidP="008D3730">
      <w:pPr>
        <w:jc w:val="both"/>
        <w:rPr>
          <w:sz w:val="24"/>
          <w:szCs w:val="24"/>
        </w:rPr>
      </w:pPr>
      <w:r w:rsidRPr="00B0399B">
        <w:rPr>
          <w:sz w:val="24"/>
          <w:szCs w:val="24"/>
        </w:rPr>
        <w:t xml:space="preserve">We do not anticipate additional costs to respondents resulting from this collection other than that already reported in A12, including capital or start-up costs, or operation, maintenance, or purchase of services. It is assumed that all respondents will have access to a computer either through the </w:t>
      </w:r>
      <w:r w:rsidR="000F356B" w:rsidRPr="00B0399B">
        <w:rPr>
          <w:sz w:val="24"/>
          <w:szCs w:val="24"/>
        </w:rPr>
        <w:t xml:space="preserve">grantee </w:t>
      </w:r>
      <w:r w:rsidRPr="00B0399B">
        <w:rPr>
          <w:sz w:val="24"/>
          <w:szCs w:val="24"/>
        </w:rPr>
        <w:t>Institution of Higher Education or their place of employment. The data collection contractor maintains a toll-free Help Desk number to allow respondent</w:t>
      </w:r>
      <w:r w:rsidR="000F356B" w:rsidRPr="00B0399B">
        <w:rPr>
          <w:sz w:val="24"/>
          <w:szCs w:val="24"/>
        </w:rPr>
        <w:t>s</w:t>
      </w:r>
      <w:r w:rsidRPr="00B0399B">
        <w:rPr>
          <w:sz w:val="24"/>
          <w:szCs w:val="24"/>
        </w:rPr>
        <w:t xml:space="preserve"> reliable access to support services. This Help Desk could assist a respondent without reliable access to a computer. Some respondents, depending on the technology used, may bear some cost of the communication (e.g., cell phone or email service costs); however, it is not possible to identify a specific cost given the range in service options.</w:t>
      </w:r>
    </w:p>
    <w:p w:rsidR="00694E6E" w:rsidRPr="00B0399B" w:rsidRDefault="00694E6E" w:rsidP="008D3730">
      <w:pPr>
        <w:jc w:val="both"/>
        <w:rPr>
          <w:sz w:val="24"/>
          <w:szCs w:val="24"/>
        </w:rPr>
      </w:pPr>
    </w:p>
    <w:p w:rsidR="00B75FA4" w:rsidRPr="00B0399B" w:rsidRDefault="00B75FA4" w:rsidP="00991753">
      <w:pPr>
        <w:ind w:left="1440"/>
        <w:rPr>
          <w:sz w:val="24"/>
          <w:szCs w:val="24"/>
          <w:highlight w:val="yellow"/>
        </w:rPr>
      </w:pPr>
    </w:p>
    <w:p w:rsidR="00B75FA4" w:rsidRDefault="000F356B" w:rsidP="00567608">
      <w:pPr>
        <w:rPr>
          <w:sz w:val="24"/>
          <w:szCs w:val="24"/>
        </w:rPr>
      </w:pPr>
      <w:r w:rsidRPr="00B0399B">
        <w:rPr>
          <w:b/>
          <w:bCs/>
          <w:sz w:val="24"/>
          <w:szCs w:val="24"/>
        </w:rPr>
        <w:t>A14.</w:t>
      </w:r>
      <w:r w:rsidRPr="00B0399B">
        <w:rPr>
          <w:b/>
          <w:bCs/>
          <w:sz w:val="24"/>
          <w:szCs w:val="24"/>
        </w:rPr>
        <w:tab/>
        <w:t>Estimate of Annual Cost to the Federal Government</w:t>
      </w:r>
      <w:r w:rsidRPr="00104EAE" w:rsidDel="000F356B">
        <w:rPr>
          <w:sz w:val="24"/>
          <w:szCs w:val="24"/>
        </w:rPr>
        <w:t xml:space="preserve"> </w:t>
      </w:r>
    </w:p>
    <w:p w:rsidR="008D3730" w:rsidRPr="00B0399B" w:rsidRDefault="008D3730" w:rsidP="00567608">
      <w:pPr>
        <w:rPr>
          <w:sz w:val="24"/>
          <w:szCs w:val="24"/>
        </w:rPr>
      </w:pPr>
    </w:p>
    <w:p w:rsidR="0051001E" w:rsidRPr="00B0399B" w:rsidRDefault="0051001E" w:rsidP="008D3730">
      <w:pPr>
        <w:rPr>
          <w:bCs/>
          <w:sz w:val="24"/>
          <w:szCs w:val="24"/>
        </w:rPr>
      </w:pPr>
      <w:r w:rsidRPr="00B0399B">
        <w:rPr>
          <w:bCs/>
          <w:sz w:val="24"/>
          <w:szCs w:val="24"/>
        </w:rPr>
        <w:t xml:space="preserve">The total annual cost to the Federal government reflects the combined costs for </w:t>
      </w:r>
      <w:r w:rsidR="002E6BA7" w:rsidRPr="00B0399B">
        <w:rPr>
          <w:bCs/>
          <w:sz w:val="24"/>
          <w:szCs w:val="24"/>
        </w:rPr>
        <w:t>OSEP</w:t>
      </w:r>
      <w:r w:rsidRPr="00B0399B">
        <w:rPr>
          <w:bCs/>
          <w:sz w:val="24"/>
          <w:szCs w:val="24"/>
        </w:rPr>
        <w:t xml:space="preserve"> to contract the data collection and reporting tasks and provide management and oversight of that contract (see Table A</w:t>
      </w:r>
      <w:r w:rsidR="00923626" w:rsidRPr="00B0399B">
        <w:rPr>
          <w:bCs/>
          <w:sz w:val="24"/>
          <w:szCs w:val="24"/>
        </w:rPr>
        <w:t xml:space="preserve">-2 </w:t>
      </w:r>
      <w:r w:rsidRPr="00B0399B">
        <w:rPr>
          <w:bCs/>
          <w:sz w:val="24"/>
          <w:szCs w:val="24"/>
        </w:rPr>
        <w:t>below).</w:t>
      </w:r>
    </w:p>
    <w:p w:rsidR="0051001E" w:rsidRPr="00B0399B" w:rsidRDefault="0051001E" w:rsidP="00991753">
      <w:pPr>
        <w:ind w:left="1440"/>
        <w:rPr>
          <w:bCs/>
          <w:sz w:val="24"/>
          <w:szCs w:val="24"/>
        </w:rPr>
      </w:pPr>
    </w:p>
    <w:p w:rsidR="0051001E" w:rsidRDefault="001A65B6" w:rsidP="001A65B6">
      <w:pPr>
        <w:rPr>
          <w:bCs/>
          <w:sz w:val="24"/>
          <w:szCs w:val="24"/>
        </w:rPr>
      </w:pPr>
      <w:r>
        <w:rPr>
          <w:bCs/>
          <w:sz w:val="24"/>
          <w:szCs w:val="24"/>
        </w:rPr>
        <w:t xml:space="preserve">                 </w:t>
      </w:r>
      <w:r w:rsidR="0051001E" w:rsidRPr="00B0399B">
        <w:rPr>
          <w:bCs/>
          <w:sz w:val="24"/>
          <w:szCs w:val="24"/>
        </w:rPr>
        <w:t>Table A</w:t>
      </w:r>
      <w:r w:rsidR="00923626" w:rsidRPr="00B0399B">
        <w:rPr>
          <w:bCs/>
          <w:sz w:val="24"/>
          <w:szCs w:val="24"/>
        </w:rPr>
        <w:t xml:space="preserve">-2. </w:t>
      </w:r>
      <w:r w:rsidR="0051001E" w:rsidRPr="00B0399B">
        <w:rPr>
          <w:bCs/>
          <w:sz w:val="24"/>
          <w:szCs w:val="24"/>
        </w:rPr>
        <w:t>Total Annual Cost to Federal Government by Type of Cost</w:t>
      </w:r>
    </w:p>
    <w:p w:rsidR="001A65B6" w:rsidRPr="00B0399B" w:rsidRDefault="001A65B6" w:rsidP="001A65B6">
      <w:pPr>
        <w:rPr>
          <w:bCs/>
          <w:sz w:val="24"/>
          <w:szCs w:val="24"/>
        </w:rPr>
      </w:pPr>
    </w:p>
    <w:tbl>
      <w:tblPr>
        <w:tblW w:w="0" w:type="auto"/>
        <w:tblInd w:w="145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140"/>
        <w:gridCol w:w="1530"/>
      </w:tblGrid>
      <w:tr w:rsidR="0051001E" w:rsidRPr="00B0399B" w:rsidTr="00694E6E">
        <w:tc>
          <w:tcPr>
            <w:tcW w:w="4140" w:type="dxa"/>
            <w:tcBorders>
              <w:top w:val="single" w:sz="4" w:space="0" w:color="auto"/>
              <w:bottom w:val="single" w:sz="4" w:space="0" w:color="auto"/>
            </w:tcBorders>
          </w:tcPr>
          <w:p w:rsidR="0051001E" w:rsidRPr="009A741C" w:rsidRDefault="0051001E" w:rsidP="009A741C">
            <w:pPr>
              <w:jc w:val="center"/>
              <w:rPr>
                <w:b/>
                <w:sz w:val="24"/>
                <w:szCs w:val="24"/>
              </w:rPr>
            </w:pPr>
            <w:r w:rsidRPr="009A741C">
              <w:rPr>
                <w:b/>
                <w:sz w:val="24"/>
                <w:szCs w:val="24"/>
              </w:rPr>
              <w:t>Type of Cost</w:t>
            </w:r>
          </w:p>
        </w:tc>
        <w:tc>
          <w:tcPr>
            <w:tcW w:w="1530" w:type="dxa"/>
            <w:tcBorders>
              <w:top w:val="single" w:sz="4" w:space="0" w:color="auto"/>
              <w:bottom w:val="single" w:sz="4" w:space="0" w:color="auto"/>
            </w:tcBorders>
          </w:tcPr>
          <w:p w:rsidR="0051001E" w:rsidRPr="009A741C" w:rsidRDefault="0051001E" w:rsidP="009A741C">
            <w:pPr>
              <w:jc w:val="center"/>
              <w:rPr>
                <w:b/>
                <w:sz w:val="24"/>
                <w:szCs w:val="24"/>
              </w:rPr>
            </w:pPr>
            <w:r w:rsidRPr="009A741C">
              <w:rPr>
                <w:b/>
                <w:sz w:val="24"/>
                <w:szCs w:val="24"/>
              </w:rPr>
              <w:t>Cost</w:t>
            </w:r>
          </w:p>
        </w:tc>
      </w:tr>
      <w:tr w:rsidR="0051001E" w:rsidRPr="00B0399B" w:rsidTr="00694E6E">
        <w:tc>
          <w:tcPr>
            <w:tcW w:w="4140" w:type="dxa"/>
            <w:tcBorders>
              <w:top w:val="single" w:sz="4" w:space="0" w:color="auto"/>
              <w:bottom w:val="single" w:sz="4" w:space="0" w:color="auto"/>
            </w:tcBorders>
          </w:tcPr>
          <w:p w:rsidR="0051001E" w:rsidRPr="00B0399B" w:rsidRDefault="0051001E" w:rsidP="00991753">
            <w:pPr>
              <w:rPr>
                <w:sz w:val="24"/>
                <w:szCs w:val="24"/>
              </w:rPr>
            </w:pPr>
            <w:r w:rsidRPr="00B0399B">
              <w:rPr>
                <w:sz w:val="24"/>
                <w:szCs w:val="24"/>
              </w:rPr>
              <w:t>OSEP Staff (salar</w:t>
            </w:r>
            <w:r w:rsidR="002466AD" w:rsidRPr="00B0399B">
              <w:rPr>
                <w:sz w:val="24"/>
                <w:szCs w:val="24"/>
              </w:rPr>
              <w:t>ies</w:t>
            </w:r>
            <w:r w:rsidRPr="00B0399B">
              <w:rPr>
                <w:sz w:val="24"/>
                <w:szCs w:val="24"/>
              </w:rPr>
              <w:t>)</w:t>
            </w:r>
          </w:p>
        </w:tc>
        <w:tc>
          <w:tcPr>
            <w:tcW w:w="1530" w:type="dxa"/>
            <w:tcBorders>
              <w:top w:val="single" w:sz="4" w:space="0" w:color="auto"/>
              <w:bottom w:val="single" w:sz="4" w:space="0" w:color="auto"/>
            </w:tcBorders>
          </w:tcPr>
          <w:p w:rsidR="0051001E" w:rsidRPr="00B0399B" w:rsidRDefault="00923626" w:rsidP="00694E6E">
            <w:pPr>
              <w:jc w:val="right"/>
              <w:rPr>
                <w:sz w:val="24"/>
                <w:szCs w:val="24"/>
              </w:rPr>
            </w:pPr>
            <w:r w:rsidRPr="00B0399B">
              <w:rPr>
                <w:sz w:val="24"/>
                <w:szCs w:val="24"/>
              </w:rPr>
              <w:t>$</w:t>
            </w:r>
            <w:r w:rsidR="00694E6E">
              <w:rPr>
                <w:sz w:val="24"/>
                <w:szCs w:val="24"/>
              </w:rPr>
              <w:t>130,4</w:t>
            </w:r>
            <w:r w:rsidR="002466AD" w:rsidRPr="00B0399B">
              <w:rPr>
                <w:sz w:val="24"/>
                <w:szCs w:val="24"/>
              </w:rPr>
              <w:t>00</w:t>
            </w:r>
          </w:p>
        </w:tc>
      </w:tr>
      <w:tr w:rsidR="0051001E" w:rsidRPr="00B0399B" w:rsidTr="00694E6E">
        <w:tc>
          <w:tcPr>
            <w:tcW w:w="4140" w:type="dxa"/>
            <w:tcBorders>
              <w:top w:val="single" w:sz="4" w:space="0" w:color="auto"/>
              <w:bottom w:val="single" w:sz="4" w:space="0" w:color="auto"/>
            </w:tcBorders>
          </w:tcPr>
          <w:p w:rsidR="0051001E" w:rsidRPr="00B0399B" w:rsidRDefault="0051001E" w:rsidP="00991753">
            <w:pPr>
              <w:rPr>
                <w:sz w:val="24"/>
                <w:szCs w:val="24"/>
              </w:rPr>
            </w:pPr>
            <w:r w:rsidRPr="00104EAE">
              <w:rPr>
                <w:sz w:val="24"/>
                <w:szCs w:val="24"/>
              </w:rPr>
              <w:t>Contractor Data</w:t>
            </w:r>
            <w:r w:rsidR="002E6BA7" w:rsidRPr="00104EAE">
              <w:rPr>
                <w:sz w:val="24"/>
                <w:szCs w:val="24"/>
              </w:rPr>
              <w:t xml:space="preserve"> and Reporting</w:t>
            </w:r>
            <w:r w:rsidRPr="00B0399B">
              <w:rPr>
                <w:sz w:val="24"/>
                <w:szCs w:val="24"/>
              </w:rPr>
              <w:t xml:space="preserve"> Services (Fixed price)</w:t>
            </w:r>
          </w:p>
        </w:tc>
        <w:tc>
          <w:tcPr>
            <w:tcW w:w="1530" w:type="dxa"/>
            <w:tcBorders>
              <w:top w:val="single" w:sz="4" w:space="0" w:color="auto"/>
              <w:bottom w:val="single" w:sz="4" w:space="0" w:color="auto"/>
            </w:tcBorders>
          </w:tcPr>
          <w:p w:rsidR="0051001E" w:rsidRPr="00B0399B" w:rsidRDefault="002E6BA7" w:rsidP="00991753">
            <w:pPr>
              <w:jc w:val="right"/>
              <w:rPr>
                <w:sz w:val="24"/>
                <w:szCs w:val="24"/>
              </w:rPr>
            </w:pPr>
            <w:r w:rsidRPr="00B0399B">
              <w:rPr>
                <w:sz w:val="24"/>
                <w:szCs w:val="24"/>
              </w:rPr>
              <w:t>$929,889</w:t>
            </w:r>
          </w:p>
        </w:tc>
      </w:tr>
      <w:tr w:rsidR="0051001E" w:rsidRPr="00B0399B" w:rsidTr="00694E6E">
        <w:tc>
          <w:tcPr>
            <w:tcW w:w="4140" w:type="dxa"/>
            <w:tcBorders>
              <w:top w:val="single" w:sz="4" w:space="0" w:color="auto"/>
            </w:tcBorders>
          </w:tcPr>
          <w:p w:rsidR="0051001E" w:rsidRPr="00104EAE" w:rsidRDefault="0051001E" w:rsidP="00991753">
            <w:pPr>
              <w:rPr>
                <w:sz w:val="24"/>
                <w:szCs w:val="24"/>
              </w:rPr>
            </w:pPr>
            <w:r w:rsidRPr="00104EAE">
              <w:rPr>
                <w:sz w:val="24"/>
                <w:szCs w:val="24"/>
              </w:rPr>
              <w:t>Total</w:t>
            </w:r>
          </w:p>
        </w:tc>
        <w:tc>
          <w:tcPr>
            <w:tcW w:w="1530" w:type="dxa"/>
            <w:tcBorders>
              <w:top w:val="nil"/>
            </w:tcBorders>
          </w:tcPr>
          <w:p w:rsidR="0051001E" w:rsidRPr="00B0399B" w:rsidRDefault="0051001E" w:rsidP="00694E6E">
            <w:pPr>
              <w:jc w:val="right"/>
              <w:rPr>
                <w:sz w:val="24"/>
                <w:szCs w:val="24"/>
              </w:rPr>
            </w:pPr>
            <w:r w:rsidRPr="00B0399B">
              <w:rPr>
                <w:sz w:val="24"/>
                <w:szCs w:val="24"/>
              </w:rPr>
              <w:t>$</w:t>
            </w:r>
            <w:r w:rsidR="002466AD" w:rsidRPr="00B0399B">
              <w:rPr>
                <w:sz w:val="24"/>
                <w:szCs w:val="24"/>
              </w:rPr>
              <w:t xml:space="preserve"> </w:t>
            </w:r>
            <w:r w:rsidR="00694E6E">
              <w:rPr>
                <w:sz w:val="24"/>
                <w:szCs w:val="24"/>
              </w:rPr>
              <w:t>1,060,289</w:t>
            </w:r>
          </w:p>
        </w:tc>
      </w:tr>
    </w:tbl>
    <w:p w:rsidR="005B3C74" w:rsidRPr="00104EAE" w:rsidRDefault="005B3C74" w:rsidP="00B12F57">
      <w:pPr>
        <w:ind w:left="1440"/>
        <w:rPr>
          <w:sz w:val="24"/>
          <w:szCs w:val="24"/>
        </w:rPr>
      </w:pPr>
    </w:p>
    <w:p w:rsidR="002E6BA7" w:rsidRPr="00B0399B" w:rsidRDefault="002E6BA7" w:rsidP="00B12F57">
      <w:pPr>
        <w:rPr>
          <w:sz w:val="24"/>
          <w:szCs w:val="24"/>
        </w:rPr>
      </w:pPr>
      <w:r w:rsidRPr="00B0399B">
        <w:rPr>
          <w:sz w:val="24"/>
          <w:szCs w:val="24"/>
        </w:rPr>
        <w:t xml:space="preserve">OSEP has secured a fixed price contract with EPI and </w:t>
      </w:r>
      <w:proofErr w:type="spellStart"/>
      <w:r w:rsidRPr="00B0399B">
        <w:rPr>
          <w:sz w:val="24"/>
          <w:szCs w:val="24"/>
        </w:rPr>
        <w:t>Westat</w:t>
      </w:r>
      <w:proofErr w:type="spellEnd"/>
      <w:r w:rsidRPr="00B0399B">
        <w:rPr>
          <w:sz w:val="24"/>
          <w:szCs w:val="24"/>
        </w:rPr>
        <w:t xml:space="preserve"> to create and manage the online data collection system. The annual fixed cost for this contract </w:t>
      </w:r>
      <w:r w:rsidR="005B2A80" w:rsidRPr="00B0399B">
        <w:rPr>
          <w:sz w:val="24"/>
          <w:szCs w:val="24"/>
        </w:rPr>
        <w:t xml:space="preserve">is </w:t>
      </w:r>
      <w:r w:rsidRPr="00B0399B">
        <w:rPr>
          <w:sz w:val="24"/>
          <w:szCs w:val="24"/>
        </w:rPr>
        <w:t>$929,889</w:t>
      </w:r>
      <w:r w:rsidR="00923626" w:rsidRPr="00B0399B">
        <w:rPr>
          <w:sz w:val="24"/>
          <w:szCs w:val="24"/>
        </w:rPr>
        <w:t xml:space="preserve"> for the base year</w:t>
      </w:r>
      <w:r w:rsidRPr="00B0399B">
        <w:rPr>
          <w:sz w:val="24"/>
          <w:szCs w:val="24"/>
        </w:rPr>
        <w:t xml:space="preserve"> These costs include the development of the system, support for respondents, and preparation of reports. The majority of communications with respondents will be electronic; however, </w:t>
      </w:r>
      <w:r w:rsidR="001303CB" w:rsidRPr="00B0399B">
        <w:rPr>
          <w:bCs/>
          <w:sz w:val="24"/>
          <w:szCs w:val="24"/>
        </w:rPr>
        <w:t>scholars/</w:t>
      </w:r>
      <w:proofErr w:type="spellStart"/>
      <w:r w:rsidR="001303CB" w:rsidRPr="00B0399B">
        <w:rPr>
          <w:bCs/>
          <w:sz w:val="24"/>
          <w:szCs w:val="24"/>
        </w:rPr>
        <w:t>obligees</w:t>
      </w:r>
      <w:proofErr w:type="spellEnd"/>
      <w:r w:rsidRPr="00B0399B">
        <w:rPr>
          <w:sz w:val="24"/>
          <w:szCs w:val="24"/>
        </w:rPr>
        <w:t xml:space="preserve"> who do not respond to electronic or telephone communications will be sent follow-up letters. The costs for those mailings are included in the contract.</w:t>
      </w:r>
    </w:p>
    <w:p w:rsidR="002466AD" w:rsidRPr="00B0399B" w:rsidRDefault="002466AD" w:rsidP="00B12F57">
      <w:pPr>
        <w:rPr>
          <w:sz w:val="24"/>
          <w:szCs w:val="24"/>
        </w:rPr>
      </w:pPr>
    </w:p>
    <w:p w:rsidR="002466AD" w:rsidRDefault="002466AD" w:rsidP="00B12F57">
      <w:pPr>
        <w:rPr>
          <w:sz w:val="24"/>
          <w:szCs w:val="24"/>
        </w:rPr>
      </w:pPr>
      <w:r w:rsidRPr="00B0399B">
        <w:rPr>
          <w:sz w:val="24"/>
          <w:szCs w:val="24"/>
        </w:rPr>
        <w:t xml:space="preserve">The PDP program office maintains a </w:t>
      </w:r>
      <w:r w:rsidR="00694E6E">
        <w:rPr>
          <w:sz w:val="24"/>
          <w:szCs w:val="24"/>
        </w:rPr>
        <w:t>program</w:t>
      </w:r>
      <w:r w:rsidR="00694E6E" w:rsidRPr="00B0399B">
        <w:rPr>
          <w:sz w:val="24"/>
          <w:szCs w:val="24"/>
        </w:rPr>
        <w:t xml:space="preserve"> </w:t>
      </w:r>
      <w:r w:rsidR="00694E6E">
        <w:rPr>
          <w:sz w:val="24"/>
          <w:szCs w:val="24"/>
        </w:rPr>
        <w:t>specialist</w:t>
      </w:r>
      <w:r w:rsidR="00694E6E" w:rsidRPr="00B0399B">
        <w:rPr>
          <w:sz w:val="24"/>
          <w:szCs w:val="24"/>
        </w:rPr>
        <w:t xml:space="preserve"> </w:t>
      </w:r>
      <w:r w:rsidRPr="00B0399B">
        <w:rPr>
          <w:sz w:val="24"/>
          <w:szCs w:val="24"/>
        </w:rPr>
        <w:t xml:space="preserve">(.5 FTE) whose function is to manage the contract and 18 tasks. This </w:t>
      </w:r>
      <w:r w:rsidR="00694E6E">
        <w:rPr>
          <w:sz w:val="24"/>
          <w:szCs w:val="24"/>
        </w:rPr>
        <w:t>program</w:t>
      </w:r>
      <w:r w:rsidR="00694E6E" w:rsidRPr="00B0399B">
        <w:rPr>
          <w:sz w:val="24"/>
          <w:szCs w:val="24"/>
        </w:rPr>
        <w:t xml:space="preserve"> </w:t>
      </w:r>
      <w:r w:rsidRPr="00B0399B">
        <w:rPr>
          <w:sz w:val="24"/>
          <w:szCs w:val="24"/>
        </w:rPr>
        <w:t xml:space="preserve">position is a GS-14, which, in 2013, ranges from $105,211 to </w:t>
      </w:r>
      <w:r w:rsidR="00104EAE" w:rsidRPr="00B0399B">
        <w:rPr>
          <w:sz w:val="24"/>
          <w:szCs w:val="24"/>
        </w:rPr>
        <w:t>$</w:t>
      </w:r>
      <w:r w:rsidRPr="00B0399B">
        <w:rPr>
          <w:sz w:val="24"/>
          <w:szCs w:val="24"/>
        </w:rPr>
        <w:t>136,771</w:t>
      </w:r>
      <w:r w:rsidRPr="00B0399B">
        <w:rPr>
          <w:rFonts w:eastAsia="Arial Unicode MS"/>
          <w:noProof/>
          <w:sz w:val="24"/>
          <w:szCs w:val="24"/>
        </w:rPr>
        <w:t xml:space="preserve"> </w:t>
      </w:r>
      <w:r w:rsidRPr="00B0399B">
        <w:rPr>
          <w:sz w:val="24"/>
          <w:szCs w:val="24"/>
        </w:rPr>
        <w:t xml:space="preserve">in annual salary for the Washington D.C. locality.  OSEP staff salaries also include the estimated cost of </w:t>
      </w:r>
      <w:r w:rsidR="00694E6E">
        <w:rPr>
          <w:sz w:val="24"/>
          <w:szCs w:val="24"/>
        </w:rPr>
        <w:t>an additional person assigned to support the contract.</w:t>
      </w:r>
    </w:p>
    <w:p w:rsidR="007523AE" w:rsidRPr="00104EAE" w:rsidRDefault="007523AE" w:rsidP="002E6BA7">
      <w:pPr>
        <w:ind w:left="1440"/>
        <w:jc w:val="both"/>
        <w:rPr>
          <w:rFonts w:eastAsia="Arial Unicode MS"/>
          <w:noProof/>
          <w:sz w:val="24"/>
          <w:szCs w:val="24"/>
        </w:rPr>
      </w:pPr>
    </w:p>
    <w:p w:rsidR="00104EAE" w:rsidRPr="00B0399B" w:rsidRDefault="00104EAE" w:rsidP="00B0399B">
      <w:pPr>
        <w:rPr>
          <w:b/>
          <w:sz w:val="24"/>
          <w:szCs w:val="24"/>
        </w:rPr>
      </w:pPr>
      <w:r w:rsidRPr="00B0399B">
        <w:rPr>
          <w:b/>
          <w:sz w:val="24"/>
          <w:szCs w:val="24"/>
        </w:rPr>
        <w:t>A15.</w:t>
      </w:r>
      <w:r w:rsidRPr="00B0399B">
        <w:rPr>
          <w:b/>
          <w:sz w:val="24"/>
          <w:szCs w:val="24"/>
        </w:rPr>
        <w:tab/>
        <w:t>Program Changes or Adjustments</w:t>
      </w:r>
    </w:p>
    <w:p w:rsidR="00B75FA4" w:rsidRPr="00B0399B" w:rsidRDefault="00B75FA4" w:rsidP="00991753">
      <w:pPr>
        <w:ind w:left="720"/>
        <w:rPr>
          <w:sz w:val="24"/>
          <w:szCs w:val="24"/>
        </w:rPr>
      </w:pPr>
    </w:p>
    <w:p w:rsidR="00B75FA4" w:rsidRDefault="00573DED" w:rsidP="002D3172">
      <w:pPr>
        <w:rPr>
          <w:bCs/>
          <w:sz w:val="24"/>
          <w:szCs w:val="24"/>
        </w:rPr>
      </w:pPr>
      <w:r>
        <w:rPr>
          <w:bCs/>
          <w:sz w:val="24"/>
          <w:szCs w:val="24"/>
        </w:rPr>
        <w:t xml:space="preserve">There is a program change </w:t>
      </w:r>
      <w:r w:rsidR="00FF79D1">
        <w:rPr>
          <w:bCs/>
          <w:sz w:val="24"/>
          <w:szCs w:val="24"/>
        </w:rPr>
        <w:t>decrease;</w:t>
      </w:r>
      <w:r>
        <w:rPr>
          <w:bCs/>
          <w:sz w:val="24"/>
          <w:szCs w:val="24"/>
        </w:rPr>
        <w:t xml:space="preserve"> t</w:t>
      </w:r>
      <w:r w:rsidR="00104EAE" w:rsidRPr="00B0399B">
        <w:rPr>
          <w:bCs/>
          <w:sz w:val="24"/>
          <w:szCs w:val="24"/>
        </w:rPr>
        <w:t xml:space="preserve">his request is for an updated data collection as a result of combining two existing data collections. </w:t>
      </w:r>
      <w:r w:rsidR="00327D99" w:rsidRPr="00B0399B">
        <w:rPr>
          <w:bCs/>
          <w:sz w:val="24"/>
          <w:szCs w:val="24"/>
        </w:rPr>
        <w:t xml:space="preserve">The </w:t>
      </w:r>
      <w:r w:rsidR="00764325">
        <w:rPr>
          <w:bCs/>
          <w:sz w:val="24"/>
          <w:szCs w:val="24"/>
        </w:rPr>
        <w:t>proposed</w:t>
      </w:r>
      <w:r w:rsidR="00764325" w:rsidRPr="00B0399B">
        <w:rPr>
          <w:bCs/>
          <w:sz w:val="24"/>
          <w:szCs w:val="24"/>
        </w:rPr>
        <w:t xml:space="preserve"> </w:t>
      </w:r>
      <w:r w:rsidR="00327D99" w:rsidRPr="00B0399B">
        <w:rPr>
          <w:bCs/>
          <w:sz w:val="24"/>
          <w:szCs w:val="24"/>
        </w:rPr>
        <w:t>burden estimate reflects a reduction in overall burden</w:t>
      </w:r>
      <w:r w:rsidR="003B0AA8" w:rsidRPr="00B0399B">
        <w:rPr>
          <w:bCs/>
          <w:sz w:val="24"/>
          <w:szCs w:val="24"/>
        </w:rPr>
        <w:t xml:space="preserve"> for all respondents</w:t>
      </w:r>
      <w:r w:rsidR="00327D99" w:rsidRPr="00B0399B">
        <w:rPr>
          <w:bCs/>
          <w:sz w:val="24"/>
          <w:szCs w:val="24"/>
        </w:rPr>
        <w:t>. For the grantees, the burden is reduced because any duplicated data collection efforts are eliminated, and grantees must enter data into only one system. The burden estimate for the scholars/</w:t>
      </w:r>
      <w:proofErr w:type="spellStart"/>
      <w:r w:rsidR="00327D99" w:rsidRPr="00B0399B">
        <w:rPr>
          <w:bCs/>
          <w:sz w:val="24"/>
          <w:szCs w:val="24"/>
        </w:rPr>
        <w:t>obligees</w:t>
      </w:r>
      <w:proofErr w:type="spellEnd"/>
      <w:r w:rsidR="003B0AA8" w:rsidRPr="00B0399B">
        <w:rPr>
          <w:bCs/>
          <w:sz w:val="24"/>
          <w:szCs w:val="24"/>
        </w:rPr>
        <w:t xml:space="preserve"> and employers</w:t>
      </w:r>
      <w:r w:rsidR="00327D99" w:rsidRPr="00B0399B">
        <w:rPr>
          <w:bCs/>
          <w:sz w:val="24"/>
          <w:szCs w:val="24"/>
        </w:rPr>
        <w:t xml:space="preserve"> </w:t>
      </w:r>
      <w:r w:rsidR="003B0AA8" w:rsidRPr="00B0399B">
        <w:rPr>
          <w:bCs/>
          <w:sz w:val="24"/>
          <w:szCs w:val="24"/>
        </w:rPr>
        <w:t>is</w:t>
      </w:r>
      <w:r w:rsidR="00327D99" w:rsidRPr="00B0399B">
        <w:rPr>
          <w:bCs/>
          <w:sz w:val="24"/>
          <w:szCs w:val="24"/>
        </w:rPr>
        <w:t xml:space="preserve"> also lower. We believe the numbers provided in this report reflect a more accurate estimate</w:t>
      </w:r>
      <w:r w:rsidR="00764325">
        <w:rPr>
          <w:bCs/>
          <w:sz w:val="24"/>
          <w:szCs w:val="24"/>
        </w:rPr>
        <w:t xml:space="preserve"> than the current 1820-0686,</w:t>
      </w:r>
      <w:r w:rsidR="00327D99" w:rsidRPr="00B0399B">
        <w:rPr>
          <w:bCs/>
          <w:sz w:val="24"/>
          <w:szCs w:val="24"/>
        </w:rPr>
        <w:t xml:space="preserve"> as we have utilized existing data in our calculations. </w:t>
      </w:r>
      <w:r w:rsidR="00C50304">
        <w:rPr>
          <w:bCs/>
          <w:sz w:val="24"/>
          <w:szCs w:val="24"/>
        </w:rPr>
        <w:t xml:space="preserve">By merging the data collection systems and combining the two existing data collections, OSEP has reduced the maximum, total burden hours by </w:t>
      </w:r>
      <w:r w:rsidR="00FF79D1">
        <w:rPr>
          <w:bCs/>
          <w:sz w:val="24"/>
          <w:szCs w:val="24"/>
        </w:rPr>
        <w:t>17,759</w:t>
      </w:r>
      <w:r w:rsidR="00C50304">
        <w:rPr>
          <w:bCs/>
          <w:sz w:val="24"/>
          <w:szCs w:val="24"/>
        </w:rPr>
        <w:t xml:space="preserve"> hours</w:t>
      </w:r>
      <w:r w:rsidR="00764325">
        <w:rPr>
          <w:bCs/>
          <w:sz w:val="24"/>
          <w:szCs w:val="24"/>
        </w:rPr>
        <w:t xml:space="preserve"> (see Table A-3, below).</w:t>
      </w:r>
    </w:p>
    <w:p w:rsidR="009A741C" w:rsidRDefault="009A741C" w:rsidP="002D3172">
      <w:pPr>
        <w:rPr>
          <w:bCs/>
          <w:sz w:val="24"/>
          <w:szCs w:val="24"/>
        </w:rPr>
      </w:pPr>
      <w:bookmarkStart w:id="0" w:name="_GoBack"/>
      <w:bookmarkEnd w:id="0"/>
    </w:p>
    <w:p w:rsidR="00694E6E" w:rsidRDefault="00694E6E" w:rsidP="002D3172">
      <w:pPr>
        <w:rPr>
          <w:bCs/>
          <w:sz w:val="24"/>
          <w:szCs w:val="24"/>
        </w:rPr>
      </w:pPr>
    </w:p>
    <w:p w:rsidR="009A741C" w:rsidRDefault="009A741C" w:rsidP="002D3172">
      <w:pPr>
        <w:rPr>
          <w:bCs/>
          <w:sz w:val="24"/>
          <w:szCs w:val="24"/>
        </w:rPr>
      </w:pPr>
      <w:proofErr w:type="gramStart"/>
      <w:r>
        <w:rPr>
          <w:bCs/>
          <w:sz w:val="24"/>
          <w:szCs w:val="24"/>
        </w:rPr>
        <w:t>Table A-3.</w:t>
      </w:r>
      <w:proofErr w:type="gramEnd"/>
      <w:r>
        <w:rPr>
          <w:bCs/>
          <w:sz w:val="24"/>
          <w:szCs w:val="24"/>
        </w:rPr>
        <w:t xml:space="preserve">  Adjustment Decrease in Burden Hours from the Prior Data Collections</w:t>
      </w:r>
    </w:p>
    <w:p w:rsidR="001A65B6" w:rsidRDefault="001A65B6" w:rsidP="002D3172">
      <w:pPr>
        <w:rPr>
          <w:snapToGrid w:val="0"/>
          <w:sz w:val="24"/>
          <w:szCs w:val="24"/>
        </w:rPr>
      </w:pPr>
    </w:p>
    <w:tbl>
      <w:tblPr>
        <w:tblStyle w:val="TableGrid"/>
        <w:tblW w:w="0" w:type="auto"/>
        <w:tblInd w:w="1638" w:type="dxa"/>
        <w:tblLook w:val="04A0" w:firstRow="1" w:lastRow="0" w:firstColumn="1" w:lastColumn="0" w:noHBand="0" w:noVBand="1"/>
      </w:tblPr>
      <w:tblGrid>
        <w:gridCol w:w="1816"/>
        <w:gridCol w:w="3474"/>
      </w:tblGrid>
      <w:tr w:rsidR="009A741C" w:rsidTr="00C50304">
        <w:tc>
          <w:tcPr>
            <w:tcW w:w="1816" w:type="dxa"/>
          </w:tcPr>
          <w:p w:rsidR="009A741C" w:rsidRPr="009A741C" w:rsidRDefault="009A741C" w:rsidP="009A741C">
            <w:pPr>
              <w:jc w:val="center"/>
              <w:rPr>
                <w:b/>
                <w:bCs/>
                <w:sz w:val="24"/>
                <w:szCs w:val="24"/>
              </w:rPr>
            </w:pPr>
            <w:r>
              <w:rPr>
                <w:b/>
                <w:bCs/>
                <w:sz w:val="24"/>
                <w:szCs w:val="24"/>
              </w:rPr>
              <w:t xml:space="preserve">Total </w:t>
            </w:r>
            <w:r w:rsidRPr="009A741C">
              <w:rPr>
                <w:b/>
                <w:bCs/>
                <w:sz w:val="24"/>
                <w:szCs w:val="24"/>
              </w:rPr>
              <w:t>Burden Hours</w:t>
            </w:r>
          </w:p>
        </w:tc>
        <w:tc>
          <w:tcPr>
            <w:tcW w:w="3474" w:type="dxa"/>
          </w:tcPr>
          <w:p w:rsidR="009A741C" w:rsidRPr="009A741C" w:rsidRDefault="009A741C" w:rsidP="009A741C">
            <w:pPr>
              <w:jc w:val="center"/>
              <w:rPr>
                <w:b/>
                <w:bCs/>
                <w:sz w:val="24"/>
                <w:szCs w:val="24"/>
              </w:rPr>
            </w:pPr>
            <w:r w:rsidRPr="009A741C">
              <w:rPr>
                <w:b/>
                <w:bCs/>
                <w:sz w:val="24"/>
                <w:szCs w:val="24"/>
              </w:rPr>
              <w:t>OMB Form #</w:t>
            </w:r>
          </w:p>
        </w:tc>
      </w:tr>
      <w:tr w:rsidR="009A741C" w:rsidTr="00C50304">
        <w:tc>
          <w:tcPr>
            <w:tcW w:w="1816" w:type="dxa"/>
          </w:tcPr>
          <w:p w:rsidR="009A741C" w:rsidRDefault="009A741C" w:rsidP="002D3172">
            <w:pPr>
              <w:rPr>
                <w:bCs/>
                <w:sz w:val="24"/>
                <w:szCs w:val="24"/>
              </w:rPr>
            </w:pPr>
            <w:r>
              <w:rPr>
                <w:bCs/>
                <w:sz w:val="24"/>
                <w:szCs w:val="24"/>
              </w:rPr>
              <w:t>14,761</w:t>
            </w:r>
          </w:p>
        </w:tc>
        <w:tc>
          <w:tcPr>
            <w:tcW w:w="3474" w:type="dxa"/>
          </w:tcPr>
          <w:p w:rsidR="009A741C" w:rsidRDefault="00C50304" w:rsidP="002D3172">
            <w:pPr>
              <w:rPr>
                <w:bCs/>
                <w:sz w:val="24"/>
                <w:szCs w:val="24"/>
              </w:rPr>
            </w:pPr>
            <w:r>
              <w:rPr>
                <w:bCs/>
                <w:sz w:val="24"/>
                <w:szCs w:val="24"/>
              </w:rPr>
              <w:t>Proposed</w:t>
            </w:r>
            <w:r w:rsidR="009A741C">
              <w:rPr>
                <w:bCs/>
                <w:sz w:val="24"/>
                <w:szCs w:val="24"/>
              </w:rPr>
              <w:t xml:space="preserve"> 1820-0686</w:t>
            </w:r>
          </w:p>
        </w:tc>
      </w:tr>
      <w:tr w:rsidR="009A741C" w:rsidTr="00C50304">
        <w:tc>
          <w:tcPr>
            <w:tcW w:w="1816" w:type="dxa"/>
          </w:tcPr>
          <w:p w:rsidR="009A741C" w:rsidRDefault="00764325" w:rsidP="002D3172">
            <w:pPr>
              <w:rPr>
                <w:bCs/>
                <w:sz w:val="24"/>
                <w:szCs w:val="24"/>
              </w:rPr>
            </w:pPr>
            <w:r>
              <w:rPr>
                <w:bCs/>
                <w:sz w:val="24"/>
                <w:szCs w:val="24"/>
              </w:rPr>
              <w:t xml:space="preserve">  </w:t>
            </w:r>
            <w:r w:rsidR="009D73D1">
              <w:rPr>
                <w:bCs/>
                <w:sz w:val="24"/>
                <w:szCs w:val="24"/>
              </w:rPr>
              <w:t>3,645</w:t>
            </w:r>
          </w:p>
        </w:tc>
        <w:tc>
          <w:tcPr>
            <w:tcW w:w="3474" w:type="dxa"/>
          </w:tcPr>
          <w:p w:rsidR="009A741C" w:rsidRDefault="009A741C" w:rsidP="002D3172">
            <w:pPr>
              <w:rPr>
                <w:bCs/>
                <w:sz w:val="24"/>
                <w:szCs w:val="24"/>
              </w:rPr>
            </w:pPr>
            <w:r>
              <w:rPr>
                <w:bCs/>
                <w:sz w:val="24"/>
                <w:szCs w:val="24"/>
              </w:rPr>
              <w:t>1820-0530</w:t>
            </w:r>
          </w:p>
        </w:tc>
      </w:tr>
      <w:tr w:rsidR="009A741C" w:rsidTr="00C50304">
        <w:tc>
          <w:tcPr>
            <w:tcW w:w="1816" w:type="dxa"/>
          </w:tcPr>
          <w:p w:rsidR="009A741C" w:rsidRDefault="009D73D1" w:rsidP="002D3172">
            <w:pPr>
              <w:rPr>
                <w:bCs/>
                <w:sz w:val="24"/>
                <w:szCs w:val="24"/>
              </w:rPr>
            </w:pPr>
            <w:r w:rsidRPr="00C50304">
              <w:rPr>
                <w:bCs/>
                <w:sz w:val="24"/>
                <w:szCs w:val="24"/>
              </w:rPr>
              <w:t>30,029</w:t>
            </w:r>
          </w:p>
        </w:tc>
        <w:tc>
          <w:tcPr>
            <w:tcW w:w="3474" w:type="dxa"/>
          </w:tcPr>
          <w:p w:rsidR="009A741C" w:rsidRDefault="009A741C" w:rsidP="002D3172">
            <w:pPr>
              <w:rPr>
                <w:bCs/>
                <w:sz w:val="24"/>
                <w:szCs w:val="24"/>
              </w:rPr>
            </w:pPr>
            <w:r>
              <w:rPr>
                <w:bCs/>
                <w:sz w:val="24"/>
                <w:szCs w:val="24"/>
              </w:rPr>
              <w:t>1820-0686</w:t>
            </w:r>
          </w:p>
        </w:tc>
      </w:tr>
      <w:tr w:rsidR="009A741C" w:rsidTr="00C50304">
        <w:tc>
          <w:tcPr>
            <w:tcW w:w="1816" w:type="dxa"/>
          </w:tcPr>
          <w:p w:rsidR="009A741C" w:rsidRDefault="009D73D1" w:rsidP="002D3172">
            <w:pPr>
              <w:rPr>
                <w:bCs/>
                <w:sz w:val="24"/>
                <w:szCs w:val="24"/>
              </w:rPr>
            </w:pPr>
            <w:r>
              <w:rPr>
                <w:bCs/>
                <w:sz w:val="24"/>
                <w:szCs w:val="24"/>
              </w:rPr>
              <w:t>18,913</w:t>
            </w:r>
          </w:p>
        </w:tc>
        <w:tc>
          <w:tcPr>
            <w:tcW w:w="3474" w:type="dxa"/>
          </w:tcPr>
          <w:p w:rsidR="009A741C" w:rsidRPr="009A741C" w:rsidRDefault="009A741C" w:rsidP="009A741C">
            <w:pPr>
              <w:rPr>
                <w:b/>
                <w:bCs/>
                <w:sz w:val="24"/>
                <w:szCs w:val="24"/>
              </w:rPr>
            </w:pPr>
            <w:r w:rsidRPr="009A741C">
              <w:rPr>
                <w:b/>
                <w:bCs/>
                <w:sz w:val="24"/>
                <w:szCs w:val="24"/>
              </w:rPr>
              <w:t># Burden Hours Decrease</w:t>
            </w:r>
          </w:p>
        </w:tc>
      </w:tr>
    </w:tbl>
    <w:p w:rsidR="009A741C" w:rsidRPr="00B0399B" w:rsidRDefault="009A741C" w:rsidP="002D3172">
      <w:pPr>
        <w:rPr>
          <w:bCs/>
          <w:sz w:val="24"/>
          <w:szCs w:val="24"/>
        </w:rPr>
      </w:pPr>
    </w:p>
    <w:p w:rsidR="00327D99" w:rsidRPr="00B0399B" w:rsidRDefault="00327D99" w:rsidP="00991753">
      <w:pPr>
        <w:ind w:left="1440"/>
        <w:rPr>
          <w:sz w:val="24"/>
          <w:szCs w:val="24"/>
          <w:highlight w:val="yellow"/>
        </w:rPr>
      </w:pPr>
    </w:p>
    <w:p w:rsidR="00104EAE" w:rsidRPr="00B0399B" w:rsidRDefault="00104EAE" w:rsidP="00104EAE">
      <w:pPr>
        <w:rPr>
          <w:b/>
          <w:bCs/>
          <w:sz w:val="24"/>
          <w:szCs w:val="24"/>
        </w:rPr>
      </w:pPr>
      <w:r w:rsidRPr="00B0399B">
        <w:rPr>
          <w:b/>
          <w:bCs/>
          <w:sz w:val="24"/>
          <w:szCs w:val="24"/>
        </w:rPr>
        <w:t>A16.</w:t>
      </w:r>
      <w:r w:rsidRPr="00B0399B">
        <w:rPr>
          <w:b/>
          <w:bCs/>
          <w:sz w:val="24"/>
          <w:szCs w:val="24"/>
        </w:rPr>
        <w:tab/>
        <w:t xml:space="preserve">Plans for Tabulation and Publication of Results </w:t>
      </w:r>
    </w:p>
    <w:p w:rsidR="00B75FA4" w:rsidRPr="00B0399B" w:rsidRDefault="00B75FA4" w:rsidP="00991753">
      <w:pPr>
        <w:ind w:left="720"/>
        <w:rPr>
          <w:sz w:val="24"/>
          <w:szCs w:val="24"/>
        </w:rPr>
      </w:pPr>
    </w:p>
    <w:p w:rsidR="00B75FA4" w:rsidRPr="00104EAE" w:rsidRDefault="00104EAE" w:rsidP="002D3172">
      <w:pPr>
        <w:rPr>
          <w:rFonts w:eastAsia="Arial Unicode MS"/>
          <w:noProof/>
          <w:sz w:val="24"/>
          <w:szCs w:val="24"/>
        </w:rPr>
      </w:pPr>
      <w:r w:rsidRPr="00B0399B">
        <w:rPr>
          <w:bCs/>
          <w:sz w:val="24"/>
          <w:szCs w:val="24"/>
        </w:rPr>
        <w:t xml:space="preserve">The data will also be used on an annual basis to report </w:t>
      </w:r>
      <w:r w:rsidRPr="00B0399B">
        <w:rPr>
          <w:sz w:val="24"/>
          <w:szCs w:val="24"/>
        </w:rPr>
        <w:t xml:space="preserve">results to ED’s Budget Service for compliance with </w:t>
      </w:r>
      <w:r w:rsidRPr="00E879B6">
        <w:rPr>
          <w:sz w:val="24"/>
          <w:szCs w:val="24"/>
        </w:rPr>
        <w:t>GPRA</w:t>
      </w:r>
      <w:r w:rsidRPr="00B0399B">
        <w:rPr>
          <w:sz w:val="24"/>
          <w:szCs w:val="24"/>
        </w:rPr>
        <w:t xml:space="preserve"> and publication in ED’s Budget Justification.  </w:t>
      </w:r>
      <w:r w:rsidR="00B75FA4" w:rsidRPr="00B0399B">
        <w:rPr>
          <w:rFonts w:eastAsia="Arial Unicode MS"/>
          <w:sz w:val="24"/>
          <w:szCs w:val="24"/>
        </w:rPr>
        <w:t>A final report will be produced for each fiscal year. This report will include d</w:t>
      </w:r>
      <w:r w:rsidR="00B75FA4" w:rsidRPr="00B0399B">
        <w:rPr>
          <w:rFonts w:eastAsia="Arial Unicode MS"/>
          <w:noProof/>
          <w:sz w:val="24"/>
          <w:szCs w:val="24"/>
        </w:rPr>
        <w:t xml:space="preserve">escriptive analyses of all variables collected. The number of </w:t>
      </w:r>
      <w:r w:rsidR="0051001E" w:rsidRPr="00B0399B">
        <w:rPr>
          <w:rFonts w:eastAsia="Arial Unicode MS"/>
          <w:noProof/>
          <w:sz w:val="24"/>
          <w:szCs w:val="24"/>
        </w:rPr>
        <w:t>scholars</w:t>
      </w:r>
      <w:r w:rsidR="00B75FA4" w:rsidRPr="00B0399B">
        <w:rPr>
          <w:rFonts w:eastAsia="Arial Unicode MS"/>
          <w:noProof/>
          <w:sz w:val="24"/>
          <w:szCs w:val="24"/>
        </w:rPr>
        <w:t xml:space="preserve"> and percentages, as well as measures of central tendency when appropriate, will be presented by grant type in table format. </w:t>
      </w:r>
      <w:r w:rsidR="0051001E" w:rsidRPr="00B0399B">
        <w:rPr>
          <w:rFonts w:eastAsia="Arial Unicode MS"/>
          <w:noProof/>
          <w:sz w:val="24"/>
          <w:szCs w:val="24"/>
        </w:rPr>
        <w:t>The report will</w:t>
      </w:r>
      <w:r w:rsidR="00B33A91" w:rsidRPr="00B0399B">
        <w:rPr>
          <w:rFonts w:eastAsia="Arial Unicode MS"/>
          <w:noProof/>
          <w:sz w:val="24"/>
          <w:szCs w:val="24"/>
        </w:rPr>
        <w:t xml:space="preserve"> also</w:t>
      </w:r>
      <w:r w:rsidR="0051001E" w:rsidRPr="00B0399B">
        <w:rPr>
          <w:rFonts w:eastAsia="Arial Unicode MS"/>
          <w:noProof/>
          <w:sz w:val="24"/>
          <w:szCs w:val="24"/>
        </w:rPr>
        <w:t xml:space="preserve"> provide data to </w:t>
      </w:r>
      <w:r w:rsidR="0051001E" w:rsidRPr="00B0399B">
        <w:rPr>
          <w:bCs/>
          <w:sz w:val="24"/>
          <w:szCs w:val="24"/>
        </w:rPr>
        <w:t xml:space="preserve">monitor the fulfillment of </w:t>
      </w:r>
      <w:proofErr w:type="spellStart"/>
      <w:r w:rsidR="004869CC" w:rsidRPr="00B0399B">
        <w:rPr>
          <w:bCs/>
          <w:sz w:val="24"/>
          <w:szCs w:val="24"/>
        </w:rPr>
        <w:t>obligee</w:t>
      </w:r>
      <w:proofErr w:type="spellEnd"/>
      <w:r w:rsidR="0051001E" w:rsidRPr="00B0399B">
        <w:rPr>
          <w:bCs/>
          <w:sz w:val="24"/>
          <w:szCs w:val="24"/>
        </w:rPr>
        <w:t xml:space="preserve"> service </w:t>
      </w:r>
      <w:r w:rsidR="004869CC" w:rsidRPr="00B0399B">
        <w:rPr>
          <w:bCs/>
          <w:sz w:val="24"/>
          <w:szCs w:val="24"/>
        </w:rPr>
        <w:t>obli</w:t>
      </w:r>
      <w:r w:rsidR="00B33A91" w:rsidRPr="00B0399B">
        <w:rPr>
          <w:bCs/>
          <w:sz w:val="24"/>
          <w:szCs w:val="24"/>
        </w:rPr>
        <w:t>gation</w:t>
      </w:r>
      <w:r w:rsidR="0051001E" w:rsidRPr="00B0399B">
        <w:rPr>
          <w:bCs/>
          <w:sz w:val="24"/>
          <w:szCs w:val="24"/>
        </w:rPr>
        <w:t xml:space="preserve"> and grantee and </w:t>
      </w:r>
      <w:r w:rsidR="00B33A91" w:rsidRPr="00B0399B">
        <w:rPr>
          <w:bCs/>
          <w:sz w:val="24"/>
          <w:szCs w:val="24"/>
        </w:rPr>
        <w:t>scholar/</w:t>
      </w:r>
      <w:proofErr w:type="spellStart"/>
      <w:r w:rsidR="00B33A91" w:rsidRPr="00B0399B">
        <w:rPr>
          <w:bCs/>
          <w:sz w:val="24"/>
          <w:szCs w:val="24"/>
        </w:rPr>
        <w:t>obligee</w:t>
      </w:r>
      <w:proofErr w:type="spellEnd"/>
      <w:r w:rsidR="0051001E" w:rsidRPr="00B0399B">
        <w:rPr>
          <w:bCs/>
          <w:sz w:val="24"/>
          <w:szCs w:val="24"/>
        </w:rPr>
        <w:t xml:space="preserve"> compliance with the program regulations</w:t>
      </w:r>
      <w:r w:rsidR="00923626" w:rsidRPr="00B0399B">
        <w:rPr>
          <w:bCs/>
          <w:sz w:val="24"/>
          <w:szCs w:val="24"/>
        </w:rPr>
        <w:t>.</w:t>
      </w:r>
      <w:r w:rsidR="0051001E" w:rsidRPr="00B0399B">
        <w:rPr>
          <w:rFonts w:eastAsia="Arial Unicode MS"/>
          <w:noProof/>
          <w:sz w:val="24"/>
          <w:szCs w:val="24"/>
        </w:rPr>
        <w:t xml:space="preserve"> </w:t>
      </w:r>
      <w:r w:rsidR="00B75FA4" w:rsidRPr="00B0399B">
        <w:rPr>
          <w:rFonts w:eastAsia="Arial Unicode MS"/>
          <w:noProof/>
          <w:sz w:val="24"/>
          <w:szCs w:val="24"/>
        </w:rPr>
        <w:t>Bulleted text and an executive summary will be provided to highlight key findings. The final report will also include analyses of relationships among variables in the current fiscal year data set as well as comparative analyses of key variables across all data sets.</w:t>
      </w:r>
      <w:r w:rsidR="0010458D" w:rsidRPr="00B0399B">
        <w:rPr>
          <w:rFonts w:eastAsia="Arial Unicode MS"/>
          <w:noProof/>
          <w:sz w:val="24"/>
          <w:szCs w:val="24"/>
        </w:rPr>
        <w:t xml:space="preserve"> </w:t>
      </w:r>
      <w:r w:rsidRPr="00B0399B">
        <w:rPr>
          <w:rFonts w:eastAsia="Arial Unicode MS"/>
          <w:noProof/>
          <w:sz w:val="24"/>
          <w:szCs w:val="24"/>
        </w:rPr>
        <w:t>All data will be in an aggregate form to protect PII and no PII information will be published.</w:t>
      </w:r>
    </w:p>
    <w:p w:rsidR="00B75FA4" w:rsidRPr="00B0399B" w:rsidRDefault="00B75FA4" w:rsidP="00991753">
      <w:pPr>
        <w:ind w:left="1440"/>
        <w:rPr>
          <w:rFonts w:eastAsia="Arial Unicode MS"/>
          <w:noProof/>
          <w:sz w:val="24"/>
          <w:szCs w:val="24"/>
        </w:rPr>
      </w:pPr>
    </w:p>
    <w:p w:rsidR="0051001E" w:rsidRPr="00104EAE" w:rsidRDefault="0051001E" w:rsidP="002D3172">
      <w:pPr>
        <w:jc w:val="both"/>
        <w:rPr>
          <w:rFonts w:eastAsia="Arial Unicode MS"/>
          <w:noProof/>
          <w:sz w:val="24"/>
          <w:szCs w:val="24"/>
        </w:rPr>
      </w:pPr>
      <w:r w:rsidRPr="00B0399B">
        <w:rPr>
          <w:rFonts w:eastAsia="Arial Unicode MS"/>
          <w:noProof/>
          <w:sz w:val="24"/>
          <w:szCs w:val="24"/>
        </w:rPr>
        <w:t>Table A</w:t>
      </w:r>
      <w:r w:rsidR="00923626" w:rsidRPr="00B0399B">
        <w:rPr>
          <w:rFonts w:eastAsia="Arial Unicode MS"/>
          <w:noProof/>
          <w:sz w:val="24"/>
          <w:szCs w:val="24"/>
        </w:rPr>
        <w:t>-</w:t>
      </w:r>
      <w:r w:rsidR="001A65B6">
        <w:rPr>
          <w:rFonts w:eastAsia="Arial Unicode MS"/>
          <w:noProof/>
          <w:sz w:val="24"/>
          <w:szCs w:val="24"/>
        </w:rPr>
        <w:t>4</w:t>
      </w:r>
      <w:r w:rsidR="001A65B6" w:rsidRPr="00B0399B">
        <w:rPr>
          <w:rFonts w:eastAsia="Arial Unicode MS"/>
          <w:noProof/>
          <w:sz w:val="24"/>
          <w:szCs w:val="24"/>
        </w:rPr>
        <w:t xml:space="preserve"> </w:t>
      </w:r>
      <w:r w:rsidRPr="00B0399B">
        <w:rPr>
          <w:rFonts w:eastAsia="Arial Unicode MS"/>
          <w:noProof/>
          <w:sz w:val="24"/>
          <w:szCs w:val="24"/>
        </w:rPr>
        <w:t>below summarizes the data collection and reporting timeline. Respondents will have continuous access to the online data collection system; however</w:t>
      </w:r>
      <w:r w:rsidR="005B2A80" w:rsidRPr="00B0399B">
        <w:rPr>
          <w:rFonts w:eastAsia="Arial Unicode MS"/>
          <w:noProof/>
          <w:sz w:val="24"/>
          <w:szCs w:val="24"/>
        </w:rPr>
        <w:t>,</w:t>
      </w:r>
      <w:r w:rsidRPr="00B0399B">
        <w:rPr>
          <w:rFonts w:eastAsia="Arial Unicode MS"/>
          <w:noProof/>
          <w:sz w:val="24"/>
          <w:szCs w:val="24"/>
        </w:rPr>
        <w:t xml:space="preserve"> analyses will be conducted on a snapshot of the data to document the previous</w:t>
      </w:r>
      <w:r w:rsidR="00104EAE" w:rsidRPr="00B0399B">
        <w:rPr>
          <w:rFonts w:eastAsia="Arial Unicode MS"/>
          <w:noProof/>
          <w:sz w:val="24"/>
          <w:szCs w:val="24"/>
        </w:rPr>
        <w:t xml:space="preserve"> </w:t>
      </w:r>
      <w:r w:rsidR="00104EAE">
        <w:rPr>
          <w:rFonts w:eastAsia="Arial Unicode MS"/>
          <w:noProof/>
          <w:sz w:val="24"/>
          <w:szCs w:val="24"/>
        </w:rPr>
        <w:t>fiscal year</w:t>
      </w:r>
      <w:r w:rsidRPr="00104EAE">
        <w:rPr>
          <w:rFonts w:eastAsia="Arial Unicode MS"/>
          <w:noProof/>
          <w:sz w:val="24"/>
          <w:szCs w:val="24"/>
        </w:rPr>
        <w:t>.</w:t>
      </w:r>
    </w:p>
    <w:p w:rsidR="005B3C74" w:rsidRPr="00B0399B" w:rsidRDefault="005B3C74" w:rsidP="005B3C74">
      <w:pPr>
        <w:ind w:left="720"/>
        <w:rPr>
          <w:rFonts w:eastAsia="Arial Unicode MS"/>
          <w:noProof/>
          <w:sz w:val="24"/>
          <w:szCs w:val="24"/>
        </w:rPr>
      </w:pPr>
    </w:p>
    <w:p w:rsidR="0051001E" w:rsidRPr="00B0399B" w:rsidRDefault="0051001E" w:rsidP="00991753">
      <w:pPr>
        <w:ind w:left="720" w:firstLine="720"/>
        <w:rPr>
          <w:rFonts w:eastAsia="Arial Unicode MS"/>
          <w:noProof/>
          <w:sz w:val="24"/>
          <w:szCs w:val="24"/>
        </w:rPr>
      </w:pPr>
      <w:r w:rsidRPr="00B0399B">
        <w:rPr>
          <w:rFonts w:eastAsia="Arial Unicode MS"/>
          <w:noProof/>
          <w:sz w:val="24"/>
          <w:szCs w:val="24"/>
        </w:rPr>
        <w:t>Table A</w:t>
      </w:r>
      <w:r w:rsidR="00923626" w:rsidRPr="00B0399B">
        <w:rPr>
          <w:rFonts w:eastAsia="Arial Unicode MS"/>
          <w:noProof/>
          <w:sz w:val="24"/>
          <w:szCs w:val="24"/>
        </w:rPr>
        <w:t>-</w:t>
      </w:r>
      <w:r w:rsidR="001A65B6">
        <w:rPr>
          <w:rFonts w:eastAsia="Arial Unicode MS"/>
          <w:noProof/>
          <w:sz w:val="24"/>
          <w:szCs w:val="24"/>
        </w:rPr>
        <w:t>4</w:t>
      </w:r>
      <w:r w:rsidR="00923626" w:rsidRPr="00B0399B">
        <w:rPr>
          <w:rFonts w:eastAsia="Arial Unicode MS"/>
          <w:noProof/>
          <w:sz w:val="24"/>
          <w:szCs w:val="24"/>
        </w:rPr>
        <w:t xml:space="preserve">. </w:t>
      </w:r>
      <w:r w:rsidRPr="00B0399B">
        <w:rPr>
          <w:rFonts w:eastAsia="Arial Unicode MS"/>
          <w:noProof/>
          <w:sz w:val="24"/>
          <w:szCs w:val="24"/>
        </w:rPr>
        <w:t>Data Collection and Reporting Timeline</w:t>
      </w:r>
    </w:p>
    <w:p w:rsidR="0051001E" w:rsidRPr="00B0399B" w:rsidRDefault="0051001E" w:rsidP="002D3172">
      <w:pPr>
        <w:rPr>
          <w:rFonts w:eastAsia="Arial Unicode MS"/>
          <w:noProof/>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2250"/>
      </w:tblGrid>
      <w:tr w:rsidR="0051001E" w:rsidRPr="00B0399B" w:rsidTr="001A65B6">
        <w:tc>
          <w:tcPr>
            <w:tcW w:w="4230" w:type="dxa"/>
          </w:tcPr>
          <w:p w:rsidR="0051001E" w:rsidRPr="00B0399B" w:rsidRDefault="0051001E" w:rsidP="001A65B6">
            <w:pPr>
              <w:jc w:val="center"/>
              <w:rPr>
                <w:sz w:val="24"/>
                <w:szCs w:val="24"/>
              </w:rPr>
            </w:pPr>
            <w:r w:rsidRPr="00B0399B">
              <w:rPr>
                <w:sz w:val="24"/>
                <w:szCs w:val="24"/>
              </w:rPr>
              <w:t>Task</w:t>
            </w:r>
          </w:p>
        </w:tc>
        <w:tc>
          <w:tcPr>
            <w:tcW w:w="2250" w:type="dxa"/>
          </w:tcPr>
          <w:p w:rsidR="0051001E" w:rsidRPr="00B0399B" w:rsidRDefault="0051001E" w:rsidP="001A65B6">
            <w:pPr>
              <w:jc w:val="center"/>
              <w:rPr>
                <w:sz w:val="24"/>
                <w:szCs w:val="24"/>
              </w:rPr>
            </w:pPr>
            <w:r w:rsidRPr="00B0399B">
              <w:rPr>
                <w:sz w:val="24"/>
                <w:szCs w:val="24"/>
              </w:rPr>
              <w:t>Month(s)</w:t>
            </w:r>
          </w:p>
        </w:tc>
      </w:tr>
      <w:tr w:rsidR="0051001E" w:rsidRPr="00B0399B" w:rsidTr="001A65B6">
        <w:tc>
          <w:tcPr>
            <w:tcW w:w="4230" w:type="dxa"/>
          </w:tcPr>
          <w:p w:rsidR="0051001E" w:rsidRPr="00104EAE" w:rsidRDefault="0051001E" w:rsidP="00991753">
            <w:pPr>
              <w:rPr>
                <w:sz w:val="24"/>
                <w:szCs w:val="24"/>
              </w:rPr>
            </w:pPr>
            <w:r w:rsidRPr="00104EAE">
              <w:rPr>
                <w:sz w:val="24"/>
                <w:szCs w:val="24"/>
              </w:rPr>
              <w:t>Respondents enter data</w:t>
            </w:r>
          </w:p>
        </w:tc>
        <w:tc>
          <w:tcPr>
            <w:tcW w:w="2250" w:type="dxa"/>
          </w:tcPr>
          <w:p w:rsidR="0051001E" w:rsidRPr="00B0399B" w:rsidRDefault="0051001E" w:rsidP="00991753">
            <w:pPr>
              <w:rPr>
                <w:sz w:val="24"/>
                <w:szCs w:val="24"/>
              </w:rPr>
            </w:pPr>
            <w:r w:rsidRPr="00B0399B">
              <w:rPr>
                <w:sz w:val="24"/>
                <w:szCs w:val="24"/>
              </w:rPr>
              <w:t>Ongoing</w:t>
            </w:r>
          </w:p>
        </w:tc>
      </w:tr>
      <w:tr w:rsidR="0051001E" w:rsidRPr="00B0399B" w:rsidTr="001A65B6">
        <w:tc>
          <w:tcPr>
            <w:tcW w:w="4230" w:type="dxa"/>
          </w:tcPr>
          <w:p w:rsidR="0051001E" w:rsidRPr="00104EAE" w:rsidRDefault="0051001E" w:rsidP="00991753">
            <w:pPr>
              <w:rPr>
                <w:sz w:val="24"/>
                <w:szCs w:val="24"/>
              </w:rPr>
            </w:pPr>
            <w:r w:rsidRPr="00104EAE">
              <w:rPr>
                <w:sz w:val="24"/>
                <w:szCs w:val="24"/>
              </w:rPr>
              <w:t>Snapshot taken of data</w:t>
            </w:r>
          </w:p>
        </w:tc>
        <w:tc>
          <w:tcPr>
            <w:tcW w:w="2250" w:type="dxa"/>
          </w:tcPr>
          <w:p w:rsidR="0051001E" w:rsidRPr="00B0399B" w:rsidRDefault="0051001E" w:rsidP="00991753">
            <w:pPr>
              <w:rPr>
                <w:sz w:val="24"/>
                <w:szCs w:val="24"/>
              </w:rPr>
            </w:pPr>
            <w:r w:rsidRPr="00B0399B">
              <w:rPr>
                <w:sz w:val="24"/>
                <w:szCs w:val="24"/>
              </w:rPr>
              <w:t>April</w:t>
            </w:r>
          </w:p>
        </w:tc>
      </w:tr>
      <w:tr w:rsidR="0051001E" w:rsidRPr="00B0399B" w:rsidTr="001A65B6">
        <w:tc>
          <w:tcPr>
            <w:tcW w:w="4230" w:type="dxa"/>
          </w:tcPr>
          <w:p w:rsidR="0051001E" w:rsidRPr="00104EAE" w:rsidRDefault="0051001E" w:rsidP="00991753">
            <w:pPr>
              <w:rPr>
                <w:sz w:val="24"/>
                <w:szCs w:val="24"/>
              </w:rPr>
            </w:pPr>
            <w:r w:rsidRPr="00104EAE">
              <w:rPr>
                <w:sz w:val="24"/>
                <w:szCs w:val="24"/>
              </w:rPr>
              <w:t>Draft reports for previous FY</w:t>
            </w:r>
          </w:p>
        </w:tc>
        <w:tc>
          <w:tcPr>
            <w:tcW w:w="2250" w:type="dxa"/>
          </w:tcPr>
          <w:p w:rsidR="0051001E" w:rsidRPr="00B0399B" w:rsidRDefault="0051001E" w:rsidP="00991753">
            <w:pPr>
              <w:rPr>
                <w:sz w:val="24"/>
                <w:szCs w:val="24"/>
              </w:rPr>
            </w:pPr>
            <w:r w:rsidRPr="00B0399B">
              <w:rPr>
                <w:sz w:val="24"/>
                <w:szCs w:val="24"/>
              </w:rPr>
              <w:t>June-July</w:t>
            </w:r>
          </w:p>
        </w:tc>
      </w:tr>
      <w:tr w:rsidR="0051001E" w:rsidRPr="00B0399B" w:rsidTr="001A65B6">
        <w:tc>
          <w:tcPr>
            <w:tcW w:w="4230" w:type="dxa"/>
          </w:tcPr>
          <w:p w:rsidR="0051001E" w:rsidRPr="00104EAE" w:rsidRDefault="0051001E" w:rsidP="00991753">
            <w:pPr>
              <w:rPr>
                <w:sz w:val="24"/>
                <w:szCs w:val="24"/>
              </w:rPr>
            </w:pPr>
            <w:r w:rsidRPr="00104EAE">
              <w:rPr>
                <w:sz w:val="24"/>
                <w:szCs w:val="24"/>
              </w:rPr>
              <w:t>GPRA reporting for previous FY</w:t>
            </w:r>
          </w:p>
        </w:tc>
        <w:tc>
          <w:tcPr>
            <w:tcW w:w="2250" w:type="dxa"/>
          </w:tcPr>
          <w:p w:rsidR="0051001E" w:rsidRPr="00B0399B" w:rsidRDefault="0051001E" w:rsidP="00991753">
            <w:pPr>
              <w:rPr>
                <w:sz w:val="24"/>
                <w:szCs w:val="24"/>
              </w:rPr>
            </w:pPr>
            <w:r w:rsidRPr="00B0399B">
              <w:rPr>
                <w:sz w:val="24"/>
                <w:szCs w:val="24"/>
              </w:rPr>
              <w:t>July-August</w:t>
            </w:r>
          </w:p>
        </w:tc>
      </w:tr>
      <w:tr w:rsidR="0051001E" w:rsidRPr="00B0399B" w:rsidTr="001A65B6">
        <w:tc>
          <w:tcPr>
            <w:tcW w:w="4230" w:type="dxa"/>
          </w:tcPr>
          <w:p w:rsidR="0051001E" w:rsidRPr="00104EAE" w:rsidRDefault="0051001E" w:rsidP="00991753">
            <w:pPr>
              <w:rPr>
                <w:sz w:val="24"/>
                <w:szCs w:val="24"/>
              </w:rPr>
            </w:pPr>
            <w:r w:rsidRPr="00104EAE">
              <w:rPr>
                <w:sz w:val="24"/>
                <w:szCs w:val="24"/>
              </w:rPr>
              <w:t>Final report for previous FY</w:t>
            </w:r>
          </w:p>
        </w:tc>
        <w:tc>
          <w:tcPr>
            <w:tcW w:w="2250" w:type="dxa"/>
          </w:tcPr>
          <w:p w:rsidR="0051001E" w:rsidRPr="00B0399B" w:rsidRDefault="0051001E" w:rsidP="00991753">
            <w:pPr>
              <w:rPr>
                <w:sz w:val="24"/>
                <w:szCs w:val="24"/>
              </w:rPr>
            </w:pPr>
            <w:r w:rsidRPr="00B0399B">
              <w:rPr>
                <w:sz w:val="24"/>
                <w:szCs w:val="24"/>
              </w:rPr>
              <w:t>August</w:t>
            </w:r>
          </w:p>
        </w:tc>
      </w:tr>
    </w:tbl>
    <w:p w:rsidR="00B75FA4" w:rsidRPr="00104EAE" w:rsidRDefault="00B75FA4" w:rsidP="00991753">
      <w:pPr>
        <w:ind w:left="720"/>
        <w:rPr>
          <w:sz w:val="24"/>
          <w:szCs w:val="24"/>
        </w:rPr>
      </w:pPr>
    </w:p>
    <w:p w:rsidR="00104EAE" w:rsidRPr="00B66A09" w:rsidRDefault="00104EAE" w:rsidP="00104EAE">
      <w:pPr>
        <w:ind w:left="720" w:hanging="720"/>
        <w:rPr>
          <w:sz w:val="22"/>
          <w:szCs w:val="22"/>
        </w:rPr>
      </w:pPr>
      <w:r w:rsidRPr="00B66A09">
        <w:rPr>
          <w:b/>
          <w:bCs/>
          <w:sz w:val="22"/>
          <w:szCs w:val="22"/>
        </w:rPr>
        <w:t>A17.</w:t>
      </w:r>
      <w:r w:rsidRPr="00B66A09">
        <w:rPr>
          <w:b/>
          <w:bCs/>
          <w:sz w:val="22"/>
          <w:szCs w:val="22"/>
        </w:rPr>
        <w:tab/>
        <w:t>Approval to Not Display the OMB Expiration Date</w:t>
      </w:r>
    </w:p>
    <w:p w:rsidR="00B75FA4" w:rsidRPr="00B0399B" w:rsidRDefault="00B75FA4" w:rsidP="00991753">
      <w:pPr>
        <w:ind w:left="720"/>
        <w:rPr>
          <w:sz w:val="24"/>
          <w:szCs w:val="24"/>
        </w:rPr>
      </w:pPr>
    </w:p>
    <w:p w:rsidR="0051001E" w:rsidRDefault="0051001E" w:rsidP="002D3172">
      <w:pPr>
        <w:rPr>
          <w:sz w:val="24"/>
          <w:szCs w:val="24"/>
        </w:rPr>
      </w:pPr>
      <w:r w:rsidRPr="00B0399B">
        <w:rPr>
          <w:sz w:val="24"/>
          <w:szCs w:val="24"/>
        </w:rPr>
        <w:t>This item is not applicable as the OMB expiration date will be displayed on the form and the login screen for each respondent type.</w:t>
      </w:r>
    </w:p>
    <w:p w:rsidR="002D3172" w:rsidRDefault="002D3172" w:rsidP="002D3172">
      <w:pPr>
        <w:rPr>
          <w:sz w:val="24"/>
          <w:szCs w:val="24"/>
        </w:rPr>
      </w:pPr>
    </w:p>
    <w:p w:rsidR="002D3172" w:rsidRPr="00B0399B" w:rsidRDefault="002D3172" w:rsidP="002D3172">
      <w:pPr>
        <w:tabs>
          <w:tab w:val="left" w:pos="720"/>
        </w:tabs>
        <w:rPr>
          <w:sz w:val="24"/>
          <w:szCs w:val="24"/>
        </w:rPr>
      </w:pPr>
      <w:r w:rsidRPr="00B66A09">
        <w:rPr>
          <w:b/>
          <w:bCs/>
          <w:sz w:val="22"/>
          <w:szCs w:val="22"/>
        </w:rPr>
        <w:t>A18.</w:t>
      </w:r>
      <w:r w:rsidRPr="00B66A09">
        <w:rPr>
          <w:b/>
          <w:bCs/>
          <w:sz w:val="22"/>
          <w:szCs w:val="22"/>
        </w:rPr>
        <w:tab/>
        <w:t xml:space="preserve">Explanation of Exceptions </w:t>
      </w:r>
    </w:p>
    <w:p w:rsidR="002D3172" w:rsidRDefault="002D3172" w:rsidP="002D3172">
      <w:pPr>
        <w:tabs>
          <w:tab w:val="left" w:pos="720"/>
        </w:tabs>
        <w:ind w:left="1440"/>
        <w:rPr>
          <w:sz w:val="24"/>
          <w:szCs w:val="24"/>
        </w:rPr>
      </w:pPr>
    </w:p>
    <w:p w:rsidR="002D3172" w:rsidRDefault="002D3172" w:rsidP="002D3172">
      <w:pPr>
        <w:tabs>
          <w:tab w:val="left" w:pos="720"/>
        </w:tabs>
        <w:rPr>
          <w:sz w:val="24"/>
          <w:szCs w:val="24"/>
        </w:rPr>
      </w:pPr>
      <w:r w:rsidRPr="00B0399B">
        <w:rPr>
          <w:sz w:val="24"/>
          <w:szCs w:val="24"/>
        </w:rPr>
        <w:t>There are no exceptions to the certification statement.</w:t>
      </w:r>
    </w:p>
    <w:p w:rsidR="00104EAE" w:rsidRDefault="00104EAE" w:rsidP="00991753">
      <w:pPr>
        <w:tabs>
          <w:tab w:val="left" w:pos="720"/>
        </w:tabs>
        <w:ind w:left="1440"/>
        <w:rPr>
          <w:sz w:val="24"/>
          <w:szCs w:val="24"/>
        </w:rPr>
      </w:pPr>
    </w:p>
    <w:p w:rsidR="00104EAE" w:rsidRDefault="00104EAE" w:rsidP="00991753">
      <w:pPr>
        <w:tabs>
          <w:tab w:val="left" w:pos="720"/>
        </w:tabs>
        <w:ind w:left="1440"/>
        <w:rPr>
          <w:sz w:val="24"/>
          <w:szCs w:val="24"/>
        </w:rPr>
      </w:pPr>
    </w:p>
    <w:p w:rsidR="00104EAE" w:rsidRPr="00B0399B" w:rsidRDefault="00104EAE" w:rsidP="00104EAE">
      <w:pPr>
        <w:rPr>
          <w:sz w:val="24"/>
          <w:szCs w:val="24"/>
        </w:rPr>
      </w:pPr>
      <w:r w:rsidRPr="00B0399B">
        <w:rPr>
          <w:bCs/>
          <w:sz w:val="24"/>
          <w:szCs w:val="24"/>
        </w:rPr>
        <w:t>SECTION B.  COLLECTION OF INFORMATION EMPLOYING STATISICAL METHODS</w:t>
      </w:r>
    </w:p>
    <w:p w:rsidR="00104EAE" w:rsidRPr="00B0399B" w:rsidRDefault="00104EAE" w:rsidP="00104EAE">
      <w:pPr>
        <w:rPr>
          <w:sz w:val="24"/>
          <w:szCs w:val="24"/>
        </w:rPr>
      </w:pPr>
    </w:p>
    <w:p w:rsidR="00104EAE" w:rsidRPr="00B0399B" w:rsidRDefault="00104EAE" w:rsidP="00104EAE">
      <w:pPr>
        <w:rPr>
          <w:b/>
          <w:sz w:val="24"/>
          <w:szCs w:val="24"/>
        </w:rPr>
      </w:pPr>
      <w:r w:rsidRPr="00B0399B">
        <w:rPr>
          <w:b/>
          <w:sz w:val="24"/>
          <w:szCs w:val="24"/>
        </w:rPr>
        <w:t>B.1  Collection of Information Employing Statistical Methods</w:t>
      </w:r>
    </w:p>
    <w:p w:rsidR="00104EAE" w:rsidRPr="00B0399B" w:rsidRDefault="00104EAE" w:rsidP="00104EAE">
      <w:pPr>
        <w:rPr>
          <w:sz w:val="24"/>
          <w:szCs w:val="24"/>
        </w:rPr>
      </w:pPr>
    </w:p>
    <w:p w:rsidR="00104EAE" w:rsidRPr="00B0399B" w:rsidRDefault="00104EAE" w:rsidP="002D3172">
      <w:pPr>
        <w:rPr>
          <w:sz w:val="24"/>
          <w:szCs w:val="24"/>
        </w:rPr>
      </w:pPr>
      <w:r w:rsidRPr="00B0399B">
        <w:rPr>
          <w:sz w:val="24"/>
          <w:szCs w:val="24"/>
        </w:rPr>
        <w:t>This collection does not use statistical methods due to the three purposes of the proposed data collection. First, data from three sources (grantees, scholars/</w:t>
      </w:r>
      <w:proofErr w:type="spellStart"/>
      <w:r w:rsidRPr="00B0399B">
        <w:rPr>
          <w:sz w:val="24"/>
          <w:szCs w:val="24"/>
        </w:rPr>
        <w:t>obligees</w:t>
      </w:r>
      <w:proofErr w:type="spellEnd"/>
      <w:r w:rsidRPr="00B0399B">
        <w:rPr>
          <w:sz w:val="24"/>
          <w:szCs w:val="24"/>
        </w:rPr>
        <w:t xml:space="preserve">, employers) are necessary to assess the performance of the PDP program on its </w:t>
      </w:r>
      <w:r w:rsidRPr="002D3172">
        <w:rPr>
          <w:sz w:val="24"/>
          <w:szCs w:val="24"/>
        </w:rPr>
        <w:t>Government Performance Results Act (GPRA)</w:t>
      </w:r>
      <w:r w:rsidRPr="00B0399B">
        <w:rPr>
          <w:sz w:val="24"/>
          <w:szCs w:val="24"/>
        </w:rPr>
        <w:t xml:space="preserve"> measures. Second, data from all three sources are necessary to determine if PDP </w:t>
      </w:r>
      <w:proofErr w:type="spellStart"/>
      <w:r w:rsidRPr="00B0399B">
        <w:rPr>
          <w:sz w:val="24"/>
          <w:szCs w:val="24"/>
        </w:rPr>
        <w:t>obligees</w:t>
      </w:r>
      <w:proofErr w:type="spellEnd"/>
      <w:r w:rsidRPr="00B0399B">
        <w:rPr>
          <w:sz w:val="24"/>
          <w:szCs w:val="24"/>
        </w:rPr>
        <w:t xml:space="preserve"> are fulfilling the terms of their service obligation requirements. Finally, budget and project-specific performance data are collected from PDP grantees for project monitoring.  These three purposes require actual data collection to ensure accuracy, integrity, and the validity of aggregate data.  </w:t>
      </w:r>
    </w:p>
    <w:p w:rsidR="00104EAE" w:rsidRPr="00104EAE" w:rsidRDefault="00104EAE" w:rsidP="00991753">
      <w:pPr>
        <w:tabs>
          <w:tab w:val="left" w:pos="720"/>
        </w:tabs>
        <w:ind w:left="1440"/>
        <w:rPr>
          <w:sz w:val="24"/>
          <w:szCs w:val="24"/>
        </w:rPr>
      </w:pPr>
    </w:p>
    <w:sectPr w:rsidR="00104EAE" w:rsidRPr="00104EAE" w:rsidSect="007C4DC1">
      <w:headerReference w:type="default"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F94" w:rsidRDefault="00214F94">
      <w:r>
        <w:separator/>
      </w:r>
    </w:p>
  </w:endnote>
  <w:endnote w:type="continuationSeparator" w:id="0">
    <w:p w:rsidR="00214F94" w:rsidRDefault="0021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94" w:rsidRDefault="00214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14F94" w:rsidRDefault="00214F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94" w:rsidRDefault="00214F94" w:rsidP="002466AD">
    <w:pPr>
      <w:pStyle w:val="Footer"/>
      <w:ind w:firstLine="3510"/>
      <w:jc w:val="right"/>
    </w:pPr>
    <w:r w:rsidRPr="00201C58">
      <w:rPr>
        <w:sz w:val="16"/>
        <w:szCs w:val="16"/>
      </w:rPr>
      <w:t xml:space="preserve">Page </w:t>
    </w:r>
    <w:r w:rsidRPr="00201C58">
      <w:rPr>
        <w:sz w:val="16"/>
        <w:szCs w:val="16"/>
      </w:rPr>
      <w:fldChar w:fldCharType="begin"/>
    </w:r>
    <w:r w:rsidRPr="00201C58">
      <w:rPr>
        <w:sz w:val="16"/>
        <w:szCs w:val="16"/>
      </w:rPr>
      <w:instrText xml:space="preserve"> PAGE   \* MERGEFORMAT </w:instrText>
    </w:r>
    <w:r w:rsidRPr="00201C58">
      <w:rPr>
        <w:sz w:val="16"/>
        <w:szCs w:val="16"/>
      </w:rPr>
      <w:fldChar w:fldCharType="separate"/>
    </w:r>
    <w:r>
      <w:rPr>
        <w:noProof/>
        <w:sz w:val="16"/>
        <w:szCs w:val="16"/>
      </w:rPr>
      <w:t>1</w:t>
    </w:r>
    <w:r w:rsidRPr="00201C58">
      <w:rPr>
        <w:noProof/>
        <w:sz w:val="16"/>
        <w:szCs w:val="16"/>
      </w:rPr>
      <w:fldChar w:fldCharType="end"/>
    </w:r>
    <w:r>
      <w:rPr>
        <w:noProof/>
        <w:sz w:val="16"/>
        <w:szCs w:val="16"/>
      </w:rPr>
      <w:tab/>
      <w:t xml:space="preserve"> </w:t>
    </w:r>
    <w:r>
      <w:rPr>
        <w:noProof/>
        <w:sz w:val="16"/>
        <w:szCs w:val="16"/>
      </w:rPr>
      <w:tab/>
    </w:r>
    <w:r w:rsidRPr="00201C58">
      <w:rPr>
        <w:sz w:val="16"/>
        <w:szCs w:val="16"/>
      </w:rPr>
      <w:t>26461</w:t>
    </w:r>
    <w:r>
      <w:rPr>
        <w:sz w:val="16"/>
        <w:szCs w:val="16"/>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94" w:rsidRDefault="00214F94">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FF79D1">
      <w:rPr>
        <w:noProof/>
        <w:snapToGrid w:val="0"/>
      </w:rPr>
      <w:t>13</w:t>
    </w:r>
    <w:r>
      <w:rPr>
        <w:snapToGrid w:val="0"/>
      </w:rPr>
      <w:fldChar w:fldCharType="end"/>
    </w:r>
    <w:r>
      <w:rPr>
        <w:snapToGrid w:val="0"/>
      </w:rPr>
      <w:t xml:space="preserve"> of </w:t>
    </w:r>
    <w:r w:rsidR="00893C1C">
      <w:rPr>
        <w:snapToGrid w:val="0"/>
      </w:rPr>
      <w:t>15</w:t>
    </w:r>
  </w:p>
  <w:p w:rsidR="00214F94" w:rsidRDefault="00214F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F94" w:rsidRDefault="00214F94">
      <w:r>
        <w:separator/>
      </w:r>
    </w:p>
  </w:footnote>
  <w:footnote w:type="continuationSeparator" w:id="0">
    <w:p w:rsidR="00214F94" w:rsidRDefault="00214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94" w:rsidRDefault="00214F94">
    <w:pPr>
      <w:pStyle w:val="Header"/>
    </w:pPr>
    <w:r>
      <w:t>OMB Control Number:  1810-0698</w:t>
    </w:r>
  </w:p>
  <w:p w:rsidR="00214F94" w:rsidRDefault="00214F94">
    <w:pPr>
      <w:pStyle w:val="Header"/>
    </w:pPr>
    <w:r>
      <w:t>Expiration:  TBD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94" w:rsidRDefault="00214F94" w:rsidP="002466AD">
    <w:pPr>
      <w:pStyle w:val="Header"/>
    </w:pPr>
    <w:r>
      <w:t>OMB Control Number:  1810-0698</w:t>
    </w:r>
  </w:p>
  <w:p w:rsidR="00214F94" w:rsidRDefault="00214F94" w:rsidP="002466AD">
    <w:pPr>
      <w:pStyle w:val="Header"/>
    </w:pPr>
    <w:r>
      <w:t>Expiration:  TBD</w:t>
    </w:r>
  </w:p>
  <w:p w:rsidR="00214F94" w:rsidRDefault="00214F9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94" w:rsidRPr="00B0399B" w:rsidRDefault="00214F94" w:rsidP="00B0399B">
    <w:pPr>
      <w:pStyle w:val="Heading1"/>
      <w:jc w:val="left"/>
      <w:rPr>
        <w:sz w:val="20"/>
        <w:szCs w:val="20"/>
      </w:rPr>
    </w:pPr>
    <w:r w:rsidRPr="00B0399B">
      <w:rPr>
        <w:sz w:val="20"/>
        <w:szCs w:val="20"/>
      </w:rPr>
      <w:t>OMB No. 1820-0686</w:t>
    </w:r>
  </w:p>
  <w:p w:rsidR="00214F94" w:rsidRPr="000C1F20" w:rsidRDefault="00214F94" w:rsidP="000C1F20">
    <w:pPr>
      <w:pStyle w:val="Header"/>
    </w:pPr>
    <w:r w:rsidRPr="000C1F20">
      <w:t>Expiration:  TBD</w:t>
    </w:r>
  </w:p>
  <w:p w:rsidR="00214F94" w:rsidRDefault="00214F94">
    <w:pPr>
      <w:pStyle w:val="Header"/>
    </w:pPr>
  </w:p>
  <w:p w:rsidR="00214F94" w:rsidRDefault="00214F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0DE"/>
    <w:multiLevelType w:val="hybridMultilevel"/>
    <w:tmpl w:val="6900BC96"/>
    <w:lvl w:ilvl="0" w:tplc="66ECE344">
      <w:start w:val="1"/>
      <w:numFmt w:val="decimal"/>
      <w:lvlText w:val="(%1)"/>
      <w:lvlJc w:val="left"/>
      <w:pPr>
        <w:ind w:left="3585" w:hanging="705"/>
      </w:pPr>
      <w:rPr>
        <w:rFonts w:ascii="Courier New" w:hAnsi="Courier New" w:cs="Courier New"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185C23F3"/>
    <w:multiLevelType w:val="singleLevel"/>
    <w:tmpl w:val="98708AA0"/>
    <w:lvl w:ilvl="0">
      <w:start w:val="1"/>
      <w:numFmt w:val="upperLetter"/>
      <w:lvlText w:val="%1."/>
      <w:lvlJc w:val="left"/>
      <w:pPr>
        <w:tabs>
          <w:tab w:val="num" w:pos="720"/>
        </w:tabs>
        <w:ind w:left="720" w:hanging="720"/>
      </w:pPr>
      <w:rPr>
        <w:rFonts w:hint="default"/>
      </w:rPr>
    </w:lvl>
  </w:abstractNum>
  <w:abstractNum w:abstractNumId="2">
    <w:nsid w:val="20C71C73"/>
    <w:multiLevelType w:val="singleLevel"/>
    <w:tmpl w:val="42820702"/>
    <w:lvl w:ilvl="0">
      <w:start w:val="1"/>
      <w:numFmt w:val="decimal"/>
      <w:lvlText w:val="(%1)"/>
      <w:lvlJc w:val="left"/>
      <w:pPr>
        <w:tabs>
          <w:tab w:val="num" w:pos="3600"/>
        </w:tabs>
        <w:ind w:left="3600" w:hanging="360"/>
      </w:pPr>
      <w:rPr>
        <w:rFonts w:hint="default"/>
      </w:rPr>
    </w:lvl>
  </w:abstractNum>
  <w:abstractNum w:abstractNumId="3">
    <w:nsid w:val="25074668"/>
    <w:multiLevelType w:val="hybridMultilevel"/>
    <w:tmpl w:val="E590512A"/>
    <w:lvl w:ilvl="0" w:tplc="03FE7F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8C8429C"/>
    <w:multiLevelType w:val="hybridMultilevel"/>
    <w:tmpl w:val="90F6B0B0"/>
    <w:lvl w:ilvl="0" w:tplc="1F1607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DE2FDC"/>
    <w:multiLevelType w:val="hybridMultilevel"/>
    <w:tmpl w:val="F98E5026"/>
    <w:lvl w:ilvl="0" w:tplc="354C2A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1C6683"/>
    <w:multiLevelType w:val="multilevel"/>
    <w:tmpl w:val="068ED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BA4F77"/>
    <w:multiLevelType w:val="singleLevel"/>
    <w:tmpl w:val="0409000F"/>
    <w:lvl w:ilvl="0">
      <w:start w:val="1"/>
      <w:numFmt w:val="decimal"/>
      <w:lvlText w:val="%1."/>
      <w:lvlJc w:val="left"/>
      <w:pPr>
        <w:tabs>
          <w:tab w:val="num" w:pos="360"/>
        </w:tabs>
        <w:ind w:left="360" w:hanging="360"/>
      </w:pPr>
    </w:lvl>
  </w:abstractNum>
  <w:abstractNum w:abstractNumId="8">
    <w:nsid w:val="2F86569C"/>
    <w:multiLevelType w:val="hybridMultilevel"/>
    <w:tmpl w:val="E59E7A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79A4288"/>
    <w:multiLevelType w:val="hybridMultilevel"/>
    <w:tmpl w:val="8CD2B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156939"/>
    <w:multiLevelType w:val="hybridMultilevel"/>
    <w:tmpl w:val="1DB037D2"/>
    <w:lvl w:ilvl="0" w:tplc="7B6E99E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FE68BB"/>
    <w:multiLevelType w:val="singleLevel"/>
    <w:tmpl w:val="41B42B34"/>
    <w:lvl w:ilvl="0">
      <w:start w:val="1"/>
      <w:numFmt w:val="decimal"/>
      <w:lvlText w:val="%1."/>
      <w:lvlJc w:val="left"/>
      <w:pPr>
        <w:tabs>
          <w:tab w:val="num" w:pos="1440"/>
        </w:tabs>
        <w:ind w:left="1440" w:hanging="720"/>
      </w:pPr>
      <w:rPr>
        <w:rFonts w:hint="default"/>
      </w:rPr>
    </w:lvl>
  </w:abstractNum>
  <w:abstractNum w:abstractNumId="12">
    <w:nsid w:val="4C290B11"/>
    <w:multiLevelType w:val="singleLevel"/>
    <w:tmpl w:val="72B4F53A"/>
    <w:lvl w:ilvl="0">
      <w:start w:val="1"/>
      <w:numFmt w:val="decimal"/>
      <w:lvlText w:val="%1."/>
      <w:lvlJc w:val="left"/>
      <w:pPr>
        <w:tabs>
          <w:tab w:val="num" w:pos="1440"/>
        </w:tabs>
        <w:ind w:left="1440" w:hanging="720"/>
      </w:pPr>
      <w:rPr>
        <w:rFonts w:hint="default"/>
      </w:rPr>
    </w:lvl>
  </w:abstractNum>
  <w:abstractNum w:abstractNumId="13">
    <w:nsid w:val="4C897432"/>
    <w:multiLevelType w:val="singleLevel"/>
    <w:tmpl w:val="01DA7356"/>
    <w:lvl w:ilvl="0">
      <w:start w:val="6"/>
      <w:numFmt w:val="lowerLetter"/>
      <w:lvlText w:val="(%1)"/>
      <w:lvlJc w:val="left"/>
      <w:pPr>
        <w:tabs>
          <w:tab w:val="num" w:pos="3240"/>
        </w:tabs>
        <w:ind w:left="3240" w:hanging="360"/>
      </w:pPr>
      <w:rPr>
        <w:rFonts w:hint="default"/>
      </w:rPr>
    </w:lvl>
  </w:abstractNum>
  <w:abstractNum w:abstractNumId="14">
    <w:nsid w:val="532B6663"/>
    <w:multiLevelType w:val="hybridMultilevel"/>
    <w:tmpl w:val="EA5A0CA2"/>
    <w:lvl w:ilvl="0" w:tplc="04090011">
      <w:start w:val="1"/>
      <w:numFmt w:val="decimal"/>
      <w:lvlText w:val="%1)"/>
      <w:lvlJc w:val="left"/>
      <w:pPr>
        <w:ind w:left="4320" w:hanging="360"/>
      </w:pPr>
      <w:rPr>
        <w:rFonts w:hint="default"/>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nsid w:val="57AF212A"/>
    <w:multiLevelType w:val="singleLevel"/>
    <w:tmpl w:val="E82ED894"/>
    <w:lvl w:ilvl="0">
      <w:start w:val="4"/>
      <w:numFmt w:val="decimal"/>
      <w:lvlText w:val="%1."/>
      <w:lvlJc w:val="left"/>
      <w:pPr>
        <w:tabs>
          <w:tab w:val="num" w:pos="720"/>
        </w:tabs>
        <w:ind w:left="720" w:hanging="720"/>
      </w:pPr>
      <w:rPr>
        <w:rFonts w:hint="default"/>
      </w:rPr>
    </w:lvl>
  </w:abstractNum>
  <w:abstractNum w:abstractNumId="16">
    <w:nsid w:val="589E6D24"/>
    <w:multiLevelType w:val="hybridMultilevel"/>
    <w:tmpl w:val="A7224E4E"/>
    <w:lvl w:ilvl="0" w:tplc="04090011">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7">
    <w:nsid w:val="59C36649"/>
    <w:multiLevelType w:val="hybridMultilevel"/>
    <w:tmpl w:val="7E027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B877914"/>
    <w:multiLevelType w:val="hybridMultilevel"/>
    <w:tmpl w:val="A9E2E3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6D063F6"/>
    <w:multiLevelType w:val="hybridMultilevel"/>
    <w:tmpl w:val="6200F2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AF6335"/>
    <w:multiLevelType w:val="hybridMultilevel"/>
    <w:tmpl w:val="6CFA1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15"/>
  </w:num>
  <w:num w:numId="4">
    <w:abstractNumId w:val="12"/>
  </w:num>
  <w:num w:numId="5">
    <w:abstractNumId w:val="13"/>
  </w:num>
  <w:num w:numId="6">
    <w:abstractNumId w:val="2"/>
  </w:num>
  <w:num w:numId="7">
    <w:abstractNumId w:val="7"/>
  </w:num>
  <w:num w:numId="8">
    <w:abstractNumId w:val="20"/>
  </w:num>
  <w:num w:numId="9">
    <w:abstractNumId w:val="17"/>
  </w:num>
  <w:num w:numId="10">
    <w:abstractNumId w:val="10"/>
  </w:num>
  <w:num w:numId="11">
    <w:abstractNumId w:val="0"/>
  </w:num>
  <w:num w:numId="12">
    <w:abstractNumId w:val="3"/>
  </w:num>
  <w:num w:numId="13">
    <w:abstractNumId w:val="14"/>
  </w:num>
  <w:num w:numId="14">
    <w:abstractNumId w:val="16"/>
  </w:num>
  <w:num w:numId="15">
    <w:abstractNumId w:val="5"/>
  </w:num>
  <w:num w:numId="16">
    <w:abstractNumId w:val="4"/>
  </w:num>
  <w:num w:numId="17">
    <w:abstractNumId w:val="6"/>
  </w:num>
  <w:num w:numId="18">
    <w:abstractNumId w:val="18"/>
  </w:num>
  <w:num w:numId="19">
    <w:abstractNumId w:val="8"/>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64"/>
    <w:rsid w:val="00036EFF"/>
    <w:rsid w:val="0007625B"/>
    <w:rsid w:val="0008270F"/>
    <w:rsid w:val="000A4F56"/>
    <w:rsid w:val="000C1F20"/>
    <w:rsid w:val="000D532C"/>
    <w:rsid w:val="000F356B"/>
    <w:rsid w:val="00103D2C"/>
    <w:rsid w:val="0010458D"/>
    <w:rsid w:val="00104765"/>
    <w:rsid w:val="00104EAE"/>
    <w:rsid w:val="001303CB"/>
    <w:rsid w:val="00130A0E"/>
    <w:rsid w:val="00160E6B"/>
    <w:rsid w:val="00171876"/>
    <w:rsid w:val="00173E9F"/>
    <w:rsid w:val="00176D36"/>
    <w:rsid w:val="00185679"/>
    <w:rsid w:val="00194D35"/>
    <w:rsid w:val="001A44D9"/>
    <w:rsid w:val="001A65B6"/>
    <w:rsid w:val="001B14FB"/>
    <w:rsid w:val="001B244F"/>
    <w:rsid w:val="001B27A5"/>
    <w:rsid w:val="001B3769"/>
    <w:rsid w:val="001F5103"/>
    <w:rsid w:val="00214F94"/>
    <w:rsid w:val="002163D2"/>
    <w:rsid w:val="002466AD"/>
    <w:rsid w:val="002514E5"/>
    <w:rsid w:val="00255CA1"/>
    <w:rsid w:val="002750A2"/>
    <w:rsid w:val="002952C8"/>
    <w:rsid w:val="00297AE5"/>
    <w:rsid w:val="002B0699"/>
    <w:rsid w:val="002B186A"/>
    <w:rsid w:val="002C6EAC"/>
    <w:rsid w:val="002D3172"/>
    <w:rsid w:val="002E5239"/>
    <w:rsid w:val="002E6BA7"/>
    <w:rsid w:val="00327D99"/>
    <w:rsid w:val="003809DA"/>
    <w:rsid w:val="0039385D"/>
    <w:rsid w:val="003A247F"/>
    <w:rsid w:val="003B0AA8"/>
    <w:rsid w:val="003B7B5A"/>
    <w:rsid w:val="003D07AB"/>
    <w:rsid w:val="003E3F97"/>
    <w:rsid w:val="003F3398"/>
    <w:rsid w:val="003F4911"/>
    <w:rsid w:val="00400E91"/>
    <w:rsid w:val="00423BB0"/>
    <w:rsid w:val="00450470"/>
    <w:rsid w:val="00462DF0"/>
    <w:rsid w:val="004869CC"/>
    <w:rsid w:val="00490E3A"/>
    <w:rsid w:val="004A6346"/>
    <w:rsid w:val="004B7D86"/>
    <w:rsid w:val="0050437F"/>
    <w:rsid w:val="00507985"/>
    <w:rsid w:val="0051001E"/>
    <w:rsid w:val="005126B2"/>
    <w:rsid w:val="005325EB"/>
    <w:rsid w:val="00536CB6"/>
    <w:rsid w:val="0054506C"/>
    <w:rsid w:val="00567608"/>
    <w:rsid w:val="00573DED"/>
    <w:rsid w:val="005753DC"/>
    <w:rsid w:val="00580594"/>
    <w:rsid w:val="00584A37"/>
    <w:rsid w:val="0058687B"/>
    <w:rsid w:val="005A6185"/>
    <w:rsid w:val="005B2A80"/>
    <w:rsid w:val="005B3C74"/>
    <w:rsid w:val="005C4358"/>
    <w:rsid w:val="005D0B1E"/>
    <w:rsid w:val="005E0B50"/>
    <w:rsid w:val="005F456C"/>
    <w:rsid w:val="00603C59"/>
    <w:rsid w:val="00610133"/>
    <w:rsid w:val="006167EA"/>
    <w:rsid w:val="006437D9"/>
    <w:rsid w:val="0066209B"/>
    <w:rsid w:val="0067201A"/>
    <w:rsid w:val="00675CC1"/>
    <w:rsid w:val="00694E6E"/>
    <w:rsid w:val="006958E3"/>
    <w:rsid w:val="0069731D"/>
    <w:rsid w:val="006979DA"/>
    <w:rsid w:val="006A1E88"/>
    <w:rsid w:val="006D1261"/>
    <w:rsid w:val="006D2FF2"/>
    <w:rsid w:val="006E59D3"/>
    <w:rsid w:val="00726F75"/>
    <w:rsid w:val="00736D7D"/>
    <w:rsid w:val="00745EE0"/>
    <w:rsid w:val="007523AE"/>
    <w:rsid w:val="00762DBE"/>
    <w:rsid w:val="00764325"/>
    <w:rsid w:val="00792265"/>
    <w:rsid w:val="007C2F4D"/>
    <w:rsid w:val="007C4DC1"/>
    <w:rsid w:val="007D0708"/>
    <w:rsid w:val="007D178C"/>
    <w:rsid w:val="007E28B5"/>
    <w:rsid w:val="007F4748"/>
    <w:rsid w:val="00806DD4"/>
    <w:rsid w:val="00831E62"/>
    <w:rsid w:val="008369ED"/>
    <w:rsid w:val="00852AA9"/>
    <w:rsid w:val="00870CD1"/>
    <w:rsid w:val="00893C1C"/>
    <w:rsid w:val="008C4F8C"/>
    <w:rsid w:val="008C549F"/>
    <w:rsid w:val="008C73A1"/>
    <w:rsid w:val="008D3730"/>
    <w:rsid w:val="008E30C8"/>
    <w:rsid w:val="008E7A9D"/>
    <w:rsid w:val="008F7D2C"/>
    <w:rsid w:val="00923626"/>
    <w:rsid w:val="00927537"/>
    <w:rsid w:val="00932DEA"/>
    <w:rsid w:val="00975C33"/>
    <w:rsid w:val="00987F33"/>
    <w:rsid w:val="00991753"/>
    <w:rsid w:val="00994DE6"/>
    <w:rsid w:val="009A741C"/>
    <w:rsid w:val="009A783E"/>
    <w:rsid w:val="009B51EA"/>
    <w:rsid w:val="009C2488"/>
    <w:rsid w:val="009D73D1"/>
    <w:rsid w:val="009F226D"/>
    <w:rsid w:val="00A01CDD"/>
    <w:rsid w:val="00A01F68"/>
    <w:rsid w:val="00A06CBA"/>
    <w:rsid w:val="00A21BE7"/>
    <w:rsid w:val="00A521DD"/>
    <w:rsid w:val="00A65A43"/>
    <w:rsid w:val="00A67BB1"/>
    <w:rsid w:val="00A67C9E"/>
    <w:rsid w:val="00A86E73"/>
    <w:rsid w:val="00AA0B87"/>
    <w:rsid w:val="00AD36EB"/>
    <w:rsid w:val="00AE1662"/>
    <w:rsid w:val="00AE6321"/>
    <w:rsid w:val="00AF56FE"/>
    <w:rsid w:val="00AF77A1"/>
    <w:rsid w:val="00B0399B"/>
    <w:rsid w:val="00B12F57"/>
    <w:rsid w:val="00B15CAD"/>
    <w:rsid w:val="00B27D59"/>
    <w:rsid w:val="00B33A91"/>
    <w:rsid w:val="00B67954"/>
    <w:rsid w:val="00B7181F"/>
    <w:rsid w:val="00B75FA4"/>
    <w:rsid w:val="00B762BF"/>
    <w:rsid w:val="00B90F24"/>
    <w:rsid w:val="00BC0EAA"/>
    <w:rsid w:val="00BD34F5"/>
    <w:rsid w:val="00BD37FA"/>
    <w:rsid w:val="00BF3F70"/>
    <w:rsid w:val="00C07DD1"/>
    <w:rsid w:val="00C07FEA"/>
    <w:rsid w:val="00C10962"/>
    <w:rsid w:val="00C17F85"/>
    <w:rsid w:val="00C34051"/>
    <w:rsid w:val="00C50304"/>
    <w:rsid w:val="00C84DA1"/>
    <w:rsid w:val="00C92C82"/>
    <w:rsid w:val="00CC31BD"/>
    <w:rsid w:val="00CF5CD8"/>
    <w:rsid w:val="00CF7988"/>
    <w:rsid w:val="00D21622"/>
    <w:rsid w:val="00D254B6"/>
    <w:rsid w:val="00D47A32"/>
    <w:rsid w:val="00D602E3"/>
    <w:rsid w:val="00D76F78"/>
    <w:rsid w:val="00DA18A6"/>
    <w:rsid w:val="00DA3A64"/>
    <w:rsid w:val="00DB5F22"/>
    <w:rsid w:val="00DD0B69"/>
    <w:rsid w:val="00DE3ADC"/>
    <w:rsid w:val="00DF52D3"/>
    <w:rsid w:val="00E13A79"/>
    <w:rsid w:val="00E13CA5"/>
    <w:rsid w:val="00E35F14"/>
    <w:rsid w:val="00E42D5E"/>
    <w:rsid w:val="00E44719"/>
    <w:rsid w:val="00E60B74"/>
    <w:rsid w:val="00E63C85"/>
    <w:rsid w:val="00E879B6"/>
    <w:rsid w:val="00EA2CB2"/>
    <w:rsid w:val="00EA48CB"/>
    <w:rsid w:val="00EE723F"/>
    <w:rsid w:val="00EF1598"/>
    <w:rsid w:val="00F0227D"/>
    <w:rsid w:val="00F341E6"/>
    <w:rsid w:val="00F55E94"/>
    <w:rsid w:val="00F749DF"/>
    <w:rsid w:val="00F77451"/>
    <w:rsid w:val="00FB7B94"/>
    <w:rsid w:val="00FF0EFC"/>
    <w:rsid w:val="00FF1830"/>
    <w:rsid w:val="00FF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DC1"/>
  </w:style>
  <w:style w:type="paragraph" w:styleId="Heading1">
    <w:name w:val="heading 1"/>
    <w:basedOn w:val="Normal"/>
    <w:next w:val="Normal"/>
    <w:qFormat/>
    <w:rsid w:val="007C4DC1"/>
    <w:pPr>
      <w:keepNext/>
      <w:jc w:val="right"/>
      <w:outlineLvl w:val="0"/>
    </w:pPr>
    <w:rPr>
      <w:sz w:val="24"/>
      <w:szCs w:val="24"/>
    </w:rPr>
  </w:style>
  <w:style w:type="paragraph" w:styleId="Heading8">
    <w:name w:val="heading 8"/>
    <w:basedOn w:val="Normal"/>
    <w:next w:val="Normal"/>
    <w:qFormat/>
    <w:rsid w:val="007C4DC1"/>
    <w:pPr>
      <w:keepNext/>
      <w:widowControl w:val="0"/>
      <w:spacing w:line="240" w:lineRule="atLeast"/>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4DC1"/>
    <w:pPr>
      <w:tabs>
        <w:tab w:val="center" w:pos="4320"/>
        <w:tab w:val="right" w:pos="8640"/>
      </w:tabs>
    </w:pPr>
  </w:style>
  <w:style w:type="paragraph" w:styleId="Footer">
    <w:name w:val="footer"/>
    <w:basedOn w:val="Normal"/>
    <w:link w:val="FooterChar"/>
    <w:uiPriority w:val="99"/>
    <w:rsid w:val="007C4DC1"/>
    <w:pPr>
      <w:tabs>
        <w:tab w:val="center" w:pos="4320"/>
        <w:tab w:val="right" w:pos="8640"/>
      </w:tabs>
    </w:pPr>
  </w:style>
  <w:style w:type="paragraph" w:styleId="BodyText">
    <w:name w:val="Body Text"/>
    <w:basedOn w:val="Normal"/>
    <w:semiHidden/>
    <w:rsid w:val="007C4DC1"/>
    <w:rPr>
      <w:rFonts w:ascii="Arial" w:hAnsi="Arial"/>
      <w:sz w:val="24"/>
    </w:rPr>
  </w:style>
  <w:style w:type="paragraph" w:styleId="BalloonText">
    <w:name w:val="Balloon Text"/>
    <w:basedOn w:val="Normal"/>
    <w:semiHidden/>
    <w:rsid w:val="007C4DC1"/>
    <w:rPr>
      <w:rFonts w:ascii="Tahoma" w:hAnsi="Tahoma" w:cs="Tahoma"/>
      <w:sz w:val="16"/>
      <w:szCs w:val="16"/>
    </w:rPr>
  </w:style>
  <w:style w:type="character" w:styleId="CommentReference">
    <w:name w:val="annotation reference"/>
    <w:basedOn w:val="DefaultParagraphFont"/>
    <w:semiHidden/>
    <w:rsid w:val="007C4DC1"/>
    <w:rPr>
      <w:sz w:val="16"/>
      <w:szCs w:val="16"/>
    </w:rPr>
  </w:style>
  <w:style w:type="paragraph" w:styleId="CommentText">
    <w:name w:val="annotation text"/>
    <w:basedOn w:val="Normal"/>
    <w:semiHidden/>
    <w:rsid w:val="007C4DC1"/>
  </w:style>
  <w:style w:type="paragraph" w:styleId="CommentSubject">
    <w:name w:val="annotation subject"/>
    <w:basedOn w:val="CommentText"/>
    <w:next w:val="CommentText"/>
    <w:semiHidden/>
    <w:rsid w:val="007C4DC1"/>
    <w:rPr>
      <w:b/>
      <w:bCs/>
    </w:rPr>
  </w:style>
  <w:style w:type="paragraph" w:styleId="HTMLPreformatted">
    <w:name w:val="HTML Preformatted"/>
    <w:basedOn w:val="Normal"/>
    <w:link w:val="HTMLPreformattedChar"/>
    <w:uiPriority w:val="99"/>
    <w:semiHidden/>
    <w:rsid w:val="007C4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odyTextIndent">
    <w:name w:val="Body Text Indent"/>
    <w:basedOn w:val="Normal"/>
    <w:semiHidden/>
    <w:rsid w:val="007C4DC1"/>
    <w:pPr>
      <w:ind w:left="2160"/>
    </w:pPr>
    <w:rPr>
      <w:sz w:val="24"/>
      <w:szCs w:val="24"/>
    </w:rPr>
  </w:style>
  <w:style w:type="paragraph" w:styleId="BodyTextIndent2">
    <w:name w:val="Body Text Indent 2"/>
    <w:basedOn w:val="Normal"/>
    <w:semiHidden/>
    <w:rsid w:val="007C4DC1"/>
    <w:pPr>
      <w:ind w:left="1440"/>
    </w:pPr>
  </w:style>
  <w:style w:type="paragraph" w:styleId="ListParagraph">
    <w:name w:val="List Paragraph"/>
    <w:basedOn w:val="Normal"/>
    <w:uiPriority w:val="34"/>
    <w:qFormat/>
    <w:rsid w:val="00255CA1"/>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rsid w:val="005A6185"/>
    <w:pPr>
      <w:spacing w:before="100" w:beforeAutospacing="1" w:after="100" w:afterAutospacing="1"/>
    </w:pPr>
    <w:rPr>
      <w:sz w:val="24"/>
      <w:szCs w:val="24"/>
    </w:rPr>
  </w:style>
  <w:style w:type="paragraph" w:styleId="PlainText">
    <w:name w:val="Plain Text"/>
    <w:basedOn w:val="Normal"/>
    <w:link w:val="PlainTextChar"/>
    <w:uiPriority w:val="99"/>
    <w:semiHidden/>
    <w:unhideWhenUsed/>
    <w:rsid w:val="0008270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8270F"/>
    <w:rPr>
      <w:rFonts w:ascii="Calibri" w:eastAsiaTheme="minorHAnsi" w:hAnsi="Calibri" w:cstheme="minorBidi"/>
      <w:sz w:val="22"/>
      <w:szCs w:val="21"/>
    </w:rPr>
  </w:style>
  <w:style w:type="paragraph" w:styleId="Revision">
    <w:name w:val="Revision"/>
    <w:hidden/>
    <w:uiPriority w:val="99"/>
    <w:semiHidden/>
    <w:rsid w:val="003E3F97"/>
  </w:style>
  <w:style w:type="character" w:customStyle="1" w:styleId="HeaderChar">
    <w:name w:val="Header Char"/>
    <w:link w:val="Header"/>
    <w:uiPriority w:val="99"/>
    <w:rsid w:val="000C1F20"/>
  </w:style>
  <w:style w:type="character" w:styleId="PageNumber">
    <w:name w:val="page number"/>
    <w:basedOn w:val="DefaultParagraphFont"/>
    <w:semiHidden/>
    <w:rsid w:val="000C1F20"/>
  </w:style>
  <w:style w:type="paragraph" w:customStyle="1" w:styleId="SL-FlLftSgl">
    <w:name w:val="SL-Fl Lft Sgl"/>
    <w:rsid w:val="000C1F20"/>
    <w:pPr>
      <w:spacing w:line="240" w:lineRule="atLeast"/>
      <w:jc w:val="both"/>
    </w:pPr>
    <w:rPr>
      <w:sz w:val="22"/>
    </w:rPr>
  </w:style>
  <w:style w:type="paragraph" w:customStyle="1" w:styleId="C2-CtrSglSp">
    <w:name w:val="C2-Ctr Sgl Sp"/>
    <w:rsid w:val="000C1F20"/>
    <w:pPr>
      <w:keepLines/>
      <w:spacing w:line="240" w:lineRule="atLeast"/>
      <w:jc w:val="center"/>
    </w:pPr>
    <w:rPr>
      <w:sz w:val="22"/>
    </w:rPr>
  </w:style>
  <w:style w:type="character" w:customStyle="1" w:styleId="FooterChar">
    <w:name w:val="Footer Char"/>
    <w:basedOn w:val="DefaultParagraphFont"/>
    <w:link w:val="Footer"/>
    <w:uiPriority w:val="99"/>
    <w:rsid w:val="000C1F20"/>
  </w:style>
  <w:style w:type="character" w:styleId="Emphasis">
    <w:name w:val="Emphasis"/>
    <w:qFormat/>
    <w:rsid w:val="006958E3"/>
    <w:rPr>
      <w:i/>
      <w:iCs/>
    </w:rPr>
  </w:style>
  <w:style w:type="table" w:styleId="TableGrid">
    <w:name w:val="Table Grid"/>
    <w:basedOn w:val="TableNormal"/>
    <w:uiPriority w:val="59"/>
    <w:rsid w:val="009A7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PreformattedChar">
    <w:name w:val="HTML Preformatted Char"/>
    <w:basedOn w:val="DefaultParagraphFont"/>
    <w:link w:val="HTMLPreformatted"/>
    <w:uiPriority w:val="99"/>
    <w:semiHidden/>
    <w:rsid w:val="00AA0B87"/>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DC1"/>
  </w:style>
  <w:style w:type="paragraph" w:styleId="Heading1">
    <w:name w:val="heading 1"/>
    <w:basedOn w:val="Normal"/>
    <w:next w:val="Normal"/>
    <w:qFormat/>
    <w:rsid w:val="007C4DC1"/>
    <w:pPr>
      <w:keepNext/>
      <w:jc w:val="right"/>
      <w:outlineLvl w:val="0"/>
    </w:pPr>
    <w:rPr>
      <w:sz w:val="24"/>
      <w:szCs w:val="24"/>
    </w:rPr>
  </w:style>
  <w:style w:type="paragraph" w:styleId="Heading8">
    <w:name w:val="heading 8"/>
    <w:basedOn w:val="Normal"/>
    <w:next w:val="Normal"/>
    <w:qFormat/>
    <w:rsid w:val="007C4DC1"/>
    <w:pPr>
      <w:keepNext/>
      <w:widowControl w:val="0"/>
      <w:spacing w:line="240" w:lineRule="atLeast"/>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4DC1"/>
    <w:pPr>
      <w:tabs>
        <w:tab w:val="center" w:pos="4320"/>
        <w:tab w:val="right" w:pos="8640"/>
      </w:tabs>
    </w:pPr>
  </w:style>
  <w:style w:type="paragraph" w:styleId="Footer">
    <w:name w:val="footer"/>
    <w:basedOn w:val="Normal"/>
    <w:link w:val="FooterChar"/>
    <w:uiPriority w:val="99"/>
    <w:rsid w:val="007C4DC1"/>
    <w:pPr>
      <w:tabs>
        <w:tab w:val="center" w:pos="4320"/>
        <w:tab w:val="right" w:pos="8640"/>
      </w:tabs>
    </w:pPr>
  </w:style>
  <w:style w:type="paragraph" w:styleId="BodyText">
    <w:name w:val="Body Text"/>
    <w:basedOn w:val="Normal"/>
    <w:semiHidden/>
    <w:rsid w:val="007C4DC1"/>
    <w:rPr>
      <w:rFonts w:ascii="Arial" w:hAnsi="Arial"/>
      <w:sz w:val="24"/>
    </w:rPr>
  </w:style>
  <w:style w:type="paragraph" w:styleId="BalloonText">
    <w:name w:val="Balloon Text"/>
    <w:basedOn w:val="Normal"/>
    <w:semiHidden/>
    <w:rsid w:val="007C4DC1"/>
    <w:rPr>
      <w:rFonts w:ascii="Tahoma" w:hAnsi="Tahoma" w:cs="Tahoma"/>
      <w:sz w:val="16"/>
      <w:szCs w:val="16"/>
    </w:rPr>
  </w:style>
  <w:style w:type="character" w:styleId="CommentReference">
    <w:name w:val="annotation reference"/>
    <w:basedOn w:val="DefaultParagraphFont"/>
    <w:semiHidden/>
    <w:rsid w:val="007C4DC1"/>
    <w:rPr>
      <w:sz w:val="16"/>
      <w:szCs w:val="16"/>
    </w:rPr>
  </w:style>
  <w:style w:type="paragraph" w:styleId="CommentText">
    <w:name w:val="annotation text"/>
    <w:basedOn w:val="Normal"/>
    <w:semiHidden/>
    <w:rsid w:val="007C4DC1"/>
  </w:style>
  <w:style w:type="paragraph" w:styleId="CommentSubject">
    <w:name w:val="annotation subject"/>
    <w:basedOn w:val="CommentText"/>
    <w:next w:val="CommentText"/>
    <w:semiHidden/>
    <w:rsid w:val="007C4DC1"/>
    <w:rPr>
      <w:b/>
      <w:bCs/>
    </w:rPr>
  </w:style>
  <w:style w:type="paragraph" w:styleId="HTMLPreformatted">
    <w:name w:val="HTML Preformatted"/>
    <w:basedOn w:val="Normal"/>
    <w:link w:val="HTMLPreformattedChar"/>
    <w:uiPriority w:val="99"/>
    <w:semiHidden/>
    <w:rsid w:val="007C4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odyTextIndent">
    <w:name w:val="Body Text Indent"/>
    <w:basedOn w:val="Normal"/>
    <w:semiHidden/>
    <w:rsid w:val="007C4DC1"/>
    <w:pPr>
      <w:ind w:left="2160"/>
    </w:pPr>
    <w:rPr>
      <w:sz w:val="24"/>
      <w:szCs w:val="24"/>
    </w:rPr>
  </w:style>
  <w:style w:type="paragraph" w:styleId="BodyTextIndent2">
    <w:name w:val="Body Text Indent 2"/>
    <w:basedOn w:val="Normal"/>
    <w:semiHidden/>
    <w:rsid w:val="007C4DC1"/>
    <w:pPr>
      <w:ind w:left="1440"/>
    </w:pPr>
  </w:style>
  <w:style w:type="paragraph" w:styleId="ListParagraph">
    <w:name w:val="List Paragraph"/>
    <w:basedOn w:val="Normal"/>
    <w:uiPriority w:val="34"/>
    <w:qFormat/>
    <w:rsid w:val="00255CA1"/>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rsid w:val="005A6185"/>
    <w:pPr>
      <w:spacing w:before="100" w:beforeAutospacing="1" w:after="100" w:afterAutospacing="1"/>
    </w:pPr>
    <w:rPr>
      <w:sz w:val="24"/>
      <w:szCs w:val="24"/>
    </w:rPr>
  </w:style>
  <w:style w:type="paragraph" w:styleId="PlainText">
    <w:name w:val="Plain Text"/>
    <w:basedOn w:val="Normal"/>
    <w:link w:val="PlainTextChar"/>
    <w:uiPriority w:val="99"/>
    <w:semiHidden/>
    <w:unhideWhenUsed/>
    <w:rsid w:val="0008270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8270F"/>
    <w:rPr>
      <w:rFonts w:ascii="Calibri" w:eastAsiaTheme="minorHAnsi" w:hAnsi="Calibri" w:cstheme="minorBidi"/>
      <w:sz w:val="22"/>
      <w:szCs w:val="21"/>
    </w:rPr>
  </w:style>
  <w:style w:type="paragraph" w:styleId="Revision">
    <w:name w:val="Revision"/>
    <w:hidden/>
    <w:uiPriority w:val="99"/>
    <w:semiHidden/>
    <w:rsid w:val="003E3F97"/>
  </w:style>
  <w:style w:type="character" w:customStyle="1" w:styleId="HeaderChar">
    <w:name w:val="Header Char"/>
    <w:link w:val="Header"/>
    <w:uiPriority w:val="99"/>
    <w:rsid w:val="000C1F20"/>
  </w:style>
  <w:style w:type="character" w:styleId="PageNumber">
    <w:name w:val="page number"/>
    <w:basedOn w:val="DefaultParagraphFont"/>
    <w:semiHidden/>
    <w:rsid w:val="000C1F20"/>
  </w:style>
  <w:style w:type="paragraph" w:customStyle="1" w:styleId="SL-FlLftSgl">
    <w:name w:val="SL-Fl Lft Sgl"/>
    <w:rsid w:val="000C1F20"/>
    <w:pPr>
      <w:spacing w:line="240" w:lineRule="atLeast"/>
      <w:jc w:val="both"/>
    </w:pPr>
    <w:rPr>
      <w:sz w:val="22"/>
    </w:rPr>
  </w:style>
  <w:style w:type="paragraph" w:customStyle="1" w:styleId="C2-CtrSglSp">
    <w:name w:val="C2-Ctr Sgl Sp"/>
    <w:rsid w:val="000C1F20"/>
    <w:pPr>
      <w:keepLines/>
      <w:spacing w:line="240" w:lineRule="atLeast"/>
      <w:jc w:val="center"/>
    </w:pPr>
    <w:rPr>
      <w:sz w:val="22"/>
    </w:rPr>
  </w:style>
  <w:style w:type="character" w:customStyle="1" w:styleId="FooterChar">
    <w:name w:val="Footer Char"/>
    <w:basedOn w:val="DefaultParagraphFont"/>
    <w:link w:val="Footer"/>
    <w:uiPriority w:val="99"/>
    <w:rsid w:val="000C1F20"/>
  </w:style>
  <w:style w:type="character" w:styleId="Emphasis">
    <w:name w:val="Emphasis"/>
    <w:qFormat/>
    <w:rsid w:val="006958E3"/>
    <w:rPr>
      <w:i/>
      <w:iCs/>
    </w:rPr>
  </w:style>
  <w:style w:type="table" w:styleId="TableGrid">
    <w:name w:val="Table Grid"/>
    <w:basedOn w:val="TableNormal"/>
    <w:uiPriority w:val="59"/>
    <w:rsid w:val="009A7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PreformattedChar">
    <w:name w:val="HTML Preformatted Char"/>
    <w:basedOn w:val="DefaultParagraphFont"/>
    <w:link w:val="HTMLPreformatted"/>
    <w:uiPriority w:val="99"/>
    <w:semiHidden/>
    <w:rsid w:val="00AA0B8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89694">
      <w:bodyDiv w:val="1"/>
      <w:marLeft w:val="0"/>
      <w:marRight w:val="0"/>
      <w:marTop w:val="0"/>
      <w:marBottom w:val="0"/>
      <w:divBdr>
        <w:top w:val="none" w:sz="0" w:space="0" w:color="auto"/>
        <w:left w:val="none" w:sz="0" w:space="0" w:color="auto"/>
        <w:bottom w:val="none" w:sz="0" w:space="0" w:color="auto"/>
        <w:right w:val="none" w:sz="0" w:space="0" w:color="auto"/>
      </w:divBdr>
    </w:div>
    <w:div w:id="1828478152">
      <w:bodyDiv w:val="1"/>
      <w:marLeft w:val="0"/>
      <w:marRight w:val="0"/>
      <w:marTop w:val="0"/>
      <w:marBottom w:val="0"/>
      <w:divBdr>
        <w:top w:val="none" w:sz="0" w:space="0" w:color="auto"/>
        <w:left w:val="none" w:sz="0" w:space="0" w:color="auto"/>
        <w:bottom w:val="none" w:sz="0" w:space="0" w:color="auto"/>
        <w:right w:val="none" w:sz="0" w:space="0" w:color="auto"/>
      </w:divBdr>
    </w:div>
    <w:div w:id="201329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B3C78-2D99-49CA-9941-504BCF17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5150</Words>
  <Characters>29716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OMB No</vt:lpstr>
    </vt:vector>
  </TitlesOfParts>
  <Company>Westat</Company>
  <LinksUpToDate>false</LinksUpToDate>
  <CharactersWithSpaces>34797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FREEMAN_S;BDJ</dc:creator>
  <cp:lastModifiedBy>Tomakie Washington</cp:lastModifiedBy>
  <cp:revision>5</cp:revision>
  <cp:lastPrinted>2013-10-21T17:25:00Z</cp:lastPrinted>
  <dcterms:created xsi:type="dcterms:W3CDTF">2014-02-25T16:23:00Z</dcterms:created>
  <dcterms:modified xsi:type="dcterms:W3CDTF">2014-02-25T17:27:00Z</dcterms:modified>
</cp:coreProperties>
</file>