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2741" w14:textId="77777777" w:rsidR="00595D1E" w:rsidRDefault="00595D1E" w:rsidP="00FC136A">
      <w:pPr>
        <w:rPr>
          <w:b/>
        </w:rPr>
      </w:pPr>
      <w:bookmarkStart w:id="0" w:name="_GoBack"/>
      <w:bookmarkEnd w:id="0"/>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2B193F">
      <w:pPr>
        <w:jc w:val="center"/>
      </w:pPr>
    </w:p>
    <w:p w14:paraId="2AEA7B97" w14:textId="457521EA" w:rsidR="008529CC" w:rsidRPr="002B193F" w:rsidRDefault="00FC136A" w:rsidP="002B193F">
      <w:pPr>
        <w:jc w:val="center"/>
        <w:rPr>
          <w:sz w:val="32"/>
          <w:szCs w:val="32"/>
        </w:rPr>
      </w:pPr>
      <w:r>
        <w:rPr>
          <w:sz w:val="32"/>
          <w:szCs w:val="32"/>
        </w:rPr>
        <w:t>NIH/CSR Early Career Reviewer Program Survey II</w:t>
      </w:r>
    </w:p>
    <w:p w14:paraId="46ABD34C" w14:textId="19717915" w:rsidR="00003BE1" w:rsidRPr="002B193F" w:rsidRDefault="00003BE1" w:rsidP="002B193F">
      <w:pPr>
        <w:jc w:val="center"/>
        <w:rPr>
          <w:sz w:val="32"/>
          <w:szCs w:val="32"/>
        </w:rPr>
      </w:pPr>
    </w:p>
    <w:p w14:paraId="39B1C84D" w14:textId="77777777" w:rsidR="00FC136A" w:rsidRDefault="00FC136A">
      <w:pPr>
        <w:jc w:val="center"/>
        <w:rPr>
          <w:sz w:val="32"/>
          <w:szCs w:val="32"/>
        </w:rPr>
      </w:pPr>
      <w:r w:rsidRPr="00FC136A">
        <w:rPr>
          <w:sz w:val="32"/>
          <w:szCs w:val="32"/>
        </w:rPr>
        <w:t xml:space="preserve">OMB Control Number: 0925-0474 </w:t>
      </w:r>
    </w:p>
    <w:p w14:paraId="19A1A239" w14:textId="745E07EA" w:rsidR="00595D1E" w:rsidRPr="002B193F" w:rsidRDefault="00FC136A">
      <w:pPr>
        <w:jc w:val="center"/>
      </w:pPr>
      <w:r w:rsidRPr="00FC136A">
        <w:rPr>
          <w:sz w:val="32"/>
          <w:szCs w:val="32"/>
        </w:rPr>
        <w:t>Expiration Date 2/28/2018</w:t>
      </w:r>
    </w:p>
    <w:p w14:paraId="68D92751" w14:textId="77777777" w:rsidR="00595D1E" w:rsidRDefault="00595D1E">
      <w:pPr>
        <w:jc w:val="center"/>
      </w:pPr>
    </w:p>
    <w:p w14:paraId="3E4928AC" w14:textId="0D4D1388" w:rsidR="004A26A4" w:rsidRPr="00172760" w:rsidRDefault="004A26A4" w:rsidP="00DF549A">
      <w:pPr>
        <w:spacing w:after="0" w:line="240" w:lineRule="auto"/>
        <w:ind w:left="2160" w:firstLine="720"/>
        <w:rPr>
          <w:rFonts w:ascii="Arial" w:hAnsi="Arial" w:cs="Arial"/>
          <w:sz w:val="28"/>
          <w:szCs w:val="28"/>
        </w:rPr>
      </w:pPr>
      <w:r>
        <w:rPr>
          <w:rFonts w:ascii="Arial" w:hAnsi="Arial" w:cs="Arial"/>
          <w:sz w:val="28"/>
          <w:szCs w:val="28"/>
        </w:rPr>
        <w:t>Mary Ann Guadagno</w:t>
      </w:r>
      <w:r w:rsidRPr="00172760">
        <w:rPr>
          <w:rFonts w:ascii="Arial" w:hAnsi="Arial" w:cs="Arial"/>
          <w:sz w:val="28"/>
          <w:szCs w:val="28"/>
        </w:rPr>
        <w:t>, Ph.D.</w:t>
      </w:r>
    </w:p>
    <w:p w14:paraId="672E4252" w14:textId="5984F562" w:rsidR="00DF549A" w:rsidRDefault="004A26A4" w:rsidP="00DF549A">
      <w:pPr>
        <w:spacing w:after="0" w:line="240" w:lineRule="auto"/>
        <w:ind w:left="2160" w:firstLine="720"/>
        <w:rPr>
          <w:rFonts w:ascii="Arial" w:hAnsi="Arial" w:cs="Arial"/>
          <w:sz w:val="28"/>
          <w:szCs w:val="28"/>
        </w:rPr>
      </w:pPr>
      <w:r w:rsidRPr="00172760">
        <w:rPr>
          <w:rFonts w:ascii="Arial" w:hAnsi="Arial" w:cs="Arial"/>
          <w:sz w:val="28"/>
          <w:szCs w:val="28"/>
        </w:rPr>
        <w:t>6701 Rockledge Drive, Room 3</w:t>
      </w:r>
      <w:r>
        <w:rPr>
          <w:rFonts w:ascii="Arial" w:hAnsi="Arial" w:cs="Arial"/>
          <w:sz w:val="28"/>
          <w:szCs w:val="28"/>
        </w:rPr>
        <w:t>182</w:t>
      </w:r>
      <w:r w:rsidRPr="00172760">
        <w:rPr>
          <w:rFonts w:ascii="Arial" w:hAnsi="Arial" w:cs="Arial"/>
          <w:sz w:val="28"/>
          <w:szCs w:val="28"/>
        </w:rPr>
        <w:t xml:space="preserve">, </w:t>
      </w:r>
    </w:p>
    <w:p w14:paraId="17AA20C2" w14:textId="74B32B43" w:rsidR="004A26A4" w:rsidRPr="00172760" w:rsidRDefault="004A26A4" w:rsidP="00DF549A">
      <w:pPr>
        <w:spacing w:after="0" w:line="240" w:lineRule="auto"/>
        <w:ind w:left="2160" w:firstLine="720"/>
        <w:rPr>
          <w:rFonts w:ascii="Arial" w:hAnsi="Arial" w:cs="Arial"/>
          <w:sz w:val="28"/>
          <w:szCs w:val="28"/>
        </w:rPr>
      </w:pPr>
      <w:r w:rsidRPr="00172760">
        <w:rPr>
          <w:rFonts w:ascii="Arial" w:hAnsi="Arial" w:cs="Arial"/>
          <w:sz w:val="28"/>
          <w:szCs w:val="28"/>
        </w:rPr>
        <w:t>Bethesda, MD, 20892-7776</w:t>
      </w:r>
    </w:p>
    <w:p w14:paraId="74B776E2" w14:textId="77777777" w:rsidR="004A26A4" w:rsidRPr="00172760" w:rsidRDefault="004A26A4" w:rsidP="00DF549A">
      <w:pPr>
        <w:spacing w:after="0" w:line="240" w:lineRule="auto"/>
        <w:ind w:left="2160" w:firstLine="720"/>
        <w:rPr>
          <w:rFonts w:ascii="Arial" w:hAnsi="Arial" w:cs="Arial"/>
          <w:sz w:val="28"/>
          <w:szCs w:val="28"/>
        </w:rPr>
      </w:pPr>
      <w:r w:rsidRPr="00172760">
        <w:rPr>
          <w:rFonts w:ascii="Arial" w:hAnsi="Arial" w:cs="Arial"/>
          <w:sz w:val="28"/>
          <w:szCs w:val="28"/>
        </w:rPr>
        <w:t>Telephone: 301-435-1</w:t>
      </w:r>
      <w:r>
        <w:rPr>
          <w:rFonts w:ascii="Arial" w:hAnsi="Arial" w:cs="Arial"/>
          <w:sz w:val="28"/>
          <w:szCs w:val="28"/>
        </w:rPr>
        <w:t>251</w:t>
      </w:r>
    </w:p>
    <w:p w14:paraId="3D58B616" w14:textId="77777777" w:rsidR="004A26A4" w:rsidRPr="00172760" w:rsidRDefault="004A26A4" w:rsidP="00DF549A">
      <w:pPr>
        <w:spacing w:after="0" w:line="240" w:lineRule="auto"/>
        <w:ind w:left="2160" w:firstLine="720"/>
        <w:rPr>
          <w:rFonts w:ascii="Arial" w:hAnsi="Arial" w:cs="Arial"/>
          <w:sz w:val="28"/>
          <w:szCs w:val="28"/>
        </w:rPr>
      </w:pPr>
      <w:r w:rsidRPr="00172760">
        <w:rPr>
          <w:rFonts w:ascii="Arial" w:hAnsi="Arial" w:cs="Arial"/>
          <w:sz w:val="28"/>
          <w:szCs w:val="28"/>
        </w:rPr>
        <w:t xml:space="preserve">Fax: </w:t>
      </w:r>
      <w:r>
        <w:rPr>
          <w:rFonts w:ascii="Arial" w:hAnsi="Arial" w:cs="Arial"/>
          <w:sz w:val="28"/>
          <w:szCs w:val="28"/>
        </w:rPr>
        <w:t xml:space="preserve"> </w:t>
      </w:r>
      <w:r w:rsidRPr="00172760">
        <w:rPr>
          <w:rFonts w:ascii="Arial" w:hAnsi="Arial" w:cs="Arial"/>
          <w:sz w:val="28"/>
          <w:szCs w:val="28"/>
        </w:rPr>
        <w:t>301-</w:t>
      </w:r>
      <w:r>
        <w:rPr>
          <w:rFonts w:ascii="Arial" w:hAnsi="Arial" w:cs="Arial"/>
          <w:sz w:val="28"/>
          <w:szCs w:val="28"/>
        </w:rPr>
        <w:t>594</w:t>
      </w:r>
      <w:r w:rsidRPr="00172760">
        <w:rPr>
          <w:rFonts w:ascii="Arial" w:hAnsi="Arial" w:cs="Arial"/>
          <w:sz w:val="28"/>
          <w:szCs w:val="28"/>
        </w:rPr>
        <w:t>-</w:t>
      </w:r>
      <w:r>
        <w:rPr>
          <w:rFonts w:ascii="Arial" w:hAnsi="Arial" w:cs="Arial"/>
          <w:sz w:val="28"/>
          <w:szCs w:val="28"/>
        </w:rPr>
        <w:t>6363</w:t>
      </w:r>
    </w:p>
    <w:p w14:paraId="0F4E38BF" w14:textId="77777777" w:rsidR="004A26A4" w:rsidRPr="00172760" w:rsidRDefault="004A26A4" w:rsidP="00DF549A">
      <w:pPr>
        <w:spacing w:after="0" w:line="240" w:lineRule="auto"/>
        <w:ind w:left="2160" w:firstLine="720"/>
        <w:rPr>
          <w:rFonts w:ascii="Arial" w:hAnsi="Arial" w:cs="Arial"/>
          <w:sz w:val="28"/>
          <w:szCs w:val="28"/>
        </w:rPr>
      </w:pPr>
      <w:r w:rsidRPr="00172760">
        <w:rPr>
          <w:rFonts w:ascii="Arial" w:hAnsi="Arial" w:cs="Arial"/>
          <w:sz w:val="28"/>
          <w:szCs w:val="28"/>
        </w:rPr>
        <w:t xml:space="preserve">Email: </w:t>
      </w:r>
      <w:r>
        <w:rPr>
          <w:rFonts w:ascii="Arial" w:hAnsi="Arial" w:cs="Arial"/>
          <w:sz w:val="28"/>
          <w:szCs w:val="28"/>
        </w:rPr>
        <w:t xml:space="preserve"> guadagma</w:t>
      </w:r>
      <w:r w:rsidRPr="00172760">
        <w:rPr>
          <w:rFonts w:ascii="Arial" w:hAnsi="Arial" w:cs="Arial"/>
          <w:sz w:val="28"/>
          <w:szCs w:val="28"/>
        </w:rPr>
        <w:t>@csr.nih.gov</w:t>
      </w:r>
    </w:p>
    <w:p w14:paraId="60C5E1F8" w14:textId="2929B21F" w:rsidR="004A26A4" w:rsidRDefault="008529CC" w:rsidP="002B193F">
      <w:pPr>
        <w:spacing w:after="0"/>
        <w:jc w:val="center"/>
        <w:rPr>
          <w:b/>
        </w:rPr>
      </w:pPr>
      <w:r>
        <w:rPr>
          <w:b/>
        </w:rPr>
        <w:t xml:space="preserve"> </w:t>
      </w:r>
    </w:p>
    <w:p w14:paraId="09FB6999" w14:textId="227ADEAE" w:rsidR="00FF1D87" w:rsidRDefault="008529CC" w:rsidP="002B193F">
      <w:pPr>
        <w:spacing w:after="0"/>
        <w:jc w:val="center"/>
        <w:rPr>
          <w:b/>
        </w:rPr>
      </w:pPr>
      <w:r>
        <w:rPr>
          <w:b/>
        </w:rPr>
        <w:t xml:space="preserve">   </w:t>
      </w:r>
    </w:p>
    <w:p w14:paraId="0C65252C" w14:textId="57487F0B" w:rsidR="00595D1E" w:rsidRPr="00113647" w:rsidRDefault="00595D1E" w:rsidP="002B193F">
      <w:pPr>
        <w:spacing w:after="0"/>
        <w:jc w:val="center"/>
        <w:rPr>
          <w:b/>
        </w:rPr>
      </w:pPr>
      <w:r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1650FFC8" w14:textId="77777777" w:rsidR="00003BE1" w:rsidRPr="00113647" w:rsidRDefault="00003BE1" w:rsidP="008716F6">
      <w:pPr>
        <w:spacing w:after="20"/>
        <w:rPr>
          <w:b/>
        </w:rPr>
      </w:pPr>
    </w:p>
    <w:p w14:paraId="3C715BB9" w14:textId="38DF6EE9" w:rsidR="00003BE1" w:rsidRDefault="00C16E9E" w:rsidP="008716F6">
      <w:pPr>
        <w:spacing w:after="20"/>
      </w:pPr>
      <w:r>
        <w:t>The Center for Scientific Review’s (CSR)</w:t>
      </w:r>
      <w:r w:rsidR="00CF4F81" w:rsidRPr="00CF4F81">
        <w:t xml:space="preserve"> mission is to see that NIH grant applications receive fair, independent, expert, and timely reviews – free from inappropriate influences – so NIH can fund the most promising research.  CSR is engaged in a new initiative to closely examine the grant application and peer review process.  The aims include identification of procedures and practices that are most beneficial in accomplishing the Center’s mission as well as identifying any aspects that might make the application and review process vulnerable to bias.  The goals of the ECR program are to train and educate qualified scientists without prior CSR review experience; help emerging researchers advance their careers and enrich the existing pool of NIH reviewers by including scientists from less research-intensive institutions. CSR will conduct an online survey under the OMB control number 0925-0474</w:t>
      </w:r>
      <w:r w:rsidR="0072723D">
        <w:t>, with expiration date</w:t>
      </w:r>
      <w:r w:rsidR="005A6DE9">
        <w:t xml:space="preserve"> </w:t>
      </w:r>
      <w:r w:rsidR="005A6DE9" w:rsidRPr="00FA7EAE">
        <w:rPr>
          <w:rFonts w:ascii="Calibri" w:hAnsi="Calibri" w:cs="Arial"/>
          <w:bCs/>
          <w:color w:val="000000"/>
        </w:rPr>
        <w:t>2/28/2018</w:t>
      </w:r>
      <w:r w:rsidR="004A26A4">
        <w:rPr>
          <w:rFonts w:ascii="Calibri" w:hAnsi="Calibri" w:cs="Arial"/>
          <w:bCs/>
          <w:color w:val="FF0000"/>
        </w:rPr>
        <w:t>.</w:t>
      </w:r>
      <w:r w:rsidR="00CF4F81" w:rsidRPr="00CF4F81">
        <w:t xml:space="preserve"> The survey will </w:t>
      </w:r>
      <w:r w:rsidR="00094B4B">
        <w:t xml:space="preserve">facilitate the evaluation of the ECR program from the perspective of the ECR. </w:t>
      </w:r>
    </w:p>
    <w:p w14:paraId="334AE918" w14:textId="77777777" w:rsidR="00CF4F81" w:rsidRDefault="00CF4F81" w:rsidP="008716F6">
      <w:pPr>
        <w:spacing w:after="20"/>
      </w:pPr>
    </w:p>
    <w:p w14:paraId="43F9EB3F" w14:textId="77777777" w:rsidR="008716F6" w:rsidRDefault="008716F6" w:rsidP="008716F6">
      <w:pPr>
        <w:spacing w:after="20"/>
        <w:rPr>
          <w:b/>
        </w:rPr>
      </w:pPr>
      <w:r w:rsidRPr="00113647">
        <w:rPr>
          <w:b/>
        </w:rPr>
        <w:t>A.2 Purpose and Use of the Information Collection</w:t>
      </w:r>
    </w:p>
    <w:p w14:paraId="2DC941B1" w14:textId="77777777" w:rsidR="00003BE1" w:rsidRPr="00113647" w:rsidRDefault="00003BE1" w:rsidP="008716F6">
      <w:pPr>
        <w:spacing w:after="20"/>
        <w:rPr>
          <w:b/>
        </w:rPr>
      </w:pPr>
    </w:p>
    <w:p w14:paraId="6F573752" w14:textId="29188565" w:rsidR="004B3C21" w:rsidRDefault="00940A55" w:rsidP="008716F6">
      <w:pPr>
        <w:spacing w:after="20"/>
      </w:pPr>
      <w:r w:rsidRPr="00CF4F81">
        <w:t>The information collected will be analyzed and any potential weaknesses in the ECR program will be identified. CSR will work</w:t>
      </w:r>
      <w:r w:rsidR="004A26A4">
        <w:t xml:space="preserve"> with </w:t>
      </w:r>
      <w:r w:rsidRPr="00CF4F81">
        <w:t>review staff to develop policies that mitigate any identified problems revealed by this survey.</w:t>
      </w:r>
      <w:r w:rsidR="00003BE1" w:rsidRPr="00003BE1">
        <w:t xml:space="preserve"> </w:t>
      </w:r>
      <w:r w:rsidR="0072723D">
        <w:t xml:space="preserve"> A similar survey was administered in 2012, soon after the initiation of the ECR program.  Information provided by respondents informed modifications in ECR program policies and procedures to enhance the positive aspects of the review experience for ECRs.  Questions were added to the updated survey to assess respondents’ perceptions of these modifications.  In addition, questions were added that probe in a standardized way issues raised in free responses of the respondents. Similar to the initial survey in 2012, the responses will help to improve program policies and procedures to maximize the training and review experiences of</w:t>
      </w:r>
      <w:r w:rsidR="00233C7C">
        <w:t xml:space="preserve"> ECRs and to accomplish the overall goals of the program.  Their feedback is critical to the evaluation of this program. </w:t>
      </w:r>
    </w:p>
    <w:p w14:paraId="0803876D" w14:textId="77777777" w:rsidR="004B3C21" w:rsidRDefault="004B3C21" w:rsidP="008716F6">
      <w:pPr>
        <w:spacing w:after="20"/>
      </w:pPr>
    </w:p>
    <w:p w14:paraId="1F9019D4" w14:textId="77777777" w:rsidR="008716F6" w:rsidRDefault="008716F6" w:rsidP="008716F6">
      <w:pPr>
        <w:spacing w:after="20"/>
        <w:rPr>
          <w:b/>
        </w:rPr>
      </w:pPr>
      <w:r w:rsidRPr="00113647">
        <w:rPr>
          <w:b/>
        </w:rPr>
        <w:t>A.3 Use of Information Technology to Reduce Burden</w:t>
      </w:r>
    </w:p>
    <w:p w14:paraId="04FB8AD2" w14:textId="77777777" w:rsidR="00003BE1" w:rsidRPr="00113647" w:rsidRDefault="00003BE1" w:rsidP="008716F6">
      <w:pPr>
        <w:spacing w:after="20"/>
        <w:rPr>
          <w:b/>
        </w:rPr>
      </w:pPr>
    </w:p>
    <w:p w14:paraId="78B9C4EB" w14:textId="6EAEBB15" w:rsidR="004B3C21" w:rsidRDefault="0075509F" w:rsidP="004B3C21">
      <w:pPr>
        <w:spacing w:after="20"/>
      </w:pPr>
      <w:r>
        <w:t xml:space="preserve">The survey will be administered online using </w:t>
      </w:r>
      <w:r w:rsidR="004C1FBF">
        <w:t>SPSS</w:t>
      </w:r>
      <w:r>
        <w:t xml:space="preserve"> software</w:t>
      </w:r>
      <w:r w:rsidR="005A6DE9">
        <w:t xml:space="preserve"> and the data stored on a CSR secured server</w:t>
      </w:r>
      <w:r>
        <w:t xml:space="preserve">. </w:t>
      </w:r>
      <w:r w:rsidR="005A6DE9">
        <w:t xml:space="preserve">A privacy impact assessment on this system of record was last completed on </w:t>
      </w:r>
      <w:r w:rsidR="009624CC">
        <w:t>09/09/2011</w:t>
      </w:r>
      <w:r w:rsidR="005A6DE9">
        <w:t>.</w:t>
      </w:r>
      <w:r w:rsidR="005A6DE9" w:rsidRPr="005A6DE9">
        <w:t xml:space="preserve"> </w:t>
      </w:r>
      <w:r w:rsidR="005A6DE9">
        <w:t xml:space="preserve"> </w:t>
      </w:r>
    </w:p>
    <w:p w14:paraId="4D1272BC" w14:textId="77777777" w:rsidR="004B3C21" w:rsidRDefault="004B3C21" w:rsidP="004B3C21">
      <w:pPr>
        <w:spacing w:after="20"/>
      </w:pPr>
    </w:p>
    <w:p w14:paraId="16F7BD87" w14:textId="77777777" w:rsidR="008716F6" w:rsidRDefault="008716F6" w:rsidP="008716F6">
      <w:pPr>
        <w:spacing w:after="20"/>
        <w:rPr>
          <w:b/>
        </w:rPr>
      </w:pPr>
      <w:r w:rsidRPr="00113647">
        <w:rPr>
          <w:b/>
        </w:rPr>
        <w:t>A.4 Efforts to Identify Duplication</w:t>
      </w:r>
    </w:p>
    <w:p w14:paraId="2B7B9B04" w14:textId="77777777" w:rsidR="004B3C21" w:rsidRDefault="004B3C21" w:rsidP="008716F6">
      <w:pPr>
        <w:spacing w:after="20"/>
        <w:rPr>
          <w:b/>
        </w:rPr>
      </w:pPr>
    </w:p>
    <w:p w14:paraId="62C0F3B7" w14:textId="06585E76" w:rsidR="00C16E9E" w:rsidRDefault="00266B37" w:rsidP="008716F6">
      <w:pPr>
        <w:spacing w:after="20"/>
      </w:pPr>
      <w:r>
        <w:t>The ECR program is managed by the Center for Scientific Review and only CSR sta</w:t>
      </w:r>
      <w:r w:rsidR="00AF0B07">
        <w:t>ff have access to the names</w:t>
      </w:r>
      <w:r>
        <w:t xml:space="preserve"> </w:t>
      </w:r>
      <w:r w:rsidR="00AF0B07">
        <w:t>a</w:t>
      </w:r>
      <w:r>
        <w:t xml:space="preserve">nd contact information of </w:t>
      </w:r>
      <w:r w:rsidR="00AF0B07">
        <w:t xml:space="preserve">ECRs who </w:t>
      </w:r>
      <w:r w:rsidR="00C16E9E">
        <w:t xml:space="preserve">have served on study sections. Development and administration of surveys is coordinated by the CSR Office of Planning, Analysis, and Evaluation (OPAE).  </w:t>
      </w:r>
      <w:r w:rsidR="00F8700B">
        <w:t xml:space="preserve">ECR and OPAE staff collaborate on the survey of ECRs who have served on study sections.  This collaboration avoids duplication of efforts within CSR.  </w:t>
      </w:r>
    </w:p>
    <w:p w14:paraId="50116A33" w14:textId="77777777" w:rsidR="00003BE1" w:rsidRPr="00113647" w:rsidRDefault="00003BE1" w:rsidP="008716F6">
      <w:pPr>
        <w:spacing w:after="20"/>
        <w:rPr>
          <w:b/>
        </w:rPr>
      </w:pPr>
    </w:p>
    <w:p w14:paraId="2CEE54B9" w14:textId="77777777" w:rsidR="008716F6" w:rsidRPr="00113647" w:rsidRDefault="008716F6" w:rsidP="008716F6">
      <w:pPr>
        <w:spacing w:after="20"/>
        <w:rPr>
          <w:b/>
        </w:rPr>
      </w:pPr>
      <w:r w:rsidRPr="00113647">
        <w:rPr>
          <w:b/>
        </w:rPr>
        <w:t>A.5 Impact on Small Businesses or Other Small Entities</w:t>
      </w:r>
    </w:p>
    <w:p w14:paraId="4E350690" w14:textId="77777777" w:rsidR="008716F6" w:rsidRPr="00113647" w:rsidRDefault="008716F6" w:rsidP="008716F6">
      <w:pPr>
        <w:spacing w:after="20"/>
      </w:pPr>
      <w:r w:rsidRPr="00113647">
        <w:t>N/A</w:t>
      </w:r>
    </w:p>
    <w:p w14:paraId="6349957B" w14:textId="77777777" w:rsidR="008716F6" w:rsidRDefault="008716F6" w:rsidP="008716F6">
      <w:pPr>
        <w:spacing w:after="20"/>
      </w:pPr>
    </w:p>
    <w:p w14:paraId="18F8815A" w14:textId="77777777" w:rsidR="008716F6" w:rsidRDefault="008716F6" w:rsidP="008716F6">
      <w:pPr>
        <w:spacing w:after="20"/>
        <w:rPr>
          <w:b/>
        </w:rPr>
      </w:pPr>
      <w:r w:rsidRPr="00113647">
        <w:rPr>
          <w:b/>
        </w:rPr>
        <w:lastRenderedPageBreak/>
        <w:t>A.6 Consequences of Collecting the Information Less Frequently</w:t>
      </w:r>
    </w:p>
    <w:p w14:paraId="7AA0A259" w14:textId="77777777" w:rsidR="007220A5" w:rsidRDefault="007220A5" w:rsidP="008716F6">
      <w:pPr>
        <w:spacing w:after="20"/>
      </w:pPr>
    </w:p>
    <w:p w14:paraId="4BF9546C" w14:textId="092CC2F5" w:rsidR="004B3C21" w:rsidRDefault="005A6DE9" w:rsidP="008716F6">
      <w:pPr>
        <w:spacing w:after="20"/>
      </w:pPr>
      <w:r w:rsidRPr="005A6DE9">
        <w:t xml:space="preserve">A previous version of this survey was administered in 2012 to </w:t>
      </w:r>
      <w:r w:rsidR="00802F28">
        <w:t xml:space="preserve">the first </w:t>
      </w:r>
      <w:r w:rsidRPr="005A6DE9">
        <w:t>236 ECRs</w:t>
      </w:r>
      <w:r w:rsidR="00802F28">
        <w:t xml:space="preserve"> that entered the program.  No other surveys of ECRs have been conducted since that time.  The consequence of collecting feedback less frequently is that recall of the respondents regarding their service at ECRs may be incomplete.  For that reason, we will only survey </w:t>
      </w:r>
      <w:r w:rsidRPr="005A6DE9">
        <w:t xml:space="preserve">ECRs who served on study sections from 2014 through 2016.  </w:t>
      </w:r>
    </w:p>
    <w:p w14:paraId="231DCC90" w14:textId="77777777" w:rsidR="005A6DE9" w:rsidRPr="00113647" w:rsidRDefault="005A6DE9"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54F24C88" w14:textId="77777777" w:rsidR="004B3C21" w:rsidRDefault="004B3C21" w:rsidP="008716F6">
      <w:pPr>
        <w:spacing w:after="20"/>
      </w:pPr>
    </w:p>
    <w:p w14:paraId="3522E670" w14:textId="60368EAC" w:rsidR="008716F6" w:rsidRPr="00113647" w:rsidRDefault="008716F6" w:rsidP="008716F6">
      <w:pPr>
        <w:spacing w:after="20"/>
      </w:pPr>
      <w:r w:rsidRPr="00113647">
        <w:t>This survey will be implemented in a manner that fully complies with 5 C.F.R. 1320.5.</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682EA02B" w14:textId="77777777" w:rsidR="004B3C21" w:rsidRPr="00113647" w:rsidRDefault="004B3C21" w:rsidP="008716F6">
      <w:pPr>
        <w:spacing w:after="20"/>
        <w:rPr>
          <w:b/>
        </w:rPr>
      </w:pPr>
    </w:p>
    <w:p w14:paraId="299DC917" w14:textId="0AD8D6EF" w:rsidR="00477A8E" w:rsidRDefault="005471B2" w:rsidP="008716F6">
      <w:pPr>
        <w:spacing w:after="20"/>
      </w:pPr>
      <w:r>
        <w:t xml:space="preserve">No payments or gifts will be provided to those who complete the survey.  </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9BA36CE" w14:textId="77777777" w:rsidR="004B3C21" w:rsidRDefault="004B3C21" w:rsidP="004B3C21">
      <w:pPr>
        <w:spacing w:after="20"/>
      </w:pPr>
    </w:p>
    <w:p w14:paraId="48ED68A8" w14:textId="77777777" w:rsidR="00CE21A0" w:rsidRDefault="00CE21A0" w:rsidP="00CE21A0">
      <w:r>
        <w:t>System of Record</w:t>
      </w:r>
    </w:p>
    <w:p w14:paraId="56D4E2CD" w14:textId="652723C7" w:rsidR="00CE21A0" w:rsidRDefault="00CE21A0" w:rsidP="00CE21A0">
      <w:r>
        <w:t xml:space="preserve">The IT system in which </w:t>
      </w:r>
      <w:r w:rsidR="009624CC">
        <w:t xml:space="preserve">the survey </w:t>
      </w:r>
      <w:r>
        <w:t xml:space="preserve">information </w:t>
      </w:r>
      <w:r w:rsidR="009624CC">
        <w:t>will be</w:t>
      </w:r>
      <w:r>
        <w:t xml:space="preserve"> stored is </w:t>
      </w:r>
      <w:r w:rsidR="009624CC" w:rsidRPr="009624CC">
        <w:t>feedback.csr.nih.gov</w:t>
      </w:r>
      <w:r>
        <w:t xml:space="preserve">.  The system was assessed with a Privacy Impact Assessment.  The date of the completion of the PIA was </w:t>
      </w:r>
      <w:r w:rsidR="009624CC">
        <w:t>09/09/2011.</w:t>
      </w:r>
      <w:r>
        <w:t xml:space="preserve">  The Privacy Act applies to this activity.  The number of the Privacy Act Systems of Record Notice that covers the information collection is </w:t>
      </w:r>
      <w:r w:rsidR="009624CC" w:rsidRPr="009624CC">
        <w:t>09</w:t>
      </w:r>
      <w:r w:rsidR="00165616">
        <w:t>-</w:t>
      </w:r>
      <w:r w:rsidR="009624CC" w:rsidRPr="009624CC">
        <w:t>25-0</w:t>
      </w:r>
      <w:r w:rsidR="00165616">
        <w:t>036</w:t>
      </w:r>
      <w:r>
        <w:t xml:space="preserve">.  This application for </w:t>
      </w:r>
      <w:r w:rsidR="008F0A02">
        <w:t xml:space="preserve">OMB </w:t>
      </w:r>
      <w:r>
        <w:t>Clearance has been completed in consultation with the CSR Privacy Officer, Prema Nair.</w:t>
      </w:r>
    </w:p>
    <w:p w14:paraId="400DB048" w14:textId="77777777" w:rsidR="00CE21A0" w:rsidRDefault="00CE21A0" w:rsidP="00CE21A0">
      <w:r>
        <w:t>Confidentiality</w:t>
      </w:r>
    </w:p>
    <w:p w14:paraId="6830A3E1" w14:textId="4C8D1029" w:rsidR="00CE21A0" w:rsidRDefault="00CE21A0" w:rsidP="00CE21A0">
      <w:r>
        <w:t xml:space="preserve">Confidentiality is protected in the </w:t>
      </w:r>
      <w:r w:rsidR="009624CC">
        <w:t xml:space="preserve">CSR secure </w:t>
      </w:r>
      <w:r>
        <w:t xml:space="preserve">information system known as </w:t>
      </w:r>
      <w:r w:rsidR="009624CC" w:rsidRPr="009624CC">
        <w:t xml:space="preserve">feedback.csr.nih.gov </w:t>
      </w:r>
      <w:r>
        <w:t>through compliance with laws, regulations and other mandates (e.g. Privacy Act, OMB Guidance). Additionally, CSR has in place operational safeguards such as training, education and awareness for PII protection.  CSR has also implemented multiple technical security controls to limit access to data, monitor events that affect confidentiality and has an incident response plan to handle breaches to this data.   Annual Privacy Impact Assessments (PIA) are held to review and mitigate privacy risks.</w:t>
      </w:r>
    </w:p>
    <w:p w14:paraId="2D0BD3E5" w14:textId="77777777" w:rsidR="00CE21A0" w:rsidRDefault="00CE21A0" w:rsidP="00CE21A0">
      <w:r>
        <w:t xml:space="preserve">It was determined by the CSR Privacy Officer that a Confidentiality Agreement would not be necessary for this proposed project.  The existing protections afforded to all reviewers who serve on committees will apply to ECRs.  </w:t>
      </w:r>
    </w:p>
    <w:p w14:paraId="187DE867" w14:textId="77777777" w:rsidR="004C1FBF" w:rsidRPr="00391B55" w:rsidRDefault="00CE21A0" w:rsidP="004C1FBF">
      <w:pPr>
        <w:rPr>
          <w:rFonts w:cstheme="minorHAnsi"/>
          <w:i/>
        </w:rPr>
      </w:pPr>
      <w:r>
        <w:t xml:space="preserve">The survey will include a statement regarding privacy.  </w:t>
      </w:r>
      <w:r w:rsidR="004C1FBF">
        <w:t xml:space="preserve">The information provided will be kept private to the extent allowed by law and not disclosed to anyone but the staff of CSR who process the survey as specified under </w:t>
      </w:r>
      <w:r w:rsidR="004C1FBF" w:rsidRPr="00391B55">
        <w:rPr>
          <w:rFonts w:cstheme="minorHAnsi"/>
          <w:i/>
        </w:rPr>
        <w:t xml:space="preserve">42 USC 1306, 20 CFR 401 and 422, 5 USC 552 (Freedom of Information Act), 5 USC 552a (Privacy Act of 1974), Privacy Act System of Records Notice: 09-25-036, and OMB Circular No.A-130. </w:t>
      </w:r>
    </w:p>
    <w:p w14:paraId="39CCB3E9" w14:textId="7F8E5970" w:rsidR="00CE21A0" w:rsidRDefault="004C1FBF" w:rsidP="00CE21A0">
      <w:r>
        <w:lastRenderedPageBreak/>
        <w:t xml:space="preserve">Respondents will be informed </w:t>
      </w:r>
      <w:r w:rsidR="00CE21A0">
        <w:t>that completion of the survey is strictly voluntary, and that no consequence exists for choosing not to participate</w:t>
      </w:r>
      <w:r w:rsidR="008F0A02">
        <w:t>.</w:t>
      </w:r>
    </w:p>
    <w:p w14:paraId="760329D5" w14:textId="77777777" w:rsidR="004B3C21" w:rsidRDefault="004B3C21" w:rsidP="008716F6">
      <w:pPr>
        <w:spacing w:after="20"/>
        <w:rPr>
          <w:b/>
        </w:rPr>
      </w:pPr>
    </w:p>
    <w:p w14:paraId="0810AD11" w14:textId="77777777" w:rsidR="001D2741" w:rsidRPr="00113647" w:rsidRDefault="001D2741" w:rsidP="008716F6">
      <w:pPr>
        <w:spacing w:after="20"/>
        <w:rPr>
          <w:b/>
        </w:rPr>
      </w:pPr>
      <w:r w:rsidRPr="00113647">
        <w:rPr>
          <w:b/>
        </w:rPr>
        <w:t>A.11 Justification for Sensitive Questions</w:t>
      </w:r>
    </w:p>
    <w:p w14:paraId="0F82A8CB" w14:textId="091600AB" w:rsidR="00063927" w:rsidRDefault="004C1FBF" w:rsidP="008716F6">
      <w:pPr>
        <w:spacing w:after="20"/>
      </w:pPr>
      <w:r>
        <w:t xml:space="preserve">This voluntary survey will not involve personal information of a sensitive nature. </w:t>
      </w:r>
      <w:r w:rsidR="00375491">
        <w:t>The survey will</w:t>
      </w:r>
      <w:r w:rsidR="003472FE">
        <w:t xml:space="preserve"> be anonymous.  No </w:t>
      </w:r>
      <w:r w:rsidR="00E154CE">
        <w:t>demo</w:t>
      </w:r>
      <w:r w:rsidR="003472FE">
        <w:t>graphic questions will included in the survey.</w:t>
      </w:r>
    </w:p>
    <w:p w14:paraId="389E8650" w14:textId="77777777" w:rsidR="00063927" w:rsidRDefault="00063927" w:rsidP="008716F6">
      <w:pPr>
        <w:spacing w:after="20"/>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4A4A3DC3" w14:textId="77777777" w:rsidR="00907E64" w:rsidRPr="00907E64" w:rsidRDefault="00907E64" w:rsidP="00907E64">
      <w:pPr>
        <w:spacing w:after="20"/>
        <w:rPr>
          <w:b/>
        </w:rPr>
      </w:pPr>
    </w:p>
    <w:p w14:paraId="27CDE2F5" w14:textId="615B0425" w:rsidR="00CF4F81" w:rsidRPr="00FB0308" w:rsidRDefault="00CF4F81" w:rsidP="00FB0308">
      <w:pPr>
        <w:pStyle w:val="P1-StandPara"/>
        <w:spacing w:line="276" w:lineRule="auto"/>
        <w:ind w:firstLine="0"/>
        <w:rPr>
          <w:rFonts w:asciiTheme="minorHAnsi" w:hAnsiTheme="minorHAnsi" w:cstheme="minorHAnsi"/>
        </w:rPr>
      </w:pPr>
      <w:r w:rsidRPr="00FB0308">
        <w:rPr>
          <w:rFonts w:asciiTheme="minorHAnsi" w:hAnsiTheme="minorHAnsi" w:cstheme="minorHAnsi"/>
        </w:rPr>
        <w:t xml:space="preserve">We anticipate the recruitment of a census of Early Career Reviewers from its database who submitted applications </w:t>
      </w:r>
      <w:r w:rsidR="008E542F" w:rsidRPr="00FB0308">
        <w:rPr>
          <w:rFonts w:asciiTheme="minorHAnsi" w:hAnsiTheme="minorHAnsi" w:cstheme="minorHAnsi"/>
        </w:rPr>
        <w:t>during 2014 through 2016.</w:t>
      </w:r>
      <w:r w:rsidRPr="00FB0308">
        <w:rPr>
          <w:rFonts w:asciiTheme="minorHAnsi" w:hAnsiTheme="minorHAnsi" w:cstheme="minorHAnsi"/>
        </w:rPr>
        <w:t xml:space="preserve">  This results in </w:t>
      </w:r>
      <w:r w:rsidR="008E542F" w:rsidRPr="00FB0308">
        <w:rPr>
          <w:rFonts w:asciiTheme="minorHAnsi" w:hAnsiTheme="minorHAnsi" w:cstheme="minorHAnsi"/>
        </w:rPr>
        <w:t xml:space="preserve">1200 </w:t>
      </w:r>
      <w:r w:rsidRPr="00FB0308">
        <w:rPr>
          <w:rFonts w:asciiTheme="minorHAnsi" w:hAnsiTheme="minorHAnsi" w:cstheme="minorHAnsi"/>
        </w:rPr>
        <w:t xml:space="preserve">participants who will be invited to complete an online survey.  The participants will be recruited from the ECR database of Early Stage Investigators. Using an estimated response time of </w:t>
      </w:r>
      <w:r w:rsidR="00861C13">
        <w:rPr>
          <w:rFonts w:asciiTheme="minorHAnsi" w:hAnsiTheme="minorHAnsi" w:cstheme="minorHAnsi"/>
        </w:rPr>
        <w:t>10</w:t>
      </w:r>
      <w:r w:rsidRPr="00FB0308">
        <w:rPr>
          <w:rFonts w:asciiTheme="minorHAnsi" w:hAnsiTheme="minorHAnsi" w:cstheme="minorHAnsi"/>
        </w:rPr>
        <w:t xml:space="preserve"> minutes per online survey the annual burden for applicants is </w:t>
      </w:r>
      <w:r w:rsidR="00BE4B24">
        <w:rPr>
          <w:rFonts w:asciiTheme="minorHAnsi" w:hAnsiTheme="minorHAnsi" w:cstheme="minorHAnsi"/>
        </w:rPr>
        <w:t>2</w:t>
      </w:r>
      <w:r w:rsidR="003472FE" w:rsidRPr="00FB0308">
        <w:rPr>
          <w:rFonts w:asciiTheme="minorHAnsi" w:hAnsiTheme="minorHAnsi" w:cstheme="minorHAnsi"/>
        </w:rPr>
        <w:t>00</w:t>
      </w:r>
      <w:r w:rsidRPr="00FB0308">
        <w:rPr>
          <w:rFonts w:asciiTheme="minorHAnsi" w:hAnsiTheme="minorHAnsi" w:cstheme="minorHAnsi"/>
        </w:rPr>
        <w:t xml:space="preserve"> hours (see Table A.12-1).  </w:t>
      </w:r>
    </w:p>
    <w:p w14:paraId="012C970A" w14:textId="33BECCC8" w:rsidR="00063927" w:rsidRPr="009624CC" w:rsidRDefault="00063927" w:rsidP="008716F6">
      <w:pPr>
        <w:spacing w:after="20"/>
      </w:pPr>
    </w:p>
    <w:p w14:paraId="0A9D421B" w14:textId="77777777" w:rsidR="00B940C6" w:rsidRDefault="002F3354" w:rsidP="008716F6">
      <w:pPr>
        <w:spacing w:after="20"/>
        <w:rPr>
          <w:b/>
        </w:rPr>
      </w:pPr>
      <w:r>
        <w:rPr>
          <w:b/>
        </w:rPr>
        <w:t xml:space="preserve">                                            </w:t>
      </w:r>
    </w:p>
    <w:p w14:paraId="04F8B5B4" w14:textId="55BD5FF7" w:rsidR="002F3354" w:rsidRDefault="001D2741" w:rsidP="008A0E55">
      <w:pPr>
        <w:spacing w:after="20"/>
        <w:ind w:left="2160" w:firstLine="720"/>
        <w:rPr>
          <w:b/>
        </w:rPr>
      </w:pPr>
      <w:r w:rsidRPr="00113647">
        <w:rPr>
          <w:b/>
        </w:rPr>
        <w:t>A.12</w:t>
      </w:r>
      <w:r w:rsidR="00AF01AD">
        <w:rPr>
          <w:b/>
        </w:rPr>
        <w:t>-1</w:t>
      </w:r>
      <w:r w:rsidRPr="00113647">
        <w:rPr>
          <w:b/>
        </w:rPr>
        <w:t xml:space="preserve"> Estimate</w:t>
      </w:r>
      <w:r w:rsidR="002F3354">
        <w:rPr>
          <w:b/>
        </w:rPr>
        <w:t>d Annualized Burden Hours</w:t>
      </w:r>
    </w:p>
    <w:p w14:paraId="6ECF8F3F" w14:textId="77777777" w:rsidR="002F3354" w:rsidRDefault="002F3354" w:rsidP="008716F6">
      <w:pPr>
        <w:spacing w:after="20"/>
        <w:rPr>
          <w:b/>
        </w:rPr>
      </w:pPr>
    </w:p>
    <w:p w14:paraId="2BB74B11" w14:textId="77777777" w:rsidR="002F3354" w:rsidRDefault="002F3354" w:rsidP="008716F6">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620"/>
        <w:gridCol w:w="1620"/>
        <w:gridCol w:w="1440"/>
        <w:gridCol w:w="1245"/>
        <w:gridCol w:w="1146"/>
      </w:tblGrid>
      <w:tr w:rsidR="002F3354" w:rsidRPr="002250C3" w14:paraId="4B4132F0" w14:textId="77777777" w:rsidTr="008A0E55">
        <w:trPr>
          <w:cantSplit/>
          <w:trHeight w:val="372"/>
          <w:jc w:val="center"/>
        </w:trPr>
        <w:tc>
          <w:tcPr>
            <w:tcW w:w="1491" w:type="dxa"/>
            <w:tcBorders>
              <w:top w:val="single" w:sz="6" w:space="0" w:color="auto"/>
              <w:left w:val="single" w:sz="6" w:space="0" w:color="auto"/>
            </w:tcBorders>
          </w:tcPr>
          <w:p w14:paraId="20A14C8E" w14:textId="77777777" w:rsidR="002F3354" w:rsidRDefault="002F3354" w:rsidP="00F32C96">
            <w:pPr>
              <w:rPr>
                <w:sz w:val="24"/>
                <w:szCs w:val="24"/>
              </w:rPr>
            </w:pPr>
            <w:r>
              <w:rPr>
                <w:sz w:val="24"/>
                <w:szCs w:val="24"/>
              </w:rPr>
              <w:t xml:space="preserve">Form Name </w:t>
            </w:r>
          </w:p>
        </w:tc>
        <w:tc>
          <w:tcPr>
            <w:tcW w:w="1620" w:type="dxa"/>
            <w:tcBorders>
              <w:top w:val="single" w:sz="6" w:space="0" w:color="auto"/>
              <w:left w:val="single" w:sz="6" w:space="0" w:color="auto"/>
            </w:tcBorders>
          </w:tcPr>
          <w:p w14:paraId="6702A6CB" w14:textId="192FFD67" w:rsidR="002F3354" w:rsidRPr="005D5C15" w:rsidRDefault="002F3354" w:rsidP="00F32C96">
            <w:pPr>
              <w:rPr>
                <w:sz w:val="24"/>
                <w:szCs w:val="24"/>
              </w:rPr>
            </w:pPr>
            <w:r>
              <w:rPr>
                <w:sz w:val="24"/>
                <w:szCs w:val="24"/>
              </w:rPr>
              <w:t>Type of Respondent</w:t>
            </w:r>
            <w:r w:rsidR="00B940C6">
              <w:rPr>
                <w:sz w:val="24"/>
                <w:szCs w:val="24"/>
              </w:rPr>
              <w:t>s</w:t>
            </w:r>
          </w:p>
        </w:tc>
        <w:tc>
          <w:tcPr>
            <w:tcW w:w="1620" w:type="dxa"/>
            <w:tcBorders>
              <w:top w:val="single" w:sz="6" w:space="0" w:color="auto"/>
              <w:left w:val="single" w:sz="6" w:space="0" w:color="auto"/>
            </w:tcBorders>
          </w:tcPr>
          <w:p w14:paraId="1B16D57A" w14:textId="68028EA0" w:rsidR="002F3354" w:rsidRPr="005D5C15" w:rsidRDefault="002F3354" w:rsidP="00F32C96">
            <w:pPr>
              <w:rPr>
                <w:sz w:val="24"/>
                <w:szCs w:val="24"/>
              </w:rPr>
            </w:pPr>
            <w:r w:rsidRPr="005D5C15">
              <w:rPr>
                <w:sz w:val="24"/>
                <w:szCs w:val="24"/>
              </w:rPr>
              <w:t xml:space="preserve">Number of </w:t>
            </w:r>
            <w:r w:rsidR="00B940C6">
              <w:rPr>
                <w:sz w:val="24"/>
                <w:szCs w:val="24"/>
              </w:rPr>
              <w:t xml:space="preserve"> Respondents </w:t>
            </w:r>
          </w:p>
        </w:tc>
        <w:tc>
          <w:tcPr>
            <w:tcW w:w="1440" w:type="dxa"/>
            <w:tcBorders>
              <w:top w:val="single" w:sz="6" w:space="0" w:color="auto"/>
              <w:left w:val="single" w:sz="6" w:space="0" w:color="auto"/>
            </w:tcBorders>
          </w:tcPr>
          <w:p w14:paraId="56087991" w14:textId="77777777" w:rsidR="002F3354" w:rsidRPr="005D5C15" w:rsidRDefault="002F3354" w:rsidP="00F32C96">
            <w:pPr>
              <w:rPr>
                <w:sz w:val="24"/>
                <w:szCs w:val="24"/>
              </w:rPr>
            </w:pPr>
            <w:r w:rsidRPr="005D5C15">
              <w:rPr>
                <w:sz w:val="24"/>
                <w:szCs w:val="24"/>
              </w:rPr>
              <w:t>Number of Responses per Respondent</w:t>
            </w:r>
          </w:p>
        </w:tc>
        <w:tc>
          <w:tcPr>
            <w:tcW w:w="1245" w:type="dxa"/>
            <w:tcBorders>
              <w:top w:val="single" w:sz="6" w:space="0" w:color="auto"/>
              <w:left w:val="single" w:sz="6" w:space="0" w:color="auto"/>
            </w:tcBorders>
          </w:tcPr>
          <w:p w14:paraId="1E2C9E1F" w14:textId="77777777" w:rsidR="002F3354" w:rsidRDefault="002F3354" w:rsidP="00F32C96">
            <w:pPr>
              <w:rPr>
                <w:sz w:val="24"/>
                <w:szCs w:val="24"/>
              </w:rPr>
            </w:pPr>
            <w:r w:rsidRPr="005D5C15">
              <w:rPr>
                <w:sz w:val="24"/>
                <w:szCs w:val="24"/>
              </w:rPr>
              <w:t xml:space="preserve">Average Burden  Per Response </w:t>
            </w:r>
          </w:p>
          <w:p w14:paraId="30BADB10" w14:textId="77777777" w:rsidR="002F3354" w:rsidRPr="005D5C15" w:rsidRDefault="002F3354" w:rsidP="00F32C96">
            <w:pPr>
              <w:rPr>
                <w:sz w:val="24"/>
                <w:szCs w:val="24"/>
              </w:rPr>
            </w:pPr>
            <w:r>
              <w:rPr>
                <w:sz w:val="24"/>
                <w:szCs w:val="24"/>
              </w:rPr>
              <w:t xml:space="preserve">(in hours) </w:t>
            </w:r>
          </w:p>
        </w:tc>
        <w:tc>
          <w:tcPr>
            <w:tcW w:w="1146" w:type="dxa"/>
            <w:tcBorders>
              <w:top w:val="single" w:sz="6" w:space="0" w:color="auto"/>
              <w:left w:val="single" w:sz="6" w:space="0" w:color="auto"/>
              <w:right w:val="single" w:sz="6" w:space="0" w:color="auto"/>
            </w:tcBorders>
          </w:tcPr>
          <w:p w14:paraId="0B72B973" w14:textId="77777777" w:rsidR="002F3354" w:rsidRPr="005D5C15" w:rsidRDefault="002F3354" w:rsidP="00F32C96">
            <w:pPr>
              <w:rPr>
                <w:sz w:val="24"/>
                <w:szCs w:val="24"/>
              </w:rPr>
            </w:pPr>
            <w:r w:rsidRPr="005D5C15">
              <w:rPr>
                <w:sz w:val="24"/>
                <w:szCs w:val="24"/>
              </w:rPr>
              <w:t xml:space="preserve">Total Annual  Burden Hour </w:t>
            </w:r>
          </w:p>
        </w:tc>
      </w:tr>
      <w:tr w:rsidR="002F3354" w:rsidRPr="002250C3" w14:paraId="21F89ABE" w14:textId="77777777" w:rsidTr="008A0E55">
        <w:trPr>
          <w:cantSplit/>
          <w:trHeight w:val="372"/>
          <w:jc w:val="center"/>
        </w:trPr>
        <w:tc>
          <w:tcPr>
            <w:tcW w:w="1491" w:type="dxa"/>
            <w:tcBorders>
              <w:top w:val="single" w:sz="6" w:space="0" w:color="auto"/>
              <w:left w:val="single" w:sz="6" w:space="0" w:color="auto"/>
            </w:tcBorders>
          </w:tcPr>
          <w:p w14:paraId="1F4C09F1" w14:textId="73959705" w:rsidR="002F3354" w:rsidRPr="002250C3" w:rsidRDefault="008A0E55" w:rsidP="00F32C96">
            <w:pPr>
              <w:rPr>
                <w:sz w:val="24"/>
                <w:szCs w:val="24"/>
              </w:rPr>
            </w:pPr>
            <w:r>
              <w:rPr>
                <w:sz w:val="24"/>
                <w:szCs w:val="24"/>
              </w:rPr>
              <w:t>Online</w:t>
            </w:r>
            <w:r w:rsidR="000142F7">
              <w:rPr>
                <w:sz w:val="24"/>
                <w:szCs w:val="24"/>
              </w:rPr>
              <w:t xml:space="preserve"> Survey</w:t>
            </w:r>
          </w:p>
        </w:tc>
        <w:tc>
          <w:tcPr>
            <w:tcW w:w="1620" w:type="dxa"/>
            <w:tcBorders>
              <w:top w:val="single" w:sz="6" w:space="0" w:color="auto"/>
              <w:left w:val="single" w:sz="6" w:space="0" w:color="auto"/>
            </w:tcBorders>
          </w:tcPr>
          <w:p w14:paraId="4326137B" w14:textId="7D4B5639" w:rsidR="002F3354" w:rsidRPr="002250C3" w:rsidRDefault="008A0E55" w:rsidP="00F32C96">
            <w:pPr>
              <w:rPr>
                <w:sz w:val="24"/>
                <w:szCs w:val="24"/>
              </w:rPr>
            </w:pPr>
            <w:r>
              <w:rPr>
                <w:sz w:val="24"/>
                <w:szCs w:val="24"/>
              </w:rPr>
              <w:t>Adults</w:t>
            </w:r>
          </w:p>
        </w:tc>
        <w:tc>
          <w:tcPr>
            <w:tcW w:w="1620" w:type="dxa"/>
            <w:tcBorders>
              <w:top w:val="single" w:sz="6" w:space="0" w:color="auto"/>
              <w:left w:val="single" w:sz="6" w:space="0" w:color="auto"/>
            </w:tcBorders>
          </w:tcPr>
          <w:p w14:paraId="26C6209D" w14:textId="7CC7E54E" w:rsidR="002F3354" w:rsidRPr="002250C3" w:rsidRDefault="008E542F" w:rsidP="00F32C96">
            <w:pPr>
              <w:jc w:val="center"/>
              <w:rPr>
                <w:sz w:val="24"/>
                <w:szCs w:val="24"/>
              </w:rPr>
            </w:pPr>
            <w:r>
              <w:rPr>
                <w:sz w:val="24"/>
                <w:szCs w:val="24"/>
              </w:rPr>
              <w:t>1200</w:t>
            </w:r>
          </w:p>
        </w:tc>
        <w:tc>
          <w:tcPr>
            <w:tcW w:w="1440" w:type="dxa"/>
            <w:tcBorders>
              <w:top w:val="single" w:sz="6" w:space="0" w:color="auto"/>
              <w:left w:val="single" w:sz="6" w:space="0" w:color="auto"/>
            </w:tcBorders>
          </w:tcPr>
          <w:p w14:paraId="19DDF317" w14:textId="77777777" w:rsidR="002F3354" w:rsidRPr="002250C3" w:rsidRDefault="002F3354" w:rsidP="00F32C96">
            <w:pPr>
              <w:jc w:val="center"/>
              <w:rPr>
                <w:sz w:val="24"/>
                <w:szCs w:val="24"/>
              </w:rPr>
            </w:pPr>
            <w:r w:rsidRPr="002250C3">
              <w:rPr>
                <w:sz w:val="24"/>
                <w:szCs w:val="24"/>
              </w:rPr>
              <w:t>1</w:t>
            </w:r>
          </w:p>
        </w:tc>
        <w:tc>
          <w:tcPr>
            <w:tcW w:w="1245" w:type="dxa"/>
            <w:tcBorders>
              <w:top w:val="single" w:sz="6" w:space="0" w:color="auto"/>
              <w:left w:val="single" w:sz="6" w:space="0" w:color="auto"/>
            </w:tcBorders>
          </w:tcPr>
          <w:p w14:paraId="72C37AD7" w14:textId="7A8518DF" w:rsidR="002F3354" w:rsidRPr="002250C3" w:rsidRDefault="00BE4B24" w:rsidP="008E542F">
            <w:pPr>
              <w:jc w:val="center"/>
              <w:rPr>
                <w:sz w:val="24"/>
                <w:szCs w:val="24"/>
              </w:rPr>
            </w:pPr>
            <w:r>
              <w:rPr>
                <w:sz w:val="24"/>
                <w:szCs w:val="24"/>
              </w:rPr>
              <w:t>10</w:t>
            </w:r>
            <w:r w:rsidR="008A0E55">
              <w:rPr>
                <w:sz w:val="24"/>
                <w:szCs w:val="24"/>
              </w:rPr>
              <w:t>/60</w:t>
            </w:r>
          </w:p>
        </w:tc>
        <w:tc>
          <w:tcPr>
            <w:tcW w:w="1146" w:type="dxa"/>
            <w:tcBorders>
              <w:top w:val="single" w:sz="6" w:space="0" w:color="auto"/>
              <w:left w:val="single" w:sz="6" w:space="0" w:color="auto"/>
              <w:right w:val="single" w:sz="6" w:space="0" w:color="auto"/>
            </w:tcBorders>
          </w:tcPr>
          <w:p w14:paraId="504C80DE" w14:textId="3B1771CC" w:rsidR="002F3354" w:rsidRPr="002250C3" w:rsidRDefault="00BE4B24" w:rsidP="00F32C96">
            <w:pPr>
              <w:jc w:val="center"/>
              <w:rPr>
                <w:sz w:val="24"/>
                <w:szCs w:val="24"/>
              </w:rPr>
            </w:pPr>
            <w:r>
              <w:rPr>
                <w:sz w:val="24"/>
                <w:szCs w:val="24"/>
              </w:rPr>
              <w:t>2</w:t>
            </w:r>
            <w:r w:rsidR="003472FE">
              <w:rPr>
                <w:sz w:val="24"/>
                <w:szCs w:val="24"/>
              </w:rPr>
              <w:t>00</w:t>
            </w:r>
          </w:p>
        </w:tc>
      </w:tr>
      <w:tr w:rsidR="00B940C6" w:rsidRPr="002250C3" w14:paraId="7581AC07" w14:textId="77777777" w:rsidTr="008A0E55">
        <w:trPr>
          <w:cantSplit/>
          <w:trHeight w:val="372"/>
          <w:jc w:val="center"/>
        </w:trPr>
        <w:tc>
          <w:tcPr>
            <w:tcW w:w="1491" w:type="dxa"/>
            <w:tcBorders>
              <w:top w:val="single" w:sz="6" w:space="0" w:color="auto"/>
              <w:left w:val="single" w:sz="6" w:space="0" w:color="auto"/>
              <w:bottom w:val="single" w:sz="4" w:space="0" w:color="auto"/>
            </w:tcBorders>
          </w:tcPr>
          <w:p w14:paraId="6F8B0F6C" w14:textId="0AB16C80" w:rsidR="00B940C6" w:rsidRDefault="00B940C6" w:rsidP="00F32C96">
            <w:pPr>
              <w:rPr>
                <w:sz w:val="24"/>
                <w:szCs w:val="24"/>
              </w:rPr>
            </w:pPr>
            <w:r>
              <w:rPr>
                <w:sz w:val="24"/>
                <w:szCs w:val="24"/>
              </w:rPr>
              <w:t>Total</w:t>
            </w:r>
          </w:p>
        </w:tc>
        <w:tc>
          <w:tcPr>
            <w:tcW w:w="1620" w:type="dxa"/>
            <w:tcBorders>
              <w:top w:val="single" w:sz="6" w:space="0" w:color="auto"/>
              <w:left w:val="single" w:sz="6" w:space="0" w:color="auto"/>
              <w:bottom w:val="single" w:sz="4" w:space="0" w:color="auto"/>
            </w:tcBorders>
            <w:shd w:val="pct25" w:color="auto" w:fill="auto"/>
          </w:tcPr>
          <w:p w14:paraId="44DB86F0" w14:textId="77777777" w:rsidR="00B940C6" w:rsidRPr="002250C3" w:rsidRDefault="00B940C6" w:rsidP="00F32C96">
            <w:pPr>
              <w:rPr>
                <w:sz w:val="24"/>
                <w:szCs w:val="24"/>
              </w:rPr>
            </w:pPr>
          </w:p>
        </w:tc>
        <w:tc>
          <w:tcPr>
            <w:tcW w:w="1620" w:type="dxa"/>
            <w:tcBorders>
              <w:top w:val="single" w:sz="6" w:space="0" w:color="auto"/>
              <w:left w:val="single" w:sz="6" w:space="0" w:color="auto"/>
              <w:bottom w:val="single" w:sz="4" w:space="0" w:color="auto"/>
            </w:tcBorders>
          </w:tcPr>
          <w:p w14:paraId="34D483D3" w14:textId="5AEB54BE" w:rsidR="00B940C6" w:rsidRPr="002250C3" w:rsidRDefault="00B940C6" w:rsidP="00FB0308">
            <w:pPr>
              <w:rPr>
                <w:sz w:val="24"/>
                <w:szCs w:val="24"/>
              </w:rPr>
            </w:pPr>
            <w:r>
              <w:rPr>
                <w:sz w:val="24"/>
                <w:szCs w:val="24"/>
              </w:rPr>
              <w:t xml:space="preserve">        </w:t>
            </w:r>
            <w:r w:rsidR="008A0E55">
              <w:rPr>
                <w:sz w:val="24"/>
                <w:szCs w:val="24"/>
              </w:rPr>
              <w:t>1</w:t>
            </w:r>
            <w:r w:rsidR="008E542F">
              <w:rPr>
                <w:sz w:val="24"/>
                <w:szCs w:val="24"/>
              </w:rPr>
              <w:t xml:space="preserve">200 </w:t>
            </w:r>
          </w:p>
        </w:tc>
        <w:tc>
          <w:tcPr>
            <w:tcW w:w="1440" w:type="dxa"/>
            <w:tcBorders>
              <w:top w:val="single" w:sz="6" w:space="0" w:color="auto"/>
              <w:left w:val="single" w:sz="6" w:space="0" w:color="auto"/>
              <w:bottom w:val="single" w:sz="4" w:space="0" w:color="auto"/>
            </w:tcBorders>
          </w:tcPr>
          <w:p w14:paraId="57D1F8F0" w14:textId="6A49B123" w:rsidR="00B940C6" w:rsidRPr="002250C3" w:rsidRDefault="008A0E55" w:rsidP="00F32C96">
            <w:pPr>
              <w:jc w:val="center"/>
              <w:rPr>
                <w:sz w:val="24"/>
                <w:szCs w:val="24"/>
              </w:rPr>
            </w:pPr>
            <w:r>
              <w:rPr>
                <w:sz w:val="24"/>
                <w:szCs w:val="24"/>
              </w:rPr>
              <w:t>1</w:t>
            </w:r>
          </w:p>
        </w:tc>
        <w:tc>
          <w:tcPr>
            <w:tcW w:w="1245" w:type="dxa"/>
            <w:tcBorders>
              <w:top w:val="single" w:sz="6" w:space="0" w:color="auto"/>
              <w:left w:val="single" w:sz="6" w:space="0" w:color="auto"/>
              <w:bottom w:val="single" w:sz="4" w:space="0" w:color="auto"/>
            </w:tcBorders>
            <w:shd w:val="pct25" w:color="auto" w:fill="auto"/>
          </w:tcPr>
          <w:p w14:paraId="2D47ED60" w14:textId="77777777" w:rsidR="00B940C6" w:rsidRDefault="00B940C6" w:rsidP="00F32C96">
            <w:pPr>
              <w:jc w:val="center"/>
              <w:rPr>
                <w:sz w:val="24"/>
                <w:szCs w:val="24"/>
              </w:rPr>
            </w:pPr>
          </w:p>
        </w:tc>
        <w:tc>
          <w:tcPr>
            <w:tcW w:w="1146" w:type="dxa"/>
            <w:tcBorders>
              <w:top w:val="single" w:sz="6" w:space="0" w:color="auto"/>
              <w:left w:val="single" w:sz="6" w:space="0" w:color="auto"/>
              <w:bottom w:val="single" w:sz="4" w:space="0" w:color="auto"/>
              <w:right w:val="single" w:sz="6" w:space="0" w:color="auto"/>
            </w:tcBorders>
          </w:tcPr>
          <w:p w14:paraId="3B6A3BB7" w14:textId="6BB41638" w:rsidR="00B940C6" w:rsidRPr="002250C3" w:rsidRDefault="00BE4B24" w:rsidP="008E542F">
            <w:pPr>
              <w:jc w:val="center"/>
              <w:rPr>
                <w:sz w:val="24"/>
                <w:szCs w:val="24"/>
              </w:rPr>
            </w:pPr>
            <w:r>
              <w:rPr>
                <w:sz w:val="24"/>
                <w:szCs w:val="24"/>
              </w:rPr>
              <w:t>2</w:t>
            </w:r>
            <w:r w:rsidR="003472FE">
              <w:rPr>
                <w:sz w:val="24"/>
                <w:szCs w:val="24"/>
              </w:rPr>
              <w:t>00</w:t>
            </w:r>
          </w:p>
        </w:tc>
      </w:tr>
    </w:tbl>
    <w:p w14:paraId="3FAEFB6A" w14:textId="77777777" w:rsidR="002F3354" w:rsidRDefault="002F3354" w:rsidP="008716F6">
      <w:pPr>
        <w:spacing w:after="20"/>
        <w:rPr>
          <w:b/>
        </w:rPr>
      </w:pPr>
    </w:p>
    <w:p w14:paraId="1D304D70" w14:textId="77777777" w:rsidR="00907E64" w:rsidRDefault="00907E64" w:rsidP="008716F6">
      <w:pPr>
        <w:spacing w:after="20"/>
        <w:rPr>
          <w:b/>
        </w:rPr>
      </w:pPr>
    </w:p>
    <w:p w14:paraId="51E868DE" w14:textId="4CCF9BD8" w:rsidR="00907E64" w:rsidRPr="00907E64" w:rsidRDefault="00907E64">
      <w:pPr>
        <w:spacing w:after="20"/>
        <w:rPr>
          <w:b/>
        </w:rPr>
      </w:pPr>
      <w:r w:rsidRPr="00907E64">
        <w:rPr>
          <w:b/>
        </w:rPr>
        <w:t>A.12-2</w:t>
      </w:r>
      <w:r w:rsidR="00A66FE4" w:rsidRPr="00A66FE4">
        <w:t xml:space="preserve"> </w:t>
      </w:r>
      <w:r w:rsidR="00A66FE4" w:rsidRPr="00A66FE4">
        <w:rPr>
          <w:b/>
        </w:rPr>
        <w:t>ANNUALIZED COST TO RESPONDENTS</w:t>
      </w:r>
    </w:p>
    <w:p w14:paraId="5C0BDE52" w14:textId="77777777" w:rsidR="00907E64" w:rsidRPr="00907E64" w:rsidRDefault="00907E64" w:rsidP="00907E64">
      <w:pPr>
        <w:spacing w:after="20"/>
        <w:rPr>
          <w:b/>
        </w:rPr>
      </w:pPr>
    </w:p>
    <w:p w14:paraId="0DDEE840" w14:textId="7148D1EC" w:rsidR="00CF4F81" w:rsidRPr="00FB0308" w:rsidRDefault="00CF4F81" w:rsidP="00FB0308">
      <w:pPr>
        <w:spacing w:after="0"/>
        <w:rPr>
          <w:rFonts w:eastAsia="Times New Roman" w:cstheme="minorHAnsi"/>
        </w:rPr>
      </w:pPr>
      <w:r w:rsidRPr="00FB0308">
        <w:rPr>
          <w:rFonts w:eastAsia="Times New Roman" w:cstheme="minorHAnsi"/>
        </w:rPr>
        <w:t xml:space="preserve">A survey of </w:t>
      </w:r>
      <w:r w:rsidR="00B64D98" w:rsidRPr="00FB0308">
        <w:rPr>
          <w:rFonts w:eastAsia="Times New Roman" w:cstheme="minorHAnsi"/>
        </w:rPr>
        <w:t>5,329</w:t>
      </w:r>
      <w:r w:rsidRPr="00FB0308">
        <w:rPr>
          <w:rFonts w:eastAsia="Times New Roman" w:cstheme="minorHAnsi"/>
        </w:rPr>
        <w:t xml:space="preserve"> colleges published in </w:t>
      </w:r>
      <w:r w:rsidR="00B64D98" w:rsidRPr="00FB0308">
        <w:rPr>
          <w:rFonts w:eastAsia="Times New Roman" w:cstheme="minorHAnsi"/>
        </w:rPr>
        <w:t>2015</w:t>
      </w:r>
      <w:r w:rsidRPr="00FB0308">
        <w:rPr>
          <w:rFonts w:eastAsia="Times New Roman" w:cstheme="minorHAnsi"/>
        </w:rPr>
        <w:t xml:space="preserve"> in the Chronicle of Higher Education (</w:t>
      </w:r>
      <w:r w:rsidR="00B64D98" w:rsidRPr="00FB0308">
        <w:rPr>
          <w:rFonts w:cstheme="minorHAnsi"/>
        </w:rPr>
        <w:t>http://data.chronicle.com/faculty-salaries/</w:t>
      </w:r>
      <w:r w:rsidRPr="00FB0308">
        <w:rPr>
          <w:rFonts w:eastAsia="Times New Roman" w:cstheme="minorHAnsi"/>
        </w:rPr>
        <w:t>) showed that assistant professors across disciplines are earning an average of $</w:t>
      </w:r>
      <w:r w:rsidR="00B64D98" w:rsidRPr="00FB0308">
        <w:rPr>
          <w:rFonts w:eastAsia="Times New Roman" w:cstheme="minorHAnsi"/>
        </w:rPr>
        <w:t>68,537</w:t>
      </w:r>
      <w:r w:rsidRPr="00FB0308">
        <w:rPr>
          <w:rFonts w:eastAsia="Times New Roman" w:cstheme="minorHAnsi"/>
        </w:rPr>
        <w:t xml:space="preserve"> per year </w:t>
      </w:r>
      <w:r w:rsidR="00B64D98" w:rsidRPr="00FB0308">
        <w:rPr>
          <w:rFonts w:eastAsia="Times New Roman" w:cstheme="minorHAnsi"/>
        </w:rPr>
        <w:t xml:space="preserve">for 4 year public schools and $65,813 at 4 year private schools </w:t>
      </w:r>
      <w:r w:rsidRPr="00FB0308">
        <w:rPr>
          <w:rFonts w:eastAsia="Times New Roman" w:cstheme="minorHAnsi"/>
        </w:rPr>
        <w:t xml:space="preserve">based on a 9 month work year.  This can be extrapolated to </w:t>
      </w:r>
      <w:r w:rsidR="00B64D98" w:rsidRPr="00FB0308">
        <w:rPr>
          <w:rFonts w:eastAsia="Times New Roman" w:cstheme="minorHAnsi"/>
        </w:rPr>
        <w:t xml:space="preserve">an average of </w:t>
      </w:r>
      <w:r w:rsidRPr="00FB0308">
        <w:rPr>
          <w:rFonts w:eastAsia="Times New Roman" w:cstheme="minorHAnsi"/>
        </w:rPr>
        <w:t>$8</w:t>
      </w:r>
      <w:r w:rsidR="00B64D98" w:rsidRPr="00FB0308">
        <w:rPr>
          <w:rFonts w:eastAsia="Times New Roman" w:cstheme="minorHAnsi"/>
        </w:rPr>
        <w:t>9,567</w:t>
      </w:r>
      <w:r w:rsidR="002B4F54" w:rsidRPr="00FB0308">
        <w:rPr>
          <w:rFonts w:eastAsia="Times New Roman" w:cstheme="minorHAnsi"/>
        </w:rPr>
        <w:t xml:space="preserve"> </w:t>
      </w:r>
      <w:r w:rsidRPr="00FB0308">
        <w:rPr>
          <w:rFonts w:eastAsia="Times New Roman" w:cstheme="minorHAnsi"/>
        </w:rPr>
        <w:t>per year based on a 12 month work year and $4</w:t>
      </w:r>
      <w:r w:rsidR="00B64D98" w:rsidRPr="00FB0308">
        <w:rPr>
          <w:rFonts w:eastAsia="Times New Roman" w:cstheme="minorHAnsi"/>
        </w:rPr>
        <w:t>3</w:t>
      </w:r>
      <w:r w:rsidRPr="00FB0308">
        <w:rPr>
          <w:rFonts w:eastAsia="Times New Roman" w:cstheme="minorHAnsi"/>
        </w:rPr>
        <w:t>.</w:t>
      </w:r>
      <w:r w:rsidR="00B64D98" w:rsidRPr="00FB0308">
        <w:rPr>
          <w:rFonts w:eastAsia="Times New Roman" w:cstheme="minorHAnsi"/>
        </w:rPr>
        <w:t>06</w:t>
      </w:r>
      <w:r w:rsidRPr="00FB0308">
        <w:rPr>
          <w:rFonts w:eastAsia="Times New Roman" w:cstheme="minorHAnsi"/>
        </w:rPr>
        <w:t xml:space="preserve"> per hour based on a 40 hour work week. The vast majority of New Investigators are Assistant Professors.  Therefore, this number was used to calculate the annualized costs to respondents.</w:t>
      </w:r>
    </w:p>
    <w:p w14:paraId="3B809786" w14:textId="77777777" w:rsidR="00CF4F81" w:rsidRPr="00FB0308" w:rsidRDefault="00CF4F81" w:rsidP="00FB0308">
      <w:pPr>
        <w:spacing w:after="0"/>
        <w:rPr>
          <w:rFonts w:eastAsia="Times New Roman" w:cstheme="minorHAnsi"/>
        </w:rPr>
      </w:pPr>
    </w:p>
    <w:p w14:paraId="4F41B2F7" w14:textId="6559D5AC" w:rsidR="00CF4F81" w:rsidRPr="00FB0308" w:rsidRDefault="00CF4F81" w:rsidP="00FB0308">
      <w:pPr>
        <w:spacing w:after="0"/>
        <w:rPr>
          <w:rFonts w:eastAsia="Times New Roman" w:cstheme="minorHAnsi"/>
        </w:rPr>
      </w:pPr>
      <w:r w:rsidRPr="00FB0308">
        <w:rPr>
          <w:rFonts w:eastAsia="Times New Roman" w:cstheme="minorHAnsi"/>
        </w:rPr>
        <w:lastRenderedPageBreak/>
        <w:t xml:space="preserve">Based on an estimate of </w:t>
      </w:r>
      <w:r w:rsidR="008E542F" w:rsidRPr="00FB0308">
        <w:rPr>
          <w:rFonts w:eastAsia="Times New Roman" w:cstheme="minorHAnsi"/>
        </w:rPr>
        <w:t xml:space="preserve">1200 </w:t>
      </w:r>
      <w:r w:rsidRPr="00FB0308">
        <w:rPr>
          <w:rFonts w:eastAsia="Times New Roman" w:cstheme="minorHAnsi"/>
        </w:rPr>
        <w:t xml:space="preserve">participants for the online survey, each taking </w:t>
      </w:r>
      <w:r w:rsidR="00861C13">
        <w:rPr>
          <w:rFonts w:eastAsia="Times New Roman" w:cstheme="minorHAnsi"/>
        </w:rPr>
        <w:t>10</w:t>
      </w:r>
      <w:r w:rsidRPr="00FB0308">
        <w:rPr>
          <w:rFonts w:eastAsia="Times New Roman" w:cstheme="minorHAnsi"/>
        </w:rPr>
        <w:t xml:space="preserve"> minutes to complete the anticipated average annual respondent cost of the ECR online application is $</w:t>
      </w:r>
      <w:r w:rsidR="00BE4B24">
        <w:rPr>
          <w:rFonts w:eastAsia="Times New Roman" w:cstheme="minorHAnsi"/>
        </w:rPr>
        <w:t>8,61</w:t>
      </w:r>
      <w:r w:rsidR="002B4F54" w:rsidRPr="00FB0308">
        <w:rPr>
          <w:rFonts w:eastAsia="Times New Roman" w:cstheme="minorHAnsi"/>
        </w:rPr>
        <w:t>2</w:t>
      </w:r>
      <w:r w:rsidRPr="00FB0308">
        <w:rPr>
          <w:rFonts w:eastAsia="Times New Roman" w:cstheme="minorHAnsi"/>
        </w:rPr>
        <w:t>.  According to the report described above, the range in annualized salaries for assistant professors is quite large ($1</w:t>
      </w:r>
      <w:r w:rsidR="002B4F54" w:rsidRPr="00FB0308">
        <w:rPr>
          <w:rFonts w:eastAsia="Times New Roman" w:cstheme="minorHAnsi"/>
        </w:rPr>
        <w:t>35</w:t>
      </w:r>
      <w:r w:rsidRPr="00FB0308">
        <w:rPr>
          <w:rFonts w:eastAsia="Times New Roman" w:cstheme="minorHAnsi"/>
        </w:rPr>
        <w:t>,</w:t>
      </w:r>
      <w:r w:rsidR="002B4F54" w:rsidRPr="00FB0308">
        <w:rPr>
          <w:rFonts w:eastAsia="Times New Roman" w:cstheme="minorHAnsi"/>
        </w:rPr>
        <w:t>18</w:t>
      </w:r>
      <w:r w:rsidRPr="00FB0308">
        <w:rPr>
          <w:rFonts w:eastAsia="Times New Roman" w:cstheme="minorHAnsi"/>
        </w:rPr>
        <w:t>0/12 months to $</w:t>
      </w:r>
      <w:r w:rsidR="002B4F54" w:rsidRPr="00FB0308">
        <w:rPr>
          <w:rFonts w:eastAsia="Times New Roman" w:cstheme="minorHAnsi"/>
        </w:rPr>
        <w:t>8</w:t>
      </w:r>
      <w:r w:rsidRPr="00FB0308">
        <w:rPr>
          <w:rFonts w:eastAsia="Times New Roman" w:cstheme="minorHAnsi"/>
        </w:rPr>
        <w:t>6,</w:t>
      </w:r>
      <w:r w:rsidR="002B4F54" w:rsidRPr="00FB0308">
        <w:rPr>
          <w:rFonts w:eastAsia="Times New Roman" w:cstheme="minorHAnsi"/>
        </w:rPr>
        <w:t>208</w:t>
      </w:r>
      <w:r w:rsidRPr="00FB0308">
        <w:rPr>
          <w:rFonts w:eastAsia="Times New Roman" w:cstheme="minorHAnsi"/>
        </w:rPr>
        <w:t>/ 12 months).  Therefore, the potential range in annualized cost to respondents is $</w:t>
      </w:r>
      <w:r w:rsidR="00BE4B24">
        <w:rPr>
          <w:rFonts w:eastAsia="Times New Roman" w:cstheme="minorHAnsi"/>
        </w:rPr>
        <w:t>8</w:t>
      </w:r>
      <w:r w:rsidR="002B4F54" w:rsidRPr="00FB0308">
        <w:rPr>
          <w:rFonts w:eastAsia="Times New Roman" w:cstheme="minorHAnsi"/>
        </w:rPr>
        <w:t>,</w:t>
      </w:r>
      <w:r w:rsidR="00BE4B24">
        <w:rPr>
          <w:rFonts w:eastAsia="Times New Roman" w:cstheme="minorHAnsi"/>
        </w:rPr>
        <w:t>289</w:t>
      </w:r>
      <w:r w:rsidRPr="00FB0308">
        <w:rPr>
          <w:rFonts w:eastAsia="Times New Roman" w:cstheme="minorHAnsi"/>
        </w:rPr>
        <w:t xml:space="preserve"> at the lower end to $</w:t>
      </w:r>
      <w:r w:rsidR="00BE4B24">
        <w:rPr>
          <w:rFonts w:eastAsia="Times New Roman" w:cstheme="minorHAnsi"/>
        </w:rPr>
        <w:t>12</w:t>
      </w:r>
      <w:r w:rsidR="002B4F54" w:rsidRPr="00FB0308">
        <w:rPr>
          <w:rFonts w:eastAsia="Times New Roman" w:cstheme="minorHAnsi"/>
        </w:rPr>
        <w:t>,</w:t>
      </w:r>
      <w:r w:rsidR="00BE4B24">
        <w:rPr>
          <w:rFonts w:eastAsia="Times New Roman" w:cstheme="minorHAnsi"/>
        </w:rPr>
        <w:t>998</w:t>
      </w:r>
      <w:r w:rsidRPr="00FB0308">
        <w:rPr>
          <w:rFonts w:eastAsia="Times New Roman" w:cstheme="minorHAnsi"/>
        </w:rPr>
        <w:t xml:space="preserve"> on the higher end.  </w:t>
      </w:r>
    </w:p>
    <w:p w14:paraId="60C4E694" w14:textId="77777777" w:rsidR="00907E64" w:rsidRPr="00FB0308" w:rsidRDefault="00907E64" w:rsidP="00FB0308">
      <w:pPr>
        <w:spacing w:after="20"/>
        <w:rPr>
          <w:rFonts w:cstheme="minorHAnsi"/>
          <w:b/>
        </w:rPr>
      </w:pPr>
    </w:p>
    <w:p w14:paraId="0F00F2FD" w14:textId="0482D3EA" w:rsidR="001D2741" w:rsidRDefault="00A66FE4" w:rsidP="008A0E55">
      <w:pPr>
        <w:spacing w:after="20"/>
        <w:ind w:left="1440" w:firstLine="720"/>
        <w:rPr>
          <w:b/>
        </w:rPr>
      </w:pPr>
      <w:r w:rsidRPr="00A66FE4">
        <w:rPr>
          <w:b/>
        </w:rPr>
        <w:t>A.12-2</w:t>
      </w:r>
      <w:r w:rsidRPr="00A66FE4">
        <w:rPr>
          <w:b/>
        </w:rPr>
        <w:tab/>
        <w:t>ANNUALIZED COST TO RESPONDENTS</w:t>
      </w:r>
    </w:p>
    <w:p w14:paraId="603E5961" w14:textId="77777777" w:rsidR="002F3354" w:rsidRDefault="002F3354" w:rsidP="008716F6">
      <w:pPr>
        <w:spacing w:after="20"/>
      </w:pPr>
    </w:p>
    <w:tbl>
      <w:tblPr>
        <w:tblW w:w="5836" w:type="dxa"/>
        <w:jc w:val="center"/>
        <w:tblLayout w:type="fixed"/>
        <w:tblCellMar>
          <w:left w:w="100" w:type="dxa"/>
          <w:right w:w="100" w:type="dxa"/>
        </w:tblCellMar>
        <w:tblLook w:val="0000" w:firstRow="0" w:lastRow="0" w:firstColumn="0" w:lastColumn="0" w:noHBand="0" w:noVBand="0"/>
      </w:tblPr>
      <w:tblGrid>
        <w:gridCol w:w="1491"/>
        <w:gridCol w:w="1575"/>
        <w:gridCol w:w="1315"/>
        <w:gridCol w:w="1455"/>
      </w:tblGrid>
      <w:tr w:rsidR="00A66FE4" w:rsidRPr="002250C3" w14:paraId="7A2015CD" w14:textId="77777777" w:rsidTr="00CF4F81">
        <w:trPr>
          <w:cantSplit/>
          <w:trHeight w:val="372"/>
          <w:jc w:val="center"/>
        </w:trPr>
        <w:tc>
          <w:tcPr>
            <w:tcW w:w="1491" w:type="dxa"/>
            <w:tcBorders>
              <w:top w:val="single" w:sz="6" w:space="0" w:color="auto"/>
              <w:left w:val="single" w:sz="6" w:space="0" w:color="auto"/>
              <w:bottom w:val="single" w:sz="6" w:space="0" w:color="auto"/>
            </w:tcBorders>
          </w:tcPr>
          <w:p w14:paraId="22B88AB6" w14:textId="1B6C7EA3" w:rsidR="00A66FE4" w:rsidRDefault="00A66FE4" w:rsidP="00F32C96">
            <w:pPr>
              <w:rPr>
                <w:sz w:val="24"/>
                <w:szCs w:val="24"/>
              </w:rPr>
            </w:pPr>
            <w:r>
              <w:rPr>
                <w:sz w:val="24"/>
                <w:szCs w:val="24"/>
              </w:rPr>
              <w:t xml:space="preserve">Type of Respondents  </w:t>
            </w:r>
          </w:p>
        </w:tc>
        <w:tc>
          <w:tcPr>
            <w:tcW w:w="1575" w:type="dxa"/>
            <w:tcBorders>
              <w:top w:val="single" w:sz="6" w:space="0" w:color="auto"/>
              <w:left w:val="single" w:sz="6" w:space="0" w:color="auto"/>
              <w:bottom w:val="single" w:sz="6" w:space="0" w:color="auto"/>
            </w:tcBorders>
          </w:tcPr>
          <w:p w14:paraId="50782538" w14:textId="37245E48" w:rsidR="00A66FE4" w:rsidRPr="005D5C15" w:rsidRDefault="00A66FE4" w:rsidP="003D32E2">
            <w:pPr>
              <w:rPr>
                <w:sz w:val="24"/>
                <w:szCs w:val="24"/>
              </w:rPr>
            </w:pPr>
            <w:r w:rsidRPr="00A66FE4">
              <w:rPr>
                <w:sz w:val="24"/>
                <w:szCs w:val="24"/>
              </w:rPr>
              <w:t xml:space="preserve">Total Annual  Burden Hour </w:t>
            </w:r>
          </w:p>
        </w:tc>
        <w:tc>
          <w:tcPr>
            <w:tcW w:w="1315" w:type="dxa"/>
            <w:tcBorders>
              <w:top w:val="single" w:sz="6" w:space="0" w:color="auto"/>
              <w:left w:val="single" w:sz="6" w:space="0" w:color="auto"/>
              <w:bottom w:val="single" w:sz="6" w:space="0" w:color="auto"/>
            </w:tcBorders>
          </w:tcPr>
          <w:p w14:paraId="15FE8BBD" w14:textId="74BC7FB8" w:rsidR="00A66FE4" w:rsidRPr="005D5C15" w:rsidRDefault="00A66FE4" w:rsidP="00EB77CC">
            <w:pPr>
              <w:rPr>
                <w:sz w:val="24"/>
                <w:szCs w:val="24"/>
              </w:rPr>
            </w:pPr>
            <w:r>
              <w:rPr>
                <w:sz w:val="24"/>
                <w:szCs w:val="24"/>
              </w:rPr>
              <w:t xml:space="preserve"> Hourly Wage Rate*</w:t>
            </w:r>
          </w:p>
        </w:tc>
        <w:tc>
          <w:tcPr>
            <w:tcW w:w="1455" w:type="dxa"/>
            <w:tcBorders>
              <w:top w:val="single" w:sz="6" w:space="0" w:color="auto"/>
              <w:left w:val="single" w:sz="6" w:space="0" w:color="auto"/>
              <w:bottom w:val="single" w:sz="6" w:space="0" w:color="auto"/>
              <w:right w:val="single" w:sz="6" w:space="0" w:color="auto"/>
            </w:tcBorders>
          </w:tcPr>
          <w:p w14:paraId="61439E63" w14:textId="0941B432" w:rsidR="00A66FE4" w:rsidRPr="005D5C15" w:rsidRDefault="00A66FE4" w:rsidP="00F32C96">
            <w:pPr>
              <w:rPr>
                <w:sz w:val="24"/>
                <w:szCs w:val="24"/>
              </w:rPr>
            </w:pPr>
            <w:r>
              <w:rPr>
                <w:sz w:val="24"/>
                <w:szCs w:val="24"/>
              </w:rPr>
              <w:t>Total Burden Cost</w:t>
            </w:r>
          </w:p>
        </w:tc>
      </w:tr>
      <w:tr w:rsidR="00A66FE4" w:rsidRPr="002250C3" w14:paraId="3B190F1E" w14:textId="77777777" w:rsidTr="00CF4F81">
        <w:trPr>
          <w:cantSplit/>
          <w:trHeight w:val="372"/>
          <w:jc w:val="center"/>
        </w:trPr>
        <w:tc>
          <w:tcPr>
            <w:tcW w:w="1491" w:type="dxa"/>
            <w:tcBorders>
              <w:top w:val="single" w:sz="6" w:space="0" w:color="auto"/>
              <w:left w:val="single" w:sz="6" w:space="0" w:color="auto"/>
              <w:bottom w:val="single" w:sz="4" w:space="0" w:color="auto"/>
            </w:tcBorders>
          </w:tcPr>
          <w:p w14:paraId="3BF15182" w14:textId="3BCAC62A" w:rsidR="00A66FE4" w:rsidRPr="002250C3" w:rsidRDefault="00CF4F81" w:rsidP="00F32C96">
            <w:pPr>
              <w:rPr>
                <w:sz w:val="24"/>
                <w:szCs w:val="24"/>
              </w:rPr>
            </w:pPr>
            <w:r>
              <w:rPr>
                <w:sz w:val="24"/>
                <w:szCs w:val="24"/>
              </w:rPr>
              <w:t>Adults</w:t>
            </w:r>
          </w:p>
        </w:tc>
        <w:tc>
          <w:tcPr>
            <w:tcW w:w="1575" w:type="dxa"/>
            <w:tcBorders>
              <w:top w:val="single" w:sz="6" w:space="0" w:color="auto"/>
              <w:left w:val="single" w:sz="6" w:space="0" w:color="auto"/>
              <w:bottom w:val="single" w:sz="4" w:space="0" w:color="auto"/>
            </w:tcBorders>
          </w:tcPr>
          <w:p w14:paraId="0A98D1AA" w14:textId="426711CF" w:rsidR="00A66FE4" w:rsidRPr="002250C3" w:rsidRDefault="008E542F" w:rsidP="008E542F">
            <w:pPr>
              <w:jc w:val="center"/>
              <w:rPr>
                <w:sz w:val="24"/>
                <w:szCs w:val="24"/>
              </w:rPr>
            </w:pPr>
            <w:r>
              <w:rPr>
                <w:sz w:val="24"/>
                <w:szCs w:val="24"/>
              </w:rPr>
              <w:t>200</w:t>
            </w:r>
          </w:p>
        </w:tc>
        <w:tc>
          <w:tcPr>
            <w:tcW w:w="1315" w:type="dxa"/>
            <w:tcBorders>
              <w:top w:val="single" w:sz="6" w:space="0" w:color="auto"/>
              <w:left w:val="single" w:sz="6" w:space="0" w:color="auto"/>
              <w:bottom w:val="single" w:sz="4" w:space="0" w:color="auto"/>
            </w:tcBorders>
          </w:tcPr>
          <w:p w14:paraId="23B00D20" w14:textId="55BF6652" w:rsidR="00A66FE4" w:rsidRPr="002250C3" w:rsidRDefault="00CF4F81" w:rsidP="00F32C96">
            <w:pPr>
              <w:jc w:val="center"/>
              <w:rPr>
                <w:sz w:val="24"/>
                <w:szCs w:val="24"/>
              </w:rPr>
            </w:pPr>
            <w:r>
              <w:rPr>
                <w:sz w:val="24"/>
                <w:szCs w:val="24"/>
              </w:rPr>
              <w:t>$4</w:t>
            </w:r>
            <w:r w:rsidR="0017600C">
              <w:rPr>
                <w:sz w:val="24"/>
                <w:szCs w:val="24"/>
              </w:rPr>
              <w:t>3.06</w:t>
            </w:r>
          </w:p>
        </w:tc>
        <w:tc>
          <w:tcPr>
            <w:tcW w:w="1455" w:type="dxa"/>
            <w:tcBorders>
              <w:top w:val="single" w:sz="6" w:space="0" w:color="auto"/>
              <w:left w:val="single" w:sz="6" w:space="0" w:color="auto"/>
              <w:bottom w:val="single" w:sz="4" w:space="0" w:color="auto"/>
              <w:right w:val="single" w:sz="6" w:space="0" w:color="auto"/>
            </w:tcBorders>
          </w:tcPr>
          <w:p w14:paraId="33F4381A" w14:textId="0FED6D6D" w:rsidR="00A66FE4" w:rsidRPr="002250C3" w:rsidRDefault="00A66FE4" w:rsidP="00BE4B24">
            <w:pPr>
              <w:rPr>
                <w:sz w:val="24"/>
                <w:szCs w:val="24"/>
              </w:rPr>
            </w:pPr>
            <w:r>
              <w:rPr>
                <w:sz w:val="24"/>
                <w:szCs w:val="24"/>
              </w:rPr>
              <w:t xml:space="preserve">  $</w:t>
            </w:r>
            <w:r w:rsidR="00BE4B24">
              <w:rPr>
                <w:sz w:val="24"/>
                <w:szCs w:val="24"/>
              </w:rPr>
              <w:t>8612</w:t>
            </w:r>
          </w:p>
        </w:tc>
      </w:tr>
    </w:tbl>
    <w:p w14:paraId="22ABDF9D" w14:textId="7321255E" w:rsidR="0017600C" w:rsidRPr="000F4A2D" w:rsidRDefault="00CF4F81">
      <w:pPr>
        <w:pStyle w:val="ListParagraph"/>
        <w:spacing w:after="20"/>
        <w:ind w:left="1710"/>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7" w:history="1">
        <w:r w:rsidR="0017600C" w:rsidRPr="0017600C">
          <w:rPr>
            <w:rStyle w:val="Hyperlink"/>
            <w:rFonts w:ascii="Times New Roman" w:eastAsia="Times New Roman" w:hAnsi="Times New Roman" w:cs="Times New Roman"/>
            <w:sz w:val="24"/>
            <w:szCs w:val="24"/>
          </w:rPr>
          <w:t>http://data.chronicle.com/faculty-salaries/</w:t>
        </w:r>
      </w:hyperlink>
    </w:p>
    <w:p w14:paraId="0B4D9FAF" w14:textId="4FB93354" w:rsidR="00AF01AD" w:rsidRDefault="003D32E2" w:rsidP="0017600C">
      <w:pPr>
        <w:pStyle w:val="ListParagraph"/>
        <w:spacing w:after="20"/>
        <w:ind w:left="1710"/>
      </w:pPr>
      <w:r>
        <w:t xml:space="preserve">   </w:t>
      </w: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03B43F67" w14:textId="77777777" w:rsidR="002C4725" w:rsidRDefault="002C4725" w:rsidP="008716F6">
      <w:pPr>
        <w:spacing w:after="20"/>
      </w:pPr>
    </w:p>
    <w:p w14:paraId="7BE8827C" w14:textId="7F5E7BD9" w:rsidR="00713CF8" w:rsidRPr="00FB0308" w:rsidRDefault="00CF4F81" w:rsidP="008716F6">
      <w:pPr>
        <w:spacing w:after="20"/>
      </w:pPr>
      <w:r w:rsidRPr="00FB0308">
        <w:t>There are no additional cost burdens to respondents other than those described in section A. 12.</w:t>
      </w:r>
    </w:p>
    <w:p w14:paraId="1C0ED06C" w14:textId="77777777" w:rsidR="00CF4F81" w:rsidRPr="00113647" w:rsidRDefault="00CF4F81"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07CA0306" w14:textId="77777777" w:rsidR="002C4725" w:rsidRDefault="002C4725" w:rsidP="008716F6">
      <w:pPr>
        <w:spacing w:after="20"/>
      </w:pPr>
    </w:p>
    <w:p w14:paraId="1E58FB74" w14:textId="31A0D164" w:rsidR="00BB7115" w:rsidRPr="00FB0308" w:rsidRDefault="00271571" w:rsidP="00FB0308">
      <w:pPr>
        <w:widowControl w:val="0"/>
        <w:adjustRightInd w:val="0"/>
        <w:snapToGrid w:val="0"/>
        <w:spacing w:after="0"/>
        <w:jc w:val="both"/>
        <w:rPr>
          <w:rFonts w:cstheme="minorHAnsi"/>
        </w:rPr>
      </w:pPr>
      <w:r w:rsidRPr="00FB0308">
        <w:rPr>
          <w:rFonts w:cstheme="minorHAnsi"/>
        </w:rPr>
        <w:t xml:space="preserve">The survey will be developed by ECR staff.  The estimate for creation of the survey is </w:t>
      </w:r>
      <w:r w:rsidR="003472FE" w:rsidRPr="00FB0308">
        <w:rPr>
          <w:rFonts w:cstheme="minorHAnsi"/>
        </w:rPr>
        <w:t>8</w:t>
      </w:r>
      <w:r w:rsidRPr="00FB0308">
        <w:rPr>
          <w:rFonts w:cstheme="minorHAnsi"/>
        </w:rPr>
        <w:t xml:space="preserve"> hours for the </w:t>
      </w:r>
      <w:r w:rsidR="009624CC" w:rsidRPr="00FB0308">
        <w:rPr>
          <w:rFonts w:cstheme="minorHAnsi"/>
        </w:rPr>
        <w:t xml:space="preserve">ECR </w:t>
      </w:r>
      <w:r w:rsidRPr="00FB0308">
        <w:rPr>
          <w:rFonts w:cstheme="minorHAnsi"/>
        </w:rPr>
        <w:t xml:space="preserve">program coordinator and </w:t>
      </w:r>
      <w:r w:rsidR="003472FE" w:rsidRPr="00FB0308">
        <w:rPr>
          <w:rFonts w:cstheme="minorHAnsi"/>
        </w:rPr>
        <w:t>8</w:t>
      </w:r>
      <w:r w:rsidRPr="00FB0308">
        <w:rPr>
          <w:rFonts w:cstheme="minorHAnsi"/>
        </w:rPr>
        <w:t xml:space="preserve"> hours for the program analyst.  CSR’s Office of Planning, Analysis and Evaluation </w:t>
      </w:r>
      <w:r w:rsidR="000C07E0" w:rsidRPr="00FB0308">
        <w:rPr>
          <w:rFonts w:cstheme="minorHAnsi"/>
        </w:rPr>
        <w:t xml:space="preserve">(OPAE) </w:t>
      </w:r>
      <w:r w:rsidRPr="00FB0308">
        <w:rPr>
          <w:rFonts w:cstheme="minorHAnsi"/>
        </w:rPr>
        <w:t xml:space="preserve">has estimated that the set-up of the online survey using </w:t>
      </w:r>
      <w:r w:rsidR="00F77BB5" w:rsidRPr="00FB0308">
        <w:rPr>
          <w:rFonts w:cstheme="minorHAnsi"/>
        </w:rPr>
        <w:t>SPSS</w:t>
      </w:r>
      <w:r w:rsidRPr="00FB0308">
        <w:rPr>
          <w:rFonts w:cstheme="minorHAnsi"/>
        </w:rPr>
        <w:t xml:space="preserve"> software will </w:t>
      </w:r>
      <w:r w:rsidR="00E62E34" w:rsidRPr="00FB0308">
        <w:rPr>
          <w:rFonts w:cstheme="minorHAnsi"/>
        </w:rPr>
        <w:t xml:space="preserve">take </w:t>
      </w:r>
      <w:r w:rsidR="00B04173" w:rsidRPr="00FB0308">
        <w:rPr>
          <w:rFonts w:cstheme="minorHAnsi"/>
        </w:rPr>
        <w:t xml:space="preserve">each survey team member </w:t>
      </w:r>
      <w:r w:rsidR="000C07E0" w:rsidRPr="00FB0308">
        <w:rPr>
          <w:rFonts w:cstheme="minorHAnsi"/>
        </w:rPr>
        <w:t>4</w:t>
      </w:r>
      <w:r w:rsidRPr="00FB0308">
        <w:rPr>
          <w:rFonts w:cstheme="minorHAnsi"/>
        </w:rPr>
        <w:t xml:space="preserve"> hours to complete.  Administration </w:t>
      </w:r>
      <w:r w:rsidR="006A2184" w:rsidRPr="00FB0308">
        <w:rPr>
          <w:rFonts w:cstheme="minorHAnsi"/>
        </w:rPr>
        <w:t>of the survey pre- and post- survey dissemination w</w:t>
      </w:r>
      <w:r w:rsidRPr="00FB0308">
        <w:rPr>
          <w:rFonts w:cstheme="minorHAnsi"/>
        </w:rPr>
        <w:t xml:space="preserve">ill take </w:t>
      </w:r>
      <w:r w:rsidR="00B04173" w:rsidRPr="00FB0308">
        <w:rPr>
          <w:rFonts w:cstheme="minorHAnsi"/>
        </w:rPr>
        <w:t xml:space="preserve">each survey team member </w:t>
      </w:r>
      <w:r w:rsidR="000C07E0" w:rsidRPr="00FB0308">
        <w:rPr>
          <w:rFonts w:cstheme="minorHAnsi"/>
        </w:rPr>
        <w:t>8</w:t>
      </w:r>
      <w:r w:rsidRPr="00FB0308">
        <w:rPr>
          <w:rFonts w:cstheme="minorHAnsi"/>
        </w:rPr>
        <w:t xml:space="preserve"> hours to complete, and it is anticipated that analysis of the resulting data will take </w:t>
      </w:r>
      <w:r w:rsidR="00B04173" w:rsidRPr="00FB0308">
        <w:rPr>
          <w:rFonts w:cstheme="minorHAnsi"/>
        </w:rPr>
        <w:t xml:space="preserve">each survey team member </w:t>
      </w:r>
      <w:r w:rsidR="000C07E0" w:rsidRPr="00FB0308">
        <w:rPr>
          <w:rFonts w:cstheme="minorHAnsi"/>
        </w:rPr>
        <w:t>12</w:t>
      </w:r>
      <w:r w:rsidRPr="00FB0308">
        <w:rPr>
          <w:rFonts w:cstheme="minorHAnsi"/>
        </w:rPr>
        <w:t xml:space="preserve"> hours</w:t>
      </w:r>
      <w:r w:rsidR="006A2184" w:rsidRPr="00FB0308">
        <w:rPr>
          <w:rFonts w:cstheme="minorHAnsi"/>
        </w:rPr>
        <w:t>.</w:t>
      </w:r>
      <w:r w:rsidRPr="00FB0308">
        <w:rPr>
          <w:rFonts w:cstheme="minorHAnsi"/>
        </w:rPr>
        <w:t xml:space="preserve">  Total estimat</w:t>
      </w:r>
      <w:r w:rsidR="009624CC" w:rsidRPr="00FB0308">
        <w:rPr>
          <w:rFonts w:cstheme="minorHAnsi"/>
        </w:rPr>
        <w:t>ed cost to the government will b</w:t>
      </w:r>
      <w:r w:rsidRPr="00FB0308">
        <w:rPr>
          <w:rFonts w:cstheme="minorHAnsi"/>
        </w:rPr>
        <w:t xml:space="preserve">e </w:t>
      </w:r>
      <w:r w:rsidR="000F600F" w:rsidRPr="00FB0308">
        <w:rPr>
          <w:rFonts w:eastAsia="Calibri" w:cstheme="minorHAnsi"/>
        </w:rPr>
        <w:t>$</w:t>
      </w:r>
      <w:r w:rsidR="00D678CF">
        <w:rPr>
          <w:rFonts w:eastAsia="Calibri" w:cstheme="minorHAnsi"/>
        </w:rPr>
        <w:t>6670</w:t>
      </w:r>
      <w:r w:rsidRPr="00FB0308">
        <w:rPr>
          <w:rFonts w:cstheme="minorHAnsi"/>
        </w:rPr>
        <w:t xml:space="preserve">.  </w:t>
      </w:r>
    </w:p>
    <w:p w14:paraId="6D12968F" w14:textId="77777777" w:rsidR="00D678CF" w:rsidRPr="00BB7115" w:rsidRDefault="00D678CF" w:rsidP="00D678CF">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D678CF" w:rsidRPr="002823E6" w14:paraId="2B50D14C" w14:textId="77777777" w:rsidTr="00376236">
        <w:trPr>
          <w:trHeight w:val="900"/>
        </w:trPr>
        <w:tc>
          <w:tcPr>
            <w:tcW w:w="2733" w:type="dxa"/>
            <w:shd w:val="clear" w:color="auto" w:fill="auto"/>
            <w:noWrap/>
            <w:tcMar>
              <w:top w:w="0" w:type="dxa"/>
              <w:left w:w="108" w:type="dxa"/>
              <w:bottom w:w="0" w:type="dxa"/>
              <w:right w:w="108" w:type="dxa"/>
            </w:tcMar>
            <w:vAlign w:val="bottom"/>
            <w:hideMark/>
          </w:tcPr>
          <w:p w14:paraId="7D26DF7C" w14:textId="77777777" w:rsidR="00D678CF" w:rsidRPr="00376236" w:rsidRDefault="00D678CF" w:rsidP="00376236">
            <w:pPr>
              <w:spacing w:after="0" w:line="240" w:lineRule="auto"/>
              <w:jc w:val="center"/>
              <w:rPr>
                <w:rFonts w:eastAsia="Calibri" w:cstheme="minorHAnsi"/>
                <w:b/>
                <w:bCs/>
                <w:color w:val="000000"/>
              </w:rPr>
            </w:pPr>
            <w:r w:rsidRPr="00376236">
              <w:rPr>
                <w:rFonts w:eastAsia="Times New Roman" w:cstheme="minorHAnsi"/>
                <w:i/>
              </w:rPr>
              <w:t xml:space="preserve"> </w:t>
            </w:r>
            <w:r w:rsidRPr="00376236">
              <w:rPr>
                <w:rFonts w:eastAsia="Times New Roman" w:cstheme="minorHAnsi"/>
                <w:b/>
                <w:bCs/>
                <w:color w:val="000000"/>
              </w:rPr>
              <w:t>Cost Descriptions</w:t>
            </w:r>
          </w:p>
        </w:tc>
        <w:tc>
          <w:tcPr>
            <w:tcW w:w="1440" w:type="dxa"/>
            <w:shd w:val="clear" w:color="auto" w:fill="auto"/>
            <w:vAlign w:val="bottom"/>
          </w:tcPr>
          <w:p w14:paraId="57589BD8" w14:textId="77777777" w:rsidR="00D678CF" w:rsidRPr="00376236" w:rsidRDefault="00D678CF" w:rsidP="00376236">
            <w:pPr>
              <w:spacing w:after="0" w:line="240" w:lineRule="auto"/>
              <w:jc w:val="center"/>
              <w:rPr>
                <w:rFonts w:eastAsia="Calibri" w:cstheme="minorHAnsi"/>
                <w:b/>
                <w:bCs/>
                <w:color w:val="1F497D"/>
              </w:rPr>
            </w:pPr>
          </w:p>
          <w:p w14:paraId="7D5F9AC9" w14:textId="77777777" w:rsidR="00D678CF" w:rsidRPr="00376236" w:rsidRDefault="00D678CF" w:rsidP="00376236">
            <w:pPr>
              <w:spacing w:after="0" w:line="240" w:lineRule="auto"/>
              <w:jc w:val="center"/>
              <w:rPr>
                <w:rFonts w:eastAsia="Calibri" w:cstheme="minorHAnsi"/>
                <w:b/>
                <w:bCs/>
                <w:color w:val="000000"/>
              </w:rPr>
            </w:pPr>
            <w:r w:rsidRPr="00376236">
              <w:rPr>
                <w:rFonts w:eastAsia="Times New Roman" w:cstheme="minorHAnsi"/>
                <w:b/>
                <w:bCs/>
                <w:color w:val="000000"/>
              </w:rPr>
              <w:t>Grade/Step</w:t>
            </w:r>
          </w:p>
        </w:tc>
        <w:tc>
          <w:tcPr>
            <w:tcW w:w="1260" w:type="dxa"/>
            <w:shd w:val="clear" w:color="auto" w:fill="auto"/>
            <w:tcMar>
              <w:top w:w="0" w:type="dxa"/>
              <w:left w:w="108" w:type="dxa"/>
              <w:bottom w:w="0" w:type="dxa"/>
              <w:right w:w="108" w:type="dxa"/>
            </w:tcMar>
            <w:vAlign w:val="bottom"/>
            <w:hideMark/>
          </w:tcPr>
          <w:p w14:paraId="57C211BF" w14:textId="77777777" w:rsidR="00D678CF" w:rsidRPr="00376236" w:rsidRDefault="00D678CF" w:rsidP="00376236">
            <w:pPr>
              <w:spacing w:after="0" w:line="240" w:lineRule="auto"/>
              <w:jc w:val="center"/>
              <w:rPr>
                <w:rFonts w:eastAsia="Calibri" w:cstheme="minorHAnsi"/>
                <w:b/>
                <w:bCs/>
              </w:rPr>
            </w:pPr>
            <w:r w:rsidRPr="00376236">
              <w:rPr>
                <w:rFonts w:eastAsia="Times New Roman" w:cstheme="minorHAnsi"/>
                <w:b/>
                <w:bCs/>
              </w:rPr>
              <w:t>Salary</w:t>
            </w:r>
          </w:p>
        </w:tc>
        <w:tc>
          <w:tcPr>
            <w:tcW w:w="1363" w:type="dxa"/>
            <w:shd w:val="clear" w:color="auto" w:fill="auto"/>
            <w:tcMar>
              <w:top w:w="0" w:type="dxa"/>
              <w:left w:w="108" w:type="dxa"/>
              <w:bottom w:w="0" w:type="dxa"/>
              <w:right w:w="108" w:type="dxa"/>
            </w:tcMar>
            <w:vAlign w:val="bottom"/>
            <w:hideMark/>
          </w:tcPr>
          <w:p w14:paraId="4B2FA8A0" w14:textId="77777777" w:rsidR="00D678CF" w:rsidRPr="00376236" w:rsidRDefault="00D678CF" w:rsidP="00376236">
            <w:pPr>
              <w:spacing w:after="0" w:line="240" w:lineRule="auto"/>
              <w:jc w:val="center"/>
              <w:rPr>
                <w:rFonts w:eastAsia="Calibri" w:cstheme="minorHAnsi"/>
                <w:b/>
                <w:bCs/>
              </w:rPr>
            </w:pPr>
            <w:r w:rsidRPr="00376236">
              <w:rPr>
                <w:rFonts w:eastAsia="Times New Roman" w:cstheme="minorHAnsi"/>
                <w:b/>
                <w:bCs/>
              </w:rPr>
              <w:t>% of Effort</w:t>
            </w:r>
          </w:p>
        </w:tc>
        <w:tc>
          <w:tcPr>
            <w:tcW w:w="1363" w:type="dxa"/>
            <w:shd w:val="clear" w:color="auto" w:fill="auto"/>
          </w:tcPr>
          <w:p w14:paraId="7E64CC9A" w14:textId="77777777" w:rsidR="00D678CF" w:rsidRPr="00376236" w:rsidRDefault="00D678CF" w:rsidP="00376236">
            <w:pPr>
              <w:spacing w:after="0" w:line="240" w:lineRule="auto"/>
              <w:jc w:val="center"/>
              <w:rPr>
                <w:rFonts w:eastAsia="Times New Roman" w:cstheme="minorHAnsi"/>
                <w:b/>
                <w:bCs/>
              </w:rPr>
            </w:pPr>
            <w:r w:rsidRPr="00376236">
              <w:rPr>
                <w:rFonts w:eastAsia="Times New Roman" w:cstheme="minorHAnsi"/>
                <w:b/>
                <w:bCs/>
              </w:rPr>
              <w:t>Fringe* (if applicable)</w:t>
            </w:r>
          </w:p>
        </w:tc>
        <w:tc>
          <w:tcPr>
            <w:tcW w:w="1363" w:type="dxa"/>
            <w:shd w:val="clear" w:color="auto" w:fill="auto"/>
          </w:tcPr>
          <w:p w14:paraId="7C0A1EE9" w14:textId="77777777" w:rsidR="00D678CF" w:rsidRPr="00376236" w:rsidRDefault="00D678CF" w:rsidP="00376236">
            <w:pPr>
              <w:spacing w:after="0" w:line="240" w:lineRule="auto"/>
              <w:jc w:val="center"/>
              <w:rPr>
                <w:rFonts w:eastAsia="Times New Roman" w:cstheme="minorHAnsi"/>
                <w:b/>
                <w:bCs/>
              </w:rPr>
            </w:pPr>
            <w:r w:rsidRPr="00376236">
              <w:rPr>
                <w:rFonts w:eastAsia="Times New Roman" w:cstheme="minorHAnsi"/>
                <w:b/>
                <w:bCs/>
              </w:rPr>
              <w:t>Total Cost to Gov’t**</w:t>
            </w:r>
          </w:p>
        </w:tc>
      </w:tr>
      <w:tr w:rsidR="00D678CF" w:rsidRPr="002823E6" w14:paraId="42F713E6" w14:textId="77777777" w:rsidTr="00376236">
        <w:trPr>
          <w:trHeight w:val="300"/>
        </w:trPr>
        <w:tc>
          <w:tcPr>
            <w:tcW w:w="2733" w:type="dxa"/>
            <w:shd w:val="clear" w:color="auto" w:fill="auto"/>
            <w:noWrap/>
            <w:tcMar>
              <w:top w:w="0" w:type="dxa"/>
              <w:left w:w="108" w:type="dxa"/>
              <w:bottom w:w="0" w:type="dxa"/>
              <w:right w:w="108" w:type="dxa"/>
            </w:tcMar>
            <w:vAlign w:val="bottom"/>
          </w:tcPr>
          <w:p w14:paraId="567A25CD" w14:textId="77777777" w:rsidR="00D678CF" w:rsidRPr="00376236" w:rsidRDefault="00D678CF" w:rsidP="00376236">
            <w:pPr>
              <w:spacing w:after="0" w:line="240" w:lineRule="auto"/>
              <w:rPr>
                <w:rFonts w:eastAsia="Calibri" w:cstheme="minorHAnsi"/>
                <w:b/>
                <w:color w:val="000000"/>
                <w:highlight w:val="yellow"/>
              </w:rPr>
            </w:pPr>
            <w:r w:rsidRPr="00376236">
              <w:rPr>
                <w:rFonts w:eastAsia="Calibri" w:cstheme="minorHAnsi"/>
                <w:b/>
                <w:color w:val="000000"/>
              </w:rPr>
              <w:t>Federal Oversight</w:t>
            </w:r>
          </w:p>
        </w:tc>
        <w:tc>
          <w:tcPr>
            <w:tcW w:w="1440" w:type="dxa"/>
            <w:shd w:val="pct25" w:color="auto" w:fill="auto"/>
          </w:tcPr>
          <w:p w14:paraId="27091778" w14:textId="77777777" w:rsidR="00D678CF" w:rsidRPr="00376236" w:rsidRDefault="00D678CF" w:rsidP="00376236">
            <w:pPr>
              <w:spacing w:after="0" w:line="240" w:lineRule="auto"/>
              <w:jc w:val="right"/>
              <w:rPr>
                <w:rFonts w:eastAsia="Calibri" w:cstheme="minorHAnsi"/>
                <w:color w:val="000000"/>
                <w:highlight w:val="yellow"/>
              </w:rPr>
            </w:pPr>
          </w:p>
        </w:tc>
        <w:tc>
          <w:tcPr>
            <w:tcW w:w="1260" w:type="dxa"/>
            <w:shd w:val="pct25" w:color="auto" w:fill="auto"/>
            <w:noWrap/>
            <w:tcMar>
              <w:top w:w="0" w:type="dxa"/>
              <w:left w:w="108" w:type="dxa"/>
              <w:bottom w:w="0" w:type="dxa"/>
              <w:right w:w="108" w:type="dxa"/>
            </w:tcMar>
            <w:vAlign w:val="bottom"/>
          </w:tcPr>
          <w:p w14:paraId="22D622F3" w14:textId="77777777" w:rsidR="00D678CF" w:rsidRPr="00376236" w:rsidRDefault="00D678CF" w:rsidP="00376236">
            <w:pPr>
              <w:spacing w:after="0" w:line="240" w:lineRule="auto"/>
              <w:rPr>
                <w:rFonts w:eastAsia="Times New Roman" w:cstheme="minorHAnsi"/>
              </w:rPr>
            </w:pPr>
          </w:p>
        </w:tc>
        <w:tc>
          <w:tcPr>
            <w:tcW w:w="1363" w:type="dxa"/>
            <w:shd w:val="pct25" w:color="auto" w:fill="auto"/>
            <w:noWrap/>
            <w:tcMar>
              <w:top w:w="0" w:type="dxa"/>
              <w:left w:w="108" w:type="dxa"/>
              <w:bottom w:w="0" w:type="dxa"/>
              <w:right w:w="108" w:type="dxa"/>
            </w:tcMar>
            <w:vAlign w:val="bottom"/>
          </w:tcPr>
          <w:p w14:paraId="0C077B47" w14:textId="77777777" w:rsidR="00D678CF" w:rsidRPr="00376236" w:rsidRDefault="00D678CF" w:rsidP="00376236">
            <w:pPr>
              <w:spacing w:after="0" w:line="240" w:lineRule="auto"/>
              <w:rPr>
                <w:rFonts w:eastAsia="Times New Roman" w:cstheme="minorHAnsi"/>
              </w:rPr>
            </w:pPr>
          </w:p>
        </w:tc>
        <w:tc>
          <w:tcPr>
            <w:tcW w:w="1363" w:type="dxa"/>
            <w:shd w:val="pct25" w:color="auto" w:fill="auto"/>
          </w:tcPr>
          <w:p w14:paraId="161112B6" w14:textId="77777777" w:rsidR="00D678CF" w:rsidRPr="00376236" w:rsidRDefault="00D678CF" w:rsidP="00376236">
            <w:pPr>
              <w:spacing w:after="0" w:line="240" w:lineRule="auto"/>
              <w:rPr>
                <w:rFonts w:eastAsia="Times New Roman" w:cstheme="minorHAnsi"/>
              </w:rPr>
            </w:pPr>
          </w:p>
        </w:tc>
        <w:tc>
          <w:tcPr>
            <w:tcW w:w="1363" w:type="dxa"/>
            <w:shd w:val="pct25" w:color="auto" w:fill="auto"/>
          </w:tcPr>
          <w:p w14:paraId="28078146" w14:textId="77777777" w:rsidR="00D678CF" w:rsidRPr="00376236" w:rsidRDefault="00D678CF" w:rsidP="00376236">
            <w:pPr>
              <w:spacing w:after="0" w:line="240" w:lineRule="auto"/>
              <w:rPr>
                <w:rFonts w:eastAsia="Times New Roman" w:cstheme="minorHAnsi"/>
              </w:rPr>
            </w:pPr>
          </w:p>
        </w:tc>
      </w:tr>
      <w:tr w:rsidR="00D678CF" w:rsidRPr="002823E6" w14:paraId="2664F34A" w14:textId="77777777" w:rsidTr="00376236">
        <w:trPr>
          <w:trHeight w:val="300"/>
        </w:trPr>
        <w:tc>
          <w:tcPr>
            <w:tcW w:w="2733" w:type="dxa"/>
            <w:shd w:val="clear" w:color="auto" w:fill="auto"/>
            <w:noWrap/>
            <w:tcMar>
              <w:top w:w="0" w:type="dxa"/>
              <w:left w:w="108" w:type="dxa"/>
              <w:bottom w:w="0" w:type="dxa"/>
              <w:right w:w="108" w:type="dxa"/>
            </w:tcMar>
            <w:vAlign w:val="bottom"/>
          </w:tcPr>
          <w:p w14:paraId="1BC3449C" w14:textId="77777777" w:rsidR="00D678CF" w:rsidRPr="00376236" w:rsidRDefault="00D678CF" w:rsidP="00376236">
            <w:pPr>
              <w:spacing w:after="0" w:line="240" w:lineRule="auto"/>
              <w:rPr>
                <w:rFonts w:eastAsia="Calibri" w:cstheme="minorHAnsi"/>
              </w:rPr>
            </w:pPr>
            <w:r w:rsidRPr="00376236">
              <w:rPr>
                <w:rFonts w:eastAsia="Calibri" w:cstheme="minorHAnsi"/>
              </w:rPr>
              <w:t>ECR Coordinator</w:t>
            </w:r>
          </w:p>
        </w:tc>
        <w:tc>
          <w:tcPr>
            <w:tcW w:w="1440" w:type="dxa"/>
            <w:shd w:val="clear" w:color="auto" w:fill="auto"/>
          </w:tcPr>
          <w:p w14:paraId="2D2BD749" w14:textId="77777777" w:rsidR="00D678CF" w:rsidRPr="00376236" w:rsidRDefault="00D678CF" w:rsidP="00376236">
            <w:pPr>
              <w:spacing w:after="0" w:line="240" w:lineRule="auto"/>
              <w:rPr>
                <w:rFonts w:eastAsia="Calibri" w:cstheme="minorHAnsi"/>
              </w:rPr>
            </w:pPr>
            <w:r w:rsidRPr="00376236">
              <w:rPr>
                <w:rFonts w:eastAsia="Calibri" w:cstheme="minorHAnsi"/>
              </w:rPr>
              <w:t>15/4</w:t>
            </w:r>
          </w:p>
        </w:tc>
        <w:tc>
          <w:tcPr>
            <w:tcW w:w="1260" w:type="dxa"/>
            <w:shd w:val="clear" w:color="auto" w:fill="auto"/>
            <w:noWrap/>
            <w:tcMar>
              <w:top w:w="0" w:type="dxa"/>
              <w:left w:w="108" w:type="dxa"/>
              <w:bottom w:w="0" w:type="dxa"/>
              <w:right w:w="108" w:type="dxa"/>
            </w:tcMar>
            <w:vAlign w:val="bottom"/>
          </w:tcPr>
          <w:p w14:paraId="05EED15B" w14:textId="77777777" w:rsidR="00D678CF" w:rsidRPr="00376236" w:rsidRDefault="00D678CF" w:rsidP="00376236">
            <w:pPr>
              <w:spacing w:after="0" w:line="240" w:lineRule="auto"/>
              <w:rPr>
                <w:rFonts w:eastAsia="Calibri" w:cstheme="minorHAnsi"/>
              </w:rPr>
            </w:pPr>
            <w:r w:rsidRPr="00376236">
              <w:rPr>
                <w:rFonts w:eastAsia="Calibri" w:cstheme="minorHAnsi"/>
              </w:rPr>
              <w:t>$140,892</w:t>
            </w:r>
          </w:p>
        </w:tc>
        <w:tc>
          <w:tcPr>
            <w:tcW w:w="1363" w:type="dxa"/>
            <w:shd w:val="clear" w:color="auto" w:fill="auto"/>
            <w:noWrap/>
            <w:tcMar>
              <w:top w:w="0" w:type="dxa"/>
              <w:left w:w="108" w:type="dxa"/>
              <w:bottom w:w="0" w:type="dxa"/>
              <w:right w:w="108" w:type="dxa"/>
            </w:tcMar>
            <w:vAlign w:val="bottom"/>
          </w:tcPr>
          <w:p w14:paraId="35E24EA0" w14:textId="77777777" w:rsidR="00D678CF" w:rsidRPr="00376236" w:rsidRDefault="00D678CF" w:rsidP="00376236">
            <w:pPr>
              <w:spacing w:after="0" w:line="240" w:lineRule="auto"/>
              <w:rPr>
                <w:rFonts w:eastAsia="Calibri" w:cstheme="minorHAnsi"/>
              </w:rPr>
            </w:pPr>
            <w:r w:rsidRPr="00376236">
              <w:rPr>
                <w:rFonts w:eastAsia="Calibri" w:cstheme="minorHAnsi"/>
              </w:rPr>
              <w:t>0.01%</w:t>
            </w:r>
          </w:p>
        </w:tc>
        <w:tc>
          <w:tcPr>
            <w:tcW w:w="1363" w:type="dxa"/>
            <w:shd w:val="clear" w:color="auto" w:fill="auto"/>
          </w:tcPr>
          <w:p w14:paraId="45EF1D4D"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 xml:space="preserve">  $190 (35%)</w:t>
            </w:r>
          </w:p>
        </w:tc>
        <w:tc>
          <w:tcPr>
            <w:tcW w:w="1363" w:type="dxa"/>
            <w:shd w:val="clear" w:color="auto" w:fill="auto"/>
          </w:tcPr>
          <w:p w14:paraId="0143F043"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w:t>
            </w:r>
            <w:r>
              <w:rPr>
                <w:rFonts w:eastAsia="Times New Roman" w:cstheme="minorHAnsi"/>
              </w:rPr>
              <w:t xml:space="preserve">   </w:t>
            </w:r>
            <w:r w:rsidRPr="00376236">
              <w:rPr>
                <w:rFonts w:eastAsia="Times New Roman" w:cstheme="minorHAnsi"/>
              </w:rPr>
              <w:t>732</w:t>
            </w:r>
          </w:p>
        </w:tc>
      </w:tr>
      <w:tr w:rsidR="00D678CF" w:rsidRPr="002823E6" w14:paraId="06D58436" w14:textId="77777777" w:rsidTr="00376236">
        <w:trPr>
          <w:trHeight w:val="300"/>
        </w:trPr>
        <w:tc>
          <w:tcPr>
            <w:tcW w:w="2733" w:type="dxa"/>
            <w:shd w:val="clear" w:color="auto" w:fill="auto"/>
            <w:noWrap/>
            <w:tcMar>
              <w:top w:w="0" w:type="dxa"/>
              <w:left w:w="108" w:type="dxa"/>
              <w:bottom w:w="0" w:type="dxa"/>
              <w:right w:w="108" w:type="dxa"/>
            </w:tcMar>
            <w:vAlign w:val="bottom"/>
          </w:tcPr>
          <w:p w14:paraId="09D61329" w14:textId="77777777" w:rsidR="00D678CF" w:rsidRPr="00376236" w:rsidDel="00FD1B39" w:rsidRDefault="00D678CF" w:rsidP="00376236">
            <w:pPr>
              <w:spacing w:after="0" w:line="240" w:lineRule="auto"/>
              <w:rPr>
                <w:rFonts w:eastAsia="Calibri" w:cstheme="minorHAnsi"/>
              </w:rPr>
            </w:pPr>
            <w:r w:rsidRPr="00376236">
              <w:rPr>
                <w:rFonts w:eastAsia="Calibri" w:cstheme="minorHAnsi"/>
              </w:rPr>
              <w:t>Senior Scientific Review Officer</w:t>
            </w:r>
          </w:p>
        </w:tc>
        <w:tc>
          <w:tcPr>
            <w:tcW w:w="1440" w:type="dxa"/>
            <w:shd w:val="clear" w:color="auto" w:fill="auto"/>
          </w:tcPr>
          <w:p w14:paraId="74A9D07D" w14:textId="77777777" w:rsidR="00D678CF" w:rsidRPr="00376236" w:rsidRDefault="00D678CF" w:rsidP="00376236">
            <w:pPr>
              <w:spacing w:after="0" w:line="240" w:lineRule="auto"/>
              <w:rPr>
                <w:rFonts w:eastAsia="Calibri" w:cstheme="minorHAnsi"/>
              </w:rPr>
            </w:pPr>
          </w:p>
          <w:p w14:paraId="31B043A2" w14:textId="77777777" w:rsidR="00D678CF" w:rsidRPr="00376236" w:rsidRDefault="00D678CF" w:rsidP="00376236">
            <w:pPr>
              <w:spacing w:after="0" w:line="240" w:lineRule="auto"/>
              <w:rPr>
                <w:rFonts w:eastAsia="Calibri" w:cstheme="minorHAnsi"/>
              </w:rPr>
            </w:pPr>
            <w:r w:rsidRPr="00376236">
              <w:rPr>
                <w:rFonts w:eastAsia="Calibri" w:cstheme="minorHAnsi"/>
              </w:rPr>
              <w:t>15/9</w:t>
            </w:r>
          </w:p>
        </w:tc>
        <w:tc>
          <w:tcPr>
            <w:tcW w:w="1260" w:type="dxa"/>
            <w:shd w:val="clear" w:color="auto" w:fill="auto"/>
            <w:noWrap/>
            <w:tcMar>
              <w:top w:w="0" w:type="dxa"/>
              <w:left w:w="108" w:type="dxa"/>
              <w:bottom w:w="0" w:type="dxa"/>
              <w:right w:w="108" w:type="dxa"/>
            </w:tcMar>
            <w:vAlign w:val="bottom"/>
          </w:tcPr>
          <w:p w14:paraId="521F7598" w14:textId="77777777" w:rsidR="00D678CF" w:rsidRPr="00376236" w:rsidRDefault="00D678CF" w:rsidP="00376236">
            <w:pPr>
              <w:spacing w:after="0" w:line="240" w:lineRule="auto"/>
              <w:jc w:val="both"/>
              <w:rPr>
                <w:rFonts w:eastAsia="Calibri" w:cstheme="minorHAnsi"/>
              </w:rPr>
            </w:pPr>
            <w:r w:rsidRPr="00376236">
              <w:rPr>
                <w:rFonts w:eastAsia="Calibri" w:cstheme="minorHAnsi"/>
              </w:rPr>
              <w:t>$160,300</w:t>
            </w:r>
          </w:p>
        </w:tc>
        <w:tc>
          <w:tcPr>
            <w:tcW w:w="1363" w:type="dxa"/>
            <w:shd w:val="clear" w:color="auto" w:fill="auto"/>
            <w:noWrap/>
            <w:tcMar>
              <w:top w:w="0" w:type="dxa"/>
              <w:left w:w="108" w:type="dxa"/>
              <w:bottom w:w="0" w:type="dxa"/>
              <w:right w:w="108" w:type="dxa"/>
            </w:tcMar>
            <w:vAlign w:val="bottom"/>
          </w:tcPr>
          <w:p w14:paraId="1BEF1699" w14:textId="77777777" w:rsidR="00D678CF" w:rsidRPr="00376236" w:rsidRDefault="00D678CF" w:rsidP="00376236">
            <w:pPr>
              <w:spacing w:after="0" w:line="240" w:lineRule="auto"/>
              <w:rPr>
                <w:rFonts w:eastAsia="Calibri" w:cstheme="minorHAnsi"/>
              </w:rPr>
            </w:pPr>
            <w:r w:rsidRPr="00376236">
              <w:rPr>
                <w:rFonts w:eastAsia="Calibri" w:cstheme="minorHAnsi"/>
              </w:rPr>
              <w:t>0.01%</w:t>
            </w:r>
          </w:p>
        </w:tc>
        <w:tc>
          <w:tcPr>
            <w:tcW w:w="1363" w:type="dxa"/>
            <w:shd w:val="clear" w:color="auto" w:fill="auto"/>
          </w:tcPr>
          <w:p w14:paraId="3E429EE9" w14:textId="77777777" w:rsidR="00D678CF" w:rsidRPr="00376236" w:rsidRDefault="00D678CF" w:rsidP="00376236">
            <w:pPr>
              <w:spacing w:after="0" w:line="240" w:lineRule="auto"/>
              <w:rPr>
                <w:rFonts w:eastAsia="Times New Roman" w:cstheme="minorHAnsi"/>
              </w:rPr>
            </w:pPr>
          </w:p>
          <w:p w14:paraId="1CD71462"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 xml:space="preserve">  $647 (35%)</w:t>
            </w:r>
          </w:p>
        </w:tc>
        <w:tc>
          <w:tcPr>
            <w:tcW w:w="1363" w:type="dxa"/>
            <w:shd w:val="clear" w:color="auto" w:fill="auto"/>
          </w:tcPr>
          <w:p w14:paraId="0235AEE0" w14:textId="77777777" w:rsidR="00D678CF" w:rsidRPr="00376236" w:rsidRDefault="00D678CF" w:rsidP="00376236">
            <w:pPr>
              <w:spacing w:after="0" w:line="240" w:lineRule="auto"/>
              <w:rPr>
                <w:rFonts w:eastAsia="Times New Roman" w:cstheme="minorHAnsi"/>
              </w:rPr>
            </w:pPr>
          </w:p>
          <w:p w14:paraId="60826E7C"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$2,497</w:t>
            </w:r>
          </w:p>
        </w:tc>
      </w:tr>
      <w:tr w:rsidR="00D678CF" w:rsidRPr="002823E6" w14:paraId="6722AF75" w14:textId="77777777" w:rsidTr="00376236">
        <w:trPr>
          <w:trHeight w:val="300"/>
        </w:trPr>
        <w:tc>
          <w:tcPr>
            <w:tcW w:w="2733" w:type="dxa"/>
            <w:shd w:val="clear" w:color="auto" w:fill="auto"/>
            <w:noWrap/>
            <w:tcMar>
              <w:top w:w="0" w:type="dxa"/>
              <w:left w:w="108" w:type="dxa"/>
              <w:bottom w:w="0" w:type="dxa"/>
              <w:right w:w="108" w:type="dxa"/>
            </w:tcMar>
            <w:vAlign w:val="bottom"/>
          </w:tcPr>
          <w:p w14:paraId="483DCB15" w14:textId="77777777" w:rsidR="00D678CF" w:rsidRPr="00376236" w:rsidRDefault="00D678CF" w:rsidP="00376236">
            <w:pPr>
              <w:spacing w:after="0" w:line="240" w:lineRule="auto"/>
              <w:rPr>
                <w:rFonts w:eastAsia="Calibri" w:cstheme="minorHAnsi"/>
              </w:rPr>
            </w:pPr>
            <w:r w:rsidRPr="00376236">
              <w:rPr>
                <w:rFonts w:eastAsia="Calibri" w:cstheme="minorHAnsi"/>
              </w:rPr>
              <w:t>Program Analyst</w:t>
            </w:r>
          </w:p>
        </w:tc>
        <w:tc>
          <w:tcPr>
            <w:tcW w:w="1440" w:type="dxa"/>
            <w:shd w:val="clear" w:color="auto" w:fill="auto"/>
          </w:tcPr>
          <w:p w14:paraId="05A4B8B4" w14:textId="77777777" w:rsidR="00D678CF" w:rsidRPr="00376236" w:rsidRDefault="00D678CF" w:rsidP="00376236">
            <w:pPr>
              <w:spacing w:after="0" w:line="240" w:lineRule="auto"/>
              <w:rPr>
                <w:rFonts w:eastAsia="Calibri" w:cstheme="minorHAnsi"/>
              </w:rPr>
            </w:pPr>
          </w:p>
          <w:p w14:paraId="1B4E7D3A" w14:textId="77777777" w:rsidR="00D678CF" w:rsidRPr="00376236" w:rsidRDefault="00D678CF" w:rsidP="00376236">
            <w:pPr>
              <w:spacing w:after="0" w:line="240" w:lineRule="auto"/>
              <w:rPr>
                <w:rFonts w:eastAsia="Calibri" w:cstheme="minorHAnsi"/>
              </w:rPr>
            </w:pPr>
            <w:r w:rsidRPr="00376236">
              <w:rPr>
                <w:rFonts w:eastAsia="Calibri" w:cstheme="minorHAnsi"/>
              </w:rPr>
              <w:t>13/10</w:t>
            </w:r>
          </w:p>
        </w:tc>
        <w:tc>
          <w:tcPr>
            <w:tcW w:w="1260" w:type="dxa"/>
            <w:shd w:val="clear" w:color="auto" w:fill="auto"/>
            <w:noWrap/>
            <w:tcMar>
              <w:top w:w="0" w:type="dxa"/>
              <w:left w:w="108" w:type="dxa"/>
              <w:bottom w:w="0" w:type="dxa"/>
              <w:right w:w="108" w:type="dxa"/>
            </w:tcMar>
            <w:vAlign w:val="bottom"/>
          </w:tcPr>
          <w:p w14:paraId="2D26D783" w14:textId="77777777" w:rsidR="00D678CF" w:rsidRPr="00376236" w:rsidRDefault="00D678CF" w:rsidP="00376236">
            <w:pPr>
              <w:spacing w:after="0" w:line="240" w:lineRule="auto"/>
              <w:jc w:val="both"/>
              <w:rPr>
                <w:rFonts w:eastAsia="Calibri" w:cstheme="minorHAnsi"/>
              </w:rPr>
            </w:pPr>
            <w:r w:rsidRPr="00376236">
              <w:rPr>
                <w:rFonts w:eastAsia="Calibri" w:cstheme="minorHAnsi"/>
              </w:rPr>
              <w:t>$119,794</w:t>
            </w:r>
          </w:p>
        </w:tc>
        <w:tc>
          <w:tcPr>
            <w:tcW w:w="1363" w:type="dxa"/>
            <w:shd w:val="clear" w:color="auto" w:fill="auto"/>
            <w:noWrap/>
            <w:tcMar>
              <w:top w:w="0" w:type="dxa"/>
              <w:left w:w="108" w:type="dxa"/>
              <w:bottom w:w="0" w:type="dxa"/>
              <w:right w:w="108" w:type="dxa"/>
            </w:tcMar>
            <w:vAlign w:val="bottom"/>
          </w:tcPr>
          <w:p w14:paraId="46269455" w14:textId="77777777" w:rsidR="00D678CF" w:rsidRPr="00376236" w:rsidRDefault="00D678CF" w:rsidP="00376236">
            <w:pPr>
              <w:spacing w:after="0" w:line="240" w:lineRule="auto"/>
              <w:rPr>
                <w:rFonts w:eastAsia="Calibri" w:cstheme="minorHAnsi"/>
              </w:rPr>
            </w:pPr>
            <w:r w:rsidRPr="00376236">
              <w:rPr>
                <w:rFonts w:eastAsia="Calibri" w:cstheme="minorHAnsi"/>
              </w:rPr>
              <w:t>0.01%</w:t>
            </w:r>
          </w:p>
        </w:tc>
        <w:tc>
          <w:tcPr>
            <w:tcW w:w="1363" w:type="dxa"/>
            <w:shd w:val="clear" w:color="auto" w:fill="auto"/>
          </w:tcPr>
          <w:p w14:paraId="51154F41" w14:textId="77777777" w:rsidR="00D678CF" w:rsidRPr="00376236" w:rsidRDefault="00D678CF" w:rsidP="00376236">
            <w:pPr>
              <w:spacing w:after="0" w:line="240" w:lineRule="auto"/>
              <w:rPr>
                <w:rFonts w:eastAsia="Times New Roman" w:cstheme="minorHAnsi"/>
              </w:rPr>
            </w:pPr>
          </w:p>
          <w:p w14:paraId="398E4A4E"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 xml:space="preserve">  $480 (35%)</w:t>
            </w:r>
          </w:p>
        </w:tc>
        <w:tc>
          <w:tcPr>
            <w:tcW w:w="1363" w:type="dxa"/>
            <w:shd w:val="clear" w:color="auto" w:fill="auto"/>
          </w:tcPr>
          <w:p w14:paraId="22C55613" w14:textId="77777777" w:rsidR="00D678CF" w:rsidRPr="00376236" w:rsidRDefault="00D678CF" w:rsidP="00376236">
            <w:pPr>
              <w:spacing w:after="0" w:line="240" w:lineRule="auto"/>
              <w:rPr>
                <w:rFonts w:eastAsia="Times New Roman" w:cstheme="minorHAnsi"/>
              </w:rPr>
            </w:pPr>
          </w:p>
          <w:p w14:paraId="0783D22D"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$1,824</w:t>
            </w:r>
          </w:p>
        </w:tc>
      </w:tr>
      <w:tr w:rsidR="00D678CF" w:rsidRPr="002823E6" w14:paraId="5B253E67" w14:textId="77777777" w:rsidTr="00376236">
        <w:trPr>
          <w:trHeight w:val="300"/>
        </w:trPr>
        <w:tc>
          <w:tcPr>
            <w:tcW w:w="2733" w:type="dxa"/>
            <w:shd w:val="clear" w:color="auto" w:fill="auto"/>
            <w:noWrap/>
            <w:tcMar>
              <w:top w:w="0" w:type="dxa"/>
              <w:left w:w="108" w:type="dxa"/>
              <w:bottom w:w="0" w:type="dxa"/>
              <w:right w:w="108" w:type="dxa"/>
            </w:tcMar>
            <w:vAlign w:val="bottom"/>
          </w:tcPr>
          <w:p w14:paraId="38B214AA" w14:textId="77777777" w:rsidR="00D678CF" w:rsidRPr="00376236" w:rsidRDefault="00D678CF" w:rsidP="00376236">
            <w:pPr>
              <w:spacing w:after="0" w:line="240" w:lineRule="auto"/>
              <w:rPr>
                <w:rFonts w:eastAsia="Calibri" w:cstheme="minorHAnsi"/>
              </w:rPr>
            </w:pPr>
            <w:r w:rsidRPr="00376236">
              <w:rPr>
                <w:rFonts w:eastAsia="Calibri" w:cstheme="minorHAnsi"/>
              </w:rPr>
              <w:t>Student Intern</w:t>
            </w:r>
          </w:p>
        </w:tc>
        <w:tc>
          <w:tcPr>
            <w:tcW w:w="1440" w:type="dxa"/>
            <w:shd w:val="clear" w:color="auto" w:fill="auto"/>
          </w:tcPr>
          <w:p w14:paraId="22CF8C96" w14:textId="77777777" w:rsidR="00D678CF" w:rsidRPr="00376236" w:rsidRDefault="00D678CF" w:rsidP="00376236">
            <w:pPr>
              <w:spacing w:after="0" w:line="240" w:lineRule="auto"/>
              <w:rPr>
                <w:rFonts w:eastAsia="Calibri" w:cstheme="minorHAnsi"/>
              </w:rPr>
            </w:pPr>
            <w:r w:rsidRPr="00376236">
              <w:rPr>
                <w:rFonts w:eastAsia="Calibri" w:cstheme="minorHAnsi"/>
              </w:rPr>
              <w:t>7/1</w:t>
            </w:r>
          </w:p>
        </w:tc>
        <w:tc>
          <w:tcPr>
            <w:tcW w:w="1260" w:type="dxa"/>
            <w:shd w:val="clear" w:color="auto" w:fill="auto"/>
            <w:noWrap/>
            <w:tcMar>
              <w:top w:w="0" w:type="dxa"/>
              <w:left w:w="108" w:type="dxa"/>
              <w:bottom w:w="0" w:type="dxa"/>
              <w:right w:w="108" w:type="dxa"/>
            </w:tcMar>
            <w:vAlign w:val="bottom"/>
          </w:tcPr>
          <w:p w14:paraId="0F510D45" w14:textId="77777777" w:rsidR="00D678CF" w:rsidRPr="00376236" w:rsidRDefault="00D678CF" w:rsidP="00376236">
            <w:pPr>
              <w:spacing w:after="0" w:line="240" w:lineRule="auto"/>
              <w:rPr>
                <w:rFonts w:eastAsia="Calibri" w:cstheme="minorHAnsi"/>
              </w:rPr>
            </w:pPr>
            <w:r w:rsidRPr="00376236">
              <w:rPr>
                <w:rFonts w:eastAsia="Calibri" w:cstheme="minorHAnsi"/>
              </w:rPr>
              <w:t>$</w:t>
            </w:r>
            <w:r>
              <w:rPr>
                <w:rFonts w:eastAsia="Calibri" w:cstheme="minorHAnsi"/>
              </w:rPr>
              <w:t xml:space="preserve">  </w:t>
            </w:r>
            <w:r w:rsidRPr="00376236">
              <w:rPr>
                <w:rFonts w:eastAsia="Calibri" w:cstheme="minorHAnsi"/>
              </w:rPr>
              <w:t>43,684</w:t>
            </w:r>
          </w:p>
        </w:tc>
        <w:tc>
          <w:tcPr>
            <w:tcW w:w="1363" w:type="dxa"/>
            <w:shd w:val="clear" w:color="auto" w:fill="auto"/>
            <w:noWrap/>
            <w:tcMar>
              <w:top w:w="0" w:type="dxa"/>
              <w:left w:w="108" w:type="dxa"/>
              <w:bottom w:w="0" w:type="dxa"/>
              <w:right w:w="108" w:type="dxa"/>
            </w:tcMar>
            <w:vAlign w:val="bottom"/>
          </w:tcPr>
          <w:p w14:paraId="3376BB14" w14:textId="77777777" w:rsidR="00D678CF" w:rsidRPr="00376236" w:rsidRDefault="00D678CF" w:rsidP="00376236">
            <w:pPr>
              <w:spacing w:after="0" w:line="240" w:lineRule="auto"/>
              <w:rPr>
                <w:rFonts w:eastAsia="Calibri" w:cstheme="minorHAnsi"/>
              </w:rPr>
            </w:pPr>
            <w:r w:rsidRPr="00376236">
              <w:rPr>
                <w:rFonts w:eastAsia="Calibri" w:cstheme="minorHAnsi"/>
              </w:rPr>
              <w:t>0.01%</w:t>
            </w:r>
          </w:p>
        </w:tc>
        <w:tc>
          <w:tcPr>
            <w:tcW w:w="1363" w:type="dxa"/>
            <w:shd w:val="clear" w:color="auto" w:fill="auto"/>
          </w:tcPr>
          <w:p w14:paraId="6CF3ABC8"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 xml:space="preserve">  $176 (35%)</w:t>
            </w:r>
          </w:p>
        </w:tc>
        <w:tc>
          <w:tcPr>
            <w:tcW w:w="1363" w:type="dxa"/>
            <w:shd w:val="clear" w:color="auto" w:fill="auto"/>
          </w:tcPr>
          <w:p w14:paraId="5B11F65D"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 xml:space="preserve">$ </w:t>
            </w:r>
            <w:r>
              <w:rPr>
                <w:rFonts w:eastAsia="Times New Roman" w:cstheme="minorHAnsi"/>
              </w:rPr>
              <w:t xml:space="preserve">  </w:t>
            </w:r>
            <w:r w:rsidRPr="00376236">
              <w:rPr>
                <w:rFonts w:eastAsia="Times New Roman" w:cstheme="minorHAnsi"/>
              </w:rPr>
              <w:t>680</w:t>
            </w:r>
          </w:p>
        </w:tc>
      </w:tr>
      <w:tr w:rsidR="00D678CF" w:rsidRPr="002823E6" w14:paraId="5DD42627" w14:textId="77777777" w:rsidTr="00376236">
        <w:trPr>
          <w:trHeight w:val="300"/>
        </w:trPr>
        <w:tc>
          <w:tcPr>
            <w:tcW w:w="2733" w:type="dxa"/>
            <w:shd w:val="clear" w:color="auto" w:fill="auto"/>
            <w:noWrap/>
            <w:tcMar>
              <w:top w:w="0" w:type="dxa"/>
              <w:left w:w="108" w:type="dxa"/>
              <w:bottom w:w="0" w:type="dxa"/>
              <w:right w:w="108" w:type="dxa"/>
            </w:tcMar>
            <w:vAlign w:val="bottom"/>
          </w:tcPr>
          <w:p w14:paraId="3ED7CF7B" w14:textId="77777777" w:rsidR="00D678CF" w:rsidRPr="00376236" w:rsidRDefault="00D678CF" w:rsidP="00376236">
            <w:pPr>
              <w:spacing w:after="0" w:line="240" w:lineRule="auto"/>
              <w:rPr>
                <w:rFonts w:eastAsia="Calibri" w:cstheme="minorHAnsi"/>
                <w:b/>
              </w:rPr>
            </w:pPr>
            <w:r w:rsidRPr="00376236">
              <w:rPr>
                <w:rFonts w:eastAsia="Calibri" w:cstheme="minorHAnsi"/>
                <w:b/>
              </w:rPr>
              <w:t>Contractor Cost</w:t>
            </w:r>
          </w:p>
        </w:tc>
        <w:tc>
          <w:tcPr>
            <w:tcW w:w="1440" w:type="dxa"/>
            <w:shd w:val="pct25" w:color="auto" w:fill="auto"/>
          </w:tcPr>
          <w:p w14:paraId="783F8842" w14:textId="77777777" w:rsidR="00D678CF" w:rsidRPr="00376236" w:rsidRDefault="00D678CF" w:rsidP="00376236">
            <w:pPr>
              <w:spacing w:after="0" w:line="240" w:lineRule="auto"/>
              <w:rPr>
                <w:rFonts w:eastAsia="Calibri" w:cstheme="minorHAnsi"/>
              </w:rPr>
            </w:pPr>
          </w:p>
        </w:tc>
        <w:tc>
          <w:tcPr>
            <w:tcW w:w="1260" w:type="dxa"/>
            <w:shd w:val="pct25" w:color="auto" w:fill="auto"/>
            <w:noWrap/>
            <w:tcMar>
              <w:top w:w="0" w:type="dxa"/>
              <w:left w:w="108" w:type="dxa"/>
              <w:bottom w:w="0" w:type="dxa"/>
              <w:right w:w="108" w:type="dxa"/>
            </w:tcMar>
            <w:vAlign w:val="bottom"/>
          </w:tcPr>
          <w:p w14:paraId="385B3F5E" w14:textId="77777777" w:rsidR="00D678CF" w:rsidRPr="00376236" w:rsidRDefault="00D678CF" w:rsidP="00376236">
            <w:pPr>
              <w:spacing w:after="0" w:line="240" w:lineRule="auto"/>
              <w:rPr>
                <w:rFonts w:eastAsia="Calibri" w:cstheme="minorHAnsi"/>
              </w:rPr>
            </w:pPr>
          </w:p>
        </w:tc>
        <w:tc>
          <w:tcPr>
            <w:tcW w:w="1363" w:type="dxa"/>
            <w:shd w:val="pct25" w:color="auto" w:fill="auto"/>
            <w:noWrap/>
            <w:tcMar>
              <w:top w:w="0" w:type="dxa"/>
              <w:left w:w="108" w:type="dxa"/>
              <w:bottom w:w="0" w:type="dxa"/>
              <w:right w:w="108" w:type="dxa"/>
            </w:tcMar>
            <w:vAlign w:val="bottom"/>
          </w:tcPr>
          <w:p w14:paraId="1F9AC880" w14:textId="77777777" w:rsidR="00D678CF" w:rsidRPr="00376236" w:rsidRDefault="00D678CF" w:rsidP="00376236">
            <w:pPr>
              <w:spacing w:after="0" w:line="240" w:lineRule="auto"/>
              <w:rPr>
                <w:rFonts w:eastAsia="Calibri" w:cstheme="minorHAnsi"/>
              </w:rPr>
            </w:pPr>
          </w:p>
        </w:tc>
        <w:tc>
          <w:tcPr>
            <w:tcW w:w="1363" w:type="dxa"/>
            <w:shd w:val="pct25" w:color="auto" w:fill="auto"/>
          </w:tcPr>
          <w:p w14:paraId="100A97B1" w14:textId="77777777" w:rsidR="00D678CF" w:rsidRPr="00376236" w:rsidRDefault="00D678CF" w:rsidP="00376236">
            <w:pPr>
              <w:spacing w:after="0" w:line="240" w:lineRule="auto"/>
              <w:rPr>
                <w:rFonts w:eastAsia="Times New Roman" w:cstheme="minorHAnsi"/>
              </w:rPr>
            </w:pPr>
          </w:p>
        </w:tc>
        <w:tc>
          <w:tcPr>
            <w:tcW w:w="1363" w:type="dxa"/>
            <w:shd w:val="pct25" w:color="auto" w:fill="auto"/>
          </w:tcPr>
          <w:p w14:paraId="016A15D4" w14:textId="77777777" w:rsidR="00D678CF" w:rsidRPr="00376236" w:rsidRDefault="00D678CF" w:rsidP="00376236">
            <w:pPr>
              <w:spacing w:after="0" w:line="240" w:lineRule="auto"/>
              <w:rPr>
                <w:rFonts w:eastAsia="Times New Roman" w:cstheme="minorHAnsi"/>
              </w:rPr>
            </w:pPr>
          </w:p>
        </w:tc>
      </w:tr>
      <w:tr w:rsidR="00D678CF" w:rsidRPr="002823E6" w14:paraId="2DF1B553" w14:textId="77777777" w:rsidTr="00376236">
        <w:trPr>
          <w:trHeight w:val="300"/>
        </w:trPr>
        <w:tc>
          <w:tcPr>
            <w:tcW w:w="2733" w:type="dxa"/>
            <w:shd w:val="clear" w:color="auto" w:fill="auto"/>
            <w:noWrap/>
            <w:tcMar>
              <w:top w:w="0" w:type="dxa"/>
              <w:left w:w="108" w:type="dxa"/>
              <w:bottom w:w="0" w:type="dxa"/>
              <w:right w:w="108" w:type="dxa"/>
            </w:tcMar>
            <w:vAlign w:val="bottom"/>
          </w:tcPr>
          <w:p w14:paraId="2EC89297" w14:textId="77777777" w:rsidR="00D678CF" w:rsidRPr="00376236" w:rsidRDefault="00D678CF" w:rsidP="00376236">
            <w:pPr>
              <w:spacing w:after="0" w:line="240" w:lineRule="auto"/>
              <w:rPr>
                <w:rFonts w:eastAsia="Calibri" w:cstheme="minorHAnsi"/>
              </w:rPr>
            </w:pPr>
            <w:r w:rsidRPr="00376236">
              <w:rPr>
                <w:rFonts w:eastAsia="Calibri" w:cstheme="minorHAnsi"/>
              </w:rPr>
              <w:t>Program Analyst</w:t>
            </w:r>
          </w:p>
        </w:tc>
        <w:tc>
          <w:tcPr>
            <w:tcW w:w="1440" w:type="dxa"/>
            <w:shd w:val="clear" w:color="auto" w:fill="auto"/>
          </w:tcPr>
          <w:p w14:paraId="5FAC89CA" w14:textId="77777777" w:rsidR="00D678CF" w:rsidRPr="00376236" w:rsidRDefault="00D678CF" w:rsidP="00376236">
            <w:pPr>
              <w:spacing w:after="0" w:line="240" w:lineRule="auto"/>
              <w:rPr>
                <w:rFonts w:eastAsia="Calibri" w:cstheme="minorHAnsi"/>
              </w:rPr>
            </w:pPr>
            <w:r w:rsidRPr="00376236">
              <w:rPr>
                <w:rFonts w:eastAsia="Calibri" w:cstheme="minorHAnsi"/>
              </w:rPr>
              <w:t>11/9</w:t>
            </w:r>
          </w:p>
        </w:tc>
        <w:tc>
          <w:tcPr>
            <w:tcW w:w="1260" w:type="dxa"/>
            <w:shd w:val="clear" w:color="auto" w:fill="auto"/>
            <w:noWrap/>
            <w:tcMar>
              <w:top w:w="0" w:type="dxa"/>
              <w:left w:w="108" w:type="dxa"/>
              <w:bottom w:w="0" w:type="dxa"/>
              <w:right w:w="108" w:type="dxa"/>
            </w:tcMar>
            <w:vAlign w:val="bottom"/>
          </w:tcPr>
          <w:p w14:paraId="792EE98A" w14:textId="77777777" w:rsidR="00D678CF" w:rsidRPr="00376236" w:rsidRDefault="00D678CF" w:rsidP="00376236">
            <w:pPr>
              <w:spacing w:after="0" w:line="240" w:lineRule="auto"/>
              <w:rPr>
                <w:rFonts w:eastAsia="Calibri" w:cstheme="minorHAnsi"/>
              </w:rPr>
            </w:pPr>
            <w:r w:rsidRPr="00376236">
              <w:rPr>
                <w:rFonts w:eastAsia="Calibri" w:cstheme="minorHAnsi"/>
              </w:rPr>
              <w:t>$</w:t>
            </w:r>
            <w:r>
              <w:rPr>
                <w:rFonts w:eastAsia="Calibri" w:cstheme="minorHAnsi"/>
              </w:rPr>
              <w:t xml:space="preserve">  </w:t>
            </w:r>
            <w:r w:rsidRPr="00376236">
              <w:rPr>
                <w:rFonts w:eastAsia="Calibri" w:cstheme="minorHAnsi"/>
              </w:rPr>
              <w:t>81,200</w:t>
            </w:r>
          </w:p>
        </w:tc>
        <w:tc>
          <w:tcPr>
            <w:tcW w:w="1363" w:type="dxa"/>
            <w:shd w:val="clear" w:color="auto" w:fill="auto"/>
            <w:noWrap/>
            <w:tcMar>
              <w:top w:w="0" w:type="dxa"/>
              <w:left w:w="108" w:type="dxa"/>
              <w:bottom w:w="0" w:type="dxa"/>
              <w:right w:w="108" w:type="dxa"/>
            </w:tcMar>
            <w:vAlign w:val="bottom"/>
          </w:tcPr>
          <w:p w14:paraId="17C24733" w14:textId="77777777" w:rsidR="00D678CF" w:rsidRPr="00376236" w:rsidRDefault="00D678CF" w:rsidP="00376236">
            <w:pPr>
              <w:spacing w:after="0" w:line="240" w:lineRule="auto"/>
              <w:rPr>
                <w:rFonts w:eastAsia="Calibri" w:cstheme="minorHAnsi"/>
              </w:rPr>
            </w:pPr>
            <w:r w:rsidRPr="00376236">
              <w:rPr>
                <w:rFonts w:eastAsia="Calibri" w:cstheme="minorHAnsi"/>
              </w:rPr>
              <w:t>1%</w:t>
            </w:r>
          </w:p>
        </w:tc>
        <w:tc>
          <w:tcPr>
            <w:tcW w:w="1363" w:type="dxa"/>
            <w:shd w:val="clear" w:color="auto" w:fill="auto"/>
          </w:tcPr>
          <w:p w14:paraId="133230F1"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 xml:space="preserve">  $625 (50%)</w:t>
            </w:r>
          </w:p>
        </w:tc>
        <w:tc>
          <w:tcPr>
            <w:tcW w:w="1363" w:type="dxa"/>
            <w:shd w:val="clear" w:color="auto" w:fill="auto"/>
          </w:tcPr>
          <w:p w14:paraId="078C56FC" w14:textId="77777777" w:rsidR="00D678CF" w:rsidRPr="00376236" w:rsidRDefault="00D678CF" w:rsidP="00376236">
            <w:pPr>
              <w:spacing w:after="0" w:line="240" w:lineRule="auto"/>
              <w:rPr>
                <w:rFonts w:eastAsia="Times New Roman" w:cstheme="minorHAnsi"/>
              </w:rPr>
            </w:pPr>
            <w:r w:rsidRPr="00376236">
              <w:rPr>
                <w:rFonts w:eastAsia="Times New Roman" w:cstheme="minorHAnsi"/>
              </w:rPr>
              <w:t>$</w:t>
            </w:r>
            <w:r>
              <w:rPr>
                <w:rFonts w:eastAsia="Times New Roman" w:cstheme="minorHAnsi"/>
              </w:rPr>
              <w:t xml:space="preserve">  </w:t>
            </w:r>
            <w:r w:rsidRPr="00376236">
              <w:rPr>
                <w:rFonts w:eastAsia="Times New Roman" w:cstheme="minorHAnsi"/>
              </w:rPr>
              <w:t>937</w:t>
            </w:r>
          </w:p>
        </w:tc>
      </w:tr>
      <w:tr w:rsidR="00D678CF" w:rsidRPr="002823E6" w14:paraId="5ADF9497" w14:textId="77777777" w:rsidTr="00376236">
        <w:trPr>
          <w:trHeight w:val="300"/>
        </w:trPr>
        <w:tc>
          <w:tcPr>
            <w:tcW w:w="2733" w:type="dxa"/>
            <w:shd w:val="clear" w:color="auto" w:fill="auto"/>
            <w:noWrap/>
            <w:tcMar>
              <w:top w:w="0" w:type="dxa"/>
              <w:left w:w="108" w:type="dxa"/>
              <w:bottom w:w="0" w:type="dxa"/>
              <w:right w:w="108" w:type="dxa"/>
            </w:tcMar>
            <w:vAlign w:val="bottom"/>
          </w:tcPr>
          <w:p w14:paraId="2CC5F856" w14:textId="77777777" w:rsidR="00D678CF" w:rsidRPr="00376236" w:rsidRDefault="00D678CF" w:rsidP="00376236">
            <w:pPr>
              <w:spacing w:after="0" w:line="240" w:lineRule="auto"/>
              <w:rPr>
                <w:rFonts w:eastAsia="Calibri" w:cstheme="minorHAnsi"/>
                <w:b/>
                <w:color w:val="000000" w:themeColor="text1"/>
              </w:rPr>
            </w:pPr>
          </w:p>
        </w:tc>
        <w:tc>
          <w:tcPr>
            <w:tcW w:w="1440" w:type="dxa"/>
            <w:shd w:val="clear" w:color="auto" w:fill="auto"/>
          </w:tcPr>
          <w:p w14:paraId="41D4C426" w14:textId="77777777" w:rsidR="00D678CF" w:rsidRPr="00376236" w:rsidRDefault="00D678CF" w:rsidP="00376236">
            <w:pPr>
              <w:spacing w:after="0" w:line="240" w:lineRule="auto"/>
              <w:rPr>
                <w:rFonts w:eastAsia="Calibri" w:cstheme="minorHAnsi"/>
              </w:rPr>
            </w:pPr>
          </w:p>
        </w:tc>
        <w:tc>
          <w:tcPr>
            <w:tcW w:w="1260" w:type="dxa"/>
            <w:shd w:val="clear" w:color="auto" w:fill="auto"/>
            <w:noWrap/>
            <w:tcMar>
              <w:top w:w="0" w:type="dxa"/>
              <w:left w:w="108" w:type="dxa"/>
              <w:bottom w:w="0" w:type="dxa"/>
              <w:right w:w="108" w:type="dxa"/>
            </w:tcMar>
            <w:vAlign w:val="bottom"/>
          </w:tcPr>
          <w:p w14:paraId="1A75B588" w14:textId="77777777" w:rsidR="00D678CF" w:rsidRPr="00376236" w:rsidRDefault="00D678CF" w:rsidP="00376236">
            <w:pPr>
              <w:spacing w:after="0" w:line="240" w:lineRule="auto"/>
              <w:rPr>
                <w:rFonts w:eastAsia="Calibri" w:cstheme="minorHAnsi"/>
              </w:rPr>
            </w:pPr>
          </w:p>
        </w:tc>
        <w:tc>
          <w:tcPr>
            <w:tcW w:w="1363" w:type="dxa"/>
            <w:shd w:val="clear" w:color="auto" w:fill="auto"/>
            <w:noWrap/>
            <w:tcMar>
              <w:top w:w="0" w:type="dxa"/>
              <w:left w:w="108" w:type="dxa"/>
              <w:bottom w:w="0" w:type="dxa"/>
              <w:right w:w="108" w:type="dxa"/>
            </w:tcMar>
            <w:vAlign w:val="bottom"/>
          </w:tcPr>
          <w:p w14:paraId="30C1E013" w14:textId="77777777" w:rsidR="00D678CF" w:rsidRPr="00376236" w:rsidRDefault="00D678CF" w:rsidP="00376236">
            <w:pPr>
              <w:spacing w:after="0" w:line="240" w:lineRule="auto"/>
              <w:rPr>
                <w:rFonts w:eastAsia="Calibri" w:cstheme="minorHAnsi"/>
              </w:rPr>
            </w:pPr>
          </w:p>
        </w:tc>
        <w:tc>
          <w:tcPr>
            <w:tcW w:w="1363" w:type="dxa"/>
            <w:shd w:val="clear" w:color="auto" w:fill="auto"/>
          </w:tcPr>
          <w:p w14:paraId="18BDFF30" w14:textId="77777777" w:rsidR="00D678CF" w:rsidRPr="00376236" w:rsidRDefault="00D678CF" w:rsidP="00376236">
            <w:pPr>
              <w:spacing w:after="0" w:line="240" w:lineRule="auto"/>
              <w:rPr>
                <w:rFonts w:eastAsia="Times New Roman" w:cstheme="minorHAnsi"/>
              </w:rPr>
            </w:pPr>
          </w:p>
        </w:tc>
        <w:tc>
          <w:tcPr>
            <w:tcW w:w="1363" w:type="dxa"/>
            <w:shd w:val="clear" w:color="auto" w:fill="auto"/>
          </w:tcPr>
          <w:p w14:paraId="4BF39673" w14:textId="77777777" w:rsidR="00D678CF" w:rsidRPr="00376236" w:rsidRDefault="00D678CF" w:rsidP="00376236">
            <w:pPr>
              <w:spacing w:after="0" w:line="240" w:lineRule="auto"/>
              <w:rPr>
                <w:rFonts w:eastAsia="Times New Roman" w:cstheme="minorHAnsi"/>
              </w:rPr>
            </w:pPr>
          </w:p>
        </w:tc>
      </w:tr>
      <w:tr w:rsidR="00D678CF" w:rsidRPr="002823E6" w14:paraId="39A0D35E" w14:textId="77777777" w:rsidTr="00376236">
        <w:trPr>
          <w:trHeight w:val="300"/>
        </w:trPr>
        <w:tc>
          <w:tcPr>
            <w:tcW w:w="2733" w:type="dxa"/>
            <w:shd w:val="clear" w:color="auto" w:fill="auto"/>
            <w:noWrap/>
            <w:tcMar>
              <w:top w:w="0" w:type="dxa"/>
              <w:left w:w="108" w:type="dxa"/>
              <w:bottom w:w="0" w:type="dxa"/>
              <w:right w:w="108" w:type="dxa"/>
            </w:tcMar>
            <w:vAlign w:val="bottom"/>
            <w:hideMark/>
          </w:tcPr>
          <w:p w14:paraId="4E544463" w14:textId="77777777" w:rsidR="00D678CF" w:rsidRPr="00376236" w:rsidRDefault="00D678CF" w:rsidP="00376236">
            <w:pPr>
              <w:spacing w:after="0" w:line="240" w:lineRule="auto"/>
              <w:rPr>
                <w:rFonts w:eastAsia="Calibri" w:cstheme="minorHAnsi"/>
                <w:b/>
                <w:bCs/>
                <w:color w:val="000000"/>
              </w:rPr>
            </w:pPr>
            <w:r w:rsidRPr="00376236">
              <w:rPr>
                <w:rFonts w:eastAsia="Calibri" w:cstheme="minorHAnsi"/>
                <w:b/>
                <w:bCs/>
                <w:color w:val="000000"/>
              </w:rPr>
              <w:t>Other Cost</w:t>
            </w:r>
          </w:p>
        </w:tc>
        <w:tc>
          <w:tcPr>
            <w:tcW w:w="1440" w:type="dxa"/>
            <w:shd w:val="clear" w:color="auto" w:fill="auto"/>
          </w:tcPr>
          <w:p w14:paraId="11D07A83" w14:textId="77777777" w:rsidR="00D678CF" w:rsidRPr="00376236" w:rsidRDefault="00D678CF" w:rsidP="00376236">
            <w:pPr>
              <w:spacing w:after="0" w:line="240" w:lineRule="auto"/>
              <w:rPr>
                <w:rFonts w:eastAsia="Calibri" w:cstheme="minorHAnsi"/>
              </w:rPr>
            </w:pPr>
            <w:r w:rsidRPr="00376236">
              <w:rPr>
                <w:rFonts w:eastAsia="Calibri" w:cstheme="minorHAnsi"/>
              </w:rPr>
              <w:t>N/A</w:t>
            </w:r>
          </w:p>
        </w:tc>
        <w:tc>
          <w:tcPr>
            <w:tcW w:w="1260" w:type="dxa"/>
            <w:shd w:val="clear" w:color="auto" w:fill="auto"/>
            <w:noWrap/>
            <w:tcMar>
              <w:top w:w="0" w:type="dxa"/>
              <w:left w:w="108" w:type="dxa"/>
              <w:bottom w:w="0" w:type="dxa"/>
              <w:right w:w="108" w:type="dxa"/>
            </w:tcMar>
            <w:vAlign w:val="bottom"/>
            <w:hideMark/>
          </w:tcPr>
          <w:p w14:paraId="05F8A053" w14:textId="77777777" w:rsidR="00D678CF" w:rsidRPr="00376236" w:rsidRDefault="00D678CF" w:rsidP="00376236">
            <w:pPr>
              <w:spacing w:after="0" w:line="240" w:lineRule="auto"/>
              <w:rPr>
                <w:rFonts w:eastAsia="Times New Roman" w:cstheme="minorHAnsi"/>
              </w:rPr>
            </w:pPr>
            <w:r w:rsidRPr="00376236">
              <w:rPr>
                <w:rFonts w:eastAsia="Calibri" w:cstheme="minorHAnsi"/>
              </w:rPr>
              <w:t>N/A</w:t>
            </w:r>
          </w:p>
        </w:tc>
        <w:tc>
          <w:tcPr>
            <w:tcW w:w="1363" w:type="dxa"/>
            <w:shd w:val="clear" w:color="auto" w:fill="auto"/>
            <w:noWrap/>
            <w:tcMar>
              <w:top w:w="0" w:type="dxa"/>
              <w:left w:w="108" w:type="dxa"/>
              <w:bottom w:w="0" w:type="dxa"/>
              <w:right w:w="108" w:type="dxa"/>
            </w:tcMar>
            <w:vAlign w:val="bottom"/>
          </w:tcPr>
          <w:p w14:paraId="2E2B547D" w14:textId="77777777" w:rsidR="00D678CF" w:rsidRPr="00376236" w:rsidRDefault="00D678CF" w:rsidP="00376236">
            <w:pPr>
              <w:spacing w:after="0" w:line="240" w:lineRule="auto"/>
              <w:rPr>
                <w:rFonts w:eastAsia="Calibri" w:cstheme="minorHAnsi"/>
                <w:b/>
              </w:rPr>
            </w:pPr>
            <w:r w:rsidRPr="00376236">
              <w:rPr>
                <w:rFonts w:eastAsia="Calibri" w:cstheme="minorHAnsi"/>
              </w:rPr>
              <w:t>N/A</w:t>
            </w:r>
          </w:p>
        </w:tc>
        <w:tc>
          <w:tcPr>
            <w:tcW w:w="1363" w:type="dxa"/>
            <w:shd w:val="clear" w:color="auto" w:fill="auto"/>
          </w:tcPr>
          <w:p w14:paraId="4F550C10" w14:textId="77777777" w:rsidR="00D678CF" w:rsidRPr="00376236" w:rsidRDefault="00D678CF" w:rsidP="00376236">
            <w:pPr>
              <w:spacing w:after="0" w:line="240" w:lineRule="auto"/>
              <w:rPr>
                <w:rFonts w:eastAsia="Times New Roman" w:cstheme="minorHAnsi"/>
                <w:b/>
              </w:rPr>
            </w:pPr>
            <w:r w:rsidRPr="00376236">
              <w:rPr>
                <w:rFonts w:eastAsia="Calibri" w:cstheme="minorHAnsi"/>
              </w:rPr>
              <w:t>N/A</w:t>
            </w:r>
          </w:p>
        </w:tc>
        <w:tc>
          <w:tcPr>
            <w:tcW w:w="1363" w:type="dxa"/>
            <w:shd w:val="clear" w:color="auto" w:fill="auto"/>
          </w:tcPr>
          <w:p w14:paraId="0CBC94B0" w14:textId="77777777" w:rsidR="00D678CF" w:rsidRPr="00376236" w:rsidRDefault="00D678CF" w:rsidP="00376236">
            <w:pPr>
              <w:spacing w:after="0" w:line="240" w:lineRule="auto"/>
              <w:rPr>
                <w:rFonts w:eastAsia="Times New Roman" w:cstheme="minorHAnsi"/>
                <w:b/>
              </w:rPr>
            </w:pPr>
            <w:r w:rsidRPr="00376236">
              <w:rPr>
                <w:rFonts w:eastAsia="Calibri" w:cstheme="minorHAnsi"/>
              </w:rPr>
              <w:t>N/A</w:t>
            </w:r>
          </w:p>
        </w:tc>
      </w:tr>
      <w:tr w:rsidR="00D678CF" w:rsidRPr="002823E6" w14:paraId="7E937F24" w14:textId="77777777" w:rsidTr="00376236">
        <w:trPr>
          <w:trHeight w:val="300"/>
        </w:trPr>
        <w:tc>
          <w:tcPr>
            <w:tcW w:w="2733" w:type="dxa"/>
            <w:shd w:val="clear" w:color="auto" w:fill="auto"/>
            <w:noWrap/>
            <w:tcMar>
              <w:top w:w="0" w:type="dxa"/>
              <w:left w:w="108" w:type="dxa"/>
              <w:bottom w:w="0" w:type="dxa"/>
              <w:right w:w="108" w:type="dxa"/>
            </w:tcMar>
            <w:vAlign w:val="bottom"/>
          </w:tcPr>
          <w:p w14:paraId="69D99629" w14:textId="77777777" w:rsidR="00D678CF" w:rsidRPr="00376236" w:rsidRDefault="00D678CF" w:rsidP="00376236">
            <w:pPr>
              <w:spacing w:after="0" w:line="240" w:lineRule="auto"/>
              <w:rPr>
                <w:rFonts w:eastAsia="Calibri" w:cstheme="minorHAnsi"/>
                <w:b/>
                <w:bCs/>
                <w:color w:val="000000"/>
              </w:rPr>
            </w:pPr>
            <w:r w:rsidRPr="00376236">
              <w:rPr>
                <w:rFonts w:eastAsia="Calibri" w:cstheme="minorHAnsi"/>
                <w:b/>
                <w:bCs/>
                <w:color w:val="000000"/>
              </w:rPr>
              <w:lastRenderedPageBreak/>
              <w:t>Total Cost to Government</w:t>
            </w:r>
          </w:p>
        </w:tc>
        <w:tc>
          <w:tcPr>
            <w:tcW w:w="1440" w:type="dxa"/>
            <w:shd w:val="clear" w:color="auto" w:fill="auto"/>
          </w:tcPr>
          <w:p w14:paraId="5B629B01" w14:textId="77777777" w:rsidR="00D678CF" w:rsidRPr="00376236" w:rsidRDefault="00D678CF" w:rsidP="00376236">
            <w:pPr>
              <w:spacing w:after="0" w:line="240" w:lineRule="auto"/>
              <w:rPr>
                <w:rFonts w:eastAsia="Calibri" w:cstheme="minorHAnsi"/>
              </w:rPr>
            </w:pPr>
          </w:p>
        </w:tc>
        <w:tc>
          <w:tcPr>
            <w:tcW w:w="1260" w:type="dxa"/>
            <w:shd w:val="clear" w:color="auto" w:fill="auto"/>
            <w:noWrap/>
            <w:tcMar>
              <w:top w:w="0" w:type="dxa"/>
              <w:left w:w="108" w:type="dxa"/>
              <w:bottom w:w="0" w:type="dxa"/>
              <w:right w:w="108" w:type="dxa"/>
            </w:tcMar>
            <w:vAlign w:val="bottom"/>
          </w:tcPr>
          <w:p w14:paraId="70E155B8" w14:textId="77777777" w:rsidR="00D678CF" w:rsidRPr="00376236" w:rsidRDefault="00D678CF" w:rsidP="00376236">
            <w:pPr>
              <w:spacing w:after="0" w:line="240" w:lineRule="auto"/>
              <w:rPr>
                <w:rFonts w:eastAsia="Calibri" w:cstheme="minorHAnsi"/>
              </w:rPr>
            </w:pPr>
          </w:p>
        </w:tc>
        <w:tc>
          <w:tcPr>
            <w:tcW w:w="1363" w:type="dxa"/>
            <w:shd w:val="clear" w:color="auto" w:fill="auto"/>
            <w:noWrap/>
            <w:tcMar>
              <w:top w:w="0" w:type="dxa"/>
              <w:left w:w="108" w:type="dxa"/>
              <w:bottom w:w="0" w:type="dxa"/>
              <w:right w:w="108" w:type="dxa"/>
            </w:tcMar>
            <w:vAlign w:val="bottom"/>
          </w:tcPr>
          <w:p w14:paraId="0FA26450" w14:textId="77777777" w:rsidR="00D678CF" w:rsidRPr="00376236" w:rsidRDefault="00D678CF" w:rsidP="00376236">
            <w:pPr>
              <w:spacing w:after="0" w:line="240" w:lineRule="auto"/>
              <w:rPr>
                <w:rFonts w:eastAsia="Calibri" w:cstheme="minorHAnsi"/>
              </w:rPr>
            </w:pPr>
          </w:p>
        </w:tc>
        <w:tc>
          <w:tcPr>
            <w:tcW w:w="1363" w:type="dxa"/>
            <w:shd w:val="clear" w:color="auto" w:fill="auto"/>
          </w:tcPr>
          <w:p w14:paraId="63EF1D43" w14:textId="77777777" w:rsidR="00D678CF" w:rsidRPr="00376236" w:rsidRDefault="00D678CF" w:rsidP="00376236">
            <w:pPr>
              <w:spacing w:after="0" w:line="240" w:lineRule="auto"/>
              <w:rPr>
                <w:rFonts w:eastAsia="Calibri" w:cstheme="minorHAnsi"/>
              </w:rPr>
            </w:pPr>
          </w:p>
        </w:tc>
        <w:tc>
          <w:tcPr>
            <w:tcW w:w="1363" w:type="dxa"/>
            <w:shd w:val="clear" w:color="auto" w:fill="auto"/>
          </w:tcPr>
          <w:p w14:paraId="67428920" w14:textId="77777777" w:rsidR="00D678CF" w:rsidRPr="00376236" w:rsidRDefault="00D678CF" w:rsidP="00376236">
            <w:pPr>
              <w:spacing w:after="0" w:line="240" w:lineRule="auto"/>
              <w:rPr>
                <w:rFonts w:eastAsia="Calibri" w:cstheme="minorHAnsi"/>
              </w:rPr>
            </w:pPr>
            <w:r w:rsidRPr="00376236">
              <w:rPr>
                <w:rFonts w:eastAsia="Calibri" w:cstheme="minorHAnsi"/>
              </w:rPr>
              <w:t>$6670</w:t>
            </w:r>
          </w:p>
        </w:tc>
      </w:tr>
    </w:tbl>
    <w:p w14:paraId="7B818534" w14:textId="77777777" w:rsidR="00D678CF" w:rsidRPr="00376236" w:rsidRDefault="00D678CF" w:rsidP="00D678CF">
      <w:pPr>
        <w:spacing w:after="0" w:line="240" w:lineRule="auto"/>
        <w:rPr>
          <w:rFonts w:eastAsia="Times New Roman" w:cstheme="minorHAnsi"/>
        </w:rPr>
      </w:pPr>
      <w:r w:rsidRPr="00376236">
        <w:rPr>
          <w:rFonts w:eastAsia="Times New Roman" w:cstheme="minorHAnsi"/>
        </w:rPr>
        <w:t>*Fringe calculated as % of salary divided by 26 pay periods, divided by 80 hours per pay period multiplied by the total hours for staff effort.</w:t>
      </w:r>
    </w:p>
    <w:p w14:paraId="32E02948" w14:textId="77777777" w:rsidR="00D678CF" w:rsidRPr="00D02A6D" w:rsidRDefault="00D678CF" w:rsidP="00D678CF">
      <w:pPr>
        <w:spacing w:after="0" w:line="240" w:lineRule="auto"/>
        <w:rPr>
          <w:rFonts w:eastAsia="Times New Roman" w:cstheme="minorHAnsi"/>
        </w:rPr>
      </w:pPr>
    </w:p>
    <w:p w14:paraId="5C9C7FB4" w14:textId="77777777" w:rsidR="00D678CF" w:rsidRPr="00376236" w:rsidRDefault="00D678CF" w:rsidP="00D678CF">
      <w:pPr>
        <w:spacing w:after="0" w:line="240" w:lineRule="auto"/>
        <w:rPr>
          <w:rFonts w:eastAsia="Times New Roman" w:cstheme="minorHAnsi"/>
        </w:rPr>
      </w:pPr>
      <w:r w:rsidRPr="00376236">
        <w:rPr>
          <w:rFonts w:eastAsia="Times New Roman" w:cstheme="minorHAnsi"/>
        </w:rPr>
        <w:t>Total Cost to Government calculated as Salary divided by 26 pay periods, divided by 80 hours per pay period for 24 hours total cost to the government for staff effort.</w:t>
      </w:r>
    </w:p>
    <w:p w14:paraId="58943B31" w14:textId="77777777" w:rsidR="000C07E0" w:rsidRPr="00113647" w:rsidRDefault="000C07E0" w:rsidP="000C07E0">
      <w:pPr>
        <w:spacing w:after="0" w:line="240" w:lineRule="auto"/>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833"/>
      </w:tblGrid>
      <w:tr w:rsidR="00CC4638" w:rsidRPr="00CC4638" w14:paraId="3F38F174" w14:textId="77777777" w:rsidTr="009B13F6">
        <w:tc>
          <w:tcPr>
            <w:tcW w:w="9666" w:type="dxa"/>
            <w:gridSpan w:val="2"/>
            <w:shd w:val="clear" w:color="auto" w:fill="E0E0E0"/>
          </w:tcPr>
          <w:p w14:paraId="38BCD4B5" w14:textId="77777777" w:rsidR="00CC4638" w:rsidRPr="00CC4638" w:rsidRDefault="00CC4638" w:rsidP="009B13F6">
            <w:pPr>
              <w:jc w:val="center"/>
              <w:rPr>
                <w:rFonts w:ascii="Arial" w:hAnsi="Arial" w:cs="Arial"/>
                <w:b/>
              </w:rPr>
            </w:pPr>
            <w:r w:rsidRPr="00CC4638">
              <w:rPr>
                <w:rFonts w:ascii="Arial" w:hAnsi="Arial" w:cs="Arial"/>
                <w:b/>
              </w:rPr>
              <w:t>TABLE 16.1  TIMETABLE SUMMARY</w:t>
            </w:r>
          </w:p>
        </w:tc>
      </w:tr>
      <w:tr w:rsidR="00CC4638" w:rsidRPr="00CC4638" w14:paraId="7FD286D8" w14:textId="77777777" w:rsidTr="00391B55">
        <w:tc>
          <w:tcPr>
            <w:tcW w:w="4833" w:type="dxa"/>
            <w:shd w:val="clear" w:color="auto" w:fill="auto"/>
          </w:tcPr>
          <w:p w14:paraId="391B362A" w14:textId="6E0BEE1D" w:rsidR="00CC4638" w:rsidRPr="00FB0308" w:rsidRDefault="00CC4638" w:rsidP="00CC4638">
            <w:pPr>
              <w:rPr>
                <w:rFonts w:cstheme="minorHAnsi"/>
              </w:rPr>
            </w:pPr>
            <w:r w:rsidRPr="00FB0308">
              <w:rPr>
                <w:rFonts w:cstheme="minorHAnsi"/>
              </w:rPr>
              <w:t>February 22 - March 7, 2016</w:t>
            </w:r>
          </w:p>
        </w:tc>
        <w:tc>
          <w:tcPr>
            <w:tcW w:w="4833" w:type="dxa"/>
            <w:shd w:val="clear" w:color="auto" w:fill="auto"/>
          </w:tcPr>
          <w:p w14:paraId="63F9C39F" w14:textId="32B6FC15" w:rsidR="00CC4638" w:rsidRPr="00FB0308" w:rsidRDefault="00CC4638" w:rsidP="00CC4638">
            <w:pPr>
              <w:rPr>
                <w:rFonts w:cstheme="minorHAnsi"/>
              </w:rPr>
            </w:pPr>
            <w:r w:rsidRPr="00FB0308">
              <w:rPr>
                <w:rFonts w:cstheme="minorHAnsi"/>
              </w:rPr>
              <w:t>Create Draft survey and prepare OMB Clearance request.</w:t>
            </w:r>
          </w:p>
        </w:tc>
      </w:tr>
      <w:tr w:rsidR="00CC4638" w:rsidRPr="00CC4638" w14:paraId="32C188B1" w14:textId="77777777" w:rsidTr="00391B55">
        <w:tc>
          <w:tcPr>
            <w:tcW w:w="4833" w:type="dxa"/>
            <w:shd w:val="clear" w:color="auto" w:fill="auto"/>
          </w:tcPr>
          <w:p w14:paraId="4A8C15BD" w14:textId="57A804A1" w:rsidR="00CC4638" w:rsidRPr="00FB0308" w:rsidRDefault="00CC4638">
            <w:pPr>
              <w:rPr>
                <w:rFonts w:cstheme="minorHAnsi"/>
              </w:rPr>
            </w:pPr>
            <w:r w:rsidRPr="00FB0308">
              <w:rPr>
                <w:rFonts w:cstheme="minorHAnsi"/>
              </w:rPr>
              <w:t xml:space="preserve">March </w:t>
            </w:r>
            <w:r w:rsidR="00D678CF">
              <w:rPr>
                <w:rFonts w:cstheme="minorHAnsi"/>
              </w:rPr>
              <w:t>29</w:t>
            </w:r>
            <w:r w:rsidRPr="00FB0308">
              <w:rPr>
                <w:rFonts w:cstheme="minorHAnsi"/>
              </w:rPr>
              <w:t xml:space="preserve"> - </w:t>
            </w:r>
            <w:r w:rsidR="00364D1E" w:rsidRPr="00FB0308">
              <w:rPr>
                <w:rFonts w:cstheme="minorHAnsi"/>
              </w:rPr>
              <w:t>May 2</w:t>
            </w:r>
            <w:r w:rsidRPr="00FB0308">
              <w:rPr>
                <w:rFonts w:cstheme="minorHAnsi"/>
              </w:rPr>
              <w:t>, 2016</w:t>
            </w:r>
          </w:p>
        </w:tc>
        <w:tc>
          <w:tcPr>
            <w:tcW w:w="4833" w:type="dxa"/>
            <w:shd w:val="clear" w:color="auto" w:fill="auto"/>
          </w:tcPr>
          <w:p w14:paraId="7B2AC481" w14:textId="387D616F" w:rsidR="00CC4638" w:rsidRPr="00FB0308" w:rsidRDefault="00B04173" w:rsidP="00B04173">
            <w:pPr>
              <w:rPr>
                <w:rFonts w:cstheme="minorHAnsi"/>
              </w:rPr>
            </w:pPr>
            <w:r w:rsidRPr="00FB0308">
              <w:rPr>
                <w:rFonts w:cstheme="minorHAnsi"/>
              </w:rPr>
              <w:t xml:space="preserve">Finalize </w:t>
            </w:r>
            <w:r w:rsidR="00CC4638" w:rsidRPr="00FB0308">
              <w:rPr>
                <w:rFonts w:cstheme="minorHAnsi"/>
              </w:rPr>
              <w:t xml:space="preserve">survey and cover letter to CSR Director for approval. </w:t>
            </w:r>
            <w:r w:rsidR="00364D1E" w:rsidRPr="00FB0308">
              <w:rPr>
                <w:rFonts w:cstheme="minorHAnsi"/>
              </w:rPr>
              <w:t xml:space="preserve">Submit OMB Clearance request. </w:t>
            </w:r>
            <w:r w:rsidR="00CC4638" w:rsidRPr="00FB0308">
              <w:rPr>
                <w:rFonts w:cstheme="minorHAnsi"/>
              </w:rPr>
              <w:t>Test on-line survey.</w:t>
            </w:r>
            <w:r w:rsidRPr="00FB0308">
              <w:rPr>
                <w:rFonts w:cstheme="minorHAnsi"/>
              </w:rPr>
              <w:t xml:space="preserve"> Draw sample.</w:t>
            </w:r>
          </w:p>
        </w:tc>
      </w:tr>
      <w:tr w:rsidR="00CC4638" w:rsidRPr="00CC4638" w14:paraId="4EC3783E" w14:textId="77777777" w:rsidTr="00391B55">
        <w:tc>
          <w:tcPr>
            <w:tcW w:w="4833" w:type="dxa"/>
            <w:shd w:val="clear" w:color="auto" w:fill="auto"/>
          </w:tcPr>
          <w:p w14:paraId="168F7824" w14:textId="26B967F3" w:rsidR="00CC4638" w:rsidRPr="00FB0308" w:rsidRDefault="00CC4638" w:rsidP="00364D1E">
            <w:pPr>
              <w:rPr>
                <w:rFonts w:cstheme="minorHAnsi"/>
              </w:rPr>
            </w:pPr>
            <w:r w:rsidRPr="00FB0308">
              <w:rPr>
                <w:rFonts w:cstheme="minorHAnsi"/>
              </w:rPr>
              <w:t xml:space="preserve">May </w:t>
            </w:r>
            <w:r w:rsidR="00364D1E" w:rsidRPr="00FB0308">
              <w:rPr>
                <w:rFonts w:cstheme="minorHAnsi"/>
              </w:rPr>
              <w:t>2</w:t>
            </w:r>
            <w:r w:rsidRPr="00FB0308">
              <w:rPr>
                <w:rFonts w:cstheme="minorHAnsi"/>
              </w:rPr>
              <w:t xml:space="preserve"> - May 30, 2016</w:t>
            </w:r>
          </w:p>
        </w:tc>
        <w:tc>
          <w:tcPr>
            <w:tcW w:w="4833" w:type="dxa"/>
            <w:shd w:val="clear" w:color="auto" w:fill="auto"/>
          </w:tcPr>
          <w:p w14:paraId="1900CCF4" w14:textId="1CBE4EC6" w:rsidR="00CC4638" w:rsidRPr="00FB0308" w:rsidRDefault="00CC4638" w:rsidP="009B13F6">
            <w:pPr>
              <w:rPr>
                <w:rFonts w:cstheme="minorHAnsi"/>
              </w:rPr>
            </w:pPr>
            <w:r w:rsidRPr="00FB0308">
              <w:rPr>
                <w:rFonts w:cstheme="minorHAnsi"/>
              </w:rPr>
              <w:t>Post survey instrument and send email invitations to participate</w:t>
            </w:r>
            <w:r w:rsidR="00B04173" w:rsidRPr="00FB0308">
              <w:rPr>
                <w:rFonts w:cstheme="minorHAnsi"/>
              </w:rPr>
              <w:t>. Send reminders as needed.</w:t>
            </w:r>
          </w:p>
        </w:tc>
      </w:tr>
      <w:tr w:rsidR="00CC4638" w:rsidRPr="00CC4638" w14:paraId="49CC6D7A" w14:textId="77777777" w:rsidTr="00391B55">
        <w:tc>
          <w:tcPr>
            <w:tcW w:w="4833" w:type="dxa"/>
            <w:shd w:val="clear" w:color="auto" w:fill="auto"/>
          </w:tcPr>
          <w:p w14:paraId="3BE8C6EE" w14:textId="31D5975E" w:rsidR="00CC4638" w:rsidRPr="00FB0308" w:rsidRDefault="00364D1E" w:rsidP="009B13F6">
            <w:pPr>
              <w:rPr>
                <w:rFonts w:cstheme="minorHAnsi"/>
              </w:rPr>
            </w:pPr>
            <w:r w:rsidRPr="00FB0308">
              <w:rPr>
                <w:rFonts w:cstheme="minorHAnsi"/>
              </w:rPr>
              <w:t>May 31 - June 3, 2016</w:t>
            </w:r>
          </w:p>
        </w:tc>
        <w:tc>
          <w:tcPr>
            <w:tcW w:w="4833" w:type="dxa"/>
            <w:shd w:val="clear" w:color="auto" w:fill="auto"/>
          </w:tcPr>
          <w:p w14:paraId="6C245B38" w14:textId="06ABE09E" w:rsidR="00CC4638" w:rsidRPr="00FB0308" w:rsidRDefault="00CC4638" w:rsidP="009B13F6">
            <w:pPr>
              <w:rPr>
                <w:rFonts w:cstheme="minorHAnsi"/>
              </w:rPr>
            </w:pPr>
            <w:r w:rsidRPr="00FB0308">
              <w:rPr>
                <w:rFonts w:cstheme="minorHAnsi"/>
              </w:rPr>
              <w:t>Download survey responses and input data</w:t>
            </w:r>
            <w:r w:rsidR="00B04173" w:rsidRPr="00FB0308">
              <w:rPr>
                <w:rFonts w:cstheme="minorHAnsi"/>
              </w:rPr>
              <w:t>.</w:t>
            </w:r>
            <w:r w:rsidRPr="00FB0308">
              <w:rPr>
                <w:rFonts w:cstheme="minorHAnsi"/>
              </w:rPr>
              <w:t xml:space="preserve"> </w:t>
            </w:r>
          </w:p>
        </w:tc>
      </w:tr>
      <w:tr w:rsidR="00CC4638" w:rsidRPr="00CC4638" w14:paraId="1F3C50B2" w14:textId="77777777" w:rsidTr="00391B55">
        <w:tc>
          <w:tcPr>
            <w:tcW w:w="4833" w:type="dxa"/>
            <w:shd w:val="clear" w:color="auto" w:fill="auto"/>
          </w:tcPr>
          <w:p w14:paraId="4290BE28" w14:textId="134F7821" w:rsidR="00CC4638" w:rsidRPr="00FB0308" w:rsidRDefault="00364D1E" w:rsidP="00364D1E">
            <w:pPr>
              <w:rPr>
                <w:rFonts w:cstheme="minorHAnsi"/>
              </w:rPr>
            </w:pPr>
            <w:r w:rsidRPr="00FB0308">
              <w:rPr>
                <w:rFonts w:cstheme="minorHAnsi"/>
              </w:rPr>
              <w:t>June 3 -  July 29, 2016</w:t>
            </w:r>
          </w:p>
        </w:tc>
        <w:tc>
          <w:tcPr>
            <w:tcW w:w="4833" w:type="dxa"/>
            <w:shd w:val="clear" w:color="auto" w:fill="auto"/>
          </w:tcPr>
          <w:p w14:paraId="45DBE065" w14:textId="77777777" w:rsidR="00CC4638" w:rsidRPr="00FB0308" w:rsidRDefault="00CC4638" w:rsidP="009B13F6">
            <w:pPr>
              <w:rPr>
                <w:rFonts w:cstheme="minorHAnsi"/>
              </w:rPr>
            </w:pPr>
            <w:r w:rsidRPr="00FB0308">
              <w:rPr>
                <w:rFonts w:cstheme="minorHAnsi"/>
              </w:rPr>
              <w:t>Analyze coded and narrative data and write reports for CSR management</w:t>
            </w:r>
          </w:p>
        </w:tc>
      </w:tr>
      <w:tr w:rsidR="00CC4638" w:rsidRPr="00CC4638" w14:paraId="35A3CA38" w14:textId="77777777" w:rsidTr="00391B55">
        <w:tc>
          <w:tcPr>
            <w:tcW w:w="4833" w:type="dxa"/>
            <w:shd w:val="clear" w:color="auto" w:fill="auto"/>
          </w:tcPr>
          <w:p w14:paraId="67F07382" w14:textId="45AD3E33" w:rsidR="00CC4638" w:rsidRPr="00FB0308" w:rsidRDefault="00364D1E" w:rsidP="00364D1E">
            <w:pPr>
              <w:rPr>
                <w:rFonts w:cstheme="minorHAnsi"/>
              </w:rPr>
            </w:pPr>
            <w:r w:rsidRPr="00FB0308">
              <w:rPr>
                <w:rFonts w:cstheme="minorHAnsi"/>
              </w:rPr>
              <w:t>August 1 - ongoing</w:t>
            </w:r>
          </w:p>
        </w:tc>
        <w:tc>
          <w:tcPr>
            <w:tcW w:w="4833" w:type="dxa"/>
            <w:shd w:val="clear" w:color="auto" w:fill="auto"/>
          </w:tcPr>
          <w:p w14:paraId="0E8C40EF" w14:textId="77777777" w:rsidR="00CC4638" w:rsidRPr="00FB0308" w:rsidRDefault="00CC4638" w:rsidP="009B13F6">
            <w:pPr>
              <w:rPr>
                <w:rFonts w:cstheme="minorHAnsi"/>
              </w:rPr>
            </w:pPr>
            <w:r w:rsidRPr="00FB0308">
              <w:rPr>
                <w:rFonts w:cstheme="minorHAnsi"/>
              </w:rPr>
              <w:t>CSR management study report and decide if changes need to be implemented.</w:t>
            </w:r>
          </w:p>
        </w:tc>
      </w:tr>
    </w:tbl>
    <w:p w14:paraId="05FA4C78" w14:textId="77777777" w:rsidR="00713CF8" w:rsidRDefault="00713CF8" w:rsidP="008716F6">
      <w:pPr>
        <w:spacing w:after="20"/>
      </w:pPr>
    </w:p>
    <w:p w14:paraId="7A01A042" w14:textId="77777777" w:rsidR="008F6F54" w:rsidRPr="00113647" w:rsidRDefault="008F6F54"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2F4AF321" w14:textId="49C18A9A" w:rsidR="00713CF8" w:rsidRDefault="00CC4638" w:rsidP="008716F6">
      <w:pPr>
        <w:spacing w:after="20"/>
      </w:pPr>
      <w:r>
        <w:t xml:space="preserve"> No exemption is being requested.</w:t>
      </w:r>
    </w:p>
    <w:p w14:paraId="438F3C79" w14:textId="77777777" w:rsidR="00391B55" w:rsidRPr="00113647" w:rsidRDefault="00391B55"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0F6F72BA" w14:textId="33420411" w:rsidR="00990709" w:rsidRPr="00FB0308" w:rsidRDefault="00CC4638" w:rsidP="00713CF8">
      <w:pPr>
        <w:spacing w:after="20"/>
      </w:pPr>
      <w:r>
        <w:rPr>
          <w:sz w:val="24"/>
          <w:szCs w:val="24"/>
        </w:rPr>
        <w:t xml:space="preserve"> </w:t>
      </w:r>
      <w:r w:rsidRPr="00FB0308">
        <w:t>This collection of information involved no exceptions to the certificati</w:t>
      </w:r>
      <w:r w:rsidR="000C07E0" w:rsidRPr="00FB0308">
        <w:t>o</w:t>
      </w:r>
      <w:r w:rsidRPr="00FB0308">
        <w:t>n for paperwork reduction act submissions.</w:t>
      </w:r>
      <w:r w:rsidR="00990709" w:rsidRPr="00FB0308">
        <w:tab/>
      </w:r>
    </w:p>
    <w:sectPr w:rsidR="00990709" w:rsidRPr="00FB0308" w:rsidSect="00F4290D">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6FE79" w14:textId="77777777" w:rsidR="00DD7B35" w:rsidRDefault="00DD7B35" w:rsidP="005676C6">
      <w:pPr>
        <w:spacing w:after="0" w:line="240" w:lineRule="auto"/>
      </w:pPr>
      <w:r>
        <w:separator/>
      </w:r>
    </w:p>
  </w:endnote>
  <w:endnote w:type="continuationSeparator" w:id="0">
    <w:p w14:paraId="52AA89C3" w14:textId="77777777" w:rsidR="00DD7B35" w:rsidRDefault="00DD7B35"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5A72A" w14:textId="77777777" w:rsidR="00DD7B35" w:rsidRDefault="00DD7B35" w:rsidP="005676C6">
      <w:pPr>
        <w:spacing w:after="0" w:line="240" w:lineRule="auto"/>
      </w:pPr>
      <w:r>
        <w:separator/>
      </w:r>
    </w:p>
  </w:footnote>
  <w:footnote w:type="continuationSeparator" w:id="0">
    <w:p w14:paraId="2C3ACAA8" w14:textId="77777777" w:rsidR="00DD7B35" w:rsidRDefault="00DD7B35"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F6"/>
    <w:rsid w:val="00000625"/>
    <w:rsid w:val="00003BE1"/>
    <w:rsid w:val="000142F7"/>
    <w:rsid w:val="00057A71"/>
    <w:rsid w:val="00057C98"/>
    <w:rsid w:val="00063927"/>
    <w:rsid w:val="00063DC1"/>
    <w:rsid w:val="0008530F"/>
    <w:rsid w:val="00094B4B"/>
    <w:rsid w:val="000A796F"/>
    <w:rsid w:val="000B06CF"/>
    <w:rsid w:val="000B4C09"/>
    <w:rsid w:val="000C07E0"/>
    <w:rsid w:val="000D35DA"/>
    <w:rsid w:val="000F4A2D"/>
    <w:rsid w:val="000F600F"/>
    <w:rsid w:val="00113647"/>
    <w:rsid w:val="00113D5F"/>
    <w:rsid w:val="001435DE"/>
    <w:rsid w:val="0016069E"/>
    <w:rsid w:val="00165616"/>
    <w:rsid w:val="0017600C"/>
    <w:rsid w:val="00185105"/>
    <w:rsid w:val="001C1DC2"/>
    <w:rsid w:val="001D2741"/>
    <w:rsid w:val="001E3759"/>
    <w:rsid w:val="002065DB"/>
    <w:rsid w:val="002076C1"/>
    <w:rsid w:val="0021543C"/>
    <w:rsid w:val="00233C7C"/>
    <w:rsid w:val="00236DA8"/>
    <w:rsid w:val="002519C4"/>
    <w:rsid w:val="00266B37"/>
    <w:rsid w:val="00271571"/>
    <w:rsid w:val="002727A9"/>
    <w:rsid w:val="00273125"/>
    <w:rsid w:val="00273E4C"/>
    <w:rsid w:val="0029112F"/>
    <w:rsid w:val="002B193F"/>
    <w:rsid w:val="002B4F54"/>
    <w:rsid w:val="002C1D97"/>
    <w:rsid w:val="002C4725"/>
    <w:rsid w:val="002E2E02"/>
    <w:rsid w:val="002F3354"/>
    <w:rsid w:val="00304B5D"/>
    <w:rsid w:val="00330E82"/>
    <w:rsid w:val="003472FE"/>
    <w:rsid w:val="00364D1E"/>
    <w:rsid w:val="00375491"/>
    <w:rsid w:val="00382B75"/>
    <w:rsid w:val="00391B55"/>
    <w:rsid w:val="00395820"/>
    <w:rsid w:val="003A14DC"/>
    <w:rsid w:val="003D32E2"/>
    <w:rsid w:val="003D43B1"/>
    <w:rsid w:val="0040282E"/>
    <w:rsid w:val="00413459"/>
    <w:rsid w:val="004409C0"/>
    <w:rsid w:val="00446BA0"/>
    <w:rsid w:val="0046633D"/>
    <w:rsid w:val="00477A8E"/>
    <w:rsid w:val="004A26A4"/>
    <w:rsid w:val="004B3C21"/>
    <w:rsid w:val="004C1FBF"/>
    <w:rsid w:val="004D2AD6"/>
    <w:rsid w:val="00506DA7"/>
    <w:rsid w:val="00534B5A"/>
    <w:rsid w:val="005471B2"/>
    <w:rsid w:val="00551B2D"/>
    <w:rsid w:val="005676C6"/>
    <w:rsid w:val="00573BAB"/>
    <w:rsid w:val="005868BD"/>
    <w:rsid w:val="00586D7F"/>
    <w:rsid w:val="00587ED5"/>
    <w:rsid w:val="00595D1E"/>
    <w:rsid w:val="005A6DE9"/>
    <w:rsid w:val="005B5E5B"/>
    <w:rsid w:val="005E2D23"/>
    <w:rsid w:val="005E5D10"/>
    <w:rsid w:val="00626A3E"/>
    <w:rsid w:val="00683A38"/>
    <w:rsid w:val="006854FC"/>
    <w:rsid w:val="00687733"/>
    <w:rsid w:val="0069025C"/>
    <w:rsid w:val="00693A83"/>
    <w:rsid w:val="00695204"/>
    <w:rsid w:val="006A2184"/>
    <w:rsid w:val="006B2ACE"/>
    <w:rsid w:val="006F3226"/>
    <w:rsid w:val="00713CF8"/>
    <w:rsid w:val="0071503A"/>
    <w:rsid w:val="007220A5"/>
    <w:rsid w:val="0072723D"/>
    <w:rsid w:val="00740F9D"/>
    <w:rsid w:val="0075509F"/>
    <w:rsid w:val="00762CFB"/>
    <w:rsid w:val="00786860"/>
    <w:rsid w:val="0079335D"/>
    <w:rsid w:val="0079784E"/>
    <w:rsid w:val="007B6FBB"/>
    <w:rsid w:val="007D19AD"/>
    <w:rsid w:val="007D66AD"/>
    <w:rsid w:val="007F5A32"/>
    <w:rsid w:val="00802F28"/>
    <w:rsid w:val="00816C32"/>
    <w:rsid w:val="008529CC"/>
    <w:rsid w:val="00861C13"/>
    <w:rsid w:val="008716F6"/>
    <w:rsid w:val="0087173D"/>
    <w:rsid w:val="00897D34"/>
    <w:rsid w:val="008A0E55"/>
    <w:rsid w:val="008D12B2"/>
    <w:rsid w:val="008D6113"/>
    <w:rsid w:val="008E542F"/>
    <w:rsid w:val="008F0A02"/>
    <w:rsid w:val="008F6F54"/>
    <w:rsid w:val="00907E64"/>
    <w:rsid w:val="00940A55"/>
    <w:rsid w:val="009411F0"/>
    <w:rsid w:val="00942DB8"/>
    <w:rsid w:val="00944ABD"/>
    <w:rsid w:val="00953B2E"/>
    <w:rsid w:val="009624CC"/>
    <w:rsid w:val="00974140"/>
    <w:rsid w:val="00990709"/>
    <w:rsid w:val="009F4546"/>
    <w:rsid w:val="00A16865"/>
    <w:rsid w:val="00A24DA1"/>
    <w:rsid w:val="00A61F11"/>
    <w:rsid w:val="00A622DA"/>
    <w:rsid w:val="00A66FE4"/>
    <w:rsid w:val="00A73C70"/>
    <w:rsid w:val="00A74631"/>
    <w:rsid w:val="00A876F6"/>
    <w:rsid w:val="00AA355D"/>
    <w:rsid w:val="00AB60E0"/>
    <w:rsid w:val="00AC113B"/>
    <w:rsid w:val="00AD7BAB"/>
    <w:rsid w:val="00AE10B8"/>
    <w:rsid w:val="00AF01AD"/>
    <w:rsid w:val="00AF0B07"/>
    <w:rsid w:val="00AF3330"/>
    <w:rsid w:val="00B02B4E"/>
    <w:rsid w:val="00B04173"/>
    <w:rsid w:val="00B20D87"/>
    <w:rsid w:val="00B575BB"/>
    <w:rsid w:val="00B64D98"/>
    <w:rsid w:val="00B732AC"/>
    <w:rsid w:val="00B940C6"/>
    <w:rsid w:val="00B97CC8"/>
    <w:rsid w:val="00BB14C2"/>
    <w:rsid w:val="00BB41D9"/>
    <w:rsid w:val="00BB7115"/>
    <w:rsid w:val="00BC3F97"/>
    <w:rsid w:val="00BC4710"/>
    <w:rsid w:val="00BE135A"/>
    <w:rsid w:val="00BE197D"/>
    <w:rsid w:val="00BE4B24"/>
    <w:rsid w:val="00C0501F"/>
    <w:rsid w:val="00C13E15"/>
    <w:rsid w:val="00C16E9E"/>
    <w:rsid w:val="00C465FF"/>
    <w:rsid w:val="00CB4C39"/>
    <w:rsid w:val="00CC32B1"/>
    <w:rsid w:val="00CC4638"/>
    <w:rsid w:val="00CE21A0"/>
    <w:rsid w:val="00CF1726"/>
    <w:rsid w:val="00CF4F81"/>
    <w:rsid w:val="00D45A58"/>
    <w:rsid w:val="00D56D41"/>
    <w:rsid w:val="00D605CF"/>
    <w:rsid w:val="00D6099F"/>
    <w:rsid w:val="00D678CF"/>
    <w:rsid w:val="00D72137"/>
    <w:rsid w:val="00DB27F3"/>
    <w:rsid w:val="00DD7B35"/>
    <w:rsid w:val="00DF549A"/>
    <w:rsid w:val="00DF6124"/>
    <w:rsid w:val="00E13104"/>
    <w:rsid w:val="00E154CE"/>
    <w:rsid w:val="00E33992"/>
    <w:rsid w:val="00E46078"/>
    <w:rsid w:val="00E62E34"/>
    <w:rsid w:val="00E712FF"/>
    <w:rsid w:val="00E7739F"/>
    <w:rsid w:val="00EB437A"/>
    <w:rsid w:val="00EB77CC"/>
    <w:rsid w:val="00EC499E"/>
    <w:rsid w:val="00ED1560"/>
    <w:rsid w:val="00ED4628"/>
    <w:rsid w:val="00EE522B"/>
    <w:rsid w:val="00F04A7F"/>
    <w:rsid w:val="00F4290D"/>
    <w:rsid w:val="00F45BD9"/>
    <w:rsid w:val="00F77BB5"/>
    <w:rsid w:val="00F8700B"/>
    <w:rsid w:val="00FB0308"/>
    <w:rsid w:val="00FB481F"/>
    <w:rsid w:val="00FC136A"/>
    <w:rsid w:val="00FC3BAD"/>
    <w:rsid w:val="00FD1B39"/>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45DBAE6"/>
  <w15:docId w15:val="{05359B35-48A0-4565-8548-9CF9B909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customStyle="1" w:styleId="P1-StandPara">
    <w:name w:val="P1-Stand Para"/>
    <w:rsid w:val="00CF4F81"/>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ta.chronicle.com/faculty-sala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Guadagno, Mary Ann (NIH/CSR) [E]</cp:lastModifiedBy>
  <cp:revision>2</cp:revision>
  <cp:lastPrinted>2016-04-20T20:53:00Z</cp:lastPrinted>
  <dcterms:created xsi:type="dcterms:W3CDTF">2016-04-29T20:49:00Z</dcterms:created>
  <dcterms:modified xsi:type="dcterms:W3CDTF">2016-04-29T20:49:00Z</dcterms:modified>
</cp:coreProperties>
</file>