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5B13C5" w14:textId="77777777" w:rsidR="007A0876" w:rsidRDefault="007A0876" w:rsidP="00595D1E">
      <w:pPr>
        <w:jc w:val="center"/>
        <w:rPr>
          <w:b/>
        </w:rPr>
      </w:pPr>
    </w:p>
    <w:p w14:paraId="1E122A62" w14:textId="77777777" w:rsidR="007A0876" w:rsidRDefault="007A0876" w:rsidP="00595D1E">
      <w:pPr>
        <w:jc w:val="center"/>
        <w:rPr>
          <w:b/>
        </w:rPr>
      </w:pPr>
    </w:p>
    <w:p w14:paraId="64E1F4EC" w14:textId="77777777" w:rsidR="007A0876" w:rsidRPr="00C7167B" w:rsidRDefault="00C0501F" w:rsidP="002B193F">
      <w:pPr>
        <w:spacing w:after="0"/>
        <w:jc w:val="center"/>
        <w:rPr>
          <w:b/>
          <w:sz w:val="36"/>
          <w:szCs w:val="36"/>
        </w:rPr>
      </w:pPr>
      <w:r w:rsidRPr="00C7167B">
        <w:rPr>
          <w:b/>
          <w:sz w:val="36"/>
          <w:szCs w:val="36"/>
        </w:rPr>
        <w:t xml:space="preserve">Mini </w:t>
      </w:r>
      <w:r w:rsidR="00595D1E" w:rsidRPr="00C7167B">
        <w:rPr>
          <w:b/>
          <w:sz w:val="36"/>
          <w:szCs w:val="36"/>
        </w:rPr>
        <w:t>Supporting Statement A</w:t>
      </w:r>
    </w:p>
    <w:p w14:paraId="35B9FD64" w14:textId="39F0C5D3" w:rsidR="00FF1D87" w:rsidRPr="00C7167B" w:rsidRDefault="00FF1D87" w:rsidP="002B193F">
      <w:pPr>
        <w:jc w:val="center"/>
        <w:rPr>
          <w:b/>
        </w:rPr>
      </w:pPr>
    </w:p>
    <w:p w14:paraId="46954C8F" w14:textId="77777777" w:rsidR="009B7EC7" w:rsidRDefault="009B7EC7" w:rsidP="002B193F">
      <w:pPr>
        <w:jc w:val="center"/>
        <w:rPr>
          <w:sz w:val="32"/>
          <w:szCs w:val="32"/>
        </w:rPr>
      </w:pPr>
    </w:p>
    <w:p w14:paraId="38D2EBC1" w14:textId="2335AB17" w:rsidR="007A0876" w:rsidRDefault="00600CED" w:rsidP="002B193F">
      <w:pPr>
        <w:jc w:val="center"/>
        <w:rPr>
          <w:sz w:val="32"/>
          <w:szCs w:val="32"/>
        </w:rPr>
      </w:pPr>
      <w:r>
        <w:rPr>
          <w:sz w:val="32"/>
          <w:szCs w:val="32"/>
        </w:rPr>
        <w:t>NIH Community-Based Participatory Research (CBPR) Grant Programs:</w:t>
      </w:r>
      <w:r w:rsidR="00345607">
        <w:rPr>
          <w:sz w:val="32"/>
          <w:szCs w:val="32"/>
        </w:rPr>
        <w:t xml:space="preserve"> </w:t>
      </w:r>
      <w:r>
        <w:rPr>
          <w:sz w:val="32"/>
          <w:szCs w:val="32"/>
        </w:rPr>
        <w:t>Customer Satisfaction Surveys</w:t>
      </w:r>
    </w:p>
    <w:p w14:paraId="68A6E955" w14:textId="77777777" w:rsidR="009B7EC7" w:rsidRDefault="009B7EC7" w:rsidP="002B193F">
      <w:pPr>
        <w:jc w:val="center"/>
        <w:rPr>
          <w:sz w:val="32"/>
          <w:szCs w:val="32"/>
        </w:rPr>
      </w:pPr>
    </w:p>
    <w:p w14:paraId="6652447C" w14:textId="77777777" w:rsidR="009B7EC7" w:rsidRDefault="009B7EC7" w:rsidP="002B193F">
      <w:pPr>
        <w:jc w:val="center"/>
        <w:rPr>
          <w:sz w:val="32"/>
          <w:szCs w:val="32"/>
        </w:rPr>
      </w:pPr>
    </w:p>
    <w:p w14:paraId="7D1A2462" w14:textId="77777777" w:rsidR="009B7EC7" w:rsidRDefault="009B7EC7" w:rsidP="002B193F">
      <w:pPr>
        <w:jc w:val="center"/>
        <w:rPr>
          <w:sz w:val="32"/>
          <w:szCs w:val="32"/>
        </w:rPr>
      </w:pPr>
    </w:p>
    <w:p w14:paraId="51AB3D6E" w14:textId="1DBD022A" w:rsidR="00CB4C39" w:rsidRPr="002B193F" w:rsidRDefault="00003BE1" w:rsidP="002B193F">
      <w:pPr>
        <w:jc w:val="center"/>
        <w:rPr>
          <w:sz w:val="32"/>
          <w:szCs w:val="32"/>
        </w:rPr>
      </w:pPr>
      <w:r w:rsidRPr="00F42BCA">
        <w:rPr>
          <w:rFonts w:cs="Arial"/>
          <w:sz w:val="32"/>
          <w:szCs w:val="32"/>
        </w:rPr>
        <w:t>OMB</w:t>
      </w:r>
      <w:r w:rsidR="00600CED" w:rsidRPr="00F42BCA">
        <w:rPr>
          <w:rFonts w:cs="Arial"/>
          <w:sz w:val="32"/>
          <w:szCs w:val="32"/>
        </w:rPr>
        <w:t xml:space="preserve"> No. </w:t>
      </w:r>
      <w:r w:rsidR="00516BCA">
        <w:rPr>
          <w:sz w:val="32"/>
          <w:szCs w:val="32"/>
        </w:rPr>
        <w:t>0925-0474</w:t>
      </w:r>
      <w:r w:rsidR="00600CED" w:rsidRPr="00F42BCA">
        <w:rPr>
          <w:rFonts w:cs="Arial"/>
          <w:sz w:val="32"/>
          <w:szCs w:val="32"/>
        </w:rPr>
        <w:t>,</w:t>
      </w:r>
      <w:r w:rsidR="00600CED" w:rsidRPr="00F42BCA">
        <w:rPr>
          <w:sz w:val="32"/>
          <w:szCs w:val="32"/>
        </w:rPr>
        <w:t xml:space="preserve"> </w:t>
      </w:r>
      <w:r w:rsidR="00600CED">
        <w:rPr>
          <w:sz w:val="32"/>
          <w:szCs w:val="32"/>
        </w:rPr>
        <w:t>Expiration Date: 2/28/2018</w:t>
      </w:r>
    </w:p>
    <w:p w14:paraId="6EF2AD8C" w14:textId="77777777" w:rsidR="009B7EC7" w:rsidRDefault="009B7EC7" w:rsidP="002B193F">
      <w:pPr>
        <w:jc w:val="center"/>
        <w:rPr>
          <w:sz w:val="32"/>
          <w:szCs w:val="32"/>
        </w:rPr>
      </w:pPr>
    </w:p>
    <w:p w14:paraId="6EF8CDEA" w14:textId="77777777" w:rsidR="009B7EC7" w:rsidRDefault="009B7EC7" w:rsidP="002B193F">
      <w:pPr>
        <w:jc w:val="center"/>
        <w:rPr>
          <w:sz w:val="32"/>
          <w:szCs w:val="32"/>
        </w:rPr>
      </w:pPr>
    </w:p>
    <w:p w14:paraId="539EF9E0" w14:textId="266721AB" w:rsidR="007A0876" w:rsidRDefault="00CD625D" w:rsidP="002B193F">
      <w:pPr>
        <w:jc w:val="center"/>
        <w:rPr>
          <w:sz w:val="32"/>
          <w:szCs w:val="32"/>
        </w:rPr>
      </w:pPr>
      <w:r>
        <w:rPr>
          <w:sz w:val="32"/>
          <w:szCs w:val="32"/>
        </w:rPr>
        <w:t xml:space="preserve">April </w:t>
      </w:r>
      <w:r w:rsidR="00516BCA">
        <w:rPr>
          <w:sz w:val="32"/>
          <w:szCs w:val="32"/>
        </w:rPr>
        <w:t>15</w:t>
      </w:r>
      <w:r w:rsidR="00600CED">
        <w:rPr>
          <w:sz w:val="32"/>
          <w:szCs w:val="32"/>
        </w:rPr>
        <w:t>, 2016</w:t>
      </w:r>
    </w:p>
    <w:p w14:paraId="14E4F486" w14:textId="77777777" w:rsidR="007A0876" w:rsidRDefault="007A0876">
      <w:pPr>
        <w:jc w:val="center"/>
      </w:pPr>
    </w:p>
    <w:p w14:paraId="69B24C4C" w14:textId="77777777" w:rsidR="009B7EC7" w:rsidRDefault="009B7EC7" w:rsidP="002B193F">
      <w:pPr>
        <w:spacing w:after="0"/>
        <w:jc w:val="center"/>
        <w:rPr>
          <w:sz w:val="32"/>
          <w:szCs w:val="32"/>
          <w:highlight w:val="yellow"/>
        </w:rPr>
      </w:pPr>
    </w:p>
    <w:p w14:paraId="7825DF11" w14:textId="77777777" w:rsidR="009B7EC7" w:rsidRDefault="009B7EC7" w:rsidP="002B193F">
      <w:pPr>
        <w:spacing w:after="0"/>
        <w:jc w:val="center"/>
        <w:rPr>
          <w:sz w:val="32"/>
          <w:szCs w:val="32"/>
          <w:highlight w:val="yellow"/>
        </w:rPr>
      </w:pPr>
    </w:p>
    <w:p w14:paraId="5FEB78C0" w14:textId="77777777" w:rsidR="009B7EC7" w:rsidRDefault="009B7EC7" w:rsidP="002B193F">
      <w:pPr>
        <w:spacing w:after="0"/>
        <w:jc w:val="center"/>
        <w:rPr>
          <w:sz w:val="32"/>
          <w:szCs w:val="32"/>
          <w:highlight w:val="yellow"/>
        </w:rPr>
      </w:pPr>
    </w:p>
    <w:p w14:paraId="6784350A" w14:textId="77777777" w:rsidR="009B7EC7" w:rsidRDefault="009B7EC7" w:rsidP="002B193F">
      <w:pPr>
        <w:spacing w:after="0"/>
        <w:jc w:val="center"/>
        <w:rPr>
          <w:sz w:val="32"/>
          <w:szCs w:val="32"/>
          <w:highlight w:val="yellow"/>
        </w:rPr>
      </w:pPr>
    </w:p>
    <w:p w14:paraId="09FB6999" w14:textId="32DA908B" w:rsidR="00FF1D87" w:rsidRDefault="008529CC" w:rsidP="002B193F">
      <w:pPr>
        <w:spacing w:after="0"/>
        <w:jc w:val="center"/>
        <w:rPr>
          <w:b/>
        </w:rPr>
      </w:pPr>
      <w:r w:rsidRPr="00516BCA">
        <w:rPr>
          <w:sz w:val="32"/>
          <w:szCs w:val="32"/>
        </w:rPr>
        <w:t>Contact Information</w:t>
      </w:r>
    </w:p>
    <w:p w14:paraId="61C99FFA" w14:textId="77777777" w:rsidR="007A0876" w:rsidRDefault="007A0876" w:rsidP="002B193F">
      <w:pPr>
        <w:spacing w:after="0"/>
        <w:jc w:val="center"/>
        <w:rPr>
          <w:b/>
        </w:rPr>
      </w:pPr>
    </w:p>
    <w:p w14:paraId="5A00862A" w14:textId="2DE46391" w:rsidR="009B7EC7" w:rsidRDefault="00516BCA" w:rsidP="002B193F">
      <w:pPr>
        <w:spacing w:after="0"/>
        <w:jc w:val="center"/>
        <w:rPr>
          <w:b/>
        </w:rPr>
      </w:pPr>
      <w:r>
        <w:rPr>
          <w:b/>
        </w:rPr>
        <w:t>G. Stephane Philogene, PhD, OBSSR Deputy Director</w:t>
      </w:r>
    </w:p>
    <w:p w14:paraId="2D0BFFB6" w14:textId="2509C92E" w:rsidR="00516BCA" w:rsidRDefault="00516BCA" w:rsidP="002B193F">
      <w:pPr>
        <w:spacing w:after="0"/>
        <w:jc w:val="center"/>
        <w:rPr>
          <w:b/>
        </w:rPr>
        <w:sectPr w:rsidR="00516BCA" w:rsidSect="00C7167B">
          <w:pgSz w:w="12240" w:h="15840"/>
          <w:pgMar w:top="1440" w:right="1440" w:bottom="1440" w:left="1440" w:header="720" w:footer="720" w:gutter="0"/>
          <w:cols w:space="720"/>
          <w:docGrid w:linePitch="360"/>
        </w:sectPr>
      </w:pPr>
      <w:r>
        <w:rPr>
          <w:b/>
        </w:rPr>
        <w:t>(301) 402-3902</w:t>
      </w:r>
    </w:p>
    <w:p w14:paraId="5E343FF0" w14:textId="77777777" w:rsidR="00032772" w:rsidRDefault="00032772" w:rsidP="00C7167B">
      <w:pPr>
        <w:pStyle w:val="Title"/>
      </w:pPr>
      <w:r>
        <w:lastRenderedPageBreak/>
        <w:t xml:space="preserve">Table of </w:t>
      </w:r>
      <w:r w:rsidRPr="00C7167B">
        <w:t>Contents</w:t>
      </w:r>
    </w:p>
    <w:p w14:paraId="35EB58D8" w14:textId="77777777" w:rsidR="00C7167B" w:rsidRDefault="00032772" w:rsidP="00C7167B">
      <w:pPr>
        <w:pStyle w:val="TOC1"/>
        <w:rPr>
          <w:rFonts w:asciiTheme="minorHAnsi" w:hAnsiTheme="minorHAnsi"/>
        </w:rPr>
      </w:pPr>
      <w:r>
        <w:fldChar w:fldCharType="begin"/>
      </w:r>
      <w:r>
        <w:instrText xml:space="preserve"> TOC \o "1-3" \h \z \u </w:instrText>
      </w:r>
      <w:r>
        <w:fldChar w:fldCharType="separate"/>
      </w:r>
      <w:hyperlink w:anchor="_Toc446336608" w:history="1">
        <w:r w:rsidR="00C7167B" w:rsidRPr="00281155">
          <w:rPr>
            <w:rStyle w:val="Hyperlink"/>
          </w:rPr>
          <w:t>A.1</w:t>
        </w:r>
        <w:r w:rsidR="00C7167B">
          <w:rPr>
            <w:rFonts w:asciiTheme="minorHAnsi" w:hAnsiTheme="minorHAnsi"/>
          </w:rPr>
          <w:tab/>
        </w:r>
        <w:r w:rsidR="00C7167B" w:rsidRPr="00281155">
          <w:rPr>
            <w:rStyle w:val="Hyperlink"/>
          </w:rPr>
          <w:t xml:space="preserve">Circumstances Making the Collection of Information </w:t>
        </w:r>
        <w:r w:rsidR="00C7167B" w:rsidRPr="00C7167B">
          <w:rPr>
            <w:rStyle w:val="Hyperlink"/>
            <w:color w:val="auto"/>
            <w:u w:val="none"/>
          </w:rPr>
          <w:t>Necessary</w:t>
        </w:r>
        <w:r w:rsidR="00C7167B">
          <w:rPr>
            <w:webHidden/>
          </w:rPr>
          <w:tab/>
        </w:r>
        <w:r w:rsidR="00C7167B">
          <w:rPr>
            <w:webHidden/>
          </w:rPr>
          <w:fldChar w:fldCharType="begin"/>
        </w:r>
        <w:r w:rsidR="00C7167B">
          <w:rPr>
            <w:webHidden/>
          </w:rPr>
          <w:instrText xml:space="preserve"> PAGEREF _Toc446336608 \h </w:instrText>
        </w:r>
        <w:r w:rsidR="00C7167B">
          <w:rPr>
            <w:webHidden/>
          </w:rPr>
        </w:r>
        <w:r w:rsidR="00C7167B">
          <w:rPr>
            <w:webHidden/>
          </w:rPr>
          <w:fldChar w:fldCharType="separate"/>
        </w:r>
        <w:r w:rsidR="00280A25">
          <w:rPr>
            <w:webHidden/>
          </w:rPr>
          <w:t>1</w:t>
        </w:r>
        <w:r w:rsidR="00C7167B">
          <w:rPr>
            <w:webHidden/>
          </w:rPr>
          <w:fldChar w:fldCharType="end"/>
        </w:r>
      </w:hyperlink>
    </w:p>
    <w:p w14:paraId="20BC31F5" w14:textId="77777777" w:rsidR="00C7167B" w:rsidRDefault="00516BCA" w:rsidP="00C7167B">
      <w:pPr>
        <w:pStyle w:val="TOC1"/>
        <w:rPr>
          <w:rFonts w:asciiTheme="minorHAnsi" w:hAnsiTheme="minorHAnsi"/>
        </w:rPr>
      </w:pPr>
      <w:hyperlink w:anchor="_Toc446336609" w:history="1">
        <w:r w:rsidR="00C7167B" w:rsidRPr="00281155">
          <w:rPr>
            <w:rStyle w:val="Hyperlink"/>
          </w:rPr>
          <w:t>A.2</w:t>
        </w:r>
        <w:r w:rsidR="00C7167B">
          <w:rPr>
            <w:rFonts w:asciiTheme="minorHAnsi" w:hAnsiTheme="minorHAnsi"/>
          </w:rPr>
          <w:tab/>
        </w:r>
        <w:r w:rsidR="00C7167B" w:rsidRPr="00281155">
          <w:rPr>
            <w:rStyle w:val="Hyperlink"/>
          </w:rPr>
          <w:t>Purpose and Use of the Information Collection</w:t>
        </w:r>
        <w:r w:rsidR="00C7167B">
          <w:rPr>
            <w:webHidden/>
          </w:rPr>
          <w:tab/>
        </w:r>
        <w:r w:rsidR="00C7167B">
          <w:rPr>
            <w:webHidden/>
          </w:rPr>
          <w:fldChar w:fldCharType="begin"/>
        </w:r>
        <w:r w:rsidR="00C7167B">
          <w:rPr>
            <w:webHidden/>
          </w:rPr>
          <w:instrText xml:space="preserve"> PAGEREF _Toc446336609 \h </w:instrText>
        </w:r>
        <w:r w:rsidR="00C7167B">
          <w:rPr>
            <w:webHidden/>
          </w:rPr>
        </w:r>
        <w:r w:rsidR="00C7167B">
          <w:rPr>
            <w:webHidden/>
          </w:rPr>
          <w:fldChar w:fldCharType="separate"/>
        </w:r>
        <w:r w:rsidR="00280A25">
          <w:rPr>
            <w:webHidden/>
          </w:rPr>
          <w:t>1</w:t>
        </w:r>
        <w:r w:rsidR="00C7167B">
          <w:rPr>
            <w:webHidden/>
          </w:rPr>
          <w:fldChar w:fldCharType="end"/>
        </w:r>
      </w:hyperlink>
    </w:p>
    <w:p w14:paraId="6ED55586" w14:textId="77777777" w:rsidR="00C7167B" w:rsidRDefault="00516BCA" w:rsidP="00C7167B">
      <w:pPr>
        <w:pStyle w:val="TOC1"/>
        <w:rPr>
          <w:rFonts w:asciiTheme="minorHAnsi" w:hAnsiTheme="minorHAnsi"/>
        </w:rPr>
      </w:pPr>
      <w:hyperlink w:anchor="_Toc446336610" w:history="1">
        <w:r w:rsidR="00C7167B" w:rsidRPr="00281155">
          <w:rPr>
            <w:rStyle w:val="Hyperlink"/>
          </w:rPr>
          <w:t>A.3</w:t>
        </w:r>
        <w:r w:rsidR="00C7167B">
          <w:rPr>
            <w:rFonts w:asciiTheme="minorHAnsi" w:hAnsiTheme="minorHAnsi"/>
          </w:rPr>
          <w:tab/>
        </w:r>
        <w:r w:rsidR="00C7167B" w:rsidRPr="00281155">
          <w:rPr>
            <w:rStyle w:val="Hyperlink"/>
          </w:rPr>
          <w:t>Use of Information Technology to Reduce Burden</w:t>
        </w:r>
        <w:r w:rsidR="00C7167B">
          <w:rPr>
            <w:webHidden/>
          </w:rPr>
          <w:tab/>
        </w:r>
        <w:r w:rsidR="00C7167B">
          <w:rPr>
            <w:webHidden/>
          </w:rPr>
          <w:fldChar w:fldCharType="begin"/>
        </w:r>
        <w:r w:rsidR="00C7167B">
          <w:rPr>
            <w:webHidden/>
          </w:rPr>
          <w:instrText xml:space="preserve"> PAGEREF _Toc446336610 \h </w:instrText>
        </w:r>
        <w:r w:rsidR="00C7167B">
          <w:rPr>
            <w:webHidden/>
          </w:rPr>
        </w:r>
        <w:r w:rsidR="00C7167B">
          <w:rPr>
            <w:webHidden/>
          </w:rPr>
          <w:fldChar w:fldCharType="separate"/>
        </w:r>
        <w:r w:rsidR="00280A25">
          <w:rPr>
            <w:webHidden/>
          </w:rPr>
          <w:t>2</w:t>
        </w:r>
        <w:r w:rsidR="00C7167B">
          <w:rPr>
            <w:webHidden/>
          </w:rPr>
          <w:fldChar w:fldCharType="end"/>
        </w:r>
      </w:hyperlink>
    </w:p>
    <w:p w14:paraId="093EE780" w14:textId="77777777" w:rsidR="00C7167B" w:rsidRDefault="00516BCA" w:rsidP="00C7167B">
      <w:pPr>
        <w:pStyle w:val="TOC1"/>
        <w:rPr>
          <w:rFonts w:asciiTheme="minorHAnsi" w:hAnsiTheme="minorHAnsi"/>
        </w:rPr>
      </w:pPr>
      <w:hyperlink w:anchor="_Toc446336611" w:history="1">
        <w:r w:rsidR="00C7167B" w:rsidRPr="00281155">
          <w:rPr>
            <w:rStyle w:val="Hyperlink"/>
          </w:rPr>
          <w:t>A.4</w:t>
        </w:r>
        <w:r w:rsidR="00C7167B">
          <w:rPr>
            <w:rFonts w:asciiTheme="minorHAnsi" w:hAnsiTheme="minorHAnsi"/>
          </w:rPr>
          <w:tab/>
        </w:r>
        <w:r w:rsidR="00C7167B" w:rsidRPr="00281155">
          <w:rPr>
            <w:rStyle w:val="Hyperlink"/>
          </w:rPr>
          <w:t>Efforts to Identify Duplication</w:t>
        </w:r>
        <w:r w:rsidR="00C7167B">
          <w:rPr>
            <w:webHidden/>
          </w:rPr>
          <w:tab/>
        </w:r>
        <w:r w:rsidR="00C7167B">
          <w:rPr>
            <w:webHidden/>
          </w:rPr>
          <w:fldChar w:fldCharType="begin"/>
        </w:r>
        <w:r w:rsidR="00C7167B">
          <w:rPr>
            <w:webHidden/>
          </w:rPr>
          <w:instrText xml:space="preserve"> PAGEREF _Toc446336611 \h </w:instrText>
        </w:r>
        <w:r w:rsidR="00C7167B">
          <w:rPr>
            <w:webHidden/>
          </w:rPr>
        </w:r>
        <w:r w:rsidR="00C7167B">
          <w:rPr>
            <w:webHidden/>
          </w:rPr>
          <w:fldChar w:fldCharType="separate"/>
        </w:r>
        <w:r w:rsidR="00280A25">
          <w:rPr>
            <w:webHidden/>
          </w:rPr>
          <w:t>2</w:t>
        </w:r>
        <w:r w:rsidR="00C7167B">
          <w:rPr>
            <w:webHidden/>
          </w:rPr>
          <w:fldChar w:fldCharType="end"/>
        </w:r>
      </w:hyperlink>
    </w:p>
    <w:p w14:paraId="4D43C9AE" w14:textId="77777777" w:rsidR="00C7167B" w:rsidRDefault="00516BCA" w:rsidP="00C7167B">
      <w:pPr>
        <w:pStyle w:val="TOC1"/>
        <w:rPr>
          <w:rFonts w:asciiTheme="minorHAnsi" w:hAnsiTheme="minorHAnsi"/>
        </w:rPr>
      </w:pPr>
      <w:hyperlink w:anchor="_Toc446336612" w:history="1">
        <w:r w:rsidR="00C7167B" w:rsidRPr="00281155">
          <w:rPr>
            <w:rStyle w:val="Hyperlink"/>
          </w:rPr>
          <w:t>A.5</w:t>
        </w:r>
        <w:r w:rsidR="00C7167B">
          <w:rPr>
            <w:rFonts w:asciiTheme="minorHAnsi" w:hAnsiTheme="minorHAnsi"/>
          </w:rPr>
          <w:tab/>
        </w:r>
        <w:r w:rsidR="00C7167B" w:rsidRPr="00C7167B">
          <w:rPr>
            <w:rStyle w:val="Hyperlink"/>
            <w:color w:val="auto"/>
            <w:u w:val="none"/>
          </w:rPr>
          <w:t>Impact</w:t>
        </w:r>
        <w:r w:rsidR="00C7167B" w:rsidRPr="00281155">
          <w:rPr>
            <w:rStyle w:val="Hyperlink"/>
          </w:rPr>
          <w:t xml:space="preserve"> on Small Businesses or Other Small Entities</w:t>
        </w:r>
        <w:r w:rsidR="00C7167B">
          <w:rPr>
            <w:webHidden/>
          </w:rPr>
          <w:tab/>
        </w:r>
        <w:r w:rsidR="00C7167B">
          <w:rPr>
            <w:webHidden/>
          </w:rPr>
          <w:fldChar w:fldCharType="begin"/>
        </w:r>
        <w:r w:rsidR="00C7167B">
          <w:rPr>
            <w:webHidden/>
          </w:rPr>
          <w:instrText xml:space="preserve"> PAGEREF _Toc446336612 \h </w:instrText>
        </w:r>
        <w:r w:rsidR="00C7167B">
          <w:rPr>
            <w:webHidden/>
          </w:rPr>
        </w:r>
        <w:r w:rsidR="00C7167B">
          <w:rPr>
            <w:webHidden/>
          </w:rPr>
          <w:fldChar w:fldCharType="separate"/>
        </w:r>
        <w:r w:rsidR="00280A25">
          <w:rPr>
            <w:webHidden/>
          </w:rPr>
          <w:t>2</w:t>
        </w:r>
        <w:r w:rsidR="00C7167B">
          <w:rPr>
            <w:webHidden/>
          </w:rPr>
          <w:fldChar w:fldCharType="end"/>
        </w:r>
      </w:hyperlink>
    </w:p>
    <w:p w14:paraId="3C9CEA2F" w14:textId="77777777" w:rsidR="00C7167B" w:rsidRDefault="00516BCA" w:rsidP="00C7167B">
      <w:pPr>
        <w:pStyle w:val="TOC1"/>
        <w:rPr>
          <w:rFonts w:asciiTheme="minorHAnsi" w:hAnsiTheme="minorHAnsi"/>
        </w:rPr>
      </w:pPr>
      <w:hyperlink w:anchor="_Toc446336613" w:history="1">
        <w:r w:rsidR="00C7167B" w:rsidRPr="00281155">
          <w:rPr>
            <w:rStyle w:val="Hyperlink"/>
          </w:rPr>
          <w:t>A.6</w:t>
        </w:r>
        <w:r w:rsidR="00C7167B">
          <w:rPr>
            <w:rFonts w:asciiTheme="minorHAnsi" w:hAnsiTheme="minorHAnsi"/>
          </w:rPr>
          <w:tab/>
        </w:r>
        <w:r w:rsidR="00C7167B" w:rsidRPr="00281155">
          <w:rPr>
            <w:rStyle w:val="Hyperlink"/>
          </w:rPr>
          <w:t>Consequences of Collecting the Information Less Frequently</w:t>
        </w:r>
        <w:r w:rsidR="00C7167B">
          <w:rPr>
            <w:webHidden/>
          </w:rPr>
          <w:tab/>
        </w:r>
        <w:r w:rsidR="00C7167B">
          <w:rPr>
            <w:webHidden/>
          </w:rPr>
          <w:fldChar w:fldCharType="begin"/>
        </w:r>
        <w:r w:rsidR="00C7167B">
          <w:rPr>
            <w:webHidden/>
          </w:rPr>
          <w:instrText xml:space="preserve"> PAGEREF _Toc446336613 \h </w:instrText>
        </w:r>
        <w:r w:rsidR="00C7167B">
          <w:rPr>
            <w:webHidden/>
          </w:rPr>
        </w:r>
        <w:r w:rsidR="00C7167B">
          <w:rPr>
            <w:webHidden/>
          </w:rPr>
          <w:fldChar w:fldCharType="separate"/>
        </w:r>
        <w:r w:rsidR="00280A25">
          <w:rPr>
            <w:webHidden/>
          </w:rPr>
          <w:t>2</w:t>
        </w:r>
        <w:r w:rsidR="00C7167B">
          <w:rPr>
            <w:webHidden/>
          </w:rPr>
          <w:fldChar w:fldCharType="end"/>
        </w:r>
      </w:hyperlink>
    </w:p>
    <w:p w14:paraId="6AD0DBF9" w14:textId="77777777" w:rsidR="00C7167B" w:rsidRDefault="00516BCA" w:rsidP="00C7167B">
      <w:pPr>
        <w:pStyle w:val="TOC1"/>
        <w:rPr>
          <w:rFonts w:asciiTheme="minorHAnsi" w:hAnsiTheme="minorHAnsi"/>
        </w:rPr>
      </w:pPr>
      <w:hyperlink w:anchor="_Toc446336614" w:history="1">
        <w:r w:rsidR="00C7167B" w:rsidRPr="00281155">
          <w:rPr>
            <w:rStyle w:val="Hyperlink"/>
          </w:rPr>
          <w:t>A.7</w:t>
        </w:r>
        <w:r w:rsidR="00C7167B">
          <w:rPr>
            <w:rFonts w:asciiTheme="minorHAnsi" w:hAnsiTheme="minorHAnsi"/>
          </w:rPr>
          <w:tab/>
        </w:r>
        <w:r w:rsidR="00C7167B" w:rsidRPr="00281155">
          <w:rPr>
            <w:rStyle w:val="Hyperlink"/>
          </w:rPr>
          <w:t>Special Circumstances Relating to the Guidelines of 5 CFR 1320.5</w:t>
        </w:r>
        <w:r w:rsidR="00C7167B">
          <w:rPr>
            <w:webHidden/>
          </w:rPr>
          <w:tab/>
        </w:r>
        <w:r w:rsidR="00C7167B">
          <w:rPr>
            <w:webHidden/>
          </w:rPr>
          <w:fldChar w:fldCharType="begin"/>
        </w:r>
        <w:r w:rsidR="00C7167B">
          <w:rPr>
            <w:webHidden/>
          </w:rPr>
          <w:instrText xml:space="preserve"> PAGEREF _Toc446336614 \h </w:instrText>
        </w:r>
        <w:r w:rsidR="00C7167B">
          <w:rPr>
            <w:webHidden/>
          </w:rPr>
        </w:r>
        <w:r w:rsidR="00C7167B">
          <w:rPr>
            <w:webHidden/>
          </w:rPr>
          <w:fldChar w:fldCharType="separate"/>
        </w:r>
        <w:r w:rsidR="00280A25">
          <w:rPr>
            <w:webHidden/>
          </w:rPr>
          <w:t>2</w:t>
        </w:r>
        <w:r w:rsidR="00C7167B">
          <w:rPr>
            <w:webHidden/>
          </w:rPr>
          <w:fldChar w:fldCharType="end"/>
        </w:r>
      </w:hyperlink>
    </w:p>
    <w:p w14:paraId="6993C38F" w14:textId="77777777" w:rsidR="00C7167B" w:rsidRDefault="00516BCA" w:rsidP="00C7167B">
      <w:pPr>
        <w:pStyle w:val="TOC1"/>
        <w:rPr>
          <w:rFonts w:asciiTheme="minorHAnsi" w:hAnsiTheme="minorHAnsi"/>
        </w:rPr>
      </w:pPr>
      <w:hyperlink w:anchor="_Toc446336615" w:history="1">
        <w:r w:rsidR="00C7167B" w:rsidRPr="00281155">
          <w:rPr>
            <w:rStyle w:val="Hyperlink"/>
          </w:rPr>
          <w:t>A.8</w:t>
        </w:r>
        <w:r w:rsidR="00C7167B">
          <w:rPr>
            <w:rFonts w:asciiTheme="minorHAnsi" w:hAnsiTheme="minorHAnsi"/>
          </w:rPr>
          <w:tab/>
        </w:r>
        <w:r w:rsidR="00C7167B" w:rsidRPr="00281155">
          <w:rPr>
            <w:rStyle w:val="Hyperlink"/>
          </w:rPr>
          <w:t>Comments in Response to the Federal Register Notice and Efforts to Consult Outside Agency</w:t>
        </w:r>
        <w:r w:rsidR="00C7167B">
          <w:rPr>
            <w:webHidden/>
          </w:rPr>
          <w:tab/>
        </w:r>
        <w:r w:rsidR="00C7167B">
          <w:rPr>
            <w:webHidden/>
          </w:rPr>
          <w:fldChar w:fldCharType="begin"/>
        </w:r>
        <w:r w:rsidR="00C7167B">
          <w:rPr>
            <w:webHidden/>
          </w:rPr>
          <w:instrText xml:space="preserve"> PAGEREF _Toc446336615 \h </w:instrText>
        </w:r>
        <w:r w:rsidR="00C7167B">
          <w:rPr>
            <w:webHidden/>
          </w:rPr>
        </w:r>
        <w:r w:rsidR="00C7167B">
          <w:rPr>
            <w:webHidden/>
          </w:rPr>
          <w:fldChar w:fldCharType="separate"/>
        </w:r>
        <w:r w:rsidR="00280A25">
          <w:rPr>
            <w:webHidden/>
          </w:rPr>
          <w:t>2</w:t>
        </w:r>
        <w:r w:rsidR="00C7167B">
          <w:rPr>
            <w:webHidden/>
          </w:rPr>
          <w:fldChar w:fldCharType="end"/>
        </w:r>
      </w:hyperlink>
    </w:p>
    <w:p w14:paraId="64C23890" w14:textId="77777777" w:rsidR="00C7167B" w:rsidRDefault="00516BCA" w:rsidP="00C7167B">
      <w:pPr>
        <w:pStyle w:val="TOC1"/>
        <w:rPr>
          <w:rFonts w:asciiTheme="minorHAnsi" w:hAnsiTheme="minorHAnsi"/>
        </w:rPr>
      </w:pPr>
      <w:hyperlink w:anchor="_Toc446336616" w:history="1">
        <w:r w:rsidR="00C7167B" w:rsidRPr="00281155">
          <w:rPr>
            <w:rStyle w:val="Hyperlink"/>
          </w:rPr>
          <w:t>A.9</w:t>
        </w:r>
        <w:r w:rsidR="00C7167B">
          <w:rPr>
            <w:rFonts w:asciiTheme="minorHAnsi" w:hAnsiTheme="minorHAnsi"/>
          </w:rPr>
          <w:tab/>
        </w:r>
        <w:r w:rsidR="00C7167B" w:rsidRPr="00281155">
          <w:rPr>
            <w:rStyle w:val="Hyperlink"/>
          </w:rPr>
          <w:t>Explanation of Any Payment of Gift to Respondents</w:t>
        </w:r>
        <w:r w:rsidR="00C7167B">
          <w:rPr>
            <w:webHidden/>
          </w:rPr>
          <w:tab/>
        </w:r>
        <w:r w:rsidR="00C7167B">
          <w:rPr>
            <w:webHidden/>
          </w:rPr>
          <w:fldChar w:fldCharType="begin"/>
        </w:r>
        <w:r w:rsidR="00C7167B">
          <w:rPr>
            <w:webHidden/>
          </w:rPr>
          <w:instrText xml:space="preserve"> PAGEREF _Toc446336616 \h </w:instrText>
        </w:r>
        <w:r w:rsidR="00C7167B">
          <w:rPr>
            <w:webHidden/>
          </w:rPr>
        </w:r>
        <w:r w:rsidR="00C7167B">
          <w:rPr>
            <w:webHidden/>
          </w:rPr>
          <w:fldChar w:fldCharType="separate"/>
        </w:r>
        <w:r w:rsidR="00280A25">
          <w:rPr>
            <w:webHidden/>
          </w:rPr>
          <w:t>3</w:t>
        </w:r>
        <w:r w:rsidR="00C7167B">
          <w:rPr>
            <w:webHidden/>
          </w:rPr>
          <w:fldChar w:fldCharType="end"/>
        </w:r>
      </w:hyperlink>
    </w:p>
    <w:p w14:paraId="0A00D092" w14:textId="77777777" w:rsidR="00C7167B" w:rsidRDefault="00516BCA" w:rsidP="00C7167B">
      <w:pPr>
        <w:pStyle w:val="TOC1"/>
        <w:rPr>
          <w:rFonts w:asciiTheme="minorHAnsi" w:hAnsiTheme="minorHAnsi"/>
        </w:rPr>
      </w:pPr>
      <w:hyperlink w:anchor="_Toc446336617" w:history="1">
        <w:r w:rsidR="00C7167B" w:rsidRPr="00281155">
          <w:rPr>
            <w:rStyle w:val="Hyperlink"/>
          </w:rPr>
          <w:t>A.10</w:t>
        </w:r>
        <w:r w:rsidR="00C7167B">
          <w:rPr>
            <w:rFonts w:asciiTheme="minorHAnsi" w:hAnsiTheme="minorHAnsi"/>
          </w:rPr>
          <w:tab/>
        </w:r>
        <w:r w:rsidR="00C7167B" w:rsidRPr="00281155">
          <w:rPr>
            <w:rStyle w:val="Hyperlink"/>
          </w:rPr>
          <w:t>Assurance of Confidentiality Provided to Respondents</w:t>
        </w:r>
        <w:r w:rsidR="00C7167B">
          <w:rPr>
            <w:webHidden/>
          </w:rPr>
          <w:tab/>
        </w:r>
        <w:r w:rsidR="00C7167B">
          <w:rPr>
            <w:webHidden/>
          </w:rPr>
          <w:fldChar w:fldCharType="begin"/>
        </w:r>
        <w:r w:rsidR="00C7167B">
          <w:rPr>
            <w:webHidden/>
          </w:rPr>
          <w:instrText xml:space="preserve"> PAGEREF _Toc446336617 \h </w:instrText>
        </w:r>
        <w:r w:rsidR="00C7167B">
          <w:rPr>
            <w:webHidden/>
          </w:rPr>
        </w:r>
        <w:r w:rsidR="00C7167B">
          <w:rPr>
            <w:webHidden/>
          </w:rPr>
          <w:fldChar w:fldCharType="separate"/>
        </w:r>
        <w:r w:rsidR="00280A25">
          <w:rPr>
            <w:webHidden/>
          </w:rPr>
          <w:t>3</w:t>
        </w:r>
        <w:r w:rsidR="00C7167B">
          <w:rPr>
            <w:webHidden/>
          </w:rPr>
          <w:fldChar w:fldCharType="end"/>
        </w:r>
      </w:hyperlink>
    </w:p>
    <w:p w14:paraId="5C4E25DD" w14:textId="77777777" w:rsidR="00C7167B" w:rsidRDefault="00516BCA" w:rsidP="00C7167B">
      <w:pPr>
        <w:pStyle w:val="TOC1"/>
        <w:rPr>
          <w:rFonts w:asciiTheme="minorHAnsi" w:hAnsiTheme="minorHAnsi"/>
        </w:rPr>
      </w:pPr>
      <w:hyperlink w:anchor="_Toc446336618" w:history="1">
        <w:r w:rsidR="00C7167B" w:rsidRPr="00281155">
          <w:rPr>
            <w:rStyle w:val="Hyperlink"/>
          </w:rPr>
          <w:t>A.11</w:t>
        </w:r>
        <w:r w:rsidR="00C7167B">
          <w:rPr>
            <w:rFonts w:asciiTheme="minorHAnsi" w:hAnsiTheme="minorHAnsi"/>
          </w:rPr>
          <w:tab/>
        </w:r>
        <w:r w:rsidR="00C7167B" w:rsidRPr="00281155">
          <w:rPr>
            <w:rStyle w:val="Hyperlink"/>
          </w:rPr>
          <w:t>Justification for Sensitive Questions</w:t>
        </w:r>
        <w:r w:rsidR="00C7167B">
          <w:rPr>
            <w:webHidden/>
          </w:rPr>
          <w:tab/>
        </w:r>
        <w:r w:rsidR="00C7167B">
          <w:rPr>
            <w:webHidden/>
          </w:rPr>
          <w:fldChar w:fldCharType="begin"/>
        </w:r>
        <w:r w:rsidR="00C7167B">
          <w:rPr>
            <w:webHidden/>
          </w:rPr>
          <w:instrText xml:space="preserve"> PAGEREF _Toc446336618 \h </w:instrText>
        </w:r>
        <w:r w:rsidR="00C7167B">
          <w:rPr>
            <w:webHidden/>
          </w:rPr>
        </w:r>
        <w:r w:rsidR="00C7167B">
          <w:rPr>
            <w:webHidden/>
          </w:rPr>
          <w:fldChar w:fldCharType="separate"/>
        </w:r>
        <w:r w:rsidR="00280A25">
          <w:rPr>
            <w:webHidden/>
          </w:rPr>
          <w:t>3</w:t>
        </w:r>
        <w:r w:rsidR="00C7167B">
          <w:rPr>
            <w:webHidden/>
          </w:rPr>
          <w:fldChar w:fldCharType="end"/>
        </w:r>
      </w:hyperlink>
    </w:p>
    <w:p w14:paraId="3D0F6B4C" w14:textId="77777777" w:rsidR="00C7167B" w:rsidRDefault="00516BCA" w:rsidP="00C7167B">
      <w:pPr>
        <w:pStyle w:val="TOC1"/>
        <w:rPr>
          <w:rFonts w:asciiTheme="minorHAnsi" w:hAnsiTheme="minorHAnsi"/>
        </w:rPr>
      </w:pPr>
      <w:hyperlink w:anchor="_Toc446336619" w:history="1">
        <w:r w:rsidR="00C7167B" w:rsidRPr="00281155">
          <w:rPr>
            <w:rStyle w:val="Hyperlink"/>
          </w:rPr>
          <w:t>A.12.1</w:t>
        </w:r>
        <w:r w:rsidR="00C7167B">
          <w:rPr>
            <w:rFonts w:asciiTheme="minorHAnsi" w:hAnsiTheme="minorHAnsi"/>
          </w:rPr>
          <w:tab/>
        </w:r>
        <w:r w:rsidR="00C7167B" w:rsidRPr="00281155">
          <w:rPr>
            <w:rStyle w:val="Hyperlink"/>
          </w:rPr>
          <w:t>Estimated Annualized Burden Hours</w:t>
        </w:r>
        <w:r w:rsidR="00C7167B">
          <w:rPr>
            <w:webHidden/>
          </w:rPr>
          <w:tab/>
        </w:r>
        <w:r w:rsidR="00C7167B">
          <w:rPr>
            <w:webHidden/>
          </w:rPr>
          <w:fldChar w:fldCharType="begin"/>
        </w:r>
        <w:r w:rsidR="00C7167B">
          <w:rPr>
            <w:webHidden/>
          </w:rPr>
          <w:instrText xml:space="preserve"> PAGEREF _Toc446336619 \h </w:instrText>
        </w:r>
        <w:r w:rsidR="00C7167B">
          <w:rPr>
            <w:webHidden/>
          </w:rPr>
        </w:r>
        <w:r w:rsidR="00C7167B">
          <w:rPr>
            <w:webHidden/>
          </w:rPr>
          <w:fldChar w:fldCharType="separate"/>
        </w:r>
        <w:r w:rsidR="00280A25">
          <w:rPr>
            <w:webHidden/>
          </w:rPr>
          <w:t>3</w:t>
        </w:r>
        <w:r w:rsidR="00C7167B">
          <w:rPr>
            <w:webHidden/>
          </w:rPr>
          <w:fldChar w:fldCharType="end"/>
        </w:r>
      </w:hyperlink>
    </w:p>
    <w:p w14:paraId="13941E8D" w14:textId="77777777" w:rsidR="00C7167B" w:rsidRDefault="00516BCA" w:rsidP="00C7167B">
      <w:pPr>
        <w:pStyle w:val="TOC1"/>
        <w:rPr>
          <w:rFonts w:asciiTheme="minorHAnsi" w:hAnsiTheme="minorHAnsi"/>
        </w:rPr>
      </w:pPr>
      <w:hyperlink w:anchor="_Toc446336620" w:history="1">
        <w:r w:rsidR="00C7167B" w:rsidRPr="00281155">
          <w:rPr>
            <w:rStyle w:val="Hyperlink"/>
          </w:rPr>
          <w:t>A.12-2</w:t>
        </w:r>
        <w:r w:rsidR="00C7167B">
          <w:rPr>
            <w:rFonts w:asciiTheme="minorHAnsi" w:hAnsiTheme="minorHAnsi"/>
          </w:rPr>
          <w:tab/>
        </w:r>
        <w:r w:rsidR="00C7167B" w:rsidRPr="00281155">
          <w:rPr>
            <w:rStyle w:val="Hyperlink"/>
          </w:rPr>
          <w:t>Annualized Cost to Respondents</w:t>
        </w:r>
        <w:r w:rsidR="00C7167B">
          <w:rPr>
            <w:webHidden/>
          </w:rPr>
          <w:tab/>
        </w:r>
        <w:r w:rsidR="00C7167B">
          <w:rPr>
            <w:webHidden/>
          </w:rPr>
          <w:fldChar w:fldCharType="begin"/>
        </w:r>
        <w:r w:rsidR="00C7167B">
          <w:rPr>
            <w:webHidden/>
          </w:rPr>
          <w:instrText xml:space="preserve"> PAGEREF _Toc446336620 \h </w:instrText>
        </w:r>
        <w:r w:rsidR="00C7167B">
          <w:rPr>
            <w:webHidden/>
          </w:rPr>
        </w:r>
        <w:r w:rsidR="00C7167B">
          <w:rPr>
            <w:webHidden/>
          </w:rPr>
          <w:fldChar w:fldCharType="separate"/>
        </w:r>
        <w:r w:rsidR="00280A25">
          <w:rPr>
            <w:webHidden/>
          </w:rPr>
          <w:t>3</w:t>
        </w:r>
        <w:r w:rsidR="00C7167B">
          <w:rPr>
            <w:webHidden/>
          </w:rPr>
          <w:fldChar w:fldCharType="end"/>
        </w:r>
      </w:hyperlink>
    </w:p>
    <w:p w14:paraId="3464B5D4" w14:textId="77777777" w:rsidR="00C7167B" w:rsidRDefault="00516BCA" w:rsidP="00C7167B">
      <w:pPr>
        <w:pStyle w:val="TOC1"/>
        <w:rPr>
          <w:rFonts w:asciiTheme="minorHAnsi" w:hAnsiTheme="minorHAnsi"/>
        </w:rPr>
      </w:pPr>
      <w:hyperlink w:anchor="_Toc446336621" w:history="1">
        <w:r w:rsidR="00C7167B" w:rsidRPr="00281155">
          <w:rPr>
            <w:rStyle w:val="Hyperlink"/>
          </w:rPr>
          <w:t>A.13</w:t>
        </w:r>
        <w:r w:rsidR="00C7167B">
          <w:rPr>
            <w:rFonts w:asciiTheme="minorHAnsi" w:hAnsiTheme="minorHAnsi"/>
          </w:rPr>
          <w:tab/>
        </w:r>
        <w:r w:rsidR="00C7167B" w:rsidRPr="00281155">
          <w:rPr>
            <w:rStyle w:val="Hyperlink"/>
          </w:rPr>
          <w:t>Estimate of Other Total Annual Cost Burden to Respondents or Record Keepers</w:t>
        </w:r>
        <w:r w:rsidR="00C7167B">
          <w:rPr>
            <w:webHidden/>
          </w:rPr>
          <w:tab/>
        </w:r>
        <w:r w:rsidR="00C7167B">
          <w:rPr>
            <w:webHidden/>
          </w:rPr>
          <w:fldChar w:fldCharType="begin"/>
        </w:r>
        <w:r w:rsidR="00C7167B">
          <w:rPr>
            <w:webHidden/>
          </w:rPr>
          <w:instrText xml:space="preserve"> PAGEREF _Toc446336621 \h </w:instrText>
        </w:r>
        <w:r w:rsidR="00C7167B">
          <w:rPr>
            <w:webHidden/>
          </w:rPr>
        </w:r>
        <w:r w:rsidR="00C7167B">
          <w:rPr>
            <w:webHidden/>
          </w:rPr>
          <w:fldChar w:fldCharType="separate"/>
        </w:r>
        <w:r w:rsidR="00280A25">
          <w:rPr>
            <w:webHidden/>
          </w:rPr>
          <w:t>4</w:t>
        </w:r>
        <w:r w:rsidR="00C7167B">
          <w:rPr>
            <w:webHidden/>
          </w:rPr>
          <w:fldChar w:fldCharType="end"/>
        </w:r>
      </w:hyperlink>
    </w:p>
    <w:p w14:paraId="16A05F1C" w14:textId="77777777" w:rsidR="00C7167B" w:rsidRDefault="00516BCA" w:rsidP="00C7167B">
      <w:pPr>
        <w:pStyle w:val="TOC1"/>
        <w:rPr>
          <w:rFonts w:asciiTheme="minorHAnsi" w:hAnsiTheme="minorHAnsi"/>
        </w:rPr>
      </w:pPr>
      <w:hyperlink w:anchor="_Toc446336622" w:history="1">
        <w:r w:rsidR="00C7167B" w:rsidRPr="00281155">
          <w:rPr>
            <w:rStyle w:val="Hyperlink"/>
          </w:rPr>
          <w:t>A.14</w:t>
        </w:r>
        <w:r w:rsidR="00C7167B">
          <w:rPr>
            <w:rFonts w:asciiTheme="minorHAnsi" w:hAnsiTheme="minorHAnsi"/>
          </w:rPr>
          <w:tab/>
        </w:r>
        <w:r w:rsidR="00C7167B" w:rsidRPr="00281155">
          <w:rPr>
            <w:rStyle w:val="Hyperlink"/>
          </w:rPr>
          <w:t>Annualized Cost to the Federal Government</w:t>
        </w:r>
        <w:r w:rsidR="00C7167B">
          <w:rPr>
            <w:webHidden/>
          </w:rPr>
          <w:tab/>
        </w:r>
        <w:r w:rsidR="00C7167B">
          <w:rPr>
            <w:webHidden/>
          </w:rPr>
          <w:fldChar w:fldCharType="begin"/>
        </w:r>
        <w:r w:rsidR="00C7167B">
          <w:rPr>
            <w:webHidden/>
          </w:rPr>
          <w:instrText xml:space="preserve"> PAGEREF _Toc446336622 \h </w:instrText>
        </w:r>
        <w:r w:rsidR="00C7167B">
          <w:rPr>
            <w:webHidden/>
          </w:rPr>
        </w:r>
        <w:r w:rsidR="00C7167B">
          <w:rPr>
            <w:webHidden/>
          </w:rPr>
          <w:fldChar w:fldCharType="separate"/>
        </w:r>
        <w:r w:rsidR="00280A25">
          <w:rPr>
            <w:webHidden/>
          </w:rPr>
          <w:t>4</w:t>
        </w:r>
        <w:r w:rsidR="00C7167B">
          <w:rPr>
            <w:webHidden/>
          </w:rPr>
          <w:fldChar w:fldCharType="end"/>
        </w:r>
      </w:hyperlink>
    </w:p>
    <w:p w14:paraId="216D6787" w14:textId="77777777" w:rsidR="00C7167B" w:rsidRDefault="00516BCA" w:rsidP="00C7167B">
      <w:pPr>
        <w:pStyle w:val="TOC1"/>
        <w:rPr>
          <w:rFonts w:asciiTheme="minorHAnsi" w:hAnsiTheme="minorHAnsi"/>
        </w:rPr>
      </w:pPr>
      <w:hyperlink w:anchor="_Toc446336623" w:history="1">
        <w:r w:rsidR="00C7167B" w:rsidRPr="00281155">
          <w:rPr>
            <w:rStyle w:val="Hyperlink"/>
          </w:rPr>
          <w:t>A.15</w:t>
        </w:r>
        <w:r w:rsidR="00C7167B">
          <w:rPr>
            <w:rFonts w:asciiTheme="minorHAnsi" w:hAnsiTheme="minorHAnsi"/>
          </w:rPr>
          <w:tab/>
        </w:r>
        <w:r w:rsidR="00C7167B" w:rsidRPr="00281155">
          <w:rPr>
            <w:rStyle w:val="Hyperlink"/>
          </w:rPr>
          <w:t>Explanation for Program Changes or Adjustments</w:t>
        </w:r>
        <w:r w:rsidR="00C7167B">
          <w:rPr>
            <w:webHidden/>
          </w:rPr>
          <w:tab/>
        </w:r>
        <w:r w:rsidR="00C7167B">
          <w:rPr>
            <w:webHidden/>
          </w:rPr>
          <w:fldChar w:fldCharType="begin"/>
        </w:r>
        <w:r w:rsidR="00C7167B">
          <w:rPr>
            <w:webHidden/>
          </w:rPr>
          <w:instrText xml:space="preserve"> PAGEREF _Toc446336623 \h </w:instrText>
        </w:r>
        <w:r w:rsidR="00C7167B">
          <w:rPr>
            <w:webHidden/>
          </w:rPr>
        </w:r>
        <w:r w:rsidR="00C7167B">
          <w:rPr>
            <w:webHidden/>
          </w:rPr>
          <w:fldChar w:fldCharType="separate"/>
        </w:r>
        <w:r w:rsidR="00280A25">
          <w:rPr>
            <w:webHidden/>
          </w:rPr>
          <w:t>5</w:t>
        </w:r>
        <w:r w:rsidR="00C7167B">
          <w:rPr>
            <w:webHidden/>
          </w:rPr>
          <w:fldChar w:fldCharType="end"/>
        </w:r>
      </w:hyperlink>
    </w:p>
    <w:p w14:paraId="7D295BEA" w14:textId="77777777" w:rsidR="00C7167B" w:rsidRDefault="00516BCA" w:rsidP="00C7167B">
      <w:pPr>
        <w:pStyle w:val="TOC1"/>
        <w:rPr>
          <w:rFonts w:asciiTheme="minorHAnsi" w:hAnsiTheme="minorHAnsi"/>
        </w:rPr>
      </w:pPr>
      <w:hyperlink w:anchor="_Toc446336624" w:history="1">
        <w:r w:rsidR="00C7167B" w:rsidRPr="00281155">
          <w:rPr>
            <w:rStyle w:val="Hyperlink"/>
          </w:rPr>
          <w:t>A.16</w:t>
        </w:r>
        <w:r w:rsidR="00C7167B">
          <w:rPr>
            <w:rFonts w:asciiTheme="minorHAnsi" w:hAnsiTheme="minorHAnsi"/>
          </w:rPr>
          <w:tab/>
        </w:r>
        <w:r w:rsidR="00C7167B" w:rsidRPr="00281155">
          <w:rPr>
            <w:rStyle w:val="Hyperlink"/>
          </w:rPr>
          <w:t>Plans for Tabulation and Publication and Project Time Schedule</w:t>
        </w:r>
        <w:r w:rsidR="00C7167B">
          <w:rPr>
            <w:webHidden/>
          </w:rPr>
          <w:tab/>
        </w:r>
        <w:r w:rsidR="00C7167B">
          <w:rPr>
            <w:webHidden/>
          </w:rPr>
          <w:fldChar w:fldCharType="begin"/>
        </w:r>
        <w:r w:rsidR="00C7167B">
          <w:rPr>
            <w:webHidden/>
          </w:rPr>
          <w:instrText xml:space="preserve"> PAGEREF _Toc446336624 \h </w:instrText>
        </w:r>
        <w:r w:rsidR="00C7167B">
          <w:rPr>
            <w:webHidden/>
          </w:rPr>
        </w:r>
        <w:r w:rsidR="00C7167B">
          <w:rPr>
            <w:webHidden/>
          </w:rPr>
          <w:fldChar w:fldCharType="separate"/>
        </w:r>
        <w:r w:rsidR="00280A25">
          <w:rPr>
            <w:webHidden/>
          </w:rPr>
          <w:t>5</w:t>
        </w:r>
        <w:r w:rsidR="00C7167B">
          <w:rPr>
            <w:webHidden/>
          </w:rPr>
          <w:fldChar w:fldCharType="end"/>
        </w:r>
      </w:hyperlink>
    </w:p>
    <w:p w14:paraId="36B810DA" w14:textId="77777777" w:rsidR="00C7167B" w:rsidRDefault="00516BCA" w:rsidP="00C7167B">
      <w:pPr>
        <w:pStyle w:val="TOC1"/>
        <w:rPr>
          <w:rFonts w:asciiTheme="minorHAnsi" w:hAnsiTheme="minorHAnsi"/>
        </w:rPr>
      </w:pPr>
      <w:hyperlink w:anchor="_Toc446336625" w:history="1">
        <w:r w:rsidR="00C7167B" w:rsidRPr="00281155">
          <w:rPr>
            <w:rStyle w:val="Hyperlink"/>
          </w:rPr>
          <w:t>A.17</w:t>
        </w:r>
        <w:r w:rsidR="00C7167B">
          <w:rPr>
            <w:rFonts w:asciiTheme="minorHAnsi" w:hAnsiTheme="minorHAnsi"/>
          </w:rPr>
          <w:tab/>
        </w:r>
        <w:r w:rsidR="00C7167B" w:rsidRPr="00281155">
          <w:rPr>
            <w:rStyle w:val="Hyperlink"/>
          </w:rPr>
          <w:t>Reason(s) Display of OMB Expiration Date is Inappropriate</w:t>
        </w:r>
        <w:r w:rsidR="00C7167B">
          <w:rPr>
            <w:webHidden/>
          </w:rPr>
          <w:tab/>
        </w:r>
        <w:r w:rsidR="00C7167B">
          <w:rPr>
            <w:webHidden/>
          </w:rPr>
          <w:fldChar w:fldCharType="begin"/>
        </w:r>
        <w:r w:rsidR="00C7167B">
          <w:rPr>
            <w:webHidden/>
          </w:rPr>
          <w:instrText xml:space="preserve"> PAGEREF _Toc446336625 \h </w:instrText>
        </w:r>
        <w:r w:rsidR="00C7167B">
          <w:rPr>
            <w:webHidden/>
          </w:rPr>
        </w:r>
        <w:r w:rsidR="00C7167B">
          <w:rPr>
            <w:webHidden/>
          </w:rPr>
          <w:fldChar w:fldCharType="separate"/>
        </w:r>
        <w:r w:rsidR="00280A25">
          <w:rPr>
            <w:webHidden/>
          </w:rPr>
          <w:t>5</w:t>
        </w:r>
        <w:r w:rsidR="00C7167B">
          <w:rPr>
            <w:webHidden/>
          </w:rPr>
          <w:fldChar w:fldCharType="end"/>
        </w:r>
      </w:hyperlink>
    </w:p>
    <w:p w14:paraId="4E6B43F3" w14:textId="77777777" w:rsidR="00C7167B" w:rsidRDefault="00516BCA" w:rsidP="00C7167B">
      <w:pPr>
        <w:pStyle w:val="TOC1"/>
        <w:rPr>
          <w:rFonts w:asciiTheme="minorHAnsi" w:hAnsiTheme="minorHAnsi"/>
        </w:rPr>
      </w:pPr>
      <w:hyperlink w:anchor="_Toc446336626" w:history="1">
        <w:r w:rsidR="00C7167B" w:rsidRPr="00281155">
          <w:rPr>
            <w:rStyle w:val="Hyperlink"/>
          </w:rPr>
          <w:t>A.18</w:t>
        </w:r>
        <w:r w:rsidR="00C7167B">
          <w:rPr>
            <w:rFonts w:asciiTheme="minorHAnsi" w:hAnsiTheme="minorHAnsi"/>
          </w:rPr>
          <w:tab/>
        </w:r>
        <w:r w:rsidR="00C7167B" w:rsidRPr="00281155">
          <w:rPr>
            <w:rStyle w:val="Hyperlink"/>
          </w:rPr>
          <w:t>Exceptions to Certification for Paperwork Reduction Act Submissions</w:t>
        </w:r>
        <w:r w:rsidR="00C7167B">
          <w:rPr>
            <w:webHidden/>
          </w:rPr>
          <w:tab/>
        </w:r>
        <w:r w:rsidR="00C7167B">
          <w:rPr>
            <w:webHidden/>
          </w:rPr>
          <w:fldChar w:fldCharType="begin"/>
        </w:r>
        <w:r w:rsidR="00C7167B">
          <w:rPr>
            <w:webHidden/>
          </w:rPr>
          <w:instrText xml:space="preserve"> PAGEREF _Toc446336626 \h </w:instrText>
        </w:r>
        <w:r w:rsidR="00C7167B">
          <w:rPr>
            <w:webHidden/>
          </w:rPr>
        </w:r>
        <w:r w:rsidR="00C7167B">
          <w:rPr>
            <w:webHidden/>
          </w:rPr>
          <w:fldChar w:fldCharType="separate"/>
        </w:r>
        <w:r w:rsidR="00280A25">
          <w:rPr>
            <w:webHidden/>
          </w:rPr>
          <w:t>5</w:t>
        </w:r>
        <w:r w:rsidR="00C7167B">
          <w:rPr>
            <w:webHidden/>
          </w:rPr>
          <w:fldChar w:fldCharType="end"/>
        </w:r>
      </w:hyperlink>
    </w:p>
    <w:p w14:paraId="1DAFB526" w14:textId="3A23ED83" w:rsidR="007A0876" w:rsidRDefault="00032772" w:rsidP="00C7167B">
      <w:pPr>
        <w:spacing w:after="20"/>
        <w:jc w:val="center"/>
        <w:rPr>
          <w:b/>
        </w:rPr>
      </w:pPr>
      <w:r>
        <w:fldChar w:fldCharType="end"/>
      </w:r>
      <w:r w:rsidR="007A0876">
        <w:rPr>
          <w:b/>
        </w:rPr>
        <w:br w:type="page"/>
      </w:r>
    </w:p>
    <w:p w14:paraId="13A78859" w14:textId="77777777" w:rsidR="00032772" w:rsidRPr="00637766" w:rsidRDefault="00032772" w:rsidP="00C7167B">
      <w:pPr>
        <w:pStyle w:val="Title"/>
      </w:pPr>
      <w:r w:rsidRPr="00637766">
        <w:lastRenderedPageBreak/>
        <w:t>List of Attachments</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6"/>
        <w:gridCol w:w="6974"/>
      </w:tblGrid>
      <w:tr w:rsidR="00032772" w:rsidRPr="00637766" w14:paraId="7770E790" w14:textId="77777777" w:rsidTr="00C7167B">
        <w:tc>
          <w:tcPr>
            <w:tcW w:w="2538" w:type="dxa"/>
          </w:tcPr>
          <w:p w14:paraId="1D268225" w14:textId="77777777" w:rsidR="00032772" w:rsidRPr="00637766" w:rsidRDefault="00032772" w:rsidP="007066C9">
            <w:r w:rsidRPr="00637766">
              <w:t>Attachment A:</w:t>
            </w:r>
          </w:p>
        </w:tc>
        <w:tc>
          <w:tcPr>
            <w:tcW w:w="7758" w:type="dxa"/>
          </w:tcPr>
          <w:p w14:paraId="695B87AD" w14:textId="4E331CCD" w:rsidR="00032772" w:rsidRPr="00637766" w:rsidRDefault="00637766" w:rsidP="007066C9">
            <w:pPr>
              <w:spacing w:after="360"/>
            </w:pPr>
            <w:r>
              <w:t>Community-based Participatory Research (CBPR) Principal Investigators (PI) Customer Satisfaction Survey Screenshots</w:t>
            </w:r>
          </w:p>
        </w:tc>
      </w:tr>
      <w:tr w:rsidR="00032772" w:rsidRPr="00637766" w14:paraId="264E4F3F" w14:textId="77777777" w:rsidTr="00C7167B">
        <w:tc>
          <w:tcPr>
            <w:tcW w:w="2538" w:type="dxa"/>
          </w:tcPr>
          <w:p w14:paraId="417078D9" w14:textId="77777777" w:rsidR="00032772" w:rsidRPr="00637766" w:rsidRDefault="00032772" w:rsidP="007066C9">
            <w:r w:rsidRPr="00637766">
              <w:t>Attachment B:</w:t>
            </w:r>
          </w:p>
        </w:tc>
        <w:tc>
          <w:tcPr>
            <w:tcW w:w="7758" w:type="dxa"/>
          </w:tcPr>
          <w:p w14:paraId="12D8E823" w14:textId="1216069C" w:rsidR="00032772" w:rsidRPr="00637766" w:rsidRDefault="00637766" w:rsidP="007066C9">
            <w:pPr>
              <w:spacing w:after="360"/>
            </w:pPr>
            <w:r>
              <w:t>OBSSR Behavioral and Social Intervention Grants Principal Investigators (PI) Customer Satisfaction Survey Screenshots</w:t>
            </w:r>
            <w:r w:rsidR="00032772" w:rsidRPr="00637766">
              <w:t xml:space="preserve"> </w:t>
            </w:r>
          </w:p>
        </w:tc>
      </w:tr>
      <w:tr w:rsidR="00032772" w:rsidRPr="00637766" w14:paraId="1451AF8A" w14:textId="77777777" w:rsidTr="00C7167B">
        <w:tc>
          <w:tcPr>
            <w:tcW w:w="2538" w:type="dxa"/>
          </w:tcPr>
          <w:p w14:paraId="2542F722" w14:textId="77777777" w:rsidR="00032772" w:rsidRPr="00637766" w:rsidRDefault="00032772" w:rsidP="007066C9">
            <w:r w:rsidRPr="00637766">
              <w:t>Attachment C:</w:t>
            </w:r>
          </w:p>
        </w:tc>
        <w:tc>
          <w:tcPr>
            <w:tcW w:w="7758" w:type="dxa"/>
          </w:tcPr>
          <w:p w14:paraId="150FA5A0" w14:textId="68349CC6" w:rsidR="00032772" w:rsidRPr="00637766" w:rsidRDefault="00637766" w:rsidP="007066C9">
            <w:pPr>
              <w:spacing w:after="360"/>
            </w:pPr>
            <w:r>
              <w:t>Community-based Participatory Research CBPR Community Partners (CP) Customer Satisfaction Survey Screenshots</w:t>
            </w:r>
          </w:p>
        </w:tc>
      </w:tr>
      <w:tr w:rsidR="00032772" w:rsidRPr="00637766" w14:paraId="59FA726F" w14:textId="77777777" w:rsidTr="00C7167B">
        <w:tc>
          <w:tcPr>
            <w:tcW w:w="2538" w:type="dxa"/>
          </w:tcPr>
          <w:p w14:paraId="1CC7EE64" w14:textId="77777777" w:rsidR="00032772" w:rsidRPr="00637766" w:rsidRDefault="00032772" w:rsidP="007066C9">
            <w:r w:rsidRPr="00637766">
              <w:t>Attachment D:</w:t>
            </w:r>
          </w:p>
        </w:tc>
        <w:tc>
          <w:tcPr>
            <w:tcW w:w="7758" w:type="dxa"/>
          </w:tcPr>
          <w:p w14:paraId="3D114114" w14:textId="709F2444" w:rsidR="00032772" w:rsidRPr="00637766" w:rsidRDefault="00637766" w:rsidP="007066C9">
            <w:pPr>
              <w:spacing w:after="360"/>
            </w:pPr>
            <w:r>
              <w:t>OBSSR CBPR Principal Investigators Customer Satisfaction Survey: OBSSR E-mail Invitation to Participate in an Online Survey</w:t>
            </w:r>
            <w:r w:rsidR="00032772" w:rsidRPr="00637766">
              <w:t xml:space="preserve"> </w:t>
            </w:r>
          </w:p>
        </w:tc>
      </w:tr>
      <w:tr w:rsidR="00032772" w:rsidRPr="00637766" w14:paraId="3EFC4831" w14:textId="77777777" w:rsidTr="00C7167B">
        <w:tc>
          <w:tcPr>
            <w:tcW w:w="2538" w:type="dxa"/>
          </w:tcPr>
          <w:p w14:paraId="7804E1D0" w14:textId="77777777" w:rsidR="00032772" w:rsidRPr="00637766" w:rsidRDefault="00032772" w:rsidP="007066C9">
            <w:r w:rsidRPr="00637766">
              <w:t>Attachment E:</w:t>
            </w:r>
          </w:p>
        </w:tc>
        <w:tc>
          <w:tcPr>
            <w:tcW w:w="7758" w:type="dxa"/>
          </w:tcPr>
          <w:p w14:paraId="6E57F26E" w14:textId="2CA48BB1" w:rsidR="00032772" w:rsidRPr="00637766" w:rsidRDefault="00637766" w:rsidP="00637766">
            <w:pPr>
              <w:spacing w:after="360"/>
            </w:pPr>
            <w:r>
              <w:t>OBSSR CBPR Community Partners Customer Satisfaction Survey: OBSSR E-mail Invitation to Participate in an Online Survey</w:t>
            </w:r>
          </w:p>
        </w:tc>
      </w:tr>
      <w:tr w:rsidR="00032772" w:rsidRPr="00637766" w14:paraId="34932335" w14:textId="77777777" w:rsidTr="00C7167B">
        <w:tc>
          <w:tcPr>
            <w:tcW w:w="2538" w:type="dxa"/>
          </w:tcPr>
          <w:p w14:paraId="6F6A5EBB" w14:textId="77777777" w:rsidR="00032772" w:rsidRPr="00637766" w:rsidRDefault="00032772" w:rsidP="007066C9">
            <w:r w:rsidRPr="00637766">
              <w:t>Attachment F:</w:t>
            </w:r>
          </w:p>
        </w:tc>
        <w:tc>
          <w:tcPr>
            <w:tcW w:w="7758" w:type="dxa"/>
          </w:tcPr>
          <w:p w14:paraId="5EC13174" w14:textId="2F996B78" w:rsidR="00032772" w:rsidRPr="00637766" w:rsidRDefault="00637766" w:rsidP="00637766">
            <w:pPr>
              <w:spacing w:after="360"/>
            </w:pPr>
            <w:r>
              <w:t>OBSSR Behavioral and Social Intervention Grant Principal Investigators Customer Satisfaction Survey: OBSSR E-mail Invitation to Participate in an Online Survey</w:t>
            </w:r>
          </w:p>
        </w:tc>
      </w:tr>
      <w:tr w:rsidR="00032772" w:rsidRPr="00637766" w14:paraId="69472778" w14:textId="77777777" w:rsidTr="00C7167B">
        <w:tc>
          <w:tcPr>
            <w:tcW w:w="2538" w:type="dxa"/>
          </w:tcPr>
          <w:p w14:paraId="0BBA6998" w14:textId="77777777" w:rsidR="00032772" w:rsidRPr="00637766" w:rsidRDefault="00032772" w:rsidP="007066C9">
            <w:r w:rsidRPr="00637766">
              <w:t>Attachment G:</w:t>
            </w:r>
          </w:p>
        </w:tc>
        <w:tc>
          <w:tcPr>
            <w:tcW w:w="7758" w:type="dxa"/>
          </w:tcPr>
          <w:p w14:paraId="0971AEAF" w14:textId="00350594" w:rsidR="00032772" w:rsidRPr="00637766" w:rsidRDefault="00637766" w:rsidP="007066C9">
            <w:pPr>
              <w:spacing w:after="360"/>
            </w:pPr>
            <w:r>
              <w:t>Follow-up E-mail to Distribute the Survey Link</w:t>
            </w:r>
          </w:p>
        </w:tc>
      </w:tr>
      <w:tr w:rsidR="00032772" w14:paraId="3A408ED1" w14:textId="77777777" w:rsidTr="00C7167B">
        <w:tc>
          <w:tcPr>
            <w:tcW w:w="2538" w:type="dxa"/>
          </w:tcPr>
          <w:p w14:paraId="22233197" w14:textId="77777777" w:rsidR="00032772" w:rsidRDefault="00032772" w:rsidP="007066C9">
            <w:r w:rsidRPr="00637766">
              <w:t>Attachment H:</w:t>
            </w:r>
          </w:p>
          <w:p w14:paraId="69C213C3" w14:textId="138D8959" w:rsidR="00516BCA" w:rsidRPr="00637766" w:rsidRDefault="00516BCA" w:rsidP="007066C9">
            <w:r>
              <w:t>Attachment I:</w:t>
            </w:r>
          </w:p>
        </w:tc>
        <w:tc>
          <w:tcPr>
            <w:tcW w:w="7758" w:type="dxa"/>
          </w:tcPr>
          <w:p w14:paraId="0377B339" w14:textId="77777777" w:rsidR="00032772" w:rsidRDefault="00637766" w:rsidP="00516BCA">
            <w:pPr>
              <w:spacing w:after="0"/>
            </w:pPr>
            <w:r>
              <w:t>Reminder E-mail with Survey Link</w:t>
            </w:r>
          </w:p>
          <w:p w14:paraId="5E9A6126" w14:textId="77777777" w:rsidR="00516BCA" w:rsidRPr="00516BCA" w:rsidRDefault="00516BCA" w:rsidP="00516BCA">
            <w:pPr>
              <w:spacing w:after="0"/>
              <w:rPr>
                <w:sz w:val="16"/>
                <w:szCs w:val="16"/>
              </w:rPr>
            </w:pPr>
            <w:bookmarkStart w:id="0" w:name="_GoBack"/>
            <w:bookmarkEnd w:id="0"/>
          </w:p>
          <w:p w14:paraId="557D12A1" w14:textId="7F204639" w:rsidR="00516BCA" w:rsidRPr="00F87209" w:rsidRDefault="00516BCA" w:rsidP="00516BCA">
            <w:pPr>
              <w:spacing w:after="0"/>
            </w:pPr>
            <w:r w:rsidRPr="00516BCA">
              <w:t xml:space="preserve">NIH OD </w:t>
            </w:r>
            <w:proofErr w:type="spellStart"/>
            <w:r w:rsidRPr="00516BCA">
              <w:t>SurveyGizmo</w:t>
            </w:r>
            <w:proofErr w:type="spellEnd"/>
            <w:r w:rsidRPr="00516BCA">
              <w:t xml:space="preserve"> for CBPR PIA</w:t>
            </w:r>
          </w:p>
        </w:tc>
      </w:tr>
    </w:tbl>
    <w:p w14:paraId="3BC2F443" w14:textId="77777777" w:rsidR="007A0876" w:rsidRDefault="007A0876">
      <w:pPr>
        <w:rPr>
          <w:b/>
        </w:rPr>
        <w:sectPr w:rsidR="007A0876" w:rsidSect="00C7167B">
          <w:footerReference w:type="default" r:id="rId8"/>
          <w:pgSz w:w="12240" w:h="15840" w:code="1"/>
          <w:pgMar w:top="1440" w:right="1440" w:bottom="1440" w:left="1440" w:header="720" w:footer="720" w:gutter="0"/>
          <w:pgNumType w:fmt="lowerRoman" w:start="1"/>
          <w:cols w:space="720"/>
          <w:docGrid w:linePitch="360"/>
        </w:sectPr>
      </w:pPr>
    </w:p>
    <w:p w14:paraId="4FA44B6D" w14:textId="77777777" w:rsidR="007A0876" w:rsidRDefault="00AF01AD" w:rsidP="00C7167B">
      <w:pPr>
        <w:pStyle w:val="Title"/>
      </w:pPr>
      <w:r w:rsidRPr="007A0876">
        <w:lastRenderedPageBreak/>
        <w:t xml:space="preserve">Mini </w:t>
      </w:r>
      <w:r w:rsidR="008716F6" w:rsidRPr="007A0876">
        <w:t>Supporting Statement</w:t>
      </w:r>
      <w:r w:rsidR="008529CC" w:rsidRPr="007A0876">
        <w:t xml:space="preserve"> A</w:t>
      </w:r>
    </w:p>
    <w:p w14:paraId="1650FFC8" w14:textId="2E856C9B" w:rsidR="00003BE1" w:rsidRPr="00113647" w:rsidRDefault="008716F6" w:rsidP="00C7167B">
      <w:pPr>
        <w:pStyle w:val="Heading1"/>
      </w:pPr>
      <w:bookmarkStart w:id="1" w:name="_Toc446336608"/>
      <w:r w:rsidRPr="00113647">
        <w:t>A.1</w:t>
      </w:r>
      <w:r w:rsidR="007A0876">
        <w:tab/>
      </w:r>
      <w:r w:rsidRPr="00C7167B">
        <w:t>Circumstances</w:t>
      </w:r>
      <w:r w:rsidRPr="00113647">
        <w:t xml:space="preserve"> Making the Collection of Information Necessary</w:t>
      </w:r>
      <w:bookmarkEnd w:id="1"/>
    </w:p>
    <w:p w14:paraId="08EFEBE1" w14:textId="32FB023C" w:rsidR="007A0876" w:rsidRDefault="00032772" w:rsidP="007A0876">
      <w:r>
        <w:t>The NIH Center for Scientific Review (CSR) is responsible for formulating grant award peer review policies, assigning grant applications to peer review groups, and directing scientific and technical review of these applications.</w:t>
      </w:r>
      <w:r w:rsidR="00345607">
        <w:t xml:space="preserve"> </w:t>
      </w:r>
      <w:r>
        <w:t>Input from CSR customers (grant applicants/researchers/investigators) informs CSR services, including the technical review and assignment of priority scores, leading to funding decisions for NIH grant support.</w:t>
      </w:r>
    </w:p>
    <w:p w14:paraId="5A6FFD9B" w14:textId="75C8A281" w:rsidR="007A0876" w:rsidRPr="00FD2C79" w:rsidRDefault="00032772" w:rsidP="007A0876">
      <w:r w:rsidRPr="00FD2C79">
        <w:t>Over the past decade, NIH’s Office of Behavioral and Social Sciences Research</w:t>
      </w:r>
      <w:r w:rsidR="007A72F7" w:rsidRPr="00FD2C79">
        <w:t xml:space="preserve"> (OBSSR) and NIH </w:t>
      </w:r>
      <w:r w:rsidR="00FD2C79" w:rsidRPr="00FD2C79">
        <w:t>Institutes and Centers (</w:t>
      </w:r>
      <w:r w:rsidR="007A72F7" w:rsidRPr="00FD2C79">
        <w:t>ICs</w:t>
      </w:r>
      <w:r w:rsidR="00FD2C79" w:rsidRPr="00FD2C79">
        <w:t>)</w:t>
      </w:r>
      <w:r w:rsidR="007A72F7" w:rsidRPr="00FD2C79">
        <w:t xml:space="preserve"> have spent approximately $402 million on community-based participatory research grants, including research grants and education and training grants. OBSSR and NIH ICs have also actively supported behavioral and social intervention research grants.</w:t>
      </w:r>
      <w:r w:rsidR="00345607" w:rsidRPr="00FD2C79">
        <w:t xml:space="preserve"> </w:t>
      </w:r>
      <w:r w:rsidR="00CB5791" w:rsidRPr="00FD2C79">
        <w:rPr>
          <w:rFonts w:cs="Arial"/>
        </w:rPr>
        <w:t>Th</w:t>
      </w:r>
      <w:r w:rsidR="006E0211" w:rsidRPr="00FD2C79">
        <w:rPr>
          <w:rFonts w:cs="Arial"/>
        </w:rPr>
        <w:t>e</w:t>
      </w:r>
      <w:r w:rsidR="00CB5791" w:rsidRPr="00280A25">
        <w:rPr>
          <w:rFonts w:cs="Arial"/>
        </w:rPr>
        <w:t>s</w:t>
      </w:r>
      <w:r w:rsidR="006E0211" w:rsidRPr="00280A25">
        <w:rPr>
          <w:rFonts w:cs="Arial"/>
        </w:rPr>
        <w:t>e</w:t>
      </w:r>
      <w:r w:rsidR="00CB5791" w:rsidRPr="00280A25">
        <w:rPr>
          <w:rFonts w:cs="Arial"/>
        </w:rPr>
        <w:t xml:space="preserve"> grant portfolio</w:t>
      </w:r>
      <w:r w:rsidR="006E0211" w:rsidRPr="00280A25">
        <w:rPr>
          <w:rFonts w:cs="Arial"/>
        </w:rPr>
        <w:t>s</w:t>
      </w:r>
      <w:r w:rsidR="00CB5791" w:rsidRPr="00280A25">
        <w:rPr>
          <w:rFonts w:cs="Arial"/>
        </w:rPr>
        <w:t xml:space="preserve"> include a total of 190 Funding Opportunity Announcements</w:t>
      </w:r>
      <w:r w:rsidR="00FD2C79" w:rsidRPr="00280A25">
        <w:rPr>
          <w:rFonts w:cs="Arial"/>
        </w:rPr>
        <w:t xml:space="preserve"> (FOAs)</w:t>
      </w:r>
      <w:r w:rsidR="00CB5791" w:rsidRPr="00280A25">
        <w:rPr>
          <w:rFonts w:cs="Arial"/>
        </w:rPr>
        <w:t xml:space="preserve"> (98 Requests for Applications, 38 Program Announcements</w:t>
      </w:r>
      <w:r w:rsidR="00FD2C79" w:rsidRPr="00280A25">
        <w:rPr>
          <w:rFonts w:cs="Arial"/>
        </w:rPr>
        <w:t xml:space="preserve"> (PAs), and 54 PARs (</w:t>
      </w:r>
      <w:r w:rsidR="00FD2C79" w:rsidRPr="00280A25">
        <w:rPr>
          <w:rFonts w:cs="Arial"/>
          <w:lang w:val="en"/>
        </w:rPr>
        <w:t xml:space="preserve">PAs with special </w:t>
      </w:r>
      <w:r w:rsidR="00FD2C79" w:rsidRPr="00280A25">
        <w:rPr>
          <w:rFonts w:cs="Arial"/>
          <w:bCs/>
          <w:lang w:val="en"/>
        </w:rPr>
        <w:t>receipt, referral and/or review</w:t>
      </w:r>
      <w:r w:rsidR="00FD2C79" w:rsidRPr="00280A25">
        <w:rPr>
          <w:rFonts w:cs="Arial"/>
          <w:lang w:val="en"/>
        </w:rPr>
        <w:t xml:space="preserve"> considerations)</w:t>
      </w:r>
      <w:r w:rsidR="00FD2C79" w:rsidRPr="00FD2C79">
        <w:rPr>
          <w:rFonts w:cs="Arial"/>
        </w:rPr>
        <w:t xml:space="preserve">, </w:t>
      </w:r>
      <w:r w:rsidR="00CB5791" w:rsidRPr="00FD2C79">
        <w:rPr>
          <w:rFonts w:cs="Arial"/>
        </w:rPr>
        <w:t>that led to the award of 547 grants.</w:t>
      </w:r>
      <w:r w:rsidR="007A72F7" w:rsidRPr="00FD2C79">
        <w:rPr>
          <w:rFonts w:cs="Arial"/>
        </w:rPr>
        <w:t xml:space="preserve"> In order to determine the efficacy of this type of research as well as inform future programmatic decisions, it is important to obtain information about grantee researcher, investigator</w:t>
      </w:r>
      <w:r w:rsidR="006E0211" w:rsidRPr="00FD2C79">
        <w:rPr>
          <w:rFonts w:cs="Arial"/>
        </w:rPr>
        <w:t>,</w:t>
      </w:r>
      <w:r w:rsidR="007A72F7" w:rsidRPr="00FD2C79">
        <w:rPr>
          <w:rFonts w:cs="Arial"/>
        </w:rPr>
        <w:t xml:space="preserve"> and</w:t>
      </w:r>
      <w:r w:rsidR="007A72F7" w:rsidRPr="00FD2C79">
        <w:t xml:space="preserve"> community partner satisfaction with the CBPR initiative</w:t>
      </w:r>
      <w:r w:rsidR="006E0211" w:rsidRPr="00FD2C79">
        <w:t>s</w:t>
      </w:r>
      <w:r w:rsidR="007A72F7" w:rsidRPr="00FD2C79">
        <w:t xml:space="preserve"> and related intervention research programs.</w:t>
      </w:r>
      <w:r w:rsidR="00345607" w:rsidRPr="00FD2C79">
        <w:t xml:space="preserve"> </w:t>
      </w:r>
      <w:r w:rsidR="007A72F7" w:rsidRPr="00FD2C79">
        <w:t>Survey results will help determine the contribution that research pursued through these programs has made to the larger field of research on health-related behavioral and social intervention research in communities throughout the U.S.</w:t>
      </w:r>
      <w:r w:rsidR="00345607" w:rsidRPr="00FD2C79">
        <w:t xml:space="preserve"> </w:t>
      </w:r>
      <w:r w:rsidR="00280A25">
        <w:t>The results will also help refine the definition of CBPR which will make it easier for CSR reviewers to determine whether future grant applications in this field are responsive to the intent of the solicitations.</w:t>
      </w:r>
    </w:p>
    <w:p w14:paraId="2DC941B1" w14:textId="7738D5D3" w:rsidR="00003BE1" w:rsidRPr="00113647" w:rsidRDefault="008716F6" w:rsidP="00C7167B">
      <w:pPr>
        <w:pStyle w:val="Heading1"/>
      </w:pPr>
      <w:bookmarkStart w:id="2" w:name="_Toc446336609"/>
      <w:r w:rsidRPr="00113647">
        <w:t>A.2</w:t>
      </w:r>
      <w:r w:rsidR="007A0876">
        <w:tab/>
      </w:r>
      <w:r w:rsidRPr="00113647">
        <w:t>Purpose and Use of the Information Collection</w:t>
      </w:r>
      <w:bookmarkEnd w:id="2"/>
    </w:p>
    <w:p w14:paraId="46D095F9" w14:textId="11F20F2B" w:rsidR="007A0876" w:rsidRDefault="00DF5D10" w:rsidP="007A0876">
      <w:r>
        <w:t>A central function of the NIH’s OBSSR is trans-NIH program planning and coordination. In order to fulfill a principal goal of integrating the behavioral and social sciences, OBSSR serves in an advisory capacity to NIH officials and external stakeholders, develops program initiatives, and disseminates repor</w:t>
      </w:r>
      <w:r w:rsidR="003F5B34">
        <w:t>ts of major findings to NIH ICs</w:t>
      </w:r>
      <w:r>
        <w:t xml:space="preserve"> and the research community.</w:t>
      </w:r>
      <w:r w:rsidR="00345607">
        <w:t xml:space="preserve"> </w:t>
      </w:r>
      <w:r>
        <w:t>OBSSR plans to conduct three online surveys to determine grantee satisfaction in the following areas: community engagement; partnership functioning; resource sharing; benefits from participating in the project; perceived benefits to the field; and dissemination of project findings.</w:t>
      </w:r>
      <w:r w:rsidR="00345607">
        <w:t xml:space="preserve"> </w:t>
      </w:r>
      <w:r w:rsidR="0088097F">
        <w:t>The results of the surveys will be analyzed to determine grantee adherence to the CBPR approach and the various applications of the approach across the NIH portfolios.</w:t>
      </w:r>
      <w:r w:rsidR="00345607">
        <w:t xml:space="preserve"> </w:t>
      </w:r>
      <w:r w:rsidR="0088097F">
        <w:t>The results will be used by</w:t>
      </w:r>
      <w:r w:rsidR="003F5B34">
        <w:t xml:space="preserve"> OBSSR and </w:t>
      </w:r>
      <w:r w:rsidR="0088097F">
        <w:t>CSR to determine the key indicators of what constitutes community-based participatory research and thereby inform technical review and evaluation of grant applications in this field.</w:t>
      </w:r>
    </w:p>
    <w:p w14:paraId="330860A0" w14:textId="05914D69" w:rsidR="007A0876" w:rsidRDefault="003F5B34" w:rsidP="007A0876">
      <w:r w:rsidRPr="003F5B34">
        <w:rPr>
          <w:b/>
        </w:rPr>
        <w:t>Attachment A</w:t>
      </w:r>
      <w:r>
        <w:t xml:space="preserve"> is the Community-based Participatory Research (CBPR) Principal Investigators (PI) Customer Satisfaction Survey.</w:t>
      </w:r>
      <w:r w:rsidR="00345607">
        <w:t xml:space="preserve"> </w:t>
      </w:r>
      <w:r w:rsidRPr="003F5B34">
        <w:rPr>
          <w:b/>
        </w:rPr>
        <w:t>Attachment B</w:t>
      </w:r>
      <w:r>
        <w:t xml:space="preserve"> is the Behavioral and Social Intervention Grants Principal Investigators (PI) Customer Satisfaction Survey.</w:t>
      </w:r>
      <w:r w:rsidR="00345607">
        <w:t xml:space="preserve"> </w:t>
      </w:r>
      <w:r w:rsidRPr="003F5B34">
        <w:rPr>
          <w:b/>
        </w:rPr>
        <w:t>Attachment C</w:t>
      </w:r>
      <w:r w:rsidRPr="003F5B34">
        <w:t xml:space="preserve"> is </w:t>
      </w:r>
      <w:r>
        <w:t xml:space="preserve">the </w:t>
      </w:r>
      <w:r>
        <w:lastRenderedPageBreak/>
        <w:t>Community-based Participatory Research (CBPR) Community Partners (CP) Customer Satisfaction Survey.</w:t>
      </w:r>
      <w:r w:rsidR="00345607">
        <w:t xml:space="preserve"> </w:t>
      </w:r>
      <w:r w:rsidRPr="003F5B34">
        <w:rPr>
          <w:b/>
        </w:rPr>
        <w:t>Attachments D, E, and F</w:t>
      </w:r>
      <w:r>
        <w:t xml:space="preserve"> are the email invitations to participate in the surveys.</w:t>
      </w:r>
      <w:r w:rsidR="00345607">
        <w:t xml:space="preserve"> </w:t>
      </w:r>
      <w:r w:rsidR="00F72022" w:rsidRPr="00F72022">
        <w:rPr>
          <w:b/>
        </w:rPr>
        <w:t>Attachments G and H</w:t>
      </w:r>
      <w:r w:rsidR="00F72022">
        <w:t xml:space="preserve"> are the follow-up emails containing the username and password and a secure link to the survey, and reminder emails).</w:t>
      </w:r>
    </w:p>
    <w:p w14:paraId="4D63B2E8" w14:textId="72AA1190" w:rsidR="007A0876" w:rsidRDefault="003F5B34" w:rsidP="007A0876">
      <w:r>
        <w:t>The process of soliciting and funding community-based participatory research grants is labor intensive, requiring input from ICs across NIH.</w:t>
      </w:r>
      <w:r w:rsidR="00345607">
        <w:t xml:space="preserve"> </w:t>
      </w:r>
      <w:r>
        <w:t>Information from this data collection effort will help to improve the process of what constitutes community-based participatory research, as well as the effectiveness of the CBPR program as a whole.</w:t>
      </w:r>
      <w:r w:rsidR="00345607">
        <w:t xml:space="preserve"> </w:t>
      </w:r>
      <w:r>
        <w:t xml:space="preserve">It will also help to inform the directions of future CBPR research solicitations and review and evaluation of </w:t>
      </w:r>
      <w:r w:rsidR="00A97FC7">
        <w:t>grant applications for future CBPR research.</w:t>
      </w:r>
    </w:p>
    <w:p w14:paraId="04FB8AD2" w14:textId="636FA6ED" w:rsidR="00003BE1" w:rsidRPr="00113647" w:rsidRDefault="008716F6" w:rsidP="00C7167B">
      <w:pPr>
        <w:pStyle w:val="Heading1"/>
      </w:pPr>
      <w:bookmarkStart w:id="3" w:name="_Toc446336610"/>
      <w:r w:rsidRPr="00113647">
        <w:t>A.3</w:t>
      </w:r>
      <w:r w:rsidR="007A0876">
        <w:tab/>
      </w:r>
      <w:r w:rsidRPr="00113647">
        <w:t>Use of Information Technology to Reduce Burden</w:t>
      </w:r>
      <w:bookmarkEnd w:id="3"/>
    </w:p>
    <w:p w14:paraId="36AB3425" w14:textId="3CE244BF" w:rsidR="007A0876" w:rsidRDefault="00A97FC7" w:rsidP="007A0876">
      <w:r>
        <w:t>Information collection will involve the use of email and pre-existing web-based survey technology.</w:t>
      </w:r>
      <w:r w:rsidR="00345607">
        <w:t xml:space="preserve"> </w:t>
      </w:r>
      <w:r>
        <w:t>Soliciting survey participation via email and allowing electronic submission of survey responses has been found to be cost effective for NIH and least burdensome to survey respondents.</w:t>
      </w:r>
      <w:r w:rsidR="00345607">
        <w:t xml:space="preserve"> </w:t>
      </w:r>
      <w:r>
        <w:t>A web-based survey application reduces the burden to respondents by allowing easy access to desktop and mobile device formats, and streamlined navigation where respondents can skip questions that don’t apply.</w:t>
      </w:r>
      <w:r w:rsidR="00345607">
        <w:t xml:space="preserve"> </w:t>
      </w:r>
      <w:r w:rsidR="00280A25">
        <w:t>A PIA has been submitted and is underway.</w:t>
      </w:r>
    </w:p>
    <w:p w14:paraId="2B7B9B04" w14:textId="60FC3A25" w:rsidR="004B3C21" w:rsidRDefault="008716F6" w:rsidP="00C7167B">
      <w:pPr>
        <w:pStyle w:val="Heading1"/>
      </w:pPr>
      <w:bookmarkStart w:id="4" w:name="_Toc446336611"/>
      <w:r w:rsidRPr="00113647">
        <w:t>A.4</w:t>
      </w:r>
      <w:r w:rsidR="007A0876">
        <w:tab/>
      </w:r>
      <w:r w:rsidRPr="00113647">
        <w:t>Efforts to Identify Duplication</w:t>
      </w:r>
      <w:bookmarkEnd w:id="4"/>
    </w:p>
    <w:p w14:paraId="007BA10D" w14:textId="77777777" w:rsidR="007A0876" w:rsidRDefault="00A97FC7" w:rsidP="007A0876">
      <w:pPr>
        <w:rPr>
          <w:b/>
        </w:rPr>
      </w:pPr>
      <w:r>
        <w:t xml:space="preserve">Surveys of NIH CBPR and related intervention research programs and their community </w:t>
      </w:r>
      <w:r w:rsidR="00F7643B">
        <w:t>partners</w:t>
      </w:r>
      <w:r>
        <w:t>, have not been conducted previously. Therefore this data collection effort is not duplicative.</w:t>
      </w:r>
    </w:p>
    <w:p w14:paraId="49692773" w14:textId="4F2CB07E" w:rsidR="00702A0F" w:rsidRDefault="007A0876" w:rsidP="00C7167B">
      <w:pPr>
        <w:pStyle w:val="Heading1"/>
      </w:pPr>
      <w:bookmarkStart w:id="5" w:name="_Toc446336612"/>
      <w:r>
        <w:t>A.5</w:t>
      </w:r>
      <w:r>
        <w:tab/>
      </w:r>
      <w:r w:rsidR="008716F6" w:rsidRPr="00113647">
        <w:t>Impact on Small Businesses or Other Small Entities</w:t>
      </w:r>
      <w:bookmarkEnd w:id="5"/>
    </w:p>
    <w:p w14:paraId="62FBE18F" w14:textId="77777777" w:rsidR="007A0876" w:rsidRDefault="00702A0F" w:rsidP="007A0876">
      <w:r>
        <w:t>No small businesses or small entities are impacted by this data collection.</w:t>
      </w:r>
    </w:p>
    <w:p w14:paraId="60F5E8D6" w14:textId="21DE29F2" w:rsidR="004B3C21" w:rsidRDefault="007A0876" w:rsidP="00C7167B">
      <w:pPr>
        <w:pStyle w:val="Heading1"/>
      </w:pPr>
      <w:bookmarkStart w:id="6" w:name="_Toc446336613"/>
      <w:r>
        <w:t>A.6</w:t>
      </w:r>
      <w:r>
        <w:tab/>
      </w:r>
      <w:r w:rsidR="008716F6" w:rsidRPr="00113647">
        <w:t>Consequences of Collecting the I</w:t>
      </w:r>
      <w:r w:rsidR="008716F6" w:rsidRPr="007A0876">
        <w:rPr>
          <w:rStyle w:val="Heading1Char"/>
        </w:rPr>
        <w:t>nf</w:t>
      </w:r>
      <w:r w:rsidR="008716F6" w:rsidRPr="00113647">
        <w:t>ormation Less Frequently</w:t>
      </w:r>
      <w:bookmarkEnd w:id="6"/>
    </w:p>
    <w:p w14:paraId="1C9A3209" w14:textId="4F232B75" w:rsidR="007A0876" w:rsidRDefault="00702A0F" w:rsidP="007A0876">
      <w:r w:rsidRPr="00702A0F">
        <w:t>If this data collection is not conducted at this</w:t>
      </w:r>
      <w:r w:rsidRPr="007A0876">
        <w:t xml:space="preserve"> </w:t>
      </w:r>
      <w:r w:rsidRPr="00702A0F">
        <w:t>time, OBSSR</w:t>
      </w:r>
      <w:r>
        <w:t xml:space="preserve"> and CSR will lack the information necessary to ascertain the effectiveness of NIH-funded CBPR research and to implement changes to improve the conceptualization, design, and support for CBPR research.</w:t>
      </w:r>
      <w:r w:rsidR="00345607">
        <w:t xml:space="preserve"> </w:t>
      </w:r>
    </w:p>
    <w:p w14:paraId="54F24C88" w14:textId="74091C93" w:rsidR="004B3C21" w:rsidRDefault="008716F6" w:rsidP="00C7167B">
      <w:pPr>
        <w:pStyle w:val="Heading1"/>
      </w:pPr>
      <w:bookmarkStart w:id="7" w:name="_Toc446336614"/>
      <w:r w:rsidRPr="00113647">
        <w:t>A.7</w:t>
      </w:r>
      <w:r w:rsidR="007A0876">
        <w:tab/>
      </w:r>
      <w:r w:rsidRPr="00113647">
        <w:t>Special Circumstances Relating to the Guidelines of 5 CFR 1320.5</w:t>
      </w:r>
      <w:bookmarkEnd w:id="7"/>
    </w:p>
    <w:p w14:paraId="1EE4909D" w14:textId="77777777" w:rsidR="007A0876" w:rsidRDefault="008716F6" w:rsidP="007A0876">
      <w:r w:rsidRPr="00113647">
        <w:t>Th</w:t>
      </w:r>
      <w:r w:rsidR="00F52422">
        <w:t>ese</w:t>
      </w:r>
      <w:r w:rsidRPr="00113647">
        <w:t xml:space="preserve"> survey</w:t>
      </w:r>
      <w:r w:rsidR="00702A0F">
        <w:t>s</w:t>
      </w:r>
      <w:r w:rsidRPr="00113647">
        <w:t xml:space="preserve"> will be implemented in a manner that fully complies with 5 C.F.R. 1320.5.</w:t>
      </w:r>
      <w:r w:rsidR="00702A0F">
        <w:t xml:space="preserve"> </w:t>
      </w:r>
    </w:p>
    <w:p w14:paraId="7036E772" w14:textId="091319FD" w:rsidR="008716F6" w:rsidRPr="00345607" w:rsidRDefault="008716F6" w:rsidP="00C7167B">
      <w:pPr>
        <w:pStyle w:val="Heading1"/>
      </w:pPr>
      <w:bookmarkStart w:id="8" w:name="_Toc446336615"/>
      <w:r w:rsidRPr="00345607">
        <w:t>A.8</w:t>
      </w:r>
      <w:r w:rsidR="00345607" w:rsidRPr="00345607">
        <w:tab/>
      </w:r>
      <w:r w:rsidRPr="00345607">
        <w:t>Comments in Response to the Federal Register Notice and Efforts to Consult Outside Agency</w:t>
      </w:r>
      <w:bookmarkEnd w:id="8"/>
    </w:p>
    <w:p w14:paraId="4942C2E6" w14:textId="77777777" w:rsidR="007A0876" w:rsidRDefault="008716F6" w:rsidP="007A0876">
      <w:r w:rsidRPr="00113647">
        <w:t>N/A</w:t>
      </w:r>
    </w:p>
    <w:p w14:paraId="682EA02B" w14:textId="65E4742F" w:rsidR="004B3C21" w:rsidRPr="00113647" w:rsidRDefault="008716F6" w:rsidP="00C7167B">
      <w:pPr>
        <w:pStyle w:val="Heading1"/>
      </w:pPr>
      <w:bookmarkStart w:id="9" w:name="_Toc446336616"/>
      <w:r w:rsidRPr="00113647">
        <w:lastRenderedPageBreak/>
        <w:t>A.9</w:t>
      </w:r>
      <w:r w:rsidR="00345607">
        <w:tab/>
      </w:r>
      <w:r w:rsidR="00477A8E" w:rsidRPr="00113647">
        <w:t>Explanation of Any Payment of Gift to Respondents</w:t>
      </w:r>
      <w:bookmarkEnd w:id="9"/>
    </w:p>
    <w:p w14:paraId="0C6FC4F4" w14:textId="77777777" w:rsidR="007A0876" w:rsidRDefault="00702A0F" w:rsidP="007A0876">
      <w:r>
        <w:t>No payments or gifts will be provided to survey respondents.</w:t>
      </w:r>
      <w:r w:rsidR="004B3C21" w:rsidRPr="004B3C21">
        <w:t xml:space="preserve"> </w:t>
      </w:r>
    </w:p>
    <w:p w14:paraId="103E9DA8" w14:textId="1D8690B0" w:rsidR="00702A0F" w:rsidRDefault="00477A8E" w:rsidP="00C7167B">
      <w:pPr>
        <w:pStyle w:val="Heading1"/>
      </w:pPr>
      <w:bookmarkStart w:id="10" w:name="_Toc446336617"/>
      <w:r w:rsidRPr="00113647">
        <w:t>A.10</w:t>
      </w:r>
      <w:r w:rsidR="00345607">
        <w:tab/>
      </w:r>
      <w:r w:rsidRPr="00113647">
        <w:t>Assurance of Confidentiality Provided to Respondents</w:t>
      </w:r>
      <w:bookmarkEnd w:id="10"/>
    </w:p>
    <w:p w14:paraId="52F380FF" w14:textId="1DCF31A0" w:rsidR="007A0876" w:rsidRDefault="00702A0F" w:rsidP="007A0876">
      <w:pPr>
        <w:rPr>
          <w:b/>
        </w:rPr>
      </w:pPr>
      <w:r w:rsidRPr="00702A0F">
        <w:t>All information will be kept private to the extent allowable under the law.</w:t>
      </w:r>
      <w:r w:rsidR="00345607">
        <w:t xml:space="preserve"> </w:t>
      </w:r>
      <w:r w:rsidRPr="00702A0F">
        <w:t>Individual responses will be kept secure as permitted by law and individual names will not be used.</w:t>
      </w:r>
      <w:r w:rsidR="00345607">
        <w:t xml:space="preserve"> </w:t>
      </w:r>
      <w:r w:rsidRPr="00702A0F">
        <w:t>Personally Identifiable Information (PII) is not being collected.</w:t>
      </w:r>
      <w:r w:rsidR="00345607">
        <w:t xml:space="preserve"> </w:t>
      </w:r>
      <w:r w:rsidRPr="00702A0F">
        <w:t>Since PII is not being collected, the Privacy Act does not apply.</w:t>
      </w:r>
      <w:r w:rsidR="00345607">
        <w:t xml:space="preserve"> </w:t>
      </w:r>
      <w:r w:rsidRPr="00702A0F">
        <w:t>This information collection is not research and thus the Human Rights Regulations are not applicable.</w:t>
      </w:r>
    </w:p>
    <w:p w14:paraId="55E84668" w14:textId="3E5F30ED" w:rsidR="004B3C21" w:rsidRDefault="001D2741" w:rsidP="00C7167B">
      <w:pPr>
        <w:pStyle w:val="Heading1"/>
      </w:pPr>
      <w:bookmarkStart w:id="11" w:name="_Toc446336618"/>
      <w:r w:rsidRPr="00113647">
        <w:t>A.11</w:t>
      </w:r>
      <w:r w:rsidR="00345607">
        <w:tab/>
      </w:r>
      <w:r w:rsidRPr="00113647">
        <w:t>Justification for Sensitive Questions</w:t>
      </w:r>
      <w:bookmarkEnd w:id="11"/>
    </w:p>
    <w:p w14:paraId="7867E23B" w14:textId="77777777" w:rsidR="007A0876" w:rsidRDefault="00702A0F" w:rsidP="007A0876">
      <w:r>
        <w:t>No questions of a sensitive nature are being asked.</w:t>
      </w:r>
    </w:p>
    <w:p w14:paraId="4A4A3DC3" w14:textId="62A894F8" w:rsidR="00907E64" w:rsidRPr="00345607" w:rsidRDefault="00907E64" w:rsidP="00C7167B">
      <w:pPr>
        <w:pStyle w:val="Heading1"/>
      </w:pPr>
      <w:bookmarkStart w:id="12" w:name="_Toc446336619"/>
      <w:r w:rsidRPr="00345607">
        <w:t>A.12.1</w:t>
      </w:r>
      <w:r w:rsidRPr="00345607">
        <w:tab/>
        <w:t>Estimated Annualized Burden Hours</w:t>
      </w:r>
      <w:bookmarkEnd w:id="12"/>
    </w:p>
    <w:p w14:paraId="06C82A3A" w14:textId="62DEA497" w:rsidR="007A0876" w:rsidRDefault="00702A0F" w:rsidP="007A0876">
      <w:r>
        <w:t>The total annualized burden hours are 353.</w:t>
      </w:r>
      <w:r w:rsidR="00345607">
        <w:t xml:space="preserve"> </w:t>
      </w:r>
      <w:r>
        <w:t>The total respondents are 1,050.</w:t>
      </w:r>
      <w:r w:rsidR="00345607">
        <w:t xml:space="preserve"> </w:t>
      </w:r>
      <w:r>
        <w:t>The included types and numbers of respondents, frequencies of responses, and annual hour burdens are presented in Table A.12-1.</w:t>
      </w:r>
      <w:r w:rsidR="00345607">
        <w:t xml:space="preserve"> </w:t>
      </w:r>
      <w:r w:rsidR="00A06C17">
        <w:t>The survey response rates were estimated by utilizing a component of the survey software.</w:t>
      </w:r>
      <w:r w:rsidR="00063927">
        <w:t xml:space="preserve"> </w:t>
      </w:r>
    </w:p>
    <w:p w14:paraId="6ECF8F3F" w14:textId="445EE01A" w:rsidR="002F3354" w:rsidRPr="00345607" w:rsidRDefault="001D2741" w:rsidP="00345607">
      <w:pPr>
        <w:pStyle w:val="Caption"/>
      </w:pPr>
      <w:r w:rsidRPr="00345607">
        <w:t>A.12</w:t>
      </w:r>
      <w:r w:rsidR="00AF01AD" w:rsidRPr="00345607">
        <w:t>-1</w:t>
      </w:r>
      <w:r w:rsidRPr="00345607">
        <w:t xml:space="preserve"> Estimate</w:t>
      </w:r>
      <w:r w:rsidR="002F3354" w:rsidRPr="00345607">
        <w:t>d Annualized Burden Hours</w:t>
      </w:r>
    </w:p>
    <w:tbl>
      <w:tblPr>
        <w:tblW w:w="9908" w:type="dxa"/>
        <w:jc w:val="center"/>
        <w:tblCellMar>
          <w:top w:w="58" w:type="dxa"/>
          <w:left w:w="115" w:type="dxa"/>
          <w:bottom w:w="58" w:type="dxa"/>
          <w:right w:w="115" w:type="dxa"/>
        </w:tblCellMar>
        <w:tblLook w:val="0000" w:firstRow="0" w:lastRow="0" w:firstColumn="0" w:lastColumn="0" w:noHBand="0" w:noVBand="0"/>
      </w:tblPr>
      <w:tblGrid>
        <w:gridCol w:w="1701"/>
        <w:gridCol w:w="1497"/>
        <w:gridCol w:w="1524"/>
        <w:gridCol w:w="1728"/>
        <w:gridCol w:w="1872"/>
        <w:gridCol w:w="1586"/>
      </w:tblGrid>
      <w:tr w:rsidR="00C7167B" w:rsidRPr="00C7167B" w14:paraId="4B4132F0" w14:textId="77777777" w:rsidTr="00C7167B">
        <w:trPr>
          <w:cantSplit/>
          <w:jc w:val="center"/>
        </w:trPr>
        <w:tc>
          <w:tcPr>
            <w:tcW w:w="1701" w:type="dxa"/>
            <w:tcBorders>
              <w:top w:val="single" w:sz="6" w:space="0" w:color="auto"/>
              <w:left w:val="single" w:sz="6" w:space="0" w:color="auto"/>
            </w:tcBorders>
            <w:vAlign w:val="bottom"/>
          </w:tcPr>
          <w:p w14:paraId="20A14C8E" w14:textId="2206C0E3" w:rsidR="00C7167B" w:rsidRPr="00C7167B" w:rsidRDefault="00C7167B" w:rsidP="00C7167B">
            <w:pPr>
              <w:pStyle w:val="TableText"/>
              <w:rPr>
                <w:b/>
              </w:rPr>
            </w:pPr>
            <w:r w:rsidRPr="00C7167B">
              <w:rPr>
                <w:b/>
              </w:rPr>
              <w:t>Form Name</w:t>
            </w:r>
          </w:p>
        </w:tc>
        <w:tc>
          <w:tcPr>
            <w:tcW w:w="1497" w:type="dxa"/>
            <w:tcBorders>
              <w:top w:val="single" w:sz="6" w:space="0" w:color="auto"/>
              <w:left w:val="single" w:sz="6" w:space="0" w:color="auto"/>
            </w:tcBorders>
            <w:vAlign w:val="bottom"/>
          </w:tcPr>
          <w:p w14:paraId="6702A6CB" w14:textId="192FFD67" w:rsidR="00C7167B" w:rsidRPr="00C7167B" w:rsidRDefault="00C7167B" w:rsidP="00C7167B">
            <w:pPr>
              <w:pStyle w:val="TableText"/>
              <w:jc w:val="center"/>
              <w:rPr>
                <w:b/>
              </w:rPr>
            </w:pPr>
            <w:r w:rsidRPr="00C7167B">
              <w:rPr>
                <w:b/>
              </w:rPr>
              <w:t>Type of Respondents</w:t>
            </w:r>
          </w:p>
        </w:tc>
        <w:tc>
          <w:tcPr>
            <w:tcW w:w="1524" w:type="dxa"/>
            <w:tcBorders>
              <w:top w:val="single" w:sz="6" w:space="0" w:color="auto"/>
              <w:left w:val="single" w:sz="6" w:space="0" w:color="auto"/>
            </w:tcBorders>
            <w:vAlign w:val="bottom"/>
          </w:tcPr>
          <w:p w14:paraId="1B16D57A" w14:textId="78229ADB" w:rsidR="00C7167B" w:rsidRPr="00C7167B" w:rsidRDefault="00C7167B" w:rsidP="00C7167B">
            <w:pPr>
              <w:pStyle w:val="TableText"/>
              <w:jc w:val="center"/>
              <w:rPr>
                <w:b/>
              </w:rPr>
            </w:pPr>
            <w:r w:rsidRPr="00C7167B">
              <w:rPr>
                <w:b/>
              </w:rPr>
              <w:t>Number of Respondents</w:t>
            </w:r>
          </w:p>
        </w:tc>
        <w:tc>
          <w:tcPr>
            <w:tcW w:w="1728" w:type="dxa"/>
            <w:tcBorders>
              <w:top w:val="single" w:sz="6" w:space="0" w:color="auto"/>
              <w:left w:val="single" w:sz="6" w:space="0" w:color="auto"/>
            </w:tcBorders>
            <w:vAlign w:val="bottom"/>
          </w:tcPr>
          <w:p w14:paraId="56087991" w14:textId="77777777" w:rsidR="00C7167B" w:rsidRPr="00C7167B" w:rsidRDefault="00C7167B" w:rsidP="00C7167B">
            <w:pPr>
              <w:pStyle w:val="TableText"/>
              <w:jc w:val="center"/>
              <w:rPr>
                <w:b/>
              </w:rPr>
            </w:pPr>
            <w:r w:rsidRPr="00C7167B">
              <w:rPr>
                <w:b/>
              </w:rPr>
              <w:t>Number of Responses per Respondent</w:t>
            </w:r>
          </w:p>
        </w:tc>
        <w:tc>
          <w:tcPr>
            <w:tcW w:w="1872" w:type="dxa"/>
            <w:tcBorders>
              <w:top w:val="single" w:sz="6" w:space="0" w:color="auto"/>
              <w:left w:val="single" w:sz="6" w:space="0" w:color="auto"/>
            </w:tcBorders>
            <w:vAlign w:val="bottom"/>
          </w:tcPr>
          <w:p w14:paraId="1E2C9E1F" w14:textId="629BADF4" w:rsidR="00C7167B" w:rsidRPr="00C7167B" w:rsidRDefault="00C7167B" w:rsidP="00C7167B">
            <w:pPr>
              <w:pStyle w:val="TableText"/>
              <w:jc w:val="center"/>
              <w:rPr>
                <w:b/>
              </w:rPr>
            </w:pPr>
            <w:r w:rsidRPr="00C7167B">
              <w:rPr>
                <w:b/>
              </w:rPr>
              <w:t>Average Burden Per Response</w:t>
            </w:r>
          </w:p>
          <w:p w14:paraId="30BADB10" w14:textId="096D6726" w:rsidR="00C7167B" w:rsidRPr="00C7167B" w:rsidRDefault="00C7167B" w:rsidP="00C7167B">
            <w:pPr>
              <w:pStyle w:val="TableText"/>
              <w:jc w:val="center"/>
              <w:rPr>
                <w:b/>
              </w:rPr>
            </w:pPr>
            <w:r w:rsidRPr="00C7167B">
              <w:rPr>
                <w:b/>
              </w:rPr>
              <w:t>(in hours)</w:t>
            </w:r>
          </w:p>
        </w:tc>
        <w:tc>
          <w:tcPr>
            <w:tcW w:w="1586" w:type="dxa"/>
            <w:tcBorders>
              <w:top w:val="single" w:sz="6" w:space="0" w:color="auto"/>
              <w:left w:val="single" w:sz="6" w:space="0" w:color="auto"/>
              <w:right w:val="single" w:sz="6" w:space="0" w:color="auto"/>
            </w:tcBorders>
            <w:vAlign w:val="bottom"/>
          </w:tcPr>
          <w:p w14:paraId="0B72B973" w14:textId="451AD9CC" w:rsidR="00C7167B" w:rsidRPr="00C7167B" w:rsidRDefault="00C7167B" w:rsidP="00C7167B">
            <w:pPr>
              <w:pStyle w:val="TableText"/>
              <w:jc w:val="center"/>
              <w:rPr>
                <w:b/>
              </w:rPr>
            </w:pPr>
            <w:r w:rsidRPr="00C7167B">
              <w:rPr>
                <w:b/>
              </w:rPr>
              <w:t>Total Annual Burden Hours</w:t>
            </w:r>
          </w:p>
        </w:tc>
      </w:tr>
      <w:tr w:rsidR="00C7167B" w:rsidRPr="002250C3" w14:paraId="21F89ABE" w14:textId="77777777" w:rsidTr="00C7167B">
        <w:trPr>
          <w:cantSplit/>
          <w:jc w:val="center"/>
        </w:trPr>
        <w:tc>
          <w:tcPr>
            <w:tcW w:w="1701" w:type="dxa"/>
            <w:tcBorders>
              <w:top w:val="single" w:sz="6" w:space="0" w:color="auto"/>
              <w:left w:val="single" w:sz="6" w:space="0" w:color="auto"/>
            </w:tcBorders>
          </w:tcPr>
          <w:p w14:paraId="3B632864" w14:textId="77777777" w:rsidR="00C7167B" w:rsidRPr="00C7167B" w:rsidRDefault="00C7167B" w:rsidP="00C7167B">
            <w:pPr>
              <w:pStyle w:val="TableText"/>
              <w:rPr>
                <w:b/>
              </w:rPr>
            </w:pPr>
            <w:r w:rsidRPr="00C7167B">
              <w:rPr>
                <w:b/>
              </w:rPr>
              <w:t>Customer Satisfaction Survey</w:t>
            </w:r>
          </w:p>
          <w:p w14:paraId="1F4C09F1" w14:textId="66116176" w:rsidR="00C7167B" w:rsidRPr="00C7167B" w:rsidRDefault="00C7167B" w:rsidP="00C7167B">
            <w:pPr>
              <w:pStyle w:val="TableText"/>
              <w:rPr>
                <w:b/>
              </w:rPr>
            </w:pPr>
            <w:r w:rsidRPr="00C7167B">
              <w:rPr>
                <w:b/>
              </w:rPr>
              <w:t>(Attachment A)</w:t>
            </w:r>
          </w:p>
        </w:tc>
        <w:tc>
          <w:tcPr>
            <w:tcW w:w="1497" w:type="dxa"/>
            <w:tcBorders>
              <w:top w:val="single" w:sz="6" w:space="0" w:color="auto"/>
              <w:left w:val="single" w:sz="6" w:space="0" w:color="auto"/>
            </w:tcBorders>
          </w:tcPr>
          <w:p w14:paraId="4326137B" w14:textId="69AA4CDB" w:rsidR="00C7167B" w:rsidRPr="002250C3" w:rsidRDefault="00C7167B" w:rsidP="00C7167B">
            <w:pPr>
              <w:pStyle w:val="TableText"/>
            </w:pPr>
            <w:r>
              <w:t>CBPR PIs</w:t>
            </w:r>
          </w:p>
        </w:tc>
        <w:tc>
          <w:tcPr>
            <w:tcW w:w="1524" w:type="dxa"/>
            <w:tcBorders>
              <w:top w:val="single" w:sz="6" w:space="0" w:color="auto"/>
              <w:left w:val="single" w:sz="6" w:space="0" w:color="auto"/>
            </w:tcBorders>
          </w:tcPr>
          <w:p w14:paraId="26C6209D" w14:textId="5716E13F" w:rsidR="00C7167B" w:rsidRPr="002250C3" w:rsidRDefault="00C7167B" w:rsidP="00C7167B">
            <w:pPr>
              <w:pStyle w:val="TableText"/>
              <w:jc w:val="center"/>
            </w:pPr>
            <w:r>
              <w:t>450</w:t>
            </w:r>
          </w:p>
        </w:tc>
        <w:tc>
          <w:tcPr>
            <w:tcW w:w="1728" w:type="dxa"/>
            <w:tcBorders>
              <w:top w:val="single" w:sz="6" w:space="0" w:color="auto"/>
              <w:left w:val="single" w:sz="6" w:space="0" w:color="auto"/>
            </w:tcBorders>
          </w:tcPr>
          <w:p w14:paraId="19DDF317" w14:textId="77777777" w:rsidR="00C7167B" w:rsidRPr="002250C3" w:rsidRDefault="00C7167B" w:rsidP="00C7167B">
            <w:pPr>
              <w:pStyle w:val="TableText"/>
              <w:jc w:val="center"/>
            </w:pPr>
            <w:r w:rsidRPr="002250C3">
              <w:t>1</w:t>
            </w:r>
          </w:p>
        </w:tc>
        <w:tc>
          <w:tcPr>
            <w:tcW w:w="1872" w:type="dxa"/>
            <w:tcBorders>
              <w:top w:val="single" w:sz="6" w:space="0" w:color="auto"/>
              <w:left w:val="single" w:sz="6" w:space="0" w:color="auto"/>
            </w:tcBorders>
          </w:tcPr>
          <w:p w14:paraId="72C37AD7" w14:textId="285C94EA" w:rsidR="00C7167B" w:rsidRPr="002250C3" w:rsidRDefault="00C7167B" w:rsidP="00C7167B">
            <w:pPr>
              <w:pStyle w:val="TableText"/>
              <w:jc w:val="center"/>
            </w:pPr>
            <w:r>
              <w:t>20/60</w:t>
            </w:r>
          </w:p>
        </w:tc>
        <w:tc>
          <w:tcPr>
            <w:tcW w:w="1586" w:type="dxa"/>
            <w:tcBorders>
              <w:top w:val="single" w:sz="6" w:space="0" w:color="auto"/>
              <w:left w:val="single" w:sz="6" w:space="0" w:color="auto"/>
              <w:right w:val="single" w:sz="6" w:space="0" w:color="auto"/>
            </w:tcBorders>
          </w:tcPr>
          <w:p w14:paraId="504C80DE" w14:textId="02C9AFC0" w:rsidR="00C7167B" w:rsidRPr="002250C3" w:rsidRDefault="00C7167B" w:rsidP="00C7167B">
            <w:pPr>
              <w:pStyle w:val="TableText"/>
              <w:jc w:val="center"/>
            </w:pPr>
            <w:r>
              <w:t>150</w:t>
            </w:r>
          </w:p>
        </w:tc>
      </w:tr>
      <w:tr w:rsidR="00C7167B" w:rsidRPr="002250C3" w14:paraId="76ADFA80" w14:textId="77777777" w:rsidTr="00C7167B">
        <w:trPr>
          <w:cantSplit/>
          <w:jc w:val="center"/>
        </w:trPr>
        <w:tc>
          <w:tcPr>
            <w:tcW w:w="1701" w:type="dxa"/>
            <w:tcBorders>
              <w:top w:val="single" w:sz="6" w:space="0" w:color="auto"/>
              <w:left w:val="single" w:sz="6" w:space="0" w:color="auto"/>
            </w:tcBorders>
          </w:tcPr>
          <w:p w14:paraId="4BCF9B9D" w14:textId="77777777" w:rsidR="00C7167B" w:rsidRPr="00C7167B" w:rsidRDefault="00C7167B" w:rsidP="00C7167B">
            <w:pPr>
              <w:pStyle w:val="TableText"/>
              <w:rPr>
                <w:b/>
              </w:rPr>
            </w:pPr>
            <w:r w:rsidRPr="00C7167B">
              <w:rPr>
                <w:b/>
              </w:rPr>
              <w:t>Customer Satisfaction Survey</w:t>
            </w:r>
          </w:p>
          <w:p w14:paraId="5955398C" w14:textId="1506B441" w:rsidR="00C7167B" w:rsidRPr="00C7167B" w:rsidRDefault="00C7167B" w:rsidP="00C7167B">
            <w:pPr>
              <w:pStyle w:val="TableText"/>
              <w:rPr>
                <w:b/>
              </w:rPr>
            </w:pPr>
            <w:r w:rsidRPr="00C7167B">
              <w:rPr>
                <w:b/>
              </w:rPr>
              <w:t>(Attachment B)</w:t>
            </w:r>
          </w:p>
        </w:tc>
        <w:tc>
          <w:tcPr>
            <w:tcW w:w="1497" w:type="dxa"/>
            <w:tcBorders>
              <w:top w:val="single" w:sz="6" w:space="0" w:color="auto"/>
              <w:left w:val="single" w:sz="6" w:space="0" w:color="auto"/>
            </w:tcBorders>
          </w:tcPr>
          <w:p w14:paraId="358D977C" w14:textId="58D18DF9" w:rsidR="00C7167B" w:rsidRPr="002250C3" w:rsidRDefault="00C7167B" w:rsidP="00C7167B">
            <w:pPr>
              <w:pStyle w:val="TableText"/>
            </w:pPr>
            <w:r>
              <w:t>Behavioral and Social Intervention Grant PIs</w:t>
            </w:r>
          </w:p>
        </w:tc>
        <w:tc>
          <w:tcPr>
            <w:tcW w:w="1524" w:type="dxa"/>
            <w:tcBorders>
              <w:top w:val="single" w:sz="6" w:space="0" w:color="auto"/>
              <w:left w:val="single" w:sz="6" w:space="0" w:color="auto"/>
            </w:tcBorders>
          </w:tcPr>
          <w:p w14:paraId="13F951E8" w14:textId="663FD182" w:rsidR="00C7167B" w:rsidRPr="002250C3" w:rsidRDefault="00C7167B" w:rsidP="00C7167B">
            <w:pPr>
              <w:pStyle w:val="TableText"/>
              <w:jc w:val="center"/>
            </w:pPr>
            <w:r>
              <w:t>200</w:t>
            </w:r>
          </w:p>
        </w:tc>
        <w:tc>
          <w:tcPr>
            <w:tcW w:w="1728" w:type="dxa"/>
            <w:tcBorders>
              <w:top w:val="single" w:sz="6" w:space="0" w:color="auto"/>
              <w:left w:val="single" w:sz="6" w:space="0" w:color="auto"/>
            </w:tcBorders>
          </w:tcPr>
          <w:p w14:paraId="5EC7ED4C" w14:textId="77777777" w:rsidR="00C7167B" w:rsidRPr="002250C3" w:rsidRDefault="00C7167B" w:rsidP="00C7167B">
            <w:pPr>
              <w:pStyle w:val="TableText"/>
              <w:jc w:val="center"/>
            </w:pPr>
            <w:r w:rsidRPr="002250C3">
              <w:t>1</w:t>
            </w:r>
          </w:p>
        </w:tc>
        <w:tc>
          <w:tcPr>
            <w:tcW w:w="1872" w:type="dxa"/>
            <w:tcBorders>
              <w:top w:val="single" w:sz="6" w:space="0" w:color="auto"/>
              <w:left w:val="single" w:sz="6" w:space="0" w:color="auto"/>
            </w:tcBorders>
          </w:tcPr>
          <w:p w14:paraId="36E76968" w14:textId="122E57CB" w:rsidR="00C7167B" w:rsidRPr="002250C3" w:rsidRDefault="00C7167B" w:rsidP="00C7167B">
            <w:pPr>
              <w:pStyle w:val="TableText"/>
              <w:jc w:val="center"/>
            </w:pPr>
            <w:r>
              <w:t>21/60</w:t>
            </w:r>
          </w:p>
        </w:tc>
        <w:tc>
          <w:tcPr>
            <w:tcW w:w="1586" w:type="dxa"/>
            <w:tcBorders>
              <w:top w:val="single" w:sz="6" w:space="0" w:color="auto"/>
              <w:left w:val="single" w:sz="6" w:space="0" w:color="auto"/>
              <w:right w:val="single" w:sz="6" w:space="0" w:color="auto"/>
            </w:tcBorders>
          </w:tcPr>
          <w:p w14:paraId="66C38ABA" w14:textId="16EACF5B" w:rsidR="00C7167B" w:rsidRPr="002250C3" w:rsidRDefault="00C7167B" w:rsidP="00C7167B">
            <w:pPr>
              <w:pStyle w:val="TableText"/>
              <w:jc w:val="center"/>
            </w:pPr>
            <w:r>
              <w:t>70</w:t>
            </w:r>
          </w:p>
        </w:tc>
      </w:tr>
      <w:tr w:rsidR="00C7167B" w:rsidRPr="002250C3" w14:paraId="39382A04" w14:textId="77777777" w:rsidTr="00C7167B">
        <w:trPr>
          <w:cantSplit/>
          <w:jc w:val="center"/>
        </w:trPr>
        <w:tc>
          <w:tcPr>
            <w:tcW w:w="1701" w:type="dxa"/>
            <w:tcBorders>
              <w:top w:val="single" w:sz="6" w:space="0" w:color="auto"/>
              <w:left w:val="single" w:sz="6" w:space="0" w:color="auto"/>
              <w:bottom w:val="single" w:sz="6" w:space="0" w:color="auto"/>
            </w:tcBorders>
          </w:tcPr>
          <w:p w14:paraId="501D3EA3" w14:textId="77777777" w:rsidR="00C7167B" w:rsidRPr="00C7167B" w:rsidRDefault="00C7167B" w:rsidP="00C7167B">
            <w:pPr>
              <w:pStyle w:val="TableText"/>
              <w:rPr>
                <w:b/>
              </w:rPr>
            </w:pPr>
            <w:r w:rsidRPr="00C7167B">
              <w:rPr>
                <w:b/>
              </w:rPr>
              <w:t>Customer Satisfaction Survey</w:t>
            </w:r>
          </w:p>
          <w:p w14:paraId="0B700726" w14:textId="0A9FE873" w:rsidR="00C7167B" w:rsidRPr="00C7167B" w:rsidRDefault="00C7167B" w:rsidP="00C7167B">
            <w:pPr>
              <w:pStyle w:val="TableText"/>
              <w:rPr>
                <w:b/>
              </w:rPr>
            </w:pPr>
            <w:r w:rsidRPr="00C7167B">
              <w:rPr>
                <w:b/>
              </w:rPr>
              <w:t>(Attachment C)</w:t>
            </w:r>
          </w:p>
        </w:tc>
        <w:tc>
          <w:tcPr>
            <w:tcW w:w="1497" w:type="dxa"/>
            <w:tcBorders>
              <w:top w:val="single" w:sz="6" w:space="0" w:color="auto"/>
              <w:left w:val="single" w:sz="6" w:space="0" w:color="auto"/>
              <w:bottom w:val="single" w:sz="6" w:space="0" w:color="auto"/>
            </w:tcBorders>
          </w:tcPr>
          <w:p w14:paraId="63CF0003" w14:textId="26B47DCC" w:rsidR="00C7167B" w:rsidRPr="002250C3" w:rsidRDefault="00C7167B" w:rsidP="00C7167B">
            <w:pPr>
              <w:pStyle w:val="TableText"/>
            </w:pPr>
            <w:r>
              <w:t>CBPR Community Partners</w:t>
            </w:r>
          </w:p>
        </w:tc>
        <w:tc>
          <w:tcPr>
            <w:tcW w:w="1524" w:type="dxa"/>
            <w:tcBorders>
              <w:top w:val="single" w:sz="6" w:space="0" w:color="auto"/>
              <w:left w:val="single" w:sz="6" w:space="0" w:color="auto"/>
              <w:bottom w:val="single" w:sz="6" w:space="0" w:color="auto"/>
            </w:tcBorders>
          </w:tcPr>
          <w:p w14:paraId="174070AC" w14:textId="173EB311" w:rsidR="00C7167B" w:rsidRPr="002250C3" w:rsidRDefault="00C7167B" w:rsidP="00C7167B">
            <w:pPr>
              <w:pStyle w:val="TableText"/>
              <w:jc w:val="center"/>
            </w:pPr>
            <w:r>
              <w:t>400</w:t>
            </w:r>
          </w:p>
        </w:tc>
        <w:tc>
          <w:tcPr>
            <w:tcW w:w="1728" w:type="dxa"/>
            <w:tcBorders>
              <w:top w:val="single" w:sz="6" w:space="0" w:color="auto"/>
              <w:left w:val="single" w:sz="6" w:space="0" w:color="auto"/>
              <w:bottom w:val="single" w:sz="6" w:space="0" w:color="auto"/>
            </w:tcBorders>
          </w:tcPr>
          <w:p w14:paraId="1E2F3A72" w14:textId="3D361B6D" w:rsidR="00C7167B" w:rsidRPr="002250C3" w:rsidRDefault="00C7167B" w:rsidP="00C7167B">
            <w:pPr>
              <w:pStyle w:val="TableText"/>
              <w:jc w:val="center"/>
            </w:pPr>
            <w:r>
              <w:t>1</w:t>
            </w:r>
          </w:p>
        </w:tc>
        <w:tc>
          <w:tcPr>
            <w:tcW w:w="1872" w:type="dxa"/>
            <w:tcBorders>
              <w:top w:val="single" w:sz="6" w:space="0" w:color="auto"/>
              <w:left w:val="single" w:sz="6" w:space="0" w:color="auto"/>
              <w:bottom w:val="single" w:sz="6" w:space="0" w:color="auto"/>
            </w:tcBorders>
          </w:tcPr>
          <w:p w14:paraId="14E1F797" w14:textId="4FB0844A" w:rsidR="00C7167B" w:rsidRPr="002250C3" w:rsidRDefault="00C7167B" w:rsidP="00C7167B">
            <w:pPr>
              <w:pStyle w:val="TableText"/>
              <w:jc w:val="center"/>
            </w:pPr>
            <w:r>
              <w:t>20/60</w:t>
            </w:r>
          </w:p>
        </w:tc>
        <w:tc>
          <w:tcPr>
            <w:tcW w:w="1586" w:type="dxa"/>
            <w:tcBorders>
              <w:top w:val="single" w:sz="6" w:space="0" w:color="auto"/>
              <w:left w:val="single" w:sz="6" w:space="0" w:color="auto"/>
              <w:bottom w:val="single" w:sz="6" w:space="0" w:color="auto"/>
              <w:right w:val="single" w:sz="6" w:space="0" w:color="auto"/>
            </w:tcBorders>
          </w:tcPr>
          <w:p w14:paraId="3BE41CF8" w14:textId="41CFEB77" w:rsidR="00C7167B" w:rsidRPr="002250C3" w:rsidRDefault="00C7167B" w:rsidP="00C7167B">
            <w:pPr>
              <w:pStyle w:val="TableText"/>
              <w:jc w:val="center"/>
            </w:pPr>
            <w:r>
              <w:t>133</w:t>
            </w:r>
          </w:p>
        </w:tc>
      </w:tr>
      <w:tr w:rsidR="00C7167B" w:rsidRPr="002250C3" w14:paraId="7581AC07" w14:textId="77777777" w:rsidTr="00C7167B">
        <w:trPr>
          <w:cantSplit/>
          <w:jc w:val="center"/>
        </w:trPr>
        <w:tc>
          <w:tcPr>
            <w:tcW w:w="1701" w:type="dxa"/>
            <w:tcBorders>
              <w:top w:val="single" w:sz="6" w:space="0" w:color="auto"/>
              <w:left w:val="single" w:sz="6" w:space="0" w:color="auto"/>
              <w:bottom w:val="single" w:sz="4" w:space="0" w:color="auto"/>
            </w:tcBorders>
          </w:tcPr>
          <w:p w14:paraId="6F8B0F6C" w14:textId="0AB16C80" w:rsidR="00C7167B" w:rsidRPr="00C7167B" w:rsidRDefault="00C7167B" w:rsidP="00C7167B">
            <w:pPr>
              <w:pStyle w:val="TableText"/>
              <w:rPr>
                <w:b/>
              </w:rPr>
            </w:pPr>
            <w:r w:rsidRPr="00C7167B">
              <w:rPr>
                <w:b/>
              </w:rPr>
              <w:t>Total</w:t>
            </w:r>
          </w:p>
        </w:tc>
        <w:tc>
          <w:tcPr>
            <w:tcW w:w="1497" w:type="dxa"/>
            <w:tcBorders>
              <w:top w:val="single" w:sz="6" w:space="0" w:color="auto"/>
              <w:left w:val="single" w:sz="6" w:space="0" w:color="auto"/>
              <w:bottom w:val="single" w:sz="4" w:space="0" w:color="auto"/>
            </w:tcBorders>
            <w:shd w:val="pct25" w:color="auto" w:fill="auto"/>
          </w:tcPr>
          <w:p w14:paraId="44DB86F0" w14:textId="77777777" w:rsidR="00C7167B" w:rsidRPr="002250C3" w:rsidRDefault="00C7167B" w:rsidP="00C7167B">
            <w:pPr>
              <w:pStyle w:val="TableText"/>
            </w:pPr>
          </w:p>
        </w:tc>
        <w:tc>
          <w:tcPr>
            <w:tcW w:w="1524" w:type="dxa"/>
            <w:tcBorders>
              <w:top w:val="single" w:sz="6" w:space="0" w:color="auto"/>
              <w:left w:val="single" w:sz="6" w:space="0" w:color="auto"/>
              <w:bottom w:val="single" w:sz="4" w:space="0" w:color="auto"/>
            </w:tcBorders>
          </w:tcPr>
          <w:p w14:paraId="34D483D3" w14:textId="32223B68" w:rsidR="00C7167B" w:rsidRPr="002250C3" w:rsidRDefault="00C7167B" w:rsidP="00C7167B">
            <w:pPr>
              <w:pStyle w:val="TableText"/>
              <w:jc w:val="center"/>
            </w:pPr>
            <w:r>
              <w:t>1,050</w:t>
            </w:r>
          </w:p>
        </w:tc>
        <w:tc>
          <w:tcPr>
            <w:tcW w:w="1728" w:type="dxa"/>
            <w:tcBorders>
              <w:top w:val="single" w:sz="6" w:space="0" w:color="auto"/>
              <w:left w:val="single" w:sz="6" w:space="0" w:color="auto"/>
              <w:bottom w:val="single" w:sz="4" w:space="0" w:color="auto"/>
            </w:tcBorders>
          </w:tcPr>
          <w:p w14:paraId="57D1F8F0" w14:textId="14616E47" w:rsidR="00C7167B" w:rsidRPr="002250C3" w:rsidRDefault="00C7167B" w:rsidP="00C7167B">
            <w:pPr>
              <w:pStyle w:val="TableText"/>
              <w:jc w:val="center"/>
            </w:pPr>
            <w:r>
              <w:t>1,050</w:t>
            </w:r>
          </w:p>
        </w:tc>
        <w:tc>
          <w:tcPr>
            <w:tcW w:w="1872" w:type="dxa"/>
            <w:tcBorders>
              <w:top w:val="single" w:sz="6" w:space="0" w:color="auto"/>
              <w:left w:val="single" w:sz="6" w:space="0" w:color="auto"/>
              <w:bottom w:val="single" w:sz="4" w:space="0" w:color="auto"/>
            </w:tcBorders>
            <w:shd w:val="pct25" w:color="auto" w:fill="auto"/>
          </w:tcPr>
          <w:p w14:paraId="2D47ED60" w14:textId="77777777" w:rsidR="00C7167B" w:rsidRDefault="00C7167B" w:rsidP="00C7167B">
            <w:pPr>
              <w:pStyle w:val="TableText"/>
              <w:jc w:val="center"/>
            </w:pPr>
          </w:p>
        </w:tc>
        <w:tc>
          <w:tcPr>
            <w:tcW w:w="1586" w:type="dxa"/>
            <w:tcBorders>
              <w:top w:val="single" w:sz="6" w:space="0" w:color="auto"/>
              <w:left w:val="single" w:sz="6" w:space="0" w:color="auto"/>
              <w:bottom w:val="single" w:sz="4" w:space="0" w:color="auto"/>
              <w:right w:val="single" w:sz="6" w:space="0" w:color="auto"/>
            </w:tcBorders>
          </w:tcPr>
          <w:p w14:paraId="3B6A3BB7" w14:textId="78D04C71" w:rsidR="00C7167B" w:rsidRPr="002250C3" w:rsidRDefault="00C7167B" w:rsidP="00C7167B">
            <w:pPr>
              <w:pStyle w:val="TableText"/>
              <w:jc w:val="center"/>
            </w:pPr>
            <w:r>
              <w:t>353</w:t>
            </w:r>
          </w:p>
        </w:tc>
      </w:tr>
    </w:tbl>
    <w:p w14:paraId="5C0BDE52" w14:textId="7C3C27BF" w:rsidR="00907E64" w:rsidRPr="00907E64" w:rsidRDefault="00C7167B" w:rsidP="00C7167B">
      <w:pPr>
        <w:pStyle w:val="Heading1"/>
      </w:pPr>
      <w:bookmarkStart w:id="13" w:name="_Toc446336620"/>
      <w:r w:rsidRPr="00907E64">
        <w:t>A.12-2</w:t>
      </w:r>
      <w:r>
        <w:tab/>
      </w:r>
      <w:r w:rsidRPr="008D6022">
        <w:t xml:space="preserve">Annualized Cost </w:t>
      </w:r>
      <w:r>
        <w:t>t</w:t>
      </w:r>
      <w:r w:rsidRPr="008D6022">
        <w:t>o Respondents</w:t>
      </w:r>
      <w:bookmarkEnd w:id="13"/>
    </w:p>
    <w:p w14:paraId="0D8BFCEE" w14:textId="4C8A6EC7" w:rsidR="007A0876" w:rsidRDefault="00C7167B" w:rsidP="007A0876">
      <w:r>
        <w:t xml:space="preserve">The Estimate Of Annualized Cost To Respondents Is $13,223.38. The </w:t>
      </w:r>
      <w:r w:rsidR="0064348E">
        <w:t>d</w:t>
      </w:r>
      <w:r>
        <w:t xml:space="preserve">ata </w:t>
      </w:r>
      <w:r w:rsidR="0064348E">
        <w:t>w</w:t>
      </w:r>
      <w:r>
        <w:t xml:space="preserve">as </w:t>
      </w:r>
      <w:r w:rsidR="0064348E">
        <w:t>c</w:t>
      </w:r>
      <w:r>
        <w:t xml:space="preserve">alculated </w:t>
      </w:r>
      <w:r w:rsidR="0064348E">
        <w:t>u</w:t>
      </w:r>
      <w:r>
        <w:t xml:space="preserve">sing a </w:t>
      </w:r>
      <w:r w:rsidR="00F72022">
        <w:t xml:space="preserve">wage rate of $37.46 </w:t>
      </w:r>
      <w:r w:rsidR="00F72022" w:rsidRPr="007A0876">
        <w:t>obtained from the Bureau of Labor Statistics.</w:t>
      </w:r>
      <w:r w:rsidR="00345607">
        <w:t xml:space="preserve"> </w:t>
      </w:r>
      <w:r w:rsidR="00F72022" w:rsidRPr="007A0876">
        <w:t xml:space="preserve">The occupation code is 19-1029 and the occupation title </w:t>
      </w:r>
      <w:r w:rsidR="00280A25">
        <w:t>is</w:t>
      </w:r>
      <w:r w:rsidR="00F72022" w:rsidRPr="007A0876">
        <w:t xml:space="preserve"> Biological S</w:t>
      </w:r>
      <w:r w:rsidR="00F72022">
        <w:t xml:space="preserve">cientist, </w:t>
      </w:r>
      <w:hyperlink r:id="rId9" w:history="1">
        <w:r w:rsidR="00F72022" w:rsidRPr="001D4A3B">
          <w:rPr>
            <w:rStyle w:val="Hyperlink"/>
          </w:rPr>
          <w:t>http://bls.gov/oes/current/oes191029.htm</w:t>
        </w:r>
      </w:hyperlink>
      <w:r w:rsidR="00F72022">
        <w:t>. The estimates are provided below in A.12.</w:t>
      </w:r>
    </w:p>
    <w:p w14:paraId="0F00F2FD" w14:textId="49C08855" w:rsidR="001D2741" w:rsidRDefault="00345607" w:rsidP="00345607">
      <w:pPr>
        <w:pStyle w:val="Caption"/>
      </w:pPr>
      <w:r w:rsidRPr="00A66FE4">
        <w:lastRenderedPageBreak/>
        <w:t>A.12-2</w:t>
      </w:r>
      <w:r>
        <w:t xml:space="preserve"> </w:t>
      </w:r>
      <w:r w:rsidRPr="00A66FE4">
        <w:t xml:space="preserve">Annualized Cost </w:t>
      </w:r>
      <w:r>
        <w:t>t</w:t>
      </w:r>
      <w:r w:rsidRPr="00A66FE4">
        <w:t>o Respondents</w:t>
      </w:r>
    </w:p>
    <w:tbl>
      <w:tblPr>
        <w:tblW w:w="0" w:type="auto"/>
        <w:jc w:val="center"/>
        <w:tblCellMar>
          <w:top w:w="58" w:type="dxa"/>
          <w:left w:w="115" w:type="dxa"/>
          <w:bottom w:w="58" w:type="dxa"/>
          <w:right w:w="115" w:type="dxa"/>
        </w:tblCellMar>
        <w:tblLook w:val="0000" w:firstRow="0" w:lastRow="0" w:firstColumn="0" w:lastColumn="0" w:noHBand="0" w:noVBand="0"/>
      </w:tblPr>
      <w:tblGrid>
        <w:gridCol w:w="2890"/>
        <w:gridCol w:w="1890"/>
        <w:gridCol w:w="1440"/>
        <w:gridCol w:w="1710"/>
      </w:tblGrid>
      <w:tr w:rsidR="00A66FE4" w:rsidRPr="00345607" w14:paraId="7A2015CD" w14:textId="77777777" w:rsidTr="00345607">
        <w:trPr>
          <w:cantSplit/>
          <w:trHeight w:val="372"/>
          <w:tblHeader/>
          <w:jc w:val="center"/>
        </w:trPr>
        <w:tc>
          <w:tcPr>
            <w:tcW w:w="2890" w:type="dxa"/>
            <w:tcBorders>
              <w:top w:val="single" w:sz="6" w:space="0" w:color="auto"/>
              <w:left w:val="single" w:sz="6" w:space="0" w:color="auto"/>
            </w:tcBorders>
            <w:vAlign w:val="bottom"/>
          </w:tcPr>
          <w:p w14:paraId="22B88AB6" w14:textId="0268D259" w:rsidR="00A66FE4" w:rsidRPr="00345607" w:rsidRDefault="00A66FE4" w:rsidP="00345607">
            <w:pPr>
              <w:pStyle w:val="TableText"/>
              <w:rPr>
                <w:b/>
              </w:rPr>
            </w:pPr>
            <w:r w:rsidRPr="00345607">
              <w:rPr>
                <w:b/>
              </w:rPr>
              <w:t>Type of Respondents</w:t>
            </w:r>
            <w:r w:rsidR="00345607" w:rsidRPr="00345607">
              <w:rPr>
                <w:b/>
              </w:rPr>
              <w:t xml:space="preserve"> </w:t>
            </w:r>
          </w:p>
        </w:tc>
        <w:tc>
          <w:tcPr>
            <w:tcW w:w="1890" w:type="dxa"/>
            <w:tcBorders>
              <w:top w:val="single" w:sz="6" w:space="0" w:color="auto"/>
              <w:left w:val="single" w:sz="6" w:space="0" w:color="auto"/>
            </w:tcBorders>
            <w:vAlign w:val="bottom"/>
          </w:tcPr>
          <w:p w14:paraId="50782538" w14:textId="5ED76798" w:rsidR="00A66FE4" w:rsidRPr="00345607" w:rsidRDefault="00A66FE4" w:rsidP="00345607">
            <w:pPr>
              <w:pStyle w:val="TableText"/>
              <w:jc w:val="center"/>
              <w:rPr>
                <w:b/>
              </w:rPr>
            </w:pPr>
            <w:r w:rsidRPr="00345607">
              <w:rPr>
                <w:b/>
              </w:rPr>
              <w:t>Total Annual</w:t>
            </w:r>
            <w:r w:rsidR="00345607" w:rsidRPr="00345607">
              <w:rPr>
                <w:b/>
              </w:rPr>
              <w:t xml:space="preserve"> </w:t>
            </w:r>
            <w:r w:rsidRPr="00345607">
              <w:rPr>
                <w:b/>
              </w:rPr>
              <w:t>Burden Hour</w:t>
            </w:r>
          </w:p>
        </w:tc>
        <w:tc>
          <w:tcPr>
            <w:tcW w:w="1440" w:type="dxa"/>
            <w:tcBorders>
              <w:top w:val="single" w:sz="6" w:space="0" w:color="auto"/>
              <w:left w:val="single" w:sz="6" w:space="0" w:color="auto"/>
            </w:tcBorders>
            <w:vAlign w:val="bottom"/>
          </w:tcPr>
          <w:p w14:paraId="15FE8BBD" w14:textId="7496F8E5" w:rsidR="00A66FE4" w:rsidRPr="00345607" w:rsidRDefault="00A66FE4" w:rsidP="00345607">
            <w:pPr>
              <w:pStyle w:val="TableText"/>
              <w:jc w:val="center"/>
              <w:rPr>
                <w:b/>
              </w:rPr>
            </w:pPr>
            <w:r w:rsidRPr="00345607">
              <w:rPr>
                <w:b/>
              </w:rPr>
              <w:t>Hourly Wage Rate*</w:t>
            </w:r>
          </w:p>
        </w:tc>
        <w:tc>
          <w:tcPr>
            <w:tcW w:w="1710" w:type="dxa"/>
            <w:tcBorders>
              <w:top w:val="single" w:sz="6" w:space="0" w:color="auto"/>
              <w:left w:val="single" w:sz="6" w:space="0" w:color="auto"/>
              <w:right w:val="single" w:sz="6" w:space="0" w:color="auto"/>
            </w:tcBorders>
            <w:vAlign w:val="bottom"/>
          </w:tcPr>
          <w:p w14:paraId="61439E63" w14:textId="6168085D" w:rsidR="00A66FE4" w:rsidRPr="00345607" w:rsidRDefault="00A66FE4" w:rsidP="00345607">
            <w:pPr>
              <w:pStyle w:val="TableText"/>
              <w:jc w:val="center"/>
              <w:rPr>
                <w:b/>
              </w:rPr>
            </w:pPr>
            <w:r w:rsidRPr="00345607">
              <w:rPr>
                <w:b/>
              </w:rPr>
              <w:t>Total Burden Cost</w:t>
            </w:r>
          </w:p>
        </w:tc>
      </w:tr>
      <w:tr w:rsidR="00A66FE4" w:rsidRPr="002250C3" w14:paraId="3B190F1E" w14:textId="77777777" w:rsidTr="00345607">
        <w:trPr>
          <w:cantSplit/>
          <w:trHeight w:val="372"/>
          <w:jc w:val="center"/>
        </w:trPr>
        <w:tc>
          <w:tcPr>
            <w:tcW w:w="2890" w:type="dxa"/>
            <w:tcBorders>
              <w:top w:val="single" w:sz="6" w:space="0" w:color="auto"/>
              <w:left w:val="single" w:sz="6" w:space="0" w:color="auto"/>
            </w:tcBorders>
          </w:tcPr>
          <w:p w14:paraId="3BF15182" w14:textId="69F58C41" w:rsidR="00A66FE4" w:rsidRPr="002250C3" w:rsidRDefault="00F72022" w:rsidP="00345607">
            <w:pPr>
              <w:pStyle w:val="TableText"/>
            </w:pPr>
            <w:r>
              <w:t>CBPR PIs</w:t>
            </w:r>
          </w:p>
        </w:tc>
        <w:tc>
          <w:tcPr>
            <w:tcW w:w="1890" w:type="dxa"/>
            <w:tcBorders>
              <w:top w:val="single" w:sz="6" w:space="0" w:color="auto"/>
              <w:left w:val="single" w:sz="6" w:space="0" w:color="auto"/>
            </w:tcBorders>
          </w:tcPr>
          <w:p w14:paraId="0A98D1AA" w14:textId="348F2576" w:rsidR="00A66FE4" w:rsidRPr="002250C3" w:rsidRDefault="00F72022" w:rsidP="00345607">
            <w:pPr>
              <w:pStyle w:val="TableText"/>
            </w:pPr>
            <w:r>
              <w:t>150</w:t>
            </w:r>
          </w:p>
        </w:tc>
        <w:tc>
          <w:tcPr>
            <w:tcW w:w="1440" w:type="dxa"/>
            <w:tcBorders>
              <w:top w:val="single" w:sz="6" w:space="0" w:color="auto"/>
              <w:left w:val="single" w:sz="6" w:space="0" w:color="auto"/>
            </w:tcBorders>
          </w:tcPr>
          <w:p w14:paraId="23B00D20" w14:textId="63A2AF2A" w:rsidR="00A66FE4" w:rsidRPr="002250C3" w:rsidRDefault="00F72022" w:rsidP="00345607">
            <w:pPr>
              <w:pStyle w:val="TableText"/>
            </w:pPr>
            <w:r>
              <w:t>$37.46</w:t>
            </w:r>
          </w:p>
        </w:tc>
        <w:tc>
          <w:tcPr>
            <w:tcW w:w="1710" w:type="dxa"/>
            <w:tcBorders>
              <w:top w:val="single" w:sz="6" w:space="0" w:color="auto"/>
              <w:left w:val="single" w:sz="6" w:space="0" w:color="auto"/>
              <w:right w:val="single" w:sz="6" w:space="0" w:color="auto"/>
            </w:tcBorders>
          </w:tcPr>
          <w:p w14:paraId="33F4381A" w14:textId="5D09C190" w:rsidR="00A66FE4" w:rsidRPr="002250C3" w:rsidRDefault="00345607" w:rsidP="00345607">
            <w:pPr>
              <w:pStyle w:val="TableText"/>
            </w:pPr>
            <w:r>
              <w:t xml:space="preserve"> </w:t>
            </w:r>
            <w:r w:rsidR="00A66FE4">
              <w:t>$</w:t>
            </w:r>
            <w:r w:rsidR="008D6022">
              <w:t>5,619.00</w:t>
            </w:r>
          </w:p>
        </w:tc>
      </w:tr>
      <w:tr w:rsidR="00A66FE4" w:rsidRPr="002250C3" w14:paraId="5101FCC6" w14:textId="77777777" w:rsidTr="00345607">
        <w:trPr>
          <w:cantSplit/>
          <w:trHeight w:val="372"/>
          <w:jc w:val="center"/>
        </w:trPr>
        <w:tc>
          <w:tcPr>
            <w:tcW w:w="2890" w:type="dxa"/>
            <w:tcBorders>
              <w:top w:val="single" w:sz="6" w:space="0" w:color="auto"/>
              <w:left w:val="single" w:sz="6" w:space="0" w:color="auto"/>
            </w:tcBorders>
          </w:tcPr>
          <w:p w14:paraId="4B65CB4A" w14:textId="6E881940" w:rsidR="00A66FE4" w:rsidRPr="002250C3" w:rsidRDefault="00F72022" w:rsidP="00345607">
            <w:pPr>
              <w:pStyle w:val="TableText"/>
            </w:pPr>
            <w:r>
              <w:t>Behavioral and Social Intervention Grant PIs</w:t>
            </w:r>
          </w:p>
        </w:tc>
        <w:tc>
          <w:tcPr>
            <w:tcW w:w="1890" w:type="dxa"/>
            <w:tcBorders>
              <w:top w:val="single" w:sz="6" w:space="0" w:color="auto"/>
              <w:left w:val="single" w:sz="6" w:space="0" w:color="auto"/>
            </w:tcBorders>
          </w:tcPr>
          <w:p w14:paraId="0B52FD14" w14:textId="7964B498" w:rsidR="00A66FE4" w:rsidRPr="002250C3" w:rsidRDefault="00F72022" w:rsidP="00345607">
            <w:pPr>
              <w:pStyle w:val="TableText"/>
            </w:pPr>
            <w:r>
              <w:t>70</w:t>
            </w:r>
          </w:p>
        </w:tc>
        <w:tc>
          <w:tcPr>
            <w:tcW w:w="1440" w:type="dxa"/>
            <w:tcBorders>
              <w:top w:val="single" w:sz="6" w:space="0" w:color="auto"/>
              <w:left w:val="single" w:sz="6" w:space="0" w:color="auto"/>
            </w:tcBorders>
          </w:tcPr>
          <w:p w14:paraId="09C3A2CA" w14:textId="623D7600" w:rsidR="00A66FE4" w:rsidRPr="002250C3" w:rsidRDefault="00F72022" w:rsidP="00345607">
            <w:pPr>
              <w:pStyle w:val="TableText"/>
            </w:pPr>
            <w:r>
              <w:t>$37.46</w:t>
            </w:r>
          </w:p>
        </w:tc>
        <w:tc>
          <w:tcPr>
            <w:tcW w:w="1710" w:type="dxa"/>
            <w:tcBorders>
              <w:top w:val="single" w:sz="6" w:space="0" w:color="auto"/>
              <w:left w:val="single" w:sz="6" w:space="0" w:color="auto"/>
              <w:right w:val="single" w:sz="6" w:space="0" w:color="auto"/>
            </w:tcBorders>
          </w:tcPr>
          <w:p w14:paraId="3148CD8A" w14:textId="54D9E8A3" w:rsidR="00A66FE4" w:rsidRPr="002250C3" w:rsidRDefault="00345607" w:rsidP="00345607">
            <w:pPr>
              <w:pStyle w:val="TableText"/>
            </w:pPr>
            <w:r>
              <w:t xml:space="preserve"> </w:t>
            </w:r>
            <w:r w:rsidR="00A66FE4">
              <w:t>$</w:t>
            </w:r>
            <w:r w:rsidR="008D6022">
              <w:t>2,622.20</w:t>
            </w:r>
          </w:p>
        </w:tc>
      </w:tr>
      <w:tr w:rsidR="00A66FE4" w:rsidRPr="002250C3" w14:paraId="0F794524" w14:textId="77777777" w:rsidTr="00345607">
        <w:trPr>
          <w:cantSplit/>
          <w:trHeight w:val="372"/>
          <w:jc w:val="center"/>
        </w:trPr>
        <w:tc>
          <w:tcPr>
            <w:tcW w:w="2890" w:type="dxa"/>
            <w:tcBorders>
              <w:top w:val="single" w:sz="6" w:space="0" w:color="auto"/>
              <w:left w:val="single" w:sz="6" w:space="0" w:color="auto"/>
              <w:bottom w:val="single" w:sz="6" w:space="0" w:color="auto"/>
            </w:tcBorders>
          </w:tcPr>
          <w:p w14:paraId="544B295F" w14:textId="46D2DE54" w:rsidR="00A66FE4" w:rsidRPr="002250C3" w:rsidRDefault="00F72022" w:rsidP="00345607">
            <w:pPr>
              <w:pStyle w:val="TableText"/>
            </w:pPr>
            <w:r>
              <w:t>CBPR Community Partners</w:t>
            </w:r>
          </w:p>
        </w:tc>
        <w:tc>
          <w:tcPr>
            <w:tcW w:w="1890" w:type="dxa"/>
            <w:tcBorders>
              <w:top w:val="single" w:sz="6" w:space="0" w:color="auto"/>
              <w:left w:val="single" w:sz="6" w:space="0" w:color="auto"/>
              <w:bottom w:val="single" w:sz="6" w:space="0" w:color="auto"/>
            </w:tcBorders>
          </w:tcPr>
          <w:p w14:paraId="11CC2C53" w14:textId="2C2601CB" w:rsidR="00A66FE4" w:rsidRPr="002250C3" w:rsidRDefault="00F72022" w:rsidP="00345607">
            <w:pPr>
              <w:pStyle w:val="TableText"/>
            </w:pPr>
            <w:r>
              <w:t>133</w:t>
            </w:r>
          </w:p>
        </w:tc>
        <w:tc>
          <w:tcPr>
            <w:tcW w:w="1440" w:type="dxa"/>
            <w:tcBorders>
              <w:top w:val="single" w:sz="6" w:space="0" w:color="auto"/>
              <w:left w:val="single" w:sz="6" w:space="0" w:color="auto"/>
              <w:bottom w:val="single" w:sz="6" w:space="0" w:color="auto"/>
            </w:tcBorders>
          </w:tcPr>
          <w:p w14:paraId="60CD14C3" w14:textId="6AE4D6EF" w:rsidR="00A66FE4" w:rsidRPr="002250C3" w:rsidRDefault="00F72022" w:rsidP="00345607">
            <w:pPr>
              <w:pStyle w:val="TableText"/>
            </w:pPr>
            <w:r>
              <w:t>$37.46</w:t>
            </w:r>
          </w:p>
        </w:tc>
        <w:tc>
          <w:tcPr>
            <w:tcW w:w="1710" w:type="dxa"/>
            <w:tcBorders>
              <w:top w:val="single" w:sz="6" w:space="0" w:color="auto"/>
              <w:left w:val="single" w:sz="6" w:space="0" w:color="auto"/>
              <w:bottom w:val="single" w:sz="6" w:space="0" w:color="auto"/>
              <w:right w:val="single" w:sz="6" w:space="0" w:color="auto"/>
            </w:tcBorders>
          </w:tcPr>
          <w:p w14:paraId="36A267EA" w14:textId="639C083A" w:rsidR="00A66FE4" w:rsidRPr="002250C3" w:rsidRDefault="00A66FE4" w:rsidP="00345607">
            <w:pPr>
              <w:pStyle w:val="TableText"/>
            </w:pPr>
            <w:r>
              <w:t>$</w:t>
            </w:r>
            <w:r w:rsidR="008D6022">
              <w:t>4,982.18</w:t>
            </w:r>
            <w:r w:rsidR="00345607">
              <w:t xml:space="preserve"> </w:t>
            </w:r>
          </w:p>
        </w:tc>
      </w:tr>
      <w:tr w:rsidR="008D6022" w:rsidRPr="002250C3" w14:paraId="2A1A66EB" w14:textId="77777777" w:rsidTr="00345607">
        <w:trPr>
          <w:cantSplit/>
          <w:trHeight w:val="372"/>
          <w:jc w:val="center"/>
        </w:trPr>
        <w:tc>
          <w:tcPr>
            <w:tcW w:w="2890" w:type="dxa"/>
            <w:tcBorders>
              <w:top w:val="single" w:sz="6" w:space="0" w:color="auto"/>
              <w:left w:val="single" w:sz="6" w:space="0" w:color="auto"/>
              <w:bottom w:val="single" w:sz="4" w:space="0" w:color="auto"/>
            </w:tcBorders>
          </w:tcPr>
          <w:p w14:paraId="180BDF1E" w14:textId="51EB1D1D" w:rsidR="008D6022" w:rsidRDefault="008D6022" w:rsidP="00345607">
            <w:pPr>
              <w:pStyle w:val="TableText"/>
            </w:pPr>
            <w:r>
              <w:t>TOTAL</w:t>
            </w:r>
          </w:p>
        </w:tc>
        <w:tc>
          <w:tcPr>
            <w:tcW w:w="1890" w:type="dxa"/>
            <w:tcBorders>
              <w:top w:val="single" w:sz="6" w:space="0" w:color="auto"/>
              <w:left w:val="single" w:sz="6" w:space="0" w:color="auto"/>
              <w:bottom w:val="single" w:sz="4" w:space="0" w:color="auto"/>
            </w:tcBorders>
          </w:tcPr>
          <w:p w14:paraId="1A7B415E" w14:textId="79495C6B" w:rsidR="008D6022" w:rsidRDefault="00890A8A" w:rsidP="00345607">
            <w:pPr>
              <w:pStyle w:val="TableText"/>
            </w:pPr>
            <w:r>
              <w:t>353</w:t>
            </w:r>
          </w:p>
        </w:tc>
        <w:tc>
          <w:tcPr>
            <w:tcW w:w="1440" w:type="dxa"/>
            <w:tcBorders>
              <w:top w:val="single" w:sz="6" w:space="0" w:color="auto"/>
              <w:left w:val="single" w:sz="6" w:space="0" w:color="auto"/>
              <w:bottom w:val="single" w:sz="4" w:space="0" w:color="auto"/>
            </w:tcBorders>
          </w:tcPr>
          <w:p w14:paraId="058760DC" w14:textId="0E6B6591" w:rsidR="008D6022" w:rsidRDefault="00890A8A" w:rsidP="00345607">
            <w:pPr>
              <w:pStyle w:val="TableText"/>
            </w:pPr>
            <w:r>
              <w:t>$37.46</w:t>
            </w:r>
          </w:p>
        </w:tc>
        <w:tc>
          <w:tcPr>
            <w:tcW w:w="1710" w:type="dxa"/>
            <w:tcBorders>
              <w:top w:val="single" w:sz="6" w:space="0" w:color="auto"/>
              <w:left w:val="single" w:sz="6" w:space="0" w:color="auto"/>
              <w:bottom w:val="single" w:sz="4" w:space="0" w:color="auto"/>
              <w:right w:val="single" w:sz="6" w:space="0" w:color="auto"/>
            </w:tcBorders>
          </w:tcPr>
          <w:p w14:paraId="359B83C2" w14:textId="43C8AFE9" w:rsidR="008D6022" w:rsidRDefault="008D6022" w:rsidP="00345607">
            <w:pPr>
              <w:pStyle w:val="TableText"/>
            </w:pPr>
            <w:r>
              <w:t>$13,223.38</w:t>
            </w:r>
          </w:p>
        </w:tc>
      </w:tr>
    </w:tbl>
    <w:p w14:paraId="28A817D2" w14:textId="77777777" w:rsidR="007A0876" w:rsidRDefault="003D32E2" w:rsidP="00345607">
      <w:pPr>
        <w:jc w:val="center"/>
      </w:pPr>
      <w:r w:rsidRPr="00F72022">
        <w:t>*So</w:t>
      </w:r>
      <w:r w:rsidRPr="00345607">
        <w:t>u</w:t>
      </w:r>
      <w:r w:rsidRPr="00F72022">
        <w:t>rce of hourly wage rate</w:t>
      </w:r>
      <w:r w:rsidR="00F72022">
        <w:t xml:space="preserve">: </w:t>
      </w:r>
      <w:hyperlink r:id="rId10" w:history="1">
        <w:r w:rsidR="00F72022" w:rsidRPr="001D4A3B">
          <w:rPr>
            <w:rStyle w:val="Hyperlink"/>
          </w:rPr>
          <w:t>http://bls.gov/oes/current/oes191029.htm</w:t>
        </w:r>
      </w:hyperlink>
    </w:p>
    <w:p w14:paraId="03B43F67" w14:textId="03A782DF" w:rsidR="002C4725" w:rsidRDefault="00713CF8" w:rsidP="00C7167B">
      <w:pPr>
        <w:pStyle w:val="Heading1"/>
      </w:pPr>
      <w:bookmarkStart w:id="14" w:name="_Toc446336621"/>
      <w:r w:rsidRPr="00113647">
        <w:t>A.13</w:t>
      </w:r>
      <w:r w:rsidR="00345607">
        <w:tab/>
      </w:r>
      <w:r w:rsidRPr="00113647">
        <w:t>Estimate of Other Total Annual Cost Burden to Respondents or Record Keepers</w:t>
      </w:r>
      <w:bookmarkEnd w:id="14"/>
    </w:p>
    <w:p w14:paraId="1FE4143A" w14:textId="77777777" w:rsidR="007A0876" w:rsidRDefault="008D6022" w:rsidP="008716F6">
      <w:pPr>
        <w:spacing w:after="20"/>
      </w:pPr>
      <w:r>
        <w:t>There are no capital or start-up costs to the data collection efforts requested; nor are there any costs associated with the operation, maintenance, or purchase of services.</w:t>
      </w:r>
    </w:p>
    <w:p w14:paraId="07CA0306" w14:textId="58F93A6B" w:rsidR="002C4725" w:rsidRDefault="00713CF8" w:rsidP="00C7167B">
      <w:pPr>
        <w:pStyle w:val="Heading1"/>
      </w:pPr>
      <w:bookmarkStart w:id="15" w:name="_Toc446336622"/>
      <w:r w:rsidRPr="00113647">
        <w:t>A.14</w:t>
      </w:r>
      <w:r w:rsidR="00345607">
        <w:tab/>
      </w:r>
      <w:r w:rsidRPr="00113647">
        <w:t>Annualized Cost to the Federal Government</w:t>
      </w:r>
      <w:bookmarkEnd w:id="15"/>
    </w:p>
    <w:p w14:paraId="159477A8" w14:textId="4B4230F7" w:rsidR="00713CF8" w:rsidRDefault="00813AB3" w:rsidP="008716F6">
      <w:pPr>
        <w:spacing w:after="20"/>
      </w:pPr>
      <w:r>
        <w:t>The annualized cost to the Federal government is $34,308.59.</w:t>
      </w:r>
      <w:r w:rsidR="00345607">
        <w:t xml:space="preserve"> </w:t>
      </w:r>
      <w:r>
        <w:t>The federal staff will be responsible for high-level oversight of the contractor’s work.</w:t>
      </w:r>
      <w:r w:rsidR="00345607">
        <w:t xml:space="preserve"> </w:t>
      </w:r>
      <w:r>
        <w:t>The contractor is responsible for assisting in developing the survey instruments, fielding the surveys, and cleaning, coding and analyzing the survey data.</w:t>
      </w:r>
      <w:r w:rsidR="002C4725">
        <w:t xml:space="preserve"> </w:t>
      </w:r>
    </w:p>
    <w:p w14:paraId="6C43100E" w14:textId="77777777" w:rsidR="00345607" w:rsidRPr="00113647" w:rsidRDefault="00345607" w:rsidP="008716F6">
      <w:pPr>
        <w:spacing w:after="20"/>
      </w:pPr>
    </w:p>
    <w:tbl>
      <w:tblPr>
        <w:tblW w:w="9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58" w:type="dxa"/>
          <w:left w:w="115" w:type="dxa"/>
          <w:bottom w:w="58" w:type="dxa"/>
          <w:right w:w="115" w:type="dxa"/>
        </w:tblCellMar>
        <w:tblLook w:val="04A0" w:firstRow="1" w:lastRow="0" w:firstColumn="1" w:lastColumn="0" w:noHBand="0" w:noVBand="1"/>
      </w:tblPr>
      <w:tblGrid>
        <w:gridCol w:w="2733"/>
        <w:gridCol w:w="1421"/>
        <w:gridCol w:w="1316"/>
        <w:gridCol w:w="1363"/>
        <w:gridCol w:w="1346"/>
        <w:gridCol w:w="1343"/>
      </w:tblGrid>
      <w:tr w:rsidR="00BB7115" w:rsidRPr="00345607" w14:paraId="096717E1" w14:textId="77777777" w:rsidTr="00345607">
        <w:tc>
          <w:tcPr>
            <w:tcW w:w="2733" w:type="dxa"/>
            <w:shd w:val="clear" w:color="auto" w:fill="auto"/>
            <w:noWrap/>
            <w:tcMar>
              <w:top w:w="0" w:type="dxa"/>
              <w:left w:w="108" w:type="dxa"/>
              <w:bottom w:w="0" w:type="dxa"/>
              <w:right w:w="108" w:type="dxa"/>
            </w:tcMar>
            <w:vAlign w:val="bottom"/>
            <w:hideMark/>
          </w:tcPr>
          <w:p w14:paraId="56B34391" w14:textId="63CFCA50" w:rsidR="00BB7115" w:rsidRPr="00345607" w:rsidRDefault="002519C4" w:rsidP="00345607">
            <w:pPr>
              <w:pStyle w:val="TableText"/>
              <w:rPr>
                <w:rFonts w:eastAsia="Calibri"/>
                <w:b/>
              </w:rPr>
            </w:pPr>
            <w:r w:rsidRPr="00345607">
              <w:rPr>
                <w:b/>
              </w:rPr>
              <w:t>Cost Descriptions</w:t>
            </w:r>
          </w:p>
        </w:tc>
        <w:tc>
          <w:tcPr>
            <w:tcW w:w="1421" w:type="dxa"/>
            <w:shd w:val="clear" w:color="auto" w:fill="auto"/>
            <w:vAlign w:val="bottom"/>
          </w:tcPr>
          <w:p w14:paraId="02464877" w14:textId="77777777" w:rsidR="00BB7115" w:rsidRPr="00345607" w:rsidRDefault="00BB7115" w:rsidP="00345607">
            <w:pPr>
              <w:pStyle w:val="TableText"/>
              <w:rPr>
                <w:rFonts w:eastAsia="Calibri"/>
                <w:b/>
              </w:rPr>
            </w:pPr>
            <w:r w:rsidRPr="00345607">
              <w:rPr>
                <w:b/>
              </w:rPr>
              <w:t>Grade/Step</w:t>
            </w:r>
          </w:p>
        </w:tc>
        <w:tc>
          <w:tcPr>
            <w:tcW w:w="1316" w:type="dxa"/>
            <w:shd w:val="clear" w:color="auto" w:fill="auto"/>
            <w:tcMar>
              <w:top w:w="0" w:type="dxa"/>
              <w:left w:w="108" w:type="dxa"/>
              <w:bottom w:w="0" w:type="dxa"/>
              <w:right w:w="108" w:type="dxa"/>
            </w:tcMar>
            <w:vAlign w:val="bottom"/>
            <w:hideMark/>
          </w:tcPr>
          <w:p w14:paraId="5D569FD9" w14:textId="77777777" w:rsidR="00BB7115" w:rsidRPr="00345607" w:rsidRDefault="00BB7115" w:rsidP="00345607">
            <w:pPr>
              <w:pStyle w:val="TableText"/>
              <w:rPr>
                <w:rFonts w:eastAsia="Calibri"/>
                <w:b/>
              </w:rPr>
            </w:pPr>
            <w:r w:rsidRPr="00345607">
              <w:rPr>
                <w:b/>
              </w:rPr>
              <w:t>Salary</w:t>
            </w:r>
          </w:p>
        </w:tc>
        <w:tc>
          <w:tcPr>
            <w:tcW w:w="1363" w:type="dxa"/>
            <w:shd w:val="clear" w:color="auto" w:fill="auto"/>
            <w:tcMar>
              <w:top w:w="0" w:type="dxa"/>
              <w:left w:w="108" w:type="dxa"/>
              <w:bottom w:w="0" w:type="dxa"/>
              <w:right w:w="108" w:type="dxa"/>
            </w:tcMar>
            <w:vAlign w:val="bottom"/>
            <w:hideMark/>
          </w:tcPr>
          <w:p w14:paraId="5F3F1E86" w14:textId="77777777" w:rsidR="00BB7115" w:rsidRPr="00345607" w:rsidRDefault="00BB7115" w:rsidP="00345607">
            <w:pPr>
              <w:pStyle w:val="TableText"/>
              <w:rPr>
                <w:rFonts w:eastAsia="Calibri"/>
                <w:b/>
              </w:rPr>
            </w:pPr>
            <w:r w:rsidRPr="00345607">
              <w:rPr>
                <w:b/>
              </w:rPr>
              <w:t>% of Effort</w:t>
            </w:r>
          </w:p>
        </w:tc>
        <w:tc>
          <w:tcPr>
            <w:tcW w:w="1346" w:type="dxa"/>
            <w:shd w:val="clear" w:color="auto" w:fill="auto"/>
          </w:tcPr>
          <w:p w14:paraId="1382F198" w14:textId="77777777" w:rsidR="00BB7115" w:rsidRPr="00345607" w:rsidRDefault="00BB7115" w:rsidP="00345607">
            <w:pPr>
              <w:pStyle w:val="TableText"/>
              <w:rPr>
                <w:b/>
              </w:rPr>
            </w:pPr>
            <w:r w:rsidRPr="00345607">
              <w:rPr>
                <w:b/>
              </w:rPr>
              <w:t>Fringe (if applicable)</w:t>
            </w:r>
          </w:p>
        </w:tc>
        <w:tc>
          <w:tcPr>
            <w:tcW w:w="1343" w:type="dxa"/>
            <w:shd w:val="clear" w:color="auto" w:fill="auto"/>
          </w:tcPr>
          <w:p w14:paraId="217B11D0" w14:textId="70EE6895" w:rsidR="00BB7115" w:rsidRPr="00345607" w:rsidRDefault="00AF01AD" w:rsidP="00345607">
            <w:pPr>
              <w:pStyle w:val="TableText"/>
              <w:rPr>
                <w:b/>
              </w:rPr>
            </w:pPr>
            <w:r w:rsidRPr="00345607">
              <w:rPr>
                <w:b/>
              </w:rPr>
              <w:t xml:space="preserve">Total </w:t>
            </w:r>
            <w:r w:rsidR="005E2D23" w:rsidRPr="00345607">
              <w:rPr>
                <w:b/>
              </w:rPr>
              <w:t>C</w:t>
            </w:r>
            <w:r w:rsidR="00BB7115" w:rsidRPr="00345607">
              <w:rPr>
                <w:b/>
              </w:rPr>
              <w:t>ost to Gov’t</w:t>
            </w:r>
          </w:p>
        </w:tc>
      </w:tr>
      <w:tr w:rsidR="00BB7115" w:rsidRPr="00BB7115" w14:paraId="4D0E63F7" w14:textId="77777777" w:rsidTr="00345607">
        <w:tc>
          <w:tcPr>
            <w:tcW w:w="2733" w:type="dxa"/>
            <w:shd w:val="clear" w:color="auto" w:fill="auto"/>
            <w:noWrap/>
            <w:tcMar>
              <w:top w:w="0" w:type="dxa"/>
              <w:left w:w="108" w:type="dxa"/>
              <w:bottom w:w="0" w:type="dxa"/>
              <w:right w:w="108" w:type="dxa"/>
            </w:tcMar>
            <w:vAlign w:val="bottom"/>
          </w:tcPr>
          <w:p w14:paraId="530BD8DF" w14:textId="77777777" w:rsidR="00BB7115" w:rsidRPr="00345607" w:rsidRDefault="00BB7115" w:rsidP="00345607">
            <w:pPr>
              <w:pStyle w:val="TableText"/>
              <w:rPr>
                <w:b/>
                <w:highlight w:val="yellow"/>
              </w:rPr>
            </w:pPr>
            <w:r w:rsidRPr="00345607">
              <w:rPr>
                <w:b/>
              </w:rPr>
              <w:t>Federal Oversight</w:t>
            </w:r>
          </w:p>
        </w:tc>
        <w:tc>
          <w:tcPr>
            <w:tcW w:w="1421" w:type="dxa"/>
            <w:shd w:val="pct25" w:color="auto" w:fill="auto"/>
          </w:tcPr>
          <w:p w14:paraId="088BBD74" w14:textId="77777777" w:rsidR="00BB7115" w:rsidRPr="00BB7115" w:rsidRDefault="00BB7115" w:rsidP="00345607">
            <w:pPr>
              <w:pStyle w:val="TableText"/>
              <w:rPr>
                <w:highlight w:val="yellow"/>
              </w:rPr>
            </w:pPr>
          </w:p>
        </w:tc>
        <w:tc>
          <w:tcPr>
            <w:tcW w:w="1316" w:type="dxa"/>
            <w:shd w:val="pct25" w:color="auto" w:fill="auto"/>
            <w:noWrap/>
            <w:tcMar>
              <w:top w:w="0" w:type="dxa"/>
              <w:left w:w="108" w:type="dxa"/>
              <w:bottom w:w="0" w:type="dxa"/>
              <w:right w:w="108" w:type="dxa"/>
            </w:tcMar>
            <w:vAlign w:val="bottom"/>
          </w:tcPr>
          <w:p w14:paraId="73EFC7D4" w14:textId="77777777" w:rsidR="00BB7115" w:rsidRPr="00BB7115" w:rsidRDefault="00BB7115" w:rsidP="00345607">
            <w:pPr>
              <w:pStyle w:val="TableText"/>
              <w:rPr>
                <w:rFonts w:eastAsia="Times New Roman"/>
              </w:rPr>
            </w:pPr>
          </w:p>
        </w:tc>
        <w:tc>
          <w:tcPr>
            <w:tcW w:w="1363" w:type="dxa"/>
            <w:shd w:val="pct25" w:color="auto" w:fill="auto"/>
            <w:noWrap/>
            <w:tcMar>
              <w:top w:w="0" w:type="dxa"/>
              <w:left w:w="108" w:type="dxa"/>
              <w:bottom w:w="0" w:type="dxa"/>
              <w:right w:w="108" w:type="dxa"/>
            </w:tcMar>
            <w:vAlign w:val="bottom"/>
          </w:tcPr>
          <w:p w14:paraId="50D2152A" w14:textId="77777777" w:rsidR="00BB7115" w:rsidRPr="00BB7115" w:rsidRDefault="00BB7115" w:rsidP="00345607">
            <w:pPr>
              <w:pStyle w:val="TableText"/>
              <w:rPr>
                <w:rFonts w:eastAsia="Times New Roman"/>
              </w:rPr>
            </w:pPr>
          </w:p>
        </w:tc>
        <w:tc>
          <w:tcPr>
            <w:tcW w:w="1346" w:type="dxa"/>
            <w:shd w:val="pct25" w:color="auto" w:fill="auto"/>
          </w:tcPr>
          <w:p w14:paraId="2682BD8F" w14:textId="77777777" w:rsidR="00BB7115" w:rsidRPr="00BB7115" w:rsidRDefault="00BB7115" w:rsidP="00345607">
            <w:pPr>
              <w:pStyle w:val="TableText"/>
              <w:rPr>
                <w:rFonts w:eastAsia="Times New Roman"/>
              </w:rPr>
            </w:pPr>
          </w:p>
        </w:tc>
        <w:tc>
          <w:tcPr>
            <w:tcW w:w="1343" w:type="dxa"/>
            <w:shd w:val="pct25" w:color="auto" w:fill="auto"/>
          </w:tcPr>
          <w:p w14:paraId="00AECD80" w14:textId="77777777" w:rsidR="00BB7115" w:rsidRPr="00BB7115" w:rsidRDefault="00BB7115" w:rsidP="00345607">
            <w:pPr>
              <w:pStyle w:val="TableText"/>
              <w:rPr>
                <w:rFonts w:eastAsia="Times New Roman"/>
              </w:rPr>
            </w:pPr>
          </w:p>
        </w:tc>
      </w:tr>
      <w:tr w:rsidR="00BB7115" w:rsidRPr="00BB7115" w14:paraId="15A7D586" w14:textId="77777777" w:rsidTr="00345607">
        <w:tc>
          <w:tcPr>
            <w:tcW w:w="2733" w:type="dxa"/>
            <w:shd w:val="clear" w:color="auto" w:fill="auto"/>
            <w:noWrap/>
            <w:tcMar>
              <w:top w:w="0" w:type="dxa"/>
              <w:left w:w="108" w:type="dxa"/>
              <w:bottom w:w="0" w:type="dxa"/>
              <w:right w:w="108" w:type="dxa"/>
            </w:tcMar>
            <w:vAlign w:val="bottom"/>
          </w:tcPr>
          <w:p w14:paraId="3C1DEAFA" w14:textId="2EEE3258" w:rsidR="00BB7115" w:rsidRPr="00BB7115" w:rsidRDefault="00813AB3" w:rsidP="00345607">
            <w:pPr>
              <w:pStyle w:val="TableText"/>
            </w:pPr>
            <w:r>
              <w:t>Special Assistant for Policy, Planning and Evaluation, OBSSR</w:t>
            </w:r>
          </w:p>
        </w:tc>
        <w:tc>
          <w:tcPr>
            <w:tcW w:w="1421" w:type="dxa"/>
            <w:shd w:val="clear" w:color="auto" w:fill="auto"/>
          </w:tcPr>
          <w:p w14:paraId="62CC3B81" w14:textId="030E33D0" w:rsidR="00BB7115" w:rsidRPr="00BB7115" w:rsidRDefault="00813AB3" w:rsidP="00345607">
            <w:pPr>
              <w:pStyle w:val="TableText"/>
              <w:jc w:val="center"/>
            </w:pPr>
            <w:r>
              <w:t>14/1</w:t>
            </w:r>
          </w:p>
        </w:tc>
        <w:tc>
          <w:tcPr>
            <w:tcW w:w="1316" w:type="dxa"/>
            <w:shd w:val="clear" w:color="auto" w:fill="auto"/>
            <w:noWrap/>
            <w:tcMar>
              <w:top w:w="0" w:type="dxa"/>
              <w:left w:w="108" w:type="dxa"/>
              <w:bottom w:w="0" w:type="dxa"/>
              <w:right w:w="108" w:type="dxa"/>
            </w:tcMar>
          </w:tcPr>
          <w:p w14:paraId="5013B707" w14:textId="244B6D86" w:rsidR="00BB7115" w:rsidRPr="00BB7115" w:rsidRDefault="00345607" w:rsidP="00345607">
            <w:pPr>
              <w:pStyle w:val="TableText"/>
            </w:pPr>
            <w:r>
              <w:t>$107,325</w:t>
            </w:r>
          </w:p>
        </w:tc>
        <w:tc>
          <w:tcPr>
            <w:tcW w:w="1363" w:type="dxa"/>
            <w:shd w:val="clear" w:color="auto" w:fill="auto"/>
            <w:noWrap/>
            <w:tcMar>
              <w:top w:w="0" w:type="dxa"/>
              <w:left w:w="108" w:type="dxa"/>
              <w:bottom w:w="0" w:type="dxa"/>
              <w:right w:w="108" w:type="dxa"/>
            </w:tcMar>
          </w:tcPr>
          <w:p w14:paraId="1F61685A" w14:textId="22975BFE" w:rsidR="00BB7115" w:rsidRPr="00BB7115" w:rsidRDefault="00813AB3" w:rsidP="00345607">
            <w:pPr>
              <w:pStyle w:val="TableText"/>
              <w:jc w:val="center"/>
            </w:pPr>
            <w:r>
              <w:t>1/52</w:t>
            </w:r>
          </w:p>
        </w:tc>
        <w:tc>
          <w:tcPr>
            <w:tcW w:w="1346" w:type="dxa"/>
            <w:shd w:val="clear" w:color="auto" w:fill="auto"/>
          </w:tcPr>
          <w:p w14:paraId="76ED123E" w14:textId="23B0EC14" w:rsidR="00BB7115" w:rsidRPr="00BB7115" w:rsidRDefault="00813AB3" w:rsidP="00345607">
            <w:pPr>
              <w:pStyle w:val="TableText"/>
              <w:jc w:val="center"/>
              <w:rPr>
                <w:rFonts w:eastAsia="Times New Roman"/>
              </w:rPr>
            </w:pPr>
            <w:r>
              <w:rPr>
                <w:rFonts w:eastAsia="Times New Roman"/>
              </w:rPr>
              <w:t>NA</w:t>
            </w:r>
          </w:p>
        </w:tc>
        <w:tc>
          <w:tcPr>
            <w:tcW w:w="1343" w:type="dxa"/>
            <w:shd w:val="clear" w:color="auto" w:fill="auto"/>
          </w:tcPr>
          <w:p w14:paraId="7FE1D4A6" w14:textId="58586721" w:rsidR="00813AB3" w:rsidRPr="00BB7115" w:rsidRDefault="00813AB3" w:rsidP="00345607">
            <w:pPr>
              <w:pStyle w:val="TableText"/>
              <w:rPr>
                <w:rFonts w:eastAsia="Times New Roman"/>
              </w:rPr>
            </w:pPr>
            <w:r>
              <w:rPr>
                <w:rFonts w:eastAsia="Times New Roman"/>
              </w:rPr>
              <w:t>$2,063.94</w:t>
            </w:r>
          </w:p>
        </w:tc>
      </w:tr>
      <w:tr w:rsidR="00BB7115" w:rsidRPr="00BB7115" w14:paraId="5A0FB1C1" w14:textId="77777777" w:rsidTr="00345607">
        <w:tc>
          <w:tcPr>
            <w:tcW w:w="2733" w:type="dxa"/>
            <w:shd w:val="clear" w:color="auto" w:fill="auto"/>
            <w:noWrap/>
            <w:tcMar>
              <w:top w:w="0" w:type="dxa"/>
              <w:left w:w="108" w:type="dxa"/>
              <w:bottom w:w="0" w:type="dxa"/>
              <w:right w:w="108" w:type="dxa"/>
            </w:tcMar>
            <w:vAlign w:val="bottom"/>
          </w:tcPr>
          <w:p w14:paraId="62B73AD6" w14:textId="77777777" w:rsidR="00BB7115" w:rsidRPr="00BB7115" w:rsidRDefault="00BB7115" w:rsidP="00345607">
            <w:pPr>
              <w:pStyle w:val="TableText"/>
            </w:pPr>
          </w:p>
        </w:tc>
        <w:tc>
          <w:tcPr>
            <w:tcW w:w="1421" w:type="dxa"/>
            <w:shd w:val="clear" w:color="auto" w:fill="auto"/>
          </w:tcPr>
          <w:p w14:paraId="2A5916AF" w14:textId="77777777" w:rsidR="00BB7115" w:rsidRPr="00BB7115" w:rsidRDefault="00BB7115" w:rsidP="00345607">
            <w:pPr>
              <w:pStyle w:val="TableText"/>
            </w:pPr>
          </w:p>
        </w:tc>
        <w:tc>
          <w:tcPr>
            <w:tcW w:w="1316" w:type="dxa"/>
            <w:shd w:val="clear" w:color="auto" w:fill="auto"/>
            <w:noWrap/>
            <w:tcMar>
              <w:top w:w="0" w:type="dxa"/>
              <w:left w:w="108" w:type="dxa"/>
              <w:bottom w:w="0" w:type="dxa"/>
              <w:right w:w="108" w:type="dxa"/>
            </w:tcMar>
          </w:tcPr>
          <w:p w14:paraId="36C8037A" w14:textId="77777777" w:rsidR="00BB7115" w:rsidRPr="00BB7115" w:rsidRDefault="00BB7115" w:rsidP="00345607">
            <w:pPr>
              <w:pStyle w:val="TableText"/>
            </w:pPr>
          </w:p>
        </w:tc>
        <w:tc>
          <w:tcPr>
            <w:tcW w:w="1363" w:type="dxa"/>
            <w:shd w:val="clear" w:color="auto" w:fill="auto"/>
            <w:noWrap/>
            <w:tcMar>
              <w:top w:w="0" w:type="dxa"/>
              <w:left w:w="108" w:type="dxa"/>
              <w:bottom w:w="0" w:type="dxa"/>
              <w:right w:w="108" w:type="dxa"/>
            </w:tcMar>
          </w:tcPr>
          <w:p w14:paraId="323A393C" w14:textId="77777777" w:rsidR="00BB7115" w:rsidRPr="00BB7115" w:rsidRDefault="00BB7115" w:rsidP="00345607">
            <w:pPr>
              <w:pStyle w:val="TableText"/>
            </w:pPr>
          </w:p>
        </w:tc>
        <w:tc>
          <w:tcPr>
            <w:tcW w:w="1346" w:type="dxa"/>
            <w:shd w:val="clear" w:color="auto" w:fill="auto"/>
          </w:tcPr>
          <w:p w14:paraId="7EB28B6F" w14:textId="77777777" w:rsidR="00BB7115" w:rsidRPr="00BB7115" w:rsidRDefault="00BB7115" w:rsidP="00345607">
            <w:pPr>
              <w:pStyle w:val="TableText"/>
              <w:rPr>
                <w:rFonts w:eastAsia="Times New Roman"/>
              </w:rPr>
            </w:pPr>
          </w:p>
        </w:tc>
        <w:tc>
          <w:tcPr>
            <w:tcW w:w="1343" w:type="dxa"/>
            <w:shd w:val="clear" w:color="auto" w:fill="auto"/>
          </w:tcPr>
          <w:p w14:paraId="229C1CF5" w14:textId="77777777" w:rsidR="00BB7115" w:rsidRPr="00BB7115" w:rsidRDefault="00BB7115" w:rsidP="00345607">
            <w:pPr>
              <w:pStyle w:val="TableText"/>
              <w:rPr>
                <w:rFonts w:eastAsia="Times New Roman"/>
              </w:rPr>
            </w:pPr>
          </w:p>
        </w:tc>
      </w:tr>
      <w:tr w:rsidR="00BB7115" w:rsidRPr="00BB7115" w14:paraId="37771A3F" w14:textId="77777777" w:rsidTr="00345607">
        <w:tc>
          <w:tcPr>
            <w:tcW w:w="2733" w:type="dxa"/>
            <w:shd w:val="clear" w:color="auto" w:fill="auto"/>
            <w:noWrap/>
            <w:tcMar>
              <w:top w:w="0" w:type="dxa"/>
              <w:left w:w="108" w:type="dxa"/>
              <w:bottom w:w="0" w:type="dxa"/>
              <w:right w:w="108" w:type="dxa"/>
            </w:tcMar>
            <w:vAlign w:val="bottom"/>
          </w:tcPr>
          <w:p w14:paraId="27230F48" w14:textId="77777777" w:rsidR="00BB7115" w:rsidRPr="00BB7115" w:rsidRDefault="00BB7115" w:rsidP="00345607">
            <w:pPr>
              <w:pStyle w:val="TableText"/>
            </w:pPr>
          </w:p>
        </w:tc>
        <w:tc>
          <w:tcPr>
            <w:tcW w:w="1421" w:type="dxa"/>
            <w:shd w:val="clear" w:color="auto" w:fill="auto"/>
          </w:tcPr>
          <w:p w14:paraId="070E12A7" w14:textId="77777777" w:rsidR="00BB7115" w:rsidRPr="00BB7115" w:rsidRDefault="00BB7115" w:rsidP="00345607">
            <w:pPr>
              <w:pStyle w:val="TableText"/>
            </w:pPr>
          </w:p>
        </w:tc>
        <w:tc>
          <w:tcPr>
            <w:tcW w:w="1316" w:type="dxa"/>
            <w:shd w:val="clear" w:color="auto" w:fill="auto"/>
            <w:noWrap/>
            <w:tcMar>
              <w:top w:w="0" w:type="dxa"/>
              <w:left w:w="108" w:type="dxa"/>
              <w:bottom w:w="0" w:type="dxa"/>
              <w:right w:w="108" w:type="dxa"/>
            </w:tcMar>
          </w:tcPr>
          <w:p w14:paraId="41EE4DCF" w14:textId="77777777" w:rsidR="00BB7115" w:rsidRPr="00BB7115" w:rsidRDefault="00BB7115" w:rsidP="00345607">
            <w:pPr>
              <w:pStyle w:val="TableText"/>
            </w:pPr>
          </w:p>
        </w:tc>
        <w:tc>
          <w:tcPr>
            <w:tcW w:w="1363" w:type="dxa"/>
            <w:shd w:val="clear" w:color="auto" w:fill="auto"/>
            <w:noWrap/>
            <w:tcMar>
              <w:top w:w="0" w:type="dxa"/>
              <w:left w:w="108" w:type="dxa"/>
              <w:bottom w:w="0" w:type="dxa"/>
              <w:right w:w="108" w:type="dxa"/>
            </w:tcMar>
          </w:tcPr>
          <w:p w14:paraId="6E2BE06D" w14:textId="77777777" w:rsidR="00BB7115" w:rsidRPr="00BB7115" w:rsidRDefault="00BB7115" w:rsidP="00345607">
            <w:pPr>
              <w:pStyle w:val="TableText"/>
            </w:pPr>
          </w:p>
        </w:tc>
        <w:tc>
          <w:tcPr>
            <w:tcW w:w="1346" w:type="dxa"/>
            <w:shd w:val="clear" w:color="auto" w:fill="auto"/>
          </w:tcPr>
          <w:p w14:paraId="244DBAD2" w14:textId="77777777" w:rsidR="00BB7115" w:rsidRPr="00BB7115" w:rsidRDefault="00BB7115" w:rsidP="00345607">
            <w:pPr>
              <w:pStyle w:val="TableText"/>
              <w:rPr>
                <w:rFonts w:eastAsia="Times New Roman"/>
              </w:rPr>
            </w:pPr>
          </w:p>
        </w:tc>
        <w:tc>
          <w:tcPr>
            <w:tcW w:w="1343" w:type="dxa"/>
            <w:shd w:val="clear" w:color="auto" w:fill="auto"/>
          </w:tcPr>
          <w:p w14:paraId="5504E2A1" w14:textId="77777777" w:rsidR="00BB7115" w:rsidRPr="00BB7115" w:rsidRDefault="00BB7115" w:rsidP="00345607">
            <w:pPr>
              <w:pStyle w:val="TableText"/>
              <w:rPr>
                <w:rFonts w:eastAsia="Times New Roman"/>
              </w:rPr>
            </w:pPr>
          </w:p>
        </w:tc>
      </w:tr>
      <w:tr w:rsidR="00BB7115" w:rsidRPr="00BB7115" w14:paraId="6DD40117" w14:textId="77777777" w:rsidTr="00345607">
        <w:tc>
          <w:tcPr>
            <w:tcW w:w="2733" w:type="dxa"/>
            <w:shd w:val="clear" w:color="auto" w:fill="auto"/>
            <w:noWrap/>
            <w:tcMar>
              <w:top w:w="0" w:type="dxa"/>
              <w:left w:w="108" w:type="dxa"/>
              <w:bottom w:w="0" w:type="dxa"/>
              <w:right w:w="108" w:type="dxa"/>
            </w:tcMar>
            <w:vAlign w:val="bottom"/>
          </w:tcPr>
          <w:p w14:paraId="6F36C1F8" w14:textId="4552206F" w:rsidR="00BB7115" w:rsidRPr="00345607" w:rsidRDefault="005E2D23" w:rsidP="00345607">
            <w:pPr>
              <w:pStyle w:val="TableText"/>
              <w:rPr>
                <w:b/>
              </w:rPr>
            </w:pPr>
            <w:r w:rsidRPr="00345607">
              <w:rPr>
                <w:b/>
              </w:rPr>
              <w:t>Contractor C</w:t>
            </w:r>
            <w:r w:rsidR="00BB7115" w:rsidRPr="00345607">
              <w:rPr>
                <w:b/>
              </w:rPr>
              <w:t>ost</w:t>
            </w:r>
          </w:p>
        </w:tc>
        <w:tc>
          <w:tcPr>
            <w:tcW w:w="1421" w:type="dxa"/>
            <w:shd w:val="pct25" w:color="auto" w:fill="auto"/>
          </w:tcPr>
          <w:p w14:paraId="22BC3431" w14:textId="77777777" w:rsidR="00BB7115" w:rsidRPr="00BB7115" w:rsidRDefault="00BB7115" w:rsidP="00345607">
            <w:pPr>
              <w:pStyle w:val="TableText"/>
            </w:pPr>
          </w:p>
        </w:tc>
        <w:tc>
          <w:tcPr>
            <w:tcW w:w="1316" w:type="dxa"/>
            <w:shd w:val="pct25" w:color="auto" w:fill="auto"/>
            <w:noWrap/>
            <w:tcMar>
              <w:top w:w="0" w:type="dxa"/>
              <w:left w:w="108" w:type="dxa"/>
              <w:bottom w:w="0" w:type="dxa"/>
              <w:right w:w="108" w:type="dxa"/>
            </w:tcMar>
          </w:tcPr>
          <w:p w14:paraId="292B0143" w14:textId="77777777" w:rsidR="00BB7115" w:rsidRPr="00BB7115" w:rsidRDefault="00BB7115" w:rsidP="00345607">
            <w:pPr>
              <w:pStyle w:val="TableText"/>
            </w:pPr>
          </w:p>
        </w:tc>
        <w:tc>
          <w:tcPr>
            <w:tcW w:w="1363" w:type="dxa"/>
            <w:shd w:val="pct25" w:color="auto" w:fill="auto"/>
            <w:noWrap/>
            <w:tcMar>
              <w:top w:w="0" w:type="dxa"/>
              <w:left w:w="108" w:type="dxa"/>
              <w:bottom w:w="0" w:type="dxa"/>
              <w:right w:w="108" w:type="dxa"/>
            </w:tcMar>
          </w:tcPr>
          <w:p w14:paraId="71DC296D" w14:textId="77777777" w:rsidR="00BB7115" w:rsidRPr="00BB7115" w:rsidRDefault="00BB7115" w:rsidP="00345607">
            <w:pPr>
              <w:pStyle w:val="TableText"/>
            </w:pPr>
          </w:p>
        </w:tc>
        <w:tc>
          <w:tcPr>
            <w:tcW w:w="1346" w:type="dxa"/>
            <w:shd w:val="pct25" w:color="auto" w:fill="auto"/>
          </w:tcPr>
          <w:p w14:paraId="262E1C62" w14:textId="77777777" w:rsidR="00BB7115" w:rsidRPr="00BB7115" w:rsidRDefault="00BB7115" w:rsidP="00345607">
            <w:pPr>
              <w:pStyle w:val="TableText"/>
              <w:rPr>
                <w:rFonts w:eastAsia="Times New Roman"/>
              </w:rPr>
            </w:pPr>
          </w:p>
        </w:tc>
        <w:tc>
          <w:tcPr>
            <w:tcW w:w="1343" w:type="dxa"/>
            <w:shd w:val="pct25" w:color="auto" w:fill="auto"/>
          </w:tcPr>
          <w:p w14:paraId="520390BA" w14:textId="77777777" w:rsidR="00BB7115" w:rsidRPr="00BB7115" w:rsidRDefault="00BB7115" w:rsidP="00345607">
            <w:pPr>
              <w:pStyle w:val="TableText"/>
              <w:rPr>
                <w:rFonts w:eastAsia="Times New Roman"/>
              </w:rPr>
            </w:pPr>
          </w:p>
        </w:tc>
      </w:tr>
      <w:tr w:rsidR="00BB7115" w:rsidRPr="00BB7115" w14:paraId="13F779D5" w14:textId="77777777" w:rsidTr="00345607">
        <w:tc>
          <w:tcPr>
            <w:tcW w:w="2733" w:type="dxa"/>
            <w:shd w:val="clear" w:color="auto" w:fill="auto"/>
            <w:noWrap/>
            <w:tcMar>
              <w:top w:w="0" w:type="dxa"/>
              <w:left w:w="108" w:type="dxa"/>
              <w:bottom w:w="0" w:type="dxa"/>
              <w:right w:w="108" w:type="dxa"/>
            </w:tcMar>
            <w:vAlign w:val="bottom"/>
          </w:tcPr>
          <w:p w14:paraId="793AC12B" w14:textId="52795134" w:rsidR="00BB7115" w:rsidRPr="00BB7115" w:rsidRDefault="00813AB3" w:rsidP="00345607">
            <w:pPr>
              <w:pStyle w:val="TableText"/>
            </w:pPr>
            <w:r>
              <w:t>Research Analyst</w:t>
            </w:r>
          </w:p>
        </w:tc>
        <w:tc>
          <w:tcPr>
            <w:tcW w:w="1421" w:type="dxa"/>
            <w:shd w:val="clear" w:color="auto" w:fill="auto"/>
          </w:tcPr>
          <w:p w14:paraId="5E118B86" w14:textId="77777777" w:rsidR="00BB7115" w:rsidRPr="00BB7115" w:rsidRDefault="00BB7115" w:rsidP="00345607">
            <w:pPr>
              <w:pStyle w:val="TableText"/>
            </w:pPr>
          </w:p>
        </w:tc>
        <w:tc>
          <w:tcPr>
            <w:tcW w:w="1316" w:type="dxa"/>
            <w:shd w:val="clear" w:color="auto" w:fill="auto"/>
            <w:noWrap/>
            <w:tcMar>
              <w:top w:w="0" w:type="dxa"/>
              <w:left w:w="108" w:type="dxa"/>
              <w:bottom w:w="0" w:type="dxa"/>
              <w:right w:w="108" w:type="dxa"/>
            </w:tcMar>
          </w:tcPr>
          <w:p w14:paraId="62228C16" w14:textId="132D072B" w:rsidR="00BB7115" w:rsidRPr="00BB7115" w:rsidRDefault="00813AB3" w:rsidP="00345607">
            <w:pPr>
              <w:pStyle w:val="TableText"/>
            </w:pPr>
            <w:r>
              <w:t>$32,244.65*</w:t>
            </w:r>
          </w:p>
        </w:tc>
        <w:tc>
          <w:tcPr>
            <w:tcW w:w="1363" w:type="dxa"/>
            <w:shd w:val="clear" w:color="auto" w:fill="auto"/>
            <w:noWrap/>
            <w:tcMar>
              <w:top w:w="0" w:type="dxa"/>
              <w:left w:w="108" w:type="dxa"/>
              <w:bottom w:w="0" w:type="dxa"/>
              <w:right w:w="108" w:type="dxa"/>
            </w:tcMar>
          </w:tcPr>
          <w:p w14:paraId="62652439" w14:textId="77777777" w:rsidR="00BB7115" w:rsidRPr="00BB7115" w:rsidRDefault="00BB7115" w:rsidP="00345607">
            <w:pPr>
              <w:pStyle w:val="TableText"/>
            </w:pPr>
          </w:p>
        </w:tc>
        <w:tc>
          <w:tcPr>
            <w:tcW w:w="1346" w:type="dxa"/>
            <w:shd w:val="clear" w:color="auto" w:fill="auto"/>
          </w:tcPr>
          <w:p w14:paraId="5D2B7EB0" w14:textId="77777777" w:rsidR="00BB7115" w:rsidRPr="00BB7115" w:rsidRDefault="00BB7115" w:rsidP="00345607">
            <w:pPr>
              <w:pStyle w:val="TableText"/>
              <w:rPr>
                <w:rFonts w:eastAsia="Times New Roman"/>
              </w:rPr>
            </w:pPr>
          </w:p>
        </w:tc>
        <w:tc>
          <w:tcPr>
            <w:tcW w:w="1343" w:type="dxa"/>
            <w:shd w:val="clear" w:color="auto" w:fill="auto"/>
          </w:tcPr>
          <w:p w14:paraId="68A819ED" w14:textId="4178B6D7" w:rsidR="00BB7115" w:rsidRPr="00BB7115" w:rsidRDefault="00813AB3" w:rsidP="00345607">
            <w:pPr>
              <w:pStyle w:val="TableText"/>
              <w:rPr>
                <w:rFonts w:eastAsia="Times New Roman"/>
              </w:rPr>
            </w:pPr>
            <w:r>
              <w:rPr>
                <w:rFonts w:eastAsia="Times New Roman"/>
              </w:rPr>
              <w:t>$32,244.65</w:t>
            </w:r>
          </w:p>
        </w:tc>
      </w:tr>
      <w:tr w:rsidR="00BB7115" w:rsidRPr="00BB7115" w14:paraId="3B56D005" w14:textId="77777777" w:rsidTr="00345607">
        <w:tc>
          <w:tcPr>
            <w:tcW w:w="2733" w:type="dxa"/>
            <w:shd w:val="clear" w:color="auto" w:fill="auto"/>
            <w:noWrap/>
            <w:tcMar>
              <w:top w:w="0" w:type="dxa"/>
              <w:left w:w="108" w:type="dxa"/>
              <w:bottom w:w="0" w:type="dxa"/>
              <w:right w:w="108" w:type="dxa"/>
            </w:tcMar>
            <w:vAlign w:val="bottom"/>
          </w:tcPr>
          <w:p w14:paraId="1809A6F7" w14:textId="7BE1F3A3" w:rsidR="00BB7115" w:rsidRPr="002B193F" w:rsidRDefault="00BB7115" w:rsidP="00345607">
            <w:pPr>
              <w:pStyle w:val="TableText"/>
            </w:pPr>
          </w:p>
        </w:tc>
        <w:tc>
          <w:tcPr>
            <w:tcW w:w="1421" w:type="dxa"/>
            <w:shd w:val="clear" w:color="auto" w:fill="auto"/>
          </w:tcPr>
          <w:p w14:paraId="45570941" w14:textId="77777777" w:rsidR="00BB7115" w:rsidRPr="00BB7115" w:rsidRDefault="00BB7115" w:rsidP="00345607">
            <w:pPr>
              <w:pStyle w:val="TableText"/>
            </w:pPr>
          </w:p>
        </w:tc>
        <w:tc>
          <w:tcPr>
            <w:tcW w:w="1316" w:type="dxa"/>
            <w:shd w:val="clear" w:color="auto" w:fill="auto"/>
            <w:noWrap/>
            <w:tcMar>
              <w:top w:w="0" w:type="dxa"/>
              <w:left w:w="108" w:type="dxa"/>
              <w:bottom w:w="0" w:type="dxa"/>
              <w:right w:w="108" w:type="dxa"/>
            </w:tcMar>
          </w:tcPr>
          <w:p w14:paraId="370ACCF1" w14:textId="77777777" w:rsidR="00BB7115" w:rsidRPr="00BB7115" w:rsidRDefault="00BB7115" w:rsidP="00345607">
            <w:pPr>
              <w:pStyle w:val="TableText"/>
            </w:pPr>
          </w:p>
        </w:tc>
        <w:tc>
          <w:tcPr>
            <w:tcW w:w="1363" w:type="dxa"/>
            <w:shd w:val="clear" w:color="auto" w:fill="auto"/>
            <w:noWrap/>
            <w:tcMar>
              <w:top w:w="0" w:type="dxa"/>
              <w:left w:w="108" w:type="dxa"/>
              <w:bottom w:w="0" w:type="dxa"/>
              <w:right w:w="108" w:type="dxa"/>
            </w:tcMar>
          </w:tcPr>
          <w:p w14:paraId="34651A95" w14:textId="77777777" w:rsidR="00BB7115" w:rsidRPr="00BB7115" w:rsidRDefault="00BB7115" w:rsidP="00345607">
            <w:pPr>
              <w:pStyle w:val="TableText"/>
            </w:pPr>
          </w:p>
        </w:tc>
        <w:tc>
          <w:tcPr>
            <w:tcW w:w="1346" w:type="dxa"/>
            <w:shd w:val="clear" w:color="auto" w:fill="auto"/>
          </w:tcPr>
          <w:p w14:paraId="25B9A896" w14:textId="77777777" w:rsidR="00BB7115" w:rsidRPr="00BB7115" w:rsidRDefault="00BB7115" w:rsidP="00345607">
            <w:pPr>
              <w:pStyle w:val="TableText"/>
              <w:rPr>
                <w:rFonts w:eastAsia="Times New Roman"/>
              </w:rPr>
            </w:pPr>
          </w:p>
        </w:tc>
        <w:tc>
          <w:tcPr>
            <w:tcW w:w="1343" w:type="dxa"/>
            <w:shd w:val="clear" w:color="auto" w:fill="auto"/>
          </w:tcPr>
          <w:p w14:paraId="5E854FE4" w14:textId="77777777" w:rsidR="00BB7115" w:rsidRPr="00BB7115" w:rsidRDefault="00BB7115" w:rsidP="00345607">
            <w:pPr>
              <w:pStyle w:val="TableText"/>
              <w:rPr>
                <w:rFonts w:eastAsia="Times New Roman"/>
              </w:rPr>
            </w:pPr>
          </w:p>
        </w:tc>
      </w:tr>
      <w:tr w:rsidR="00BB7115" w:rsidRPr="00BB7115" w14:paraId="7E218B70" w14:textId="77777777" w:rsidTr="00345607">
        <w:tc>
          <w:tcPr>
            <w:tcW w:w="2733" w:type="dxa"/>
            <w:shd w:val="clear" w:color="auto" w:fill="auto"/>
            <w:noWrap/>
            <w:tcMar>
              <w:top w:w="0" w:type="dxa"/>
              <w:left w:w="108" w:type="dxa"/>
              <w:bottom w:w="0" w:type="dxa"/>
              <w:right w:w="108" w:type="dxa"/>
            </w:tcMar>
            <w:vAlign w:val="bottom"/>
          </w:tcPr>
          <w:p w14:paraId="0C7722C4" w14:textId="264CB578" w:rsidR="00BB7115" w:rsidRPr="00345607" w:rsidRDefault="002519C4" w:rsidP="00345607">
            <w:pPr>
              <w:pStyle w:val="TableText"/>
              <w:rPr>
                <w:b/>
              </w:rPr>
            </w:pPr>
            <w:r w:rsidRPr="00345607">
              <w:rPr>
                <w:b/>
              </w:rPr>
              <w:t>Travel</w:t>
            </w:r>
          </w:p>
        </w:tc>
        <w:tc>
          <w:tcPr>
            <w:tcW w:w="1421" w:type="dxa"/>
            <w:shd w:val="clear" w:color="auto" w:fill="auto"/>
          </w:tcPr>
          <w:p w14:paraId="517D6F9A" w14:textId="77777777" w:rsidR="00BB7115" w:rsidRPr="00BB7115" w:rsidRDefault="00BB7115" w:rsidP="00345607">
            <w:pPr>
              <w:pStyle w:val="TableText"/>
              <w:rPr>
                <w:color w:val="000000"/>
              </w:rPr>
            </w:pPr>
          </w:p>
        </w:tc>
        <w:tc>
          <w:tcPr>
            <w:tcW w:w="1316" w:type="dxa"/>
            <w:shd w:val="clear" w:color="auto" w:fill="auto"/>
            <w:noWrap/>
            <w:tcMar>
              <w:top w:w="0" w:type="dxa"/>
              <w:left w:w="108" w:type="dxa"/>
              <w:bottom w:w="0" w:type="dxa"/>
              <w:right w:w="108" w:type="dxa"/>
            </w:tcMar>
          </w:tcPr>
          <w:p w14:paraId="542F3BD7" w14:textId="77777777" w:rsidR="00BB7115" w:rsidRPr="00BB7115" w:rsidRDefault="00BB7115" w:rsidP="00345607">
            <w:pPr>
              <w:pStyle w:val="TableText"/>
            </w:pPr>
          </w:p>
        </w:tc>
        <w:tc>
          <w:tcPr>
            <w:tcW w:w="1363" w:type="dxa"/>
            <w:shd w:val="clear" w:color="auto" w:fill="auto"/>
            <w:noWrap/>
            <w:tcMar>
              <w:top w:w="0" w:type="dxa"/>
              <w:left w:w="108" w:type="dxa"/>
              <w:bottom w:w="0" w:type="dxa"/>
              <w:right w:w="108" w:type="dxa"/>
            </w:tcMar>
          </w:tcPr>
          <w:p w14:paraId="3317793A" w14:textId="77777777" w:rsidR="00BB7115" w:rsidRPr="00BB7115" w:rsidRDefault="00BB7115" w:rsidP="00345607">
            <w:pPr>
              <w:pStyle w:val="TableText"/>
            </w:pPr>
          </w:p>
        </w:tc>
        <w:tc>
          <w:tcPr>
            <w:tcW w:w="1346" w:type="dxa"/>
            <w:shd w:val="clear" w:color="auto" w:fill="auto"/>
          </w:tcPr>
          <w:p w14:paraId="269282E9" w14:textId="77777777" w:rsidR="00BB7115" w:rsidRPr="00BB7115" w:rsidRDefault="00BB7115" w:rsidP="00345607">
            <w:pPr>
              <w:pStyle w:val="TableText"/>
            </w:pPr>
          </w:p>
        </w:tc>
        <w:tc>
          <w:tcPr>
            <w:tcW w:w="1343" w:type="dxa"/>
            <w:shd w:val="clear" w:color="auto" w:fill="auto"/>
          </w:tcPr>
          <w:p w14:paraId="5DB4DA24" w14:textId="77777777" w:rsidR="00BB7115" w:rsidRPr="00BB7115" w:rsidRDefault="00BB7115" w:rsidP="00345607">
            <w:pPr>
              <w:pStyle w:val="TableText"/>
            </w:pPr>
          </w:p>
        </w:tc>
      </w:tr>
      <w:tr w:rsidR="00BB7115" w:rsidRPr="00BB7115" w14:paraId="68B41476" w14:textId="77777777" w:rsidTr="00345607">
        <w:tc>
          <w:tcPr>
            <w:tcW w:w="2733" w:type="dxa"/>
            <w:shd w:val="clear" w:color="auto" w:fill="auto"/>
            <w:noWrap/>
            <w:tcMar>
              <w:top w:w="0" w:type="dxa"/>
              <w:left w:w="108" w:type="dxa"/>
              <w:bottom w:w="0" w:type="dxa"/>
              <w:right w:w="108" w:type="dxa"/>
            </w:tcMar>
            <w:vAlign w:val="bottom"/>
            <w:hideMark/>
          </w:tcPr>
          <w:p w14:paraId="67EF4B42" w14:textId="3ED79E4F" w:rsidR="00BB7115" w:rsidRPr="00345607" w:rsidRDefault="002519C4" w:rsidP="00345607">
            <w:pPr>
              <w:pStyle w:val="TableText"/>
              <w:rPr>
                <w:b/>
                <w:bCs/>
                <w:color w:val="000000"/>
              </w:rPr>
            </w:pPr>
            <w:r w:rsidRPr="00345607">
              <w:rPr>
                <w:b/>
                <w:bCs/>
                <w:color w:val="000000"/>
              </w:rPr>
              <w:t>Other Cost</w:t>
            </w:r>
          </w:p>
        </w:tc>
        <w:tc>
          <w:tcPr>
            <w:tcW w:w="1421" w:type="dxa"/>
            <w:shd w:val="clear" w:color="auto" w:fill="auto"/>
          </w:tcPr>
          <w:p w14:paraId="622721AE" w14:textId="77777777" w:rsidR="00BB7115" w:rsidRPr="00BB7115" w:rsidRDefault="00BB7115" w:rsidP="00345607">
            <w:pPr>
              <w:pStyle w:val="TableText"/>
            </w:pPr>
          </w:p>
        </w:tc>
        <w:tc>
          <w:tcPr>
            <w:tcW w:w="1316" w:type="dxa"/>
            <w:shd w:val="clear" w:color="auto" w:fill="auto"/>
            <w:noWrap/>
            <w:tcMar>
              <w:top w:w="0" w:type="dxa"/>
              <w:left w:w="108" w:type="dxa"/>
              <w:bottom w:w="0" w:type="dxa"/>
              <w:right w:w="108" w:type="dxa"/>
            </w:tcMar>
            <w:hideMark/>
          </w:tcPr>
          <w:p w14:paraId="1243EFF9" w14:textId="77777777" w:rsidR="00BB7115" w:rsidRPr="00BB7115" w:rsidRDefault="00BB7115" w:rsidP="00345607">
            <w:pPr>
              <w:pStyle w:val="TableText"/>
              <w:rPr>
                <w:rFonts w:eastAsia="Times New Roman"/>
              </w:rPr>
            </w:pPr>
          </w:p>
        </w:tc>
        <w:tc>
          <w:tcPr>
            <w:tcW w:w="1363" w:type="dxa"/>
            <w:shd w:val="clear" w:color="auto" w:fill="auto"/>
            <w:noWrap/>
            <w:tcMar>
              <w:top w:w="0" w:type="dxa"/>
              <w:left w:w="108" w:type="dxa"/>
              <w:bottom w:w="0" w:type="dxa"/>
              <w:right w:w="108" w:type="dxa"/>
            </w:tcMar>
          </w:tcPr>
          <w:p w14:paraId="5359DC2D" w14:textId="77777777" w:rsidR="00BB7115" w:rsidRPr="00BB7115" w:rsidRDefault="00BB7115" w:rsidP="00345607">
            <w:pPr>
              <w:pStyle w:val="TableText"/>
            </w:pPr>
          </w:p>
        </w:tc>
        <w:tc>
          <w:tcPr>
            <w:tcW w:w="1346" w:type="dxa"/>
            <w:shd w:val="clear" w:color="auto" w:fill="auto"/>
          </w:tcPr>
          <w:p w14:paraId="39609772" w14:textId="77777777" w:rsidR="00BB7115" w:rsidRPr="00BB7115" w:rsidRDefault="00BB7115" w:rsidP="00345607">
            <w:pPr>
              <w:pStyle w:val="TableText"/>
              <w:rPr>
                <w:rFonts w:eastAsia="Times New Roman"/>
              </w:rPr>
            </w:pPr>
          </w:p>
        </w:tc>
        <w:tc>
          <w:tcPr>
            <w:tcW w:w="1343" w:type="dxa"/>
            <w:shd w:val="clear" w:color="auto" w:fill="auto"/>
          </w:tcPr>
          <w:p w14:paraId="499EB5DF" w14:textId="77777777" w:rsidR="00BB7115" w:rsidRPr="00BB7115" w:rsidRDefault="00BB7115" w:rsidP="00345607">
            <w:pPr>
              <w:pStyle w:val="TableText"/>
              <w:rPr>
                <w:rFonts w:eastAsia="Times New Roman"/>
              </w:rPr>
            </w:pPr>
          </w:p>
        </w:tc>
      </w:tr>
      <w:tr w:rsidR="00BB7115" w:rsidRPr="00BB7115" w14:paraId="0273A64C" w14:textId="77777777" w:rsidTr="00345607">
        <w:tc>
          <w:tcPr>
            <w:tcW w:w="2733" w:type="dxa"/>
            <w:shd w:val="clear" w:color="auto" w:fill="auto"/>
            <w:noWrap/>
            <w:tcMar>
              <w:top w:w="0" w:type="dxa"/>
              <w:left w:w="108" w:type="dxa"/>
              <w:bottom w:w="0" w:type="dxa"/>
              <w:right w:w="108" w:type="dxa"/>
            </w:tcMar>
            <w:vAlign w:val="bottom"/>
            <w:hideMark/>
          </w:tcPr>
          <w:p w14:paraId="5F81D4A6" w14:textId="608B6656" w:rsidR="00BB7115" w:rsidRPr="00345607" w:rsidRDefault="00813AB3" w:rsidP="00345607">
            <w:pPr>
              <w:pStyle w:val="TableText"/>
              <w:rPr>
                <w:rFonts w:eastAsia="Times New Roman"/>
                <w:b/>
              </w:rPr>
            </w:pPr>
            <w:r w:rsidRPr="00345607">
              <w:rPr>
                <w:rFonts w:eastAsia="Times New Roman"/>
                <w:b/>
              </w:rPr>
              <w:t>TOTAL</w:t>
            </w:r>
          </w:p>
        </w:tc>
        <w:tc>
          <w:tcPr>
            <w:tcW w:w="1421" w:type="dxa"/>
            <w:shd w:val="clear" w:color="auto" w:fill="auto"/>
          </w:tcPr>
          <w:p w14:paraId="12C7BFB8" w14:textId="77777777" w:rsidR="00BB7115" w:rsidRPr="00BB7115" w:rsidRDefault="00BB7115" w:rsidP="00345607">
            <w:pPr>
              <w:pStyle w:val="TableText"/>
              <w:rPr>
                <w:sz w:val="24"/>
                <w:szCs w:val="24"/>
              </w:rPr>
            </w:pPr>
          </w:p>
        </w:tc>
        <w:tc>
          <w:tcPr>
            <w:tcW w:w="1316" w:type="dxa"/>
            <w:shd w:val="clear" w:color="auto" w:fill="auto"/>
            <w:noWrap/>
            <w:tcMar>
              <w:top w:w="0" w:type="dxa"/>
              <w:left w:w="108" w:type="dxa"/>
              <w:bottom w:w="0" w:type="dxa"/>
              <w:right w:w="108" w:type="dxa"/>
            </w:tcMar>
            <w:hideMark/>
          </w:tcPr>
          <w:p w14:paraId="1412C067" w14:textId="77777777" w:rsidR="00BB7115" w:rsidRPr="00BB7115" w:rsidRDefault="00BB7115" w:rsidP="00345607">
            <w:pPr>
              <w:pStyle w:val="TableText"/>
              <w:rPr>
                <w:rFonts w:eastAsia="Times New Roman"/>
              </w:rPr>
            </w:pPr>
          </w:p>
        </w:tc>
        <w:tc>
          <w:tcPr>
            <w:tcW w:w="1363" w:type="dxa"/>
            <w:shd w:val="clear" w:color="auto" w:fill="auto"/>
            <w:noWrap/>
            <w:tcMar>
              <w:top w:w="0" w:type="dxa"/>
              <w:left w:w="108" w:type="dxa"/>
              <w:bottom w:w="0" w:type="dxa"/>
              <w:right w:w="108" w:type="dxa"/>
            </w:tcMar>
            <w:hideMark/>
          </w:tcPr>
          <w:p w14:paraId="2E6BD8A1" w14:textId="77777777" w:rsidR="00BB7115" w:rsidRPr="00BB7115" w:rsidRDefault="00BB7115" w:rsidP="00345607">
            <w:pPr>
              <w:pStyle w:val="TableText"/>
              <w:rPr>
                <w:rFonts w:eastAsia="Times New Roman"/>
              </w:rPr>
            </w:pPr>
          </w:p>
        </w:tc>
        <w:tc>
          <w:tcPr>
            <w:tcW w:w="1346" w:type="dxa"/>
            <w:shd w:val="clear" w:color="auto" w:fill="auto"/>
          </w:tcPr>
          <w:p w14:paraId="7A626E94" w14:textId="77777777" w:rsidR="00BB7115" w:rsidRPr="00BB7115" w:rsidRDefault="00BB7115" w:rsidP="00345607">
            <w:pPr>
              <w:pStyle w:val="TableText"/>
              <w:rPr>
                <w:rFonts w:eastAsia="Times New Roman"/>
              </w:rPr>
            </w:pPr>
          </w:p>
        </w:tc>
        <w:tc>
          <w:tcPr>
            <w:tcW w:w="1343" w:type="dxa"/>
            <w:shd w:val="clear" w:color="auto" w:fill="auto"/>
          </w:tcPr>
          <w:p w14:paraId="2D3918A8" w14:textId="5EE1D951" w:rsidR="00BB7115" w:rsidRPr="00345607" w:rsidRDefault="00813AB3" w:rsidP="00345607">
            <w:pPr>
              <w:pStyle w:val="TableText"/>
              <w:rPr>
                <w:rFonts w:eastAsia="Times New Roman"/>
                <w:b/>
              </w:rPr>
            </w:pPr>
            <w:r w:rsidRPr="00345607">
              <w:rPr>
                <w:rFonts w:eastAsia="Times New Roman"/>
                <w:b/>
              </w:rPr>
              <w:t>$34,308.59</w:t>
            </w:r>
          </w:p>
        </w:tc>
      </w:tr>
    </w:tbl>
    <w:p w14:paraId="5DEB5BC8" w14:textId="77777777" w:rsidR="007A0876" w:rsidRDefault="00813AB3" w:rsidP="00BB71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*GSA MOBIS rate, 355 hours @ $90.83/</w:t>
      </w:r>
      <w:proofErr w:type="spellStart"/>
      <w:r>
        <w:rPr>
          <w:rFonts w:ascii="Times New Roman" w:eastAsia="Times New Roman" w:hAnsi="Times New Roman" w:cs="Times New Roman"/>
          <w:sz w:val="24"/>
          <w:szCs w:val="24"/>
        </w:rPr>
        <w:t>hr</w:t>
      </w:r>
      <w:proofErr w:type="spellEnd"/>
    </w:p>
    <w:p w14:paraId="701B9E8A" w14:textId="214007F1" w:rsidR="00713CF8" w:rsidRPr="00113647" w:rsidRDefault="00713CF8" w:rsidP="00C7167B">
      <w:pPr>
        <w:pStyle w:val="Heading1"/>
      </w:pPr>
      <w:bookmarkStart w:id="16" w:name="_Toc446336623"/>
      <w:r w:rsidRPr="00113647">
        <w:lastRenderedPageBreak/>
        <w:t>A.15</w:t>
      </w:r>
      <w:r w:rsidR="00345607">
        <w:tab/>
      </w:r>
      <w:r w:rsidRPr="00113647">
        <w:t>Explanation for Program Changes or Adjustments</w:t>
      </w:r>
      <w:bookmarkEnd w:id="16"/>
    </w:p>
    <w:p w14:paraId="3AD64B2B" w14:textId="77777777" w:rsidR="007A0876" w:rsidRDefault="00713CF8" w:rsidP="008716F6">
      <w:pPr>
        <w:spacing w:after="20"/>
      </w:pPr>
      <w:r w:rsidRPr="00113647">
        <w:t>N/A</w:t>
      </w:r>
    </w:p>
    <w:p w14:paraId="05FA4C78" w14:textId="56CCCCDB" w:rsidR="00713CF8" w:rsidRDefault="00713CF8" w:rsidP="00C7167B">
      <w:pPr>
        <w:pStyle w:val="Heading1"/>
      </w:pPr>
      <w:bookmarkStart w:id="17" w:name="_Toc446336624"/>
      <w:r w:rsidRPr="00113647">
        <w:t>A.16</w:t>
      </w:r>
      <w:r w:rsidR="00345607">
        <w:tab/>
      </w:r>
      <w:r w:rsidRPr="00113647">
        <w:t>Plans for Tabulation and Publication and Project Time Schedule</w:t>
      </w:r>
      <w:bookmarkEnd w:id="17"/>
    </w:p>
    <w:p w14:paraId="2CBA0D55" w14:textId="0667499C" w:rsidR="007A0876" w:rsidRDefault="00CB5791" w:rsidP="00CB5791">
      <w:pPr>
        <w:spacing w:after="20"/>
      </w:pPr>
      <w:r>
        <w:t>P</w:t>
      </w:r>
      <w:r w:rsidRPr="002C4725">
        <w:t xml:space="preserve">lans for </w:t>
      </w:r>
      <w:r>
        <w:t xml:space="preserve">data </w:t>
      </w:r>
      <w:r w:rsidRPr="002C4725">
        <w:t xml:space="preserve">tabulation </w:t>
      </w:r>
      <w:r>
        <w:t xml:space="preserve">include basic quantitative analyses including cross-tabulations and basic descriptive statistics as well as qualitative analysis including thematic analysis. </w:t>
      </w:r>
      <w:r w:rsidRPr="00E11335">
        <w:t xml:space="preserve">Information collected will be compiled and presented in reports and briefings for </w:t>
      </w:r>
      <w:r>
        <w:t xml:space="preserve">OBSSR and CSR and other </w:t>
      </w:r>
      <w:r w:rsidRPr="00E11335">
        <w:t>staff within N</w:t>
      </w:r>
      <w:r>
        <w:t>IH</w:t>
      </w:r>
      <w:r w:rsidRPr="00E11335">
        <w:t>.</w:t>
      </w:r>
      <w:r w:rsidR="00345607">
        <w:t xml:space="preserve"> </w:t>
      </w:r>
      <w:r w:rsidRPr="00E11335">
        <w:t xml:space="preserve">Reports will include information regarding respondent demographics, basic descriptive data, </w:t>
      </w:r>
      <w:proofErr w:type="gramStart"/>
      <w:r w:rsidRPr="00E11335">
        <w:t>comp</w:t>
      </w:r>
      <w:r>
        <w:t>arisons</w:t>
      </w:r>
      <w:proofErr w:type="gramEnd"/>
      <w:r>
        <w:t xml:space="preserve"> across demographic and respondent </w:t>
      </w:r>
      <w:r w:rsidRPr="00E11335">
        <w:t>subgroups,</w:t>
      </w:r>
      <w:r>
        <w:t xml:space="preserve"> and</w:t>
      </w:r>
      <w:r w:rsidRPr="00E11335">
        <w:t xml:space="preserve"> recommendations for improving </w:t>
      </w:r>
      <w:r>
        <w:t xml:space="preserve">the CBPR program and process. </w:t>
      </w:r>
    </w:p>
    <w:p w14:paraId="2146B569" w14:textId="77777777" w:rsidR="00CB5791" w:rsidRPr="00CB5791" w:rsidRDefault="00CB5791" w:rsidP="00345607">
      <w:pPr>
        <w:pStyle w:val="Caption"/>
      </w:pPr>
      <w:r w:rsidRPr="00CB5791">
        <w:t>Project Timeline</w:t>
      </w:r>
    </w:p>
    <w:tbl>
      <w:tblPr>
        <w:tblStyle w:val="TableGrid"/>
        <w:tblW w:w="9360" w:type="dxa"/>
        <w:tblCellMar>
          <w:top w:w="58" w:type="dxa"/>
          <w:left w:w="115" w:type="dxa"/>
          <w:bottom w:w="58" w:type="dxa"/>
          <w:right w:w="115" w:type="dxa"/>
        </w:tblCellMar>
        <w:tblLook w:val="04A0" w:firstRow="1" w:lastRow="0" w:firstColumn="1" w:lastColumn="0" w:noHBand="0" w:noVBand="1"/>
      </w:tblPr>
      <w:tblGrid>
        <w:gridCol w:w="4682"/>
        <w:gridCol w:w="4678"/>
      </w:tblGrid>
      <w:tr w:rsidR="00CB5791" w:rsidRPr="00345607" w14:paraId="0AE31809" w14:textId="77777777" w:rsidTr="00345607">
        <w:trPr>
          <w:tblHeader/>
        </w:trPr>
        <w:tc>
          <w:tcPr>
            <w:tcW w:w="4788" w:type="dxa"/>
          </w:tcPr>
          <w:p w14:paraId="30AA3950" w14:textId="77777777" w:rsidR="00CB5791" w:rsidRPr="00345607" w:rsidRDefault="00CB5791" w:rsidP="00345607">
            <w:pPr>
              <w:pStyle w:val="TableText"/>
              <w:rPr>
                <w:b/>
              </w:rPr>
            </w:pPr>
            <w:r w:rsidRPr="00345607">
              <w:rPr>
                <w:b/>
              </w:rPr>
              <w:t>Activity</w:t>
            </w:r>
          </w:p>
        </w:tc>
        <w:tc>
          <w:tcPr>
            <w:tcW w:w="4788" w:type="dxa"/>
          </w:tcPr>
          <w:p w14:paraId="0D65866F" w14:textId="77777777" w:rsidR="00CB5791" w:rsidRPr="00345607" w:rsidRDefault="00CB5791" w:rsidP="00345607">
            <w:pPr>
              <w:pStyle w:val="TableText"/>
              <w:rPr>
                <w:b/>
              </w:rPr>
            </w:pPr>
            <w:r w:rsidRPr="00345607">
              <w:rPr>
                <w:b/>
              </w:rPr>
              <w:t>Time Schedule</w:t>
            </w:r>
          </w:p>
        </w:tc>
      </w:tr>
      <w:tr w:rsidR="00CB5791" w14:paraId="2D981D5B" w14:textId="77777777" w:rsidTr="00345607">
        <w:tc>
          <w:tcPr>
            <w:tcW w:w="4788" w:type="dxa"/>
          </w:tcPr>
          <w:p w14:paraId="753B5093" w14:textId="77777777" w:rsidR="00CB5791" w:rsidRPr="00345607" w:rsidRDefault="00CB5791" w:rsidP="00345607">
            <w:pPr>
              <w:pStyle w:val="TableText"/>
            </w:pPr>
            <w:r w:rsidRPr="00345607">
              <w:t>Make any changes to the survey instruments and other documents required by OMB</w:t>
            </w:r>
          </w:p>
        </w:tc>
        <w:tc>
          <w:tcPr>
            <w:tcW w:w="4788" w:type="dxa"/>
          </w:tcPr>
          <w:p w14:paraId="7F8F0AA3" w14:textId="77777777" w:rsidR="00CB5791" w:rsidRPr="00345607" w:rsidRDefault="00CB5791" w:rsidP="00345607">
            <w:pPr>
              <w:pStyle w:val="TableText"/>
            </w:pPr>
            <w:r w:rsidRPr="00345607">
              <w:t>1 week after OMB approval</w:t>
            </w:r>
          </w:p>
        </w:tc>
      </w:tr>
      <w:tr w:rsidR="00CB5791" w14:paraId="28445955" w14:textId="77777777" w:rsidTr="00345607">
        <w:tc>
          <w:tcPr>
            <w:tcW w:w="4788" w:type="dxa"/>
          </w:tcPr>
          <w:p w14:paraId="06B5BCE5" w14:textId="77777777" w:rsidR="00CB5791" w:rsidRPr="00345607" w:rsidRDefault="00CB5791" w:rsidP="00345607">
            <w:pPr>
              <w:pStyle w:val="TableText"/>
            </w:pPr>
            <w:r w:rsidRPr="00345607">
              <w:t xml:space="preserve">Send email invitations to survey participants </w:t>
            </w:r>
          </w:p>
        </w:tc>
        <w:tc>
          <w:tcPr>
            <w:tcW w:w="4788" w:type="dxa"/>
          </w:tcPr>
          <w:p w14:paraId="051C4309" w14:textId="77777777" w:rsidR="00CB5791" w:rsidRPr="00345607" w:rsidRDefault="00CB5791" w:rsidP="00345607">
            <w:pPr>
              <w:pStyle w:val="TableText"/>
            </w:pPr>
            <w:r w:rsidRPr="00345607">
              <w:t>2 weeks after OMB approval</w:t>
            </w:r>
          </w:p>
        </w:tc>
      </w:tr>
      <w:tr w:rsidR="00CB5791" w14:paraId="5D82A06D" w14:textId="77777777" w:rsidTr="00345607">
        <w:tc>
          <w:tcPr>
            <w:tcW w:w="4788" w:type="dxa"/>
          </w:tcPr>
          <w:p w14:paraId="2A56A658" w14:textId="77777777" w:rsidR="00CB5791" w:rsidRPr="00345607" w:rsidRDefault="00CB5791" w:rsidP="00345607">
            <w:pPr>
              <w:pStyle w:val="TableText"/>
            </w:pPr>
            <w:r w:rsidRPr="00345607">
              <w:t>Launch surveys and collect survey data</w:t>
            </w:r>
          </w:p>
        </w:tc>
        <w:tc>
          <w:tcPr>
            <w:tcW w:w="4788" w:type="dxa"/>
          </w:tcPr>
          <w:p w14:paraId="59383CD5" w14:textId="77777777" w:rsidR="00CB5791" w:rsidRPr="00345607" w:rsidRDefault="00CB5791" w:rsidP="00345607">
            <w:pPr>
              <w:pStyle w:val="TableText"/>
            </w:pPr>
            <w:r w:rsidRPr="00345607">
              <w:t>2-10 weeks after OMB approval</w:t>
            </w:r>
          </w:p>
        </w:tc>
      </w:tr>
      <w:tr w:rsidR="00CB5791" w14:paraId="19D96ADC" w14:textId="77777777" w:rsidTr="00345607">
        <w:tc>
          <w:tcPr>
            <w:tcW w:w="4788" w:type="dxa"/>
          </w:tcPr>
          <w:p w14:paraId="775168C2" w14:textId="27E4776E" w:rsidR="00CB5791" w:rsidRPr="00345607" w:rsidRDefault="00CB5791" w:rsidP="00345607">
            <w:pPr>
              <w:pStyle w:val="TableText"/>
            </w:pPr>
            <w:r w:rsidRPr="00345607">
              <w:t xml:space="preserve">Analyze survey data </w:t>
            </w:r>
          </w:p>
        </w:tc>
        <w:tc>
          <w:tcPr>
            <w:tcW w:w="4788" w:type="dxa"/>
          </w:tcPr>
          <w:p w14:paraId="092CE1A7" w14:textId="77777777" w:rsidR="00CB5791" w:rsidRPr="00345607" w:rsidRDefault="00CB5791" w:rsidP="00345607">
            <w:pPr>
              <w:pStyle w:val="TableText"/>
            </w:pPr>
            <w:r w:rsidRPr="00345607">
              <w:t>11-16 weeks after OMB approval</w:t>
            </w:r>
          </w:p>
        </w:tc>
      </w:tr>
      <w:tr w:rsidR="00CB5791" w14:paraId="0F1D1613" w14:textId="77777777" w:rsidTr="00345607">
        <w:tc>
          <w:tcPr>
            <w:tcW w:w="4788" w:type="dxa"/>
          </w:tcPr>
          <w:p w14:paraId="44E52D53" w14:textId="77777777" w:rsidR="00CB5791" w:rsidRPr="00345607" w:rsidRDefault="00CB5791" w:rsidP="00345607">
            <w:pPr>
              <w:pStyle w:val="TableText"/>
            </w:pPr>
            <w:r w:rsidRPr="00345607">
              <w:t>Prepare reports</w:t>
            </w:r>
          </w:p>
        </w:tc>
        <w:tc>
          <w:tcPr>
            <w:tcW w:w="4788" w:type="dxa"/>
          </w:tcPr>
          <w:p w14:paraId="270893DC" w14:textId="60FF1D48" w:rsidR="00CB5791" w:rsidRPr="00345607" w:rsidRDefault="00CB5791" w:rsidP="00345607">
            <w:pPr>
              <w:pStyle w:val="TableText"/>
            </w:pPr>
            <w:r w:rsidRPr="00345607">
              <w:t>17-24 weeks after OMB approval</w:t>
            </w:r>
          </w:p>
        </w:tc>
      </w:tr>
    </w:tbl>
    <w:p w14:paraId="6E544D17" w14:textId="52F59DC4" w:rsidR="00713CF8" w:rsidRPr="00113647" w:rsidRDefault="00713CF8" w:rsidP="00C7167B">
      <w:pPr>
        <w:pStyle w:val="Heading1"/>
      </w:pPr>
      <w:bookmarkStart w:id="18" w:name="_Toc446336625"/>
      <w:r w:rsidRPr="00113647">
        <w:t>A.17</w:t>
      </w:r>
      <w:r w:rsidR="00345607">
        <w:tab/>
      </w:r>
      <w:r w:rsidRPr="00113647">
        <w:t>Reason(s) Display of OMB Expiration Date is Inappropriate</w:t>
      </w:r>
      <w:bookmarkEnd w:id="18"/>
    </w:p>
    <w:p w14:paraId="68C78128" w14:textId="77777777" w:rsidR="007A0876" w:rsidRDefault="00713CF8" w:rsidP="008716F6">
      <w:pPr>
        <w:spacing w:after="20"/>
      </w:pPr>
      <w:r w:rsidRPr="00113647">
        <w:t>We are not requesting an exemption to the display of the OMB Expiration date.</w:t>
      </w:r>
      <w:r w:rsidR="00CB5791">
        <w:t xml:space="preserve"> </w:t>
      </w:r>
    </w:p>
    <w:p w14:paraId="695E184B" w14:textId="576E9F3F" w:rsidR="00713CF8" w:rsidRPr="00113647" w:rsidRDefault="00713CF8" w:rsidP="00C7167B">
      <w:pPr>
        <w:pStyle w:val="Heading1"/>
      </w:pPr>
      <w:bookmarkStart w:id="19" w:name="_Toc446336626"/>
      <w:r w:rsidRPr="00113647">
        <w:t>A.18</w:t>
      </w:r>
      <w:r w:rsidR="00345607">
        <w:tab/>
      </w:r>
      <w:r w:rsidRPr="00113647">
        <w:t>Exceptions to Certification for Paperwork Reduction Act Submissions</w:t>
      </w:r>
      <w:bookmarkEnd w:id="19"/>
    </w:p>
    <w:p w14:paraId="0F6F72BA" w14:textId="35053887" w:rsidR="00990709" w:rsidRPr="00ED1560" w:rsidRDefault="0087173D" w:rsidP="00713CF8">
      <w:pPr>
        <w:spacing w:after="20"/>
        <w:rPr>
          <w:sz w:val="24"/>
          <w:szCs w:val="24"/>
        </w:rPr>
      </w:pPr>
      <w:r w:rsidRPr="00113647">
        <w:t>This survey will comply with the requirements in 5 CFR 1320.9.</w:t>
      </w:r>
      <w:r w:rsidR="00990709">
        <w:t xml:space="preserve"> </w:t>
      </w:r>
    </w:p>
    <w:sectPr w:rsidR="00990709" w:rsidRPr="00ED1560" w:rsidSect="00C7167B">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1C8AA1" w14:textId="77777777" w:rsidR="009271D8" w:rsidRDefault="009271D8" w:rsidP="005676C6">
      <w:pPr>
        <w:spacing w:after="0" w:line="240" w:lineRule="auto"/>
      </w:pPr>
      <w:r>
        <w:separator/>
      </w:r>
    </w:p>
  </w:endnote>
  <w:endnote w:type="continuationSeparator" w:id="0">
    <w:p w14:paraId="1FC98CE4" w14:textId="77777777" w:rsidR="009271D8" w:rsidRDefault="009271D8" w:rsidP="00567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2889328"/>
      <w:docPartObj>
        <w:docPartGallery w:val="Page Numbers (Bottom of Page)"/>
        <w:docPartUnique/>
      </w:docPartObj>
    </w:sdtPr>
    <w:sdtEndPr>
      <w:rPr>
        <w:noProof/>
      </w:rPr>
    </w:sdtEndPr>
    <w:sdtContent>
      <w:p w14:paraId="06F9C19E" w14:textId="3BC114B7" w:rsidR="00C7167B" w:rsidRDefault="00C7167B" w:rsidP="00C7167B">
        <w:pPr>
          <w:pStyle w:val="Footer"/>
          <w:jc w:val="center"/>
        </w:pPr>
        <w:r>
          <w:t xml:space="preserve">- </w:t>
        </w:r>
        <w:r>
          <w:fldChar w:fldCharType="begin"/>
        </w:r>
        <w:r>
          <w:instrText xml:space="preserve"> PAGE   \* MERGEFORMAT </w:instrText>
        </w:r>
        <w:r>
          <w:fldChar w:fldCharType="separate"/>
        </w:r>
        <w:r w:rsidR="00516BCA">
          <w:rPr>
            <w:noProof/>
          </w:rPr>
          <w:t>i</w:t>
        </w:r>
        <w:r>
          <w:rPr>
            <w:noProof/>
          </w:rPr>
          <w:fldChar w:fldCharType="end"/>
        </w:r>
        <w:r>
          <w:rPr>
            <w:noProof/>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480089"/>
      <w:docPartObj>
        <w:docPartGallery w:val="Page Numbers (Bottom of Page)"/>
        <w:docPartUnique/>
      </w:docPartObj>
    </w:sdtPr>
    <w:sdtEndPr>
      <w:rPr>
        <w:noProof/>
      </w:rPr>
    </w:sdtEndPr>
    <w:sdtContent>
      <w:p w14:paraId="3F6E57B5" w14:textId="09E76423" w:rsidR="00C7167B" w:rsidRDefault="00C7167B" w:rsidP="00C7167B">
        <w:pPr>
          <w:pStyle w:val="Footer"/>
          <w:jc w:val="center"/>
        </w:pPr>
        <w:r>
          <w:t xml:space="preserve">- </w:t>
        </w:r>
        <w:r>
          <w:fldChar w:fldCharType="begin"/>
        </w:r>
        <w:r>
          <w:instrText xml:space="preserve"> PAGE   \* MERGEFORMAT </w:instrText>
        </w:r>
        <w:r>
          <w:fldChar w:fldCharType="separate"/>
        </w:r>
        <w:r w:rsidR="00516BCA">
          <w:rPr>
            <w:noProof/>
          </w:rPr>
          <w:t>5</w:t>
        </w:r>
        <w:r>
          <w:rPr>
            <w:noProof/>
          </w:rPr>
          <w:fldChar w:fldCharType="end"/>
        </w:r>
        <w:r>
          <w:rPr>
            <w:noProof/>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229BB8" w14:textId="77777777" w:rsidR="009271D8" w:rsidRDefault="009271D8" w:rsidP="005676C6">
      <w:pPr>
        <w:spacing w:after="0" w:line="240" w:lineRule="auto"/>
      </w:pPr>
      <w:r>
        <w:separator/>
      </w:r>
    </w:p>
  </w:footnote>
  <w:footnote w:type="continuationSeparator" w:id="0">
    <w:p w14:paraId="746506A9" w14:textId="77777777" w:rsidR="009271D8" w:rsidRDefault="009271D8" w:rsidP="005676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774BCB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A0640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908D7D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F943EA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AAEF66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30E4BB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6FC339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258123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F4AF1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84427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532AE9"/>
    <w:multiLevelType w:val="multilevel"/>
    <w:tmpl w:val="AED01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B40B79"/>
    <w:multiLevelType w:val="hybridMultilevel"/>
    <w:tmpl w:val="0B3EA21C"/>
    <w:lvl w:ilvl="0" w:tplc="A4303274">
      <w:start w:val="1"/>
      <w:numFmt w:val="bullet"/>
      <w:lvlText w:val=""/>
      <w:lvlJc w:val="left"/>
      <w:pPr>
        <w:ind w:left="1710" w:hanging="360"/>
      </w:pPr>
      <w:rPr>
        <w:rFonts w:ascii="Symbol" w:eastAsia="SimSun" w:hAnsi="Symbol" w:cstheme="minorBidi"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2" w15:restartNumberingAfterBreak="0">
    <w:nsid w:val="4B4E3EBA"/>
    <w:multiLevelType w:val="hybridMultilevel"/>
    <w:tmpl w:val="26E44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2801C8"/>
    <w:multiLevelType w:val="hybridMultilevel"/>
    <w:tmpl w:val="BFA6E8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5B43AB"/>
    <w:multiLevelType w:val="hybridMultilevel"/>
    <w:tmpl w:val="D8CEFCE2"/>
    <w:lvl w:ilvl="0" w:tplc="487C316E">
      <w:start w:val="1"/>
      <w:numFmt w:val="bullet"/>
      <w:lvlText w:val=""/>
      <w:lvlJc w:val="left"/>
      <w:pPr>
        <w:ind w:left="720" w:hanging="360"/>
      </w:pPr>
      <w:rPr>
        <w:rFonts w:ascii="Symbol" w:eastAsia="SimSu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0"/>
  </w:num>
  <w:num w:numId="4">
    <w:abstractNumId w:val="14"/>
  </w:num>
  <w:num w:numId="5">
    <w:abstractNumId w:val="1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6F6"/>
    <w:rsid w:val="00003BE1"/>
    <w:rsid w:val="000142F7"/>
    <w:rsid w:val="00032772"/>
    <w:rsid w:val="00057A71"/>
    <w:rsid w:val="00057C98"/>
    <w:rsid w:val="00063927"/>
    <w:rsid w:val="00063DC1"/>
    <w:rsid w:val="000A796F"/>
    <w:rsid w:val="000B4C09"/>
    <w:rsid w:val="000D35DA"/>
    <w:rsid w:val="000D6B1F"/>
    <w:rsid w:val="00113647"/>
    <w:rsid w:val="00113D5F"/>
    <w:rsid w:val="001435DE"/>
    <w:rsid w:val="0016069E"/>
    <w:rsid w:val="0018005F"/>
    <w:rsid w:val="00185105"/>
    <w:rsid w:val="001A150B"/>
    <w:rsid w:val="001A1B26"/>
    <w:rsid w:val="001C1DC2"/>
    <w:rsid w:val="001D2741"/>
    <w:rsid w:val="001E3759"/>
    <w:rsid w:val="002065DB"/>
    <w:rsid w:val="0021543C"/>
    <w:rsid w:val="00217690"/>
    <w:rsid w:val="00223E4D"/>
    <w:rsid w:val="00236DA8"/>
    <w:rsid w:val="002519C4"/>
    <w:rsid w:val="002727A9"/>
    <w:rsid w:val="00273125"/>
    <w:rsid w:val="00273E4C"/>
    <w:rsid w:val="00280A25"/>
    <w:rsid w:val="0029112F"/>
    <w:rsid w:val="002B193F"/>
    <w:rsid w:val="002C1D97"/>
    <w:rsid w:val="002C4725"/>
    <w:rsid w:val="002F3354"/>
    <w:rsid w:val="00312AEF"/>
    <w:rsid w:val="00330E82"/>
    <w:rsid w:val="00345607"/>
    <w:rsid w:val="00382B75"/>
    <w:rsid w:val="00395820"/>
    <w:rsid w:val="003A14DC"/>
    <w:rsid w:val="003D32E2"/>
    <w:rsid w:val="003D43B1"/>
    <w:rsid w:val="003F5B34"/>
    <w:rsid w:val="0040282E"/>
    <w:rsid w:val="00413459"/>
    <w:rsid w:val="004409C0"/>
    <w:rsid w:val="00446BA0"/>
    <w:rsid w:val="0046633D"/>
    <w:rsid w:val="00477A8E"/>
    <w:rsid w:val="004B3C21"/>
    <w:rsid w:val="004D2AD6"/>
    <w:rsid w:val="00506DA7"/>
    <w:rsid w:val="00516BCA"/>
    <w:rsid w:val="00534B5A"/>
    <w:rsid w:val="00551B2D"/>
    <w:rsid w:val="005676C6"/>
    <w:rsid w:val="00573BAB"/>
    <w:rsid w:val="005834C1"/>
    <w:rsid w:val="005868BD"/>
    <w:rsid w:val="00586D7F"/>
    <w:rsid w:val="00595D1E"/>
    <w:rsid w:val="005B5E5B"/>
    <w:rsid w:val="005E2D23"/>
    <w:rsid w:val="00600CED"/>
    <w:rsid w:val="00626A3E"/>
    <w:rsid w:val="00637766"/>
    <w:rsid w:val="0064348E"/>
    <w:rsid w:val="006854FC"/>
    <w:rsid w:val="00687733"/>
    <w:rsid w:val="0069025C"/>
    <w:rsid w:val="00693A83"/>
    <w:rsid w:val="00695204"/>
    <w:rsid w:val="006B2ACE"/>
    <w:rsid w:val="006E0211"/>
    <w:rsid w:val="006F3226"/>
    <w:rsid w:val="00700CDE"/>
    <w:rsid w:val="00702A0F"/>
    <w:rsid w:val="00713CF8"/>
    <w:rsid w:val="00740F9D"/>
    <w:rsid w:val="00762CFB"/>
    <w:rsid w:val="0076516D"/>
    <w:rsid w:val="0079784E"/>
    <w:rsid w:val="007A0876"/>
    <w:rsid w:val="007A72F7"/>
    <w:rsid w:val="007B6FBB"/>
    <w:rsid w:val="007D19AD"/>
    <w:rsid w:val="007D66AD"/>
    <w:rsid w:val="007F5A32"/>
    <w:rsid w:val="00813AB3"/>
    <w:rsid w:val="00816C32"/>
    <w:rsid w:val="00823026"/>
    <w:rsid w:val="008529CC"/>
    <w:rsid w:val="008716F6"/>
    <w:rsid w:val="0087173D"/>
    <w:rsid w:val="0088097F"/>
    <w:rsid w:val="00890A8A"/>
    <w:rsid w:val="00897D34"/>
    <w:rsid w:val="008D12B2"/>
    <w:rsid w:val="008D6022"/>
    <w:rsid w:val="008D6113"/>
    <w:rsid w:val="008D6220"/>
    <w:rsid w:val="00907E64"/>
    <w:rsid w:val="009271D8"/>
    <w:rsid w:val="00942DB8"/>
    <w:rsid w:val="00944ABD"/>
    <w:rsid w:val="00953B2E"/>
    <w:rsid w:val="00974140"/>
    <w:rsid w:val="00990709"/>
    <w:rsid w:val="009B7EC7"/>
    <w:rsid w:val="009F4546"/>
    <w:rsid w:val="00A06C17"/>
    <w:rsid w:val="00A16865"/>
    <w:rsid w:val="00A24DA1"/>
    <w:rsid w:val="00A61F11"/>
    <w:rsid w:val="00A622DA"/>
    <w:rsid w:val="00A66FE4"/>
    <w:rsid w:val="00A74631"/>
    <w:rsid w:val="00A97FC7"/>
    <w:rsid w:val="00AA355D"/>
    <w:rsid w:val="00AB60E0"/>
    <w:rsid w:val="00AC113B"/>
    <w:rsid w:val="00AD7BAB"/>
    <w:rsid w:val="00AF01AD"/>
    <w:rsid w:val="00B20D87"/>
    <w:rsid w:val="00B575BB"/>
    <w:rsid w:val="00B67567"/>
    <w:rsid w:val="00B732AC"/>
    <w:rsid w:val="00B940C6"/>
    <w:rsid w:val="00B97CC8"/>
    <w:rsid w:val="00BB14C2"/>
    <w:rsid w:val="00BB41D9"/>
    <w:rsid w:val="00BB7115"/>
    <w:rsid w:val="00BE135A"/>
    <w:rsid w:val="00BE197D"/>
    <w:rsid w:val="00C0501F"/>
    <w:rsid w:val="00C13E15"/>
    <w:rsid w:val="00C465FF"/>
    <w:rsid w:val="00C7167B"/>
    <w:rsid w:val="00CB4C39"/>
    <w:rsid w:val="00CB5791"/>
    <w:rsid w:val="00CC32B1"/>
    <w:rsid w:val="00CC5ED0"/>
    <w:rsid w:val="00CD625D"/>
    <w:rsid w:val="00CF1726"/>
    <w:rsid w:val="00D45A58"/>
    <w:rsid w:val="00D605CF"/>
    <w:rsid w:val="00D6099F"/>
    <w:rsid w:val="00D72137"/>
    <w:rsid w:val="00DB27F3"/>
    <w:rsid w:val="00DF5D10"/>
    <w:rsid w:val="00DF6124"/>
    <w:rsid w:val="00E13104"/>
    <w:rsid w:val="00E33992"/>
    <w:rsid w:val="00E46078"/>
    <w:rsid w:val="00E712FF"/>
    <w:rsid w:val="00EB437A"/>
    <w:rsid w:val="00EB4A0E"/>
    <w:rsid w:val="00EB77CC"/>
    <w:rsid w:val="00EC499E"/>
    <w:rsid w:val="00ED1560"/>
    <w:rsid w:val="00ED4628"/>
    <w:rsid w:val="00F0149A"/>
    <w:rsid w:val="00F04A7F"/>
    <w:rsid w:val="00F4290D"/>
    <w:rsid w:val="00F42BCA"/>
    <w:rsid w:val="00F45BD9"/>
    <w:rsid w:val="00F52422"/>
    <w:rsid w:val="00F72022"/>
    <w:rsid w:val="00F7643B"/>
    <w:rsid w:val="00FB481F"/>
    <w:rsid w:val="00FC3BAD"/>
    <w:rsid w:val="00FC6F43"/>
    <w:rsid w:val="00FD2C79"/>
    <w:rsid w:val="00FF1D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045DBAE6"/>
  <w15:docId w15:val="{11C7686F-AD7E-4BBF-B8C3-6786B0068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5607"/>
    <w:pPr>
      <w:spacing w:after="240" w:line="300" w:lineRule="atLeast"/>
    </w:pPr>
    <w:rPr>
      <w:rFonts w:ascii="Arial" w:hAnsi="Arial"/>
    </w:rPr>
  </w:style>
  <w:style w:type="paragraph" w:styleId="Heading1">
    <w:name w:val="heading 1"/>
    <w:basedOn w:val="Normal"/>
    <w:next w:val="Normal"/>
    <w:link w:val="Heading1Char"/>
    <w:uiPriority w:val="9"/>
    <w:qFormat/>
    <w:rsid w:val="00C7167B"/>
    <w:pPr>
      <w:keepNext/>
      <w:keepLines/>
      <w:tabs>
        <w:tab w:val="left" w:pos="900"/>
      </w:tabs>
      <w:spacing w:before="360" w:after="60"/>
      <w:ind w:left="907" w:hanging="907"/>
      <w:outlineLvl w:val="0"/>
    </w:pPr>
    <w:rPr>
      <w:rFonts w:eastAsiaTheme="majorEastAsia" w:cs="Arial"/>
      <w:b/>
      <w:color w:val="000000" w:themeColor="text1"/>
      <w:sz w:val="24"/>
      <w:szCs w:val="24"/>
    </w:rPr>
  </w:style>
  <w:style w:type="paragraph" w:styleId="Heading2">
    <w:name w:val="heading 2"/>
    <w:basedOn w:val="Normal"/>
    <w:next w:val="Normal"/>
    <w:link w:val="Heading2Char"/>
    <w:uiPriority w:val="9"/>
    <w:unhideWhenUsed/>
    <w:qFormat/>
    <w:rsid w:val="007A087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60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13CF8"/>
    <w:pPr>
      <w:ind w:left="720"/>
      <w:contextualSpacing/>
    </w:pPr>
  </w:style>
  <w:style w:type="character" w:styleId="Strong">
    <w:name w:val="Strong"/>
    <w:basedOn w:val="DefaultParagraphFont"/>
    <w:uiPriority w:val="22"/>
    <w:qFormat/>
    <w:rsid w:val="00573BAB"/>
    <w:rPr>
      <w:rFonts w:ascii="Lucida Sans" w:hAnsi="Lucida Sans" w:hint="default"/>
      <w:b/>
      <w:bCs/>
    </w:rPr>
  </w:style>
  <w:style w:type="character" w:styleId="Hyperlink">
    <w:name w:val="Hyperlink"/>
    <w:basedOn w:val="DefaultParagraphFont"/>
    <w:uiPriority w:val="99"/>
    <w:unhideWhenUsed/>
    <w:rsid w:val="00595D1E"/>
    <w:rPr>
      <w:color w:val="0000FF" w:themeColor="hyperlink"/>
      <w:u w:val="single"/>
    </w:rPr>
  </w:style>
  <w:style w:type="paragraph" w:styleId="Header">
    <w:name w:val="header"/>
    <w:basedOn w:val="Normal"/>
    <w:link w:val="HeaderChar"/>
    <w:uiPriority w:val="99"/>
    <w:unhideWhenUsed/>
    <w:rsid w:val="005676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6C6"/>
  </w:style>
  <w:style w:type="paragraph" w:styleId="Footer">
    <w:name w:val="footer"/>
    <w:basedOn w:val="Normal"/>
    <w:link w:val="FooterChar"/>
    <w:uiPriority w:val="99"/>
    <w:unhideWhenUsed/>
    <w:rsid w:val="00567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6C6"/>
  </w:style>
  <w:style w:type="paragraph" w:styleId="BalloonText">
    <w:name w:val="Balloon Text"/>
    <w:basedOn w:val="Normal"/>
    <w:link w:val="BalloonTextChar"/>
    <w:uiPriority w:val="99"/>
    <w:semiHidden/>
    <w:unhideWhenUsed/>
    <w:rsid w:val="00A622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2DA"/>
    <w:rPr>
      <w:rFonts w:ascii="Tahoma" w:hAnsi="Tahoma" w:cs="Tahoma"/>
      <w:sz w:val="16"/>
      <w:szCs w:val="16"/>
    </w:rPr>
  </w:style>
  <w:style w:type="character" w:styleId="FollowedHyperlink">
    <w:name w:val="FollowedHyperlink"/>
    <w:basedOn w:val="DefaultParagraphFont"/>
    <w:uiPriority w:val="99"/>
    <w:semiHidden/>
    <w:unhideWhenUsed/>
    <w:rsid w:val="001C1DC2"/>
    <w:rPr>
      <w:color w:val="800080" w:themeColor="followedHyperlink"/>
      <w:u w:val="single"/>
    </w:rPr>
  </w:style>
  <w:style w:type="character" w:styleId="CommentReference">
    <w:name w:val="annotation reference"/>
    <w:basedOn w:val="DefaultParagraphFont"/>
    <w:uiPriority w:val="99"/>
    <w:semiHidden/>
    <w:unhideWhenUsed/>
    <w:rsid w:val="00695204"/>
    <w:rPr>
      <w:sz w:val="16"/>
      <w:szCs w:val="16"/>
    </w:rPr>
  </w:style>
  <w:style w:type="paragraph" w:styleId="CommentText">
    <w:name w:val="annotation text"/>
    <w:basedOn w:val="Normal"/>
    <w:link w:val="CommentTextChar"/>
    <w:uiPriority w:val="99"/>
    <w:semiHidden/>
    <w:unhideWhenUsed/>
    <w:rsid w:val="00695204"/>
    <w:pPr>
      <w:spacing w:line="240" w:lineRule="auto"/>
    </w:pPr>
    <w:rPr>
      <w:sz w:val="20"/>
      <w:szCs w:val="20"/>
    </w:rPr>
  </w:style>
  <w:style w:type="character" w:customStyle="1" w:styleId="CommentTextChar">
    <w:name w:val="Comment Text Char"/>
    <w:basedOn w:val="DefaultParagraphFont"/>
    <w:link w:val="CommentText"/>
    <w:uiPriority w:val="99"/>
    <w:semiHidden/>
    <w:rsid w:val="00695204"/>
    <w:rPr>
      <w:sz w:val="20"/>
      <w:szCs w:val="20"/>
    </w:rPr>
  </w:style>
  <w:style w:type="paragraph" w:styleId="CommentSubject">
    <w:name w:val="annotation subject"/>
    <w:basedOn w:val="CommentText"/>
    <w:next w:val="CommentText"/>
    <w:link w:val="CommentSubjectChar"/>
    <w:uiPriority w:val="99"/>
    <w:semiHidden/>
    <w:unhideWhenUsed/>
    <w:rsid w:val="00695204"/>
    <w:rPr>
      <w:b/>
      <w:bCs/>
    </w:rPr>
  </w:style>
  <w:style w:type="character" w:customStyle="1" w:styleId="CommentSubjectChar">
    <w:name w:val="Comment Subject Char"/>
    <w:basedOn w:val="CommentTextChar"/>
    <w:link w:val="CommentSubject"/>
    <w:uiPriority w:val="99"/>
    <w:semiHidden/>
    <w:rsid w:val="00695204"/>
    <w:rPr>
      <w:b/>
      <w:bCs/>
      <w:sz w:val="20"/>
      <w:szCs w:val="20"/>
    </w:rPr>
  </w:style>
  <w:style w:type="paragraph" w:styleId="TOC1">
    <w:name w:val="toc 1"/>
    <w:basedOn w:val="Normal"/>
    <w:next w:val="Normal"/>
    <w:autoRedefine/>
    <w:uiPriority w:val="39"/>
    <w:unhideWhenUsed/>
    <w:rsid w:val="00C7167B"/>
    <w:pPr>
      <w:tabs>
        <w:tab w:val="left" w:pos="900"/>
        <w:tab w:val="right" w:leader="dot" w:pos="9360"/>
      </w:tabs>
      <w:spacing w:after="100"/>
      <w:ind w:left="907" w:right="360" w:hanging="907"/>
    </w:pPr>
    <w:rPr>
      <w:rFonts w:eastAsiaTheme="minorEastAsia"/>
      <w:noProof/>
    </w:rPr>
  </w:style>
  <w:style w:type="character" w:customStyle="1" w:styleId="Heading1Char">
    <w:name w:val="Heading 1 Char"/>
    <w:basedOn w:val="DefaultParagraphFont"/>
    <w:link w:val="Heading1"/>
    <w:uiPriority w:val="9"/>
    <w:rsid w:val="00C7167B"/>
    <w:rPr>
      <w:rFonts w:ascii="Arial" w:eastAsiaTheme="majorEastAsia" w:hAnsi="Arial" w:cs="Arial"/>
      <w:b/>
      <w:color w:val="000000" w:themeColor="text1"/>
      <w:sz w:val="24"/>
      <w:szCs w:val="24"/>
    </w:rPr>
  </w:style>
  <w:style w:type="character" w:customStyle="1" w:styleId="Heading2Char">
    <w:name w:val="Heading 2 Char"/>
    <w:basedOn w:val="DefaultParagraphFont"/>
    <w:link w:val="Heading2"/>
    <w:uiPriority w:val="9"/>
    <w:rsid w:val="007A0876"/>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7167B"/>
    <w:pPr>
      <w:spacing w:line="240" w:lineRule="auto"/>
      <w:jc w:val="center"/>
    </w:pPr>
    <w:rPr>
      <w:rFonts w:eastAsiaTheme="majorEastAsia" w:cs="Arial"/>
      <w:b/>
      <w:spacing w:val="-10"/>
      <w:kern w:val="28"/>
      <w:sz w:val="36"/>
      <w:szCs w:val="36"/>
    </w:rPr>
  </w:style>
  <w:style w:type="character" w:customStyle="1" w:styleId="TitleChar">
    <w:name w:val="Title Char"/>
    <w:basedOn w:val="DefaultParagraphFont"/>
    <w:link w:val="Title"/>
    <w:uiPriority w:val="10"/>
    <w:rsid w:val="00C7167B"/>
    <w:rPr>
      <w:rFonts w:ascii="Arial" w:eastAsiaTheme="majorEastAsia" w:hAnsi="Arial" w:cs="Arial"/>
      <w:b/>
      <w:spacing w:val="-10"/>
      <w:kern w:val="28"/>
      <w:sz w:val="36"/>
      <w:szCs w:val="36"/>
    </w:rPr>
  </w:style>
  <w:style w:type="paragraph" w:styleId="Caption">
    <w:name w:val="caption"/>
    <w:basedOn w:val="Normal"/>
    <w:next w:val="Normal"/>
    <w:uiPriority w:val="35"/>
    <w:unhideWhenUsed/>
    <w:qFormat/>
    <w:rsid w:val="00345607"/>
    <w:pPr>
      <w:keepNext/>
      <w:spacing w:before="240" w:after="120" w:line="240" w:lineRule="auto"/>
      <w:jc w:val="center"/>
    </w:pPr>
    <w:rPr>
      <w:rFonts w:cs="Arial"/>
      <w:b/>
      <w:iCs/>
      <w:color w:val="000000" w:themeColor="text1"/>
    </w:rPr>
  </w:style>
  <w:style w:type="paragraph" w:customStyle="1" w:styleId="TableText">
    <w:name w:val="Table Text"/>
    <w:basedOn w:val="Normal"/>
    <w:qFormat/>
    <w:rsid w:val="00345607"/>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5861751">
      <w:bodyDiv w:val="1"/>
      <w:marLeft w:val="0"/>
      <w:marRight w:val="0"/>
      <w:marTop w:val="0"/>
      <w:marBottom w:val="0"/>
      <w:divBdr>
        <w:top w:val="none" w:sz="0" w:space="0" w:color="auto"/>
        <w:left w:val="none" w:sz="0" w:space="0" w:color="auto"/>
        <w:bottom w:val="none" w:sz="0" w:space="0" w:color="auto"/>
        <w:right w:val="none" w:sz="0" w:space="0" w:color="auto"/>
      </w:divBdr>
      <w:divsChild>
        <w:div w:id="1943804873">
          <w:marLeft w:val="0"/>
          <w:marRight w:val="0"/>
          <w:marTop w:val="0"/>
          <w:marBottom w:val="0"/>
          <w:divBdr>
            <w:top w:val="none" w:sz="0" w:space="0" w:color="auto"/>
            <w:left w:val="none" w:sz="0" w:space="0" w:color="auto"/>
            <w:bottom w:val="none" w:sz="0" w:space="0" w:color="auto"/>
            <w:right w:val="none" w:sz="0" w:space="0" w:color="auto"/>
          </w:divBdr>
          <w:divsChild>
            <w:div w:id="647783437">
              <w:marLeft w:val="0"/>
              <w:marRight w:val="0"/>
              <w:marTop w:val="0"/>
              <w:marBottom w:val="0"/>
              <w:divBdr>
                <w:top w:val="none" w:sz="0" w:space="0" w:color="auto"/>
                <w:left w:val="none" w:sz="0" w:space="0" w:color="auto"/>
                <w:bottom w:val="none" w:sz="0" w:space="0" w:color="auto"/>
                <w:right w:val="none" w:sz="0" w:space="0" w:color="auto"/>
              </w:divBdr>
              <w:divsChild>
                <w:div w:id="135156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bls.gov/oes/current/oes191029.htm" TargetMode="External"/><Relationship Id="rId4" Type="http://schemas.openxmlformats.org/officeDocument/2006/relationships/settings" Target="settings.xml"/><Relationship Id="rId9" Type="http://schemas.openxmlformats.org/officeDocument/2006/relationships/hyperlink" Target="http://bls.gov/oes/current/oes19102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053D4-8994-4A4C-8578-3DE774D7D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2079</Words>
  <Characters>11856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National Institutes of Health</Company>
  <LinksUpToDate>false</LinksUpToDate>
  <CharactersWithSpaces>13908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Ward</dc:creator>
  <cp:lastModifiedBy>Crouch, Jaclyn (NIH/OD) [E]</cp:lastModifiedBy>
  <cp:revision>5</cp:revision>
  <cp:lastPrinted>2016-03-21T17:24:00Z</cp:lastPrinted>
  <dcterms:created xsi:type="dcterms:W3CDTF">2016-03-29T21:23:00Z</dcterms:created>
  <dcterms:modified xsi:type="dcterms:W3CDTF">2016-04-15T14:55:00Z</dcterms:modified>
</cp:coreProperties>
</file>