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2B193F">
      <w:pPr>
        <w:jc w:val="center"/>
      </w:pPr>
    </w:p>
    <w:p w14:paraId="2AEA7B97" w14:textId="1DB1152C" w:rsidR="008529CC" w:rsidRPr="002B193F" w:rsidRDefault="00C831CE" w:rsidP="002B193F">
      <w:pPr>
        <w:jc w:val="center"/>
        <w:rPr>
          <w:sz w:val="32"/>
          <w:szCs w:val="32"/>
        </w:rPr>
      </w:pPr>
      <w:r>
        <w:rPr>
          <w:sz w:val="32"/>
          <w:szCs w:val="32"/>
        </w:rPr>
        <w:t>Stakeholder Perceptions of the NIH Peer Review Process Focus Groups</w:t>
      </w:r>
    </w:p>
    <w:p w14:paraId="46ABD34C" w14:textId="19717915" w:rsidR="00003BE1" w:rsidRPr="002B193F" w:rsidRDefault="00003BE1" w:rsidP="002B193F">
      <w:pPr>
        <w:jc w:val="center"/>
        <w:rPr>
          <w:sz w:val="32"/>
          <w:szCs w:val="32"/>
        </w:rPr>
      </w:pPr>
    </w:p>
    <w:p w14:paraId="51AB3D6E" w14:textId="5D8B4F07" w:rsidR="00CB4C39" w:rsidRPr="002B193F" w:rsidRDefault="00003BE1" w:rsidP="002B193F">
      <w:pPr>
        <w:jc w:val="center"/>
        <w:rPr>
          <w:sz w:val="32"/>
          <w:szCs w:val="32"/>
        </w:rPr>
      </w:pPr>
      <w:r w:rsidRPr="002B193F">
        <w:rPr>
          <w:sz w:val="32"/>
          <w:szCs w:val="32"/>
        </w:rPr>
        <w:t>OMB#</w:t>
      </w:r>
      <w:r w:rsidR="00C831CE">
        <w:rPr>
          <w:sz w:val="32"/>
          <w:szCs w:val="32"/>
        </w:rPr>
        <w:t xml:space="preserve"> 0925-0474</w:t>
      </w:r>
      <w:r w:rsidR="00C20ED9">
        <w:rPr>
          <w:sz w:val="32"/>
          <w:szCs w:val="32"/>
        </w:rPr>
        <w:t xml:space="preserve">     Expiration Date 2/28/2018</w:t>
      </w:r>
    </w:p>
    <w:p w14:paraId="5D943427" w14:textId="776F9AA4" w:rsidR="00595D1E" w:rsidRPr="002B193F" w:rsidRDefault="00C831CE" w:rsidP="002B193F">
      <w:pPr>
        <w:jc w:val="center"/>
        <w:rPr>
          <w:sz w:val="32"/>
          <w:szCs w:val="32"/>
        </w:rPr>
      </w:pPr>
      <w:r>
        <w:rPr>
          <w:sz w:val="32"/>
          <w:szCs w:val="32"/>
        </w:rPr>
        <w:t>April 29, 2015</w:t>
      </w:r>
    </w:p>
    <w:p w14:paraId="19A1A239" w14:textId="77777777" w:rsidR="00595D1E" w:rsidRPr="002B193F" w:rsidRDefault="00595D1E">
      <w:pPr>
        <w:jc w:val="center"/>
      </w:pPr>
    </w:p>
    <w:p w14:paraId="68D92751" w14:textId="77777777" w:rsidR="00595D1E" w:rsidRPr="002B193F" w:rsidRDefault="00595D1E">
      <w:pPr>
        <w:jc w:val="center"/>
      </w:pPr>
    </w:p>
    <w:p w14:paraId="39D3F73C" w14:textId="77777777" w:rsidR="00FF1D87" w:rsidRPr="002B193F" w:rsidRDefault="00FF1D87">
      <w:pPr>
        <w:jc w:val="center"/>
      </w:pPr>
    </w:p>
    <w:p w14:paraId="09FB6999" w14:textId="16FA925B" w:rsidR="00FF1D87" w:rsidRDefault="00C831CE" w:rsidP="002B193F">
      <w:pPr>
        <w:spacing w:after="0"/>
        <w:jc w:val="center"/>
        <w:rPr>
          <w:b/>
        </w:rPr>
      </w:pPr>
      <w:r>
        <w:rPr>
          <w:b/>
        </w:rPr>
        <w:t xml:space="preserve">Mary Ann </w:t>
      </w:r>
      <w:proofErr w:type="spellStart"/>
      <w:r>
        <w:rPr>
          <w:b/>
        </w:rPr>
        <w:t>Noecker</w:t>
      </w:r>
      <w:proofErr w:type="spellEnd"/>
      <w:r>
        <w:rPr>
          <w:b/>
        </w:rPr>
        <w:t xml:space="preserve"> Guadagno</w:t>
      </w:r>
      <w:r w:rsidR="008529CC">
        <w:rPr>
          <w:b/>
        </w:rPr>
        <w:t xml:space="preserve">    </w:t>
      </w:r>
    </w:p>
    <w:p w14:paraId="4CFFBC32" w14:textId="77777777" w:rsidR="00C831CE" w:rsidRDefault="00C831CE" w:rsidP="002B193F">
      <w:pPr>
        <w:spacing w:after="0"/>
        <w:jc w:val="center"/>
        <w:rPr>
          <w:b/>
        </w:rPr>
      </w:pPr>
      <w:r>
        <w:rPr>
          <w:b/>
        </w:rPr>
        <w:t>301-435-1251</w:t>
      </w:r>
    </w:p>
    <w:p w14:paraId="0C65252C" w14:textId="7B8F2DB9" w:rsidR="00595D1E" w:rsidRPr="00113647" w:rsidRDefault="00C831CE" w:rsidP="002B193F">
      <w:pPr>
        <w:spacing w:after="0"/>
        <w:jc w:val="center"/>
        <w:rPr>
          <w:b/>
        </w:rPr>
      </w:pPr>
      <w:r>
        <w:rPr>
          <w:b/>
        </w:rPr>
        <w:t>guadagma@csr.nih.gov</w:t>
      </w:r>
      <w:r w:rsidR="00595D1E"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4D632012" w14:textId="77777777" w:rsidR="00C831CE" w:rsidRPr="00165681" w:rsidRDefault="00C831CE" w:rsidP="00C831CE">
      <w:r w:rsidRPr="00165681">
        <w:t xml:space="preserve">The Center for Scientific Review (CSR) is the portal for NIH grant applications and their review for scientific merit.  Our mission is to see that NIH grant applications receive fair, independent, expert, and timely reviews – free from inappropriate influences – so NIH can fund the most promising research. </w:t>
      </w:r>
      <w:r>
        <w:t xml:space="preserve">The proposed project is important and timely to gain a comprehensive and systematic view of stakeholder perceptions of the quality of peer review during a time of social and economic change. In the current economic climate of shrinking pay lines and increased competition for research dollars, the economic and personal burden of peer review needs to be examined and monitored. </w:t>
      </w:r>
      <w:r w:rsidRPr="00165681">
        <w:t xml:space="preserve">To identify areas of success and improvement in the quality of peer review, CSR will conduct a series of focus groups with stakeholder groups, through a contract awarded to Social Solutions International, Inc. (Social Solutions) under the OMB control number 0925-0474, </w:t>
      </w:r>
      <w:r w:rsidRPr="00424AA0">
        <w:t>with expiration date 2/28/2018</w:t>
      </w:r>
      <w:r w:rsidRPr="00165681">
        <w:t>.</w:t>
      </w:r>
    </w:p>
    <w:p w14:paraId="110873EF" w14:textId="77777777" w:rsidR="00C831CE" w:rsidRDefault="00C831CE"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7511140C" w14:textId="77777777" w:rsidR="00C831CE" w:rsidRPr="00165681" w:rsidRDefault="00C831CE" w:rsidP="00C831CE">
      <w:r w:rsidRPr="00165681">
        <w:t xml:space="preserve">The focus groups will </w:t>
      </w:r>
      <w:r>
        <w:t>examine the extent to which current best practices are optimal for achieving CSR’s mission and identify ways in which improvements in the quality and/or cost of peer review can be achieved. F</w:t>
      </w:r>
      <w:r w:rsidRPr="00165681">
        <w:t xml:space="preserve">ocus groups will be conducted with </w:t>
      </w:r>
      <w:r>
        <w:t xml:space="preserve">key stakeholders including </w:t>
      </w:r>
      <w:r w:rsidRPr="00165681">
        <w:t>Reviewers, Applicants, Program Officers, and Scientific Review Officers</w:t>
      </w:r>
      <w:r>
        <w:t>. Results will help CSR and NIH understand what peer review process elements are essential to maintaining the quality and integrity of peer review. P</w:t>
      </w:r>
      <w:r w:rsidRPr="00165681">
        <w:t>articipation in the focus groups will be</w:t>
      </w:r>
      <w:r>
        <w:t xml:space="preserve"> completely</w:t>
      </w:r>
      <w:r w:rsidRPr="00165681">
        <w:t xml:space="preserve"> voluntary</w:t>
      </w:r>
      <w:r>
        <w:t xml:space="preserve"> and </w:t>
      </w:r>
      <w:r w:rsidRPr="00165681">
        <w:t>information collected will help refine and improve the quality of CSR’s review operations. Identifiable information will be used by Social Solutions to make logistical arrangements, obtain consent for participation, and provide remuneration and expense reimbursement upon completion. Aggregate findings and de-identified transcripts will be provided to CSR. Participants will be assured that neither their participation/non-participation nor any responses in focus groups will be linked to their identity and will not have any effect on support or services at CSR or NIH in the future. All responses will be secure to the extent permitted by law.</w:t>
      </w:r>
    </w:p>
    <w:p w14:paraId="1CBC8D07" w14:textId="77777777" w:rsidR="00C831CE" w:rsidRDefault="00C831CE"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688466B0" w14:textId="77777777" w:rsidR="00C20ED9" w:rsidRDefault="00C20ED9" w:rsidP="00C20ED9">
      <w:r>
        <w:t xml:space="preserve">N/A  </w:t>
      </w:r>
    </w:p>
    <w:p w14:paraId="3E9F06B8" w14:textId="77777777" w:rsidR="003551B2" w:rsidRDefault="003551B2" w:rsidP="008716F6">
      <w:pPr>
        <w:spacing w:after="20"/>
        <w:rPr>
          <w:b/>
        </w:rPr>
      </w:pPr>
    </w:p>
    <w:p w14:paraId="16F7BD87" w14:textId="77777777" w:rsidR="008716F6" w:rsidRDefault="008716F6" w:rsidP="008716F6">
      <w:pPr>
        <w:spacing w:after="20"/>
        <w:rPr>
          <w:b/>
        </w:rPr>
      </w:pPr>
      <w:r w:rsidRPr="00113647">
        <w:rPr>
          <w:b/>
        </w:rPr>
        <w:t>A.4 Efforts to Identify Duplication</w:t>
      </w:r>
    </w:p>
    <w:p w14:paraId="56CC8073" w14:textId="693291D8" w:rsidR="00AD2C35" w:rsidRPr="00AD2C35" w:rsidRDefault="00AD2C35" w:rsidP="008716F6">
      <w:pPr>
        <w:spacing w:after="20"/>
      </w:pPr>
      <w:r w:rsidRPr="00AD2C35">
        <w:t>There is</w:t>
      </w:r>
      <w:r>
        <w:t xml:space="preserve"> no duplication of effort for this study. The NIH peer review process is specific to the National Institutes of Health. The NIH Center for Scientific Review is the portal for NIH grant applications and their review for scientific merit.  This is the first time a comprehensive effort to examine stakeholder perceptions of the quality of peer review has been conducted in the history of CSR at the NIH.</w:t>
      </w:r>
    </w:p>
    <w:p w14:paraId="7E689EFB" w14:textId="77777777" w:rsidR="00AD2C35" w:rsidRPr="00113647" w:rsidRDefault="00AD2C35"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29C01283" w14:textId="2A558FF8" w:rsidR="00980900" w:rsidRPr="00980900" w:rsidRDefault="00980900" w:rsidP="008716F6">
      <w:pPr>
        <w:spacing w:after="20"/>
        <w:rPr>
          <w:rFonts w:cstheme="minorHAnsi"/>
          <w:b/>
        </w:rPr>
      </w:pPr>
      <w:r>
        <w:rPr>
          <w:rFonts w:cstheme="minorHAnsi"/>
        </w:rPr>
        <w:lastRenderedPageBreak/>
        <w:t>This is</w:t>
      </w:r>
      <w:r w:rsidR="00C20ED9">
        <w:rPr>
          <w:rFonts w:cstheme="minorHAnsi"/>
        </w:rPr>
        <w:t xml:space="preserve"> a one-time</w:t>
      </w:r>
      <w:r>
        <w:rPr>
          <w:rFonts w:cstheme="minorHAnsi"/>
        </w:rPr>
        <w:t xml:space="preserve"> </w:t>
      </w:r>
      <w:r w:rsidR="00C20ED9">
        <w:rPr>
          <w:rFonts w:cstheme="minorHAnsi"/>
        </w:rPr>
        <w:t xml:space="preserve">data collection effort. </w:t>
      </w:r>
    </w:p>
    <w:p w14:paraId="4892E4FC" w14:textId="77777777" w:rsidR="00980900" w:rsidRDefault="00980900" w:rsidP="008716F6">
      <w:pPr>
        <w:spacing w:after="20"/>
        <w:rPr>
          <w:b/>
        </w:rPr>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3522E670" w14:textId="2F80DD62" w:rsidR="008716F6" w:rsidRPr="00113647" w:rsidRDefault="008716F6" w:rsidP="008716F6">
      <w:pPr>
        <w:spacing w:after="20"/>
      </w:pPr>
      <w:r w:rsidRPr="00980900">
        <w:t>This survey will be implemented in a manner that fully complies with 5 C.F.R. 1320.5.</w:t>
      </w:r>
      <w:r w:rsidR="004B3C21" w:rsidRPr="00980900">
        <w:t xml:space="preserve"> </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2E777A5A" w14:textId="0CB23383" w:rsidR="0029638B" w:rsidRDefault="0072037C" w:rsidP="008716F6">
      <w:pPr>
        <w:spacing w:after="20"/>
      </w:pPr>
      <w:r>
        <w:t>A gift card of $75</w:t>
      </w:r>
      <w:r w:rsidR="00C20ED9">
        <w:t xml:space="preserve"> </w:t>
      </w:r>
      <w:r>
        <w:t xml:space="preserve">will be provided to respondents in appreciation for </w:t>
      </w:r>
      <w:r w:rsidR="00C20ED9">
        <w:t xml:space="preserve">their time </w:t>
      </w:r>
      <w:r>
        <w:t>participatin</w:t>
      </w:r>
      <w:r w:rsidR="00C20ED9">
        <w:t>g</w:t>
      </w:r>
      <w:r>
        <w:t xml:space="preserve"> in the 90 minute focus group</w:t>
      </w:r>
      <w:r w:rsidR="00C20ED9">
        <w:t xml:space="preserve"> and 5 minutes </w:t>
      </w:r>
      <w:r w:rsidR="0029638B">
        <w:t xml:space="preserve">required </w:t>
      </w:r>
      <w:r w:rsidR="00C20ED9">
        <w:t xml:space="preserve">to complete </w:t>
      </w:r>
      <w:r w:rsidR="0029638B">
        <w:t>an</w:t>
      </w:r>
      <w:r w:rsidR="00C20ED9">
        <w:t xml:space="preserve"> informed consent form</w:t>
      </w:r>
      <w:r>
        <w:t>.</w:t>
      </w:r>
      <w:r w:rsidR="00C20ED9">
        <w:t xml:space="preserve">  It is standard practice to offer respondents some form of remuneration for the time they spend participating in a focus group.  Extensive literature supports the use of incentives, primarily monetary incentives, </w:t>
      </w:r>
      <w:r w:rsidR="0029638B">
        <w:t>to</w:t>
      </w:r>
      <w:r w:rsidR="00C20ED9">
        <w:t xml:space="preserve"> supplement or complement other efforts of encouragement to </w:t>
      </w:r>
      <w:r w:rsidR="0029638B">
        <w:t>potential participants. (See references 1</w:t>
      </w:r>
      <w:proofErr w:type="gramStart"/>
      <w:r w:rsidR="0029638B">
        <w:t>,2</w:t>
      </w:r>
      <w:proofErr w:type="gramEnd"/>
      <w:r w:rsidR="0029638B">
        <w:t xml:space="preserve"> below</w:t>
      </w:r>
      <w:r w:rsidR="00C54424">
        <w:t>).</w:t>
      </w:r>
    </w:p>
    <w:p w14:paraId="7EBF6A01" w14:textId="389DA2D7" w:rsidR="00980900" w:rsidRDefault="0072037C" w:rsidP="008716F6">
      <w:pPr>
        <w:spacing w:after="20"/>
      </w:pPr>
      <w:r>
        <w:t xml:space="preserve"> </w:t>
      </w:r>
    </w:p>
    <w:p w14:paraId="3E1DA13C" w14:textId="037310E8" w:rsidR="0029638B" w:rsidRDefault="0029638B" w:rsidP="008716F6">
      <w:pPr>
        <w:spacing w:after="20"/>
      </w:pPr>
      <w:r>
        <w:t>Respondents will receive a gift card through a Contractor being paid to recruit participants. The gift card</w:t>
      </w:r>
      <w:r w:rsidR="003551B2">
        <w:t xml:space="preserve"> amount</w:t>
      </w:r>
      <w:r>
        <w:t xml:space="preserve"> is based on pay scales the company follows</w:t>
      </w:r>
      <w:r w:rsidR="00B879E8">
        <w:t xml:space="preserve"> and data from the Chronicle of Higher Education Faculty Salary Survey (See reference 3 below)</w:t>
      </w:r>
      <w:r>
        <w:t xml:space="preserve">. </w:t>
      </w:r>
      <w:r w:rsidR="00B879E8">
        <w:t xml:space="preserve"> </w:t>
      </w:r>
      <w:r w:rsidR="00BD46C4">
        <w:t>Re</w:t>
      </w:r>
      <w:r>
        <w:t>cruitment professionals</w:t>
      </w:r>
      <w:r w:rsidR="00B879E8">
        <w:t xml:space="preserve"> and the Chronical of Higher Education data show that full professors across disciplines are earning an annual mean wage ranging from $215,500 to $73,600 based on a 9 month work yea</w:t>
      </w:r>
      <w:r w:rsidR="00BD46C4">
        <w:t>r.</w:t>
      </w:r>
      <w:r w:rsidR="00B879E8">
        <w:t xml:space="preserve">  </w:t>
      </w:r>
      <w:r w:rsidR="00BD46C4">
        <w:t xml:space="preserve">The Chronical of Higher Education </w:t>
      </w:r>
      <w:r w:rsidR="00B879E8">
        <w:t>report</w:t>
      </w:r>
      <w:r w:rsidR="00BD46C4">
        <w:t xml:space="preserve"> states</w:t>
      </w:r>
      <w:r w:rsidR="00B879E8">
        <w:t xml:space="preserve"> the </w:t>
      </w:r>
      <w:r w:rsidR="00BD46C4">
        <w:t xml:space="preserve">salary </w:t>
      </w:r>
      <w:r w:rsidR="00B879E8">
        <w:t>range in annualized salaries extrapolated for a 12 month work year is quite large ($287</w:t>
      </w:r>
      <w:r>
        <w:t>,</w:t>
      </w:r>
      <w:r w:rsidR="00B879E8">
        <w:t>333 to $98,133) with an annual hourly wage rate of $138/hour to $47/hour, based on a 40 hour work week.  This averages to about $93 per hour</w:t>
      </w:r>
      <w:r w:rsidR="00BD46C4">
        <w:t xml:space="preserve"> for U.S. faculty members</w:t>
      </w:r>
      <w:r w:rsidR="00B879E8">
        <w:t>.</w:t>
      </w:r>
      <w:r w:rsidR="00BD46C4">
        <w:t xml:space="preserve"> </w:t>
      </w:r>
      <w:r w:rsidR="00B879E8">
        <w:t xml:space="preserve"> For this reason, the incentive value for </w:t>
      </w:r>
      <w:r>
        <w:t xml:space="preserve">focus group participants </w:t>
      </w:r>
      <w:r w:rsidR="00BD46C4">
        <w:t xml:space="preserve">who are all faculty members at U.S. universities </w:t>
      </w:r>
      <w:r w:rsidR="00B879E8">
        <w:t>has been set at $75.</w:t>
      </w:r>
      <w:r>
        <w:t xml:space="preserve"> </w:t>
      </w:r>
    </w:p>
    <w:p w14:paraId="705C53E5" w14:textId="77777777" w:rsidR="003551B2" w:rsidRDefault="003551B2" w:rsidP="008716F6">
      <w:pPr>
        <w:spacing w:after="20"/>
      </w:pPr>
    </w:p>
    <w:p w14:paraId="1AFB2C82" w14:textId="312CD83E" w:rsidR="00B879E8" w:rsidRDefault="00B879E8" w:rsidP="008716F6">
      <w:pPr>
        <w:spacing w:after="20"/>
      </w:pPr>
      <w:r>
        <w:t>References:</w:t>
      </w:r>
    </w:p>
    <w:p w14:paraId="01033B41" w14:textId="25B9930A" w:rsidR="0029638B" w:rsidRDefault="0029638B" w:rsidP="008716F6">
      <w:pPr>
        <w:spacing w:after="20"/>
      </w:pPr>
      <w:r>
        <w:t xml:space="preserve">(1)  Bricker, Jesse. </w:t>
      </w:r>
      <w:proofErr w:type="gramStart"/>
      <w:r>
        <w:t>(2013). “Survey Incentive Fees, Data Quality, Nonresponse, and Survey Administration.”</w:t>
      </w:r>
      <w:proofErr w:type="gramEnd"/>
      <w:r>
        <w:t xml:space="preserve"> </w:t>
      </w:r>
      <w:proofErr w:type="gramStart"/>
      <w:r>
        <w:t xml:space="preserve">Presented at the Annual </w:t>
      </w:r>
      <w:r w:rsidR="003551B2">
        <w:t>Conference</w:t>
      </w:r>
      <w:r>
        <w:t xml:space="preserve"> of the American Association for Public Opinion </w:t>
      </w:r>
      <w:r w:rsidR="003551B2">
        <w:t>Research</w:t>
      </w:r>
      <w:r>
        <w:t>, Boston, MA.</w:t>
      </w:r>
      <w:proofErr w:type="gramEnd"/>
    </w:p>
    <w:p w14:paraId="133DCA8D" w14:textId="77777777" w:rsidR="0029638B" w:rsidRDefault="0029638B" w:rsidP="008716F6">
      <w:pPr>
        <w:spacing w:after="20"/>
      </w:pPr>
    </w:p>
    <w:p w14:paraId="1052AD70" w14:textId="71EA21BF" w:rsidR="00980900" w:rsidRDefault="0029638B" w:rsidP="008716F6">
      <w:pPr>
        <w:spacing w:after="20"/>
      </w:pPr>
      <w:r>
        <w:t xml:space="preserve">(2)  Singer, E., and Ye, C. (2013). </w:t>
      </w:r>
      <w:proofErr w:type="gramStart"/>
      <w:r>
        <w:t>“The Use and Effects of Incentives in Surveys.”</w:t>
      </w:r>
      <w:proofErr w:type="gramEnd"/>
      <w:r>
        <w:t xml:space="preserve"> The Annals of the American Academy of Political and Social Science, 645, 112-141. </w:t>
      </w:r>
    </w:p>
    <w:p w14:paraId="49490590" w14:textId="77777777" w:rsidR="00B879E8" w:rsidRDefault="00B879E8" w:rsidP="008716F6">
      <w:pPr>
        <w:spacing w:after="20"/>
      </w:pPr>
    </w:p>
    <w:p w14:paraId="11673D0F" w14:textId="2F35DEBB" w:rsidR="00B879E8" w:rsidRDefault="00B879E8" w:rsidP="008716F6">
      <w:pPr>
        <w:spacing w:after="20"/>
      </w:pPr>
      <w:r>
        <w:t xml:space="preserve">(3) The Chronicle of Higher Education (April 7, 2014). </w:t>
      </w:r>
      <w:proofErr w:type="gramStart"/>
      <w:r>
        <w:t>2013-14 AAUP Faculty Salary Survey.</w:t>
      </w:r>
      <w:proofErr w:type="gramEnd"/>
    </w:p>
    <w:p w14:paraId="5EB3D718" w14:textId="6CEEDDC3" w:rsidR="0029638B" w:rsidRDefault="002F2FC1" w:rsidP="008716F6">
      <w:pPr>
        <w:spacing w:after="20"/>
      </w:pPr>
      <w:hyperlink r:id="rId8" w:anchor="id=table" w:history="1">
        <w:r w:rsidR="00B879E8" w:rsidRPr="001D106D">
          <w:rPr>
            <w:rStyle w:val="Hyperlink"/>
          </w:rPr>
          <w:t>http://chronicle.com/article/2013-14-AAUP-Faculty-Salary/145679/#id=table</w:t>
        </w:r>
      </w:hyperlink>
    </w:p>
    <w:p w14:paraId="25FD1BC4" w14:textId="77777777" w:rsidR="00B879E8" w:rsidRPr="00113647" w:rsidRDefault="00B879E8"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DB51145" w14:textId="000F3287" w:rsidR="004B3C21" w:rsidRDefault="00B23C1D" w:rsidP="004B3C21">
      <w:pPr>
        <w:spacing w:after="20"/>
      </w:pPr>
      <w:r w:rsidRPr="00B23C1D">
        <w:t>Re</w:t>
      </w:r>
      <w:r>
        <w:t>s</w:t>
      </w:r>
      <w:r w:rsidRPr="00B23C1D">
        <w:t>pondent</w:t>
      </w:r>
      <w:r>
        <w:t xml:space="preserve">s will be assured in prefatory comments at the focus group, and in an informed consent document they will read and sign before the session begins, that the information shared in focus groups will not be linked to their name in anyway.  They will be assured that their participation or non-participation is entirely voluntary and will not have any effect on support or services at CSR or NIH in the future.  All responses will be secure and private to the extent permitted by law.  Personally Identifiable Information (PII) will </w:t>
      </w:r>
      <w:r w:rsidRPr="00B23C1D">
        <w:rPr>
          <w:u w:val="single"/>
        </w:rPr>
        <w:t>not</w:t>
      </w:r>
      <w:r>
        <w:t xml:space="preserve"> be collected.</w:t>
      </w:r>
    </w:p>
    <w:p w14:paraId="2B833569" w14:textId="77777777" w:rsidR="00B23C1D" w:rsidRDefault="00B23C1D" w:rsidP="008716F6">
      <w:pPr>
        <w:spacing w:after="20"/>
        <w:rPr>
          <w:b/>
        </w:rPr>
      </w:pPr>
    </w:p>
    <w:p w14:paraId="0810AD11" w14:textId="77777777" w:rsidR="001D2741" w:rsidRPr="00113647" w:rsidRDefault="001D2741" w:rsidP="008716F6">
      <w:pPr>
        <w:spacing w:after="20"/>
        <w:rPr>
          <w:b/>
        </w:rPr>
      </w:pPr>
      <w:r w:rsidRPr="00113647">
        <w:rPr>
          <w:b/>
        </w:rPr>
        <w:lastRenderedPageBreak/>
        <w:t>A.11 Justification for Sensitive Questions</w:t>
      </w:r>
    </w:p>
    <w:p w14:paraId="463DD69D" w14:textId="6016E555" w:rsidR="00980900" w:rsidRDefault="0072037C" w:rsidP="008716F6">
      <w:pPr>
        <w:spacing w:after="20"/>
      </w:pPr>
      <w:r>
        <w:t>T</w:t>
      </w:r>
      <w:r w:rsidR="00980900">
        <w:t xml:space="preserve">here are no questions of a sensitive or private nature that will be asked in these focus groups.  Discussion topics will cover stakeholder </w:t>
      </w:r>
      <w:r>
        <w:t xml:space="preserve">sentiment, experiences, and opinion </w:t>
      </w:r>
      <w:r w:rsidR="00980900">
        <w:t xml:space="preserve">about policy driven and transparent elements of the NIH peer review process. </w:t>
      </w:r>
      <w:r>
        <w:t xml:space="preserve">Respondents will be asked to sign an informed consent document before the focus group session begins ensuring they understand that participation is completely voluntary and no comments will be personally identifiable. </w:t>
      </w:r>
    </w:p>
    <w:p w14:paraId="389E8650" w14:textId="77777777"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6B78A939" w14:textId="77777777" w:rsidR="001D2741" w:rsidRPr="00113647" w:rsidRDefault="001D2741" w:rsidP="008716F6">
      <w:pPr>
        <w:spacing w:after="20"/>
      </w:pPr>
    </w:p>
    <w:p w14:paraId="04F8B5B4" w14:textId="408F75AB" w:rsidR="002F3354" w:rsidRDefault="002F3354" w:rsidP="008716F6">
      <w:pPr>
        <w:spacing w:after="20"/>
        <w:rPr>
          <w:b/>
        </w:rPr>
      </w:pPr>
      <w:r>
        <w:rPr>
          <w:b/>
        </w:rPr>
        <w:t xml:space="preserve">                                             </w:t>
      </w:r>
      <w:r w:rsidR="001D2741" w:rsidRPr="00113647">
        <w:rPr>
          <w:b/>
        </w:rPr>
        <w:t>A.12</w:t>
      </w:r>
      <w:r w:rsidR="00AF01AD">
        <w:rPr>
          <w:b/>
        </w:rPr>
        <w:t>-1</w:t>
      </w:r>
      <w:r w:rsidR="001D2741" w:rsidRPr="00113647">
        <w:rPr>
          <w:b/>
        </w:rPr>
        <w:t xml:space="preserve"> Estimate</w:t>
      </w:r>
      <w:r>
        <w:rPr>
          <w:b/>
        </w:rPr>
        <w:t>d Annualized Burden Hours</w:t>
      </w:r>
    </w:p>
    <w:p w14:paraId="03398C89" w14:textId="77777777" w:rsidR="00AD0A31" w:rsidRPr="00AD0A31" w:rsidRDefault="00AD0A31" w:rsidP="00AD0A31">
      <w:pPr>
        <w:rPr>
          <w:rFonts w:cstheme="minorHAnsi"/>
          <w:b/>
        </w:rPr>
      </w:pPr>
      <w:r>
        <w:rPr>
          <w:b/>
        </w:rPr>
        <w:tab/>
      </w:r>
    </w:p>
    <w:tbl>
      <w:tblPr>
        <w:tblpPr w:leftFromText="180" w:rightFromText="180" w:vertAnchor="text" w:horzAnchor="page" w:tblpX="1501" w:tblpY="100"/>
        <w:tblW w:w="0" w:type="auto"/>
        <w:tblBorders>
          <w:top w:val="single" w:sz="12" w:space="0" w:color="auto"/>
          <w:left w:val="single" w:sz="12" w:space="0" w:color="auto"/>
          <w:bottom w:val="single" w:sz="24" w:space="0" w:color="auto"/>
          <w:right w:val="single" w:sz="12" w:space="0" w:color="auto"/>
          <w:insideH w:val="single" w:sz="12"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90"/>
        <w:gridCol w:w="2190"/>
        <w:gridCol w:w="1620"/>
        <w:gridCol w:w="1530"/>
        <w:gridCol w:w="1530"/>
        <w:gridCol w:w="1471"/>
      </w:tblGrid>
      <w:tr w:rsidR="00AD0A31" w:rsidRPr="00AD0A31" w14:paraId="635DF862" w14:textId="77777777" w:rsidTr="00AD0A31">
        <w:trPr>
          <w:cantSplit/>
          <w:trHeight w:val="870"/>
        </w:trPr>
        <w:tc>
          <w:tcPr>
            <w:tcW w:w="2190" w:type="dxa"/>
            <w:tcBorders>
              <w:top w:val="single" w:sz="12" w:space="0" w:color="auto"/>
              <w:left w:val="single" w:sz="12" w:space="0" w:color="auto"/>
              <w:bottom w:val="single" w:sz="12" w:space="0" w:color="auto"/>
              <w:right w:val="nil"/>
            </w:tcBorders>
            <w:shd w:val="pct10" w:color="auto" w:fill="FFFFFF"/>
          </w:tcPr>
          <w:p w14:paraId="51D1088F" w14:textId="77777777" w:rsidR="00AD0A31" w:rsidRPr="00AD0A31" w:rsidRDefault="00AD0A31" w:rsidP="00AD00A8">
            <w:pPr>
              <w:rPr>
                <w:rFonts w:cstheme="minorHAnsi"/>
                <w:color w:val="000000"/>
              </w:rPr>
            </w:pPr>
          </w:p>
        </w:tc>
        <w:tc>
          <w:tcPr>
            <w:tcW w:w="8341" w:type="dxa"/>
            <w:gridSpan w:val="5"/>
            <w:tcBorders>
              <w:top w:val="single" w:sz="12" w:space="0" w:color="auto"/>
              <w:left w:val="nil"/>
              <w:bottom w:val="single" w:sz="12" w:space="0" w:color="auto"/>
            </w:tcBorders>
            <w:shd w:val="pct10" w:color="auto" w:fill="FFFFFF"/>
          </w:tcPr>
          <w:p w14:paraId="09C16041" w14:textId="77777777" w:rsidR="00AD0A31" w:rsidRDefault="00AD0A31" w:rsidP="00AD00A8">
            <w:pPr>
              <w:rPr>
                <w:rFonts w:cstheme="minorHAnsi"/>
                <w:color w:val="000000"/>
              </w:rPr>
            </w:pPr>
          </w:p>
          <w:p w14:paraId="164154C6" w14:textId="77777777" w:rsidR="00AD0A31" w:rsidRPr="00AD0A31" w:rsidRDefault="00AD0A31" w:rsidP="00AD00A8">
            <w:pPr>
              <w:rPr>
                <w:rFonts w:cstheme="minorHAnsi"/>
                <w:color w:val="000000"/>
              </w:rPr>
            </w:pPr>
            <w:r w:rsidRPr="00AD0A31">
              <w:rPr>
                <w:rFonts w:cstheme="minorHAnsi"/>
                <w:color w:val="000000"/>
              </w:rPr>
              <w:t xml:space="preserve">A.12 - 1    </w:t>
            </w:r>
            <w:r w:rsidRPr="00AD0A31">
              <w:rPr>
                <w:rFonts w:cstheme="minorHAnsi"/>
                <w:smallCaps/>
                <w:color w:val="000000"/>
              </w:rPr>
              <w:t>Estimated Annualized Burden Hours</w:t>
            </w:r>
          </w:p>
        </w:tc>
      </w:tr>
      <w:tr w:rsidR="00AD0A31" w:rsidRPr="00AD0A31" w14:paraId="70BCC017" w14:textId="77777777" w:rsidTr="00AD00A8">
        <w:trPr>
          <w:cantSplit/>
          <w:trHeight w:val="403"/>
        </w:trPr>
        <w:tc>
          <w:tcPr>
            <w:tcW w:w="2190" w:type="dxa"/>
            <w:tcBorders>
              <w:top w:val="single" w:sz="12" w:space="0" w:color="auto"/>
            </w:tcBorders>
            <w:shd w:val="clear" w:color="auto" w:fill="FFFFFF"/>
          </w:tcPr>
          <w:p w14:paraId="270EBA3E" w14:textId="77777777" w:rsidR="00AD0A31" w:rsidRPr="00AD0A31" w:rsidRDefault="00AD0A31" w:rsidP="00AD00A8">
            <w:pPr>
              <w:rPr>
                <w:rFonts w:cstheme="minorHAnsi"/>
                <w:color w:val="000000"/>
              </w:rPr>
            </w:pPr>
            <w:r w:rsidRPr="00AD0A31">
              <w:rPr>
                <w:rFonts w:cstheme="minorHAnsi"/>
                <w:color w:val="000000"/>
              </w:rPr>
              <w:t>Form Name</w:t>
            </w:r>
          </w:p>
        </w:tc>
        <w:tc>
          <w:tcPr>
            <w:tcW w:w="2190" w:type="dxa"/>
            <w:tcBorders>
              <w:top w:val="single" w:sz="12" w:space="0" w:color="auto"/>
            </w:tcBorders>
            <w:shd w:val="clear" w:color="auto" w:fill="FFFFFF"/>
          </w:tcPr>
          <w:p w14:paraId="7B0BB2EA" w14:textId="77777777" w:rsidR="00AD0A31" w:rsidRPr="00AD0A31" w:rsidRDefault="00AD0A31" w:rsidP="00AD00A8">
            <w:pPr>
              <w:rPr>
                <w:rFonts w:cstheme="minorHAnsi"/>
                <w:color w:val="000000"/>
              </w:rPr>
            </w:pPr>
            <w:r w:rsidRPr="00AD0A31">
              <w:rPr>
                <w:rFonts w:cstheme="minorHAnsi"/>
                <w:color w:val="000000"/>
              </w:rPr>
              <w:t>Type of Respondent</w:t>
            </w:r>
          </w:p>
        </w:tc>
        <w:tc>
          <w:tcPr>
            <w:tcW w:w="1620" w:type="dxa"/>
            <w:tcBorders>
              <w:top w:val="single" w:sz="12" w:space="0" w:color="auto"/>
            </w:tcBorders>
          </w:tcPr>
          <w:p w14:paraId="0ADBA569" w14:textId="77777777" w:rsidR="00AD0A31" w:rsidRPr="00AD0A31" w:rsidRDefault="00AD0A31" w:rsidP="00AD00A8">
            <w:pPr>
              <w:rPr>
                <w:rFonts w:cstheme="minorHAnsi"/>
                <w:color w:val="000000"/>
              </w:rPr>
            </w:pPr>
            <w:r w:rsidRPr="00AD0A31">
              <w:rPr>
                <w:rFonts w:cstheme="minorHAnsi"/>
                <w:color w:val="000000"/>
              </w:rPr>
              <w:t>Number of Respondents</w:t>
            </w:r>
          </w:p>
        </w:tc>
        <w:tc>
          <w:tcPr>
            <w:tcW w:w="1530" w:type="dxa"/>
            <w:tcBorders>
              <w:top w:val="single" w:sz="12" w:space="0" w:color="auto"/>
            </w:tcBorders>
          </w:tcPr>
          <w:p w14:paraId="27655DED" w14:textId="77777777" w:rsidR="00AD0A31" w:rsidRPr="00AD0A31" w:rsidRDefault="00AD0A31" w:rsidP="00AD00A8">
            <w:pPr>
              <w:rPr>
                <w:rFonts w:cstheme="minorHAnsi"/>
                <w:color w:val="000000"/>
              </w:rPr>
            </w:pPr>
            <w:r w:rsidRPr="00AD0A31">
              <w:rPr>
                <w:rFonts w:cstheme="minorHAnsi"/>
                <w:color w:val="000000"/>
              </w:rPr>
              <w:t>Number of Responses per Respondent</w:t>
            </w:r>
          </w:p>
        </w:tc>
        <w:tc>
          <w:tcPr>
            <w:tcW w:w="1530" w:type="dxa"/>
            <w:tcBorders>
              <w:top w:val="single" w:sz="12" w:space="0" w:color="auto"/>
            </w:tcBorders>
          </w:tcPr>
          <w:p w14:paraId="76D10A16" w14:textId="77777777" w:rsidR="00AD0A31" w:rsidRPr="00AD0A31" w:rsidRDefault="00AD0A31" w:rsidP="00AD00A8">
            <w:pPr>
              <w:rPr>
                <w:rFonts w:cstheme="minorHAnsi"/>
                <w:color w:val="000000"/>
              </w:rPr>
            </w:pPr>
            <w:r w:rsidRPr="00AD0A31">
              <w:rPr>
                <w:rFonts w:cstheme="minorHAnsi"/>
                <w:color w:val="000000"/>
              </w:rPr>
              <w:t>Average Burden per Response</w:t>
            </w:r>
          </w:p>
          <w:p w14:paraId="4C7CE8A6" w14:textId="77777777" w:rsidR="00AD0A31" w:rsidRPr="00AD0A31" w:rsidRDefault="00AD0A31" w:rsidP="00AD00A8">
            <w:pPr>
              <w:rPr>
                <w:rFonts w:cstheme="minorHAnsi"/>
                <w:color w:val="000000"/>
              </w:rPr>
            </w:pPr>
            <w:r w:rsidRPr="00AD0A31">
              <w:rPr>
                <w:rFonts w:cstheme="minorHAnsi"/>
                <w:color w:val="000000"/>
              </w:rPr>
              <w:t>(in hours)</w:t>
            </w:r>
          </w:p>
        </w:tc>
        <w:tc>
          <w:tcPr>
            <w:tcW w:w="1471" w:type="dxa"/>
            <w:tcBorders>
              <w:top w:val="single" w:sz="12" w:space="0" w:color="auto"/>
            </w:tcBorders>
          </w:tcPr>
          <w:p w14:paraId="6EF60F7A" w14:textId="77777777" w:rsidR="00AD0A31" w:rsidRPr="00AD0A31" w:rsidRDefault="00AD0A31" w:rsidP="00AD00A8">
            <w:pPr>
              <w:jc w:val="center"/>
              <w:rPr>
                <w:rFonts w:cstheme="minorHAnsi"/>
                <w:color w:val="000000"/>
              </w:rPr>
            </w:pPr>
            <w:r w:rsidRPr="00AD0A31">
              <w:rPr>
                <w:rFonts w:cstheme="minorHAnsi"/>
                <w:color w:val="000000"/>
              </w:rPr>
              <w:t xml:space="preserve">Total Annual Burden Hour </w:t>
            </w:r>
          </w:p>
        </w:tc>
      </w:tr>
      <w:tr w:rsidR="00AD0A31" w:rsidRPr="00AD0A31" w14:paraId="3B6C609D" w14:textId="77777777" w:rsidTr="00AD00A8">
        <w:trPr>
          <w:cantSplit/>
          <w:trHeight w:val="403"/>
        </w:trPr>
        <w:tc>
          <w:tcPr>
            <w:tcW w:w="2190" w:type="dxa"/>
            <w:shd w:val="clear" w:color="auto" w:fill="FFFFFF"/>
          </w:tcPr>
          <w:p w14:paraId="14222D77" w14:textId="654DC481" w:rsidR="00AD0A31" w:rsidRPr="00AD0A31" w:rsidRDefault="00D35DA6" w:rsidP="00AD00A8">
            <w:pPr>
              <w:rPr>
                <w:rFonts w:cstheme="minorHAnsi"/>
                <w:color w:val="000000"/>
              </w:rPr>
            </w:pPr>
            <w:r w:rsidRPr="00D35DA6">
              <w:rPr>
                <w:rFonts w:cstheme="minorHAnsi"/>
                <w:color w:val="000000"/>
              </w:rPr>
              <w:t xml:space="preserve">Focus Groups </w:t>
            </w:r>
            <w:r w:rsidR="00962A60">
              <w:rPr>
                <w:rFonts w:cstheme="minorHAnsi"/>
                <w:color w:val="000000"/>
              </w:rPr>
              <w:t xml:space="preserve">Guide </w:t>
            </w:r>
            <w:r w:rsidRPr="00D35DA6">
              <w:rPr>
                <w:rFonts w:cstheme="minorHAnsi"/>
                <w:color w:val="000000"/>
              </w:rPr>
              <w:t>with Applicants</w:t>
            </w:r>
          </w:p>
        </w:tc>
        <w:tc>
          <w:tcPr>
            <w:tcW w:w="2190" w:type="dxa"/>
            <w:shd w:val="clear" w:color="auto" w:fill="FFFFFF"/>
          </w:tcPr>
          <w:p w14:paraId="7E36F27D" w14:textId="73787701" w:rsidR="00AD0A31" w:rsidRPr="00AD0A31" w:rsidRDefault="00AD0A31" w:rsidP="00AD00A8">
            <w:pPr>
              <w:rPr>
                <w:rFonts w:cstheme="minorHAnsi"/>
                <w:color w:val="000000"/>
              </w:rPr>
            </w:pPr>
            <w:r w:rsidRPr="00AD0A31">
              <w:rPr>
                <w:rFonts w:cstheme="minorHAnsi"/>
                <w:color w:val="000000"/>
              </w:rPr>
              <w:t>Applicants</w:t>
            </w:r>
          </w:p>
        </w:tc>
        <w:tc>
          <w:tcPr>
            <w:tcW w:w="1620" w:type="dxa"/>
          </w:tcPr>
          <w:p w14:paraId="1D019176" w14:textId="77777777" w:rsidR="00AD0A31" w:rsidRPr="00AD0A31" w:rsidRDefault="00AD0A31" w:rsidP="00AD00A8">
            <w:pPr>
              <w:jc w:val="center"/>
              <w:rPr>
                <w:rFonts w:cstheme="minorHAnsi"/>
                <w:color w:val="000000"/>
              </w:rPr>
            </w:pPr>
            <w:r w:rsidRPr="00AD0A31">
              <w:rPr>
                <w:rFonts w:cstheme="minorHAnsi"/>
                <w:color w:val="000000"/>
              </w:rPr>
              <w:t>72</w:t>
            </w:r>
          </w:p>
        </w:tc>
        <w:tc>
          <w:tcPr>
            <w:tcW w:w="1530" w:type="dxa"/>
          </w:tcPr>
          <w:p w14:paraId="60360C7E" w14:textId="77777777" w:rsidR="00AD0A31" w:rsidRPr="00AD0A31" w:rsidRDefault="00AD0A31" w:rsidP="00AD00A8">
            <w:pPr>
              <w:jc w:val="center"/>
              <w:rPr>
                <w:rFonts w:cstheme="minorHAnsi"/>
                <w:color w:val="000000"/>
              </w:rPr>
            </w:pPr>
            <w:r w:rsidRPr="00AD0A31">
              <w:rPr>
                <w:rFonts w:cstheme="minorHAnsi"/>
                <w:smallCaps/>
                <w:color w:val="000000"/>
              </w:rPr>
              <w:t>1</w:t>
            </w:r>
          </w:p>
        </w:tc>
        <w:tc>
          <w:tcPr>
            <w:tcW w:w="1530" w:type="dxa"/>
          </w:tcPr>
          <w:p w14:paraId="148A398F" w14:textId="77777777" w:rsidR="00AD0A31" w:rsidRPr="00AD0A31" w:rsidRDefault="00AD0A31" w:rsidP="00AD00A8">
            <w:pPr>
              <w:jc w:val="center"/>
              <w:rPr>
                <w:rFonts w:cstheme="minorHAnsi"/>
                <w:color w:val="000000"/>
              </w:rPr>
            </w:pPr>
            <w:r w:rsidRPr="00AD0A31">
              <w:rPr>
                <w:rFonts w:cstheme="minorHAnsi"/>
                <w:color w:val="000000"/>
              </w:rPr>
              <w:t>90/60</w:t>
            </w:r>
          </w:p>
        </w:tc>
        <w:tc>
          <w:tcPr>
            <w:tcW w:w="1471" w:type="dxa"/>
          </w:tcPr>
          <w:p w14:paraId="15CED920" w14:textId="77777777" w:rsidR="00AD0A31" w:rsidRPr="00AD0A31" w:rsidRDefault="00AD0A31" w:rsidP="00AD00A8">
            <w:pPr>
              <w:jc w:val="center"/>
              <w:rPr>
                <w:rFonts w:cstheme="minorHAnsi"/>
                <w:color w:val="000000"/>
              </w:rPr>
            </w:pPr>
            <w:r w:rsidRPr="00AD0A31">
              <w:rPr>
                <w:rFonts w:cstheme="minorHAnsi"/>
                <w:color w:val="000000"/>
              </w:rPr>
              <w:t>108 hours</w:t>
            </w:r>
          </w:p>
        </w:tc>
      </w:tr>
      <w:tr w:rsidR="00AD0A31" w:rsidRPr="00AD0A31" w14:paraId="5600E7B2" w14:textId="77777777" w:rsidTr="00AD00A8">
        <w:trPr>
          <w:cantSplit/>
          <w:trHeight w:val="597"/>
        </w:trPr>
        <w:tc>
          <w:tcPr>
            <w:tcW w:w="2190" w:type="dxa"/>
            <w:shd w:val="clear" w:color="auto" w:fill="FFFFFF"/>
          </w:tcPr>
          <w:p w14:paraId="47C34585" w14:textId="6F7A6203" w:rsidR="00AD0A31" w:rsidRPr="00AD0A31" w:rsidRDefault="00D35DA6" w:rsidP="00AD00A8">
            <w:pPr>
              <w:rPr>
                <w:rFonts w:cstheme="minorHAnsi"/>
                <w:color w:val="000000"/>
              </w:rPr>
            </w:pPr>
            <w:r w:rsidRPr="00D35DA6">
              <w:rPr>
                <w:rFonts w:cstheme="minorHAnsi"/>
                <w:color w:val="000000"/>
              </w:rPr>
              <w:t>Focus Groups</w:t>
            </w:r>
            <w:r w:rsidR="00962A60">
              <w:rPr>
                <w:rFonts w:cstheme="minorHAnsi"/>
                <w:color w:val="000000"/>
              </w:rPr>
              <w:t xml:space="preserve"> Guide</w:t>
            </w:r>
            <w:r w:rsidRPr="00D35DA6">
              <w:rPr>
                <w:rFonts w:cstheme="minorHAnsi"/>
                <w:color w:val="000000"/>
              </w:rPr>
              <w:t xml:space="preserve"> with Reviewers</w:t>
            </w:r>
          </w:p>
        </w:tc>
        <w:tc>
          <w:tcPr>
            <w:tcW w:w="2190" w:type="dxa"/>
            <w:shd w:val="clear" w:color="auto" w:fill="FFFFFF"/>
          </w:tcPr>
          <w:p w14:paraId="294EDB08" w14:textId="4D004164" w:rsidR="00AD0A31" w:rsidRPr="00AD0A31" w:rsidRDefault="00AD0A31" w:rsidP="00AD00A8">
            <w:pPr>
              <w:rPr>
                <w:rFonts w:cstheme="minorHAnsi"/>
                <w:color w:val="000000"/>
              </w:rPr>
            </w:pPr>
            <w:r w:rsidRPr="00AD0A31">
              <w:rPr>
                <w:rFonts w:cstheme="minorHAnsi"/>
                <w:color w:val="000000"/>
              </w:rPr>
              <w:t>Reviewers</w:t>
            </w:r>
          </w:p>
        </w:tc>
        <w:tc>
          <w:tcPr>
            <w:tcW w:w="1620" w:type="dxa"/>
          </w:tcPr>
          <w:p w14:paraId="513581F8" w14:textId="77777777" w:rsidR="00AD0A31" w:rsidRPr="00AD0A31" w:rsidRDefault="00AD0A31" w:rsidP="00AD00A8">
            <w:pPr>
              <w:jc w:val="center"/>
              <w:rPr>
                <w:rFonts w:cstheme="minorHAnsi"/>
                <w:smallCaps/>
                <w:color w:val="000000"/>
              </w:rPr>
            </w:pPr>
            <w:r w:rsidRPr="00AD0A31">
              <w:rPr>
                <w:rFonts w:cstheme="minorHAnsi"/>
                <w:smallCaps/>
                <w:color w:val="000000"/>
              </w:rPr>
              <w:t>72</w:t>
            </w:r>
          </w:p>
        </w:tc>
        <w:tc>
          <w:tcPr>
            <w:tcW w:w="1530" w:type="dxa"/>
          </w:tcPr>
          <w:p w14:paraId="0CC7EC8D" w14:textId="77777777" w:rsidR="00AD0A31" w:rsidRPr="00AD0A31" w:rsidRDefault="00AD0A31" w:rsidP="00AD00A8">
            <w:pPr>
              <w:jc w:val="center"/>
              <w:rPr>
                <w:rFonts w:cstheme="minorHAnsi"/>
                <w:smallCaps/>
                <w:color w:val="000000"/>
              </w:rPr>
            </w:pPr>
            <w:r w:rsidRPr="00AD0A31">
              <w:rPr>
                <w:rFonts w:cstheme="minorHAnsi"/>
                <w:smallCaps/>
                <w:color w:val="000000"/>
              </w:rPr>
              <w:t>1</w:t>
            </w:r>
          </w:p>
        </w:tc>
        <w:tc>
          <w:tcPr>
            <w:tcW w:w="1530" w:type="dxa"/>
          </w:tcPr>
          <w:p w14:paraId="6CCA8E73" w14:textId="77777777" w:rsidR="00AD0A31" w:rsidRPr="00AD0A31" w:rsidRDefault="00AD0A31" w:rsidP="00AD00A8">
            <w:pPr>
              <w:jc w:val="center"/>
              <w:rPr>
                <w:rFonts w:cstheme="minorHAnsi"/>
                <w:smallCaps/>
                <w:color w:val="000000"/>
              </w:rPr>
            </w:pPr>
            <w:r w:rsidRPr="00AD0A31">
              <w:rPr>
                <w:rFonts w:cstheme="minorHAnsi"/>
                <w:smallCaps/>
                <w:color w:val="000000"/>
              </w:rPr>
              <w:t>90/60</w:t>
            </w:r>
          </w:p>
        </w:tc>
        <w:tc>
          <w:tcPr>
            <w:tcW w:w="1471" w:type="dxa"/>
          </w:tcPr>
          <w:p w14:paraId="31C7B895" w14:textId="77777777" w:rsidR="00AD0A31" w:rsidRPr="00AD0A31" w:rsidRDefault="00AD0A31" w:rsidP="00AD00A8">
            <w:pPr>
              <w:jc w:val="center"/>
              <w:rPr>
                <w:rFonts w:cstheme="minorHAnsi"/>
                <w:color w:val="000000"/>
              </w:rPr>
            </w:pPr>
            <w:r w:rsidRPr="00AD0A31">
              <w:rPr>
                <w:rFonts w:cstheme="minorHAnsi"/>
                <w:color w:val="000000"/>
              </w:rPr>
              <w:t>108 hours</w:t>
            </w:r>
          </w:p>
        </w:tc>
      </w:tr>
      <w:tr w:rsidR="00AD0A31" w:rsidRPr="00AD0A31" w14:paraId="7EC1252E" w14:textId="77777777" w:rsidTr="00AD00A8">
        <w:trPr>
          <w:cantSplit/>
          <w:trHeight w:val="597"/>
        </w:trPr>
        <w:tc>
          <w:tcPr>
            <w:tcW w:w="2190" w:type="dxa"/>
            <w:shd w:val="clear" w:color="auto" w:fill="FFFFFF"/>
          </w:tcPr>
          <w:p w14:paraId="7BC58103" w14:textId="077A2B81" w:rsidR="00AD0A31" w:rsidRPr="00AD0A31" w:rsidRDefault="00D35DA6" w:rsidP="00AD00A8">
            <w:pPr>
              <w:rPr>
                <w:rFonts w:cstheme="minorHAnsi"/>
                <w:color w:val="000000"/>
              </w:rPr>
            </w:pPr>
            <w:r w:rsidRPr="00D35DA6">
              <w:rPr>
                <w:rFonts w:cstheme="minorHAnsi"/>
                <w:color w:val="000000"/>
              </w:rPr>
              <w:t>Informed Consent Form</w:t>
            </w:r>
          </w:p>
        </w:tc>
        <w:tc>
          <w:tcPr>
            <w:tcW w:w="2190" w:type="dxa"/>
            <w:shd w:val="clear" w:color="auto" w:fill="FFFFFF"/>
          </w:tcPr>
          <w:p w14:paraId="62F338C3" w14:textId="1AD6026E" w:rsidR="00AD0A31" w:rsidRPr="00AD0A31" w:rsidRDefault="00E152A8" w:rsidP="00AD00A8">
            <w:pPr>
              <w:rPr>
                <w:rFonts w:cstheme="minorHAnsi"/>
                <w:color w:val="000000"/>
              </w:rPr>
            </w:pPr>
            <w:r>
              <w:rPr>
                <w:rFonts w:cstheme="minorHAnsi"/>
                <w:color w:val="000000"/>
              </w:rPr>
              <w:t>Applicants and Reviewers</w:t>
            </w:r>
          </w:p>
        </w:tc>
        <w:tc>
          <w:tcPr>
            <w:tcW w:w="1620" w:type="dxa"/>
          </w:tcPr>
          <w:p w14:paraId="27D5879A" w14:textId="0878D2E0" w:rsidR="00AD0A31" w:rsidRPr="00AD0A31" w:rsidRDefault="00445D4F" w:rsidP="00AD00A8">
            <w:pPr>
              <w:jc w:val="center"/>
              <w:rPr>
                <w:rFonts w:cstheme="minorHAnsi"/>
                <w:smallCaps/>
                <w:color w:val="000000"/>
              </w:rPr>
            </w:pPr>
            <w:r>
              <w:rPr>
                <w:rFonts w:cstheme="minorHAnsi"/>
                <w:smallCaps/>
                <w:color w:val="000000"/>
              </w:rPr>
              <w:t>144</w:t>
            </w:r>
          </w:p>
        </w:tc>
        <w:tc>
          <w:tcPr>
            <w:tcW w:w="1530" w:type="dxa"/>
          </w:tcPr>
          <w:p w14:paraId="45BFF4F7" w14:textId="77777777" w:rsidR="00AD0A31" w:rsidRPr="00AD0A31" w:rsidRDefault="00AD0A31" w:rsidP="00AD00A8">
            <w:pPr>
              <w:jc w:val="center"/>
              <w:rPr>
                <w:rFonts w:cstheme="minorHAnsi"/>
                <w:smallCaps/>
                <w:color w:val="000000"/>
              </w:rPr>
            </w:pPr>
            <w:r w:rsidRPr="00AD0A31">
              <w:rPr>
                <w:rFonts w:cstheme="minorHAnsi"/>
                <w:smallCaps/>
                <w:color w:val="000000"/>
              </w:rPr>
              <w:t>1</w:t>
            </w:r>
          </w:p>
        </w:tc>
        <w:tc>
          <w:tcPr>
            <w:tcW w:w="1530" w:type="dxa"/>
          </w:tcPr>
          <w:p w14:paraId="70256F49" w14:textId="77777777" w:rsidR="00AD0A31" w:rsidRPr="00AD0A31" w:rsidRDefault="00AD0A31" w:rsidP="00AD00A8">
            <w:pPr>
              <w:jc w:val="center"/>
              <w:rPr>
                <w:rFonts w:cstheme="minorHAnsi"/>
                <w:smallCaps/>
                <w:color w:val="000000"/>
              </w:rPr>
            </w:pPr>
            <w:r w:rsidRPr="00AD0A31">
              <w:rPr>
                <w:rFonts w:cstheme="minorHAnsi"/>
                <w:smallCaps/>
                <w:color w:val="000000"/>
              </w:rPr>
              <w:t>5/60</w:t>
            </w:r>
          </w:p>
        </w:tc>
        <w:tc>
          <w:tcPr>
            <w:tcW w:w="1471" w:type="dxa"/>
          </w:tcPr>
          <w:p w14:paraId="672B2F44" w14:textId="6148AF60" w:rsidR="00AD0A31" w:rsidRPr="00AD0A31" w:rsidRDefault="00AD0A31" w:rsidP="00445D4F">
            <w:pPr>
              <w:jc w:val="center"/>
              <w:rPr>
                <w:rFonts w:cstheme="minorHAnsi"/>
                <w:color w:val="000000"/>
              </w:rPr>
            </w:pPr>
            <w:r w:rsidRPr="00AD0A31">
              <w:rPr>
                <w:rFonts w:cstheme="minorHAnsi"/>
                <w:color w:val="000000"/>
              </w:rPr>
              <w:t xml:space="preserve">  </w:t>
            </w:r>
            <w:r w:rsidR="00445D4F">
              <w:rPr>
                <w:rFonts w:cstheme="minorHAnsi"/>
                <w:color w:val="000000"/>
              </w:rPr>
              <w:t>12</w:t>
            </w:r>
            <w:r w:rsidRPr="00AD0A31">
              <w:rPr>
                <w:rFonts w:cstheme="minorHAnsi"/>
                <w:color w:val="000000"/>
              </w:rPr>
              <w:t xml:space="preserve"> hours</w:t>
            </w:r>
          </w:p>
        </w:tc>
      </w:tr>
      <w:tr w:rsidR="00AD0A31" w:rsidRPr="00AD0A31" w14:paraId="48A464F7" w14:textId="77777777" w:rsidTr="00AD00A8">
        <w:trPr>
          <w:cantSplit/>
          <w:trHeight w:val="403"/>
        </w:trPr>
        <w:tc>
          <w:tcPr>
            <w:tcW w:w="2190" w:type="dxa"/>
            <w:shd w:val="clear" w:color="auto" w:fill="D9D9D9" w:themeFill="background1" w:themeFillShade="D9"/>
          </w:tcPr>
          <w:p w14:paraId="52BC61FA" w14:textId="77777777" w:rsidR="00AD0A31" w:rsidRPr="00AD0A31" w:rsidRDefault="00AD0A31" w:rsidP="00AD00A8">
            <w:pPr>
              <w:rPr>
                <w:rFonts w:cstheme="minorHAnsi"/>
                <w:color w:val="000000"/>
              </w:rPr>
            </w:pPr>
          </w:p>
        </w:tc>
        <w:tc>
          <w:tcPr>
            <w:tcW w:w="2190" w:type="dxa"/>
            <w:shd w:val="clear" w:color="auto" w:fill="FFFFFF"/>
          </w:tcPr>
          <w:p w14:paraId="20078EDC" w14:textId="77777777" w:rsidR="00AD0A31" w:rsidRPr="00AD0A31" w:rsidRDefault="00AD0A31" w:rsidP="00AD00A8">
            <w:pPr>
              <w:rPr>
                <w:rFonts w:cstheme="minorHAnsi"/>
                <w:color w:val="000000"/>
              </w:rPr>
            </w:pPr>
            <w:r w:rsidRPr="00AD0A31">
              <w:rPr>
                <w:rFonts w:cstheme="minorHAnsi"/>
                <w:color w:val="000000"/>
              </w:rPr>
              <w:t>Totals</w:t>
            </w:r>
          </w:p>
        </w:tc>
        <w:tc>
          <w:tcPr>
            <w:tcW w:w="1620" w:type="dxa"/>
          </w:tcPr>
          <w:p w14:paraId="5D005BFF" w14:textId="77777777" w:rsidR="00AD0A31" w:rsidRPr="00AD0A31" w:rsidRDefault="00AD0A31" w:rsidP="00AD00A8">
            <w:pPr>
              <w:jc w:val="center"/>
              <w:rPr>
                <w:rFonts w:cstheme="minorHAnsi"/>
                <w:color w:val="000000"/>
              </w:rPr>
            </w:pPr>
            <w:r w:rsidRPr="00AD0A31">
              <w:rPr>
                <w:rFonts w:cstheme="minorHAnsi"/>
                <w:color w:val="000000"/>
              </w:rPr>
              <w:t>144</w:t>
            </w:r>
          </w:p>
        </w:tc>
        <w:tc>
          <w:tcPr>
            <w:tcW w:w="1530" w:type="dxa"/>
            <w:shd w:val="pct10" w:color="auto" w:fill="FFFFFF"/>
          </w:tcPr>
          <w:p w14:paraId="71D629D0" w14:textId="77777777" w:rsidR="00AD0A31" w:rsidRPr="00AD0A31" w:rsidRDefault="00AD0A31" w:rsidP="00AD00A8">
            <w:pPr>
              <w:jc w:val="center"/>
              <w:rPr>
                <w:rFonts w:cstheme="minorHAnsi"/>
                <w:color w:val="000000"/>
              </w:rPr>
            </w:pPr>
          </w:p>
        </w:tc>
        <w:tc>
          <w:tcPr>
            <w:tcW w:w="1530" w:type="dxa"/>
            <w:shd w:val="pct10" w:color="auto" w:fill="FFFFFF"/>
          </w:tcPr>
          <w:p w14:paraId="400F0B25" w14:textId="77777777" w:rsidR="00AD0A31" w:rsidRPr="00AD0A31" w:rsidRDefault="00AD0A31" w:rsidP="00AD00A8">
            <w:pPr>
              <w:jc w:val="center"/>
              <w:rPr>
                <w:rFonts w:cstheme="minorHAnsi"/>
                <w:color w:val="000000"/>
              </w:rPr>
            </w:pPr>
          </w:p>
        </w:tc>
        <w:tc>
          <w:tcPr>
            <w:tcW w:w="1471" w:type="dxa"/>
          </w:tcPr>
          <w:p w14:paraId="1C2B6A94" w14:textId="64CE6836" w:rsidR="00AD0A31" w:rsidRPr="00AD0A31" w:rsidRDefault="00AD0A31" w:rsidP="00445D4F">
            <w:pPr>
              <w:jc w:val="center"/>
              <w:rPr>
                <w:rFonts w:cstheme="minorHAnsi"/>
                <w:color w:val="000000"/>
              </w:rPr>
            </w:pPr>
            <w:r w:rsidRPr="00AD0A31">
              <w:rPr>
                <w:rFonts w:cstheme="minorHAnsi"/>
                <w:color w:val="000000"/>
              </w:rPr>
              <w:t>2</w:t>
            </w:r>
            <w:r w:rsidR="00445D4F">
              <w:rPr>
                <w:rFonts w:cstheme="minorHAnsi"/>
                <w:color w:val="000000"/>
              </w:rPr>
              <w:t>28</w:t>
            </w:r>
            <w:r w:rsidRPr="00AD0A31">
              <w:rPr>
                <w:rFonts w:cstheme="minorHAnsi"/>
                <w:color w:val="000000"/>
              </w:rPr>
              <w:t xml:space="preserve"> hours</w:t>
            </w:r>
          </w:p>
        </w:tc>
      </w:tr>
    </w:tbl>
    <w:p w14:paraId="65C23038" w14:textId="77777777" w:rsidR="00AD0A31" w:rsidRPr="002A45C6" w:rsidRDefault="00AD0A31" w:rsidP="00AD0A31">
      <w:pPr>
        <w:rPr>
          <w:rFonts w:ascii="Arial" w:hAnsi="Arial" w:cs="Arial"/>
          <w:b/>
        </w:rPr>
      </w:pPr>
    </w:p>
    <w:p w14:paraId="0D550BD4" w14:textId="715A61DB" w:rsidR="001B2170" w:rsidRDefault="00AD0A31" w:rsidP="001B2170">
      <w:pPr>
        <w:spacing w:after="20"/>
      </w:pPr>
      <w:r w:rsidRPr="00AD0A31">
        <w:rPr>
          <w:rFonts w:cstheme="minorHAnsi"/>
        </w:rPr>
        <w:t xml:space="preserve">Respondents </w:t>
      </w:r>
      <w:r w:rsidR="003551B2">
        <w:rPr>
          <w:rFonts w:cstheme="minorHAnsi"/>
        </w:rPr>
        <w:t>will include</w:t>
      </w:r>
      <w:r w:rsidRPr="00AD0A31">
        <w:rPr>
          <w:rFonts w:cstheme="minorHAnsi"/>
        </w:rPr>
        <w:t xml:space="preserve"> a mix of adult scientists connected to the </w:t>
      </w:r>
      <w:r w:rsidR="003551B2">
        <w:rPr>
          <w:rFonts w:cstheme="minorHAnsi"/>
        </w:rPr>
        <w:t xml:space="preserve">NIH and CSR </w:t>
      </w:r>
      <w:r w:rsidRPr="00AD0A31">
        <w:rPr>
          <w:rFonts w:cstheme="minorHAnsi"/>
        </w:rPr>
        <w:t>research communit</w:t>
      </w:r>
      <w:r w:rsidR="003551B2">
        <w:rPr>
          <w:rFonts w:cstheme="minorHAnsi"/>
        </w:rPr>
        <w:t>ies</w:t>
      </w:r>
      <w:r w:rsidRPr="00AD0A31">
        <w:rPr>
          <w:rFonts w:cstheme="minorHAnsi"/>
        </w:rPr>
        <w:t xml:space="preserve">. It is estimated that </w:t>
      </w:r>
      <w:r>
        <w:rPr>
          <w:rFonts w:cstheme="minorHAnsi"/>
        </w:rPr>
        <w:t>ap</w:t>
      </w:r>
      <w:r w:rsidRPr="00AD0A31">
        <w:rPr>
          <w:rFonts w:cstheme="minorHAnsi"/>
        </w:rPr>
        <w:t xml:space="preserve">proximately </w:t>
      </w:r>
      <w:r w:rsidR="00445D4F">
        <w:rPr>
          <w:rFonts w:cstheme="minorHAnsi"/>
        </w:rPr>
        <w:t>16</w:t>
      </w:r>
      <w:r w:rsidRPr="00AD0A31">
        <w:rPr>
          <w:rFonts w:cstheme="minorHAnsi"/>
        </w:rPr>
        <w:t xml:space="preserve"> focus groups will be convened. Each focus group is expected to </w:t>
      </w:r>
      <w:r w:rsidR="00445D4F">
        <w:rPr>
          <w:rFonts w:cstheme="minorHAnsi"/>
        </w:rPr>
        <w:t>take</w:t>
      </w:r>
      <w:r w:rsidRPr="00AD0A31">
        <w:rPr>
          <w:rFonts w:cstheme="minorHAnsi"/>
        </w:rPr>
        <w:t xml:space="preserve"> 1.5 hours</w:t>
      </w:r>
      <w:r w:rsidR="00445D4F">
        <w:rPr>
          <w:rFonts w:cstheme="minorHAnsi"/>
        </w:rPr>
        <w:t xml:space="preserve"> to complete</w:t>
      </w:r>
      <w:r w:rsidRPr="00AD0A31">
        <w:rPr>
          <w:rFonts w:cstheme="minorHAnsi"/>
        </w:rPr>
        <w:t xml:space="preserve"> and will include approximately </w:t>
      </w:r>
      <w:r w:rsidR="00445D4F">
        <w:rPr>
          <w:rFonts w:cstheme="minorHAnsi"/>
        </w:rPr>
        <w:t>9</w:t>
      </w:r>
      <w:r w:rsidRPr="00AD0A31">
        <w:rPr>
          <w:rFonts w:cstheme="minorHAnsi"/>
        </w:rPr>
        <w:t xml:space="preserve"> members</w:t>
      </w:r>
      <w:r w:rsidR="00445D4F">
        <w:rPr>
          <w:rFonts w:cstheme="minorHAnsi"/>
        </w:rPr>
        <w:t xml:space="preserve"> per group</w:t>
      </w:r>
      <w:r w:rsidRPr="00AD0A31">
        <w:rPr>
          <w:rFonts w:cstheme="minorHAnsi"/>
        </w:rPr>
        <w:t xml:space="preserve">. </w:t>
      </w:r>
      <w:r w:rsidR="00445D4F">
        <w:rPr>
          <w:rFonts w:cstheme="minorHAnsi"/>
        </w:rPr>
        <w:t xml:space="preserve"> </w:t>
      </w:r>
      <w:r w:rsidR="003551B2">
        <w:rPr>
          <w:rFonts w:cstheme="minorHAnsi"/>
        </w:rPr>
        <w:t>R</w:t>
      </w:r>
      <w:r w:rsidR="00445D4F">
        <w:rPr>
          <w:rFonts w:cstheme="minorHAnsi"/>
        </w:rPr>
        <w:t xml:space="preserve">eviewers and applicants will complete an informed consent form, making the total number of respondents 144. </w:t>
      </w:r>
      <w:r w:rsidRPr="00AD0A31">
        <w:rPr>
          <w:rFonts w:cstheme="minorHAnsi"/>
        </w:rPr>
        <w:t xml:space="preserve">The </w:t>
      </w:r>
      <w:r w:rsidR="00445D4F">
        <w:rPr>
          <w:rFonts w:cstheme="minorHAnsi"/>
        </w:rPr>
        <w:t>total</w:t>
      </w:r>
      <w:r w:rsidRPr="00AD0A31">
        <w:rPr>
          <w:rFonts w:cstheme="minorHAnsi"/>
        </w:rPr>
        <w:t xml:space="preserve"> </w:t>
      </w:r>
      <w:r w:rsidR="00445D4F">
        <w:rPr>
          <w:rFonts w:cstheme="minorHAnsi"/>
        </w:rPr>
        <w:t xml:space="preserve">annual </w:t>
      </w:r>
      <w:r w:rsidRPr="00AD0A31">
        <w:rPr>
          <w:rFonts w:cstheme="minorHAnsi"/>
        </w:rPr>
        <w:t xml:space="preserve">burden </w:t>
      </w:r>
      <w:r w:rsidR="00445D4F">
        <w:rPr>
          <w:rFonts w:cstheme="minorHAnsi"/>
        </w:rPr>
        <w:t xml:space="preserve">hours </w:t>
      </w:r>
      <w:r w:rsidRPr="00AD0A31">
        <w:rPr>
          <w:rFonts w:cstheme="minorHAnsi"/>
        </w:rPr>
        <w:t xml:space="preserve">for the </w:t>
      </w:r>
      <w:r w:rsidR="00445D4F">
        <w:rPr>
          <w:rFonts w:cstheme="minorHAnsi"/>
        </w:rPr>
        <w:t>16</w:t>
      </w:r>
      <w:r w:rsidRPr="00AD0A31">
        <w:rPr>
          <w:rFonts w:cstheme="minorHAnsi"/>
        </w:rPr>
        <w:t xml:space="preserve"> annual focus groups is estimated to be </w:t>
      </w:r>
      <w:r w:rsidR="00445D4F">
        <w:rPr>
          <w:rFonts w:cstheme="minorHAnsi"/>
        </w:rPr>
        <w:t>228</w:t>
      </w:r>
      <w:r w:rsidRPr="00AD0A31">
        <w:rPr>
          <w:rFonts w:cstheme="minorHAnsi"/>
        </w:rPr>
        <w:t xml:space="preserve"> hours.</w:t>
      </w:r>
      <w:r w:rsidR="00445D4F">
        <w:rPr>
          <w:rFonts w:cstheme="minorHAnsi"/>
        </w:rPr>
        <w:t xml:space="preserve"> </w:t>
      </w:r>
    </w:p>
    <w:p w14:paraId="6ECF8F3F" w14:textId="4659EF2E" w:rsidR="002F3354" w:rsidRDefault="002F3354" w:rsidP="00AD0A31">
      <w:pPr>
        <w:tabs>
          <w:tab w:val="left" w:pos="3696"/>
        </w:tabs>
        <w:spacing w:after="20"/>
        <w:rPr>
          <w:b/>
        </w:rPr>
      </w:pPr>
    </w:p>
    <w:p w14:paraId="51E868DE" w14:textId="77777777" w:rsidR="00907E64" w:rsidRPr="00907E64" w:rsidRDefault="00907E64" w:rsidP="00907E64">
      <w:pPr>
        <w:spacing w:after="20"/>
        <w:rPr>
          <w:b/>
        </w:rPr>
      </w:pPr>
      <w:r w:rsidRPr="00907E64">
        <w:rPr>
          <w:b/>
        </w:rPr>
        <w:t>A.12-2</w:t>
      </w:r>
      <w:r w:rsidRPr="00907E64">
        <w:rPr>
          <w:b/>
        </w:rPr>
        <w:tab/>
        <w:t>ANNUALIZED COST TO RESPONDENTS</w:t>
      </w:r>
    </w:p>
    <w:p w14:paraId="5C0BDE52" w14:textId="77777777" w:rsidR="00907E64" w:rsidRPr="00907E64" w:rsidRDefault="00907E64" w:rsidP="00907E64">
      <w:pPr>
        <w:spacing w:after="20"/>
        <w:rPr>
          <w:b/>
        </w:rPr>
      </w:pPr>
    </w:p>
    <w:p w14:paraId="693EA7B4" w14:textId="07D037EA" w:rsidR="002F3354" w:rsidRDefault="002F3354" w:rsidP="008716F6">
      <w:pPr>
        <w:spacing w:after="20"/>
      </w:pPr>
      <w:r>
        <w:t xml:space="preserve">                                                </w:t>
      </w:r>
      <w:r w:rsidR="00AF01AD" w:rsidRPr="00EB77CC">
        <w:t>A.12-2</w:t>
      </w:r>
      <w:r w:rsidRPr="00EB77CC">
        <w:t xml:space="preserve"> </w:t>
      </w:r>
      <w:r>
        <w:t>Annualized Cost to Respondents</w:t>
      </w:r>
    </w:p>
    <w:p w14:paraId="354472B6" w14:textId="77777777" w:rsidR="00445D4F" w:rsidRPr="00445D4F" w:rsidRDefault="00445D4F" w:rsidP="00445D4F">
      <w:pPr>
        <w:tabs>
          <w:tab w:val="left" w:pos="-1440"/>
        </w:tabs>
        <w:rPr>
          <w:rFonts w:cstheme="minorHAns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518"/>
        <w:gridCol w:w="1229"/>
        <w:gridCol w:w="1302"/>
        <w:gridCol w:w="1505"/>
        <w:gridCol w:w="1474"/>
      </w:tblGrid>
      <w:tr w:rsidR="00445D4F" w:rsidRPr="00445D4F" w14:paraId="22BC7E05" w14:textId="77777777" w:rsidTr="00AD00A8">
        <w:tc>
          <w:tcPr>
            <w:tcW w:w="1709" w:type="dxa"/>
          </w:tcPr>
          <w:p w14:paraId="1DF180AB" w14:textId="38B898B9" w:rsidR="00445D4F" w:rsidRPr="00445D4F" w:rsidRDefault="00445D4F" w:rsidP="00445D4F">
            <w:pPr>
              <w:rPr>
                <w:rFonts w:cstheme="minorHAnsi"/>
              </w:rPr>
            </w:pPr>
            <w:r w:rsidRPr="00445D4F">
              <w:rPr>
                <w:rFonts w:cstheme="minorHAnsi"/>
              </w:rPr>
              <w:lastRenderedPageBreak/>
              <w:t>Type of Respondent</w:t>
            </w:r>
          </w:p>
        </w:tc>
        <w:tc>
          <w:tcPr>
            <w:tcW w:w="1518" w:type="dxa"/>
          </w:tcPr>
          <w:p w14:paraId="54E1DDB6" w14:textId="77777777" w:rsidR="00445D4F" w:rsidRPr="00445D4F" w:rsidRDefault="00445D4F" w:rsidP="00AD00A8">
            <w:pPr>
              <w:spacing w:after="10"/>
              <w:jc w:val="center"/>
              <w:rPr>
                <w:rFonts w:cstheme="minorHAnsi"/>
              </w:rPr>
            </w:pPr>
            <w:r w:rsidRPr="00445D4F">
              <w:rPr>
                <w:rFonts w:cstheme="minorHAnsi"/>
              </w:rPr>
              <w:t>Number of Respondents</w:t>
            </w:r>
          </w:p>
        </w:tc>
        <w:tc>
          <w:tcPr>
            <w:tcW w:w="1229" w:type="dxa"/>
          </w:tcPr>
          <w:p w14:paraId="780374CB" w14:textId="77777777" w:rsidR="00445D4F" w:rsidRPr="00445D4F" w:rsidRDefault="00445D4F" w:rsidP="00AD00A8">
            <w:pPr>
              <w:spacing w:after="10"/>
              <w:jc w:val="center"/>
              <w:rPr>
                <w:rFonts w:cstheme="minorHAnsi"/>
              </w:rPr>
            </w:pPr>
            <w:r w:rsidRPr="00445D4F">
              <w:rPr>
                <w:rFonts w:cstheme="minorHAnsi"/>
              </w:rPr>
              <w:t>Frequency of Response</w:t>
            </w:r>
          </w:p>
        </w:tc>
        <w:tc>
          <w:tcPr>
            <w:tcW w:w="1302" w:type="dxa"/>
          </w:tcPr>
          <w:p w14:paraId="1CC7C428" w14:textId="77777777" w:rsidR="00445D4F" w:rsidRDefault="00445D4F" w:rsidP="00AD00A8">
            <w:pPr>
              <w:spacing w:after="10"/>
              <w:jc w:val="center"/>
              <w:rPr>
                <w:rFonts w:cstheme="minorHAnsi"/>
              </w:rPr>
            </w:pPr>
            <w:r w:rsidRPr="00445D4F">
              <w:rPr>
                <w:rFonts w:cstheme="minorHAnsi"/>
              </w:rPr>
              <w:t>Average Burden Per Response</w:t>
            </w:r>
          </w:p>
          <w:p w14:paraId="37A47C3E" w14:textId="36BCE8EE" w:rsidR="00445D4F" w:rsidRPr="00445D4F" w:rsidRDefault="00445D4F" w:rsidP="00AD00A8">
            <w:pPr>
              <w:spacing w:after="10"/>
              <w:jc w:val="center"/>
              <w:rPr>
                <w:rFonts w:cstheme="minorHAnsi"/>
              </w:rPr>
            </w:pPr>
            <w:r>
              <w:rPr>
                <w:rFonts w:cstheme="minorHAnsi"/>
              </w:rPr>
              <w:t>(in hours)</w:t>
            </w:r>
          </w:p>
        </w:tc>
        <w:tc>
          <w:tcPr>
            <w:tcW w:w="1505" w:type="dxa"/>
          </w:tcPr>
          <w:p w14:paraId="3C3F30F6" w14:textId="0840C75C" w:rsidR="00445D4F" w:rsidRPr="00445D4F" w:rsidRDefault="00445D4F" w:rsidP="00AD00A8">
            <w:pPr>
              <w:spacing w:after="10"/>
              <w:jc w:val="center"/>
              <w:rPr>
                <w:rFonts w:cstheme="minorHAnsi"/>
              </w:rPr>
            </w:pPr>
            <w:r w:rsidRPr="00445D4F">
              <w:rPr>
                <w:rFonts w:cstheme="minorHAnsi"/>
              </w:rPr>
              <w:t>Hourly Wage Rate</w:t>
            </w:r>
            <w:r>
              <w:rPr>
                <w:rFonts w:cstheme="minorHAnsi"/>
              </w:rPr>
              <w:t>*</w:t>
            </w:r>
          </w:p>
        </w:tc>
        <w:tc>
          <w:tcPr>
            <w:tcW w:w="1474" w:type="dxa"/>
          </w:tcPr>
          <w:p w14:paraId="5F46306C" w14:textId="77777777" w:rsidR="00445D4F" w:rsidRPr="00445D4F" w:rsidRDefault="00445D4F" w:rsidP="00AD00A8">
            <w:pPr>
              <w:spacing w:after="10"/>
              <w:jc w:val="center"/>
              <w:rPr>
                <w:rFonts w:cstheme="minorHAnsi"/>
              </w:rPr>
            </w:pPr>
            <w:r w:rsidRPr="00445D4F">
              <w:rPr>
                <w:rFonts w:cstheme="minorHAnsi"/>
              </w:rPr>
              <w:t xml:space="preserve">Respondent Cost </w:t>
            </w:r>
          </w:p>
        </w:tc>
      </w:tr>
      <w:tr w:rsidR="00445D4F" w:rsidRPr="00445D4F" w14:paraId="4B4D8DE4" w14:textId="77777777" w:rsidTr="00AD00A8">
        <w:tc>
          <w:tcPr>
            <w:tcW w:w="1709" w:type="dxa"/>
          </w:tcPr>
          <w:p w14:paraId="343B570A" w14:textId="77777777" w:rsidR="00445D4F" w:rsidRPr="00445D4F" w:rsidRDefault="00445D4F" w:rsidP="00AD00A8">
            <w:pPr>
              <w:rPr>
                <w:rFonts w:cstheme="minorHAnsi"/>
              </w:rPr>
            </w:pPr>
            <w:r w:rsidRPr="00445D4F">
              <w:rPr>
                <w:rFonts w:cstheme="minorHAnsi"/>
              </w:rPr>
              <w:t>Adult science professionals - Focus groups</w:t>
            </w:r>
          </w:p>
        </w:tc>
        <w:tc>
          <w:tcPr>
            <w:tcW w:w="1518" w:type="dxa"/>
          </w:tcPr>
          <w:p w14:paraId="6386F093" w14:textId="60773665" w:rsidR="00445D4F" w:rsidRPr="00445D4F" w:rsidRDefault="00445D4F" w:rsidP="00AD00A8">
            <w:pPr>
              <w:rPr>
                <w:rFonts w:cstheme="minorHAnsi"/>
              </w:rPr>
            </w:pPr>
            <w:r>
              <w:rPr>
                <w:rFonts w:cstheme="minorHAnsi"/>
              </w:rPr>
              <w:t>144</w:t>
            </w:r>
          </w:p>
        </w:tc>
        <w:tc>
          <w:tcPr>
            <w:tcW w:w="1229" w:type="dxa"/>
          </w:tcPr>
          <w:p w14:paraId="4AC81E5A" w14:textId="77777777" w:rsidR="00445D4F" w:rsidRPr="00445D4F" w:rsidRDefault="00445D4F" w:rsidP="00AD00A8">
            <w:pPr>
              <w:rPr>
                <w:rFonts w:cstheme="minorHAnsi"/>
              </w:rPr>
            </w:pPr>
            <w:r w:rsidRPr="00445D4F">
              <w:rPr>
                <w:rFonts w:cstheme="minorHAnsi"/>
              </w:rPr>
              <w:t>1</w:t>
            </w:r>
          </w:p>
        </w:tc>
        <w:tc>
          <w:tcPr>
            <w:tcW w:w="1302" w:type="dxa"/>
          </w:tcPr>
          <w:p w14:paraId="7A41528F" w14:textId="2744D868" w:rsidR="00445D4F" w:rsidRPr="00445D4F" w:rsidRDefault="00445D4F" w:rsidP="00445D4F">
            <w:pPr>
              <w:rPr>
                <w:rFonts w:cstheme="minorHAnsi"/>
              </w:rPr>
            </w:pPr>
            <w:r w:rsidRPr="00445D4F">
              <w:rPr>
                <w:rFonts w:cstheme="minorHAnsi"/>
              </w:rPr>
              <w:t>9</w:t>
            </w:r>
            <w:r>
              <w:rPr>
                <w:rFonts w:cstheme="minorHAnsi"/>
              </w:rPr>
              <w:t>5</w:t>
            </w:r>
            <w:r w:rsidRPr="00445D4F">
              <w:rPr>
                <w:rFonts w:cstheme="minorHAnsi"/>
              </w:rPr>
              <w:t>/60</w:t>
            </w:r>
          </w:p>
        </w:tc>
        <w:tc>
          <w:tcPr>
            <w:tcW w:w="1505" w:type="dxa"/>
          </w:tcPr>
          <w:p w14:paraId="37093F6C" w14:textId="77C7E797" w:rsidR="00445D4F" w:rsidRPr="00445D4F" w:rsidRDefault="00445D4F" w:rsidP="001B2170">
            <w:pPr>
              <w:rPr>
                <w:rFonts w:cstheme="minorHAnsi"/>
              </w:rPr>
            </w:pPr>
            <w:r w:rsidRPr="00445D4F">
              <w:rPr>
                <w:rFonts w:cstheme="minorHAnsi"/>
              </w:rPr>
              <w:t>$</w:t>
            </w:r>
            <w:r w:rsidR="001B2170">
              <w:rPr>
                <w:rFonts w:cstheme="minorHAnsi"/>
              </w:rPr>
              <w:t>93</w:t>
            </w:r>
            <w:r w:rsidRPr="00445D4F">
              <w:rPr>
                <w:rFonts w:cstheme="minorHAnsi"/>
              </w:rPr>
              <w:t>.00*</w:t>
            </w:r>
          </w:p>
        </w:tc>
        <w:tc>
          <w:tcPr>
            <w:tcW w:w="1474" w:type="dxa"/>
          </w:tcPr>
          <w:p w14:paraId="78D2D54B" w14:textId="031F9F7C" w:rsidR="00445D4F" w:rsidRPr="00445D4F" w:rsidRDefault="00445D4F" w:rsidP="001B2170">
            <w:pPr>
              <w:rPr>
                <w:rFonts w:cstheme="minorHAnsi"/>
              </w:rPr>
            </w:pPr>
            <w:r w:rsidRPr="00445D4F">
              <w:rPr>
                <w:rFonts w:cstheme="minorHAnsi"/>
              </w:rPr>
              <w:t>$</w:t>
            </w:r>
            <w:r w:rsidR="001B2170">
              <w:rPr>
                <w:rFonts w:cstheme="minorHAnsi"/>
              </w:rPr>
              <w:t>21</w:t>
            </w:r>
            <w:r w:rsidRPr="00445D4F">
              <w:rPr>
                <w:rFonts w:cstheme="minorHAnsi"/>
              </w:rPr>
              <w:t>,</w:t>
            </w:r>
            <w:r w:rsidR="001B2170">
              <w:rPr>
                <w:rFonts w:cstheme="minorHAnsi"/>
              </w:rPr>
              <w:t>204</w:t>
            </w:r>
            <w:r w:rsidRPr="00445D4F">
              <w:rPr>
                <w:rFonts w:cstheme="minorHAnsi"/>
              </w:rPr>
              <w:t>.00</w:t>
            </w:r>
          </w:p>
        </w:tc>
      </w:tr>
    </w:tbl>
    <w:p w14:paraId="6EED14C2" w14:textId="77777777" w:rsidR="003551B2" w:rsidRDefault="003551B2" w:rsidP="001B2170">
      <w:pPr>
        <w:spacing w:after="20"/>
        <w:rPr>
          <w:rFonts w:cstheme="minorHAnsi"/>
        </w:rPr>
      </w:pPr>
    </w:p>
    <w:p w14:paraId="018B974A" w14:textId="531FDE14" w:rsidR="001B2170" w:rsidRDefault="00445D4F" w:rsidP="001B2170">
      <w:pPr>
        <w:spacing w:after="20"/>
      </w:pPr>
      <w:r w:rsidRPr="00445D4F">
        <w:rPr>
          <w:rFonts w:cstheme="minorHAnsi"/>
        </w:rPr>
        <w:t xml:space="preserve">*Source of hourly wage rate estimates:  A survey of 1,156 colleges published in April 2014 in the Chronicle of Higher Education </w:t>
      </w:r>
      <w:hyperlink r:id="rId9" w:anchor="id=table" w:history="1">
        <w:r w:rsidRPr="00445D4F">
          <w:rPr>
            <w:rStyle w:val="Hyperlink"/>
            <w:rFonts w:cstheme="minorHAnsi"/>
          </w:rPr>
          <w:t>http://chronicle.com/article/2013-14-AAUP-Faculty-Salary/145679?cid=megamenu#id=table</w:t>
        </w:r>
      </w:hyperlink>
      <w:r w:rsidRPr="00445D4F">
        <w:rPr>
          <w:rFonts w:cstheme="minorHAnsi"/>
        </w:rPr>
        <w:t xml:space="preserve">  showed that full professors across disciplines are earning an annual mean wage ranging from $215,500 to $73,600 per year based on a 9 month work year. The vast majority of respondents will be full professors. Based on this report, the range in annualized salaries extrapolated for a 12 month work year is quite large ($287,333 to $98,133) with an annual hourly wage rate of $138/hour to $47/hour, based on a 40 hour work week. </w:t>
      </w:r>
      <w:r w:rsidR="001B2170">
        <w:t xml:space="preserve">This averages to about $93 per hour for U.S. faculty members.  </w:t>
      </w:r>
    </w:p>
    <w:p w14:paraId="10875F72" w14:textId="77777777" w:rsidR="00AF01AD" w:rsidRPr="00445D4F" w:rsidRDefault="00AF01AD" w:rsidP="008716F6">
      <w:pPr>
        <w:spacing w:after="20"/>
        <w:rPr>
          <w:rFonts w:cstheme="minorHAnsi"/>
        </w:rPr>
      </w:pPr>
    </w:p>
    <w:p w14:paraId="4BE9B609" w14:textId="77777777" w:rsidR="008716F6" w:rsidRPr="00445D4F" w:rsidRDefault="00713CF8" w:rsidP="008716F6">
      <w:pPr>
        <w:spacing w:after="20"/>
        <w:rPr>
          <w:rFonts w:cstheme="minorHAnsi"/>
          <w:b/>
        </w:rPr>
      </w:pPr>
      <w:r w:rsidRPr="00445D4F">
        <w:rPr>
          <w:rFonts w:cstheme="minorHAnsi"/>
          <w:b/>
        </w:rPr>
        <w:t>A.13 Estimate of Other Total Annual Cost Burden to Respondents or Record Keepers</w:t>
      </w:r>
      <w:r w:rsidRPr="00445D4F">
        <w:rPr>
          <w:rFonts w:cstheme="minorHAnsi"/>
          <w:b/>
        </w:rPr>
        <w:tab/>
      </w:r>
    </w:p>
    <w:p w14:paraId="03B43F67" w14:textId="77777777" w:rsidR="002C4725" w:rsidRPr="00445D4F" w:rsidRDefault="002C4725" w:rsidP="008716F6">
      <w:pPr>
        <w:spacing w:after="20"/>
        <w:rPr>
          <w:rFonts w:cstheme="minorHAnsi"/>
        </w:rPr>
      </w:pPr>
    </w:p>
    <w:p w14:paraId="5FF9596D" w14:textId="50DD6217" w:rsidR="00713CF8" w:rsidRPr="00113647" w:rsidRDefault="00AD47B3" w:rsidP="008716F6">
      <w:pPr>
        <w:spacing w:after="20"/>
      </w:pPr>
      <w:r>
        <w:t>There are no additional costs other than respondents’ time and a</w:t>
      </w:r>
      <w:r w:rsidR="001B2170">
        <w:t xml:space="preserve"> small amount of money for remuneration for any travel, parking, or incidental costs associated with traveling to a central location for </w:t>
      </w:r>
      <w:r>
        <w:t>focus groups</w:t>
      </w:r>
      <w:r w:rsidR="001B2170">
        <w:t xml:space="preserve">. The </w:t>
      </w:r>
      <w:r w:rsidR="002C4725" w:rsidRPr="002C4725">
        <w:t>total annual cost burden to respondents resulting from the collection of information</w:t>
      </w:r>
      <w:r w:rsidR="001B2170">
        <w:t xml:space="preserve"> will be minimal and is estimated at $2,880</w:t>
      </w:r>
      <w:r w:rsidR="002C4725" w:rsidRPr="002C4725">
        <w:t>.</w:t>
      </w:r>
      <w:r w:rsidR="001B2170">
        <w:t>00</w:t>
      </w:r>
      <w:r w:rsidR="0097483A">
        <w:t xml:space="preserve">.  This estimate is based on estimating $20 for travel and/or parking for </w:t>
      </w:r>
      <w:r w:rsidR="001B2170">
        <w:t>each of the 144</w:t>
      </w:r>
      <w:r w:rsidR="0097483A">
        <w:t xml:space="preserve"> focus group participants. </w:t>
      </w:r>
      <w:r w:rsidR="001B2170">
        <w:t xml:space="preserve">  </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2D13A45C" w14:textId="77777777" w:rsidR="00AD47B3" w:rsidRDefault="00AD47B3" w:rsidP="00AD47B3">
      <w:pPr>
        <w:spacing w:after="20"/>
        <w:jc w:val="center"/>
      </w:pPr>
    </w:p>
    <w:p w14:paraId="359EEDC0" w14:textId="77777777" w:rsidR="00AD47B3" w:rsidRPr="00AD47B3" w:rsidRDefault="00AD47B3" w:rsidP="00AD47B3">
      <w:pPr>
        <w:spacing w:after="20"/>
        <w:jc w:val="center"/>
      </w:pPr>
      <w:r w:rsidRPr="00AD47B3">
        <w:t>A.14 Annualized Cost to the Federal Government</w:t>
      </w:r>
    </w:p>
    <w:p w14:paraId="7665ACB1" w14:textId="77777777" w:rsidR="00AD47B3" w:rsidRPr="00BB7115" w:rsidRDefault="00AD47B3"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3551B2"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3551B2" w:rsidRDefault="00BB7115" w:rsidP="00BB7115">
            <w:pPr>
              <w:spacing w:after="0" w:line="240" w:lineRule="auto"/>
              <w:jc w:val="center"/>
              <w:rPr>
                <w:rFonts w:eastAsia="Calibri" w:cstheme="minorHAnsi"/>
                <w:b/>
                <w:bCs/>
                <w:color w:val="000000"/>
              </w:rPr>
            </w:pPr>
            <w:r w:rsidRPr="003551B2">
              <w:rPr>
                <w:rFonts w:eastAsia="Times New Roman" w:cstheme="minorHAnsi"/>
                <w:i/>
              </w:rPr>
              <w:t xml:space="preserve"> </w:t>
            </w:r>
            <w:r w:rsidRPr="003551B2">
              <w:rPr>
                <w:rFonts w:eastAsia="Times New Roman" w:cstheme="minorHAnsi"/>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3551B2" w:rsidRDefault="00BB7115" w:rsidP="00BB7115">
            <w:pPr>
              <w:spacing w:after="0" w:line="240" w:lineRule="auto"/>
              <w:jc w:val="center"/>
              <w:rPr>
                <w:rFonts w:eastAsia="Calibri" w:cstheme="minorHAnsi"/>
                <w:b/>
                <w:bCs/>
                <w:color w:val="1F497D"/>
              </w:rPr>
            </w:pPr>
          </w:p>
          <w:p w14:paraId="02464877" w14:textId="77777777" w:rsidR="00BB7115" w:rsidRPr="003551B2" w:rsidRDefault="00BB7115" w:rsidP="00BB7115">
            <w:pPr>
              <w:spacing w:after="0" w:line="240" w:lineRule="auto"/>
              <w:jc w:val="center"/>
              <w:rPr>
                <w:rFonts w:eastAsia="Calibri" w:cstheme="minorHAnsi"/>
                <w:b/>
                <w:bCs/>
                <w:color w:val="000000"/>
              </w:rPr>
            </w:pPr>
            <w:r w:rsidRPr="003551B2">
              <w:rPr>
                <w:rFonts w:eastAsia="Times New Roman" w:cstheme="minorHAns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3551B2" w:rsidRDefault="00BB7115" w:rsidP="00BB7115">
            <w:pPr>
              <w:spacing w:after="0" w:line="240" w:lineRule="auto"/>
              <w:jc w:val="center"/>
              <w:rPr>
                <w:rFonts w:eastAsia="Calibri" w:cstheme="minorHAnsi"/>
                <w:b/>
                <w:bCs/>
              </w:rPr>
            </w:pPr>
            <w:r w:rsidRPr="003551B2">
              <w:rPr>
                <w:rFonts w:eastAsia="Times New Roman" w:cstheme="minorHAnsi"/>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3551B2" w:rsidRDefault="00BB7115" w:rsidP="00BB7115">
            <w:pPr>
              <w:spacing w:after="0" w:line="240" w:lineRule="auto"/>
              <w:jc w:val="center"/>
              <w:rPr>
                <w:rFonts w:eastAsia="Calibri" w:cstheme="minorHAnsi"/>
                <w:b/>
                <w:bCs/>
              </w:rPr>
            </w:pPr>
            <w:r w:rsidRPr="003551B2">
              <w:rPr>
                <w:rFonts w:eastAsia="Times New Roman" w:cstheme="minorHAnsi"/>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3551B2" w:rsidRDefault="00BB7115" w:rsidP="00BB7115">
            <w:pPr>
              <w:spacing w:after="0" w:line="240" w:lineRule="auto"/>
              <w:jc w:val="center"/>
              <w:rPr>
                <w:rFonts w:eastAsia="Times New Roman" w:cstheme="minorHAnsi"/>
                <w:b/>
                <w:bCs/>
              </w:rPr>
            </w:pPr>
            <w:r w:rsidRPr="003551B2">
              <w:rPr>
                <w:rFonts w:eastAsia="Times New Roman" w:cstheme="minorHAnsi"/>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3551B2" w:rsidRDefault="00AF01AD" w:rsidP="00BB7115">
            <w:pPr>
              <w:spacing w:after="0" w:line="240" w:lineRule="auto"/>
              <w:jc w:val="center"/>
              <w:rPr>
                <w:rFonts w:eastAsia="Times New Roman" w:cstheme="minorHAnsi"/>
                <w:b/>
                <w:bCs/>
              </w:rPr>
            </w:pPr>
            <w:r w:rsidRPr="003551B2">
              <w:rPr>
                <w:rFonts w:eastAsia="Times New Roman" w:cstheme="minorHAnsi"/>
                <w:b/>
                <w:bCs/>
              </w:rPr>
              <w:t xml:space="preserve">Total </w:t>
            </w:r>
            <w:r w:rsidR="005E2D23" w:rsidRPr="003551B2">
              <w:rPr>
                <w:rFonts w:eastAsia="Times New Roman" w:cstheme="minorHAnsi"/>
                <w:b/>
                <w:bCs/>
              </w:rPr>
              <w:t>C</w:t>
            </w:r>
            <w:r w:rsidR="00BB7115" w:rsidRPr="003551B2">
              <w:rPr>
                <w:rFonts w:eastAsia="Times New Roman" w:cstheme="minorHAnsi"/>
                <w:b/>
                <w:bCs/>
              </w:rPr>
              <w:t>ost to Gov’t</w:t>
            </w:r>
          </w:p>
        </w:tc>
      </w:tr>
      <w:tr w:rsidR="00BB7115" w:rsidRPr="003551B2"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3551B2" w:rsidRDefault="00BB7115" w:rsidP="00BB7115">
            <w:pPr>
              <w:spacing w:after="0" w:line="240" w:lineRule="auto"/>
              <w:rPr>
                <w:rFonts w:eastAsia="Calibri" w:cstheme="minorHAnsi"/>
                <w:b/>
                <w:color w:val="000000"/>
                <w:highlight w:val="yellow"/>
              </w:rPr>
            </w:pPr>
            <w:r w:rsidRPr="003551B2">
              <w:rPr>
                <w:rFonts w:eastAsia="Calibri" w:cstheme="minorHAnsi"/>
                <w:b/>
                <w:color w:val="000000"/>
              </w:rPr>
              <w:t>Federal Oversight</w:t>
            </w:r>
          </w:p>
        </w:tc>
        <w:tc>
          <w:tcPr>
            <w:tcW w:w="1440" w:type="dxa"/>
            <w:tcBorders>
              <w:top w:val="nil"/>
              <w:left w:val="nil"/>
              <w:bottom w:val="single" w:sz="8" w:space="0" w:color="auto"/>
              <w:right w:val="single" w:sz="8" w:space="0" w:color="auto"/>
            </w:tcBorders>
          </w:tcPr>
          <w:p w14:paraId="088BBD74" w14:textId="09D6717E" w:rsidR="00BB7115" w:rsidRPr="003551B2" w:rsidRDefault="00BB7115" w:rsidP="0097483A">
            <w:pPr>
              <w:spacing w:after="0" w:line="240" w:lineRule="auto"/>
              <w:rPr>
                <w:rFonts w:eastAsia="Calibri" w:cstheme="minorHAnsi"/>
                <w:color w:val="00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7F25E6AB" w:rsidR="00BB7115" w:rsidRPr="003551B2" w:rsidRDefault="00BB7115" w:rsidP="0097483A">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6F0763F3" w:rsidR="00BB7115" w:rsidRPr="003551B2" w:rsidRDefault="00BB7115" w:rsidP="005A2F97">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tcPr>
          <w:p w14:paraId="00AECD80" w14:textId="5FB0F168" w:rsidR="00BB7115" w:rsidRPr="003551B2" w:rsidRDefault="00BB7115" w:rsidP="005A2F97">
            <w:pPr>
              <w:spacing w:after="0" w:line="240" w:lineRule="auto"/>
              <w:jc w:val="center"/>
              <w:rPr>
                <w:rFonts w:eastAsia="Times New Roman" w:cstheme="minorHAnsi"/>
              </w:rPr>
            </w:pPr>
          </w:p>
        </w:tc>
      </w:tr>
      <w:tr w:rsidR="00BB7115" w:rsidRPr="003551B2"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17976A67" w:rsidR="00BB7115" w:rsidRPr="003551B2" w:rsidRDefault="005A2F97" w:rsidP="00BB7115">
            <w:pPr>
              <w:spacing w:after="0" w:line="240" w:lineRule="auto"/>
              <w:rPr>
                <w:rFonts w:eastAsia="Calibri" w:cstheme="minorHAnsi"/>
              </w:rPr>
            </w:pPr>
            <w:r w:rsidRPr="003551B2">
              <w:rPr>
                <w:rFonts w:eastAsia="Calibri" w:cstheme="minorHAnsi"/>
              </w:rPr>
              <w:t>Mary Ann Guadagno</w:t>
            </w:r>
          </w:p>
        </w:tc>
        <w:tc>
          <w:tcPr>
            <w:tcW w:w="1440" w:type="dxa"/>
            <w:tcBorders>
              <w:top w:val="nil"/>
              <w:left w:val="nil"/>
              <w:bottom w:val="single" w:sz="8" w:space="0" w:color="auto"/>
              <w:right w:val="single" w:sz="8" w:space="0" w:color="auto"/>
            </w:tcBorders>
          </w:tcPr>
          <w:p w14:paraId="62CC3B81" w14:textId="26D9BA8D" w:rsidR="00BB7115" w:rsidRPr="003551B2" w:rsidRDefault="005A2F97" w:rsidP="00BB7115">
            <w:pPr>
              <w:spacing w:after="0" w:line="240" w:lineRule="auto"/>
              <w:rPr>
                <w:rFonts w:eastAsia="Calibri" w:cstheme="minorHAnsi"/>
              </w:rPr>
            </w:pPr>
            <w:r w:rsidRPr="003551B2">
              <w:rPr>
                <w:rFonts w:eastAsia="Calibri" w:cstheme="minorHAnsi"/>
              </w:rPr>
              <w:t>15/8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6C0F324B" w:rsidR="00BB7115" w:rsidRPr="003551B2" w:rsidRDefault="005A2F97" w:rsidP="00BB7115">
            <w:pPr>
              <w:spacing w:after="0" w:line="240" w:lineRule="auto"/>
              <w:rPr>
                <w:rFonts w:eastAsia="Calibri" w:cstheme="minorHAnsi"/>
              </w:rPr>
            </w:pPr>
            <w:r w:rsidRPr="003551B2">
              <w:rPr>
                <w:rFonts w:eastAsia="Times New Roman" w:cstheme="minorHAnsi"/>
              </w:rPr>
              <w:t>$155,705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1E0967E6" w:rsidR="00BB7115" w:rsidRPr="003551B2" w:rsidRDefault="005A2F97" w:rsidP="00BB7115">
            <w:pPr>
              <w:spacing w:after="0" w:line="240" w:lineRule="auto"/>
              <w:rPr>
                <w:rFonts w:eastAsia="Calibri" w:cstheme="minorHAnsi"/>
              </w:rPr>
            </w:pPr>
            <w:r w:rsidRPr="003551B2">
              <w:rPr>
                <w:rFonts w:eastAsia="Calibri" w:cstheme="minorHAnsi"/>
              </w:rPr>
              <w:t>20%</w:t>
            </w: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tcPr>
          <w:p w14:paraId="7FE1D4A6" w14:textId="222A0637" w:rsidR="00BB7115" w:rsidRPr="003551B2" w:rsidRDefault="005A2F97" w:rsidP="005A2F97">
            <w:pPr>
              <w:spacing w:after="0" w:line="240" w:lineRule="auto"/>
              <w:jc w:val="center"/>
              <w:rPr>
                <w:rFonts w:eastAsia="Times New Roman" w:cstheme="minorHAnsi"/>
              </w:rPr>
            </w:pPr>
            <w:r w:rsidRPr="003551B2">
              <w:rPr>
                <w:rFonts w:eastAsia="Times New Roman" w:cstheme="minorHAnsi"/>
              </w:rPr>
              <w:t>$ 31,141</w:t>
            </w:r>
          </w:p>
        </w:tc>
      </w:tr>
      <w:tr w:rsidR="00BB7115" w:rsidRPr="003551B2"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BB7115" w:rsidRPr="003551B2" w:rsidRDefault="005E2D23" w:rsidP="00BB7115">
            <w:pPr>
              <w:spacing w:after="0" w:line="240" w:lineRule="auto"/>
              <w:rPr>
                <w:rFonts w:eastAsia="Calibri" w:cstheme="minorHAnsi"/>
                <w:b/>
              </w:rPr>
            </w:pPr>
            <w:r w:rsidRPr="003551B2">
              <w:rPr>
                <w:rFonts w:eastAsia="Calibri" w:cstheme="minorHAnsi"/>
                <w:b/>
              </w:rPr>
              <w:t>Contractor C</w:t>
            </w:r>
            <w:r w:rsidR="00BB7115" w:rsidRPr="003551B2">
              <w:rPr>
                <w:rFonts w:eastAsia="Calibri" w:cstheme="minorHAnsi"/>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3551B2" w:rsidRDefault="00BB7115" w:rsidP="00BB7115">
            <w:pPr>
              <w:spacing w:after="0" w:line="240" w:lineRule="auto"/>
              <w:rPr>
                <w:rFonts w:eastAsia="Calibri" w:cs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050B34BE" w:rsidR="00BB7115" w:rsidRPr="003551B2" w:rsidRDefault="005A2F97" w:rsidP="005A2F97">
            <w:pPr>
              <w:spacing w:after="0" w:line="240" w:lineRule="auto"/>
              <w:rPr>
                <w:rFonts w:eastAsia="Calibri" w:cstheme="minorHAnsi"/>
              </w:rPr>
            </w:pPr>
            <w:r w:rsidRPr="003551B2">
              <w:rPr>
                <w:rFonts w:eastAsia="Calibri" w:cstheme="minorHAnsi"/>
              </w:rPr>
              <w:t xml:space="preserve"> </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1A52B28C" w:rsidR="00BB7115" w:rsidRPr="003551B2" w:rsidRDefault="00BB7115" w:rsidP="00BB7115">
            <w:pPr>
              <w:spacing w:after="0" w:line="240" w:lineRule="auto"/>
              <w:rPr>
                <w:rFonts w:eastAsia="Calibri" w:cstheme="minorHAnsi"/>
              </w:rPr>
            </w:pPr>
          </w:p>
        </w:tc>
        <w:tc>
          <w:tcPr>
            <w:tcW w:w="1363" w:type="dxa"/>
            <w:tcBorders>
              <w:top w:val="nil"/>
              <w:left w:val="nil"/>
              <w:bottom w:val="single" w:sz="8" w:space="0" w:color="auto"/>
              <w:right w:val="single" w:sz="8" w:space="0" w:color="auto"/>
            </w:tcBorders>
          </w:tcPr>
          <w:p w14:paraId="262E1C62"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tcPr>
          <w:p w14:paraId="520390BA" w14:textId="067D673D" w:rsidR="00BB7115" w:rsidRPr="003551B2" w:rsidRDefault="00BB7115" w:rsidP="005A2F97">
            <w:pPr>
              <w:spacing w:after="0" w:line="240" w:lineRule="auto"/>
              <w:jc w:val="center"/>
              <w:rPr>
                <w:rFonts w:eastAsia="Times New Roman" w:cstheme="minorHAnsi"/>
              </w:rPr>
            </w:pPr>
          </w:p>
        </w:tc>
      </w:tr>
      <w:tr w:rsidR="00BB7115" w:rsidRPr="003551B2" w14:paraId="13F779D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75B470F4" w:rsidR="00BB7115" w:rsidRPr="003551B2" w:rsidRDefault="0097483A" w:rsidP="00BB7115">
            <w:pPr>
              <w:spacing w:after="0" w:line="240" w:lineRule="auto"/>
              <w:rPr>
                <w:rFonts w:eastAsia="Calibri" w:cstheme="minorHAnsi"/>
              </w:rPr>
            </w:pPr>
            <w:r w:rsidRPr="003551B2">
              <w:rPr>
                <w:rFonts w:eastAsia="Calibri" w:cstheme="minorHAnsi"/>
              </w:rPr>
              <w:t>Staff Avg.</w:t>
            </w:r>
          </w:p>
        </w:tc>
        <w:tc>
          <w:tcPr>
            <w:tcW w:w="1440" w:type="dxa"/>
            <w:tcBorders>
              <w:top w:val="nil"/>
              <w:left w:val="nil"/>
              <w:bottom w:val="single" w:sz="8" w:space="0" w:color="auto"/>
              <w:right w:val="single" w:sz="8" w:space="0" w:color="auto"/>
            </w:tcBorders>
          </w:tcPr>
          <w:p w14:paraId="5E118B86" w14:textId="4C374AAF" w:rsidR="00BB7115" w:rsidRPr="003551B2" w:rsidRDefault="00BB7115" w:rsidP="005A2F97">
            <w:pPr>
              <w:spacing w:after="0" w:line="240" w:lineRule="auto"/>
              <w:rPr>
                <w:rFonts w:eastAsia="Calibri" w:cs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19F30C3B" w:rsidR="00BB7115" w:rsidRPr="003551B2" w:rsidRDefault="005A2F97" w:rsidP="00BB7115">
            <w:pPr>
              <w:spacing w:after="0" w:line="240" w:lineRule="auto"/>
              <w:rPr>
                <w:rFonts w:eastAsia="Calibri" w:cstheme="minorHAnsi"/>
              </w:rPr>
            </w:pPr>
            <w:r w:rsidRPr="003551B2">
              <w:rPr>
                <w:rFonts w:eastAsia="Calibri" w:cstheme="minorHAnsi"/>
              </w:rPr>
              <w:t>$ 72,570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7198532A" w:rsidR="00BB7115" w:rsidRPr="003551B2" w:rsidRDefault="005A2F97" w:rsidP="00BB7115">
            <w:pPr>
              <w:spacing w:after="0" w:line="240" w:lineRule="auto"/>
              <w:rPr>
                <w:rFonts w:eastAsia="Calibri" w:cstheme="minorHAnsi"/>
              </w:rPr>
            </w:pPr>
            <w:r w:rsidRPr="003551B2">
              <w:rPr>
                <w:rFonts w:eastAsia="Calibri" w:cstheme="minorHAnsi"/>
              </w:rPr>
              <w:t>100%</w:t>
            </w:r>
          </w:p>
        </w:tc>
        <w:tc>
          <w:tcPr>
            <w:tcW w:w="1363" w:type="dxa"/>
            <w:tcBorders>
              <w:top w:val="nil"/>
              <w:left w:val="nil"/>
              <w:bottom w:val="single" w:sz="8" w:space="0" w:color="auto"/>
              <w:right w:val="single" w:sz="8" w:space="0" w:color="auto"/>
            </w:tcBorders>
          </w:tcPr>
          <w:p w14:paraId="5D2B7EB0" w14:textId="003903CE" w:rsidR="00BB7115" w:rsidRPr="003551B2" w:rsidRDefault="005A2F97" w:rsidP="00BB7115">
            <w:pPr>
              <w:spacing w:after="0" w:line="240" w:lineRule="auto"/>
              <w:rPr>
                <w:rFonts w:eastAsia="Times New Roman" w:cstheme="minorHAnsi"/>
              </w:rPr>
            </w:pPr>
            <w:r w:rsidRPr="003551B2">
              <w:rPr>
                <w:rFonts w:eastAsia="Times New Roman" w:cstheme="minorHAnsi"/>
              </w:rPr>
              <w:t xml:space="preserve">  Included</w:t>
            </w:r>
          </w:p>
        </w:tc>
        <w:tc>
          <w:tcPr>
            <w:tcW w:w="1363" w:type="dxa"/>
            <w:tcBorders>
              <w:top w:val="nil"/>
              <w:left w:val="nil"/>
              <w:bottom w:val="single" w:sz="8" w:space="0" w:color="auto"/>
              <w:right w:val="single" w:sz="8" w:space="0" w:color="auto"/>
            </w:tcBorders>
          </w:tcPr>
          <w:p w14:paraId="68A819ED" w14:textId="13EE4436" w:rsidR="00BB7115" w:rsidRPr="003551B2" w:rsidRDefault="005A2F97" w:rsidP="005A2F97">
            <w:pPr>
              <w:spacing w:after="0" w:line="240" w:lineRule="auto"/>
              <w:jc w:val="center"/>
              <w:rPr>
                <w:rFonts w:eastAsia="Times New Roman" w:cstheme="minorHAnsi"/>
              </w:rPr>
            </w:pPr>
            <w:r w:rsidRPr="003551B2">
              <w:rPr>
                <w:rFonts w:eastAsia="Times New Roman" w:cstheme="minorHAnsi"/>
              </w:rPr>
              <w:t>$290,280</w:t>
            </w:r>
          </w:p>
        </w:tc>
      </w:tr>
      <w:tr w:rsidR="00BB7115" w:rsidRPr="003551B2"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3551B2" w:rsidRDefault="005E2D23" w:rsidP="00BB7115">
            <w:pPr>
              <w:spacing w:after="0" w:line="240" w:lineRule="auto"/>
              <w:rPr>
                <w:rFonts w:eastAsia="Calibri" w:cstheme="minorHAnsi"/>
                <w:b/>
                <w:color w:val="000000" w:themeColor="text1"/>
              </w:rPr>
            </w:pPr>
            <w:r w:rsidRPr="003551B2">
              <w:rPr>
                <w:rFonts w:eastAsia="Calibri" w:cstheme="minorHAnsi"/>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3551B2" w:rsidRDefault="00BB7115" w:rsidP="00BB7115">
            <w:pPr>
              <w:spacing w:after="0" w:line="240" w:lineRule="auto"/>
              <w:rPr>
                <w:rFonts w:eastAsia="Calibri" w:cstheme="minorHAns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3551B2" w:rsidRDefault="00BB7115" w:rsidP="00BB7115">
            <w:pPr>
              <w:spacing w:after="0" w:line="240" w:lineRule="auto"/>
              <w:rPr>
                <w:rFonts w:eastAsia="Calibri"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3551B2" w:rsidRDefault="00BB7115" w:rsidP="00BB7115">
            <w:pPr>
              <w:spacing w:after="0" w:line="240" w:lineRule="auto"/>
              <w:rPr>
                <w:rFonts w:eastAsia="Calibri"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3673F0C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tcPr>
          <w:p w14:paraId="5E854FE4" w14:textId="1325376B" w:rsidR="00BB7115" w:rsidRPr="003551B2" w:rsidRDefault="005A2F97" w:rsidP="00C564C6">
            <w:pPr>
              <w:spacing w:after="0" w:line="240" w:lineRule="auto"/>
              <w:jc w:val="center"/>
              <w:rPr>
                <w:rFonts w:eastAsia="Times New Roman" w:cstheme="minorHAnsi"/>
              </w:rPr>
            </w:pPr>
            <w:r w:rsidRPr="003551B2">
              <w:rPr>
                <w:rFonts w:eastAsia="Times New Roman" w:cstheme="minorHAnsi"/>
              </w:rPr>
              <w:t>$7,</w:t>
            </w:r>
            <w:r w:rsidR="00C564C6" w:rsidRPr="003551B2">
              <w:rPr>
                <w:rFonts w:eastAsia="Times New Roman" w:cstheme="minorHAnsi"/>
              </w:rPr>
              <w:t>5</w:t>
            </w:r>
            <w:r w:rsidRPr="003551B2">
              <w:rPr>
                <w:rFonts w:eastAsia="Times New Roman" w:cstheme="minorHAnsi"/>
              </w:rPr>
              <w:t>84</w:t>
            </w:r>
          </w:p>
        </w:tc>
      </w:tr>
      <w:tr w:rsidR="00BB7115" w:rsidRPr="003551B2"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757478D4" w:rsidR="00BB7115" w:rsidRPr="003551B2" w:rsidRDefault="005E2D23" w:rsidP="00BB7115">
            <w:pPr>
              <w:spacing w:after="0" w:line="240" w:lineRule="auto"/>
              <w:rPr>
                <w:rFonts w:eastAsia="Calibri" w:cstheme="minorHAnsi"/>
                <w:b/>
                <w:color w:val="000000" w:themeColor="text1"/>
                <w:highlight w:val="yellow"/>
              </w:rPr>
            </w:pPr>
            <w:r w:rsidRPr="003551B2">
              <w:rPr>
                <w:rFonts w:eastAsia="Calibri" w:cstheme="minorHAnsi"/>
                <w:b/>
                <w:color w:val="000000" w:themeColor="text1"/>
              </w:rPr>
              <w:t>Other Cost</w:t>
            </w:r>
            <w:r w:rsidR="00C564C6" w:rsidRPr="003551B2">
              <w:rPr>
                <w:rFonts w:eastAsia="Calibri" w:cstheme="minorHAnsi"/>
                <w:b/>
                <w:color w:val="000000" w:themeColor="text1"/>
              </w:rPr>
              <w:t>s*</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3551B2" w:rsidRDefault="00BB7115" w:rsidP="00BB7115">
            <w:pPr>
              <w:spacing w:after="0" w:line="240" w:lineRule="auto"/>
              <w:rPr>
                <w:rFonts w:eastAsia="Calibri" w:cstheme="minorHAnsi"/>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3551B2" w:rsidRDefault="00BB7115" w:rsidP="00BB7115">
            <w:pPr>
              <w:spacing w:after="0" w:line="240" w:lineRule="auto"/>
              <w:rPr>
                <w:rFonts w:eastAsia="Calibri"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3551B2" w:rsidRDefault="00BB7115" w:rsidP="00BB7115">
            <w:pPr>
              <w:spacing w:after="0" w:line="240" w:lineRule="auto"/>
              <w:rPr>
                <w:rFonts w:eastAsia="Calibri"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3551B2" w:rsidRDefault="00BB7115" w:rsidP="00BB7115">
            <w:pPr>
              <w:spacing w:after="0" w:line="240" w:lineRule="auto"/>
              <w:rPr>
                <w:rFonts w:eastAsia="Calibri" w:cstheme="minorHAnsi"/>
              </w:rPr>
            </w:pPr>
          </w:p>
        </w:tc>
        <w:tc>
          <w:tcPr>
            <w:tcW w:w="1363" w:type="dxa"/>
            <w:tcBorders>
              <w:top w:val="nil"/>
              <w:left w:val="nil"/>
              <w:bottom w:val="single" w:sz="8" w:space="0" w:color="auto"/>
              <w:right w:val="single" w:sz="8" w:space="0" w:color="auto"/>
            </w:tcBorders>
          </w:tcPr>
          <w:p w14:paraId="5DB4DA24" w14:textId="5AE09344" w:rsidR="00BB7115" w:rsidRPr="003551B2" w:rsidRDefault="00C564C6" w:rsidP="00C564C6">
            <w:pPr>
              <w:spacing w:after="0" w:line="240" w:lineRule="auto"/>
              <w:jc w:val="center"/>
              <w:rPr>
                <w:rFonts w:eastAsia="Calibri" w:cstheme="minorHAnsi"/>
              </w:rPr>
            </w:pPr>
            <w:r w:rsidRPr="003551B2">
              <w:rPr>
                <w:rFonts w:eastAsia="Calibri" w:cstheme="minorHAnsi"/>
              </w:rPr>
              <w:t>$148,932</w:t>
            </w:r>
          </w:p>
        </w:tc>
      </w:tr>
      <w:tr w:rsidR="00BB7115" w:rsidRPr="003551B2"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6F100F2" w:rsidR="00BB7115" w:rsidRPr="003551B2" w:rsidRDefault="00BB7115" w:rsidP="00C564C6">
            <w:pPr>
              <w:spacing w:after="0" w:line="240" w:lineRule="auto"/>
              <w:rPr>
                <w:rFonts w:eastAsia="Calibri" w:cstheme="minorHAnsi"/>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3551B2" w:rsidRDefault="00BB7115" w:rsidP="00BB7115">
            <w:pPr>
              <w:spacing w:after="0" w:line="240" w:lineRule="auto"/>
              <w:rPr>
                <w:rFonts w:eastAsia="Calibri" w:cstheme="minorHAns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3551B2" w:rsidRDefault="00BB7115" w:rsidP="00BB7115">
            <w:pPr>
              <w:spacing w:after="0" w:line="240" w:lineRule="auto"/>
              <w:rPr>
                <w:rFonts w:eastAsia="Calibri" w:cstheme="minorHAnsi"/>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3551B2" w:rsidRDefault="00BB7115" w:rsidP="00BB7115">
            <w:pPr>
              <w:spacing w:after="0" w:line="240" w:lineRule="auto"/>
              <w:rPr>
                <w:rFonts w:eastAsia="Times New Roman" w:cstheme="minorHAnsi"/>
                <w:b/>
              </w:rPr>
            </w:pPr>
          </w:p>
        </w:tc>
        <w:tc>
          <w:tcPr>
            <w:tcW w:w="1363" w:type="dxa"/>
            <w:tcBorders>
              <w:top w:val="nil"/>
              <w:left w:val="nil"/>
              <w:bottom w:val="single" w:sz="8" w:space="0" w:color="auto"/>
              <w:right w:val="single" w:sz="8" w:space="0" w:color="auto"/>
            </w:tcBorders>
          </w:tcPr>
          <w:p w14:paraId="499EB5DF" w14:textId="77777777" w:rsidR="00BB7115" w:rsidRPr="003551B2" w:rsidRDefault="00BB7115" w:rsidP="00C564C6">
            <w:pPr>
              <w:spacing w:after="0" w:line="240" w:lineRule="auto"/>
              <w:jc w:val="center"/>
              <w:rPr>
                <w:rFonts w:eastAsia="Times New Roman" w:cstheme="minorHAnsi"/>
                <w:b/>
              </w:rPr>
            </w:pPr>
          </w:p>
        </w:tc>
      </w:tr>
      <w:tr w:rsidR="00BB7115" w:rsidRPr="003551B2"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436387C0" w:rsidR="00BB7115" w:rsidRPr="003551B2" w:rsidRDefault="00C564C6" w:rsidP="00BB7115">
            <w:pPr>
              <w:spacing w:after="0" w:line="240" w:lineRule="auto"/>
              <w:rPr>
                <w:rFonts w:eastAsia="Times New Roman" w:cstheme="minorHAnsi"/>
              </w:rPr>
            </w:pPr>
            <w:r w:rsidRPr="003551B2">
              <w:rPr>
                <w:rFonts w:eastAsia="Times New Roman" w:cstheme="minorHAnsi"/>
              </w:rPr>
              <w:t>Total Estimated Costs</w:t>
            </w:r>
          </w:p>
        </w:tc>
        <w:tc>
          <w:tcPr>
            <w:tcW w:w="1440" w:type="dxa"/>
            <w:tcBorders>
              <w:top w:val="nil"/>
              <w:left w:val="nil"/>
              <w:bottom w:val="single" w:sz="8" w:space="0" w:color="auto"/>
              <w:right w:val="single" w:sz="8" w:space="0" w:color="auto"/>
            </w:tcBorders>
          </w:tcPr>
          <w:p w14:paraId="12C7BFB8" w14:textId="77777777" w:rsidR="00BB7115" w:rsidRPr="003551B2" w:rsidRDefault="00BB7115" w:rsidP="00BB7115">
            <w:pPr>
              <w:spacing w:after="0" w:line="240" w:lineRule="auto"/>
              <w:rPr>
                <w:rFonts w:eastAsia="Calibri" w:cs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tcPr>
          <w:p w14:paraId="7A626E94" w14:textId="77777777" w:rsidR="00BB7115" w:rsidRPr="003551B2" w:rsidRDefault="00BB7115" w:rsidP="00BB7115">
            <w:pPr>
              <w:spacing w:after="0" w:line="240" w:lineRule="auto"/>
              <w:rPr>
                <w:rFonts w:eastAsia="Times New Roman" w:cstheme="minorHAnsi"/>
              </w:rPr>
            </w:pPr>
          </w:p>
        </w:tc>
        <w:tc>
          <w:tcPr>
            <w:tcW w:w="1363" w:type="dxa"/>
            <w:tcBorders>
              <w:top w:val="nil"/>
              <w:left w:val="nil"/>
              <w:bottom w:val="single" w:sz="8" w:space="0" w:color="auto"/>
              <w:right w:val="single" w:sz="8" w:space="0" w:color="auto"/>
            </w:tcBorders>
          </w:tcPr>
          <w:p w14:paraId="2D3918A8" w14:textId="73B0D76A" w:rsidR="00BB7115" w:rsidRPr="003551B2" w:rsidRDefault="00C564C6" w:rsidP="00C564C6">
            <w:pPr>
              <w:spacing w:after="0" w:line="240" w:lineRule="auto"/>
              <w:jc w:val="center"/>
              <w:rPr>
                <w:rFonts w:eastAsia="Times New Roman" w:cstheme="minorHAnsi"/>
              </w:rPr>
            </w:pPr>
            <w:r w:rsidRPr="003551B2">
              <w:rPr>
                <w:rFonts w:eastAsia="Times New Roman" w:cstheme="minorHAnsi"/>
              </w:rPr>
              <w:t>$477,937</w:t>
            </w:r>
          </w:p>
        </w:tc>
      </w:tr>
    </w:tbl>
    <w:p w14:paraId="29BF6D1B" w14:textId="77777777" w:rsidR="00BB7115" w:rsidRPr="003551B2" w:rsidRDefault="00BB7115" w:rsidP="00BB7115">
      <w:pPr>
        <w:spacing w:after="0" w:line="240" w:lineRule="auto"/>
        <w:rPr>
          <w:rFonts w:eastAsia="Times New Roman" w:cstheme="minorHAnsi"/>
        </w:rPr>
      </w:pPr>
    </w:p>
    <w:p w14:paraId="5B948273" w14:textId="193747E1" w:rsidR="00BB7115" w:rsidRPr="003551B2" w:rsidRDefault="00C564C6" w:rsidP="00BB7115">
      <w:pPr>
        <w:spacing w:after="20"/>
        <w:rPr>
          <w:rFonts w:cstheme="minorHAnsi"/>
        </w:rPr>
      </w:pPr>
      <w:r w:rsidRPr="003551B2">
        <w:rPr>
          <w:rFonts w:cstheme="minorHAnsi"/>
        </w:rPr>
        <w:t xml:space="preserve">* </w:t>
      </w:r>
      <w:r w:rsidRPr="003551B2">
        <w:rPr>
          <w:rFonts w:eastAsia="Calibri" w:cstheme="minorHAnsi"/>
          <w:bCs/>
          <w:color w:val="000000"/>
        </w:rPr>
        <w:t>Other Indirect Costs General &amp; Administrative (G&amp;A)</w:t>
      </w:r>
    </w:p>
    <w:p w14:paraId="78CD4246" w14:textId="77777777" w:rsidR="00C564C6" w:rsidRDefault="00C564C6" w:rsidP="008716F6">
      <w:pPr>
        <w:spacing w:after="20"/>
        <w:rPr>
          <w:b/>
        </w:rPr>
      </w:pPr>
    </w:p>
    <w:p w14:paraId="701B9E8A" w14:textId="77777777" w:rsidR="00713CF8" w:rsidRPr="00113647" w:rsidRDefault="00713CF8" w:rsidP="008716F6">
      <w:pPr>
        <w:spacing w:after="20"/>
        <w:rPr>
          <w:b/>
        </w:rPr>
      </w:pPr>
      <w:r w:rsidRPr="00113647">
        <w:rPr>
          <w:b/>
        </w:rPr>
        <w:lastRenderedPageBreak/>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18A0E4BA" w14:textId="4856C3B3" w:rsidR="00AD47B3" w:rsidRPr="00206BEE" w:rsidRDefault="00C564C6" w:rsidP="003551B2">
      <w:pPr>
        <w:spacing w:line="240" w:lineRule="auto"/>
        <w:rPr>
          <w:rFonts w:ascii="Arial" w:hAnsi="Arial" w:cs="Arial"/>
        </w:rPr>
      </w:pPr>
      <w:r>
        <w:rPr>
          <w:rFonts w:cstheme="minorHAnsi"/>
        </w:rPr>
        <w:t xml:space="preserve">Focus group results will be collected, analyzed, and reported by an outside Contractor. </w:t>
      </w:r>
      <w:r w:rsidR="00AD47B3">
        <w:rPr>
          <w:rFonts w:cstheme="minorHAnsi"/>
        </w:rPr>
        <w:t xml:space="preserve"> </w:t>
      </w:r>
      <w:r w:rsidR="00AD47B3" w:rsidRPr="00165681">
        <w:t xml:space="preserve">Aggregate findings and de-identified transcripts will be provided to CSR. </w:t>
      </w:r>
      <w:r w:rsidR="004D3302">
        <w:t xml:space="preserve"> A </w:t>
      </w:r>
      <w:r w:rsidR="004D3302" w:rsidRPr="00C564C6">
        <w:rPr>
          <w:rFonts w:cstheme="minorHAnsi"/>
        </w:rPr>
        <w:t>Content analysis will be performed on the narrative responses</w:t>
      </w:r>
      <w:r w:rsidR="004D3302">
        <w:rPr>
          <w:rFonts w:cstheme="minorHAnsi"/>
        </w:rPr>
        <w:t xml:space="preserve"> by the Contractor </w:t>
      </w:r>
      <w:r w:rsidR="003551B2">
        <w:rPr>
          <w:rFonts w:cstheme="minorHAnsi"/>
        </w:rPr>
        <w:t>who will</w:t>
      </w:r>
      <w:r w:rsidR="004D3302">
        <w:rPr>
          <w:rFonts w:cstheme="minorHAnsi"/>
        </w:rPr>
        <w:t xml:space="preserve"> produce a</w:t>
      </w:r>
      <w:r w:rsidR="007B78B7">
        <w:rPr>
          <w:rFonts w:cstheme="minorHAnsi"/>
        </w:rPr>
        <w:t>n aggregate, anonymized</w:t>
      </w:r>
      <w:r w:rsidR="004D3302">
        <w:rPr>
          <w:rFonts w:cstheme="minorHAnsi"/>
        </w:rPr>
        <w:t xml:space="preserve"> summary </w:t>
      </w:r>
      <w:r w:rsidR="004D3302" w:rsidRPr="00C564C6">
        <w:rPr>
          <w:rFonts w:cstheme="minorHAnsi"/>
        </w:rPr>
        <w:t>report with accompanying charts</w:t>
      </w:r>
      <w:r w:rsidR="004D3302">
        <w:rPr>
          <w:rFonts w:cstheme="minorHAnsi"/>
        </w:rPr>
        <w:t xml:space="preserve">. </w:t>
      </w:r>
      <w:r w:rsidR="004D3302" w:rsidRPr="004D3302">
        <w:t xml:space="preserve">Qualitative data will be presented descriptively without underlying counts. Only percentages or percentage ranges will be reported for the aggregate, if at all.  </w:t>
      </w:r>
      <w:r w:rsidR="004D3302">
        <w:t>For</w:t>
      </w:r>
      <w:r w:rsidR="004D3302" w:rsidRPr="004D3302">
        <w:t xml:space="preserve"> internal NIH purposes only, if CSR finds important results from data with</w:t>
      </w:r>
      <w:r w:rsidR="004D3302" w:rsidRPr="004D3302">
        <w:rPr>
          <w:b/>
        </w:rPr>
        <w:t xml:space="preserve"> </w:t>
      </w:r>
      <w:r w:rsidR="004D3302" w:rsidRPr="004D3302">
        <w:t>small cell sizes (N&lt;11), the reports will be issued with a stamp stating “Confidential” and a footer indicating that the data are restricted to authorized users only.</w:t>
      </w:r>
      <w:r w:rsidR="004D3302">
        <w:t xml:space="preserve"> </w:t>
      </w:r>
      <w:r w:rsidR="004D3302">
        <w:rPr>
          <w:rFonts w:cstheme="minorHAnsi"/>
        </w:rPr>
        <w:t>Re</w:t>
      </w:r>
      <w:r w:rsidRPr="00C564C6">
        <w:rPr>
          <w:rFonts w:cstheme="minorHAnsi"/>
        </w:rPr>
        <w:t>sults will be disseminated</w:t>
      </w:r>
      <w:r w:rsidR="00AD47B3">
        <w:rPr>
          <w:rFonts w:cstheme="minorHAnsi"/>
        </w:rPr>
        <w:t xml:space="preserve"> </w:t>
      </w:r>
      <w:r w:rsidRPr="00C564C6">
        <w:rPr>
          <w:rFonts w:cstheme="minorHAnsi"/>
        </w:rPr>
        <w:t xml:space="preserve">to key management officials at CSR, NIH management, CSR members and chairs, NIH principle investigators, and CSR employees within six months of </w:t>
      </w:r>
      <w:r w:rsidR="00AD47B3">
        <w:rPr>
          <w:rFonts w:cstheme="minorHAnsi"/>
        </w:rPr>
        <w:t>focus group</w:t>
      </w:r>
      <w:r w:rsidRPr="00C564C6">
        <w:rPr>
          <w:rFonts w:cstheme="minorHAnsi"/>
        </w:rPr>
        <w:t xml:space="preserve"> completion.  </w:t>
      </w:r>
    </w:p>
    <w:tbl>
      <w:tblPr>
        <w:tblStyle w:val="TableGrid"/>
        <w:tblW w:w="0" w:type="auto"/>
        <w:tblInd w:w="540" w:type="dxa"/>
        <w:tblLook w:val="04A0" w:firstRow="1" w:lastRow="0" w:firstColumn="1" w:lastColumn="0" w:noHBand="0" w:noVBand="1"/>
      </w:tblPr>
      <w:tblGrid>
        <w:gridCol w:w="6498"/>
        <w:gridCol w:w="2538"/>
      </w:tblGrid>
      <w:tr w:rsidR="00AD47B3" w:rsidRPr="00AD47B3" w14:paraId="3238FFD4" w14:textId="77777777" w:rsidTr="00AD00A8">
        <w:tc>
          <w:tcPr>
            <w:tcW w:w="6498" w:type="dxa"/>
          </w:tcPr>
          <w:p w14:paraId="6F736ACA" w14:textId="77777777" w:rsidR="00AD47B3" w:rsidRPr="00AD47B3" w:rsidRDefault="00AD47B3" w:rsidP="00AD00A8">
            <w:pPr>
              <w:rPr>
                <w:rFonts w:cstheme="minorHAnsi"/>
                <w:b/>
              </w:rPr>
            </w:pPr>
            <w:r w:rsidRPr="00AD47B3">
              <w:rPr>
                <w:rFonts w:cstheme="minorHAnsi"/>
                <w:b/>
              </w:rPr>
              <w:t>Task (</w:t>
            </w:r>
            <w:r w:rsidRPr="00AD47B3">
              <w:rPr>
                <w:rFonts w:cstheme="minorHAnsi"/>
                <w:b/>
                <w:i/>
              </w:rPr>
              <w:t>Deliverable in italics</w:t>
            </w:r>
            <w:r w:rsidRPr="00AD47B3">
              <w:rPr>
                <w:rFonts w:cstheme="minorHAnsi"/>
                <w:b/>
              </w:rPr>
              <w:t>)</w:t>
            </w:r>
          </w:p>
        </w:tc>
        <w:tc>
          <w:tcPr>
            <w:tcW w:w="2538" w:type="dxa"/>
          </w:tcPr>
          <w:p w14:paraId="39D4C291" w14:textId="77777777" w:rsidR="00AD47B3" w:rsidRPr="00AD47B3" w:rsidRDefault="00AD47B3" w:rsidP="00AD00A8">
            <w:pPr>
              <w:rPr>
                <w:rFonts w:cstheme="minorHAnsi"/>
                <w:b/>
              </w:rPr>
            </w:pPr>
            <w:r w:rsidRPr="00AD47B3">
              <w:rPr>
                <w:rFonts w:cstheme="minorHAnsi"/>
                <w:b/>
              </w:rPr>
              <w:t>Timeframe</w:t>
            </w:r>
          </w:p>
        </w:tc>
      </w:tr>
      <w:tr w:rsidR="00AD47B3" w:rsidRPr="00AD47B3" w14:paraId="75B2D1FF" w14:textId="77777777" w:rsidTr="00AD00A8">
        <w:tc>
          <w:tcPr>
            <w:tcW w:w="6498" w:type="dxa"/>
          </w:tcPr>
          <w:p w14:paraId="3FEB3791" w14:textId="77777777" w:rsidR="00AD47B3" w:rsidRPr="00AD47B3" w:rsidRDefault="00AD47B3" w:rsidP="00AD00A8">
            <w:pPr>
              <w:rPr>
                <w:rFonts w:cstheme="minorHAnsi"/>
              </w:rPr>
            </w:pPr>
            <w:r w:rsidRPr="00AD47B3">
              <w:rPr>
                <w:rFonts w:cstheme="minorHAnsi"/>
              </w:rPr>
              <w:t>Develop reporting template, code and categorize focus group data (Template and Coding manual)</w:t>
            </w:r>
          </w:p>
        </w:tc>
        <w:tc>
          <w:tcPr>
            <w:tcW w:w="2538" w:type="dxa"/>
          </w:tcPr>
          <w:p w14:paraId="3DBF79DC" w14:textId="3E33F8C1" w:rsidR="00AD47B3" w:rsidRPr="00AD47B3" w:rsidRDefault="004D3302" w:rsidP="004D3302">
            <w:pPr>
              <w:rPr>
                <w:rFonts w:cstheme="minorHAnsi"/>
              </w:rPr>
            </w:pPr>
            <w:r>
              <w:rPr>
                <w:rFonts w:cstheme="minorHAnsi"/>
              </w:rPr>
              <w:t>April 1</w:t>
            </w:r>
            <w:r w:rsidR="00AD47B3" w:rsidRPr="00AD47B3">
              <w:rPr>
                <w:rFonts w:cstheme="minorHAnsi"/>
              </w:rPr>
              <w:t xml:space="preserve"> – </w:t>
            </w:r>
            <w:r>
              <w:rPr>
                <w:rFonts w:cstheme="minorHAnsi"/>
              </w:rPr>
              <w:t>May 31, 2015</w:t>
            </w:r>
          </w:p>
        </w:tc>
      </w:tr>
      <w:tr w:rsidR="00AD47B3" w:rsidRPr="00AD47B3" w14:paraId="56D7F933" w14:textId="77777777" w:rsidTr="00AD00A8">
        <w:tc>
          <w:tcPr>
            <w:tcW w:w="6498" w:type="dxa"/>
          </w:tcPr>
          <w:p w14:paraId="449FFADE" w14:textId="77777777" w:rsidR="00AD47B3" w:rsidRPr="00AD47B3" w:rsidRDefault="00AD47B3" w:rsidP="00AD00A8">
            <w:pPr>
              <w:rPr>
                <w:rFonts w:cstheme="minorHAnsi"/>
              </w:rPr>
            </w:pPr>
            <w:r w:rsidRPr="00AD47B3">
              <w:rPr>
                <w:rFonts w:cstheme="minorHAnsi"/>
              </w:rPr>
              <w:t>Analyze data</w:t>
            </w:r>
          </w:p>
        </w:tc>
        <w:tc>
          <w:tcPr>
            <w:tcW w:w="2538" w:type="dxa"/>
          </w:tcPr>
          <w:p w14:paraId="4867F2BC" w14:textId="2F09E3E2" w:rsidR="00AD47B3" w:rsidRPr="00AD47B3" w:rsidRDefault="004D3302" w:rsidP="004D3302">
            <w:pPr>
              <w:rPr>
                <w:rFonts w:cstheme="minorHAnsi"/>
              </w:rPr>
            </w:pPr>
            <w:r>
              <w:rPr>
                <w:rFonts w:cstheme="minorHAnsi"/>
              </w:rPr>
              <w:t>June</w:t>
            </w:r>
            <w:r w:rsidR="00AD47B3" w:rsidRPr="00AD47B3">
              <w:rPr>
                <w:rFonts w:cstheme="minorHAnsi"/>
              </w:rPr>
              <w:t xml:space="preserve"> </w:t>
            </w:r>
            <w:r>
              <w:rPr>
                <w:rFonts w:cstheme="minorHAnsi"/>
              </w:rPr>
              <w:t>1</w:t>
            </w:r>
            <w:r w:rsidR="00AD47B3" w:rsidRPr="00AD47B3">
              <w:rPr>
                <w:rFonts w:cstheme="minorHAnsi"/>
              </w:rPr>
              <w:t xml:space="preserve"> – </w:t>
            </w:r>
            <w:r>
              <w:rPr>
                <w:rFonts w:cstheme="minorHAnsi"/>
              </w:rPr>
              <w:t>July 31, 20</w:t>
            </w:r>
            <w:r w:rsidR="00AD47B3" w:rsidRPr="00AD47B3">
              <w:rPr>
                <w:rFonts w:cstheme="minorHAnsi"/>
              </w:rPr>
              <w:t xml:space="preserve">15 </w:t>
            </w:r>
          </w:p>
        </w:tc>
      </w:tr>
      <w:tr w:rsidR="00AD47B3" w:rsidRPr="00AD47B3" w14:paraId="5BEB2CD1" w14:textId="77777777" w:rsidTr="00AD00A8">
        <w:tc>
          <w:tcPr>
            <w:tcW w:w="6498" w:type="dxa"/>
          </w:tcPr>
          <w:p w14:paraId="368010BD" w14:textId="77777777" w:rsidR="00AD47B3" w:rsidRPr="00AD47B3" w:rsidRDefault="00AD47B3" w:rsidP="00AD00A8">
            <w:pPr>
              <w:rPr>
                <w:rFonts w:cstheme="minorHAnsi"/>
              </w:rPr>
            </w:pPr>
            <w:r w:rsidRPr="00AD47B3">
              <w:rPr>
                <w:rFonts w:cstheme="minorHAnsi"/>
              </w:rPr>
              <w:t>Prepare preliminary results (Preliminary report on data and findings)</w:t>
            </w:r>
          </w:p>
        </w:tc>
        <w:tc>
          <w:tcPr>
            <w:tcW w:w="2538" w:type="dxa"/>
          </w:tcPr>
          <w:p w14:paraId="6A0EFC1F" w14:textId="6CCFDCD4" w:rsidR="00AD47B3" w:rsidRPr="00AD47B3" w:rsidRDefault="004D3302" w:rsidP="004D3302">
            <w:pPr>
              <w:rPr>
                <w:rFonts w:cstheme="minorHAnsi"/>
              </w:rPr>
            </w:pPr>
            <w:r>
              <w:rPr>
                <w:rFonts w:cstheme="minorHAnsi"/>
              </w:rPr>
              <w:t xml:space="preserve">August 1 -15, 2015 </w:t>
            </w:r>
          </w:p>
        </w:tc>
      </w:tr>
      <w:tr w:rsidR="00AD47B3" w:rsidRPr="00AD47B3" w14:paraId="6D03BE5A" w14:textId="77777777" w:rsidTr="00AD00A8">
        <w:tc>
          <w:tcPr>
            <w:tcW w:w="6498" w:type="dxa"/>
          </w:tcPr>
          <w:p w14:paraId="68233BEB" w14:textId="3858B831" w:rsidR="00AD47B3" w:rsidRPr="00AD47B3" w:rsidRDefault="00AD47B3" w:rsidP="003551B2">
            <w:pPr>
              <w:rPr>
                <w:rFonts w:cstheme="minorHAnsi"/>
              </w:rPr>
            </w:pPr>
            <w:r w:rsidRPr="00AD47B3">
              <w:rPr>
                <w:rFonts w:cstheme="minorHAnsi"/>
              </w:rPr>
              <w:t>Present draft of interim report and obtain feedback from CSR management and staff (Interim report on data and findings)</w:t>
            </w:r>
          </w:p>
        </w:tc>
        <w:tc>
          <w:tcPr>
            <w:tcW w:w="2538" w:type="dxa"/>
          </w:tcPr>
          <w:p w14:paraId="2ABE9917" w14:textId="5ED1E1DC" w:rsidR="00AD47B3" w:rsidRPr="00AD47B3" w:rsidRDefault="004D3302" w:rsidP="00AD00A8">
            <w:pPr>
              <w:rPr>
                <w:rFonts w:cstheme="minorHAnsi"/>
              </w:rPr>
            </w:pPr>
            <w:r>
              <w:rPr>
                <w:rFonts w:cstheme="minorHAnsi"/>
              </w:rPr>
              <w:t>August 15 – 31, 2015</w:t>
            </w:r>
          </w:p>
        </w:tc>
      </w:tr>
      <w:tr w:rsidR="00AD47B3" w:rsidRPr="00AD47B3" w14:paraId="75CAE328" w14:textId="77777777" w:rsidTr="00AD00A8">
        <w:tc>
          <w:tcPr>
            <w:tcW w:w="6498" w:type="dxa"/>
          </w:tcPr>
          <w:p w14:paraId="43AA68F9" w14:textId="77777777" w:rsidR="00AD47B3" w:rsidRPr="00AD47B3" w:rsidRDefault="00AD47B3" w:rsidP="00AD00A8">
            <w:pPr>
              <w:rPr>
                <w:rFonts w:cstheme="minorHAnsi"/>
              </w:rPr>
            </w:pPr>
            <w:r w:rsidRPr="00AD47B3">
              <w:rPr>
                <w:rFonts w:cstheme="minorHAnsi"/>
              </w:rPr>
              <w:t>Finalize report including recommendations (Final report on findings and recommendations)</w:t>
            </w:r>
          </w:p>
        </w:tc>
        <w:tc>
          <w:tcPr>
            <w:tcW w:w="2538" w:type="dxa"/>
          </w:tcPr>
          <w:p w14:paraId="7B89F00B" w14:textId="4D7A17F8" w:rsidR="00AD47B3" w:rsidRPr="00AD47B3" w:rsidRDefault="004D3302" w:rsidP="00AD00A8">
            <w:pPr>
              <w:rPr>
                <w:rFonts w:cstheme="minorHAnsi"/>
              </w:rPr>
            </w:pPr>
            <w:r>
              <w:rPr>
                <w:rFonts w:cstheme="minorHAnsi"/>
              </w:rPr>
              <w:t>September 1-22, 2015</w:t>
            </w:r>
          </w:p>
        </w:tc>
      </w:tr>
      <w:tr w:rsidR="00AD47B3" w:rsidRPr="00AD47B3" w14:paraId="4519558C" w14:textId="77777777" w:rsidTr="00AD00A8">
        <w:tc>
          <w:tcPr>
            <w:tcW w:w="6498" w:type="dxa"/>
          </w:tcPr>
          <w:p w14:paraId="03797DD4" w14:textId="77777777" w:rsidR="00AD47B3" w:rsidRPr="00AD47B3" w:rsidRDefault="00AD47B3" w:rsidP="00AD00A8">
            <w:pPr>
              <w:rPr>
                <w:rFonts w:cstheme="minorHAnsi"/>
              </w:rPr>
            </w:pPr>
            <w:r w:rsidRPr="00AD47B3">
              <w:rPr>
                <w:rFonts w:cstheme="minorHAnsi"/>
              </w:rPr>
              <w:t xml:space="preserve">Prepare power point slides of findings (508 compliant) (Slides) </w:t>
            </w:r>
          </w:p>
        </w:tc>
        <w:tc>
          <w:tcPr>
            <w:tcW w:w="2538" w:type="dxa"/>
          </w:tcPr>
          <w:p w14:paraId="66DCF113" w14:textId="3D56D789" w:rsidR="00AD47B3" w:rsidRPr="00AD47B3" w:rsidRDefault="004D3302" w:rsidP="004D3302">
            <w:pPr>
              <w:rPr>
                <w:rFonts w:cstheme="minorHAnsi"/>
              </w:rPr>
            </w:pPr>
            <w:r>
              <w:rPr>
                <w:rFonts w:cstheme="minorHAnsi"/>
              </w:rPr>
              <w:t>September 1-22, 2015</w:t>
            </w:r>
          </w:p>
        </w:tc>
      </w:tr>
      <w:tr w:rsidR="00AD47B3" w:rsidRPr="00AD47B3" w14:paraId="1AD11552" w14:textId="77777777" w:rsidTr="00AD00A8">
        <w:tc>
          <w:tcPr>
            <w:tcW w:w="6498" w:type="dxa"/>
          </w:tcPr>
          <w:p w14:paraId="77F3A80F" w14:textId="77777777" w:rsidR="00AD47B3" w:rsidRPr="00AD47B3" w:rsidRDefault="00AD47B3" w:rsidP="00AD00A8">
            <w:pPr>
              <w:rPr>
                <w:rFonts w:cstheme="minorHAnsi"/>
              </w:rPr>
            </w:pPr>
            <w:r w:rsidRPr="00AD47B3">
              <w:rPr>
                <w:rFonts w:cstheme="minorHAnsi"/>
              </w:rPr>
              <w:t xml:space="preserve">Presentation of results to CSR staff </w:t>
            </w:r>
          </w:p>
        </w:tc>
        <w:tc>
          <w:tcPr>
            <w:tcW w:w="2538" w:type="dxa"/>
          </w:tcPr>
          <w:p w14:paraId="59833D3C" w14:textId="55BEFEE6" w:rsidR="00AD47B3" w:rsidRPr="00AD47B3" w:rsidRDefault="004D3302" w:rsidP="003551B2">
            <w:pPr>
              <w:rPr>
                <w:rFonts w:cstheme="minorHAnsi"/>
              </w:rPr>
            </w:pPr>
            <w:r>
              <w:rPr>
                <w:rFonts w:cstheme="minorHAnsi"/>
              </w:rPr>
              <w:t>September 1-</w:t>
            </w:r>
            <w:r w:rsidR="003551B2">
              <w:rPr>
                <w:rFonts w:cstheme="minorHAnsi"/>
              </w:rPr>
              <w:t>22</w:t>
            </w:r>
            <w:r w:rsidR="00AD47B3" w:rsidRPr="00AD47B3">
              <w:rPr>
                <w:rFonts w:cstheme="minorHAnsi"/>
              </w:rPr>
              <w:t>, 2015</w:t>
            </w:r>
          </w:p>
        </w:tc>
      </w:tr>
    </w:tbl>
    <w:p w14:paraId="62F9A013" w14:textId="77777777" w:rsidR="00C564C6" w:rsidRPr="00C564C6" w:rsidRDefault="00C564C6" w:rsidP="008716F6">
      <w:pPr>
        <w:spacing w:after="20"/>
        <w:rPr>
          <w:rFonts w:cstheme="minorHAnsi"/>
        </w:rPr>
      </w:pPr>
    </w:p>
    <w:p w14:paraId="6E544D17" w14:textId="77777777" w:rsidR="00713CF8" w:rsidRPr="00C564C6" w:rsidRDefault="00713CF8" w:rsidP="008716F6">
      <w:pPr>
        <w:spacing w:after="20"/>
        <w:rPr>
          <w:rFonts w:cstheme="minorHAnsi"/>
          <w:b/>
        </w:rPr>
      </w:pPr>
      <w:r w:rsidRPr="00C564C6">
        <w:rPr>
          <w:rFonts w:cstheme="minorHAnsi"/>
          <w:b/>
        </w:rPr>
        <w:t>A.17 Reason(s) Display of OMB Expiration Date is Inappropriate</w:t>
      </w:r>
    </w:p>
    <w:p w14:paraId="331E5FB8" w14:textId="74048A5B" w:rsidR="00713CF8" w:rsidRPr="00C564C6" w:rsidRDefault="00713CF8" w:rsidP="008716F6">
      <w:pPr>
        <w:spacing w:after="20"/>
        <w:rPr>
          <w:rFonts w:cstheme="minorHAnsi"/>
        </w:rPr>
      </w:pPr>
      <w:r w:rsidRPr="00C564C6">
        <w:rPr>
          <w:rFonts w:cstheme="minorHAnsi"/>
        </w:rPr>
        <w:t>We are not requesting an exemption to the display of the OMB Expiration date.</w:t>
      </w:r>
      <w:r w:rsidR="002C4725" w:rsidRPr="00C564C6">
        <w:rPr>
          <w:rFonts w:cstheme="minorHAnsi"/>
        </w:rPr>
        <w:t xml:space="preserve"> </w:t>
      </w:r>
    </w:p>
    <w:p w14:paraId="2F4AF321" w14:textId="77777777" w:rsidR="00713CF8" w:rsidRPr="00C564C6" w:rsidRDefault="00713CF8" w:rsidP="008716F6">
      <w:pPr>
        <w:spacing w:after="20"/>
        <w:rPr>
          <w:rFonts w:cstheme="minorHAnsi"/>
        </w:rPr>
      </w:pPr>
    </w:p>
    <w:p w14:paraId="695E184B" w14:textId="77777777" w:rsidR="00713CF8" w:rsidRPr="00C564C6" w:rsidRDefault="00713CF8" w:rsidP="00713CF8">
      <w:pPr>
        <w:spacing w:after="20"/>
        <w:rPr>
          <w:rFonts w:cstheme="minorHAnsi"/>
          <w:b/>
        </w:rPr>
      </w:pPr>
      <w:r w:rsidRPr="00C564C6">
        <w:rPr>
          <w:rFonts w:cstheme="minorHAnsi"/>
          <w:b/>
        </w:rPr>
        <w:t>A.18 Exceptions to Certification for Paperwork Reduction Act Submissions</w:t>
      </w:r>
    </w:p>
    <w:p w14:paraId="0F6F72BA" w14:textId="6D3CBF90" w:rsidR="00990709" w:rsidRPr="00C564C6" w:rsidRDefault="0087173D" w:rsidP="00713CF8">
      <w:pPr>
        <w:spacing w:after="20"/>
        <w:rPr>
          <w:rFonts w:cstheme="minorHAnsi"/>
          <w:sz w:val="24"/>
          <w:szCs w:val="24"/>
        </w:rPr>
      </w:pPr>
      <w:r w:rsidRPr="00C564C6">
        <w:rPr>
          <w:rFonts w:cstheme="minorHAnsi"/>
        </w:rPr>
        <w:t>This survey will comply with the requirements in 5 CFR 1320.9.</w:t>
      </w:r>
      <w:r w:rsidR="00990709" w:rsidRPr="00C564C6">
        <w:rPr>
          <w:rFonts w:cstheme="minorHAnsi"/>
          <w:sz w:val="24"/>
          <w:szCs w:val="24"/>
        </w:rPr>
        <w:tab/>
      </w:r>
    </w:p>
    <w:sectPr w:rsidR="00990709" w:rsidRPr="00C564C6" w:rsidSect="007B78B7">
      <w:footerReference w:type="default" r:id="rId10"/>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67EBA" w14:textId="77777777" w:rsidR="002F2FC1" w:rsidRDefault="002F2FC1" w:rsidP="005676C6">
      <w:pPr>
        <w:spacing w:after="0" w:line="240" w:lineRule="auto"/>
      </w:pPr>
      <w:r>
        <w:separator/>
      </w:r>
    </w:p>
  </w:endnote>
  <w:endnote w:type="continuationSeparator" w:id="0">
    <w:p w14:paraId="40874E3F" w14:textId="77777777" w:rsidR="002F2FC1" w:rsidRDefault="002F2FC1"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197E" w14:textId="5D1521CD" w:rsidR="007B78B7" w:rsidRDefault="007B78B7">
    <w:pPr>
      <w:pStyle w:val="Footer"/>
      <w:jc w:val="center"/>
    </w:pPr>
  </w:p>
  <w:p w14:paraId="7DC01D21" w14:textId="77777777" w:rsidR="007B78B7" w:rsidRDefault="007B7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F875A" w14:textId="77777777" w:rsidR="002F2FC1" w:rsidRDefault="002F2FC1" w:rsidP="005676C6">
      <w:pPr>
        <w:spacing w:after="0" w:line="240" w:lineRule="auto"/>
      </w:pPr>
      <w:r>
        <w:separator/>
      </w:r>
    </w:p>
  </w:footnote>
  <w:footnote w:type="continuationSeparator" w:id="0">
    <w:p w14:paraId="37A3743E" w14:textId="77777777" w:rsidR="002F2FC1" w:rsidRDefault="002F2FC1"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21A23"/>
    <w:rsid w:val="00057A71"/>
    <w:rsid w:val="00057C98"/>
    <w:rsid w:val="00063927"/>
    <w:rsid w:val="00063DC1"/>
    <w:rsid w:val="000A796F"/>
    <w:rsid w:val="000B4C09"/>
    <w:rsid w:val="000D35DA"/>
    <w:rsid w:val="00113647"/>
    <w:rsid w:val="00113D5F"/>
    <w:rsid w:val="001435DE"/>
    <w:rsid w:val="0016069E"/>
    <w:rsid w:val="00185105"/>
    <w:rsid w:val="001B2170"/>
    <w:rsid w:val="001C1DC2"/>
    <w:rsid w:val="001D2741"/>
    <w:rsid w:val="001E3759"/>
    <w:rsid w:val="002065DB"/>
    <w:rsid w:val="0021543C"/>
    <w:rsid w:val="00236DA8"/>
    <w:rsid w:val="002727A9"/>
    <w:rsid w:val="00273125"/>
    <w:rsid w:val="00273E4C"/>
    <w:rsid w:val="0029112F"/>
    <w:rsid w:val="0029638B"/>
    <w:rsid w:val="002B193F"/>
    <w:rsid w:val="002C1D97"/>
    <w:rsid w:val="002C4725"/>
    <w:rsid w:val="002F2FC1"/>
    <w:rsid w:val="002F3354"/>
    <w:rsid w:val="00330E82"/>
    <w:rsid w:val="003551B2"/>
    <w:rsid w:val="00382B75"/>
    <w:rsid w:val="003924E9"/>
    <w:rsid w:val="00395820"/>
    <w:rsid w:val="003A14DC"/>
    <w:rsid w:val="003D32E2"/>
    <w:rsid w:val="003D43B1"/>
    <w:rsid w:val="0040282E"/>
    <w:rsid w:val="00413459"/>
    <w:rsid w:val="004409C0"/>
    <w:rsid w:val="00445D4F"/>
    <w:rsid w:val="00446BA0"/>
    <w:rsid w:val="0046633D"/>
    <w:rsid w:val="00477A8E"/>
    <w:rsid w:val="004B3C21"/>
    <w:rsid w:val="004D2AD6"/>
    <w:rsid w:val="004D3302"/>
    <w:rsid w:val="00506DA7"/>
    <w:rsid w:val="00534B5A"/>
    <w:rsid w:val="00551B2D"/>
    <w:rsid w:val="005676C6"/>
    <w:rsid w:val="00573BAB"/>
    <w:rsid w:val="005868BD"/>
    <w:rsid w:val="00586D7F"/>
    <w:rsid w:val="00595D1E"/>
    <w:rsid w:val="005A2F97"/>
    <w:rsid w:val="005B5E5B"/>
    <w:rsid w:val="005D77BA"/>
    <w:rsid w:val="005E2D23"/>
    <w:rsid w:val="00626A3E"/>
    <w:rsid w:val="006854FC"/>
    <w:rsid w:val="00687733"/>
    <w:rsid w:val="0069025C"/>
    <w:rsid w:val="00693A83"/>
    <w:rsid w:val="00695204"/>
    <w:rsid w:val="0069652A"/>
    <w:rsid w:val="006B2ACE"/>
    <w:rsid w:val="006F3226"/>
    <w:rsid w:val="00713CF8"/>
    <w:rsid w:val="0072037C"/>
    <w:rsid w:val="00740F9D"/>
    <w:rsid w:val="00762CFB"/>
    <w:rsid w:val="0079784E"/>
    <w:rsid w:val="007B6FBB"/>
    <w:rsid w:val="007B78B7"/>
    <w:rsid w:val="007D19AD"/>
    <w:rsid w:val="007D66AD"/>
    <w:rsid w:val="007F5A32"/>
    <w:rsid w:val="00816C32"/>
    <w:rsid w:val="008529CC"/>
    <w:rsid w:val="008716F6"/>
    <w:rsid w:val="0087173D"/>
    <w:rsid w:val="00897D34"/>
    <w:rsid w:val="008D12B2"/>
    <w:rsid w:val="008D6113"/>
    <w:rsid w:val="00907E64"/>
    <w:rsid w:val="00920496"/>
    <w:rsid w:val="00942DB8"/>
    <w:rsid w:val="00944ABD"/>
    <w:rsid w:val="00953B2E"/>
    <w:rsid w:val="00962A60"/>
    <w:rsid w:val="00974140"/>
    <w:rsid w:val="0097483A"/>
    <w:rsid w:val="00980900"/>
    <w:rsid w:val="00990709"/>
    <w:rsid w:val="009F4546"/>
    <w:rsid w:val="00A24DA1"/>
    <w:rsid w:val="00A61F11"/>
    <w:rsid w:val="00A622DA"/>
    <w:rsid w:val="00A74631"/>
    <w:rsid w:val="00AA355D"/>
    <w:rsid w:val="00AB60E0"/>
    <w:rsid w:val="00AC113B"/>
    <w:rsid w:val="00AD0A31"/>
    <w:rsid w:val="00AD2C35"/>
    <w:rsid w:val="00AD47B3"/>
    <w:rsid w:val="00AD7BAB"/>
    <w:rsid w:val="00AF01AD"/>
    <w:rsid w:val="00B20D87"/>
    <w:rsid w:val="00B23C1D"/>
    <w:rsid w:val="00B575BB"/>
    <w:rsid w:val="00B732AC"/>
    <w:rsid w:val="00B879E8"/>
    <w:rsid w:val="00B97CC8"/>
    <w:rsid w:val="00BB14C2"/>
    <w:rsid w:val="00BB41D9"/>
    <w:rsid w:val="00BB7115"/>
    <w:rsid w:val="00BD46C4"/>
    <w:rsid w:val="00BE135A"/>
    <w:rsid w:val="00BE197D"/>
    <w:rsid w:val="00C0501F"/>
    <w:rsid w:val="00C20ED9"/>
    <w:rsid w:val="00C465FF"/>
    <w:rsid w:val="00C54424"/>
    <w:rsid w:val="00C564C6"/>
    <w:rsid w:val="00C831CE"/>
    <w:rsid w:val="00CB4C39"/>
    <w:rsid w:val="00CC32B1"/>
    <w:rsid w:val="00CF1726"/>
    <w:rsid w:val="00D35DA6"/>
    <w:rsid w:val="00D45A58"/>
    <w:rsid w:val="00D605CF"/>
    <w:rsid w:val="00D6099F"/>
    <w:rsid w:val="00D66FD1"/>
    <w:rsid w:val="00D72137"/>
    <w:rsid w:val="00DB27F3"/>
    <w:rsid w:val="00DF6124"/>
    <w:rsid w:val="00E13104"/>
    <w:rsid w:val="00E152A8"/>
    <w:rsid w:val="00E33992"/>
    <w:rsid w:val="00E46078"/>
    <w:rsid w:val="00E712FF"/>
    <w:rsid w:val="00E92C95"/>
    <w:rsid w:val="00EB437A"/>
    <w:rsid w:val="00EB77CC"/>
    <w:rsid w:val="00EC499E"/>
    <w:rsid w:val="00ED1560"/>
    <w:rsid w:val="00ED4628"/>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ronicle.com/article/2013-14-AAUP-Faculty-Salary/14567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ronicle.com/article/2013-14-AAUP-Faculty-Salary/145679?cid=mega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2015-04-29T20:34:00Z</cp:lastPrinted>
  <dcterms:created xsi:type="dcterms:W3CDTF">2015-05-12T16:58:00Z</dcterms:created>
  <dcterms:modified xsi:type="dcterms:W3CDTF">2015-05-12T16:58:00Z</dcterms:modified>
</cp:coreProperties>
</file>