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4DBD" w14:textId="77777777" w:rsidR="003554BB" w:rsidRDefault="003554BB" w:rsidP="00B23CE4">
      <w:pPr>
        <w:pStyle w:val="Heading1"/>
        <w:rPr>
          <w:rFonts w:asciiTheme="minorHAnsi" w:hAnsiTheme="minorHAnsi"/>
          <w:color w:val="auto"/>
          <w:sz w:val="24"/>
          <w:szCs w:val="24"/>
        </w:rPr>
      </w:pPr>
      <w:bookmarkStart w:id="0" w:name="_Toc386467466"/>
      <w:r>
        <w:rPr>
          <w:noProof/>
        </w:rPr>
        <w:drawing>
          <wp:anchor distT="0" distB="0" distL="114300" distR="114300" simplePos="0" relativeHeight="251659264" behindDoc="0" locked="0" layoutInCell="1" allowOverlap="1" wp14:anchorId="687D4DE1" wp14:editId="687D4DE2">
            <wp:simplePos x="0" y="0"/>
            <wp:positionH relativeFrom="margin">
              <wp:posOffset>4209415</wp:posOffset>
            </wp:positionH>
            <wp:positionV relativeFrom="margin">
              <wp:posOffset>-340360</wp:posOffset>
            </wp:positionV>
            <wp:extent cx="1543050"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43050" cy="952500"/>
                    </a:xfrm>
                    <a:prstGeom prst="rect">
                      <a:avLst/>
                    </a:prstGeom>
                    <a:noFill/>
                    <a:ln w="9525">
                      <a:noFill/>
                      <a:miter lim="800000"/>
                      <a:headEnd/>
                      <a:tailEnd/>
                    </a:ln>
                  </pic:spPr>
                </pic:pic>
              </a:graphicData>
            </a:graphic>
          </wp:anchor>
        </w:drawing>
      </w:r>
    </w:p>
    <w:p w14:paraId="687D4DBE" w14:textId="408B384B" w:rsidR="003554BB" w:rsidRPr="00C7774A" w:rsidRDefault="003554BB" w:rsidP="003554BB">
      <w:pPr>
        <w:spacing w:after="0" w:line="240" w:lineRule="auto"/>
        <w:rPr>
          <w:rFonts w:cstheme="minorHAnsi"/>
        </w:rPr>
      </w:pPr>
      <w:r w:rsidRPr="00C7774A">
        <w:rPr>
          <w:rFonts w:cstheme="minorHAnsi"/>
        </w:rPr>
        <w:t>DATE:</w:t>
      </w:r>
      <w:r w:rsidRPr="00C7774A">
        <w:rPr>
          <w:rFonts w:cstheme="minorHAnsi"/>
        </w:rPr>
        <w:tab/>
      </w:r>
      <w:r w:rsidRPr="00C7774A">
        <w:rPr>
          <w:rFonts w:cstheme="minorHAnsi"/>
        </w:rPr>
        <w:tab/>
      </w:r>
      <w:r w:rsidR="00811E92">
        <w:rPr>
          <w:rFonts w:cstheme="minorHAnsi"/>
        </w:rPr>
        <w:t>December 02</w:t>
      </w:r>
      <w:bookmarkStart w:id="1" w:name="_GoBack"/>
      <w:bookmarkEnd w:id="1"/>
      <w:r w:rsidRPr="000443A6">
        <w:rPr>
          <w:rFonts w:cstheme="minorHAnsi"/>
        </w:rPr>
        <w:t>, 2014</w:t>
      </w:r>
    </w:p>
    <w:p w14:paraId="687D4DBF" w14:textId="77777777" w:rsidR="003554BB" w:rsidRPr="00C7774A" w:rsidRDefault="003554BB" w:rsidP="003554BB">
      <w:pPr>
        <w:spacing w:after="0" w:line="240" w:lineRule="auto"/>
        <w:rPr>
          <w:rFonts w:cstheme="minorHAnsi"/>
        </w:rPr>
      </w:pPr>
    </w:p>
    <w:p w14:paraId="687D4DC0" w14:textId="77777777" w:rsidR="003554BB" w:rsidRPr="00C7774A" w:rsidRDefault="003554BB" w:rsidP="003554BB">
      <w:pPr>
        <w:spacing w:after="0" w:line="240" w:lineRule="auto"/>
        <w:rPr>
          <w:rFonts w:cstheme="minorHAnsi"/>
        </w:rPr>
      </w:pPr>
      <w:r w:rsidRPr="00C7774A">
        <w:rPr>
          <w:rFonts w:cstheme="minorHAnsi"/>
        </w:rPr>
        <w:t>TO:</w:t>
      </w:r>
      <w:r w:rsidRPr="00C7774A">
        <w:rPr>
          <w:rFonts w:cstheme="minorHAnsi"/>
        </w:rPr>
        <w:tab/>
      </w:r>
      <w:r w:rsidRPr="00C7774A">
        <w:rPr>
          <w:rFonts w:cstheme="minorHAnsi"/>
        </w:rPr>
        <w:tab/>
        <w:t>Dr. Margo Schwab</w:t>
      </w:r>
    </w:p>
    <w:p w14:paraId="687D4DC1" w14:textId="77777777" w:rsidR="003554BB" w:rsidRPr="00C7774A" w:rsidRDefault="003554BB" w:rsidP="003554BB">
      <w:pPr>
        <w:spacing w:after="0" w:line="240" w:lineRule="auto"/>
        <w:rPr>
          <w:rFonts w:cstheme="minorHAnsi"/>
        </w:rPr>
      </w:pPr>
      <w:r w:rsidRPr="00C7774A">
        <w:rPr>
          <w:rFonts w:cstheme="minorHAnsi"/>
        </w:rPr>
        <w:tab/>
      </w:r>
      <w:r w:rsidRPr="00C7774A">
        <w:rPr>
          <w:rFonts w:cstheme="minorHAnsi"/>
        </w:rPr>
        <w:tab/>
        <w:t>Office of Management and Budget</w:t>
      </w:r>
    </w:p>
    <w:p w14:paraId="687D4DC2" w14:textId="77777777" w:rsidR="003554BB" w:rsidRPr="00C7774A" w:rsidRDefault="003554BB" w:rsidP="003554BB">
      <w:pPr>
        <w:spacing w:after="0" w:line="240" w:lineRule="auto"/>
        <w:rPr>
          <w:rFonts w:cstheme="minorHAnsi"/>
        </w:rPr>
      </w:pPr>
      <w:r w:rsidRPr="00C7774A">
        <w:rPr>
          <w:rFonts w:cstheme="minorHAnsi"/>
        </w:rPr>
        <w:tab/>
      </w:r>
      <w:r w:rsidRPr="00C7774A">
        <w:rPr>
          <w:rFonts w:cstheme="minorHAnsi"/>
        </w:rPr>
        <w:tab/>
        <w:t>Office of Information and Regulatory Affairs</w:t>
      </w:r>
    </w:p>
    <w:p w14:paraId="687D4DC3" w14:textId="77777777" w:rsidR="003554BB" w:rsidRPr="00C7774A" w:rsidRDefault="003554BB" w:rsidP="003554BB">
      <w:pPr>
        <w:spacing w:after="0" w:line="240" w:lineRule="auto"/>
        <w:rPr>
          <w:rFonts w:cstheme="minorHAnsi"/>
        </w:rPr>
      </w:pPr>
    </w:p>
    <w:p w14:paraId="687D4DC4" w14:textId="77777777" w:rsidR="003554BB" w:rsidRPr="00C7774A" w:rsidRDefault="003554BB" w:rsidP="003554BB">
      <w:pPr>
        <w:tabs>
          <w:tab w:val="left" w:pos="1440"/>
        </w:tabs>
        <w:spacing w:after="0" w:line="240" w:lineRule="auto"/>
        <w:rPr>
          <w:rFonts w:cstheme="minorHAnsi"/>
        </w:rPr>
      </w:pPr>
      <w:r w:rsidRPr="00C7774A">
        <w:rPr>
          <w:rFonts w:cstheme="minorHAnsi"/>
        </w:rPr>
        <w:t xml:space="preserve">FROM: </w:t>
      </w:r>
      <w:r w:rsidRPr="00C7774A">
        <w:rPr>
          <w:rFonts w:cstheme="minorHAnsi"/>
        </w:rPr>
        <w:tab/>
      </w:r>
      <w:r>
        <w:rPr>
          <w:rFonts w:cstheme="minorHAnsi"/>
        </w:rPr>
        <w:t>National Children’s Study Program Office</w:t>
      </w:r>
    </w:p>
    <w:p w14:paraId="687D4DC5" w14:textId="77777777" w:rsidR="003554BB" w:rsidRPr="00C7774A" w:rsidRDefault="003554BB" w:rsidP="003554BB">
      <w:pPr>
        <w:spacing w:after="0" w:line="240" w:lineRule="auto"/>
        <w:rPr>
          <w:rFonts w:cstheme="minorHAnsi"/>
        </w:rPr>
      </w:pPr>
    </w:p>
    <w:p w14:paraId="687D4DC6" w14:textId="66C17EA4" w:rsidR="003554BB" w:rsidRPr="004F025D" w:rsidRDefault="003554BB" w:rsidP="003554BB">
      <w:pPr>
        <w:spacing w:after="0" w:line="240" w:lineRule="auto"/>
        <w:ind w:left="1440" w:hanging="1440"/>
        <w:rPr>
          <w:rFonts w:cstheme="minorHAnsi"/>
          <w:highlight w:val="yellow"/>
        </w:rPr>
      </w:pPr>
      <w:r w:rsidRPr="00C7774A">
        <w:rPr>
          <w:rFonts w:cstheme="minorHAnsi"/>
        </w:rPr>
        <w:t>SUBJECT:</w:t>
      </w:r>
      <w:r w:rsidRPr="00C7774A">
        <w:rPr>
          <w:rFonts w:cstheme="minorHAnsi"/>
        </w:rPr>
        <w:tab/>
        <w:t>Request for Non-Substantive Change to National Children’s Study</w:t>
      </w:r>
      <w:r w:rsidRPr="001325DC">
        <w:rPr>
          <w:rFonts w:cstheme="minorHAnsi"/>
        </w:rPr>
        <w:t xml:space="preserve">, </w:t>
      </w:r>
      <w:r w:rsidR="005E5989">
        <w:rPr>
          <w:rFonts w:cstheme="minorHAnsi"/>
        </w:rPr>
        <w:t xml:space="preserve">Neuropsychosocial Generic Clearance </w:t>
      </w:r>
      <w:r w:rsidRPr="001325DC">
        <w:rPr>
          <w:rFonts w:cstheme="minorHAnsi"/>
        </w:rPr>
        <w:t>(OMB Control #0925-0</w:t>
      </w:r>
      <w:r w:rsidR="009B4C73" w:rsidRPr="001325DC">
        <w:rPr>
          <w:rFonts w:cstheme="minorHAnsi"/>
        </w:rPr>
        <w:t>661</w:t>
      </w:r>
      <w:r w:rsidRPr="001325DC">
        <w:rPr>
          <w:rFonts w:cstheme="minorHAnsi"/>
        </w:rPr>
        <w:t>, Expiration Date: June 30, 201</w:t>
      </w:r>
      <w:r w:rsidR="009B4C73" w:rsidRPr="001325DC">
        <w:rPr>
          <w:rFonts w:cstheme="minorHAnsi"/>
        </w:rPr>
        <w:t>5</w:t>
      </w:r>
      <w:r w:rsidR="001325DC">
        <w:rPr>
          <w:rFonts w:cstheme="minorHAnsi"/>
        </w:rPr>
        <w:t>)</w:t>
      </w:r>
      <w:r w:rsidRPr="001325DC">
        <w:rPr>
          <w:rFonts w:cstheme="minorHAnsi"/>
        </w:rPr>
        <w:t xml:space="preserve"> </w:t>
      </w:r>
      <w:r w:rsidR="005E5989">
        <w:rPr>
          <w:rFonts w:cstheme="minorHAnsi"/>
        </w:rPr>
        <w:t>Parental Mental Health Formative Research Project (LOI3-MHLTH-09)</w:t>
      </w:r>
    </w:p>
    <w:p w14:paraId="687D4DC8" w14:textId="77777777" w:rsidR="003554BB" w:rsidRPr="00C7774A" w:rsidRDefault="003554BB" w:rsidP="003554BB">
      <w:pPr>
        <w:spacing w:after="0" w:line="240" w:lineRule="auto"/>
        <w:ind w:left="1440" w:hanging="1440"/>
        <w:rPr>
          <w:rFonts w:cstheme="minorHAnsi"/>
        </w:rPr>
      </w:pPr>
    </w:p>
    <w:p w14:paraId="687D4DC9" w14:textId="77777777" w:rsidR="003554BB" w:rsidRPr="008D51A5" w:rsidRDefault="003554BB" w:rsidP="003554BB">
      <w:pPr>
        <w:spacing w:after="0" w:line="240" w:lineRule="auto"/>
        <w:ind w:left="1440" w:hanging="1440"/>
        <w:rPr>
          <w:rFonts w:cstheme="minorHAnsi"/>
        </w:rPr>
      </w:pPr>
      <w:r w:rsidRPr="008D51A5">
        <w:rPr>
          <w:rFonts w:cstheme="minorHAnsi"/>
        </w:rPr>
        <w:t>CC:</w:t>
      </w:r>
      <w:r w:rsidRPr="008D51A5">
        <w:rPr>
          <w:rFonts w:cstheme="minorHAnsi"/>
        </w:rPr>
        <w:tab/>
        <w:t>Ms. Seleda Perryman</w:t>
      </w:r>
      <w:r>
        <w:rPr>
          <w:rFonts w:cstheme="minorHAnsi"/>
        </w:rPr>
        <w:t xml:space="preserve">, Ms. Mikia Currie, </w:t>
      </w:r>
      <w:r w:rsidRPr="008D51A5">
        <w:rPr>
          <w:rFonts w:cstheme="minorHAnsi"/>
        </w:rPr>
        <w:t>Dr. S</w:t>
      </w:r>
      <w:r>
        <w:rPr>
          <w:rFonts w:cstheme="minorHAnsi"/>
        </w:rPr>
        <w:t>arah Glavin, Ms. Jamelle Banks</w:t>
      </w:r>
    </w:p>
    <w:p w14:paraId="687D4DCA" w14:textId="77777777" w:rsidR="003554BB" w:rsidRPr="008D51A5" w:rsidRDefault="003554BB" w:rsidP="003554BB">
      <w:pPr>
        <w:pBdr>
          <w:bottom w:val="single" w:sz="12" w:space="1" w:color="auto"/>
        </w:pBdr>
        <w:ind w:left="1440" w:hanging="1440"/>
        <w:rPr>
          <w:rFonts w:cstheme="minorHAnsi"/>
        </w:rPr>
      </w:pPr>
    </w:p>
    <w:p w14:paraId="25AEB539" w14:textId="2B3B7CF9" w:rsidR="00AC6EDA" w:rsidRDefault="003554BB" w:rsidP="001325DC">
      <w:pPr>
        <w:spacing w:after="0" w:line="240" w:lineRule="auto"/>
      </w:pPr>
      <w:r>
        <w:t xml:space="preserve">The National Children’s Study (NCS) received a Notice of Action from the Office of Management and Budget (OMB) on </w:t>
      </w:r>
      <w:r w:rsidR="009B4C73" w:rsidRPr="00721887">
        <w:t>November 25</w:t>
      </w:r>
      <w:r w:rsidRPr="00721887">
        <w:t>, 201</w:t>
      </w:r>
      <w:r w:rsidR="009B4C73" w:rsidRPr="00721887">
        <w:t>3</w:t>
      </w:r>
      <w:r>
        <w:t xml:space="preserve"> approving the </w:t>
      </w:r>
      <w:r w:rsidR="00AC6EDA">
        <w:t xml:space="preserve">new generic allocation, </w:t>
      </w:r>
      <w:r w:rsidR="00AC6EDA" w:rsidRPr="00AC6EDA">
        <w:t>A Methodological Study to Assess Mental Disorders for NCS Birth Parents</w:t>
      </w:r>
      <w:r w:rsidR="005E5989">
        <w:t xml:space="preserve"> (LOI3-MHLTH-09)</w:t>
      </w:r>
      <w:r w:rsidR="00AC6EDA">
        <w:t xml:space="preserve">, </w:t>
      </w:r>
      <w:r w:rsidR="00721887">
        <w:t>under the Neuropsychosocial Generic Clearance (#0925-0661).</w:t>
      </w:r>
    </w:p>
    <w:p w14:paraId="5C4874C5" w14:textId="77777777" w:rsidR="001325DC" w:rsidRDefault="001325DC" w:rsidP="001325DC">
      <w:pPr>
        <w:spacing w:after="0" w:line="240" w:lineRule="auto"/>
      </w:pPr>
    </w:p>
    <w:p w14:paraId="687D4DD8" w14:textId="37806E1C" w:rsidR="001C6B83" w:rsidRDefault="009D0CE7" w:rsidP="001325DC">
      <w:pPr>
        <w:spacing w:after="0" w:line="240" w:lineRule="auto"/>
      </w:pPr>
      <w:r>
        <w:t>T</w:t>
      </w:r>
      <w:r w:rsidR="001C6B83">
        <w:t>he NCS</w:t>
      </w:r>
      <w:r w:rsidR="001C6B83" w:rsidRPr="00BC16B6">
        <w:t xml:space="preserve"> request</w:t>
      </w:r>
      <w:r w:rsidR="001C6B83">
        <w:t xml:space="preserve">s a non-substantive change from </w:t>
      </w:r>
      <w:r w:rsidR="001C6B83" w:rsidRPr="00BC16B6">
        <w:t>Office of Information and Regulatory Affairs (OIRA</w:t>
      </w:r>
      <w:r w:rsidR="001C6B83">
        <w:t xml:space="preserve">) to reflect refinements made to </w:t>
      </w:r>
      <w:r>
        <w:t xml:space="preserve">the </w:t>
      </w:r>
      <w:r w:rsidR="001C6B83">
        <w:t xml:space="preserve">previously approved </w:t>
      </w:r>
      <w:r>
        <w:t>formative research project</w:t>
      </w:r>
      <w:r w:rsidR="001C6B83">
        <w:t xml:space="preserve">.  Details are provided below.  </w:t>
      </w:r>
    </w:p>
    <w:p w14:paraId="2840E474" w14:textId="77777777" w:rsidR="001325DC" w:rsidRDefault="001325DC" w:rsidP="001325DC">
      <w:pPr>
        <w:spacing w:after="0" w:line="240" w:lineRule="auto"/>
        <w:rPr>
          <w:b/>
        </w:rPr>
      </w:pPr>
    </w:p>
    <w:p w14:paraId="687D4DD9" w14:textId="77777777" w:rsidR="001C6B83" w:rsidRPr="002E3DBF" w:rsidRDefault="0086097A" w:rsidP="001325DC">
      <w:pPr>
        <w:spacing w:after="0" w:line="240" w:lineRule="auto"/>
        <w:rPr>
          <w:b/>
        </w:rPr>
      </w:pPr>
      <w:r w:rsidRPr="002E3DBF">
        <w:rPr>
          <w:b/>
        </w:rPr>
        <w:t>Collection of Saliva Specimens</w:t>
      </w:r>
    </w:p>
    <w:p w14:paraId="687D4DDB" w14:textId="3FC0D082" w:rsidR="0086097A" w:rsidRDefault="0086097A" w:rsidP="001325DC">
      <w:pPr>
        <w:spacing w:after="0" w:line="240" w:lineRule="auto"/>
      </w:pPr>
      <w:r w:rsidRPr="0086097A">
        <w:t>We propose to enhance the ongoing Parental Mental Health Study t</w:t>
      </w:r>
      <w:r w:rsidR="002C5B1D">
        <w:t xml:space="preserve">o determine telomere length in as many as </w:t>
      </w:r>
      <w:r w:rsidR="009B06DD">
        <w:t xml:space="preserve">400 </w:t>
      </w:r>
      <w:r w:rsidR="002C5B1D">
        <w:t xml:space="preserve">of the 1200 study parents and to </w:t>
      </w:r>
      <w:r w:rsidRPr="0086097A">
        <w:t>explore the relationship of telomere length across multiple mental health conditions.</w:t>
      </w:r>
      <w:r>
        <w:t xml:space="preserve">  This can be accomplished through the collection of saliva samples. </w:t>
      </w:r>
    </w:p>
    <w:p w14:paraId="7996D5E1" w14:textId="77777777" w:rsidR="001325DC" w:rsidRDefault="001325DC" w:rsidP="001325DC">
      <w:pPr>
        <w:pStyle w:val="Default"/>
        <w:rPr>
          <w:rFonts w:asciiTheme="minorHAnsi" w:eastAsiaTheme="minorEastAsia" w:hAnsiTheme="minorHAnsi" w:cstheme="minorBidi"/>
          <w:i/>
          <w:color w:val="auto"/>
          <w:sz w:val="22"/>
          <w:szCs w:val="22"/>
          <w:u w:val="single"/>
        </w:rPr>
      </w:pPr>
    </w:p>
    <w:p w14:paraId="4AB70ABF" w14:textId="5C48415C" w:rsidR="00660C29" w:rsidRPr="00C33586" w:rsidRDefault="0086097A" w:rsidP="00660C29">
      <w:pPr>
        <w:pStyle w:val="ListBullet2"/>
        <w:numPr>
          <w:ilvl w:val="0"/>
          <w:numId w:val="0"/>
        </w:numPr>
        <w:rPr>
          <w:b w:val="0"/>
          <w:sz w:val="24"/>
        </w:rPr>
      </w:pPr>
      <w:r w:rsidRPr="001325DC">
        <w:rPr>
          <w:rFonts w:asciiTheme="minorHAnsi" w:eastAsiaTheme="minorEastAsia" w:hAnsiTheme="minorHAnsi" w:cstheme="minorBidi"/>
          <w:i/>
          <w:sz w:val="22"/>
          <w:szCs w:val="22"/>
          <w:u w:val="single"/>
        </w:rPr>
        <w:t>Rationale.</w:t>
      </w:r>
      <w:r w:rsidRPr="001325DC">
        <w:rPr>
          <w:rFonts w:asciiTheme="minorHAnsi" w:eastAsiaTheme="minorEastAsia" w:hAnsiTheme="minorHAnsi" w:cstheme="minorBidi"/>
          <w:sz w:val="22"/>
          <w:szCs w:val="22"/>
        </w:rPr>
        <w:t xml:space="preserve">  </w:t>
      </w:r>
      <w:r w:rsidR="00660C29" w:rsidRPr="00660C29">
        <w:rPr>
          <w:rFonts w:asciiTheme="minorHAnsi" w:eastAsiaTheme="minorEastAsia" w:hAnsiTheme="minorHAnsi" w:cstheme="minorBidi"/>
          <w:b w:val="0"/>
          <w:sz w:val="22"/>
          <w:szCs w:val="22"/>
        </w:rPr>
        <w:t>In recent years</w:t>
      </w:r>
      <w:r w:rsidR="00660C29">
        <w:rPr>
          <w:rFonts w:asciiTheme="minorHAnsi" w:eastAsiaTheme="minorEastAsia" w:hAnsiTheme="minorHAnsi" w:cstheme="minorBidi"/>
          <w:b w:val="0"/>
          <w:sz w:val="22"/>
          <w:szCs w:val="22"/>
        </w:rPr>
        <w:t>,</w:t>
      </w:r>
      <w:r w:rsidR="00660C29" w:rsidRPr="00660C29">
        <w:rPr>
          <w:rFonts w:asciiTheme="minorHAnsi" w:eastAsiaTheme="minorEastAsia" w:hAnsiTheme="minorHAnsi" w:cstheme="minorBidi"/>
          <w:b w:val="0"/>
          <w:sz w:val="22"/>
          <w:szCs w:val="22"/>
        </w:rPr>
        <w:t xml:space="preserve"> chromosome telomere length has been identified as a biological marker of cumulative stress and biological aging, and may be as or even more valid than psychological measures.  A quick, inexpensive assay for evaluation of chromosomal telomere length using saliva cells is now available.  The assay does not involve or rely on analysis of genes but is a measure of the physical length of the ends of chromosomes. </w:t>
      </w:r>
      <w:r w:rsidR="00E108F9">
        <w:rPr>
          <w:rFonts w:asciiTheme="minorHAnsi" w:eastAsiaTheme="minorEastAsia" w:hAnsiTheme="minorHAnsi" w:cstheme="minorBidi"/>
          <w:b w:val="0"/>
          <w:sz w:val="22"/>
          <w:szCs w:val="22"/>
        </w:rPr>
        <w:t xml:space="preserve"> </w:t>
      </w:r>
      <w:r w:rsidR="00660C29" w:rsidRPr="00660C29">
        <w:rPr>
          <w:rFonts w:asciiTheme="minorHAnsi" w:eastAsiaTheme="minorEastAsia" w:hAnsiTheme="minorHAnsi" w:cstheme="minorBidi"/>
          <w:b w:val="0"/>
          <w:sz w:val="22"/>
          <w:szCs w:val="22"/>
        </w:rPr>
        <w:t>For purposes of the NCS that will be following 100,000 kids and their parents for 21 years, the potential value of a simple inexpensive measure of toxic stress and possibly declines in health status that can be collected quickly is immense.</w:t>
      </w:r>
    </w:p>
    <w:p w14:paraId="47BA83D4" w14:textId="77777777" w:rsidR="00660C29" w:rsidRDefault="00660C29" w:rsidP="002C5B1D">
      <w:pPr>
        <w:pStyle w:val="Default"/>
        <w:rPr>
          <w:rFonts w:asciiTheme="minorHAnsi" w:eastAsiaTheme="minorEastAsia" w:hAnsiTheme="minorHAnsi" w:cstheme="minorBidi"/>
          <w:color w:val="auto"/>
          <w:sz w:val="22"/>
          <w:szCs w:val="22"/>
        </w:rPr>
      </w:pPr>
    </w:p>
    <w:p w14:paraId="29BF9237" w14:textId="5960424B" w:rsidR="001325DC" w:rsidRPr="002C5B1D" w:rsidRDefault="0086097A" w:rsidP="002C5B1D">
      <w:pPr>
        <w:pStyle w:val="Default"/>
        <w:rPr>
          <w:rFonts w:asciiTheme="minorHAnsi" w:eastAsiaTheme="minorEastAsia" w:hAnsiTheme="minorHAnsi" w:cstheme="minorBidi"/>
          <w:color w:val="auto"/>
          <w:sz w:val="22"/>
          <w:szCs w:val="22"/>
        </w:rPr>
      </w:pPr>
      <w:r w:rsidRPr="001325DC">
        <w:rPr>
          <w:rFonts w:asciiTheme="minorHAnsi" w:eastAsiaTheme="minorEastAsia" w:hAnsiTheme="minorHAnsi" w:cstheme="minorBidi"/>
          <w:color w:val="auto"/>
          <w:sz w:val="22"/>
          <w:szCs w:val="22"/>
        </w:rPr>
        <w:t xml:space="preserve">Chromosomes are protected against spontaneous DNA damage and other errors in replication by telomeres, which are caps at ends of chromosomes.  With cell replication across the lifespan, telomeres shorten in human somatic cells.  Telomere shortening has been observed in association with psychological adversity and other multiple conditions promoting inflammation and oxidation including depression and stress disorders. </w:t>
      </w:r>
      <w:r w:rsidR="001325DC" w:rsidRPr="001325DC">
        <w:rPr>
          <w:rFonts w:asciiTheme="minorHAnsi" w:eastAsiaTheme="minorEastAsia" w:hAnsiTheme="minorHAnsi" w:cstheme="minorBidi"/>
          <w:color w:val="auto"/>
          <w:sz w:val="22"/>
          <w:szCs w:val="22"/>
        </w:rPr>
        <w:t xml:space="preserve"> </w:t>
      </w:r>
      <w:r w:rsidR="001325DC">
        <w:rPr>
          <w:rFonts w:asciiTheme="minorHAnsi" w:eastAsiaTheme="minorEastAsia" w:hAnsiTheme="minorHAnsi" w:cstheme="minorBidi"/>
          <w:color w:val="auto"/>
          <w:sz w:val="22"/>
          <w:szCs w:val="22"/>
        </w:rPr>
        <w:t>R</w:t>
      </w:r>
      <w:r w:rsidR="001325DC" w:rsidRPr="001325DC">
        <w:rPr>
          <w:rFonts w:asciiTheme="minorHAnsi" w:eastAsiaTheme="minorEastAsia" w:hAnsiTheme="minorHAnsi" w:cstheme="minorBidi"/>
          <w:color w:val="auto"/>
          <w:sz w:val="22"/>
          <w:szCs w:val="22"/>
        </w:rPr>
        <w:t>esearch findings in the past year have indicated reduced telomere length in depressed adults, (Wolkowitz, Mellon et al. 2011; Wolkowitz, Reus et al. 2011; Wolkowitz, Mellon et al. 2012) those with traumatic stress disorder (Ladwig, Brockhaus et al. 2013)</w:t>
      </w:r>
      <w:r w:rsidR="002C5B1D" w:rsidRPr="002C5B1D">
        <w:rPr>
          <w:rFonts w:asciiTheme="minorHAnsi" w:eastAsiaTheme="minorEastAsia" w:hAnsiTheme="minorHAnsi" w:cstheme="minorBidi"/>
          <w:color w:val="auto"/>
          <w:sz w:val="22"/>
          <w:szCs w:val="22"/>
        </w:rPr>
        <w:t xml:space="preserve"> and individuals exposed to family violence (Drury and Theall 2014; Drury, Mabile et al. 2014).</w:t>
      </w:r>
    </w:p>
    <w:p w14:paraId="2DC4FFD2" w14:textId="77777777" w:rsidR="001325DC" w:rsidRDefault="001325DC" w:rsidP="001325DC">
      <w:pPr>
        <w:spacing w:after="0" w:line="240" w:lineRule="auto"/>
      </w:pPr>
    </w:p>
    <w:p w14:paraId="6BEAE51C" w14:textId="77777777" w:rsidR="004D3CAC" w:rsidRDefault="00CC5F75" w:rsidP="004D3CAC">
      <w:pPr>
        <w:pStyle w:val="Default"/>
        <w:rPr>
          <w:rFonts w:asciiTheme="minorHAnsi" w:eastAsiaTheme="minorEastAsia" w:hAnsiTheme="minorHAnsi" w:cstheme="minorBidi"/>
          <w:color w:val="auto"/>
          <w:sz w:val="22"/>
          <w:szCs w:val="22"/>
        </w:rPr>
      </w:pPr>
      <w:r w:rsidRPr="00CC5F75">
        <w:rPr>
          <w:rFonts w:asciiTheme="minorHAnsi" w:eastAsiaTheme="minorEastAsia" w:hAnsiTheme="minorHAnsi" w:cstheme="minorBidi"/>
          <w:color w:val="auto"/>
          <w:sz w:val="22"/>
          <w:szCs w:val="22"/>
        </w:rPr>
        <w:t xml:space="preserve">The </w:t>
      </w:r>
      <w:r>
        <w:rPr>
          <w:rFonts w:asciiTheme="minorHAnsi" w:eastAsiaTheme="minorEastAsia" w:hAnsiTheme="minorHAnsi" w:cstheme="minorBidi"/>
          <w:color w:val="auto"/>
          <w:sz w:val="22"/>
          <w:szCs w:val="22"/>
        </w:rPr>
        <w:t>NCS requests to</w:t>
      </w:r>
      <w:r w:rsidRPr="00CC5F75">
        <w:rPr>
          <w:rFonts w:asciiTheme="minorHAnsi" w:eastAsiaTheme="minorEastAsia" w:hAnsiTheme="minorHAnsi" w:cstheme="minorBidi"/>
          <w:color w:val="auto"/>
          <w:sz w:val="22"/>
          <w:szCs w:val="22"/>
        </w:rPr>
        <w:t xml:space="preserve"> explore the value of telomere length as a general indicator of psychological stress based upon a biomarker that could enhance or even replace phenomenologically based mental health screens some of which can be lengthy and burdensome for subjects. </w:t>
      </w:r>
      <w:r>
        <w:rPr>
          <w:rFonts w:asciiTheme="minorHAnsi" w:eastAsiaTheme="minorEastAsia" w:hAnsiTheme="minorHAnsi" w:cstheme="minorBidi"/>
          <w:color w:val="auto"/>
          <w:sz w:val="22"/>
          <w:szCs w:val="22"/>
        </w:rPr>
        <w:t xml:space="preserve"> </w:t>
      </w:r>
      <w:r w:rsidRPr="00CC5F75">
        <w:rPr>
          <w:rFonts w:asciiTheme="minorHAnsi" w:eastAsiaTheme="minorEastAsia" w:hAnsiTheme="minorHAnsi" w:cstheme="minorBidi"/>
          <w:color w:val="auto"/>
          <w:sz w:val="22"/>
          <w:szCs w:val="22"/>
        </w:rPr>
        <w:t xml:space="preserve">Telomere length specimen assays are inexpensive and use saliva or buccal swabs as biological sources. </w:t>
      </w:r>
    </w:p>
    <w:p w14:paraId="7C3FEE55" w14:textId="77777777" w:rsidR="004D3CAC" w:rsidRDefault="004D3CAC" w:rsidP="004D3CAC">
      <w:pPr>
        <w:pStyle w:val="Default"/>
        <w:rPr>
          <w:rFonts w:asciiTheme="minorHAnsi" w:eastAsiaTheme="minorEastAsia" w:hAnsiTheme="minorHAnsi" w:cstheme="minorBidi"/>
          <w:color w:val="auto"/>
          <w:sz w:val="22"/>
          <w:szCs w:val="22"/>
        </w:rPr>
      </w:pPr>
    </w:p>
    <w:p w14:paraId="687D4DDD" w14:textId="77A5D1BE" w:rsidR="0086097A" w:rsidRPr="00CC5F75" w:rsidRDefault="0086097A" w:rsidP="00CC5F75">
      <w:pPr>
        <w:pStyle w:val="Default"/>
        <w:rPr>
          <w:rFonts w:asciiTheme="minorHAnsi" w:eastAsiaTheme="minorEastAsia" w:hAnsiTheme="minorHAnsi" w:cstheme="minorBidi"/>
          <w:color w:val="auto"/>
          <w:sz w:val="22"/>
          <w:szCs w:val="22"/>
        </w:rPr>
      </w:pPr>
      <w:r w:rsidRPr="00CC5F75">
        <w:rPr>
          <w:rFonts w:asciiTheme="minorHAnsi" w:eastAsiaTheme="minorEastAsia" w:hAnsiTheme="minorHAnsi" w:cstheme="minorBidi"/>
          <w:color w:val="auto"/>
          <w:sz w:val="22"/>
          <w:szCs w:val="22"/>
        </w:rPr>
        <w:t>There is growing evidence that telomere biology may be an important mediator of an individual’s health as well as serving as a measurable, valid biomarker of</w:t>
      </w:r>
      <w:r w:rsidR="002E27F5">
        <w:rPr>
          <w:rFonts w:asciiTheme="minorHAnsi" w:eastAsiaTheme="minorEastAsia" w:hAnsiTheme="minorHAnsi" w:cstheme="minorBidi"/>
          <w:color w:val="auto"/>
          <w:sz w:val="22"/>
          <w:szCs w:val="22"/>
        </w:rPr>
        <w:t xml:space="preserve"> current and future well-being.</w:t>
      </w:r>
      <w:r w:rsidRPr="00CC5F75">
        <w:rPr>
          <w:rFonts w:asciiTheme="minorHAnsi" w:eastAsiaTheme="minorEastAsia" w:hAnsiTheme="minorHAnsi" w:cstheme="minorBidi"/>
          <w:color w:val="auto"/>
          <w:sz w:val="22"/>
          <w:szCs w:val="22"/>
        </w:rPr>
        <w:t>  </w:t>
      </w:r>
      <w:r w:rsidR="004D3CAC" w:rsidRPr="004D3CAC">
        <w:rPr>
          <w:rFonts w:asciiTheme="minorHAnsi" w:eastAsiaTheme="minorEastAsia" w:hAnsiTheme="minorHAnsi" w:cstheme="minorBidi"/>
          <w:color w:val="auto"/>
          <w:sz w:val="22"/>
          <w:szCs w:val="22"/>
        </w:rPr>
        <w:t xml:space="preserve">Investigators have recently </w:t>
      </w:r>
      <w:r w:rsidR="004D3CAC">
        <w:rPr>
          <w:rFonts w:asciiTheme="minorHAnsi" w:eastAsiaTheme="minorEastAsia" w:hAnsiTheme="minorHAnsi" w:cstheme="minorBidi"/>
          <w:color w:val="auto"/>
          <w:sz w:val="22"/>
          <w:szCs w:val="22"/>
        </w:rPr>
        <w:t xml:space="preserve">documented, for the first time, </w:t>
      </w:r>
      <w:r w:rsidR="004D3CAC" w:rsidRPr="004D3CAC">
        <w:rPr>
          <w:rFonts w:asciiTheme="minorHAnsi" w:eastAsiaTheme="minorEastAsia" w:hAnsiTheme="minorHAnsi" w:cstheme="minorBidi"/>
          <w:color w:val="auto"/>
          <w:sz w:val="22"/>
          <w:szCs w:val="22"/>
        </w:rPr>
        <w:t>that telomere length is significantly reduced in placentas from pregnancies complicated by intrauterine growth restriction (Toutain, Prochazkova-Carlotti et al. 2013).</w:t>
      </w:r>
      <w:r w:rsidR="004D3CAC">
        <w:rPr>
          <w:rFonts w:asciiTheme="minorHAnsi" w:eastAsiaTheme="minorEastAsia" w:hAnsiTheme="minorHAnsi" w:cstheme="minorBidi"/>
          <w:color w:val="auto"/>
          <w:sz w:val="22"/>
          <w:szCs w:val="22"/>
        </w:rPr>
        <w:t xml:space="preserve">  </w:t>
      </w:r>
      <w:r w:rsidR="004D3CAC" w:rsidRPr="004D3CAC">
        <w:rPr>
          <w:rFonts w:asciiTheme="minorHAnsi" w:eastAsiaTheme="minorEastAsia" w:hAnsiTheme="minorHAnsi" w:cstheme="minorBidi"/>
          <w:color w:val="auto"/>
          <w:sz w:val="22"/>
          <w:szCs w:val="22"/>
        </w:rPr>
        <w:t>In March of 2014</w:t>
      </w:r>
      <w:r w:rsidR="004D3CAC">
        <w:rPr>
          <w:rFonts w:asciiTheme="minorHAnsi" w:eastAsiaTheme="minorEastAsia" w:hAnsiTheme="minorHAnsi" w:cstheme="minorBidi"/>
          <w:color w:val="auto"/>
          <w:sz w:val="22"/>
          <w:szCs w:val="22"/>
        </w:rPr>
        <w:t>,</w:t>
      </w:r>
      <w:r w:rsidR="004D3CAC" w:rsidRPr="004D3CAC">
        <w:rPr>
          <w:rFonts w:asciiTheme="minorHAnsi" w:eastAsiaTheme="minorEastAsia" w:hAnsiTheme="minorHAnsi" w:cstheme="minorBidi"/>
          <w:color w:val="auto"/>
          <w:sz w:val="22"/>
          <w:szCs w:val="22"/>
        </w:rPr>
        <w:t xml:space="preserve"> researchers reported that babies born with shorter telomeres appear to be at increased risk for biological processes triggered by genomic instability such as cancer and age-related diseases (Moreno-Palomo, Creus et al. 2014).</w:t>
      </w:r>
      <w:r w:rsidR="006F3E5D">
        <w:rPr>
          <w:rFonts w:asciiTheme="minorHAnsi" w:eastAsiaTheme="minorEastAsia" w:hAnsiTheme="minorHAnsi" w:cstheme="minorBidi"/>
          <w:color w:val="auto"/>
          <w:sz w:val="22"/>
          <w:szCs w:val="22"/>
        </w:rPr>
        <w:t xml:space="preserve">  </w:t>
      </w:r>
      <w:r w:rsidRPr="00CC5F75">
        <w:rPr>
          <w:rFonts w:asciiTheme="minorHAnsi" w:eastAsiaTheme="minorEastAsia" w:hAnsiTheme="minorHAnsi" w:cstheme="minorBidi"/>
          <w:color w:val="auto"/>
          <w:sz w:val="22"/>
          <w:szCs w:val="22"/>
        </w:rPr>
        <w:t xml:space="preserve">It is reasonable to hypothesize for future studies that mental health conditions like maternal depression and PTSD mediate the integrity of pregnancy and more distal outcomes like pediatric cancer in the offspring of these mothers and fathers.   </w:t>
      </w:r>
    </w:p>
    <w:p w14:paraId="22F79653" w14:textId="77777777" w:rsidR="001325DC" w:rsidRDefault="001325DC" w:rsidP="001325DC">
      <w:pPr>
        <w:spacing w:after="0" w:line="240" w:lineRule="auto"/>
        <w:rPr>
          <w:b/>
          <w:i/>
          <w:u w:val="single"/>
        </w:rPr>
      </w:pPr>
    </w:p>
    <w:p w14:paraId="63300C80" w14:textId="2F7DFEFC" w:rsidR="00024DDA" w:rsidRDefault="0086097A" w:rsidP="001325DC">
      <w:pPr>
        <w:spacing w:after="0" w:line="240" w:lineRule="auto"/>
      </w:pPr>
      <w:r w:rsidRPr="0086097A">
        <w:rPr>
          <w:b/>
          <w:i/>
          <w:u w:val="single"/>
        </w:rPr>
        <w:t>Methods.</w:t>
      </w:r>
      <w:r>
        <w:t xml:space="preserve">  </w:t>
      </w:r>
      <w:r w:rsidRPr="0086097A">
        <w:t xml:space="preserve">Following consent in the provider location, all participants who consent to have a saliva specimen collected will be asked, at that time, to allow the interviewer to </w:t>
      </w:r>
      <w:r w:rsidR="002274B4">
        <w:t>instruct the</w:t>
      </w:r>
      <w:r w:rsidR="0047323F">
        <w:t xml:space="preserve"> participant on </w:t>
      </w:r>
      <w:r w:rsidRPr="0086097A">
        <w:t xml:space="preserve">providing a saliva sample using Orangene (OGR-500) collection tubes.  This method for saliva collection has been previously used in the NCS Vanguard Study during pregnancy and birth visits as an alternative to blood collection.  </w:t>
      </w:r>
      <w:r w:rsidR="004F728E">
        <w:t xml:space="preserve">The estimated time for saliva collection is 6 minutes, which also includes the time for the interviewer to explain the collection process to the participant as well as the saliva collection.  </w:t>
      </w:r>
      <w:r w:rsidRPr="0086097A">
        <w:t>Samples will be transported back to the PMH Study Office for temporary storage until they are shipped for extraction and analysis at an analytical laboratory, at Harvard Medical School's (Partners Healthcare Center for Personal Genetic Medicine Genotyping Facility) which routinely conducts telomere analysis</w:t>
      </w:r>
      <w:r w:rsidR="004050B8">
        <w:t xml:space="preserve"> (see Attachment </w:t>
      </w:r>
      <w:r w:rsidR="00554AB5">
        <w:t>B.12</w:t>
      </w:r>
      <w:r w:rsidR="004050B8">
        <w:t xml:space="preserve"> Saliva Collection and Transport Form)</w:t>
      </w:r>
      <w:r w:rsidRPr="0086097A">
        <w:t xml:space="preserve">.  </w:t>
      </w:r>
    </w:p>
    <w:p w14:paraId="300270AD" w14:textId="77777777" w:rsidR="00024DDA" w:rsidRDefault="00024DDA" w:rsidP="001325DC">
      <w:pPr>
        <w:spacing w:after="0" w:line="240" w:lineRule="auto"/>
      </w:pPr>
    </w:p>
    <w:p w14:paraId="687D4DDE" w14:textId="4243A17A" w:rsidR="0086097A" w:rsidRDefault="0086097A" w:rsidP="001325DC">
      <w:pPr>
        <w:spacing w:after="0" w:line="240" w:lineRule="auto"/>
      </w:pPr>
      <w:r w:rsidRPr="0086097A">
        <w:t xml:space="preserve">Saliva collection will be requested for all participants recruited in-person beginning at the time the saliva collection is approved until recruitment is completed. As of 7/21/2014, there are 549 completed interviews.  It is projected that recruitment will continue for another 5 to 6 months to recruit sufficient participants to complete 1200 interviews; thus approximately 100 participants will be asked to consent to saliva collection each month.  </w:t>
      </w:r>
      <w:r w:rsidR="00024DDA">
        <w:t xml:space="preserve">The goal is to have </w:t>
      </w:r>
      <w:r w:rsidRPr="0086097A">
        <w:t>a</w:t>
      </w:r>
      <w:r w:rsidR="00024DDA">
        <w:t>n estimated</w:t>
      </w:r>
      <w:r w:rsidRPr="0086097A">
        <w:t xml:space="preserve"> 400 samples collected for telomere analysis.</w:t>
      </w:r>
      <w:r w:rsidR="00E108F9">
        <w:t xml:space="preserve"> </w:t>
      </w:r>
      <w:r w:rsidRPr="0086097A">
        <w:t xml:space="preserve"> This is a sample that is larger than many studies on telomeres in mental health and should provide adequate power to detect differences in telomere length.</w:t>
      </w:r>
      <w:r w:rsidR="008F77A1">
        <w:t xml:space="preserve">  The consent form has been revised to included saliva sample collection (</w:t>
      </w:r>
      <w:r w:rsidR="008F77A1" w:rsidRPr="007A19E3">
        <w:t xml:space="preserve">see Attachment </w:t>
      </w:r>
      <w:r w:rsidR="00E13E2B">
        <w:t>B.6</w:t>
      </w:r>
      <w:r w:rsidR="008F77A1" w:rsidRPr="007A19E3">
        <w:t xml:space="preserve"> Consent Form </w:t>
      </w:r>
      <w:r w:rsidR="00E13E2B">
        <w:t>Amended</w:t>
      </w:r>
      <w:r w:rsidR="008F77A1">
        <w:t>).</w:t>
      </w:r>
    </w:p>
    <w:p w14:paraId="4AD4B3E6" w14:textId="5561702C" w:rsidR="001A2480" w:rsidRDefault="001A2480" w:rsidP="001A2480">
      <w:pPr>
        <w:spacing w:after="0" w:line="240" w:lineRule="auto"/>
      </w:pPr>
    </w:p>
    <w:p w14:paraId="4C5BA6D7" w14:textId="444E7F55" w:rsidR="001A2480" w:rsidRPr="001A2480" w:rsidRDefault="00636213" w:rsidP="007A19E3">
      <w:pPr>
        <w:pStyle w:val="Default"/>
        <w:rPr>
          <w:rFonts w:asciiTheme="minorHAnsi" w:hAnsiTheme="minorHAnsi"/>
          <w:sz w:val="22"/>
          <w:szCs w:val="22"/>
        </w:rPr>
      </w:pPr>
      <w:r>
        <w:rPr>
          <w:rFonts w:asciiTheme="minorHAnsi" w:hAnsiTheme="minorHAnsi"/>
          <w:sz w:val="22"/>
          <w:szCs w:val="22"/>
        </w:rPr>
        <w:t xml:space="preserve">Upper limit </w:t>
      </w:r>
      <w:r w:rsidR="001A2480" w:rsidRPr="001A2480">
        <w:rPr>
          <w:rFonts w:asciiTheme="minorHAnsi" w:hAnsiTheme="minorHAnsi"/>
          <w:sz w:val="22"/>
          <w:szCs w:val="22"/>
        </w:rPr>
        <w:t xml:space="preserve">Fifteen percent of all interviews will be selected for validation of completion and quality assurance.  Following completion of selected interviews, participants who completed the interviews will be called by study staff and asked a series of questions using a </w:t>
      </w:r>
      <w:r w:rsidR="00B64ED1">
        <w:rPr>
          <w:rFonts w:asciiTheme="minorHAnsi" w:hAnsiTheme="minorHAnsi"/>
          <w:sz w:val="22"/>
          <w:szCs w:val="22"/>
        </w:rPr>
        <w:t xml:space="preserve">validation </w:t>
      </w:r>
      <w:r w:rsidR="001A2480" w:rsidRPr="001A2480">
        <w:rPr>
          <w:rFonts w:asciiTheme="minorHAnsi" w:hAnsiTheme="minorHAnsi"/>
          <w:sz w:val="22"/>
          <w:szCs w:val="22"/>
        </w:rPr>
        <w:t>script</w:t>
      </w:r>
      <w:r w:rsidR="00BF59AA">
        <w:rPr>
          <w:rFonts w:asciiTheme="minorHAnsi" w:hAnsiTheme="minorHAnsi"/>
          <w:sz w:val="22"/>
          <w:szCs w:val="22"/>
        </w:rPr>
        <w:t xml:space="preserve"> (</w:t>
      </w:r>
      <w:r w:rsidR="00BF59AA" w:rsidRPr="004050B8">
        <w:rPr>
          <w:rFonts w:asciiTheme="minorHAnsi" w:hAnsiTheme="minorHAnsi"/>
          <w:sz w:val="22"/>
          <w:szCs w:val="22"/>
        </w:rPr>
        <w:t xml:space="preserve">Attachment </w:t>
      </w:r>
      <w:r w:rsidR="00031113">
        <w:rPr>
          <w:rFonts w:asciiTheme="minorHAnsi" w:hAnsiTheme="minorHAnsi"/>
          <w:sz w:val="22"/>
          <w:szCs w:val="22"/>
        </w:rPr>
        <w:t>B.</w:t>
      </w:r>
      <w:r w:rsidR="0076632A">
        <w:rPr>
          <w:rFonts w:asciiTheme="minorHAnsi" w:hAnsiTheme="minorHAnsi"/>
          <w:sz w:val="22"/>
          <w:szCs w:val="22"/>
        </w:rPr>
        <w:t>1</w:t>
      </w:r>
      <w:r w:rsidR="00BF59AA" w:rsidRPr="004050B8">
        <w:rPr>
          <w:rFonts w:asciiTheme="minorHAnsi" w:hAnsiTheme="minorHAnsi"/>
          <w:sz w:val="22"/>
          <w:szCs w:val="22"/>
        </w:rPr>
        <w:t xml:space="preserve"> Quality Assurance Interview</w:t>
      </w:r>
      <w:r w:rsidR="00BF59AA">
        <w:rPr>
          <w:rFonts w:asciiTheme="minorHAnsi" w:hAnsiTheme="minorHAnsi"/>
          <w:sz w:val="22"/>
          <w:szCs w:val="22"/>
        </w:rPr>
        <w:t>)</w:t>
      </w:r>
      <w:r w:rsidR="001A2480" w:rsidRPr="001A2480">
        <w:rPr>
          <w:rFonts w:asciiTheme="minorHAnsi" w:hAnsiTheme="minorHAnsi"/>
          <w:sz w:val="22"/>
          <w:szCs w:val="22"/>
        </w:rPr>
        <w:t xml:space="preserve">.  </w:t>
      </w:r>
      <w:r w:rsidR="00BE3053">
        <w:rPr>
          <w:rFonts w:asciiTheme="minorHAnsi" w:hAnsiTheme="minorHAnsi"/>
          <w:sz w:val="22"/>
          <w:szCs w:val="22"/>
        </w:rPr>
        <w:t xml:space="preserve">The interview will take approximately 5 minutes. </w:t>
      </w:r>
      <w:r w:rsidR="008E500A">
        <w:rPr>
          <w:rFonts w:asciiTheme="minorHAnsi" w:hAnsiTheme="minorHAnsi"/>
          <w:sz w:val="22"/>
          <w:szCs w:val="22"/>
        </w:rPr>
        <w:t xml:space="preserve"> </w:t>
      </w:r>
      <w:r w:rsidR="001A2480" w:rsidRPr="001A2480">
        <w:rPr>
          <w:rFonts w:asciiTheme="minorHAnsi" w:hAnsiTheme="minorHAnsi"/>
          <w:sz w:val="22"/>
          <w:szCs w:val="22"/>
        </w:rPr>
        <w:t>Responses will be entered into the REDCap database.</w:t>
      </w:r>
    </w:p>
    <w:p w14:paraId="279A17D4" w14:textId="77777777" w:rsidR="001325DC" w:rsidRDefault="001325DC" w:rsidP="002274B4">
      <w:pPr>
        <w:spacing w:after="0" w:line="240" w:lineRule="auto"/>
        <w:rPr>
          <w:b/>
        </w:rPr>
      </w:pPr>
    </w:p>
    <w:p w14:paraId="3B5D92A3" w14:textId="767DC797" w:rsidR="00EE32DB" w:rsidRDefault="00BC7BB0" w:rsidP="002274B4">
      <w:pPr>
        <w:pStyle w:val="CommentText"/>
        <w:spacing w:after="0"/>
        <w:rPr>
          <w:sz w:val="22"/>
          <w:szCs w:val="22"/>
        </w:rPr>
      </w:pPr>
      <w:r w:rsidRPr="00BC7BB0">
        <w:rPr>
          <w:b/>
          <w:i/>
          <w:sz w:val="22"/>
          <w:szCs w:val="22"/>
          <w:u w:val="single"/>
        </w:rPr>
        <w:t>Storage &amp; Handling of Saliva Specimens.</w:t>
      </w:r>
      <w:r>
        <w:rPr>
          <w:b/>
          <w:i/>
          <w:sz w:val="22"/>
          <w:szCs w:val="22"/>
        </w:rPr>
        <w:t xml:space="preserve"> </w:t>
      </w:r>
      <w:r w:rsidR="002274B4" w:rsidRPr="002274B4">
        <w:rPr>
          <w:sz w:val="22"/>
          <w:szCs w:val="22"/>
        </w:rPr>
        <w:t xml:space="preserve">Saliva samples will be stored temporarily in a locked storage room at the UMMS Chang Building, 222 Maple Avenue, Shrewsbury until they are shipped for analysis of telomere length to an analytical laboratory. </w:t>
      </w:r>
      <w:r w:rsidR="00E108F9">
        <w:rPr>
          <w:sz w:val="22"/>
          <w:szCs w:val="22"/>
        </w:rPr>
        <w:t xml:space="preserve"> </w:t>
      </w:r>
      <w:r w:rsidR="002274B4" w:rsidRPr="002274B4">
        <w:rPr>
          <w:sz w:val="22"/>
          <w:szCs w:val="22"/>
        </w:rPr>
        <w:t xml:space="preserve">The stored and shipped samples will be labeled with the participant’s identification number. </w:t>
      </w:r>
      <w:r w:rsidR="00E108F9">
        <w:rPr>
          <w:sz w:val="22"/>
          <w:szCs w:val="22"/>
        </w:rPr>
        <w:t xml:space="preserve"> </w:t>
      </w:r>
      <w:r w:rsidR="002274B4" w:rsidRPr="002274B4">
        <w:rPr>
          <w:sz w:val="22"/>
          <w:szCs w:val="22"/>
        </w:rPr>
        <w:t>No other identifying information will be kept with the samples.  The Chang Building is a locked FISMA</w:t>
      </w:r>
      <w:r w:rsidR="00063C09">
        <w:rPr>
          <w:sz w:val="22"/>
          <w:szCs w:val="22"/>
        </w:rPr>
        <w:t>-</w:t>
      </w:r>
      <w:r w:rsidR="002274B4" w:rsidRPr="002274B4">
        <w:rPr>
          <w:sz w:val="22"/>
          <w:szCs w:val="22"/>
        </w:rPr>
        <w:t xml:space="preserve">compliant building accessible only to authorized persons via a badge swipe or to visitors admitted by authorized personnel. </w:t>
      </w:r>
      <w:r w:rsidR="00E108F9">
        <w:rPr>
          <w:sz w:val="22"/>
          <w:szCs w:val="22"/>
        </w:rPr>
        <w:t xml:space="preserve"> </w:t>
      </w:r>
      <w:r w:rsidR="002274B4" w:rsidRPr="002274B4">
        <w:rPr>
          <w:sz w:val="22"/>
          <w:szCs w:val="22"/>
        </w:rPr>
        <w:t xml:space="preserve">The storage room is accessible only to key study </w:t>
      </w:r>
      <w:r w:rsidR="002274B4" w:rsidRPr="002274B4">
        <w:rPr>
          <w:sz w:val="22"/>
          <w:szCs w:val="22"/>
        </w:rPr>
        <w:lastRenderedPageBreak/>
        <w:t>staff and facilities personnel.  Samples will be shipped via FedEx to the analytical lab for analysis.  They will be destroyed according to analytical laboratory protocols once the analysis is completed.</w:t>
      </w:r>
      <w:r>
        <w:rPr>
          <w:sz w:val="22"/>
          <w:szCs w:val="22"/>
        </w:rPr>
        <w:t xml:space="preserve">  </w:t>
      </w:r>
    </w:p>
    <w:p w14:paraId="210904E1" w14:textId="77777777" w:rsidR="00EE32DB" w:rsidRDefault="00EE32DB" w:rsidP="002274B4">
      <w:pPr>
        <w:pStyle w:val="CommentText"/>
        <w:spacing w:after="0"/>
        <w:rPr>
          <w:sz w:val="22"/>
          <w:szCs w:val="22"/>
        </w:rPr>
      </w:pPr>
    </w:p>
    <w:p w14:paraId="34EFE615" w14:textId="0FCF5BFF" w:rsidR="002274B4" w:rsidRPr="002274B4" w:rsidRDefault="002274B4" w:rsidP="002274B4">
      <w:pPr>
        <w:pStyle w:val="CommentText"/>
        <w:spacing w:after="0"/>
        <w:rPr>
          <w:sz w:val="22"/>
          <w:szCs w:val="22"/>
        </w:rPr>
      </w:pPr>
      <w:r w:rsidRPr="002274B4">
        <w:rPr>
          <w:sz w:val="22"/>
          <w:szCs w:val="22"/>
        </w:rPr>
        <w:t>Specimen tracking data and analytical results will be entered into the study REDCap database and FoxPro tracking database.</w:t>
      </w:r>
    </w:p>
    <w:p w14:paraId="52D1B1D8" w14:textId="77777777" w:rsidR="002274B4" w:rsidRDefault="002274B4" w:rsidP="001325DC">
      <w:pPr>
        <w:spacing w:after="0" w:line="240" w:lineRule="auto"/>
        <w:rPr>
          <w:b/>
        </w:rPr>
      </w:pPr>
    </w:p>
    <w:p w14:paraId="738693E8" w14:textId="41DE9440" w:rsidR="00680B29" w:rsidRDefault="00680B29" w:rsidP="00680B29">
      <w:pPr>
        <w:spacing w:after="0" w:line="240" w:lineRule="auto"/>
      </w:pPr>
      <w:r>
        <w:rPr>
          <w:b/>
          <w:i/>
          <w:u w:val="single"/>
        </w:rPr>
        <w:t>Privacy.</w:t>
      </w:r>
      <w:r>
        <w:t xml:space="preserve"> </w:t>
      </w:r>
      <w:r w:rsidRPr="002A6A3A">
        <w:t>With regard to the saliva collection, because genetic information is unique to the individual, there is a small chance that someone could trace research results back to the participant.</w:t>
      </w:r>
      <w:r w:rsidR="00E108F9">
        <w:t xml:space="preserve"> </w:t>
      </w:r>
      <w:r w:rsidRPr="002A6A3A">
        <w:t xml:space="preserve"> The risk of this happening is very small, but may grow in the </w:t>
      </w:r>
      <w:r w:rsidRPr="005D32D9">
        <w:t xml:space="preserve">future. </w:t>
      </w:r>
      <w:r w:rsidR="00E108F9">
        <w:t xml:space="preserve"> </w:t>
      </w:r>
      <w:r w:rsidRPr="005D32D9">
        <w:t>There</w:t>
      </w:r>
      <w:r w:rsidRPr="002A6A3A">
        <w:t xml:space="preserve"> is a federal law called the Genetic Information Nondiscrimination Act (GINA) that, in general, makes it illegal for health insurance companies, group health plans, and most employers, except those with fewer than 15 employees, to discriminate against individuals based on their genetic information.  However, it does not protect against discrimination by companies that sell life insurance, disability insurance, or long-term care insurance.</w:t>
      </w:r>
      <w:r w:rsidR="00E108F9">
        <w:t xml:space="preserve"> </w:t>
      </w:r>
      <w:r w:rsidRPr="002A6A3A">
        <w:t xml:space="preserve"> If participants do not share information about taking part in this study, this risk will be reduced.</w:t>
      </w:r>
    </w:p>
    <w:p w14:paraId="03837CBC" w14:textId="35D06D58" w:rsidR="00AF0510" w:rsidRDefault="00AF0510" w:rsidP="00680B29">
      <w:pPr>
        <w:spacing w:after="0" w:line="240" w:lineRule="auto"/>
      </w:pPr>
    </w:p>
    <w:p w14:paraId="44EC3C41" w14:textId="327A4919" w:rsidR="00AF0510" w:rsidRPr="00AF0510" w:rsidRDefault="00AF0510" w:rsidP="00680B29">
      <w:pPr>
        <w:spacing w:after="0" w:line="240" w:lineRule="auto"/>
      </w:pPr>
      <w:r w:rsidRPr="00AF0510">
        <w:rPr>
          <w:b/>
          <w:i/>
          <w:u w:val="single"/>
        </w:rPr>
        <w:t xml:space="preserve">IRB Approval: </w:t>
      </w:r>
      <w:r w:rsidRPr="00AF0510">
        <w:t xml:space="preserve"> IRB clearance for this activity has been obtained by the </w:t>
      </w:r>
      <w:r>
        <w:t xml:space="preserve">local </w:t>
      </w:r>
      <w:r w:rsidRPr="00AF0510">
        <w:t xml:space="preserve">participating field contractor. Please see the </w:t>
      </w:r>
      <w:r>
        <w:t xml:space="preserve">amended </w:t>
      </w:r>
      <w:r w:rsidRPr="00AF0510">
        <w:t>IRB protocol (Attach</w:t>
      </w:r>
      <w:r>
        <w:t xml:space="preserve">ment </w:t>
      </w:r>
      <w:r w:rsidR="0076632A">
        <w:t xml:space="preserve">B.1 </w:t>
      </w:r>
      <w:r>
        <w:t xml:space="preserve">IRB Protocol Amended) and </w:t>
      </w:r>
      <w:r w:rsidRPr="00AF0510">
        <w:t>IRB approval letter</w:t>
      </w:r>
      <w:r>
        <w:t>s</w:t>
      </w:r>
      <w:r w:rsidRPr="00AF0510">
        <w:t xml:space="preserve"> (Attach</w:t>
      </w:r>
      <w:r>
        <w:t xml:space="preserve">ment </w:t>
      </w:r>
      <w:r w:rsidR="00EC0014">
        <w:t>B.</w:t>
      </w:r>
      <w:r w:rsidR="00AF1838">
        <w:t>10</w:t>
      </w:r>
      <w:r>
        <w:t xml:space="preserve">, </w:t>
      </w:r>
      <w:r w:rsidR="006E0B20">
        <w:t>B.11</w:t>
      </w:r>
      <w:r w:rsidRPr="00AF0510">
        <w:t>).</w:t>
      </w:r>
    </w:p>
    <w:p w14:paraId="429EDD37" w14:textId="105A707D" w:rsidR="00680B29" w:rsidRDefault="00680B29" w:rsidP="001325DC">
      <w:pPr>
        <w:spacing w:after="0" w:line="240" w:lineRule="auto"/>
      </w:pPr>
    </w:p>
    <w:p w14:paraId="4A1E5BB3" w14:textId="2907B907" w:rsidR="00C56BB0" w:rsidRDefault="00C56BB0" w:rsidP="001325DC">
      <w:pPr>
        <w:spacing w:after="0" w:line="240" w:lineRule="auto"/>
      </w:pPr>
      <w:r>
        <w:rPr>
          <w:b/>
          <w:i/>
          <w:u w:val="single"/>
        </w:rPr>
        <w:t xml:space="preserve">Data Collection </w:t>
      </w:r>
      <w:r w:rsidR="000D68B8">
        <w:rPr>
          <w:b/>
          <w:i/>
          <w:u w:val="single"/>
        </w:rPr>
        <w:t>Burden</w:t>
      </w:r>
      <w:r w:rsidR="000D68B8">
        <w:t>:</w:t>
      </w:r>
      <w:r w:rsidR="008016A1">
        <w:t xml:space="preserve"> </w:t>
      </w:r>
      <w:r w:rsidR="000D68B8">
        <w:t xml:space="preserve"> </w:t>
      </w:r>
      <w:r>
        <w:t>The NCS is requesting an additional 255 burden hours.  The original</w:t>
      </w:r>
      <w:r w:rsidR="007C674A">
        <w:t xml:space="preserve"> burden hours approved </w:t>
      </w:r>
      <w:r w:rsidR="005657A3">
        <w:t xml:space="preserve">on 11/25/2013 </w:t>
      </w:r>
      <w:r w:rsidR="007C674A">
        <w:t xml:space="preserve">for this study </w:t>
      </w:r>
      <w:r>
        <w:t xml:space="preserve">was 500.  </w:t>
      </w:r>
      <w:r w:rsidR="00C5773D">
        <w:t>If approved, the new total burden hours would be 755.</w:t>
      </w:r>
    </w:p>
    <w:p w14:paraId="7591AF6F" w14:textId="77777777" w:rsidR="000D68B8" w:rsidRDefault="000D68B8" w:rsidP="001325DC">
      <w:pPr>
        <w:spacing w:after="0" w:line="240" w:lineRule="auto"/>
      </w:pPr>
    </w:p>
    <w:p w14:paraId="18649EDD" w14:textId="77777777" w:rsidR="00C66B4F" w:rsidRPr="008D51A5" w:rsidRDefault="00C66B4F" w:rsidP="00C66B4F">
      <w:pPr>
        <w:rPr>
          <w:rFonts w:cstheme="minorHAnsi"/>
          <w:b/>
        </w:rPr>
      </w:pPr>
      <w:r w:rsidRPr="008D51A5">
        <w:rPr>
          <w:rFonts w:cstheme="minorHAnsi"/>
          <w:b/>
        </w:rPr>
        <w:t>Estimates of Annual Hour Burden</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710"/>
        <w:gridCol w:w="1440"/>
        <w:gridCol w:w="1620"/>
        <w:gridCol w:w="1530"/>
        <w:gridCol w:w="1530"/>
      </w:tblGrid>
      <w:tr w:rsidR="004F728E" w:rsidRPr="004F728E" w14:paraId="71A7FD15" w14:textId="77777777" w:rsidTr="004B1FED">
        <w:trPr>
          <w:trHeight w:hRule="exact" w:val="1234"/>
        </w:trPr>
        <w:tc>
          <w:tcPr>
            <w:tcW w:w="1980" w:type="dxa"/>
          </w:tcPr>
          <w:p w14:paraId="6165972D" w14:textId="77777777" w:rsidR="00C66B4F" w:rsidRPr="004F728E" w:rsidRDefault="00C66B4F" w:rsidP="00CC7589">
            <w:pPr>
              <w:tabs>
                <w:tab w:val="left" w:pos="450"/>
              </w:tabs>
              <w:spacing w:after="0" w:line="240" w:lineRule="auto"/>
              <w:rPr>
                <w:b/>
              </w:rPr>
            </w:pPr>
            <w:r w:rsidRPr="004F728E">
              <w:rPr>
                <w:b/>
              </w:rPr>
              <w:t>Data Collection Activity</w:t>
            </w:r>
          </w:p>
          <w:p w14:paraId="0EBA2DA5" w14:textId="77777777" w:rsidR="00C66B4F" w:rsidRPr="004F728E" w:rsidRDefault="00C66B4F" w:rsidP="00CC7589">
            <w:pPr>
              <w:tabs>
                <w:tab w:val="left" w:pos="450"/>
              </w:tabs>
              <w:spacing w:after="0" w:line="240" w:lineRule="auto"/>
              <w:rPr>
                <w:b/>
              </w:rPr>
            </w:pPr>
          </w:p>
        </w:tc>
        <w:tc>
          <w:tcPr>
            <w:tcW w:w="1710" w:type="dxa"/>
          </w:tcPr>
          <w:p w14:paraId="1775C333" w14:textId="77777777" w:rsidR="00C66B4F" w:rsidRPr="004F728E" w:rsidRDefault="00C66B4F" w:rsidP="00CC7589">
            <w:pPr>
              <w:tabs>
                <w:tab w:val="left" w:pos="450"/>
              </w:tabs>
              <w:spacing w:after="0" w:line="240" w:lineRule="auto"/>
              <w:jc w:val="center"/>
              <w:rPr>
                <w:b/>
              </w:rPr>
            </w:pPr>
            <w:r w:rsidRPr="004F728E">
              <w:rPr>
                <w:b/>
              </w:rPr>
              <w:t>Type of Respondent</w:t>
            </w:r>
          </w:p>
        </w:tc>
        <w:tc>
          <w:tcPr>
            <w:tcW w:w="1440" w:type="dxa"/>
          </w:tcPr>
          <w:p w14:paraId="1BCE2E1B" w14:textId="77777777" w:rsidR="00C66B4F" w:rsidRPr="004F728E" w:rsidRDefault="00C66B4F" w:rsidP="00CC7589">
            <w:pPr>
              <w:tabs>
                <w:tab w:val="left" w:pos="450"/>
              </w:tabs>
              <w:spacing w:after="0" w:line="240" w:lineRule="auto"/>
              <w:jc w:val="center"/>
              <w:rPr>
                <w:b/>
              </w:rPr>
            </w:pPr>
            <w:r w:rsidRPr="004F728E">
              <w:rPr>
                <w:b/>
              </w:rPr>
              <w:t>Estimated Number of Respondents</w:t>
            </w:r>
          </w:p>
        </w:tc>
        <w:tc>
          <w:tcPr>
            <w:tcW w:w="1620" w:type="dxa"/>
          </w:tcPr>
          <w:p w14:paraId="4FCB8C96" w14:textId="77777777" w:rsidR="00C66B4F" w:rsidRPr="004F728E" w:rsidRDefault="00C66B4F" w:rsidP="00CC7589">
            <w:pPr>
              <w:tabs>
                <w:tab w:val="left" w:pos="450"/>
              </w:tabs>
              <w:spacing w:after="0" w:line="240" w:lineRule="auto"/>
              <w:jc w:val="center"/>
              <w:rPr>
                <w:b/>
              </w:rPr>
            </w:pPr>
            <w:r w:rsidRPr="004F728E">
              <w:rPr>
                <w:b/>
              </w:rPr>
              <w:t>Estimated Number of Responses per Respondent</w:t>
            </w:r>
          </w:p>
        </w:tc>
        <w:tc>
          <w:tcPr>
            <w:tcW w:w="1530" w:type="dxa"/>
          </w:tcPr>
          <w:p w14:paraId="4EDD3AF8" w14:textId="5D66C756" w:rsidR="00C66B4F" w:rsidRPr="004F728E" w:rsidRDefault="00C66B4F" w:rsidP="00CC7589">
            <w:pPr>
              <w:tabs>
                <w:tab w:val="left" w:pos="450"/>
              </w:tabs>
              <w:spacing w:after="0" w:line="240" w:lineRule="auto"/>
              <w:jc w:val="center"/>
              <w:rPr>
                <w:b/>
              </w:rPr>
            </w:pPr>
            <w:r w:rsidRPr="004F728E">
              <w:rPr>
                <w:b/>
              </w:rPr>
              <w:t>Average Burden Hours Per Response (in hrs)</w:t>
            </w:r>
          </w:p>
        </w:tc>
        <w:tc>
          <w:tcPr>
            <w:tcW w:w="1530" w:type="dxa"/>
          </w:tcPr>
          <w:p w14:paraId="182C2C30" w14:textId="77777777" w:rsidR="00C66B4F" w:rsidRPr="004F728E" w:rsidRDefault="00C66B4F" w:rsidP="00CC7589">
            <w:pPr>
              <w:tabs>
                <w:tab w:val="left" w:pos="450"/>
              </w:tabs>
              <w:spacing w:after="0" w:line="240" w:lineRule="auto"/>
              <w:jc w:val="center"/>
              <w:rPr>
                <w:b/>
              </w:rPr>
            </w:pPr>
            <w:r w:rsidRPr="004F728E">
              <w:rPr>
                <w:b/>
              </w:rPr>
              <w:t>Estimated Total Annual Burden Hours</w:t>
            </w:r>
          </w:p>
        </w:tc>
      </w:tr>
      <w:tr w:rsidR="004F728E" w:rsidRPr="004F728E" w14:paraId="2923D1C4" w14:textId="77777777" w:rsidTr="004B1FED">
        <w:trPr>
          <w:trHeight w:hRule="exact" w:val="1000"/>
        </w:trPr>
        <w:tc>
          <w:tcPr>
            <w:tcW w:w="1980" w:type="dxa"/>
          </w:tcPr>
          <w:p w14:paraId="54A5120D" w14:textId="7F829F59" w:rsidR="00C66B4F" w:rsidRPr="004F728E" w:rsidRDefault="00C66B4F" w:rsidP="00CC7589">
            <w:pPr>
              <w:tabs>
                <w:tab w:val="left" w:pos="450"/>
              </w:tabs>
              <w:spacing w:after="0" w:line="240" w:lineRule="auto"/>
            </w:pPr>
            <w:r w:rsidRPr="004F728E">
              <w:t>Informed Consent</w:t>
            </w:r>
          </w:p>
        </w:tc>
        <w:tc>
          <w:tcPr>
            <w:tcW w:w="1710" w:type="dxa"/>
          </w:tcPr>
          <w:p w14:paraId="5BB26D7D" w14:textId="471902A6" w:rsidR="00C66B4F" w:rsidRPr="004F728E" w:rsidRDefault="00CC7589" w:rsidP="00CC7589">
            <w:pPr>
              <w:tabs>
                <w:tab w:val="left" w:pos="450"/>
              </w:tabs>
              <w:spacing w:after="0" w:line="240" w:lineRule="auto"/>
              <w:rPr>
                <w:sz w:val="20"/>
                <w:szCs w:val="20"/>
              </w:rPr>
            </w:pPr>
            <w:r w:rsidRPr="004F728E">
              <w:rPr>
                <w:sz w:val="20"/>
                <w:szCs w:val="20"/>
              </w:rPr>
              <w:t>Pregnant Women and Birth Fathers &amp; Postpartum Parents</w:t>
            </w:r>
          </w:p>
        </w:tc>
        <w:tc>
          <w:tcPr>
            <w:tcW w:w="1440" w:type="dxa"/>
          </w:tcPr>
          <w:p w14:paraId="671F3C69" w14:textId="240E64AB" w:rsidR="00C66B4F" w:rsidRPr="004F728E" w:rsidRDefault="00C66B4F" w:rsidP="00CC7589">
            <w:pPr>
              <w:tabs>
                <w:tab w:val="left" w:pos="450"/>
              </w:tabs>
              <w:spacing w:after="0" w:line="240" w:lineRule="auto"/>
              <w:jc w:val="center"/>
            </w:pPr>
            <w:r w:rsidRPr="004F728E">
              <w:t>1</w:t>
            </w:r>
            <w:r w:rsidR="00BD39C4" w:rsidRPr="004F728E">
              <w:t>2</w:t>
            </w:r>
            <w:r w:rsidRPr="004F728E">
              <w:t>00</w:t>
            </w:r>
          </w:p>
        </w:tc>
        <w:tc>
          <w:tcPr>
            <w:tcW w:w="1620" w:type="dxa"/>
          </w:tcPr>
          <w:p w14:paraId="345D667B" w14:textId="77777777" w:rsidR="00C66B4F" w:rsidRPr="004F728E" w:rsidRDefault="00C66B4F" w:rsidP="00CC7589">
            <w:pPr>
              <w:tabs>
                <w:tab w:val="left" w:pos="450"/>
              </w:tabs>
              <w:spacing w:after="0" w:line="240" w:lineRule="auto"/>
              <w:jc w:val="center"/>
            </w:pPr>
            <w:r w:rsidRPr="004F728E">
              <w:t>1</w:t>
            </w:r>
          </w:p>
        </w:tc>
        <w:tc>
          <w:tcPr>
            <w:tcW w:w="1530" w:type="dxa"/>
          </w:tcPr>
          <w:p w14:paraId="7E314A75" w14:textId="6D759B92" w:rsidR="00C66B4F" w:rsidRPr="004F728E" w:rsidRDefault="00C92500" w:rsidP="00CC7589">
            <w:pPr>
              <w:tabs>
                <w:tab w:val="left" w:pos="450"/>
              </w:tabs>
              <w:spacing w:after="0" w:line="240" w:lineRule="auto"/>
              <w:jc w:val="center"/>
            </w:pPr>
            <w:r w:rsidRPr="004F728E">
              <w:t>10</w:t>
            </w:r>
            <w:r w:rsidR="00C66B4F" w:rsidRPr="004F728E">
              <w:t>/60</w:t>
            </w:r>
          </w:p>
        </w:tc>
        <w:tc>
          <w:tcPr>
            <w:tcW w:w="1530" w:type="dxa"/>
          </w:tcPr>
          <w:p w14:paraId="4402592C" w14:textId="3D7E6490" w:rsidR="00C66B4F" w:rsidRPr="004F728E" w:rsidRDefault="004F728E" w:rsidP="00CC7589">
            <w:pPr>
              <w:spacing w:after="0" w:line="240" w:lineRule="auto"/>
              <w:jc w:val="center"/>
            </w:pPr>
            <w:r w:rsidRPr="004F728E">
              <w:t>200</w:t>
            </w:r>
          </w:p>
        </w:tc>
      </w:tr>
      <w:tr w:rsidR="004F728E" w:rsidRPr="004F728E" w14:paraId="47AB387D" w14:textId="77777777" w:rsidTr="004B1FED">
        <w:trPr>
          <w:trHeight w:hRule="exact" w:val="982"/>
        </w:trPr>
        <w:tc>
          <w:tcPr>
            <w:tcW w:w="1980" w:type="dxa"/>
          </w:tcPr>
          <w:p w14:paraId="5E330B71" w14:textId="69DB6A4A" w:rsidR="00C66B4F" w:rsidRPr="004F728E" w:rsidRDefault="00C66B4F" w:rsidP="00CC7589">
            <w:pPr>
              <w:tabs>
                <w:tab w:val="left" w:pos="450"/>
              </w:tabs>
              <w:spacing w:after="0" w:line="240" w:lineRule="auto"/>
            </w:pPr>
            <w:r w:rsidRPr="004F728E">
              <w:t>Specimen Collection – Saliva</w:t>
            </w:r>
            <w:r w:rsidR="007C674A">
              <w:t>^</w:t>
            </w:r>
          </w:p>
        </w:tc>
        <w:tc>
          <w:tcPr>
            <w:tcW w:w="1710" w:type="dxa"/>
          </w:tcPr>
          <w:p w14:paraId="674AD394" w14:textId="6C35A6D3" w:rsidR="00C66B4F" w:rsidRPr="004F728E" w:rsidRDefault="00CC7589" w:rsidP="00CC7589">
            <w:pPr>
              <w:tabs>
                <w:tab w:val="left" w:pos="450"/>
              </w:tabs>
              <w:spacing w:after="0" w:line="240" w:lineRule="auto"/>
              <w:rPr>
                <w:sz w:val="20"/>
                <w:szCs w:val="20"/>
              </w:rPr>
            </w:pPr>
            <w:r w:rsidRPr="004F728E">
              <w:rPr>
                <w:sz w:val="20"/>
                <w:szCs w:val="20"/>
              </w:rPr>
              <w:t>Pregnant Women and Birth Fathers &amp; Postpartum Parents</w:t>
            </w:r>
          </w:p>
        </w:tc>
        <w:tc>
          <w:tcPr>
            <w:tcW w:w="1440" w:type="dxa"/>
          </w:tcPr>
          <w:p w14:paraId="3CA3B353" w14:textId="0352CFBA" w:rsidR="00C66B4F" w:rsidRPr="004F728E" w:rsidDel="00780C1F" w:rsidRDefault="00BD39C4" w:rsidP="00CC7589">
            <w:pPr>
              <w:tabs>
                <w:tab w:val="left" w:pos="450"/>
              </w:tabs>
              <w:spacing w:after="0" w:line="240" w:lineRule="auto"/>
              <w:jc w:val="center"/>
            </w:pPr>
            <w:r w:rsidRPr="004F728E">
              <w:t>400</w:t>
            </w:r>
          </w:p>
        </w:tc>
        <w:tc>
          <w:tcPr>
            <w:tcW w:w="1620" w:type="dxa"/>
          </w:tcPr>
          <w:p w14:paraId="6F2359D5" w14:textId="77777777" w:rsidR="00C66B4F" w:rsidRPr="004F728E" w:rsidRDefault="00C66B4F" w:rsidP="00CC7589">
            <w:pPr>
              <w:tabs>
                <w:tab w:val="left" w:pos="450"/>
              </w:tabs>
              <w:spacing w:after="0" w:line="240" w:lineRule="auto"/>
              <w:jc w:val="center"/>
            </w:pPr>
            <w:r w:rsidRPr="004F728E">
              <w:t>1</w:t>
            </w:r>
          </w:p>
        </w:tc>
        <w:tc>
          <w:tcPr>
            <w:tcW w:w="1530" w:type="dxa"/>
          </w:tcPr>
          <w:p w14:paraId="3A3A22AF" w14:textId="47BC12AF" w:rsidR="00C66B4F" w:rsidRPr="004F728E" w:rsidRDefault="004F728E" w:rsidP="00CC7589">
            <w:pPr>
              <w:tabs>
                <w:tab w:val="left" w:pos="450"/>
              </w:tabs>
              <w:spacing w:after="0" w:line="240" w:lineRule="auto"/>
              <w:jc w:val="center"/>
            </w:pPr>
            <w:r w:rsidRPr="004F728E">
              <w:t>6</w:t>
            </w:r>
            <w:r w:rsidR="00C66B4F" w:rsidRPr="004F728E">
              <w:t>/60</w:t>
            </w:r>
          </w:p>
        </w:tc>
        <w:tc>
          <w:tcPr>
            <w:tcW w:w="1530" w:type="dxa"/>
          </w:tcPr>
          <w:p w14:paraId="63517966" w14:textId="105E693E" w:rsidR="00C66B4F" w:rsidRPr="004F728E" w:rsidRDefault="004F728E" w:rsidP="00CC7589">
            <w:pPr>
              <w:spacing w:after="0" w:line="240" w:lineRule="auto"/>
              <w:jc w:val="center"/>
            </w:pPr>
            <w:r w:rsidRPr="004F728E">
              <w:t>40</w:t>
            </w:r>
          </w:p>
        </w:tc>
      </w:tr>
      <w:tr w:rsidR="004F728E" w:rsidRPr="004F728E" w14:paraId="7DF301D9" w14:textId="77777777" w:rsidTr="004B1FED">
        <w:trPr>
          <w:trHeight w:hRule="exact" w:val="991"/>
        </w:trPr>
        <w:tc>
          <w:tcPr>
            <w:tcW w:w="1980" w:type="dxa"/>
          </w:tcPr>
          <w:p w14:paraId="2294ACEF" w14:textId="7771B4C3" w:rsidR="00CC7589" w:rsidRPr="004F728E" w:rsidRDefault="00CC7589" w:rsidP="00CC7589">
            <w:pPr>
              <w:tabs>
                <w:tab w:val="left" w:pos="450"/>
              </w:tabs>
              <w:spacing w:after="0" w:line="240" w:lineRule="auto"/>
            </w:pPr>
            <w:r w:rsidRPr="004F728E">
              <w:t>Quality Assurance Interview</w:t>
            </w:r>
          </w:p>
        </w:tc>
        <w:tc>
          <w:tcPr>
            <w:tcW w:w="1710" w:type="dxa"/>
          </w:tcPr>
          <w:p w14:paraId="3CBB0E2A" w14:textId="160AF73E" w:rsidR="00CC7589" w:rsidRPr="004F728E" w:rsidRDefault="00CC7589" w:rsidP="00CC7589">
            <w:pPr>
              <w:tabs>
                <w:tab w:val="left" w:pos="450"/>
              </w:tabs>
              <w:spacing w:after="0" w:line="240" w:lineRule="auto"/>
              <w:rPr>
                <w:sz w:val="20"/>
                <w:szCs w:val="20"/>
              </w:rPr>
            </w:pPr>
            <w:r w:rsidRPr="004F728E">
              <w:rPr>
                <w:sz w:val="20"/>
                <w:szCs w:val="20"/>
              </w:rPr>
              <w:t>Pregnant Women and Birth Fathers &amp; Postpartum Parents</w:t>
            </w:r>
          </w:p>
        </w:tc>
        <w:tc>
          <w:tcPr>
            <w:tcW w:w="1440" w:type="dxa"/>
          </w:tcPr>
          <w:p w14:paraId="6F1B23B7" w14:textId="5D17A8B0" w:rsidR="00CC7589" w:rsidRPr="004F728E" w:rsidRDefault="00636213" w:rsidP="00B64ED1">
            <w:pPr>
              <w:tabs>
                <w:tab w:val="left" w:pos="450"/>
              </w:tabs>
              <w:spacing w:after="0" w:line="240" w:lineRule="auto"/>
              <w:jc w:val="center"/>
            </w:pPr>
            <w:r w:rsidRPr="004F728E">
              <w:t>180</w:t>
            </w:r>
          </w:p>
        </w:tc>
        <w:tc>
          <w:tcPr>
            <w:tcW w:w="1620" w:type="dxa"/>
          </w:tcPr>
          <w:p w14:paraId="7F36281A" w14:textId="03FC783D" w:rsidR="00CC7589" w:rsidRPr="004F728E" w:rsidRDefault="00CC7589" w:rsidP="00CC7589">
            <w:pPr>
              <w:tabs>
                <w:tab w:val="left" w:pos="450"/>
              </w:tabs>
              <w:spacing w:after="0" w:line="240" w:lineRule="auto"/>
              <w:jc w:val="center"/>
            </w:pPr>
            <w:r w:rsidRPr="004F728E">
              <w:t>1</w:t>
            </w:r>
          </w:p>
        </w:tc>
        <w:tc>
          <w:tcPr>
            <w:tcW w:w="1530" w:type="dxa"/>
          </w:tcPr>
          <w:p w14:paraId="5BAD5A9D" w14:textId="498B22E6" w:rsidR="00CC7589" w:rsidRPr="004F728E" w:rsidRDefault="00B64ED1" w:rsidP="00CC7589">
            <w:pPr>
              <w:tabs>
                <w:tab w:val="left" w:pos="450"/>
              </w:tabs>
              <w:spacing w:after="0" w:line="240" w:lineRule="auto"/>
              <w:jc w:val="center"/>
            </w:pPr>
            <w:r w:rsidRPr="004F728E">
              <w:t>5</w:t>
            </w:r>
            <w:r w:rsidR="00CC7589" w:rsidRPr="004F728E">
              <w:t>/60</w:t>
            </w:r>
          </w:p>
        </w:tc>
        <w:tc>
          <w:tcPr>
            <w:tcW w:w="1530" w:type="dxa"/>
          </w:tcPr>
          <w:p w14:paraId="247A2BE7" w14:textId="07842630" w:rsidR="00CC7589" w:rsidRPr="004F728E" w:rsidRDefault="004F728E" w:rsidP="00CC7589">
            <w:pPr>
              <w:spacing w:after="0" w:line="240" w:lineRule="auto"/>
              <w:jc w:val="center"/>
            </w:pPr>
            <w:r w:rsidRPr="004F728E">
              <w:t>15</w:t>
            </w:r>
          </w:p>
        </w:tc>
      </w:tr>
      <w:tr w:rsidR="004F728E" w:rsidRPr="004F728E" w14:paraId="6DEE1341" w14:textId="77777777" w:rsidTr="004F728E">
        <w:trPr>
          <w:trHeight w:hRule="exact" w:val="432"/>
        </w:trPr>
        <w:tc>
          <w:tcPr>
            <w:tcW w:w="1980" w:type="dxa"/>
          </w:tcPr>
          <w:p w14:paraId="03981B19" w14:textId="77777777" w:rsidR="00C66B4F" w:rsidRPr="004F728E" w:rsidRDefault="00C66B4F" w:rsidP="00CC7589">
            <w:pPr>
              <w:tabs>
                <w:tab w:val="left" w:pos="450"/>
              </w:tabs>
              <w:spacing w:after="0" w:line="240" w:lineRule="auto"/>
              <w:rPr>
                <w:b/>
              </w:rPr>
            </w:pPr>
            <w:r w:rsidRPr="004F728E">
              <w:rPr>
                <w:b/>
              </w:rPr>
              <w:t>TOTAL</w:t>
            </w:r>
          </w:p>
        </w:tc>
        <w:tc>
          <w:tcPr>
            <w:tcW w:w="1710" w:type="dxa"/>
          </w:tcPr>
          <w:p w14:paraId="7D543DA8" w14:textId="77777777" w:rsidR="00C66B4F" w:rsidRPr="004F728E" w:rsidRDefault="00C66B4F" w:rsidP="00CC7589">
            <w:pPr>
              <w:tabs>
                <w:tab w:val="left" w:pos="450"/>
              </w:tabs>
              <w:spacing w:after="0" w:line="240" w:lineRule="auto"/>
              <w:jc w:val="center"/>
              <w:rPr>
                <w:b/>
              </w:rPr>
            </w:pPr>
          </w:p>
        </w:tc>
        <w:tc>
          <w:tcPr>
            <w:tcW w:w="1440" w:type="dxa"/>
          </w:tcPr>
          <w:p w14:paraId="23CE6359" w14:textId="29EA2576" w:rsidR="00C66B4F" w:rsidRPr="004F728E" w:rsidRDefault="004F728E" w:rsidP="00CC7589">
            <w:pPr>
              <w:tabs>
                <w:tab w:val="left" w:pos="450"/>
              </w:tabs>
              <w:spacing w:after="0" w:line="240" w:lineRule="auto"/>
              <w:jc w:val="center"/>
              <w:rPr>
                <w:b/>
              </w:rPr>
            </w:pPr>
            <w:r w:rsidRPr="004F728E">
              <w:rPr>
                <w:b/>
              </w:rPr>
              <w:t>1200</w:t>
            </w:r>
          </w:p>
        </w:tc>
        <w:tc>
          <w:tcPr>
            <w:tcW w:w="1620" w:type="dxa"/>
          </w:tcPr>
          <w:p w14:paraId="3FC616D6" w14:textId="77777777" w:rsidR="00C66B4F" w:rsidRPr="004F728E" w:rsidRDefault="00C66B4F" w:rsidP="00CC7589">
            <w:pPr>
              <w:tabs>
                <w:tab w:val="left" w:pos="450"/>
              </w:tabs>
              <w:spacing w:after="0" w:line="240" w:lineRule="auto"/>
              <w:jc w:val="center"/>
              <w:rPr>
                <w:b/>
              </w:rPr>
            </w:pPr>
          </w:p>
        </w:tc>
        <w:tc>
          <w:tcPr>
            <w:tcW w:w="1530" w:type="dxa"/>
          </w:tcPr>
          <w:p w14:paraId="2D66F0DA" w14:textId="77777777" w:rsidR="00C66B4F" w:rsidRPr="004F728E" w:rsidRDefault="00C66B4F" w:rsidP="00CC7589">
            <w:pPr>
              <w:tabs>
                <w:tab w:val="left" w:pos="450"/>
              </w:tabs>
              <w:spacing w:after="0" w:line="240" w:lineRule="auto"/>
              <w:jc w:val="center"/>
              <w:rPr>
                <w:b/>
              </w:rPr>
            </w:pPr>
          </w:p>
        </w:tc>
        <w:tc>
          <w:tcPr>
            <w:tcW w:w="1530" w:type="dxa"/>
          </w:tcPr>
          <w:p w14:paraId="61329E41" w14:textId="3CEC6B68" w:rsidR="00C66B4F" w:rsidRPr="004F728E" w:rsidRDefault="004F728E" w:rsidP="00CC7589">
            <w:pPr>
              <w:tabs>
                <w:tab w:val="left" w:pos="450"/>
              </w:tabs>
              <w:spacing w:after="0" w:line="240" w:lineRule="auto"/>
              <w:jc w:val="center"/>
              <w:rPr>
                <w:b/>
              </w:rPr>
            </w:pPr>
            <w:r w:rsidRPr="004F728E">
              <w:rPr>
                <w:b/>
              </w:rPr>
              <w:t>255</w:t>
            </w:r>
          </w:p>
        </w:tc>
      </w:tr>
    </w:tbl>
    <w:p w14:paraId="3998E532" w14:textId="2122BE24" w:rsidR="004B1FED" w:rsidRPr="00C56BB0" w:rsidRDefault="007C674A" w:rsidP="00C56BB0">
      <w:pPr>
        <w:rPr>
          <w:rFonts w:cstheme="minorHAnsi"/>
          <w:sz w:val="18"/>
          <w:szCs w:val="18"/>
        </w:rPr>
      </w:pPr>
      <w:r>
        <w:rPr>
          <w:rFonts w:cstheme="minorHAnsi"/>
          <w:sz w:val="18"/>
          <w:szCs w:val="18"/>
        </w:rPr>
        <w:t>^</w:t>
      </w:r>
      <w:r w:rsidR="00565603" w:rsidRPr="00C56BB0">
        <w:rPr>
          <w:rFonts w:cstheme="minorHAnsi"/>
          <w:sz w:val="18"/>
          <w:szCs w:val="18"/>
        </w:rPr>
        <w:t xml:space="preserve"> The timing </w:t>
      </w:r>
      <w:r w:rsidR="00C56BB0">
        <w:rPr>
          <w:rFonts w:cstheme="minorHAnsi"/>
          <w:sz w:val="18"/>
          <w:szCs w:val="18"/>
        </w:rPr>
        <w:t>of the saliva specimen collection activity is an estimate; the respondent for A</w:t>
      </w:r>
      <w:r w:rsidR="00565603" w:rsidRPr="00C56BB0">
        <w:rPr>
          <w:rFonts w:cstheme="minorHAnsi"/>
          <w:sz w:val="18"/>
          <w:szCs w:val="18"/>
        </w:rPr>
        <w:t xml:space="preserve">ttachment </w:t>
      </w:r>
      <w:r w:rsidR="00554AB5">
        <w:rPr>
          <w:rFonts w:cstheme="minorHAnsi"/>
          <w:sz w:val="18"/>
          <w:szCs w:val="18"/>
        </w:rPr>
        <w:t>B.12</w:t>
      </w:r>
      <w:r w:rsidR="00C56BB0">
        <w:rPr>
          <w:rFonts w:cstheme="minorHAnsi"/>
          <w:sz w:val="18"/>
          <w:szCs w:val="18"/>
        </w:rPr>
        <w:t xml:space="preserve"> is </w:t>
      </w:r>
      <w:r w:rsidR="00565603" w:rsidRPr="00C56BB0">
        <w:rPr>
          <w:rFonts w:cstheme="minorHAnsi"/>
          <w:sz w:val="18"/>
          <w:szCs w:val="18"/>
        </w:rPr>
        <w:t xml:space="preserve">the </w:t>
      </w:r>
      <w:r w:rsidR="00C56BB0">
        <w:rPr>
          <w:rFonts w:cstheme="minorHAnsi"/>
          <w:sz w:val="18"/>
          <w:szCs w:val="18"/>
        </w:rPr>
        <w:t>data collector and therefore, the timing is not included in the burden.</w:t>
      </w:r>
    </w:p>
    <w:p w14:paraId="6ECB9145" w14:textId="77777777" w:rsidR="004B1FED" w:rsidRDefault="004B1FED" w:rsidP="004F728E">
      <w:pPr>
        <w:rPr>
          <w:rFonts w:cstheme="minorHAnsi"/>
          <w:b/>
        </w:rPr>
      </w:pPr>
    </w:p>
    <w:p w14:paraId="7B149F1D" w14:textId="77777777" w:rsidR="004B1FED" w:rsidRDefault="004B1FED" w:rsidP="004F728E">
      <w:pPr>
        <w:rPr>
          <w:rFonts w:cstheme="minorHAnsi"/>
          <w:b/>
        </w:rPr>
      </w:pPr>
    </w:p>
    <w:p w14:paraId="193DDB79" w14:textId="77777777" w:rsidR="004B1FED" w:rsidRDefault="004B1FED" w:rsidP="004F728E">
      <w:pPr>
        <w:rPr>
          <w:rFonts w:cstheme="minorHAnsi"/>
          <w:b/>
        </w:rPr>
      </w:pPr>
    </w:p>
    <w:p w14:paraId="117AC57B" w14:textId="564EDF60" w:rsidR="004F728E" w:rsidRPr="008D51A5" w:rsidRDefault="004F728E" w:rsidP="004F728E">
      <w:pPr>
        <w:rPr>
          <w:rFonts w:cstheme="minorHAnsi"/>
          <w:b/>
        </w:rPr>
      </w:pPr>
      <w:r>
        <w:rPr>
          <w:rFonts w:cstheme="minorHAnsi"/>
          <w:b/>
        </w:rPr>
        <w:t>Annualized Cost to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530"/>
        <w:gridCol w:w="1260"/>
        <w:gridCol w:w="1620"/>
      </w:tblGrid>
      <w:tr w:rsidR="004F728E" w:rsidRPr="00633F6A" w14:paraId="1041570B" w14:textId="77777777" w:rsidTr="004B1FED">
        <w:trPr>
          <w:trHeight w:hRule="exact" w:val="1045"/>
        </w:trPr>
        <w:tc>
          <w:tcPr>
            <w:tcW w:w="1998" w:type="dxa"/>
          </w:tcPr>
          <w:p w14:paraId="0C1FD5BE" w14:textId="77777777" w:rsidR="004F728E" w:rsidRPr="00633F6A" w:rsidRDefault="004F728E" w:rsidP="002C67D6">
            <w:pPr>
              <w:tabs>
                <w:tab w:val="left" w:pos="450"/>
              </w:tabs>
              <w:spacing w:after="0" w:line="240" w:lineRule="auto"/>
              <w:rPr>
                <w:b/>
              </w:rPr>
            </w:pPr>
            <w:r w:rsidRPr="00633F6A">
              <w:rPr>
                <w:b/>
              </w:rPr>
              <w:t>Data Collection Activity</w:t>
            </w:r>
          </w:p>
          <w:p w14:paraId="3C579BBC" w14:textId="77777777" w:rsidR="004F728E" w:rsidRPr="00633F6A" w:rsidRDefault="004F728E" w:rsidP="002C67D6">
            <w:pPr>
              <w:tabs>
                <w:tab w:val="left" w:pos="450"/>
              </w:tabs>
              <w:spacing w:after="0" w:line="240" w:lineRule="auto"/>
              <w:rPr>
                <w:b/>
              </w:rPr>
            </w:pPr>
          </w:p>
        </w:tc>
        <w:tc>
          <w:tcPr>
            <w:tcW w:w="1710" w:type="dxa"/>
          </w:tcPr>
          <w:p w14:paraId="07FE609B" w14:textId="77777777" w:rsidR="004F728E" w:rsidRPr="00633F6A" w:rsidRDefault="004F728E" w:rsidP="002C67D6">
            <w:pPr>
              <w:tabs>
                <w:tab w:val="left" w:pos="450"/>
              </w:tabs>
              <w:spacing w:after="0" w:line="240" w:lineRule="auto"/>
              <w:jc w:val="center"/>
              <w:rPr>
                <w:b/>
              </w:rPr>
            </w:pPr>
            <w:r w:rsidRPr="00633F6A">
              <w:rPr>
                <w:b/>
              </w:rPr>
              <w:t>Type of Respondent</w:t>
            </w:r>
          </w:p>
        </w:tc>
        <w:tc>
          <w:tcPr>
            <w:tcW w:w="1530" w:type="dxa"/>
          </w:tcPr>
          <w:p w14:paraId="44CCBD9A" w14:textId="507AD2EB" w:rsidR="004F728E" w:rsidRPr="00633F6A" w:rsidRDefault="004F728E" w:rsidP="002C67D6">
            <w:pPr>
              <w:tabs>
                <w:tab w:val="left" w:pos="450"/>
              </w:tabs>
              <w:spacing w:after="0" w:line="240" w:lineRule="auto"/>
              <w:jc w:val="center"/>
              <w:rPr>
                <w:b/>
              </w:rPr>
            </w:pPr>
            <w:r w:rsidRPr="00633F6A">
              <w:rPr>
                <w:b/>
              </w:rPr>
              <w:t>Estimated Total Annual Burden Hours</w:t>
            </w:r>
          </w:p>
        </w:tc>
        <w:tc>
          <w:tcPr>
            <w:tcW w:w="1260" w:type="dxa"/>
          </w:tcPr>
          <w:p w14:paraId="7D92859F" w14:textId="327F7DE3" w:rsidR="004F728E" w:rsidRPr="00633F6A" w:rsidRDefault="004F728E" w:rsidP="002C67D6">
            <w:pPr>
              <w:tabs>
                <w:tab w:val="left" w:pos="450"/>
              </w:tabs>
              <w:spacing w:after="0" w:line="240" w:lineRule="auto"/>
              <w:jc w:val="center"/>
              <w:rPr>
                <w:b/>
              </w:rPr>
            </w:pPr>
            <w:r w:rsidRPr="00633F6A">
              <w:rPr>
                <w:b/>
              </w:rPr>
              <w:t>Hourly Wage Rate*</w:t>
            </w:r>
          </w:p>
        </w:tc>
        <w:tc>
          <w:tcPr>
            <w:tcW w:w="1620" w:type="dxa"/>
          </w:tcPr>
          <w:p w14:paraId="791D2C4E" w14:textId="1F3CBA4D" w:rsidR="004F728E" w:rsidRPr="00633F6A" w:rsidRDefault="004F728E" w:rsidP="002C67D6">
            <w:pPr>
              <w:tabs>
                <w:tab w:val="left" w:pos="450"/>
              </w:tabs>
              <w:spacing w:after="0" w:line="240" w:lineRule="auto"/>
              <w:jc w:val="center"/>
              <w:rPr>
                <w:b/>
              </w:rPr>
            </w:pPr>
            <w:r w:rsidRPr="00633F6A">
              <w:rPr>
                <w:b/>
              </w:rPr>
              <w:t>Respondent Cost</w:t>
            </w:r>
          </w:p>
        </w:tc>
      </w:tr>
      <w:tr w:rsidR="004F728E" w:rsidRPr="00633F6A" w14:paraId="0A1AF2F4" w14:textId="77777777" w:rsidTr="004B1FED">
        <w:trPr>
          <w:trHeight w:hRule="exact" w:val="1081"/>
        </w:trPr>
        <w:tc>
          <w:tcPr>
            <w:tcW w:w="1998" w:type="dxa"/>
          </w:tcPr>
          <w:p w14:paraId="35B4EA22" w14:textId="77777777" w:rsidR="004F728E" w:rsidRPr="00633F6A" w:rsidRDefault="004F728E" w:rsidP="002C67D6">
            <w:pPr>
              <w:tabs>
                <w:tab w:val="left" w:pos="450"/>
              </w:tabs>
              <w:spacing w:after="0" w:line="240" w:lineRule="auto"/>
            </w:pPr>
            <w:r w:rsidRPr="00633F6A">
              <w:t>Informed Consent</w:t>
            </w:r>
          </w:p>
        </w:tc>
        <w:tc>
          <w:tcPr>
            <w:tcW w:w="1710" w:type="dxa"/>
          </w:tcPr>
          <w:p w14:paraId="7886E979" w14:textId="77777777" w:rsidR="004F728E" w:rsidRPr="004B1FED" w:rsidRDefault="004F728E" w:rsidP="002C67D6">
            <w:pPr>
              <w:tabs>
                <w:tab w:val="left" w:pos="450"/>
              </w:tabs>
              <w:spacing w:after="0" w:line="240" w:lineRule="auto"/>
              <w:rPr>
                <w:sz w:val="20"/>
                <w:szCs w:val="20"/>
              </w:rPr>
            </w:pPr>
            <w:r w:rsidRPr="004B1FED">
              <w:rPr>
                <w:sz w:val="20"/>
                <w:szCs w:val="20"/>
              </w:rPr>
              <w:t>Pregnant Women and Birth Fathers &amp; Postpartum Parents</w:t>
            </w:r>
          </w:p>
        </w:tc>
        <w:tc>
          <w:tcPr>
            <w:tcW w:w="1530" w:type="dxa"/>
          </w:tcPr>
          <w:p w14:paraId="6AB7BFF7" w14:textId="236576D9" w:rsidR="004F728E" w:rsidRPr="00633F6A" w:rsidRDefault="004F728E" w:rsidP="002C67D6">
            <w:pPr>
              <w:tabs>
                <w:tab w:val="left" w:pos="450"/>
              </w:tabs>
              <w:spacing w:after="0" w:line="240" w:lineRule="auto"/>
              <w:jc w:val="center"/>
            </w:pPr>
            <w:r w:rsidRPr="00633F6A">
              <w:t>200</w:t>
            </w:r>
          </w:p>
        </w:tc>
        <w:tc>
          <w:tcPr>
            <w:tcW w:w="1260" w:type="dxa"/>
          </w:tcPr>
          <w:p w14:paraId="264C4E0F" w14:textId="11D1BD97" w:rsidR="004F728E" w:rsidRPr="004B1FED" w:rsidRDefault="004B1FED" w:rsidP="002C67D6">
            <w:pPr>
              <w:tabs>
                <w:tab w:val="left" w:pos="450"/>
              </w:tabs>
              <w:spacing w:after="0" w:line="240" w:lineRule="auto"/>
              <w:jc w:val="center"/>
            </w:pPr>
            <w:r w:rsidRPr="004B1FED">
              <w:t>$22.01</w:t>
            </w:r>
          </w:p>
        </w:tc>
        <w:tc>
          <w:tcPr>
            <w:tcW w:w="1620" w:type="dxa"/>
          </w:tcPr>
          <w:p w14:paraId="585B5B6E" w14:textId="0F3C4D15" w:rsidR="004F728E" w:rsidRPr="00633F6A" w:rsidRDefault="004B1FED" w:rsidP="002C67D6">
            <w:pPr>
              <w:tabs>
                <w:tab w:val="left" w:pos="450"/>
              </w:tabs>
              <w:spacing w:after="0" w:line="240" w:lineRule="auto"/>
              <w:jc w:val="center"/>
            </w:pPr>
            <w:r>
              <w:t>$4,402</w:t>
            </w:r>
          </w:p>
        </w:tc>
      </w:tr>
      <w:tr w:rsidR="004F728E" w:rsidRPr="00633F6A" w14:paraId="3801D1B2" w14:textId="77777777" w:rsidTr="004B1FED">
        <w:trPr>
          <w:trHeight w:hRule="exact" w:val="1081"/>
        </w:trPr>
        <w:tc>
          <w:tcPr>
            <w:tcW w:w="1998" w:type="dxa"/>
          </w:tcPr>
          <w:p w14:paraId="46E73250" w14:textId="77777777" w:rsidR="004F728E" w:rsidRPr="00633F6A" w:rsidRDefault="004F728E" w:rsidP="002C67D6">
            <w:pPr>
              <w:tabs>
                <w:tab w:val="left" w:pos="450"/>
              </w:tabs>
              <w:spacing w:after="0" w:line="240" w:lineRule="auto"/>
            </w:pPr>
            <w:r w:rsidRPr="00633F6A">
              <w:t>Specimen Collection – Saliva</w:t>
            </w:r>
          </w:p>
        </w:tc>
        <w:tc>
          <w:tcPr>
            <w:tcW w:w="1710" w:type="dxa"/>
          </w:tcPr>
          <w:p w14:paraId="2E81FF54" w14:textId="77777777" w:rsidR="004F728E" w:rsidRPr="004B1FED" w:rsidRDefault="004F728E" w:rsidP="002C67D6">
            <w:pPr>
              <w:tabs>
                <w:tab w:val="left" w:pos="450"/>
              </w:tabs>
              <w:spacing w:after="0" w:line="240" w:lineRule="auto"/>
              <w:rPr>
                <w:sz w:val="20"/>
                <w:szCs w:val="20"/>
              </w:rPr>
            </w:pPr>
            <w:r w:rsidRPr="004B1FED">
              <w:rPr>
                <w:sz w:val="20"/>
                <w:szCs w:val="20"/>
              </w:rPr>
              <w:t>Pregnant Women and Birth Fathers &amp; Postpartum Parents</w:t>
            </w:r>
          </w:p>
        </w:tc>
        <w:tc>
          <w:tcPr>
            <w:tcW w:w="1530" w:type="dxa"/>
          </w:tcPr>
          <w:p w14:paraId="4C2D124E" w14:textId="068D2C57" w:rsidR="004F728E" w:rsidRPr="00633F6A" w:rsidDel="00780C1F" w:rsidRDefault="004F728E" w:rsidP="004F728E">
            <w:pPr>
              <w:tabs>
                <w:tab w:val="left" w:pos="450"/>
              </w:tabs>
              <w:spacing w:after="0" w:line="240" w:lineRule="auto"/>
              <w:jc w:val="center"/>
            </w:pPr>
            <w:r w:rsidRPr="00633F6A">
              <w:t>40</w:t>
            </w:r>
          </w:p>
        </w:tc>
        <w:tc>
          <w:tcPr>
            <w:tcW w:w="1260" w:type="dxa"/>
          </w:tcPr>
          <w:p w14:paraId="78241D8A" w14:textId="079675E5" w:rsidR="004F728E" w:rsidRPr="004B1FED" w:rsidRDefault="004B1FED" w:rsidP="002C67D6">
            <w:pPr>
              <w:tabs>
                <w:tab w:val="left" w:pos="450"/>
              </w:tabs>
              <w:spacing w:after="0" w:line="240" w:lineRule="auto"/>
              <w:jc w:val="center"/>
            </w:pPr>
            <w:r w:rsidRPr="004B1FED">
              <w:t>$22.01</w:t>
            </w:r>
          </w:p>
        </w:tc>
        <w:tc>
          <w:tcPr>
            <w:tcW w:w="1620" w:type="dxa"/>
          </w:tcPr>
          <w:p w14:paraId="1C8E23DB" w14:textId="24FE6AF6" w:rsidR="004F728E" w:rsidRPr="00633F6A" w:rsidRDefault="004B1FED" w:rsidP="002C67D6">
            <w:pPr>
              <w:tabs>
                <w:tab w:val="left" w:pos="450"/>
              </w:tabs>
              <w:spacing w:after="0" w:line="240" w:lineRule="auto"/>
              <w:jc w:val="center"/>
            </w:pPr>
            <w:r>
              <w:t>$881</w:t>
            </w:r>
          </w:p>
        </w:tc>
      </w:tr>
      <w:tr w:rsidR="004F728E" w:rsidRPr="00633F6A" w14:paraId="44BDA3DC" w14:textId="77777777" w:rsidTr="004B1FED">
        <w:trPr>
          <w:trHeight w:hRule="exact" w:val="1081"/>
        </w:trPr>
        <w:tc>
          <w:tcPr>
            <w:tcW w:w="1998" w:type="dxa"/>
          </w:tcPr>
          <w:p w14:paraId="38D67574" w14:textId="77777777" w:rsidR="004F728E" w:rsidRPr="00633F6A" w:rsidRDefault="004F728E" w:rsidP="002C67D6">
            <w:pPr>
              <w:tabs>
                <w:tab w:val="left" w:pos="450"/>
              </w:tabs>
              <w:spacing w:after="0" w:line="240" w:lineRule="auto"/>
            </w:pPr>
            <w:r w:rsidRPr="00633F6A">
              <w:t>Quality Assurance Interview</w:t>
            </w:r>
          </w:p>
        </w:tc>
        <w:tc>
          <w:tcPr>
            <w:tcW w:w="1710" w:type="dxa"/>
          </w:tcPr>
          <w:p w14:paraId="1664AA2D" w14:textId="77777777" w:rsidR="004F728E" w:rsidRPr="004B1FED" w:rsidRDefault="004F728E" w:rsidP="002C67D6">
            <w:pPr>
              <w:tabs>
                <w:tab w:val="left" w:pos="450"/>
              </w:tabs>
              <w:spacing w:after="0" w:line="240" w:lineRule="auto"/>
              <w:rPr>
                <w:sz w:val="20"/>
                <w:szCs w:val="20"/>
              </w:rPr>
            </w:pPr>
            <w:r w:rsidRPr="004B1FED">
              <w:rPr>
                <w:sz w:val="20"/>
                <w:szCs w:val="20"/>
              </w:rPr>
              <w:t>Pregnant Women and Birth Fathers &amp; Postpartum Parents</w:t>
            </w:r>
          </w:p>
        </w:tc>
        <w:tc>
          <w:tcPr>
            <w:tcW w:w="1530" w:type="dxa"/>
          </w:tcPr>
          <w:p w14:paraId="2EE13B51" w14:textId="78E1FFC1" w:rsidR="004F728E" w:rsidRPr="00633F6A" w:rsidRDefault="004F728E" w:rsidP="004F728E">
            <w:pPr>
              <w:tabs>
                <w:tab w:val="left" w:pos="450"/>
              </w:tabs>
              <w:spacing w:after="0" w:line="240" w:lineRule="auto"/>
              <w:jc w:val="center"/>
            </w:pPr>
            <w:r w:rsidRPr="00633F6A">
              <w:t>15</w:t>
            </w:r>
          </w:p>
        </w:tc>
        <w:tc>
          <w:tcPr>
            <w:tcW w:w="1260" w:type="dxa"/>
          </w:tcPr>
          <w:p w14:paraId="11AD6A65" w14:textId="61499062" w:rsidR="004F728E" w:rsidRPr="004B1FED" w:rsidRDefault="004B1FED" w:rsidP="002C67D6">
            <w:pPr>
              <w:tabs>
                <w:tab w:val="left" w:pos="450"/>
              </w:tabs>
              <w:spacing w:after="0" w:line="240" w:lineRule="auto"/>
              <w:jc w:val="center"/>
            </w:pPr>
            <w:r w:rsidRPr="004B1FED">
              <w:t>$22.01</w:t>
            </w:r>
          </w:p>
        </w:tc>
        <w:tc>
          <w:tcPr>
            <w:tcW w:w="1620" w:type="dxa"/>
          </w:tcPr>
          <w:p w14:paraId="44D7619C" w14:textId="4F5A1670" w:rsidR="004F728E" w:rsidRPr="00633F6A" w:rsidRDefault="004B1FED" w:rsidP="002C67D6">
            <w:pPr>
              <w:tabs>
                <w:tab w:val="left" w:pos="450"/>
              </w:tabs>
              <w:spacing w:after="0" w:line="240" w:lineRule="auto"/>
              <w:jc w:val="center"/>
            </w:pPr>
            <w:r>
              <w:t>$330</w:t>
            </w:r>
          </w:p>
        </w:tc>
      </w:tr>
      <w:tr w:rsidR="004F728E" w:rsidRPr="00633F6A" w14:paraId="4AE5A494" w14:textId="77777777" w:rsidTr="004B1FED">
        <w:trPr>
          <w:trHeight w:hRule="exact" w:val="432"/>
        </w:trPr>
        <w:tc>
          <w:tcPr>
            <w:tcW w:w="1998" w:type="dxa"/>
          </w:tcPr>
          <w:p w14:paraId="3A4405FD" w14:textId="77777777" w:rsidR="004F728E" w:rsidRPr="00633F6A" w:rsidRDefault="004F728E" w:rsidP="002C67D6">
            <w:pPr>
              <w:tabs>
                <w:tab w:val="left" w:pos="450"/>
              </w:tabs>
              <w:spacing w:after="0" w:line="240" w:lineRule="auto"/>
              <w:rPr>
                <w:b/>
              </w:rPr>
            </w:pPr>
            <w:r w:rsidRPr="00633F6A">
              <w:rPr>
                <w:b/>
              </w:rPr>
              <w:t>TOTAL</w:t>
            </w:r>
          </w:p>
        </w:tc>
        <w:tc>
          <w:tcPr>
            <w:tcW w:w="1710" w:type="dxa"/>
          </w:tcPr>
          <w:p w14:paraId="5EA6974C" w14:textId="77777777" w:rsidR="004F728E" w:rsidRPr="00633F6A" w:rsidRDefault="004F728E" w:rsidP="002C67D6">
            <w:pPr>
              <w:tabs>
                <w:tab w:val="left" w:pos="450"/>
              </w:tabs>
              <w:spacing w:after="0" w:line="240" w:lineRule="auto"/>
              <w:jc w:val="center"/>
              <w:rPr>
                <w:b/>
              </w:rPr>
            </w:pPr>
          </w:p>
        </w:tc>
        <w:tc>
          <w:tcPr>
            <w:tcW w:w="1530" w:type="dxa"/>
          </w:tcPr>
          <w:p w14:paraId="38071707" w14:textId="117235BA" w:rsidR="004F728E" w:rsidRPr="00633F6A" w:rsidRDefault="004B1FED" w:rsidP="002C67D6">
            <w:pPr>
              <w:tabs>
                <w:tab w:val="left" w:pos="450"/>
              </w:tabs>
              <w:spacing w:after="0" w:line="240" w:lineRule="auto"/>
              <w:jc w:val="center"/>
              <w:rPr>
                <w:b/>
              </w:rPr>
            </w:pPr>
            <w:r>
              <w:rPr>
                <w:b/>
              </w:rPr>
              <w:t>255</w:t>
            </w:r>
          </w:p>
        </w:tc>
        <w:tc>
          <w:tcPr>
            <w:tcW w:w="1260" w:type="dxa"/>
          </w:tcPr>
          <w:p w14:paraId="030B27E9" w14:textId="77777777" w:rsidR="004F728E" w:rsidRPr="00633F6A" w:rsidRDefault="004F728E" w:rsidP="002C67D6">
            <w:pPr>
              <w:tabs>
                <w:tab w:val="left" w:pos="450"/>
              </w:tabs>
              <w:spacing w:after="0" w:line="240" w:lineRule="auto"/>
              <w:jc w:val="center"/>
              <w:rPr>
                <w:b/>
              </w:rPr>
            </w:pPr>
          </w:p>
        </w:tc>
        <w:tc>
          <w:tcPr>
            <w:tcW w:w="1620" w:type="dxa"/>
          </w:tcPr>
          <w:p w14:paraId="5E06CA3E" w14:textId="6B9AFAC0" w:rsidR="004F728E" w:rsidRPr="00633F6A" w:rsidRDefault="004B1FED" w:rsidP="002C67D6">
            <w:pPr>
              <w:tabs>
                <w:tab w:val="left" w:pos="450"/>
              </w:tabs>
              <w:spacing w:after="0" w:line="240" w:lineRule="auto"/>
              <w:jc w:val="center"/>
              <w:rPr>
                <w:b/>
              </w:rPr>
            </w:pPr>
            <w:r>
              <w:rPr>
                <w:b/>
              </w:rPr>
              <w:t>$5,613</w:t>
            </w:r>
          </w:p>
        </w:tc>
      </w:tr>
    </w:tbl>
    <w:p w14:paraId="11FEBC9F" w14:textId="77777777" w:rsidR="004B1FED" w:rsidRPr="004B1FED" w:rsidRDefault="004B1FED" w:rsidP="004B1FED">
      <w:pPr>
        <w:rPr>
          <w:sz w:val="18"/>
          <w:szCs w:val="18"/>
        </w:rPr>
      </w:pPr>
      <w:r w:rsidRPr="004B1FED">
        <w:rPr>
          <w:sz w:val="18"/>
          <w:szCs w:val="18"/>
        </w:rPr>
        <w:t>* Based on the mean wages for all occupations. National Compensation Survey: Occupational wages in the United States May 2012, U.S. Department of Labor, Bureau of Labor Statistics.</w:t>
      </w:r>
    </w:p>
    <w:p w14:paraId="155802AF" w14:textId="77777777" w:rsidR="002274B4" w:rsidRDefault="002274B4" w:rsidP="001325DC">
      <w:pPr>
        <w:spacing w:after="0" w:line="240" w:lineRule="auto"/>
        <w:rPr>
          <w:b/>
        </w:rPr>
      </w:pPr>
    </w:p>
    <w:p w14:paraId="687D4DDF" w14:textId="77777777" w:rsidR="0086097A" w:rsidRPr="0086097A" w:rsidRDefault="0086097A" w:rsidP="001325DC">
      <w:pPr>
        <w:spacing w:after="0" w:line="240" w:lineRule="auto"/>
        <w:rPr>
          <w:b/>
        </w:rPr>
      </w:pPr>
      <w:r w:rsidRPr="0086097A">
        <w:rPr>
          <w:b/>
        </w:rPr>
        <w:t>List of Attachments</w:t>
      </w:r>
    </w:p>
    <w:bookmarkEnd w:id="0"/>
    <w:p w14:paraId="50BC633C" w14:textId="6332F5D0" w:rsidR="00DD264F" w:rsidRDefault="0076632A" w:rsidP="001325DC">
      <w:pPr>
        <w:spacing w:after="0" w:line="240" w:lineRule="auto"/>
      </w:pPr>
      <w:r>
        <w:t>B.1</w:t>
      </w:r>
      <w:r w:rsidR="00DD264F">
        <w:t xml:space="preserve"> IRB Protocol 07152014</w:t>
      </w:r>
      <w:r w:rsidRPr="0076632A">
        <w:t xml:space="preserve"> </w:t>
      </w:r>
      <w:r>
        <w:t>Amended</w:t>
      </w:r>
    </w:p>
    <w:p w14:paraId="50714DB3" w14:textId="1E098058" w:rsidR="00DD264F" w:rsidRDefault="00E13E2B" w:rsidP="001325DC">
      <w:pPr>
        <w:spacing w:after="0" w:line="240" w:lineRule="auto"/>
      </w:pPr>
      <w:r>
        <w:t>B.6</w:t>
      </w:r>
      <w:r w:rsidR="00DD264F">
        <w:t xml:space="preserve"> Consent Form </w:t>
      </w:r>
      <w:r>
        <w:t>Amended</w:t>
      </w:r>
    </w:p>
    <w:p w14:paraId="71959675" w14:textId="77777777" w:rsidR="00031113" w:rsidRDefault="00031113" w:rsidP="00031113">
      <w:pPr>
        <w:spacing w:after="0" w:line="240" w:lineRule="auto"/>
      </w:pPr>
      <w:r>
        <w:t>B.9</w:t>
      </w:r>
      <w:r w:rsidRPr="007C084A">
        <w:t xml:space="preserve"> </w:t>
      </w:r>
      <w:r w:rsidRPr="000D3DB6">
        <w:t>Quality Assurance Interview</w:t>
      </w:r>
    </w:p>
    <w:p w14:paraId="1E160CA1" w14:textId="77777777" w:rsidR="00AF1838" w:rsidRDefault="00AF1838" w:rsidP="00AF1838">
      <w:pPr>
        <w:spacing w:after="0" w:line="240" w:lineRule="auto"/>
      </w:pPr>
      <w:r>
        <w:t xml:space="preserve">B.10 IRB Approval Letter 07222014 </w:t>
      </w:r>
    </w:p>
    <w:p w14:paraId="4C98C5BE" w14:textId="279B0CCF" w:rsidR="00D87FC3" w:rsidRDefault="006E0B20" w:rsidP="001325DC">
      <w:pPr>
        <w:spacing w:after="0" w:line="240" w:lineRule="auto"/>
      </w:pPr>
      <w:r>
        <w:t>B.11 IRB Approval Letter 08092014</w:t>
      </w:r>
    </w:p>
    <w:p w14:paraId="3CA59AF0" w14:textId="60F13B10" w:rsidR="00D87FC3" w:rsidRPr="0086097A" w:rsidRDefault="00554AB5" w:rsidP="001325DC">
      <w:pPr>
        <w:spacing w:after="0" w:line="240" w:lineRule="auto"/>
      </w:pPr>
      <w:r>
        <w:t>B.12</w:t>
      </w:r>
      <w:r w:rsidR="00D87FC3">
        <w:t xml:space="preserve"> Saliva Collection and Transport Form</w:t>
      </w:r>
    </w:p>
    <w:sectPr w:rsidR="00D87FC3" w:rsidRPr="0086097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4A7AF" w14:textId="77777777" w:rsidR="00D23A13" w:rsidRDefault="00D23A13" w:rsidP="00C87E12">
      <w:pPr>
        <w:spacing w:after="0" w:line="240" w:lineRule="auto"/>
      </w:pPr>
      <w:r>
        <w:separator/>
      </w:r>
    </w:p>
  </w:endnote>
  <w:endnote w:type="continuationSeparator" w:id="0">
    <w:p w14:paraId="297357AB" w14:textId="77777777" w:rsidR="00D23A13" w:rsidRDefault="00D23A13" w:rsidP="00C8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405951"/>
      <w:docPartObj>
        <w:docPartGallery w:val="Page Numbers (Bottom of Page)"/>
        <w:docPartUnique/>
      </w:docPartObj>
    </w:sdtPr>
    <w:sdtEndPr/>
    <w:sdtContent>
      <w:sdt>
        <w:sdtPr>
          <w:id w:val="860082579"/>
          <w:docPartObj>
            <w:docPartGallery w:val="Page Numbers (Top of Page)"/>
            <w:docPartUnique/>
          </w:docPartObj>
        </w:sdtPr>
        <w:sdtEndPr/>
        <w:sdtContent>
          <w:p w14:paraId="432F4F9D" w14:textId="23D71F9B" w:rsidR="00DA066D" w:rsidRDefault="00DA066D" w:rsidP="00DA066D">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11E9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1E92">
              <w:rPr>
                <w:b/>
                <w:bCs/>
                <w:noProof/>
              </w:rPr>
              <w:t>4</w:t>
            </w:r>
            <w:r>
              <w:rPr>
                <w:b/>
                <w:bCs/>
                <w:sz w:val="24"/>
                <w:szCs w:val="24"/>
              </w:rPr>
              <w:fldChar w:fldCharType="end"/>
            </w:r>
          </w:p>
        </w:sdtContent>
      </w:sdt>
    </w:sdtContent>
  </w:sdt>
  <w:p w14:paraId="48923782" w14:textId="77777777" w:rsidR="00AA407A" w:rsidRDefault="00AA4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6FCEA" w14:textId="77777777" w:rsidR="00D23A13" w:rsidRDefault="00D23A13" w:rsidP="00C87E12">
      <w:pPr>
        <w:spacing w:after="0" w:line="240" w:lineRule="auto"/>
      </w:pPr>
      <w:r>
        <w:separator/>
      </w:r>
    </w:p>
  </w:footnote>
  <w:footnote w:type="continuationSeparator" w:id="0">
    <w:p w14:paraId="4F06291F" w14:textId="77777777" w:rsidR="00D23A13" w:rsidRDefault="00D23A13" w:rsidP="00C87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708"/>
    <w:multiLevelType w:val="multilevel"/>
    <w:tmpl w:val="2C7E41A8"/>
    <w:lvl w:ilvl="0">
      <w:start w:val="1"/>
      <w:numFmt w:val="decimal"/>
      <w:pStyle w:val="ListBullet2"/>
      <w:lvlText w:val="%1)"/>
      <w:lvlJc w:val="left"/>
      <w:pPr>
        <w:tabs>
          <w:tab w:val="num" w:pos="360"/>
        </w:tabs>
        <w:ind w:left="360" w:hanging="360"/>
      </w:pPr>
      <w:rPr>
        <w:rFonts w:ascii="Times New Roman" w:hAnsi="Times New Roman" w:cs="Times New Roman" w:hint="default"/>
        <w:b w:val="0"/>
        <w:bCs w:val="0"/>
        <w:iCs w:val="0"/>
        <w:caps w:val="0"/>
        <w:smallCaps w:val="0"/>
        <w:strike w:val="0"/>
        <w:dstrike w:val="0"/>
        <w:noProof w:val="0"/>
        <w:vanish w:val="0"/>
        <w:color w:val="000000"/>
        <w:spacing w:val="0"/>
        <w:kern w:val="0"/>
        <w:position w:val="0"/>
        <w:u w:val="none"/>
        <w:vertAlign w:val="baseline"/>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B70712D"/>
    <w:multiLevelType w:val="hybridMultilevel"/>
    <w:tmpl w:val="BEBE3814"/>
    <w:lvl w:ilvl="0" w:tplc="119E5AA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E7415"/>
    <w:multiLevelType w:val="hybridMultilevel"/>
    <w:tmpl w:val="DF123562"/>
    <w:lvl w:ilvl="0" w:tplc="ADBEE2F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66F9A"/>
    <w:multiLevelType w:val="hybridMultilevel"/>
    <w:tmpl w:val="6F50B8FA"/>
    <w:lvl w:ilvl="0" w:tplc="60FE46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311F91"/>
    <w:multiLevelType w:val="hybridMultilevel"/>
    <w:tmpl w:val="32DA1F32"/>
    <w:lvl w:ilvl="0" w:tplc="014E904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8337C"/>
    <w:multiLevelType w:val="hybridMultilevel"/>
    <w:tmpl w:val="130E5CCA"/>
    <w:lvl w:ilvl="0" w:tplc="F29CFB0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9D4219"/>
    <w:multiLevelType w:val="hybridMultilevel"/>
    <w:tmpl w:val="21D40996"/>
    <w:lvl w:ilvl="0" w:tplc="880213CE">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9747F5"/>
    <w:multiLevelType w:val="hybridMultilevel"/>
    <w:tmpl w:val="B3E0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54A71"/>
    <w:multiLevelType w:val="hybridMultilevel"/>
    <w:tmpl w:val="7F5A1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D748E"/>
    <w:multiLevelType w:val="hybridMultilevel"/>
    <w:tmpl w:val="5F4A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0"/>
  </w:num>
  <w:num w:numId="6">
    <w:abstractNumId w:val="2"/>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12"/>
    <w:rsid w:val="00024DDA"/>
    <w:rsid w:val="0002564C"/>
    <w:rsid w:val="00031113"/>
    <w:rsid w:val="00031284"/>
    <w:rsid w:val="0003415C"/>
    <w:rsid w:val="000427E6"/>
    <w:rsid w:val="000443A6"/>
    <w:rsid w:val="000462FF"/>
    <w:rsid w:val="00063C09"/>
    <w:rsid w:val="000645EB"/>
    <w:rsid w:val="00076BE7"/>
    <w:rsid w:val="000776C1"/>
    <w:rsid w:val="00077AAD"/>
    <w:rsid w:val="00081272"/>
    <w:rsid w:val="000B27D9"/>
    <w:rsid w:val="000B6A40"/>
    <w:rsid w:val="000C0958"/>
    <w:rsid w:val="000D3DB6"/>
    <w:rsid w:val="000D68B8"/>
    <w:rsid w:val="000F1D62"/>
    <w:rsid w:val="000F4797"/>
    <w:rsid w:val="000F578D"/>
    <w:rsid w:val="00104C31"/>
    <w:rsid w:val="001238B1"/>
    <w:rsid w:val="001325DC"/>
    <w:rsid w:val="00154A60"/>
    <w:rsid w:val="00165746"/>
    <w:rsid w:val="00170C38"/>
    <w:rsid w:val="00196F1D"/>
    <w:rsid w:val="001A2480"/>
    <w:rsid w:val="001A6A5C"/>
    <w:rsid w:val="001B6043"/>
    <w:rsid w:val="001C08B4"/>
    <w:rsid w:val="001C6B83"/>
    <w:rsid w:val="001D15DA"/>
    <w:rsid w:val="001E1050"/>
    <w:rsid w:val="002274B4"/>
    <w:rsid w:val="00235B51"/>
    <w:rsid w:val="002C5B1D"/>
    <w:rsid w:val="002D2BB4"/>
    <w:rsid w:val="002E27F5"/>
    <w:rsid w:val="002E3DBF"/>
    <w:rsid w:val="00300D51"/>
    <w:rsid w:val="003119B3"/>
    <w:rsid w:val="00313971"/>
    <w:rsid w:val="0031576F"/>
    <w:rsid w:val="0032115B"/>
    <w:rsid w:val="00323A15"/>
    <w:rsid w:val="003253BB"/>
    <w:rsid w:val="003554BB"/>
    <w:rsid w:val="00386E25"/>
    <w:rsid w:val="003A1EC1"/>
    <w:rsid w:val="003A385D"/>
    <w:rsid w:val="003A6B44"/>
    <w:rsid w:val="003B5FC6"/>
    <w:rsid w:val="003C0731"/>
    <w:rsid w:val="003C1A70"/>
    <w:rsid w:val="003E00F0"/>
    <w:rsid w:val="004050B8"/>
    <w:rsid w:val="0040529D"/>
    <w:rsid w:val="004231D0"/>
    <w:rsid w:val="00460676"/>
    <w:rsid w:val="0047323F"/>
    <w:rsid w:val="00474EB6"/>
    <w:rsid w:val="004841D7"/>
    <w:rsid w:val="004B1FED"/>
    <w:rsid w:val="004D3CAC"/>
    <w:rsid w:val="004D5D3C"/>
    <w:rsid w:val="004E4E37"/>
    <w:rsid w:val="004F025D"/>
    <w:rsid w:val="004F03AE"/>
    <w:rsid w:val="004F6467"/>
    <w:rsid w:val="004F728E"/>
    <w:rsid w:val="00532257"/>
    <w:rsid w:val="00533671"/>
    <w:rsid w:val="00554AB5"/>
    <w:rsid w:val="00565603"/>
    <w:rsid w:val="005657A3"/>
    <w:rsid w:val="005825DE"/>
    <w:rsid w:val="005B2AE8"/>
    <w:rsid w:val="005C0E2B"/>
    <w:rsid w:val="005D72FB"/>
    <w:rsid w:val="005E5989"/>
    <w:rsid w:val="00601B55"/>
    <w:rsid w:val="00603CC3"/>
    <w:rsid w:val="00615372"/>
    <w:rsid w:val="00617192"/>
    <w:rsid w:val="00630B2C"/>
    <w:rsid w:val="00633F6A"/>
    <w:rsid w:val="00636213"/>
    <w:rsid w:val="006443B5"/>
    <w:rsid w:val="00651CED"/>
    <w:rsid w:val="00660C29"/>
    <w:rsid w:val="00661A27"/>
    <w:rsid w:val="006625CD"/>
    <w:rsid w:val="0066437B"/>
    <w:rsid w:val="006675FD"/>
    <w:rsid w:val="00680B29"/>
    <w:rsid w:val="00696F00"/>
    <w:rsid w:val="006A371A"/>
    <w:rsid w:val="006C1835"/>
    <w:rsid w:val="006C25A1"/>
    <w:rsid w:val="006D2DAF"/>
    <w:rsid w:val="006D5372"/>
    <w:rsid w:val="006E0B20"/>
    <w:rsid w:val="006F0210"/>
    <w:rsid w:val="006F3D84"/>
    <w:rsid w:val="006F3E5D"/>
    <w:rsid w:val="00700B71"/>
    <w:rsid w:val="0071079F"/>
    <w:rsid w:val="00721887"/>
    <w:rsid w:val="00763804"/>
    <w:rsid w:val="0076632A"/>
    <w:rsid w:val="00766D27"/>
    <w:rsid w:val="00783579"/>
    <w:rsid w:val="0078644F"/>
    <w:rsid w:val="007A19E3"/>
    <w:rsid w:val="007A36F7"/>
    <w:rsid w:val="007B4A87"/>
    <w:rsid w:val="007B524C"/>
    <w:rsid w:val="007B762B"/>
    <w:rsid w:val="007C084A"/>
    <w:rsid w:val="007C674A"/>
    <w:rsid w:val="007C71CE"/>
    <w:rsid w:val="007E07E6"/>
    <w:rsid w:val="007E3E59"/>
    <w:rsid w:val="007F6B44"/>
    <w:rsid w:val="008016A1"/>
    <w:rsid w:val="00811E92"/>
    <w:rsid w:val="00820E56"/>
    <w:rsid w:val="00852B26"/>
    <w:rsid w:val="00853E40"/>
    <w:rsid w:val="0086097A"/>
    <w:rsid w:val="00874990"/>
    <w:rsid w:val="008833C1"/>
    <w:rsid w:val="008A7928"/>
    <w:rsid w:val="008B1AF0"/>
    <w:rsid w:val="008D0EE4"/>
    <w:rsid w:val="008D16FF"/>
    <w:rsid w:val="008E1E40"/>
    <w:rsid w:val="008E500A"/>
    <w:rsid w:val="008F77A1"/>
    <w:rsid w:val="008F7828"/>
    <w:rsid w:val="00914633"/>
    <w:rsid w:val="009344BC"/>
    <w:rsid w:val="00936B5A"/>
    <w:rsid w:val="00945253"/>
    <w:rsid w:val="0095746A"/>
    <w:rsid w:val="0096264E"/>
    <w:rsid w:val="009629E8"/>
    <w:rsid w:val="009B06DD"/>
    <w:rsid w:val="009B4C73"/>
    <w:rsid w:val="009C3FB4"/>
    <w:rsid w:val="009C5CE6"/>
    <w:rsid w:val="009D0CE7"/>
    <w:rsid w:val="009D3315"/>
    <w:rsid w:val="009E219F"/>
    <w:rsid w:val="00A55395"/>
    <w:rsid w:val="00A76674"/>
    <w:rsid w:val="00A76BEA"/>
    <w:rsid w:val="00A85CBC"/>
    <w:rsid w:val="00AA407A"/>
    <w:rsid w:val="00AA4362"/>
    <w:rsid w:val="00AB06B3"/>
    <w:rsid w:val="00AB5FAA"/>
    <w:rsid w:val="00AB675A"/>
    <w:rsid w:val="00AC6EDA"/>
    <w:rsid w:val="00AD2447"/>
    <w:rsid w:val="00AE18BE"/>
    <w:rsid w:val="00AE348A"/>
    <w:rsid w:val="00AF0510"/>
    <w:rsid w:val="00AF1838"/>
    <w:rsid w:val="00B155F5"/>
    <w:rsid w:val="00B17F98"/>
    <w:rsid w:val="00B23CE4"/>
    <w:rsid w:val="00B40D53"/>
    <w:rsid w:val="00B46F57"/>
    <w:rsid w:val="00B64ED1"/>
    <w:rsid w:val="00B763FA"/>
    <w:rsid w:val="00B7793D"/>
    <w:rsid w:val="00B86E2F"/>
    <w:rsid w:val="00BB230D"/>
    <w:rsid w:val="00BC726F"/>
    <w:rsid w:val="00BC7BB0"/>
    <w:rsid w:val="00BD39C4"/>
    <w:rsid w:val="00BE3053"/>
    <w:rsid w:val="00BF59AA"/>
    <w:rsid w:val="00C0543D"/>
    <w:rsid w:val="00C41981"/>
    <w:rsid w:val="00C46905"/>
    <w:rsid w:val="00C56BB0"/>
    <w:rsid w:val="00C5773D"/>
    <w:rsid w:val="00C66B4F"/>
    <w:rsid w:val="00C87467"/>
    <w:rsid w:val="00C87E12"/>
    <w:rsid w:val="00C90E76"/>
    <w:rsid w:val="00C92500"/>
    <w:rsid w:val="00CA43B1"/>
    <w:rsid w:val="00CB2F63"/>
    <w:rsid w:val="00CB34C3"/>
    <w:rsid w:val="00CC5F75"/>
    <w:rsid w:val="00CC7589"/>
    <w:rsid w:val="00CE1180"/>
    <w:rsid w:val="00D131CA"/>
    <w:rsid w:val="00D23A13"/>
    <w:rsid w:val="00D50C75"/>
    <w:rsid w:val="00D60625"/>
    <w:rsid w:val="00D66B17"/>
    <w:rsid w:val="00D83023"/>
    <w:rsid w:val="00D87FC3"/>
    <w:rsid w:val="00DA066D"/>
    <w:rsid w:val="00DC0A9F"/>
    <w:rsid w:val="00DC3718"/>
    <w:rsid w:val="00DC60A7"/>
    <w:rsid w:val="00DD264F"/>
    <w:rsid w:val="00DE5A91"/>
    <w:rsid w:val="00DF3424"/>
    <w:rsid w:val="00E108F9"/>
    <w:rsid w:val="00E12D9A"/>
    <w:rsid w:val="00E13E2B"/>
    <w:rsid w:val="00E1592B"/>
    <w:rsid w:val="00E17D6A"/>
    <w:rsid w:val="00E26490"/>
    <w:rsid w:val="00E2669E"/>
    <w:rsid w:val="00E53981"/>
    <w:rsid w:val="00E65120"/>
    <w:rsid w:val="00E720D5"/>
    <w:rsid w:val="00E85004"/>
    <w:rsid w:val="00E86608"/>
    <w:rsid w:val="00E9182D"/>
    <w:rsid w:val="00EA54CC"/>
    <w:rsid w:val="00EA558F"/>
    <w:rsid w:val="00EB0162"/>
    <w:rsid w:val="00EC0014"/>
    <w:rsid w:val="00EE32DB"/>
    <w:rsid w:val="00F13219"/>
    <w:rsid w:val="00F415B7"/>
    <w:rsid w:val="00F427D7"/>
    <w:rsid w:val="00F96CBC"/>
    <w:rsid w:val="00FC3252"/>
    <w:rsid w:val="00FC3F73"/>
    <w:rsid w:val="00FC6032"/>
    <w:rsid w:val="00FC7836"/>
    <w:rsid w:val="00FD4F9F"/>
    <w:rsid w:val="00FE391D"/>
    <w:rsid w:val="00FE78E9"/>
    <w:rsid w:val="00FF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12"/>
    <w:pPr>
      <w:spacing w:after="200" w:line="276" w:lineRule="auto"/>
    </w:pPr>
    <w:rPr>
      <w:rFonts w:eastAsiaTheme="minorEastAsia"/>
    </w:rPr>
  </w:style>
  <w:style w:type="paragraph" w:styleId="Heading1">
    <w:name w:val="heading 1"/>
    <w:basedOn w:val="Normal"/>
    <w:next w:val="Normal"/>
    <w:link w:val="Heading1Char"/>
    <w:uiPriority w:val="9"/>
    <w:qFormat/>
    <w:rsid w:val="00B23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3C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7E12"/>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E12"/>
    <w:rPr>
      <w:rFonts w:asciiTheme="majorHAnsi" w:eastAsiaTheme="majorEastAsia" w:hAnsiTheme="majorHAnsi" w:cstheme="majorBidi"/>
      <w:b/>
      <w:bCs/>
    </w:rPr>
  </w:style>
  <w:style w:type="character" w:styleId="CommentReference">
    <w:name w:val="annotation reference"/>
    <w:basedOn w:val="DefaultParagraphFont"/>
    <w:uiPriority w:val="99"/>
    <w:unhideWhenUsed/>
    <w:rsid w:val="00C87E12"/>
    <w:rPr>
      <w:sz w:val="16"/>
      <w:szCs w:val="16"/>
    </w:rPr>
  </w:style>
  <w:style w:type="paragraph" w:styleId="CommentText">
    <w:name w:val="annotation text"/>
    <w:basedOn w:val="Normal"/>
    <w:link w:val="CommentTextChar"/>
    <w:unhideWhenUsed/>
    <w:rsid w:val="00C87E12"/>
    <w:pPr>
      <w:spacing w:line="240" w:lineRule="auto"/>
    </w:pPr>
    <w:rPr>
      <w:sz w:val="20"/>
      <w:szCs w:val="20"/>
    </w:rPr>
  </w:style>
  <w:style w:type="character" w:customStyle="1" w:styleId="CommentTextChar">
    <w:name w:val="Comment Text Char"/>
    <w:basedOn w:val="DefaultParagraphFont"/>
    <w:link w:val="CommentText"/>
    <w:rsid w:val="00C87E12"/>
    <w:rPr>
      <w:rFonts w:eastAsiaTheme="minorEastAsia"/>
      <w:sz w:val="20"/>
      <w:szCs w:val="20"/>
    </w:rPr>
  </w:style>
  <w:style w:type="paragraph" w:styleId="FootnoteText">
    <w:name w:val="footnote text"/>
    <w:basedOn w:val="Normal"/>
    <w:link w:val="FootnoteTextChar"/>
    <w:uiPriority w:val="99"/>
    <w:semiHidden/>
    <w:unhideWhenUsed/>
    <w:rsid w:val="00C87E1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87E12"/>
    <w:rPr>
      <w:sz w:val="20"/>
      <w:szCs w:val="20"/>
    </w:rPr>
  </w:style>
  <w:style w:type="character" w:styleId="FootnoteReference">
    <w:name w:val="footnote reference"/>
    <w:basedOn w:val="DefaultParagraphFont"/>
    <w:uiPriority w:val="99"/>
    <w:semiHidden/>
    <w:unhideWhenUsed/>
    <w:rsid w:val="00C87E12"/>
    <w:rPr>
      <w:vertAlign w:val="superscript"/>
    </w:rPr>
  </w:style>
  <w:style w:type="table" w:styleId="TableGrid">
    <w:name w:val="Table Grid"/>
    <w:basedOn w:val="TableNormal"/>
    <w:uiPriority w:val="59"/>
    <w:rsid w:val="00C8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12"/>
    <w:rPr>
      <w:rFonts w:ascii="Tahoma" w:eastAsiaTheme="minorEastAsia" w:hAnsi="Tahoma" w:cs="Tahoma"/>
      <w:sz w:val="16"/>
      <w:szCs w:val="16"/>
    </w:rPr>
  </w:style>
  <w:style w:type="paragraph" w:styleId="ListParagraph">
    <w:name w:val="List Paragraph"/>
    <w:basedOn w:val="Normal"/>
    <w:uiPriority w:val="34"/>
    <w:qFormat/>
    <w:rsid w:val="00C87E12"/>
    <w:pPr>
      <w:ind w:left="720"/>
      <w:contextualSpacing/>
    </w:pPr>
    <w:rPr>
      <w:rFonts w:eastAsiaTheme="minorHAnsi"/>
    </w:rPr>
  </w:style>
  <w:style w:type="character" w:styleId="Hyperlink">
    <w:name w:val="Hyperlink"/>
    <w:basedOn w:val="DefaultParagraphFont"/>
    <w:uiPriority w:val="99"/>
    <w:unhideWhenUsed/>
    <w:rsid w:val="00C87E12"/>
    <w:rPr>
      <w:color w:val="0000FF" w:themeColor="hyperlink"/>
      <w:u w:val="single"/>
    </w:rPr>
  </w:style>
  <w:style w:type="character" w:customStyle="1" w:styleId="Heading1Char">
    <w:name w:val="Heading 1 Char"/>
    <w:basedOn w:val="DefaultParagraphFont"/>
    <w:link w:val="Heading1"/>
    <w:uiPriority w:val="9"/>
    <w:rsid w:val="00B23C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3CE4"/>
    <w:rPr>
      <w:rFonts w:asciiTheme="majorHAnsi" w:eastAsiaTheme="majorEastAsia" w:hAnsiTheme="majorHAnsi" w:cstheme="majorBidi"/>
      <w:b/>
      <w:bCs/>
      <w:color w:val="4F81BD" w:themeColor="accent1"/>
      <w:sz w:val="26"/>
      <w:szCs w:val="26"/>
    </w:rPr>
  </w:style>
  <w:style w:type="paragraph" w:customStyle="1" w:styleId="SOP-C1">
    <w:name w:val="SOP-C1"/>
    <w:basedOn w:val="Normal"/>
    <w:link w:val="SOP-C1Char"/>
    <w:qFormat/>
    <w:rsid w:val="00EA558F"/>
    <w:pPr>
      <w:spacing w:after="0" w:line="240" w:lineRule="atLeast"/>
      <w:jc w:val="both"/>
    </w:pPr>
    <w:rPr>
      <w:rFonts w:ascii="Arial" w:eastAsia="Times New Roman" w:hAnsi="Arial" w:cs="Arial"/>
      <w:b/>
      <w:sz w:val="40"/>
      <w:szCs w:val="40"/>
    </w:rPr>
  </w:style>
  <w:style w:type="character" w:customStyle="1" w:styleId="SOP-C1Char">
    <w:name w:val="SOP-C1 Char"/>
    <w:basedOn w:val="DefaultParagraphFont"/>
    <w:link w:val="SOP-C1"/>
    <w:rsid w:val="00EA558F"/>
    <w:rPr>
      <w:rFonts w:ascii="Arial" w:eastAsia="Times New Roman" w:hAnsi="Arial" w:cs="Arial"/>
      <w:b/>
      <w:sz w:val="40"/>
      <w:szCs w:val="40"/>
    </w:rPr>
  </w:style>
  <w:style w:type="table" w:customStyle="1" w:styleId="TableGrid1">
    <w:name w:val="Table Grid1"/>
    <w:basedOn w:val="TableNormal"/>
    <w:next w:val="TableGrid"/>
    <w:uiPriority w:val="59"/>
    <w:rsid w:val="00F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5DC"/>
    <w:pPr>
      <w:autoSpaceDE w:val="0"/>
      <w:autoSpaceDN w:val="0"/>
      <w:adjustRightInd w:val="0"/>
    </w:pPr>
    <w:rPr>
      <w:rFonts w:ascii="Arial" w:hAnsi="Arial" w:cs="Arial"/>
      <w:color w:val="000000"/>
      <w:sz w:val="24"/>
      <w:szCs w:val="24"/>
    </w:rPr>
  </w:style>
  <w:style w:type="paragraph" w:styleId="ListBullet2">
    <w:name w:val="List Bullet 2"/>
    <w:basedOn w:val="Normal"/>
    <w:rsid w:val="00660C29"/>
    <w:pPr>
      <w:keepNext/>
      <w:numPr>
        <w:numId w:val="5"/>
      </w:numPr>
      <w:spacing w:after="0" w:line="240" w:lineRule="auto"/>
    </w:pPr>
    <w:rPr>
      <w:rFonts w:ascii="Times New Roman" w:eastAsia="Times New Roman" w:hAnsi="Times New Roman" w:cs="Times New Roman"/>
      <w:b/>
      <w:sz w:val="28"/>
      <w:szCs w:val="24"/>
    </w:rPr>
  </w:style>
  <w:style w:type="paragraph" w:styleId="Header">
    <w:name w:val="header"/>
    <w:basedOn w:val="Normal"/>
    <w:link w:val="HeaderChar"/>
    <w:uiPriority w:val="99"/>
    <w:unhideWhenUsed/>
    <w:rsid w:val="00AA4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7A"/>
    <w:rPr>
      <w:rFonts w:eastAsiaTheme="minorEastAsia"/>
    </w:rPr>
  </w:style>
  <w:style w:type="paragraph" w:styleId="Footer">
    <w:name w:val="footer"/>
    <w:basedOn w:val="Normal"/>
    <w:link w:val="FooterChar"/>
    <w:uiPriority w:val="99"/>
    <w:unhideWhenUsed/>
    <w:rsid w:val="00AA4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7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12"/>
    <w:pPr>
      <w:spacing w:after="200" w:line="276" w:lineRule="auto"/>
    </w:pPr>
    <w:rPr>
      <w:rFonts w:eastAsiaTheme="minorEastAsia"/>
    </w:rPr>
  </w:style>
  <w:style w:type="paragraph" w:styleId="Heading1">
    <w:name w:val="heading 1"/>
    <w:basedOn w:val="Normal"/>
    <w:next w:val="Normal"/>
    <w:link w:val="Heading1Char"/>
    <w:uiPriority w:val="9"/>
    <w:qFormat/>
    <w:rsid w:val="00B23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3C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7E12"/>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E12"/>
    <w:rPr>
      <w:rFonts w:asciiTheme="majorHAnsi" w:eastAsiaTheme="majorEastAsia" w:hAnsiTheme="majorHAnsi" w:cstheme="majorBidi"/>
      <w:b/>
      <w:bCs/>
    </w:rPr>
  </w:style>
  <w:style w:type="character" w:styleId="CommentReference">
    <w:name w:val="annotation reference"/>
    <w:basedOn w:val="DefaultParagraphFont"/>
    <w:uiPriority w:val="99"/>
    <w:unhideWhenUsed/>
    <w:rsid w:val="00C87E12"/>
    <w:rPr>
      <w:sz w:val="16"/>
      <w:szCs w:val="16"/>
    </w:rPr>
  </w:style>
  <w:style w:type="paragraph" w:styleId="CommentText">
    <w:name w:val="annotation text"/>
    <w:basedOn w:val="Normal"/>
    <w:link w:val="CommentTextChar"/>
    <w:unhideWhenUsed/>
    <w:rsid w:val="00C87E12"/>
    <w:pPr>
      <w:spacing w:line="240" w:lineRule="auto"/>
    </w:pPr>
    <w:rPr>
      <w:sz w:val="20"/>
      <w:szCs w:val="20"/>
    </w:rPr>
  </w:style>
  <w:style w:type="character" w:customStyle="1" w:styleId="CommentTextChar">
    <w:name w:val="Comment Text Char"/>
    <w:basedOn w:val="DefaultParagraphFont"/>
    <w:link w:val="CommentText"/>
    <w:rsid w:val="00C87E12"/>
    <w:rPr>
      <w:rFonts w:eastAsiaTheme="minorEastAsia"/>
      <w:sz w:val="20"/>
      <w:szCs w:val="20"/>
    </w:rPr>
  </w:style>
  <w:style w:type="paragraph" w:styleId="FootnoteText">
    <w:name w:val="footnote text"/>
    <w:basedOn w:val="Normal"/>
    <w:link w:val="FootnoteTextChar"/>
    <w:uiPriority w:val="99"/>
    <w:semiHidden/>
    <w:unhideWhenUsed/>
    <w:rsid w:val="00C87E1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87E12"/>
    <w:rPr>
      <w:sz w:val="20"/>
      <w:szCs w:val="20"/>
    </w:rPr>
  </w:style>
  <w:style w:type="character" w:styleId="FootnoteReference">
    <w:name w:val="footnote reference"/>
    <w:basedOn w:val="DefaultParagraphFont"/>
    <w:uiPriority w:val="99"/>
    <w:semiHidden/>
    <w:unhideWhenUsed/>
    <w:rsid w:val="00C87E12"/>
    <w:rPr>
      <w:vertAlign w:val="superscript"/>
    </w:rPr>
  </w:style>
  <w:style w:type="table" w:styleId="TableGrid">
    <w:name w:val="Table Grid"/>
    <w:basedOn w:val="TableNormal"/>
    <w:uiPriority w:val="59"/>
    <w:rsid w:val="00C8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12"/>
    <w:rPr>
      <w:rFonts w:ascii="Tahoma" w:eastAsiaTheme="minorEastAsia" w:hAnsi="Tahoma" w:cs="Tahoma"/>
      <w:sz w:val="16"/>
      <w:szCs w:val="16"/>
    </w:rPr>
  </w:style>
  <w:style w:type="paragraph" w:styleId="ListParagraph">
    <w:name w:val="List Paragraph"/>
    <w:basedOn w:val="Normal"/>
    <w:uiPriority w:val="34"/>
    <w:qFormat/>
    <w:rsid w:val="00C87E12"/>
    <w:pPr>
      <w:ind w:left="720"/>
      <w:contextualSpacing/>
    </w:pPr>
    <w:rPr>
      <w:rFonts w:eastAsiaTheme="minorHAnsi"/>
    </w:rPr>
  </w:style>
  <w:style w:type="character" w:styleId="Hyperlink">
    <w:name w:val="Hyperlink"/>
    <w:basedOn w:val="DefaultParagraphFont"/>
    <w:uiPriority w:val="99"/>
    <w:unhideWhenUsed/>
    <w:rsid w:val="00C87E12"/>
    <w:rPr>
      <w:color w:val="0000FF" w:themeColor="hyperlink"/>
      <w:u w:val="single"/>
    </w:rPr>
  </w:style>
  <w:style w:type="character" w:customStyle="1" w:styleId="Heading1Char">
    <w:name w:val="Heading 1 Char"/>
    <w:basedOn w:val="DefaultParagraphFont"/>
    <w:link w:val="Heading1"/>
    <w:uiPriority w:val="9"/>
    <w:rsid w:val="00B23C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3CE4"/>
    <w:rPr>
      <w:rFonts w:asciiTheme="majorHAnsi" w:eastAsiaTheme="majorEastAsia" w:hAnsiTheme="majorHAnsi" w:cstheme="majorBidi"/>
      <w:b/>
      <w:bCs/>
      <w:color w:val="4F81BD" w:themeColor="accent1"/>
      <w:sz w:val="26"/>
      <w:szCs w:val="26"/>
    </w:rPr>
  </w:style>
  <w:style w:type="paragraph" w:customStyle="1" w:styleId="SOP-C1">
    <w:name w:val="SOP-C1"/>
    <w:basedOn w:val="Normal"/>
    <w:link w:val="SOP-C1Char"/>
    <w:qFormat/>
    <w:rsid w:val="00EA558F"/>
    <w:pPr>
      <w:spacing w:after="0" w:line="240" w:lineRule="atLeast"/>
      <w:jc w:val="both"/>
    </w:pPr>
    <w:rPr>
      <w:rFonts w:ascii="Arial" w:eastAsia="Times New Roman" w:hAnsi="Arial" w:cs="Arial"/>
      <w:b/>
      <w:sz w:val="40"/>
      <w:szCs w:val="40"/>
    </w:rPr>
  </w:style>
  <w:style w:type="character" w:customStyle="1" w:styleId="SOP-C1Char">
    <w:name w:val="SOP-C1 Char"/>
    <w:basedOn w:val="DefaultParagraphFont"/>
    <w:link w:val="SOP-C1"/>
    <w:rsid w:val="00EA558F"/>
    <w:rPr>
      <w:rFonts w:ascii="Arial" w:eastAsia="Times New Roman" w:hAnsi="Arial" w:cs="Arial"/>
      <w:b/>
      <w:sz w:val="40"/>
      <w:szCs w:val="40"/>
    </w:rPr>
  </w:style>
  <w:style w:type="table" w:customStyle="1" w:styleId="TableGrid1">
    <w:name w:val="Table Grid1"/>
    <w:basedOn w:val="TableNormal"/>
    <w:next w:val="TableGrid"/>
    <w:uiPriority w:val="59"/>
    <w:rsid w:val="00F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5DC"/>
    <w:pPr>
      <w:autoSpaceDE w:val="0"/>
      <w:autoSpaceDN w:val="0"/>
      <w:adjustRightInd w:val="0"/>
    </w:pPr>
    <w:rPr>
      <w:rFonts w:ascii="Arial" w:hAnsi="Arial" w:cs="Arial"/>
      <w:color w:val="000000"/>
      <w:sz w:val="24"/>
      <w:szCs w:val="24"/>
    </w:rPr>
  </w:style>
  <w:style w:type="paragraph" w:styleId="ListBullet2">
    <w:name w:val="List Bullet 2"/>
    <w:basedOn w:val="Normal"/>
    <w:rsid w:val="00660C29"/>
    <w:pPr>
      <w:keepNext/>
      <w:numPr>
        <w:numId w:val="5"/>
      </w:numPr>
      <w:spacing w:after="0" w:line="240" w:lineRule="auto"/>
    </w:pPr>
    <w:rPr>
      <w:rFonts w:ascii="Times New Roman" w:eastAsia="Times New Roman" w:hAnsi="Times New Roman" w:cs="Times New Roman"/>
      <w:b/>
      <w:sz w:val="28"/>
      <w:szCs w:val="24"/>
    </w:rPr>
  </w:style>
  <w:style w:type="paragraph" w:styleId="Header">
    <w:name w:val="header"/>
    <w:basedOn w:val="Normal"/>
    <w:link w:val="HeaderChar"/>
    <w:uiPriority w:val="99"/>
    <w:unhideWhenUsed/>
    <w:rsid w:val="00AA4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7A"/>
    <w:rPr>
      <w:rFonts w:eastAsiaTheme="minorEastAsia"/>
    </w:rPr>
  </w:style>
  <w:style w:type="paragraph" w:styleId="Footer">
    <w:name w:val="footer"/>
    <w:basedOn w:val="Normal"/>
    <w:link w:val="FooterChar"/>
    <w:uiPriority w:val="99"/>
    <w:unhideWhenUsed/>
    <w:rsid w:val="00AA4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7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75A6-B445-4DB1-B510-55B69CD81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6BBEC-8BCB-47CE-87FA-EAD69772FE45}">
  <ds:schemaRefs>
    <ds:schemaRef ds:uri="http://schemas.microsoft.com/sharepoint/v3/contenttype/forms"/>
  </ds:schemaRefs>
</ds:datastoreItem>
</file>

<file path=customXml/itemProps3.xml><?xml version="1.0" encoding="utf-8"?>
<ds:datastoreItem xmlns:ds="http://schemas.openxmlformats.org/officeDocument/2006/customXml" ds:itemID="{40E3ADF2-7232-4AD0-B387-1AAC64D75581}">
  <ds:schemaRefs>
    <ds:schemaRef ds:uri="http://schemas.microsoft.com/office/2006/metadata/properties"/>
    <ds:schemaRef ds:uri="http://schemas.microsoft.com/office/infopath/2007/PartnerControls"/>
    <ds:schemaRef ds:uri="97da15da-340d-45c3-b410-ea542fff83b9"/>
    <ds:schemaRef ds:uri="http://schemas.microsoft.com/sharepoint/v3"/>
    <ds:schemaRef ds:uri="731ff553-a81a-4800-bc24-74128aaef756"/>
  </ds:schemaRefs>
</ds:datastoreItem>
</file>

<file path=customXml/itemProps4.xml><?xml version="1.0" encoding="utf-8"?>
<ds:datastoreItem xmlns:ds="http://schemas.openxmlformats.org/officeDocument/2006/customXml" ds:itemID="{02D4BEE3-A1EA-43F4-8AF1-2111BC4D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Betley, Valerie (NIH/NICHD) [C]</dc:creator>
  <cp:lastModifiedBy>Betley, Valerie (NIH/NICHD) [C]</cp:lastModifiedBy>
  <cp:revision>13</cp:revision>
  <cp:lastPrinted>2014-08-05T15:42:00Z</cp:lastPrinted>
  <dcterms:created xsi:type="dcterms:W3CDTF">2014-12-02T15:43:00Z</dcterms:created>
  <dcterms:modified xsi:type="dcterms:W3CDTF">2014-12-02T15:59:00Z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