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378A7" w14:textId="09C60BDA" w:rsidR="00716F94" w:rsidRDefault="00716F94" w:rsidP="00BC6896">
      <w:bookmarkStart w:id="0" w:name="_GoBack"/>
      <w:bookmarkEnd w:id="0"/>
    </w:p>
    <w:p w14:paraId="24184914" w14:textId="77777777" w:rsidR="009B4A51" w:rsidRDefault="009B4A51" w:rsidP="00BC6896"/>
    <w:p w14:paraId="52B856C3" w14:textId="77777777" w:rsidR="009B4A51" w:rsidRDefault="009B4A51" w:rsidP="00BC6896"/>
    <w:p w14:paraId="04E55029" w14:textId="77777777" w:rsidR="009B4A51" w:rsidRDefault="009B4A51" w:rsidP="00BC6896"/>
    <w:p w14:paraId="6C40D5C9" w14:textId="77777777" w:rsidR="009B4A51" w:rsidRDefault="009B4A51" w:rsidP="00BC6896"/>
    <w:p w14:paraId="43BADB84" w14:textId="77777777" w:rsidR="00732A21" w:rsidRDefault="00732A21" w:rsidP="00BC6896"/>
    <w:p w14:paraId="72843F7A" w14:textId="77777777" w:rsidR="00732A21" w:rsidRDefault="00732A21" w:rsidP="00BC6896"/>
    <w:p w14:paraId="0E567642" w14:textId="261121CA" w:rsidR="00716F94" w:rsidRPr="004C66BB" w:rsidRDefault="009B15E1" w:rsidP="00BC6896">
      <w:pPr>
        <w:pStyle w:val="Heading1"/>
      </w:pPr>
      <w:r w:rsidRPr="004C66BB">
        <w:t>HIV Health Improvement Affinity Group (HHIAG) Assessment</w:t>
      </w:r>
    </w:p>
    <w:p w14:paraId="26038DBB" w14:textId="77777777" w:rsidR="00AA3192" w:rsidRDefault="00AA3192" w:rsidP="00BC6896"/>
    <w:p w14:paraId="71610AE8" w14:textId="77777777" w:rsidR="00716F94" w:rsidRPr="00AA3192" w:rsidRDefault="00484011" w:rsidP="00BC6896">
      <w:pPr>
        <w:ind w:left="0"/>
        <w:jc w:val="center"/>
      </w:pPr>
      <w:r w:rsidRPr="00AA3192">
        <w:t xml:space="preserve">OSTLTS Generic </w:t>
      </w:r>
      <w:r w:rsidR="00487E55">
        <w:t>Data collection</w:t>
      </w:r>
      <w:r w:rsidRPr="00AA3192">
        <w:t xml:space="preserve"> Request</w:t>
      </w:r>
    </w:p>
    <w:p w14:paraId="32EC6D87" w14:textId="77777777" w:rsidR="00484011" w:rsidRPr="00AA3192" w:rsidRDefault="00484011" w:rsidP="00BC6896">
      <w:pPr>
        <w:pStyle w:val="Header"/>
        <w:ind w:left="0"/>
        <w:jc w:val="center"/>
      </w:pPr>
      <w:r w:rsidRPr="00AA3192">
        <w:t>OMB No. 0920-0879</w:t>
      </w:r>
    </w:p>
    <w:p w14:paraId="3332A8A3" w14:textId="77777777" w:rsidR="009B4A51" w:rsidRDefault="009B4A51" w:rsidP="00BC6896"/>
    <w:p w14:paraId="2402CDFB" w14:textId="77777777" w:rsidR="00732A21" w:rsidRDefault="00732A21" w:rsidP="00BC6896"/>
    <w:p w14:paraId="397C51D4" w14:textId="77777777" w:rsidR="00AA3192" w:rsidRDefault="00AA3192" w:rsidP="00BC6896"/>
    <w:p w14:paraId="715BF8F8" w14:textId="77777777" w:rsidR="009B4A51" w:rsidRPr="00BC6896" w:rsidRDefault="009B4A51" w:rsidP="00BC6896">
      <w:pPr>
        <w:pStyle w:val="Heading2"/>
      </w:pPr>
      <w:r w:rsidRPr="00BC6896">
        <w:t xml:space="preserve">Supporting Statement – Section </w:t>
      </w:r>
      <w:r w:rsidR="00601392" w:rsidRPr="00BC6896">
        <w:t>B</w:t>
      </w:r>
    </w:p>
    <w:p w14:paraId="706B42D1" w14:textId="77777777" w:rsidR="009B4A51" w:rsidRDefault="009B4A51" w:rsidP="00BC6896"/>
    <w:p w14:paraId="40A45B99" w14:textId="7B23BDCC" w:rsidR="009B4A51" w:rsidRPr="00732A21" w:rsidRDefault="009B4A51" w:rsidP="001B706C">
      <w:pPr>
        <w:ind w:left="0"/>
        <w:jc w:val="center"/>
      </w:pPr>
      <w:r w:rsidRPr="00AA3192">
        <w:t xml:space="preserve">Submitted: </w:t>
      </w:r>
      <w:r w:rsidR="00732A21">
        <w:t>7/27/17</w:t>
      </w:r>
    </w:p>
    <w:p w14:paraId="7C5ACC27" w14:textId="77777777" w:rsidR="009B4A51" w:rsidRDefault="009B4A51" w:rsidP="00BC6896"/>
    <w:p w14:paraId="0DC16E02" w14:textId="29D88FB7" w:rsidR="0098676B" w:rsidRDefault="0098676B" w:rsidP="00BC6896"/>
    <w:p w14:paraId="1826F6D9" w14:textId="77777777" w:rsidR="0098676B" w:rsidRDefault="0098676B" w:rsidP="00BC6896"/>
    <w:p w14:paraId="00B9A599" w14:textId="77777777" w:rsidR="0098676B" w:rsidRDefault="0098676B" w:rsidP="00BC6896"/>
    <w:p w14:paraId="7BA8AA99" w14:textId="77777777" w:rsidR="0098676B" w:rsidRDefault="0098676B" w:rsidP="00BC6896"/>
    <w:p w14:paraId="34519313" w14:textId="77777777" w:rsidR="0098676B" w:rsidRDefault="0098676B" w:rsidP="00BC6896"/>
    <w:p w14:paraId="5CC745F2" w14:textId="77777777" w:rsidR="0098676B" w:rsidRDefault="0098676B" w:rsidP="00BC6896"/>
    <w:p w14:paraId="3618011B" w14:textId="77777777" w:rsidR="0098676B" w:rsidRDefault="0098676B" w:rsidP="00BC6896"/>
    <w:p w14:paraId="4C0FC640" w14:textId="77777777" w:rsidR="0098676B" w:rsidRDefault="0098676B" w:rsidP="00BC6896"/>
    <w:p w14:paraId="0E6F0BEB" w14:textId="77777777" w:rsidR="0098676B" w:rsidRDefault="0098676B" w:rsidP="00BC6896"/>
    <w:p w14:paraId="1E74C18F" w14:textId="77777777" w:rsidR="0098676B" w:rsidRDefault="0098676B" w:rsidP="00732A21">
      <w:pPr>
        <w:ind w:left="0"/>
      </w:pPr>
    </w:p>
    <w:p w14:paraId="4256F0A0" w14:textId="77777777" w:rsidR="009B4A51" w:rsidRDefault="009B4A51" w:rsidP="00BC6896"/>
    <w:p w14:paraId="1C59F8BA" w14:textId="77777777" w:rsidR="00A81BF7" w:rsidRPr="00BC6896" w:rsidRDefault="00A81BF7" w:rsidP="00A81BF7">
      <w:pPr>
        <w:ind w:left="0"/>
        <w:rPr>
          <w:b/>
          <w:u w:val="single"/>
        </w:rPr>
      </w:pPr>
      <w:r w:rsidRPr="00BC6896">
        <w:rPr>
          <w:b/>
          <w:u w:val="single"/>
        </w:rPr>
        <w:t>Program Official/Project Officer</w:t>
      </w:r>
    </w:p>
    <w:p w14:paraId="42A7BFCD" w14:textId="3D69CB2B" w:rsidR="00F725B5" w:rsidRPr="004C66BB" w:rsidRDefault="009B15E1" w:rsidP="00BC6896">
      <w:pPr>
        <w:ind w:left="0"/>
      </w:pPr>
      <w:r w:rsidRPr="004C66BB">
        <w:t>Janet Heitgerd</w:t>
      </w:r>
    </w:p>
    <w:p w14:paraId="3875F935" w14:textId="1EA40A2A" w:rsidR="00F725B5" w:rsidRPr="004C66BB" w:rsidRDefault="009B15E1" w:rsidP="00BC6896">
      <w:pPr>
        <w:ind w:left="0"/>
      </w:pPr>
      <w:r w:rsidRPr="004C66BB">
        <w:t>Associate Chief for Science</w:t>
      </w:r>
    </w:p>
    <w:p w14:paraId="20E64903" w14:textId="1626A30F" w:rsidR="00F725B5" w:rsidRPr="004C66BB" w:rsidRDefault="009B15E1" w:rsidP="00BC6896">
      <w:pPr>
        <w:ind w:left="0"/>
      </w:pPr>
      <w:r w:rsidRPr="004C66BB">
        <w:t>Program Evaluation Branch; Division of HIV/AIDS Prevention; NCHHSTP; CDC</w:t>
      </w:r>
    </w:p>
    <w:p w14:paraId="3D8BBB00" w14:textId="634A39F5" w:rsidR="00F725B5" w:rsidRPr="004C66BB" w:rsidRDefault="009B15E1" w:rsidP="00BC6896">
      <w:pPr>
        <w:ind w:left="0"/>
      </w:pPr>
      <w:r w:rsidRPr="004C66BB">
        <w:t>1600 Clifton Road, MSE-59, Atlanta, GA 30333</w:t>
      </w:r>
    </w:p>
    <w:p w14:paraId="3491D0B5" w14:textId="319E5F18" w:rsidR="00F725B5" w:rsidRPr="004C66BB" w:rsidRDefault="009B15E1" w:rsidP="00BC6896">
      <w:pPr>
        <w:ind w:left="0"/>
      </w:pPr>
      <w:r w:rsidRPr="004C66BB">
        <w:t>404-639-1801</w:t>
      </w:r>
    </w:p>
    <w:p w14:paraId="59008432" w14:textId="77777777" w:rsidR="00F725B5" w:rsidRPr="004C66BB" w:rsidRDefault="00F725B5" w:rsidP="00BC6896">
      <w:pPr>
        <w:ind w:left="0"/>
      </w:pPr>
      <w:r w:rsidRPr="004C66BB">
        <w:t>Fax Number</w:t>
      </w:r>
    </w:p>
    <w:p w14:paraId="03DC6735" w14:textId="23B2F58F" w:rsidR="00F725B5" w:rsidRPr="004C66BB" w:rsidRDefault="00F75ECD" w:rsidP="00BC6896">
      <w:pPr>
        <w:ind w:left="0"/>
      </w:pPr>
      <w:r w:rsidRPr="004C66BB">
        <w:t>Jbh0@cdc.gov</w:t>
      </w:r>
    </w:p>
    <w:p w14:paraId="39700517" w14:textId="77777777" w:rsidR="00691031" w:rsidRPr="004C66BB" w:rsidRDefault="00691031" w:rsidP="00BC6896">
      <w:pPr>
        <w:ind w:left="0"/>
      </w:pPr>
    </w:p>
    <w:p w14:paraId="4ACDECF8" w14:textId="77777777" w:rsidR="00EC45F0" w:rsidRDefault="00EC45F0" w:rsidP="00BC6896">
      <w:pPr>
        <w:ind w:left="0"/>
        <w:rPr>
          <w:color w:val="0070C0"/>
        </w:rPr>
      </w:pPr>
    </w:p>
    <w:p w14:paraId="5908BC69" w14:textId="77777777" w:rsidR="00EC45F0" w:rsidRPr="0042604A" w:rsidRDefault="00EC45F0" w:rsidP="00BC6896">
      <w:pPr>
        <w:ind w:left="0"/>
        <w:rPr>
          <w:color w:val="0070C0"/>
        </w:rPr>
      </w:pPr>
    </w:p>
    <w:p w14:paraId="3F30EB93" w14:textId="77777777" w:rsidR="00245F1F" w:rsidRPr="000A538D" w:rsidRDefault="00245F1F" w:rsidP="00BC6896">
      <w:pPr>
        <w:pStyle w:val="Heading3"/>
      </w:pPr>
      <w:bookmarkStart w:id="1" w:name="_Toc413847909"/>
      <w:r>
        <w:lastRenderedPageBreak/>
        <w:t>Table of Contents</w:t>
      </w:r>
      <w:bookmarkEnd w:id="1"/>
    </w:p>
    <w:p w14:paraId="52CA41AA" w14:textId="77777777" w:rsidR="00245F1F" w:rsidRPr="000A538D" w:rsidRDefault="00245F1F" w:rsidP="006F23AF">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3445F9BD" w14:textId="77777777" w:rsidR="00245F1F" w:rsidRPr="000A538D" w:rsidRDefault="00E12034">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487E55" w:rsidRPr="000A538D">
          <w:rPr>
            <w:rStyle w:val="Hyperlink"/>
            <w:noProof/>
            <w:color w:val="auto"/>
          </w:rPr>
          <w:t>Data collection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1B706C">
          <w:rPr>
            <w:noProof/>
            <w:webHidden/>
          </w:rPr>
          <w:t>3</w:t>
        </w:r>
        <w:r w:rsidR="00245F1F" w:rsidRPr="000A538D">
          <w:rPr>
            <w:noProof/>
            <w:webHidden/>
          </w:rPr>
          <w:fldChar w:fldCharType="end"/>
        </w:r>
      </w:hyperlink>
    </w:p>
    <w:p w14:paraId="7B8A9F79" w14:textId="77777777" w:rsidR="00245F1F" w:rsidRPr="000A538D" w:rsidRDefault="00E12034" w:rsidP="00245F1F">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1B706C">
          <w:rPr>
            <w:noProof/>
            <w:webHidden/>
          </w:rPr>
          <w:t>3</w:t>
        </w:r>
        <w:r w:rsidR="00245F1F" w:rsidRPr="000A538D">
          <w:rPr>
            <w:noProof/>
            <w:webHidden/>
          </w:rPr>
          <w:fldChar w:fldCharType="end"/>
        </w:r>
      </w:hyperlink>
    </w:p>
    <w:p w14:paraId="1014E0AB" w14:textId="74FE585D" w:rsidR="00245F1F" w:rsidRPr="000A538D" w:rsidRDefault="00E12034" w:rsidP="00245F1F">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1B706C">
          <w:rPr>
            <w:noProof/>
            <w:webHidden/>
          </w:rPr>
          <w:t>4</w:t>
        </w:r>
        <w:r w:rsidR="00245F1F" w:rsidRPr="000A538D">
          <w:rPr>
            <w:noProof/>
            <w:webHidden/>
          </w:rPr>
          <w:fldChar w:fldCharType="end"/>
        </w:r>
      </w:hyperlink>
    </w:p>
    <w:p w14:paraId="0BFBAF68" w14:textId="6C0E3877" w:rsidR="00245F1F" w:rsidRPr="000A538D" w:rsidRDefault="00E12034" w:rsidP="00245F1F">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1B706C">
          <w:rPr>
            <w:noProof/>
            <w:webHidden/>
          </w:rPr>
          <w:t>6</w:t>
        </w:r>
        <w:r w:rsidR="00245F1F" w:rsidRPr="000A538D">
          <w:rPr>
            <w:noProof/>
            <w:webHidden/>
          </w:rPr>
          <w:fldChar w:fldCharType="end"/>
        </w:r>
      </w:hyperlink>
    </w:p>
    <w:p w14:paraId="5184CD7F" w14:textId="2A04BB4C" w:rsidR="00245F1F" w:rsidRPr="000A538D" w:rsidRDefault="00E12034" w:rsidP="00245F1F">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1B706C">
          <w:rPr>
            <w:noProof/>
            <w:webHidden/>
          </w:rPr>
          <w:t>7</w:t>
        </w:r>
        <w:r w:rsidR="00245F1F" w:rsidRPr="000A538D">
          <w:rPr>
            <w:noProof/>
            <w:webHidden/>
          </w:rPr>
          <w:fldChar w:fldCharType="end"/>
        </w:r>
      </w:hyperlink>
    </w:p>
    <w:p w14:paraId="6ECC5B20" w14:textId="1334D20E" w:rsidR="00245F1F" w:rsidRPr="000A538D" w:rsidRDefault="00E12034" w:rsidP="00245F1F">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1B706C">
          <w:rPr>
            <w:noProof/>
            <w:webHidden/>
          </w:rPr>
          <w:t>7</w:t>
        </w:r>
        <w:r w:rsidR="00245F1F" w:rsidRPr="000A538D">
          <w:rPr>
            <w:noProof/>
            <w:webHidden/>
          </w:rPr>
          <w:fldChar w:fldCharType="end"/>
        </w:r>
      </w:hyperlink>
    </w:p>
    <w:p w14:paraId="30D0BA3C" w14:textId="6C6B0E2B" w:rsidR="00245F1F" w:rsidRPr="000A538D" w:rsidRDefault="00E12034">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1B706C">
          <w:rPr>
            <w:noProof/>
            <w:webHidden/>
          </w:rPr>
          <w:t>8</w:t>
        </w:r>
        <w:r w:rsidR="00245F1F" w:rsidRPr="000A538D">
          <w:rPr>
            <w:noProof/>
            <w:webHidden/>
          </w:rPr>
          <w:fldChar w:fldCharType="end"/>
        </w:r>
      </w:hyperlink>
    </w:p>
    <w:p w14:paraId="528560F2" w14:textId="77777777" w:rsidR="00245F1F" w:rsidRDefault="00245F1F" w:rsidP="00BC6896">
      <w:pPr>
        <w:pStyle w:val="Heading3"/>
      </w:pPr>
      <w:r w:rsidRPr="000A538D">
        <w:fldChar w:fldCharType="end"/>
      </w:r>
    </w:p>
    <w:p w14:paraId="61E4F2E3" w14:textId="77777777" w:rsidR="00245F1F" w:rsidRDefault="00245F1F">
      <w:pPr>
        <w:spacing w:after="200"/>
        <w:ind w:left="0"/>
        <w:rPr>
          <w:b/>
          <w:sz w:val="28"/>
        </w:rPr>
      </w:pPr>
      <w:bookmarkStart w:id="2" w:name="_Toc413847910"/>
      <w:r>
        <w:br w:type="page"/>
      </w:r>
    </w:p>
    <w:p w14:paraId="2746D98A" w14:textId="77777777" w:rsidR="00B12F51" w:rsidRPr="00BC6896" w:rsidRDefault="00B12F51" w:rsidP="00BC6896">
      <w:pPr>
        <w:pStyle w:val="Heading3"/>
      </w:pPr>
      <w:r w:rsidRPr="00BC6896">
        <w:lastRenderedPageBreak/>
        <w:t xml:space="preserve">Section B – </w:t>
      </w:r>
      <w:r w:rsidR="00487E55">
        <w:t>Data collection</w:t>
      </w:r>
      <w:r w:rsidR="00287E2F" w:rsidRPr="00BC6896">
        <w:t xml:space="preserve"> Procedures</w:t>
      </w:r>
      <w:bookmarkEnd w:id="2"/>
    </w:p>
    <w:p w14:paraId="64144C43" w14:textId="77777777" w:rsidR="00287E2F" w:rsidRDefault="00287E2F" w:rsidP="002955E6">
      <w:pPr>
        <w:spacing w:line="240" w:lineRule="auto"/>
      </w:pPr>
    </w:p>
    <w:p w14:paraId="79BE8AF7" w14:textId="77777777" w:rsidR="00A75D1C" w:rsidRPr="00BC6896" w:rsidRDefault="009759F3" w:rsidP="002955E6">
      <w:pPr>
        <w:pStyle w:val="Heading4"/>
        <w:spacing w:after="0" w:line="240" w:lineRule="auto"/>
      </w:pPr>
      <w:bookmarkStart w:id="3" w:name="_Toc413847911"/>
      <w:r w:rsidRPr="00BC6896">
        <w:t xml:space="preserve">Respondent </w:t>
      </w:r>
      <w:r w:rsidR="00DE2D45">
        <w:t>Uni</w:t>
      </w:r>
      <w:r w:rsidR="001960AE" w:rsidRPr="00BC6896">
        <w:t xml:space="preserve">verse and </w:t>
      </w:r>
      <w:r w:rsidR="001960AE" w:rsidRPr="00991BF9">
        <w:t>Sampling</w:t>
      </w:r>
      <w:r w:rsidR="001960AE" w:rsidRPr="00BC6896">
        <w:t xml:space="preserve"> Methods </w:t>
      </w:r>
      <w:bookmarkEnd w:id="3"/>
    </w:p>
    <w:p w14:paraId="1DE623C3" w14:textId="77777777" w:rsidR="002955E6" w:rsidRDefault="002955E6" w:rsidP="002955E6">
      <w:pPr>
        <w:spacing w:line="240" w:lineRule="auto"/>
        <w:ind w:left="360"/>
        <w:rPr>
          <w:b/>
          <w:color w:val="0070C0"/>
        </w:rPr>
      </w:pPr>
    </w:p>
    <w:p w14:paraId="0CA84040" w14:textId="1ED8BB0D" w:rsidR="00974859" w:rsidRDefault="007319A9" w:rsidP="007319A9">
      <w:pPr>
        <w:ind w:left="360"/>
      </w:pPr>
      <w:r w:rsidRPr="004650D6">
        <w:t>The respondent universe for this information collection will consist of 110 state health department and Medicaid/Children’s Health Insurance Program (CHIP) staff acting in their official capacity as medical and health service managers (6</w:t>
      </w:r>
      <w:r w:rsidR="00974859">
        <w:t>7</w:t>
      </w:r>
      <w:r w:rsidRPr="004650D6">
        <w:t xml:space="preserve"> state health department staff; 4</w:t>
      </w:r>
      <w:r w:rsidR="00974859">
        <w:t>3</w:t>
      </w:r>
    </w:p>
    <w:p w14:paraId="6BAD48C2" w14:textId="131E4E23" w:rsidR="007319A9" w:rsidRPr="004650D6" w:rsidRDefault="007319A9" w:rsidP="007319A9">
      <w:pPr>
        <w:ind w:left="360"/>
      </w:pPr>
      <w:r w:rsidRPr="004650D6">
        <w:t xml:space="preserve"> Medicaid/CHIP agency staff) across 19 states (</w:t>
      </w:r>
      <w:r w:rsidRPr="004650D6">
        <w:rPr>
          <w:iCs/>
        </w:rPr>
        <w:t>Alaska, California, Connecticut, Georgia, Illinois, Iowa, Louisiana, Maryland, Massachusetts, Michigan, Mississippi, Nevada, New Hampshire, New York, North Carolina, Rhode Island, Virginia, Washington, and Wisconsin)</w:t>
      </w:r>
      <w:r w:rsidRPr="004650D6">
        <w:t xml:space="preserve">. See </w:t>
      </w:r>
      <w:r w:rsidRPr="004650D6">
        <w:rPr>
          <w:b/>
        </w:rPr>
        <w:t>Attachment A</w:t>
      </w:r>
      <w:r w:rsidRPr="004650D6">
        <w:t xml:space="preserve"> for the respondent list by state governmental entity. </w:t>
      </w:r>
    </w:p>
    <w:p w14:paraId="40932C98" w14:textId="35B93CAB" w:rsidR="007319A9" w:rsidRPr="004650D6" w:rsidRDefault="007319A9" w:rsidP="007319A9">
      <w:pPr>
        <w:pStyle w:val="ListParagraph"/>
        <w:ind w:left="360"/>
      </w:pPr>
    </w:p>
    <w:p w14:paraId="4910C299" w14:textId="160DD92E" w:rsidR="003D73FE" w:rsidRPr="004650D6" w:rsidRDefault="003D73FE" w:rsidP="0017141B">
      <w:pPr>
        <w:ind w:left="360"/>
      </w:pPr>
      <w:r w:rsidRPr="004650D6">
        <w:t>Information will be collected from respondents via two methods: a web-based assessment and telephone interviews.</w:t>
      </w:r>
      <w:r w:rsidR="00DF704E">
        <w:t xml:space="preserve">  </w:t>
      </w:r>
      <w:r w:rsidR="0098676B">
        <w:rPr>
          <w:rFonts w:ascii="Times New Roman" w:hAnsi="Times New Roman"/>
        </w:rPr>
        <w:t xml:space="preserve"> The HHIAG internal state participant contact list will be used to retrieve </w:t>
      </w:r>
      <w:r w:rsidR="00DF704E">
        <w:rPr>
          <w:rFonts w:ascii="Times New Roman" w:hAnsi="Times New Roman"/>
        </w:rPr>
        <w:t xml:space="preserve">the contact information </w:t>
      </w:r>
      <w:r w:rsidR="0098676B">
        <w:rPr>
          <w:rFonts w:ascii="Times New Roman" w:hAnsi="Times New Roman"/>
        </w:rPr>
        <w:t xml:space="preserve">needed </w:t>
      </w:r>
      <w:r w:rsidR="00AE40C7">
        <w:rPr>
          <w:rFonts w:ascii="Times New Roman" w:hAnsi="Times New Roman"/>
        </w:rPr>
        <w:t>to contact</w:t>
      </w:r>
      <w:r w:rsidR="008A048B">
        <w:rPr>
          <w:rFonts w:ascii="Times New Roman" w:hAnsi="Times New Roman"/>
        </w:rPr>
        <w:t xml:space="preserve"> </w:t>
      </w:r>
      <w:r w:rsidR="0098676B">
        <w:rPr>
          <w:rFonts w:ascii="Times New Roman" w:hAnsi="Times New Roman"/>
        </w:rPr>
        <w:t xml:space="preserve">the </w:t>
      </w:r>
      <w:r w:rsidR="000C0381">
        <w:rPr>
          <w:rFonts w:ascii="Times New Roman" w:hAnsi="Times New Roman"/>
        </w:rPr>
        <w:t>respondent universe</w:t>
      </w:r>
      <w:r w:rsidR="0098676B">
        <w:rPr>
          <w:rFonts w:ascii="Times New Roman" w:hAnsi="Times New Roman"/>
        </w:rPr>
        <w:t>.</w:t>
      </w:r>
      <w:r w:rsidR="0017141B">
        <w:t xml:space="preserve"> </w:t>
      </w:r>
      <w:r w:rsidRPr="004650D6">
        <w:t>Details regarding the specific respondent universe and associated sampling for each of the methods are outlined below.</w:t>
      </w:r>
    </w:p>
    <w:p w14:paraId="3A35B313" w14:textId="345EF54C" w:rsidR="00FE6B10" w:rsidRDefault="00FE6B10" w:rsidP="003D73FE">
      <w:pPr>
        <w:ind w:left="360"/>
        <w:rPr>
          <w:color w:val="0070C0"/>
        </w:rPr>
      </w:pPr>
    </w:p>
    <w:p w14:paraId="39F53768" w14:textId="4D6E5833" w:rsidR="00FE6B10" w:rsidRPr="00C328B1" w:rsidRDefault="00FE6B10" w:rsidP="003D73FE">
      <w:pPr>
        <w:ind w:left="360"/>
        <w:rPr>
          <w:b/>
        </w:rPr>
      </w:pPr>
      <w:r w:rsidRPr="00C328B1">
        <w:rPr>
          <w:b/>
        </w:rPr>
        <w:t>Web-based Assessment (n=110)</w:t>
      </w:r>
    </w:p>
    <w:p w14:paraId="1D3A6D61" w14:textId="0240C72C" w:rsidR="00FE6B10" w:rsidRDefault="00FE6B10" w:rsidP="003D73FE">
      <w:pPr>
        <w:ind w:left="360"/>
        <w:rPr>
          <w:color w:val="0070C0"/>
        </w:rPr>
      </w:pPr>
    </w:p>
    <w:p w14:paraId="176E4B95" w14:textId="291F7D6A" w:rsidR="002514D2" w:rsidRDefault="004650D6" w:rsidP="00AE40C7">
      <w:pPr>
        <w:ind w:left="360"/>
        <w:rPr>
          <w:color w:val="0070C0"/>
        </w:rPr>
      </w:pPr>
      <w:r w:rsidRPr="00C328B1">
        <w:t>All 110 r</w:t>
      </w:r>
      <w:r w:rsidR="007202D5" w:rsidRPr="00C328B1">
        <w:t xml:space="preserve">espondents </w:t>
      </w:r>
      <w:r w:rsidR="00AE40C7">
        <w:t>will be invited to</w:t>
      </w:r>
      <w:r w:rsidRPr="00C328B1">
        <w:t xml:space="preserve"> participate in the web-based assessment.</w:t>
      </w:r>
      <w:r w:rsidR="005632A7">
        <w:rPr>
          <w:iCs/>
        </w:rPr>
        <w:t xml:space="preserve"> </w:t>
      </w:r>
      <w:r w:rsidR="002514D2" w:rsidRPr="00C328B1">
        <w:t>We anticipate a response rate of approximately 80-90%. As described below, reminders will be sent to maximize participation</w:t>
      </w:r>
      <w:r w:rsidR="002514D2">
        <w:rPr>
          <w:color w:val="0070C0"/>
        </w:rPr>
        <w:t>.</w:t>
      </w:r>
    </w:p>
    <w:p w14:paraId="026CD6FF" w14:textId="287F6CD5" w:rsidR="005632A7" w:rsidRDefault="005632A7" w:rsidP="00C328B1">
      <w:pPr>
        <w:ind w:left="360"/>
        <w:rPr>
          <w:iCs/>
        </w:rPr>
      </w:pPr>
    </w:p>
    <w:p w14:paraId="2A3C0266" w14:textId="558F086D" w:rsidR="002514D2" w:rsidRDefault="002514D2" w:rsidP="003D73FE">
      <w:pPr>
        <w:ind w:left="360"/>
        <w:rPr>
          <w:color w:val="0070C0"/>
        </w:rPr>
      </w:pPr>
    </w:p>
    <w:p w14:paraId="1E7B688F" w14:textId="33157EC3" w:rsidR="00916516" w:rsidRDefault="002514D2" w:rsidP="00CA704D">
      <w:pPr>
        <w:ind w:left="360"/>
      </w:pPr>
      <w:r w:rsidRPr="00C328B1">
        <w:rPr>
          <w:b/>
        </w:rPr>
        <w:t>Telephone Interviews (n=36)</w:t>
      </w:r>
    </w:p>
    <w:p w14:paraId="73EB5C75" w14:textId="780FC210" w:rsidR="00916516" w:rsidRPr="001B706C" w:rsidRDefault="00916516" w:rsidP="00916516">
      <w:pPr>
        <w:ind w:left="360"/>
      </w:pPr>
      <w:r w:rsidRPr="001B706C">
        <w:t xml:space="preserve">We will conduct 12 group interviews with up to 3 participants per interview, resulting in a total of 36 total respondents. All respondents will be government officials acting in their official capacity, working for either the state health department or Medicaid/CHIP. The states that will be invited to participate in the interviews have been pre-selected based on the following factors: geographic diversity, HIV </w:t>
      </w:r>
      <w:r w:rsidR="006543FE">
        <w:t>diagnoses</w:t>
      </w:r>
      <w:r w:rsidRPr="001B706C">
        <w:t>, and technical assistance requests (</w:t>
      </w:r>
      <w:r w:rsidRPr="001B706C">
        <w:rPr>
          <w:b/>
        </w:rPr>
        <w:t xml:space="preserve">see </w:t>
      </w:r>
      <w:r w:rsidR="00D00758" w:rsidRPr="00D00758">
        <w:rPr>
          <w:b/>
        </w:rPr>
        <w:t>Attachment E – Governmental entity selected for HHIAG telephone interview</w:t>
      </w:r>
      <w:r w:rsidRPr="001B706C">
        <w:t>). Three states (Iowa, Massachusetts, Alaska) will be invited to participate in two separate interviews, one including representatives from the health department and the other from Medicaid/CHIP. This was purposeful</w:t>
      </w:r>
      <w:r w:rsidR="00D00758">
        <w:t xml:space="preserve"> </w:t>
      </w:r>
      <w:r w:rsidR="00947E2E">
        <w:t xml:space="preserve">in order </w:t>
      </w:r>
      <w:r w:rsidR="00D00758">
        <w:t xml:space="preserve">to </w:t>
      </w:r>
      <w:r w:rsidR="00D601C3">
        <w:t>compare</w:t>
      </w:r>
      <w:r w:rsidR="00947E2E">
        <w:t xml:space="preserve"> thoughts and opinions of the process </w:t>
      </w:r>
      <w:r w:rsidR="00D00758">
        <w:t>within a state</w:t>
      </w:r>
      <w:r w:rsidR="00D00758" w:rsidRPr="00D00758">
        <w:t>.</w:t>
      </w:r>
      <w:r w:rsidRPr="001B706C">
        <w:t xml:space="preserve">  </w:t>
      </w:r>
    </w:p>
    <w:p w14:paraId="402468EF" w14:textId="77777777" w:rsidR="00916516" w:rsidRPr="001B706C" w:rsidRDefault="00916516" w:rsidP="00916516">
      <w:pPr>
        <w:ind w:left="360"/>
      </w:pPr>
    </w:p>
    <w:p w14:paraId="1114035A" w14:textId="289492E7" w:rsidR="00916516" w:rsidRPr="001B706C" w:rsidRDefault="00DB371B" w:rsidP="00916516">
      <w:pPr>
        <w:ind w:left="360"/>
      </w:pPr>
      <w:r w:rsidRPr="00DB371B">
        <w:t xml:space="preserve">If any of the states are unwilling to participate, we will select another state </w:t>
      </w:r>
      <w:r>
        <w:t>whose</w:t>
      </w:r>
      <w:r w:rsidRPr="00DB371B">
        <w:t xml:space="preserve"> geographic location, HIV </w:t>
      </w:r>
      <w:r w:rsidR="006543FE">
        <w:t>diagnoses</w:t>
      </w:r>
      <w:r w:rsidRPr="00DB371B">
        <w:t>, and technical assistance request behavior are similar to the missing state.</w:t>
      </w:r>
      <w:r w:rsidR="00916516" w:rsidRPr="001B706C">
        <w:t xml:space="preserve"> </w:t>
      </w:r>
    </w:p>
    <w:p w14:paraId="7E56A891" w14:textId="77777777" w:rsidR="00B9060A" w:rsidRPr="001B706C" w:rsidRDefault="00B9060A" w:rsidP="00916516">
      <w:pPr>
        <w:ind w:left="360"/>
      </w:pPr>
    </w:p>
    <w:p w14:paraId="1EC6A60B" w14:textId="7635C9F0" w:rsidR="00B9060A" w:rsidRPr="00D00758" w:rsidRDefault="00B9060A" w:rsidP="00B9060A">
      <w:pPr>
        <w:ind w:left="360"/>
        <w:rPr>
          <w:lang w:eastAsia="zh-CN"/>
        </w:rPr>
      </w:pPr>
      <w:r w:rsidRPr="001B706C">
        <w:rPr>
          <w:lang w:eastAsia="zh-CN"/>
        </w:rPr>
        <w:t>Participating in both the survey and interviews will be voluntary.</w:t>
      </w:r>
      <w:r w:rsidRPr="00D00758">
        <w:rPr>
          <w:lang w:eastAsia="zh-CN"/>
        </w:rPr>
        <w:t xml:space="preserve"> </w:t>
      </w:r>
      <w:r w:rsidRPr="001B706C">
        <w:rPr>
          <w:lang w:eastAsia="zh-CN"/>
        </w:rPr>
        <w:t xml:space="preserve">The purposive sampling approach is intended to adequately represent the diversity of HHIAG participants with respect to </w:t>
      </w:r>
      <w:r w:rsidR="00947E2E">
        <w:rPr>
          <w:lang w:eastAsia="zh-CN"/>
        </w:rPr>
        <w:t>s</w:t>
      </w:r>
      <w:r w:rsidRPr="001B706C">
        <w:rPr>
          <w:lang w:eastAsia="zh-CN"/>
        </w:rPr>
        <w:t xml:space="preserve">ubject matter expertise input, request for technical assistance, HIV </w:t>
      </w:r>
      <w:r w:rsidR="006543FE">
        <w:rPr>
          <w:lang w:eastAsia="zh-CN"/>
        </w:rPr>
        <w:t>diagnoses</w:t>
      </w:r>
      <w:r w:rsidRPr="001B706C">
        <w:rPr>
          <w:lang w:eastAsia="zh-CN"/>
        </w:rPr>
        <w:t>, and geography while acquiring sufficient information to meet the goals of the interviews, i.e., to provide more detailed information to the quantitative data collected. This approach will reduce the burden on respondents as well as on staff collecting and analyzing the data.</w:t>
      </w:r>
      <w:r w:rsidRPr="00D00758">
        <w:rPr>
          <w:lang w:eastAsia="zh-CN"/>
        </w:rPr>
        <w:t xml:space="preserve">  </w:t>
      </w:r>
    </w:p>
    <w:p w14:paraId="103224BE" w14:textId="77777777" w:rsidR="00B9060A" w:rsidRDefault="00B9060A" w:rsidP="00916516">
      <w:pPr>
        <w:ind w:left="360"/>
      </w:pPr>
    </w:p>
    <w:p w14:paraId="5C03F51E" w14:textId="7CF57CDD" w:rsidR="00572D0E" w:rsidRPr="0028285B" w:rsidRDefault="007E4CDB" w:rsidP="001B706C">
      <w:pPr>
        <w:ind w:left="0" w:firstLine="360"/>
        <w:rPr>
          <w:lang w:eastAsia="zh-CN"/>
        </w:rPr>
      </w:pPr>
      <w:r>
        <w:rPr>
          <w:lang w:eastAsia="zh-CN"/>
        </w:rPr>
        <w:t>The selection criteria will not involve responses to the web-based assessment</w:t>
      </w:r>
      <w:r w:rsidR="000D6200" w:rsidRPr="0028285B">
        <w:rPr>
          <w:lang w:eastAsia="zh-CN"/>
        </w:rPr>
        <w:t xml:space="preserve">. </w:t>
      </w:r>
    </w:p>
    <w:p w14:paraId="25476DDF" w14:textId="77777777" w:rsidR="00F52BCC" w:rsidRDefault="00F52BCC" w:rsidP="00340754">
      <w:pPr>
        <w:spacing w:line="240" w:lineRule="auto"/>
        <w:ind w:left="0"/>
      </w:pPr>
    </w:p>
    <w:p w14:paraId="404EBFF4" w14:textId="77777777" w:rsidR="00287E2F" w:rsidRPr="009759F3" w:rsidRDefault="00287E2F" w:rsidP="002955E6">
      <w:pPr>
        <w:pStyle w:val="Heading4"/>
        <w:spacing w:after="0" w:line="240" w:lineRule="auto"/>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2826D978" w14:textId="77777777" w:rsidR="001D461D" w:rsidRDefault="001D461D" w:rsidP="002955E6">
      <w:pPr>
        <w:spacing w:line="240" w:lineRule="auto"/>
        <w:ind w:left="360"/>
      </w:pPr>
    </w:p>
    <w:p w14:paraId="46DDDC58" w14:textId="7E8CF475" w:rsidR="00226384" w:rsidRDefault="00E33BBA" w:rsidP="00340754">
      <w:pPr>
        <w:ind w:left="360"/>
      </w:pPr>
      <w:r w:rsidRPr="00226384">
        <w:t xml:space="preserve">Data will be collected via </w:t>
      </w:r>
      <w:r w:rsidR="00BA6BC2" w:rsidRPr="007B009A">
        <w:t xml:space="preserve">two methods: </w:t>
      </w:r>
      <w:r w:rsidR="000A3586">
        <w:t xml:space="preserve">1) </w:t>
      </w:r>
      <w:r w:rsidR="00BA6BC2" w:rsidRPr="007B009A">
        <w:t xml:space="preserve">one-time web-based assessment </w:t>
      </w:r>
      <w:r w:rsidR="00226384" w:rsidRPr="00226384">
        <w:t xml:space="preserve">and </w:t>
      </w:r>
      <w:r w:rsidR="000A3586">
        <w:t>2) one</w:t>
      </w:r>
      <w:r w:rsidR="00FE2624">
        <w:t>-</w:t>
      </w:r>
      <w:r w:rsidR="000A3586">
        <w:t xml:space="preserve">time </w:t>
      </w:r>
      <w:r w:rsidR="00D601C3">
        <w:t xml:space="preserve">group </w:t>
      </w:r>
      <w:r w:rsidR="00226384" w:rsidRPr="00226384">
        <w:t>telephone interviews</w:t>
      </w:r>
      <w:r w:rsidR="00226384" w:rsidRPr="007B009A">
        <w:t xml:space="preserve">.  </w:t>
      </w:r>
      <w:r w:rsidR="00FA7C1D">
        <w:t xml:space="preserve">CDC will lead the web based assessment, data analysis, and reporting.  CMS and HRSA will participate in the data analysis and reporting for the web based assessment. </w:t>
      </w:r>
      <w:r w:rsidR="00340754">
        <w:t xml:space="preserve">  </w:t>
      </w:r>
      <w:r w:rsidR="00FE2624">
        <w:t>The telephone interviews will be conducted by t</w:t>
      </w:r>
      <w:r w:rsidR="00FA7C1D">
        <w:t>wo staff from CDC, CMS, and</w:t>
      </w:r>
      <w:r w:rsidR="00210B41">
        <w:t>/or</w:t>
      </w:r>
      <w:r w:rsidR="00FA7C1D">
        <w:t xml:space="preserve"> HRSA. Emergint Technologies, Inc. will transcribe the telephone interviews. </w:t>
      </w:r>
      <w:r w:rsidR="00436110">
        <w:t xml:space="preserve">Two staff from </w:t>
      </w:r>
      <w:r w:rsidR="00FA7C1D">
        <w:t>CDC</w:t>
      </w:r>
      <w:r w:rsidR="00436110">
        <w:t xml:space="preserve"> and HRSA will conduct the qualitative data analysis. CDC, CMS</w:t>
      </w:r>
      <w:r w:rsidR="00210B41">
        <w:t>,</w:t>
      </w:r>
      <w:r w:rsidR="00436110">
        <w:t xml:space="preserve"> and HRSA will </w:t>
      </w:r>
      <w:r w:rsidR="00FA7C1D">
        <w:t>participate in the reporting of the telephone interviews.</w:t>
      </w:r>
    </w:p>
    <w:p w14:paraId="27968233" w14:textId="6D78826E" w:rsidR="00226384" w:rsidRDefault="00226384" w:rsidP="00E33BBA">
      <w:pPr>
        <w:ind w:left="360"/>
      </w:pPr>
    </w:p>
    <w:p w14:paraId="4330B2F1" w14:textId="2B9511FE" w:rsidR="00226384" w:rsidRPr="007B009A" w:rsidRDefault="00226384" w:rsidP="00E33BBA">
      <w:pPr>
        <w:ind w:left="360"/>
        <w:rPr>
          <w:b/>
        </w:rPr>
      </w:pPr>
      <w:r w:rsidRPr="007B009A">
        <w:rPr>
          <w:b/>
        </w:rPr>
        <w:t>Web-based Assessment</w:t>
      </w:r>
    </w:p>
    <w:p w14:paraId="7571A4A9" w14:textId="1786904D" w:rsidR="00E33BBA" w:rsidRPr="00226384" w:rsidRDefault="005B7DA1" w:rsidP="00E33BBA">
      <w:pPr>
        <w:ind w:left="360"/>
      </w:pPr>
      <w:r>
        <w:t xml:space="preserve">For the web-based assessment, respondents will be </w:t>
      </w:r>
      <w:r w:rsidR="00E33BBA" w:rsidRPr="00226384">
        <w:t>will be recruited through a</w:t>
      </w:r>
      <w:r>
        <w:t xml:space="preserve">n invitation email sent to all </w:t>
      </w:r>
      <w:r w:rsidR="00C53FA0">
        <w:t xml:space="preserve">state </w:t>
      </w:r>
      <w:r>
        <w:t>health department and Medic</w:t>
      </w:r>
      <w:r w:rsidR="00C53FA0">
        <w:t>aid</w:t>
      </w:r>
      <w:r>
        <w:t>/CHIP agency staff on the master contact list (n=110)</w:t>
      </w:r>
      <w:r w:rsidR="00E33BBA" w:rsidRPr="00226384">
        <w:t xml:space="preserve"> (see </w:t>
      </w:r>
      <w:r w:rsidR="00E33BBA" w:rsidRPr="00226384">
        <w:rPr>
          <w:b/>
        </w:rPr>
        <w:t xml:space="preserve">Attachment </w:t>
      </w:r>
      <w:r w:rsidR="000B1760">
        <w:rPr>
          <w:b/>
        </w:rPr>
        <w:t>F</w:t>
      </w:r>
      <w:r w:rsidR="00E33BBA" w:rsidRPr="007B009A">
        <w:rPr>
          <w:b/>
        </w:rPr>
        <w:t>—</w:t>
      </w:r>
      <w:r w:rsidR="005E6E54">
        <w:rPr>
          <w:b/>
        </w:rPr>
        <w:t>Web-based Assessment Invitation Email</w:t>
      </w:r>
      <w:r w:rsidR="00E33BBA" w:rsidRPr="00226384">
        <w:t>)</w:t>
      </w:r>
      <w:r>
        <w:t>.</w:t>
      </w:r>
      <w:r w:rsidR="00E33BBA" w:rsidRPr="00226384">
        <w:t xml:space="preserve">  The notification email will explain: </w:t>
      </w:r>
    </w:p>
    <w:p w14:paraId="23C6DFF5" w14:textId="47258E3B" w:rsidR="00E33BBA" w:rsidRDefault="00E33BBA" w:rsidP="00E33BBA">
      <w:pPr>
        <w:pStyle w:val="ListParagraph"/>
        <w:numPr>
          <w:ilvl w:val="0"/>
          <w:numId w:val="24"/>
        </w:numPr>
        <w:ind w:left="1080"/>
      </w:pPr>
      <w:r w:rsidRPr="009011A8">
        <w:t xml:space="preserve">The purpose of the </w:t>
      </w:r>
      <w:r w:rsidR="00CC1078">
        <w:t>assessment</w:t>
      </w:r>
      <w:r w:rsidRPr="009011A8">
        <w:t xml:space="preserve">, and why their participation is important </w:t>
      </w:r>
    </w:p>
    <w:p w14:paraId="1F8A7786" w14:textId="5440F646" w:rsidR="00E33BBA" w:rsidRPr="009011A8" w:rsidRDefault="00E33BBA" w:rsidP="00E33BBA">
      <w:pPr>
        <w:pStyle w:val="ListParagraph"/>
        <w:numPr>
          <w:ilvl w:val="0"/>
          <w:numId w:val="24"/>
        </w:numPr>
        <w:ind w:left="1080"/>
      </w:pPr>
      <w:r>
        <w:t>Instructions for participating</w:t>
      </w:r>
    </w:p>
    <w:p w14:paraId="1E180807" w14:textId="77777777" w:rsidR="00E33BBA" w:rsidRPr="009011A8" w:rsidRDefault="00E33BBA" w:rsidP="00E33BBA">
      <w:pPr>
        <w:pStyle w:val="ListParagraph"/>
        <w:numPr>
          <w:ilvl w:val="0"/>
          <w:numId w:val="24"/>
        </w:numPr>
        <w:ind w:left="1080"/>
      </w:pPr>
      <w:r w:rsidRPr="009011A8">
        <w:t xml:space="preserve">Method to safeguard their responses </w:t>
      </w:r>
    </w:p>
    <w:p w14:paraId="1AF8BECD" w14:textId="77777777" w:rsidR="00E33BBA" w:rsidRPr="009011A8" w:rsidRDefault="00E33BBA" w:rsidP="00E33BBA">
      <w:pPr>
        <w:pStyle w:val="ListParagraph"/>
        <w:numPr>
          <w:ilvl w:val="0"/>
          <w:numId w:val="24"/>
        </w:numPr>
        <w:ind w:left="1080"/>
      </w:pPr>
      <w:r w:rsidRPr="009011A8">
        <w:t>That participation is voluntary</w:t>
      </w:r>
    </w:p>
    <w:p w14:paraId="53BC722C" w14:textId="77777777" w:rsidR="000279A9" w:rsidRDefault="00E33BBA" w:rsidP="000279A9">
      <w:pPr>
        <w:pStyle w:val="ListParagraph"/>
        <w:numPr>
          <w:ilvl w:val="0"/>
          <w:numId w:val="24"/>
        </w:numPr>
        <w:ind w:left="1080"/>
      </w:pPr>
      <w:r w:rsidRPr="009011A8">
        <w:t xml:space="preserve">The expected time to complete the </w:t>
      </w:r>
      <w:r w:rsidR="006C1771">
        <w:t>instrument</w:t>
      </w:r>
      <w:r w:rsidRPr="009011A8">
        <w:t xml:space="preserve"> </w:t>
      </w:r>
    </w:p>
    <w:p w14:paraId="7F74E88F" w14:textId="77777777" w:rsidR="00691031" w:rsidRDefault="00E33BBA" w:rsidP="000279A9">
      <w:pPr>
        <w:pStyle w:val="ListParagraph"/>
        <w:numPr>
          <w:ilvl w:val="0"/>
          <w:numId w:val="24"/>
        </w:numPr>
        <w:ind w:left="1080"/>
      </w:pPr>
      <w:r w:rsidRPr="009011A8">
        <w:t xml:space="preserve">Contact information for the </w:t>
      </w:r>
      <w:r w:rsidR="006C1771">
        <w:t>project</w:t>
      </w:r>
      <w:r w:rsidRPr="009011A8">
        <w:t xml:space="preserve"> team</w:t>
      </w:r>
    </w:p>
    <w:p w14:paraId="0B0F3DF5" w14:textId="77777777" w:rsidR="00691031" w:rsidRDefault="00691031" w:rsidP="002955E6">
      <w:pPr>
        <w:spacing w:line="240" w:lineRule="auto"/>
        <w:ind w:left="360"/>
      </w:pPr>
    </w:p>
    <w:p w14:paraId="569F76E6" w14:textId="75514150" w:rsidR="00CC1078" w:rsidRDefault="00CC1078" w:rsidP="007B009A">
      <w:pPr>
        <w:ind w:left="360"/>
      </w:pPr>
      <w:r>
        <w:t xml:space="preserve">The email will provide a link to the online assessment. Respondents will be asked to complete the assessment instrument within a two week (10 business days) period to allow ample time for respondents to complete it.  Following the introductory email, a reminder email will be sent to non-respondents the second week following the initial invitation (7th business day) (see </w:t>
      </w:r>
      <w:r w:rsidRPr="007B009A">
        <w:rPr>
          <w:b/>
        </w:rPr>
        <w:t xml:space="preserve">Attachment </w:t>
      </w:r>
      <w:r w:rsidR="000B1760">
        <w:rPr>
          <w:b/>
        </w:rPr>
        <w:t>G</w:t>
      </w:r>
      <w:r w:rsidRPr="007B009A">
        <w:rPr>
          <w:b/>
        </w:rPr>
        <w:t>—Web-based Assessment Reminder Email</w:t>
      </w:r>
      <w:r>
        <w:t xml:space="preserve">). Those who do not respond within seven days from the second reminder email will be considered non-responders. </w:t>
      </w:r>
    </w:p>
    <w:p w14:paraId="3EA14A38" w14:textId="77777777" w:rsidR="00CC1078" w:rsidRDefault="00CC1078" w:rsidP="007B009A">
      <w:pPr>
        <w:ind w:left="360"/>
      </w:pPr>
    </w:p>
    <w:p w14:paraId="0EC7F788" w14:textId="6ECC0A20" w:rsidR="00DE0792" w:rsidRDefault="00DE0792" w:rsidP="00DE0792">
      <w:pPr>
        <w:ind w:left="360"/>
        <w:rPr>
          <w:rFonts w:ascii="Cambria" w:hAnsi="Cambria"/>
        </w:rPr>
      </w:pPr>
      <w:r>
        <w:rPr>
          <w:rFonts w:ascii="Cambria" w:hAnsi="Cambria"/>
        </w:rPr>
        <w:t>Once the data collection period for the web-based assessment has closed, CDC will export the quantitative data</w:t>
      </w:r>
      <w:r w:rsidRPr="004E66EE">
        <w:rPr>
          <w:rFonts w:ascii="Cambria" w:hAnsi="Cambria"/>
        </w:rPr>
        <w:t xml:space="preserve"> from Survey</w:t>
      </w:r>
      <w:r>
        <w:rPr>
          <w:rFonts w:ascii="Cambria" w:hAnsi="Cambria"/>
        </w:rPr>
        <w:t>Monkey</w:t>
      </w:r>
      <w:r w:rsidRPr="004E66EE">
        <w:rPr>
          <w:rFonts w:ascii="Cambria" w:hAnsi="Cambria"/>
        </w:rPr>
        <w:t xml:space="preserve"> into a Microsoft Excel file.</w:t>
      </w:r>
      <w:r>
        <w:rPr>
          <w:rFonts w:ascii="Cambria" w:hAnsi="Cambria"/>
        </w:rPr>
        <w:t xml:space="preserve"> </w:t>
      </w:r>
      <w:r w:rsidR="007860B9">
        <w:rPr>
          <w:rFonts w:ascii="Cambria" w:hAnsi="Cambria"/>
        </w:rPr>
        <w:t xml:space="preserve">The file will be </w:t>
      </w:r>
      <w:r w:rsidRPr="00484DF8">
        <w:rPr>
          <w:rFonts w:ascii="Cambria" w:hAnsi="Cambria"/>
        </w:rPr>
        <w:t>stored on a multi-user share which is a network-based file folder that can only be accessed by a designated group of users. Users requesting access, must first complete PEB’s Data Security and Confidentiality training and obtain approval from the data steward of the requested file share.</w:t>
      </w:r>
      <w:r>
        <w:rPr>
          <w:rFonts w:ascii="Cambria" w:hAnsi="Cambria"/>
        </w:rPr>
        <w:t xml:space="preserve"> </w:t>
      </w:r>
    </w:p>
    <w:p w14:paraId="38D1680C" w14:textId="0BFA3892" w:rsidR="00DE0792" w:rsidRPr="0028285B" w:rsidRDefault="00DE0792" w:rsidP="00DE0792">
      <w:pPr>
        <w:ind w:left="360"/>
      </w:pPr>
      <w:r>
        <w:rPr>
          <w:rFonts w:ascii="Cambria" w:hAnsi="Cambria"/>
        </w:rPr>
        <w:t>CDC staff will review i</w:t>
      </w:r>
      <w:r w:rsidRPr="004E66EE">
        <w:rPr>
          <w:rFonts w:ascii="Cambria" w:hAnsi="Cambria"/>
        </w:rPr>
        <w:t xml:space="preserve">nformation for completeness and simple descriptive statistics will be run looking at response frequencies. </w:t>
      </w:r>
      <w:r w:rsidRPr="00822A76">
        <w:t xml:space="preserve">Depending on the response distribution, frequencies may be cross-tabulated to identify response similarities and differences among sub-groups of respondents, such as those who work for a Health Department as compared to those affiliated with Medicaid/CHIP, or </w:t>
      </w:r>
      <w:r w:rsidRPr="0028285B">
        <w:t>by the three learning communities (1) Data Linkage and Outcome Learning Community, 2) Data Analysis and Utilization for Delivery System Improvement Learning Community, and 3)</w:t>
      </w:r>
      <w:r w:rsidR="00365C4C">
        <w:t xml:space="preserve"> </w:t>
      </w:r>
      <w:r w:rsidRPr="0028285B">
        <w:t>Provider Engagement and Quality Improvement Learning Community).</w:t>
      </w:r>
    </w:p>
    <w:p w14:paraId="570EA5C1" w14:textId="53FEEA99" w:rsidR="004D70EE" w:rsidRDefault="004D70EE" w:rsidP="00340754">
      <w:pPr>
        <w:ind w:left="360"/>
      </w:pPr>
    </w:p>
    <w:p w14:paraId="0150E698" w14:textId="74BADEE2" w:rsidR="001C2F3B" w:rsidRDefault="00C627E4" w:rsidP="00340754">
      <w:pPr>
        <w:ind w:left="360"/>
      </w:pPr>
      <w:r>
        <w:t>The web-based assessment will occur prior to the telephone interviews</w:t>
      </w:r>
      <w:r w:rsidR="006E2B3B">
        <w:t xml:space="preserve"> </w:t>
      </w:r>
      <w:r w:rsidR="00CD025E">
        <w:t>so as not to over</w:t>
      </w:r>
      <w:r w:rsidR="006E2B3B">
        <w:t xml:space="preserve">burden </w:t>
      </w:r>
      <w:r w:rsidR="00CD025E">
        <w:t>the telephone interview respondent in the same timeframe or confuse them about the two separate collections</w:t>
      </w:r>
      <w:r w:rsidR="006111D1">
        <w:t xml:space="preserve"> </w:t>
      </w:r>
      <w:r w:rsidR="00881D59">
        <w:t xml:space="preserve">that may result in decreased </w:t>
      </w:r>
      <w:r w:rsidR="00E16D08">
        <w:t>participation.</w:t>
      </w:r>
      <w:r w:rsidR="00CD025E">
        <w:t xml:space="preserve"> </w:t>
      </w:r>
      <w:r>
        <w:t>The web-based assessment data collection time period is approximately 3 weeks from the date of OMB approval. At the close of the web-based assessment data collection, invitations will be emailed to participate in phone interviews.</w:t>
      </w:r>
      <w:r w:rsidR="008B7ACC">
        <w:t xml:space="preserve"> The telephone interviews will be scheduled over a 3 week period. </w:t>
      </w:r>
    </w:p>
    <w:p w14:paraId="5FD7867B" w14:textId="77777777" w:rsidR="001C2F3B" w:rsidRDefault="001C2F3B" w:rsidP="00340754">
      <w:pPr>
        <w:ind w:left="360"/>
      </w:pPr>
    </w:p>
    <w:p w14:paraId="5BCA1492" w14:textId="77777777" w:rsidR="00822A76" w:rsidRPr="007B009A" w:rsidRDefault="00822A76" w:rsidP="007B009A">
      <w:pPr>
        <w:ind w:left="0" w:firstLine="360"/>
        <w:rPr>
          <w:rFonts w:ascii="Cambria" w:hAnsi="Cambria"/>
          <w:b/>
        </w:rPr>
      </w:pPr>
      <w:r w:rsidRPr="007B009A">
        <w:rPr>
          <w:rFonts w:ascii="Cambria" w:hAnsi="Cambria"/>
          <w:b/>
        </w:rPr>
        <w:t>Telephone Interviews</w:t>
      </w:r>
    </w:p>
    <w:p w14:paraId="72841A39" w14:textId="2BC3434D" w:rsidR="00822A76" w:rsidRDefault="00822A76" w:rsidP="007A18A9">
      <w:pPr>
        <w:ind w:left="360"/>
        <w:rPr>
          <w:rFonts w:ascii="Cambria" w:hAnsi="Cambria"/>
        </w:rPr>
      </w:pPr>
      <w:r w:rsidRPr="001556D1">
        <w:rPr>
          <w:rFonts w:ascii="Cambria" w:hAnsi="Cambria"/>
        </w:rPr>
        <w:t xml:space="preserve">For the </w:t>
      </w:r>
      <w:r>
        <w:rPr>
          <w:rFonts w:ascii="Cambria" w:hAnsi="Cambria"/>
        </w:rPr>
        <w:t>tele</w:t>
      </w:r>
      <w:r w:rsidRPr="001556D1">
        <w:rPr>
          <w:rFonts w:ascii="Cambria" w:hAnsi="Cambria"/>
        </w:rPr>
        <w:t xml:space="preserve">phone interviews, participants will be </w:t>
      </w:r>
      <w:r>
        <w:rPr>
          <w:rFonts w:ascii="Cambria" w:hAnsi="Cambria"/>
        </w:rPr>
        <w:t>invited to participate</w:t>
      </w:r>
      <w:r w:rsidRPr="001556D1">
        <w:rPr>
          <w:rFonts w:ascii="Cambria" w:hAnsi="Cambria"/>
        </w:rPr>
        <w:t xml:space="preserve"> by email (</w:t>
      </w:r>
      <w:r w:rsidRPr="002427AB">
        <w:rPr>
          <w:rFonts w:ascii="Cambria" w:hAnsi="Cambria"/>
        </w:rPr>
        <w:t>see</w:t>
      </w:r>
      <w:r>
        <w:rPr>
          <w:rFonts w:ascii="Cambria" w:hAnsi="Cambria"/>
          <w:b/>
        </w:rPr>
        <w:t xml:space="preserve"> Attachment </w:t>
      </w:r>
      <w:r w:rsidR="000B1760">
        <w:rPr>
          <w:rFonts w:ascii="Cambria" w:hAnsi="Cambria"/>
          <w:b/>
        </w:rPr>
        <w:t>H</w:t>
      </w:r>
      <w:r w:rsidRPr="001556D1">
        <w:rPr>
          <w:rFonts w:ascii="Cambria" w:hAnsi="Cambria"/>
          <w:b/>
        </w:rPr>
        <w:t>—State-Level Phone Interview Invitation Email</w:t>
      </w:r>
      <w:r w:rsidRPr="001556D1">
        <w:rPr>
          <w:rFonts w:ascii="Cambria" w:hAnsi="Cambria"/>
        </w:rPr>
        <w:t xml:space="preserve">). If the participant does not respond to the email within </w:t>
      </w:r>
      <w:r w:rsidR="00DD1204">
        <w:rPr>
          <w:rFonts w:ascii="Cambria" w:hAnsi="Cambria"/>
        </w:rPr>
        <w:t>7</w:t>
      </w:r>
      <w:r w:rsidRPr="001556D1">
        <w:rPr>
          <w:rFonts w:ascii="Cambria" w:hAnsi="Cambria"/>
        </w:rPr>
        <w:t xml:space="preserve"> days, a phone call will be made (</w:t>
      </w:r>
      <w:r w:rsidRPr="002427AB">
        <w:rPr>
          <w:rFonts w:ascii="Cambria" w:hAnsi="Cambria"/>
        </w:rPr>
        <w:t>see</w:t>
      </w:r>
      <w:r>
        <w:rPr>
          <w:rFonts w:ascii="Cambria" w:hAnsi="Cambria"/>
          <w:b/>
        </w:rPr>
        <w:t xml:space="preserve"> Attachment </w:t>
      </w:r>
      <w:r w:rsidR="000B1760">
        <w:rPr>
          <w:rFonts w:ascii="Cambria" w:hAnsi="Cambria"/>
          <w:b/>
        </w:rPr>
        <w:t>I</w:t>
      </w:r>
      <w:r w:rsidRPr="001556D1">
        <w:rPr>
          <w:rFonts w:ascii="Cambria" w:hAnsi="Cambria"/>
          <w:b/>
        </w:rPr>
        <w:t>—State Level Interview Invitation Phone Script</w:t>
      </w:r>
      <w:r w:rsidRPr="001556D1">
        <w:rPr>
          <w:rFonts w:ascii="Cambria" w:hAnsi="Cambria"/>
        </w:rPr>
        <w:t xml:space="preserve">). If the participant cannot be contacted or declines, </w:t>
      </w:r>
      <w:r w:rsidR="001C2F3B">
        <w:rPr>
          <w:rFonts w:ascii="Cambria" w:hAnsi="Cambria"/>
        </w:rPr>
        <w:t>that person will be considered a non-responder</w:t>
      </w:r>
      <w:r w:rsidR="00FA4E97">
        <w:rPr>
          <w:rFonts w:ascii="Cambria" w:hAnsi="Cambria"/>
        </w:rPr>
        <w:t xml:space="preserve">. </w:t>
      </w:r>
      <w:r w:rsidR="00B9060A">
        <w:rPr>
          <w:rFonts w:ascii="Cambria" w:hAnsi="Cambria"/>
        </w:rPr>
        <w:t>In this instance, w</w:t>
      </w:r>
      <w:r w:rsidR="00FA4E97">
        <w:rPr>
          <w:lang w:eastAsia="zh-CN"/>
        </w:rPr>
        <w:t>e</w:t>
      </w:r>
      <w:r w:rsidR="00FA4E97" w:rsidRPr="0028285B">
        <w:rPr>
          <w:lang w:eastAsia="zh-CN"/>
        </w:rPr>
        <w:t xml:space="preserve"> will identify </w:t>
      </w:r>
      <w:r w:rsidR="00B9060A">
        <w:rPr>
          <w:lang w:eastAsia="zh-CN"/>
        </w:rPr>
        <w:t>an alternate</w:t>
      </w:r>
      <w:r w:rsidR="00FA4E97">
        <w:rPr>
          <w:lang w:eastAsia="zh-CN"/>
        </w:rPr>
        <w:t xml:space="preserve">, matching census region and HIV </w:t>
      </w:r>
      <w:r w:rsidR="006543FE">
        <w:rPr>
          <w:lang w:eastAsia="zh-CN"/>
        </w:rPr>
        <w:t>diagnoses</w:t>
      </w:r>
      <w:r w:rsidR="00FA4E97">
        <w:rPr>
          <w:lang w:eastAsia="zh-CN"/>
        </w:rPr>
        <w:t xml:space="preserve"> </w:t>
      </w:r>
      <w:r w:rsidR="00B9060A">
        <w:rPr>
          <w:lang w:eastAsia="zh-CN"/>
        </w:rPr>
        <w:t>to replace the state that is a non-responder</w:t>
      </w:r>
      <w:r w:rsidR="00FA4E97" w:rsidRPr="0028285B">
        <w:rPr>
          <w:lang w:eastAsia="zh-CN"/>
        </w:rPr>
        <w:t>.</w:t>
      </w:r>
      <w:r w:rsidR="00FA4E97">
        <w:rPr>
          <w:lang w:eastAsia="zh-CN"/>
        </w:rPr>
        <w:t xml:space="preserve"> </w:t>
      </w:r>
      <w:r w:rsidRPr="001556D1">
        <w:rPr>
          <w:rFonts w:ascii="Cambria" w:hAnsi="Cambria"/>
        </w:rPr>
        <w:t xml:space="preserve"> </w:t>
      </w:r>
      <w:r>
        <w:rPr>
          <w:rFonts w:ascii="Cambria" w:hAnsi="Cambria"/>
        </w:rPr>
        <w:t>Telephone i</w:t>
      </w:r>
      <w:r w:rsidRPr="001556D1">
        <w:rPr>
          <w:rFonts w:ascii="Cambria" w:hAnsi="Cambria"/>
        </w:rPr>
        <w:t xml:space="preserve">nterviews will be conducted by </w:t>
      </w:r>
      <w:r>
        <w:rPr>
          <w:rFonts w:ascii="Cambria" w:hAnsi="Cambria"/>
        </w:rPr>
        <w:t>staff members</w:t>
      </w:r>
      <w:r w:rsidRPr="001556D1">
        <w:rPr>
          <w:rFonts w:ascii="Cambria" w:hAnsi="Cambria"/>
        </w:rPr>
        <w:t xml:space="preserve"> from </w:t>
      </w:r>
      <w:r>
        <w:rPr>
          <w:rFonts w:ascii="Cambria" w:hAnsi="Cambria"/>
        </w:rPr>
        <w:t xml:space="preserve">CDC, CMS, </w:t>
      </w:r>
      <w:r w:rsidR="002A329C">
        <w:rPr>
          <w:rFonts w:ascii="Cambria" w:hAnsi="Cambria"/>
        </w:rPr>
        <w:t>and</w:t>
      </w:r>
      <w:r>
        <w:rPr>
          <w:rFonts w:ascii="Cambria" w:hAnsi="Cambria"/>
        </w:rPr>
        <w:t xml:space="preserve"> HRSA.</w:t>
      </w:r>
      <w:r w:rsidRPr="003543C6">
        <w:rPr>
          <w:rFonts w:ascii="Cambria" w:hAnsi="Cambria"/>
        </w:rPr>
        <w:t xml:space="preserve"> </w:t>
      </w:r>
    </w:p>
    <w:p w14:paraId="50EF0035" w14:textId="77777777" w:rsidR="00822A76" w:rsidRDefault="00822A76" w:rsidP="007B009A">
      <w:pPr>
        <w:pStyle w:val="ListParagraph"/>
        <w:ind w:left="360"/>
        <w:rPr>
          <w:rFonts w:ascii="Cambria" w:hAnsi="Cambria"/>
        </w:rPr>
      </w:pPr>
    </w:p>
    <w:p w14:paraId="7BE7C2B3" w14:textId="09740AF6" w:rsidR="00822A76" w:rsidRDefault="00822A76" w:rsidP="007B009A">
      <w:pPr>
        <w:pStyle w:val="ListParagraph"/>
        <w:ind w:left="360"/>
        <w:rPr>
          <w:rFonts w:ascii="Cambria" w:hAnsi="Cambria"/>
        </w:rPr>
      </w:pPr>
      <w:r w:rsidRPr="001556D1">
        <w:rPr>
          <w:rFonts w:ascii="Cambria" w:hAnsi="Cambria"/>
        </w:rPr>
        <w:t>All</w:t>
      </w:r>
      <w:r>
        <w:rPr>
          <w:rFonts w:ascii="Cambria" w:hAnsi="Cambria"/>
        </w:rPr>
        <w:t xml:space="preserve"> telephone</w:t>
      </w:r>
      <w:r w:rsidRPr="001556D1">
        <w:rPr>
          <w:rFonts w:ascii="Cambria" w:hAnsi="Cambria"/>
        </w:rPr>
        <w:t xml:space="preserve"> interviews will be</w:t>
      </w:r>
      <w:r>
        <w:rPr>
          <w:rFonts w:ascii="Cambria" w:hAnsi="Cambria"/>
        </w:rPr>
        <w:t xml:space="preserve"> recorded and transcribed. </w:t>
      </w:r>
      <w:r w:rsidRPr="001556D1">
        <w:rPr>
          <w:rFonts w:ascii="Cambria" w:hAnsi="Cambria"/>
        </w:rPr>
        <w:t xml:space="preserve"> </w:t>
      </w:r>
      <w:r w:rsidRPr="00D12C2E">
        <w:rPr>
          <w:rFonts w:ascii="Cambria" w:hAnsi="Cambria"/>
        </w:rPr>
        <w:t>Verbal permission to be recorded will be obtained from the participant prior to the beginning of the interview.</w:t>
      </w:r>
      <w:r>
        <w:rPr>
          <w:rFonts w:ascii="Cambria" w:hAnsi="Cambria"/>
        </w:rPr>
        <w:t xml:space="preserve"> </w:t>
      </w:r>
      <w:r w:rsidRPr="001556D1">
        <w:rPr>
          <w:rFonts w:ascii="Cambria" w:hAnsi="Cambria"/>
        </w:rPr>
        <w:t xml:space="preserve">Each of the transcribed interviews will be compared against the recording to ensure accuracy. </w:t>
      </w:r>
      <w:r w:rsidRPr="00822A76">
        <w:rPr>
          <w:rFonts w:ascii="Cambria" w:hAnsi="Cambria"/>
        </w:rPr>
        <w:t>The data will then be coded to identify common themes. Two analysts (CDC</w:t>
      </w:r>
      <w:r w:rsidR="00566832">
        <w:rPr>
          <w:rFonts w:ascii="Cambria" w:hAnsi="Cambria"/>
        </w:rPr>
        <w:t>,</w:t>
      </w:r>
      <w:r w:rsidRPr="00822A76">
        <w:rPr>
          <w:rFonts w:ascii="Cambria" w:hAnsi="Cambria"/>
        </w:rPr>
        <w:t xml:space="preserve"> HRSA) will independently code transcriptions and then discuss their coding decisions to reach agreement on coding. EZtext will be used.    </w:t>
      </w:r>
    </w:p>
    <w:p w14:paraId="46C82323" w14:textId="77777777" w:rsidR="001D461D" w:rsidRDefault="001D461D" w:rsidP="00176E14">
      <w:pPr>
        <w:spacing w:line="240" w:lineRule="auto"/>
        <w:ind w:left="0"/>
      </w:pPr>
    </w:p>
    <w:p w14:paraId="06F8BF99" w14:textId="77777777" w:rsidR="009759F3" w:rsidRPr="009759F3" w:rsidRDefault="00287E2F" w:rsidP="002955E6">
      <w:pPr>
        <w:pStyle w:val="Heading4"/>
        <w:spacing w:after="0" w:line="240" w:lineRule="auto"/>
      </w:pPr>
      <w:bookmarkStart w:id="5" w:name="_Toc413847913"/>
      <w:r w:rsidRPr="00D26A64">
        <w:t>Methods to Maximize Response Rates</w:t>
      </w:r>
      <w:r w:rsidR="00F725B5">
        <w:t xml:space="preserve"> </w:t>
      </w:r>
      <w:r w:rsidR="009759F3" w:rsidRPr="009759F3">
        <w:t>Deal with Nonresponse</w:t>
      </w:r>
      <w:bookmarkEnd w:id="5"/>
    </w:p>
    <w:p w14:paraId="0FDB07CF" w14:textId="77777777" w:rsidR="001D461D" w:rsidRDefault="001D461D" w:rsidP="002955E6">
      <w:pPr>
        <w:spacing w:line="240" w:lineRule="auto"/>
        <w:ind w:left="360"/>
        <w:rPr>
          <w:b/>
          <w:color w:val="0070C0"/>
        </w:rPr>
      </w:pPr>
    </w:p>
    <w:p w14:paraId="041ED7F6" w14:textId="77777777" w:rsidR="008A4A4E" w:rsidRPr="00566832" w:rsidRDefault="008A4A4E" w:rsidP="00566832">
      <w:pPr>
        <w:pStyle w:val="ListParagraph"/>
        <w:ind w:left="360"/>
        <w:rPr>
          <w:rFonts w:ascii="Cambria" w:hAnsi="Cambria" w:cs="Times New Roman"/>
        </w:rPr>
      </w:pPr>
      <w:r w:rsidRPr="00566832">
        <w:rPr>
          <w:rFonts w:ascii="Cambria" w:hAnsi="Cambria" w:cs="Times New Roman"/>
        </w:rPr>
        <w:t xml:space="preserve">Although participation in the data collection is voluntary, the project team will make every effort to maximize the rate of response. </w:t>
      </w:r>
    </w:p>
    <w:p w14:paraId="2E4FA3C1" w14:textId="77777777" w:rsidR="008A4A4E" w:rsidRPr="00566832" w:rsidRDefault="008A4A4E" w:rsidP="00566832">
      <w:pPr>
        <w:pStyle w:val="ListParagraph"/>
        <w:ind w:left="360"/>
        <w:rPr>
          <w:rFonts w:ascii="Cambria" w:hAnsi="Cambria" w:cs="Times New Roman"/>
        </w:rPr>
      </w:pPr>
    </w:p>
    <w:p w14:paraId="4049DD1C" w14:textId="0D290A05" w:rsidR="008A4A4E" w:rsidRPr="00566832" w:rsidRDefault="008A4A4E" w:rsidP="00566832">
      <w:pPr>
        <w:pStyle w:val="ListParagraph"/>
        <w:ind w:left="360"/>
        <w:rPr>
          <w:rFonts w:ascii="Cambria" w:hAnsi="Cambria" w:cs="Times New Roman"/>
        </w:rPr>
      </w:pPr>
      <w:r w:rsidRPr="00566832">
        <w:rPr>
          <w:rFonts w:ascii="Cambria" w:hAnsi="Cambria" w:cs="Times New Roman"/>
        </w:rPr>
        <w:t xml:space="preserve">The </w:t>
      </w:r>
      <w:r w:rsidR="00C53FA0">
        <w:rPr>
          <w:rFonts w:ascii="Cambria" w:hAnsi="Cambria" w:cs="Times New Roman"/>
        </w:rPr>
        <w:t xml:space="preserve">web-based </w:t>
      </w:r>
      <w:r w:rsidRPr="00566832">
        <w:rPr>
          <w:rFonts w:ascii="Cambria" w:hAnsi="Cambria" w:cs="Times New Roman"/>
        </w:rPr>
        <w:t xml:space="preserve">data collection instrument was designed with particular focus on streamlining questions to allow for skipping </w:t>
      </w:r>
      <w:r w:rsidR="00C53FA0">
        <w:rPr>
          <w:rFonts w:ascii="Cambria" w:hAnsi="Cambria" w:cs="Times New Roman"/>
        </w:rPr>
        <w:t xml:space="preserve">narrative </w:t>
      </w:r>
      <w:r w:rsidRPr="00566832">
        <w:rPr>
          <w:rFonts w:ascii="Cambria" w:hAnsi="Cambria" w:cs="Times New Roman"/>
        </w:rPr>
        <w:t xml:space="preserve">questions based on </w:t>
      </w:r>
      <w:r w:rsidR="00C53FA0">
        <w:rPr>
          <w:rFonts w:ascii="Cambria" w:hAnsi="Cambria" w:cs="Times New Roman"/>
        </w:rPr>
        <w:t xml:space="preserve">a ‘no’ </w:t>
      </w:r>
      <w:r w:rsidRPr="00566832">
        <w:rPr>
          <w:rFonts w:ascii="Cambria" w:hAnsi="Cambria" w:cs="Times New Roman"/>
        </w:rPr>
        <w:t xml:space="preserve">response to </w:t>
      </w:r>
      <w:r w:rsidR="00C53FA0">
        <w:rPr>
          <w:rFonts w:ascii="Cambria" w:hAnsi="Cambria" w:cs="Times New Roman"/>
        </w:rPr>
        <w:t xml:space="preserve">a </w:t>
      </w:r>
      <w:r w:rsidRPr="00566832">
        <w:rPr>
          <w:rFonts w:ascii="Cambria" w:hAnsi="Cambria" w:cs="Times New Roman"/>
        </w:rPr>
        <w:t xml:space="preserve">previous questions, thereby minimizing response burden.  The web-based assessment instrument used close-ended questions whenever possible while still providing space to expand answers on the usefulness and value of this model of collaboration given the variety of action plans proposed and implemented thereby minimizing response burden. Following the introductory email a reminder email will be sent to non-respondents the second week following the initial invitation (7th business day) (see </w:t>
      </w:r>
      <w:r w:rsidR="000B1760">
        <w:rPr>
          <w:rFonts w:ascii="Cambria" w:hAnsi="Cambria" w:cs="Times New Roman"/>
          <w:b/>
        </w:rPr>
        <w:t>Attachment G</w:t>
      </w:r>
      <w:r w:rsidRPr="00566832">
        <w:rPr>
          <w:rFonts w:ascii="Cambria" w:hAnsi="Cambria" w:cs="Times New Roman"/>
          <w:b/>
        </w:rPr>
        <w:t>—Web-based Assessment Reminder Email</w:t>
      </w:r>
      <w:r w:rsidRPr="00566832">
        <w:rPr>
          <w:rFonts w:ascii="Cambria" w:hAnsi="Cambria" w:cs="Times New Roman"/>
        </w:rPr>
        <w:t>).</w:t>
      </w:r>
    </w:p>
    <w:p w14:paraId="16CAC751" w14:textId="46808741" w:rsidR="00D76901" w:rsidRPr="001556D1" w:rsidRDefault="008A4A4E" w:rsidP="008A4A4E">
      <w:pPr>
        <w:pStyle w:val="ListParagraph"/>
        <w:ind w:left="0"/>
        <w:rPr>
          <w:rFonts w:ascii="Cambria" w:hAnsi="Cambria"/>
        </w:rPr>
      </w:pPr>
      <w:r w:rsidRPr="001D2951" w:rsidDel="008A4A4E">
        <w:rPr>
          <w:rFonts w:cs="Times New Roman"/>
        </w:rPr>
        <w:t xml:space="preserve"> </w:t>
      </w:r>
    </w:p>
    <w:p w14:paraId="7F731828" w14:textId="6C2D1851" w:rsidR="00CB7A03" w:rsidRPr="0028285B" w:rsidRDefault="00D76901" w:rsidP="00CB7A03">
      <w:pPr>
        <w:ind w:left="360"/>
        <w:rPr>
          <w:lang w:eastAsia="zh-CN"/>
        </w:rPr>
      </w:pPr>
      <w:r w:rsidRPr="001556D1">
        <w:rPr>
          <w:rFonts w:ascii="Cambria" w:hAnsi="Cambria"/>
        </w:rPr>
        <w:t xml:space="preserve">For the phone interviews, </w:t>
      </w:r>
      <w:r w:rsidR="008B4795">
        <w:rPr>
          <w:rFonts w:ascii="Cambria" w:hAnsi="Cambria"/>
        </w:rPr>
        <w:t>i</w:t>
      </w:r>
      <w:r w:rsidRPr="001556D1">
        <w:rPr>
          <w:rFonts w:ascii="Cambria" w:hAnsi="Cambria"/>
        </w:rPr>
        <w:t xml:space="preserve">f the participant does not respond to the email within </w:t>
      </w:r>
      <w:r w:rsidR="00DD1204">
        <w:rPr>
          <w:rFonts w:ascii="Cambria" w:hAnsi="Cambria"/>
        </w:rPr>
        <w:t>7</w:t>
      </w:r>
      <w:r w:rsidRPr="001556D1">
        <w:rPr>
          <w:rFonts w:ascii="Cambria" w:hAnsi="Cambria"/>
        </w:rPr>
        <w:t xml:space="preserve"> days, a phone call will be made (</w:t>
      </w:r>
      <w:r w:rsidRPr="008F736A">
        <w:rPr>
          <w:rFonts w:ascii="Cambria" w:hAnsi="Cambria"/>
        </w:rPr>
        <w:t xml:space="preserve">see </w:t>
      </w:r>
      <w:r w:rsidRPr="001556D1">
        <w:rPr>
          <w:rFonts w:ascii="Cambria" w:hAnsi="Cambria"/>
          <w:b/>
        </w:rPr>
        <w:t>Attachment</w:t>
      </w:r>
      <w:r w:rsidR="000B1760">
        <w:rPr>
          <w:rFonts w:ascii="Cambria" w:hAnsi="Cambria"/>
          <w:b/>
        </w:rPr>
        <w:t xml:space="preserve"> I</w:t>
      </w:r>
      <w:r w:rsidRPr="001556D1">
        <w:rPr>
          <w:rFonts w:ascii="Cambria" w:hAnsi="Cambria"/>
          <w:b/>
        </w:rPr>
        <w:t xml:space="preserve">—State Level Interview </w:t>
      </w:r>
      <w:r>
        <w:rPr>
          <w:rFonts w:ascii="Cambria" w:hAnsi="Cambria"/>
          <w:b/>
        </w:rPr>
        <w:t>Reminder</w:t>
      </w:r>
      <w:r w:rsidRPr="001556D1">
        <w:rPr>
          <w:rFonts w:ascii="Cambria" w:hAnsi="Cambria"/>
          <w:b/>
        </w:rPr>
        <w:t xml:space="preserve"> Phone Script</w:t>
      </w:r>
      <w:r w:rsidRPr="001556D1">
        <w:rPr>
          <w:rFonts w:ascii="Cambria" w:hAnsi="Cambria"/>
        </w:rPr>
        <w:t xml:space="preserve">). If the participant cannot be contacted or declines to participate, </w:t>
      </w:r>
      <w:r w:rsidR="00B9060A">
        <w:rPr>
          <w:rFonts w:ascii="Cambria" w:hAnsi="Cambria"/>
        </w:rPr>
        <w:t>w</w:t>
      </w:r>
      <w:r w:rsidR="00B9060A">
        <w:rPr>
          <w:lang w:eastAsia="zh-CN"/>
        </w:rPr>
        <w:t>e</w:t>
      </w:r>
      <w:r w:rsidR="00B9060A" w:rsidRPr="0028285B">
        <w:rPr>
          <w:lang w:eastAsia="zh-CN"/>
        </w:rPr>
        <w:t xml:space="preserve"> will identify </w:t>
      </w:r>
      <w:r w:rsidR="00B9060A">
        <w:rPr>
          <w:lang w:eastAsia="zh-CN"/>
        </w:rPr>
        <w:t xml:space="preserve">an alternate, matching census region and HIV </w:t>
      </w:r>
      <w:r w:rsidR="006543FE">
        <w:rPr>
          <w:lang w:eastAsia="zh-CN"/>
        </w:rPr>
        <w:t xml:space="preserve">diagnoses </w:t>
      </w:r>
      <w:r w:rsidR="00B9060A">
        <w:rPr>
          <w:lang w:eastAsia="zh-CN"/>
        </w:rPr>
        <w:t>to replace the state that is a non-responder</w:t>
      </w:r>
      <w:r w:rsidR="006543FE">
        <w:rPr>
          <w:lang w:eastAsia="zh-CN"/>
        </w:rPr>
        <w:t>.</w:t>
      </w:r>
    </w:p>
    <w:p w14:paraId="1744CC4B" w14:textId="3CA9A52D" w:rsidR="00691031" w:rsidRPr="00176E14" w:rsidRDefault="00691031" w:rsidP="00340754">
      <w:pPr>
        <w:spacing w:line="240" w:lineRule="auto"/>
        <w:ind w:left="0"/>
        <w:rPr>
          <w:rFonts w:cs="Arial"/>
        </w:rPr>
      </w:pPr>
    </w:p>
    <w:p w14:paraId="455E0561" w14:textId="77777777" w:rsidR="00F52BCC" w:rsidRPr="009759F3" w:rsidRDefault="00287E2F" w:rsidP="002955E6">
      <w:pPr>
        <w:pStyle w:val="Heading4"/>
        <w:spacing w:after="0" w:line="240" w:lineRule="auto"/>
      </w:pPr>
      <w:bookmarkStart w:id="6" w:name="_Toc413847914"/>
      <w:r w:rsidRPr="005F3FEF">
        <w:t xml:space="preserve">Test of Procedures </w:t>
      </w:r>
      <w:r w:rsidR="009759F3" w:rsidRPr="009759F3">
        <w:t>or Methods to be Undertaken</w:t>
      </w:r>
      <w:bookmarkEnd w:id="6"/>
    </w:p>
    <w:p w14:paraId="4301338E" w14:textId="77777777" w:rsidR="00865573" w:rsidRDefault="00865573" w:rsidP="002955E6">
      <w:pPr>
        <w:spacing w:line="240" w:lineRule="auto"/>
        <w:ind w:left="360"/>
        <w:rPr>
          <w:color w:val="000000"/>
          <w:lang w:eastAsia="zh-CN"/>
        </w:rPr>
      </w:pPr>
    </w:p>
    <w:p w14:paraId="4C5B02DE" w14:textId="77777777" w:rsidR="00DD1204" w:rsidRPr="004158C3" w:rsidRDefault="00DD1204" w:rsidP="00566832">
      <w:pPr>
        <w:ind w:left="360"/>
        <w:rPr>
          <w:rFonts w:ascii="Cambria" w:hAnsi="Cambria"/>
          <w:i/>
          <w:color w:val="000000"/>
        </w:rPr>
      </w:pPr>
      <w:r w:rsidRPr="004158C3">
        <w:rPr>
          <w:rFonts w:ascii="Cambria" w:hAnsi="Cambria"/>
          <w:b/>
          <w:i/>
          <w:color w:val="000000"/>
        </w:rPr>
        <w:t>Web-based Assessment Instrument</w:t>
      </w:r>
    </w:p>
    <w:p w14:paraId="5A89CD66" w14:textId="2ABB1579" w:rsidR="00DD1204" w:rsidRPr="00766FD5" w:rsidRDefault="00DD1204" w:rsidP="00566832">
      <w:pPr>
        <w:ind w:left="360"/>
        <w:rPr>
          <w:rFonts w:ascii="Cambria" w:hAnsi="Cambria"/>
        </w:rPr>
      </w:pPr>
      <w:r w:rsidRPr="001556D1">
        <w:rPr>
          <w:rFonts w:ascii="Cambria" w:hAnsi="Cambria"/>
          <w:color w:val="000000"/>
        </w:rPr>
        <w:t xml:space="preserve">The estimate for burden hours is based on a pilot test of </w:t>
      </w:r>
      <w:r w:rsidRPr="001556D1">
        <w:rPr>
          <w:rFonts w:ascii="Cambria" w:hAnsi="Cambria"/>
        </w:rPr>
        <w:t xml:space="preserve">the information collection instrument </w:t>
      </w:r>
      <w:r w:rsidRPr="001556D1">
        <w:rPr>
          <w:rFonts w:ascii="Cambria" w:hAnsi="Cambria"/>
          <w:color w:val="000000"/>
        </w:rPr>
        <w:t xml:space="preserve">by </w:t>
      </w:r>
      <w:r w:rsidRPr="008B4795">
        <w:rPr>
          <w:rFonts w:ascii="Cambria" w:hAnsi="Cambria"/>
          <w:color w:val="000000"/>
        </w:rPr>
        <w:t>3</w:t>
      </w:r>
      <w:r w:rsidRPr="001556D1">
        <w:rPr>
          <w:rFonts w:ascii="Cambria" w:hAnsi="Cambria"/>
          <w:color w:val="0070C0"/>
        </w:rPr>
        <w:t xml:space="preserve"> </w:t>
      </w:r>
      <w:r w:rsidRPr="001556D1">
        <w:rPr>
          <w:rFonts w:ascii="Cambria" w:hAnsi="Cambria"/>
        </w:rPr>
        <w:t xml:space="preserve">public health professionals. In the pilot test, the average time to complete the instrument including time for reviewing instructions, gathering needed information and completing the </w:t>
      </w:r>
      <w:r w:rsidRPr="00766FD5">
        <w:rPr>
          <w:rFonts w:ascii="Cambria" w:hAnsi="Cambria"/>
        </w:rPr>
        <w:t xml:space="preserve">instrument, was </w:t>
      </w:r>
      <w:r w:rsidRPr="008B4795">
        <w:rPr>
          <w:rFonts w:ascii="Cambria" w:hAnsi="Cambria"/>
        </w:rPr>
        <w:t xml:space="preserve">approximately </w:t>
      </w:r>
      <w:r w:rsidR="00766FD5" w:rsidRPr="008B4795">
        <w:rPr>
          <w:rFonts w:ascii="Cambria" w:hAnsi="Cambria"/>
        </w:rPr>
        <w:t>25</w:t>
      </w:r>
      <w:r w:rsidRPr="008B4795">
        <w:rPr>
          <w:rFonts w:ascii="Cambria" w:hAnsi="Cambria"/>
          <w:color w:val="0070C0"/>
        </w:rPr>
        <w:t xml:space="preserve"> </w:t>
      </w:r>
      <w:r w:rsidRPr="008B4795">
        <w:rPr>
          <w:rFonts w:ascii="Cambria" w:hAnsi="Cambria"/>
        </w:rPr>
        <w:t xml:space="preserve">minutes (range: </w:t>
      </w:r>
      <w:r w:rsidR="00766FD5" w:rsidRPr="008B4795">
        <w:rPr>
          <w:rFonts w:ascii="Cambria" w:hAnsi="Cambria"/>
        </w:rPr>
        <w:t>15</w:t>
      </w:r>
      <w:r w:rsidRPr="008B4795">
        <w:rPr>
          <w:rFonts w:ascii="Cambria" w:hAnsi="Cambria"/>
        </w:rPr>
        <w:t xml:space="preserve"> to </w:t>
      </w:r>
      <w:r w:rsidR="00766FD5" w:rsidRPr="008B4795">
        <w:rPr>
          <w:rFonts w:ascii="Cambria" w:hAnsi="Cambria"/>
        </w:rPr>
        <w:t>25</w:t>
      </w:r>
      <w:r w:rsidRPr="008B4795">
        <w:rPr>
          <w:rFonts w:ascii="Cambria" w:hAnsi="Cambria"/>
        </w:rPr>
        <w:t xml:space="preserve"> minutes ). For the purposes of estimating burden hours, the upper limit of this range (i.e., </w:t>
      </w:r>
      <w:r w:rsidR="00766FD5" w:rsidRPr="008B4795">
        <w:rPr>
          <w:rFonts w:ascii="Cambria" w:hAnsi="Cambria"/>
        </w:rPr>
        <w:t>25</w:t>
      </w:r>
      <w:r w:rsidRPr="008B4795">
        <w:rPr>
          <w:rFonts w:ascii="Cambria" w:hAnsi="Cambria"/>
          <w:color w:val="0070C0"/>
        </w:rPr>
        <w:t xml:space="preserve"> </w:t>
      </w:r>
      <w:r w:rsidRPr="008B4795">
        <w:rPr>
          <w:rFonts w:ascii="Cambria" w:hAnsi="Cambria"/>
        </w:rPr>
        <w:t>minutes)</w:t>
      </w:r>
      <w:r w:rsidRPr="00766FD5">
        <w:rPr>
          <w:rFonts w:ascii="Cambria" w:hAnsi="Cambria"/>
        </w:rPr>
        <w:t xml:space="preserve"> is used.</w:t>
      </w:r>
    </w:p>
    <w:p w14:paraId="73999838" w14:textId="77777777" w:rsidR="00DD1204" w:rsidRPr="00766FD5" w:rsidRDefault="00DD1204" w:rsidP="00566832">
      <w:pPr>
        <w:ind w:left="360"/>
        <w:rPr>
          <w:rFonts w:ascii="Cambria" w:hAnsi="Cambria"/>
        </w:rPr>
      </w:pPr>
    </w:p>
    <w:p w14:paraId="66719833" w14:textId="77777777" w:rsidR="00DD1204" w:rsidRPr="00766FD5" w:rsidRDefault="00DD1204" w:rsidP="00566832">
      <w:pPr>
        <w:ind w:left="360"/>
        <w:rPr>
          <w:rFonts w:ascii="Cambria" w:hAnsi="Cambria"/>
          <w:i/>
        </w:rPr>
      </w:pPr>
      <w:r w:rsidRPr="00766FD5">
        <w:rPr>
          <w:rFonts w:ascii="Cambria" w:hAnsi="Cambria"/>
          <w:b/>
          <w:i/>
        </w:rPr>
        <w:t>Telephone Interviews</w:t>
      </w:r>
    </w:p>
    <w:p w14:paraId="2EE8C01C" w14:textId="16E004AF" w:rsidR="00DD1204" w:rsidRPr="001556D1" w:rsidRDefault="00DD1204" w:rsidP="00566832">
      <w:pPr>
        <w:ind w:left="360"/>
        <w:rPr>
          <w:rFonts w:ascii="Cambria" w:hAnsi="Cambria"/>
        </w:rPr>
      </w:pPr>
      <w:r w:rsidRPr="00766FD5">
        <w:rPr>
          <w:rFonts w:ascii="Cambria" w:hAnsi="Cambria"/>
        </w:rPr>
        <w:t xml:space="preserve">The state-level phone interview guide was pilot tested with 3 public health staff familiar with the HHIAG. </w:t>
      </w:r>
      <w:r w:rsidRPr="00766FD5">
        <w:rPr>
          <w:rFonts w:cs="Times New Roman"/>
        </w:rPr>
        <w:t xml:space="preserve">In the pilot test, the average time to complete the </w:t>
      </w:r>
      <w:r w:rsidR="00CB7A03">
        <w:rPr>
          <w:rFonts w:cs="Times New Roman"/>
        </w:rPr>
        <w:t>interview</w:t>
      </w:r>
      <w:r w:rsidR="0089257E">
        <w:rPr>
          <w:rFonts w:cs="Times New Roman"/>
        </w:rPr>
        <w:t xml:space="preserve"> was </w:t>
      </w:r>
      <w:r w:rsidR="0089257E" w:rsidRPr="00766FD5">
        <w:rPr>
          <w:rFonts w:cs="Times New Roman"/>
        </w:rPr>
        <w:t>approximately 60</w:t>
      </w:r>
      <w:r w:rsidR="0089257E" w:rsidRPr="008B4795">
        <w:rPr>
          <w:rFonts w:cs="Times New Roman"/>
        </w:rPr>
        <w:t xml:space="preserve"> minutes (range: 45-60 minutes).</w:t>
      </w:r>
      <w:r w:rsidR="0089257E">
        <w:rPr>
          <w:rFonts w:cs="Times New Roman"/>
        </w:rPr>
        <w:t xml:space="preserve"> </w:t>
      </w:r>
      <w:r w:rsidRPr="008B4795">
        <w:rPr>
          <w:rFonts w:cs="Times New Roman"/>
        </w:rPr>
        <w:t xml:space="preserve"> For the purposes of estimating burden hours, the upper limit of this range (i.e., </w:t>
      </w:r>
      <w:r w:rsidR="00766FD5" w:rsidRPr="008B4795">
        <w:rPr>
          <w:rFonts w:cs="Times New Roman"/>
        </w:rPr>
        <w:t>60</w:t>
      </w:r>
      <w:r w:rsidRPr="008B4795">
        <w:rPr>
          <w:rFonts w:cs="Times New Roman"/>
        </w:rPr>
        <w:t xml:space="preserve"> minutes) is used.</w:t>
      </w:r>
      <w:r w:rsidRPr="00766FD5">
        <w:rPr>
          <w:rFonts w:ascii="Cambria" w:hAnsi="Cambria"/>
        </w:rPr>
        <w:t xml:space="preserve">  </w:t>
      </w:r>
    </w:p>
    <w:p w14:paraId="5B48AE92" w14:textId="77777777" w:rsidR="004D70EE" w:rsidRDefault="004D70EE" w:rsidP="001B706C">
      <w:pPr>
        <w:spacing w:line="240" w:lineRule="auto"/>
        <w:ind w:left="0"/>
      </w:pPr>
    </w:p>
    <w:p w14:paraId="0E5DFB72" w14:textId="77777777" w:rsidR="009759F3" w:rsidRDefault="009759F3" w:rsidP="002955E6">
      <w:pPr>
        <w:pStyle w:val="Heading4"/>
        <w:spacing w:after="0" w:line="240" w:lineRule="auto"/>
      </w:pPr>
      <w:bookmarkStart w:id="7" w:name="_Toc413847915"/>
      <w:r w:rsidRPr="009759F3">
        <w:t>Individuals Consulted on Statistical Aspects and Individuals Collecting and/or Analyzing Data</w:t>
      </w:r>
      <w:bookmarkEnd w:id="7"/>
    </w:p>
    <w:p w14:paraId="4684072D" w14:textId="77777777" w:rsidR="00F27049" w:rsidRDefault="00F27049" w:rsidP="002955E6">
      <w:pPr>
        <w:spacing w:line="240" w:lineRule="auto"/>
        <w:ind w:left="360"/>
        <w:rPr>
          <w:b/>
          <w:color w:val="0070C0"/>
        </w:rPr>
      </w:pPr>
    </w:p>
    <w:p w14:paraId="55D46795" w14:textId="120E3068" w:rsidR="007853FE" w:rsidRPr="00566832" w:rsidRDefault="007853FE" w:rsidP="007853FE">
      <w:pPr>
        <w:spacing w:line="240" w:lineRule="auto"/>
        <w:ind w:left="360"/>
        <w:rPr>
          <w:b/>
        </w:rPr>
      </w:pPr>
      <w:r w:rsidRPr="00566832">
        <w:rPr>
          <w:b/>
        </w:rPr>
        <w:t>Michelle Nichole Charlene Browne, DPA,</w:t>
      </w:r>
      <w:r>
        <w:rPr>
          <w:b/>
        </w:rPr>
        <w:t xml:space="preserve"> </w:t>
      </w:r>
      <w:r w:rsidRPr="00566832">
        <w:rPr>
          <w:b/>
        </w:rPr>
        <w:t>MPA,</w:t>
      </w:r>
      <w:r>
        <w:rPr>
          <w:b/>
        </w:rPr>
        <w:t xml:space="preserve"> </w:t>
      </w:r>
      <w:r w:rsidRPr="00566832">
        <w:rPr>
          <w:b/>
        </w:rPr>
        <w:t>CSW,</w:t>
      </w:r>
      <w:r>
        <w:rPr>
          <w:b/>
        </w:rPr>
        <w:t xml:space="preserve"> </w:t>
      </w:r>
      <w:r w:rsidRPr="00566832">
        <w:rPr>
          <w:b/>
        </w:rPr>
        <w:t>MSW</w:t>
      </w:r>
    </w:p>
    <w:p w14:paraId="5096A9AD" w14:textId="77777777" w:rsidR="007853FE" w:rsidRDefault="007853FE" w:rsidP="007853FE">
      <w:pPr>
        <w:spacing w:line="240" w:lineRule="auto"/>
        <w:ind w:left="360"/>
      </w:pPr>
      <w:r>
        <w:t>Health Insurance Specialist</w:t>
      </w:r>
    </w:p>
    <w:p w14:paraId="71AA4C88" w14:textId="77777777" w:rsidR="007853FE" w:rsidRDefault="007853FE" w:rsidP="007853FE">
      <w:pPr>
        <w:spacing w:line="240" w:lineRule="auto"/>
        <w:ind w:left="360"/>
      </w:pPr>
      <w:r>
        <w:t>Children and Adults Health Programs Group (CAHPG)</w:t>
      </w:r>
    </w:p>
    <w:p w14:paraId="535FFD36" w14:textId="7BCFB39F" w:rsidR="007853FE" w:rsidRDefault="007853FE" w:rsidP="007853FE">
      <w:pPr>
        <w:spacing w:line="240" w:lineRule="auto"/>
        <w:ind w:left="360"/>
      </w:pPr>
      <w:r>
        <w:t>Center for Medicaid &amp; CHIP Services (CMCS)</w:t>
      </w:r>
    </w:p>
    <w:p w14:paraId="2481D5AA" w14:textId="77777777" w:rsidR="007853FE" w:rsidRDefault="007853FE" w:rsidP="007853FE">
      <w:pPr>
        <w:spacing w:line="240" w:lineRule="auto"/>
        <w:ind w:left="360"/>
      </w:pPr>
      <w:r>
        <w:t>Division of Quality and Health Outcomes</w:t>
      </w:r>
    </w:p>
    <w:p w14:paraId="23EE9474" w14:textId="77777777" w:rsidR="007853FE" w:rsidRDefault="007853FE" w:rsidP="007853FE">
      <w:pPr>
        <w:spacing w:line="240" w:lineRule="auto"/>
        <w:ind w:left="360"/>
      </w:pPr>
      <w:r>
        <w:t>Centers for Medicare and Medicaid Services</w:t>
      </w:r>
    </w:p>
    <w:p w14:paraId="339963CA" w14:textId="109CBD3E" w:rsidR="007853FE" w:rsidRDefault="00E12034" w:rsidP="007853FE">
      <w:pPr>
        <w:spacing w:line="240" w:lineRule="auto"/>
        <w:ind w:left="360"/>
      </w:pPr>
      <w:hyperlink r:id="rId14" w:history="1">
        <w:r w:rsidR="007853FE" w:rsidRPr="004E0842">
          <w:rPr>
            <w:rStyle w:val="Hyperlink"/>
          </w:rPr>
          <w:t>Michelle.Browne@cms.hhs.gov</w:t>
        </w:r>
      </w:hyperlink>
    </w:p>
    <w:p w14:paraId="647B648E" w14:textId="77777777" w:rsidR="007853FE" w:rsidRDefault="007853FE">
      <w:pPr>
        <w:spacing w:line="240" w:lineRule="auto"/>
        <w:ind w:left="360"/>
      </w:pPr>
    </w:p>
    <w:p w14:paraId="49EF6C2D" w14:textId="0F10BA6A" w:rsidR="007853FE" w:rsidRPr="00566832" w:rsidRDefault="007853FE" w:rsidP="007853FE">
      <w:pPr>
        <w:spacing w:line="240" w:lineRule="auto"/>
        <w:ind w:left="360"/>
        <w:rPr>
          <w:b/>
        </w:rPr>
      </w:pPr>
      <w:r w:rsidRPr="00566832">
        <w:rPr>
          <w:b/>
        </w:rPr>
        <w:t>Janet Heitgerd</w:t>
      </w:r>
      <w:r>
        <w:rPr>
          <w:b/>
        </w:rPr>
        <w:t>, PhD</w:t>
      </w:r>
    </w:p>
    <w:p w14:paraId="4203145A" w14:textId="709A3E04" w:rsidR="007853FE" w:rsidRDefault="007853FE" w:rsidP="002955E6">
      <w:pPr>
        <w:spacing w:line="240" w:lineRule="auto"/>
        <w:ind w:left="360"/>
      </w:pPr>
      <w:r>
        <w:t>Behavioral Scientist</w:t>
      </w:r>
    </w:p>
    <w:p w14:paraId="684A1BC2" w14:textId="4CD61F65" w:rsidR="007853FE" w:rsidRDefault="007853FE" w:rsidP="002955E6">
      <w:pPr>
        <w:spacing w:line="240" w:lineRule="auto"/>
        <w:ind w:left="360"/>
      </w:pPr>
      <w:r>
        <w:t>Program Evaluation Branch</w:t>
      </w:r>
    </w:p>
    <w:p w14:paraId="4D7F54A9" w14:textId="3CFBC026" w:rsidR="007853FE" w:rsidRDefault="007853FE" w:rsidP="002955E6">
      <w:pPr>
        <w:spacing w:line="240" w:lineRule="auto"/>
        <w:ind w:left="360"/>
      </w:pPr>
      <w:r>
        <w:t>Division of HIV/AIDS Prevention</w:t>
      </w:r>
    </w:p>
    <w:p w14:paraId="122E3010" w14:textId="7AE361B9" w:rsidR="007853FE" w:rsidRPr="00934631" w:rsidRDefault="007853FE" w:rsidP="007853FE">
      <w:pPr>
        <w:spacing w:line="240" w:lineRule="auto"/>
        <w:ind w:left="360"/>
      </w:pPr>
      <w:r w:rsidRPr="00934631">
        <w:t>National Center for HIV/AIDS, Viral Hepatitis, STD and TB Prevention</w:t>
      </w:r>
    </w:p>
    <w:p w14:paraId="10F68B51" w14:textId="77777777" w:rsidR="007853FE" w:rsidRPr="00934631" w:rsidRDefault="007853FE" w:rsidP="007853FE">
      <w:pPr>
        <w:spacing w:line="240" w:lineRule="auto"/>
        <w:ind w:left="360"/>
      </w:pPr>
      <w:r w:rsidRPr="00934631">
        <w:t>Centers for Disease Control and Prevention</w:t>
      </w:r>
    </w:p>
    <w:p w14:paraId="26EBB73D" w14:textId="556EB0CA" w:rsidR="007853FE" w:rsidRDefault="00E12034" w:rsidP="007853FE">
      <w:pPr>
        <w:spacing w:line="240" w:lineRule="auto"/>
        <w:ind w:left="360"/>
      </w:pPr>
      <w:hyperlink r:id="rId15" w:history="1">
        <w:r w:rsidR="007853FE" w:rsidRPr="004E0842">
          <w:rPr>
            <w:rStyle w:val="Hyperlink"/>
          </w:rPr>
          <w:t>Jbh0@cdc.gov</w:t>
        </w:r>
      </w:hyperlink>
    </w:p>
    <w:p w14:paraId="4F051ED0" w14:textId="7576F045" w:rsidR="007853FE" w:rsidRDefault="007853FE" w:rsidP="002955E6">
      <w:pPr>
        <w:spacing w:line="240" w:lineRule="auto"/>
        <w:ind w:left="360"/>
      </w:pPr>
    </w:p>
    <w:p w14:paraId="4F0C3218" w14:textId="77777777" w:rsidR="007853FE" w:rsidRPr="00566832" w:rsidRDefault="007853FE" w:rsidP="002955E6">
      <w:pPr>
        <w:spacing w:line="240" w:lineRule="auto"/>
        <w:ind w:left="360"/>
        <w:rPr>
          <w:b/>
        </w:rPr>
      </w:pPr>
      <w:r w:rsidRPr="00566832">
        <w:rPr>
          <w:b/>
        </w:rPr>
        <w:t>Pamela Klein, MSPH, PhD</w:t>
      </w:r>
    </w:p>
    <w:p w14:paraId="4ABCE1E9" w14:textId="77777777" w:rsidR="007853FE" w:rsidRDefault="007853FE" w:rsidP="002955E6">
      <w:pPr>
        <w:spacing w:line="240" w:lineRule="auto"/>
        <w:ind w:left="360"/>
      </w:pPr>
      <w:r>
        <w:t>H</w:t>
      </w:r>
      <w:r w:rsidRPr="007853FE">
        <w:t>ealth Scientist</w:t>
      </w:r>
    </w:p>
    <w:p w14:paraId="0D845E1D" w14:textId="77777777" w:rsidR="007853FE" w:rsidRDefault="007853FE" w:rsidP="002955E6">
      <w:pPr>
        <w:spacing w:line="240" w:lineRule="auto"/>
        <w:ind w:left="360"/>
      </w:pPr>
      <w:r w:rsidRPr="007853FE">
        <w:t>HIV/AIDS Bureau, Division of Policy and Data</w:t>
      </w:r>
    </w:p>
    <w:p w14:paraId="78A3483C" w14:textId="77777777" w:rsidR="007853FE" w:rsidRDefault="007853FE" w:rsidP="002955E6">
      <w:pPr>
        <w:spacing w:line="240" w:lineRule="auto"/>
        <w:ind w:left="360"/>
      </w:pPr>
      <w:r w:rsidRPr="007853FE">
        <w:t>Health Resources and Services Administration</w:t>
      </w:r>
    </w:p>
    <w:p w14:paraId="16E4E40B" w14:textId="5A3EF984" w:rsidR="007853FE" w:rsidRDefault="00E12034" w:rsidP="002955E6">
      <w:pPr>
        <w:spacing w:line="240" w:lineRule="auto"/>
        <w:ind w:left="360"/>
      </w:pPr>
      <w:hyperlink r:id="rId16" w:history="1">
        <w:r w:rsidR="007853FE" w:rsidRPr="004E0842">
          <w:rPr>
            <w:rStyle w:val="Hyperlink"/>
          </w:rPr>
          <w:t>pklein@hrsa.gov</w:t>
        </w:r>
      </w:hyperlink>
    </w:p>
    <w:p w14:paraId="47C5DC22" w14:textId="77777777" w:rsidR="007853FE" w:rsidRDefault="007853FE" w:rsidP="002955E6">
      <w:pPr>
        <w:spacing w:line="240" w:lineRule="auto"/>
        <w:ind w:left="360"/>
      </w:pPr>
    </w:p>
    <w:p w14:paraId="0B35604C" w14:textId="77777777" w:rsidR="007853FE" w:rsidRPr="00566832" w:rsidRDefault="007853FE" w:rsidP="007853FE">
      <w:pPr>
        <w:spacing w:line="240" w:lineRule="auto"/>
        <w:ind w:left="360"/>
        <w:rPr>
          <w:b/>
        </w:rPr>
      </w:pPr>
      <w:r w:rsidRPr="00566832">
        <w:rPr>
          <w:b/>
        </w:rPr>
        <w:t>Ijeamaka Okoye, MPH</w:t>
      </w:r>
    </w:p>
    <w:p w14:paraId="19BBF2BE" w14:textId="77777777" w:rsidR="007853FE" w:rsidRDefault="007853FE" w:rsidP="007853FE">
      <w:pPr>
        <w:spacing w:line="240" w:lineRule="auto"/>
        <w:ind w:left="360"/>
      </w:pPr>
      <w:r>
        <w:t>Public Health Analyst, Mid-West Branch</w:t>
      </w:r>
    </w:p>
    <w:p w14:paraId="5A5C202A" w14:textId="77777777" w:rsidR="007853FE" w:rsidRDefault="007853FE" w:rsidP="007853FE">
      <w:pPr>
        <w:spacing w:line="240" w:lineRule="auto"/>
        <w:ind w:left="360"/>
      </w:pPr>
      <w:r>
        <w:t>Division of Community HIV/AIDS Programs</w:t>
      </w:r>
    </w:p>
    <w:p w14:paraId="1B4ACD7E" w14:textId="77777777" w:rsidR="007853FE" w:rsidRDefault="007853FE" w:rsidP="007853FE">
      <w:pPr>
        <w:spacing w:line="240" w:lineRule="auto"/>
        <w:ind w:left="360"/>
      </w:pPr>
      <w:r>
        <w:t>HIV/AIDS Bureau</w:t>
      </w:r>
    </w:p>
    <w:p w14:paraId="1FBA1346" w14:textId="77777777" w:rsidR="007853FE" w:rsidRDefault="007853FE" w:rsidP="007853FE">
      <w:pPr>
        <w:spacing w:line="240" w:lineRule="auto"/>
        <w:ind w:left="360"/>
      </w:pPr>
      <w:r>
        <w:t>Health Resources and Services Administration</w:t>
      </w:r>
    </w:p>
    <w:p w14:paraId="40821642" w14:textId="77777777" w:rsidR="007853FE" w:rsidRDefault="007853FE" w:rsidP="007853FE">
      <w:pPr>
        <w:spacing w:line="240" w:lineRule="auto"/>
        <w:ind w:left="360"/>
      </w:pPr>
      <w:r>
        <w:t>Department of Health and Human Services (DHHS)</w:t>
      </w:r>
    </w:p>
    <w:p w14:paraId="1105E335" w14:textId="06FA2C83" w:rsidR="007853FE" w:rsidRDefault="00E12034" w:rsidP="007853FE">
      <w:pPr>
        <w:spacing w:line="240" w:lineRule="auto"/>
        <w:ind w:left="360"/>
      </w:pPr>
      <w:hyperlink r:id="rId17" w:history="1">
        <w:r w:rsidR="007853FE" w:rsidRPr="004E0842">
          <w:rPr>
            <w:rStyle w:val="Hyperlink"/>
          </w:rPr>
          <w:t>iokoye@hrsa.gov</w:t>
        </w:r>
      </w:hyperlink>
    </w:p>
    <w:p w14:paraId="6625F7B8" w14:textId="77777777" w:rsidR="00FA4C2A" w:rsidRDefault="00FA4C2A" w:rsidP="002955E6">
      <w:pPr>
        <w:spacing w:line="240" w:lineRule="auto"/>
        <w:ind w:left="360"/>
      </w:pPr>
    </w:p>
    <w:p w14:paraId="5C7BE27B" w14:textId="0707ABC0" w:rsidR="007853FE" w:rsidRDefault="007853FE" w:rsidP="007853FE">
      <w:pPr>
        <w:spacing w:line="240" w:lineRule="auto"/>
        <w:ind w:left="360"/>
        <w:rPr>
          <w:b/>
        </w:rPr>
      </w:pPr>
      <w:r w:rsidRPr="00566832">
        <w:rPr>
          <w:b/>
        </w:rPr>
        <w:t>Eka Shapatava</w:t>
      </w:r>
      <w:r>
        <w:rPr>
          <w:b/>
        </w:rPr>
        <w:t>, MS, MPH</w:t>
      </w:r>
    </w:p>
    <w:p w14:paraId="2D8430D9" w14:textId="15534795" w:rsidR="007853FE" w:rsidRPr="00566832" w:rsidRDefault="007853FE" w:rsidP="007853FE">
      <w:pPr>
        <w:spacing w:line="240" w:lineRule="auto"/>
        <w:ind w:left="360"/>
      </w:pPr>
      <w:r w:rsidRPr="00566832">
        <w:t>Health Scientist</w:t>
      </w:r>
    </w:p>
    <w:p w14:paraId="52BA1E7A" w14:textId="77777777" w:rsidR="007853FE" w:rsidRPr="00934631" w:rsidRDefault="007853FE" w:rsidP="007853FE">
      <w:pPr>
        <w:spacing w:line="240" w:lineRule="auto"/>
        <w:ind w:left="360"/>
      </w:pPr>
      <w:r w:rsidRPr="00934631">
        <w:t>Program Evaluation Branch</w:t>
      </w:r>
    </w:p>
    <w:p w14:paraId="49300011" w14:textId="77777777" w:rsidR="007853FE" w:rsidRPr="00934631" w:rsidRDefault="007853FE" w:rsidP="007853FE">
      <w:pPr>
        <w:spacing w:line="240" w:lineRule="auto"/>
        <w:ind w:left="360"/>
      </w:pPr>
      <w:r w:rsidRPr="00934631">
        <w:t>Division of HIV Prevention</w:t>
      </w:r>
    </w:p>
    <w:p w14:paraId="517F6C88" w14:textId="77777777" w:rsidR="007853FE" w:rsidRPr="00934631" w:rsidRDefault="007853FE" w:rsidP="007853FE">
      <w:pPr>
        <w:spacing w:line="240" w:lineRule="auto"/>
        <w:ind w:left="360"/>
      </w:pPr>
      <w:r w:rsidRPr="00934631">
        <w:t>National Center for HIV/AIDS, Viral Hepatitis, STD and TB Prevention</w:t>
      </w:r>
    </w:p>
    <w:p w14:paraId="20738DE0" w14:textId="77777777" w:rsidR="007853FE" w:rsidRPr="00934631" w:rsidRDefault="007853FE" w:rsidP="007853FE">
      <w:pPr>
        <w:spacing w:line="240" w:lineRule="auto"/>
        <w:ind w:left="360"/>
      </w:pPr>
      <w:r w:rsidRPr="00934631">
        <w:t>Centers for Disease Control and Prevention</w:t>
      </w:r>
    </w:p>
    <w:p w14:paraId="5CF0B057" w14:textId="5212523D" w:rsidR="007853FE" w:rsidRDefault="00E12034" w:rsidP="007853FE">
      <w:pPr>
        <w:spacing w:line="240" w:lineRule="auto"/>
        <w:ind w:left="360"/>
      </w:pPr>
      <w:hyperlink r:id="rId18" w:history="1">
        <w:r w:rsidR="007853FE" w:rsidRPr="00566832">
          <w:rPr>
            <w:rStyle w:val="Hyperlink"/>
          </w:rPr>
          <w:t>Fpk7@cdc.gov</w:t>
        </w:r>
      </w:hyperlink>
    </w:p>
    <w:p w14:paraId="17AC6958" w14:textId="77777777" w:rsidR="007853FE" w:rsidRDefault="007853FE" w:rsidP="007853FE">
      <w:pPr>
        <w:spacing w:line="240" w:lineRule="auto"/>
        <w:ind w:left="360"/>
      </w:pPr>
    </w:p>
    <w:p w14:paraId="6D67C433" w14:textId="057A885D" w:rsidR="007853FE" w:rsidRDefault="00DE0792" w:rsidP="007853FE">
      <w:pPr>
        <w:spacing w:line="240" w:lineRule="auto"/>
        <w:ind w:left="360"/>
        <w:rPr>
          <w:b/>
        </w:rPr>
      </w:pPr>
      <w:r>
        <w:rPr>
          <w:b/>
        </w:rPr>
        <w:t>Emergint Technology, Inc.</w:t>
      </w:r>
    </w:p>
    <w:p w14:paraId="6FDE8B94" w14:textId="2F62928F" w:rsidR="00DE0792" w:rsidRPr="00340754" w:rsidRDefault="00DE0792" w:rsidP="007853FE">
      <w:pPr>
        <w:spacing w:line="240" w:lineRule="auto"/>
        <w:ind w:left="360"/>
      </w:pPr>
      <w:r w:rsidRPr="00340754">
        <w:t>Public Health Analyst</w:t>
      </w:r>
    </w:p>
    <w:p w14:paraId="57C979C6" w14:textId="69ABE0EE" w:rsidR="00865573" w:rsidRPr="001B706C" w:rsidRDefault="00DE0792" w:rsidP="002955E6">
      <w:pPr>
        <w:spacing w:line="240" w:lineRule="auto"/>
        <w:ind w:left="360"/>
        <w:rPr>
          <w:rStyle w:val="Hyperlink"/>
          <w:color w:val="auto"/>
          <w:u w:val="none"/>
        </w:rPr>
      </w:pPr>
      <w:r w:rsidRPr="001B706C">
        <w:rPr>
          <w:rStyle w:val="Hyperlink"/>
          <w:color w:val="auto"/>
          <w:u w:val="none"/>
        </w:rPr>
        <w:t>Atlanta, Georgia</w:t>
      </w:r>
    </w:p>
    <w:p w14:paraId="6751875B" w14:textId="77777777" w:rsidR="00865573" w:rsidRPr="00865573" w:rsidRDefault="00865573" w:rsidP="002955E6">
      <w:pPr>
        <w:spacing w:line="240" w:lineRule="auto"/>
        <w:ind w:left="360"/>
        <w:rPr>
          <w:rStyle w:val="Hyperlink"/>
          <w:b/>
          <w:color w:val="0070C0"/>
        </w:rPr>
      </w:pPr>
    </w:p>
    <w:p w14:paraId="3DC29383" w14:textId="77777777" w:rsidR="00A36419" w:rsidRPr="00003D18" w:rsidRDefault="00A36419" w:rsidP="002955E6">
      <w:pPr>
        <w:pStyle w:val="Heading3"/>
        <w:spacing w:line="240" w:lineRule="auto"/>
      </w:pPr>
      <w:bookmarkStart w:id="8" w:name="_Toc413847916"/>
      <w:r w:rsidRPr="00003D18">
        <w:t>LIST OF ATTACHMENTS</w:t>
      </w:r>
      <w:r w:rsidR="00E24C20" w:rsidRPr="00003D18">
        <w:t xml:space="preserve"> – Section B</w:t>
      </w:r>
      <w:bookmarkEnd w:id="8"/>
    </w:p>
    <w:p w14:paraId="5E2EDA0F" w14:textId="2B207069" w:rsidR="0057190B" w:rsidRPr="0028285B" w:rsidRDefault="00400C2C" w:rsidP="008B4795">
      <w:pPr>
        <w:spacing w:line="240" w:lineRule="auto"/>
        <w:ind w:left="360"/>
        <w:rPr>
          <w:rFonts w:ascii="Cambria" w:hAnsi="Cambria"/>
        </w:rPr>
      </w:pPr>
      <w:r w:rsidRPr="0028285B">
        <w:rPr>
          <w:rFonts w:ascii="Cambria" w:hAnsi="Cambria"/>
        </w:rPr>
        <w:t xml:space="preserve">Attachment </w:t>
      </w:r>
      <w:r w:rsidR="00D7252D">
        <w:rPr>
          <w:rFonts w:ascii="Cambria" w:hAnsi="Cambria"/>
        </w:rPr>
        <w:t>E</w:t>
      </w:r>
      <w:r w:rsidR="00D24BCF" w:rsidRPr="0028285B">
        <w:rPr>
          <w:rFonts w:ascii="Cambria" w:hAnsi="Cambria"/>
        </w:rPr>
        <w:t xml:space="preserve"> –</w:t>
      </w:r>
      <w:r w:rsidRPr="0028285B">
        <w:rPr>
          <w:rFonts w:ascii="Cambria" w:hAnsi="Cambria"/>
        </w:rPr>
        <w:t xml:space="preserve"> </w:t>
      </w:r>
      <w:r w:rsidR="006A1662">
        <w:rPr>
          <w:rFonts w:ascii="Cambria" w:hAnsi="Cambria"/>
        </w:rPr>
        <w:t>Governmental Entit</w:t>
      </w:r>
      <w:r w:rsidR="00A062B8">
        <w:rPr>
          <w:rFonts w:ascii="Cambria" w:hAnsi="Cambria"/>
        </w:rPr>
        <w:t>ies</w:t>
      </w:r>
      <w:r w:rsidR="00D6232D">
        <w:rPr>
          <w:rFonts w:ascii="Cambria" w:hAnsi="Cambria"/>
        </w:rPr>
        <w:t xml:space="preserve"> Selected</w:t>
      </w:r>
      <w:r w:rsidR="006A1662">
        <w:rPr>
          <w:rFonts w:ascii="Cambria" w:hAnsi="Cambria"/>
        </w:rPr>
        <w:t xml:space="preserve"> for HHIAG Telephone Interview</w:t>
      </w:r>
      <w:r w:rsidR="007B713E" w:rsidRPr="0028285B" w:rsidDel="007B713E">
        <w:rPr>
          <w:rFonts w:ascii="Cambria" w:hAnsi="Cambria"/>
        </w:rPr>
        <w:t xml:space="preserve"> </w:t>
      </w:r>
    </w:p>
    <w:p w14:paraId="284DDB22" w14:textId="64A976C2" w:rsidR="0057190B" w:rsidRPr="0028285B" w:rsidRDefault="0057190B" w:rsidP="008B4795">
      <w:pPr>
        <w:spacing w:line="240" w:lineRule="auto"/>
        <w:ind w:left="360"/>
        <w:rPr>
          <w:rFonts w:ascii="Cambria" w:hAnsi="Cambria"/>
        </w:rPr>
      </w:pPr>
      <w:r w:rsidRPr="0028285B">
        <w:rPr>
          <w:rFonts w:ascii="Cambria" w:hAnsi="Cambria"/>
        </w:rPr>
        <w:t xml:space="preserve">Attachment </w:t>
      </w:r>
      <w:r w:rsidR="00D7252D">
        <w:rPr>
          <w:rFonts w:ascii="Cambria" w:hAnsi="Cambria"/>
        </w:rPr>
        <w:t>F</w:t>
      </w:r>
      <w:r w:rsidRPr="0028285B">
        <w:rPr>
          <w:rFonts w:ascii="Cambria" w:hAnsi="Cambria"/>
        </w:rPr>
        <w:t xml:space="preserve"> – </w:t>
      </w:r>
      <w:r w:rsidR="007B713E" w:rsidRPr="0028285B">
        <w:t>Web-based Assessment Invitation Email</w:t>
      </w:r>
    </w:p>
    <w:p w14:paraId="3510E3AC" w14:textId="5DA2B695" w:rsidR="0057190B" w:rsidRPr="0028285B" w:rsidRDefault="0057190B" w:rsidP="008B4795">
      <w:pPr>
        <w:spacing w:line="240" w:lineRule="auto"/>
        <w:ind w:left="360"/>
        <w:rPr>
          <w:rFonts w:ascii="Cambria" w:hAnsi="Cambria"/>
        </w:rPr>
      </w:pPr>
      <w:r w:rsidRPr="0028285B">
        <w:rPr>
          <w:rFonts w:ascii="Cambria" w:hAnsi="Cambria"/>
        </w:rPr>
        <w:t xml:space="preserve">Attachment </w:t>
      </w:r>
      <w:r w:rsidR="00D7252D">
        <w:rPr>
          <w:rFonts w:ascii="Cambria" w:hAnsi="Cambria"/>
        </w:rPr>
        <w:t>G</w:t>
      </w:r>
      <w:r w:rsidRPr="0028285B">
        <w:rPr>
          <w:rFonts w:ascii="Cambria" w:hAnsi="Cambria"/>
        </w:rPr>
        <w:t xml:space="preserve"> – </w:t>
      </w:r>
      <w:r w:rsidR="007B713E" w:rsidRPr="0028285B">
        <w:t>Web-based Assessment Reminder Email</w:t>
      </w:r>
    </w:p>
    <w:p w14:paraId="0162552F" w14:textId="5AB03F93" w:rsidR="0057190B" w:rsidRPr="0028285B" w:rsidRDefault="0057190B" w:rsidP="008B4795">
      <w:pPr>
        <w:spacing w:line="240" w:lineRule="auto"/>
        <w:ind w:left="360"/>
        <w:rPr>
          <w:rFonts w:ascii="Cambria" w:hAnsi="Cambria"/>
        </w:rPr>
      </w:pPr>
      <w:r w:rsidRPr="0028285B">
        <w:rPr>
          <w:rFonts w:ascii="Cambria" w:hAnsi="Cambria"/>
        </w:rPr>
        <w:t xml:space="preserve">Attachment </w:t>
      </w:r>
      <w:r w:rsidR="00D7252D">
        <w:rPr>
          <w:rFonts w:ascii="Cambria" w:hAnsi="Cambria"/>
        </w:rPr>
        <w:t>H</w:t>
      </w:r>
      <w:r w:rsidRPr="0028285B">
        <w:rPr>
          <w:rFonts w:ascii="Cambria" w:hAnsi="Cambria"/>
        </w:rPr>
        <w:t xml:space="preserve"> – </w:t>
      </w:r>
      <w:r w:rsidR="007B713E" w:rsidRPr="0028285B">
        <w:rPr>
          <w:rFonts w:ascii="Cambria" w:hAnsi="Cambria"/>
        </w:rPr>
        <w:t>State-</w:t>
      </w:r>
      <w:r w:rsidR="00003D18" w:rsidRPr="0028285B">
        <w:rPr>
          <w:rFonts w:ascii="Cambria" w:hAnsi="Cambria"/>
        </w:rPr>
        <w:t>l</w:t>
      </w:r>
      <w:r w:rsidR="007B713E" w:rsidRPr="0028285B">
        <w:rPr>
          <w:rFonts w:ascii="Cambria" w:hAnsi="Cambria"/>
        </w:rPr>
        <w:t>evel Phone Interview Invitation Email</w:t>
      </w:r>
    </w:p>
    <w:p w14:paraId="2A4B85A6" w14:textId="4C051508" w:rsidR="00865573" w:rsidRPr="00566832" w:rsidRDefault="007B713E" w:rsidP="007A18A9">
      <w:pPr>
        <w:spacing w:line="240" w:lineRule="auto"/>
        <w:ind w:left="360"/>
        <w:rPr>
          <w:rFonts w:ascii="Cambria" w:hAnsi="Cambria"/>
          <w:b/>
        </w:rPr>
      </w:pPr>
      <w:r w:rsidRPr="0028285B">
        <w:rPr>
          <w:rFonts w:ascii="Cambria" w:hAnsi="Cambria"/>
        </w:rPr>
        <w:t xml:space="preserve">Attachment </w:t>
      </w:r>
      <w:r w:rsidR="00D7252D">
        <w:rPr>
          <w:rFonts w:ascii="Cambria" w:hAnsi="Cambria"/>
        </w:rPr>
        <w:t>I</w:t>
      </w:r>
      <w:r w:rsidRPr="0028285B">
        <w:rPr>
          <w:rFonts w:ascii="Cambria" w:hAnsi="Cambria"/>
        </w:rPr>
        <w:t xml:space="preserve"> – </w:t>
      </w:r>
      <w:r w:rsidR="00003D18" w:rsidRPr="0028285B">
        <w:rPr>
          <w:rFonts w:ascii="Cambria" w:hAnsi="Cambria"/>
        </w:rPr>
        <w:t>State-l</w:t>
      </w:r>
      <w:r w:rsidRPr="0028285B">
        <w:rPr>
          <w:rFonts w:ascii="Cambria" w:hAnsi="Cambria"/>
        </w:rPr>
        <w:t>evel Interview Invitation Phone Script</w:t>
      </w:r>
    </w:p>
    <w:sectPr w:rsidR="00865573" w:rsidRPr="00566832" w:rsidSect="003E5D57">
      <w:headerReference w:type="default" r:id="rId19"/>
      <w:footerReference w:type="defaul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39F9F" w14:textId="77777777" w:rsidR="00230DE4" w:rsidRDefault="00230DE4" w:rsidP="00BC6896">
      <w:r>
        <w:separator/>
      </w:r>
    </w:p>
    <w:p w14:paraId="046F776C" w14:textId="77777777" w:rsidR="00230DE4" w:rsidRDefault="00230DE4" w:rsidP="00BC6896"/>
  </w:endnote>
  <w:endnote w:type="continuationSeparator" w:id="0">
    <w:p w14:paraId="4F634BD6" w14:textId="77777777" w:rsidR="00230DE4" w:rsidRDefault="00230DE4" w:rsidP="00BC6896">
      <w:r>
        <w:continuationSeparator/>
      </w:r>
    </w:p>
    <w:p w14:paraId="2F614110" w14:textId="77777777" w:rsidR="00230DE4" w:rsidRDefault="00230DE4"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7E332D35" w14:textId="4DE44602"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1203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2034">
              <w:rPr>
                <w:b/>
                <w:bCs/>
                <w:noProof/>
              </w:rPr>
              <w:t>2</w:t>
            </w:r>
            <w:r>
              <w:rPr>
                <w:b/>
                <w:bCs/>
                <w:sz w:val="24"/>
                <w:szCs w:val="24"/>
              </w:rPr>
              <w:fldChar w:fldCharType="end"/>
            </w:r>
          </w:p>
        </w:sdtContent>
      </w:sdt>
    </w:sdtContent>
  </w:sdt>
  <w:p w14:paraId="0C5A4D62"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F8EB9" w14:textId="77777777" w:rsidR="00230DE4" w:rsidRDefault="00230DE4" w:rsidP="00BC6896">
      <w:r>
        <w:separator/>
      </w:r>
    </w:p>
    <w:p w14:paraId="52331FD4" w14:textId="77777777" w:rsidR="00230DE4" w:rsidRDefault="00230DE4" w:rsidP="00BC6896"/>
  </w:footnote>
  <w:footnote w:type="continuationSeparator" w:id="0">
    <w:p w14:paraId="056CC2BF" w14:textId="77777777" w:rsidR="00230DE4" w:rsidRDefault="00230DE4" w:rsidP="00BC6896">
      <w:r>
        <w:continuationSeparator/>
      </w:r>
    </w:p>
    <w:p w14:paraId="3877DFE5" w14:textId="77777777" w:rsidR="00230DE4" w:rsidRDefault="00230DE4"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112AD" w14:textId="77777777" w:rsidR="00783A3C" w:rsidRPr="00716F94" w:rsidRDefault="00783A3C" w:rsidP="00BC6896">
    <w:pPr>
      <w:pStyle w:val="Header"/>
      <w:rPr>
        <w:color w:val="0033CC"/>
      </w:rPr>
    </w:pPr>
    <w:r>
      <w:tab/>
    </w:r>
  </w:p>
  <w:p w14:paraId="6EB6443F"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C66D9"/>
    <w:multiLevelType w:val="hybridMultilevel"/>
    <w:tmpl w:val="D9ECC948"/>
    <w:lvl w:ilvl="0" w:tplc="AA32DD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D4EBB"/>
    <w:multiLevelType w:val="hybridMultilevel"/>
    <w:tmpl w:val="3BCEA412"/>
    <w:lvl w:ilvl="0" w:tplc="219A6CC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9"/>
  </w:num>
  <w:num w:numId="3">
    <w:abstractNumId w:val="36"/>
  </w:num>
  <w:num w:numId="4">
    <w:abstractNumId w:val="14"/>
  </w:num>
  <w:num w:numId="5">
    <w:abstractNumId w:val="27"/>
  </w:num>
  <w:num w:numId="6">
    <w:abstractNumId w:val="8"/>
  </w:num>
  <w:num w:numId="7">
    <w:abstractNumId w:val="0"/>
  </w:num>
  <w:num w:numId="8">
    <w:abstractNumId w:val="5"/>
  </w:num>
  <w:num w:numId="9">
    <w:abstractNumId w:val="12"/>
  </w:num>
  <w:num w:numId="10">
    <w:abstractNumId w:val="30"/>
  </w:num>
  <w:num w:numId="11">
    <w:abstractNumId w:val="2"/>
  </w:num>
  <w:num w:numId="12">
    <w:abstractNumId w:val="35"/>
  </w:num>
  <w:num w:numId="13">
    <w:abstractNumId w:val="6"/>
  </w:num>
  <w:num w:numId="14">
    <w:abstractNumId w:val="3"/>
  </w:num>
  <w:num w:numId="15">
    <w:abstractNumId w:val="33"/>
  </w:num>
  <w:num w:numId="16">
    <w:abstractNumId w:val="38"/>
  </w:num>
  <w:num w:numId="17">
    <w:abstractNumId w:val="10"/>
  </w:num>
  <w:num w:numId="18">
    <w:abstractNumId w:val="16"/>
  </w:num>
  <w:num w:numId="19">
    <w:abstractNumId w:val="4"/>
  </w:num>
  <w:num w:numId="20">
    <w:abstractNumId w:val="17"/>
  </w:num>
  <w:num w:numId="21">
    <w:abstractNumId w:val="37"/>
  </w:num>
  <w:num w:numId="22">
    <w:abstractNumId w:val="31"/>
  </w:num>
  <w:num w:numId="23">
    <w:abstractNumId w:val="15"/>
  </w:num>
  <w:num w:numId="24">
    <w:abstractNumId w:val="32"/>
  </w:num>
  <w:num w:numId="25">
    <w:abstractNumId w:val="34"/>
  </w:num>
  <w:num w:numId="26">
    <w:abstractNumId w:val="21"/>
  </w:num>
  <w:num w:numId="27">
    <w:abstractNumId w:val="25"/>
  </w:num>
  <w:num w:numId="28">
    <w:abstractNumId w:val="22"/>
  </w:num>
  <w:num w:numId="29">
    <w:abstractNumId w:val="28"/>
  </w:num>
  <w:num w:numId="30">
    <w:abstractNumId w:val="24"/>
  </w:num>
  <w:num w:numId="31">
    <w:abstractNumId w:val="13"/>
  </w:num>
  <w:num w:numId="32">
    <w:abstractNumId w:val="26"/>
  </w:num>
  <w:num w:numId="33">
    <w:abstractNumId w:val="20"/>
  </w:num>
  <w:num w:numId="34">
    <w:abstractNumId w:val="18"/>
  </w:num>
  <w:num w:numId="35">
    <w:abstractNumId w:val="29"/>
  </w:num>
  <w:num w:numId="36">
    <w:abstractNumId w:val="23"/>
  </w:num>
  <w:num w:numId="37">
    <w:abstractNumId w:val="9"/>
  </w:num>
  <w:num w:numId="38">
    <w:abstractNumId w:val="11"/>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6F5"/>
    <w:rsid w:val="00003D18"/>
    <w:rsid w:val="00010420"/>
    <w:rsid w:val="00011A98"/>
    <w:rsid w:val="00011F8D"/>
    <w:rsid w:val="000130B4"/>
    <w:rsid w:val="00014361"/>
    <w:rsid w:val="00024B65"/>
    <w:rsid w:val="000279A9"/>
    <w:rsid w:val="00030720"/>
    <w:rsid w:val="000474FB"/>
    <w:rsid w:val="00052A34"/>
    <w:rsid w:val="00053A92"/>
    <w:rsid w:val="00054289"/>
    <w:rsid w:val="000557D0"/>
    <w:rsid w:val="0005605E"/>
    <w:rsid w:val="00057F36"/>
    <w:rsid w:val="000A1F30"/>
    <w:rsid w:val="000A3586"/>
    <w:rsid w:val="000A538D"/>
    <w:rsid w:val="000A5C9C"/>
    <w:rsid w:val="000B03D8"/>
    <w:rsid w:val="000B1760"/>
    <w:rsid w:val="000C0381"/>
    <w:rsid w:val="000D6200"/>
    <w:rsid w:val="000D7595"/>
    <w:rsid w:val="000E6577"/>
    <w:rsid w:val="000E7A19"/>
    <w:rsid w:val="000F36A3"/>
    <w:rsid w:val="001030FC"/>
    <w:rsid w:val="00104A1B"/>
    <w:rsid w:val="001177DD"/>
    <w:rsid w:val="001308EB"/>
    <w:rsid w:val="001310CF"/>
    <w:rsid w:val="001412D4"/>
    <w:rsid w:val="00144F64"/>
    <w:rsid w:val="00151567"/>
    <w:rsid w:val="00163E17"/>
    <w:rsid w:val="00166F9E"/>
    <w:rsid w:val="0017141B"/>
    <w:rsid w:val="00175844"/>
    <w:rsid w:val="00176E14"/>
    <w:rsid w:val="00187D5A"/>
    <w:rsid w:val="001960AE"/>
    <w:rsid w:val="001972D7"/>
    <w:rsid w:val="001A28F6"/>
    <w:rsid w:val="001A7D0E"/>
    <w:rsid w:val="001B1EDD"/>
    <w:rsid w:val="001B2831"/>
    <w:rsid w:val="001B706C"/>
    <w:rsid w:val="001C0493"/>
    <w:rsid w:val="001C28AD"/>
    <w:rsid w:val="001C2F3B"/>
    <w:rsid w:val="001D2951"/>
    <w:rsid w:val="001D2AB1"/>
    <w:rsid w:val="001D461D"/>
    <w:rsid w:val="001D7FCB"/>
    <w:rsid w:val="001E2B99"/>
    <w:rsid w:val="001E69B6"/>
    <w:rsid w:val="001F32FC"/>
    <w:rsid w:val="001F4DBB"/>
    <w:rsid w:val="001F501E"/>
    <w:rsid w:val="001F5294"/>
    <w:rsid w:val="001F7C89"/>
    <w:rsid w:val="0020312D"/>
    <w:rsid w:val="0020495F"/>
    <w:rsid w:val="00206E33"/>
    <w:rsid w:val="00210167"/>
    <w:rsid w:val="00210519"/>
    <w:rsid w:val="00210B41"/>
    <w:rsid w:val="0022436B"/>
    <w:rsid w:val="00226384"/>
    <w:rsid w:val="00230238"/>
    <w:rsid w:val="00230CEF"/>
    <w:rsid w:val="00230DE4"/>
    <w:rsid w:val="00237CA1"/>
    <w:rsid w:val="00241B17"/>
    <w:rsid w:val="00241C81"/>
    <w:rsid w:val="00245F1F"/>
    <w:rsid w:val="002514D2"/>
    <w:rsid w:val="00252BF8"/>
    <w:rsid w:val="00256392"/>
    <w:rsid w:val="00257A1C"/>
    <w:rsid w:val="002721C7"/>
    <w:rsid w:val="0027234C"/>
    <w:rsid w:val="00272E03"/>
    <w:rsid w:val="00281795"/>
    <w:rsid w:val="0028285B"/>
    <w:rsid w:val="002850E3"/>
    <w:rsid w:val="00287E2F"/>
    <w:rsid w:val="002955E6"/>
    <w:rsid w:val="002A1948"/>
    <w:rsid w:val="002A329C"/>
    <w:rsid w:val="002B4E65"/>
    <w:rsid w:val="002C0877"/>
    <w:rsid w:val="002C2AE2"/>
    <w:rsid w:val="002D0DCE"/>
    <w:rsid w:val="002E2B10"/>
    <w:rsid w:val="002E2CF3"/>
    <w:rsid w:val="002F1502"/>
    <w:rsid w:val="002F169D"/>
    <w:rsid w:val="002F2069"/>
    <w:rsid w:val="002F3D87"/>
    <w:rsid w:val="002F6F92"/>
    <w:rsid w:val="00303E0D"/>
    <w:rsid w:val="003041AD"/>
    <w:rsid w:val="0031279F"/>
    <w:rsid w:val="00312C12"/>
    <w:rsid w:val="00312D63"/>
    <w:rsid w:val="003161B9"/>
    <w:rsid w:val="00327D05"/>
    <w:rsid w:val="00331DA6"/>
    <w:rsid w:val="00335EBD"/>
    <w:rsid w:val="00336D96"/>
    <w:rsid w:val="00340754"/>
    <w:rsid w:val="003429C3"/>
    <w:rsid w:val="00344F07"/>
    <w:rsid w:val="003469C8"/>
    <w:rsid w:val="00355EA4"/>
    <w:rsid w:val="0036271B"/>
    <w:rsid w:val="003635BE"/>
    <w:rsid w:val="00365C4C"/>
    <w:rsid w:val="00366B5E"/>
    <w:rsid w:val="00372844"/>
    <w:rsid w:val="00383868"/>
    <w:rsid w:val="0038560A"/>
    <w:rsid w:val="003B66F5"/>
    <w:rsid w:val="003C31C9"/>
    <w:rsid w:val="003C3D1C"/>
    <w:rsid w:val="003C4961"/>
    <w:rsid w:val="003C7C5D"/>
    <w:rsid w:val="003D0AD2"/>
    <w:rsid w:val="003D73FE"/>
    <w:rsid w:val="003E1F95"/>
    <w:rsid w:val="003E2C02"/>
    <w:rsid w:val="003E4383"/>
    <w:rsid w:val="003E4E7D"/>
    <w:rsid w:val="003E5D57"/>
    <w:rsid w:val="003E6A5D"/>
    <w:rsid w:val="003F5913"/>
    <w:rsid w:val="00400C2C"/>
    <w:rsid w:val="004024F8"/>
    <w:rsid w:val="0041159A"/>
    <w:rsid w:val="00414772"/>
    <w:rsid w:val="0042604A"/>
    <w:rsid w:val="004305A8"/>
    <w:rsid w:val="0043150B"/>
    <w:rsid w:val="0043417A"/>
    <w:rsid w:val="00436110"/>
    <w:rsid w:val="00443CA0"/>
    <w:rsid w:val="00450E14"/>
    <w:rsid w:val="00462C65"/>
    <w:rsid w:val="004645AF"/>
    <w:rsid w:val="004650D6"/>
    <w:rsid w:val="00467B14"/>
    <w:rsid w:val="00474EDA"/>
    <w:rsid w:val="0047536D"/>
    <w:rsid w:val="004824FA"/>
    <w:rsid w:val="00484011"/>
    <w:rsid w:val="004841F1"/>
    <w:rsid w:val="004861F4"/>
    <w:rsid w:val="00487E55"/>
    <w:rsid w:val="00493204"/>
    <w:rsid w:val="004936EC"/>
    <w:rsid w:val="00497BC1"/>
    <w:rsid w:val="004A1E3A"/>
    <w:rsid w:val="004B1D39"/>
    <w:rsid w:val="004B2E3E"/>
    <w:rsid w:val="004B4EB5"/>
    <w:rsid w:val="004C4AEA"/>
    <w:rsid w:val="004C66BB"/>
    <w:rsid w:val="004D70EE"/>
    <w:rsid w:val="004E003C"/>
    <w:rsid w:val="004E16EB"/>
    <w:rsid w:val="004E51B6"/>
    <w:rsid w:val="004E6665"/>
    <w:rsid w:val="004F634E"/>
    <w:rsid w:val="004F67A8"/>
    <w:rsid w:val="00504818"/>
    <w:rsid w:val="00522A50"/>
    <w:rsid w:val="00527225"/>
    <w:rsid w:val="0053557D"/>
    <w:rsid w:val="005463DE"/>
    <w:rsid w:val="00546DC2"/>
    <w:rsid w:val="005542E8"/>
    <w:rsid w:val="00556630"/>
    <w:rsid w:val="0055686D"/>
    <w:rsid w:val="005632A7"/>
    <w:rsid w:val="00565BBE"/>
    <w:rsid w:val="00566832"/>
    <w:rsid w:val="0057190B"/>
    <w:rsid w:val="00572D0E"/>
    <w:rsid w:val="005800EE"/>
    <w:rsid w:val="005869D6"/>
    <w:rsid w:val="00593E85"/>
    <w:rsid w:val="005A33F6"/>
    <w:rsid w:val="005A59E5"/>
    <w:rsid w:val="005B3D31"/>
    <w:rsid w:val="005B7088"/>
    <w:rsid w:val="005B7440"/>
    <w:rsid w:val="005B7DA1"/>
    <w:rsid w:val="005C6E9D"/>
    <w:rsid w:val="005E2150"/>
    <w:rsid w:val="005E2995"/>
    <w:rsid w:val="005E6E54"/>
    <w:rsid w:val="005F3ADE"/>
    <w:rsid w:val="005F3FEF"/>
    <w:rsid w:val="005F663A"/>
    <w:rsid w:val="00601392"/>
    <w:rsid w:val="006075F6"/>
    <w:rsid w:val="00607F7C"/>
    <w:rsid w:val="006102DA"/>
    <w:rsid w:val="006111D1"/>
    <w:rsid w:val="006161CF"/>
    <w:rsid w:val="00621F93"/>
    <w:rsid w:val="006315A3"/>
    <w:rsid w:val="006379E9"/>
    <w:rsid w:val="00637CC1"/>
    <w:rsid w:val="006466BA"/>
    <w:rsid w:val="006543FE"/>
    <w:rsid w:val="006579A2"/>
    <w:rsid w:val="00667C89"/>
    <w:rsid w:val="006711EE"/>
    <w:rsid w:val="00673099"/>
    <w:rsid w:val="006809BB"/>
    <w:rsid w:val="006809FD"/>
    <w:rsid w:val="00683C7C"/>
    <w:rsid w:val="00687C5F"/>
    <w:rsid w:val="00691031"/>
    <w:rsid w:val="00691D1F"/>
    <w:rsid w:val="0069580C"/>
    <w:rsid w:val="00697BAE"/>
    <w:rsid w:val="006A1662"/>
    <w:rsid w:val="006A63FD"/>
    <w:rsid w:val="006B4AFB"/>
    <w:rsid w:val="006B4DDC"/>
    <w:rsid w:val="006B5E55"/>
    <w:rsid w:val="006C1771"/>
    <w:rsid w:val="006D25A1"/>
    <w:rsid w:val="006D6932"/>
    <w:rsid w:val="006E2B3B"/>
    <w:rsid w:val="006E4BB7"/>
    <w:rsid w:val="006F23AF"/>
    <w:rsid w:val="006F6856"/>
    <w:rsid w:val="0071190E"/>
    <w:rsid w:val="007145D0"/>
    <w:rsid w:val="00716F94"/>
    <w:rsid w:val="007202D5"/>
    <w:rsid w:val="007319A9"/>
    <w:rsid w:val="00732A21"/>
    <w:rsid w:val="00756831"/>
    <w:rsid w:val="00760E12"/>
    <w:rsid w:val="00763CF3"/>
    <w:rsid w:val="00766FD5"/>
    <w:rsid w:val="00772293"/>
    <w:rsid w:val="00782F4D"/>
    <w:rsid w:val="00783A3C"/>
    <w:rsid w:val="00783C75"/>
    <w:rsid w:val="00784619"/>
    <w:rsid w:val="007853FE"/>
    <w:rsid w:val="007860B9"/>
    <w:rsid w:val="0078627B"/>
    <w:rsid w:val="00794E32"/>
    <w:rsid w:val="007A18A9"/>
    <w:rsid w:val="007A5289"/>
    <w:rsid w:val="007B009A"/>
    <w:rsid w:val="007B305A"/>
    <w:rsid w:val="007B713E"/>
    <w:rsid w:val="007C2358"/>
    <w:rsid w:val="007D6196"/>
    <w:rsid w:val="007E3F71"/>
    <w:rsid w:val="007E4CDB"/>
    <w:rsid w:val="007F4373"/>
    <w:rsid w:val="00800993"/>
    <w:rsid w:val="00810FBF"/>
    <w:rsid w:val="00815C7D"/>
    <w:rsid w:val="00817941"/>
    <w:rsid w:val="00822A76"/>
    <w:rsid w:val="008261AB"/>
    <w:rsid w:val="00835CA7"/>
    <w:rsid w:val="008370D4"/>
    <w:rsid w:val="008414AD"/>
    <w:rsid w:val="008428D9"/>
    <w:rsid w:val="00865573"/>
    <w:rsid w:val="008759F6"/>
    <w:rsid w:val="00876B98"/>
    <w:rsid w:val="00881D59"/>
    <w:rsid w:val="00884DB9"/>
    <w:rsid w:val="0088690C"/>
    <w:rsid w:val="0089257E"/>
    <w:rsid w:val="00892D5E"/>
    <w:rsid w:val="0089676F"/>
    <w:rsid w:val="008A048B"/>
    <w:rsid w:val="008A4A4E"/>
    <w:rsid w:val="008B4795"/>
    <w:rsid w:val="008B7ACC"/>
    <w:rsid w:val="008C67D2"/>
    <w:rsid w:val="008E0683"/>
    <w:rsid w:val="00902DD9"/>
    <w:rsid w:val="009108F8"/>
    <w:rsid w:val="00911466"/>
    <w:rsid w:val="00911486"/>
    <w:rsid w:val="009129CA"/>
    <w:rsid w:val="00916516"/>
    <w:rsid w:val="009206B6"/>
    <w:rsid w:val="009263C1"/>
    <w:rsid w:val="00931475"/>
    <w:rsid w:val="00931C02"/>
    <w:rsid w:val="00935FFD"/>
    <w:rsid w:val="00941B4F"/>
    <w:rsid w:val="00943925"/>
    <w:rsid w:val="00947E2E"/>
    <w:rsid w:val="009568DD"/>
    <w:rsid w:val="00963CE3"/>
    <w:rsid w:val="00964F18"/>
    <w:rsid w:val="009659AF"/>
    <w:rsid w:val="00967B92"/>
    <w:rsid w:val="0097039F"/>
    <w:rsid w:val="00974424"/>
    <w:rsid w:val="00974859"/>
    <w:rsid w:val="009759F3"/>
    <w:rsid w:val="00985431"/>
    <w:rsid w:val="0098676B"/>
    <w:rsid w:val="00987F76"/>
    <w:rsid w:val="00990C36"/>
    <w:rsid w:val="00991829"/>
    <w:rsid w:val="00991BF9"/>
    <w:rsid w:val="00993088"/>
    <w:rsid w:val="0099664F"/>
    <w:rsid w:val="00997D5D"/>
    <w:rsid w:val="009A0447"/>
    <w:rsid w:val="009B034F"/>
    <w:rsid w:val="009B15E1"/>
    <w:rsid w:val="009B4A51"/>
    <w:rsid w:val="009C0B4D"/>
    <w:rsid w:val="009C28B1"/>
    <w:rsid w:val="009C61AD"/>
    <w:rsid w:val="009C7CC3"/>
    <w:rsid w:val="009D373D"/>
    <w:rsid w:val="009D6657"/>
    <w:rsid w:val="009D77CD"/>
    <w:rsid w:val="009E1D05"/>
    <w:rsid w:val="009F7283"/>
    <w:rsid w:val="00A0021D"/>
    <w:rsid w:val="00A00C86"/>
    <w:rsid w:val="00A062B8"/>
    <w:rsid w:val="00A07054"/>
    <w:rsid w:val="00A11B0C"/>
    <w:rsid w:val="00A305CE"/>
    <w:rsid w:val="00A33B35"/>
    <w:rsid w:val="00A36419"/>
    <w:rsid w:val="00A37AE0"/>
    <w:rsid w:val="00A51F21"/>
    <w:rsid w:val="00A55942"/>
    <w:rsid w:val="00A578C2"/>
    <w:rsid w:val="00A70EBC"/>
    <w:rsid w:val="00A72652"/>
    <w:rsid w:val="00A75D1C"/>
    <w:rsid w:val="00A809AA"/>
    <w:rsid w:val="00A81BF7"/>
    <w:rsid w:val="00A849B3"/>
    <w:rsid w:val="00A84AAF"/>
    <w:rsid w:val="00A8510D"/>
    <w:rsid w:val="00A86AF3"/>
    <w:rsid w:val="00A90BDC"/>
    <w:rsid w:val="00A95477"/>
    <w:rsid w:val="00A975A9"/>
    <w:rsid w:val="00AA3192"/>
    <w:rsid w:val="00AB3608"/>
    <w:rsid w:val="00AC5C48"/>
    <w:rsid w:val="00AC7804"/>
    <w:rsid w:val="00AD6A5F"/>
    <w:rsid w:val="00AE40C7"/>
    <w:rsid w:val="00AF0CF4"/>
    <w:rsid w:val="00AF2252"/>
    <w:rsid w:val="00B1129F"/>
    <w:rsid w:val="00B11D61"/>
    <w:rsid w:val="00B12F51"/>
    <w:rsid w:val="00B2751E"/>
    <w:rsid w:val="00B3650C"/>
    <w:rsid w:val="00B44AE4"/>
    <w:rsid w:val="00B50A2B"/>
    <w:rsid w:val="00B64BFA"/>
    <w:rsid w:val="00B65C38"/>
    <w:rsid w:val="00B666CC"/>
    <w:rsid w:val="00B75604"/>
    <w:rsid w:val="00B8216F"/>
    <w:rsid w:val="00B853F1"/>
    <w:rsid w:val="00B85DE4"/>
    <w:rsid w:val="00B8656C"/>
    <w:rsid w:val="00B9060A"/>
    <w:rsid w:val="00B91A31"/>
    <w:rsid w:val="00BA6BC2"/>
    <w:rsid w:val="00BA6DB4"/>
    <w:rsid w:val="00BC016A"/>
    <w:rsid w:val="00BC3F3C"/>
    <w:rsid w:val="00BC5BB2"/>
    <w:rsid w:val="00BC6896"/>
    <w:rsid w:val="00BF3F54"/>
    <w:rsid w:val="00C00697"/>
    <w:rsid w:val="00C0376C"/>
    <w:rsid w:val="00C0633E"/>
    <w:rsid w:val="00C06D77"/>
    <w:rsid w:val="00C06E7F"/>
    <w:rsid w:val="00C14BA6"/>
    <w:rsid w:val="00C328B1"/>
    <w:rsid w:val="00C347E7"/>
    <w:rsid w:val="00C3485C"/>
    <w:rsid w:val="00C420D4"/>
    <w:rsid w:val="00C53FA0"/>
    <w:rsid w:val="00C627E4"/>
    <w:rsid w:val="00C71C6A"/>
    <w:rsid w:val="00C84DC3"/>
    <w:rsid w:val="00C97C74"/>
    <w:rsid w:val="00CA2004"/>
    <w:rsid w:val="00CA405D"/>
    <w:rsid w:val="00CA704D"/>
    <w:rsid w:val="00CB334D"/>
    <w:rsid w:val="00CB56D5"/>
    <w:rsid w:val="00CB7A03"/>
    <w:rsid w:val="00CC1078"/>
    <w:rsid w:val="00CD025E"/>
    <w:rsid w:val="00CD0771"/>
    <w:rsid w:val="00CD1EA8"/>
    <w:rsid w:val="00CD74E7"/>
    <w:rsid w:val="00CE780B"/>
    <w:rsid w:val="00CF0CE8"/>
    <w:rsid w:val="00CF5ABD"/>
    <w:rsid w:val="00CF63CE"/>
    <w:rsid w:val="00D00758"/>
    <w:rsid w:val="00D067C1"/>
    <w:rsid w:val="00D13B13"/>
    <w:rsid w:val="00D16E78"/>
    <w:rsid w:val="00D201D3"/>
    <w:rsid w:val="00D24BCF"/>
    <w:rsid w:val="00D26A64"/>
    <w:rsid w:val="00D322FF"/>
    <w:rsid w:val="00D328FA"/>
    <w:rsid w:val="00D33BF9"/>
    <w:rsid w:val="00D4221A"/>
    <w:rsid w:val="00D52B9A"/>
    <w:rsid w:val="00D5367E"/>
    <w:rsid w:val="00D57C7E"/>
    <w:rsid w:val="00D601C3"/>
    <w:rsid w:val="00D6232D"/>
    <w:rsid w:val="00D724CC"/>
    <w:rsid w:val="00D7252D"/>
    <w:rsid w:val="00D7285C"/>
    <w:rsid w:val="00D76901"/>
    <w:rsid w:val="00D77914"/>
    <w:rsid w:val="00D77D27"/>
    <w:rsid w:val="00D861ED"/>
    <w:rsid w:val="00D869C8"/>
    <w:rsid w:val="00D873E0"/>
    <w:rsid w:val="00D94F8B"/>
    <w:rsid w:val="00DA147A"/>
    <w:rsid w:val="00DA3210"/>
    <w:rsid w:val="00DA4EA9"/>
    <w:rsid w:val="00DA5988"/>
    <w:rsid w:val="00DB371B"/>
    <w:rsid w:val="00DC2763"/>
    <w:rsid w:val="00DC317C"/>
    <w:rsid w:val="00DC4FF2"/>
    <w:rsid w:val="00DC79CC"/>
    <w:rsid w:val="00DD1204"/>
    <w:rsid w:val="00DE0792"/>
    <w:rsid w:val="00DE2D45"/>
    <w:rsid w:val="00DF17E0"/>
    <w:rsid w:val="00DF49AE"/>
    <w:rsid w:val="00DF704E"/>
    <w:rsid w:val="00E03F26"/>
    <w:rsid w:val="00E12034"/>
    <w:rsid w:val="00E134F4"/>
    <w:rsid w:val="00E16D08"/>
    <w:rsid w:val="00E23568"/>
    <w:rsid w:val="00E245B5"/>
    <w:rsid w:val="00E24C20"/>
    <w:rsid w:val="00E33BBA"/>
    <w:rsid w:val="00E33E1B"/>
    <w:rsid w:val="00E34D3E"/>
    <w:rsid w:val="00E42F3A"/>
    <w:rsid w:val="00E81C5E"/>
    <w:rsid w:val="00E83B3C"/>
    <w:rsid w:val="00E8736B"/>
    <w:rsid w:val="00E90275"/>
    <w:rsid w:val="00E908FB"/>
    <w:rsid w:val="00E925D4"/>
    <w:rsid w:val="00E95177"/>
    <w:rsid w:val="00E96154"/>
    <w:rsid w:val="00E97226"/>
    <w:rsid w:val="00EB63B3"/>
    <w:rsid w:val="00EC2B07"/>
    <w:rsid w:val="00EC45F0"/>
    <w:rsid w:val="00ED6878"/>
    <w:rsid w:val="00EE240A"/>
    <w:rsid w:val="00EE496D"/>
    <w:rsid w:val="00EF0EC8"/>
    <w:rsid w:val="00EF33CD"/>
    <w:rsid w:val="00F06B90"/>
    <w:rsid w:val="00F12AB6"/>
    <w:rsid w:val="00F2267A"/>
    <w:rsid w:val="00F27049"/>
    <w:rsid w:val="00F300CB"/>
    <w:rsid w:val="00F42C3A"/>
    <w:rsid w:val="00F46933"/>
    <w:rsid w:val="00F52BCC"/>
    <w:rsid w:val="00F5313F"/>
    <w:rsid w:val="00F57581"/>
    <w:rsid w:val="00F725B5"/>
    <w:rsid w:val="00F75ECD"/>
    <w:rsid w:val="00F813EA"/>
    <w:rsid w:val="00F81A48"/>
    <w:rsid w:val="00F864AD"/>
    <w:rsid w:val="00FA2E1C"/>
    <w:rsid w:val="00FA4C2A"/>
    <w:rsid w:val="00FA4E97"/>
    <w:rsid w:val="00FA7C1D"/>
    <w:rsid w:val="00FB1DB3"/>
    <w:rsid w:val="00FB4961"/>
    <w:rsid w:val="00FB70A2"/>
    <w:rsid w:val="00FC5B1F"/>
    <w:rsid w:val="00FD17C9"/>
    <w:rsid w:val="00FD1EF0"/>
    <w:rsid w:val="00FD2A5B"/>
    <w:rsid w:val="00FD632C"/>
    <w:rsid w:val="00FE0E1C"/>
    <w:rsid w:val="00FE2624"/>
    <w:rsid w:val="00FE6A5C"/>
    <w:rsid w:val="00FE6B10"/>
    <w:rsid w:val="00FF291D"/>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91855">
      <w:bodyDiv w:val="1"/>
      <w:marLeft w:val="0"/>
      <w:marRight w:val="0"/>
      <w:marTop w:val="0"/>
      <w:marBottom w:val="0"/>
      <w:divBdr>
        <w:top w:val="none" w:sz="0" w:space="0" w:color="auto"/>
        <w:left w:val="none" w:sz="0" w:space="0" w:color="auto"/>
        <w:bottom w:val="none" w:sz="0" w:space="0" w:color="auto"/>
        <w:right w:val="none" w:sz="0" w:space="0" w:color="auto"/>
      </w:divBdr>
    </w:div>
    <w:div w:id="398943854">
      <w:bodyDiv w:val="1"/>
      <w:marLeft w:val="0"/>
      <w:marRight w:val="0"/>
      <w:marTop w:val="0"/>
      <w:marBottom w:val="0"/>
      <w:divBdr>
        <w:top w:val="none" w:sz="0" w:space="0" w:color="auto"/>
        <w:left w:val="none" w:sz="0" w:space="0" w:color="auto"/>
        <w:bottom w:val="none" w:sz="0" w:space="0" w:color="auto"/>
        <w:right w:val="none" w:sz="0" w:space="0" w:color="auto"/>
      </w:divBdr>
    </w:div>
    <w:div w:id="448941420">
      <w:bodyDiv w:val="1"/>
      <w:marLeft w:val="0"/>
      <w:marRight w:val="0"/>
      <w:marTop w:val="0"/>
      <w:marBottom w:val="0"/>
      <w:divBdr>
        <w:top w:val="none" w:sz="0" w:space="0" w:color="auto"/>
        <w:left w:val="none" w:sz="0" w:space="0" w:color="auto"/>
        <w:bottom w:val="none" w:sz="0" w:space="0" w:color="auto"/>
        <w:right w:val="none" w:sz="0" w:space="0" w:color="auto"/>
      </w:divBdr>
    </w:div>
    <w:div w:id="613830865">
      <w:bodyDiv w:val="1"/>
      <w:marLeft w:val="0"/>
      <w:marRight w:val="0"/>
      <w:marTop w:val="0"/>
      <w:marBottom w:val="0"/>
      <w:divBdr>
        <w:top w:val="none" w:sz="0" w:space="0" w:color="auto"/>
        <w:left w:val="none" w:sz="0" w:space="0" w:color="auto"/>
        <w:bottom w:val="none" w:sz="0" w:space="0" w:color="auto"/>
        <w:right w:val="none" w:sz="0" w:space="0" w:color="auto"/>
      </w:divBdr>
    </w:div>
    <w:div w:id="690649423">
      <w:bodyDiv w:val="1"/>
      <w:marLeft w:val="0"/>
      <w:marRight w:val="0"/>
      <w:marTop w:val="0"/>
      <w:marBottom w:val="0"/>
      <w:divBdr>
        <w:top w:val="none" w:sz="0" w:space="0" w:color="auto"/>
        <w:left w:val="none" w:sz="0" w:space="0" w:color="auto"/>
        <w:bottom w:val="none" w:sz="0" w:space="0" w:color="auto"/>
        <w:right w:val="none" w:sz="0" w:space="0" w:color="auto"/>
      </w:divBdr>
    </w:div>
    <w:div w:id="1017150157">
      <w:bodyDiv w:val="1"/>
      <w:marLeft w:val="0"/>
      <w:marRight w:val="0"/>
      <w:marTop w:val="0"/>
      <w:marBottom w:val="0"/>
      <w:divBdr>
        <w:top w:val="none" w:sz="0" w:space="0" w:color="auto"/>
        <w:left w:val="none" w:sz="0" w:space="0" w:color="auto"/>
        <w:bottom w:val="none" w:sz="0" w:space="0" w:color="auto"/>
        <w:right w:val="none" w:sz="0" w:space="0" w:color="auto"/>
      </w:divBdr>
    </w:div>
    <w:div w:id="133930809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24898097">
      <w:bodyDiv w:val="1"/>
      <w:marLeft w:val="0"/>
      <w:marRight w:val="0"/>
      <w:marTop w:val="0"/>
      <w:marBottom w:val="0"/>
      <w:divBdr>
        <w:top w:val="none" w:sz="0" w:space="0" w:color="auto"/>
        <w:left w:val="none" w:sz="0" w:space="0" w:color="auto"/>
        <w:bottom w:val="none" w:sz="0" w:space="0" w:color="auto"/>
        <w:right w:val="none" w:sz="0" w:space="0" w:color="auto"/>
      </w:divBdr>
    </w:div>
    <w:div w:id="213845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Fpk7@cd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iokoye@hrsa.gov" TargetMode="External"/><Relationship Id="rId2" Type="http://schemas.openxmlformats.org/officeDocument/2006/relationships/customXml" Target="../customXml/item2.xml"/><Relationship Id="rId16" Type="http://schemas.openxmlformats.org/officeDocument/2006/relationships/hyperlink" Target="mailto:pklein@hrs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bh0@cdc.gov"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Michelle.Browne@cms.hh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OSTLTSDOC-727-151</_dlc_DocId>
    <_dlc_DocIdUrl xmlns="b5c0ca00-073d-4463-9985-b654f14791fe">
      <Url>https://esp.cdc.gov/sites/ostlts/pip/osc/_layouts/15/DocIdRedir.aspx?ID=OSTLTSDOC-727-151</Url>
      <Description>OSTLTSDOC-727-151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FF93A-7260-4FFD-9190-F7A6F30673A9}">
  <ds:schemaRefs>
    <ds:schemaRef ds:uri="http://schemas.microsoft.com/sharepoint/v3/contenttype/forms"/>
  </ds:schemaRefs>
</ds:datastoreItem>
</file>

<file path=customXml/itemProps2.xml><?xml version="1.0" encoding="utf-8"?>
<ds:datastoreItem xmlns:ds="http://schemas.openxmlformats.org/officeDocument/2006/customXml" ds:itemID="{3EFA7C4F-F8AE-4E57-9094-45EF34B9F071}">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3.xml><?xml version="1.0" encoding="utf-8"?>
<ds:datastoreItem xmlns:ds="http://schemas.openxmlformats.org/officeDocument/2006/customXml" ds:itemID="{82918466-B439-4265-AD0D-A060C03CF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C3A60-A8DD-42A0-93C9-402BE20F468F}">
  <ds:schemaRefs>
    <ds:schemaRef ds:uri="http://schemas.microsoft.com/sharepoint/events"/>
  </ds:schemaRefs>
</ds:datastoreItem>
</file>

<file path=customXml/itemProps5.xml><?xml version="1.0" encoding="utf-8"?>
<ds:datastoreItem xmlns:ds="http://schemas.openxmlformats.org/officeDocument/2006/customXml" ds:itemID="{6F292D24-0D01-42CC-85D4-0C991E94825F}">
  <ds:schemaRefs>
    <ds:schemaRef ds:uri="http://schemas.microsoft.com/office/2006/metadata/customXsn"/>
  </ds:schemaRefs>
</ds:datastoreItem>
</file>

<file path=customXml/itemProps6.xml><?xml version="1.0" encoding="utf-8"?>
<ds:datastoreItem xmlns:ds="http://schemas.openxmlformats.org/officeDocument/2006/customXml" ds:itemID="{D5992BFA-C63D-44A6-9CF7-5C14AEF15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Wigington, Corinne J. (CDC/OSTLTS/DPHPI)</dc:creator>
  <cp:lastModifiedBy>SYSTEM</cp:lastModifiedBy>
  <cp:revision>2</cp:revision>
  <cp:lastPrinted>2011-06-07T15:53:00Z</cp:lastPrinted>
  <dcterms:created xsi:type="dcterms:W3CDTF">2017-07-31T14:07:00Z</dcterms:created>
  <dcterms:modified xsi:type="dcterms:W3CDTF">2017-07-31T14:07:00Z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adb4e31d-576d-4e53-a22e-4b95d9f1be4c</vt:lpwstr>
  </property>
</Properties>
</file>