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4F1A" w14:textId="77777777" w:rsidR="00716F94" w:rsidRDefault="00716F94" w:rsidP="00BC6896">
      <w:bookmarkStart w:id="0" w:name="_GoBack"/>
      <w:bookmarkEnd w:id="0"/>
    </w:p>
    <w:p w14:paraId="71274F1B" w14:textId="77777777" w:rsidR="009B4A51" w:rsidRDefault="009B4A51" w:rsidP="00BC6896"/>
    <w:p w14:paraId="71274F1C" w14:textId="77777777" w:rsidR="009B4A51" w:rsidRDefault="009B4A51" w:rsidP="00BC6896"/>
    <w:p w14:paraId="71274F1D" w14:textId="77777777" w:rsidR="009B4A51" w:rsidRDefault="009B4A51" w:rsidP="00BC6896"/>
    <w:p w14:paraId="71274F1E" w14:textId="77777777" w:rsidR="009B4A51" w:rsidRDefault="009B4A51" w:rsidP="00BC6896"/>
    <w:p w14:paraId="71274F1F" w14:textId="77777777" w:rsidR="00667C89" w:rsidRDefault="00667C89" w:rsidP="00BC6896"/>
    <w:p w14:paraId="71274F20" w14:textId="77777777" w:rsidR="009B4A51" w:rsidRDefault="009B4A51" w:rsidP="00BC6896"/>
    <w:p w14:paraId="71274F21" w14:textId="77777777" w:rsidR="009B4A51" w:rsidRDefault="009B4A51" w:rsidP="00BC6896"/>
    <w:p w14:paraId="51C13C3C" w14:textId="6E800970" w:rsidR="00E370D5" w:rsidRPr="00D139D8" w:rsidRDefault="0033360A" w:rsidP="00E370D5">
      <w:pPr>
        <w:pStyle w:val="Heading1"/>
      </w:pPr>
      <w:r w:rsidRPr="00D139D8">
        <w:t xml:space="preserve">Assessment </w:t>
      </w:r>
      <w:r w:rsidR="00E370D5" w:rsidRPr="00D139D8">
        <w:t xml:space="preserve">of </w:t>
      </w:r>
      <w:r w:rsidR="00D4627C" w:rsidRPr="00D139D8">
        <w:t>the Tuberculosis</w:t>
      </w:r>
      <w:r w:rsidR="00E370D5" w:rsidRPr="00D139D8">
        <w:t xml:space="preserve"> Laboratory Aggregate Report </w:t>
      </w:r>
    </w:p>
    <w:p w14:paraId="71274F22" w14:textId="5A621491" w:rsidR="00716F94" w:rsidRPr="009D77CD" w:rsidRDefault="00716F94" w:rsidP="00BC6896">
      <w:pPr>
        <w:pStyle w:val="Heading1"/>
        <w:rPr>
          <w:color w:val="0070C0"/>
        </w:rPr>
      </w:pPr>
    </w:p>
    <w:p w14:paraId="71274F23" w14:textId="77777777" w:rsidR="00AA3192" w:rsidRDefault="00AA3192" w:rsidP="00BC6896"/>
    <w:p w14:paraId="71274F24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71274F25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71274F26" w14:textId="77777777" w:rsidR="009B4A51" w:rsidRDefault="009B4A51" w:rsidP="00BC6896"/>
    <w:p w14:paraId="71274F27" w14:textId="77777777" w:rsidR="009B4A51" w:rsidRDefault="009B4A51" w:rsidP="00BC6896"/>
    <w:p w14:paraId="71274F28" w14:textId="77777777" w:rsidR="00AA3192" w:rsidRDefault="00AA3192" w:rsidP="00BC6896"/>
    <w:p w14:paraId="71274F29" w14:textId="77777777" w:rsidR="00AA3192" w:rsidRDefault="00AA3192" w:rsidP="00BC6896"/>
    <w:p w14:paraId="71274F2A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71274F2B" w14:textId="77777777" w:rsidR="009B4A51" w:rsidRDefault="009B4A51" w:rsidP="00BC6896"/>
    <w:p w14:paraId="71274F2C" w14:textId="77777777" w:rsidR="00484011" w:rsidRDefault="00484011" w:rsidP="00BC6896"/>
    <w:p w14:paraId="71274F2D" w14:textId="77777777" w:rsidR="00AA3192" w:rsidRDefault="00AA3192" w:rsidP="00BC6896"/>
    <w:p w14:paraId="71274F2E" w14:textId="77777777" w:rsidR="009B4A51" w:rsidRDefault="009B4A51" w:rsidP="00BC6896"/>
    <w:p w14:paraId="71274F2F" w14:textId="77777777" w:rsidR="009B4A51" w:rsidRDefault="009B4A51" w:rsidP="00BC6896"/>
    <w:p w14:paraId="71274F30" w14:textId="77777777" w:rsidR="00187D5A" w:rsidRDefault="00187D5A" w:rsidP="00BC6896"/>
    <w:p w14:paraId="71274F31" w14:textId="48282C0B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B37794">
        <w:t>September 23</w:t>
      </w:r>
      <w:r w:rsidR="00B37794" w:rsidRPr="00B37794">
        <w:rPr>
          <w:vertAlign w:val="superscript"/>
        </w:rPr>
        <w:t>rd</w:t>
      </w:r>
      <w:r w:rsidR="00B37794">
        <w:t>, 2016</w:t>
      </w:r>
    </w:p>
    <w:p w14:paraId="71274F32" w14:textId="77777777" w:rsidR="009B4A51" w:rsidRDefault="009B4A51" w:rsidP="00BC6896"/>
    <w:p w14:paraId="71274F33" w14:textId="77777777" w:rsidR="009B4A51" w:rsidRDefault="009B4A51" w:rsidP="00BC6896"/>
    <w:p w14:paraId="71274F34" w14:textId="77777777" w:rsidR="009B4A51" w:rsidRDefault="009B4A51" w:rsidP="00BC6896"/>
    <w:p w14:paraId="71274F35" w14:textId="77777777" w:rsidR="00AA3192" w:rsidRDefault="00AA3192" w:rsidP="00BC6896"/>
    <w:p w14:paraId="71274F37" w14:textId="77777777" w:rsidR="009B4A51" w:rsidRDefault="009B4A51" w:rsidP="00BC6896"/>
    <w:p w14:paraId="71274F40" w14:textId="680F5F47" w:rsidR="00F725B5" w:rsidRDefault="00716F94" w:rsidP="00E370D5">
      <w:pPr>
        <w:ind w:left="0"/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42A47182" w14:textId="77777777" w:rsidR="00E370D5" w:rsidRPr="00E370D5" w:rsidRDefault="00E370D5" w:rsidP="00E370D5">
      <w:pPr>
        <w:ind w:left="0"/>
      </w:pPr>
      <w:r w:rsidRPr="00E370D5">
        <w:t>Mitchell Yakrus, MS, MPH</w:t>
      </w:r>
    </w:p>
    <w:p w14:paraId="39A36B48" w14:textId="6147C297" w:rsidR="00E370D5" w:rsidRPr="00E370D5" w:rsidRDefault="00E370D5" w:rsidP="00E370D5">
      <w:pPr>
        <w:ind w:left="0"/>
      </w:pPr>
      <w:r>
        <w:t>M</w:t>
      </w:r>
      <w:r w:rsidRPr="00E370D5">
        <w:t>icrobiologist</w:t>
      </w:r>
    </w:p>
    <w:p w14:paraId="4D5787F1" w14:textId="77777777" w:rsidR="00E370D5" w:rsidRPr="00E370D5" w:rsidRDefault="00D86144" w:rsidP="00E370D5">
      <w:pPr>
        <w:ind w:left="0"/>
      </w:pPr>
      <w:hyperlink r:id="rId13" w:history="1">
        <w:r w:rsidR="00E370D5" w:rsidRPr="00E370D5">
          <w:rPr>
            <w:rStyle w:val="Hyperlink"/>
          </w:rPr>
          <w:t>National Center for HIV/AIDS, Viral Hepatitis, STD, and TB Prevention (NCHHSTP)</w:t>
        </w:r>
      </w:hyperlink>
      <w:r w:rsidR="00E370D5" w:rsidRPr="00E370D5">
        <w:t xml:space="preserve"> </w:t>
      </w:r>
    </w:p>
    <w:p w14:paraId="3206F9C6" w14:textId="77777777" w:rsidR="00E370D5" w:rsidRPr="00E370D5" w:rsidRDefault="00E370D5" w:rsidP="00E370D5">
      <w:pPr>
        <w:ind w:left="0"/>
      </w:pPr>
      <w:r w:rsidRPr="00E370D5">
        <w:t>Division of Tuberculosis Elimination</w:t>
      </w:r>
    </w:p>
    <w:p w14:paraId="50A8F6DF" w14:textId="77777777" w:rsidR="00E370D5" w:rsidRPr="00E370D5" w:rsidRDefault="00E370D5" w:rsidP="00E370D5">
      <w:pPr>
        <w:ind w:left="0"/>
      </w:pPr>
      <w:r w:rsidRPr="00E370D5">
        <w:t>Laboratory Branch</w:t>
      </w:r>
    </w:p>
    <w:p w14:paraId="7D13AFF6" w14:textId="77777777" w:rsidR="00E370D5" w:rsidRPr="00E370D5" w:rsidRDefault="00E370D5" w:rsidP="00E370D5">
      <w:pPr>
        <w:ind w:left="0"/>
      </w:pPr>
      <w:r w:rsidRPr="00E370D5">
        <w:t>1600 Clifton RD, MS F08, Atlanta, GA 30333</w:t>
      </w:r>
    </w:p>
    <w:p w14:paraId="7752603B" w14:textId="77777777" w:rsidR="00E370D5" w:rsidRPr="00E370D5" w:rsidRDefault="00E370D5" w:rsidP="00E370D5">
      <w:pPr>
        <w:ind w:left="0"/>
      </w:pPr>
      <w:r w:rsidRPr="00E370D5">
        <w:t>Phone: 404-639-1288</w:t>
      </w:r>
    </w:p>
    <w:p w14:paraId="2E42BEFB" w14:textId="77777777" w:rsidR="00E370D5" w:rsidRPr="00E370D5" w:rsidRDefault="00E370D5" w:rsidP="00E370D5">
      <w:pPr>
        <w:ind w:left="0"/>
      </w:pPr>
      <w:r w:rsidRPr="00E370D5">
        <w:t>Fax: 404-639-1287</w:t>
      </w:r>
    </w:p>
    <w:p w14:paraId="71274F43" w14:textId="6FB9490D" w:rsidR="00BC6896" w:rsidRDefault="00E370D5" w:rsidP="00E370D5">
      <w:pPr>
        <w:ind w:left="0"/>
        <w:rPr>
          <w:sz w:val="28"/>
        </w:rPr>
      </w:pPr>
      <w:r w:rsidRPr="00E370D5">
        <w:t xml:space="preserve">Email: </w:t>
      </w:r>
      <w:hyperlink r:id="rId14" w:history="1">
        <w:r w:rsidRPr="00E370D5">
          <w:rPr>
            <w:rStyle w:val="Hyperlink"/>
          </w:rPr>
          <w:t>may2@cdc.gov</w:t>
        </w:r>
      </w:hyperlink>
    </w:p>
    <w:p w14:paraId="71274F44" w14:textId="77777777" w:rsidR="00245F1F" w:rsidRDefault="00245F1F" w:rsidP="00BC6896">
      <w:pPr>
        <w:pStyle w:val="Heading3"/>
      </w:pPr>
      <w:bookmarkStart w:id="1" w:name="_Toc413847909"/>
      <w:r>
        <w:lastRenderedPageBreak/>
        <w:t>Table of Contents</w:t>
      </w:r>
      <w:bookmarkEnd w:id="1"/>
    </w:p>
    <w:p w14:paraId="71274F45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71274F46" w14:textId="77777777" w:rsidR="00245F1F" w:rsidRDefault="00D86144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71274F47" w14:textId="77777777" w:rsidR="00245F1F" w:rsidRDefault="00D86144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71274F48" w14:textId="77777777" w:rsidR="00245F1F" w:rsidRDefault="00D86144" w:rsidP="00245F1F">
      <w:pPr>
        <w:pStyle w:val="TOC2"/>
        <w:rPr>
          <w:noProof/>
        </w:rPr>
      </w:pPr>
      <w:hyperlink w:anchor="_Toc413847912" w:history="1">
        <w:r w:rsidR="00245F1F" w:rsidRPr="00017FCA">
          <w:rPr>
            <w:rStyle w:val="Hyperlink"/>
            <w:noProof/>
          </w:rPr>
          <w:t>2.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Procedures for the Collection of Information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_Toc413847912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71274F49" w14:textId="77777777" w:rsidR="00245F1F" w:rsidRDefault="00D86144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1274F4A" w14:textId="77777777" w:rsidR="00245F1F" w:rsidRDefault="00D86144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1274F4B" w14:textId="77777777" w:rsidR="00245F1F" w:rsidRDefault="00D86144" w:rsidP="00245F1F">
      <w:pPr>
        <w:pStyle w:val="TOC2"/>
        <w:rPr>
          <w:noProof/>
        </w:rPr>
      </w:pPr>
      <w:hyperlink w:anchor="_Toc413847915" w:history="1">
        <w:r w:rsidR="00245F1F" w:rsidRPr="00017FCA">
          <w:rPr>
            <w:rStyle w:val="Hyperlink"/>
            <w:noProof/>
          </w:rPr>
          <w:t>5.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245F1F">
          <w:rPr>
            <w:rStyle w:val="Hyperlink"/>
            <w:noProof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_Toc413847915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1274F4C" w14:textId="77777777" w:rsidR="00245F1F" w:rsidRDefault="00D86144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17FCA">
          <w:rPr>
            <w:rStyle w:val="Hyperlink"/>
            <w:noProof/>
          </w:rPr>
          <w:t>LIST OF ATTACHMENTS – Section B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_Toc413847916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796FA3">
          <w:rPr>
            <w:noProof/>
            <w:webHidden/>
          </w:rPr>
          <w:t>5</w:t>
        </w:r>
        <w:r w:rsidR="00245F1F">
          <w:rPr>
            <w:noProof/>
            <w:webHidden/>
          </w:rPr>
          <w:fldChar w:fldCharType="end"/>
        </w:r>
      </w:hyperlink>
    </w:p>
    <w:p w14:paraId="71274F4D" w14:textId="77777777" w:rsidR="00245F1F" w:rsidRDefault="00245F1F" w:rsidP="00BC6896">
      <w:pPr>
        <w:pStyle w:val="Heading3"/>
      </w:pPr>
      <w:r>
        <w:fldChar w:fldCharType="end"/>
      </w:r>
    </w:p>
    <w:p w14:paraId="71274F4E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71274F4F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71274F50" w14:textId="77777777" w:rsidR="00287E2F" w:rsidRDefault="00287E2F" w:rsidP="00BC6896"/>
    <w:p w14:paraId="71274F51" w14:textId="77777777" w:rsidR="00A75D1C" w:rsidRDefault="009759F3" w:rsidP="00991BF9">
      <w:pPr>
        <w:pStyle w:val="Heading4"/>
      </w:pPr>
      <w:bookmarkStart w:id="3" w:name="_Toc413847911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3"/>
      <w:r w:rsidR="00A305CE" w:rsidRPr="00BC6896">
        <w:t xml:space="preserve"> </w:t>
      </w:r>
    </w:p>
    <w:p w14:paraId="3D2DD38D" w14:textId="0E52E1D4" w:rsidR="0084391D" w:rsidRDefault="00D139D8" w:rsidP="0084391D">
      <w:pPr>
        <w:spacing w:after="200"/>
        <w:ind w:left="0"/>
      </w:pPr>
      <w:r w:rsidRPr="00E81A62">
        <w:t xml:space="preserve">The respondent universe for this </w:t>
      </w:r>
      <w:r>
        <w:t>information</w:t>
      </w:r>
      <w:r w:rsidRPr="00E81A62">
        <w:t xml:space="preserve"> aligns with that of the O2C2. </w:t>
      </w:r>
      <w:r w:rsidR="0084391D">
        <w:t>Information</w:t>
      </w:r>
      <w:r w:rsidR="0084391D" w:rsidRPr="00E81A62">
        <w:t xml:space="preserve"> will be collected from</w:t>
      </w:r>
      <w:r w:rsidR="0084391D">
        <w:t xml:space="preserve"> 58</w:t>
      </w:r>
      <w:r w:rsidR="0084391D" w:rsidRPr="00E81A62">
        <w:t xml:space="preserve"> </w:t>
      </w:r>
      <w:r w:rsidR="0084391D">
        <w:t xml:space="preserve">(50 states, 7 cities, and Puerto Rico) </w:t>
      </w:r>
      <w:r w:rsidR="00DD5865">
        <w:t>s</w:t>
      </w:r>
      <w:r w:rsidR="0084391D" w:rsidRPr="00E81A62">
        <w:t>tate</w:t>
      </w:r>
      <w:r w:rsidR="00BE233B">
        <w:t>,</w:t>
      </w:r>
      <w:r w:rsidR="0084391D" w:rsidRPr="00E81A62">
        <w:t xml:space="preserve"> local</w:t>
      </w:r>
      <w:r w:rsidR="00BE233B">
        <w:t>, and territorial</w:t>
      </w:r>
      <w:r w:rsidR="0084391D" w:rsidRPr="00E81A62">
        <w:t xml:space="preserve"> </w:t>
      </w:r>
      <w:r w:rsidR="00BE233B">
        <w:t xml:space="preserve">Tuberculosis (TB) </w:t>
      </w:r>
      <w:r w:rsidR="0084391D">
        <w:t>P</w:t>
      </w:r>
      <w:r w:rsidR="0084391D" w:rsidRPr="00E81A62">
        <w:t>ublic</w:t>
      </w:r>
      <w:r w:rsidR="0084391D">
        <w:t xml:space="preserve"> H</w:t>
      </w:r>
      <w:r w:rsidR="0084391D" w:rsidRPr="00E81A62">
        <w:t xml:space="preserve">ealth </w:t>
      </w:r>
      <w:r w:rsidR="0084391D">
        <w:t>L</w:t>
      </w:r>
      <w:r w:rsidR="0084391D" w:rsidRPr="00E81A62">
        <w:t>aborator</w:t>
      </w:r>
      <w:r w:rsidR="00BE233B">
        <w:t>ies</w:t>
      </w:r>
      <w:r w:rsidR="0084391D" w:rsidRPr="00E81A62">
        <w:t xml:space="preserve"> </w:t>
      </w:r>
      <w:r w:rsidR="00F517C3">
        <w:t>(PHL)</w:t>
      </w:r>
      <w:r w:rsidR="0084391D">
        <w:t xml:space="preserve">, funded under the </w:t>
      </w:r>
      <w:r w:rsidR="0084391D" w:rsidRPr="00676670">
        <w:t>C</w:t>
      </w:r>
      <w:r w:rsidR="0084391D">
        <w:t xml:space="preserve">enters for Disease Control and Prevention (CDC) </w:t>
      </w:r>
      <w:r w:rsidR="0084391D" w:rsidRPr="005C4FFD">
        <w:t xml:space="preserve">Division of Tuberculosis Elimination (DTBE) </w:t>
      </w:r>
      <w:r w:rsidR="0084391D">
        <w:t>Tuberculosis Elimination and Laboratory Strengthening C</w:t>
      </w:r>
      <w:r w:rsidR="0084391D" w:rsidRPr="00676670">
        <w:t xml:space="preserve">ooperative </w:t>
      </w:r>
      <w:r w:rsidR="0084391D">
        <w:t>A</w:t>
      </w:r>
      <w:r w:rsidR="0084391D" w:rsidRPr="00676670">
        <w:t>greement</w:t>
      </w:r>
      <w:r w:rsidR="0084391D">
        <w:t>,</w:t>
      </w:r>
      <w:r w:rsidR="0084391D" w:rsidRPr="00E81A62">
        <w:t>.</w:t>
      </w:r>
      <w:r w:rsidR="0084391D" w:rsidRPr="004A07EF">
        <w:t xml:space="preserve"> </w:t>
      </w:r>
      <w:r w:rsidR="0084391D">
        <w:t xml:space="preserve">A listing of these laboratories can be found in </w:t>
      </w:r>
      <w:r w:rsidR="0084391D" w:rsidRPr="00A82E58">
        <w:rPr>
          <w:b/>
        </w:rPr>
        <w:t>A</w:t>
      </w:r>
      <w:r w:rsidR="0084391D">
        <w:rPr>
          <w:b/>
        </w:rPr>
        <w:t>ttachment</w:t>
      </w:r>
      <w:r w:rsidR="0084391D" w:rsidRPr="00A82E58">
        <w:rPr>
          <w:b/>
        </w:rPr>
        <w:t xml:space="preserve"> A</w:t>
      </w:r>
      <w:r w:rsidR="0084391D" w:rsidRPr="00A468A3">
        <w:rPr>
          <w:rFonts w:cs="Arial"/>
        </w:rPr>
        <w:t>–</w:t>
      </w:r>
      <w:r w:rsidR="0084391D">
        <w:rPr>
          <w:b/>
        </w:rPr>
        <w:t>Public Health Laboratories.</w:t>
      </w:r>
      <w:r w:rsidR="0046380F">
        <w:rPr>
          <w:b/>
        </w:rPr>
        <w:t xml:space="preserve"> </w:t>
      </w:r>
      <w:r w:rsidR="0046380F">
        <w:t xml:space="preserve">Participants from the selected states and territories will consist of </w:t>
      </w:r>
      <w:r w:rsidR="00BE233B">
        <w:t>TB PHL</w:t>
      </w:r>
      <w:r w:rsidR="0046380F">
        <w:t xml:space="preserve"> Supervisors, or their designee, </w:t>
      </w:r>
      <w:r w:rsidR="0046380F" w:rsidRPr="006026DA">
        <w:t>acting in their official capacities.</w:t>
      </w:r>
    </w:p>
    <w:p w14:paraId="591D29C4" w14:textId="1C082F89" w:rsidR="002B2CBB" w:rsidRDefault="00DD5865" w:rsidP="0084391D">
      <w:pPr>
        <w:ind w:left="0"/>
      </w:pPr>
      <w:r>
        <w:t xml:space="preserve">Participants were selected based upon the fact that </w:t>
      </w:r>
      <w:r w:rsidRPr="006026DA">
        <w:t xml:space="preserve">they are the primary recipients of federal funding for </w:t>
      </w:r>
      <w:r>
        <w:t>TB elimination</w:t>
      </w:r>
      <w:r w:rsidRPr="006026DA">
        <w:t xml:space="preserve"> in the US</w:t>
      </w:r>
      <w:r w:rsidR="00736D98">
        <w:t xml:space="preserve">, </w:t>
      </w:r>
      <w:r w:rsidR="00B7384A">
        <w:t>are recipients of th</w:t>
      </w:r>
      <w:r w:rsidR="00B7384A" w:rsidRPr="00B7384A">
        <w:t>e CDC Division of Tuberculosis Elimination’s Tuberculosis Laboratory Aggregate Report</w:t>
      </w:r>
      <w:r w:rsidRPr="006026DA">
        <w:t xml:space="preserve"> </w:t>
      </w:r>
      <w:r w:rsidR="00B7384A">
        <w:t>and</w:t>
      </w:r>
      <w:r w:rsidRPr="006026DA">
        <w:t>, therefore</w:t>
      </w:r>
      <w:r w:rsidR="00736D98">
        <w:t xml:space="preserve"> are</w:t>
      </w:r>
      <w:r w:rsidRPr="006026DA">
        <w:t xml:space="preserve"> the most knowledgeable about the information being collected in this assessment. </w:t>
      </w:r>
      <w:r w:rsidR="005C4FFD" w:rsidRPr="005C4FFD">
        <w:t xml:space="preserve">Due to the limited size of the potential respondent universe, </w:t>
      </w:r>
      <w:r w:rsidR="002B2CBB">
        <w:t>CDC will</w:t>
      </w:r>
      <w:r w:rsidR="005C4FFD" w:rsidRPr="005C4FFD">
        <w:t xml:space="preserve"> </w:t>
      </w:r>
      <w:r w:rsidR="002B2CBB">
        <w:t>invite</w:t>
      </w:r>
      <w:r w:rsidR="002B2CBB" w:rsidRPr="005C4FFD">
        <w:t xml:space="preserve"> </w:t>
      </w:r>
      <w:r w:rsidR="005C4FFD" w:rsidRPr="005C4FFD">
        <w:t xml:space="preserve">all </w:t>
      </w:r>
      <w:r w:rsidR="00B8230B">
        <w:t>58</w:t>
      </w:r>
      <w:r w:rsidR="002B2CBB">
        <w:t xml:space="preserve"> grantees to participate in this assessment. </w:t>
      </w:r>
      <w:r w:rsidR="00FF0EE8">
        <w:t>Therefore, no sampling will be conducted.</w:t>
      </w:r>
      <w:r w:rsidR="00AF5896">
        <w:t xml:space="preserve"> If any of the supervisors invited to participate are unable or unwilling to complete the assessment within the designated survey period, they will be allowed to </w:t>
      </w:r>
      <w:r w:rsidR="00300932">
        <w:t>designate a staff member to respond in their stead.</w:t>
      </w:r>
    </w:p>
    <w:p w14:paraId="572FF932" w14:textId="77777777" w:rsidR="002B2CBB" w:rsidRDefault="002B2CBB" w:rsidP="0084391D">
      <w:pPr>
        <w:ind w:left="0"/>
      </w:pPr>
    </w:p>
    <w:p w14:paraId="2B7A0273" w14:textId="02A25C2C" w:rsidR="00AE7446" w:rsidRPr="00AE7446" w:rsidRDefault="002B2CBB" w:rsidP="0084391D">
      <w:pPr>
        <w:ind w:left="0"/>
      </w:pPr>
      <w:r>
        <w:t>W</w:t>
      </w:r>
      <w:r w:rsidR="00AE7446" w:rsidRPr="00AE7446">
        <w:t xml:space="preserve">e anticipate a response rate of 80% or higher for this </w:t>
      </w:r>
      <w:r w:rsidR="00FF0EE8">
        <w:t>information</w:t>
      </w:r>
      <w:r w:rsidR="00FF0EE8" w:rsidRPr="00AE7446">
        <w:t xml:space="preserve"> </w:t>
      </w:r>
      <w:r w:rsidR="00AE7446" w:rsidRPr="00AE7446">
        <w:t>collection.</w:t>
      </w:r>
      <w:r w:rsidR="00484496">
        <w:t xml:space="preserve"> Should any of the 58 TB</w:t>
      </w:r>
      <w:r w:rsidR="00F517C3">
        <w:t xml:space="preserve"> PHL</w:t>
      </w:r>
      <w:r w:rsidR="00484496">
        <w:t xml:space="preserve"> supervisors not respond to the email, they will receive a reminder </w:t>
      </w:r>
      <w:r>
        <w:t>email (</w:t>
      </w:r>
      <w:r w:rsidRPr="00576930">
        <w:rPr>
          <w:b/>
        </w:rPr>
        <w:t xml:space="preserve">see Attachment </w:t>
      </w:r>
      <w:r>
        <w:rPr>
          <w:b/>
        </w:rPr>
        <w:t>E</w:t>
      </w:r>
      <w:r w:rsidRPr="00576930">
        <w:rPr>
          <w:b/>
        </w:rPr>
        <w:t>—Reminder Email</w:t>
      </w:r>
      <w:r>
        <w:t xml:space="preserve">) urging them to complete the assessment. </w:t>
      </w:r>
    </w:p>
    <w:p w14:paraId="71274F53" w14:textId="77777777" w:rsidR="00F52BCC" w:rsidRDefault="00F52BCC" w:rsidP="00991BF9">
      <w:pPr>
        <w:ind w:left="360"/>
      </w:pPr>
    </w:p>
    <w:p w14:paraId="71274F54" w14:textId="77777777" w:rsidR="00287E2F" w:rsidRPr="009759F3" w:rsidRDefault="00287E2F" w:rsidP="00991BF9">
      <w:pPr>
        <w:pStyle w:val="Heading4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71274F55" w14:textId="7568FD9A" w:rsidR="00991BF9" w:rsidRPr="009011A8" w:rsidRDefault="00991BF9" w:rsidP="00991BF9">
      <w:pPr>
        <w:ind w:left="0"/>
      </w:pPr>
      <w:r>
        <w:t>D</w:t>
      </w:r>
      <w:r w:rsidRPr="003163A2">
        <w:t xml:space="preserve">ata will be collected through a one-time web-based </w:t>
      </w:r>
      <w:r>
        <w:t>assessment</w:t>
      </w:r>
      <w:r w:rsidRPr="003163A2">
        <w:t xml:space="preserve"> and</w:t>
      </w:r>
      <w:r>
        <w:t xml:space="preserve"> respondents</w:t>
      </w:r>
      <w:r w:rsidRPr="003163A2">
        <w:t xml:space="preserve"> will be recruited through a</w:t>
      </w:r>
      <w:r>
        <w:t xml:space="preserve"> notification </w:t>
      </w:r>
      <w:r w:rsidRPr="003163A2">
        <w:t>email</w:t>
      </w:r>
      <w:r w:rsidR="00484496">
        <w:t xml:space="preserve"> </w:t>
      </w:r>
      <w:r w:rsidR="00484496" w:rsidRPr="009011A8">
        <w:t xml:space="preserve">(see </w:t>
      </w:r>
      <w:r w:rsidR="00484496" w:rsidRPr="009011A8">
        <w:rPr>
          <w:b/>
        </w:rPr>
        <w:t xml:space="preserve">Attachment </w:t>
      </w:r>
      <w:r w:rsidR="00484496">
        <w:rPr>
          <w:b/>
        </w:rPr>
        <w:t>D—</w:t>
      </w:r>
      <w:r w:rsidR="00484496" w:rsidRPr="009011A8">
        <w:rPr>
          <w:b/>
        </w:rPr>
        <w:t>Notification Email</w:t>
      </w:r>
      <w:r w:rsidR="00484496" w:rsidRPr="009011A8">
        <w:t>)</w:t>
      </w:r>
      <w:r w:rsidRPr="003163A2">
        <w:t xml:space="preserve"> </w:t>
      </w:r>
      <w:r w:rsidR="00484496">
        <w:t xml:space="preserve">sent by CDC </w:t>
      </w:r>
      <w:r>
        <w:t>to the</w:t>
      </w:r>
      <w:r w:rsidR="00736D98">
        <w:t xml:space="preserve"> 58</w:t>
      </w:r>
      <w:r>
        <w:t xml:space="preserve"> </w:t>
      </w:r>
      <w:r w:rsidR="00F517C3">
        <w:t xml:space="preserve">TB </w:t>
      </w:r>
      <w:r w:rsidR="00484496">
        <w:t>PHL supervisors</w:t>
      </w:r>
      <w:r w:rsidRPr="009011A8">
        <w:t xml:space="preserve">.  The notification email will explain: </w:t>
      </w:r>
    </w:p>
    <w:p w14:paraId="71274F56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71274F57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71274F58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5B683F84" w14:textId="43AA7A4F" w:rsidR="00F517C3" w:rsidRPr="009011A8" w:rsidRDefault="00F517C3" w:rsidP="00991BF9">
      <w:pPr>
        <w:pStyle w:val="ListParagraph"/>
        <w:numPr>
          <w:ilvl w:val="0"/>
          <w:numId w:val="24"/>
        </w:numPr>
        <w:ind w:left="720"/>
      </w:pPr>
      <w:r>
        <w:t>That they may select an appropriate designee to complete the assessment on their behalf should they not be available to do so</w:t>
      </w:r>
    </w:p>
    <w:p w14:paraId="71274F59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</w:p>
    <w:p w14:paraId="71274F5A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71274F5B" w14:textId="77777777" w:rsidR="00991BF9" w:rsidRDefault="00991BF9" w:rsidP="00991BF9">
      <w:pPr>
        <w:pStyle w:val="ListParagraph"/>
        <w:ind w:left="0"/>
      </w:pPr>
    </w:p>
    <w:p w14:paraId="02FBB269" w14:textId="019DAEFE" w:rsidR="003514CF" w:rsidRPr="009011A8" w:rsidRDefault="00991BF9" w:rsidP="00991BF9">
      <w:pPr>
        <w:ind w:left="0"/>
      </w:pPr>
      <w:r>
        <w:t>The email will also state i</w:t>
      </w:r>
      <w:r w:rsidRPr="009011A8">
        <w:t xml:space="preserve">nstructions for participating and a link to </w:t>
      </w:r>
      <w:r w:rsidR="0070494A">
        <w:t>t</w:t>
      </w:r>
      <w:r w:rsidRPr="009011A8">
        <w:t>he</w:t>
      </w:r>
      <w:r w:rsidR="0070494A">
        <w:t xml:space="preserve"> “Tuberculosis Laboratory Aggregate Report </w:t>
      </w:r>
      <w:r w:rsidR="00C610BF">
        <w:t>Assessment</w:t>
      </w:r>
      <w:r w:rsidR="0070494A">
        <w:t xml:space="preserve">” which will be used as the </w:t>
      </w:r>
      <w:r w:rsidR="001E3E3C">
        <w:t xml:space="preserve">information </w:t>
      </w:r>
      <w:r w:rsidR="0070494A">
        <w:t xml:space="preserve">collection </w:t>
      </w:r>
      <w:r w:rsidR="001E3E3C">
        <w:t>instrument</w:t>
      </w:r>
      <w:r w:rsidR="0070494A">
        <w:t xml:space="preserve">. </w:t>
      </w:r>
      <w:r w:rsidR="001E3E3C">
        <w:t xml:space="preserve"> </w:t>
      </w:r>
      <w:r w:rsidR="003514CF">
        <w:rPr>
          <w:bCs/>
        </w:rPr>
        <w:t>Th</w:t>
      </w:r>
      <w:r w:rsidR="003514CF" w:rsidRPr="00643052">
        <w:rPr>
          <w:bCs/>
        </w:rPr>
        <w:t xml:space="preserve">e </w:t>
      </w:r>
      <w:r w:rsidR="001E3E3C">
        <w:rPr>
          <w:bCs/>
        </w:rPr>
        <w:t>information</w:t>
      </w:r>
      <w:r w:rsidR="003514CF" w:rsidRPr="00643052">
        <w:t xml:space="preserve"> collection instrument will be distributed using </w:t>
      </w:r>
      <w:proofErr w:type="spellStart"/>
      <w:r w:rsidR="003514CF" w:rsidRPr="00643052">
        <w:t>Formstack</w:t>
      </w:r>
      <w:proofErr w:type="spellEnd"/>
      <w:r w:rsidR="003514CF" w:rsidRPr="00643052">
        <w:t>® software</w:t>
      </w:r>
      <w:r w:rsidR="003514CF">
        <w:t xml:space="preserve">. </w:t>
      </w:r>
    </w:p>
    <w:p w14:paraId="71274F5D" w14:textId="77777777" w:rsidR="00991BF9" w:rsidRDefault="00991BF9" w:rsidP="00991BF9">
      <w:pPr>
        <w:tabs>
          <w:tab w:val="left" w:pos="-1440"/>
          <w:tab w:val="left" w:pos="-720"/>
        </w:tabs>
        <w:autoSpaceDE w:val="0"/>
        <w:autoSpaceDN w:val="0"/>
        <w:adjustRightInd w:val="0"/>
        <w:spacing w:line="240" w:lineRule="auto"/>
        <w:ind w:left="0" w:right="720"/>
        <w:rPr>
          <w:rFonts w:cs="Arial"/>
          <w:szCs w:val="24"/>
        </w:rPr>
      </w:pPr>
    </w:p>
    <w:p w14:paraId="3C8365FB" w14:textId="10D8D8B1" w:rsidR="007F7991" w:rsidRDefault="00991BF9" w:rsidP="00991BF9">
      <w:pPr>
        <w:ind w:left="0"/>
      </w:pPr>
      <w:r w:rsidRPr="00576930">
        <w:t xml:space="preserve">Respondents will be asked </w:t>
      </w:r>
      <w:r w:rsidR="00ED517B">
        <w:t>to complete</w:t>
      </w:r>
      <w:r w:rsidRPr="00576930">
        <w:t xml:space="preserve"> their response to the instrument within</w:t>
      </w:r>
      <w:r w:rsidRPr="009D77CD">
        <w:t xml:space="preserve"> a </w:t>
      </w:r>
      <w:r w:rsidR="0071078A">
        <w:t>3</w:t>
      </w:r>
      <w:r w:rsidRPr="009D77CD">
        <w:rPr>
          <w:color w:val="0070C0"/>
        </w:rPr>
        <w:t>-</w:t>
      </w:r>
      <w:r>
        <w:t xml:space="preserve">week period </w:t>
      </w:r>
      <w:r w:rsidRPr="009011A8">
        <w:t xml:space="preserve">to allow ample time </w:t>
      </w:r>
      <w:r w:rsidR="00ED517B">
        <w:t xml:space="preserve">for </w:t>
      </w:r>
      <w:r w:rsidRPr="009011A8">
        <w:t>complet</w:t>
      </w:r>
      <w:r w:rsidR="00ED517B">
        <w:t>ion</w:t>
      </w:r>
      <w:r w:rsidRPr="009011A8">
        <w:t xml:space="preserve">. </w:t>
      </w:r>
      <w:r w:rsidR="001E3E3C">
        <w:t>Following the notification email, PHL TB supervisors</w:t>
      </w:r>
      <w:r w:rsidR="00F562B6">
        <w:t xml:space="preserve"> or their </w:t>
      </w:r>
      <w:r w:rsidR="00F562B6">
        <w:lastRenderedPageBreak/>
        <w:t>designees</w:t>
      </w:r>
      <w:r w:rsidR="001E3E3C">
        <w:t xml:space="preserve"> who do not respond within 2 weeks will receive a r</w:t>
      </w:r>
      <w:r w:rsidRPr="009011A8">
        <w:t>eminder</w:t>
      </w:r>
      <w:r w:rsidR="00451D7C">
        <w:t xml:space="preserve"> email (</w:t>
      </w:r>
      <w:r w:rsidR="00451D7C" w:rsidRPr="00576930">
        <w:rPr>
          <w:b/>
        </w:rPr>
        <w:t xml:space="preserve">see Attachment </w:t>
      </w:r>
      <w:r w:rsidR="00451D7C">
        <w:rPr>
          <w:b/>
        </w:rPr>
        <w:t>E</w:t>
      </w:r>
      <w:r w:rsidR="00451D7C" w:rsidRPr="00576930">
        <w:rPr>
          <w:b/>
        </w:rPr>
        <w:t>—Reminder Email</w:t>
      </w:r>
      <w:r w:rsidR="00451D7C">
        <w:t>) urging th</w:t>
      </w:r>
      <w:r w:rsidR="00AF5896">
        <w:t xml:space="preserve">em to complete the assessment. </w:t>
      </w:r>
      <w:r w:rsidR="00451D7C">
        <w:t xml:space="preserve">Those who do not respond to the reminder email within 1 week, or the end of the 3-week </w:t>
      </w:r>
      <w:r w:rsidR="00BF05B3">
        <w:t>information collection</w:t>
      </w:r>
      <w:r w:rsidR="00451D7C">
        <w:t xml:space="preserve"> period, will be considered non-responders. </w:t>
      </w:r>
    </w:p>
    <w:p w14:paraId="15B80179" w14:textId="77777777" w:rsidR="007F7991" w:rsidRDefault="007F7991" w:rsidP="00991BF9">
      <w:pPr>
        <w:ind w:left="0"/>
      </w:pPr>
    </w:p>
    <w:p w14:paraId="71274F60" w14:textId="2302A52F" w:rsidR="00991BF9" w:rsidRPr="00F315F8" w:rsidRDefault="00E174E7" w:rsidP="00991BF9">
      <w:pPr>
        <w:ind w:left="0"/>
      </w:pPr>
      <w:r>
        <w:t xml:space="preserve">Once the 3-week </w:t>
      </w:r>
      <w:r w:rsidR="00BF05B3">
        <w:t xml:space="preserve">information collection </w:t>
      </w:r>
      <w:r>
        <w:t>period has closed</w:t>
      </w:r>
      <w:r w:rsidR="002F3431">
        <w:t>, results</w:t>
      </w:r>
      <w:r w:rsidR="00991BF9" w:rsidRPr="00546099">
        <w:t xml:space="preserve"> from the web-based instrument will be downloaded</w:t>
      </w:r>
      <w:r w:rsidR="00944CCE">
        <w:t xml:space="preserve"> and exported to an Excel spreadsheet</w:t>
      </w:r>
      <w:r w:rsidR="00792B69">
        <w:t xml:space="preserve"> and saved to a secure database, maintained by CDC,</w:t>
      </w:r>
      <w:r w:rsidR="00944CCE">
        <w:t xml:space="preserve"> for initial analysis and cleaning. </w:t>
      </w:r>
      <w:r w:rsidR="00BD521C">
        <w:t>Quantitative data</w:t>
      </w:r>
      <w:r w:rsidR="00944CCE">
        <w:t xml:space="preserve"> </w:t>
      </w:r>
      <w:r w:rsidR="00991BF9" w:rsidRPr="00546099">
        <w:t>analy</w:t>
      </w:r>
      <w:r w:rsidR="009C4D8C">
        <w:t>sis and descriptive statistics will be a</w:t>
      </w:r>
      <w:r w:rsidR="00BD521C">
        <w:t>chieved</w:t>
      </w:r>
      <w:r w:rsidR="009C4D8C">
        <w:t xml:space="preserve"> through</w:t>
      </w:r>
      <w:r w:rsidR="00991BF9" w:rsidRPr="00546099">
        <w:t xml:space="preserve"> in</w:t>
      </w:r>
      <w:r w:rsidR="009C4D8C">
        <w:t>put into SPSS according to variables aligned with response choices.</w:t>
      </w:r>
      <w:r w:rsidR="00991BF9">
        <w:t xml:space="preserve"> </w:t>
      </w:r>
      <w:r w:rsidR="00991BF9" w:rsidRPr="009D77CD">
        <w:rPr>
          <w:color w:val="0070C0"/>
        </w:rPr>
        <w:t xml:space="preserve"> </w:t>
      </w:r>
      <w:r w:rsidR="00F315F8" w:rsidRPr="00F315F8">
        <w:t xml:space="preserve">Qualitative analysis </w:t>
      </w:r>
      <w:r w:rsidR="00F315F8">
        <w:t>of</w:t>
      </w:r>
      <w:r w:rsidR="00F315F8" w:rsidRPr="00F315F8">
        <w:t xml:space="preserve"> o</w:t>
      </w:r>
      <w:r w:rsidR="00BD521C" w:rsidRPr="00F315F8">
        <w:t>pen-ended responses</w:t>
      </w:r>
      <w:r w:rsidR="00991BF9" w:rsidRPr="00F315F8">
        <w:t xml:space="preserve"> </w:t>
      </w:r>
      <w:r w:rsidR="00F315F8">
        <w:t xml:space="preserve">will be achieved by coding responses </w:t>
      </w:r>
      <w:r w:rsidR="00F315F8" w:rsidRPr="00F315F8">
        <w:t>into categories that can be</w:t>
      </w:r>
      <w:r w:rsidR="00BD521C" w:rsidRPr="00F315F8">
        <w:t xml:space="preserve"> </w:t>
      </w:r>
      <w:r w:rsidR="00F315F8" w:rsidRPr="00F315F8">
        <w:t xml:space="preserve">analyzed quantitatively. </w:t>
      </w:r>
      <w:r w:rsidR="00646B2B" w:rsidRPr="00675CFF">
        <w:t>Upon completion of data analysis, CDC will</w:t>
      </w:r>
      <w:r w:rsidR="00646B2B">
        <w:t xml:space="preserve"> utilize the de-identified data to </w:t>
      </w:r>
      <w:r w:rsidR="00646B2B">
        <w:rPr>
          <w:rFonts w:cs="Arial"/>
        </w:rPr>
        <w:t>compile a report summarizing the results and for presentation to appropriate DTBE staff. A final aggregate report will be prepared for distribution to cooperative agreement grantees.</w:t>
      </w:r>
    </w:p>
    <w:p w14:paraId="71274F61" w14:textId="77777777" w:rsidR="00991BF9" w:rsidRDefault="00991BF9" w:rsidP="00991BF9"/>
    <w:p w14:paraId="71274F62" w14:textId="2FA9BCE9" w:rsidR="009759F3" w:rsidRPr="009759F3" w:rsidRDefault="00287E2F" w:rsidP="00991BF9">
      <w:pPr>
        <w:pStyle w:val="Heading4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22E3A2E4" w14:textId="113D134A" w:rsidR="00007577" w:rsidRDefault="00FB7895" w:rsidP="00991BF9">
      <w:pPr>
        <w:pStyle w:val="ListParagraph"/>
        <w:ind w:left="0"/>
        <w:rPr>
          <w:rFonts w:cs="Times New Roman"/>
        </w:rPr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every effort</w:t>
      </w:r>
      <w:r>
        <w:rPr>
          <w:rFonts w:cs="Times New Roman"/>
        </w:rPr>
        <w:t xml:space="preserve"> will be made</w:t>
      </w:r>
      <w:r w:rsidRPr="007C6296">
        <w:rPr>
          <w:rFonts w:cs="Times New Roman"/>
        </w:rPr>
        <w:t xml:space="preserve"> to maximize the rate of response. </w:t>
      </w:r>
      <w:r w:rsidR="00991BF9">
        <w:rPr>
          <w:rFonts w:cs="Times New Roman"/>
        </w:rPr>
        <w:t xml:space="preserve">The </w:t>
      </w:r>
      <w:r w:rsidR="008B6CF6">
        <w:rPr>
          <w:rFonts w:cs="Times New Roman"/>
        </w:rPr>
        <w:t>data collection</w:t>
      </w:r>
      <w:r w:rsidR="00991BF9">
        <w:rPr>
          <w:rFonts w:cs="Times New Roman"/>
        </w:rPr>
        <w:t xml:space="preserve"> tool was </w:t>
      </w:r>
      <w:r w:rsidR="00991BF9" w:rsidRPr="007C6296">
        <w:rPr>
          <w:rFonts w:cs="Times New Roman"/>
        </w:rPr>
        <w:t xml:space="preserve">designed with </w:t>
      </w:r>
      <w:r w:rsidR="008B6CF6">
        <w:rPr>
          <w:rFonts w:cs="Times New Roman"/>
        </w:rPr>
        <w:t xml:space="preserve">minimal questions to achieve </w:t>
      </w:r>
      <w:r w:rsidR="00750225">
        <w:rPr>
          <w:rFonts w:cs="Times New Roman"/>
        </w:rPr>
        <w:t>assessment</w:t>
      </w:r>
      <w:r w:rsidR="008B6CF6">
        <w:rPr>
          <w:rFonts w:cs="Times New Roman"/>
        </w:rPr>
        <w:t xml:space="preserve"> objectives </w:t>
      </w:r>
      <w:r w:rsidR="0000286B">
        <w:rPr>
          <w:rFonts w:cs="Times New Roman"/>
        </w:rPr>
        <w:t xml:space="preserve">and </w:t>
      </w:r>
      <w:r w:rsidR="008B6CF6">
        <w:rPr>
          <w:rFonts w:cs="Times New Roman"/>
        </w:rPr>
        <w:t>contains skip logic</w:t>
      </w:r>
      <w:r w:rsidR="00991BF9">
        <w:rPr>
          <w:rFonts w:cs="Times New Roman"/>
        </w:rPr>
        <w:t xml:space="preserve"> based on responses to previous questions, thereby minimizing response burden.</w:t>
      </w:r>
      <w:r w:rsidR="008377F1">
        <w:rPr>
          <w:rFonts w:cs="Times New Roman"/>
        </w:rPr>
        <w:t xml:space="preserve"> </w:t>
      </w:r>
      <w:r w:rsidR="00991BF9">
        <w:rPr>
          <w:rFonts w:cs="Times New Roman"/>
        </w:rPr>
        <w:t xml:space="preserve"> </w:t>
      </w:r>
    </w:p>
    <w:p w14:paraId="720A092D" w14:textId="77777777" w:rsidR="00007577" w:rsidRDefault="00007577" w:rsidP="00991BF9">
      <w:pPr>
        <w:pStyle w:val="ListParagraph"/>
        <w:ind w:left="0"/>
        <w:rPr>
          <w:rFonts w:cs="Times New Roman"/>
        </w:rPr>
      </w:pPr>
    </w:p>
    <w:p w14:paraId="71274F63" w14:textId="25F15531" w:rsidR="00991BF9" w:rsidRDefault="00007577" w:rsidP="00991BF9">
      <w:pPr>
        <w:pStyle w:val="ListParagraph"/>
        <w:ind w:left="0"/>
      </w:pPr>
      <w:r>
        <w:t xml:space="preserve">Following the notification email </w:t>
      </w:r>
      <w:r w:rsidRPr="009011A8">
        <w:t xml:space="preserve">(see </w:t>
      </w:r>
      <w:r w:rsidRPr="009011A8">
        <w:rPr>
          <w:b/>
        </w:rPr>
        <w:t xml:space="preserve">Attachment </w:t>
      </w:r>
      <w:r>
        <w:rPr>
          <w:b/>
        </w:rPr>
        <w:t>D—</w:t>
      </w:r>
      <w:r w:rsidRPr="009011A8">
        <w:rPr>
          <w:b/>
        </w:rPr>
        <w:t>Notification Email</w:t>
      </w:r>
      <w:r w:rsidRPr="009011A8">
        <w:t>)</w:t>
      </w:r>
      <w:r>
        <w:t xml:space="preserve">, PHL TB supervisors will have 3 weeks to complete the </w:t>
      </w:r>
      <w:r w:rsidR="00BF05B3">
        <w:t>assessment</w:t>
      </w:r>
      <w:r>
        <w:t>. Those who do not respond within 2 weeks will receive a r</w:t>
      </w:r>
      <w:r w:rsidRPr="009011A8">
        <w:t>eminder</w:t>
      </w:r>
      <w:r>
        <w:t xml:space="preserve"> email (</w:t>
      </w:r>
      <w:r w:rsidRPr="00576930">
        <w:rPr>
          <w:b/>
        </w:rPr>
        <w:t xml:space="preserve">see Attachment </w:t>
      </w:r>
      <w:r>
        <w:rPr>
          <w:b/>
        </w:rPr>
        <w:t>E</w:t>
      </w:r>
      <w:r w:rsidRPr="00576930">
        <w:rPr>
          <w:b/>
        </w:rPr>
        <w:t>—Reminder Email</w:t>
      </w:r>
      <w:r>
        <w:t>) urging them to complete the assessment. Those who do not respond to the reminder email within 1 week, or the end of the 3-week survey period, will be considered non-responders.</w:t>
      </w:r>
    </w:p>
    <w:p w14:paraId="71274F64" w14:textId="77777777" w:rsidR="00991BF9" w:rsidRDefault="00991BF9" w:rsidP="00991BF9"/>
    <w:p w14:paraId="71274F65" w14:textId="77777777" w:rsidR="00F52BCC" w:rsidRDefault="00287E2F" w:rsidP="00991BF9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>or Methods to be Undertaken</w:t>
      </w:r>
      <w:bookmarkEnd w:id="6"/>
    </w:p>
    <w:p w14:paraId="44AAA1A8" w14:textId="063466C3" w:rsidR="00F85B9C" w:rsidRDefault="00F85B9C" w:rsidP="00F85B9C">
      <w:pPr>
        <w:ind w:left="0"/>
      </w:pPr>
      <w:r w:rsidRPr="00F85B9C">
        <w:t xml:space="preserve">The estimate for burden hours is based on a pilot test of the information collection instrument by </w:t>
      </w:r>
      <w:r w:rsidR="002F3431">
        <w:t>9</w:t>
      </w:r>
      <w:r w:rsidR="002F3431" w:rsidRPr="00F85B9C">
        <w:t xml:space="preserve"> </w:t>
      </w:r>
      <w:r w:rsidR="00FB7895">
        <w:t xml:space="preserve">randomly selected </w:t>
      </w:r>
      <w:r w:rsidR="002F3431">
        <w:t>PHL</w:t>
      </w:r>
      <w:r w:rsidR="005309EB">
        <w:t xml:space="preserve"> </w:t>
      </w:r>
      <w:r w:rsidR="00007577">
        <w:t>TB</w:t>
      </w:r>
      <w:r w:rsidR="005309EB">
        <w:t xml:space="preserve"> supervisors</w:t>
      </w:r>
      <w:r w:rsidRPr="00F85B9C">
        <w:t>. In the pilot test, the average time to complete the instrument including time for reviewing instructions, gathering needed information and completing the instrument, was approximately 10 minutes</w:t>
      </w:r>
      <w:r w:rsidR="005309EB">
        <w:t xml:space="preserve"> (range: 10 – 15 minutes)</w:t>
      </w:r>
      <w:r w:rsidRPr="00F85B9C">
        <w:t>. For the purposes of estimating burden hours, the upper limit of this range (i.e., 15 minutes) is used.</w:t>
      </w:r>
    </w:p>
    <w:p w14:paraId="30575450" w14:textId="77777777" w:rsidR="00F85B9C" w:rsidRPr="00F85B9C" w:rsidRDefault="00F85B9C" w:rsidP="00F85B9C">
      <w:pPr>
        <w:ind w:left="0"/>
      </w:pPr>
    </w:p>
    <w:p w14:paraId="04394D6C" w14:textId="71010565" w:rsidR="00F85B9C" w:rsidRDefault="009759F3" w:rsidP="00B50F34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255BCF0D" w14:textId="77777777" w:rsidR="00F85B9C" w:rsidRDefault="00F85B9C" w:rsidP="00F85B9C">
      <w:pPr>
        <w:ind w:left="0"/>
      </w:pPr>
      <w:r>
        <w:t>Mitchell A. Yakrus, MS, MPH</w:t>
      </w:r>
      <w:r>
        <w:tab/>
      </w:r>
    </w:p>
    <w:p w14:paraId="4E22DCA5" w14:textId="77777777" w:rsidR="00F85B9C" w:rsidRDefault="00F85B9C" w:rsidP="00F85B9C">
      <w:pPr>
        <w:ind w:left="0"/>
      </w:pPr>
      <w:r>
        <w:t>Microbiologist</w:t>
      </w:r>
      <w:r>
        <w:tab/>
      </w:r>
    </w:p>
    <w:p w14:paraId="2A778540" w14:textId="77777777" w:rsidR="00F85B9C" w:rsidRDefault="00F85B9C" w:rsidP="00F85B9C">
      <w:pPr>
        <w:ind w:left="0"/>
      </w:pPr>
      <w:r>
        <w:t>CDC/OID/NCHHSTP/DTBE/LB</w:t>
      </w:r>
      <w:r>
        <w:tab/>
      </w:r>
    </w:p>
    <w:p w14:paraId="463FC3E3" w14:textId="77777777" w:rsidR="00F85B9C" w:rsidRDefault="00F85B9C" w:rsidP="00F85B9C">
      <w:pPr>
        <w:ind w:left="0"/>
      </w:pPr>
      <w:r>
        <w:t>Phone: 404.639.1288</w:t>
      </w:r>
      <w:r>
        <w:tab/>
      </w:r>
    </w:p>
    <w:p w14:paraId="10E5F4BB" w14:textId="63EC30F0" w:rsidR="00F85B9C" w:rsidRDefault="00F85B9C" w:rsidP="00F85B9C">
      <w:pPr>
        <w:ind w:left="0"/>
      </w:pPr>
      <w:r>
        <w:t xml:space="preserve">Email: </w:t>
      </w:r>
      <w:hyperlink r:id="rId15" w:history="1">
        <w:r w:rsidR="00733F68" w:rsidRPr="00AC2F8A">
          <w:rPr>
            <w:rStyle w:val="Hyperlink"/>
          </w:rPr>
          <w:t>may2@cdc.gov</w:t>
        </w:r>
      </w:hyperlink>
      <w:r w:rsidR="00733F68">
        <w:t xml:space="preserve"> </w:t>
      </w:r>
    </w:p>
    <w:p w14:paraId="0ADD394F" w14:textId="77777777" w:rsidR="00733F68" w:rsidRDefault="00733F68" w:rsidP="00F85B9C">
      <w:pPr>
        <w:ind w:left="0"/>
      </w:pPr>
    </w:p>
    <w:p w14:paraId="699FB8AE" w14:textId="77777777" w:rsidR="007F10C8" w:rsidRDefault="006552ED" w:rsidP="00F85B9C">
      <w:pPr>
        <w:ind w:left="0"/>
      </w:pPr>
      <w:r>
        <w:lastRenderedPageBreak/>
        <w:t xml:space="preserve">Stephanie </w:t>
      </w:r>
      <w:r w:rsidR="00796FA3">
        <w:t>Johnston Microbiologist</w:t>
      </w:r>
      <w:r w:rsidR="004D6396">
        <w:t>, Team Lead</w:t>
      </w:r>
      <w:r w:rsidR="00796FA3">
        <w:t xml:space="preserve"> </w:t>
      </w:r>
    </w:p>
    <w:p w14:paraId="4681F557" w14:textId="2F7CD5FC" w:rsidR="00733F68" w:rsidRDefault="00733F68" w:rsidP="00F85B9C">
      <w:pPr>
        <w:ind w:left="0"/>
      </w:pPr>
      <w:r>
        <w:t>CDC/OID/NCHHSTP/DTBE/LB</w:t>
      </w:r>
    </w:p>
    <w:p w14:paraId="10328534" w14:textId="38C30441" w:rsidR="00733F68" w:rsidRDefault="00733F68" w:rsidP="00F85B9C">
      <w:pPr>
        <w:ind w:left="0"/>
      </w:pPr>
      <w:r>
        <w:t>Phone:</w:t>
      </w:r>
      <w:r w:rsidR="004D6396">
        <w:t xml:space="preserve"> 404.639.5019 </w:t>
      </w:r>
    </w:p>
    <w:p w14:paraId="2DD42E08" w14:textId="15F71F50" w:rsidR="00733F68" w:rsidRPr="00F85B9C" w:rsidRDefault="00733F68" w:rsidP="00F85B9C">
      <w:pPr>
        <w:ind w:left="0"/>
      </w:pPr>
      <w:r>
        <w:t>Email:</w:t>
      </w:r>
      <w:r w:rsidR="004D6396">
        <w:t xml:space="preserve"> sip5@cdc.gov</w:t>
      </w:r>
    </w:p>
    <w:p w14:paraId="3B3DAFF7" w14:textId="77777777" w:rsidR="004D4D0D" w:rsidRDefault="004D4D0D" w:rsidP="00733F68">
      <w:pPr>
        <w:ind w:left="0"/>
      </w:pPr>
    </w:p>
    <w:p w14:paraId="71274F6B" w14:textId="77777777" w:rsidR="00A36419" w:rsidRPr="00BC6896" w:rsidRDefault="00A36419" w:rsidP="00BC6896">
      <w:pPr>
        <w:pStyle w:val="Heading3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71274F6D" w14:textId="756FBB4B" w:rsidR="00A36419" w:rsidRPr="00A36419" w:rsidRDefault="006B5E55" w:rsidP="00991BF9">
      <w:pPr>
        <w:ind w:left="0"/>
      </w:pPr>
      <w:r w:rsidRPr="00CD1EA8">
        <w:t>Note:</w:t>
      </w:r>
      <w:r>
        <w:t xml:space="preserve"> Attachments are included as separate files as instructed.</w:t>
      </w:r>
    </w:p>
    <w:p w14:paraId="71274F6E" w14:textId="390FFE59" w:rsidR="00991BF9" w:rsidRPr="006F4F9D" w:rsidRDefault="00BB3C01" w:rsidP="00991BF9">
      <w:pPr>
        <w:pStyle w:val="ListParagraph"/>
        <w:numPr>
          <w:ilvl w:val="0"/>
          <w:numId w:val="25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Attachment D- </w:t>
      </w:r>
      <w:r w:rsidR="00991BF9" w:rsidRPr="006F4F9D">
        <w:rPr>
          <w:rFonts w:ascii="Cambria" w:hAnsi="Cambria"/>
          <w:b/>
        </w:rPr>
        <w:t>Notification Email</w:t>
      </w:r>
    </w:p>
    <w:p w14:paraId="71274F70" w14:textId="01FCFF39" w:rsidR="000E6577" w:rsidRPr="006F4F9D" w:rsidRDefault="00BB3C01" w:rsidP="004D4D0D">
      <w:pPr>
        <w:pStyle w:val="ListParagraph"/>
        <w:numPr>
          <w:ilvl w:val="0"/>
          <w:numId w:val="25"/>
        </w:numPr>
        <w:spacing w:line="240" w:lineRule="auto"/>
      </w:pPr>
      <w:r w:rsidRPr="002F3431">
        <w:rPr>
          <w:rFonts w:ascii="Cambria" w:hAnsi="Cambria"/>
          <w:b/>
        </w:rPr>
        <w:t xml:space="preserve">Attachment E- </w:t>
      </w:r>
      <w:r w:rsidR="00991BF9" w:rsidRPr="002F3431">
        <w:rPr>
          <w:rFonts w:ascii="Cambria" w:hAnsi="Cambria"/>
          <w:b/>
        </w:rPr>
        <w:t>Reminder Email</w:t>
      </w:r>
    </w:p>
    <w:sectPr w:rsidR="000E6577" w:rsidRPr="006F4F9D" w:rsidSect="003E5D5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74F9C" w14:textId="77777777" w:rsidR="00B37794" w:rsidRDefault="00B37794" w:rsidP="00BC6896">
      <w:r>
        <w:separator/>
      </w:r>
    </w:p>
    <w:p w14:paraId="71274F9D" w14:textId="77777777" w:rsidR="00B37794" w:rsidRDefault="00B37794" w:rsidP="00BC6896"/>
  </w:endnote>
  <w:endnote w:type="continuationSeparator" w:id="0">
    <w:p w14:paraId="71274F9E" w14:textId="77777777" w:rsidR="00B37794" w:rsidRDefault="00B37794" w:rsidP="00BC6896">
      <w:r>
        <w:continuationSeparator/>
      </w:r>
    </w:p>
    <w:p w14:paraId="71274F9F" w14:textId="77777777" w:rsidR="00B37794" w:rsidRDefault="00B37794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274FA2" w14:textId="77777777" w:rsidR="00B37794" w:rsidRDefault="00B377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61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614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274FA3" w14:textId="77777777" w:rsidR="00B37794" w:rsidRDefault="00B37794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74F98" w14:textId="77777777" w:rsidR="00B37794" w:rsidRDefault="00B37794" w:rsidP="00BC6896">
      <w:r>
        <w:separator/>
      </w:r>
    </w:p>
    <w:p w14:paraId="71274F99" w14:textId="77777777" w:rsidR="00B37794" w:rsidRDefault="00B37794" w:rsidP="00BC6896"/>
  </w:footnote>
  <w:footnote w:type="continuationSeparator" w:id="0">
    <w:p w14:paraId="71274F9A" w14:textId="77777777" w:rsidR="00B37794" w:rsidRDefault="00B37794" w:rsidP="00BC6896">
      <w:r>
        <w:continuationSeparator/>
      </w:r>
    </w:p>
    <w:p w14:paraId="71274F9B" w14:textId="77777777" w:rsidR="00B37794" w:rsidRDefault="00B37794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74FA0" w14:textId="77777777" w:rsidR="00B37794" w:rsidRPr="00716F94" w:rsidRDefault="00B37794" w:rsidP="00BC6896">
    <w:pPr>
      <w:pStyle w:val="Header"/>
      <w:rPr>
        <w:color w:val="0033CC"/>
      </w:rPr>
    </w:pPr>
    <w:r>
      <w:tab/>
    </w:r>
  </w:p>
  <w:p w14:paraId="71274FA1" w14:textId="77777777" w:rsidR="00B37794" w:rsidRDefault="00B37794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15601"/>
    <w:multiLevelType w:val="hybridMultilevel"/>
    <w:tmpl w:val="C3AE64CE"/>
    <w:lvl w:ilvl="0" w:tplc="B20A99D4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2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6"/>
  </w:num>
  <w:num w:numId="11">
    <w:abstractNumId w:val="2"/>
  </w:num>
  <w:num w:numId="12">
    <w:abstractNumId w:val="21"/>
  </w:num>
  <w:num w:numId="13">
    <w:abstractNumId w:val="6"/>
  </w:num>
  <w:num w:numId="14">
    <w:abstractNumId w:val="3"/>
  </w:num>
  <w:num w:numId="15">
    <w:abstractNumId w:val="19"/>
  </w:num>
  <w:num w:numId="16">
    <w:abstractNumId w:val="24"/>
  </w:num>
  <w:num w:numId="17">
    <w:abstractNumId w:val="8"/>
  </w:num>
  <w:num w:numId="18">
    <w:abstractNumId w:val="12"/>
  </w:num>
  <w:num w:numId="19">
    <w:abstractNumId w:val="4"/>
  </w:num>
  <w:num w:numId="20">
    <w:abstractNumId w:val="13"/>
  </w:num>
  <w:num w:numId="21">
    <w:abstractNumId w:val="23"/>
  </w:num>
  <w:num w:numId="22">
    <w:abstractNumId w:val="17"/>
  </w:num>
  <w:num w:numId="23">
    <w:abstractNumId w:val="11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00E1E"/>
    <w:rsid w:val="0000286B"/>
    <w:rsid w:val="00007577"/>
    <w:rsid w:val="00010420"/>
    <w:rsid w:val="00011A98"/>
    <w:rsid w:val="00011F8D"/>
    <w:rsid w:val="000130B4"/>
    <w:rsid w:val="00014361"/>
    <w:rsid w:val="000474FB"/>
    <w:rsid w:val="00052A34"/>
    <w:rsid w:val="00053A92"/>
    <w:rsid w:val="000557D0"/>
    <w:rsid w:val="0005605E"/>
    <w:rsid w:val="00057F36"/>
    <w:rsid w:val="000A1F30"/>
    <w:rsid w:val="000B1C0B"/>
    <w:rsid w:val="000B5DC0"/>
    <w:rsid w:val="000E6577"/>
    <w:rsid w:val="000E7A19"/>
    <w:rsid w:val="00104A1B"/>
    <w:rsid w:val="001177DD"/>
    <w:rsid w:val="001308EB"/>
    <w:rsid w:val="001412D4"/>
    <w:rsid w:val="00144F64"/>
    <w:rsid w:val="00151567"/>
    <w:rsid w:val="00163E17"/>
    <w:rsid w:val="00166F9E"/>
    <w:rsid w:val="00187D5A"/>
    <w:rsid w:val="00191FDD"/>
    <w:rsid w:val="001972D7"/>
    <w:rsid w:val="001A28F6"/>
    <w:rsid w:val="001A5579"/>
    <w:rsid w:val="001A7D0E"/>
    <w:rsid w:val="001B2831"/>
    <w:rsid w:val="001C0493"/>
    <w:rsid w:val="001C28AD"/>
    <w:rsid w:val="001D7FCB"/>
    <w:rsid w:val="001E2B99"/>
    <w:rsid w:val="001E3E3C"/>
    <w:rsid w:val="001E69B6"/>
    <w:rsid w:val="001F4DBB"/>
    <w:rsid w:val="001F7C89"/>
    <w:rsid w:val="0020312D"/>
    <w:rsid w:val="0020495F"/>
    <w:rsid w:val="00206E33"/>
    <w:rsid w:val="00210519"/>
    <w:rsid w:val="002221F6"/>
    <w:rsid w:val="00230CEF"/>
    <w:rsid w:val="00241B17"/>
    <w:rsid w:val="00241C81"/>
    <w:rsid w:val="00245F1F"/>
    <w:rsid w:val="00256392"/>
    <w:rsid w:val="00257A1C"/>
    <w:rsid w:val="0027234C"/>
    <w:rsid w:val="00272E03"/>
    <w:rsid w:val="00281795"/>
    <w:rsid w:val="002850E3"/>
    <w:rsid w:val="00287E2F"/>
    <w:rsid w:val="002A1948"/>
    <w:rsid w:val="002B2CBB"/>
    <w:rsid w:val="002B71F1"/>
    <w:rsid w:val="002C0877"/>
    <w:rsid w:val="002C2AE2"/>
    <w:rsid w:val="002D0DCE"/>
    <w:rsid w:val="002E2B10"/>
    <w:rsid w:val="002F1502"/>
    <w:rsid w:val="002F169D"/>
    <w:rsid w:val="002F2069"/>
    <w:rsid w:val="002F3431"/>
    <w:rsid w:val="002F6F92"/>
    <w:rsid w:val="00300932"/>
    <w:rsid w:val="003041AD"/>
    <w:rsid w:val="0031279F"/>
    <w:rsid w:val="00312D63"/>
    <w:rsid w:val="00327D05"/>
    <w:rsid w:val="0033360A"/>
    <w:rsid w:val="00335EBD"/>
    <w:rsid w:val="00336D96"/>
    <w:rsid w:val="00344F07"/>
    <w:rsid w:val="003469C8"/>
    <w:rsid w:val="00346E6F"/>
    <w:rsid w:val="003514CF"/>
    <w:rsid w:val="00355EA4"/>
    <w:rsid w:val="00360280"/>
    <w:rsid w:val="003635BE"/>
    <w:rsid w:val="00366B5E"/>
    <w:rsid w:val="00372844"/>
    <w:rsid w:val="0038560A"/>
    <w:rsid w:val="003A4D5E"/>
    <w:rsid w:val="003C31C9"/>
    <w:rsid w:val="003C3CC3"/>
    <w:rsid w:val="003C4961"/>
    <w:rsid w:val="003C7C5D"/>
    <w:rsid w:val="003D0AD2"/>
    <w:rsid w:val="003E4E7D"/>
    <w:rsid w:val="003E5D57"/>
    <w:rsid w:val="003F5913"/>
    <w:rsid w:val="004024F8"/>
    <w:rsid w:val="0041159A"/>
    <w:rsid w:val="004305A8"/>
    <w:rsid w:val="0043417A"/>
    <w:rsid w:val="0044184C"/>
    <w:rsid w:val="00443CA0"/>
    <w:rsid w:val="00445C9D"/>
    <w:rsid w:val="00450E14"/>
    <w:rsid w:val="00451D7C"/>
    <w:rsid w:val="00462C65"/>
    <w:rsid w:val="0046380F"/>
    <w:rsid w:val="00467B14"/>
    <w:rsid w:val="00474EDA"/>
    <w:rsid w:val="0047536D"/>
    <w:rsid w:val="004824FA"/>
    <w:rsid w:val="00484011"/>
    <w:rsid w:val="004841F1"/>
    <w:rsid w:val="00484496"/>
    <w:rsid w:val="004A1E3A"/>
    <w:rsid w:val="004B1EC5"/>
    <w:rsid w:val="004B4EB5"/>
    <w:rsid w:val="004C4AEA"/>
    <w:rsid w:val="004D4D0D"/>
    <w:rsid w:val="004D6396"/>
    <w:rsid w:val="004E003C"/>
    <w:rsid w:val="004E16EB"/>
    <w:rsid w:val="004E6665"/>
    <w:rsid w:val="004F634E"/>
    <w:rsid w:val="004F67A8"/>
    <w:rsid w:val="00522A50"/>
    <w:rsid w:val="00527225"/>
    <w:rsid w:val="005309EB"/>
    <w:rsid w:val="0053557D"/>
    <w:rsid w:val="005463DE"/>
    <w:rsid w:val="00546DC2"/>
    <w:rsid w:val="005542E8"/>
    <w:rsid w:val="00555CB5"/>
    <w:rsid w:val="00556630"/>
    <w:rsid w:val="0055686D"/>
    <w:rsid w:val="00566205"/>
    <w:rsid w:val="005800EE"/>
    <w:rsid w:val="005869D6"/>
    <w:rsid w:val="005A33F6"/>
    <w:rsid w:val="005A59E5"/>
    <w:rsid w:val="005B29CE"/>
    <w:rsid w:val="005B7440"/>
    <w:rsid w:val="005C4FFD"/>
    <w:rsid w:val="005C63C2"/>
    <w:rsid w:val="005C6E9D"/>
    <w:rsid w:val="005E2150"/>
    <w:rsid w:val="005E2995"/>
    <w:rsid w:val="005F3FEF"/>
    <w:rsid w:val="00601392"/>
    <w:rsid w:val="006075F6"/>
    <w:rsid w:val="00607F7C"/>
    <w:rsid w:val="006102DA"/>
    <w:rsid w:val="00617F08"/>
    <w:rsid w:val="00621F93"/>
    <w:rsid w:val="006315A3"/>
    <w:rsid w:val="00637CC1"/>
    <w:rsid w:val="006466BA"/>
    <w:rsid w:val="00646B2B"/>
    <w:rsid w:val="006552ED"/>
    <w:rsid w:val="006579A2"/>
    <w:rsid w:val="00667C89"/>
    <w:rsid w:val="006711EE"/>
    <w:rsid w:val="006753D6"/>
    <w:rsid w:val="006809BB"/>
    <w:rsid w:val="006809FD"/>
    <w:rsid w:val="00691D1F"/>
    <w:rsid w:val="00697BAE"/>
    <w:rsid w:val="006B4DDC"/>
    <w:rsid w:val="006B5E55"/>
    <w:rsid w:val="006D25A1"/>
    <w:rsid w:val="006F4F9D"/>
    <w:rsid w:val="006F6856"/>
    <w:rsid w:val="0070494A"/>
    <w:rsid w:val="0071078A"/>
    <w:rsid w:val="0071190E"/>
    <w:rsid w:val="007145D0"/>
    <w:rsid w:val="00716F94"/>
    <w:rsid w:val="00733F68"/>
    <w:rsid w:val="00736D98"/>
    <w:rsid w:val="00750225"/>
    <w:rsid w:val="00760E12"/>
    <w:rsid w:val="00763CF3"/>
    <w:rsid w:val="00772293"/>
    <w:rsid w:val="00783A3C"/>
    <w:rsid w:val="00783C75"/>
    <w:rsid w:val="00784619"/>
    <w:rsid w:val="0078627B"/>
    <w:rsid w:val="00792B69"/>
    <w:rsid w:val="00794E32"/>
    <w:rsid w:val="00796FA3"/>
    <w:rsid w:val="007B305A"/>
    <w:rsid w:val="007F10C8"/>
    <w:rsid w:val="007F7991"/>
    <w:rsid w:val="00800993"/>
    <w:rsid w:val="008067FA"/>
    <w:rsid w:val="00815C7D"/>
    <w:rsid w:val="00817941"/>
    <w:rsid w:val="008261AB"/>
    <w:rsid w:val="00834CCE"/>
    <w:rsid w:val="00835CA7"/>
    <w:rsid w:val="008370D4"/>
    <w:rsid w:val="008377F1"/>
    <w:rsid w:val="008414AD"/>
    <w:rsid w:val="008428D9"/>
    <w:rsid w:val="0084391D"/>
    <w:rsid w:val="00884DB9"/>
    <w:rsid w:val="0089676F"/>
    <w:rsid w:val="008B6CF6"/>
    <w:rsid w:val="008C67D2"/>
    <w:rsid w:val="008D0D79"/>
    <w:rsid w:val="008E0683"/>
    <w:rsid w:val="00902DD9"/>
    <w:rsid w:val="00911486"/>
    <w:rsid w:val="009129CA"/>
    <w:rsid w:val="009206B6"/>
    <w:rsid w:val="009263C1"/>
    <w:rsid w:val="00931C02"/>
    <w:rsid w:val="00935FFD"/>
    <w:rsid w:val="00941B4F"/>
    <w:rsid w:val="00944CCE"/>
    <w:rsid w:val="00963CE3"/>
    <w:rsid w:val="00964F18"/>
    <w:rsid w:val="00974424"/>
    <w:rsid w:val="009759F3"/>
    <w:rsid w:val="00987F76"/>
    <w:rsid w:val="00991BF9"/>
    <w:rsid w:val="00992EC3"/>
    <w:rsid w:val="00993088"/>
    <w:rsid w:val="0099664F"/>
    <w:rsid w:val="00997D5D"/>
    <w:rsid w:val="009A0447"/>
    <w:rsid w:val="009B034F"/>
    <w:rsid w:val="009B4A51"/>
    <w:rsid w:val="009C28B1"/>
    <w:rsid w:val="009C4D8C"/>
    <w:rsid w:val="009C61AD"/>
    <w:rsid w:val="009D373D"/>
    <w:rsid w:val="009D77CD"/>
    <w:rsid w:val="009E1D05"/>
    <w:rsid w:val="009F4D63"/>
    <w:rsid w:val="009F7283"/>
    <w:rsid w:val="00A11B0C"/>
    <w:rsid w:val="00A305CE"/>
    <w:rsid w:val="00A33B35"/>
    <w:rsid w:val="00A36419"/>
    <w:rsid w:val="00A578C2"/>
    <w:rsid w:val="00A70EBC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5C48"/>
    <w:rsid w:val="00AE0205"/>
    <w:rsid w:val="00AE7446"/>
    <w:rsid w:val="00AF0CF4"/>
    <w:rsid w:val="00AF2252"/>
    <w:rsid w:val="00AF5896"/>
    <w:rsid w:val="00B1129F"/>
    <w:rsid w:val="00B11D61"/>
    <w:rsid w:val="00B12F51"/>
    <w:rsid w:val="00B14498"/>
    <w:rsid w:val="00B2751E"/>
    <w:rsid w:val="00B3650C"/>
    <w:rsid w:val="00B37794"/>
    <w:rsid w:val="00B50A2B"/>
    <w:rsid w:val="00B50F34"/>
    <w:rsid w:val="00B64BFA"/>
    <w:rsid w:val="00B65C38"/>
    <w:rsid w:val="00B7384A"/>
    <w:rsid w:val="00B74110"/>
    <w:rsid w:val="00B8216F"/>
    <w:rsid w:val="00B8230B"/>
    <w:rsid w:val="00B853F1"/>
    <w:rsid w:val="00B85DE4"/>
    <w:rsid w:val="00B91A31"/>
    <w:rsid w:val="00B92FA9"/>
    <w:rsid w:val="00BA6DB4"/>
    <w:rsid w:val="00BB3C01"/>
    <w:rsid w:val="00BC3F3C"/>
    <w:rsid w:val="00BC5BB2"/>
    <w:rsid w:val="00BC6896"/>
    <w:rsid w:val="00BD521C"/>
    <w:rsid w:val="00BE233B"/>
    <w:rsid w:val="00BF05B3"/>
    <w:rsid w:val="00BF3F54"/>
    <w:rsid w:val="00C00697"/>
    <w:rsid w:val="00C0376C"/>
    <w:rsid w:val="00C06D77"/>
    <w:rsid w:val="00C14BA6"/>
    <w:rsid w:val="00C347E7"/>
    <w:rsid w:val="00C3485C"/>
    <w:rsid w:val="00C420D4"/>
    <w:rsid w:val="00C610BF"/>
    <w:rsid w:val="00C76449"/>
    <w:rsid w:val="00C84DC3"/>
    <w:rsid w:val="00C90B97"/>
    <w:rsid w:val="00CA2004"/>
    <w:rsid w:val="00CA791F"/>
    <w:rsid w:val="00CB334D"/>
    <w:rsid w:val="00CB56D5"/>
    <w:rsid w:val="00CD0771"/>
    <w:rsid w:val="00CD1EA8"/>
    <w:rsid w:val="00CE5093"/>
    <w:rsid w:val="00CF0CE8"/>
    <w:rsid w:val="00CF5ABD"/>
    <w:rsid w:val="00CF63CE"/>
    <w:rsid w:val="00D002FF"/>
    <w:rsid w:val="00D067C1"/>
    <w:rsid w:val="00D139D8"/>
    <w:rsid w:val="00D13B13"/>
    <w:rsid w:val="00D16E78"/>
    <w:rsid w:val="00D201D3"/>
    <w:rsid w:val="00D26A64"/>
    <w:rsid w:val="00D328FA"/>
    <w:rsid w:val="00D4221A"/>
    <w:rsid w:val="00D4627C"/>
    <w:rsid w:val="00D52B9A"/>
    <w:rsid w:val="00D5367E"/>
    <w:rsid w:val="00D7285C"/>
    <w:rsid w:val="00D86144"/>
    <w:rsid w:val="00D861ED"/>
    <w:rsid w:val="00D873E0"/>
    <w:rsid w:val="00D94F8B"/>
    <w:rsid w:val="00DA4EA9"/>
    <w:rsid w:val="00DA5988"/>
    <w:rsid w:val="00DA5CFF"/>
    <w:rsid w:val="00DC317C"/>
    <w:rsid w:val="00DC4FF2"/>
    <w:rsid w:val="00DC79CC"/>
    <w:rsid w:val="00DD5865"/>
    <w:rsid w:val="00E134F4"/>
    <w:rsid w:val="00E174E7"/>
    <w:rsid w:val="00E23568"/>
    <w:rsid w:val="00E245B5"/>
    <w:rsid w:val="00E24C20"/>
    <w:rsid w:val="00E33E1B"/>
    <w:rsid w:val="00E34D3E"/>
    <w:rsid w:val="00E370D5"/>
    <w:rsid w:val="00E81C5E"/>
    <w:rsid w:val="00E83B3C"/>
    <w:rsid w:val="00E8736B"/>
    <w:rsid w:val="00E90275"/>
    <w:rsid w:val="00E925D4"/>
    <w:rsid w:val="00E97226"/>
    <w:rsid w:val="00EB5516"/>
    <w:rsid w:val="00EB63B3"/>
    <w:rsid w:val="00ED517B"/>
    <w:rsid w:val="00ED6878"/>
    <w:rsid w:val="00EF0EC8"/>
    <w:rsid w:val="00EF33CD"/>
    <w:rsid w:val="00F1040C"/>
    <w:rsid w:val="00F2267A"/>
    <w:rsid w:val="00F300CB"/>
    <w:rsid w:val="00F315F8"/>
    <w:rsid w:val="00F36CC1"/>
    <w:rsid w:val="00F42C3A"/>
    <w:rsid w:val="00F517C3"/>
    <w:rsid w:val="00F52BCC"/>
    <w:rsid w:val="00F5313F"/>
    <w:rsid w:val="00F562B6"/>
    <w:rsid w:val="00F57581"/>
    <w:rsid w:val="00F725B5"/>
    <w:rsid w:val="00F81A48"/>
    <w:rsid w:val="00F85B9C"/>
    <w:rsid w:val="00FB7895"/>
    <w:rsid w:val="00FC5B1F"/>
    <w:rsid w:val="00FD17C9"/>
    <w:rsid w:val="00FD1EF0"/>
    <w:rsid w:val="00FD2A5B"/>
    <w:rsid w:val="00FE0E1C"/>
    <w:rsid w:val="00FE6A5C"/>
    <w:rsid w:val="00FF0EE8"/>
    <w:rsid w:val="00FF7B1A"/>
    <w:rsid w:val="2FADD6FB"/>
    <w:rsid w:val="6D72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4F1A"/>
  <w15:docId w15:val="{38D54170-E09F-4CF2-85B1-5116AC26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chhstp.cdc.gov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ay2@cdc.gov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y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OSTLTSDOC-727-117</_dlc_DocId>
    <_dlc_DocIdUrl xmlns="b5c0ca00-073d-4463-9985-b654f14791fe">
      <Url>https://esp.cdc.gov/sites/ostlts/pip/osc/_layouts/15/DocIdRedir.aspx?ID=OSTLTSDOC-727-117</Url>
      <Description>OSTLTSDOC-727-117</Description>
    </_dlc_DocIdUrl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14040-FFF1-44FF-A4E3-468C686A5BA5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59DC181F-EE21-4245-96AC-97115DEAE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C9932-8DC4-44E2-B67D-3F2A93157BA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E621084-E3E9-4304-9915-0CE7867EB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16E839-BE5A-4752-9E3D-DB6696E6A21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33BB864-8446-43BA-97A1-6EEFB840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O2C2-Supporting-Statement-B-Template-NICKNAME-SSB</vt:lpstr>
    </vt:vector>
  </TitlesOfParts>
  <Company>CDC</Company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O2C2-Supporting-Statement-B-Template-NICKNAME-SSB</dc:title>
  <dc:creator>gel2</dc:creator>
  <cp:lastModifiedBy>Graaf, Christine (CDC/OSTLTS/DPHPI)</cp:lastModifiedBy>
  <cp:revision>5</cp:revision>
  <cp:lastPrinted>2011-06-07T15:53:00Z</cp:lastPrinted>
  <dcterms:created xsi:type="dcterms:W3CDTF">2016-09-22T21:11:00Z</dcterms:created>
  <dcterms:modified xsi:type="dcterms:W3CDTF">2016-09-23T13:52:00Z</dcterms:modified>
  <cp:contentStatus>Published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</vt:r8>
  </property>
  <property fmtid="{D5CDD505-2E9C-101B-9397-08002B2CF9AE}" pid="3" name="_dlc_DocIdItemGuid">
    <vt:lpwstr>e80bc22e-26f7-4930-9723-ecb9d407220a</vt:lpwstr>
  </property>
  <property fmtid="{D5CDD505-2E9C-101B-9397-08002B2CF9AE}" pid="4" name="ContentTypeId">
    <vt:lpwstr>0x010100476B4E4DC22A4747BE20A8D5E3242775</vt:lpwstr>
  </property>
</Properties>
</file>