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5ABBF" w14:textId="77777777" w:rsidR="00716F94" w:rsidRDefault="00716F94" w:rsidP="007D6163">
      <w:bookmarkStart w:id="0" w:name="_GoBack"/>
      <w:bookmarkEnd w:id="0"/>
    </w:p>
    <w:p w14:paraId="65BA991F" w14:textId="77777777" w:rsidR="009B4A51" w:rsidRDefault="009B4A51" w:rsidP="007D6163"/>
    <w:p w14:paraId="42913931" w14:textId="77777777" w:rsidR="009B4A51" w:rsidRDefault="009B4A51" w:rsidP="007D6163"/>
    <w:p w14:paraId="584BDB1A" w14:textId="77777777" w:rsidR="009B4A51" w:rsidRDefault="009B4A51" w:rsidP="007D6163"/>
    <w:p w14:paraId="7121472A" w14:textId="77777777" w:rsidR="009B4A51" w:rsidRDefault="009B4A51" w:rsidP="007D6163"/>
    <w:p w14:paraId="24B4047B" w14:textId="77777777" w:rsidR="00667C89" w:rsidRDefault="00667C89" w:rsidP="007D6163"/>
    <w:p w14:paraId="291C9DA7" w14:textId="77777777" w:rsidR="009B4A51" w:rsidRDefault="009B4A51" w:rsidP="007D6163"/>
    <w:p w14:paraId="49D8E7A2" w14:textId="77777777" w:rsidR="009B4A51" w:rsidRDefault="009B4A51" w:rsidP="00CA5840">
      <w:pPr>
        <w:ind w:left="0"/>
      </w:pPr>
    </w:p>
    <w:p w14:paraId="213B1522" w14:textId="684ED54A" w:rsidR="00716F94" w:rsidRPr="00251E40" w:rsidRDefault="00701AE2" w:rsidP="00CA5840">
      <w:pPr>
        <w:pStyle w:val="Heading1"/>
        <w:ind w:left="0"/>
      </w:pPr>
      <w:r w:rsidRPr="00251E40">
        <w:t>Awareness and Practice of Disaster Risk Reduction for Health: A National Assessment</w:t>
      </w:r>
    </w:p>
    <w:p w14:paraId="72A686AD" w14:textId="77777777" w:rsidR="00AA3192" w:rsidRDefault="00AA3192" w:rsidP="00CA5840">
      <w:pPr>
        <w:ind w:left="0"/>
      </w:pPr>
    </w:p>
    <w:p w14:paraId="79898611"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BE937AF" w14:textId="77777777" w:rsidR="00484011" w:rsidRPr="00AA3192" w:rsidRDefault="00484011" w:rsidP="00CA5840">
      <w:pPr>
        <w:ind w:left="0"/>
        <w:jc w:val="center"/>
      </w:pPr>
      <w:r w:rsidRPr="00AA3192">
        <w:t>OMB No. 0920-0879</w:t>
      </w:r>
    </w:p>
    <w:p w14:paraId="2D09F1A4" w14:textId="77777777" w:rsidR="009B4A51" w:rsidRDefault="009B4A51" w:rsidP="00CA5840">
      <w:pPr>
        <w:ind w:left="0"/>
      </w:pPr>
    </w:p>
    <w:p w14:paraId="7187FBD7" w14:textId="77777777" w:rsidR="009B4A51" w:rsidRDefault="009B4A51" w:rsidP="00CA5840">
      <w:pPr>
        <w:ind w:left="0"/>
      </w:pPr>
    </w:p>
    <w:p w14:paraId="08D54A17" w14:textId="77777777" w:rsidR="00AA3192" w:rsidRDefault="00AA3192" w:rsidP="00CA5840">
      <w:pPr>
        <w:ind w:left="0"/>
      </w:pPr>
    </w:p>
    <w:p w14:paraId="798805E1" w14:textId="77777777" w:rsidR="00AA3192" w:rsidRDefault="00AA3192" w:rsidP="00CA5840">
      <w:pPr>
        <w:ind w:left="0"/>
      </w:pPr>
    </w:p>
    <w:p w14:paraId="72568B69" w14:textId="77777777" w:rsidR="009B4A51" w:rsidRPr="007D6163" w:rsidRDefault="009B4A51" w:rsidP="00CA5840">
      <w:pPr>
        <w:pStyle w:val="Heading2"/>
        <w:ind w:left="0"/>
      </w:pPr>
      <w:r w:rsidRPr="007D6163">
        <w:t>Supporting Statement – Section A</w:t>
      </w:r>
    </w:p>
    <w:p w14:paraId="7D2F32F4" w14:textId="77777777" w:rsidR="009B4A51" w:rsidRDefault="009B4A51" w:rsidP="00CA5840">
      <w:pPr>
        <w:ind w:left="0"/>
      </w:pPr>
    </w:p>
    <w:p w14:paraId="16C2A591" w14:textId="77777777" w:rsidR="00484011" w:rsidRDefault="00484011" w:rsidP="00CA5840">
      <w:pPr>
        <w:ind w:left="0"/>
      </w:pPr>
    </w:p>
    <w:p w14:paraId="445666F2" w14:textId="77777777" w:rsidR="00AA3192" w:rsidRDefault="00AA3192" w:rsidP="00CA5840">
      <w:pPr>
        <w:ind w:left="0"/>
      </w:pPr>
    </w:p>
    <w:p w14:paraId="41B81F64" w14:textId="77777777" w:rsidR="009B4A51" w:rsidRDefault="009B4A51" w:rsidP="00CA5840">
      <w:pPr>
        <w:ind w:left="0"/>
      </w:pPr>
    </w:p>
    <w:p w14:paraId="4F991220" w14:textId="77777777" w:rsidR="009B4A51" w:rsidRDefault="009B4A51" w:rsidP="00CA5840">
      <w:pPr>
        <w:ind w:left="0"/>
      </w:pPr>
    </w:p>
    <w:p w14:paraId="3E592473" w14:textId="77777777" w:rsidR="00187D5A" w:rsidRDefault="00187D5A" w:rsidP="00CA5840">
      <w:pPr>
        <w:ind w:left="0"/>
      </w:pPr>
    </w:p>
    <w:p w14:paraId="7CD82CE9" w14:textId="71439FD8" w:rsidR="009B4A51" w:rsidRPr="009B4A51" w:rsidRDefault="009B4A51" w:rsidP="00CA5840">
      <w:pPr>
        <w:ind w:left="0"/>
        <w:jc w:val="center"/>
      </w:pPr>
      <w:r w:rsidRPr="00AA3192">
        <w:t>Submitted:</w:t>
      </w:r>
      <w:r w:rsidRPr="00713412">
        <w:rPr>
          <w:color w:val="0070C0"/>
        </w:rPr>
        <w:t xml:space="preserve"> </w:t>
      </w:r>
      <w:r w:rsidR="00161675">
        <w:rPr>
          <w:color w:val="0070C0"/>
        </w:rPr>
        <w:t>May17th, 2016</w:t>
      </w:r>
    </w:p>
    <w:p w14:paraId="0C3FDE62" w14:textId="77777777" w:rsidR="009B4A51" w:rsidRDefault="009B4A51" w:rsidP="007D6163"/>
    <w:p w14:paraId="09431345" w14:textId="77777777" w:rsidR="009B4A51" w:rsidRDefault="009B4A51" w:rsidP="007D6163"/>
    <w:p w14:paraId="6D470459" w14:textId="77777777" w:rsidR="009B4A51" w:rsidRDefault="009B4A51" w:rsidP="007D6163"/>
    <w:p w14:paraId="587EB2B5" w14:textId="77777777" w:rsidR="00AA3192" w:rsidRDefault="00AA3192" w:rsidP="007D6163"/>
    <w:p w14:paraId="0F9AA4A5" w14:textId="77777777" w:rsidR="00AA3192" w:rsidRDefault="00AA3192" w:rsidP="007D6163"/>
    <w:p w14:paraId="3AAB0E15" w14:textId="77777777" w:rsidR="009B4A51" w:rsidRDefault="009B4A51" w:rsidP="007D6163"/>
    <w:p w14:paraId="4F4801B0"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7131CCF4" w14:textId="79A46D41" w:rsidR="00321B51" w:rsidRPr="00251E40" w:rsidRDefault="00701AE2" w:rsidP="00CA5840">
      <w:pPr>
        <w:ind w:left="0"/>
      </w:pPr>
      <w:r w:rsidRPr="00251E40">
        <w:t>Mollie Mahany, MPH</w:t>
      </w:r>
    </w:p>
    <w:p w14:paraId="1CE4A53F" w14:textId="15730C1D" w:rsidR="00701AE2" w:rsidRPr="00251E40" w:rsidRDefault="00701AE2" w:rsidP="00CA5840">
      <w:pPr>
        <w:ind w:left="0"/>
      </w:pPr>
      <w:r w:rsidRPr="00251E40">
        <w:t>Public Health Advisor</w:t>
      </w:r>
    </w:p>
    <w:p w14:paraId="5F18744A" w14:textId="66DFE9E6" w:rsidR="00701AE2" w:rsidRPr="00251E40" w:rsidRDefault="00701AE2" w:rsidP="00CA5840">
      <w:pPr>
        <w:ind w:left="0"/>
      </w:pPr>
      <w:r w:rsidRPr="00251E40">
        <w:t>CIO: Office of Non-communicable Diseases, Injury, and Environmental Health, National Center for Environmental Health/Agency for Toxic Substances and Disease Registry</w:t>
      </w:r>
      <w:r w:rsidR="00A27FD8" w:rsidRPr="00251E40">
        <w:t xml:space="preserve">, </w:t>
      </w:r>
      <w:r w:rsidRPr="00251E40">
        <w:t>Office of the Director</w:t>
      </w:r>
    </w:p>
    <w:p w14:paraId="7FDFCCEA" w14:textId="47C51A54" w:rsidR="00701AE2" w:rsidRPr="00251E40" w:rsidRDefault="00701AE2" w:rsidP="00CA5840">
      <w:pPr>
        <w:ind w:left="0"/>
      </w:pPr>
      <w:r w:rsidRPr="00251E40">
        <w:t>Office of Environmental Health Emergency Management</w:t>
      </w:r>
    </w:p>
    <w:p w14:paraId="2FF30441" w14:textId="7E028DB1" w:rsidR="00321B51" w:rsidRPr="00251E40" w:rsidRDefault="00701AE2" w:rsidP="00CA5840">
      <w:pPr>
        <w:ind w:left="0"/>
      </w:pPr>
      <w:r w:rsidRPr="00251E40">
        <w:t>Address:  4770 Buford Highway, NE, MS F-09, Atlanta, GA 30341</w:t>
      </w:r>
    </w:p>
    <w:p w14:paraId="18F6F5CD" w14:textId="5C3D00D1" w:rsidR="00321B51" w:rsidRPr="00251E40" w:rsidRDefault="00701AE2" w:rsidP="00CA5840">
      <w:pPr>
        <w:ind w:left="0"/>
      </w:pPr>
      <w:r w:rsidRPr="00251E40">
        <w:t>Phone:  770 488-0518</w:t>
      </w:r>
    </w:p>
    <w:p w14:paraId="67E13795" w14:textId="0D3236A7" w:rsidR="00CA5840" w:rsidRDefault="00701AE2">
      <w:pPr>
        <w:tabs>
          <w:tab w:val="clear" w:pos="9360"/>
        </w:tabs>
        <w:spacing w:after="200"/>
        <w:ind w:left="0"/>
        <w:rPr>
          <w:b/>
          <w:sz w:val="28"/>
        </w:rPr>
      </w:pPr>
      <w:r w:rsidRPr="00251E40">
        <w:t>Email:  mmahany@cdc.gov</w:t>
      </w:r>
    </w:p>
    <w:p w14:paraId="461E39C0" w14:textId="77777777" w:rsidR="003860A5" w:rsidRDefault="003860A5" w:rsidP="003860A5">
      <w:pPr>
        <w:pStyle w:val="Heading3"/>
        <w:ind w:left="0"/>
      </w:pPr>
      <w:bookmarkStart w:id="1" w:name="_Toc447879459"/>
      <w:r>
        <w:lastRenderedPageBreak/>
        <w:t>Table of Contents</w:t>
      </w:r>
      <w:bookmarkEnd w:id="1"/>
    </w:p>
    <w:p w14:paraId="109A66CD" w14:textId="212B24F8" w:rsidR="003860A5" w:rsidRPr="003860A5" w:rsidRDefault="003860A5" w:rsidP="003860A5"/>
    <w:p w14:paraId="116421BB" w14:textId="637B47DD" w:rsidR="001D07EC"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37D16663" w14:textId="77777777" w:rsidR="001D07EC" w:rsidRDefault="00380324">
      <w:pPr>
        <w:pStyle w:val="TOC1"/>
        <w:tabs>
          <w:tab w:val="right" w:leader="dot" w:pos="9350"/>
        </w:tabs>
        <w:rPr>
          <w:rFonts w:asciiTheme="minorHAnsi" w:hAnsiTheme="minorHAnsi"/>
          <w:noProof/>
        </w:rPr>
      </w:pPr>
      <w:hyperlink w:anchor="_Toc447879461" w:history="1">
        <w:r w:rsidR="001D07EC" w:rsidRPr="008D1FB9">
          <w:rPr>
            <w:rStyle w:val="Hyperlink"/>
            <w:noProof/>
          </w:rPr>
          <w:t>Section A – Justification</w:t>
        </w:r>
        <w:r w:rsidR="001D07EC">
          <w:rPr>
            <w:noProof/>
            <w:webHidden/>
          </w:rPr>
          <w:tab/>
        </w:r>
        <w:r w:rsidR="001D07EC">
          <w:rPr>
            <w:noProof/>
            <w:webHidden/>
          </w:rPr>
          <w:fldChar w:fldCharType="begin"/>
        </w:r>
        <w:r w:rsidR="001D07EC">
          <w:rPr>
            <w:noProof/>
            <w:webHidden/>
          </w:rPr>
          <w:instrText xml:space="preserve"> PAGEREF _Toc447879461 \h </w:instrText>
        </w:r>
        <w:r w:rsidR="001D07EC">
          <w:rPr>
            <w:noProof/>
            <w:webHidden/>
          </w:rPr>
        </w:r>
        <w:r w:rsidR="001D07EC">
          <w:rPr>
            <w:noProof/>
            <w:webHidden/>
          </w:rPr>
          <w:fldChar w:fldCharType="separate"/>
        </w:r>
        <w:r w:rsidR="001E6601">
          <w:rPr>
            <w:noProof/>
            <w:webHidden/>
          </w:rPr>
          <w:t>3</w:t>
        </w:r>
        <w:r w:rsidR="001D07EC">
          <w:rPr>
            <w:noProof/>
            <w:webHidden/>
          </w:rPr>
          <w:fldChar w:fldCharType="end"/>
        </w:r>
      </w:hyperlink>
    </w:p>
    <w:p w14:paraId="7751A9B8" w14:textId="77777777" w:rsidR="001D07EC" w:rsidRDefault="00380324">
      <w:pPr>
        <w:pStyle w:val="TOC2"/>
        <w:rPr>
          <w:rFonts w:asciiTheme="minorHAnsi" w:hAnsiTheme="minorHAnsi"/>
          <w:noProof/>
        </w:rPr>
      </w:pPr>
      <w:hyperlink w:anchor="_Toc447879462" w:history="1">
        <w:r w:rsidR="001D07EC" w:rsidRPr="008D1FB9">
          <w:rPr>
            <w:rStyle w:val="Hyperlink"/>
            <w:noProof/>
          </w:rPr>
          <w:t>1.</w:t>
        </w:r>
        <w:r w:rsidR="001D07EC">
          <w:rPr>
            <w:rFonts w:asciiTheme="minorHAnsi" w:hAnsiTheme="minorHAnsi"/>
            <w:noProof/>
          </w:rPr>
          <w:tab/>
        </w:r>
        <w:r w:rsidR="001D07EC" w:rsidRPr="008D1FB9">
          <w:rPr>
            <w:rStyle w:val="Hyperlink"/>
            <w:noProof/>
          </w:rPr>
          <w:t>Circumstances Making the Collection of Information Necessary</w:t>
        </w:r>
        <w:r w:rsidR="001D07EC">
          <w:rPr>
            <w:noProof/>
            <w:webHidden/>
          </w:rPr>
          <w:tab/>
        </w:r>
        <w:r w:rsidR="001D07EC">
          <w:rPr>
            <w:noProof/>
            <w:webHidden/>
          </w:rPr>
          <w:fldChar w:fldCharType="begin"/>
        </w:r>
        <w:r w:rsidR="001D07EC">
          <w:rPr>
            <w:noProof/>
            <w:webHidden/>
          </w:rPr>
          <w:instrText xml:space="preserve"> PAGEREF _Toc447879462 \h </w:instrText>
        </w:r>
        <w:r w:rsidR="001D07EC">
          <w:rPr>
            <w:noProof/>
            <w:webHidden/>
          </w:rPr>
        </w:r>
        <w:r w:rsidR="001D07EC">
          <w:rPr>
            <w:noProof/>
            <w:webHidden/>
          </w:rPr>
          <w:fldChar w:fldCharType="separate"/>
        </w:r>
        <w:r w:rsidR="001E6601">
          <w:rPr>
            <w:noProof/>
            <w:webHidden/>
          </w:rPr>
          <w:t>3</w:t>
        </w:r>
        <w:r w:rsidR="001D07EC">
          <w:rPr>
            <w:noProof/>
            <w:webHidden/>
          </w:rPr>
          <w:fldChar w:fldCharType="end"/>
        </w:r>
      </w:hyperlink>
    </w:p>
    <w:p w14:paraId="12E8FC2C" w14:textId="77777777" w:rsidR="001D07EC" w:rsidRDefault="00380324">
      <w:pPr>
        <w:pStyle w:val="TOC2"/>
        <w:rPr>
          <w:rFonts w:asciiTheme="minorHAnsi" w:hAnsiTheme="minorHAnsi"/>
          <w:noProof/>
        </w:rPr>
      </w:pPr>
      <w:hyperlink w:anchor="_Toc447879463" w:history="1">
        <w:r w:rsidR="001D07EC" w:rsidRPr="008D1FB9">
          <w:rPr>
            <w:rStyle w:val="Hyperlink"/>
            <w:noProof/>
          </w:rPr>
          <w:t>2.</w:t>
        </w:r>
        <w:r w:rsidR="001D07EC">
          <w:rPr>
            <w:rFonts w:asciiTheme="minorHAnsi" w:hAnsiTheme="minorHAnsi"/>
            <w:noProof/>
          </w:rPr>
          <w:tab/>
        </w:r>
        <w:r w:rsidR="001D07EC" w:rsidRPr="008D1FB9">
          <w:rPr>
            <w:rStyle w:val="Hyperlink"/>
            <w:noProof/>
          </w:rPr>
          <w:t>Purpose and Use of the Information Collection</w:t>
        </w:r>
        <w:r w:rsidR="001D07EC">
          <w:rPr>
            <w:noProof/>
            <w:webHidden/>
          </w:rPr>
          <w:tab/>
        </w:r>
        <w:r w:rsidR="001D07EC">
          <w:rPr>
            <w:noProof/>
            <w:webHidden/>
          </w:rPr>
          <w:fldChar w:fldCharType="begin"/>
        </w:r>
        <w:r w:rsidR="001D07EC">
          <w:rPr>
            <w:noProof/>
            <w:webHidden/>
          </w:rPr>
          <w:instrText xml:space="preserve"> PAGEREF _Toc447879463 \h </w:instrText>
        </w:r>
        <w:r w:rsidR="001D07EC">
          <w:rPr>
            <w:noProof/>
            <w:webHidden/>
          </w:rPr>
        </w:r>
        <w:r w:rsidR="001D07EC">
          <w:rPr>
            <w:noProof/>
            <w:webHidden/>
          </w:rPr>
          <w:fldChar w:fldCharType="separate"/>
        </w:r>
        <w:r w:rsidR="001E6601">
          <w:rPr>
            <w:noProof/>
            <w:webHidden/>
          </w:rPr>
          <w:t>8</w:t>
        </w:r>
        <w:r w:rsidR="001D07EC">
          <w:rPr>
            <w:noProof/>
            <w:webHidden/>
          </w:rPr>
          <w:fldChar w:fldCharType="end"/>
        </w:r>
      </w:hyperlink>
    </w:p>
    <w:p w14:paraId="0F1ECF12" w14:textId="0F4FBEA8" w:rsidR="001D07EC" w:rsidRDefault="00380324">
      <w:pPr>
        <w:pStyle w:val="TOC2"/>
        <w:rPr>
          <w:rFonts w:asciiTheme="minorHAnsi" w:hAnsiTheme="minorHAnsi"/>
          <w:noProof/>
        </w:rPr>
      </w:pPr>
      <w:hyperlink w:anchor="_Toc447879464" w:history="1">
        <w:r w:rsidR="001D07EC" w:rsidRPr="008D1FB9">
          <w:rPr>
            <w:rStyle w:val="Hyperlink"/>
            <w:noProof/>
          </w:rPr>
          <w:t>3.</w:t>
        </w:r>
        <w:r w:rsidR="001D07EC">
          <w:rPr>
            <w:rFonts w:asciiTheme="minorHAnsi" w:hAnsiTheme="minorHAnsi"/>
            <w:noProof/>
          </w:rPr>
          <w:tab/>
        </w:r>
        <w:r w:rsidR="001D07EC" w:rsidRPr="008D1FB9">
          <w:rPr>
            <w:rStyle w:val="Hyperlink"/>
            <w:noProof/>
          </w:rPr>
          <w:t>Use of Improved Information Technology and Burden Reduction</w:t>
        </w:r>
        <w:r w:rsidR="001D07EC">
          <w:rPr>
            <w:noProof/>
            <w:webHidden/>
          </w:rPr>
          <w:tab/>
        </w:r>
        <w:r w:rsidR="001D07EC">
          <w:rPr>
            <w:noProof/>
            <w:webHidden/>
          </w:rPr>
          <w:fldChar w:fldCharType="begin"/>
        </w:r>
        <w:r w:rsidR="001D07EC">
          <w:rPr>
            <w:noProof/>
            <w:webHidden/>
          </w:rPr>
          <w:instrText xml:space="preserve"> PAGEREF _Toc447879464 \h </w:instrText>
        </w:r>
        <w:r w:rsidR="001D07EC">
          <w:rPr>
            <w:noProof/>
            <w:webHidden/>
          </w:rPr>
        </w:r>
        <w:r w:rsidR="001D07EC">
          <w:rPr>
            <w:noProof/>
            <w:webHidden/>
          </w:rPr>
          <w:fldChar w:fldCharType="separate"/>
        </w:r>
        <w:r w:rsidR="001E6601">
          <w:rPr>
            <w:noProof/>
            <w:webHidden/>
          </w:rPr>
          <w:t>9</w:t>
        </w:r>
        <w:r w:rsidR="001D07EC">
          <w:rPr>
            <w:noProof/>
            <w:webHidden/>
          </w:rPr>
          <w:fldChar w:fldCharType="end"/>
        </w:r>
      </w:hyperlink>
    </w:p>
    <w:p w14:paraId="2BFAAA06" w14:textId="77777777" w:rsidR="001D07EC" w:rsidRDefault="00380324">
      <w:pPr>
        <w:pStyle w:val="TOC2"/>
        <w:rPr>
          <w:rFonts w:asciiTheme="minorHAnsi" w:hAnsiTheme="minorHAnsi"/>
          <w:noProof/>
        </w:rPr>
      </w:pPr>
      <w:hyperlink w:anchor="_Toc447879465" w:history="1">
        <w:r w:rsidR="001D07EC" w:rsidRPr="008D1FB9">
          <w:rPr>
            <w:rStyle w:val="Hyperlink"/>
            <w:noProof/>
          </w:rPr>
          <w:t>4.</w:t>
        </w:r>
        <w:r w:rsidR="001D07EC">
          <w:rPr>
            <w:rFonts w:asciiTheme="minorHAnsi" w:hAnsiTheme="minorHAnsi"/>
            <w:noProof/>
          </w:rPr>
          <w:tab/>
        </w:r>
        <w:r w:rsidR="001D07EC" w:rsidRPr="008D1FB9">
          <w:rPr>
            <w:rStyle w:val="Hyperlink"/>
            <w:noProof/>
          </w:rPr>
          <w:t>Efforts to Identify Duplication and Use of Similar Information</w:t>
        </w:r>
        <w:r w:rsidR="001D07EC">
          <w:rPr>
            <w:noProof/>
            <w:webHidden/>
          </w:rPr>
          <w:tab/>
        </w:r>
        <w:r w:rsidR="001D07EC">
          <w:rPr>
            <w:noProof/>
            <w:webHidden/>
          </w:rPr>
          <w:fldChar w:fldCharType="begin"/>
        </w:r>
        <w:r w:rsidR="001D07EC">
          <w:rPr>
            <w:noProof/>
            <w:webHidden/>
          </w:rPr>
          <w:instrText xml:space="preserve"> PAGEREF _Toc447879465 \h </w:instrText>
        </w:r>
        <w:r w:rsidR="001D07EC">
          <w:rPr>
            <w:noProof/>
            <w:webHidden/>
          </w:rPr>
        </w:r>
        <w:r w:rsidR="001D07EC">
          <w:rPr>
            <w:noProof/>
            <w:webHidden/>
          </w:rPr>
          <w:fldChar w:fldCharType="separate"/>
        </w:r>
        <w:r w:rsidR="001E6601">
          <w:rPr>
            <w:noProof/>
            <w:webHidden/>
          </w:rPr>
          <w:t>9</w:t>
        </w:r>
        <w:r w:rsidR="001D07EC">
          <w:rPr>
            <w:noProof/>
            <w:webHidden/>
          </w:rPr>
          <w:fldChar w:fldCharType="end"/>
        </w:r>
      </w:hyperlink>
    </w:p>
    <w:p w14:paraId="4A5982C5" w14:textId="77777777" w:rsidR="001D07EC" w:rsidRDefault="00380324">
      <w:pPr>
        <w:pStyle w:val="TOC2"/>
        <w:rPr>
          <w:rFonts w:asciiTheme="minorHAnsi" w:hAnsiTheme="minorHAnsi"/>
          <w:noProof/>
        </w:rPr>
      </w:pPr>
      <w:hyperlink w:anchor="_Toc447879466" w:history="1">
        <w:r w:rsidR="001D07EC" w:rsidRPr="008D1FB9">
          <w:rPr>
            <w:rStyle w:val="Hyperlink"/>
            <w:noProof/>
          </w:rPr>
          <w:t>5.</w:t>
        </w:r>
        <w:r w:rsidR="001D07EC">
          <w:rPr>
            <w:rFonts w:asciiTheme="minorHAnsi" w:hAnsiTheme="minorHAnsi"/>
            <w:noProof/>
          </w:rPr>
          <w:tab/>
        </w:r>
        <w:r w:rsidR="001D07EC" w:rsidRPr="008D1FB9">
          <w:rPr>
            <w:rStyle w:val="Hyperlink"/>
            <w:noProof/>
          </w:rPr>
          <w:t>Impact on Small Businesses or Other Small Entities</w:t>
        </w:r>
        <w:r w:rsidR="001D07EC">
          <w:rPr>
            <w:noProof/>
            <w:webHidden/>
          </w:rPr>
          <w:tab/>
        </w:r>
        <w:r w:rsidR="001D07EC">
          <w:rPr>
            <w:noProof/>
            <w:webHidden/>
          </w:rPr>
          <w:fldChar w:fldCharType="begin"/>
        </w:r>
        <w:r w:rsidR="001D07EC">
          <w:rPr>
            <w:noProof/>
            <w:webHidden/>
          </w:rPr>
          <w:instrText xml:space="preserve"> PAGEREF _Toc447879466 \h </w:instrText>
        </w:r>
        <w:r w:rsidR="001D07EC">
          <w:rPr>
            <w:noProof/>
            <w:webHidden/>
          </w:rPr>
        </w:r>
        <w:r w:rsidR="001D07EC">
          <w:rPr>
            <w:noProof/>
            <w:webHidden/>
          </w:rPr>
          <w:fldChar w:fldCharType="separate"/>
        </w:r>
        <w:r w:rsidR="001E6601">
          <w:rPr>
            <w:noProof/>
            <w:webHidden/>
          </w:rPr>
          <w:t>9</w:t>
        </w:r>
        <w:r w:rsidR="001D07EC">
          <w:rPr>
            <w:noProof/>
            <w:webHidden/>
          </w:rPr>
          <w:fldChar w:fldCharType="end"/>
        </w:r>
      </w:hyperlink>
    </w:p>
    <w:p w14:paraId="66FA8A31" w14:textId="77777777" w:rsidR="001D07EC" w:rsidRDefault="00380324">
      <w:pPr>
        <w:pStyle w:val="TOC2"/>
        <w:rPr>
          <w:rFonts w:asciiTheme="minorHAnsi" w:hAnsiTheme="minorHAnsi"/>
          <w:noProof/>
        </w:rPr>
      </w:pPr>
      <w:hyperlink w:anchor="_Toc447879467" w:history="1">
        <w:r w:rsidR="001D07EC" w:rsidRPr="008D1FB9">
          <w:rPr>
            <w:rStyle w:val="Hyperlink"/>
            <w:noProof/>
          </w:rPr>
          <w:t>6.</w:t>
        </w:r>
        <w:r w:rsidR="001D07EC">
          <w:rPr>
            <w:rFonts w:asciiTheme="minorHAnsi" w:hAnsiTheme="minorHAnsi"/>
            <w:noProof/>
          </w:rPr>
          <w:tab/>
        </w:r>
        <w:r w:rsidR="001D07EC" w:rsidRPr="008D1FB9">
          <w:rPr>
            <w:rStyle w:val="Hyperlink"/>
            <w:noProof/>
          </w:rPr>
          <w:t>Consequences of Collecting the Information Less Frequently</w:t>
        </w:r>
        <w:r w:rsidR="001D07EC">
          <w:rPr>
            <w:noProof/>
            <w:webHidden/>
          </w:rPr>
          <w:tab/>
        </w:r>
        <w:r w:rsidR="001D07EC">
          <w:rPr>
            <w:noProof/>
            <w:webHidden/>
          </w:rPr>
          <w:fldChar w:fldCharType="begin"/>
        </w:r>
        <w:r w:rsidR="001D07EC">
          <w:rPr>
            <w:noProof/>
            <w:webHidden/>
          </w:rPr>
          <w:instrText xml:space="preserve"> PAGEREF _Toc447879467 \h </w:instrText>
        </w:r>
        <w:r w:rsidR="001D07EC">
          <w:rPr>
            <w:noProof/>
            <w:webHidden/>
          </w:rPr>
        </w:r>
        <w:r w:rsidR="001D07EC">
          <w:rPr>
            <w:noProof/>
            <w:webHidden/>
          </w:rPr>
          <w:fldChar w:fldCharType="separate"/>
        </w:r>
        <w:r w:rsidR="001E6601">
          <w:rPr>
            <w:noProof/>
            <w:webHidden/>
          </w:rPr>
          <w:t>9</w:t>
        </w:r>
        <w:r w:rsidR="001D07EC">
          <w:rPr>
            <w:noProof/>
            <w:webHidden/>
          </w:rPr>
          <w:fldChar w:fldCharType="end"/>
        </w:r>
      </w:hyperlink>
    </w:p>
    <w:p w14:paraId="349476B5" w14:textId="0151DC8C" w:rsidR="001D07EC" w:rsidRDefault="00380324">
      <w:pPr>
        <w:pStyle w:val="TOC2"/>
        <w:rPr>
          <w:rFonts w:asciiTheme="minorHAnsi" w:hAnsiTheme="minorHAnsi"/>
          <w:noProof/>
        </w:rPr>
      </w:pPr>
      <w:hyperlink w:anchor="_Toc447879468" w:history="1">
        <w:r w:rsidR="001D07EC" w:rsidRPr="008D1FB9">
          <w:rPr>
            <w:rStyle w:val="Hyperlink"/>
            <w:noProof/>
          </w:rPr>
          <w:t>7.</w:t>
        </w:r>
        <w:r w:rsidR="001D07EC">
          <w:rPr>
            <w:rFonts w:asciiTheme="minorHAnsi" w:hAnsiTheme="minorHAnsi"/>
            <w:noProof/>
          </w:rPr>
          <w:tab/>
        </w:r>
        <w:r w:rsidR="001D07EC" w:rsidRPr="008D1FB9">
          <w:rPr>
            <w:rStyle w:val="Hyperlink"/>
            <w:noProof/>
          </w:rPr>
          <w:t>Special Circumstances Relating to the Guidelines of 5 CFR 1320.5</w:t>
        </w:r>
        <w:r w:rsidR="001D07EC">
          <w:rPr>
            <w:noProof/>
            <w:webHidden/>
          </w:rPr>
          <w:tab/>
        </w:r>
        <w:r w:rsidR="001D07EC">
          <w:rPr>
            <w:noProof/>
            <w:webHidden/>
          </w:rPr>
          <w:fldChar w:fldCharType="begin"/>
        </w:r>
        <w:r w:rsidR="001D07EC">
          <w:rPr>
            <w:noProof/>
            <w:webHidden/>
          </w:rPr>
          <w:instrText xml:space="preserve"> PAGEREF _Toc447879468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3E9ACFBA" w14:textId="77777777" w:rsidR="001D07EC" w:rsidRDefault="00380324">
      <w:pPr>
        <w:pStyle w:val="TOC2"/>
        <w:rPr>
          <w:rFonts w:asciiTheme="minorHAnsi" w:hAnsiTheme="minorHAnsi"/>
          <w:noProof/>
        </w:rPr>
      </w:pPr>
      <w:hyperlink w:anchor="_Toc447879469" w:history="1">
        <w:r w:rsidR="001D07EC" w:rsidRPr="008D1FB9">
          <w:rPr>
            <w:rStyle w:val="Hyperlink"/>
            <w:noProof/>
          </w:rPr>
          <w:t>8.</w:t>
        </w:r>
        <w:r w:rsidR="001D07EC">
          <w:rPr>
            <w:rFonts w:asciiTheme="minorHAnsi" w:hAnsiTheme="minorHAnsi"/>
            <w:noProof/>
          </w:rPr>
          <w:tab/>
        </w:r>
        <w:r w:rsidR="001D07EC" w:rsidRPr="008D1FB9">
          <w:rPr>
            <w:rStyle w:val="Hyperlink"/>
            <w:noProof/>
          </w:rPr>
          <w:t>Comments in Response to the Federal Register Notice and Efforts to Consult Outside the Agency</w:t>
        </w:r>
        <w:r w:rsidR="001D07EC">
          <w:rPr>
            <w:noProof/>
            <w:webHidden/>
          </w:rPr>
          <w:tab/>
        </w:r>
        <w:r w:rsidR="001D07EC">
          <w:rPr>
            <w:noProof/>
            <w:webHidden/>
          </w:rPr>
          <w:fldChar w:fldCharType="begin"/>
        </w:r>
        <w:r w:rsidR="001D07EC">
          <w:rPr>
            <w:noProof/>
            <w:webHidden/>
          </w:rPr>
          <w:instrText xml:space="preserve"> PAGEREF _Toc447879469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541FE178" w14:textId="77777777" w:rsidR="001D07EC" w:rsidRDefault="00380324">
      <w:pPr>
        <w:pStyle w:val="TOC2"/>
        <w:rPr>
          <w:rFonts w:asciiTheme="minorHAnsi" w:hAnsiTheme="minorHAnsi"/>
          <w:noProof/>
        </w:rPr>
      </w:pPr>
      <w:hyperlink w:anchor="_Toc447879470" w:history="1">
        <w:r w:rsidR="001D07EC" w:rsidRPr="008D1FB9">
          <w:rPr>
            <w:rStyle w:val="Hyperlink"/>
            <w:noProof/>
          </w:rPr>
          <w:t>9.</w:t>
        </w:r>
        <w:r w:rsidR="001D07EC">
          <w:rPr>
            <w:rFonts w:asciiTheme="minorHAnsi" w:hAnsiTheme="minorHAnsi"/>
            <w:noProof/>
          </w:rPr>
          <w:tab/>
        </w:r>
        <w:r w:rsidR="001D07EC" w:rsidRPr="008D1FB9">
          <w:rPr>
            <w:rStyle w:val="Hyperlink"/>
            <w:noProof/>
          </w:rPr>
          <w:t>Explanation of Any Payment or Gift to Respondents</w:t>
        </w:r>
        <w:r w:rsidR="001D07EC">
          <w:rPr>
            <w:noProof/>
            <w:webHidden/>
          </w:rPr>
          <w:tab/>
        </w:r>
        <w:r w:rsidR="001D07EC">
          <w:rPr>
            <w:noProof/>
            <w:webHidden/>
          </w:rPr>
          <w:fldChar w:fldCharType="begin"/>
        </w:r>
        <w:r w:rsidR="001D07EC">
          <w:rPr>
            <w:noProof/>
            <w:webHidden/>
          </w:rPr>
          <w:instrText xml:space="preserve"> PAGEREF _Toc447879470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66199CB2" w14:textId="77777777" w:rsidR="001D07EC" w:rsidRDefault="00380324">
      <w:pPr>
        <w:pStyle w:val="TOC2"/>
        <w:rPr>
          <w:rFonts w:asciiTheme="minorHAnsi" w:hAnsiTheme="minorHAnsi"/>
          <w:noProof/>
        </w:rPr>
      </w:pPr>
      <w:hyperlink w:anchor="_Toc447879471" w:history="1">
        <w:r w:rsidR="001D07EC" w:rsidRPr="008D1FB9">
          <w:rPr>
            <w:rStyle w:val="Hyperlink"/>
            <w:noProof/>
          </w:rPr>
          <w:t>10.</w:t>
        </w:r>
        <w:r w:rsidR="001D07EC">
          <w:rPr>
            <w:rFonts w:asciiTheme="minorHAnsi" w:hAnsiTheme="minorHAnsi"/>
            <w:noProof/>
          </w:rPr>
          <w:tab/>
        </w:r>
        <w:r w:rsidR="001D07EC" w:rsidRPr="008D1FB9">
          <w:rPr>
            <w:rStyle w:val="Hyperlink"/>
            <w:noProof/>
          </w:rPr>
          <w:t>Protection of the Privacy and Confidentiality of Information Provided by Respondents</w:t>
        </w:r>
        <w:r w:rsidR="001D07EC">
          <w:rPr>
            <w:noProof/>
            <w:webHidden/>
          </w:rPr>
          <w:tab/>
        </w:r>
        <w:r w:rsidR="001D07EC">
          <w:rPr>
            <w:noProof/>
            <w:webHidden/>
          </w:rPr>
          <w:fldChar w:fldCharType="begin"/>
        </w:r>
        <w:r w:rsidR="001D07EC">
          <w:rPr>
            <w:noProof/>
            <w:webHidden/>
          </w:rPr>
          <w:instrText xml:space="preserve"> PAGEREF _Toc447879471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7F9D4C46" w14:textId="77777777" w:rsidR="001D07EC" w:rsidRDefault="00380324">
      <w:pPr>
        <w:pStyle w:val="TOC2"/>
        <w:rPr>
          <w:rFonts w:asciiTheme="minorHAnsi" w:hAnsiTheme="minorHAnsi"/>
          <w:noProof/>
        </w:rPr>
      </w:pPr>
      <w:hyperlink w:anchor="_Toc447879472" w:history="1">
        <w:r w:rsidR="001D07EC" w:rsidRPr="008D1FB9">
          <w:rPr>
            <w:rStyle w:val="Hyperlink"/>
            <w:noProof/>
          </w:rPr>
          <w:t>11.</w:t>
        </w:r>
        <w:r w:rsidR="001D07EC">
          <w:rPr>
            <w:rFonts w:asciiTheme="minorHAnsi" w:hAnsiTheme="minorHAnsi"/>
            <w:noProof/>
          </w:rPr>
          <w:tab/>
        </w:r>
        <w:r w:rsidR="001D07EC" w:rsidRPr="008D1FB9">
          <w:rPr>
            <w:rStyle w:val="Hyperlink"/>
            <w:noProof/>
          </w:rPr>
          <w:t>Institutional Review Board (IRB) and Justification for Sensitive Questions</w:t>
        </w:r>
        <w:r w:rsidR="001D07EC">
          <w:rPr>
            <w:noProof/>
            <w:webHidden/>
          </w:rPr>
          <w:tab/>
        </w:r>
        <w:r w:rsidR="001D07EC">
          <w:rPr>
            <w:noProof/>
            <w:webHidden/>
          </w:rPr>
          <w:fldChar w:fldCharType="begin"/>
        </w:r>
        <w:r w:rsidR="001D07EC">
          <w:rPr>
            <w:noProof/>
            <w:webHidden/>
          </w:rPr>
          <w:instrText xml:space="preserve"> PAGEREF _Toc447879472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5084240C" w14:textId="77777777" w:rsidR="001D07EC" w:rsidRDefault="00380324">
      <w:pPr>
        <w:pStyle w:val="TOC2"/>
        <w:rPr>
          <w:rFonts w:asciiTheme="minorHAnsi" w:hAnsiTheme="minorHAnsi"/>
          <w:noProof/>
        </w:rPr>
      </w:pPr>
      <w:hyperlink w:anchor="_Toc447879473" w:history="1">
        <w:r w:rsidR="001D07EC" w:rsidRPr="008D1FB9">
          <w:rPr>
            <w:rStyle w:val="Hyperlink"/>
            <w:noProof/>
          </w:rPr>
          <w:t>12.</w:t>
        </w:r>
        <w:r w:rsidR="001D07EC">
          <w:rPr>
            <w:rFonts w:asciiTheme="minorHAnsi" w:hAnsiTheme="minorHAnsi"/>
            <w:noProof/>
          </w:rPr>
          <w:tab/>
        </w:r>
        <w:r w:rsidR="001D07EC" w:rsidRPr="008D1FB9">
          <w:rPr>
            <w:rStyle w:val="Hyperlink"/>
            <w:noProof/>
          </w:rPr>
          <w:t>Estimates of Annualized Burden Hours and Costs</w:t>
        </w:r>
        <w:r w:rsidR="001D07EC">
          <w:rPr>
            <w:noProof/>
            <w:webHidden/>
          </w:rPr>
          <w:tab/>
        </w:r>
        <w:r w:rsidR="001D07EC">
          <w:rPr>
            <w:noProof/>
            <w:webHidden/>
          </w:rPr>
          <w:fldChar w:fldCharType="begin"/>
        </w:r>
        <w:r w:rsidR="001D07EC">
          <w:rPr>
            <w:noProof/>
            <w:webHidden/>
          </w:rPr>
          <w:instrText xml:space="preserve"> PAGEREF _Toc447879473 \h </w:instrText>
        </w:r>
        <w:r w:rsidR="001D07EC">
          <w:rPr>
            <w:noProof/>
            <w:webHidden/>
          </w:rPr>
        </w:r>
        <w:r w:rsidR="001D07EC">
          <w:rPr>
            <w:noProof/>
            <w:webHidden/>
          </w:rPr>
          <w:fldChar w:fldCharType="separate"/>
        </w:r>
        <w:r w:rsidR="001E6601">
          <w:rPr>
            <w:noProof/>
            <w:webHidden/>
          </w:rPr>
          <w:t>10</w:t>
        </w:r>
        <w:r w:rsidR="001D07EC">
          <w:rPr>
            <w:noProof/>
            <w:webHidden/>
          </w:rPr>
          <w:fldChar w:fldCharType="end"/>
        </w:r>
      </w:hyperlink>
    </w:p>
    <w:p w14:paraId="7867BBB2" w14:textId="77777777" w:rsidR="001D07EC" w:rsidRDefault="00380324">
      <w:pPr>
        <w:pStyle w:val="TOC2"/>
        <w:rPr>
          <w:rFonts w:asciiTheme="minorHAnsi" w:hAnsiTheme="minorHAnsi"/>
          <w:noProof/>
        </w:rPr>
      </w:pPr>
      <w:hyperlink w:anchor="_Toc447879474" w:history="1">
        <w:r w:rsidR="001D07EC" w:rsidRPr="008D1FB9">
          <w:rPr>
            <w:rStyle w:val="Hyperlink"/>
            <w:noProof/>
          </w:rPr>
          <w:t>13.</w:t>
        </w:r>
        <w:r w:rsidR="001D07EC">
          <w:rPr>
            <w:rFonts w:asciiTheme="minorHAnsi" w:hAnsiTheme="minorHAnsi"/>
            <w:noProof/>
          </w:rPr>
          <w:tab/>
        </w:r>
        <w:r w:rsidR="001D07EC" w:rsidRPr="008D1FB9">
          <w:rPr>
            <w:rStyle w:val="Hyperlink"/>
            <w:noProof/>
          </w:rPr>
          <w:t>Estimates of Other Total Annual Cost Burden to Respondents or Record Keepers</w:t>
        </w:r>
        <w:r w:rsidR="001D07EC">
          <w:rPr>
            <w:noProof/>
            <w:webHidden/>
          </w:rPr>
          <w:tab/>
        </w:r>
        <w:r w:rsidR="001D07EC">
          <w:rPr>
            <w:noProof/>
            <w:webHidden/>
          </w:rPr>
          <w:fldChar w:fldCharType="begin"/>
        </w:r>
        <w:r w:rsidR="001D07EC">
          <w:rPr>
            <w:noProof/>
            <w:webHidden/>
          </w:rPr>
          <w:instrText xml:space="preserve"> PAGEREF _Toc447879474 \h </w:instrText>
        </w:r>
        <w:r w:rsidR="001D07EC">
          <w:rPr>
            <w:noProof/>
            <w:webHidden/>
          </w:rPr>
        </w:r>
        <w:r w:rsidR="001D07EC">
          <w:rPr>
            <w:noProof/>
            <w:webHidden/>
          </w:rPr>
          <w:fldChar w:fldCharType="separate"/>
        </w:r>
        <w:r w:rsidR="001E6601">
          <w:rPr>
            <w:noProof/>
            <w:webHidden/>
          </w:rPr>
          <w:t>11</w:t>
        </w:r>
        <w:r w:rsidR="001D07EC">
          <w:rPr>
            <w:noProof/>
            <w:webHidden/>
          </w:rPr>
          <w:fldChar w:fldCharType="end"/>
        </w:r>
      </w:hyperlink>
    </w:p>
    <w:p w14:paraId="3E98859D" w14:textId="3C868C19" w:rsidR="001D07EC" w:rsidRDefault="00380324">
      <w:pPr>
        <w:pStyle w:val="TOC2"/>
        <w:rPr>
          <w:rFonts w:asciiTheme="minorHAnsi" w:hAnsiTheme="minorHAnsi"/>
          <w:noProof/>
        </w:rPr>
      </w:pPr>
      <w:hyperlink w:anchor="_Toc447879475" w:history="1">
        <w:r w:rsidR="001D07EC" w:rsidRPr="008D1FB9">
          <w:rPr>
            <w:rStyle w:val="Hyperlink"/>
            <w:noProof/>
          </w:rPr>
          <w:t>14.</w:t>
        </w:r>
        <w:r w:rsidR="001D07EC">
          <w:rPr>
            <w:rFonts w:asciiTheme="minorHAnsi" w:hAnsiTheme="minorHAnsi"/>
            <w:noProof/>
          </w:rPr>
          <w:tab/>
        </w:r>
        <w:r w:rsidR="001D07EC" w:rsidRPr="008D1FB9">
          <w:rPr>
            <w:rStyle w:val="Hyperlink"/>
            <w:noProof/>
          </w:rPr>
          <w:t>Annualized Cost to the Government</w:t>
        </w:r>
        <w:r w:rsidR="001D07EC">
          <w:rPr>
            <w:noProof/>
            <w:webHidden/>
          </w:rPr>
          <w:tab/>
        </w:r>
        <w:r w:rsidR="001D07EC">
          <w:rPr>
            <w:noProof/>
            <w:webHidden/>
          </w:rPr>
          <w:fldChar w:fldCharType="begin"/>
        </w:r>
        <w:r w:rsidR="001D07EC">
          <w:rPr>
            <w:noProof/>
            <w:webHidden/>
          </w:rPr>
          <w:instrText xml:space="preserve"> PAGEREF _Toc447879475 \h </w:instrText>
        </w:r>
        <w:r w:rsidR="001D07EC">
          <w:rPr>
            <w:noProof/>
            <w:webHidden/>
          </w:rPr>
        </w:r>
        <w:r w:rsidR="001D07EC">
          <w:rPr>
            <w:noProof/>
            <w:webHidden/>
          </w:rPr>
          <w:fldChar w:fldCharType="separate"/>
        </w:r>
        <w:r w:rsidR="001E6601">
          <w:rPr>
            <w:noProof/>
            <w:webHidden/>
          </w:rPr>
          <w:t>11</w:t>
        </w:r>
        <w:r w:rsidR="001D07EC">
          <w:rPr>
            <w:noProof/>
            <w:webHidden/>
          </w:rPr>
          <w:fldChar w:fldCharType="end"/>
        </w:r>
      </w:hyperlink>
    </w:p>
    <w:p w14:paraId="7C4AABE0" w14:textId="77777777" w:rsidR="001D07EC" w:rsidRDefault="00380324">
      <w:pPr>
        <w:pStyle w:val="TOC2"/>
        <w:rPr>
          <w:rFonts w:asciiTheme="minorHAnsi" w:hAnsiTheme="minorHAnsi"/>
          <w:noProof/>
        </w:rPr>
      </w:pPr>
      <w:hyperlink w:anchor="_Toc447879476" w:history="1">
        <w:r w:rsidR="001D07EC" w:rsidRPr="008D1FB9">
          <w:rPr>
            <w:rStyle w:val="Hyperlink"/>
            <w:noProof/>
          </w:rPr>
          <w:t>15.</w:t>
        </w:r>
        <w:r w:rsidR="001D07EC">
          <w:rPr>
            <w:rFonts w:asciiTheme="minorHAnsi" w:hAnsiTheme="minorHAnsi"/>
            <w:noProof/>
          </w:rPr>
          <w:tab/>
        </w:r>
        <w:r w:rsidR="001D07EC" w:rsidRPr="008D1FB9">
          <w:rPr>
            <w:rStyle w:val="Hyperlink"/>
            <w:noProof/>
          </w:rPr>
          <w:t>Explanation for Program Changes or Adjustments</w:t>
        </w:r>
        <w:r w:rsidR="001D07EC">
          <w:rPr>
            <w:noProof/>
            <w:webHidden/>
          </w:rPr>
          <w:tab/>
        </w:r>
        <w:r w:rsidR="001D07EC">
          <w:rPr>
            <w:noProof/>
            <w:webHidden/>
          </w:rPr>
          <w:fldChar w:fldCharType="begin"/>
        </w:r>
        <w:r w:rsidR="001D07EC">
          <w:rPr>
            <w:noProof/>
            <w:webHidden/>
          </w:rPr>
          <w:instrText xml:space="preserve"> PAGEREF _Toc447879476 \h </w:instrText>
        </w:r>
        <w:r w:rsidR="001D07EC">
          <w:rPr>
            <w:noProof/>
            <w:webHidden/>
          </w:rPr>
        </w:r>
        <w:r w:rsidR="001D07EC">
          <w:rPr>
            <w:noProof/>
            <w:webHidden/>
          </w:rPr>
          <w:fldChar w:fldCharType="separate"/>
        </w:r>
        <w:r w:rsidR="001E6601">
          <w:rPr>
            <w:noProof/>
            <w:webHidden/>
          </w:rPr>
          <w:t>12</w:t>
        </w:r>
        <w:r w:rsidR="001D07EC">
          <w:rPr>
            <w:noProof/>
            <w:webHidden/>
          </w:rPr>
          <w:fldChar w:fldCharType="end"/>
        </w:r>
      </w:hyperlink>
    </w:p>
    <w:p w14:paraId="57B0BA64" w14:textId="77777777" w:rsidR="001D07EC" w:rsidRDefault="00380324">
      <w:pPr>
        <w:pStyle w:val="TOC2"/>
        <w:rPr>
          <w:rFonts w:asciiTheme="minorHAnsi" w:hAnsiTheme="minorHAnsi"/>
          <w:noProof/>
        </w:rPr>
      </w:pPr>
      <w:hyperlink w:anchor="_Toc447879477" w:history="1">
        <w:r w:rsidR="001D07EC" w:rsidRPr="008D1FB9">
          <w:rPr>
            <w:rStyle w:val="Hyperlink"/>
            <w:noProof/>
          </w:rPr>
          <w:t>16.</w:t>
        </w:r>
        <w:r w:rsidR="001D07EC">
          <w:rPr>
            <w:rFonts w:asciiTheme="minorHAnsi" w:hAnsiTheme="minorHAnsi"/>
            <w:noProof/>
          </w:rPr>
          <w:tab/>
        </w:r>
        <w:r w:rsidR="001D07EC" w:rsidRPr="008D1FB9">
          <w:rPr>
            <w:rStyle w:val="Hyperlink"/>
            <w:noProof/>
          </w:rPr>
          <w:t>Plans for Tabulation and Publication and Project Time Schedule</w:t>
        </w:r>
        <w:r w:rsidR="001D07EC">
          <w:rPr>
            <w:noProof/>
            <w:webHidden/>
          </w:rPr>
          <w:tab/>
        </w:r>
        <w:r w:rsidR="001D07EC">
          <w:rPr>
            <w:noProof/>
            <w:webHidden/>
          </w:rPr>
          <w:fldChar w:fldCharType="begin"/>
        </w:r>
        <w:r w:rsidR="001D07EC">
          <w:rPr>
            <w:noProof/>
            <w:webHidden/>
          </w:rPr>
          <w:instrText xml:space="preserve"> PAGEREF _Toc447879477 \h </w:instrText>
        </w:r>
        <w:r w:rsidR="001D07EC">
          <w:rPr>
            <w:noProof/>
            <w:webHidden/>
          </w:rPr>
        </w:r>
        <w:r w:rsidR="001D07EC">
          <w:rPr>
            <w:noProof/>
            <w:webHidden/>
          </w:rPr>
          <w:fldChar w:fldCharType="separate"/>
        </w:r>
        <w:r w:rsidR="001E6601">
          <w:rPr>
            <w:noProof/>
            <w:webHidden/>
          </w:rPr>
          <w:t>12</w:t>
        </w:r>
        <w:r w:rsidR="001D07EC">
          <w:rPr>
            <w:noProof/>
            <w:webHidden/>
          </w:rPr>
          <w:fldChar w:fldCharType="end"/>
        </w:r>
      </w:hyperlink>
    </w:p>
    <w:p w14:paraId="31EB7EA6" w14:textId="77777777" w:rsidR="001D07EC" w:rsidRDefault="00380324">
      <w:pPr>
        <w:pStyle w:val="TOC2"/>
        <w:rPr>
          <w:rFonts w:asciiTheme="minorHAnsi" w:hAnsiTheme="minorHAnsi"/>
          <w:noProof/>
        </w:rPr>
      </w:pPr>
      <w:hyperlink w:anchor="_Toc447879478" w:history="1">
        <w:r w:rsidR="001D07EC" w:rsidRPr="008D1FB9">
          <w:rPr>
            <w:rStyle w:val="Hyperlink"/>
            <w:noProof/>
          </w:rPr>
          <w:t>17.</w:t>
        </w:r>
        <w:r w:rsidR="001D07EC">
          <w:rPr>
            <w:rFonts w:asciiTheme="minorHAnsi" w:hAnsiTheme="minorHAnsi"/>
            <w:noProof/>
          </w:rPr>
          <w:tab/>
        </w:r>
        <w:r w:rsidR="001D07EC" w:rsidRPr="008D1FB9">
          <w:rPr>
            <w:rStyle w:val="Hyperlink"/>
            <w:noProof/>
          </w:rPr>
          <w:t>Reason(s) Display of OMB Expiration Date is Inappropriate</w:t>
        </w:r>
        <w:r w:rsidR="001D07EC">
          <w:rPr>
            <w:noProof/>
            <w:webHidden/>
          </w:rPr>
          <w:tab/>
        </w:r>
        <w:r w:rsidR="001D07EC">
          <w:rPr>
            <w:noProof/>
            <w:webHidden/>
          </w:rPr>
          <w:fldChar w:fldCharType="begin"/>
        </w:r>
        <w:r w:rsidR="001D07EC">
          <w:rPr>
            <w:noProof/>
            <w:webHidden/>
          </w:rPr>
          <w:instrText xml:space="preserve"> PAGEREF _Toc447879478 \h </w:instrText>
        </w:r>
        <w:r w:rsidR="001D07EC">
          <w:rPr>
            <w:noProof/>
            <w:webHidden/>
          </w:rPr>
        </w:r>
        <w:r w:rsidR="001D07EC">
          <w:rPr>
            <w:noProof/>
            <w:webHidden/>
          </w:rPr>
          <w:fldChar w:fldCharType="separate"/>
        </w:r>
        <w:r w:rsidR="001E6601">
          <w:rPr>
            <w:noProof/>
            <w:webHidden/>
          </w:rPr>
          <w:t>13</w:t>
        </w:r>
        <w:r w:rsidR="001D07EC">
          <w:rPr>
            <w:noProof/>
            <w:webHidden/>
          </w:rPr>
          <w:fldChar w:fldCharType="end"/>
        </w:r>
      </w:hyperlink>
    </w:p>
    <w:p w14:paraId="3266647F" w14:textId="77777777" w:rsidR="001D07EC" w:rsidRDefault="00380324">
      <w:pPr>
        <w:pStyle w:val="TOC2"/>
        <w:rPr>
          <w:rFonts w:asciiTheme="minorHAnsi" w:hAnsiTheme="minorHAnsi"/>
          <w:noProof/>
        </w:rPr>
      </w:pPr>
      <w:hyperlink w:anchor="_Toc447879479" w:history="1">
        <w:r w:rsidR="001D07EC" w:rsidRPr="008D1FB9">
          <w:rPr>
            <w:rStyle w:val="Hyperlink"/>
            <w:noProof/>
          </w:rPr>
          <w:t>18.</w:t>
        </w:r>
        <w:r w:rsidR="001D07EC">
          <w:rPr>
            <w:rFonts w:asciiTheme="minorHAnsi" w:hAnsiTheme="minorHAnsi"/>
            <w:noProof/>
          </w:rPr>
          <w:tab/>
        </w:r>
        <w:r w:rsidR="001D07EC" w:rsidRPr="008D1FB9">
          <w:rPr>
            <w:rStyle w:val="Hyperlink"/>
            <w:noProof/>
          </w:rPr>
          <w:t>Exceptions to Certification for Paperwork Reduction Act Submissions</w:t>
        </w:r>
        <w:r w:rsidR="001D07EC">
          <w:rPr>
            <w:noProof/>
            <w:webHidden/>
          </w:rPr>
          <w:tab/>
        </w:r>
        <w:r w:rsidR="001D07EC">
          <w:rPr>
            <w:noProof/>
            <w:webHidden/>
          </w:rPr>
          <w:fldChar w:fldCharType="begin"/>
        </w:r>
        <w:r w:rsidR="001D07EC">
          <w:rPr>
            <w:noProof/>
            <w:webHidden/>
          </w:rPr>
          <w:instrText xml:space="preserve"> PAGEREF _Toc447879479 \h </w:instrText>
        </w:r>
        <w:r w:rsidR="001D07EC">
          <w:rPr>
            <w:noProof/>
            <w:webHidden/>
          </w:rPr>
        </w:r>
        <w:r w:rsidR="001D07EC">
          <w:rPr>
            <w:noProof/>
            <w:webHidden/>
          </w:rPr>
          <w:fldChar w:fldCharType="separate"/>
        </w:r>
        <w:r w:rsidR="001E6601">
          <w:rPr>
            <w:noProof/>
            <w:webHidden/>
          </w:rPr>
          <w:t>13</w:t>
        </w:r>
        <w:r w:rsidR="001D07EC">
          <w:rPr>
            <w:noProof/>
            <w:webHidden/>
          </w:rPr>
          <w:fldChar w:fldCharType="end"/>
        </w:r>
      </w:hyperlink>
    </w:p>
    <w:p w14:paraId="7606D944" w14:textId="494CE74F" w:rsidR="001D07EC" w:rsidRDefault="00380324">
      <w:pPr>
        <w:pStyle w:val="TOC1"/>
        <w:tabs>
          <w:tab w:val="right" w:leader="dot" w:pos="9350"/>
        </w:tabs>
        <w:rPr>
          <w:rFonts w:asciiTheme="minorHAnsi" w:hAnsiTheme="minorHAnsi"/>
          <w:noProof/>
        </w:rPr>
      </w:pPr>
      <w:hyperlink w:anchor="_Toc447879480" w:history="1">
        <w:r w:rsidR="001D07EC" w:rsidRPr="008D1FB9">
          <w:rPr>
            <w:rStyle w:val="Hyperlink"/>
            <w:noProof/>
          </w:rPr>
          <w:t>LIST OF ATTACHMENTS – Section A</w:t>
        </w:r>
        <w:r w:rsidR="001D07EC">
          <w:rPr>
            <w:noProof/>
            <w:webHidden/>
          </w:rPr>
          <w:tab/>
        </w:r>
        <w:r w:rsidR="001D07EC">
          <w:rPr>
            <w:noProof/>
            <w:webHidden/>
          </w:rPr>
          <w:fldChar w:fldCharType="begin"/>
        </w:r>
        <w:r w:rsidR="001D07EC">
          <w:rPr>
            <w:noProof/>
            <w:webHidden/>
          </w:rPr>
          <w:instrText xml:space="preserve"> PAGEREF _Toc447879480 \h </w:instrText>
        </w:r>
        <w:r w:rsidR="001D07EC">
          <w:rPr>
            <w:noProof/>
            <w:webHidden/>
          </w:rPr>
        </w:r>
        <w:r w:rsidR="001D07EC">
          <w:rPr>
            <w:noProof/>
            <w:webHidden/>
          </w:rPr>
          <w:fldChar w:fldCharType="separate"/>
        </w:r>
        <w:r w:rsidR="001E6601">
          <w:rPr>
            <w:noProof/>
            <w:webHidden/>
          </w:rPr>
          <w:t>13</w:t>
        </w:r>
        <w:r w:rsidR="001D07EC">
          <w:rPr>
            <w:noProof/>
            <w:webHidden/>
          </w:rPr>
          <w:fldChar w:fldCharType="end"/>
        </w:r>
      </w:hyperlink>
    </w:p>
    <w:p w14:paraId="7994D65E" w14:textId="77777777" w:rsidR="003860A5" w:rsidRDefault="003860A5" w:rsidP="00CA5840">
      <w:pPr>
        <w:pStyle w:val="Heading3"/>
        <w:ind w:left="0"/>
      </w:pPr>
      <w:r>
        <w:fldChar w:fldCharType="end"/>
      </w:r>
    </w:p>
    <w:bookmarkStart w:id="2" w:name="_Toc413847747"/>
    <w:bookmarkStart w:id="3" w:name="_Toc447879460"/>
    <w:p w14:paraId="5FD9876F" w14:textId="51A4FE69" w:rsidR="00D82FA4"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anchor distT="0" distB="0" distL="114300" distR="114300" simplePos="0" relativeHeight="251658240" behindDoc="1" locked="0" layoutInCell="1" allowOverlap="1" wp14:anchorId="796EAB7D" wp14:editId="27440DB8">
                <wp:simplePos x="0" y="0"/>
                <wp:positionH relativeFrom="margin">
                  <wp:align>left</wp:align>
                </wp:positionH>
                <wp:positionV relativeFrom="paragraph">
                  <wp:posOffset>0</wp:posOffset>
                </wp:positionV>
                <wp:extent cx="6162675" cy="3038475"/>
                <wp:effectExtent l="0" t="0" r="28575" b="28575"/>
                <wp:wrapTight wrapText="bothSides">
                  <wp:wrapPolygon edited="0">
                    <wp:start x="0" y="0"/>
                    <wp:lineTo x="0" y="21668"/>
                    <wp:lineTo x="21633" y="21668"/>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038475"/>
                        </a:xfrm>
                        <a:prstGeom prst="rect">
                          <a:avLst/>
                        </a:prstGeom>
                        <a:solidFill>
                          <a:srgbClr val="FFFFFF"/>
                        </a:solidFill>
                        <a:ln w="9525">
                          <a:solidFill>
                            <a:srgbClr val="000000"/>
                          </a:solidFill>
                          <a:miter lim="800000"/>
                          <a:headEnd/>
                          <a:tailEnd/>
                        </a:ln>
                      </wps:spPr>
                      <wps:txbx>
                        <w:txbxContent>
                          <w:p w14:paraId="31306B09" w14:textId="5A675645" w:rsidR="00BF06C1" w:rsidRDefault="00BF06C1" w:rsidP="00F30E84">
                            <w:pPr>
                              <w:pStyle w:val="ListParagraph"/>
                              <w:numPr>
                                <w:ilvl w:val="0"/>
                                <w:numId w:val="34"/>
                              </w:numPr>
                              <w:tabs>
                                <w:tab w:val="clear" w:pos="9360"/>
                              </w:tabs>
                              <w:spacing w:after="200"/>
                            </w:pPr>
                            <w:r w:rsidRPr="00A27FD8">
                              <w:rPr>
                                <w:b/>
                              </w:rPr>
                              <w:t>Goal of the study:</w:t>
                            </w:r>
                            <w:r>
                              <w:t xml:space="preserve"> To assess levels of awareness and/or practice of the principles of disaster risk reduction (DRR) and identify barriers to knowledge and implementation among state and territorial public health preparedness programs in the US.  </w:t>
                            </w:r>
                          </w:p>
                          <w:p w14:paraId="5E66EE78" w14:textId="2F89AF0F" w:rsidR="00BF06C1" w:rsidRDefault="00BF06C1" w:rsidP="00F30E84">
                            <w:pPr>
                              <w:pStyle w:val="ListParagraph"/>
                              <w:numPr>
                                <w:ilvl w:val="0"/>
                                <w:numId w:val="34"/>
                              </w:numPr>
                              <w:tabs>
                                <w:tab w:val="clear" w:pos="9360"/>
                              </w:tabs>
                              <w:spacing w:after="200"/>
                            </w:pPr>
                            <w:r w:rsidRPr="00C220B1">
                              <w:rPr>
                                <w:b/>
                              </w:rPr>
                              <w:t xml:space="preserve">Intended use of the resulting data:  </w:t>
                            </w:r>
                            <w:r>
                              <w:t>The data will be used to identify research needs, education/training gaps, barriers to implementation, and best practices of DRR for health to ultimately help translate DRR concepts into public health practice.  Data will also be used to inform activities related to the implementation of the National Platform for the Sendai Framework for Disaster Risk Reduction 2015 - 2030.</w:t>
                            </w:r>
                          </w:p>
                          <w:p w14:paraId="715A28A6" w14:textId="26A0E454" w:rsidR="00BF06C1" w:rsidRDefault="00BF06C1" w:rsidP="00F30E84">
                            <w:pPr>
                              <w:pStyle w:val="ListParagraph"/>
                              <w:numPr>
                                <w:ilvl w:val="0"/>
                                <w:numId w:val="34"/>
                              </w:numPr>
                              <w:tabs>
                                <w:tab w:val="clear" w:pos="9360"/>
                              </w:tabs>
                              <w:spacing w:after="200"/>
                            </w:pPr>
                            <w:r w:rsidRPr="00A27FD8">
                              <w:rPr>
                                <w:b/>
                              </w:rPr>
                              <w:t>Methods to be used to collect</w:t>
                            </w:r>
                            <w:r>
                              <w:t>:  A web-based assessment will be used to collect data from respondents.</w:t>
                            </w:r>
                          </w:p>
                          <w:p w14:paraId="7AED7D94" w14:textId="365006A8" w:rsidR="00BF06C1" w:rsidRDefault="00BF06C1" w:rsidP="00F30E84">
                            <w:pPr>
                              <w:pStyle w:val="ListParagraph"/>
                              <w:numPr>
                                <w:ilvl w:val="0"/>
                                <w:numId w:val="34"/>
                              </w:numPr>
                              <w:tabs>
                                <w:tab w:val="clear" w:pos="9360"/>
                              </w:tabs>
                              <w:spacing w:after="200"/>
                            </w:pPr>
                            <w:r w:rsidRPr="00A27FD8">
                              <w:rPr>
                                <w:b/>
                              </w:rPr>
                              <w:t>The subpopulation to be studied</w:t>
                            </w:r>
                            <w:r>
                              <w:t>: The respondent universe includes 56 (50 states, 5 territorial, and the District of Columbia) public health emergency preparedness program directors  funded under the Centers for Disease Control and Prevention (CDC) Public Health Emergency Preparedness (PHEP) cooperative agreement managed by OPHPR/DSLR.</w:t>
                            </w:r>
                          </w:p>
                          <w:p w14:paraId="4BD4E05C" w14:textId="62B18D22" w:rsidR="00BF06C1" w:rsidRDefault="00BF06C1" w:rsidP="00F30E84">
                            <w:pPr>
                              <w:pStyle w:val="ListParagraph"/>
                              <w:numPr>
                                <w:ilvl w:val="0"/>
                                <w:numId w:val="34"/>
                              </w:numPr>
                              <w:tabs>
                                <w:tab w:val="clear" w:pos="9360"/>
                              </w:tabs>
                              <w:spacing w:after="200"/>
                            </w:pPr>
                            <w:r w:rsidRPr="00C20572">
                              <w:rPr>
                                <w:b/>
                              </w:rPr>
                              <w:t>How data will be analyzed:</w:t>
                            </w:r>
                            <w:r>
                              <w:t xml:space="preserve"> Descriptive statistical analyses of responses will be conducted.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96EAB7D" id="_x0000_t202" coordsize="21600,21600" o:spt="202" path="m,l,21600r21600,l21600,xe">
                <v:stroke joinstyle="miter"/>
                <v:path gradientshapeok="t" o:connecttype="rect"/>
              </v:shapetype>
              <v:shape id="Text Box 2" o:spid="_x0000_s1026" type="#_x0000_t202" style="position:absolute;margin-left:0;margin-top:0;width:485.25pt;height:239.2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">
                <v:textbox>
                  <w:txbxContent>
                    <w:p w14:paraId="31306B09" w14:textId="5A675645" w:rsidR="00BF06C1" w:rsidRDefault="00BF06C1" w:rsidP="00F30E84">
                      <w:pPr>
                        <w:pStyle w:val="ListParagraph"/>
                        <w:numPr>
                          <w:ilvl w:val="0"/>
                          <w:numId w:val="34"/>
                        </w:numPr>
                        <w:tabs>
                          <w:tab w:val="clear" w:pos="9360"/>
                        </w:tabs>
                        <w:spacing w:after="200"/>
                      </w:pPr>
                      <w:r w:rsidRPr="00A27FD8">
                        <w:rPr>
                          <w:b/>
                        </w:rPr>
                        <w:t>Goal of the study:</w:t>
                      </w:r>
                      <w:r>
                        <w:t xml:space="preserve"> To assess levels of awareness and/or practice of the principles of disaster risk reduction (DRR) and identify barriers to knowledge and implementation among state and territorial public health preparedness programs in the US.  </w:t>
                      </w:r>
                    </w:p>
                    <w:p w14:paraId="5E66EE78" w14:textId="2F89AF0F" w:rsidR="00BF06C1" w:rsidRDefault="00BF06C1" w:rsidP="00F30E84">
                      <w:pPr>
                        <w:pStyle w:val="ListParagraph"/>
                        <w:numPr>
                          <w:ilvl w:val="0"/>
                          <w:numId w:val="34"/>
                        </w:numPr>
                        <w:tabs>
                          <w:tab w:val="clear" w:pos="9360"/>
                        </w:tabs>
                        <w:spacing w:after="200"/>
                      </w:pPr>
                      <w:r w:rsidRPr="00C220B1">
                        <w:rPr>
                          <w:b/>
                        </w:rPr>
                        <w:t xml:space="preserve">Intended use of the resulting data:  </w:t>
                      </w:r>
                      <w:r>
                        <w:t>The data will be used to identify research needs, education/training gaps, barriers to implementation, and best practices of DRR for health to ultimately help translate DRR concepts into public health practice.  Data will also be used to inform activities related to the implementation of the National Platform for the Sendai Framework for Disaster Risk Reduction 2015 - 2030.</w:t>
                      </w:r>
                    </w:p>
                    <w:p w14:paraId="715A28A6" w14:textId="26A0E454" w:rsidR="00BF06C1" w:rsidRDefault="00BF06C1" w:rsidP="00F30E84">
                      <w:pPr>
                        <w:pStyle w:val="ListParagraph"/>
                        <w:numPr>
                          <w:ilvl w:val="0"/>
                          <w:numId w:val="34"/>
                        </w:numPr>
                        <w:tabs>
                          <w:tab w:val="clear" w:pos="9360"/>
                        </w:tabs>
                        <w:spacing w:after="200"/>
                      </w:pPr>
                      <w:r w:rsidRPr="00A27FD8">
                        <w:rPr>
                          <w:b/>
                        </w:rPr>
                        <w:t>Methods to be used to collect</w:t>
                      </w:r>
                      <w:r>
                        <w:t>:  A web-based assessment will be used to collect data from respondents.</w:t>
                      </w:r>
                    </w:p>
                    <w:p w14:paraId="7AED7D94" w14:textId="365006A8" w:rsidR="00BF06C1" w:rsidRDefault="00BF06C1" w:rsidP="00F30E84">
                      <w:pPr>
                        <w:pStyle w:val="ListParagraph"/>
                        <w:numPr>
                          <w:ilvl w:val="0"/>
                          <w:numId w:val="34"/>
                        </w:numPr>
                        <w:tabs>
                          <w:tab w:val="clear" w:pos="9360"/>
                        </w:tabs>
                        <w:spacing w:after="200"/>
                      </w:pPr>
                      <w:r w:rsidRPr="00A27FD8">
                        <w:rPr>
                          <w:b/>
                        </w:rPr>
                        <w:t>The subpopulation to be studied</w:t>
                      </w:r>
                      <w:r>
                        <w:t>: The respondent universe includes 56 (50 states, 5 territorial, and the District of Columbia) public health emergency preparedness program directors  funded under the Centers for Disease Control and Prevention (CDC) Public Health Emergency Preparedness (PHEP) cooperative agreement managed by OPHPR/DSLR.</w:t>
                      </w:r>
                    </w:p>
                    <w:p w14:paraId="4BD4E05C" w14:textId="62B18D22" w:rsidR="00BF06C1" w:rsidRDefault="00BF06C1" w:rsidP="00F30E84">
                      <w:pPr>
                        <w:pStyle w:val="ListParagraph"/>
                        <w:numPr>
                          <w:ilvl w:val="0"/>
                          <w:numId w:val="34"/>
                        </w:numPr>
                        <w:tabs>
                          <w:tab w:val="clear" w:pos="9360"/>
                        </w:tabs>
                        <w:spacing w:after="200"/>
                      </w:pPr>
                      <w:r w:rsidRPr="00C20572">
                        <w:rPr>
                          <w:b/>
                        </w:rPr>
                        <w:t>How data will be analyzed:</w:t>
                      </w:r>
                      <w:r>
                        <w:t xml:space="preserve"> Descriptive statistical analyses of responses will be conducted.</w:t>
                      </w:r>
                    </w:p>
                  </w:txbxContent>
                </v:textbox>
                <w10:wrap type="tight" anchorx="margin"/>
              </v:shape>
            </w:pict>
          </mc:Fallback>
        </mc:AlternateContent>
      </w:r>
      <w:bookmarkEnd w:id="2"/>
      <w:bookmarkEnd w:id="3"/>
    </w:p>
    <w:p w14:paraId="454FCFAD" w14:textId="77777777" w:rsidR="00CD1EA8" w:rsidRPr="007D6163" w:rsidRDefault="00CD1EA8" w:rsidP="00CA5840">
      <w:pPr>
        <w:pStyle w:val="Heading3"/>
        <w:ind w:left="0"/>
      </w:pPr>
      <w:bookmarkStart w:id="4" w:name="_Toc447879461"/>
      <w:r w:rsidRPr="007D6163">
        <w:t>Section A</w:t>
      </w:r>
      <w:r w:rsidR="00B12F51" w:rsidRPr="007D6163">
        <w:t xml:space="preserve"> – Justification</w:t>
      </w:r>
      <w:bookmarkEnd w:id="4"/>
    </w:p>
    <w:p w14:paraId="21DEEB01" w14:textId="77777777" w:rsidR="00B12F51" w:rsidRDefault="00B12F51" w:rsidP="007D6163"/>
    <w:p w14:paraId="7FEA3FF4" w14:textId="77777777" w:rsidR="00CD1EA8" w:rsidRPr="007D6163" w:rsidRDefault="00B12F51" w:rsidP="00692DEB">
      <w:pPr>
        <w:pStyle w:val="Heading4"/>
      </w:pPr>
      <w:bookmarkStart w:id="5" w:name="_Toc447879462"/>
      <w:r w:rsidRPr="00692DEB">
        <w:t>Circumstances</w:t>
      </w:r>
      <w:r w:rsidRPr="007D6163">
        <w:t xml:space="preserve"> Making the Collection of Information </w:t>
      </w:r>
      <w:r w:rsidRPr="00692DEB">
        <w:t>Necessary</w:t>
      </w:r>
      <w:bookmarkEnd w:id="5"/>
    </w:p>
    <w:p w14:paraId="58A4757D" w14:textId="77777777" w:rsidR="00E33E1B" w:rsidRPr="007D6163" w:rsidRDefault="00E33E1B" w:rsidP="00692DEB">
      <w:pPr>
        <w:pStyle w:val="Heading5"/>
        <w:spacing w:after="120"/>
        <w:ind w:left="0"/>
      </w:pPr>
      <w:r w:rsidRPr="007D6163">
        <w:t>Background</w:t>
      </w:r>
    </w:p>
    <w:p w14:paraId="383C345F" w14:textId="48C391FC" w:rsidR="0019164D" w:rsidRPr="00711BFA" w:rsidRDefault="004F67A8" w:rsidP="00F30E84">
      <w:pPr>
        <w:ind w:left="0"/>
      </w:pPr>
      <w:r>
        <w:t xml:space="preserve">This </w:t>
      </w:r>
      <w:r w:rsidR="00157413">
        <w:t>information collection</w:t>
      </w:r>
      <w:r w:rsidR="00484011">
        <w:t xml:space="preserve"> </w:t>
      </w:r>
      <w:r w:rsidR="00354489">
        <w:t xml:space="preserve">will be </w:t>
      </w:r>
      <w:r w:rsidR="00484011">
        <w:t xml:space="preserve">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2F6E37">
        <w:t xml:space="preserve"> 56</w:t>
      </w:r>
      <w:r w:rsidR="00D15ABA">
        <w:t xml:space="preserve"> </w:t>
      </w:r>
      <w:r w:rsidR="00067195">
        <w:t xml:space="preserve">Centers for Disease Control and Prevention (CDC) Public Health Emergency Preparedness (PHEP) </w:t>
      </w:r>
      <w:r w:rsidR="00D15ABA">
        <w:t xml:space="preserve">grantees, </w:t>
      </w:r>
      <w:r w:rsidR="005E547E">
        <w:t>specifically</w:t>
      </w:r>
      <w:r w:rsidR="00D15ABA">
        <w:t xml:space="preserve"> </w:t>
      </w:r>
      <w:r w:rsidR="00B17C95" w:rsidRPr="00C20572">
        <w:t>Program Directors</w:t>
      </w:r>
      <w:r w:rsidR="00F07088">
        <w:t xml:space="preserve"> </w:t>
      </w:r>
      <w:r w:rsidR="00D15ABA">
        <w:t xml:space="preserve">of Public Health Preparedness in 56 </w:t>
      </w:r>
      <w:r w:rsidR="00161675">
        <w:t>(</w:t>
      </w:r>
      <w:r w:rsidR="00161675" w:rsidRPr="002F6E37">
        <w:t>50 state</w:t>
      </w:r>
      <w:r w:rsidR="00161675">
        <w:t>s</w:t>
      </w:r>
      <w:r w:rsidR="00161675" w:rsidRPr="002F6E37">
        <w:t>, 5 territori</w:t>
      </w:r>
      <w:r w:rsidR="00161675">
        <w:t>es,</w:t>
      </w:r>
      <w:r w:rsidR="00161675" w:rsidRPr="002F6E37">
        <w:t xml:space="preserve"> and </w:t>
      </w:r>
      <w:r w:rsidR="00161675">
        <w:t>the District of Columbia)</w:t>
      </w:r>
      <w:r w:rsidR="00B17C95" w:rsidRPr="00C20572">
        <w:t xml:space="preserve"> </w:t>
      </w:r>
      <w:r w:rsidR="00D15ABA">
        <w:t>state and</w:t>
      </w:r>
      <w:r w:rsidR="00161675">
        <w:t xml:space="preserve"> territorial health departments</w:t>
      </w:r>
      <w:r w:rsidR="00F07088">
        <w:t xml:space="preserve"> acting in their official capacities</w:t>
      </w:r>
      <w:r w:rsidR="002F6E37">
        <w:t>.</w:t>
      </w:r>
      <w:r w:rsidR="00A94A31">
        <w:t xml:space="preserve">  </w:t>
      </w:r>
      <w:r w:rsidR="00354489">
        <w:t>Throughout the continuation of this document, “Program Directors” will refer to the aforementioned 56</w:t>
      </w:r>
      <w:r w:rsidR="00354489">
        <w:rPr>
          <w:color w:val="0070C0"/>
        </w:rPr>
        <w:t xml:space="preserve"> </w:t>
      </w:r>
      <w:r w:rsidR="00354489" w:rsidRPr="009F06B1">
        <w:t xml:space="preserve">Program Directors of the CDC </w:t>
      </w:r>
      <w:r w:rsidR="00C6000D">
        <w:t>PHEP</w:t>
      </w:r>
      <w:r w:rsidR="00354489" w:rsidRPr="009F06B1">
        <w:t xml:space="preserve"> cooperative agreement</w:t>
      </w:r>
      <w:r w:rsidR="00354489">
        <w:t>.</w:t>
      </w:r>
    </w:p>
    <w:p w14:paraId="78B1F2EE" w14:textId="77777777" w:rsidR="009252DC" w:rsidRDefault="009252DC" w:rsidP="001F7CD1"/>
    <w:p w14:paraId="25B625B1" w14:textId="77777777" w:rsidR="002118E4" w:rsidRDefault="00350C8C" w:rsidP="005B58C4">
      <w:pPr>
        <w:ind w:left="0"/>
        <w:rPr>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of</w:t>
      </w:r>
      <w:r w:rsidR="002118E4">
        <w:rPr>
          <w:iCs/>
        </w:rPr>
        <w:t>:</w:t>
      </w:r>
    </w:p>
    <w:p w14:paraId="5E9FDD10" w14:textId="77777777" w:rsidR="002118E4" w:rsidRDefault="002118E4">
      <w:pPr>
        <w:pStyle w:val="NoSpacing"/>
        <w:spacing w:line="276" w:lineRule="auto"/>
        <w:ind w:left="360"/>
        <w:rPr>
          <w:rFonts w:asciiTheme="majorHAnsi" w:hAnsiTheme="majorHAnsi"/>
          <w:iCs/>
        </w:rPr>
      </w:pPr>
    </w:p>
    <w:p w14:paraId="35F0A68D" w14:textId="5DF7D183" w:rsidR="002118E4" w:rsidRPr="00774689" w:rsidRDefault="00D03596">
      <w:pPr>
        <w:ind w:left="360"/>
      </w:pPr>
      <w:r>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6"/>
      <w:r w:rsidR="002118E4" w:rsidRPr="00774689">
        <w:rPr>
          <w:rFonts w:ascii="Shruti" w:eastAsia="Times New Roman" w:hAnsi="Shruti" w:cs="Shruti"/>
          <w:sz w:val="16"/>
          <w:szCs w:val="14"/>
        </w:rPr>
        <w:t xml:space="preserve"> </w:t>
      </w:r>
      <w:r w:rsidR="002118E4" w:rsidRPr="00774689">
        <w:t>1. Monitoring health status to identify community health problems</w:t>
      </w:r>
    </w:p>
    <w:p w14:paraId="6C322CBD" w14:textId="0096A8D4" w:rsidR="002118E4" w:rsidRPr="00774689" w:rsidRDefault="00D03596">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2. Diagnosing and investigating health problems and health hazards in the community</w:t>
      </w:r>
    </w:p>
    <w:p w14:paraId="5BEB2D5E" w14:textId="6213CD44" w:rsidR="002118E4" w:rsidRPr="00774689" w:rsidRDefault="00D03596">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3. Informing, educating, and empowering people about health issues</w:t>
      </w:r>
    </w:p>
    <w:p w14:paraId="68385FC3" w14:textId="21CB2D5D" w:rsidR="002118E4" w:rsidRPr="00774689" w:rsidRDefault="00D03596">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4. Mobilizing community partnerships to identify and solve health problems</w:t>
      </w:r>
    </w:p>
    <w:p w14:paraId="55BEBC44" w14:textId="1FA22935" w:rsidR="002118E4" w:rsidRPr="00774689" w:rsidRDefault="00D03596">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5. Development of policies and plans that support individual and community health efforts</w:t>
      </w:r>
    </w:p>
    <w:p w14:paraId="11496348" w14:textId="7BAEA908" w:rsidR="002118E4" w:rsidRPr="00774689" w:rsidRDefault="002D75E8">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6. Enforcement of laws and regulations that protect health and ensure safety</w:t>
      </w:r>
    </w:p>
    <w:p w14:paraId="47728E2F" w14:textId="77777777" w:rsidR="002118E4" w:rsidRPr="00774689" w:rsidRDefault="002118E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10C5706D" w14:textId="77777777" w:rsidR="002118E4" w:rsidRPr="00774689" w:rsidRDefault="002118E4">
      <w:r w:rsidRPr="00774689">
        <w:t>when otherwise unavailable</w:t>
      </w:r>
    </w:p>
    <w:p w14:paraId="0176C6CA" w14:textId="097DC480" w:rsidR="002118E4" w:rsidRPr="00774689" w:rsidRDefault="00D03596">
      <w:pPr>
        <w:ind w:left="360"/>
      </w:pPr>
      <w:r>
        <w:rPr>
          <w:rFonts w:ascii="Shruti" w:eastAsia="Times New Roman" w:hAnsi="Shruti" w:cs="Shruti"/>
          <w:sz w:val="16"/>
          <w:szCs w:val="14"/>
        </w:rPr>
        <w:lastRenderedPageBreak/>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8. Assuring a competent public health and personal health care workforce</w:t>
      </w:r>
    </w:p>
    <w:p w14:paraId="44B4E7E8" w14:textId="1C5CA27B" w:rsidR="002118E4" w:rsidRDefault="002118E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9. Evaluating effectiveness, accessibility, and quality of personal and population-based </w:t>
      </w:r>
      <w:r>
        <w:t xml:space="preserve"> </w:t>
      </w:r>
    </w:p>
    <w:p w14:paraId="6B3195C8" w14:textId="77777777" w:rsidR="002118E4" w:rsidRPr="00774689" w:rsidRDefault="002118E4">
      <w:r w:rsidRPr="00774689">
        <w:t>health services</w:t>
      </w:r>
    </w:p>
    <w:p w14:paraId="684C118A" w14:textId="7CB66165" w:rsidR="002118E4" w:rsidRDefault="00161675">
      <w:pPr>
        <w:pStyle w:val="NoSpacing"/>
        <w:spacing w:line="276" w:lineRule="auto"/>
        <w:ind w:left="360"/>
        <w:rPr>
          <w:rFonts w:asciiTheme="majorHAnsi" w:eastAsiaTheme="minorEastAsia" w:hAnsiTheme="majorHAnsi" w:cstheme="minorBidi"/>
        </w:rPr>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380324">
        <w:rPr>
          <w:rFonts w:ascii="Shruti" w:eastAsia="Times New Roman" w:hAnsi="Shruti" w:cs="Shruti"/>
          <w:sz w:val="16"/>
          <w:szCs w:val="14"/>
        </w:rPr>
      </w:r>
      <w:r w:rsidR="0038032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2118E4" w:rsidRPr="00774689">
        <w:rPr>
          <w:rFonts w:ascii="Shruti" w:eastAsia="Times New Roman" w:hAnsi="Shruti" w:cs="Shruti"/>
          <w:sz w:val="16"/>
          <w:szCs w:val="14"/>
        </w:rPr>
        <w:t xml:space="preserve"> </w:t>
      </w:r>
      <w:r w:rsidR="002118E4" w:rsidRPr="00774689">
        <w:t>10. Research for new insights and innovative solutions to health problems</w:t>
      </w:r>
      <w:r w:rsidR="002118E4" w:rsidRPr="00774689">
        <w:rPr>
          <w:iCs/>
          <w:vertAlign w:val="superscript"/>
        </w:rPr>
        <w:t xml:space="preserve"> 1</w:t>
      </w:r>
    </w:p>
    <w:p w14:paraId="7ED1FC52" w14:textId="77777777" w:rsidR="002118E4" w:rsidRDefault="002118E4">
      <w:pPr>
        <w:ind w:left="0"/>
        <w:rPr>
          <w:iCs/>
        </w:rPr>
      </w:pPr>
    </w:p>
    <w:p w14:paraId="609594F9" w14:textId="0C71CA2F" w:rsidR="008E0ECF" w:rsidRDefault="001E7537">
      <w:pPr>
        <w:ind w:left="0"/>
      </w:pPr>
      <w:r w:rsidRPr="00B43AFE">
        <w:rPr>
          <w:iCs/>
        </w:rPr>
        <w:t xml:space="preserve"> </w:t>
      </w:r>
      <w:r w:rsidR="00580D87">
        <w:t>B</w:t>
      </w:r>
      <w:r w:rsidR="009F191E" w:rsidRPr="0028460D">
        <w:rPr>
          <w:szCs w:val="20"/>
        </w:rPr>
        <w:t xml:space="preserve">etween the years 2000 and 2015, there have been 438 disasters </w:t>
      </w:r>
      <w:r w:rsidR="00580D87">
        <w:rPr>
          <w:szCs w:val="20"/>
        </w:rPr>
        <w:t>i</w:t>
      </w:r>
      <w:r w:rsidR="00580D87" w:rsidRPr="00580D87">
        <w:rPr>
          <w:szCs w:val="20"/>
        </w:rPr>
        <w:t>n the United States</w:t>
      </w:r>
      <w:r w:rsidR="009F191E" w:rsidRPr="0028460D">
        <w:rPr>
          <w:szCs w:val="20"/>
        </w:rPr>
        <w:t xml:space="preserve">. These </w:t>
      </w:r>
      <w:r w:rsidR="00DD3B16" w:rsidRPr="0028460D">
        <w:rPr>
          <w:szCs w:val="20"/>
        </w:rPr>
        <w:t>dis</w:t>
      </w:r>
      <w:r w:rsidR="00DD3B16">
        <w:rPr>
          <w:szCs w:val="20"/>
        </w:rPr>
        <w:t xml:space="preserve">asters have </w:t>
      </w:r>
      <w:r w:rsidR="009F191E" w:rsidRPr="007A2901">
        <w:rPr>
          <w:szCs w:val="20"/>
        </w:rPr>
        <w:t>caused 7</w:t>
      </w:r>
      <w:r w:rsidR="00C76C9A">
        <w:t>,</w:t>
      </w:r>
      <w:r w:rsidR="009F191E" w:rsidRPr="0028460D">
        <w:rPr>
          <w:szCs w:val="20"/>
        </w:rPr>
        <w:t xml:space="preserve">476 deaths and 13,389 injuries, ultimately </w:t>
      </w:r>
      <w:r w:rsidR="00DD3B16">
        <w:rPr>
          <w:szCs w:val="20"/>
        </w:rPr>
        <w:t xml:space="preserve">causing </w:t>
      </w:r>
      <w:r w:rsidR="009F191E" w:rsidRPr="0028460D">
        <w:rPr>
          <w:szCs w:val="20"/>
        </w:rPr>
        <w:t xml:space="preserve">21.6 </w:t>
      </w:r>
      <w:r w:rsidR="009F191E" w:rsidRPr="007A2901">
        <w:rPr>
          <w:szCs w:val="20"/>
        </w:rPr>
        <w:t xml:space="preserve">million people to require </w:t>
      </w:r>
      <w:r w:rsidR="00C76C9A">
        <w:t xml:space="preserve">immediate assistance, and resulting in an estimated cost in excess of </w:t>
      </w:r>
      <w:r w:rsidR="009F191E" w:rsidRPr="0028460D">
        <w:rPr>
          <w:szCs w:val="20"/>
        </w:rPr>
        <w:t xml:space="preserve">$571 billion </w:t>
      </w:r>
      <w:r w:rsidR="009F191E" w:rsidRPr="00580D87">
        <w:rPr>
          <w:szCs w:val="20"/>
        </w:rPr>
        <w:t>USD</w:t>
      </w:r>
      <w:r w:rsidR="00580D87" w:rsidRPr="00580D87">
        <w:rPr>
          <w:szCs w:val="20"/>
          <w:vertAlign w:val="superscript"/>
        </w:rPr>
        <w:t>2</w:t>
      </w:r>
      <w:r w:rsidR="009F191E" w:rsidRPr="002841A7">
        <w:rPr>
          <w:szCs w:val="20"/>
        </w:rPr>
        <w:t xml:space="preserve">. </w:t>
      </w:r>
      <w:r w:rsidR="00696214">
        <w:t xml:space="preserve"> As the impacts of disasters, both social and economic, continue to rise, it is incumbent upon governments at all levels to invest in strategies </w:t>
      </w:r>
      <w:r w:rsidR="00B834C0">
        <w:t xml:space="preserve">with the goal of </w:t>
      </w:r>
      <w:r w:rsidR="00696214">
        <w:t>protect</w:t>
      </w:r>
      <w:r w:rsidR="00B834C0">
        <w:t>ing</w:t>
      </w:r>
      <w:r w:rsidR="00696214">
        <w:t xml:space="preserve"> </w:t>
      </w:r>
      <w:r w:rsidR="00696214" w:rsidRPr="00696214">
        <w:t xml:space="preserve">human lives and </w:t>
      </w:r>
      <w:r w:rsidR="00B834C0">
        <w:t>lowering</w:t>
      </w:r>
      <w:r w:rsidR="00696214" w:rsidRPr="00696214">
        <w:t xml:space="preserve"> vulnerability.  </w:t>
      </w:r>
      <w:r w:rsidR="00696214">
        <w:t xml:space="preserve">Disaster risk reduction (DRR) is the practice of addressing the causal factors of disaster through </w:t>
      </w:r>
      <w:r w:rsidR="00696214" w:rsidRPr="00696214">
        <w:t>systems-wide analysis and action. DRR emphasizes a</w:t>
      </w:r>
      <w:r w:rsidR="00B834C0">
        <w:t xml:space="preserve"> </w:t>
      </w:r>
      <w:r w:rsidR="00696214" w:rsidRPr="00696214">
        <w:t>“culture of prevention” over the reactive “mitigate, prepare, respond, and recover” cycle (U</w:t>
      </w:r>
      <w:r w:rsidR="00D80152">
        <w:t xml:space="preserve">nited </w:t>
      </w:r>
      <w:r w:rsidR="00696214" w:rsidRPr="00696214">
        <w:t>N</w:t>
      </w:r>
      <w:r w:rsidR="00D80152">
        <w:t>ations Office for Disaster Risk Reduction</w:t>
      </w:r>
      <w:r w:rsidR="00696214" w:rsidRPr="00696214">
        <w:t>).</w:t>
      </w:r>
      <w:r w:rsidR="00696214">
        <w:t xml:space="preserve">  </w:t>
      </w:r>
    </w:p>
    <w:p w14:paraId="4F1B45BB" w14:textId="77777777" w:rsidR="008E0ECF" w:rsidRDefault="008E0ECF">
      <w:pPr>
        <w:ind w:left="0"/>
      </w:pPr>
    </w:p>
    <w:p w14:paraId="644F06CD" w14:textId="59D09C88" w:rsidR="008E0ECF" w:rsidRDefault="008E0ECF">
      <w:pPr>
        <w:ind w:left="0"/>
      </w:pPr>
      <w:r w:rsidRPr="0028460D">
        <w:t xml:space="preserve">The </w:t>
      </w:r>
      <w:r>
        <w:t>principles of DRR</w:t>
      </w:r>
      <w:r w:rsidRPr="0028460D">
        <w:t xml:space="preserve"> </w:t>
      </w:r>
      <w:r>
        <w:t xml:space="preserve">have been around </w:t>
      </w:r>
      <w:r w:rsidRPr="0028460D">
        <w:t>since the 1990s</w:t>
      </w:r>
      <w:r>
        <w:t xml:space="preserve">, but gained </w:t>
      </w:r>
      <w:r w:rsidR="00580D87">
        <w:t xml:space="preserve">greater </w:t>
      </w:r>
      <w:r>
        <w:t xml:space="preserve">global attention following the 2004 Indian Ocean earthquake and tsunami.  This event remains </w:t>
      </w:r>
      <w:r w:rsidRPr="00937137">
        <w:t>the third-largest earthquake ever recorded</w:t>
      </w:r>
      <w:r>
        <w:t>, and one of t</w:t>
      </w:r>
      <w:r w:rsidR="00F3322A">
        <w:t>he worst disasters in history</w:t>
      </w:r>
      <w:r w:rsidR="00F3322A" w:rsidRPr="00FF23E5">
        <w:t xml:space="preserve">. </w:t>
      </w:r>
      <w:r w:rsidR="00F3322A" w:rsidRPr="00C20572">
        <w:rPr>
          <w:vertAlign w:val="superscript"/>
        </w:rPr>
        <w:t>3</w:t>
      </w:r>
      <w:r w:rsidR="00F3322A">
        <w:rPr>
          <w:vertAlign w:val="superscript"/>
        </w:rPr>
        <w:t xml:space="preserve"> </w:t>
      </w:r>
      <w:r>
        <w:t>This powerful earthquake triggered a series of tsunamis which impacted most countries bordering the Indian Ocean, killing a</w:t>
      </w:r>
      <w:r w:rsidR="0054655E">
        <w:t xml:space="preserve">pproximately </w:t>
      </w:r>
      <w:r>
        <w:t xml:space="preserve">230,000 </w:t>
      </w:r>
      <w:r w:rsidRPr="00783637">
        <w:t>people in 14 countries, and inundating coastal communities with waves up to 100 feet high</w:t>
      </w:r>
      <w:r w:rsidR="005E547E">
        <w:t>.</w:t>
      </w:r>
      <w:r w:rsidR="00A369C2" w:rsidRPr="00A369C2">
        <w:rPr>
          <w:vertAlign w:val="superscript"/>
        </w:rPr>
        <w:t>4</w:t>
      </w:r>
      <w:r w:rsidRPr="00783637">
        <w:t xml:space="preserve"> </w:t>
      </w:r>
      <w:r>
        <w:t>In many of the impacted areas, the tsunami presented by a dramatic receding of the ocean and, although these countries are in a tsunami prone part of the world, most bystanders did</w:t>
      </w:r>
      <w:r w:rsidR="005E547E">
        <w:t xml:space="preserve"> no</w:t>
      </w:r>
      <w:r>
        <w:t>t understand the implications of the earthquake and were taken by surprise when the tsunami arrived</w:t>
      </w:r>
      <w:r w:rsidR="005E547E">
        <w:t>.</w:t>
      </w:r>
      <w:r w:rsidRPr="00C20572">
        <w:rPr>
          <w:vertAlign w:val="superscript"/>
        </w:rPr>
        <w:t>3</w:t>
      </w:r>
      <w:r>
        <w:t xml:space="preserve"> Many of these people might have been saved had they </w:t>
      </w:r>
      <w:r w:rsidR="00584DFB">
        <w:t xml:space="preserve">understood their risk </w:t>
      </w:r>
      <w:r>
        <w:t xml:space="preserve">and </w:t>
      </w:r>
      <w:r w:rsidR="00334C41">
        <w:t xml:space="preserve">known </w:t>
      </w:r>
      <w:r>
        <w:t xml:space="preserve">what actions </w:t>
      </w:r>
      <w:r w:rsidR="00334C41">
        <w:t>to take in order t</w:t>
      </w:r>
      <w:r>
        <w:t>o protect themselves and their families</w:t>
      </w:r>
      <w:r w:rsidR="00584DFB">
        <w:t xml:space="preserve">.  </w:t>
      </w:r>
    </w:p>
    <w:p w14:paraId="46C4C794" w14:textId="77777777" w:rsidR="008E0ECF" w:rsidRDefault="008E0ECF">
      <w:pPr>
        <w:ind w:left="0"/>
      </w:pPr>
    </w:p>
    <w:p w14:paraId="1FD260D0" w14:textId="0148BC37" w:rsidR="009D22E6" w:rsidRDefault="009F191E">
      <w:pPr>
        <w:ind w:left="0"/>
      </w:pPr>
      <w:r w:rsidRPr="0028460D">
        <w:t xml:space="preserve">DRR </w:t>
      </w:r>
      <w:r w:rsidR="002D47BF" w:rsidRPr="00C20572">
        <w:t>is a systematic approach to identifying, assessing, and reducing the risks of disasters before they occur</w:t>
      </w:r>
      <w:r w:rsidR="002D47BF" w:rsidRPr="0028460D">
        <w:t xml:space="preserve">. </w:t>
      </w:r>
      <w:r w:rsidR="001A1DA7">
        <w:t>This approach seeks</w:t>
      </w:r>
      <w:r w:rsidR="00B700F2">
        <w:t xml:space="preserve"> </w:t>
      </w:r>
      <w:r w:rsidR="00B700F2" w:rsidRPr="00410689">
        <w:t>to address the root causes of disaster impacts by reducing hazard exposure, reducing vulnerability, and building adaptive capacity</w:t>
      </w:r>
      <w:r w:rsidR="005E547E">
        <w:t>.</w:t>
      </w:r>
      <w:r w:rsidR="00A369C2" w:rsidRPr="00A369C2">
        <w:rPr>
          <w:vertAlign w:val="superscript"/>
        </w:rPr>
        <w:t>5</w:t>
      </w:r>
      <w:r w:rsidR="00B700F2">
        <w:t xml:space="preserve"> </w:t>
      </w:r>
      <w:r w:rsidR="00354489">
        <w:t>Disaster risk reduction’s e</w:t>
      </w:r>
      <w:r w:rsidR="00F745A8">
        <w:t xml:space="preserve">mphasis on pre-disaster activities </w:t>
      </w:r>
      <w:r w:rsidR="005E547E">
        <w:t>is analogous</w:t>
      </w:r>
      <w:r w:rsidR="00303C16">
        <w:t xml:space="preserve"> to many primary and secondary</w:t>
      </w:r>
      <w:r w:rsidR="00E94173">
        <w:t xml:space="preserve"> </w:t>
      </w:r>
      <w:r w:rsidR="002837AE">
        <w:t>disease</w:t>
      </w:r>
      <w:r w:rsidR="00303C16">
        <w:t xml:space="preserve"> interventions that </w:t>
      </w:r>
      <w:r w:rsidR="00354489">
        <w:t>aim to prevent the disease before onset</w:t>
      </w:r>
      <w:r w:rsidR="00692B13">
        <w:t>,</w:t>
      </w:r>
      <w:r w:rsidR="00354489">
        <w:t xml:space="preserve"> </w:t>
      </w:r>
      <w:r w:rsidR="00692B13">
        <w:t>and</w:t>
      </w:r>
      <w:r w:rsidR="00354489">
        <w:t xml:space="preserve"> mitigate the effects of the disease in its early stages. </w:t>
      </w:r>
      <w:r w:rsidR="00692B13">
        <w:t>E</w:t>
      </w:r>
      <w:r w:rsidR="00E94173">
        <w:t>xamples of these</w:t>
      </w:r>
      <w:r w:rsidR="00F745A8">
        <w:t xml:space="preserve"> early</w:t>
      </w:r>
      <w:r w:rsidR="00E94173">
        <w:t xml:space="preserve"> activities include</w:t>
      </w:r>
      <w:r w:rsidR="00303C16">
        <w:t xml:space="preserve"> vaccinations, hygiene education and pre-screening for diseases. </w:t>
      </w:r>
      <w:r w:rsidR="006916F7">
        <w:t xml:space="preserve">When DRR is applied from a public health perspective it </w:t>
      </w:r>
      <w:r w:rsidR="00F745A8">
        <w:t>aims</w:t>
      </w:r>
      <w:r w:rsidR="004815A4">
        <w:t xml:space="preserve"> </w:t>
      </w:r>
      <w:r w:rsidR="004815A4">
        <w:lastRenderedPageBreak/>
        <w:t>to reduce morbidity and mortality</w:t>
      </w:r>
      <w:r w:rsidR="00F745A8">
        <w:t xml:space="preserve"> caused by disaster</w:t>
      </w:r>
      <w:r w:rsidR="00D00941">
        <w:t>s</w:t>
      </w:r>
      <w:r w:rsidR="004815A4">
        <w:t xml:space="preserve"> </w:t>
      </w:r>
      <w:r w:rsidR="00D00941">
        <w:t xml:space="preserve">through </w:t>
      </w:r>
      <w:r w:rsidR="00D00941" w:rsidRPr="005174A9">
        <w:t>prevention</w:t>
      </w:r>
      <w:r w:rsidR="005174A9" w:rsidRPr="00C20572">
        <w:rPr>
          <w:szCs w:val="20"/>
        </w:rPr>
        <w:t>,</w:t>
      </w:r>
      <w:r w:rsidR="00F745A8">
        <w:t xml:space="preserve"> mitigation</w:t>
      </w:r>
      <w:r w:rsidR="005174A9" w:rsidRPr="00C20572">
        <w:rPr>
          <w:szCs w:val="20"/>
        </w:rPr>
        <w:t xml:space="preserve"> and </w:t>
      </w:r>
      <w:r w:rsidR="00F745A8">
        <w:t>preparedness</w:t>
      </w:r>
      <w:r w:rsidR="005E547E">
        <w:t>.</w:t>
      </w:r>
      <w:r w:rsidR="00A369C2" w:rsidRPr="00A369C2">
        <w:rPr>
          <w:vertAlign w:val="superscript"/>
        </w:rPr>
        <w:t>5</w:t>
      </w:r>
      <w:r w:rsidR="005174A9" w:rsidRPr="00C20572">
        <w:rPr>
          <w:szCs w:val="20"/>
        </w:rPr>
        <w:t xml:space="preserve"> </w:t>
      </w:r>
      <w:r w:rsidR="00692B13">
        <w:rPr>
          <w:szCs w:val="20"/>
        </w:rPr>
        <w:t xml:space="preserve"> </w:t>
      </w:r>
    </w:p>
    <w:p w14:paraId="6A7ED04B" w14:textId="77777777" w:rsidR="009D22E6" w:rsidRDefault="009D22E6">
      <w:pPr>
        <w:ind w:left="0"/>
        <w:rPr>
          <w:szCs w:val="20"/>
        </w:rPr>
      </w:pPr>
    </w:p>
    <w:p w14:paraId="6EF63508" w14:textId="2949C34C" w:rsidR="00891680" w:rsidRDefault="00B700F2">
      <w:pPr>
        <w:ind w:left="0"/>
      </w:pPr>
      <w:r w:rsidRPr="00FF75FD">
        <w:t>Focusing on the causal factors of disasters, DRR activities seek to prevent first, and then prepare for and mitigate the health effects of</w:t>
      </w:r>
      <w:r w:rsidR="00571028">
        <w:t xml:space="preserve"> natural hazards</w:t>
      </w:r>
      <w:r w:rsidR="005E547E">
        <w:t>.</w:t>
      </w:r>
      <w:r w:rsidR="00E909A5" w:rsidRPr="00E909A5">
        <w:rPr>
          <w:vertAlign w:val="superscript"/>
        </w:rPr>
        <w:t>5</w:t>
      </w:r>
      <w:r w:rsidR="00692B13">
        <w:rPr>
          <w:vertAlign w:val="superscript"/>
        </w:rPr>
        <w:t xml:space="preserve"> </w:t>
      </w:r>
      <w:r w:rsidRPr="00FF75FD">
        <w:t xml:space="preserve"> </w:t>
      </w:r>
      <w:r w:rsidR="00262956" w:rsidRPr="0028460D">
        <w:t xml:space="preserve">Some </w:t>
      </w:r>
      <w:r w:rsidR="00262956" w:rsidRPr="007A2901">
        <w:t xml:space="preserve">examples of DRR </w:t>
      </w:r>
      <w:r w:rsidR="00571028">
        <w:t>activities that protect health</w:t>
      </w:r>
      <w:r w:rsidR="00262956" w:rsidRPr="0028460D">
        <w:t xml:space="preserve"> include improving early-warning systems to</w:t>
      </w:r>
      <w:r w:rsidR="00262956" w:rsidRPr="007A2901">
        <w:t xml:space="preserve"> target at-risk populations,</w:t>
      </w:r>
      <w:r w:rsidR="003F7930">
        <w:t xml:space="preserve"> </w:t>
      </w:r>
      <w:r w:rsidR="009541D9" w:rsidRPr="003A0372">
        <w:t xml:space="preserve">increasing the resilience of critical health infrastructure, and enhancing cooperation between </w:t>
      </w:r>
      <w:r w:rsidR="009541D9" w:rsidRPr="007948E8">
        <w:t>health aut</w:t>
      </w:r>
      <w:r w:rsidR="00571028">
        <w:t>horities and other stakeholders</w:t>
      </w:r>
      <w:r w:rsidR="009D22E6">
        <w:t xml:space="preserve"> to strengthen country capacity for disaster risk management</w:t>
      </w:r>
      <w:r w:rsidR="005E547E">
        <w:t>.</w:t>
      </w:r>
      <w:r w:rsidR="00A369C2" w:rsidRPr="00A369C2">
        <w:rPr>
          <w:vertAlign w:val="superscript"/>
        </w:rPr>
        <w:t>6</w:t>
      </w:r>
      <w:r w:rsidR="00B33919" w:rsidRPr="0028460D">
        <w:t xml:space="preserve"> </w:t>
      </w:r>
      <w:r w:rsidR="00891680">
        <w:t xml:space="preserve"> </w:t>
      </w:r>
      <w:r w:rsidR="00891680" w:rsidRPr="00891680">
        <w:t>Disaster impacts are strongly influenced by physical, social, economic and environmental factors.</w:t>
      </w:r>
      <w:r w:rsidR="00891680" w:rsidRPr="00891680">
        <w:rPr>
          <w:vertAlign w:val="superscript"/>
        </w:rPr>
        <w:t>7</w:t>
      </w:r>
      <w:r w:rsidR="00891680" w:rsidRPr="00891680">
        <w:t xml:space="preserve"> Reducing disaster risk, therefore, requires concerted action across a wide range of sectors, institutions and disciplines</w:t>
      </w:r>
      <w:r w:rsidR="005E547E">
        <w:t>.</w:t>
      </w:r>
      <w:r w:rsidR="00A369C2" w:rsidRPr="00A369C2">
        <w:rPr>
          <w:vertAlign w:val="superscript"/>
        </w:rPr>
        <w:t>6</w:t>
      </w:r>
    </w:p>
    <w:p w14:paraId="79A98E70" w14:textId="77777777" w:rsidR="00891680" w:rsidRDefault="00891680">
      <w:pPr>
        <w:ind w:left="0"/>
      </w:pPr>
    </w:p>
    <w:p w14:paraId="5DA79579" w14:textId="7B986DFD" w:rsidR="00262956" w:rsidRPr="006A32DF" w:rsidRDefault="00475F91">
      <w:pPr>
        <w:ind w:left="0"/>
      </w:pPr>
      <w:r>
        <w:t xml:space="preserve">Applying the principles of </w:t>
      </w:r>
      <w:r w:rsidR="00B33919" w:rsidRPr="0028460D">
        <w:t xml:space="preserve">DRR not only offers the opportunity to reduce </w:t>
      </w:r>
      <w:r w:rsidR="00B33919" w:rsidRPr="007A2901">
        <w:t>morbidity and mortality, but</w:t>
      </w:r>
      <w:r w:rsidR="00B33919" w:rsidRPr="003A0372">
        <w:t xml:space="preserve"> also </w:t>
      </w:r>
      <w:r w:rsidR="00D07FB2">
        <w:t>reduce</w:t>
      </w:r>
      <w:r w:rsidR="005E547E">
        <w:t>s</w:t>
      </w:r>
      <w:r w:rsidR="00D07FB2">
        <w:t xml:space="preserve"> </w:t>
      </w:r>
      <w:r w:rsidR="00B33919" w:rsidRPr="0028460D">
        <w:t xml:space="preserve">costs. </w:t>
      </w:r>
      <w:r w:rsidR="003F7930">
        <w:t xml:space="preserve"> </w:t>
      </w:r>
      <w:r>
        <w:t xml:space="preserve">Studies have been conducted by the World Bank and FEMA which estimate that </w:t>
      </w:r>
      <w:r w:rsidR="00D07FB2">
        <w:t>for every one dollar invested in DRR, four</w:t>
      </w:r>
      <w:r>
        <w:t xml:space="preserve"> to seven</w:t>
      </w:r>
      <w:r w:rsidR="00D07FB2">
        <w:t xml:space="preserve"> dollars</w:t>
      </w:r>
      <w:r w:rsidR="00621845">
        <w:t xml:space="preserve"> are saved</w:t>
      </w:r>
      <w:r w:rsidR="00D07FB2">
        <w:t xml:space="preserve"> in response and recovery costs</w:t>
      </w:r>
      <w:r w:rsidR="00FF23E5">
        <w:t>.</w:t>
      </w:r>
      <w:r w:rsidR="00A369C2" w:rsidRPr="00A369C2">
        <w:rPr>
          <w:vertAlign w:val="superscript"/>
        </w:rPr>
        <w:t>8</w:t>
      </w:r>
      <w:r w:rsidR="00A369C2">
        <w:t>,</w:t>
      </w:r>
      <w:r w:rsidR="007138F6">
        <w:rPr>
          <w:vertAlign w:val="superscript"/>
        </w:rPr>
        <w:t>9</w:t>
      </w:r>
    </w:p>
    <w:p w14:paraId="7C190661" w14:textId="77777777" w:rsidR="00F76CFA" w:rsidRPr="0028460D" w:rsidRDefault="00F76CFA"/>
    <w:p w14:paraId="4F328445" w14:textId="3DC5B42B" w:rsidR="00AD5EF7" w:rsidRDefault="00F3322A">
      <w:pPr>
        <w:ind w:left="0"/>
      </w:pPr>
      <w:r>
        <w:t>The enormous devastation which resulted from the Indian Ocean t</w:t>
      </w:r>
      <w:r w:rsidRPr="00F3322A">
        <w:t>sunami</w:t>
      </w:r>
      <w:r>
        <w:t xml:space="preserve"> prompted the world to re-assess its approach to m</w:t>
      </w:r>
      <w:r w:rsidR="00E2036F">
        <w:t>anaging disasters</w:t>
      </w:r>
      <w:r w:rsidR="001E17F8">
        <w:t xml:space="preserve">. </w:t>
      </w:r>
      <w:r>
        <w:t>In 2005, governments around the world committed to taking action to reduce r</w:t>
      </w:r>
      <w:r w:rsidR="00AD5EF7">
        <w:t xml:space="preserve">isk.  This commitment was outlined in the </w:t>
      </w:r>
      <w:r w:rsidR="009541D9" w:rsidRPr="00C20572">
        <w:rPr>
          <w:i/>
        </w:rPr>
        <w:t>Hyogo Framework for Action 2005-2015: Building the Resilience of Nations and Communities to Disaster</w:t>
      </w:r>
      <w:r w:rsidR="00AD5EF7">
        <w:t xml:space="preserve">, and adopted by 168 governments at the 2005 World Conference on Disaster Reduction.  </w:t>
      </w:r>
      <w:r w:rsidR="00DA5BD9" w:rsidRPr="0028460D">
        <w:t xml:space="preserve">This framework was </w:t>
      </w:r>
      <w:r w:rsidR="00455749">
        <w:t xml:space="preserve">recently </w:t>
      </w:r>
      <w:r w:rsidR="00AD5EF7">
        <w:t xml:space="preserve">updated in 2015 at the Third UN World Conference of Disaster Risk, culminating in the adoption of </w:t>
      </w:r>
      <w:r w:rsidR="00DA5BD9" w:rsidRPr="0028460D">
        <w:t xml:space="preserve">the </w:t>
      </w:r>
      <w:r w:rsidR="00DA5BD9" w:rsidRPr="00C20572">
        <w:rPr>
          <w:i/>
        </w:rPr>
        <w:t>Sendai Framework for Disaster Risk Reduction</w:t>
      </w:r>
      <w:r w:rsidR="00D07FB2" w:rsidRPr="00C20572">
        <w:rPr>
          <w:i/>
        </w:rPr>
        <w:t xml:space="preserve"> 2015-2030</w:t>
      </w:r>
      <w:r w:rsidR="003D09D2">
        <w:rPr>
          <w:i/>
        </w:rPr>
        <w:t xml:space="preserve"> </w:t>
      </w:r>
      <w:r w:rsidR="003D09D2" w:rsidRPr="005E7083">
        <w:t>(see</w:t>
      </w:r>
      <w:r w:rsidR="003D09D2">
        <w:rPr>
          <w:b/>
        </w:rPr>
        <w:t xml:space="preserve"> Attachment A—Sendai Framework</w:t>
      </w:r>
      <w:r w:rsidR="003D09D2" w:rsidRPr="0096435D">
        <w:t>)</w:t>
      </w:r>
      <w:r w:rsidR="00DA5BD9" w:rsidRPr="0028460D">
        <w:t>.</w:t>
      </w:r>
      <w:r w:rsidR="00621845">
        <w:t xml:space="preserve"> </w:t>
      </w:r>
      <w:r w:rsidR="00455749">
        <w:t xml:space="preserve"> </w:t>
      </w:r>
    </w:p>
    <w:p w14:paraId="5869BA81" w14:textId="77777777" w:rsidR="00AD5EF7" w:rsidRDefault="00AD5EF7">
      <w:pPr>
        <w:ind w:left="0"/>
      </w:pPr>
    </w:p>
    <w:p w14:paraId="07544652" w14:textId="351F698C" w:rsidR="00AF759E" w:rsidRDefault="00AF759E">
      <w:pPr>
        <w:ind w:left="0"/>
      </w:pPr>
      <w:r>
        <w:t>One hundred and eighty seven countries, including the United States,</w:t>
      </w:r>
      <w:r w:rsidR="00D80152">
        <w:t xml:space="preserve"> joined consensus on</w:t>
      </w:r>
      <w:r w:rsidR="00584DFB">
        <w:t xml:space="preserve"> the 2015 –</w:t>
      </w:r>
      <w:r w:rsidR="00E2036F">
        <w:t xml:space="preserve"> 2030 </w:t>
      </w:r>
      <w:r w:rsidR="001E17F8">
        <w:t xml:space="preserve">Sendai </w:t>
      </w:r>
      <w:r w:rsidR="00E2036F">
        <w:t xml:space="preserve">framework.  Each country </w:t>
      </w:r>
      <w:r w:rsidR="001E17F8">
        <w:t xml:space="preserve">agreed to work toward achieving the seven global targets of the framework by 2030.  </w:t>
      </w:r>
    </w:p>
    <w:p w14:paraId="5BBFE2D7" w14:textId="77777777" w:rsidR="001E17F8" w:rsidRDefault="001E17F8" w:rsidP="00C20572">
      <w:pPr>
        <w:ind w:left="0"/>
      </w:pPr>
    </w:p>
    <w:tbl>
      <w:tblPr>
        <w:tblStyle w:val="TableGrid"/>
        <w:tblW w:w="9985" w:type="dxa"/>
        <w:tblLook w:val="04A0" w:firstRow="1" w:lastRow="0" w:firstColumn="1" w:lastColumn="0" w:noHBand="0" w:noVBand="1"/>
      </w:tblPr>
      <w:tblGrid>
        <w:gridCol w:w="9985"/>
      </w:tblGrid>
      <w:tr w:rsidR="001E17F8" w14:paraId="6AA0B443" w14:textId="77777777" w:rsidTr="00DE06FA">
        <w:tc>
          <w:tcPr>
            <w:tcW w:w="9985" w:type="dxa"/>
          </w:tcPr>
          <w:p w14:paraId="4557622B" w14:textId="77777777" w:rsidR="00DE06FA" w:rsidRDefault="001E17F8" w:rsidP="00DE06FA">
            <w:pPr>
              <w:ind w:left="0"/>
              <w:jc w:val="center"/>
              <w:rPr>
                <w:b/>
                <w:sz w:val="24"/>
                <w:vertAlign w:val="superscript"/>
              </w:rPr>
            </w:pPr>
            <w:r w:rsidRPr="00DE06FA">
              <w:rPr>
                <w:b/>
                <w:sz w:val="24"/>
              </w:rPr>
              <w:t>The Seven Global Targets of the Sendai Framework to Achieve by 2030</w:t>
            </w:r>
            <w:r w:rsidRPr="00DE06FA">
              <w:rPr>
                <w:b/>
                <w:sz w:val="24"/>
                <w:vertAlign w:val="superscript"/>
              </w:rPr>
              <w:t>1</w:t>
            </w:r>
            <w:r w:rsidR="00C70F91" w:rsidRPr="00DE06FA">
              <w:rPr>
                <w:b/>
                <w:sz w:val="24"/>
                <w:vertAlign w:val="superscript"/>
              </w:rPr>
              <w:t>0</w:t>
            </w:r>
          </w:p>
          <w:p w14:paraId="6E95245B" w14:textId="445DF39F" w:rsidR="001E17F8" w:rsidRPr="00DE06FA" w:rsidRDefault="00DE7DBC" w:rsidP="00DE06FA">
            <w:pPr>
              <w:ind w:left="0"/>
              <w:jc w:val="center"/>
              <w:rPr>
                <w:b/>
              </w:rPr>
            </w:pPr>
            <w:r w:rsidRPr="00DE06FA">
              <w:rPr>
                <w:b/>
              </w:rPr>
              <w:t>(see Attachment A—Sendai Framework)</w:t>
            </w:r>
          </w:p>
        </w:tc>
      </w:tr>
      <w:tr w:rsidR="001E17F8" w14:paraId="151009B1" w14:textId="77777777" w:rsidTr="00DE06FA">
        <w:trPr>
          <w:trHeight w:val="3473"/>
        </w:trPr>
        <w:tc>
          <w:tcPr>
            <w:tcW w:w="9985" w:type="dxa"/>
          </w:tcPr>
          <w:p w14:paraId="0ACEC2E7" w14:textId="77777777" w:rsidR="001E17F8" w:rsidRPr="001E17F8" w:rsidRDefault="001E17F8" w:rsidP="001E17F8">
            <w:pPr>
              <w:ind w:left="0"/>
            </w:pPr>
            <w:r w:rsidRPr="001E17F8">
              <w:rPr>
                <w:b/>
                <w:bCs/>
              </w:rPr>
              <w:t xml:space="preserve">Substantially reduce </w:t>
            </w:r>
          </w:p>
          <w:p w14:paraId="3917D882" w14:textId="77777777" w:rsidR="001E17F8" w:rsidRPr="001E17F8" w:rsidRDefault="001E17F8" w:rsidP="001E17F8">
            <w:pPr>
              <w:ind w:left="0"/>
            </w:pPr>
            <w:r w:rsidRPr="001E17F8">
              <w:t xml:space="preserve">1. Disaster mortality </w:t>
            </w:r>
          </w:p>
          <w:p w14:paraId="62D9BCBB" w14:textId="77777777" w:rsidR="001E17F8" w:rsidRPr="001E17F8" w:rsidRDefault="001E17F8" w:rsidP="001E17F8">
            <w:pPr>
              <w:ind w:left="0"/>
            </w:pPr>
            <w:r w:rsidRPr="001E17F8">
              <w:t xml:space="preserve">2. The number of affected people </w:t>
            </w:r>
          </w:p>
          <w:p w14:paraId="562A330A" w14:textId="77777777" w:rsidR="001E17F8" w:rsidRPr="001E17F8" w:rsidRDefault="001E17F8" w:rsidP="001E17F8">
            <w:pPr>
              <w:ind w:left="0"/>
            </w:pPr>
            <w:r w:rsidRPr="001E17F8">
              <w:t xml:space="preserve">3. Direct disaster economic loss in relation to global gross domestic product GDP). </w:t>
            </w:r>
          </w:p>
          <w:p w14:paraId="2BF4F00F" w14:textId="77777777" w:rsidR="001E17F8" w:rsidRPr="001E17F8" w:rsidRDefault="001E17F8" w:rsidP="001E17F8">
            <w:pPr>
              <w:ind w:left="0"/>
            </w:pPr>
            <w:r w:rsidRPr="001E17F8">
              <w:t xml:space="preserve">4. Disaster damage to critical infrastructure and disruption of basic services, including health and educational facilities </w:t>
            </w:r>
          </w:p>
          <w:p w14:paraId="6EAA38BA" w14:textId="77777777" w:rsidR="001E17F8" w:rsidRPr="001E17F8" w:rsidRDefault="001E17F8" w:rsidP="001E17F8">
            <w:pPr>
              <w:ind w:left="0"/>
            </w:pPr>
          </w:p>
          <w:p w14:paraId="134F2A24" w14:textId="77777777" w:rsidR="001E17F8" w:rsidRPr="001E17F8" w:rsidRDefault="001E17F8" w:rsidP="001E17F8">
            <w:pPr>
              <w:ind w:left="0"/>
            </w:pPr>
            <w:r w:rsidRPr="001E17F8">
              <w:rPr>
                <w:b/>
                <w:bCs/>
              </w:rPr>
              <w:t xml:space="preserve">Substantially increase </w:t>
            </w:r>
          </w:p>
          <w:p w14:paraId="5F105036" w14:textId="77777777" w:rsidR="001E17F8" w:rsidRPr="001E17F8" w:rsidRDefault="001E17F8" w:rsidP="001E17F8">
            <w:pPr>
              <w:ind w:left="0"/>
            </w:pPr>
            <w:r w:rsidRPr="001E17F8">
              <w:t xml:space="preserve">5. The number of countries with national and local disaster risk reduction strategies by 2020. </w:t>
            </w:r>
          </w:p>
          <w:p w14:paraId="0FE21D1C" w14:textId="77777777" w:rsidR="001E17F8" w:rsidRPr="001E17F8" w:rsidRDefault="001E17F8" w:rsidP="001E17F8">
            <w:pPr>
              <w:ind w:left="0"/>
            </w:pPr>
            <w:r w:rsidRPr="001E17F8">
              <w:t xml:space="preserve">6. International cooperation to developing countries to complement their national actions for implementation of this framework. </w:t>
            </w:r>
          </w:p>
          <w:p w14:paraId="04503BBA" w14:textId="4DAB7293" w:rsidR="001E17F8" w:rsidRDefault="001E17F8">
            <w:pPr>
              <w:ind w:left="0"/>
            </w:pPr>
            <w:r w:rsidRPr="001E17F8">
              <w:t xml:space="preserve">7. The availability of, and access to, multi-hazard early warning systems and disaster risk information and assessments to the people. </w:t>
            </w:r>
          </w:p>
        </w:tc>
      </w:tr>
    </w:tbl>
    <w:p w14:paraId="6B6E341C" w14:textId="77777777" w:rsidR="001E17F8" w:rsidRDefault="001E17F8" w:rsidP="00C20572">
      <w:pPr>
        <w:ind w:left="0"/>
      </w:pPr>
    </w:p>
    <w:p w14:paraId="016952A3" w14:textId="28ECCD65" w:rsidR="00AF759E" w:rsidRDefault="00C26501" w:rsidP="00F30E84">
      <w:pPr>
        <w:ind w:left="0"/>
      </w:pPr>
      <w:r>
        <w:t>DRR is a complex, cross-cut</w:t>
      </w:r>
      <w:r w:rsidR="00A93D37">
        <w:t xml:space="preserve">ting issue which requires collaboration of a broad range of stakeholders, including government at all levels, private sector, non-profit groups, and academia.  UN member countries have established National Platforms for DRR as part of their commitment to incorporating the principles of DRR into their disaster risk management portfolios.  A National Platform for DRR can be defined as </w:t>
      </w:r>
      <w:r w:rsidR="00EC506D">
        <w:t>“</w:t>
      </w:r>
      <w:r w:rsidR="00A93D37">
        <w:t>a nationally owned and led forum or committee of multi-stakeholders. It serves as an advocate of DRR at different levels and provides coordination, analysis and advice on areas of priority requiring concerted action through a coordinated and participatory process</w:t>
      </w:r>
      <w:r w:rsidR="00FD0809">
        <w:t>.</w:t>
      </w:r>
      <w:r w:rsidR="00EC506D">
        <w:t>”</w:t>
      </w:r>
      <w:r w:rsidR="00A93D37" w:rsidRPr="00A93D37">
        <w:rPr>
          <w:vertAlign w:val="superscript"/>
        </w:rPr>
        <w:t>1</w:t>
      </w:r>
      <w:r w:rsidR="00D672C8">
        <w:rPr>
          <w:vertAlign w:val="superscript"/>
        </w:rPr>
        <w:t>1</w:t>
      </w:r>
      <w:r w:rsidR="001D632D">
        <w:t xml:space="preserve"> </w:t>
      </w:r>
      <w:r w:rsidRPr="00C26501">
        <w:t>The Subcommittee on Disaster Reduction (SDR) is a Federal interagency body of the U.S. National Science and Technology Council under the Committee on Environment, Natural Resources and Sustainability.</w:t>
      </w:r>
      <w:r>
        <w:t xml:space="preserve">  The </w:t>
      </w:r>
      <w:r w:rsidR="0054655E" w:rsidRPr="0054655E">
        <w:t>SDR is charged with facilitating and promoting natural and technological disaster mitigation, preparedness, response, and recovery</w:t>
      </w:r>
      <w:r w:rsidRPr="00C26501">
        <w:rPr>
          <w:vertAlign w:val="superscript"/>
        </w:rPr>
        <w:t>1</w:t>
      </w:r>
      <w:r w:rsidR="00D672C8">
        <w:rPr>
          <w:vertAlign w:val="superscript"/>
        </w:rPr>
        <w:t>2</w:t>
      </w:r>
      <w:r w:rsidR="0054655E" w:rsidRPr="0054655E">
        <w:t xml:space="preserve">. </w:t>
      </w:r>
      <w:r>
        <w:t xml:space="preserve">  The SDR also serves as the US National Platform for </w:t>
      </w:r>
      <w:r w:rsidR="001D632D">
        <w:t xml:space="preserve">Disaster Risk Reduction.  </w:t>
      </w:r>
    </w:p>
    <w:p w14:paraId="741147A5" w14:textId="77777777" w:rsidR="00E2402B" w:rsidRDefault="00E2402B" w:rsidP="00F30E84"/>
    <w:p w14:paraId="5B3297FF" w14:textId="06B31A61" w:rsidR="00105EC7" w:rsidRDefault="007404A0" w:rsidP="001F7CD1">
      <w:pPr>
        <w:ind w:left="0"/>
      </w:pPr>
      <w:r>
        <w:t xml:space="preserve">Despite </w:t>
      </w:r>
      <w:r w:rsidR="00152FBE">
        <w:t xml:space="preserve">the new </w:t>
      </w:r>
      <w:r>
        <w:t xml:space="preserve">policy’s </w:t>
      </w:r>
      <w:r w:rsidR="00F8286C">
        <w:t xml:space="preserve">emphasis on the importance of DRR in the context of </w:t>
      </w:r>
      <w:r w:rsidR="00152FBE">
        <w:t>human</w:t>
      </w:r>
      <w:r w:rsidR="00F8286C">
        <w:t xml:space="preserve"> health, t</w:t>
      </w:r>
      <w:r w:rsidR="005A223D">
        <w:t xml:space="preserve">here have not been any </w:t>
      </w:r>
      <w:r w:rsidR="00884C58">
        <w:t>national assessments of the knowledge and use of DRR by public health entities</w:t>
      </w:r>
      <w:r w:rsidR="00B96964">
        <w:t>, including the comprehension of terminology related to DRR</w:t>
      </w:r>
      <w:r w:rsidR="00F8286C">
        <w:t>.</w:t>
      </w:r>
      <w:r w:rsidR="000E2606">
        <w:t xml:space="preserve"> </w:t>
      </w:r>
      <w:r w:rsidR="001D632D">
        <w:t xml:space="preserve"> </w:t>
      </w:r>
      <w:r w:rsidR="000E2606">
        <w:t>There is evidence of DRR practices at the state level</w:t>
      </w:r>
      <w:r w:rsidR="00FD0809">
        <w:t>,</w:t>
      </w:r>
      <w:r w:rsidR="000E2606">
        <w:t xml:space="preserve"> however, these activities may not be classified as</w:t>
      </w:r>
      <w:r w:rsidR="0028460D">
        <w:t xml:space="preserve"> DRR activities</w:t>
      </w:r>
      <w:r w:rsidR="000E2606">
        <w:t>.</w:t>
      </w:r>
      <w:r w:rsidR="0028460D">
        <w:t xml:space="preserve"> In addition, </w:t>
      </w:r>
      <w:r w:rsidR="00B96964">
        <w:t>there</w:t>
      </w:r>
      <w:r w:rsidR="00FD0809">
        <w:t xml:space="preserve"> are no</w:t>
      </w:r>
      <w:r w:rsidR="00B96964">
        <w:t xml:space="preserve"> </w:t>
      </w:r>
      <w:r w:rsidR="00FD0809">
        <w:t>records of how or if DRR activities are being implemented at the</w:t>
      </w:r>
      <w:r w:rsidR="00B96964">
        <w:t xml:space="preserve"> </w:t>
      </w:r>
      <w:r w:rsidR="0028460D">
        <w:t>jurisdictional level</w:t>
      </w:r>
      <w:r w:rsidR="00884C58">
        <w:t xml:space="preserve">. </w:t>
      </w:r>
      <w:r w:rsidR="005A223D">
        <w:t xml:space="preserve">Best practices and barriers to implementation of DRR for health have been observed internationally but are </w:t>
      </w:r>
      <w:r w:rsidR="00FD0809">
        <w:t xml:space="preserve">unknown </w:t>
      </w:r>
      <w:r w:rsidR="005A223D">
        <w:t>within the United States</w:t>
      </w:r>
      <w:r w:rsidR="00FD0809">
        <w:t>.</w:t>
      </w:r>
      <w:r>
        <w:rPr>
          <w:vertAlign w:val="superscript"/>
        </w:rPr>
        <w:t>11,12</w:t>
      </w:r>
      <w:r w:rsidR="00FF23E5">
        <w:t xml:space="preserve"> </w:t>
      </w:r>
      <w:r w:rsidR="00FF23E5">
        <w:rPr>
          <w:vertAlign w:val="superscript"/>
        </w:rPr>
        <w:t xml:space="preserve"> </w:t>
      </w:r>
      <w:r w:rsidR="00EC488A">
        <w:t>The</w:t>
      </w:r>
      <w:r w:rsidR="00EE306F">
        <w:t xml:space="preserve"> national p</w:t>
      </w:r>
      <w:r w:rsidR="00963845">
        <w:t xml:space="preserve">latform for the implementation of the Sendai Framework is in its early stages of </w:t>
      </w:r>
      <w:r w:rsidR="00EE306F">
        <w:t>planning</w:t>
      </w:r>
      <w:r w:rsidR="00C921DA">
        <w:t>.</w:t>
      </w:r>
      <w:r w:rsidR="00EE306F">
        <w:t xml:space="preserve"> I</w:t>
      </w:r>
      <w:r w:rsidR="00963845">
        <w:t xml:space="preserve">t is pertinent </w:t>
      </w:r>
      <w:r w:rsidR="00EC488A">
        <w:t xml:space="preserve">that information on knowledge, use, best practices and barriers to use of DRR is </w:t>
      </w:r>
      <w:r w:rsidR="00963845">
        <w:t>available to inform strategies for</w:t>
      </w:r>
      <w:r w:rsidR="00EC488A">
        <w:t xml:space="preserve"> effective implementation of</w:t>
      </w:r>
      <w:r w:rsidR="00963845">
        <w:t xml:space="preserve"> DRR for health. </w:t>
      </w:r>
    </w:p>
    <w:p w14:paraId="0DA1A260" w14:textId="77777777" w:rsidR="00963845" w:rsidRDefault="00963845" w:rsidP="005B58C4"/>
    <w:p w14:paraId="396F8416" w14:textId="29F174A7" w:rsidR="00382719" w:rsidRDefault="007D3504" w:rsidP="00382719">
      <w:pPr>
        <w:ind w:left="0"/>
      </w:pPr>
      <w:r>
        <w:t>CDC is partnering with the Association for State and Territorial Health Officials</w:t>
      </w:r>
      <w:r w:rsidR="00F107AE">
        <w:t xml:space="preserve"> (ASTHO)</w:t>
      </w:r>
      <w:r w:rsidR="00445C31">
        <w:t xml:space="preserve">, </w:t>
      </w:r>
      <w:r w:rsidR="00FD0809">
        <w:t xml:space="preserve">a </w:t>
      </w:r>
      <w:r w:rsidR="00445C31">
        <w:t>national nonprofit organization representing public health agencies in the US,</w:t>
      </w:r>
      <w:r>
        <w:t xml:space="preserve"> </w:t>
      </w:r>
      <w:r w:rsidR="006F4E3C">
        <w:t xml:space="preserve">to assess levels of awareness and/or practice of the principles of disaster risk reduction (DRR) and </w:t>
      </w:r>
      <w:r w:rsidR="00FD0809">
        <w:t xml:space="preserve">to </w:t>
      </w:r>
      <w:r w:rsidR="006F4E3C">
        <w:t xml:space="preserve">identify barriers to knowledge and implementation among </w:t>
      </w:r>
      <w:r w:rsidR="00FD0809">
        <w:t xml:space="preserve">US </w:t>
      </w:r>
      <w:r w:rsidR="006F4E3C">
        <w:t xml:space="preserve">state and territorial public health preparedness.  Data will be collected from 56 </w:t>
      </w:r>
      <w:r w:rsidR="0077088E">
        <w:t>PHEP Program Directors using a web-based survey.</w:t>
      </w:r>
      <w:r w:rsidR="00382719">
        <w:t xml:space="preserve"> ASTHO will be responsible for distributing the </w:t>
      </w:r>
      <w:r w:rsidR="00F02A47">
        <w:t xml:space="preserve">survey as well as the </w:t>
      </w:r>
      <w:r w:rsidR="00382719">
        <w:t>notification and reminder emails</w:t>
      </w:r>
      <w:r w:rsidR="00D80152">
        <w:t xml:space="preserve">. </w:t>
      </w:r>
      <w:r w:rsidR="00382719">
        <w:t xml:space="preserve"> The Centers for Disease Control and Prevention will be responsible for the data analysis activities following the survey period.  </w:t>
      </w:r>
    </w:p>
    <w:p w14:paraId="4C3A1E3D" w14:textId="3B37F855" w:rsidR="006F4E3C" w:rsidRDefault="006F4E3C">
      <w:pPr>
        <w:ind w:left="0"/>
      </w:pPr>
    </w:p>
    <w:p w14:paraId="1831678E" w14:textId="68234D99" w:rsidR="00220D1B" w:rsidRDefault="00220D1B">
      <w:pPr>
        <w:ind w:left="0"/>
      </w:pPr>
      <w:r w:rsidRPr="00220D1B">
        <w:t xml:space="preserve">This data collection effort is the first national-level attempt to </w:t>
      </w:r>
      <w:r w:rsidR="00FD0809">
        <w:t xml:space="preserve">learn of </w:t>
      </w:r>
      <w:r w:rsidRPr="00220D1B">
        <w:t xml:space="preserve">knowledge of DRR principles and </w:t>
      </w:r>
      <w:r w:rsidR="00FD0809">
        <w:t>how principles are</w:t>
      </w:r>
      <w:r w:rsidRPr="00220D1B">
        <w:t xml:space="preserve"> applied to state or </w:t>
      </w:r>
      <w:r w:rsidRPr="00220D1B">
        <w:lastRenderedPageBreak/>
        <w:t xml:space="preserve">territorial public health preparedness activities. </w:t>
      </w:r>
      <w:r w:rsidR="00840699">
        <w:t xml:space="preserve">The </w:t>
      </w:r>
      <w:r w:rsidR="00851A50">
        <w:t>lack of</w:t>
      </w:r>
      <w:r w:rsidR="00670470">
        <w:t xml:space="preserve"> available</w:t>
      </w:r>
      <w:r w:rsidR="00851A50">
        <w:t xml:space="preserve"> data </w:t>
      </w:r>
      <w:r w:rsidR="00840699">
        <w:t xml:space="preserve">on </w:t>
      </w:r>
      <w:r w:rsidR="00FD0809">
        <w:t xml:space="preserve">DRR </w:t>
      </w:r>
      <w:r w:rsidR="00840699">
        <w:t>knowledge and practices makes it difficult to develop effective</w:t>
      </w:r>
      <w:r w:rsidR="00851A50">
        <w:t xml:space="preserve"> health-focused </w:t>
      </w:r>
      <w:r w:rsidR="00840699">
        <w:t>strategies for the implementation of DRR and the Sendai framework. A baseline understanding of activities and knowledge of DRR by public health entities</w:t>
      </w:r>
      <w:r w:rsidR="00670470">
        <w:t xml:space="preserve"> </w:t>
      </w:r>
      <w:r w:rsidR="00840699">
        <w:t xml:space="preserve">is a logical </w:t>
      </w:r>
      <w:r w:rsidR="00851A50">
        <w:t xml:space="preserve">and necessary </w:t>
      </w:r>
      <w:r w:rsidR="00840699">
        <w:t xml:space="preserve">step </w:t>
      </w:r>
      <w:r w:rsidR="00152FBE">
        <w:t xml:space="preserve">to identifying knowledge gaps and best practices, recognizing research opportunities, evaluating education and training gaps, </w:t>
      </w:r>
      <w:r w:rsidR="00FD0809">
        <w:t xml:space="preserve">and </w:t>
      </w:r>
      <w:r w:rsidR="00152FBE">
        <w:t xml:space="preserve">guiding future activities </w:t>
      </w:r>
      <w:r w:rsidR="00FD0809">
        <w:t>to raise</w:t>
      </w:r>
      <w:r w:rsidR="00152FBE">
        <w:t xml:space="preserve"> awareness</w:t>
      </w:r>
      <w:r w:rsidR="00524E7F" w:rsidRPr="00524E7F">
        <w:t xml:space="preserve">. </w:t>
      </w:r>
    </w:p>
    <w:p w14:paraId="557AE315" w14:textId="77777777" w:rsidR="00220D1B" w:rsidRDefault="00220D1B">
      <w:pPr>
        <w:ind w:left="0"/>
      </w:pPr>
    </w:p>
    <w:p w14:paraId="03BEEC44" w14:textId="17A51AF7" w:rsidR="00481D80" w:rsidRDefault="00604D2F" w:rsidP="00692DEB">
      <w:pPr>
        <w:ind w:left="0"/>
      </w:pPr>
      <w:r>
        <w:t xml:space="preserve">Public health </w:t>
      </w:r>
      <w:r w:rsidR="00FD0809">
        <w:t>is</w:t>
      </w:r>
      <w:r>
        <w:t xml:space="preserve"> a </w:t>
      </w:r>
      <w:r w:rsidR="00512EFA">
        <w:t>prominent focus</w:t>
      </w:r>
      <w:r>
        <w:t xml:space="preserve"> in the DRR conversation </w:t>
      </w:r>
      <w:r w:rsidR="00670470">
        <w:t xml:space="preserve">due to </w:t>
      </w:r>
      <w:r w:rsidR="00851A50">
        <w:t>its em</w:t>
      </w:r>
      <w:r>
        <w:t>phasis in the Sendai Framework.</w:t>
      </w:r>
      <w:r w:rsidR="005F40D5">
        <w:t xml:space="preserve">  </w:t>
      </w:r>
      <w:r w:rsidR="00FD0809">
        <w:t>CDC is the national organization leading the implementing DRR for health and the Sendai Framework. The information collected in this survey will help guide these implementation efforts. Results will support the overall purpose of DRR and the Sendai Framework, which is to minimize the impact of disasters in the US by lowering morbidity and mortality, protecting property and livelihoods, and reducing cost.</w:t>
      </w:r>
      <w:r w:rsidR="00FD0809">
        <w:rPr>
          <w:vertAlign w:val="superscript"/>
        </w:rPr>
        <w:t>8,9</w:t>
      </w:r>
      <w:r w:rsidR="00FD0809">
        <w:t>.</w:t>
      </w:r>
    </w:p>
    <w:p w14:paraId="1A793243" w14:textId="50648F8C" w:rsidR="00A7298A" w:rsidRDefault="00A7298A" w:rsidP="00692DEB">
      <w:pPr>
        <w:ind w:left="0"/>
      </w:pPr>
    </w:p>
    <w:p w14:paraId="18A11FDA" w14:textId="1C0F0584" w:rsidR="005F40D5" w:rsidRDefault="005F40D5" w:rsidP="00692DEB">
      <w:pPr>
        <w:ind w:left="0"/>
      </w:pPr>
    </w:p>
    <w:p w14:paraId="2005DD7F" w14:textId="77777777" w:rsidR="00B34A02" w:rsidRPr="001A28F6" w:rsidRDefault="00B34A02" w:rsidP="00692DEB">
      <w:pPr>
        <w:ind w:left="0"/>
      </w:pPr>
    </w:p>
    <w:p w14:paraId="4E7AA307"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62851522" w14:textId="3D23C289" w:rsidR="00597AF6" w:rsidRDefault="00A9794C" w:rsidP="00F30E84">
      <w:pPr>
        <w:ind w:left="0"/>
      </w:pPr>
      <w:r>
        <w:t xml:space="preserve">Information </w:t>
      </w:r>
      <w:r w:rsidR="00692DEB" w:rsidRPr="00711BFA">
        <w:t>will be collected</w:t>
      </w:r>
      <w:r>
        <w:t xml:space="preserve"> from a total of 56</w:t>
      </w:r>
      <w:r w:rsidR="009509DC">
        <w:t xml:space="preserve"> (50 states, 5 territorial, and the District of Columbia)</w:t>
      </w:r>
      <w:r>
        <w:t xml:space="preserve"> </w:t>
      </w:r>
      <w:r w:rsidR="003108C8">
        <w:t>PHEP</w:t>
      </w:r>
      <w:r w:rsidR="00EC4185">
        <w:t xml:space="preserve"> program directors</w:t>
      </w:r>
      <w:r w:rsidR="003108C8">
        <w:t>, or their designee</w:t>
      </w:r>
      <w:r w:rsidR="00597AF6">
        <w:t xml:space="preserve"> </w:t>
      </w:r>
      <w:r w:rsidR="00692DEB" w:rsidRPr="00711BFA">
        <w:t>via a web-based questionnaire (</w:t>
      </w:r>
      <w:r w:rsidR="00E647FB" w:rsidRPr="005E7083">
        <w:t>see</w:t>
      </w:r>
      <w:r w:rsidR="00E647FB">
        <w:rPr>
          <w:b/>
        </w:rPr>
        <w:t xml:space="preserve"> Attachment </w:t>
      </w:r>
      <w:r w:rsidR="001274B6">
        <w:rPr>
          <w:b/>
        </w:rPr>
        <w:t>B</w:t>
      </w:r>
      <w:r w:rsidR="00E647FB">
        <w:rPr>
          <w:b/>
        </w:rPr>
        <w:t>—</w:t>
      </w:r>
      <w:r w:rsidR="00692DEB" w:rsidRPr="00711BFA">
        <w:rPr>
          <w:b/>
        </w:rPr>
        <w:t xml:space="preserve">Instrument: Word version </w:t>
      </w:r>
      <w:r w:rsidR="00692DEB" w:rsidRPr="0096435D">
        <w:t xml:space="preserve">and </w:t>
      </w:r>
      <w:r w:rsidR="00E647FB">
        <w:rPr>
          <w:b/>
        </w:rPr>
        <w:t xml:space="preserve">Attachment </w:t>
      </w:r>
      <w:r w:rsidR="001274B6">
        <w:rPr>
          <w:b/>
        </w:rPr>
        <w:t>C</w:t>
      </w:r>
      <w:r w:rsidR="00E647FB">
        <w:rPr>
          <w:b/>
        </w:rPr>
        <w:t>—</w:t>
      </w:r>
      <w:r w:rsidR="00692DEB" w:rsidRPr="00711BFA">
        <w:rPr>
          <w:b/>
        </w:rPr>
        <w:t>Instrument: Web version</w:t>
      </w:r>
      <w:r w:rsidR="00692DEB" w:rsidRPr="0096435D">
        <w:t xml:space="preserve">). </w:t>
      </w:r>
      <w:r w:rsidR="00692DEB">
        <w:t xml:space="preserve">The online instrument will gather information </w:t>
      </w:r>
      <w:r w:rsidR="004716B9">
        <w:t>on</w:t>
      </w:r>
      <w:r w:rsidR="00FF23E5">
        <w:t xml:space="preserve"> </w:t>
      </w:r>
      <w:r w:rsidR="00891A87">
        <w:t>DRR knowledge and practice and identify barriers to knowledge and implementation</w:t>
      </w:r>
      <w:r w:rsidR="00692DEB">
        <w:t>.</w:t>
      </w:r>
      <w:r w:rsidR="00692DEB" w:rsidRPr="00711BFA">
        <w:t xml:space="preserve"> This method was chosen to </w:t>
      </w:r>
      <w:r w:rsidR="00597AF6">
        <w:t>allow</w:t>
      </w:r>
      <w:r w:rsidR="00597AF6" w:rsidRPr="00711BFA">
        <w:t xml:space="preserve"> respondents to complete and submit their responses electronically</w:t>
      </w:r>
      <w:r w:rsidR="00597AF6">
        <w:t>,</w:t>
      </w:r>
      <w:r w:rsidR="00597AF6" w:rsidRPr="00711BFA">
        <w:t xml:space="preserve"> </w:t>
      </w:r>
      <w:r w:rsidR="00692DEB" w:rsidRPr="00711BFA">
        <w:t>reduc</w:t>
      </w:r>
      <w:r w:rsidR="00597AF6">
        <w:t>ing</w:t>
      </w:r>
      <w:r w:rsidR="00692DEB" w:rsidRPr="00711BFA">
        <w:t xml:space="preserve"> the overall burden. </w:t>
      </w:r>
    </w:p>
    <w:p w14:paraId="62CDF617" w14:textId="77777777" w:rsidR="00597AF6" w:rsidRDefault="00597AF6" w:rsidP="001F7CD1">
      <w:pPr>
        <w:ind w:left="0"/>
      </w:pPr>
    </w:p>
    <w:p w14:paraId="51CD1178" w14:textId="7468015B" w:rsidR="00692DEB" w:rsidRPr="00711BFA" w:rsidRDefault="00692DEB" w:rsidP="005B58C4">
      <w:pPr>
        <w:ind w:left="0"/>
      </w:pPr>
      <w:r>
        <w:t xml:space="preserve">The </w:t>
      </w:r>
      <w:r w:rsidRPr="00711BFA">
        <w:t xml:space="preserve">information collection instrument was pilot tested by </w:t>
      </w:r>
      <w:r w:rsidR="00430B8D">
        <w:t xml:space="preserve">4 </w:t>
      </w:r>
      <w:r>
        <w:t>p</w:t>
      </w:r>
      <w:r w:rsidRPr="00711BFA">
        <w:t>ublic health professionals. Feedback from this group was used to refine questions as needed, ensure accurate programming and skip patterns and establish the estimated time required to complete the information collection instrument.</w:t>
      </w:r>
    </w:p>
    <w:p w14:paraId="4323FED6" w14:textId="77777777" w:rsidR="00774689" w:rsidRDefault="00774689" w:rsidP="00692DEB">
      <w:pPr>
        <w:pStyle w:val="Heading5"/>
        <w:spacing w:after="120"/>
        <w:ind w:left="0"/>
      </w:pPr>
    </w:p>
    <w:p w14:paraId="56F43434" w14:textId="77777777" w:rsidR="00692DEB" w:rsidRPr="00692DEB" w:rsidRDefault="00692DEB" w:rsidP="00692DEB">
      <w:pPr>
        <w:pStyle w:val="Heading5"/>
        <w:spacing w:after="120"/>
        <w:ind w:left="0"/>
      </w:pPr>
      <w:r w:rsidRPr="00692DEB">
        <w:t>Items of Information to be Collected</w:t>
      </w:r>
    </w:p>
    <w:p w14:paraId="76D9AA21" w14:textId="19DE6BF3" w:rsidR="000F0913" w:rsidRDefault="00692DEB" w:rsidP="00F30E84">
      <w:pPr>
        <w:ind w:left="0"/>
      </w:pPr>
      <w:r w:rsidRPr="04524006">
        <w:t xml:space="preserve">The online </w:t>
      </w:r>
      <w:r w:rsidR="00DE7DBC">
        <w:t>information</w:t>
      </w:r>
      <w:r w:rsidR="00DE7DBC" w:rsidRPr="04524006">
        <w:t xml:space="preserve"> </w:t>
      </w:r>
      <w:r w:rsidRPr="04524006">
        <w:t>collection instrument</w:t>
      </w:r>
      <w:r w:rsidR="00DE7DBC">
        <w:t xml:space="preserve"> </w:t>
      </w:r>
      <w:r w:rsidR="00DE7DBC" w:rsidRPr="00711BFA">
        <w:t>(</w:t>
      </w:r>
      <w:r w:rsidR="00DE7DBC" w:rsidRPr="005E7083">
        <w:t xml:space="preserve">see </w:t>
      </w:r>
      <w:r w:rsidR="00DE7DBC">
        <w:rPr>
          <w:b/>
        </w:rPr>
        <w:t>Attachment B—</w:t>
      </w:r>
      <w:r w:rsidR="00DE7DBC" w:rsidRPr="00711BFA">
        <w:rPr>
          <w:b/>
        </w:rPr>
        <w:t xml:space="preserve">Instrument: Word version </w:t>
      </w:r>
      <w:r w:rsidR="00DE7DBC" w:rsidRPr="0096435D">
        <w:t xml:space="preserve">and </w:t>
      </w:r>
      <w:r w:rsidR="00DE7DBC">
        <w:rPr>
          <w:b/>
        </w:rPr>
        <w:t>Attachment C—</w:t>
      </w:r>
      <w:r w:rsidR="00DE7DBC" w:rsidRPr="00711BFA">
        <w:rPr>
          <w:b/>
        </w:rPr>
        <w:t>Instrument: Web version</w:t>
      </w:r>
      <w:r w:rsidR="00DE7DBC" w:rsidRPr="0096435D">
        <w:t>)</w:t>
      </w:r>
      <w:r w:rsidR="003D4A12">
        <w:t xml:space="preserve"> will assess</w:t>
      </w:r>
      <w:r w:rsidRPr="04524006">
        <w:t xml:space="preserve"> </w:t>
      </w:r>
      <w:r w:rsidR="003D4A12">
        <w:t xml:space="preserve">levels of awareness and practice of the principles of DRR and identify barriers to knowledge and implementation among state and territorial public health preparedness programs. </w:t>
      </w:r>
      <w:r w:rsidR="00B4120C">
        <w:t xml:space="preserve">The survey </w:t>
      </w:r>
      <w:r w:rsidRPr="04524006">
        <w:t xml:space="preserve">consists of </w:t>
      </w:r>
      <w:r w:rsidR="00F96C02">
        <w:t xml:space="preserve">a </w:t>
      </w:r>
      <w:r w:rsidR="00F96C02" w:rsidRPr="00F96C02">
        <w:t>total</w:t>
      </w:r>
      <w:r w:rsidR="00B34A02" w:rsidRPr="00F96C02">
        <w:t xml:space="preserve"> </w:t>
      </w:r>
      <w:r w:rsidR="00F96C02" w:rsidRPr="00F96C02">
        <w:t xml:space="preserve">of </w:t>
      </w:r>
      <w:r w:rsidR="00B34A02" w:rsidRPr="00F96C02">
        <w:t>2</w:t>
      </w:r>
      <w:r w:rsidR="00B2048E">
        <w:t>6</w:t>
      </w:r>
      <w:r w:rsidR="00F96C02">
        <w:t xml:space="preserve"> </w:t>
      </w:r>
      <w:r w:rsidR="00DC7E18" w:rsidRPr="00F96C02">
        <w:t>questi</w:t>
      </w:r>
      <w:r w:rsidR="00F96C02" w:rsidRPr="00F96C02">
        <w:t>ons</w:t>
      </w:r>
      <w:r w:rsidR="00B4120C" w:rsidRPr="00F96C02">
        <w:t>.</w:t>
      </w:r>
      <w:r w:rsidR="0046107C">
        <w:t xml:space="preserve"> </w:t>
      </w:r>
      <w:r w:rsidR="00B4120C">
        <w:t>Question formats include</w:t>
      </w:r>
      <w:r w:rsidR="008C59E7">
        <w:t xml:space="preserve"> </w:t>
      </w:r>
      <w:r w:rsidR="008C59E7" w:rsidRPr="00C20572">
        <w:t>dichotomous (yes/no), multiple response, interval (rating scales), an</w:t>
      </w:r>
      <w:r w:rsidR="008C59E7" w:rsidRPr="00C20572">
        <w:rPr>
          <w:rFonts w:eastAsiaTheme="majorEastAsia" w:cstheme="majorBidi"/>
        </w:rPr>
        <w:t>d open-ended</w:t>
      </w:r>
      <w:r w:rsidRPr="009D5475">
        <w:rPr>
          <w:rFonts w:eastAsiaTheme="majorEastAsia" w:cstheme="majorBidi"/>
        </w:rPr>
        <w:t xml:space="preserve">. </w:t>
      </w:r>
      <w:r w:rsidR="004C35DE">
        <w:rPr>
          <w:rFonts w:cs="Times New Roman"/>
        </w:rPr>
        <w:t xml:space="preserve">In an effort to </w:t>
      </w:r>
      <w:r w:rsidR="004C35DE">
        <w:rPr>
          <w:rFonts w:cs="Times New Roman"/>
        </w:rPr>
        <w:lastRenderedPageBreak/>
        <w:t>minimize response burden, t</w:t>
      </w:r>
      <w:r w:rsidR="004C35DE">
        <w:rPr>
          <w:rFonts w:eastAsiaTheme="majorEastAsia" w:cstheme="majorBidi"/>
        </w:rPr>
        <w:t xml:space="preserve">he instrument </w:t>
      </w:r>
      <w:r w:rsidR="004C35DE">
        <w:rPr>
          <w:rFonts w:cs="Times New Roman"/>
        </w:rPr>
        <w:t xml:space="preserve">was </w:t>
      </w:r>
      <w:r w:rsidR="004C35DE" w:rsidRPr="007C6296">
        <w:rPr>
          <w:rFonts w:cs="Times New Roman"/>
        </w:rPr>
        <w:t xml:space="preserve">designed with particular focus on </w:t>
      </w:r>
      <w:r w:rsidR="004C35DE">
        <w:rPr>
          <w:rFonts w:cs="Times New Roman"/>
        </w:rPr>
        <w:t>streamlining questions to allow for skipping questions based on responses to previous questions</w:t>
      </w:r>
      <w:r w:rsidR="00EB5BA3">
        <w:rPr>
          <w:rFonts w:cs="Times New Roman"/>
        </w:rPr>
        <w:t>.</w:t>
      </w:r>
      <w:r w:rsidR="004C35DE">
        <w:rPr>
          <w:rFonts w:cs="Times New Roman"/>
        </w:rPr>
        <w:t xml:space="preserve"> Also, </w:t>
      </w:r>
      <w:r w:rsidR="004C35DE">
        <w:rPr>
          <w:rFonts w:eastAsiaTheme="majorEastAsia" w:cstheme="majorBidi"/>
        </w:rPr>
        <w:t>a</w:t>
      </w:r>
      <w:r w:rsidRPr="04524006">
        <w:rPr>
          <w:rFonts w:eastAsiaTheme="majorEastAsia" w:cstheme="majorBidi"/>
        </w:rPr>
        <w:t>n effort was made to limit questions requiring narrative respo</w:t>
      </w:r>
      <w:r w:rsidRPr="04524006">
        <w:t>nses from respondents</w:t>
      </w:r>
      <w:r>
        <w:t xml:space="preserve"> whenever possible</w:t>
      </w:r>
      <w:r w:rsidRPr="04524006">
        <w:t xml:space="preserve">. The instrument </w:t>
      </w:r>
      <w:r w:rsidR="00BC04AF">
        <w:t>is organized into two parts</w:t>
      </w:r>
      <w:r w:rsidRPr="04524006">
        <w:t>:</w:t>
      </w:r>
      <w:r>
        <w:t xml:space="preserve"> </w:t>
      </w:r>
    </w:p>
    <w:p w14:paraId="75B4F3F3" w14:textId="77777777" w:rsidR="000F0913" w:rsidRDefault="000F0913" w:rsidP="001F7CD1">
      <w:pPr>
        <w:ind w:left="0"/>
      </w:pPr>
    </w:p>
    <w:p w14:paraId="118BFFD5" w14:textId="72FBB5A6" w:rsidR="000F0913" w:rsidRPr="000F0913" w:rsidRDefault="00960988" w:rsidP="005819B6">
      <w:pPr>
        <w:tabs>
          <w:tab w:val="clear" w:pos="9360"/>
        </w:tabs>
        <w:ind w:left="0"/>
        <w:rPr>
          <w:rFonts w:ascii="Cambria" w:eastAsia="SimSun" w:hAnsi="Cambria" w:cs="Arial"/>
          <w:lang w:eastAsia="zh-CN"/>
        </w:rPr>
      </w:pPr>
      <w:r>
        <w:rPr>
          <w:rFonts w:ascii="Cambria" w:eastAsia="SimSun" w:hAnsi="Cambria" w:cs="Arial"/>
          <w:lang w:eastAsia="zh-CN"/>
        </w:rPr>
        <w:tab/>
      </w:r>
      <w:r w:rsidR="003A74ED" w:rsidRPr="00FA34CF">
        <w:rPr>
          <w:rFonts w:ascii="Cambria" w:eastAsia="SimSun" w:hAnsi="Cambria" w:cs="Arial"/>
          <w:b/>
          <w:lang w:eastAsia="zh-CN"/>
        </w:rPr>
        <w:t xml:space="preserve">1. </w:t>
      </w:r>
      <w:r w:rsidR="00FA34CF">
        <w:rPr>
          <w:rFonts w:ascii="Cambria" w:eastAsia="SimSun" w:hAnsi="Cambria" w:cs="Arial"/>
          <w:b/>
          <w:lang w:eastAsia="zh-CN"/>
        </w:rPr>
        <w:t xml:space="preserve"> </w:t>
      </w:r>
      <w:r w:rsidR="00D20128" w:rsidRPr="005B58C4">
        <w:rPr>
          <w:rFonts w:ascii="Cambria" w:eastAsia="SimSun" w:hAnsi="Cambria" w:cs="Arial"/>
          <w:b/>
          <w:lang w:eastAsia="zh-CN"/>
        </w:rPr>
        <w:t>Survey respondent information</w:t>
      </w:r>
      <w:r w:rsidR="00E929A2">
        <w:rPr>
          <w:rFonts w:ascii="Cambria" w:eastAsia="SimSun" w:hAnsi="Cambria" w:cs="Arial"/>
          <w:b/>
          <w:lang w:eastAsia="zh-CN"/>
        </w:rPr>
        <w:t xml:space="preserve"> (5 questions)</w:t>
      </w:r>
      <w:r w:rsidR="00BC04AF" w:rsidRPr="005B58C4">
        <w:rPr>
          <w:rFonts w:ascii="Cambria" w:eastAsia="SimSun" w:hAnsi="Cambria" w:cs="Arial"/>
          <w:b/>
          <w:lang w:eastAsia="zh-CN"/>
        </w:rPr>
        <w:t>:</w:t>
      </w:r>
      <w:r w:rsidR="00903383">
        <w:rPr>
          <w:rFonts w:ascii="Cambria" w:eastAsia="SimSun" w:hAnsi="Cambria" w:cs="Arial"/>
          <w:lang w:eastAsia="zh-CN"/>
        </w:rPr>
        <w:t xml:space="preserve">  This information is being collected in </w:t>
      </w:r>
      <w:r>
        <w:rPr>
          <w:rFonts w:ascii="Cambria" w:eastAsia="SimSun" w:hAnsi="Cambria" w:cs="Arial"/>
          <w:lang w:eastAsia="zh-CN"/>
        </w:rPr>
        <w:tab/>
      </w:r>
      <w:r w:rsidR="00903383">
        <w:rPr>
          <w:rFonts w:ascii="Cambria" w:eastAsia="SimSun" w:hAnsi="Cambria" w:cs="Arial"/>
          <w:lang w:eastAsia="zh-CN"/>
        </w:rPr>
        <w:t>an effort to maximize the respondent rate by allowing direct follow up with non-</w:t>
      </w:r>
      <w:r>
        <w:rPr>
          <w:rFonts w:ascii="Cambria" w:eastAsia="SimSun" w:hAnsi="Cambria" w:cs="Arial"/>
          <w:lang w:eastAsia="zh-CN"/>
        </w:rPr>
        <w:tab/>
      </w:r>
      <w:r w:rsidR="00903383">
        <w:rPr>
          <w:rFonts w:ascii="Cambria" w:eastAsia="SimSun" w:hAnsi="Cambria" w:cs="Arial"/>
          <w:lang w:eastAsia="zh-CN"/>
        </w:rPr>
        <w:t xml:space="preserve">respondents. </w:t>
      </w:r>
    </w:p>
    <w:p w14:paraId="42E24C58" w14:textId="1B58B532" w:rsidR="000F0913" w:rsidRDefault="009D5475" w:rsidP="00F30E84">
      <w:pPr>
        <w:numPr>
          <w:ilvl w:val="1"/>
          <w:numId w:val="35"/>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State or territory</w:t>
      </w:r>
    </w:p>
    <w:p w14:paraId="40D5C7F0" w14:textId="6F88FDED" w:rsidR="00E929A2" w:rsidRDefault="00813834" w:rsidP="00F30E84">
      <w:pPr>
        <w:numPr>
          <w:ilvl w:val="1"/>
          <w:numId w:val="35"/>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Official r</w:t>
      </w:r>
      <w:r w:rsidR="00E929A2">
        <w:rPr>
          <w:rFonts w:ascii="Cambria" w:eastAsia="Times New Roman" w:hAnsi="Cambria" w:cs="Times New Roman"/>
          <w:szCs w:val="24"/>
        </w:rPr>
        <w:t>ole</w:t>
      </w:r>
    </w:p>
    <w:p w14:paraId="76BD5F2B" w14:textId="13C927A9" w:rsidR="009D5475" w:rsidRPr="000F0913" w:rsidRDefault="009D5475" w:rsidP="00F30E84">
      <w:pPr>
        <w:numPr>
          <w:ilvl w:val="1"/>
          <w:numId w:val="35"/>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Name of respondent</w:t>
      </w:r>
    </w:p>
    <w:p w14:paraId="2EA5E03B" w14:textId="311E1DD9" w:rsidR="009D5475" w:rsidRPr="009D5475" w:rsidRDefault="00B4271C" w:rsidP="00F30E84">
      <w:pPr>
        <w:numPr>
          <w:ilvl w:val="1"/>
          <w:numId w:val="35"/>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 xml:space="preserve">Work </w:t>
      </w:r>
      <w:r w:rsidR="00813834">
        <w:rPr>
          <w:rFonts w:ascii="Cambria" w:eastAsia="Times New Roman" w:hAnsi="Cambria" w:cs="Times New Roman"/>
          <w:szCs w:val="24"/>
        </w:rPr>
        <w:t>p</w:t>
      </w:r>
      <w:r w:rsidR="009D5475">
        <w:rPr>
          <w:rFonts w:ascii="Cambria" w:eastAsia="Times New Roman" w:hAnsi="Cambria" w:cs="Times New Roman"/>
          <w:szCs w:val="24"/>
        </w:rPr>
        <w:t>hone number</w:t>
      </w:r>
    </w:p>
    <w:p w14:paraId="3BB11DB5" w14:textId="1CFAC8C8" w:rsidR="00D20128" w:rsidRDefault="00B4271C" w:rsidP="00F30E84">
      <w:pPr>
        <w:numPr>
          <w:ilvl w:val="1"/>
          <w:numId w:val="35"/>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 xml:space="preserve">Work </w:t>
      </w:r>
      <w:r w:rsidR="00813834">
        <w:rPr>
          <w:rFonts w:ascii="Cambria" w:eastAsia="Times New Roman" w:hAnsi="Cambria" w:cs="Times New Roman"/>
          <w:szCs w:val="24"/>
        </w:rPr>
        <w:t>e</w:t>
      </w:r>
      <w:r w:rsidR="00D20128">
        <w:rPr>
          <w:rFonts w:ascii="Cambria" w:eastAsia="Times New Roman" w:hAnsi="Cambria" w:cs="Times New Roman"/>
          <w:szCs w:val="24"/>
        </w:rPr>
        <w:t>mail address</w:t>
      </w:r>
    </w:p>
    <w:p w14:paraId="6DE94A07" w14:textId="77777777" w:rsidR="00CF2B8B" w:rsidRDefault="00CF2B8B" w:rsidP="00F30E84">
      <w:pPr>
        <w:tabs>
          <w:tab w:val="clear" w:pos="9360"/>
        </w:tabs>
        <w:spacing w:after="200"/>
        <w:ind w:left="1080"/>
        <w:contextualSpacing/>
        <w:rPr>
          <w:rFonts w:ascii="Cambria" w:eastAsia="Times New Roman" w:hAnsi="Cambria" w:cs="Times New Roman"/>
          <w:szCs w:val="24"/>
        </w:rPr>
      </w:pPr>
    </w:p>
    <w:p w14:paraId="6B3DE5C1" w14:textId="3ADD1038" w:rsidR="000F0913" w:rsidRPr="003667F3" w:rsidRDefault="00960988" w:rsidP="00F30E84">
      <w:pPr>
        <w:tabs>
          <w:tab w:val="clear" w:pos="9360"/>
        </w:tabs>
        <w:spacing w:after="200"/>
        <w:ind w:left="0"/>
        <w:contextualSpacing/>
        <w:rPr>
          <w:rFonts w:ascii="Cambria" w:eastAsia="Times New Roman" w:hAnsi="Cambria" w:cs="Times New Roman"/>
          <w:szCs w:val="24"/>
        </w:rPr>
      </w:pPr>
      <w:r w:rsidRPr="00FA34CF">
        <w:rPr>
          <w:rFonts w:ascii="Cambria" w:eastAsia="Times New Roman" w:hAnsi="Cambria" w:cs="Times New Roman"/>
          <w:b/>
          <w:szCs w:val="24"/>
        </w:rPr>
        <w:tab/>
      </w:r>
      <w:r w:rsidR="003A74ED" w:rsidRPr="00FA34CF">
        <w:rPr>
          <w:rFonts w:ascii="Cambria" w:eastAsia="Times New Roman" w:hAnsi="Cambria" w:cs="Times New Roman"/>
          <w:b/>
          <w:szCs w:val="24"/>
        </w:rPr>
        <w:t xml:space="preserve">2. </w:t>
      </w:r>
      <w:r w:rsidR="00BC04AF" w:rsidRPr="00FA34CF">
        <w:rPr>
          <w:rFonts w:ascii="Cambria" w:eastAsia="Times New Roman" w:hAnsi="Cambria" w:cs="Times New Roman"/>
          <w:b/>
          <w:szCs w:val="24"/>
        </w:rPr>
        <w:t xml:space="preserve"> </w:t>
      </w:r>
      <w:r w:rsidR="00BC04AF" w:rsidRPr="005B58C4">
        <w:rPr>
          <w:rFonts w:ascii="Cambria" w:eastAsia="Times New Roman" w:hAnsi="Cambria" w:cs="Times New Roman"/>
          <w:b/>
          <w:szCs w:val="24"/>
        </w:rPr>
        <w:t xml:space="preserve">Disaster Risk Reduction </w:t>
      </w:r>
      <w:r w:rsidR="00FB6F23" w:rsidRPr="005B58C4">
        <w:rPr>
          <w:rFonts w:ascii="Cambria" w:eastAsia="Times New Roman" w:hAnsi="Cambria" w:cs="Times New Roman"/>
          <w:b/>
          <w:szCs w:val="24"/>
        </w:rPr>
        <w:t>Questions</w:t>
      </w:r>
      <w:r w:rsidR="00E929A2">
        <w:rPr>
          <w:rFonts w:ascii="Cambria" w:eastAsia="Times New Roman" w:hAnsi="Cambria" w:cs="Times New Roman"/>
          <w:b/>
          <w:szCs w:val="24"/>
        </w:rPr>
        <w:t xml:space="preserve"> </w:t>
      </w:r>
      <w:r w:rsidR="00F96C02">
        <w:rPr>
          <w:rFonts w:ascii="Cambria" w:eastAsia="Times New Roman" w:hAnsi="Cambria" w:cs="Times New Roman"/>
          <w:b/>
          <w:szCs w:val="24"/>
        </w:rPr>
        <w:t>(2</w:t>
      </w:r>
      <w:r w:rsidR="00B2048E">
        <w:rPr>
          <w:rFonts w:ascii="Cambria" w:eastAsia="Times New Roman" w:hAnsi="Cambria" w:cs="Times New Roman"/>
          <w:b/>
          <w:szCs w:val="24"/>
        </w:rPr>
        <w:t>0</w:t>
      </w:r>
      <w:r w:rsidR="00E929A2">
        <w:rPr>
          <w:rFonts w:ascii="Cambria" w:eastAsia="Times New Roman" w:hAnsi="Cambria" w:cs="Times New Roman"/>
          <w:b/>
          <w:szCs w:val="24"/>
        </w:rPr>
        <w:t xml:space="preserve"> questions)</w:t>
      </w:r>
      <w:r w:rsidR="00BC04AF">
        <w:rPr>
          <w:rFonts w:ascii="Cambria" w:eastAsia="Times New Roman" w:hAnsi="Cambria" w:cs="Times New Roman"/>
          <w:szCs w:val="24"/>
        </w:rPr>
        <w:t xml:space="preserve">: </w:t>
      </w:r>
      <w:r w:rsidR="00FB6F23" w:rsidRPr="00456CBD">
        <w:rPr>
          <w:rFonts w:ascii="Cambria" w:eastAsia="Times New Roman" w:hAnsi="Cambria" w:cs="Times New Roman"/>
          <w:szCs w:val="24"/>
        </w:rPr>
        <w:t xml:space="preserve"> </w:t>
      </w:r>
      <w:r w:rsidR="00BC04AF">
        <w:rPr>
          <w:rFonts w:ascii="Cambria" w:eastAsia="Times New Roman" w:hAnsi="Cambria" w:cs="Times New Roman"/>
          <w:szCs w:val="24"/>
        </w:rPr>
        <w:t xml:space="preserve">Respondents </w:t>
      </w:r>
      <w:r w:rsidR="003667F3">
        <w:rPr>
          <w:rFonts w:ascii="Cambria" w:eastAsia="Times New Roman" w:hAnsi="Cambria" w:cs="Times New Roman"/>
          <w:szCs w:val="24"/>
        </w:rPr>
        <w:t xml:space="preserve">will </w:t>
      </w:r>
      <w:r w:rsidR="004716B9">
        <w:rPr>
          <w:rFonts w:ascii="Cambria" w:eastAsia="Times New Roman" w:hAnsi="Cambria" w:cs="Times New Roman"/>
          <w:szCs w:val="24"/>
        </w:rPr>
        <w:t xml:space="preserve">describe their </w:t>
      </w:r>
      <w:r>
        <w:rPr>
          <w:rFonts w:ascii="Cambria" w:eastAsia="Times New Roman" w:hAnsi="Cambria" w:cs="Times New Roman"/>
          <w:szCs w:val="24"/>
        </w:rPr>
        <w:tab/>
      </w:r>
      <w:r w:rsidR="004716B9">
        <w:rPr>
          <w:rFonts w:ascii="Cambria" w:eastAsia="Times New Roman" w:hAnsi="Cambria" w:cs="Times New Roman"/>
          <w:szCs w:val="24"/>
        </w:rPr>
        <w:t xml:space="preserve">DRR </w:t>
      </w:r>
      <w:r w:rsidR="00FB6F23" w:rsidRPr="003667F3">
        <w:rPr>
          <w:rFonts w:ascii="Cambria" w:eastAsia="Times New Roman" w:hAnsi="Cambria" w:cs="Times New Roman"/>
          <w:szCs w:val="24"/>
        </w:rPr>
        <w:t xml:space="preserve">knowledge use of these principles </w:t>
      </w:r>
      <w:r w:rsidR="004716B9">
        <w:rPr>
          <w:rFonts w:ascii="Cambria" w:eastAsia="Times New Roman" w:hAnsi="Cambria" w:cs="Times New Roman"/>
          <w:szCs w:val="24"/>
        </w:rPr>
        <w:t>(</w:t>
      </w:r>
      <w:r w:rsidR="00FB6F23" w:rsidRPr="003667F3">
        <w:rPr>
          <w:rFonts w:ascii="Cambria" w:eastAsia="Times New Roman" w:hAnsi="Cambria" w:cs="Times New Roman"/>
          <w:szCs w:val="24"/>
        </w:rPr>
        <w:t>when applicable</w:t>
      </w:r>
      <w:r w:rsidR="004716B9">
        <w:rPr>
          <w:rFonts w:ascii="Cambria" w:eastAsia="Times New Roman" w:hAnsi="Cambria" w:cs="Times New Roman"/>
          <w:szCs w:val="24"/>
        </w:rPr>
        <w:t>)</w:t>
      </w:r>
      <w:r w:rsidR="00FB6F23" w:rsidRPr="003667F3">
        <w:rPr>
          <w:rFonts w:ascii="Cambria" w:eastAsia="Times New Roman" w:hAnsi="Cambria" w:cs="Times New Roman"/>
          <w:szCs w:val="24"/>
        </w:rPr>
        <w:t xml:space="preserve"> to the state or territorial </w:t>
      </w:r>
      <w:r>
        <w:rPr>
          <w:rFonts w:ascii="Cambria" w:eastAsia="Times New Roman" w:hAnsi="Cambria" w:cs="Times New Roman"/>
          <w:szCs w:val="24"/>
        </w:rPr>
        <w:tab/>
      </w:r>
      <w:r w:rsidR="00FB6F23" w:rsidRPr="003667F3">
        <w:rPr>
          <w:rFonts w:ascii="Cambria" w:eastAsia="Times New Roman" w:hAnsi="Cambria" w:cs="Times New Roman"/>
          <w:szCs w:val="24"/>
        </w:rPr>
        <w:t>preparedness activities</w:t>
      </w:r>
      <w:r w:rsidR="00456CBD" w:rsidRPr="003667F3">
        <w:rPr>
          <w:rFonts w:ascii="Cambria" w:eastAsia="Times New Roman" w:hAnsi="Cambria" w:cs="Times New Roman"/>
          <w:szCs w:val="24"/>
        </w:rPr>
        <w:t xml:space="preserve"> in the following domains</w:t>
      </w:r>
      <w:r w:rsidR="000F0913" w:rsidRPr="003667F3">
        <w:rPr>
          <w:rFonts w:ascii="Cambria" w:eastAsia="Times New Roman" w:hAnsi="Cambria" w:cs="Times New Roman"/>
          <w:szCs w:val="24"/>
        </w:rPr>
        <w:t xml:space="preserve">: </w:t>
      </w:r>
    </w:p>
    <w:p w14:paraId="0BE1082F" w14:textId="0808AF71" w:rsidR="00456CBD" w:rsidRDefault="00456CBD" w:rsidP="00F30E84">
      <w:pPr>
        <w:numPr>
          <w:ilvl w:val="0"/>
          <w:numId w:val="41"/>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 xml:space="preserve">Familiarity of the jurisdiction regarding the general principles of disaster risk reduction including the four </w:t>
      </w:r>
      <w:r w:rsidR="00F47D9E">
        <w:rPr>
          <w:rFonts w:ascii="Cambria" w:eastAsia="Times New Roman" w:hAnsi="Cambria" w:cs="Times New Roman"/>
          <w:szCs w:val="24"/>
        </w:rPr>
        <w:t xml:space="preserve">DRR </w:t>
      </w:r>
      <w:r>
        <w:rPr>
          <w:rFonts w:ascii="Cambria" w:eastAsia="Times New Roman" w:hAnsi="Cambria" w:cs="Times New Roman"/>
          <w:szCs w:val="24"/>
        </w:rPr>
        <w:t>Priorities of Action</w:t>
      </w:r>
      <w:r w:rsidR="002B0821">
        <w:rPr>
          <w:rFonts w:ascii="Cambria" w:eastAsia="Times New Roman" w:hAnsi="Cambria" w:cs="Times New Roman"/>
          <w:szCs w:val="24"/>
        </w:rPr>
        <w:t xml:space="preserve"> </w:t>
      </w:r>
      <w:r w:rsidR="002B0821">
        <w:rPr>
          <w:rFonts w:ascii="Cambria" w:eastAsia="SimSun" w:hAnsi="Cambria" w:cs="Arial"/>
          <w:lang w:eastAsia="zh-CN"/>
        </w:rPr>
        <w:t>(</w:t>
      </w:r>
      <w:r w:rsidR="002F3A64">
        <w:rPr>
          <w:rFonts w:ascii="Cambria" w:eastAsia="SimSun" w:hAnsi="Cambria" w:cs="Arial"/>
          <w:lang w:eastAsia="zh-CN"/>
        </w:rPr>
        <w:t>7 questions</w:t>
      </w:r>
      <w:r w:rsidR="002B0821">
        <w:rPr>
          <w:rFonts w:ascii="Cambria" w:eastAsia="SimSun" w:hAnsi="Cambria" w:cs="Arial"/>
          <w:lang w:eastAsia="zh-CN"/>
        </w:rPr>
        <w:t>).</w:t>
      </w:r>
    </w:p>
    <w:p w14:paraId="4F6991C3" w14:textId="0E9DAE71" w:rsidR="00456CBD" w:rsidRPr="00C20572" w:rsidRDefault="00F47D9E" w:rsidP="00F30E84">
      <w:pPr>
        <w:numPr>
          <w:ilvl w:val="0"/>
          <w:numId w:val="41"/>
        </w:numPr>
        <w:tabs>
          <w:tab w:val="clear" w:pos="9360"/>
        </w:tabs>
        <w:spacing w:after="200"/>
        <w:contextualSpacing/>
        <w:rPr>
          <w:rFonts w:ascii="Cambria" w:eastAsia="Times New Roman" w:hAnsi="Cambria" w:cs="Times New Roman"/>
          <w:sz w:val="20"/>
          <w:szCs w:val="24"/>
        </w:rPr>
      </w:pPr>
      <w:r w:rsidRPr="00C20572">
        <w:rPr>
          <w:szCs w:val="24"/>
        </w:rPr>
        <w:t>Disaster risk reduction activities being carried out as part of the public health preparedness program activities</w:t>
      </w:r>
      <w:r w:rsidR="003667F3" w:rsidRPr="00C20572">
        <w:rPr>
          <w:szCs w:val="24"/>
        </w:rPr>
        <w:t>; there are</w:t>
      </w:r>
      <w:r w:rsidRPr="00C20572">
        <w:rPr>
          <w:szCs w:val="24"/>
        </w:rPr>
        <w:t xml:space="preserve"> questio</w:t>
      </w:r>
      <w:r w:rsidR="00914F38" w:rsidRPr="00C20572">
        <w:rPr>
          <w:szCs w:val="24"/>
        </w:rPr>
        <w:t>ns regarding agency</w:t>
      </w:r>
      <w:r w:rsidR="00F540E6" w:rsidRPr="00C20572">
        <w:rPr>
          <w:szCs w:val="24"/>
        </w:rPr>
        <w:t xml:space="preserve"> involvement, primary leads, and partner organizations</w:t>
      </w:r>
      <w:r w:rsidR="002B0821">
        <w:rPr>
          <w:szCs w:val="24"/>
        </w:rPr>
        <w:t xml:space="preserve"> </w:t>
      </w:r>
      <w:r w:rsidR="002B0821">
        <w:rPr>
          <w:rFonts w:ascii="Cambria" w:eastAsia="SimSun" w:hAnsi="Cambria" w:cs="Arial"/>
          <w:lang w:eastAsia="zh-CN"/>
        </w:rPr>
        <w:t>(</w:t>
      </w:r>
      <w:r w:rsidR="00240B83">
        <w:rPr>
          <w:rFonts w:ascii="Cambria" w:eastAsia="SimSun" w:hAnsi="Cambria" w:cs="Arial"/>
          <w:lang w:eastAsia="zh-CN"/>
        </w:rPr>
        <w:t>7</w:t>
      </w:r>
      <w:r w:rsidR="002B0821">
        <w:rPr>
          <w:rFonts w:ascii="Cambria" w:eastAsia="SimSun" w:hAnsi="Cambria" w:cs="Arial"/>
          <w:lang w:eastAsia="zh-CN"/>
        </w:rPr>
        <w:t xml:space="preserve"> questions)</w:t>
      </w:r>
      <w:r w:rsidR="00F540E6" w:rsidRPr="00C20572">
        <w:rPr>
          <w:szCs w:val="24"/>
        </w:rPr>
        <w:t xml:space="preserve">. </w:t>
      </w:r>
    </w:p>
    <w:p w14:paraId="5DCC5E07" w14:textId="683B0288" w:rsidR="001D3CE9" w:rsidRDefault="00FA370A" w:rsidP="00F30E84">
      <w:pPr>
        <w:numPr>
          <w:ilvl w:val="0"/>
          <w:numId w:val="41"/>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 xml:space="preserve">State/territory interest in acquiring </w:t>
      </w:r>
      <w:r w:rsidR="001D3CE9">
        <w:rPr>
          <w:rFonts w:ascii="Cambria" w:eastAsia="Times New Roman" w:hAnsi="Cambria" w:cs="Times New Roman"/>
          <w:szCs w:val="24"/>
        </w:rPr>
        <w:t>additional information</w:t>
      </w:r>
      <w:r w:rsidR="00E929A2">
        <w:rPr>
          <w:rFonts w:ascii="Cambria" w:eastAsia="Times New Roman" w:hAnsi="Cambria" w:cs="Times New Roman"/>
          <w:szCs w:val="24"/>
        </w:rPr>
        <w:t xml:space="preserve"> and training</w:t>
      </w:r>
      <w:r w:rsidR="001D3CE9">
        <w:rPr>
          <w:rFonts w:ascii="Cambria" w:eastAsia="Times New Roman" w:hAnsi="Cambria" w:cs="Times New Roman"/>
          <w:szCs w:val="24"/>
        </w:rPr>
        <w:t xml:space="preserve"> regarding </w:t>
      </w:r>
      <w:r w:rsidR="001D3CE9" w:rsidRPr="001D3CE9">
        <w:rPr>
          <w:rFonts w:ascii="Cambria" w:eastAsia="Times New Roman" w:hAnsi="Cambria" w:cs="Times New Roman"/>
          <w:szCs w:val="24"/>
        </w:rPr>
        <w:t>disaster risk reduction</w:t>
      </w:r>
      <w:r w:rsidR="001D3CE9">
        <w:rPr>
          <w:rFonts w:ascii="Cambria" w:eastAsia="Times New Roman" w:hAnsi="Cambria" w:cs="Times New Roman"/>
          <w:szCs w:val="24"/>
        </w:rPr>
        <w:t xml:space="preserve"> as it</w:t>
      </w:r>
      <w:r w:rsidR="001D3CE9" w:rsidRPr="001D3CE9">
        <w:rPr>
          <w:rFonts w:ascii="Cambria" w:eastAsia="Times New Roman" w:hAnsi="Cambria" w:cs="Times New Roman"/>
          <w:szCs w:val="24"/>
        </w:rPr>
        <w:t xml:space="preserve"> relate</w:t>
      </w:r>
      <w:r w:rsidR="001D3CE9">
        <w:rPr>
          <w:rFonts w:ascii="Cambria" w:eastAsia="Times New Roman" w:hAnsi="Cambria" w:cs="Times New Roman"/>
          <w:szCs w:val="24"/>
        </w:rPr>
        <w:t>s</w:t>
      </w:r>
      <w:r w:rsidR="001D3CE9" w:rsidRPr="001D3CE9">
        <w:rPr>
          <w:rFonts w:ascii="Cambria" w:eastAsia="Times New Roman" w:hAnsi="Cambria" w:cs="Times New Roman"/>
          <w:szCs w:val="24"/>
        </w:rPr>
        <w:t xml:space="preserve"> to state/territory public health preparedness programs</w:t>
      </w:r>
      <w:r w:rsidR="002B0821">
        <w:rPr>
          <w:rFonts w:ascii="Cambria" w:eastAsia="Times New Roman" w:hAnsi="Cambria" w:cs="Times New Roman"/>
          <w:szCs w:val="24"/>
        </w:rPr>
        <w:t xml:space="preserve"> </w:t>
      </w:r>
      <w:r w:rsidR="002B0821">
        <w:rPr>
          <w:rFonts w:ascii="Cambria" w:eastAsia="SimSun" w:hAnsi="Cambria" w:cs="Arial"/>
          <w:lang w:eastAsia="zh-CN"/>
        </w:rPr>
        <w:t>(</w:t>
      </w:r>
      <w:r w:rsidR="00B2048E">
        <w:rPr>
          <w:rFonts w:ascii="Cambria" w:eastAsia="SimSun" w:hAnsi="Cambria" w:cs="Arial"/>
          <w:lang w:eastAsia="zh-CN"/>
        </w:rPr>
        <w:t>5</w:t>
      </w:r>
      <w:r w:rsidR="006F621C">
        <w:rPr>
          <w:rFonts w:ascii="Cambria" w:eastAsia="SimSun" w:hAnsi="Cambria" w:cs="Arial"/>
          <w:lang w:eastAsia="zh-CN"/>
        </w:rPr>
        <w:t xml:space="preserve"> </w:t>
      </w:r>
      <w:r w:rsidR="002B0821">
        <w:rPr>
          <w:rFonts w:ascii="Cambria" w:eastAsia="SimSun" w:hAnsi="Cambria" w:cs="Arial"/>
          <w:lang w:eastAsia="zh-CN"/>
        </w:rPr>
        <w:t>questions)</w:t>
      </w:r>
      <w:r w:rsidR="0002340E">
        <w:rPr>
          <w:rFonts w:ascii="Cambria" w:eastAsia="Times New Roman" w:hAnsi="Cambria" w:cs="Times New Roman"/>
          <w:szCs w:val="24"/>
        </w:rPr>
        <w:t>.</w:t>
      </w:r>
    </w:p>
    <w:p w14:paraId="2E72DB40" w14:textId="77777777" w:rsidR="00960988" w:rsidRDefault="00DC6D74" w:rsidP="00960988">
      <w:pPr>
        <w:numPr>
          <w:ilvl w:val="0"/>
          <w:numId w:val="41"/>
        </w:numPr>
        <w:tabs>
          <w:tab w:val="clear" w:pos="9360"/>
        </w:tabs>
        <w:spacing w:after="200"/>
        <w:contextualSpacing/>
        <w:rPr>
          <w:rFonts w:ascii="Cambria" w:eastAsia="Times New Roman" w:hAnsi="Cambria" w:cs="Times New Roman"/>
          <w:szCs w:val="24"/>
        </w:rPr>
      </w:pPr>
      <w:r>
        <w:rPr>
          <w:rFonts w:ascii="Cambria" w:eastAsia="Times New Roman" w:hAnsi="Cambria" w:cs="Times New Roman"/>
          <w:szCs w:val="24"/>
        </w:rPr>
        <w:t>Comments or recommendations about implementatio</w:t>
      </w:r>
      <w:r w:rsidR="003A74ED">
        <w:rPr>
          <w:rFonts w:ascii="Cambria" w:eastAsia="Times New Roman" w:hAnsi="Cambria" w:cs="Times New Roman"/>
          <w:szCs w:val="24"/>
        </w:rPr>
        <w:t xml:space="preserve">n of </w:t>
      </w:r>
      <w:r w:rsidR="006F621C">
        <w:rPr>
          <w:rFonts w:ascii="Cambria" w:eastAsia="Times New Roman" w:hAnsi="Cambria" w:cs="Times New Roman"/>
          <w:szCs w:val="24"/>
        </w:rPr>
        <w:t>DRR</w:t>
      </w:r>
      <w:r w:rsidR="003A74ED">
        <w:rPr>
          <w:rFonts w:ascii="Cambria" w:eastAsia="Times New Roman" w:hAnsi="Cambria" w:cs="Times New Roman"/>
          <w:szCs w:val="24"/>
        </w:rPr>
        <w:t xml:space="preserve"> (1 </w:t>
      </w:r>
      <w:r>
        <w:rPr>
          <w:rFonts w:ascii="Cambria" w:eastAsia="Times New Roman" w:hAnsi="Cambria" w:cs="Times New Roman"/>
          <w:szCs w:val="24"/>
        </w:rPr>
        <w:t>question).</w:t>
      </w:r>
    </w:p>
    <w:p w14:paraId="6D286310" w14:textId="77777777" w:rsidR="00960988" w:rsidRDefault="00960988" w:rsidP="00960988">
      <w:pPr>
        <w:tabs>
          <w:tab w:val="clear" w:pos="9360"/>
        </w:tabs>
        <w:spacing w:after="200"/>
        <w:contextualSpacing/>
        <w:rPr>
          <w:rFonts w:ascii="Cambria" w:eastAsia="Times New Roman" w:hAnsi="Cambria" w:cs="Times New Roman"/>
          <w:szCs w:val="24"/>
        </w:rPr>
      </w:pPr>
    </w:p>
    <w:p w14:paraId="136F13ED" w14:textId="3A87F676" w:rsidR="00E929A2" w:rsidRPr="00960988" w:rsidRDefault="00FA34CF" w:rsidP="00960988">
      <w:pPr>
        <w:tabs>
          <w:tab w:val="clear" w:pos="9360"/>
        </w:tabs>
        <w:spacing w:after="200"/>
        <w:ind w:left="0"/>
        <w:contextualSpacing/>
        <w:rPr>
          <w:rFonts w:ascii="Cambria" w:eastAsia="Times New Roman" w:hAnsi="Cambria" w:cs="Times New Roman"/>
          <w:b/>
          <w:szCs w:val="24"/>
        </w:rPr>
      </w:pPr>
      <w:r>
        <w:rPr>
          <w:rFonts w:ascii="Cambria" w:eastAsia="Times New Roman" w:hAnsi="Cambria" w:cs="Times New Roman"/>
          <w:b/>
          <w:szCs w:val="24"/>
        </w:rPr>
        <w:tab/>
      </w:r>
      <w:r w:rsidR="00960988" w:rsidRPr="00960988">
        <w:rPr>
          <w:rFonts w:ascii="Cambria" w:eastAsia="Times New Roman" w:hAnsi="Cambria" w:cs="Times New Roman"/>
          <w:b/>
          <w:szCs w:val="24"/>
        </w:rPr>
        <w:t xml:space="preserve">3.  </w:t>
      </w:r>
      <w:r w:rsidR="00E929A2" w:rsidRPr="00960988">
        <w:rPr>
          <w:rFonts w:ascii="Cambria" w:eastAsia="Times New Roman" w:hAnsi="Cambria" w:cs="Times New Roman"/>
          <w:b/>
          <w:szCs w:val="24"/>
        </w:rPr>
        <w:t>Program interest in knowing results of the survey (1 question)</w:t>
      </w:r>
    </w:p>
    <w:p w14:paraId="33933877" w14:textId="77777777" w:rsidR="00A7298A" w:rsidRDefault="00A7298A" w:rsidP="00692DEB">
      <w:pPr>
        <w:ind w:left="0"/>
      </w:pPr>
    </w:p>
    <w:p w14:paraId="41E9DDF0" w14:textId="77777777" w:rsidR="00B12F51" w:rsidRPr="00014361" w:rsidRDefault="00B12F51" w:rsidP="00692DEB">
      <w:pPr>
        <w:pStyle w:val="Heading4"/>
      </w:pPr>
      <w:bookmarkStart w:id="7" w:name="_Toc447879463"/>
      <w:r w:rsidRPr="00220D1B">
        <w:t>Purpose and Use</w:t>
      </w:r>
      <w:r w:rsidRPr="00014361">
        <w:t xml:space="preserve"> of the Information Collection</w:t>
      </w:r>
      <w:bookmarkEnd w:id="7"/>
    </w:p>
    <w:p w14:paraId="00ADD9B9" w14:textId="49390426" w:rsidR="00CF2B8B" w:rsidRDefault="00B842DB" w:rsidP="00F30E84">
      <w:pPr>
        <w:ind w:left="0"/>
      </w:pPr>
      <w:r>
        <w:t xml:space="preserve">The purpose of </w:t>
      </w:r>
      <w:r w:rsidR="001869EE">
        <w:t>this information collection</w:t>
      </w:r>
      <w:r>
        <w:t xml:space="preserve"> is to </w:t>
      </w:r>
      <w:r w:rsidR="004716B9">
        <w:t xml:space="preserve">learn of PHEP program directors’ </w:t>
      </w:r>
      <w:r>
        <w:t>of the knowledge</w:t>
      </w:r>
      <w:r w:rsidR="00883426">
        <w:t>,</w:t>
      </w:r>
      <w:r w:rsidR="00A1745B">
        <w:t xml:space="preserve"> </w:t>
      </w:r>
      <w:r>
        <w:t>u</w:t>
      </w:r>
      <w:r w:rsidR="00CF2B8B">
        <w:t>se</w:t>
      </w:r>
      <w:r w:rsidR="00883426">
        <w:t>, and barriers to use</w:t>
      </w:r>
      <w:r>
        <w:t xml:space="preserve"> of DRR principles at the state/territorial level in the US. </w:t>
      </w:r>
      <w:r>
        <w:rPr>
          <w:rFonts w:ascii="Cambria" w:eastAsia="Times New Roman" w:hAnsi="Cambria" w:cs="Times New Roman"/>
          <w:szCs w:val="24"/>
        </w:rPr>
        <w:t xml:space="preserve"> </w:t>
      </w:r>
      <w:r w:rsidR="00DF3E66">
        <w:rPr>
          <w:rFonts w:ascii="Cambria" w:eastAsia="Times New Roman" w:hAnsi="Cambria" w:cs="Times New Roman"/>
          <w:szCs w:val="24"/>
        </w:rPr>
        <w:t xml:space="preserve">Specifically: </w:t>
      </w:r>
    </w:p>
    <w:p w14:paraId="2FFD6240" w14:textId="77777777" w:rsidR="00131C17" w:rsidRDefault="00131C17" w:rsidP="001F7CD1">
      <w:pPr>
        <w:ind w:left="0"/>
      </w:pPr>
    </w:p>
    <w:p w14:paraId="28863625" w14:textId="77777777" w:rsidR="00CF2B8B" w:rsidRPr="009E7F0E" w:rsidRDefault="00CF2B8B" w:rsidP="005B58C4">
      <w:pPr>
        <w:pStyle w:val="ListParagraph"/>
        <w:ind w:left="360"/>
      </w:pPr>
      <w:r>
        <w:t xml:space="preserve">Purpose 1: </w:t>
      </w:r>
      <w:r w:rsidRPr="00CF2B8B">
        <w:rPr>
          <w:i/>
        </w:rPr>
        <w:t xml:space="preserve">To determine the familiarity of the public health jurisdiction regarding the general principles of disaster risk reduction including the four DRR Priorities of Action.  </w:t>
      </w:r>
      <w:r w:rsidRPr="009E7F0E">
        <w:t xml:space="preserve">Respondents will be asked </w:t>
      </w:r>
      <w:r w:rsidRPr="009E7F0E">
        <w:lastRenderedPageBreak/>
        <w:t>whether, and to what extent, they are</w:t>
      </w:r>
      <w:r>
        <w:t xml:space="preserve"> familiar with DRR terminology and activities, and the source of their knowledge.  </w:t>
      </w:r>
    </w:p>
    <w:p w14:paraId="3FD7FC2A" w14:textId="77777777" w:rsidR="00CF2B8B" w:rsidRPr="00CF2B8B" w:rsidRDefault="00CF2B8B">
      <w:pPr>
        <w:pStyle w:val="ListParagraph"/>
        <w:ind w:left="360"/>
        <w:rPr>
          <w:i/>
        </w:rPr>
      </w:pPr>
      <w:r w:rsidRPr="00CF2B8B">
        <w:rPr>
          <w:i/>
        </w:rPr>
        <w:t xml:space="preserve"> </w:t>
      </w:r>
    </w:p>
    <w:p w14:paraId="5BF1AA9D" w14:textId="45D4126C" w:rsidR="00CF2B8B" w:rsidRDefault="00CF2B8B">
      <w:pPr>
        <w:pStyle w:val="ListParagraph"/>
        <w:ind w:left="360"/>
      </w:pPr>
      <w:r w:rsidRPr="00CF2B8B">
        <w:rPr>
          <w:i/>
        </w:rPr>
        <w:t xml:space="preserve">Purpose 2: To identify </w:t>
      </w:r>
      <w:r w:rsidR="00220D1B">
        <w:rPr>
          <w:i/>
        </w:rPr>
        <w:t xml:space="preserve">if </w:t>
      </w:r>
      <w:r w:rsidRPr="00CF2B8B">
        <w:rPr>
          <w:i/>
        </w:rPr>
        <w:t xml:space="preserve">disaster risk reduction activities </w:t>
      </w:r>
      <w:r w:rsidR="00220D1B">
        <w:rPr>
          <w:i/>
        </w:rPr>
        <w:t xml:space="preserve">are </w:t>
      </w:r>
      <w:r w:rsidRPr="00CF2B8B">
        <w:rPr>
          <w:i/>
        </w:rPr>
        <w:t xml:space="preserve">being carried out as part of the public health preparedness program activities.  </w:t>
      </w:r>
      <w:r w:rsidRPr="00FE0E0A">
        <w:t xml:space="preserve">Respondents will be asked questions regarding </w:t>
      </w:r>
      <w:r>
        <w:t xml:space="preserve">public health </w:t>
      </w:r>
      <w:r w:rsidRPr="00FE0E0A">
        <w:t xml:space="preserve">agency involvement, </w:t>
      </w:r>
      <w:r>
        <w:t>jurisdictional level where activities are conducted, p</w:t>
      </w:r>
      <w:r w:rsidRPr="00FE0E0A">
        <w:t>artner organizations</w:t>
      </w:r>
      <w:r>
        <w:t>, and agencies leading for this effort</w:t>
      </w:r>
      <w:r w:rsidRPr="00FE0E0A">
        <w:t xml:space="preserve">.  </w:t>
      </w:r>
    </w:p>
    <w:p w14:paraId="612B38FA" w14:textId="77777777" w:rsidR="00CF2B8B" w:rsidRDefault="00CF2B8B">
      <w:pPr>
        <w:pStyle w:val="ListParagraph"/>
        <w:ind w:left="360"/>
      </w:pPr>
    </w:p>
    <w:p w14:paraId="5235B6E5" w14:textId="77777777" w:rsidR="00CF2B8B" w:rsidRPr="00234A90" w:rsidRDefault="00CF2B8B">
      <w:pPr>
        <w:pStyle w:val="ListParagraph"/>
        <w:ind w:left="360"/>
      </w:pPr>
      <w:r w:rsidRPr="00CF2B8B">
        <w:rPr>
          <w:i/>
        </w:rPr>
        <w:t xml:space="preserve">Purpose 3: To assess state/territory interest in acquiring additional information regarding disaster risk reduction as it relates to state/territory public health preparedness programs.  </w:t>
      </w:r>
      <w:r>
        <w:t xml:space="preserve">Respondents will be asked if they feel there is a need for additional information </w:t>
      </w:r>
      <w:r w:rsidRPr="00234A90">
        <w:t>regarding the role of Disaster Risk Reductio</w:t>
      </w:r>
      <w:r>
        <w:t xml:space="preserve">n in public health preparedness, and their preferred method for receiving this information.  </w:t>
      </w:r>
    </w:p>
    <w:p w14:paraId="71B6547E" w14:textId="77777777" w:rsidR="00CF2B8B" w:rsidRPr="00CF2B8B" w:rsidRDefault="00CF2B8B">
      <w:pPr>
        <w:pStyle w:val="ListParagraph"/>
        <w:ind w:left="360"/>
        <w:rPr>
          <w:i/>
        </w:rPr>
      </w:pPr>
    </w:p>
    <w:p w14:paraId="7AD455CA" w14:textId="77777777" w:rsidR="00CF2B8B" w:rsidRPr="00CF2B8B" w:rsidRDefault="00CF2B8B">
      <w:pPr>
        <w:pStyle w:val="ListParagraph"/>
        <w:ind w:left="360"/>
        <w:rPr>
          <w:i/>
        </w:rPr>
      </w:pPr>
      <w:r w:rsidRPr="00CF2B8B">
        <w:rPr>
          <w:i/>
        </w:rPr>
        <w:t xml:space="preserve">Purpose 4: Identify potential barriers to implementation of DRR activities within the state/territory. </w:t>
      </w:r>
      <w:r>
        <w:t>If applicable, respondents will be asked to select reasons for not conducting disaster risk reduction activities as part of their public health programs.</w:t>
      </w:r>
    </w:p>
    <w:p w14:paraId="695BC552" w14:textId="77777777" w:rsidR="00CF2B8B" w:rsidRDefault="00CF2B8B">
      <w:pPr>
        <w:ind w:left="0"/>
      </w:pPr>
    </w:p>
    <w:p w14:paraId="0FC9CA24" w14:textId="5A6F4F31" w:rsidR="004F10DA" w:rsidRDefault="00454FC9">
      <w:pPr>
        <w:ind w:left="0"/>
      </w:pPr>
      <w:r w:rsidRPr="00454FC9">
        <w:t xml:space="preserve">This data collection effort is </w:t>
      </w:r>
      <w:r>
        <w:t>the</w:t>
      </w:r>
      <w:r w:rsidR="00452411">
        <w:t xml:space="preserve"> first</w:t>
      </w:r>
      <w:r>
        <w:t xml:space="preserve"> </w:t>
      </w:r>
      <w:r w:rsidR="003667F3">
        <w:t>national</w:t>
      </w:r>
      <w:r w:rsidR="00131C17">
        <w:t>-</w:t>
      </w:r>
      <w:r w:rsidR="003667F3">
        <w:t xml:space="preserve">level </w:t>
      </w:r>
      <w:r w:rsidR="00452411">
        <w:t>attempt</w:t>
      </w:r>
      <w:r w:rsidR="005B2576">
        <w:t xml:space="preserve"> </w:t>
      </w:r>
      <w:r w:rsidR="00883426">
        <w:t>of its type</w:t>
      </w:r>
      <w:r w:rsidR="004F10DA">
        <w:t xml:space="preserve">. </w:t>
      </w:r>
      <w:r w:rsidR="00883426">
        <w:t>Results</w:t>
      </w:r>
      <w:r w:rsidR="004F10DA">
        <w:t xml:space="preserve"> </w:t>
      </w:r>
      <w:r w:rsidR="00883426">
        <w:t xml:space="preserve">will serve </w:t>
      </w:r>
      <w:r w:rsidR="004F10DA" w:rsidRPr="00C20572">
        <w:t xml:space="preserve">as a baseline </w:t>
      </w:r>
      <w:r w:rsidR="006E263F">
        <w:t>of jurisdictions’ knowledge and use of DRR</w:t>
      </w:r>
      <w:r w:rsidR="00452411">
        <w:t xml:space="preserve"> in public health</w:t>
      </w:r>
      <w:r w:rsidR="00883426">
        <w:t>.</w:t>
      </w:r>
      <w:r w:rsidR="006E263F">
        <w:t xml:space="preserve"> </w:t>
      </w:r>
    </w:p>
    <w:p w14:paraId="5290DEF1" w14:textId="77777777" w:rsidR="00454FC9" w:rsidRDefault="00454FC9" w:rsidP="00692DEB">
      <w:pPr>
        <w:ind w:left="0"/>
      </w:pPr>
    </w:p>
    <w:p w14:paraId="1319C1C5" w14:textId="7B3DE503" w:rsidR="008F58D9" w:rsidRDefault="00883426" w:rsidP="007F2B83">
      <w:pPr>
        <w:ind w:left="0"/>
      </w:pPr>
      <w:r>
        <w:t>R</w:t>
      </w:r>
      <w:r w:rsidR="007F2B83" w:rsidRPr="007F2B83">
        <w:t xml:space="preserve">esults will be </w:t>
      </w:r>
      <w:r w:rsidR="008A16B5">
        <w:t>compiled</w:t>
      </w:r>
      <w:r w:rsidR="007F2B83" w:rsidRPr="007F2B83">
        <w:t xml:space="preserve"> in a final report which will be </w:t>
      </w:r>
      <w:r w:rsidR="009F57D4">
        <w:t>developed by</w:t>
      </w:r>
      <w:r w:rsidR="007F2B83" w:rsidRPr="007F2B83">
        <w:t xml:space="preserve"> CDC </w:t>
      </w:r>
      <w:r w:rsidR="009F57D4">
        <w:t>and shared with the</w:t>
      </w:r>
      <w:r w:rsidR="008A16B5">
        <w:t xml:space="preserve"> survey </w:t>
      </w:r>
      <w:r w:rsidR="009F57D4">
        <w:t>respondents</w:t>
      </w:r>
      <w:r w:rsidR="007F2B83" w:rsidRPr="007F2B83">
        <w:t xml:space="preserve">. </w:t>
      </w:r>
      <w:r w:rsidR="00246564" w:rsidRPr="00246564">
        <w:t xml:space="preserve">The information may be used for several purposes, such as identifying </w:t>
      </w:r>
      <w:r w:rsidR="00AD3DD2">
        <w:t xml:space="preserve">knowledge </w:t>
      </w:r>
      <w:r w:rsidR="00246564" w:rsidRPr="00246564">
        <w:t>gaps</w:t>
      </w:r>
      <w:r w:rsidR="00131C17">
        <w:t>,</w:t>
      </w:r>
      <w:r w:rsidR="00246564" w:rsidRPr="00246564">
        <w:t xml:space="preserve"> best practices, research opportunities, and education/training </w:t>
      </w:r>
      <w:r w:rsidR="00AD3DD2">
        <w:t xml:space="preserve">needs </w:t>
      </w:r>
      <w:r w:rsidR="00AD3DD2" w:rsidRPr="00246564">
        <w:t>nationwide in the field of DRR for health</w:t>
      </w:r>
      <w:r w:rsidR="00246564" w:rsidRPr="00246564">
        <w:t xml:space="preserve">. </w:t>
      </w:r>
      <w:r w:rsidR="008A16B5" w:rsidRPr="008A16B5">
        <w:t>CDC will use this information to inform future activities to support the field</w:t>
      </w:r>
      <w:r w:rsidR="00787A28">
        <w:t xml:space="preserve">. </w:t>
      </w:r>
      <w:r w:rsidR="00AD3DD2">
        <w:t xml:space="preserve">Additionally, this information will allow the CDC to contribute further to the development of a national platform for the implementation of the Sendai Framework. </w:t>
      </w:r>
      <w:r w:rsidR="00057962">
        <w:t xml:space="preserve">The current state of knowledge and practices in DRR, which this survey will provide, is a necessary component for identifying needs and designing effective activities that will further the goals of DRR for health. </w:t>
      </w:r>
    </w:p>
    <w:p w14:paraId="64B69086" w14:textId="55DDAAD6" w:rsidR="005F40D5" w:rsidRDefault="008F58D9" w:rsidP="007F2B83">
      <w:pPr>
        <w:ind w:left="0"/>
      </w:pPr>
      <w:r>
        <w:t xml:space="preserve"> </w:t>
      </w:r>
      <w:r w:rsidR="00A921F0">
        <w:t xml:space="preserve"> </w:t>
      </w:r>
    </w:p>
    <w:p w14:paraId="25A0A815" w14:textId="77777777" w:rsidR="005F40D5" w:rsidRDefault="005F40D5" w:rsidP="007F2B83">
      <w:pPr>
        <w:ind w:left="0"/>
      </w:pPr>
    </w:p>
    <w:p w14:paraId="21593B2B" w14:textId="77777777" w:rsidR="00B47055" w:rsidRPr="00B47055" w:rsidRDefault="00B47055" w:rsidP="00692DEB">
      <w:pPr>
        <w:pStyle w:val="Heading4"/>
      </w:pPr>
      <w:bookmarkStart w:id="8" w:name="_Toc447879464"/>
      <w:r w:rsidRPr="00B47055">
        <w:t>Use of Improved Information Technology and Burden Reduction</w:t>
      </w:r>
      <w:bookmarkEnd w:id="8"/>
    </w:p>
    <w:p w14:paraId="773F9AFD" w14:textId="766686F9" w:rsidR="00692DEB" w:rsidRPr="00711BFA" w:rsidRDefault="00694A58" w:rsidP="00692DEB">
      <w:pPr>
        <w:ind w:left="0"/>
      </w:pPr>
      <w:r>
        <w:t>Information</w:t>
      </w:r>
      <w:r w:rsidRPr="00711BFA">
        <w:t xml:space="preserve"> </w:t>
      </w:r>
      <w:r w:rsidR="00692DEB" w:rsidRPr="00711BFA">
        <w:t>will be collected via a web-based questionnaire</w:t>
      </w:r>
      <w:r>
        <w:t>.</w:t>
      </w:r>
      <w:r w:rsidR="00692DEB" w:rsidRPr="00711BFA">
        <w:t xml:space="preserve"> </w:t>
      </w:r>
      <w:r w:rsidRPr="00711BFA">
        <w:t xml:space="preserve">This method was chosen to </w:t>
      </w:r>
      <w:r>
        <w:t>allow</w:t>
      </w:r>
      <w:r w:rsidRPr="00711BFA">
        <w:t xml:space="preserve"> respondents to complete and submit their responses electronically</w:t>
      </w:r>
      <w:r>
        <w:t>,</w:t>
      </w:r>
      <w:r w:rsidRPr="00711BFA">
        <w:t xml:space="preserve"> reduc</w:t>
      </w:r>
      <w:r>
        <w:t>ing</w:t>
      </w:r>
      <w:r w:rsidRPr="00711BFA">
        <w:t xml:space="preserve"> the overall burden on respondents. </w:t>
      </w:r>
      <w:r>
        <w:t xml:space="preserve"> </w:t>
      </w:r>
      <w:r w:rsidR="00692DEB" w:rsidRPr="006F0460">
        <w:t xml:space="preserve">The information collection instrument </w:t>
      </w:r>
      <w:r w:rsidR="00692DEB" w:rsidRPr="00711BFA">
        <w:t>was designed to collect the minimum infor</w:t>
      </w:r>
      <w:r w:rsidR="00692DEB" w:rsidRPr="00711BFA">
        <w:lastRenderedPageBreak/>
        <w:t>mation necessary for the purposes of this project (i.e., limited to</w:t>
      </w:r>
      <w:r w:rsidR="0046107C">
        <w:t xml:space="preserve"> </w:t>
      </w:r>
      <w:r w:rsidR="0046107C" w:rsidRPr="0046107C">
        <w:t>2</w:t>
      </w:r>
      <w:r w:rsidR="00B2048E">
        <w:t>6</w:t>
      </w:r>
      <w:r w:rsidR="00692DEB" w:rsidRPr="00774689">
        <w:rPr>
          <w:color w:val="0070C0"/>
        </w:rPr>
        <w:t xml:space="preserve"> </w:t>
      </w:r>
      <w:r w:rsidR="00692DEB" w:rsidRPr="00711BFA">
        <w:t>questions).</w:t>
      </w:r>
      <w:r w:rsidR="00430B8D">
        <w:t xml:space="preserve"> </w:t>
      </w:r>
      <w:r w:rsidR="00F30E84">
        <w:t>Further</w:t>
      </w:r>
      <w:r w:rsidR="00430B8D">
        <w:t xml:space="preserve">, </w:t>
      </w:r>
      <w:r w:rsidR="00DC7E18">
        <w:t>s</w:t>
      </w:r>
      <w:r w:rsidR="00AD11C1">
        <w:t>kip pattern</w:t>
      </w:r>
      <w:r w:rsidR="00DC7E18">
        <w:t>s</w:t>
      </w:r>
      <w:r w:rsidR="00AD11C1">
        <w:t xml:space="preserve"> </w:t>
      </w:r>
      <w:r w:rsidR="00DC7E18">
        <w:t xml:space="preserve">were </w:t>
      </w:r>
      <w:r w:rsidR="00AD11C1">
        <w:t xml:space="preserve">incorporated to allow </w:t>
      </w:r>
      <w:r w:rsidR="00F30E84">
        <w:t xml:space="preserve">for </w:t>
      </w:r>
      <w:r w:rsidR="00430B8D">
        <w:rPr>
          <w:rFonts w:cs="Times New Roman"/>
        </w:rPr>
        <w:t xml:space="preserve">streamlining </w:t>
      </w:r>
      <w:r w:rsidR="00AD11C1">
        <w:rPr>
          <w:rFonts w:cs="Times New Roman"/>
        </w:rPr>
        <w:t>response</w:t>
      </w:r>
      <w:r w:rsidR="00F30E84">
        <w:rPr>
          <w:rFonts w:cs="Times New Roman"/>
        </w:rPr>
        <w:t>s</w:t>
      </w:r>
      <w:r w:rsidR="00AD11C1">
        <w:rPr>
          <w:rFonts w:cs="Times New Roman"/>
        </w:rPr>
        <w:t xml:space="preserve"> </w:t>
      </w:r>
      <w:r w:rsidR="00DC7E18">
        <w:rPr>
          <w:rFonts w:cs="Times New Roman"/>
        </w:rPr>
        <w:t>and the reduction of</w:t>
      </w:r>
      <w:r w:rsidR="00AD11C1">
        <w:rPr>
          <w:rFonts w:cs="Times New Roman"/>
        </w:rPr>
        <w:t xml:space="preserve"> burden</w:t>
      </w:r>
      <w:r w:rsidR="00F30E84">
        <w:rPr>
          <w:rFonts w:cs="Times New Roman"/>
        </w:rPr>
        <w:t xml:space="preserve"> on</w:t>
      </w:r>
      <w:r w:rsidR="00AD11C1">
        <w:rPr>
          <w:rFonts w:cs="Times New Roman"/>
        </w:rPr>
        <w:t xml:space="preserve"> respondent</w:t>
      </w:r>
      <w:r w:rsidR="00F36374">
        <w:rPr>
          <w:rFonts w:cs="Times New Roman"/>
        </w:rPr>
        <w:t>s</w:t>
      </w:r>
      <w:r w:rsidR="00AD11C1">
        <w:rPr>
          <w:rFonts w:cs="Times New Roman"/>
        </w:rPr>
        <w:t xml:space="preserve">.  </w:t>
      </w:r>
    </w:p>
    <w:p w14:paraId="5E29C8DB" w14:textId="77777777" w:rsidR="00E8736B" w:rsidRDefault="00E8736B" w:rsidP="007D6163">
      <w:pPr>
        <w:pStyle w:val="ListParagraph"/>
      </w:pPr>
    </w:p>
    <w:p w14:paraId="430DC8E8" w14:textId="77777777" w:rsidR="00A7298A" w:rsidRDefault="00A7298A" w:rsidP="007D6163">
      <w:pPr>
        <w:pStyle w:val="ListParagraph"/>
      </w:pPr>
    </w:p>
    <w:p w14:paraId="040B5799" w14:textId="77777777" w:rsidR="00B47055" w:rsidRPr="00B47055" w:rsidRDefault="00B47055" w:rsidP="00692DEB">
      <w:pPr>
        <w:pStyle w:val="Heading4"/>
      </w:pPr>
      <w:bookmarkStart w:id="9" w:name="_Toc447879465"/>
      <w:r w:rsidRPr="00B47055">
        <w:t>Efforts to Identify Duplication and Use of Similar Information</w:t>
      </w:r>
      <w:bookmarkEnd w:id="9"/>
    </w:p>
    <w:p w14:paraId="35CC7FD6" w14:textId="7C6833E8" w:rsidR="00E33E1B" w:rsidRDefault="005D0EFB" w:rsidP="00A7298A">
      <w:pPr>
        <w:ind w:left="0"/>
      </w:pPr>
      <w:r>
        <w:t xml:space="preserve">The CDC Public Health Emergency Preparedness program has no mandate for grantees to conduct DRR activities, nor has any effort been made to collect information regarding </w:t>
      </w:r>
      <w:r w:rsidR="00DA15CB">
        <w:t>these efforts by</w:t>
      </w:r>
      <w:r w:rsidR="00AF75F8">
        <w:t xml:space="preserve"> the</w:t>
      </w:r>
      <w:r w:rsidR="00DA15CB">
        <w:t xml:space="preserve"> CDC</w:t>
      </w:r>
      <w:r w:rsidR="0022408E">
        <w:t xml:space="preserve">.  Prior to developing this </w:t>
      </w:r>
      <w:r w:rsidR="00684D86">
        <w:t>information collection</w:t>
      </w:r>
      <w:r w:rsidR="00311053">
        <w:t xml:space="preserve">, </w:t>
      </w:r>
      <w:r w:rsidR="00684D86">
        <w:t xml:space="preserve">CDC </w:t>
      </w:r>
      <w:r w:rsidR="00311053">
        <w:t xml:space="preserve">conducted </w:t>
      </w:r>
      <w:r w:rsidR="0022408E">
        <w:t>literature searches</w:t>
      </w:r>
      <w:r w:rsidR="00311053">
        <w:t xml:space="preserve">, </w:t>
      </w:r>
      <w:r w:rsidR="0022408E">
        <w:t>interview</w:t>
      </w:r>
      <w:r w:rsidR="00311053">
        <w:t>ed</w:t>
      </w:r>
      <w:r w:rsidR="0022408E">
        <w:t xml:space="preserve"> key stakeholders</w:t>
      </w:r>
      <w:r w:rsidR="00CF7DD1">
        <w:t xml:space="preserve"> (</w:t>
      </w:r>
      <w:r w:rsidR="00CF7DD1" w:rsidRPr="00CF7DD1">
        <w:t>Association of State and Territorial Health Officials (ASTHO), the National Association of County and</w:t>
      </w:r>
      <w:r w:rsidR="00CF7DD1">
        <w:t xml:space="preserve"> City Health Officials (NACCHO), National Institute of Environmental Health Sciences (NIEHS),  Institute of Medicine (IOM), Health and Human Services office  of Assistant Secretary for Preparedness and Response (ASPR)</w:t>
      </w:r>
      <w:r w:rsidR="00311053">
        <w:t xml:space="preserve"> </w:t>
      </w:r>
      <w:r w:rsidR="00B13EA4">
        <w:t xml:space="preserve">and members of the </w:t>
      </w:r>
      <w:r w:rsidR="00302B5F" w:rsidRPr="00302B5F">
        <w:t>N</w:t>
      </w:r>
      <w:r w:rsidR="00302B5F">
        <w:t xml:space="preserve">ational </w:t>
      </w:r>
      <w:r w:rsidR="00302B5F" w:rsidRPr="00302B5F">
        <w:t>S</w:t>
      </w:r>
      <w:r w:rsidR="00302B5F">
        <w:t xml:space="preserve">cience and </w:t>
      </w:r>
      <w:r w:rsidR="00302B5F" w:rsidRPr="00302B5F">
        <w:t>T</w:t>
      </w:r>
      <w:r w:rsidR="00302B5F">
        <w:t xml:space="preserve">echnology </w:t>
      </w:r>
      <w:r w:rsidR="00302B5F" w:rsidRPr="00302B5F">
        <w:t>C</w:t>
      </w:r>
      <w:r w:rsidR="00B432C9">
        <w:t>ouncil</w:t>
      </w:r>
      <w:r w:rsidR="00302B5F" w:rsidRPr="00302B5F">
        <w:t xml:space="preserve"> Subcommittee on Disaster Reduction (SDR)</w:t>
      </w:r>
      <w:r w:rsidR="00B432C9">
        <w:t>)</w:t>
      </w:r>
      <w:r w:rsidR="00AF75F8">
        <w:t>,</w:t>
      </w:r>
      <w:r w:rsidR="00B432C9">
        <w:t xml:space="preserve"> </w:t>
      </w:r>
      <w:r w:rsidR="00311053">
        <w:t xml:space="preserve">and consulted with </w:t>
      </w:r>
      <w:r w:rsidR="00684D86">
        <w:t xml:space="preserve">public health preparedness </w:t>
      </w:r>
      <w:r w:rsidR="00311053">
        <w:t>subject matter</w:t>
      </w:r>
      <w:r w:rsidR="0022408E">
        <w:t xml:space="preserve"> experts</w:t>
      </w:r>
      <w:r w:rsidR="00311053">
        <w:t xml:space="preserve"> in order to confirm that this effort is not duplicative.</w:t>
      </w:r>
      <w:r>
        <w:t xml:space="preserve"> </w:t>
      </w:r>
    </w:p>
    <w:p w14:paraId="30085CE4" w14:textId="77777777" w:rsidR="00A7298A" w:rsidRDefault="00A7298A" w:rsidP="00A7298A">
      <w:pPr>
        <w:ind w:left="0"/>
      </w:pPr>
    </w:p>
    <w:p w14:paraId="015117F4" w14:textId="77777777" w:rsidR="00B12F51" w:rsidRPr="00B47055" w:rsidRDefault="00B47055" w:rsidP="00692DEB">
      <w:pPr>
        <w:pStyle w:val="Heading4"/>
      </w:pPr>
      <w:bookmarkStart w:id="10" w:name="_Toc447879466"/>
      <w:r w:rsidRPr="00B47055">
        <w:t>Impact on Small Businesses or Other Small Entities</w:t>
      </w:r>
      <w:bookmarkEnd w:id="10"/>
    </w:p>
    <w:p w14:paraId="0286A42D" w14:textId="0A28CBD8" w:rsidR="00441CC3" w:rsidRDefault="00D26A64" w:rsidP="00675CFF">
      <w:pPr>
        <w:ind w:left="0"/>
      </w:pPr>
      <w:r>
        <w:t>N</w:t>
      </w:r>
      <w:r w:rsidR="00AF2252">
        <w:t xml:space="preserve">o small businesses will be involved in this </w:t>
      </w:r>
      <w:r w:rsidR="00157413">
        <w:t>information collection</w:t>
      </w:r>
      <w:r>
        <w:t>.</w:t>
      </w:r>
    </w:p>
    <w:p w14:paraId="02551543" w14:textId="77777777" w:rsidR="00441CC3" w:rsidRDefault="00441CC3" w:rsidP="005D6F14"/>
    <w:p w14:paraId="37DDE75C" w14:textId="77777777" w:rsidR="00A7298A" w:rsidRPr="00D95FBF" w:rsidRDefault="00A7298A" w:rsidP="005D6F14"/>
    <w:p w14:paraId="151D66B0" w14:textId="77777777" w:rsidR="00B12F51" w:rsidRPr="00B47055" w:rsidRDefault="00B47055" w:rsidP="00692DEB">
      <w:pPr>
        <w:pStyle w:val="Heading4"/>
      </w:pPr>
      <w:bookmarkStart w:id="11" w:name="_Toc447879467"/>
      <w:r w:rsidRPr="00B47055">
        <w:t>Consequences of Collecting the Information Less Frequently</w:t>
      </w:r>
      <w:bookmarkEnd w:id="11"/>
      <w:r w:rsidRPr="00B47055">
        <w:t xml:space="preserve"> </w:t>
      </w:r>
      <w:r w:rsidR="00D95FBF" w:rsidRPr="00B47055">
        <w:t xml:space="preserve">   </w:t>
      </w:r>
    </w:p>
    <w:p w14:paraId="23F93305" w14:textId="77777777" w:rsidR="000058E0" w:rsidRDefault="000058E0" w:rsidP="00F30E84">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2A2704CD" w14:textId="48B55C2E" w:rsidR="008C59E7" w:rsidRPr="00C25BEF" w:rsidRDefault="00057962" w:rsidP="00F30E84">
      <w:pPr>
        <w:pStyle w:val="ListParagraph"/>
        <w:numPr>
          <w:ilvl w:val="0"/>
          <w:numId w:val="25"/>
        </w:numPr>
        <w:tabs>
          <w:tab w:val="clear" w:pos="9360"/>
        </w:tabs>
      </w:pPr>
      <w:r w:rsidRPr="00C25BEF">
        <w:t>Determine</w:t>
      </w:r>
      <w:r w:rsidR="00726C45" w:rsidRPr="00C25BEF">
        <w:t xml:space="preserve"> the familiarity of the public health jurisdiction regarding the general principles of disaster risk reduction including the four DRR Priorities of Action.</w:t>
      </w:r>
    </w:p>
    <w:p w14:paraId="24631B47" w14:textId="292D56BD" w:rsidR="008F0092" w:rsidRPr="00C25BEF" w:rsidRDefault="00057962" w:rsidP="00F30E84">
      <w:pPr>
        <w:pStyle w:val="ListParagraph"/>
        <w:numPr>
          <w:ilvl w:val="0"/>
          <w:numId w:val="25"/>
        </w:numPr>
        <w:tabs>
          <w:tab w:val="clear" w:pos="9360"/>
        </w:tabs>
        <w:rPr>
          <w:lang w:eastAsia="zh-CN"/>
        </w:rPr>
      </w:pPr>
      <w:r w:rsidRPr="00C25BEF">
        <w:t>Identify</w:t>
      </w:r>
      <w:r w:rsidR="00726C45" w:rsidRPr="00C25BEF">
        <w:t xml:space="preserve"> disaster risk reduction activities being carried out as part of the public health preparedness program activities.  </w:t>
      </w:r>
    </w:p>
    <w:p w14:paraId="3B2C5BFA" w14:textId="2EF760FD" w:rsidR="00C44DDE" w:rsidRPr="00C25BEF" w:rsidRDefault="00057962" w:rsidP="00F30E84">
      <w:pPr>
        <w:pStyle w:val="ListParagraph"/>
        <w:numPr>
          <w:ilvl w:val="0"/>
          <w:numId w:val="25"/>
        </w:numPr>
        <w:tabs>
          <w:tab w:val="clear" w:pos="9360"/>
        </w:tabs>
        <w:rPr>
          <w:lang w:eastAsia="zh-CN"/>
        </w:rPr>
      </w:pPr>
      <w:r>
        <w:t>A</w:t>
      </w:r>
      <w:r w:rsidR="008F0092" w:rsidRPr="00C25BEF">
        <w:t>ssess state/territory interest in acquiring additional information regarding disaster risk reduction as it relates to state/territory public health preparedness programs</w:t>
      </w:r>
    </w:p>
    <w:p w14:paraId="400DB890" w14:textId="23D85A44" w:rsidR="00C25BEF" w:rsidRDefault="00057962" w:rsidP="00F30E84">
      <w:pPr>
        <w:pStyle w:val="ListParagraph"/>
        <w:numPr>
          <w:ilvl w:val="0"/>
          <w:numId w:val="25"/>
        </w:numPr>
        <w:tabs>
          <w:tab w:val="clear" w:pos="9360"/>
        </w:tabs>
        <w:rPr>
          <w:lang w:eastAsia="zh-CN"/>
        </w:rPr>
      </w:pPr>
      <w:r>
        <w:rPr>
          <w:lang w:eastAsia="zh-CN"/>
        </w:rPr>
        <w:t>Identify</w:t>
      </w:r>
      <w:r w:rsidR="00C44DDE" w:rsidRPr="00C44DDE">
        <w:rPr>
          <w:lang w:eastAsia="zh-CN"/>
        </w:rPr>
        <w:t xml:space="preserve"> potential barriers to implementation of DRR activities within the state/territory.</w:t>
      </w:r>
    </w:p>
    <w:p w14:paraId="09032EBE" w14:textId="3E0BA5B1" w:rsidR="008F0092" w:rsidRDefault="00057962" w:rsidP="00F30E84">
      <w:pPr>
        <w:pStyle w:val="ListParagraph"/>
        <w:numPr>
          <w:ilvl w:val="0"/>
          <w:numId w:val="25"/>
        </w:numPr>
        <w:tabs>
          <w:tab w:val="clear" w:pos="9360"/>
        </w:tabs>
        <w:rPr>
          <w:lang w:eastAsia="zh-CN"/>
        </w:rPr>
      </w:pPr>
      <w:r w:rsidRPr="00C25BEF">
        <w:rPr>
          <w:lang w:eastAsia="zh-CN"/>
        </w:rPr>
        <w:t>Develop</w:t>
      </w:r>
      <w:r w:rsidR="00C25BEF" w:rsidRPr="00C25BEF">
        <w:rPr>
          <w:lang w:eastAsia="zh-CN"/>
        </w:rPr>
        <w:t xml:space="preserve"> strategies for sharing best practices and enhancing collaboration in this area.  </w:t>
      </w:r>
    </w:p>
    <w:p w14:paraId="20734692" w14:textId="0105389C" w:rsidR="00AF75F8" w:rsidRDefault="00AF75F8" w:rsidP="00C25BEF">
      <w:pPr>
        <w:pStyle w:val="ListParagraph"/>
        <w:numPr>
          <w:ilvl w:val="0"/>
          <w:numId w:val="25"/>
        </w:numPr>
        <w:tabs>
          <w:tab w:val="clear" w:pos="9360"/>
        </w:tabs>
        <w:spacing w:line="240" w:lineRule="auto"/>
        <w:rPr>
          <w:lang w:eastAsia="zh-CN"/>
        </w:rPr>
      </w:pPr>
      <w:r>
        <w:rPr>
          <w:lang w:eastAsia="zh-CN"/>
        </w:rPr>
        <w:t>Contribute baseline information to the development of a national platform for the implementation of the Sendai Framework.</w:t>
      </w:r>
    </w:p>
    <w:p w14:paraId="1326FB4F" w14:textId="77777777" w:rsidR="00F30E84" w:rsidRDefault="00F30E84" w:rsidP="00F30E84">
      <w:pPr>
        <w:pStyle w:val="ListParagraph"/>
        <w:tabs>
          <w:tab w:val="clear" w:pos="9360"/>
        </w:tabs>
        <w:spacing w:line="240" w:lineRule="auto"/>
        <w:rPr>
          <w:lang w:eastAsia="zh-CN"/>
        </w:rPr>
      </w:pPr>
    </w:p>
    <w:p w14:paraId="532EB329" w14:textId="0B0CD93E" w:rsidR="005F40D5" w:rsidRDefault="005F40D5" w:rsidP="00F30E84">
      <w:pPr>
        <w:pStyle w:val="ListParagraph"/>
        <w:tabs>
          <w:tab w:val="clear" w:pos="9360"/>
        </w:tabs>
        <w:spacing w:line="240" w:lineRule="auto"/>
        <w:rPr>
          <w:lang w:eastAsia="zh-CN"/>
        </w:rPr>
      </w:pPr>
    </w:p>
    <w:p w14:paraId="53BB1C6A" w14:textId="77777777" w:rsidR="008F0092" w:rsidRDefault="008F0092" w:rsidP="008F0092">
      <w:pPr>
        <w:tabs>
          <w:tab w:val="clear" w:pos="9360"/>
        </w:tabs>
        <w:spacing w:line="240" w:lineRule="auto"/>
        <w:rPr>
          <w:lang w:eastAsia="zh-CN"/>
        </w:rPr>
      </w:pPr>
    </w:p>
    <w:p w14:paraId="5598B239" w14:textId="77777777" w:rsidR="00B12F51" w:rsidRPr="00B47055" w:rsidRDefault="00B47055" w:rsidP="00692DEB">
      <w:pPr>
        <w:pStyle w:val="Heading4"/>
      </w:pPr>
      <w:bookmarkStart w:id="12" w:name="_Toc447879468"/>
      <w:r w:rsidRPr="00B47055">
        <w:lastRenderedPageBreak/>
        <w:t>Special Circumstances Relating to the Guidelines of 5 CFR 1320.5</w:t>
      </w:r>
      <w:bookmarkEnd w:id="12"/>
    </w:p>
    <w:p w14:paraId="5DFA1E94"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EBB85DB" w14:textId="77777777" w:rsidR="00F30E84" w:rsidRDefault="00F30E84" w:rsidP="00692DEB">
      <w:pPr>
        <w:ind w:left="0"/>
      </w:pPr>
    </w:p>
    <w:p w14:paraId="4ADD90D9" w14:textId="77777777" w:rsidR="00A1745B" w:rsidRDefault="00A1745B" w:rsidP="00692DEB">
      <w:pPr>
        <w:ind w:left="0"/>
      </w:pPr>
    </w:p>
    <w:p w14:paraId="0137D967" w14:textId="77777777" w:rsidR="00B12F51" w:rsidRPr="0088467A" w:rsidRDefault="0088467A" w:rsidP="00692DEB">
      <w:pPr>
        <w:pStyle w:val="Heading4"/>
      </w:pPr>
      <w:bookmarkStart w:id="13" w:name="_Toc447879469"/>
      <w:r w:rsidRPr="0088467A">
        <w:t>Comments in Response to the Federal Register Notice and Efforts to Consult Outside the Agency</w:t>
      </w:r>
      <w:bookmarkEnd w:id="13"/>
    </w:p>
    <w:p w14:paraId="569BEFBA"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37488BF6" w14:textId="77777777" w:rsidR="00A809AA" w:rsidRPr="00A809AA" w:rsidRDefault="00A809AA" w:rsidP="00692DEB">
      <w:pPr>
        <w:ind w:left="0"/>
      </w:pPr>
    </w:p>
    <w:p w14:paraId="752E360E" w14:textId="014B06DE" w:rsid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to ensure that the collection requests under individual ICs are not in conflict with collections they have or will have in the field within the same timeframe.  </w:t>
      </w:r>
    </w:p>
    <w:p w14:paraId="695D1A1C" w14:textId="77777777" w:rsidR="00A7298A" w:rsidRPr="00A809AA" w:rsidRDefault="00A7298A" w:rsidP="00692DEB">
      <w:pPr>
        <w:ind w:left="0"/>
      </w:pPr>
    </w:p>
    <w:p w14:paraId="08DCA130" w14:textId="77777777" w:rsidR="00F52BCC" w:rsidRPr="00A809AA" w:rsidRDefault="00F52BCC" w:rsidP="005D6F14"/>
    <w:p w14:paraId="132069B5" w14:textId="77777777" w:rsidR="00B12F51" w:rsidRPr="0088467A" w:rsidRDefault="0088467A" w:rsidP="00692DEB">
      <w:pPr>
        <w:pStyle w:val="Heading4"/>
      </w:pPr>
      <w:bookmarkStart w:id="14" w:name="_Toc447879470"/>
      <w:r w:rsidRPr="0088467A">
        <w:t>Explanation of Any Payment or Gift to Respondents</w:t>
      </w:r>
      <w:bookmarkEnd w:id="14"/>
    </w:p>
    <w:p w14:paraId="5D84123A" w14:textId="77777777" w:rsidR="00F52BCC" w:rsidRDefault="00A809AA" w:rsidP="00692DEB">
      <w:pPr>
        <w:ind w:left="0"/>
      </w:pPr>
      <w:r>
        <w:t>CDC will not provide p</w:t>
      </w:r>
      <w:r w:rsidR="00D26A64">
        <w:t>ayments or gifts to respondents.</w:t>
      </w:r>
    </w:p>
    <w:p w14:paraId="5C404956" w14:textId="77777777" w:rsidR="00F30E84" w:rsidRDefault="00F30E84" w:rsidP="00692DEB">
      <w:pPr>
        <w:ind w:left="0"/>
      </w:pPr>
    </w:p>
    <w:p w14:paraId="2EBC343B" w14:textId="77777777" w:rsidR="00F52BCC" w:rsidRDefault="00F52BCC" w:rsidP="005D6F14"/>
    <w:p w14:paraId="052C8A43" w14:textId="37581952" w:rsidR="00B12F51" w:rsidRPr="00561A6B" w:rsidRDefault="0088467A" w:rsidP="00692DEB">
      <w:pPr>
        <w:pStyle w:val="Heading4"/>
      </w:pPr>
      <w:r>
        <w:t xml:space="preserve"> </w:t>
      </w:r>
      <w:bookmarkStart w:id="15" w:name="_Toc447879471"/>
      <w:r w:rsidR="00DD35FD" w:rsidRPr="00561A6B">
        <w:t>Protection of the Privacy and Confidentiality of Information Provided by Respondents</w:t>
      </w:r>
      <w:bookmarkEnd w:id="15"/>
    </w:p>
    <w:p w14:paraId="6178C0D4" w14:textId="56376030" w:rsidR="00561A6B" w:rsidRPr="000C4C89" w:rsidRDefault="00561A6B" w:rsidP="00561A6B">
      <w:pPr>
        <w:ind w:left="0"/>
      </w:pPr>
      <w:r w:rsidRPr="000E3B3A">
        <w:t>The Privacy Act does not apply to this information collection. STLT governmental staff will be speaking from their official roles</w:t>
      </w:r>
      <w:r>
        <w:t xml:space="preserve">.  </w:t>
      </w:r>
      <w:r w:rsidR="00434D1E" w:rsidRPr="000C4C89">
        <w:t xml:space="preserve">Although </w:t>
      </w:r>
      <w:r w:rsidR="00434D1E">
        <w:t>ASTHO</w:t>
      </w:r>
      <w:r w:rsidR="00434D1E" w:rsidRPr="000C4C89">
        <w:t xml:space="preserve"> will collect some</w:t>
      </w:r>
      <w:r w:rsidR="00434D1E">
        <w:t xml:space="preserve"> individually identifiable information (</w:t>
      </w:r>
      <w:r w:rsidR="00434D1E" w:rsidRPr="000C4C89">
        <w:t>IIF</w:t>
      </w:r>
      <w:r w:rsidR="00434D1E">
        <w:t>), used only for follow-up</w:t>
      </w:r>
      <w:r w:rsidR="00A921F0">
        <w:t xml:space="preserve"> as needed</w:t>
      </w:r>
      <w:r w:rsidR="00434D1E">
        <w:t>, ASTHO</w:t>
      </w:r>
      <w:r w:rsidR="00434D1E" w:rsidRPr="000C4C89">
        <w:t xml:space="preserve"> will remove all IIF and use </w:t>
      </w:r>
      <w:r w:rsidR="00434D1E">
        <w:t>only the state name</w:t>
      </w:r>
      <w:r w:rsidR="00434D1E" w:rsidRPr="000C4C89">
        <w:t xml:space="preserve"> in the dataset sent to CDC.</w:t>
      </w:r>
      <w:r w:rsidR="00434D1E">
        <w:t xml:space="preserve"> No IIF be distributed publically</w:t>
      </w:r>
      <w:r w:rsidRPr="000C4C89">
        <w:t xml:space="preserve">.  </w:t>
      </w:r>
    </w:p>
    <w:p w14:paraId="708A6106" w14:textId="77777777" w:rsidR="00561A6B" w:rsidRPr="000C4C89" w:rsidRDefault="00561A6B" w:rsidP="00561A6B">
      <w:pPr>
        <w:ind w:left="0"/>
      </w:pPr>
    </w:p>
    <w:p w14:paraId="07B9257C" w14:textId="77777777" w:rsidR="00561A6B" w:rsidRPr="000E3B3A" w:rsidRDefault="00561A6B" w:rsidP="00561A6B">
      <w:pPr>
        <w:ind w:left="0"/>
      </w:pPr>
      <w:r w:rsidRPr="000C4C89">
        <w:t>This information collection is not research involving human</w:t>
      </w:r>
      <w:r w:rsidRPr="000E3B3A">
        <w:t xml:space="preserve"> subjects.</w:t>
      </w:r>
    </w:p>
    <w:p w14:paraId="61E60C58" w14:textId="255757C1" w:rsidR="00A1745B" w:rsidRDefault="00A1745B" w:rsidP="00F30E84">
      <w:pPr>
        <w:ind w:left="0"/>
      </w:pPr>
    </w:p>
    <w:p w14:paraId="2F05C12B" w14:textId="27082786" w:rsidR="00B12F51" w:rsidRPr="0088467A" w:rsidRDefault="00DD35FD" w:rsidP="00692DEB">
      <w:pPr>
        <w:pStyle w:val="Heading4"/>
      </w:pPr>
      <w:bookmarkStart w:id="16" w:name="_Toc447879472"/>
      <w:r w:rsidRPr="00C04431">
        <w:t>Institutional Review Board (IRB) and Justification for Sensitive Questions</w:t>
      </w:r>
      <w:bookmarkEnd w:id="16"/>
    </w:p>
    <w:p w14:paraId="0AD05DF9" w14:textId="77777777" w:rsidR="00F52BCC" w:rsidRDefault="003C31C9" w:rsidP="00692DEB">
      <w:pPr>
        <w:ind w:left="0"/>
      </w:pPr>
      <w:r>
        <w:t>No information will be collected</w:t>
      </w:r>
      <w:r w:rsidR="00616090">
        <w:t xml:space="preserve"> that are of personal or sensitive nature</w:t>
      </w:r>
      <w:r w:rsidR="00D26A64">
        <w:t>.</w:t>
      </w:r>
    </w:p>
    <w:p w14:paraId="53278F70" w14:textId="77777777" w:rsidR="00A7298A" w:rsidRDefault="00A7298A" w:rsidP="00A7298A">
      <w:pPr>
        <w:ind w:left="0"/>
      </w:pPr>
    </w:p>
    <w:p w14:paraId="22CE3CC4" w14:textId="77777777" w:rsidR="00972753" w:rsidRPr="0088467A" w:rsidRDefault="00972753" w:rsidP="00A7298A">
      <w:pPr>
        <w:ind w:left="0"/>
      </w:pPr>
    </w:p>
    <w:p w14:paraId="201DC6D5" w14:textId="77777777" w:rsidR="00B64BFA" w:rsidRPr="0088467A" w:rsidRDefault="0088467A" w:rsidP="00692DEB">
      <w:pPr>
        <w:pStyle w:val="Heading4"/>
      </w:pPr>
      <w:bookmarkStart w:id="17" w:name="_Toc447879473"/>
      <w:r w:rsidRPr="0088467A">
        <w:t>Estimates of Annualized Burden Hours and Costs</w:t>
      </w:r>
      <w:bookmarkEnd w:id="17"/>
    </w:p>
    <w:p w14:paraId="31619998" w14:textId="1C587F86" w:rsidR="000058E0" w:rsidRPr="00711BFA" w:rsidRDefault="000058E0" w:rsidP="000058E0">
      <w:pPr>
        <w:ind w:left="0"/>
        <w:rPr>
          <w:color w:val="000000"/>
        </w:rPr>
      </w:pPr>
      <w:r w:rsidRPr="00364CB2">
        <w:rPr>
          <w:color w:val="000000"/>
        </w:rPr>
        <w:lastRenderedPageBreak/>
        <w:t>The estimate for burden</w:t>
      </w:r>
      <w:r w:rsidRPr="00711BFA">
        <w:rPr>
          <w:color w:val="000000"/>
        </w:rPr>
        <w:t xml:space="preserve"> hours is based on a pilot test of </w:t>
      </w:r>
      <w:r w:rsidRPr="0061015C">
        <w:t xml:space="preserve">the information collection instrument </w:t>
      </w:r>
      <w:r w:rsidRPr="00711BFA">
        <w:rPr>
          <w:color w:val="000000"/>
        </w:rPr>
        <w:t xml:space="preserve">by </w:t>
      </w:r>
      <w:r w:rsidR="00430B8D">
        <w:rPr>
          <w:color w:val="000000"/>
        </w:rPr>
        <w:t xml:space="preserve">4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xml:space="preserve">, was approximately </w:t>
      </w:r>
      <w:r w:rsidR="0046107C" w:rsidRPr="0046107C">
        <w:t>8.5</w:t>
      </w:r>
      <w:r w:rsidRPr="0046107C">
        <w:t xml:space="preserve"> </w:t>
      </w:r>
      <w:r w:rsidRPr="00711BFA">
        <w:t>minutes</w:t>
      </w:r>
      <w:r w:rsidR="00BF512B">
        <w:t xml:space="preserve"> (range: </w:t>
      </w:r>
      <w:r w:rsidR="0046107C">
        <w:t>7</w:t>
      </w:r>
      <w:r w:rsidR="008C59E7" w:rsidRPr="00774689">
        <w:rPr>
          <w:color w:val="0070C0"/>
        </w:rPr>
        <w:t xml:space="preserve"> </w:t>
      </w:r>
      <w:r w:rsidR="0046107C" w:rsidRPr="0046107C">
        <w:t>to 10</w:t>
      </w:r>
      <w:r w:rsidRPr="0046107C">
        <w:t xml:space="preserve"> </w:t>
      </w:r>
      <w:r w:rsidRPr="00711BFA">
        <w:t>minutes</w:t>
      </w:r>
      <w:r w:rsidR="00BF512B">
        <w:t>)</w:t>
      </w:r>
      <w:r w:rsidRPr="00711BFA">
        <w:t xml:space="preserve">. For the purposes of estimating burden hours, the upper limit of this range (i.e., </w:t>
      </w:r>
      <w:r w:rsidR="00364CB2" w:rsidRPr="00364CB2">
        <w:t>10</w:t>
      </w:r>
      <w:r w:rsidR="008C59E7" w:rsidRPr="00774689">
        <w:rPr>
          <w:color w:val="0070C0"/>
        </w:rPr>
        <w:t xml:space="preserve"> </w:t>
      </w:r>
      <w:r w:rsidRPr="00711BFA">
        <w:t>minutes) is used.</w:t>
      </w:r>
    </w:p>
    <w:p w14:paraId="084E2940" w14:textId="77777777" w:rsidR="000058E0" w:rsidRDefault="000058E0" w:rsidP="000058E0">
      <w:pPr>
        <w:ind w:left="0"/>
      </w:pPr>
    </w:p>
    <w:p w14:paraId="3991253D" w14:textId="5473261C" w:rsidR="00BB090C" w:rsidRPr="00441CC3" w:rsidRDefault="000058E0" w:rsidP="000058E0">
      <w:pPr>
        <w:ind w:left="0"/>
      </w:pPr>
      <w:r w:rsidRPr="00711BFA">
        <w:t xml:space="preserve">Estimates for the average hourly wage for respondents are based on the Department of Labor (DOL) </w:t>
      </w:r>
      <w:r w:rsidR="004F05FC">
        <w:t xml:space="preserve">Bureau of Labor Statistics </w:t>
      </w:r>
      <w:r w:rsidR="000D6BBB">
        <w:t>for occupational employment</w:t>
      </w:r>
      <w:r w:rsidR="00D31EF3">
        <w:t xml:space="preserve"> for Public Health Emergency Preparedness Directors </w:t>
      </w:r>
      <w:r w:rsidRPr="00711BFA">
        <w:t>(</w:t>
      </w:r>
      <w:hyperlink r:id="rId13" w:history="1">
        <w:r w:rsidR="004F05FC" w:rsidRPr="009C70BD">
          <w:rPr>
            <w:rStyle w:val="Hyperlink"/>
          </w:rPr>
          <w:t>http://www.bls.gov/oes/current/oes_nat.htm</w:t>
        </w:r>
      </w:hyperlink>
      <w:r w:rsidRPr="00711BFA">
        <w:t xml:space="preserve">). Based on DOL data, an average hourly wage of </w:t>
      </w:r>
      <w:r w:rsidR="008C59E7" w:rsidRPr="00D31EF3">
        <w:t>$</w:t>
      </w:r>
      <w:r w:rsidR="00D31EF3" w:rsidRPr="00D31EF3">
        <w:t>47.77</w:t>
      </w:r>
      <w:r w:rsidRPr="00D31EF3">
        <w:t xml:space="preserve"> </w:t>
      </w:r>
      <w:r w:rsidRPr="00711BFA">
        <w:t xml:space="preserve">is estimated for all </w:t>
      </w:r>
      <w:r w:rsidR="00D31EF3" w:rsidRPr="00D31EF3">
        <w:t>56</w:t>
      </w:r>
      <w:r w:rsidRPr="00BB090C">
        <w:rPr>
          <w:color w:val="0070C0"/>
        </w:rPr>
        <w:t xml:space="preserve"> </w:t>
      </w:r>
      <w:r w:rsidRPr="00711BFA">
        <w:t>respondents. Table A-12 shows estimated burden and cost information.</w:t>
      </w:r>
    </w:p>
    <w:p w14:paraId="104E565A" w14:textId="77777777" w:rsidR="005A59E5" w:rsidRPr="002A1948" w:rsidRDefault="005A59E5" w:rsidP="00692DEB">
      <w:pPr>
        <w:ind w:left="0"/>
      </w:pPr>
    </w:p>
    <w:p w14:paraId="28536F39"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350"/>
        <w:gridCol w:w="1440"/>
        <w:gridCol w:w="1350"/>
        <w:gridCol w:w="1530"/>
        <w:gridCol w:w="923"/>
        <w:gridCol w:w="900"/>
        <w:gridCol w:w="1350"/>
      </w:tblGrid>
      <w:tr w:rsidR="0043229B" w:rsidRPr="006F6856" w14:paraId="7577B893" w14:textId="77777777" w:rsidTr="00EE051B">
        <w:trPr>
          <w:trHeight w:val="1493"/>
        </w:trPr>
        <w:tc>
          <w:tcPr>
            <w:tcW w:w="1530" w:type="dxa"/>
            <w:shd w:val="clear" w:color="auto" w:fill="D9D9D9" w:themeFill="background1" w:themeFillShade="D9"/>
          </w:tcPr>
          <w:p w14:paraId="23DE9DD9"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2E5A53E4"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5A51254C"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7610BBC8"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7B00EC6D" w14:textId="77777777" w:rsidR="003B2200" w:rsidRPr="00E647FB" w:rsidRDefault="003B2200" w:rsidP="000058E0">
            <w:pPr>
              <w:ind w:left="-18"/>
              <w:rPr>
                <w:b/>
                <w:sz w:val="20"/>
                <w:szCs w:val="20"/>
              </w:rPr>
            </w:pPr>
            <w:r w:rsidRPr="00E647FB">
              <w:rPr>
                <w:b/>
                <w:sz w:val="20"/>
                <w:szCs w:val="20"/>
              </w:rPr>
              <w:t>Average Burden per Response (in hours)</w:t>
            </w:r>
          </w:p>
        </w:tc>
        <w:tc>
          <w:tcPr>
            <w:tcW w:w="923" w:type="dxa"/>
            <w:shd w:val="clear" w:color="auto" w:fill="D9D9D9" w:themeFill="background1" w:themeFillShade="D9"/>
            <w:vAlign w:val="center"/>
          </w:tcPr>
          <w:p w14:paraId="6D7B0CB4"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4A34004"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25DB9F37" w14:textId="77777777" w:rsidR="003B2200" w:rsidRPr="00E647FB" w:rsidRDefault="003B2200" w:rsidP="000058E0">
            <w:pPr>
              <w:ind w:left="-18"/>
              <w:rPr>
                <w:b/>
                <w:sz w:val="20"/>
                <w:szCs w:val="20"/>
              </w:rPr>
            </w:pPr>
            <w:r w:rsidRPr="00E647FB">
              <w:rPr>
                <w:b/>
                <w:sz w:val="20"/>
                <w:szCs w:val="20"/>
              </w:rPr>
              <w:t>Total Respondent Costs</w:t>
            </w:r>
          </w:p>
        </w:tc>
      </w:tr>
      <w:tr w:rsidR="002D69D3" w:rsidRPr="006F6856" w14:paraId="300CEEC4" w14:textId="77777777" w:rsidTr="00B56471">
        <w:tc>
          <w:tcPr>
            <w:tcW w:w="1530" w:type="dxa"/>
          </w:tcPr>
          <w:p w14:paraId="0CF0D711" w14:textId="5837C861" w:rsidR="002D69D3" w:rsidRPr="00E647FB" w:rsidRDefault="002D69D3" w:rsidP="002D69D3">
            <w:pPr>
              <w:ind w:left="0"/>
              <w:rPr>
                <w:sz w:val="20"/>
                <w:szCs w:val="20"/>
              </w:rPr>
            </w:pPr>
            <w:r>
              <w:rPr>
                <w:sz w:val="20"/>
                <w:szCs w:val="20"/>
              </w:rPr>
              <w:t>State Department of Health Disaster Risk Reduction Survey</w:t>
            </w:r>
          </w:p>
        </w:tc>
        <w:tc>
          <w:tcPr>
            <w:tcW w:w="1350" w:type="dxa"/>
          </w:tcPr>
          <w:p w14:paraId="0E775DCD" w14:textId="29C8F980" w:rsidR="002D69D3" w:rsidRPr="00E647FB" w:rsidRDefault="002D69D3" w:rsidP="002D69D3">
            <w:pPr>
              <w:ind w:left="0"/>
              <w:rPr>
                <w:sz w:val="20"/>
                <w:szCs w:val="20"/>
              </w:rPr>
            </w:pPr>
            <w:r w:rsidRPr="002D69D3">
              <w:rPr>
                <w:sz w:val="20"/>
              </w:rPr>
              <w:t>State, Territory, or District Government Staff</w:t>
            </w:r>
          </w:p>
        </w:tc>
        <w:tc>
          <w:tcPr>
            <w:tcW w:w="1440" w:type="dxa"/>
            <w:vAlign w:val="center"/>
          </w:tcPr>
          <w:p w14:paraId="145644E9" w14:textId="1E18794C" w:rsidR="002D69D3" w:rsidRPr="00E647FB" w:rsidRDefault="002D69D3" w:rsidP="002D69D3">
            <w:pPr>
              <w:ind w:left="0"/>
              <w:rPr>
                <w:sz w:val="20"/>
                <w:szCs w:val="20"/>
              </w:rPr>
            </w:pPr>
            <w:r>
              <w:rPr>
                <w:sz w:val="20"/>
                <w:szCs w:val="20"/>
              </w:rPr>
              <w:t>56</w:t>
            </w:r>
          </w:p>
        </w:tc>
        <w:tc>
          <w:tcPr>
            <w:tcW w:w="1350" w:type="dxa"/>
            <w:vAlign w:val="center"/>
          </w:tcPr>
          <w:p w14:paraId="4C9E6467" w14:textId="1D525628" w:rsidR="002D69D3" w:rsidRPr="00E647FB" w:rsidRDefault="002D69D3" w:rsidP="002D69D3">
            <w:pPr>
              <w:ind w:left="0"/>
              <w:rPr>
                <w:sz w:val="20"/>
                <w:szCs w:val="20"/>
              </w:rPr>
            </w:pPr>
            <w:r>
              <w:rPr>
                <w:sz w:val="20"/>
                <w:szCs w:val="20"/>
              </w:rPr>
              <w:t>1</w:t>
            </w:r>
          </w:p>
        </w:tc>
        <w:tc>
          <w:tcPr>
            <w:tcW w:w="1530" w:type="dxa"/>
            <w:vAlign w:val="center"/>
          </w:tcPr>
          <w:p w14:paraId="737EA160" w14:textId="336B5359" w:rsidR="002D69D3" w:rsidRPr="00E647FB" w:rsidRDefault="002D69D3" w:rsidP="002D69D3">
            <w:pPr>
              <w:ind w:left="0"/>
              <w:rPr>
                <w:sz w:val="20"/>
                <w:szCs w:val="20"/>
              </w:rPr>
            </w:pPr>
            <w:r w:rsidRPr="006550CF">
              <w:rPr>
                <w:sz w:val="20"/>
                <w:szCs w:val="20"/>
              </w:rPr>
              <w:t>10/60</w:t>
            </w:r>
          </w:p>
        </w:tc>
        <w:tc>
          <w:tcPr>
            <w:tcW w:w="923" w:type="dxa"/>
            <w:vAlign w:val="center"/>
          </w:tcPr>
          <w:p w14:paraId="5C01D789" w14:textId="46E57CC8" w:rsidR="002D69D3" w:rsidRPr="00E647FB" w:rsidRDefault="002D69D3" w:rsidP="002D69D3">
            <w:pPr>
              <w:ind w:left="0"/>
              <w:rPr>
                <w:sz w:val="20"/>
                <w:szCs w:val="20"/>
              </w:rPr>
            </w:pPr>
            <w:r>
              <w:rPr>
                <w:sz w:val="20"/>
                <w:szCs w:val="20"/>
              </w:rPr>
              <w:t>9.0</w:t>
            </w:r>
          </w:p>
        </w:tc>
        <w:tc>
          <w:tcPr>
            <w:tcW w:w="900" w:type="dxa"/>
            <w:vAlign w:val="center"/>
          </w:tcPr>
          <w:p w14:paraId="4DB67FC1" w14:textId="0DF1F1AF" w:rsidR="002D69D3" w:rsidRPr="00E647FB" w:rsidRDefault="002D69D3" w:rsidP="002D69D3">
            <w:pPr>
              <w:ind w:left="0"/>
              <w:rPr>
                <w:sz w:val="20"/>
                <w:szCs w:val="20"/>
              </w:rPr>
            </w:pPr>
            <w:r>
              <w:rPr>
                <w:sz w:val="20"/>
                <w:szCs w:val="20"/>
              </w:rPr>
              <w:t>$47.77</w:t>
            </w:r>
          </w:p>
        </w:tc>
        <w:tc>
          <w:tcPr>
            <w:tcW w:w="1350" w:type="dxa"/>
            <w:vAlign w:val="center"/>
          </w:tcPr>
          <w:p w14:paraId="6D4FF8E9" w14:textId="51E2705A" w:rsidR="002D69D3" w:rsidRPr="002D69D3" w:rsidRDefault="002D69D3" w:rsidP="002D69D3">
            <w:pPr>
              <w:ind w:left="0"/>
              <w:rPr>
                <w:sz w:val="20"/>
                <w:szCs w:val="20"/>
              </w:rPr>
            </w:pPr>
            <w:r w:rsidRPr="002D69D3">
              <w:rPr>
                <w:sz w:val="20"/>
                <w:szCs w:val="20"/>
              </w:rPr>
              <w:t>$429.93</w:t>
            </w:r>
          </w:p>
        </w:tc>
      </w:tr>
      <w:tr w:rsidR="002D69D3" w:rsidRPr="006F6856" w14:paraId="5802FC74" w14:textId="77777777" w:rsidTr="00EE051B">
        <w:trPr>
          <w:trHeight w:hRule="exact" w:val="432"/>
        </w:trPr>
        <w:tc>
          <w:tcPr>
            <w:tcW w:w="1530" w:type="dxa"/>
          </w:tcPr>
          <w:p w14:paraId="6B6D05E2" w14:textId="77777777" w:rsidR="002D69D3" w:rsidRPr="00E647FB" w:rsidRDefault="002D69D3" w:rsidP="002D69D3">
            <w:pPr>
              <w:ind w:left="0"/>
              <w:rPr>
                <w:b/>
                <w:sz w:val="20"/>
                <w:szCs w:val="20"/>
              </w:rPr>
            </w:pPr>
          </w:p>
        </w:tc>
        <w:tc>
          <w:tcPr>
            <w:tcW w:w="1350" w:type="dxa"/>
            <w:vAlign w:val="center"/>
          </w:tcPr>
          <w:p w14:paraId="50879035" w14:textId="77777777" w:rsidR="002D69D3" w:rsidRPr="00E647FB" w:rsidRDefault="002D69D3" w:rsidP="002D69D3">
            <w:pPr>
              <w:ind w:left="0"/>
              <w:rPr>
                <w:b/>
                <w:sz w:val="20"/>
                <w:szCs w:val="20"/>
              </w:rPr>
            </w:pPr>
            <w:r w:rsidRPr="00E647FB">
              <w:rPr>
                <w:b/>
                <w:sz w:val="20"/>
                <w:szCs w:val="20"/>
              </w:rPr>
              <w:t>TOTALS</w:t>
            </w:r>
          </w:p>
        </w:tc>
        <w:tc>
          <w:tcPr>
            <w:tcW w:w="1440" w:type="dxa"/>
            <w:vAlign w:val="center"/>
          </w:tcPr>
          <w:p w14:paraId="7BB42AAD" w14:textId="78FC492A" w:rsidR="002D69D3" w:rsidRPr="00E647FB" w:rsidRDefault="002D69D3" w:rsidP="002D69D3">
            <w:pPr>
              <w:ind w:left="0"/>
              <w:rPr>
                <w:b/>
                <w:sz w:val="20"/>
                <w:szCs w:val="20"/>
              </w:rPr>
            </w:pPr>
            <w:r>
              <w:rPr>
                <w:b/>
                <w:sz w:val="20"/>
                <w:szCs w:val="20"/>
              </w:rPr>
              <w:t>56</w:t>
            </w:r>
          </w:p>
        </w:tc>
        <w:tc>
          <w:tcPr>
            <w:tcW w:w="1350" w:type="dxa"/>
            <w:shd w:val="clear" w:color="auto" w:fill="auto"/>
            <w:vAlign w:val="center"/>
          </w:tcPr>
          <w:p w14:paraId="49D61E7E" w14:textId="77777777" w:rsidR="002D69D3" w:rsidRPr="00E647FB" w:rsidRDefault="002D69D3" w:rsidP="002D69D3">
            <w:pPr>
              <w:ind w:left="0"/>
              <w:rPr>
                <w:b/>
                <w:sz w:val="20"/>
                <w:szCs w:val="20"/>
              </w:rPr>
            </w:pPr>
          </w:p>
        </w:tc>
        <w:tc>
          <w:tcPr>
            <w:tcW w:w="1530" w:type="dxa"/>
            <w:shd w:val="clear" w:color="auto" w:fill="D9D9D9" w:themeFill="background1" w:themeFillShade="D9"/>
            <w:vAlign w:val="center"/>
          </w:tcPr>
          <w:p w14:paraId="365C9420" w14:textId="77777777" w:rsidR="002D69D3" w:rsidRPr="00E647FB" w:rsidRDefault="002D69D3" w:rsidP="002D69D3">
            <w:pPr>
              <w:ind w:left="0"/>
              <w:rPr>
                <w:b/>
                <w:sz w:val="20"/>
                <w:szCs w:val="20"/>
              </w:rPr>
            </w:pPr>
          </w:p>
        </w:tc>
        <w:tc>
          <w:tcPr>
            <w:tcW w:w="923" w:type="dxa"/>
            <w:vAlign w:val="center"/>
          </w:tcPr>
          <w:p w14:paraId="18AB6CFD" w14:textId="2225ABC6" w:rsidR="002D69D3" w:rsidRPr="00E647FB" w:rsidRDefault="002D69D3" w:rsidP="002D69D3">
            <w:pPr>
              <w:ind w:left="0"/>
              <w:rPr>
                <w:b/>
                <w:sz w:val="20"/>
                <w:szCs w:val="20"/>
              </w:rPr>
            </w:pPr>
            <w:r>
              <w:rPr>
                <w:b/>
                <w:sz w:val="20"/>
                <w:szCs w:val="20"/>
              </w:rPr>
              <w:t>9</w:t>
            </w:r>
          </w:p>
        </w:tc>
        <w:tc>
          <w:tcPr>
            <w:tcW w:w="900" w:type="dxa"/>
            <w:shd w:val="clear" w:color="auto" w:fill="D9D9D9" w:themeFill="background1" w:themeFillShade="D9"/>
            <w:vAlign w:val="center"/>
          </w:tcPr>
          <w:p w14:paraId="0380E5D4" w14:textId="77777777" w:rsidR="002D69D3" w:rsidRPr="00E647FB" w:rsidRDefault="002D69D3" w:rsidP="002D69D3">
            <w:pPr>
              <w:ind w:left="0"/>
              <w:rPr>
                <w:b/>
                <w:sz w:val="20"/>
                <w:szCs w:val="20"/>
              </w:rPr>
            </w:pPr>
          </w:p>
        </w:tc>
        <w:tc>
          <w:tcPr>
            <w:tcW w:w="1350" w:type="dxa"/>
            <w:vAlign w:val="center"/>
          </w:tcPr>
          <w:p w14:paraId="02FDA72C" w14:textId="31170529" w:rsidR="002D69D3" w:rsidRPr="00E647FB" w:rsidRDefault="002D69D3" w:rsidP="002D69D3">
            <w:pPr>
              <w:ind w:left="0"/>
              <w:rPr>
                <w:b/>
                <w:sz w:val="20"/>
                <w:szCs w:val="20"/>
              </w:rPr>
            </w:pPr>
            <w:r>
              <w:rPr>
                <w:b/>
                <w:sz w:val="20"/>
                <w:szCs w:val="20"/>
              </w:rPr>
              <w:t>$429.93</w:t>
            </w:r>
          </w:p>
        </w:tc>
      </w:tr>
    </w:tbl>
    <w:p w14:paraId="44351C9F" w14:textId="77777777" w:rsidR="007453E0" w:rsidRDefault="007453E0" w:rsidP="00441CC3">
      <w:pPr>
        <w:ind w:left="0"/>
      </w:pPr>
    </w:p>
    <w:p w14:paraId="46285BC7" w14:textId="77777777" w:rsidR="00B12F51" w:rsidRPr="0088467A" w:rsidRDefault="0088467A" w:rsidP="00692DEB">
      <w:pPr>
        <w:pStyle w:val="Heading4"/>
      </w:pPr>
      <w:bookmarkStart w:id="18" w:name="_Toc447879474"/>
      <w:r w:rsidRPr="0088467A">
        <w:t>Estimates of Other Total Annual Cost Burden to Respondents or Record Keepers</w:t>
      </w:r>
      <w:bookmarkEnd w:id="18"/>
    </w:p>
    <w:p w14:paraId="15BF4116" w14:textId="50F1F377" w:rsidR="00A7298A"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6E001B1A" w14:textId="77777777" w:rsidR="00A7298A" w:rsidRDefault="00A7298A" w:rsidP="00692DEB">
      <w:pPr>
        <w:ind w:left="0"/>
      </w:pPr>
    </w:p>
    <w:p w14:paraId="13C5DF04" w14:textId="77777777" w:rsidR="00B12F51" w:rsidRPr="0088467A" w:rsidRDefault="0088467A" w:rsidP="00692DEB">
      <w:pPr>
        <w:pStyle w:val="Heading4"/>
      </w:pPr>
      <w:bookmarkStart w:id="19" w:name="_Toc447879475"/>
      <w:r w:rsidRPr="0088467A">
        <w:t>Annualized Cost to the Government</w:t>
      </w:r>
      <w:bookmarkEnd w:id="19"/>
      <w:r w:rsidR="00D75750">
        <w:t xml:space="preserve"> </w:t>
      </w:r>
    </w:p>
    <w:p w14:paraId="6D99FDB5" w14:textId="10DCE88F" w:rsidR="002F548E" w:rsidRDefault="000058E0" w:rsidP="00692DEB">
      <w:pPr>
        <w:ind w:left="0"/>
        <w:rPr>
          <w:rFonts w:cs="Arial"/>
        </w:rPr>
      </w:pPr>
      <w:r w:rsidRPr="000E58F5">
        <w:rPr>
          <w:rFonts w:cs="Arial"/>
        </w:rPr>
        <w:t>There are no equipment or overhead costs</w:t>
      </w:r>
      <w:r w:rsidR="00D80152">
        <w:rPr>
          <w:rFonts w:cs="Arial"/>
        </w:rPr>
        <w:t>, and no fees being paid to ASTHO</w:t>
      </w:r>
      <w:r w:rsidR="00CE3901">
        <w:rPr>
          <w:rFonts w:cs="Arial"/>
        </w:rPr>
        <w:t xml:space="preserve"> for their support</w:t>
      </w:r>
      <w:r w:rsidRPr="000E58F5">
        <w:rPr>
          <w:rFonts w:cs="Arial"/>
        </w:rPr>
        <w:t xml:space="preserve">.  Contractors, however, are being used to support </w:t>
      </w:r>
      <w:r w:rsidR="00BF512B">
        <w:rPr>
          <w:rFonts w:cs="Arial"/>
        </w:rPr>
        <w:t xml:space="preserve">the </w:t>
      </w:r>
      <w:r w:rsidRPr="000E58F5">
        <w:rPr>
          <w:rFonts w:cs="Arial"/>
        </w:rPr>
        <w:t xml:space="preserve">development of the assessment tool, data collection, and data analysis. The only cost to the federal government </w:t>
      </w:r>
      <w:r w:rsidR="00BF512B">
        <w:rPr>
          <w:rFonts w:cs="Arial"/>
        </w:rPr>
        <w:t>is</w:t>
      </w:r>
      <w:r w:rsidRPr="000E58F5">
        <w:rPr>
          <w:rFonts w:cs="Arial"/>
        </w:rPr>
        <w:t xml:space="preserve"> the salary of CDC staff and contractors.</w:t>
      </w:r>
      <w:r>
        <w:rPr>
          <w:rFonts w:cs="Arial"/>
        </w:rPr>
        <w:t xml:space="preserve"> </w:t>
      </w:r>
      <w:r w:rsidRPr="000E58F5">
        <w:rPr>
          <w:rFonts w:cs="Arial"/>
        </w:rPr>
        <w:t>The total estimated cost to the federal government is</w:t>
      </w:r>
      <w:r w:rsidR="008C59E7">
        <w:rPr>
          <w:rFonts w:cs="Arial"/>
        </w:rPr>
        <w:t xml:space="preserve"> </w:t>
      </w:r>
      <w:r w:rsidR="008C59E7" w:rsidRPr="006974DF">
        <w:rPr>
          <w:rFonts w:cs="Arial"/>
        </w:rPr>
        <w:t>$</w:t>
      </w:r>
      <w:r w:rsidR="006974DF" w:rsidRPr="006974DF">
        <w:rPr>
          <w:rFonts w:cs="Arial"/>
        </w:rPr>
        <w:t>5,1</w:t>
      </w:r>
      <w:r w:rsidR="00E63711">
        <w:rPr>
          <w:rFonts w:cs="Arial"/>
        </w:rPr>
        <w:t>2</w:t>
      </w:r>
      <w:r w:rsidR="006974DF" w:rsidRPr="006974DF">
        <w:rPr>
          <w:rFonts w:cs="Arial"/>
        </w:rPr>
        <w:t>0</w:t>
      </w:r>
      <w:r w:rsidRPr="000E58F5">
        <w:rPr>
          <w:rFonts w:cs="Arial"/>
        </w:rPr>
        <w:t>. Table A-14 describes how this cost estimate was calculated.</w:t>
      </w:r>
    </w:p>
    <w:p w14:paraId="78EB7AED" w14:textId="77777777" w:rsidR="00E85F67" w:rsidRDefault="00E85F67" w:rsidP="00692DEB">
      <w:pPr>
        <w:ind w:left="0"/>
        <w:rPr>
          <w:rFonts w:cs="Arial"/>
        </w:rPr>
      </w:pPr>
    </w:p>
    <w:p w14:paraId="3061E0B3" w14:textId="77777777" w:rsidR="007453E0" w:rsidRDefault="007453E0" w:rsidP="00692DEB">
      <w:pPr>
        <w:ind w:left="0"/>
      </w:pPr>
    </w:p>
    <w:p w14:paraId="77CB93E0"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225"/>
        <w:gridCol w:w="1778"/>
        <w:gridCol w:w="1202"/>
        <w:gridCol w:w="236"/>
        <w:gridCol w:w="236"/>
        <w:gridCol w:w="1673"/>
      </w:tblGrid>
      <w:tr w:rsidR="004841F1" w:rsidRPr="004841F1" w14:paraId="67C9BEBE" w14:textId="77777777" w:rsidTr="005E2146">
        <w:trPr>
          <w:trHeight w:val="593"/>
        </w:trPr>
        <w:tc>
          <w:tcPr>
            <w:tcW w:w="4225" w:type="dxa"/>
            <w:tcBorders>
              <w:bottom w:val="single" w:sz="12" w:space="0" w:color="auto"/>
            </w:tcBorders>
            <w:shd w:val="clear" w:color="auto" w:fill="D9D9D9" w:themeFill="background1" w:themeFillShade="D9"/>
            <w:vAlign w:val="center"/>
          </w:tcPr>
          <w:p w14:paraId="57F501B8" w14:textId="77777777" w:rsidR="004841F1" w:rsidRPr="00E647FB" w:rsidRDefault="004841F1" w:rsidP="005D6F14">
            <w:pPr>
              <w:ind w:left="0"/>
              <w:jc w:val="center"/>
              <w:rPr>
                <w:b/>
                <w:sz w:val="20"/>
                <w:szCs w:val="20"/>
              </w:rPr>
            </w:pPr>
            <w:r w:rsidRPr="00E647FB">
              <w:rPr>
                <w:b/>
                <w:sz w:val="20"/>
                <w:szCs w:val="20"/>
              </w:rPr>
              <w:t>Staff (FTE)</w:t>
            </w:r>
          </w:p>
        </w:tc>
        <w:tc>
          <w:tcPr>
            <w:tcW w:w="1778" w:type="dxa"/>
            <w:tcBorders>
              <w:bottom w:val="single" w:sz="12" w:space="0" w:color="auto"/>
            </w:tcBorders>
            <w:shd w:val="clear" w:color="auto" w:fill="D9D9D9" w:themeFill="background1" w:themeFillShade="D9"/>
            <w:vAlign w:val="center"/>
          </w:tcPr>
          <w:p w14:paraId="6D4FC7BB"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74" w:type="dxa"/>
            <w:gridSpan w:val="3"/>
            <w:tcBorders>
              <w:bottom w:val="single" w:sz="12" w:space="0" w:color="auto"/>
            </w:tcBorders>
            <w:shd w:val="clear" w:color="auto" w:fill="D9D9D9" w:themeFill="background1" w:themeFillShade="D9"/>
            <w:vAlign w:val="center"/>
          </w:tcPr>
          <w:p w14:paraId="28AE539C" w14:textId="77777777" w:rsidR="004841F1" w:rsidRPr="00E647FB" w:rsidRDefault="004841F1" w:rsidP="005D6F14">
            <w:pPr>
              <w:ind w:left="0"/>
              <w:jc w:val="center"/>
              <w:rPr>
                <w:b/>
                <w:sz w:val="20"/>
                <w:szCs w:val="20"/>
              </w:rPr>
            </w:pPr>
            <w:r w:rsidRPr="00E647FB">
              <w:rPr>
                <w:b/>
                <w:sz w:val="20"/>
                <w:szCs w:val="20"/>
              </w:rPr>
              <w:t>Average Hourly Rate</w:t>
            </w:r>
          </w:p>
        </w:tc>
        <w:tc>
          <w:tcPr>
            <w:tcW w:w="1673" w:type="dxa"/>
            <w:tcBorders>
              <w:bottom w:val="single" w:sz="12" w:space="0" w:color="auto"/>
            </w:tcBorders>
            <w:shd w:val="clear" w:color="auto" w:fill="D9D9D9" w:themeFill="background1" w:themeFillShade="D9"/>
            <w:vAlign w:val="center"/>
          </w:tcPr>
          <w:p w14:paraId="42CA591E"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54CBECBD" w14:textId="77777777" w:rsidTr="005E2146">
        <w:tc>
          <w:tcPr>
            <w:tcW w:w="4225" w:type="dxa"/>
            <w:tcBorders>
              <w:top w:val="single" w:sz="12" w:space="0" w:color="auto"/>
            </w:tcBorders>
          </w:tcPr>
          <w:p w14:paraId="6B25BBDC" w14:textId="0D73E9D1" w:rsidR="004841F1" w:rsidRDefault="00E021C2" w:rsidP="00CA5840">
            <w:pPr>
              <w:ind w:left="0"/>
              <w:jc w:val="both"/>
              <w:rPr>
                <w:sz w:val="20"/>
                <w:szCs w:val="20"/>
              </w:rPr>
            </w:pPr>
            <w:r>
              <w:rPr>
                <w:sz w:val="20"/>
                <w:szCs w:val="20"/>
              </w:rPr>
              <w:t xml:space="preserve">Senior Public Health Advisor </w:t>
            </w:r>
            <w:r w:rsidR="00675CFF">
              <w:rPr>
                <w:sz w:val="20"/>
                <w:szCs w:val="20"/>
              </w:rPr>
              <w:t>(</w:t>
            </w:r>
            <w:r>
              <w:rPr>
                <w:sz w:val="20"/>
                <w:szCs w:val="20"/>
              </w:rPr>
              <w:t>GS-13/7</w:t>
            </w:r>
            <w:r w:rsidR="00675CFF">
              <w:rPr>
                <w:sz w:val="20"/>
                <w:szCs w:val="20"/>
              </w:rPr>
              <w:t>)</w:t>
            </w:r>
          </w:p>
          <w:p w14:paraId="41A77FFA" w14:textId="1867FDFC" w:rsidR="00DF133D" w:rsidRPr="00E647FB" w:rsidRDefault="00DF133D" w:rsidP="00DF133D">
            <w:pPr>
              <w:ind w:left="0"/>
              <w:jc w:val="both"/>
              <w:rPr>
                <w:sz w:val="20"/>
                <w:szCs w:val="20"/>
              </w:rPr>
            </w:pPr>
            <w:r>
              <w:rPr>
                <w:sz w:val="20"/>
                <w:szCs w:val="20"/>
              </w:rPr>
              <w:lastRenderedPageBreak/>
              <w:t xml:space="preserve">Instrument development, pilot testing, OMB package preparation, data collection, data analysis and report preparation </w:t>
            </w:r>
          </w:p>
        </w:tc>
        <w:tc>
          <w:tcPr>
            <w:tcW w:w="1778" w:type="dxa"/>
            <w:tcBorders>
              <w:top w:val="single" w:sz="12" w:space="0" w:color="auto"/>
            </w:tcBorders>
          </w:tcPr>
          <w:p w14:paraId="51E56473" w14:textId="1B62FDAE" w:rsidR="004841F1" w:rsidRPr="00E647FB" w:rsidRDefault="00DF133D" w:rsidP="005D6F14">
            <w:pPr>
              <w:ind w:left="0"/>
              <w:jc w:val="center"/>
              <w:rPr>
                <w:sz w:val="20"/>
                <w:szCs w:val="20"/>
              </w:rPr>
            </w:pPr>
            <w:r>
              <w:rPr>
                <w:sz w:val="20"/>
                <w:szCs w:val="20"/>
              </w:rPr>
              <w:lastRenderedPageBreak/>
              <w:t>40</w:t>
            </w:r>
          </w:p>
        </w:tc>
        <w:tc>
          <w:tcPr>
            <w:tcW w:w="1674" w:type="dxa"/>
            <w:gridSpan w:val="3"/>
            <w:tcBorders>
              <w:top w:val="single" w:sz="12" w:space="0" w:color="auto"/>
            </w:tcBorders>
          </w:tcPr>
          <w:p w14:paraId="684B6651" w14:textId="558441CE" w:rsidR="004841F1" w:rsidRPr="00E647FB" w:rsidRDefault="00114B66" w:rsidP="005D6F14">
            <w:pPr>
              <w:ind w:left="0"/>
              <w:jc w:val="center"/>
              <w:rPr>
                <w:sz w:val="20"/>
                <w:szCs w:val="20"/>
              </w:rPr>
            </w:pPr>
            <w:r>
              <w:rPr>
                <w:sz w:val="20"/>
                <w:szCs w:val="20"/>
              </w:rPr>
              <w:t>$50.00</w:t>
            </w:r>
          </w:p>
        </w:tc>
        <w:tc>
          <w:tcPr>
            <w:tcW w:w="1673" w:type="dxa"/>
            <w:tcBorders>
              <w:top w:val="single" w:sz="12" w:space="0" w:color="auto"/>
            </w:tcBorders>
          </w:tcPr>
          <w:p w14:paraId="2FA129C3" w14:textId="4DDD5320" w:rsidR="004841F1" w:rsidRPr="00E647FB" w:rsidRDefault="00114B66" w:rsidP="005D6F14">
            <w:pPr>
              <w:ind w:left="0"/>
              <w:jc w:val="center"/>
              <w:rPr>
                <w:sz w:val="20"/>
                <w:szCs w:val="20"/>
              </w:rPr>
            </w:pPr>
            <w:r>
              <w:rPr>
                <w:sz w:val="20"/>
                <w:szCs w:val="20"/>
              </w:rPr>
              <w:t>$2,000</w:t>
            </w:r>
          </w:p>
        </w:tc>
      </w:tr>
      <w:tr w:rsidR="004841F1" w:rsidRPr="004841F1" w14:paraId="6405E0C0" w14:textId="77777777" w:rsidTr="005E2146">
        <w:tc>
          <w:tcPr>
            <w:tcW w:w="4225" w:type="dxa"/>
          </w:tcPr>
          <w:p w14:paraId="2C02DD49" w14:textId="6277DF6E" w:rsidR="004824FA" w:rsidRDefault="00E021C2" w:rsidP="00CA5840">
            <w:pPr>
              <w:ind w:left="0"/>
              <w:jc w:val="both"/>
              <w:rPr>
                <w:sz w:val="20"/>
                <w:szCs w:val="20"/>
              </w:rPr>
            </w:pPr>
            <w:r>
              <w:rPr>
                <w:sz w:val="20"/>
                <w:szCs w:val="20"/>
              </w:rPr>
              <w:t>Senior Public Health Emergency Operations   Officer (</w:t>
            </w:r>
            <w:r w:rsidR="00DF133D">
              <w:rPr>
                <w:sz w:val="20"/>
                <w:szCs w:val="20"/>
              </w:rPr>
              <w:t>PHS 05)</w:t>
            </w:r>
          </w:p>
          <w:p w14:paraId="2E45F2C4" w14:textId="04F0002E" w:rsidR="00DF133D" w:rsidRPr="00E647FB" w:rsidRDefault="00DF133D" w:rsidP="00CA5840">
            <w:pPr>
              <w:ind w:left="0"/>
              <w:jc w:val="both"/>
              <w:rPr>
                <w:sz w:val="20"/>
                <w:szCs w:val="20"/>
              </w:rPr>
            </w:pPr>
            <w:r w:rsidRPr="00DF133D">
              <w:rPr>
                <w:sz w:val="20"/>
                <w:szCs w:val="20"/>
              </w:rPr>
              <w:t>Instrument development, pilot testing, OMB package preparation, data collection, data analysis and report preparation</w:t>
            </w:r>
          </w:p>
        </w:tc>
        <w:tc>
          <w:tcPr>
            <w:tcW w:w="1778" w:type="dxa"/>
          </w:tcPr>
          <w:p w14:paraId="4C7F1674" w14:textId="3FAAB4DB" w:rsidR="004841F1" w:rsidRPr="00E647FB" w:rsidRDefault="00DF133D" w:rsidP="005D6F14">
            <w:pPr>
              <w:ind w:left="0"/>
              <w:jc w:val="center"/>
              <w:rPr>
                <w:sz w:val="20"/>
                <w:szCs w:val="20"/>
              </w:rPr>
            </w:pPr>
            <w:r>
              <w:rPr>
                <w:sz w:val="20"/>
                <w:szCs w:val="20"/>
              </w:rPr>
              <w:t>40</w:t>
            </w:r>
          </w:p>
        </w:tc>
        <w:tc>
          <w:tcPr>
            <w:tcW w:w="1674" w:type="dxa"/>
            <w:gridSpan w:val="3"/>
          </w:tcPr>
          <w:p w14:paraId="428D4465" w14:textId="41E10C36" w:rsidR="004841F1" w:rsidRPr="00E647FB" w:rsidRDefault="00E71164" w:rsidP="005D6F14">
            <w:pPr>
              <w:ind w:left="0"/>
              <w:jc w:val="center"/>
              <w:rPr>
                <w:sz w:val="20"/>
                <w:szCs w:val="20"/>
              </w:rPr>
            </w:pPr>
            <w:r>
              <w:rPr>
                <w:sz w:val="20"/>
                <w:szCs w:val="20"/>
              </w:rPr>
              <w:t>$50.00</w:t>
            </w:r>
          </w:p>
        </w:tc>
        <w:tc>
          <w:tcPr>
            <w:tcW w:w="1673" w:type="dxa"/>
          </w:tcPr>
          <w:p w14:paraId="4085B1E1" w14:textId="719E46C9" w:rsidR="004841F1" w:rsidRPr="00E647FB" w:rsidRDefault="00E71164" w:rsidP="005D6F14">
            <w:pPr>
              <w:ind w:left="0"/>
              <w:jc w:val="center"/>
              <w:rPr>
                <w:sz w:val="20"/>
                <w:szCs w:val="20"/>
              </w:rPr>
            </w:pPr>
            <w:r>
              <w:rPr>
                <w:sz w:val="20"/>
                <w:szCs w:val="20"/>
              </w:rPr>
              <w:t>$2,000</w:t>
            </w:r>
          </w:p>
        </w:tc>
      </w:tr>
      <w:tr w:rsidR="004824FA" w:rsidRPr="007B305A" w14:paraId="566D484E" w14:textId="77777777" w:rsidTr="005E2146">
        <w:tc>
          <w:tcPr>
            <w:tcW w:w="4225" w:type="dxa"/>
            <w:tcBorders>
              <w:bottom w:val="single" w:sz="4" w:space="0" w:color="auto"/>
            </w:tcBorders>
          </w:tcPr>
          <w:p w14:paraId="6BD8C819" w14:textId="7CE2315F" w:rsidR="004824FA" w:rsidRDefault="00DF133D" w:rsidP="00CA5840">
            <w:pPr>
              <w:ind w:left="0"/>
              <w:jc w:val="both"/>
              <w:rPr>
                <w:sz w:val="20"/>
                <w:szCs w:val="20"/>
              </w:rPr>
            </w:pPr>
            <w:r>
              <w:rPr>
                <w:sz w:val="20"/>
                <w:szCs w:val="20"/>
              </w:rPr>
              <w:t>ORISE fellow</w:t>
            </w:r>
          </w:p>
          <w:p w14:paraId="508C01B0" w14:textId="0099C930" w:rsidR="00DF133D" w:rsidRPr="00E647FB" w:rsidRDefault="00DF133D" w:rsidP="00CA5840">
            <w:pPr>
              <w:ind w:left="0"/>
              <w:jc w:val="both"/>
              <w:rPr>
                <w:sz w:val="20"/>
                <w:szCs w:val="20"/>
              </w:rPr>
            </w:pPr>
            <w:r w:rsidRPr="00DF133D">
              <w:rPr>
                <w:sz w:val="20"/>
                <w:szCs w:val="20"/>
              </w:rPr>
              <w:t>Instrument development, pilot testing, OMB package preparation, data collection, data analysis and report preparation</w:t>
            </w:r>
          </w:p>
        </w:tc>
        <w:tc>
          <w:tcPr>
            <w:tcW w:w="1778" w:type="dxa"/>
            <w:tcBorders>
              <w:bottom w:val="single" w:sz="4" w:space="0" w:color="auto"/>
            </w:tcBorders>
          </w:tcPr>
          <w:p w14:paraId="262991E8" w14:textId="12E91BB0" w:rsidR="004824FA" w:rsidRPr="00E647FB" w:rsidRDefault="00DF133D" w:rsidP="005D6F14">
            <w:pPr>
              <w:ind w:left="0"/>
              <w:jc w:val="center"/>
              <w:rPr>
                <w:sz w:val="20"/>
                <w:szCs w:val="20"/>
              </w:rPr>
            </w:pPr>
            <w:r>
              <w:rPr>
                <w:sz w:val="20"/>
                <w:szCs w:val="20"/>
              </w:rPr>
              <w:t>20</w:t>
            </w:r>
          </w:p>
        </w:tc>
        <w:tc>
          <w:tcPr>
            <w:tcW w:w="1674" w:type="dxa"/>
            <w:gridSpan w:val="3"/>
            <w:tcBorders>
              <w:bottom w:val="single" w:sz="4" w:space="0" w:color="auto"/>
            </w:tcBorders>
          </w:tcPr>
          <w:p w14:paraId="23CF4A5F" w14:textId="3ECAE3EB" w:rsidR="004824FA" w:rsidRPr="00E647FB" w:rsidRDefault="00114B66" w:rsidP="005D6F14">
            <w:pPr>
              <w:ind w:left="0"/>
              <w:jc w:val="center"/>
              <w:rPr>
                <w:sz w:val="20"/>
                <w:szCs w:val="20"/>
              </w:rPr>
            </w:pPr>
            <w:r>
              <w:rPr>
                <w:sz w:val="20"/>
                <w:szCs w:val="20"/>
              </w:rPr>
              <w:t>$28.00</w:t>
            </w:r>
          </w:p>
        </w:tc>
        <w:tc>
          <w:tcPr>
            <w:tcW w:w="1673" w:type="dxa"/>
          </w:tcPr>
          <w:p w14:paraId="6264F73A" w14:textId="22434164" w:rsidR="004824FA" w:rsidRPr="00E647FB" w:rsidRDefault="00114B66" w:rsidP="005D6F14">
            <w:pPr>
              <w:ind w:left="0"/>
              <w:jc w:val="center"/>
              <w:rPr>
                <w:sz w:val="20"/>
                <w:szCs w:val="20"/>
              </w:rPr>
            </w:pPr>
            <w:r>
              <w:rPr>
                <w:sz w:val="20"/>
                <w:szCs w:val="20"/>
              </w:rPr>
              <w:t>$560</w:t>
            </w:r>
          </w:p>
        </w:tc>
      </w:tr>
      <w:tr w:rsidR="00E021C2" w:rsidRPr="007B305A" w14:paraId="6272F316" w14:textId="77777777" w:rsidTr="005E2146">
        <w:tc>
          <w:tcPr>
            <w:tcW w:w="4225" w:type="dxa"/>
            <w:tcBorders>
              <w:bottom w:val="single" w:sz="4" w:space="0" w:color="auto"/>
            </w:tcBorders>
          </w:tcPr>
          <w:p w14:paraId="26C7E306" w14:textId="5D5D1394" w:rsidR="00E021C2" w:rsidRDefault="00DF133D" w:rsidP="00CA5840">
            <w:pPr>
              <w:ind w:left="0"/>
              <w:jc w:val="both"/>
              <w:rPr>
                <w:sz w:val="20"/>
                <w:szCs w:val="20"/>
              </w:rPr>
            </w:pPr>
            <w:r>
              <w:rPr>
                <w:sz w:val="20"/>
                <w:szCs w:val="20"/>
              </w:rPr>
              <w:t>ORISE fellow</w:t>
            </w:r>
          </w:p>
          <w:p w14:paraId="715B6DB4" w14:textId="039F8FF9" w:rsidR="00DF133D" w:rsidRPr="00E647FB" w:rsidRDefault="00DF133D" w:rsidP="00CA5840">
            <w:pPr>
              <w:ind w:left="0"/>
              <w:jc w:val="both"/>
              <w:rPr>
                <w:sz w:val="20"/>
                <w:szCs w:val="20"/>
              </w:rPr>
            </w:pPr>
            <w:r w:rsidRPr="00DF133D">
              <w:rPr>
                <w:sz w:val="20"/>
                <w:szCs w:val="20"/>
              </w:rPr>
              <w:t>Instrument development, pilot testing, OMB package preparation, data collection, data analysis and report preparation</w:t>
            </w:r>
          </w:p>
        </w:tc>
        <w:tc>
          <w:tcPr>
            <w:tcW w:w="1778" w:type="dxa"/>
            <w:tcBorders>
              <w:bottom w:val="single" w:sz="4" w:space="0" w:color="auto"/>
            </w:tcBorders>
          </w:tcPr>
          <w:p w14:paraId="5B8C98BC" w14:textId="13D7F885" w:rsidR="00E021C2" w:rsidRPr="00E647FB" w:rsidRDefault="00DF133D" w:rsidP="005D6F14">
            <w:pPr>
              <w:ind w:left="0"/>
              <w:jc w:val="center"/>
              <w:rPr>
                <w:sz w:val="20"/>
                <w:szCs w:val="20"/>
              </w:rPr>
            </w:pPr>
            <w:r>
              <w:rPr>
                <w:sz w:val="20"/>
                <w:szCs w:val="20"/>
              </w:rPr>
              <w:t>20</w:t>
            </w:r>
          </w:p>
        </w:tc>
        <w:tc>
          <w:tcPr>
            <w:tcW w:w="1674" w:type="dxa"/>
            <w:gridSpan w:val="3"/>
            <w:tcBorders>
              <w:bottom w:val="single" w:sz="4" w:space="0" w:color="auto"/>
            </w:tcBorders>
          </w:tcPr>
          <w:p w14:paraId="3BCC585D" w14:textId="09306F59" w:rsidR="00E021C2" w:rsidRPr="00E647FB" w:rsidRDefault="00114B66" w:rsidP="005D6F14">
            <w:pPr>
              <w:ind w:left="0"/>
              <w:jc w:val="center"/>
              <w:rPr>
                <w:sz w:val="20"/>
                <w:szCs w:val="20"/>
              </w:rPr>
            </w:pPr>
            <w:r>
              <w:rPr>
                <w:sz w:val="20"/>
                <w:szCs w:val="20"/>
              </w:rPr>
              <w:t>$28.00</w:t>
            </w:r>
          </w:p>
        </w:tc>
        <w:tc>
          <w:tcPr>
            <w:tcW w:w="1673" w:type="dxa"/>
          </w:tcPr>
          <w:p w14:paraId="2966A920" w14:textId="222C70E4" w:rsidR="00E021C2" w:rsidRPr="00E647FB" w:rsidRDefault="00114B66" w:rsidP="005D6F14">
            <w:pPr>
              <w:ind w:left="0"/>
              <w:jc w:val="center"/>
              <w:rPr>
                <w:sz w:val="20"/>
                <w:szCs w:val="20"/>
              </w:rPr>
            </w:pPr>
            <w:r>
              <w:rPr>
                <w:sz w:val="20"/>
                <w:szCs w:val="20"/>
              </w:rPr>
              <w:t>$560</w:t>
            </w:r>
          </w:p>
        </w:tc>
      </w:tr>
      <w:tr w:rsidR="005D6F14" w:rsidRPr="004841F1" w14:paraId="5A0326B7" w14:textId="77777777" w:rsidTr="005E2146">
        <w:trPr>
          <w:trHeight w:val="332"/>
        </w:trPr>
        <w:tc>
          <w:tcPr>
            <w:tcW w:w="7205" w:type="dxa"/>
            <w:gridSpan w:val="3"/>
            <w:tcBorders>
              <w:right w:val="nil"/>
            </w:tcBorders>
            <w:vAlign w:val="center"/>
          </w:tcPr>
          <w:p w14:paraId="397BC92E"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5CE1B251" w14:textId="77777777" w:rsidR="005D6F14" w:rsidRPr="00E647FB" w:rsidRDefault="005D6F14" w:rsidP="00CA5840">
            <w:pPr>
              <w:ind w:left="0"/>
              <w:rPr>
                <w:b/>
                <w:sz w:val="20"/>
                <w:szCs w:val="20"/>
              </w:rPr>
            </w:pPr>
          </w:p>
        </w:tc>
        <w:tc>
          <w:tcPr>
            <w:tcW w:w="236" w:type="dxa"/>
            <w:tcBorders>
              <w:left w:val="nil"/>
            </w:tcBorders>
            <w:vAlign w:val="center"/>
          </w:tcPr>
          <w:p w14:paraId="5982A7A3" w14:textId="77777777" w:rsidR="005D6F14" w:rsidRPr="00E647FB" w:rsidRDefault="005D6F14" w:rsidP="00CA5840">
            <w:pPr>
              <w:ind w:left="0"/>
              <w:rPr>
                <w:b/>
                <w:sz w:val="20"/>
                <w:szCs w:val="20"/>
              </w:rPr>
            </w:pPr>
          </w:p>
        </w:tc>
        <w:tc>
          <w:tcPr>
            <w:tcW w:w="1673" w:type="dxa"/>
            <w:vAlign w:val="center"/>
          </w:tcPr>
          <w:p w14:paraId="04660CBB" w14:textId="42DF6EFA" w:rsidR="005D6F14" w:rsidRPr="00E647FB" w:rsidRDefault="00EE051B" w:rsidP="005D6F14">
            <w:pPr>
              <w:ind w:left="0"/>
              <w:jc w:val="center"/>
              <w:rPr>
                <w:b/>
                <w:sz w:val="20"/>
                <w:szCs w:val="20"/>
              </w:rPr>
            </w:pPr>
            <w:r>
              <w:rPr>
                <w:b/>
                <w:sz w:val="20"/>
                <w:szCs w:val="20"/>
              </w:rPr>
              <w:t>$5,12</w:t>
            </w:r>
            <w:r w:rsidR="00E71164">
              <w:rPr>
                <w:b/>
                <w:sz w:val="20"/>
                <w:szCs w:val="20"/>
              </w:rPr>
              <w:t>0</w:t>
            </w:r>
          </w:p>
        </w:tc>
      </w:tr>
    </w:tbl>
    <w:p w14:paraId="2F57B419" w14:textId="77777777" w:rsidR="00A7298A" w:rsidRDefault="00A7298A" w:rsidP="00441CC3">
      <w:pPr>
        <w:ind w:left="0"/>
      </w:pPr>
    </w:p>
    <w:p w14:paraId="50EF6E0F" w14:textId="77777777" w:rsidR="00B12F51" w:rsidRPr="00D75750" w:rsidRDefault="00D75750" w:rsidP="00692DEB">
      <w:pPr>
        <w:pStyle w:val="Heading4"/>
      </w:pPr>
      <w:bookmarkStart w:id="20" w:name="_Toc447879476"/>
      <w:r w:rsidRPr="00D75750">
        <w:t>Explanation for Program Changes or Adjustments</w:t>
      </w:r>
      <w:bookmarkEnd w:id="20"/>
    </w:p>
    <w:p w14:paraId="0BBD2873" w14:textId="729D320C" w:rsidR="00A7298A" w:rsidRDefault="003C7C5D" w:rsidP="00692DEB">
      <w:pPr>
        <w:ind w:left="0"/>
      </w:pPr>
      <w:r>
        <w:t xml:space="preserve">This is a new </w:t>
      </w:r>
      <w:r w:rsidR="00157413">
        <w:t>information collection</w:t>
      </w:r>
      <w:r>
        <w:t>.</w:t>
      </w:r>
    </w:p>
    <w:p w14:paraId="0F385EA9" w14:textId="77777777" w:rsidR="00F52BCC" w:rsidRDefault="00F52BCC" w:rsidP="005D6F14"/>
    <w:p w14:paraId="0094429B" w14:textId="77777777" w:rsidR="00B12F51" w:rsidRPr="00EF33CD" w:rsidRDefault="00616090" w:rsidP="00692DEB">
      <w:pPr>
        <w:pStyle w:val="Heading4"/>
      </w:pPr>
      <w:bookmarkStart w:id="21" w:name="_Toc447879477"/>
      <w:r>
        <w:t>Plan</w:t>
      </w:r>
      <w:r w:rsidR="00D75750">
        <w:t>s</w:t>
      </w:r>
      <w:r w:rsidR="00D75750" w:rsidRPr="00D75750">
        <w:t xml:space="preserve"> for Tabulation and Publication and Project Time Schedule</w:t>
      </w:r>
      <w:bookmarkEnd w:id="21"/>
    </w:p>
    <w:p w14:paraId="70715F41" w14:textId="3A34F1F0" w:rsidR="000058E0" w:rsidRDefault="00515EB5" w:rsidP="000058E0">
      <w:pPr>
        <w:ind w:left="0"/>
        <w:rPr>
          <w:rFonts w:cs="Arial"/>
        </w:rPr>
      </w:pPr>
      <w:r>
        <w:rPr>
          <w:rFonts w:cs="Arial"/>
        </w:rPr>
        <w:t>Once the</w:t>
      </w:r>
      <w:r w:rsidR="00AF43AC">
        <w:rPr>
          <w:rFonts w:cs="Arial"/>
        </w:rPr>
        <w:t xml:space="preserve"> 2 week</w:t>
      </w:r>
      <w:r>
        <w:rPr>
          <w:rFonts w:cs="Arial"/>
        </w:rPr>
        <w:t xml:space="preserve"> survey period has closed, </w:t>
      </w:r>
      <w:r w:rsidR="00C230CF">
        <w:rPr>
          <w:rFonts w:cs="Arial"/>
        </w:rPr>
        <w:t>ASTHO will send the de-identified survey data set to CDC for analysis.  All</w:t>
      </w:r>
      <w:r>
        <w:rPr>
          <w:rFonts w:cs="Arial"/>
        </w:rPr>
        <w:t xml:space="preserve"> responses will be</w:t>
      </w:r>
      <w:r w:rsidR="00A132AD">
        <w:rPr>
          <w:rFonts w:cs="Arial"/>
        </w:rPr>
        <w:t xml:space="preserve"> analyzed</w:t>
      </w:r>
      <w:r w:rsidR="00114B66" w:rsidRPr="00E71164">
        <w:rPr>
          <w:rFonts w:cs="Arial"/>
        </w:rPr>
        <w:t xml:space="preserve"> using Microsoft Excel t</w:t>
      </w:r>
      <w:r w:rsidR="001F7CD1">
        <w:rPr>
          <w:rFonts w:cs="Arial"/>
        </w:rPr>
        <w:t xml:space="preserve">o gather descriptive statistics. </w:t>
      </w:r>
      <w:r w:rsidR="00115073">
        <w:t>D</w:t>
      </w:r>
      <w:r w:rsidR="00F079F2" w:rsidRPr="00675CFF">
        <w:t>ata from the participant responses will be stored in a secure database maintained by CDC. Upon completion of data analysis, CDC will</w:t>
      </w:r>
      <w:r w:rsidR="00F079F2">
        <w:t xml:space="preserve"> utilize the de-identified data to draft a</w:t>
      </w:r>
      <w:r w:rsidR="00F079F2" w:rsidRPr="007F2B83">
        <w:t xml:space="preserve"> report </w:t>
      </w:r>
      <w:r w:rsidR="00F079F2">
        <w:t xml:space="preserve">summarizing the results for distribution to </w:t>
      </w:r>
      <w:r w:rsidRPr="00E71164">
        <w:rPr>
          <w:rFonts w:cs="Arial"/>
        </w:rPr>
        <w:t>CDC leadership</w:t>
      </w:r>
      <w:r>
        <w:rPr>
          <w:rFonts w:cs="Arial"/>
        </w:rPr>
        <w:t>,</w:t>
      </w:r>
      <w:r w:rsidRPr="00E71164">
        <w:rPr>
          <w:rFonts w:cs="Arial"/>
        </w:rPr>
        <w:t xml:space="preserve"> </w:t>
      </w:r>
      <w:r w:rsidR="00F079F2">
        <w:t>survey respondents,</w:t>
      </w:r>
      <w:r w:rsidR="0090195E">
        <w:rPr>
          <w:rFonts w:cs="Arial"/>
        </w:rPr>
        <w:t xml:space="preserve"> </w:t>
      </w:r>
      <w:r>
        <w:rPr>
          <w:rFonts w:cs="Arial"/>
        </w:rPr>
        <w:t xml:space="preserve">and various </w:t>
      </w:r>
      <w:r w:rsidR="00E71164" w:rsidRPr="00E71164">
        <w:rPr>
          <w:rFonts w:cs="Arial"/>
        </w:rPr>
        <w:t>CDC stakeholders</w:t>
      </w:r>
      <w:r>
        <w:rPr>
          <w:rFonts w:cs="Arial"/>
        </w:rPr>
        <w:t>. CDC will also explore additional opportunities for</w:t>
      </w:r>
      <w:r w:rsidR="00CE3901">
        <w:rPr>
          <w:rFonts w:cs="Arial"/>
        </w:rPr>
        <w:t xml:space="preserve"> </w:t>
      </w:r>
      <w:r>
        <w:rPr>
          <w:rFonts w:cs="Arial"/>
        </w:rPr>
        <w:t>presenting and publishing information collection findings following completion of the analysis and reporting activity.</w:t>
      </w:r>
    </w:p>
    <w:p w14:paraId="4EDF5FB1" w14:textId="77777777" w:rsidR="00E85F67" w:rsidRPr="005E2146" w:rsidRDefault="00E85F67" w:rsidP="000058E0">
      <w:pPr>
        <w:ind w:left="0"/>
        <w:rPr>
          <w:rFonts w:cs="Arial"/>
        </w:rPr>
      </w:pPr>
    </w:p>
    <w:p w14:paraId="48603A39" w14:textId="133EBE2C" w:rsidR="008C59E7" w:rsidRPr="00BB090C" w:rsidRDefault="008C59E7" w:rsidP="008C59E7">
      <w:pPr>
        <w:ind w:left="0"/>
        <w:rPr>
          <w:rFonts w:cs="Arial"/>
          <w:color w:val="0070C0"/>
        </w:rPr>
      </w:pPr>
      <w:r w:rsidRPr="00BB090C">
        <w:rPr>
          <w:rFonts w:cs="Arial"/>
          <w:u w:val="single"/>
        </w:rPr>
        <w:t>Project Time Schedule</w:t>
      </w:r>
      <w:r w:rsidR="00BB090C">
        <w:rPr>
          <w:rFonts w:cs="Arial"/>
        </w:rPr>
        <w:t xml:space="preserve">  </w:t>
      </w:r>
    </w:p>
    <w:p w14:paraId="2EA66F0E" w14:textId="77777777" w:rsidR="008C59E7" w:rsidRPr="00C8083C" w:rsidRDefault="008C59E7" w:rsidP="008C59E7">
      <w:pPr>
        <w:pStyle w:val="ListParagraph"/>
        <w:numPr>
          <w:ilvl w:val="0"/>
          <w:numId w:val="17"/>
        </w:numPr>
        <w:tabs>
          <w:tab w:val="right" w:leader="dot" w:pos="9360"/>
        </w:tabs>
      </w:pPr>
      <w:r w:rsidRPr="00C8083C">
        <w:rPr>
          <w:rFonts w:eastAsiaTheme="majorEastAsia" w:cstheme="majorBidi"/>
        </w:rPr>
        <w:t xml:space="preserve">Design questionnaire </w:t>
      </w:r>
      <w:r w:rsidRPr="00C8083C">
        <w:tab/>
      </w:r>
      <w:r w:rsidRPr="00C8083C">
        <w:rPr>
          <w:rFonts w:eastAsiaTheme="majorEastAsia" w:cstheme="majorBidi"/>
        </w:rPr>
        <w:t>(COMPLETE)</w:t>
      </w:r>
    </w:p>
    <w:p w14:paraId="41FF3777" w14:textId="77777777" w:rsidR="008C59E7" w:rsidRPr="00C8083C" w:rsidRDefault="008C59E7" w:rsidP="008C59E7">
      <w:pPr>
        <w:pStyle w:val="ListParagraph"/>
        <w:numPr>
          <w:ilvl w:val="0"/>
          <w:numId w:val="18"/>
        </w:numPr>
        <w:tabs>
          <w:tab w:val="right" w:leader="dot" w:pos="9360"/>
        </w:tabs>
      </w:pPr>
      <w:r w:rsidRPr="00C8083C">
        <w:rPr>
          <w:rFonts w:eastAsiaTheme="majorEastAsia" w:cstheme="majorBidi"/>
        </w:rPr>
        <w:t xml:space="preserve">Develop protocol, instructions, and analysis plan </w:t>
      </w:r>
      <w:r w:rsidRPr="00C8083C">
        <w:tab/>
      </w:r>
      <w:r w:rsidRPr="00C8083C">
        <w:rPr>
          <w:rFonts w:eastAsiaTheme="majorEastAsia" w:cstheme="majorBidi"/>
        </w:rPr>
        <w:t>(COMPLETE)</w:t>
      </w:r>
    </w:p>
    <w:p w14:paraId="76FF9FBA" w14:textId="77777777" w:rsidR="008C59E7" w:rsidRPr="00C8083C" w:rsidRDefault="008C59E7" w:rsidP="008C59E7">
      <w:pPr>
        <w:pStyle w:val="ListParagraph"/>
        <w:numPr>
          <w:ilvl w:val="0"/>
          <w:numId w:val="21"/>
        </w:numPr>
        <w:tabs>
          <w:tab w:val="right" w:leader="dot" w:pos="9360"/>
        </w:tabs>
        <w:ind w:left="720"/>
      </w:pPr>
      <w:r w:rsidRPr="00C8083C">
        <w:rPr>
          <w:rFonts w:eastAsiaTheme="majorEastAsia" w:cstheme="majorBidi"/>
        </w:rPr>
        <w:t xml:space="preserve">Pilot test questionnaire </w:t>
      </w:r>
      <w:r w:rsidRPr="00C8083C">
        <w:tab/>
      </w:r>
      <w:r w:rsidRPr="00C8083C">
        <w:rPr>
          <w:rFonts w:eastAsiaTheme="majorEastAsia" w:cstheme="majorBidi"/>
        </w:rPr>
        <w:t>(COMPLETE)</w:t>
      </w:r>
    </w:p>
    <w:p w14:paraId="479F980F" w14:textId="77777777" w:rsidR="008C59E7" w:rsidRPr="00C8083C" w:rsidRDefault="008C59E7" w:rsidP="008C59E7">
      <w:pPr>
        <w:pStyle w:val="ListParagraph"/>
        <w:numPr>
          <w:ilvl w:val="0"/>
          <w:numId w:val="21"/>
        </w:numPr>
        <w:tabs>
          <w:tab w:val="right" w:leader="dot" w:pos="9360"/>
        </w:tabs>
        <w:ind w:left="720"/>
      </w:pPr>
      <w:r w:rsidRPr="00C8083C">
        <w:rPr>
          <w:rFonts w:eastAsiaTheme="majorEastAsia" w:cstheme="majorBidi"/>
        </w:rPr>
        <w:t xml:space="preserve">Prepare OMB package </w:t>
      </w:r>
      <w:r w:rsidRPr="00C8083C">
        <w:tab/>
      </w:r>
      <w:r w:rsidRPr="00C8083C">
        <w:rPr>
          <w:rFonts w:eastAsiaTheme="majorEastAsia" w:cstheme="majorBidi"/>
        </w:rPr>
        <w:t>(COMPLETE)</w:t>
      </w:r>
    </w:p>
    <w:p w14:paraId="50994A18" w14:textId="77777777" w:rsidR="008C59E7" w:rsidRPr="00C8083C" w:rsidRDefault="008C59E7" w:rsidP="008C59E7">
      <w:pPr>
        <w:pStyle w:val="ListParagraph"/>
        <w:numPr>
          <w:ilvl w:val="0"/>
          <w:numId w:val="21"/>
        </w:numPr>
        <w:tabs>
          <w:tab w:val="right" w:leader="dot" w:pos="9360"/>
        </w:tabs>
        <w:ind w:left="720"/>
      </w:pPr>
      <w:r w:rsidRPr="00C8083C">
        <w:rPr>
          <w:rFonts w:eastAsiaTheme="majorEastAsia" w:cstheme="majorBidi"/>
        </w:rPr>
        <w:t xml:space="preserve">Submit OMB package </w:t>
      </w:r>
      <w:r w:rsidRPr="00C8083C">
        <w:tab/>
      </w:r>
      <w:r w:rsidRPr="00C8083C">
        <w:rPr>
          <w:rFonts w:eastAsiaTheme="majorEastAsia" w:cstheme="majorBidi"/>
        </w:rPr>
        <w:t>(COMPLETE)</w:t>
      </w:r>
    </w:p>
    <w:p w14:paraId="23BC61F9" w14:textId="77777777" w:rsidR="008C59E7" w:rsidRPr="00C8083C" w:rsidRDefault="008C59E7" w:rsidP="008C59E7">
      <w:pPr>
        <w:pStyle w:val="ListParagraph"/>
        <w:numPr>
          <w:ilvl w:val="0"/>
          <w:numId w:val="16"/>
        </w:numPr>
        <w:tabs>
          <w:tab w:val="right" w:leader="dot" w:pos="9360"/>
        </w:tabs>
      </w:pPr>
      <w:r w:rsidRPr="00C8083C">
        <w:rPr>
          <w:rFonts w:eastAsiaTheme="majorEastAsia" w:cstheme="majorBidi"/>
        </w:rPr>
        <w:t xml:space="preserve">OMB approval </w:t>
      </w:r>
      <w:r w:rsidRPr="00C8083C">
        <w:tab/>
      </w:r>
      <w:r w:rsidRPr="00C8083C">
        <w:rPr>
          <w:rFonts w:eastAsiaTheme="majorEastAsia" w:cstheme="majorBidi"/>
        </w:rPr>
        <w:t>(TBD)</w:t>
      </w:r>
    </w:p>
    <w:p w14:paraId="0D074C7A" w14:textId="5AD7FDBF" w:rsidR="008C59E7" w:rsidRPr="00C8083C" w:rsidRDefault="008C59E7" w:rsidP="008C59E7">
      <w:pPr>
        <w:pStyle w:val="ListParagraph"/>
        <w:numPr>
          <w:ilvl w:val="0"/>
          <w:numId w:val="16"/>
        </w:numPr>
        <w:tabs>
          <w:tab w:val="right" w:leader="dot" w:pos="9360"/>
        </w:tabs>
      </w:pPr>
      <w:r w:rsidRPr="00C8083C">
        <w:rPr>
          <w:rFonts w:eastAsiaTheme="majorEastAsia" w:cstheme="majorBidi"/>
        </w:rPr>
        <w:t xml:space="preserve">Conduct assessment </w:t>
      </w:r>
      <w:r w:rsidRPr="00C8083C">
        <w:tab/>
      </w:r>
      <w:r w:rsidRPr="00C8083C">
        <w:rPr>
          <w:rFonts w:eastAsiaTheme="majorEastAsia" w:cstheme="majorBidi"/>
        </w:rPr>
        <w:t xml:space="preserve">(Assessment </w:t>
      </w:r>
      <w:r w:rsidR="00490295">
        <w:rPr>
          <w:rFonts w:eastAsiaTheme="majorEastAsia" w:cstheme="majorBidi"/>
        </w:rPr>
        <w:t>open 2</w:t>
      </w:r>
      <w:r w:rsidRPr="00C8083C">
        <w:rPr>
          <w:rFonts w:eastAsiaTheme="majorEastAsia" w:cstheme="majorBidi"/>
        </w:rPr>
        <w:t xml:space="preserve"> weeks)</w:t>
      </w:r>
    </w:p>
    <w:p w14:paraId="6C0D8E94" w14:textId="77777777" w:rsidR="008C59E7" w:rsidRPr="00C8083C" w:rsidRDefault="008C59E7" w:rsidP="008C59E7">
      <w:pPr>
        <w:pStyle w:val="ListParagraph"/>
        <w:numPr>
          <w:ilvl w:val="0"/>
          <w:numId w:val="16"/>
        </w:numPr>
        <w:tabs>
          <w:tab w:val="right" w:leader="dot" w:pos="9360"/>
        </w:tabs>
      </w:pPr>
      <w:r w:rsidRPr="00C8083C">
        <w:rPr>
          <w:rFonts w:eastAsiaTheme="majorEastAsia" w:cstheme="majorBidi"/>
        </w:rPr>
        <w:t>Code, quality control, and analyze data</w:t>
      </w:r>
      <w:r w:rsidRPr="00C8083C">
        <w:rPr>
          <w:rFonts w:cs="Arial"/>
        </w:rPr>
        <w:tab/>
      </w:r>
      <w:r w:rsidRPr="00C8083C">
        <w:rPr>
          <w:rFonts w:eastAsiaTheme="majorEastAsia" w:cstheme="majorBidi"/>
        </w:rPr>
        <w:t>(4 weeks)</w:t>
      </w:r>
    </w:p>
    <w:p w14:paraId="5F23AEB0" w14:textId="77777777" w:rsidR="008C59E7" w:rsidRPr="00C8083C" w:rsidRDefault="008C59E7" w:rsidP="008C59E7">
      <w:pPr>
        <w:pStyle w:val="ListParagraph"/>
        <w:numPr>
          <w:ilvl w:val="0"/>
          <w:numId w:val="16"/>
        </w:numPr>
        <w:tabs>
          <w:tab w:val="right" w:leader="dot" w:pos="9360"/>
        </w:tabs>
      </w:pPr>
      <w:r w:rsidRPr="00C8083C">
        <w:rPr>
          <w:rFonts w:eastAsiaTheme="majorEastAsia" w:cstheme="majorBidi"/>
        </w:rPr>
        <w:t xml:space="preserve">Prepare reports </w:t>
      </w:r>
      <w:r w:rsidRPr="00C8083C">
        <w:tab/>
      </w:r>
      <w:r w:rsidRPr="00C8083C">
        <w:rPr>
          <w:rFonts w:eastAsiaTheme="majorEastAsia" w:cstheme="majorBidi"/>
        </w:rPr>
        <w:t>(4 weeks)</w:t>
      </w:r>
    </w:p>
    <w:p w14:paraId="76F17791" w14:textId="003C43A4" w:rsidR="008C59E7" w:rsidRPr="00C8083C" w:rsidRDefault="008C59E7" w:rsidP="008C59E7">
      <w:pPr>
        <w:pStyle w:val="ListParagraph"/>
        <w:numPr>
          <w:ilvl w:val="0"/>
          <w:numId w:val="16"/>
        </w:numPr>
        <w:tabs>
          <w:tab w:val="right" w:leader="dot" w:pos="9360"/>
        </w:tabs>
      </w:pPr>
      <w:r w:rsidRPr="00C8083C">
        <w:rPr>
          <w:rFonts w:eastAsiaTheme="majorEastAsia" w:cstheme="majorBidi"/>
        </w:rPr>
        <w:t xml:space="preserve">Disseminate results/reports </w:t>
      </w:r>
      <w:r w:rsidRPr="00C8083C">
        <w:tab/>
      </w:r>
      <w:r w:rsidRPr="00C8083C">
        <w:rPr>
          <w:rFonts w:eastAsiaTheme="majorEastAsia" w:cstheme="majorBidi"/>
        </w:rPr>
        <w:t>(4 weeks)</w:t>
      </w:r>
    </w:p>
    <w:p w14:paraId="48FF6C49" w14:textId="77777777" w:rsidR="00A7298A" w:rsidRDefault="00A7298A" w:rsidP="005D6F14"/>
    <w:p w14:paraId="0DFF3FE7" w14:textId="77777777" w:rsidR="00B12F51" w:rsidRPr="00D75750" w:rsidRDefault="00D75750" w:rsidP="00692DEB">
      <w:pPr>
        <w:pStyle w:val="Heading4"/>
      </w:pPr>
      <w:bookmarkStart w:id="22" w:name="_Toc447879478"/>
      <w:r w:rsidRPr="00D75750">
        <w:t xml:space="preserve">Reason(s) Display of OMB Expiration </w:t>
      </w:r>
      <w:r>
        <w:t xml:space="preserve">Date </w:t>
      </w:r>
      <w:r w:rsidRPr="00D75750">
        <w:t>is Inappropriate</w:t>
      </w:r>
      <w:bookmarkEnd w:id="22"/>
    </w:p>
    <w:p w14:paraId="14433752" w14:textId="77777777" w:rsidR="00F52BCC" w:rsidRDefault="00180D45" w:rsidP="00692DEB">
      <w:pPr>
        <w:ind w:left="0"/>
      </w:pPr>
      <w:r>
        <w:t>We are requesting no exemption.</w:t>
      </w:r>
    </w:p>
    <w:p w14:paraId="71ADF351" w14:textId="363FF77D" w:rsidR="00F52BCC" w:rsidRDefault="00F52BCC" w:rsidP="005D6F14"/>
    <w:p w14:paraId="1076BD11" w14:textId="77777777" w:rsidR="00E85F67" w:rsidRDefault="00E85F67" w:rsidP="005D6F14"/>
    <w:p w14:paraId="395C62E9" w14:textId="77777777" w:rsidR="00B12F51" w:rsidRPr="00D26A64" w:rsidRDefault="00B12F51" w:rsidP="00692DEB">
      <w:pPr>
        <w:pStyle w:val="Heading4"/>
      </w:pPr>
      <w:bookmarkStart w:id="23" w:name="_Toc447879479"/>
      <w:r w:rsidRPr="00D26A64">
        <w:lastRenderedPageBreak/>
        <w:t>Exceptions to Certification for Paperwork Reduction Act Submissions</w:t>
      </w:r>
      <w:bookmarkEnd w:id="23"/>
    </w:p>
    <w:p w14:paraId="284B617C" w14:textId="77777777" w:rsidR="00F52BCC" w:rsidRDefault="0031279F" w:rsidP="00692DEB">
      <w:pPr>
        <w:ind w:left="0"/>
      </w:pPr>
      <w:r>
        <w:t>There are no exceptions to the certification.</w:t>
      </w:r>
      <w:r w:rsidR="00180D45">
        <w:t xml:space="preserve">  These activities comply with the requirements in 5 CFR 1320.9.</w:t>
      </w:r>
    </w:p>
    <w:p w14:paraId="6EE7878B" w14:textId="77777777" w:rsidR="00385BB5" w:rsidRDefault="00385BB5" w:rsidP="008C59E7">
      <w:pPr>
        <w:ind w:left="0"/>
      </w:pPr>
    </w:p>
    <w:p w14:paraId="4347D3DC" w14:textId="77777777" w:rsidR="00D1343B" w:rsidRDefault="00D1343B" w:rsidP="008C59E7">
      <w:pPr>
        <w:ind w:left="0"/>
      </w:pPr>
    </w:p>
    <w:p w14:paraId="35977C35" w14:textId="77777777" w:rsidR="00A36419" w:rsidRDefault="00A36419" w:rsidP="008C59E7">
      <w:pPr>
        <w:pStyle w:val="Heading3"/>
        <w:ind w:left="0"/>
      </w:pPr>
      <w:bookmarkStart w:id="24" w:name="_Toc447879480"/>
      <w:r>
        <w:t>LIST OF ATTACHMENTS</w:t>
      </w:r>
      <w:r w:rsidR="00A33E90">
        <w:t xml:space="preserve"> – Section A</w:t>
      </w:r>
      <w:bookmarkEnd w:id="24"/>
    </w:p>
    <w:p w14:paraId="0F84DC91" w14:textId="77777777" w:rsidR="000058E0" w:rsidRDefault="000058E0" w:rsidP="008C59E7">
      <w:pPr>
        <w:ind w:left="0"/>
      </w:pPr>
      <w:r w:rsidRPr="00711BFA">
        <w:t>Note: Attachments are included as separate files as instructed.</w:t>
      </w:r>
    </w:p>
    <w:p w14:paraId="641AC0F3" w14:textId="6E182954" w:rsidR="002841A7" w:rsidRPr="004A5260" w:rsidRDefault="00BB17B5" w:rsidP="00E647FB">
      <w:pPr>
        <w:pStyle w:val="ListParagraph"/>
        <w:numPr>
          <w:ilvl w:val="0"/>
          <w:numId w:val="26"/>
        </w:numPr>
        <w:tabs>
          <w:tab w:val="clear" w:pos="9360"/>
        </w:tabs>
        <w:spacing w:line="240" w:lineRule="auto"/>
        <w:ind w:left="720"/>
        <w:rPr>
          <w:b/>
        </w:rPr>
      </w:pPr>
      <w:r w:rsidRPr="004A5260">
        <w:rPr>
          <w:b/>
        </w:rPr>
        <w:t xml:space="preserve">Attachment A- </w:t>
      </w:r>
      <w:r w:rsidR="002841A7" w:rsidRPr="004A5260">
        <w:rPr>
          <w:b/>
        </w:rPr>
        <w:t>Sendai Framework for Disaster Risk Reduction 2015-2030</w:t>
      </w:r>
    </w:p>
    <w:p w14:paraId="7CEA58BC" w14:textId="021EBA7F" w:rsidR="00E647FB" w:rsidRPr="004A5260" w:rsidRDefault="00BB17B5" w:rsidP="00E647FB">
      <w:pPr>
        <w:pStyle w:val="ListParagraph"/>
        <w:numPr>
          <w:ilvl w:val="0"/>
          <w:numId w:val="26"/>
        </w:numPr>
        <w:tabs>
          <w:tab w:val="clear" w:pos="9360"/>
        </w:tabs>
        <w:spacing w:line="240" w:lineRule="auto"/>
        <w:ind w:left="720"/>
        <w:rPr>
          <w:b/>
        </w:rPr>
      </w:pPr>
      <w:r w:rsidRPr="004A5260">
        <w:rPr>
          <w:b/>
        </w:rPr>
        <w:t xml:space="preserve">Attachment B- </w:t>
      </w:r>
      <w:r w:rsidR="00E647FB" w:rsidRPr="004A5260">
        <w:rPr>
          <w:b/>
        </w:rPr>
        <w:t>Instrument: Word version</w:t>
      </w:r>
    </w:p>
    <w:p w14:paraId="455B0E05" w14:textId="505B613B" w:rsidR="00E647FB" w:rsidRPr="004A5260" w:rsidRDefault="00BB17B5" w:rsidP="00E647FB">
      <w:pPr>
        <w:pStyle w:val="ListParagraph"/>
        <w:numPr>
          <w:ilvl w:val="0"/>
          <w:numId w:val="26"/>
        </w:numPr>
        <w:tabs>
          <w:tab w:val="clear" w:pos="9360"/>
        </w:tabs>
        <w:spacing w:line="240" w:lineRule="auto"/>
        <w:ind w:left="720"/>
        <w:rPr>
          <w:b/>
        </w:rPr>
      </w:pPr>
      <w:r w:rsidRPr="004A5260">
        <w:rPr>
          <w:b/>
        </w:rPr>
        <w:t xml:space="preserve">Attachment C- </w:t>
      </w:r>
      <w:r w:rsidR="00E647FB" w:rsidRPr="004A5260">
        <w:rPr>
          <w:b/>
        </w:rPr>
        <w:t>Instrument</w:t>
      </w:r>
      <w:r w:rsidRPr="004A5260">
        <w:rPr>
          <w:b/>
        </w:rPr>
        <w:t>:</w:t>
      </w:r>
      <w:r w:rsidR="00E647FB" w:rsidRPr="004A5260">
        <w:rPr>
          <w:b/>
        </w:rPr>
        <w:t xml:space="preserve"> Web version</w:t>
      </w:r>
    </w:p>
    <w:p w14:paraId="5135BB0B" w14:textId="77777777" w:rsidR="000E6577" w:rsidRDefault="000E6577" w:rsidP="005D6F14"/>
    <w:p w14:paraId="15557E0C" w14:textId="77777777" w:rsidR="00CC7188" w:rsidRDefault="00CC7188" w:rsidP="005D6F14"/>
    <w:p w14:paraId="0BD15F2A" w14:textId="77777777" w:rsidR="00CC7188" w:rsidRDefault="00CC7188" w:rsidP="003860A5">
      <w:pPr>
        <w:pStyle w:val="Heading3"/>
        <w:ind w:left="0"/>
      </w:pPr>
      <w:bookmarkStart w:id="25" w:name="_Toc447879481"/>
      <w:r w:rsidRPr="00CC7188">
        <w:t>REFERENCE LIST</w:t>
      </w:r>
      <w:bookmarkEnd w:id="25"/>
      <w:r w:rsidRPr="00CC7188">
        <w:t xml:space="preserve"> </w:t>
      </w:r>
    </w:p>
    <w:p w14:paraId="5DEFD7A1" w14:textId="1116337A" w:rsidR="00580D87" w:rsidRDefault="00580D87" w:rsidP="00BB17B5">
      <w:pPr>
        <w:pStyle w:val="ListParagraph"/>
        <w:numPr>
          <w:ilvl w:val="0"/>
          <w:numId w:val="39"/>
        </w:numPr>
        <w:tabs>
          <w:tab w:val="clear" w:pos="9360"/>
        </w:tabs>
        <w:spacing w:line="240" w:lineRule="auto"/>
      </w:pPr>
      <w:r w:rsidRPr="00580D87">
        <w:t>Centers for Disease Control and Prevention (CDC). "National Public Health Performance Standards Program (NPHPSP): 10 Essential Public Health Services." Available at http://www.cdc.gov/nphpsp/essentialservices.html. Accessed on 8/14/14.</w:t>
      </w:r>
    </w:p>
    <w:p w14:paraId="1ABE681C" w14:textId="05D317C1" w:rsidR="008E0ECF" w:rsidRDefault="00580D87" w:rsidP="00BB17B5">
      <w:pPr>
        <w:pStyle w:val="ListParagraph"/>
        <w:numPr>
          <w:ilvl w:val="0"/>
          <w:numId w:val="39"/>
        </w:numPr>
        <w:tabs>
          <w:tab w:val="clear" w:pos="9360"/>
        </w:tabs>
        <w:spacing w:line="240" w:lineRule="auto"/>
      </w:pPr>
      <w:r w:rsidRPr="00580D87">
        <w:t xml:space="preserve">EM-dat Guha-Sapir, D., Below, R., &amp; Hoyois Ph. (n.d.) EM-DAT: International Disaster Database [Data set]. </w:t>
      </w:r>
      <w:hyperlink r:id="rId14" w:history="1">
        <w:r w:rsidRPr="0094668C">
          <w:rPr>
            <w:rStyle w:val="Hyperlink"/>
          </w:rPr>
          <w:t>www.emdat.be</w:t>
        </w:r>
      </w:hyperlink>
    </w:p>
    <w:p w14:paraId="15ACC421" w14:textId="53D5D2C6" w:rsidR="008E0ECF" w:rsidRDefault="00380324" w:rsidP="00BB17B5">
      <w:pPr>
        <w:pStyle w:val="ListParagraph"/>
        <w:numPr>
          <w:ilvl w:val="0"/>
          <w:numId w:val="39"/>
        </w:numPr>
        <w:tabs>
          <w:tab w:val="clear" w:pos="9360"/>
        </w:tabs>
        <w:spacing w:line="240" w:lineRule="auto"/>
      </w:pPr>
      <w:hyperlink r:id="rId15" w:history="1">
        <w:r w:rsidR="008E0ECF" w:rsidRPr="00A754B2">
          <w:rPr>
            <w:rStyle w:val="Hyperlink"/>
          </w:rPr>
          <w:t>http://news.nationalgeographic.com/news/2004/12/1227_041226_tsunami_2.html</w:t>
        </w:r>
      </w:hyperlink>
      <w:r w:rsidR="00334C41">
        <w:t>. A</w:t>
      </w:r>
      <w:r w:rsidR="008E0ECF">
        <w:t xml:space="preserve">ccessed on </w:t>
      </w:r>
      <w:r w:rsidR="00692B13">
        <w:t>2/03/16.</w:t>
      </w:r>
    </w:p>
    <w:p w14:paraId="1ED4CE3F" w14:textId="561CC5EE" w:rsidR="00334C41" w:rsidRDefault="00380324" w:rsidP="00BB17B5">
      <w:pPr>
        <w:pStyle w:val="ListParagraph"/>
        <w:numPr>
          <w:ilvl w:val="0"/>
          <w:numId w:val="39"/>
        </w:numPr>
        <w:tabs>
          <w:tab w:val="clear" w:pos="9360"/>
        </w:tabs>
        <w:spacing w:line="240" w:lineRule="auto"/>
      </w:pPr>
      <w:hyperlink r:id="rId16" w:history="1">
        <w:r w:rsidR="00334C41" w:rsidRPr="0094668C">
          <w:rPr>
            <w:rStyle w:val="Hyperlink"/>
          </w:rPr>
          <w:t>https://en.wikipedia.org/wiki/2004_Indian_Ocean_earthquake_and_tsunami</w:t>
        </w:r>
      </w:hyperlink>
      <w:r w:rsidR="00334C41">
        <w:t xml:space="preserve">. Accessed on </w:t>
      </w:r>
      <w:r w:rsidR="00692B13">
        <w:t>2/03/16</w:t>
      </w:r>
      <w:r w:rsidR="00334C41">
        <w:t xml:space="preserve">. </w:t>
      </w:r>
    </w:p>
    <w:p w14:paraId="4B8EE67E" w14:textId="0BFBA05A" w:rsidR="004E7F9E" w:rsidRDefault="009F191E" w:rsidP="00BB17B5">
      <w:pPr>
        <w:pStyle w:val="ListParagraph"/>
        <w:numPr>
          <w:ilvl w:val="0"/>
          <w:numId w:val="39"/>
        </w:numPr>
        <w:tabs>
          <w:tab w:val="clear" w:pos="9360"/>
        </w:tabs>
        <w:spacing w:line="240" w:lineRule="auto"/>
      </w:pPr>
      <w:r>
        <w:t>Keim</w:t>
      </w:r>
      <w:r w:rsidR="005F41C1">
        <w:t>, M. (201</w:t>
      </w:r>
      <w:r w:rsidR="004E7F9E">
        <w:t>2</w:t>
      </w:r>
      <w:r w:rsidR="005F41C1">
        <w:t xml:space="preserve">). Disaster risk management for health. </w:t>
      </w:r>
      <w:r w:rsidR="004E7F9E" w:rsidRPr="004E7F9E">
        <w:t>In Ed., David S. Textbook of Emergency Medicine.Wolters Kluwer Health (Lippincott, Williams and Wilkins). Delhi, India</w:t>
      </w:r>
    </w:p>
    <w:p w14:paraId="7DE17C8C" w14:textId="442D51A1" w:rsidR="00A369C2" w:rsidRDefault="00A53320" w:rsidP="00BB17B5">
      <w:pPr>
        <w:pStyle w:val="ListParagraph"/>
        <w:numPr>
          <w:ilvl w:val="0"/>
          <w:numId w:val="39"/>
        </w:numPr>
        <w:tabs>
          <w:tab w:val="clear" w:pos="9360"/>
        </w:tabs>
        <w:spacing w:line="240" w:lineRule="auto"/>
      </w:pPr>
      <w:r w:rsidRPr="00A53320">
        <w:t>Aitsi-Selmi, A. &amp; Murray, V. (2015). The Sendai framework: Disaster risk reduction through a health lens. Bulletin of World Health Organizations, 93 (362).</w:t>
      </w:r>
      <w:r w:rsidR="00E909A5">
        <w:t xml:space="preserve"> </w:t>
      </w:r>
    </w:p>
    <w:p w14:paraId="48C21BDA" w14:textId="4E73F022" w:rsidR="00A369C2" w:rsidRPr="00A369C2" w:rsidRDefault="00A369C2" w:rsidP="00BB17B5">
      <w:pPr>
        <w:pStyle w:val="ListParagraph"/>
        <w:numPr>
          <w:ilvl w:val="0"/>
          <w:numId w:val="39"/>
        </w:numPr>
        <w:tabs>
          <w:tab w:val="clear" w:pos="9360"/>
        </w:tabs>
        <w:spacing w:line="240" w:lineRule="auto"/>
      </w:pPr>
      <w:r w:rsidRPr="00A369C2">
        <w:t>UN Special Representative of the Secretary‐General for Disaster Risk Reduction. Proposed elements for consideration in the post‐2015 framework for disaster risk reduction. Geneva: United Nations Office for Disaster Risk Reduction; 2013. Available from: http://www.preventionweb.net/files/35888_srsgelements.pdf [cited 2015 Feb 28].</w:t>
      </w:r>
    </w:p>
    <w:p w14:paraId="380DB2A5" w14:textId="77777777" w:rsidR="007F6264" w:rsidRDefault="00475F91" w:rsidP="00BB17B5">
      <w:pPr>
        <w:pStyle w:val="ListParagraph"/>
        <w:numPr>
          <w:ilvl w:val="0"/>
          <w:numId w:val="39"/>
        </w:numPr>
        <w:tabs>
          <w:tab w:val="clear" w:pos="9360"/>
        </w:tabs>
        <w:spacing w:line="240" w:lineRule="auto"/>
      </w:pPr>
      <w:r w:rsidRPr="00475F91">
        <w:t xml:space="preserve">Kelman, I. (2014). Disaster mitigation is cost effective. Retrieved from World Bank: </w:t>
      </w:r>
      <w:hyperlink r:id="rId17" w:history="1">
        <w:r w:rsidR="007F6264" w:rsidRPr="0094668C">
          <w:rPr>
            <w:rStyle w:val="Hyperlink"/>
          </w:rPr>
          <w:t>http://siteresources.worldbank.org/EXTNWDR2013/Resources/8258024-1352909193861/8936935-1356011448215/8986901-1380568255405/WDR14_bp_Disaster_Mitigation_is_Cost_Effective_Kelman.pdf</w:t>
        </w:r>
      </w:hyperlink>
    </w:p>
    <w:p w14:paraId="74E527F6" w14:textId="008B232F" w:rsidR="007F6264" w:rsidRPr="007F6264" w:rsidRDefault="007F6264" w:rsidP="00BB17B5">
      <w:pPr>
        <w:pStyle w:val="ListParagraph"/>
        <w:numPr>
          <w:ilvl w:val="0"/>
          <w:numId w:val="39"/>
        </w:numPr>
        <w:tabs>
          <w:tab w:val="clear" w:pos="9360"/>
        </w:tabs>
        <w:spacing w:line="240" w:lineRule="auto"/>
      </w:pPr>
      <w:r w:rsidRPr="007F6264">
        <w:t>Rose, A., Porter, K., Dash, N., Bouabid, J., Huyck, C., Whitehead, J., Shaw, D., Eguchi, R., Taylor, C., McLane, T., Tobin, L.T., Ganderton, P.T., Godschalk, D., Kiremidjian, A.S., Tierney, K., &amp; West, C.T. (2007). Benefit-cost analysis of FEMA Hazard mitigation grants. Natural hazards review.</w:t>
      </w:r>
    </w:p>
    <w:p w14:paraId="1FE15ADB" w14:textId="77777777" w:rsidR="00D672C8" w:rsidRDefault="00C70F91" w:rsidP="00BB17B5">
      <w:pPr>
        <w:pStyle w:val="ListParagraph"/>
        <w:numPr>
          <w:ilvl w:val="0"/>
          <w:numId w:val="39"/>
        </w:numPr>
        <w:tabs>
          <w:tab w:val="clear" w:pos="9360"/>
        </w:tabs>
        <w:spacing w:line="240" w:lineRule="auto"/>
      </w:pPr>
      <w:r w:rsidRPr="00C70F91">
        <w:t>Sendai framework for disaster risk reduction 2015-2030. In: UN world conference on disaster risk reduction, 2015 March 14-18, Sendai, Japan. Geneva: United Nations Office for Disaster Risk Reduction; 2015.</w:t>
      </w:r>
    </w:p>
    <w:p w14:paraId="2B03E7A0" w14:textId="4D47F422" w:rsidR="00D672C8" w:rsidRPr="00D672C8" w:rsidRDefault="00D672C8" w:rsidP="00BB17B5">
      <w:pPr>
        <w:pStyle w:val="ListParagraph"/>
        <w:numPr>
          <w:ilvl w:val="0"/>
          <w:numId w:val="39"/>
        </w:numPr>
        <w:tabs>
          <w:tab w:val="clear" w:pos="9360"/>
        </w:tabs>
        <w:spacing w:line="240" w:lineRule="auto"/>
      </w:pPr>
      <w:r>
        <w:lastRenderedPageBreak/>
        <w:t xml:space="preserve">Guidelines National Platforms for Disaster </w:t>
      </w:r>
      <w:r w:rsidR="00BB17B5">
        <w:t xml:space="preserve">Risk Reduction.  Retrieved from </w:t>
      </w:r>
      <w:hyperlink r:id="rId18" w:history="1">
        <w:r w:rsidRPr="008F5ED0">
          <w:rPr>
            <w:rStyle w:val="Hyperlink"/>
          </w:rPr>
          <w:t>http://www.unisdr.org/files/601_engguidelinesnpdrr.pdf</w:t>
        </w:r>
      </w:hyperlink>
      <w:r>
        <w:t xml:space="preserve">.  </w:t>
      </w:r>
      <w:r w:rsidRPr="00D672C8">
        <w:t xml:space="preserve"> </w:t>
      </w:r>
    </w:p>
    <w:p w14:paraId="2C775278" w14:textId="137F3EB7" w:rsidR="00DA5BD9" w:rsidRDefault="00C70F91" w:rsidP="00BB17B5">
      <w:pPr>
        <w:pStyle w:val="ListParagraph"/>
        <w:numPr>
          <w:ilvl w:val="0"/>
          <w:numId w:val="39"/>
        </w:numPr>
        <w:tabs>
          <w:tab w:val="clear" w:pos="9360"/>
        </w:tabs>
        <w:spacing w:line="240" w:lineRule="auto"/>
      </w:pPr>
      <w:r w:rsidRPr="00C70F91">
        <w:t>http://www.unisdr.org/partners/countries/usa.  Accessed 2/16/16.</w:t>
      </w:r>
    </w:p>
    <w:p w14:paraId="4AD10015" w14:textId="7C19922C" w:rsidR="00F35E62" w:rsidRDefault="00F35E62" w:rsidP="00BB17B5">
      <w:pPr>
        <w:pStyle w:val="ListParagraph"/>
        <w:numPr>
          <w:ilvl w:val="0"/>
          <w:numId w:val="39"/>
        </w:numPr>
        <w:tabs>
          <w:tab w:val="clear" w:pos="9360"/>
        </w:tabs>
        <w:spacing w:line="240" w:lineRule="auto"/>
      </w:pPr>
      <w:r>
        <w:t>W</w:t>
      </w:r>
      <w:r w:rsidR="006A32DF">
        <w:t xml:space="preserve">orld </w:t>
      </w:r>
      <w:r>
        <w:t>H</w:t>
      </w:r>
      <w:r w:rsidR="006A32DF">
        <w:t xml:space="preserve">eath </w:t>
      </w:r>
      <w:r>
        <w:t>O</w:t>
      </w:r>
      <w:r w:rsidR="006A32DF">
        <w:t>rganization. (2011).</w:t>
      </w:r>
      <w:r w:rsidR="00C85236">
        <w:t xml:space="preserve"> Disaster risk management</w:t>
      </w:r>
      <w:r>
        <w:t xml:space="preserve"> for health overview</w:t>
      </w:r>
      <w:r w:rsidR="00C85236">
        <w:t xml:space="preserve">. Retrieved from </w:t>
      </w:r>
      <w:hyperlink r:id="rId19" w:history="1">
        <w:r w:rsidR="00C85236" w:rsidRPr="007D26D6">
          <w:rPr>
            <w:rStyle w:val="Hyperlink"/>
          </w:rPr>
          <w:t>http://www.who.int/hac/techguidance/preparedness/en/</w:t>
        </w:r>
      </w:hyperlink>
      <w:r w:rsidR="00C85236">
        <w:t xml:space="preserve">. </w:t>
      </w:r>
    </w:p>
    <w:p w14:paraId="0A59ECA6" w14:textId="3DBF1694" w:rsidR="00C921DA" w:rsidRDefault="00C85236" w:rsidP="00BB17B5">
      <w:pPr>
        <w:pStyle w:val="ListParagraph"/>
        <w:numPr>
          <w:ilvl w:val="0"/>
          <w:numId w:val="39"/>
        </w:numPr>
        <w:tabs>
          <w:tab w:val="clear" w:pos="9360"/>
        </w:tabs>
        <w:spacing w:line="240" w:lineRule="auto"/>
      </w:pPr>
      <w:r>
        <w:t xml:space="preserve">Moore, M., Chandra, A., Feeney, K.C. (2013). Building community resilience: What can the United States learn from experiences in other countries? </w:t>
      </w:r>
      <w:r w:rsidRPr="00BB17B5">
        <w:rPr>
          <w:i/>
        </w:rPr>
        <w:t xml:space="preserve">Disaster Medicine and Public Health Preparedness, </w:t>
      </w:r>
      <w:r>
        <w:t xml:space="preserve">7(3). </w:t>
      </w:r>
      <w:hyperlink r:id="rId20" w:history="1">
        <w:r w:rsidR="00455749" w:rsidRPr="00171260">
          <w:rPr>
            <w:rStyle w:val="Hyperlink"/>
          </w:rPr>
          <w:t>http://www.unisdr.org/we/coordinate/hfa-post2015</w:t>
        </w:r>
      </w:hyperlink>
    </w:p>
    <w:p w14:paraId="1B877FE3" w14:textId="4649C3F6" w:rsidR="00455749" w:rsidRDefault="00455749" w:rsidP="00A369C2">
      <w:pPr>
        <w:pStyle w:val="Heading4"/>
        <w:numPr>
          <w:ilvl w:val="0"/>
          <w:numId w:val="0"/>
        </w:numPr>
        <w:ind w:left="360" w:hanging="360"/>
      </w:pPr>
    </w:p>
    <w:p w14:paraId="534B6B12" w14:textId="77777777" w:rsidR="00A369C2" w:rsidRDefault="00A369C2" w:rsidP="00A369C2"/>
    <w:sectPr w:rsidR="00A369C2" w:rsidSect="00385BB5">
      <w:headerReference w:type="default" r:id="rId21"/>
      <w:footerReference w:type="defaul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7A626" w14:textId="77777777" w:rsidR="0050466F" w:rsidRDefault="0050466F" w:rsidP="007D6163">
      <w:r>
        <w:separator/>
      </w:r>
    </w:p>
    <w:p w14:paraId="27CDE82E" w14:textId="77777777" w:rsidR="0050466F" w:rsidRDefault="0050466F" w:rsidP="007D6163"/>
  </w:endnote>
  <w:endnote w:type="continuationSeparator" w:id="0">
    <w:p w14:paraId="3C9D5F16" w14:textId="77777777" w:rsidR="0050466F" w:rsidRDefault="0050466F" w:rsidP="007D6163">
      <w:r>
        <w:continuationSeparator/>
      </w:r>
    </w:p>
    <w:p w14:paraId="7C55950C" w14:textId="77777777" w:rsidR="0050466F" w:rsidRDefault="0050466F"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62C73BB5" w14:textId="77777777" w:rsidR="00BF06C1" w:rsidRDefault="00BF06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8032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80324">
              <w:rPr>
                <w:b/>
                <w:bCs/>
                <w:noProof/>
              </w:rPr>
              <w:t>13</w:t>
            </w:r>
            <w:r>
              <w:rPr>
                <w:b/>
                <w:bCs/>
                <w:sz w:val="24"/>
                <w:szCs w:val="24"/>
              </w:rPr>
              <w:fldChar w:fldCharType="end"/>
            </w:r>
          </w:p>
        </w:sdtContent>
      </w:sdt>
    </w:sdtContent>
  </w:sdt>
  <w:p w14:paraId="104A6932" w14:textId="77777777" w:rsidR="00BF06C1" w:rsidRDefault="00BF06C1" w:rsidP="00C20572">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3288A" w14:textId="77777777" w:rsidR="0050466F" w:rsidRDefault="0050466F" w:rsidP="007D6163">
      <w:r>
        <w:separator/>
      </w:r>
    </w:p>
    <w:p w14:paraId="1AA71046" w14:textId="77777777" w:rsidR="0050466F" w:rsidRDefault="0050466F" w:rsidP="007D6163"/>
  </w:footnote>
  <w:footnote w:type="continuationSeparator" w:id="0">
    <w:p w14:paraId="1AAB93F1" w14:textId="77777777" w:rsidR="0050466F" w:rsidRDefault="0050466F" w:rsidP="007D6163">
      <w:r>
        <w:continuationSeparator/>
      </w:r>
    </w:p>
    <w:p w14:paraId="43575446" w14:textId="77777777" w:rsidR="0050466F" w:rsidRDefault="0050466F"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4CE13" w14:textId="77777777" w:rsidR="00BF06C1" w:rsidRPr="00716F94" w:rsidRDefault="00BF06C1" w:rsidP="007D6163">
    <w:pPr>
      <w:pStyle w:val="Header"/>
      <w:rPr>
        <w:color w:val="0033CC"/>
      </w:rPr>
    </w:pPr>
    <w:r>
      <w:tab/>
    </w:r>
  </w:p>
  <w:p w14:paraId="1B828380" w14:textId="77777777" w:rsidR="00BF06C1" w:rsidRDefault="00BF06C1"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24B4D"/>
    <w:multiLevelType w:val="hybridMultilevel"/>
    <w:tmpl w:val="3D86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2B6D84"/>
    <w:multiLevelType w:val="hybridMultilevel"/>
    <w:tmpl w:val="66DA36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457D0"/>
    <w:multiLevelType w:val="hybridMultilevel"/>
    <w:tmpl w:val="87066F3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394A4B0E"/>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B9A69084">
      <w:start w:val="1"/>
      <w:numFmt w:val="decimal"/>
      <w:lvlText w:val="%3."/>
      <w:lvlJc w:val="left"/>
      <w:pPr>
        <w:ind w:left="270" w:hanging="180"/>
      </w:pPr>
      <w:rPr>
        <w:rFonts w:asciiTheme="majorHAnsi" w:eastAsiaTheme="minorEastAsia" w:hAnsiTheme="majorHAnsi" w:cstheme="minorBidi"/>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52706162"/>
    <w:multiLevelType w:val="hybridMultilevel"/>
    <w:tmpl w:val="32F2EA3E"/>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D1896"/>
    <w:multiLevelType w:val="hybridMultilevel"/>
    <w:tmpl w:val="27AC7E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1666D"/>
    <w:multiLevelType w:val="hybridMultilevel"/>
    <w:tmpl w:val="B64E84D8"/>
    <w:lvl w:ilvl="0" w:tplc="FE4A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C3D0B"/>
    <w:multiLevelType w:val="hybridMultilevel"/>
    <w:tmpl w:val="0E6A4892"/>
    <w:lvl w:ilvl="0" w:tplc="BF9E8D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8"/>
  </w:num>
  <w:num w:numId="4">
    <w:abstractNumId w:val="16"/>
  </w:num>
  <w:num w:numId="5">
    <w:abstractNumId w:val="23"/>
  </w:num>
  <w:num w:numId="6">
    <w:abstractNumId w:val="12"/>
  </w:num>
  <w:num w:numId="7">
    <w:abstractNumId w:val="0"/>
  </w:num>
  <w:num w:numId="8">
    <w:abstractNumId w:val="7"/>
  </w:num>
  <w:num w:numId="9">
    <w:abstractNumId w:val="13"/>
  </w:num>
  <w:num w:numId="10">
    <w:abstractNumId w:val="30"/>
  </w:num>
  <w:num w:numId="11">
    <w:abstractNumId w:val="2"/>
  </w:num>
  <w:num w:numId="12">
    <w:abstractNumId w:val="37"/>
  </w:num>
  <w:num w:numId="13">
    <w:abstractNumId w:val="11"/>
  </w:num>
  <w:num w:numId="14">
    <w:abstractNumId w:val="3"/>
  </w:num>
  <w:num w:numId="15">
    <w:abstractNumId w:val="33"/>
  </w:num>
  <w:num w:numId="16">
    <w:abstractNumId w:val="35"/>
  </w:num>
  <w:num w:numId="17">
    <w:abstractNumId w:val="36"/>
  </w:num>
  <w:num w:numId="18">
    <w:abstractNumId w:val="18"/>
  </w:num>
  <w:num w:numId="19">
    <w:abstractNumId w:val="41"/>
  </w:num>
  <w:num w:numId="20">
    <w:abstractNumId w:val="27"/>
  </w:num>
  <w:num w:numId="21">
    <w:abstractNumId w:val="32"/>
  </w:num>
  <w:num w:numId="22">
    <w:abstractNumId w:val="25"/>
  </w:num>
  <w:num w:numId="23">
    <w:abstractNumId w:val="9"/>
  </w:num>
  <w:num w:numId="24">
    <w:abstractNumId w:val="34"/>
  </w:num>
  <w:num w:numId="25">
    <w:abstractNumId w:val="4"/>
  </w:num>
  <w:num w:numId="26">
    <w:abstractNumId w:val="21"/>
  </w:num>
  <w:num w:numId="27">
    <w:abstractNumId w:val="8"/>
  </w:num>
  <w:num w:numId="28">
    <w:abstractNumId w:val="15"/>
  </w:num>
  <w:num w:numId="29">
    <w:abstractNumId w:val="29"/>
  </w:num>
  <w:num w:numId="30">
    <w:abstractNumId w:val="39"/>
  </w:num>
  <w:num w:numId="31">
    <w:abstractNumId w:val="20"/>
  </w:num>
  <w:num w:numId="32">
    <w:abstractNumId w:val="22"/>
  </w:num>
  <w:num w:numId="33">
    <w:abstractNumId w:val="14"/>
  </w:num>
  <w:num w:numId="34">
    <w:abstractNumId w:val="17"/>
  </w:num>
  <w:num w:numId="35">
    <w:abstractNumId w:val="24"/>
  </w:num>
  <w:num w:numId="36">
    <w:abstractNumId w:val="26"/>
  </w:num>
  <w:num w:numId="37">
    <w:abstractNumId w:val="28"/>
  </w:num>
  <w:num w:numId="38">
    <w:abstractNumId w:val="40"/>
  </w:num>
  <w:num w:numId="39">
    <w:abstractNumId w:val="5"/>
  </w:num>
  <w:num w:numId="40">
    <w:abstractNumId w:val="31"/>
  </w:num>
  <w:num w:numId="41">
    <w:abstractNumId w:val="1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DC"/>
    <w:rsid w:val="000058E0"/>
    <w:rsid w:val="00011A98"/>
    <w:rsid w:val="00011F8D"/>
    <w:rsid w:val="000130B4"/>
    <w:rsid w:val="00014361"/>
    <w:rsid w:val="00014579"/>
    <w:rsid w:val="0002340E"/>
    <w:rsid w:val="0002782A"/>
    <w:rsid w:val="00040611"/>
    <w:rsid w:val="0004305C"/>
    <w:rsid w:val="000433BE"/>
    <w:rsid w:val="000474FB"/>
    <w:rsid w:val="00053A92"/>
    <w:rsid w:val="00054839"/>
    <w:rsid w:val="00055DAE"/>
    <w:rsid w:val="00057962"/>
    <w:rsid w:val="00057F36"/>
    <w:rsid w:val="0006152A"/>
    <w:rsid w:val="00067195"/>
    <w:rsid w:val="00085BB7"/>
    <w:rsid w:val="000936F7"/>
    <w:rsid w:val="000A1F30"/>
    <w:rsid w:val="000A252E"/>
    <w:rsid w:val="000A2D0C"/>
    <w:rsid w:val="000A71DF"/>
    <w:rsid w:val="000B0962"/>
    <w:rsid w:val="000B2CBC"/>
    <w:rsid w:val="000C6D10"/>
    <w:rsid w:val="000D1A0E"/>
    <w:rsid w:val="000D6BBB"/>
    <w:rsid w:val="000D6D1F"/>
    <w:rsid w:val="000E2606"/>
    <w:rsid w:val="000E3BBE"/>
    <w:rsid w:val="000E6577"/>
    <w:rsid w:val="000E7A19"/>
    <w:rsid w:val="000F0913"/>
    <w:rsid w:val="000F315C"/>
    <w:rsid w:val="00104047"/>
    <w:rsid w:val="00104A1B"/>
    <w:rsid w:val="00105EC7"/>
    <w:rsid w:val="0010663E"/>
    <w:rsid w:val="001074BB"/>
    <w:rsid w:val="00114B66"/>
    <w:rsid w:val="00115073"/>
    <w:rsid w:val="001177DD"/>
    <w:rsid w:val="00122573"/>
    <w:rsid w:val="001240E6"/>
    <w:rsid w:val="001274B6"/>
    <w:rsid w:val="00130CF1"/>
    <w:rsid w:val="00131C17"/>
    <w:rsid w:val="00135334"/>
    <w:rsid w:val="001412D4"/>
    <w:rsid w:val="00144F64"/>
    <w:rsid w:val="00145D62"/>
    <w:rsid w:val="00151567"/>
    <w:rsid w:val="00152FBE"/>
    <w:rsid w:val="00157413"/>
    <w:rsid w:val="00161675"/>
    <w:rsid w:val="00163E17"/>
    <w:rsid w:val="00166F9E"/>
    <w:rsid w:val="00167880"/>
    <w:rsid w:val="00180D45"/>
    <w:rsid w:val="001869EE"/>
    <w:rsid w:val="00187870"/>
    <w:rsid w:val="00187D5A"/>
    <w:rsid w:val="0019164D"/>
    <w:rsid w:val="001972D7"/>
    <w:rsid w:val="001A1DA7"/>
    <w:rsid w:val="001A28F6"/>
    <w:rsid w:val="001A601B"/>
    <w:rsid w:val="001B2831"/>
    <w:rsid w:val="001B2971"/>
    <w:rsid w:val="001B4065"/>
    <w:rsid w:val="001B5910"/>
    <w:rsid w:val="001B6EA3"/>
    <w:rsid w:val="001B70B4"/>
    <w:rsid w:val="001C0493"/>
    <w:rsid w:val="001C0BEE"/>
    <w:rsid w:val="001C1F5A"/>
    <w:rsid w:val="001C28AD"/>
    <w:rsid w:val="001D07EC"/>
    <w:rsid w:val="001D3CE9"/>
    <w:rsid w:val="001D632D"/>
    <w:rsid w:val="001D6F8C"/>
    <w:rsid w:val="001D74DC"/>
    <w:rsid w:val="001D7FCB"/>
    <w:rsid w:val="001E17F8"/>
    <w:rsid w:val="001E2B99"/>
    <w:rsid w:val="001E6601"/>
    <w:rsid w:val="001E69B6"/>
    <w:rsid w:val="001E6FCD"/>
    <w:rsid w:val="001E7537"/>
    <w:rsid w:val="001F4DBB"/>
    <w:rsid w:val="001F7CD1"/>
    <w:rsid w:val="0020005D"/>
    <w:rsid w:val="00202D07"/>
    <w:rsid w:val="0020312D"/>
    <w:rsid w:val="00206E33"/>
    <w:rsid w:val="00210519"/>
    <w:rsid w:val="002118E4"/>
    <w:rsid w:val="00217B0D"/>
    <w:rsid w:val="00220D1B"/>
    <w:rsid w:val="0022408E"/>
    <w:rsid w:val="00227259"/>
    <w:rsid w:val="00227809"/>
    <w:rsid w:val="00234A90"/>
    <w:rsid w:val="002351A2"/>
    <w:rsid w:val="00240B83"/>
    <w:rsid w:val="00241B17"/>
    <w:rsid w:val="00241C81"/>
    <w:rsid w:val="00244557"/>
    <w:rsid w:val="00246564"/>
    <w:rsid w:val="00251E40"/>
    <w:rsid w:val="00256983"/>
    <w:rsid w:val="00257A1C"/>
    <w:rsid w:val="00257DD9"/>
    <w:rsid w:val="00262956"/>
    <w:rsid w:val="0026534F"/>
    <w:rsid w:val="00270C4A"/>
    <w:rsid w:val="0027234C"/>
    <w:rsid w:val="0027780B"/>
    <w:rsid w:val="00281795"/>
    <w:rsid w:val="00283691"/>
    <w:rsid w:val="002837AE"/>
    <w:rsid w:val="002841A7"/>
    <w:rsid w:val="0028460D"/>
    <w:rsid w:val="002850E3"/>
    <w:rsid w:val="002868D9"/>
    <w:rsid w:val="00287E2F"/>
    <w:rsid w:val="002A1948"/>
    <w:rsid w:val="002A2393"/>
    <w:rsid w:val="002B0821"/>
    <w:rsid w:val="002B6767"/>
    <w:rsid w:val="002C0877"/>
    <w:rsid w:val="002C2AE2"/>
    <w:rsid w:val="002D0DCE"/>
    <w:rsid w:val="002D10F3"/>
    <w:rsid w:val="002D47BF"/>
    <w:rsid w:val="002D69D3"/>
    <w:rsid w:val="002D75E8"/>
    <w:rsid w:val="002E2B10"/>
    <w:rsid w:val="002E73B0"/>
    <w:rsid w:val="002E7873"/>
    <w:rsid w:val="002F1502"/>
    <w:rsid w:val="002F2069"/>
    <w:rsid w:val="002F3A64"/>
    <w:rsid w:val="002F548E"/>
    <w:rsid w:val="002F6E37"/>
    <w:rsid w:val="002F71A2"/>
    <w:rsid w:val="00300296"/>
    <w:rsid w:val="00302B5F"/>
    <w:rsid w:val="00303C16"/>
    <w:rsid w:val="003041AD"/>
    <w:rsid w:val="003060D6"/>
    <w:rsid w:val="003108C8"/>
    <w:rsid w:val="00311053"/>
    <w:rsid w:val="0031279F"/>
    <w:rsid w:val="00312FF1"/>
    <w:rsid w:val="00316F00"/>
    <w:rsid w:val="00321B51"/>
    <w:rsid w:val="00331244"/>
    <w:rsid w:val="00334C41"/>
    <w:rsid w:val="00336D96"/>
    <w:rsid w:val="00344F07"/>
    <w:rsid w:val="003469C8"/>
    <w:rsid w:val="00350C8C"/>
    <w:rsid w:val="00354489"/>
    <w:rsid w:val="00355EA4"/>
    <w:rsid w:val="003635BE"/>
    <w:rsid w:val="00364CB2"/>
    <w:rsid w:val="00365045"/>
    <w:rsid w:val="003667F3"/>
    <w:rsid w:val="00366B5E"/>
    <w:rsid w:val="00380324"/>
    <w:rsid w:val="00382719"/>
    <w:rsid w:val="00385BB5"/>
    <w:rsid w:val="003860A5"/>
    <w:rsid w:val="00386BC2"/>
    <w:rsid w:val="00387BF4"/>
    <w:rsid w:val="003961C8"/>
    <w:rsid w:val="003A0243"/>
    <w:rsid w:val="003A0372"/>
    <w:rsid w:val="003A74ED"/>
    <w:rsid w:val="003A7767"/>
    <w:rsid w:val="003B125E"/>
    <w:rsid w:val="003B1BE3"/>
    <w:rsid w:val="003B1D7E"/>
    <w:rsid w:val="003B2200"/>
    <w:rsid w:val="003B2AE6"/>
    <w:rsid w:val="003C31C9"/>
    <w:rsid w:val="003C38D3"/>
    <w:rsid w:val="003C4961"/>
    <w:rsid w:val="003C7C5D"/>
    <w:rsid w:val="003C7F2A"/>
    <w:rsid w:val="003D09D2"/>
    <w:rsid w:val="003D0AD2"/>
    <w:rsid w:val="003D4A12"/>
    <w:rsid w:val="003D734F"/>
    <w:rsid w:val="003F50DA"/>
    <w:rsid w:val="003F5913"/>
    <w:rsid w:val="003F67AD"/>
    <w:rsid w:val="003F7930"/>
    <w:rsid w:val="0040133B"/>
    <w:rsid w:val="004024F8"/>
    <w:rsid w:val="00405696"/>
    <w:rsid w:val="0041159A"/>
    <w:rsid w:val="004226DA"/>
    <w:rsid w:val="00426859"/>
    <w:rsid w:val="004305A8"/>
    <w:rsid w:val="00430B8D"/>
    <w:rsid w:val="0043229B"/>
    <w:rsid w:val="00434D1E"/>
    <w:rsid w:val="004353D5"/>
    <w:rsid w:val="00437B3D"/>
    <w:rsid w:val="00441CC3"/>
    <w:rsid w:val="0044294F"/>
    <w:rsid w:val="00442EE0"/>
    <w:rsid w:val="00443CA0"/>
    <w:rsid w:val="00444605"/>
    <w:rsid w:val="00445C31"/>
    <w:rsid w:val="00450E14"/>
    <w:rsid w:val="00452411"/>
    <w:rsid w:val="00454FC9"/>
    <w:rsid w:val="00455749"/>
    <w:rsid w:val="00456CBD"/>
    <w:rsid w:val="0046107C"/>
    <w:rsid w:val="00462551"/>
    <w:rsid w:val="00462C65"/>
    <w:rsid w:val="00464B2C"/>
    <w:rsid w:val="00465D57"/>
    <w:rsid w:val="004674E7"/>
    <w:rsid w:val="00467B14"/>
    <w:rsid w:val="00467D07"/>
    <w:rsid w:val="004716B9"/>
    <w:rsid w:val="00474EDA"/>
    <w:rsid w:val="00475F91"/>
    <w:rsid w:val="004809CC"/>
    <w:rsid w:val="004815A4"/>
    <w:rsid w:val="00481D80"/>
    <w:rsid w:val="004824FA"/>
    <w:rsid w:val="00484011"/>
    <w:rsid w:val="004841F1"/>
    <w:rsid w:val="00487937"/>
    <w:rsid w:val="00490295"/>
    <w:rsid w:val="004A1E3A"/>
    <w:rsid w:val="004A4225"/>
    <w:rsid w:val="004A5260"/>
    <w:rsid w:val="004B46D6"/>
    <w:rsid w:val="004C0AF0"/>
    <w:rsid w:val="004C0BF6"/>
    <w:rsid w:val="004C35DE"/>
    <w:rsid w:val="004C4093"/>
    <w:rsid w:val="004C4464"/>
    <w:rsid w:val="004C4AEA"/>
    <w:rsid w:val="004C5EF0"/>
    <w:rsid w:val="004D0430"/>
    <w:rsid w:val="004D1DAA"/>
    <w:rsid w:val="004D3EEB"/>
    <w:rsid w:val="004D440E"/>
    <w:rsid w:val="004D4E1E"/>
    <w:rsid w:val="004D4EB1"/>
    <w:rsid w:val="004E003C"/>
    <w:rsid w:val="004E0175"/>
    <w:rsid w:val="004E16EB"/>
    <w:rsid w:val="004E36AE"/>
    <w:rsid w:val="004E6665"/>
    <w:rsid w:val="004E7163"/>
    <w:rsid w:val="004E7F9E"/>
    <w:rsid w:val="004F05FC"/>
    <w:rsid w:val="004F10DA"/>
    <w:rsid w:val="004F634E"/>
    <w:rsid w:val="004F67A8"/>
    <w:rsid w:val="004F685D"/>
    <w:rsid w:val="0050466F"/>
    <w:rsid w:val="005070F6"/>
    <w:rsid w:val="005115FA"/>
    <w:rsid w:val="00512EFA"/>
    <w:rsid w:val="0051582C"/>
    <w:rsid w:val="00515C11"/>
    <w:rsid w:val="00515EB5"/>
    <w:rsid w:val="005174A9"/>
    <w:rsid w:val="00522A50"/>
    <w:rsid w:val="00524E7F"/>
    <w:rsid w:val="00525E61"/>
    <w:rsid w:val="00527225"/>
    <w:rsid w:val="00527E2A"/>
    <w:rsid w:val="00533F94"/>
    <w:rsid w:val="0053557D"/>
    <w:rsid w:val="005410E3"/>
    <w:rsid w:val="00542AAA"/>
    <w:rsid w:val="005463DE"/>
    <w:rsid w:val="0054655E"/>
    <w:rsid w:val="00546DC2"/>
    <w:rsid w:val="00547D71"/>
    <w:rsid w:val="005542E8"/>
    <w:rsid w:val="00556630"/>
    <w:rsid w:val="0055686D"/>
    <w:rsid w:val="00561A6B"/>
    <w:rsid w:val="00562BB3"/>
    <w:rsid w:val="00571028"/>
    <w:rsid w:val="005800EE"/>
    <w:rsid w:val="00580D87"/>
    <w:rsid w:val="005819B6"/>
    <w:rsid w:val="00584DFB"/>
    <w:rsid w:val="005869D6"/>
    <w:rsid w:val="00587C72"/>
    <w:rsid w:val="0059331E"/>
    <w:rsid w:val="00594619"/>
    <w:rsid w:val="00597AF6"/>
    <w:rsid w:val="005A223D"/>
    <w:rsid w:val="005A3221"/>
    <w:rsid w:val="005A33F6"/>
    <w:rsid w:val="005A5621"/>
    <w:rsid w:val="005A59E5"/>
    <w:rsid w:val="005B12D9"/>
    <w:rsid w:val="005B2576"/>
    <w:rsid w:val="005B58C4"/>
    <w:rsid w:val="005B7440"/>
    <w:rsid w:val="005D0EFB"/>
    <w:rsid w:val="005D6F14"/>
    <w:rsid w:val="005D73B2"/>
    <w:rsid w:val="005E2146"/>
    <w:rsid w:val="005E2150"/>
    <w:rsid w:val="005E2995"/>
    <w:rsid w:val="005E3A4D"/>
    <w:rsid w:val="005E547E"/>
    <w:rsid w:val="005E7083"/>
    <w:rsid w:val="005E7404"/>
    <w:rsid w:val="005F3FEF"/>
    <w:rsid w:val="005F40D5"/>
    <w:rsid w:val="005F41C1"/>
    <w:rsid w:val="005F5BC5"/>
    <w:rsid w:val="005F6556"/>
    <w:rsid w:val="00600C4F"/>
    <w:rsid w:val="0060287B"/>
    <w:rsid w:val="006029D4"/>
    <w:rsid w:val="00604D2F"/>
    <w:rsid w:val="00607F7C"/>
    <w:rsid w:val="006102DA"/>
    <w:rsid w:val="006118F5"/>
    <w:rsid w:val="006136F1"/>
    <w:rsid w:val="00616090"/>
    <w:rsid w:val="00621845"/>
    <w:rsid w:val="00624CFA"/>
    <w:rsid w:val="006315A3"/>
    <w:rsid w:val="0063604C"/>
    <w:rsid w:val="00646A8A"/>
    <w:rsid w:val="006550CF"/>
    <w:rsid w:val="006579A2"/>
    <w:rsid w:val="00667C89"/>
    <w:rsid w:val="00670470"/>
    <w:rsid w:val="006711EE"/>
    <w:rsid w:val="00675CFF"/>
    <w:rsid w:val="006809BB"/>
    <w:rsid w:val="006809FD"/>
    <w:rsid w:val="00684D86"/>
    <w:rsid w:val="006916F7"/>
    <w:rsid w:val="00691D1F"/>
    <w:rsid w:val="00692B13"/>
    <w:rsid w:val="00692DEB"/>
    <w:rsid w:val="00694A58"/>
    <w:rsid w:val="00694CEC"/>
    <w:rsid w:val="00696214"/>
    <w:rsid w:val="006974DF"/>
    <w:rsid w:val="00697BAE"/>
    <w:rsid w:val="006A32DF"/>
    <w:rsid w:val="006A5B56"/>
    <w:rsid w:val="006B27C1"/>
    <w:rsid w:val="006B4DDC"/>
    <w:rsid w:val="006B51BD"/>
    <w:rsid w:val="006B5E55"/>
    <w:rsid w:val="006C4DA7"/>
    <w:rsid w:val="006D25A1"/>
    <w:rsid w:val="006E14E9"/>
    <w:rsid w:val="006E263F"/>
    <w:rsid w:val="006E6A97"/>
    <w:rsid w:val="006F09A2"/>
    <w:rsid w:val="006F36C6"/>
    <w:rsid w:val="006F4E3C"/>
    <w:rsid w:val="006F621C"/>
    <w:rsid w:val="006F6856"/>
    <w:rsid w:val="00701AE2"/>
    <w:rsid w:val="0070570E"/>
    <w:rsid w:val="0071284B"/>
    <w:rsid w:val="00713412"/>
    <w:rsid w:val="007138F6"/>
    <w:rsid w:val="007145D0"/>
    <w:rsid w:val="00716F94"/>
    <w:rsid w:val="007172B5"/>
    <w:rsid w:val="00721180"/>
    <w:rsid w:val="00726C45"/>
    <w:rsid w:val="00726CE6"/>
    <w:rsid w:val="007404A0"/>
    <w:rsid w:val="007453E0"/>
    <w:rsid w:val="0075188E"/>
    <w:rsid w:val="007535B9"/>
    <w:rsid w:val="00754EEA"/>
    <w:rsid w:val="00756DE2"/>
    <w:rsid w:val="0076001C"/>
    <w:rsid w:val="00760E12"/>
    <w:rsid w:val="00763CF3"/>
    <w:rsid w:val="0077088E"/>
    <w:rsid w:val="00772293"/>
    <w:rsid w:val="00774689"/>
    <w:rsid w:val="00776981"/>
    <w:rsid w:val="00781AE3"/>
    <w:rsid w:val="00783C75"/>
    <w:rsid w:val="00784619"/>
    <w:rsid w:val="007846AC"/>
    <w:rsid w:val="00784735"/>
    <w:rsid w:val="00785DB1"/>
    <w:rsid w:val="0078627B"/>
    <w:rsid w:val="0078765B"/>
    <w:rsid w:val="00787A28"/>
    <w:rsid w:val="007921F1"/>
    <w:rsid w:val="007939D3"/>
    <w:rsid w:val="007948E8"/>
    <w:rsid w:val="00794E32"/>
    <w:rsid w:val="00795148"/>
    <w:rsid w:val="007A0D73"/>
    <w:rsid w:val="007A2901"/>
    <w:rsid w:val="007B305A"/>
    <w:rsid w:val="007B58A5"/>
    <w:rsid w:val="007D1A2A"/>
    <w:rsid w:val="007D1CD0"/>
    <w:rsid w:val="007D3504"/>
    <w:rsid w:val="007D6163"/>
    <w:rsid w:val="007D7425"/>
    <w:rsid w:val="007E575D"/>
    <w:rsid w:val="007E57CD"/>
    <w:rsid w:val="007E6AEF"/>
    <w:rsid w:val="007F2B83"/>
    <w:rsid w:val="007F5776"/>
    <w:rsid w:val="007F6264"/>
    <w:rsid w:val="008002A0"/>
    <w:rsid w:val="00800E2A"/>
    <w:rsid w:val="00813834"/>
    <w:rsid w:val="00815C7D"/>
    <w:rsid w:val="00817941"/>
    <w:rsid w:val="00817942"/>
    <w:rsid w:val="00820C0E"/>
    <w:rsid w:val="008229E4"/>
    <w:rsid w:val="008231AD"/>
    <w:rsid w:val="00823547"/>
    <w:rsid w:val="00823C1C"/>
    <w:rsid w:val="008261AB"/>
    <w:rsid w:val="008269AB"/>
    <w:rsid w:val="008307C5"/>
    <w:rsid w:val="00834C91"/>
    <w:rsid w:val="00835CA7"/>
    <w:rsid w:val="008370D4"/>
    <w:rsid w:val="00837B5E"/>
    <w:rsid w:val="00840699"/>
    <w:rsid w:val="008414AD"/>
    <w:rsid w:val="008428D9"/>
    <w:rsid w:val="00851A50"/>
    <w:rsid w:val="00851C78"/>
    <w:rsid w:val="008715E7"/>
    <w:rsid w:val="0087300E"/>
    <w:rsid w:val="00875DD9"/>
    <w:rsid w:val="00876930"/>
    <w:rsid w:val="00880D14"/>
    <w:rsid w:val="00883426"/>
    <w:rsid w:val="0088385E"/>
    <w:rsid w:val="0088467A"/>
    <w:rsid w:val="00884C58"/>
    <w:rsid w:val="00884DB9"/>
    <w:rsid w:val="0089165A"/>
    <w:rsid w:val="00891680"/>
    <w:rsid w:val="00891A87"/>
    <w:rsid w:val="008A16B5"/>
    <w:rsid w:val="008B1CE8"/>
    <w:rsid w:val="008C4FB9"/>
    <w:rsid w:val="008C59E7"/>
    <w:rsid w:val="008C67D2"/>
    <w:rsid w:val="008D6CC3"/>
    <w:rsid w:val="008E0683"/>
    <w:rsid w:val="008E0ECF"/>
    <w:rsid w:val="008E3D8D"/>
    <w:rsid w:val="008F0092"/>
    <w:rsid w:val="008F58D9"/>
    <w:rsid w:val="0090195E"/>
    <w:rsid w:val="00902DD9"/>
    <w:rsid w:val="00903383"/>
    <w:rsid w:val="009045AC"/>
    <w:rsid w:val="00911486"/>
    <w:rsid w:val="0091234D"/>
    <w:rsid w:val="009129CA"/>
    <w:rsid w:val="00913D0C"/>
    <w:rsid w:val="00914F38"/>
    <w:rsid w:val="009206B6"/>
    <w:rsid w:val="009252DC"/>
    <w:rsid w:val="009252F5"/>
    <w:rsid w:val="009263C1"/>
    <w:rsid w:val="009321CD"/>
    <w:rsid w:val="00937137"/>
    <w:rsid w:val="00941B4F"/>
    <w:rsid w:val="009509DC"/>
    <w:rsid w:val="009518C0"/>
    <w:rsid w:val="009541D9"/>
    <w:rsid w:val="00960988"/>
    <w:rsid w:val="00962E20"/>
    <w:rsid w:val="00963845"/>
    <w:rsid w:val="00963CE3"/>
    <w:rsid w:val="00964F18"/>
    <w:rsid w:val="00972753"/>
    <w:rsid w:val="00974424"/>
    <w:rsid w:val="009801F3"/>
    <w:rsid w:val="00987F76"/>
    <w:rsid w:val="00993088"/>
    <w:rsid w:val="0099664F"/>
    <w:rsid w:val="00997D5D"/>
    <w:rsid w:val="00997D88"/>
    <w:rsid w:val="009A0447"/>
    <w:rsid w:val="009A157D"/>
    <w:rsid w:val="009A2CE5"/>
    <w:rsid w:val="009A4B59"/>
    <w:rsid w:val="009B45DC"/>
    <w:rsid w:val="009B4A51"/>
    <w:rsid w:val="009C28B1"/>
    <w:rsid w:val="009C61AD"/>
    <w:rsid w:val="009C6697"/>
    <w:rsid w:val="009D0CA2"/>
    <w:rsid w:val="009D1CD2"/>
    <w:rsid w:val="009D22E6"/>
    <w:rsid w:val="009D373D"/>
    <w:rsid w:val="009D436B"/>
    <w:rsid w:val="009D5475"/>
    <w:rsid w:val="009D7B2C"/>
    <w:rsid w:val="009E0801"/>
    <w:rsid w:val="009E1D05"/>
    <w:rsid w:val="009E7F0E"/>
    <w:rsid w:val="009F149A"/>
    <w:rsid w:val="009F191E"/>
    <w:rsid w:val="009F57D4"/>
    <w:rsid w:val="009F71C5"/>
    <w:rsid w:val="009F7DE0"/>
    <w:rsid w:val="00A05973"/>
    <w:rsid w:val="00A06BCB"/>
    <w:rsid w:val="00A11B0C"/>
    <w:rsid w:val="00A132AD"/>
    <w:rsid w:val="00A1745B"/>
    <w:rsid w:val="00A23F26"/>
    <w:rsid w:val="00A24607"/>
    <w:rsid w:val="00A27FD8"/>
    <w:rsid w:val="00A30BB9"/>
    <w:rsid w:val="00A33B35"/>
    <w:rsid w:val="00A33E90"/>
    <w:rsid w:val="00A36419"/>
    <w:rsid w:val="00A369C2"/>
    <w:rsid w:val="00A44921"/>
    <w:rsid w:val="00A44AD9"/>
    <w:rsid w:val="00A501E3"/>
    <w:rsid w:val="00A53320"/>
    <w:rsid w:val="00A578C2"/>
    <w:rsid w:val="00A669A3"/>
    <w:rsid w:val="00A66BC3"/>
    <w:rsid w:val="00A72652"/>
    <w:rsid w:val="00A7298A"/>
    <w:rsid w:val="00A75D1C"/>
    <w:rsid w:val="00A809AA"/>
    <w:rsid w:val="00A81B55"/>
    <w:rsid w:val="00A849B3"/>
    <w:rsid w:val="00A8510D"/>
    <w:rsid w:val="00A86AF3"/>
    <w:rsid w:val="00A90AFF"/>
    <w:rsid w:val="00A90BDC"/>
    <w:rsid w:val="00A921F0"/>
    <w:rsid w:val="00A93D37"/>
    <w:rsid w:val="00A94A31"/>
    <w:rsid w:val="00A95477"/>
    <w:rsid w:val="00A975A9"/>
    <w:rsid w:val="00A9794C"/>
    <w:rsid w:val="00AA3192"/>
    <w:rsid w:val="00AB0486"/>
    <w:rsid w:val="00AB04AB"/>
    <w:rsid w:val="00AB226B"/>
    <w:rsid w:val="00AB251E"/>
    <w:rsid w:val="00AB3608"/>
    <w:rsid w:val="00AC1272"/>
    <w:rsid w:val="00AC3577"/>
    <w:rsid w:val="00AC5C48"/>
    <w:rsid w:val="00AC63E3"/>
    <w:rsid w:val="00AD11C1"/>
    <w:rsid w:val="00AD1C42"/>
    <w:rsid w:val="00AD3DD2"/>
    <w:rsid w:val="00AD3F08"/>
    <w:rsid w:val="00AD5EF7"/>
    <w:rsid w:val="00AE0AEE"/>
    <w:rsid w:val="00AE5415"/>
    <w:rsid w:val="00AF0CF4"/>
    <w:rsid w:val="00AF2252"/>
    <w:rsid w:val="00AF43AC"/>
    <w:rsid w:val="00AF46B1"/>
    <w:rsid w:val="00AF759E"/>
    <w:rsid w:val="00AF75F8"/>
    <w:rsid w:val="00B0098C"/>
    <w:rsid w:val="00B00B12"/>
    <w:rsid w:val="00B1129F"/>
    <w:rsid w:val="00B11D61"/>
    <w:rsid w:val="00B12F51"/>
    <w:rsid w:val="00B13EA4"/>
    <w:rsid w:val="00B1790F"/>
    <w:rsid w:val="00B17C95"/>
    <w:rsid w:val="00B2048E"/>
    <w:rsid w:val="00B24E33"/>
    <w:rsid w:val="00B2751E"/>
    <w:rsid w:val="00B33919"/>
    <w:rsid w:val="00B34A02"/>
    <w:rsid w:val="00B3650C"/>
    <w:rsid w:val="00B4120C"/>
    <w:rsid w:val="00B4271C"/>
    <w:rsid w:val="00B432C9"/>
    <w:rsid w:val="00B43AFE"/>
    <w:rsid w:val="00B44411"/>
    <w:rsid w:val="00B47055"/>
    <w:rsid w:val="00B527E5"/>
    <w:rsid w:val="00B53F34"/>
    <w:rsid w:val="00B56471"/>
    <w:rsid w:val="00B63CF3"/>
    <w:rsid w:val="00B64BFA"/>
    <w:rsid w:val="00B66FDD"/>
    <w:rsid w:val="00B700F2"/>
    <w:rsid w:val="00B71E63"/>
    <w:rsid w:val="00B83212"/>
    <w:rsid w:val="00B834C0"/>
    <w:rsid w:val="00B842DB"/>
    <w:rsid w:val="00B85DE4"/>
    <w:rsid w:val="00B87AAD"/>
    <w:rsid w:val="00B91A31"/>
    <w:rsid w:val="00B91C64"/>
    <w:rsid w:val="00B96964"/>
    <w:rsid w:val="00B96EC1"/>
    <w:rsid w:val="00BA50D9"/>
    <w:rsid w:val="00BA5761"/>
    <w:rsid w:val="00BA6C28"/>
    <w:rsid w:val="00BA6DB4"/>
    <w:rsid w:val="00BA74AE"/>
    <w:rsid w:val="00BB049A"/>
    <w:rsid w:val="00BB090C"/>
    <w:rsid w:val="00BB17B5"/>
    <w:rsid w:val="00BB6D83"/>
    <w:rsid w:val="00BC04AF"/>
    <w:rsid w:val="00BC3F3C"/>
    <w:rsid w:val="00BC5BB2"/>
    <w:rsid w:val="00BC5EAA"/>
    <w:rsid w:val="00BD56AF"/>
    <w:rsid w:val="00BE738E"/>
    <w:rsid w:val="00BF06C1"/>
    <w:rsid w:val="00BF11A1"/>
    <w:rsid w:val="00BF3F54"/>
    <w:rsid w:val="00BF512B"/>
    <w:rsid w:val="00C00697"/>
    <w:rsid w:val="00C0376C"/>
    <w:rsid w:val="00C06D77"/>
    <w:rsid w:val="00C14BA6"/>
    <w:rsid w:val="00C20572"/>
    <w:rsid w:val="00C220B1"/>
    <w:rsid w:val="00C22828"/>
    <w:rsid w:val="00C230CF"/>
    <w:rsid w:val="00C25BEF"/>
    <w:rsid w:val="00C263F5"/>
    <w:rsid w:val="00C26501"/>
    <w:rsid w:val="00C3485C"/>
    <w:rsid w:val="00C44DDE"/>
    <w:rsid w:val="00C544A4"/>
    <w:rsid w:val="00C576D5"/>
    <w:rsid w:val="00C6000D"/>
    <w:rsid w:val="00C70F91"/>
    <w:rsid w:val="00C75C16"/>
    <w:rsid w:val="00C768E5"/>
    <w:rsid w:val="00C76C9A"/>
    <w:rsid w:val="00C8083C"/>
    <w:rsid w:val="00C8265B"/>
    <w:rsid w:val="00C85236"/>
    <w:rsid w:val="00C921DA"/>
    <w:rsid w:val="00C97E19"/>
    <w:rsid w:val="00CA2004"/>
    <w:rsid w:val="00CA449B"/>
    <w:rsid w:val="00CA5840"/>
    <w:rsid w:val="00CA5B99"/>
    <w:rsid w:val="00CA6CBD"/>
    <w:rsid w:val="00CB0933"/>
    <w:rsid w:val="00CB334D"/>
    <w:rsid w:val="00CB56D5"/>
    <w:rsid w:val="00CC0AC7"/>
    <w:rsid w:val="00CC428B"/>
    <w:rsid w:val="00CC7188"/>
    <w:rsid w:val="00CC76CD"/>
    <w:rsid w:val="00CC7860"/>
    <w:rsid w:val="00CD1EA8"/>
    <w:rsid w:val="00CE3901"/>
    <w:rsid w:val="00CF0E1C"/>
    <w:rsid w:val="00CF2B8B"/>
    <w:rsid w:val="00CF4E03"/>
    <w:rsid w:val="00CF5ABD"/>
    <w:rsid w:val="00CF63CE"/>
    <w:rsid w:val="00CF7DD1"/>
    <w:rsid w:val="00D00941"/>
    <w:rsid w:val="00D03596"/>
    <w:rsid w:val="00D052BC"/>
    <w:rsid w:val="00D067C1"/>
    <w:rsid w:val="00D07FB2"/>
    <w:rsid w:val="00D11B50"/>
    <w:rsid w:val="00D1343B"/>
    <w:rsid w:val="00D13B13"/>
    <w:rsid w:val="00D15ABA"/>
    <w:rsid w:val="00D16E78"/>
    <w:rsid w:val="00D20128"/>
    <w:rsid w:val="00D201D3"/>
    <w:rsid w:val="00D267D5"/>
    <w:rsid w:val="00D26A64"/>
    <w:rsid w:val="00D31720"/>
    <w:rsid w:val="00D31EF3"/>
    <w:rsid w:val="00D52B9A"/>
    <w:rsid w:val="00D5367E"/>
    <w:rsid w:val="00D53B1E"/>
    <w:rsid w:val="00D6105F"/>
    <w:rsid w:val="00D6185D"/>
    <w:rsid w:val="00D61AD2"/>
    <w:rsid w:val="00D672C8"/>
    <w:rsid w:val="00D7007B"/>
    <w:rsid w:val="00D71C1C"/>
    <w:rsid w:val="00D75750"/>
    <w:rsid w:val="00D80152"/>
    <w:rsid w:val="00D82FA4"/>
    <w:rsid w:val="00D84EF0"/>
    <w:rsid w:val="00D861ED"/>
    <w:rsid w:val="00D873E0"/>
    <w:rsid w:val="00D941E3"/>
    <w:rsid w:val="00D94F8B"/>
    <w:rsid w:val="00D95FBF"/>
    <w:rsid w:val="00DA15CB"/>
    <w:rsid w:val="00DA5988"/>
    <w:rsid w:val="00DA5BD9"/>
    <w:rsid w:val="00DB7F78"/>
    <w:rsid w:val="00DC0184"/>
    <w:rsid w:val="00DC317C"/>
    <w:rsid w:val="00DC4FF2"/>
    <w:rsid w:val="00DC6D74"/>
    <w:rsid w:val="00DC703B"/>
    <w:rsid w:val="00DC79CC"/>
    <w:rsid w:val="00DC7E18"/>
    <w:rsid w:val="00DD1265"/>
    <w:rsid w:val="00DD35FD"/>
    <w:rsid w:val="00DD3B16"/>
    <w:rsid w:val="00DD7A65"/>
    <w:rsid w:val="00DD7BF0"/>
    <w:rsid w:val="00DE06FA"/>
    <w:rsid w:val="00DE25B7"/>
    <w:rsid w:val="00DE261C"/>
    <w:rsid w:val="00DE308D"/>
    <w:rsid w:val="00DE7DBC"/>
    <w:rsid w:val="00DF133D"/>
    <w:rsid w:val="00DF3E66"/>
    <w:rsid w:val="00DF5744"/>
    <w:rsid w:val="00E01977"/>
    <w:rsid w:val="00E021C2"/>
    <w:rsid w:val="00E036F9"/>
    <w:rsid w:val="00E10D39"/>
    <w:rsid w:val="00E11E94"/>
    <w:rsid w:val="00E134F4"/>
    <w:rsid w:val="00E162E0"/>
    <w:rsid w:val="00E2036F"/>
    <w:rsid w:val="00E20D75"/>
    <w:rsid w:val="00E23568"/>
    <w:rsid w:val="00E2402B"/>
    <w:rsid w:val="00E245B5"/>
    <w:rsid w:val="00E31E3D"/>
    <w:rsid w:val="00E33E1B"/>
    <w:rsid w:val="00E34D3E"/>
    <w:rsid w:val="00E35DEA"/>
    <w:rsid w:val="00E4438E"/>
    <w:rsid w:val="00E62BD2"/>
    <w:rsid w:val="00E63711"/>
    <w:rsid w:val="00E647FB"/>
    <w:rsid w:val="00E71164"/>
    <w:rsid w:val="00E720E9"/>
    <w:rsid w:val="00E74C5C"/>
    <w:rsid w:val="00E81C5E"/>
    <w:rsid w:val="00E82D77"/>
    <w:rsid w:val="00E83B3C"/>
    <w:rsid w:val="00E85F67"/>
    <w:rsid w:val="00E8736B"/>
    <w:rsid w:val="00E90275"/>
    <w:rsid w:val="00E909A5"/>
    <w:rsid w:val="00E925D4"/>
    <w:rsid w:val="00E929A2"/>
    <w:rsid w:val="00E94037"/>
    <w:rsid w:val="00E94173"/>
    <w:rsid w:val="00E9465D"/>
    <w:rsid w:val="00E97226"/>
    <w:rsid w:val="00EA2B44"/>
    <w:rsid w:val="00EA33EF"/>
    <w:rsid w:val="00EB5BA3"/>
    <w:rsid w:val="00EC4185"/>
    <w:rsid w:val="00EC488A"/>
    <w:rsid w:val="00EC4FFD"/>
    <w:rsid w:val="00EC506D"/>
    <w:rsid w:val="00EC58F5"/>
    <w:rsid w:val="00EC5B78"/>
    <w:rsid w:val="00EC5EFC"/>
    <w:rsid w:val="00ED6C4F"/>
    <w:rsid w:val="00ED6DF6"/>
    <w:rsid w:val="00EE051B"/>
    <w:rsid w:val="00EE306F"/>
    <w:rsid w:val="00EE39E4"/>
    <w:rsid w:val="00EF0226"/>
    <w:rsid w:val="00EF137D"/>
    <w:rsid w:val="00EF33CD"/>
    <w:rsid w:val="00F00AF1"/>
    <w:rsid w:val="00F02A47"/>
    <w:rsid w:val="00F07088"/>
    <w:rsid w:val="00F079F2"/>
    <w:rsid w:val="00F107AE"/>
    <w:rsid w:val="00F12924"/>
    <w:rsid w:val="00F20C9B"/>
    <w:rsid w:val="00F23F84"/>
    <w:rsid w:val="00F300CB"/>
    <w:rsid w:val="00F30E84"/>
    <w:rsid w:val="00F31310"/>
    <w:rsid w:val="00F3322A"/>
    <w:rsid w:val="00F35E62"/>
    <w:rsid w:val="00F35F1F"/>
    <w:rsid w:val="00F36374"/>
    <w:rsid w:val="00F407A2"/>
    <w:rsid w:val="00F42C3A"/>
    <w:rsid w:val="00F45451"/>
    <w:rsid w:val="00F47D9E"/>
    <w:rsid w:val="00F52BCC"/>
    <w:rsid w:val="00F5313F"/>
    <w:rsid w:val="00F540E6"/>
    <w:rsid w:val="00F56B55"/>
    <w:rsid w:val="00F745A8"/>
    <w:rsid w:val="00F76CFA"/>
    <w:rsid w:val="00F77ECA"/>
    <w:rsid w:val="00F81135"/>
    <w:rsid w:val="00F81A48"/>
    <w:rsid w:val="00F8286C"/>
    <w:rsid w:val="00F8565B"/>
    <w:rsid w:val="00F8769D"/>
    <w:rsid w:val="00F96C02"/>
    <w:rsid w:val="00FA34CF"/>
    <w:rsid w:val="00FA370A"/>
    <w:rsid w:val="00FB62BC"/>
    <w:rsid w:val="00FB6F23"/>
    <w:rsid w:val="00FC22AC"/>
    <w:rsid w:val="00FD0809"/>
    <w:rsid w:val="00FD17C9"/>
    <w:rsid w:val="00FD2A5B"/>
    <w:rsid w:val="00FD731A"/>
    <w:rsid w:val="00FE0E0A"/>
    <w:rsid w:val="00FE6A5C"/>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8460"/>
  <w15:docId w15:val="{04151764-857A-4A33-A7F5-5F816D91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FC9"/>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130CF1"/>
    <w:rPr>
      <w:color w:val="800080" w:themeColor="followedHyperlink"/>
      <w:u w:val="single"/>
    </w:rPr>
  </w:style>
  <w:style w:type="paragraph" w:styleId="FootnoteText">
    <w:name w:val="footnote text"/>
    <w:basedOn w:val="Normal"/>
    <w:link w:val="FootnoteTextChar"/>
    <w:uiPriority w:val="99"/>
    <w:semiHidden/>
    <w:unhideWhenUsed/>
    <w:rsid w:val="00C921DA"/>
    <w:pPr>
      <w:spacing w:line="240" w:lineRule="auto"/>
    </w:pPr>
    <w:rPr>
      <w:sz w:val="20"/>
      <w:szCs w:val="20"/>
    </w:rPr>
  </w:style>
  <w:style w:type="character" w:customStyle="1" w:styleId="FootnoteTextChar">
    <w:name w:val="Footnote Text Char"/>
    <w:basedOn w:val="DefaultParagraphFont"/>
    <w:link w:val="FootnoteText"/>
    <w:uiPriority w:val="99"/>
    <w:semiHidden/>
    <w:rsid w:val="00C921DA"/>
    <w:rPr>
      <w:rFonts w:asciiTheme="majorHAnsi" w:hAnsiTheme="majorHAnsi"/>
      <w:sz w:val="20"/>
      <w:szCs w:val="20"/>
    </w:rPr>
  </w:style>
  <w:style w:type="character" w:styleId="FootnoteReference">
    <w:name w:val="footnote reference"/>
    <w:basedOn w:val="DefaultParagraphFont"/>
    <w:uiPriority w:val="99"/>
    <w:semiHidden/>
    <w:unhideWhenUsed/>
    <w:rsid w:val="00C921DA"/>
    <w:rPr>
      <w:vertAlign w:val="superscript"/>
    </w:rPr>
  </w:style>
  <w:style w:type="paragraph" w:styleId="NoSpacing">
    <w:name w:val="No Spacing"/>
    <w:basedOn w:val="Normal"/>
    <w:link w:val="NoSpacingChar"/>
    <w:uiPriority w:val="1"/>
    <w:qFormat/>
    <w:rsid w:val="002118E4"/>
    <w:pPr>
      <w:tabs>
        <w:tab w:val="clear" w:pos="9360"/>
      </w:tabs>
      <w:spacing w:line="240" w:lineRule="auto"/>
      <w:ind w:left="0"/>
    </w:pPr>
    <w:rPr>
      <w:rFonts w:ascii="Calibri" w:eastAsia="Calibri" w:hAnsi="Calibri" w:cs="Times New Roman"/>
    </w:rPr>
  </w:style>
  <w:style w:type="character" w:customStyle="1" w:styleId="NoSpacingChar">
    <w:name w:val="No Spacing Char"/>
    <w:link w:val="NoSpacing"/>
    <w:uiPriority w:val="1"/>
    <w:rsid w:val="002118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6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hyperlink" Target="http://www.unisdr.org/files/601_engguidelinesnpdrr.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teresources.worldbank.org/EXTNWDR2013/Resources/8258024-1352909193861/8936935-1356011448215/8986901-1380568255405/WDR14_bp_Disaster_Mitigation_is_Cost_Effective_Kelman.pdf" TargetMode="External"/><Relationship Id="rId2" Type="http://schemas.openxmlformats.org/officeDocument/2006/relationships/customXml" Target="../customXml/item2.xml"/><Relationship Id="rId16" Type="http://schemas.openxmlformats.org/officeDocument/2006/relationships/hyperlink" Target="https://en.wikipedia.org/wiki/2004_Indian_Ocean_earthquake_and_tsunami" TargetMode="External"/><Relationship Id="rId20" Type="http://schemas.openxmlformats.org/officeDocument/2006/relationships/hyperlink" Target="http://www.unisdr.org/we/coordinate/hfa-post20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news.nationalgeographic.com/news/2004/12/1227_041226_tsunami_2.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who.int/hac/techguidance/preparedness/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dat.b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https://esp.cdc.gov/sites/ostlts/pip/osc/_layouts/15/DocIdRedir.aspx?ID=OSTLTSDOC-726-122</Url>
      <Description>OSTLTSDOC-726-122</Description>
    </_dlc_DocIdUrl>
    <_dlc_DocId xmlns="b5c0ca00-073d-4463-9985-b654f14791fe">OSTLTSDOC-726-122</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0F15-C51B-4FD5-977B-BE6170B19670}">
  <ds:schemaRefs>
    <ds:schemaRef ds:uri="http://schemas.microsoft.com/office/2006/metadata/properties"/>
    <ds:schemaRef ds:uri="http://purl.org/dc/elements/1.1/"/>
    <ds:schemaRef ds:uri="http://schemas.openxmlformats.org/package/2006/metadata/core-properties"/>
    <ds:schemaRef ds:uri="http://purl.org/dc/dcmitype/"/>
    <ds:schemaRef ds:uri="15b1c282-9287-45cb-9b41-eae3a76919a0"/>
    <ds:schemaRef ds:uri="ce849d94-b00b-4457-8fdf-7e9e81e05b5e"/>
    <ds:schemaRef ds:uri="http://schemas.microsoft.com/office/2006/documentManagement/types"/>
    <ds:schemaRef ds:uri="http://schemas.microsoft.com/office/infopath/2007/PartnerControls"/>
    <ds:schemaRef ds:uri="http://purl.org/dc/terms/"/>
    <ds:schemaRef ds:uri="bd99c180-279b-44c3-9486-dd050336677e"/>
    <ds:schemaRef ds:uri="b5c0ca00-073d-4463-9985-b654f14791fe"/>
    <ds:schemaRef ds:uri="http://www.w3.org/XML/1998/namespace"/>
  </ds:schemaRefs>
</ds:datastoreItem>
</file>

<file path=customXml/itemProps2.xml><?xml version="1.0" encoding="utf-8"?>
<ds:datastoreItem xmlns:ds="http://schemas.openxmlformats.org/officeDocument/2006/customXml" ds:itemID="{D7D788B1-C12E-4F19-9EE4-D6BE19537181}">
  <ds:schemaRefs>
    <ds:schemaRef ds:uri="http://schemas.microsoft.com/sharepoint/v3/contenttype/forms"/>
  </ds:schemaRefs>
</ds:datastoreItem>
</file>

<file path=customXml/itemProps3.xml><?xml version="1.0" encoding="utf-8"?>
<ds:datastoreItem xmlns:ds="http://schemas.openxmlformats.org/officeDocument/2006/customXml" ds:itemID="{DBEA5397-0177-43BB-87B2-0E1AF39B777D}">
  <ds:schemaRefs>
    <ds:schemaRef ds:uri="http://schemas.microsoft.com/office/2006/metadata/customXsn"/>
  </ds:schemaRefs>
</ds:datastoreItem>
</file>

<file path=customXml/itemProps4.xml><?xml version="1.0" encoding="utf-8"?>
<ds:datastoreItem xmlns:ds="http://schemas.openxmlformats.org/officeDocument/2006/customXml" ds:itemID="{7D2B53DF-AEFF-4CBA-B8B4-F6D8C4E13F32}">
  <ds:schemaRefs>
    <ds:schemaRef ds:uri="http://schemas.microsoft.com/sharepoint/events"/>
  </ds:schemaRefs>
</ds:datastoreItem>
</file>

<file path=customXml/itemProps5.xml><?xml version="1.0" encoding="utf-8"?>
<ds:datastoreItem xmlns:ds="http://schemas.openxmlformats.org/officeDocument/2006/customXml" ds:itemID="{88D16BD4-7E94-4A43-8969-78A157C2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039C6F-3EFC-4240-AD5E-C38ACB48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13</Pages>
  <Words>4794</Words>
  <Characters>27330</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2</cp:revision>
  <cp:lastPrinted>2016-02-22T20:01:00Z</cp:lastPrinted>
  <dcterms:created xsi:type="dcterms:W3CDTF">2016-05-25T13:07:00Z</dcterms:created>
  <dcterms:modified xsi:type="dcterms:W3CDTF">2016-05-25T13:07:00Z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c111a075-ff47-4ebe-a32b-4474d2f0ac88</vt:lpwstr>
  </property>
</Properties>
</file>