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8C7CB" w14:textId="77777777" w:rsidR="00716F94" w:rsidRDefault="00716F94" w:rsidP="00BC6896"/>
    <w:p w14:paraId="30058F03" w14:textId="77777777" w:rsidR="009B4A51" w:rsidRDefault="009B4A51" w:rsidP="00BC6896"/>
    <w:p w14:paraId="604C3EE1" w14:textId="77777777" w:rsidR="009B4A51" w:rsidRDefault="009B4A51" w:rsidP="00BC6896"/>
    <w:p w14:paraId="681520F1" w14:textId="77777777" w:rsidR="009B4A51" w:rsidRDefault="009B4A51" w:rsidP="00BC6896"/>
    <w:p w14:paraId="0D9DAA46" w14:textId="77777777" w:rsidR="009B4A51" w:rsidRDefault="009B4A51" w:rsidP="00BC6896"/>
    <w:p w14:paraId="749A0868" w14:textId="77777777" w:rsidR="00667C89" w:rsidRDefault="00667C89" w:rsidP="00BC6896"/>
    <w:p w14:paraId="54417AD6" w14:textId="77777777" w:rsidR="009B4A51" w:rsidRDefault="009B4A51" w:rsidP="00BC6896"/>
    <w:p w14:paraId="6F1243B9" w14:textId="77777777" w:rsidR="009B4A51" w:rsidRDefault="009B4A51" w:rsidP="00BC6896"/>
    <w:p w14:paraId="7C32DB0F" w14:textId="480CBFA7" w:rsidR="00450EBE" w:rsidRPr="000F386F" w:rsidRDefault="00F00326" w:rsidP="00450EBE">
      <w:pPr>
        <w:pStyle w:val="Heading1"/>
      </w:pPr>
      <w:r w:rsidRPr="000F386F">
        <w:t>STD/HIV</w:t>
      </w:r>
      <w:r w:rsidR="00450EBE" w:rsidRPr="000F386F">
        <w:t xml:space="preserve"> Disease Intervention Specialist (DIS) Workforce</w:t>
      </w:r>
      <w:r w:rsidR="00CE3206" w:rsidRPr="000F386F">
        <w:t xml:space="preserve"> Assessment</w:t>
      </w:r>
    </w:p>
    <w:p w14:paraId="3056D2E6" w14:textId="77777777" w:rsidR="00AA3192" w:rsidRDefault="00AA3192" w:rsidP="00BC6896"/>
    <w:p w14:paraId="0DE58824"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39A4849A" w14:textId="77777777" w:rsidR="00484011" w:rsidRPr="00AA3192" w:rsidRDefault="00484011" w:rsidP="00BC6896">
      <w:pPr>
        <w:pStyle w:val="Header"/>
        <w:ind w:left="0"/>
        <w:jc w:val="center"/>
      </w:pPr>
      <w:r w:rsidRPr="00AA3192">
        <w:t>OMB No. 0920-0879</w:t>
      </w:r>
    </w:p>
    <w:p w14:paraId="777FD245" w14:textId="77777777" w:rsidR="009B4A51" w:rsidRDefault="009B4A51" w:rsidP="00BC6896"/>
    <w:p w14:paraId="7DB2A875" w14:textId="77777777" w:rsidR="009B4A51" w:rsidRDefault="009B4A51" w:rsidP="00BC6896"/>
    <w:p w14:paraId="49F59966" w14:textId="77777777" w:rsidR="00AA3192" w:rsidRDefault="00AA3192" w:rsidP="00BC6896"/>
    <w:p w14:paraId="6E0AB27F" w14:textId="77777777" w:rsidR="00AA3192" w:rsidRDefault="00AA3192" w:rsidP="00BC6896"/>
    <w:p w14:paraId="2B6EA72D" w14:textId="77777777" w:rsidR="009B4A51" w:rsidRPr="00BC6896" w:rsidRDefault="009B4A51" w:rsidP="00BC6896">
      <w:pPr>
        <w:pStyle w:val="Heading2"/>
      </w:pPr>
      <w:r w:rsidRPr="00BC6896">
        <w:t xml:space="preserve">Supporting Statement – Section </w:t>
      </w:r>
      <w:r w:rsidR="00601392" w:rsidRPr="00BC6896">
        <w:t>B</w:t>
      </w:r>
    </w:p>
    <w:p w14:paraId="4F1038B2" w14:textId="77777777" w:rsidR="009B4A51" w:rsidRDefault="009B4A51" w:rsidP="00BC6896"/>
    <w:p w14:paraId="3C5BEC37" w14:textId="77777777" w:rsidR="00484011" w:rsidRDefault="00484011" w:rsidP="00BC6896"/>
    <w:p w14:paraId="2D81D4DF" w14:textId="77777777" w:rsidR="00AA3192" w:rsidRDefault="00AA3192" w:rsidP="00BC6896"/>
    <w:p w14:paraId="68D02F26" w14:textId="77777777" w:rsidR="009B4A51" w:rsidRDefault="009B4A51" w:rsidP="00BC6896"/>
    <w:p w14:paraId="15ADB13B" w14:textId="77777777" w:rsidR="009B4A51" w:rsidRDefault="009B4A51" w:rsidP="00BC6896"/>
    <w:p w14:paraId="4374D18A" w14:textId="77777777" w:rsidR="00187D5A" w:rsidRDefault="00187D5A" w:rsidP="00BC6896"/>
    <w:p w14:paraId="7397824E" w14:textId="75DEBBD8" w:rsidR="009B4A51" w:rsidRPr="00BC6896" w:rsidRDefault="009B4A51" w:rsidP="00BC6896">
      <w:pPr>
        <w:ind w:left="0"/>
        <w:jc w:val="center"/>
      </w:pPr>
      <w:r w:rsidRPr="00AA3192">
        <w:t xml:space="preserve">Submitted: </w:t>
      </w:r>
      <w:r w:rsidR="001017F8">
        <w:t>4/20/16</w:t>
      </w:r>
      <w:bookmarkStart w:id="0" w:name="_GoBack"/>
      <w:bookmarkEnd w:id="0"/>
    </w:p>
    <w:p w14:paraId="166EEF1D" w14:textId="77777777" w:rsidR="009B4A51" w:rsidRDefault="009B4A51" w:rsidP="00BC6896"/>
    <w:p w14:paraId="38D7D9EB" w14:textId="77777777" w:rsidR="009B4A51" w:rsidRDefault="009B4A51" w:rsidP="00BC6896"/>
    <w:p w14:paraId="4BCFD08E" w14:textId="77777777" w:rsidR="009B4A51" w:rsidRDefault="009B4A51" w:rsidP="00BC6896"/>
    <w:p w14:paraId="2BD2A0DF" w14:textId="77777777" w:rsidR="00AA3192" w:rsidRDefault="00AA3192" w:rsidP="00BC6896"/>
    <w:p w14:paraId="4A72600E" w14:textId="77777777" w:rsidR="009B4A51" w:rsidRDefault="009B4A51" w:rsidP="00BC6896"/>
    <w:p w14:paraId="20DBD925"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4F72F1D1" w14:textId="77777777" w:rsidR="00450EBE" w:rsidRPr="00F556C6" w:rsidRDefault="00450EBE" w:rsidP="00450EBE">
      <w:pPr>
        <w:ind w:left="0"/>
      </w:pPr>
      <w:r w:rsidRPr="00F556C6">
        <w:t>Jami Leichliter, PhD</w:t>
      </w:r>
    </w:p>
    <w:p w14:paraId="07B3CC40" w14:textId="77777777" w:rsidR="00450EBE" w:rsidRPr="00F556C6" w:rsidRDefault="00450EBE" w:rsidP="00450EBE">
      <w:pPr>
        <w:ind w:left="0"/>
      </w:pPr>
      <w:r w:rsidRPr="00F556C6">
        <w:t>Lead Health Scientist (policy)</w:t>
      </w:r>
    </w:p>
    <w:p w14:paraId="17AF6741" w14:textId="77777777" w:rsidR="00450EBE" w:rsidRPr="00F556C6" w:rsidRDefault="00450EBE" w:rsidP="00450EBE">
      <w:pPr>
        <w:ind w:left="0"/>
      </w:pPr>
      <w:r w:rsidRPr="00F556C6">
        <w:t>Division of STD Prevention, CDC</w:t>
      </w:r>
    </w:p>
    <w:p w14:paraId="3F18DE56" w14:textId="77777777" w:rsidR="00450EBE" w:rsidRPr="00F556C6" w:rsidRDefault="00450EBE" w:rsidP="00450EBE">
      <w:pPr>
        <w:ind w:left="0"/>
      </w:pPr>
      <w:r w:rsidRPr="00F556C6">
        <w:t>1600 Clifton Rd NE, MS E-02</w:t>
      </w:r>
    </w:p>
    <w:p w14:paraId="38166C26" w14:textId="77777777" w:rsidR="00450EBE" w:rsidRPr="00F556C6" w:rsidRDefault="00450EBE" w:rsidP="00450EBE">
      <w:pPr>
        <w:ind w:left="0"/>
      </w:pPr>
      <w:r w:rsidRPr="00F556C6">
        <w:t>1-404-639-1821</w:t>
      </w:r>
    </w:p>
    <w:p w14:paraId="4F3FBEA7" w14:textId="77777777" w:rsidR="00450EBE" w:rsidRPr="00F556C6" w:rsidRDefault="00450EBE" w:rsidP="00450EBE">
      <w:pPr>
        <w:ind w:left="0"/>
      </w:pPr>
      <w:r w:rsidRPr="00F556C6">
        <w:t>1-404-514-8507</w:t>
      </w:r>
    </w:p>
    <w:p w14:paraId="055C13D0" w14:textId="513CCEAC" w:rsidR="00BC6896" w:rsidRDefault="00450EBE" w:rsidP="00F00326">
      <w:pPr>
        <w:ind w:left="0"/>
        <w:rPr>
          <w:sz w:val="28"/>
        </w:rPr>
      </w:pPr>
      <w:r w:rsidRPr="00F556C6">
        <w:t>Gzl3@cdc.gov</w:t>
      </w:r>
      <w:r w:rsidR="00BC6896">
        <w:br w:type="page"/>
      </w:r>
    </w:p>
    <w:p w14:paraId="3870C571" w14:textId="77777777" w:rsidR="00245F1F" w:rsidRDefault="00245F1F" w:rsidP="00BC6896">
      <w:pPr>
        <w:pStyle w:val="Heading3"/>
      </w:pPr>
      <w:bookmarkStart w:id="1" w:name="_Toc413847909"/>
      <w:r>
        <w:lastRenderedPageBreak/>
        <w:t>Table of Contents</w:t>
      </w:r>
      <w:bookmarkEnd w:id="1"/>
    </w:p>
    <w:p w14:paraId="59534057"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69D81D99" w14:textId="77777777" w:rsidR="00245F1F" w:rsidRDefault="009E406B">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5807F1">
          <w:rPr>
            <w:noProof/>
            <w:webHidden/>
          </w:rPr>
          <w:t>3</w:t>
        </w:r>
        <w:r w:rsidR="00245F1F">
          <w:rPr>
            <w:noProof/>
            <w:webHidden/>
          </w:rPr>
          <w:fldChar w:fldCharType="end"/>
        </w:r>
      </w:hyperlink>
    </w:p>
    <w:p w14:paraId="22F4682D" w14:textId="77777777" w:rsidR="00245F1F" w:rsidRDefault="009E406B" w:rsidP="00A4592E">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5807F1">
          <w:rPr>
            <w:noProof/>
            <w:webHidden/>
          </w:rPr>
          <w:t>3</w:t>
        </w:r>
        <w:r w:rsidR="00245F1F">
          <w:rPr>
            <w:noProof/>
            <w:webHidden/>
          </w:rPr>
          <w:fldChar w:fldCharType="end"/>
        </w:r>
      </w:hyperlink>
    </w:p>
    <w:p w14:paraId="154D47EA" w14:textId="079A9AF1" w:rsidR="00245F1F" w:rsidRDefault="009E406B" w:rsidP="00A4592E">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sidR="005807F1">
          <w:rPr>
            <w:noProof/>
            <w:webHidden/>
          </w:rPr>
          <w:t>7</w:t>
        </w:r>
        <w:r w:rsidR="00245F1F">
          <w:rPr>
            <w:noProof/>
            <w:webHidden/>
          </w:rPr>
          <w:fldChar w:fldCharType="end"/>
        </w:r>
      </w:hyperlink>
    </w:p>
    <w:p w14:paraId="50CC8D03" w14:textId="5136D768" w:rsidR="00245F1F" w:rsidRDefault="009E406B" w:rsidP="00A4592E">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sidR="005807F1">
          <w:rPr>
            <w:noProof/>
            <w:webHidden/>
          </w:rPr>
          <w:t>7</w:t>
        </w:r>
        <w:r w:rsidR="00245F1F">
          <w:rPr>
            <w:noProof/>
            <w:webHidden/>
          </w:rPr>
          <w:fldChar w:fldCharType="end"/>
        </w:r>
      </w:hyperlink>
    </w:p>
    <w:p w14:paraId="524A7DFC" w14:textId="3FF2920A" w:rsidR="00245F1F" w:rsidRDefault="009E406B" w:rsidP="00A4592E">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5807F1">
          <w:rPr>
            <w:noProof/>
            <w:webHidden/>
          </w:rPr>
          <w:t>8</w:t>
        </w:r>
        <w:r w:rsidR="00245F1F">
          <w:rPr>
            <w:noProof/>
            <w:webHidden/>
          </w:rPr>
          <w:fldChar w:fldCharType="end"/>
        </w:r>
      </w:hyperlink>
    </w:p>
    <w:p w14:paraId="0ED01AD8" w14:textId="57D95AA1" w:rsidR="00245F1F" w:rsidRDefault="009E406B" w:rsidP="00A4592E">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sidR="005807F1">
          <w:rPr>
            <w:noProof/>
            <w:webHidden/>
          </w:rPr>
          <w:t>8</w:t>
        </w:r>
        <w:r w:rsidR="00245F1F">
          <w:rPr>
            <w:noProof/>
            <w:webHidden/>
          </w:rPr>
          <w:fldChar w:fldCharType="end"/>
        </w:r>
      </w:hyperlink>
    </w:p>
    <w:p w14:paraId="60A29254" w14:textId="4876B9E4" w:rsidR="00245F1F" w:rsidRDefault="009E406B">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sidR="005807F1">
          <w:rPr>
            <w:noProof/>
            <w:webHidden/>
          </w:rPr>
          <w:t>8</w:t>
        </w:r>
        <w:r w:rsidR="00245F1F">
          <w:rPr>
            <w:noProof/>
            <w:webHidden/>
          </w:rPr>
          <w:fldChar w:fldCharType="end"/>
        </w:r>
      </w:hyperlink>
    </w:p>
    <w:p w14:paraId="57D493C1" w14:textId="77777777" w:rsidR="00245F1F" w:rsidRDefault="00245F1F" w:rsidP="00BC6896">
      <w:pPr>
        <w:pStyle w:val="Heading3"/>
      </w:pPr>
      <w:r>
        <w:fldChar w:fldCharType="end"/>
      </w:r>
    </w:p>
    <w:p w14:paraId="11353AE4" w14:textId="77777777" w:rsidR="00245F1F" w:rsidRDefault="00245F1F">
      <w:pPr>
        <w:spacing w:after="200"/>
        <w:ind w:left="0"/>
        <w:rPr>
          <w:b/>
          <w:sz w:val="28"/>
        </w:rPr>
      </w:pPr>
      <w:bookmarkStart w:id="2" w:name="_Toc413847910"/>
      <w:r>
        <w:br w:type="page"/>
      </w:r>
    </w:p>
    <w:p w14:paraId="42210642" w14:textId="77777777" w:rsidR="00B12F51" w:rsidRPr="000A6110" w:rsidRDefault="00B12F51" w:rsidP="000A6110">
      <w:pPr>
        <w:pStyle w:val="Heading3"/>
        <w:rPr>
          <w:sz w:val="22"/>
        </w:rPr>
      </w:pPr>
      <w:r w:rsidRPr="000A6110">
        <w:rPr>
          <w:sz w:val="22"/>
        </w:rPr>
        <w:lastRenderedPageBreak/>
        <w:t xml:space="preserve">Section B – </w:t>
      </w:r>
      <w:r w:rsidR="00C84DC3" w:rsidRPr="000A6110">
        <w:rPr>
          <w:sz w:val="22"/>
        </w:rPr>
        <w:t>Information</w:t>
      </w:r>
      <w:r w:rsidR="00287E2F" w:rsidRPr="000A6110">
        <w:rPr>
          <w:sz w:val="22"/>
        </w:rPr>
        <w:t xml:space="preserve"> Collection Procedures</w:t>
      </w:r>
      <w:bookmarkEnd w:id="2"/>
    </w:p>
    <w:p w14:paraId="07F9EC1E" w14:textId="77777777" w:rsidR="00287E2F" w:rsidRPr="000A6110" w:rsidRDefault="00287E2F" w:rsidP="000A6110"/>
    <w:p w14:paraId="19E40215" w14:textId="77777777" w:rsidR="00A75D1C" w:rsidRPr="000A6110" w:rsidRDefault="009759F3" w:rsidP="000A6110">
      <w:pPr>
        <w:pStyle w:val="Heading4"/>
        <w:spacing w:after="0"/>
      </w:pPr>
      <w:bookmarkStart w:id="3" w:name="_Toc413847911"/>
      <w:r w:rsidRPr="000A6110">
        <w:t>Respondent Universe and Sampling Methods</w:t>
      </w:r>
      <w:bookmarkEnd w:id="3"/>
      <w:r w:rsidR="00A305CE" w:rsidRPr="000A6110">
        <w:t xml:space="preserve"> </w:t>
      </w:r>
    </w:p>
    <w:p w14:paraId="28DDC808" w14:textId="0DC62CC8" w:rsidR="00D65F39" w:rsidRPr="00C02445" w:rsidRDefault="00FE5F2F" w:rsidP="000A6110">
      <w:pPr>
        <w:ind w:left="0"/>
      </w:pPr>
      <w:r w:rsidRPr="00C02445">
        <w:t xml:space="preserve">The information collection will be distributed to up to 499 respondents over two data collection phases. </w:t>
      </w:r>
      <w:r w:rsidR="00A57FA9" w:rsidRPr="00C02445">
        <w:t xml:space="preserve">The National Association of County and City Health Officials (NACCHO) </w:t>
      </w:r>
      <w:r w:rsidR="001939B2" w:rsidRPr="00C02445">
        <w:t xml:space="preserve">is responsible for data collection in both phases.  </w:t>
      </w:r>
      <w:r w:rsidR="003324B8" w:rsidRPr="00C02445">
        <w:t xml:space="preserve">Collecting data in two phases is necessitated by differences across the country in how STD/HIV DIS positions are staffed, organized, and managed across states. State government authority over local health departments can vary by state laws. Thus, some local health departments are local or regional units of the state health agency, others are agencies of local government, and others are governed by both state and local authorities.  Therefore, collecting data in two phases will allow us to obtain the best possible estimates of the number of DIS and other key information while minimizing the burden as much as possible.  </w:t>
      </w:r>
    </w:p>
    <w:p w14:paraId="75EF2C95" w14:textId="77777777" w:rsidR="00FE5F2F" w:rsidRPr="00C02445" w:rsidRDefault="00FE5F2F" w:rsidP="000A6110">
      <w:pPr>
        <w:ind w:left="0"/>
      </w:pPr>
    </w:p>
    <w:p w14:paraId="32B98B37" w14:textId="141CF164" w:rsidR="009E43E9" w:rsidRPr="00C02445" w:rsidRDefault="00FE5F2F" w:rsidP="003324B8">
      <w:r w:rsidRPr="00C02445">
        <w:rPr>
          <w:b/>
        </w:rPr>
        <w:t>Phase I:</w:t>
      </w:r>
      <w:r w:rsidRPr="00C02445">
        <w:t xml:space="preserve"> The information collection will be distributed to STD/HIV program managers from all 50 state health departments</w:t>
      </w:r>
      <w:r w:rsidR="004A5105" w:rsidRPr="00C02445">
        <w:t>, who</w:t>
      </w:r>
      <w:r w:rsidRPr="00C02445">
        <w:t xml:space="preserve"> receiv</w:t>
      </w:r>
      <w:r w:rsidR="004A5105" w:rsidRPr="00C02445">
        <w:t>e</w:t>
      </w:r>
      <w:r w:rsidRPr="00C02445">
        <w:t xml:space="preserve"> direct funding from the Centers for Disease Control and Prevention (CDC) for STD and/or HIV prevention. Additionally, the information collection will be distributed to </w:t>
      </w:r>
      <w:r w:rsidR="00E2195A" w:rsidRPr="00C02445">
        <w:t xml:space="preserve">STD/HIV program managers </w:t>
      </w:r>
      <w:r w:rsidRPr="00C02445">
        <w:t>representing</w:t>
      </w:r>
      <w:r w:rsidR="004A5105" w:rsidRPr="00C02445">
        <w:t xml:space="preserve"> eight</w:t>
      </w:r>
      <w:r w:rsidRPr="00C02445">
        <w:t xml:space="preserve"> US territories or other non-state entities that receive direct funding from the CDC for STD and/or HIV prevention</w:t>
      </w:r>
      <w:r w:rsidR="004A5105" w:rsidRPr="00C02445">
        <w:t xml:space="preserve">, as well as </w:t>
      </w:r>
      <w:r w:rsidRPr="00C02445">
        <w:t>the D</w:t>
      </w:r>
      <w:r w:rsidR="004A5105" w:rsidRPr="00C02445">
        <w:t xml:space="preserve">istrict of </w:t>
      </w:r>
      <w:r w:rsidRPr="00C02445">
        <w:t>C</w:t>
      </w:r>
      <w:r w:rsidR="004A5105" w:rsidRPr="00C02445">
        <w:t>olumbia (DC)</w:t>
      </w:r>
      <w:r w:rsidRPr="00C02445">
        <w:t xml:space="preserve"> Department of Health,</w:t>
      </w:r>
      <w:r w:rsidR="004A5105" w:rsidRPr="00C02445">
        <w:t xml:space="preserve"> which is</w:t>
      </w:r>
      <w:r w:rsidRPr="00C02445">
        <w:t xml:space="preserve"> a non-state entity and receives direct funding from the CDC for STD and/or HIV prevention. The total number of potential respondents in phase I will be 59 (50 state</w:t>
      </w:r>
      <w:r w:rsidR="004A5105" w:rsidRPr="00C02445">
        <w:t>s,</w:t>
      </w:r>
      <w:r w:rsidRPr="00C02445">
        <w:t xml:space="preserve"> </w:t>
      </w:r>
      <w:r w:rsidR="004A5105" w:rsidRPr="00C02445">
        <w:t>8</w:t>
      </w:r>
      <w:r w:rsidRPr="00C02445">
        <w:t xml:space="preserve"> territories</w:t>
      </w:r>
      <w:r w:rsidR="004A5105" w:rsidRPr="00C02445">
        <w:t xml:space="preserve">, and the </w:t>
      </w:r>
      <w:r w:rsidRPr="00C02445">
        <w:t>DC</w:t>
      </w:r>
      <w:r w:rsidR="004A5105" w:rsidRPr="00C02445">
        <w:t xml:space="preserve"> Department of Health</w:t>
      </w:r>
      <w:r w:rsidRPr="00C02445">
        <w:t xml:space="preserve">). </w:t>
      </w:r>
    </w:p>
    <w:p w14:paraId="1595BE99" w14:textId="77777777" w:rsidR="009E43E9" w:rsidRPr="00C02445" w:rsidRDefault="009E43E9" w:rsidP="003324B8"/>
    <w:p w14:paraId="5E4410CB" w14:textId="4DD690FD" w:rsidR="009E43E9" w:rsidRPr="00C02445" w:rsidRDefault="009E43E9" w:rsidP="003324B8">
      <w:r w:rsidRPr="00C02445">
        <w:t xml:space="preserve">To account for the potential inability of a state health department to provide the information being requested, the following question is included on the survey: </w:t>
      </w:r>
      <w:r w:rsidRPr="00C02445">
        <w:rPr>
          <w:i/>
        </w:rPr>
        <w:t xml:space="preserve">Is your health department able to provide, with relative certainty, the total number of STD/HIV DIS positions within your health department? </w:t>
      </w:r>
      <w:r w:rsidRPr="00C02445">
        <w:t xml:space="preserve">If the answer is “No,” a message will appear, letting the respondent know that a sample of LHDs in that state will be contacted (see phase II). </w:t>
      </w:r>
    </w:p>
    <w:p w14:paraId="448F6278" w14:textId="77777777" w:rsidR="009E43E9" w:rsidRPr="00C02445" w:rsidRDefault="009E43E9" w:rsidP="003324B8"/>
    <w:p w14:paraId="45767836" w14:textId="54F02E71" w:rsidR="00C670F0" w:rsidRDefault="00FE5F2F" w:rsidP="003324B8">
      <w:r w:rsidRPr="00C02445">
        <w:rPr>
          <w:b/>
        </w:rPr>
        <w:t>Phase II:</w:t>
      </w:r>
      <w:r w:rsidRPr="00C02445">
        <w:t xml:space="preserve"> The strategy for collection for phase II will depend on </w:t>
      </w:r>
      <w:r w:rsidR="00C670F0" w:rsidRPr="00C02445">
        <w:t>responses from</w:t>
      </w:r>
      <w:r w:rsidRPr="00C02445">
        <w:t xml:space="preserve"> </w:t>
      </w:r>
      <w:r w:rsidR="004A5105" w:rsidRPr="00C02445">
        <w:t>p</w:t>
      </w:r>
      <w:r w:rsidRPr="00C02445">
        <w:t xml:space="preserve">hase I. </w:t>
      </w:r>
      <w:r w:rsidR="00125942" w:rsidRPr="00C02445">
        <w:t xml:space="preserve">If a state does not respond to the survey, </w:t>
      </w:r>
      <w:r w:rsidR="009E43E9" w:rsidRPr="00C02445">
        <w:t>or answers “No” to the question outlined above (asking about the state health department</w:t>
      </w:r>
      <w:r w:rsidR="004A5105" w:rsidRPr="00C02445">
        <w:t>’</w:t>
      </w:r>
      <w:r w:rsidR="009E43E9" w:rsidRPr="00C02445">
        <w:t>s ability to respond to the survey),</w:t>
      </w:r>
      <w:r w:rsidR="004A5105" w:rsidRPr="00C02445">
        <w:t xml:space="preserve"> a random sample of</w:t>
      </w:r>
      <w:r w:rsidR="009E43E9" w:rsidRPr="00C02445">
        <w:t xml:space="preserve"> </w:t>
      </w:r>
      <w:r w:rsidR="00E2195A" w:rsidRPr="00C02445">
        <w:t xml:space="preserve">STD/HIV program managers in </w:t>
      </w:r>
      <w:r w:rsidR="00125942" w:rsidRPr="00C02445">
        <w:t>local health departments from that state will be invited to participate</w:t>
      </w:r>
      <w:r w:rsidR="00C670F0" w:rsidRPr="00C02445">
        <w:t>.</w:t>
      </w:r>
      <w:r w:rsidR="00125942" w:rsidRPr="00C02445">
        <w:t xml:space="preserve"> </w:t>
      </w:r>
      <w:r w:rsidR="00C670F0" w:rsidRPr="00C02445">
        <w:t xml:space="preserve">The percentage of local health departments within a state that are </w:t>
      </w:r>
      <w:r w:rsidR="004A5105" w:rsidRPr="00C02445">
        <w:t xml:space="preserve">included in the sample that is </w:t>
      </w:r>
      <w:r w:rsidR="00C670F0" w:rsidRPr="00C02445">
        <w:t xml:space="preserve">invited to participate will depend on the </w:t>
      </w:r>
      <w:r w:rsidR="004A5105" w:rsidRPr="00C02445">
        <w:t xml:space="preserve">total </w:t>
      </w:r>
      <w:r w:rsidR="00C670F0" w:rsidRPr="00C02445">
        <w:t xml:space="preserve">number of local health departments in that state (i.e., the fewer </w:t>
      </w:r>
      <w:r w:rsidR="004A5105" w:rsidRPr="00C02445">
        <w:t>local health departments there are</w:t>
      </w:r>
      <w:r w:rsidR="00C670F0" w:rsidRPr="00C02445">
        <w:t xml:space="preserve"> in a state, the larger the percentage of </w:t>
      </w:r>
      <w:r w:rsidR="004A5105" w:rsidRPr="00C02445">
        <w:t xml:space="preserve">local health departments </w:t>
      </w:r>
      <w:r w:rsidR="00C670F0" w:rsidRPr="00C02445">
        <w:t xml:space="preserve">invited to participate; see table below). </w:t>
      </w:r>
      <w:r w:rsidR="005807F1" w:rsidRPr="00C02445">
        <w:t xml:space="preserve">In </w:t>
      </w:r>
      <w:r w:rsidR="00AA6212" w:rsidRPr="00C02445">
        <w:t>p</w:t>
      </w:r>
      <w:r w:rsidR="005807F1" w:rsidRPr="00C02445">
        <w:t>hase II, random sampling</w:t>
      </w:r>
      <w:r w:rsidR="00AA6212" w:rsidRPr="00C02445">
        <w:t xml:space="preserve"> will be used</w:t>
      </w:r>
      <w:r w:rsidR="005807F1" w:rsidRPr="00C02445">
        <w:t xml:space="preserve"> to determine who will receive the information </w:t>
      </w:r>
      <w:r w:rsidR="00C02445">
        <w:t>collection</w:t>
      </w:r>
      <w:r w:rsidR="005807F1" w:rsidRPr="00C02445">
        <w:t xml:space="preserve">. </w:t>
      </w:r>
    </w:p>
    <w:p w14:paraId="4F38E684" w14:textId="77777777" w:rsidR="00C02445" w:rsidRDefault="00C02445" w:rsidP="003324B8"/>
    <w:p w14:paraId="0F1E204B" w14:textId="77777777" w:rsidR="00C02445" w:rsidRPr="00C02445" w:rsidRDefault="00C02445" w:rsidP="003324B8"/>
    <w:p w14:paraId="55187215" w14:textId="77777777" w:rsidR="00C670F0" w:rsidRPr="00C02445" w:rsidRDefault="00C670F0" w:rsidP="000A6110">
      <w:pPr>
        <w:ind w:left="0"/>
      </w:pPr>
    </w:p>
    <w:tbl>
      <w:tblPr>
        <w:tblStyle w:val="TableGrid"/>
        <w:tblW w:w="0" w:type="auto"/>
        <w:jc w:val="center"/>
        <w:tblLayout w:type="fixed"/>
        <w:tblLook w:val="04A0" w:firstRow="1" w:lastRow="0" w:firstColumn="1" w:lastColumn="0" w:noHBand="0" w:noVBand="1"/>
      </w:tblPr>
      <w:tblGrid>
        <w:gridCol w:w="3235"/>
        <w:gridCol w:w="2160"/>
      </w:tblGrid>
      <w:tr w:rsidR="00C670F0" w:rsidRPr="00C02445" w14:paraId="3CB0194A" w14:textId="77777777" w:rsidTr="00A75030">
        <w:trPr>
          <w:jc w:val="center"/>
        </w:trPr>
        <w:tc>
          <w:tcPr>
            <w:tcW w:w="5395" w:type="dxa"/>
            <w:gridSpan w:val="2"/>
          </w:tcPr>
          <w:p w14:paraId="15C188F7" w14:textId="274E7394" w:rsidR="00C670F0" w:rsidRPr="00C02445" w:rsidRDefault="00C670F0" w:rsidP="00AA6212">
            <w:pPr>
              <w:ind w:left="67"/>
              <w:rPr>
                <w:b/>
                <w:color w:val="000000" w:themeColor="text1"/>
              </w:rPr>
            </w:pPr>
            <w:r w:rsidRPr="00C02445">
              <w:rPr>
                <w:b/>
                <w:color w:val="000000" w:themeColor="text1"/>
              </w:rPr>
              <w:lastRenderedPageBreak/>
              <w:t xml:space="preserve">Sampling Strategy by Number of </w:t>
            </w:r>
            <w:r w:rsidR="00AA6212" w:rsidRPr="00C02445">
              <w:rPr>
                <w:b/>
                <w:color w:val="000000" w:themeColor="text1"/>
              </w:rPr>
              <w:t>Local Health Departments</w:t>
            </w:r>
            <w:r w:rsidRPr="00C02445">
              <w:rPr>
                <w:b/>
                <w:color w:val="000000" w:themeColor="text1"/>
              </w:rPr>
              <w:t xml:space="preserve"> by State</w:t>
            </w:r>
          </w:p>
        </w:tc>
      </w:tr>
      <w:tr w:rsidR="00C670F0" w:rsidRPr="00C02445" w14:paraId="6F824FD4" w14:textId="77777777" w:rsidTr="00C670F0">
        <w:trPr>
          <w:jc w:val="center"/>
        </w:trPr>
        <w:tc>
          <w:tcPr>
            <w:tcW w:w="3235" w:type="dxa"/>
          </w:tcPr>
          <w:p w14:paraId="3B4C04F2" w14:textId="77777777" w:rsidR="00C670F0" w:rsidRPr="00C02445" w:rsidRDefault="00C670F0" w:rsidP="00C670F0">
            <w:pPr>
              <w:spacing w:line="276" w:lineRule="auto"/>
              <w:ind w:left="67"/>
              <w:rPr>
                <w:b/>
                <w:color w:val="000000" w:themeColor="text1"/>
              </w:rPr>
            </w:pPr>
            <w:r w:rsidRPr="00C02445">
              <w:rPr>
                <w:b/>
                <w:color w:val="000000" w:themeColor="text1"/>
              </w:rPr>
              <w:t>Total Number of Local Health Departments in the State</w:t>
            </w:r>
          </w:p>
        </w:tc>
        <w:tc>
          <w:tcPr>
            <w:tcW w:w="2160" w:type="dxa"/>
          </w:tcPr>
          <w:p w14:paraId="6E668ED4" w14:textId="77777777" w:rsidR="00C670F0" w:rsidRPr="00C02445" w:rsidRDefault="00C670F0" w:rsidP="00C670F0">
            <w:pPr>
              <w:spacing w:line="276" w:lineRule="auto"/>
              <w:ind w:left="67"/>
              <w:rPr>
                <w:b/>
                <w:color w:val="000000" w:themeColor="text1"/>
              </w:rPr>
            </w:pPr>
            <w:r w:rsidRPr="00C02445">
              <w:rPr>
                <w:b/>
                <w:color w:val="000000" w:themeColor="text1"/>
              </w:rPr>
              <w:t>Percent Sampled</w:t>
            </w:r>
          </w:p>
        </w:tc>
      </w:tr>
      <w:tr w:rsidR="00C670F0" w:rsidRPr="00C02445" w14:paraId="231E6EB6" w14:textId="77777777" w:rsidTr="00C670F0">
        <w:trPr>
          <w:jc w:val="center"/>
        </w:trPr>
        <w:tc>
          <w:tcPr>
            <w:tcW w:w="3235" w:type="dxa"/>
          </w:tcPr>
          <w:p w14:paraId="753D58BF" w14:textId="77777777" w:rsidR="00C670F0" w:rsidRPr="00C02445" w:rsidRDefault="00C670F0" w:rsidP="00C670F0">
            <w:pPr>
              <w:spacing w:line="276" w:lineRule="auto"/>
              <w:ind w:left="67"/>
              <w:rPr>
                <w:color w:val="000000" w:themeColor="text1"/>
              </w:rPr>
            </w:pPr>
            <w:r w:rsidRPr="00C02445">
              <w:rPr>
                <w:color w:val="000000" w:themeColor="text1"/>
              </w:rPr>
              <w:t>1-19</w:t>
            </w:r>
          </w:p>
        </w:tc>
        <w:tc>
          <w:tcPr>
            <w:tcW w:w="2160" w:type="dxa"/>
          </w:tcPr>
          <w:p w14:paraId="4D828468" w14:textId="77777777" w:rsidR="00C670F0" w:rsidRPr="00C02445" w:rsidRDefault="00C670F0" w:rsidP="00C670F0">
            <w:pPr>
              <w:spacing w:line="276" w:lineRule="auto"/>
              <w:ind w:left="67"/>
              <w:rPr>
                <w:color w:val="000000" w:themeColor="text1"/>
              </w:rPr>
            </w:pPr>
            <w:r w:rsidRPr="00C02445">
              <w:rPr>
                <w:color w:val="000000" w:themeColor="text1"/>
              </w:rPr>
              <w:t>100%</w:t>
            </w:r>
          </w:p>
        </w:tc>
      </w:tr>
      <w:tr w:rsidR="00C670F0" w:rsidRPr="00C02445" w14:paraId="3BC4C3B7" w14:textId="77777777" w:rsidTr="00C670F0">
        <w:trPr>
          <w:jc w:val="center"/>
        </w:trPr>
        <w:tc>
          <w:tcPr>
            <w:tcW w:w="3235" w:type="dxa"/>
          </w:tcPr>
          <w:p w14:paraId="618A094B" w14:textId="77777777" w:rsidR="00C670F0" w:rsidRPr="00C02445" w:rsidRDefault="00C670F0" w:rsidP="00C670F0">
            <w:pPr>
              <w:spacing w:line="276" w:lineRule="auto"/>
              <w:ind w:left="67"/>
              <w:rPr>
                <w:color w:val="000000" w:themeColor="text1"/>
              </w:rPr>
            </w:pPr>
            <w:r w:rsidRPr="00C02445">
              <w:rPr>
                <w:color w:val="000000" w:themeColor="text1"/>
              </w:rPr>
              <w:t>20-44</w:t>
            </w:r>
          </w:p>
        </w:tc>
        <w:tc>
          <w:tcPr>
            <w:tcW w:w="2160" w:type="dxa"/>
          </w:tcPr>
          <w:p w14:paraId="07935F89" w14:textId="77777777" w:rsidR="00C670F0" w:rsidRPr="00C02445" w:rsidRDefault="00C670F0" w:rsidP="00C670F0">
            <w:pPr>
              <w:spacing w:line="276" w:lineRule="auto"/>
              <w:ind w:left="67"/>
              <w:rPr>
                <w:color w:val="000000" w:themeColor="text1"/>
              </w:rPr>
            </w:pPr>
            <w:r w:rsidRPr="00C02445">
              <w:rPr>
                <w:color w:val="000000" w:themeColor="text1"/>
              </w:rPr>
              <w:t>55%</w:t>
            </w:r>
          </w:p>
        </w:tc>
      </w:tr>
      <w:tr w:rsidR="00C670F0" w:rsidRPr="00C02445" w14:paraId="685609A1" w14:textId="77777777" w:rsidTr="00C670F0">
        <w:trPr>
          <w:jc w:val="center"/>
        </w:trPr>
        <w:tc>
          <w:tcPr>
            <w:tcW w:w="3235" w:type="dxa"/>
          </w:tcPr>
          <w:p w14:paraId="06951F1F" w14:textId="77777777" w:rsidR="00C670F0" w:rsidRPr="00C02445" w:rsidRDefault="00C670F0" w:rsidP="00C670F0">
            <w:pPr>
              <w:spacing w:line="276" w:lineRule="auto"/>
              <w:ind w:left="67"/>
              <w:rPr>
                <w:color w:val="000000" w:themeColor="text1"/>
              </w:rPr>
            </w:pPr>
            <w:r w:rsidRPr="00C02445">
              <w:rPr>
                <w:color w:val="000000" w:themeColor="text1"/>
              </w:rPr>
              <w:t>45+</w:t>
            </w:r>
          </w:p>
        </w:tc>
        <w:tc>
          <w:tcPr>
            <w:tcW w:w="2160" w:type="dxa"/>
          </w:tcPr>
          <w:p w14:paraId="21D7A15C" w14:textId="77777777" w:rsidR="00C670F0" w:rsidRPr="00C02445" w:rsidRDefault="00C670F0" w:rsidP="00C670F0">
            <w:pPr>
              <w:spacing w:line="276" w:lineRule="auto"/>
              <w:ind w:left="67"/>
              <w:rPr>
                <w:color w:val="000000" w:themeColor="text1"/>
              </w:rPr>
            </w:pPr>
            <w:r w:rsidRPr="00C02445">
              <w:rPr>
                <w:color w:val="000000" w:themeColor="text1"/>
              </w:rPr>
              <w:t>38%</w:t>
            </w:r>
          </w:p>
        </w:tc>
      </w:tr>
    </w:tbl>
    <w:p w14:paraId="25DD7130" w14:textId="77777777" w:rsidR="00C670F0" w:rsidRPr="00C02445" w:rsidRDefault="00C670F0" w:rsidP="000A6110">
      <w:pPr>
        <w:ind w:left="0"/>
      </w:pPr>
    </w:p>
    <w:p w14:paraId="04413C5B" w14:textId="2C52E4FB" w:rsidR="00C670F0" w:rsidRPr="00C02445" w:rsidRDefault="00C670F0" w:rsidP="00C02445">
      <w:pPr>
        <w:ind w:left="0"/>
      </w:pPr>
      <w:r w:rsidRPr="00C02445">
        <w:t xml:space="preserve">For example, if the state of Alabama does not respond to the survey in </w:t>
      </w:r>
      <w:r w:rsidR="00AA6212" w:rsidRPr="00C02445">
        <w:t>p</w:t>
      </w:r>
      <w:r w:rsidRPr="00C02445">
        <w:t xml:space="preserve">hase I, local health departments from Alabama will be invited to participate in the information collection. There are 67 </w:t>
      </w:r>
      <w:r w:rsidR="00AA6212" w:rsidRPr="00C02445">
        <w:t xml:space="preserve">local health departments </w:t>
      </w:r>
      <w:r w:rsidRPr="00C02445">
        <w:t xml:space="preserve">in Alabama. According to the pre-identified </w:t>
      </w:r>
      <w:r w:rsidR="00A76DA3" w:rsidRPr="00C02445">
        <w:t xml:space="preserve">random </w:t>
      </w:r>
      <w:r w:rsidRPr="00C02445">
        <w:t>sampling strategy</w:t>
      </w:r>
      <w:r w:rsidR="00AA6212" w:rsidRPr="00C02445">
        <w:t xml:space="preserve"> outline in the table above</w:t>
      </w:r>
      <w:r w:rsidRPr="00C02445">
        <w:t>,</w:t>
      </w:r>
      <w:r w:rsidR="00707211" w:rsidRPr="00C02445">
        <w:t xml:space="preserve"> a random sample of Local Health Departments, equaling 38% of the total population of LHDs, </w:t>
      </w:r>
      <w:r w:rsidRPr="00C02445">
        <w:t xml:space="preserve">will be invited to participate in the information collection. </w:t>
      </w:r>
      <w:r w:rsidRPr="00C02445">
        <w:rPr>
          <w:color w:val="000000" w:themeColor="text1"/>
        </w:rPr>
        <w:t>NACCHO uses a similar sampling methodology for its Forces of Change assessment (previously Economic Surveillance assessment) to make state-level estimates, which is how these percentages were chosen.</w:t>
      </w:r>
    </w:p>
    <w:p w14:paraId="2398754F" w14:textId="77777777" w:rsidR="00C670F0" w:rsidRPr="00C02445" w:rsidRDefault="00C670F0" w:rsidP="000A6110">
      <w:pPr>
        <w:ind w:left="0"/>
      </w:pPr>
    </w:p>
    <w:p w14:paraId="3621BC9B" w14:textId="19FC1D32" w:rsidR="00C670F0" w:rsidRPr="00C02445" w:rsidRDefault="00C670F0" w:rsidP="000A6110">
      <w:pPr>
        <w:ind w:left="0"/>
      </w:pPr>
      <w:r w:rsidRPr="00C02445">
        <w:t>I</w:t>
      </w:r>
      <w:r w:rsidR="00023FF7" w:rsidRPr="00C02445">
        <w:t>n</w:t>
      </w:r>
      <w:r w:rsidRPr="00C02445">
        <w:t xml:space="preserve"> addition to the procedures above for phase II, the following </w:t>
      </w:r>
      <w:r w:rsidR="00AA6212" w:rsidRPr="00C02445">
        <w:t xml:space="preserve">eight </w:t>
      </w:r>
      <w:r w:rsidRPr="00C02445">
        <w:t>jurisdictions (Baltimore, MD, Chicago, IL, Fulton County, GA, Houston, TX, Los Angeles, CA, New York City, NY, Philadelphia, PA, and San Francisco, CA) will be invited to participate</w:t>
      </w:r>
      <w:r w:rsidR="00AA6212" w:rsidRPr="00C02445">
        <w:t>,</w:t>
      </w:r>
      <w:r w:rsidRPr="00C02445">
        <w:t xml:space="preserve"> if their corresponding state do</w:t>
      </w:r>
      <w:r w:rsidR="00AA6212" w:rsidRPr="00C02445">
        <w:t>es</w:t>
      </w:r>
      <w:r w:rsidRPr="00C02445">
        <w:t xml:space="preserve"> not respond in phase I</w:t>
      </w:r>
      <w:r w:rsidR="00AA6212" w:rsidRPr="00C02445">
        <w:t>, or does not include the STD/HIV DIS within these jurisdictions in their response (the state health department will be asked to note this in the information collection instrument)</w:t>
      </w:r>
      <w:r w:rsidRPr="00C02445">
        <w:t>.</w:t>
      </w:r>
      <w:r w:rsidR="00AA6212" w:rsidRPr="00C02445">
        <w:t xml:space="preserve"> These eight cities and counties receive direct funding from CDC for STD and/or HIV prevention. As such, the state health department may prefer that the jurisdiction reply directly to this information collection, as opposed to the state replying on their behalf. </w:t>
      </w:r>
      <w:r w:rsidR="00002497" w:rsidRPr="00C02445">
        <w:t xml:space="preserve"> </w:t>
      </w:r>
    </w:p>
    <w:p w14:paraId="13120643" w14:textId="0E259F8D" w:rsidR="00023FF7" w:rsidRPr="00C02445" w:rsidRDefault="00023FF7" w:rsidP="000A6110">
      <w:pPr>
        <w:ind w:left="0"/>
      </w:pPr>
    </w:p>
    <w:p w14:paraId="3DE5A519" w14:textId="5BA6387E" w:rsidR="005807F1" w:rsidRPr="00C02445" w:rsidRDefault="00023FF7" w:rsidP="00C45929">
      <w:pPr>
        <w:ind w:left="0"/>
      </w:pPr>
      <w:r w:rsidRPr="00C02445">
        <w:t xml:space="preserve">The </w:t>
      </w:r>
      <w:r w:rsidR="008E7CD7" w:rsidRPr="00C02445">
        <w:t>target</w:t>
      </w:r>
      <w:r w:rsidRPr="00C02445">
        <w:t xml:space="preserve"> response rate for phase I is 60% based on</w:t>
      </w:r>
      <w:r w:rsidR="00AA6212" w:rsidRPr="00C02445">
        <w:t xml:space="preserve"> information received from the</w:t>
      </w:r>
      <w:r w:rsidRPr="00C02445">
        <w:t xml:space="preserve"> </w:t>
      </w:r>
      <w:r w:rsidR="00226C35" w:rsidRPr="00C02445">
        <w:t>National Coalition of STD Directors (</w:t>
      </w:r>
      <w:r w:rsidRPr="00C02445">
        <w:t>NCSD</w:t>
      </w:r>
      <w:r w:rsidR="00226C35" w:rsidRPr="00C02445">
        <w:t>)</w:t>
      </w:r>
      <w:r w:rsidRPr="00C02445">
        <w:t xml:space="preserve"> and lessons learned from </w:t>
      </w:r>
      <w:r w:rsidR="00707211" w:rsidRPr="00C02445">
        <w:t xml:space="preserve">past efforts </w:t>
      </w:r>
      <w:r w:rsidRPr="00C02445">
        <w:t xml:space="preserve"> to establish a registry of </w:t>
      </w:r>
      <w:r w:rsidR="00AA6212" w:rsidRPr="00C02445">
        <w:t xml:space="preserve">STD/HIV </w:t>
      </w:r>
      <w:r w:rsidRPr="00C02445">
        <w:t xml:space="preserve">DIS. </w:t>
      </w:r>
      <w:r w:rsidR="00AA6212" w:rsidRPr="00C02445">
        <w:t>NCSD’s</w:t>
      </w:r>
      <w:r w:rsidR="00226C35" w:rsidRPr="00C02445">
        <w:t xml:space="preserve"> effort did not include </w:t>
      </w:r>
      <w:r w:rsidR="00AA6212" w:rsidRPr="00C02445">
        <w:t>the</w:t>
      </w:r>
      <w:r w:rsidR="00226C35" w:rsidRPr="00C02445">
        <w:t xml:space="preserve"> definition of </w:t>
      </w:r>
      <w:r w:rsidR="005807F1" w:rsidRPr="00C02445">
        <w:t xml:space="preserve">STD/HIV </w:t>
      </w:r>
      <w:r w:rsidR="00226C35" w:rsidRPr="00C02445">
        <w:t>DI</w:t>
      </w:r>
      <w:r w:rsidR="005807F1" w:rsidRPr="00C02445">
        <w:t>S</w:t>
      </w:r>
      <w:r w:rsidR="00AA6212" w:rsidRPr="00C02445">
        <w:t xml:space="preserve"> that is being utilized for the purpose of this information collection</w:t>
      </w:r>
      <w:r w:rsidR="005807F1" w:rsidRPr="00C02445">
        <w:t>.</w:t>
      </w:r>
      <w:r w:rsidR="00226C35" w:rsidRPr="00C02445">
        <w:t xml:space="preserve"> </w:t>
      </w:r>
      <w:r w:rsidRPr="00C02445">
        <w:t xml:space="preserve">Therefore, it is expected that </w:t>
      </w:r>
      <w:r w:rsidR="007E0599" w:rsidRPr="00C02445">
        <w:t>local health departments</w:t>
      </w:r>
      <w:r w:rsidRPr="00C02445">
        <w:t xml:space="preserve"> from 40% of states will be invited to participate in the information collection</w:t>
      </w:r>
      <w:r w:rsidR="007E0599" w:rsidRPr="00C02445">
        <w:t xml:space="preserve"> under phase II</w:t>
      </w:r>
      <w:r w:rsidRPr="00C02445">
        <w:t>.</w:t>
      </w:r>
      <w:r w:rsidR="008E7CD7" w:rsidRPr="00C02445">
        <w:t xml:space="preserve"> The target response rate for phase II is 80%.</w:t>
      </w:r>
      <w:r w:rsidRPr="00C02445">
        <w:t xml:space="preserve"> </w:t>
      </w:r>
      <w:r w:rsidR="005807F1" w:rsidRPr="00C02445">
        <w:t xml:space="preserve">If the </w:t>
      </w:r>
      <w:r w:rsidR="007E0599" w:rsidRPr="00C02445">
        <w:t>p</w:t>
      </w:r>
      <w:r w:rsidR="005807F1" w:rsidRPr="00C02445">
        <w:t xml:space="preserve">hase </w:t>
      </w:r>
      <w:r w:rsidR="007E0599" w:rsidRPr="00C02445">
        <w:t>I</w:t>
      </w:r>
      <w:r w:rsidR="005807F1" w:rsidRPr="00C02445">
        <w:t xml:space="preserve"> response rate is lower than estimated, then the percentage of local health departments sampled will be adjusted to assure that no more than 4</w:t>
      </w:r>
      <w:r w:rsidR="007E0599" w:rsidRPr="00C02445">
        <w:t>40</w:t>
      </w:r>
      <w:r w:rsidR="005807F1" w:rsidRPr="00C02445">
        <w:t xml:space="preserve"> local health departments are included in the sample.   </w:t>
      </w:r>
    </w:p>
    <w:p w14:paraId="0FD90586" w14:textId="28A2F1C7" w:rsidR="00D65F39" w:rsidRDefault="005807F1" w:rsidP="005807F1">
      <w:pPr>
        <w:ind w:left="0"/>
      </w:pPr>
      <w:r w:rsidRPr="00C02445" w:rsidDel="005807F1">
        <w:rPr>
          <w:rStyle w:val="CommentReference"/>
        </w:rPr>
        <w:t xml:space="preserve"> </w:t>
      </w:r>
    </w:p>
    <w:p w14:paraId="466248CD" w14:textId="1A6D46E3" w:rsidR="00287E2F" w:rsidRPr="000A6110" w:rsidRDefault="00287E2F" w:rsidP="000A6110">
      <w:pPr>
        <w:pStyle w:val="Heading4"/>
        <w:spacing w:after="0"/>
      </w:pPr>
      <w:bookmarkStart w:id="4" w:name="_Toc413847912"/>
      <w:r w:rsidRPr="000A6110">
        <w:t xml:space="preserve">Procedures for </w:t>
      </w:r>
      <w:r w:rsidR="009759F3" w:rsidRPr="000A6110">
        <w:t xml:space="preserve">the </w:t>
      </w:r>
      <w:r w:rsidRPr="000A6110">
        <w:t>Collecti</w:t>
      </w:r>
      <w:r w:rsidR="009759F3" w:rsidRPr="000A6110">
        <w:t>on</w:t>
      </w:r>
      <w:r w:rsidRPr="000A6110">
        <w:t xml:space="preserve"> of Information</w:t>
      </w:r>
      <w:bookmarkEnd w:id="4"/>
      <w:r w:rsidR="00F725B5" w:rsidRPr="000A6110">
        <w:t xml:space="preserve"> </w:t>
      </w:r>
      <w:r w:rsidR="009759F3" w:rsidRPr="000A6110">
        <w:t xml:space="preserve">  </w:t>
      </w:r>
    </w:p>
    <w:p w14:paraId="438FCD32" w14:textId="5CBF6A32" w:rsidR="00991BF9" w:rsidRPr="000A6110" w:rsidRDefault="00F33DDA" w:rsidP="000A6110">
      <w:pPr>
        <w:ind w:left="0"/>
      </w:pPr>
      <w:r w:rsidRPr="000A6110">
        <w:t>Information</w:t>
      </w:r>
      <w:r w:rsidR="00991BF9" w:rsidRPr="000A6110">
        <w:t xml:space="preserve"> will be collected through a one-time assessment</w:t>
      </w:r>
      <w:r w:rsidR="00E83A11">
        <w:t xml:space="preserve"> conducted via a </w:t>
      </w:r>
      <w:r w:rsidR="00B74701">
        <w:t>web</w:t>
      </w:r>
      <w:r w:rsidR="00E83A11">
        <w:t xml:space="preserve"> instrument</w:t>
      </w:r>
      <w:r w:rsidR="00044327" w:rsidRPr="000A6110">
        <w:t>.</w:t>
      </w:r>
      <w:r w:rsidR="00991BF9" w:rsidRPr="000A6110">
        <w:t xml:space="preserve"> </w:t>
      </w:r>
      <w:r w:rsidRPr="000A6110">
        <w:t>R</w:t>
      </w:r>
      <w:r w:rsidR="00991BF9" w:rsidRPr="000A6110">
        <w:t>espondents will be recruited through a notification email to the respondent universe (</w:t>
      </w:r>
      <w:r w:rsidR="00991BF9" w:rsidRPr="005026F9">
        <w:rPr>
          <w:b/>
        </w:rPr>
        <w:t>see</w:t>
      </w:r>
      <w:r w:rsidR="00991BF9" w:rsidRPr="000A6110">
        <w:t xml:space="preserve"> </w:t>
      </w:r>
      <w:r w:rsidR="00991BF9" w:rsidRPr="000A6110">
        <w:rPr>
          <w:b/>
        </w:rPr>
        <w:t xml:space="preserve">Attachment </w:t>
      </w:r>
      <w:r w:rsidR="00C02445">
        <w:rPr>
          <w:b/>
        </w:rPr>
        <w:t>D</w:t>
      </w:r>
      <w:r w:rsidR="00991BF9" w:rsidRPr="000A6110">
        <w:rPr>
          <w:b/>
        </w:rPr>
        <w:t>—Notification Email</w:t>
      </w:r>
      <w:r w:rsidR="00991BF9" w:rsidRPr="000A6110">
        <w:t>). The notification email will explain</w:t>
      </w:r>
      <w:r w:rsidR="00463A9E" w:rsidRPr="000A6110">
        <w:t xml:space="preserve"> and include</w:t>
      </w:r>
      <w:r w:rsidR="00991BF9" w:rsidRPr="000A6110">
        <w:t xml:space="preserve">: </w:t>
      </w:r>
    </w:p>
    <w:p w14:paraId="7EBFC024" w14:textId="3AA67238" w:rsidR="00991BF9" w:rsidRPr="000A6110" w:rsidRDefault="00991BF9" w:rsidP="000A6110">
      <w:pPr>
        <w:pStyle w:val="ListParagraph"/>
        <w:numPr>
          <w:ilvl w:val="0"/>
          <w:numId w:val="24"/>
        </w:numPr>
        <w:ind w:left="720"/>
      </w:pPr>
      <w:r w:rsidRPr="000A6110">
        <w:t xml:space="preserve">The purpose of the assessment, and why participation is important </w:t>
      </w:r>
    </w:p>
    <w:p w14:paraId="1D3B2223" w14:textId="1E7895AE" w:rsidR="00991BF9" w:rsidRDefault="00991BF9" w:rsidP="000A6110">
      <w:pPr>
        <w:pStyle w:val="ListParagraph"/>
        <w:numPr>
          <w:ilvl w:val="0"/>
          <w:numId w:val="24"/>
        </w:numPr>
        <w:ind w:left="720"/>
      </w:pPr>
      <w:r w:rsidRPr="000A6110">
        <w:t>Method</w:t>
      </w:r>
      <w:r w:rsidR="00F33DDA" w:rsidRPr="000A6110">
        <w:t>s</w:t>
      </w:r>
      <w:r w:rsidRPr="000A6110">
        <w:t xml:space="preserve"> to safeguard responses </w:t>
      </w:r>
    </w:p>
    <w:p w14:paraId="4BA2419C" w14:textId="2ABBDF3B" w:rsidR="00344613" w:rsidRPr="000A6110" w:rsidRDefault="00344613" w:rsidP="000A6110">
      <w:pPr>
        <w:pStyle w:val="ListParagraph"/>
        <w:numPr>
          <w:ilvl w:val="0"/>
          <w:numId w:val="24"/>
        </w:numPr>
        <w:ind w:left="720"/>
      </w:pPr>
      <w:r>
        <w:t>Information about how the data collected will be used</w:t>
      </w:r>
    </w:p>
    <w:p w14:paraId="00995257" w14:textId="77777777" w:rsidR="00991BF9" w:rsidRPr="000A6110" w:rsidRDefault="00991BF9" w:rsidP="000A6110">
      <w:pPr>
        <w:pStyle w:val="ListParagraph"/>
        <w:numPr>
          <w:ilvl w:val="0"/>
          <w:numId w:val="24"/>
        </w:numPr>
        <w:ind w:left="720"/>
      </w:pPr>
      <w:r w:rsidRPr="000A6110">
        <w:lastRenderedPageBreak/>
        <w:t>That participation is voluntary</w:t>
      </w:r>
    </w:p>
    <w:p w14:paraId="14F87ADF" w14:textId="77777777" w:rsidR="00991BF9" w:rsidRPr="000A6110" w:rsidRDefault="00991BF9" w:rsidP="000A6110">
      <w:pPr>
        <w:pStyle w:val="ListParagraph"/>
        <w:numPr>
          <w:ilvl w:val="0"/>
          <w:numId w:val="24"/>
        </w:numPr>
        <w:ind w:left="720"/>
      </w:pPr>
      <w:r w:rsidRPr="000A6110">
        <w:t xml:space="preserve">The expected time to complete the assessment </w:t>
      </w:r>
    </w:p>
    <w:p w14:paraId="52EEE04A" w14:textId="5608DA6F" w:rsidR="00F33DDA" w:rsidRPr="000A6110" w:rsidRDefault="00F33DDA" w:rsidP="000A6110">
      <w:pPr>
        <w:pStyle w:val="ListParagraph"/>
        <w:numPr>
          <w:ilvl w:val="0"/>
          <w:numId w:val="24"/>
        </w:numPr>
        <w:ind w:left="720"/>
      </w:pPr>
      <w:r w:rsidRPr="000A6110">
        <w:t>Instructions for participating in the assessment</w:t>
      </w:r>
      <w:r w:rsidR="00463A9E" w:rsidRPr="000A6110">
        <w:t xml:space="preserve"> and </w:t>
      </w:r>
      <w:r w:rsidR="00D1187E">
        <w:t xml:space="preserve">file with </w:t>
      </w:r>
      <w:r w:rsidR="00463A9E" w:rsidRPr="000A6110">
        <w:t xml:space="preserve">a copy of the instrument </w:t>
      </w:r>
      <w:r w:rsidR="00D1187E">
        <w:t>(see Attachment B—Instrument_Word version)</w:t>
      </w:r>
    </w:p>
    <w:p w14:paraId="1B8E7762" w14:textId="2CB0B9EE" w:rsidR="00991BF9" w:rsidRPr="000A6110" w:rsidRDefault="00344613" w:rsidP="000A6110">
      <w:pPr>
        <w:pStyle w:val="ListParagraph"/>
        <w:numPr>
          <w:ilvl w:val="0"/>
          <w:numId w:val="24"/>
        </w:numPr>
        <w:ind w:left="720"/>
      </w:pPr>
      <w:r>
        <w:t>A l</w:t>
      </w:r>
      <w:r w:rsidR="00F33DDA" w:rsidRPr="000A6110">
        <w:t xml:space="preserve">ink to the </w:t>
      </w:r>
      <w:r w:rsidR="00B74701">
        <w:t>web</w:t>
      </w:r>
      <w:r w:rsidR="00F33DDA" w:rsidRPr="000A6110">
        <w:t xml:space="preserve"> information collection instrument</w:t>
      </w:r>
      <w:r w:rsidR="00991BF9" w:rsidRPr="000A6110">
        <w:t xml:space="preserve"> </w:t>
      </w:r>
    </w:p>
    <w:p w14:paraId="4386BCB0" w14:textId="77777777" w:rsidR="00991BF9" w:rsidRPr="000A6110" w:rsidRDefault="00991BF9" w:rsidP="000A6110">
      <w:pPr>
        <w:pStyle w:val="ListParagraph"/>
        <w:ind w:left="0"/>
      </w:pPr>
    </w:p>
    <w:p w14:paraId="2301721C" w14:textId="2272453C" w:rsidR="00991BF9" w:rsidRPr="000A6110" w:rsidRDefault="0036466E" w:rsidP="000A6110">
      <w:pPr>
        <w:ind w:left="0"/>
      </w:pPr>
      <w:r w:rsidRPr="000A6110">
        <w:t>Qualtrics software</w:t>
      </w:r>
      <w:r w:rsidR="00991BF9" w:rsidRPr="000A6110">
        <w:t xml:space="preserve"> will be used to develop the assessment instrument and gather the data.</w:t>
      </w:r>
      <w:r w:rsidRPr="000A6110">
        <w:t xml:space="preserve"> Using a </w:t>
      </w:r>
      <w:r w:rsidR="00EE0B05">
        <w:t>web</w:t>
      </w:r>
      <w:r w:rsidR="00EE0B05" w:rsidRPr="000A6110">
        <w:t xml:space="preserve"> </w:t>
      </w:r>
      <w:r w:rsidRPr="000A6110">
        <w:t>data collection instrument</w:t>
      </w:r>
      <w:r w:rsidR="00991BF9" w:rsidRPr="000A6110">
        <w:t xml:space="preserve"> will reduce the burden </w:t>
      </w:r>
      <w:r w:rsidRPr="000A6110">
        <w:t>on respondents</w:t>
      </w:r>
      <w:r w:rsidR="00991BF9" w:rsidRPr="000A6110">
        <w:t xml:space="preserve"> by allowing them to take the assessment at their own convenience</w:t>
      </w:r>
      <w:r w:rsidRPr="000A6110">
        <w:t xml:space="preserve">, and to save their progress and return to the instrument at a later time, if necessary. Additionally, the tool will allow respondents to </w:t>
      </w:r>
      <w:r w:rsidR="00991BF9" w:rsidRPr="000A6110">
        <w:t>skip irrelevant questions</w:t>
      </w:r>
      <w:r w:rsidRPr="000A6110">
        <w:t xml:space="preserve"> or questions that they cannot answer</w:t>
      </w:r>
      <w:r w:rsidR="00991BF9" w:rsidRPr="000A6110">
        <w:t>. The assessment was designed to collect the minimum information necessary for the purposes of this project.</w:t>
      </w:r>
    </w:p>
    <w:p w14:paraId="098366F4" w14:textId="77777777" w:rsidR="00991BF9" w:rsidRPr="000A6110" w:rsidRDefault="00991BF9" w:rsidP="000A6110">
      <w:pPr>
        <w:tabs>
          <w:tab w:val="left" w:pos="-1440"/>
          <w:tab w:val="left" w:pos="-720"/>
        </w:tabs>
        <w:autoSpaceDE w:val="0"/>
        <w:autoSpaceDN w:val="0"/>
        <w:adjustRightInd w:val="0"/>
        <w:ind w:left="0" w:right="720"/>
        <w:rPr>
          <w:rFonts w:cs="Arial"/>
        </w:rPr>
      </w:pPr>
    </w:p>
    <w:p w14:paraId="11115CC2" w14:textId="41A73EAF" w:rsidR="00991BF9" w:rsidRPr="000A6110" w:rsidRDefault="00991BF9" w:rsidP="000A6110">
      <w:pPr>
        <w:ind w:left="0"/>
      </w:pPr>
      <w:r w:rsidRPr="000A6110">
        <w:t xml:space="preserve">Respondents will be asked for their response to the instrument within a </w:t>
      </w:r>
      <w:r w:rsidR="0036466E" w:rsidRPr="000A6110">
        <w:t>two-</w:t>
      </w:r>
      <w:r w:rsidRPr="000A6110">
        <w:t xml:space="preserve">week period to allow ample time for respondents to complete it. </w:t>
      </w:r>
      <w:r w:rsidR="0036466E" w:rsidRPr="000A6110">
        <w:t>A r</w:t>
      </w:r>
      <w:r w:rsidRPr="000A6110">
        <w:t xml:space="preserve">eminder </w:t>
      </w:r>
      <w:r w:rsidR="0036466E" w:rsidRPr="000A6110">
        <w:t xml:space="preserve">e-mail </w:t>
      </w:r>
      <w:r w:rsidRPr="000A6110">
        <w:t>will be sent</w:t>
      </w:r>
      <w:r w:rsidR="0036466E" w:rsidRPr="000A6110">
        <w:t xml:space="preserve"> at the beginning of the second</w:t>
      </w:r>
      <w:r w:rsidR="004A02D5" w:rsidRPr="000A6110">
        <w:t xml:space="preserve"> week</w:t>
      </w:r>
      <w:r w:rsidR="0036466E" w:rsidRPr="000A6110">
        <w:t xml:space="preserve"> </w:t>
      </w:r>
      <w:r w:rsidRPr="000A6110">
        <w:t xml:space="preserve">to non-respondents to </w:t>
      </w:r>
      <w:r w:rsidR="00B74701">
        <w:t>ask</w:t>
      </w:r>
      <w:r w:rsidR="00B74701" w:rsidRPr="000A6110">
        <w:t xml:space="preserve"> </w:t>
      </w:r>
      <w:r w:rsidRPr="000A6110">
        <w:t>them to complete the assessment (</w:t>
      </w:r>
      <w:r w:rsidRPr="000A6110">
        <w:rPr>
          <w:b/>
        </w:rPr>
        <w:t xml:space="preserve">see Attachment </w:t>
      </w:r>
      <w:r w:rsidR="00C02445">
        <w:rPr>
          <w:b/>
        </w:rPr>
        <w:t>E</w:t>
      </w:r>
      <w:r w:rsidRPr="000A6110">
        <w:rPr>
          <w:b/>
        </w:rPr>
        <w:t>—Reminder Email</w:t>
      </w:r>
      <w:r w:rsidRPr="000A6110">
        <w:t>).</w:t>
      </w:r>
      <w:r w:rsidR="0036466E" w:rsidRPr="000A6110">
        <w:t xml:space="preserve"> The target response rate for</w:t>
      </w:r>
      <w:r w:rsidR="00400DF1">
        <w:t xml:space="preserve"> p</w:t>
      </w:r>
      <w:r w:rsidR="00344613">
        <w:t xml:space="preserve">hase </w:t>
      </w:r>
      <w:r w:rsidR="00400DF1">
        <w:t>I</w:t>
      </w:r>
      <w:r w:rsidR="00344613">
        <w:t xml:space="preserve"> is 60% and the target response rate for </w:t>
      </w:r>
      <w:r w:rsidR="00400DF1">
        <w:t>p</w:t>
      </w:r>
      <w:r w:rsidR="00344613">
        <w:t xml:space="preserve">hase </w:t>
      </w:r>
      <w:r w:rsidR="00400DF1">
        <w:t>II</w:t>
      </w:r>
      <w:r w:rsidR="0036466E" w:rsidRPr="000A6110">
        <w:t xml:space="preserve"> is 80%. If this rate is not met by</w:t>
      </w:r>
      <w:r w:rsidR="004A02D5" w:rsidRPr="000A6110">
        <w:t xml:space="preserve"> the end of the two-week period, th</w:t>
      </w:r>
      <w:r w:rsidR="0036466E" w:rsidRPr="000A6110">
        <w:t>e assessment will be extended by one week (</w:t>
      </w:r>
      <w:r w:rsidR="0036466E" w:rsidRPr="000A6110">
        <w:rPr>
          <w:b/>
        </w:rPr>
        <w:t xml:space="preserve">see Attachment </w:t>
      </w:r>
      <w:r w:rsidR="00C02445">
        <w:rPr>
          <w:b/>
        </w:rPr>
        <w:t>F</w:t>
      </w:r>
      <w:r w:rsidR="0036466E" w:rsidRPr="000A6110">
        <w:rPr>
          <w:b/>
        </w:rPr>
        <w:t>—Extension Email</w:t>
      </w:r>
      <w:r w:rsidR="0036466E" w:rsidRPr="000A6110">
        <w:t>).</w:t>
      </w:r>
    </w:p>
    <w:p w14:paraId="62204834" w14:textId="77777777" w:rsidR="00991BF9" w:rsidRPr="000A6110" w:rsidRDefault="00991BF9" w:rsidP="000A6110">
      <w:pPr>
        <w:ind w:left="0"/>
      </w:pPr>
    </w:p>
    <w:p w14:paraId="0B7EE8E8" w14:textId="731068CD" w:rsidR="00991BF9" w:rsidRPr="000A6110" w:rsidRDefault="00991BF9" w:rsidP="000A6110">
      <w:pPr>
        <w:ind w:left="0"/>
        <w:rPr>
          <w:color w:val="0070C0"/>
        </w:rPr>
      </w:pPr>
      <w:r w:rsidRPr="000A6110">
        <w:t xml:space="preserve">Data from the </w:t>
      </w:r>
      <w:r w:rsidR="00B74701">
        <w:t>web</w:t>
      </w:r>
      <w:r w:rsidRPr="000A6110">
        <w:t xml:space="preserve"> instrument will be downloaded, cleaned, and analyzed in</w:t>
      </w:r>
      <w:r w:rsidR="0036466E" w:rsidRPr="000A6110">
        <w:t xml:space="preserve"> SAS using descriptive statistics (bivariate analyses).</w:t>
      </w:r>
      <w:r w:rsidRPr="000A6110">
        <w:t xml:space="preserve"> </w:t>
      </w:r>
      <w:r w:rsidRPr="000A6110">
        <w:rPr>
          <w:color w:val="0070C0"/>
        </w:rPr>
        <w:t xml:space="preserve">  </w:t>
      </w:r>
    </w:p>
    <w:p w14:paraId="1EB9C2FB" w14:textId="77777777" w:rsidR="00991BF9" w:rsidRPr="000A6110" w:rsidRDefault="00991BF9" w:rsidP="000A6110"/>
    <w:p w14:paraId="5779E196" w14:textId="64AD11E9" w:rsidR="009759F3" w:rsidRPr="000A6110" w:rsidRDefault="00287E2F" w:rsidP="000A6110">
      <w:pPr>
        <w:pStyle w:val="Heading4"/>
        <w:spacing w:after="0"/>
      </w:pPr>
      <w:bookmarkStart w:id="5" w:name="_Toc413847913"/>
      <w:r w:rsidRPr="000A6110">
        <w:t>Methods to Maximize Response Rates</w:t>
      </w:r>
      <w:r w:rsidR="00F725B5" w:rsidRPr="000A6110">
        <w:t xml:space="preserve"> </w:t>
      </w:r>
      <w:r w:rsidR="009759F3" w:rsidRPr="000A6110">
        <w:t>Deal with Nonresponse</w:t>
      </w:r>
      <w:bookmarkEnd w:id="5"/>
    </w:p>
    <w:p w14:paraId="18971AD6" w14:textId="5D664AF8" w:rsidR="00F5688F" w:rsidRPr="000A6110" w:rsidRDefault="00991BF9" w:rsidP="000A6110">
      <w:pPr>
        <w:pStyle w:val="ListParagraph"/>
        <w:ind w:left="0"/>
      </w:pPr>
      <w:r w:rsidRPr="000A6110">
        <w:rPr>
          <w:rFonts w:cs="Times New Roman"/>
        </w:rPr>
        <w:t xml:space="preserve">Although participation in the assessment is voluntary, </w:t>
      </w:r>
      <w:r w:rsidR="009647D1" w:rsidRPr="000A6110">
        <w:rPr>
          <w:rFonts w:cs="Times New Roman"/>
        </w:rPr>
        <w:t>NACCHO</w:t>
      </w:r>
      <w:r w:rsidRPr="000A6110">
        <w:rPr>
          <w:rFonts w:cs="Times New Roman"/>
        </w:rPr>
        <w:t xml:space="preserve"> will make every effort to maximize the rate of response.</w:t>
      </w:r>
      <w:r w:rsidR="00F5688F" w:rsidRPr="000A6110">
        <w:rPr>
          <w:rFonts w:cs="Times New Roman"/>
        </w:rPr>
        <w:t xml:space="preserve"> Efforts include sharing a PDF of the assessment so that health departments can familiarize themselves with the information being requested; sending a reminder email to complete the assessment; and, if necessary, extending the period of time for health departments to respond to the assessment. </w:t>
      </w:r>
      <w:r w:rsidR="00F5688F" w:rsidRPr="000A6110">
        <w:t>A reminder email will be sent at the beginning of the second week to non-respondents to urge them to complete the assessment (</w:t>
      </w:r>
      <w:r w:rsidR="00F5688F" w:rsidRPr="000A6110">
        <w:rPr>
          <w:b/>
        </w:rPr>
        <w:t xml:space="preserve">see Attachment </w:t>
      </w:r>
      <w:r w:rsidR="00C02445">
        <w:rPr>
          <w:b/>
        </w:rPr>
        <w:t>E</w:t>
      </w:r>
      <w:r w:rsidR="00F5688F" w:rsidRPr="000A6110">
        <w:rPr>
          <w:b/>
        </w:rPr>
        <w:t>—Reminder Email</w:t>
      </w:r>
      <w:r w:rsidR="00F5688F" w:rsidRPr="000A6110">
        <w:t xml:space="preserve">). The target response rate for </w:t>
      </w:r>
      <w:r w:rsidR="00400DF1">
        <w:t>p</w:t>
      </w:r>
      <w:r w:rsidR="00C315B7">
        <w:t xml:space="preserve">hase </w:t>
      </w:r>
      <w:r w:rsidR="00400DF1">
        <w:t>I</w:t>
      </w:r>
      <w:r w:rsidR="00C315B7">
        <w:t xml:space="preserve"> is 60% and the target response rate for </w:t>
      </w:r>
      <w:r w:rsidR="00400DF1">
        <w:t>p</w:t>
      </w:r>
      <w:r w:rsidR="00C315B7">
        <w:t xml:space="preserve">hase </w:t>
      </w:r>
      <w:r w:rsidR="00400DF1">
        <w:t>II</w:t>
      </w:r>
      <w:r w:rsidR="00C315B7" w:rsidRPr="000A6110">
        <w:t xml:space="preserve"> is</w:t>
      </w:r>
      <w:r w:rsidR="00F5688F" w:rsidRPr="000A6110">
        <w:t xml:space="preserve"> 80%. If this rate is not met by the end of the two-week period, the assessment will be extended by one week (</w:t>
      </w:r>
      <w:r w:rsidR="00F5688F" w:rsidRPr="000A6110">
        <w:rPr>
          <w:b/>
        </w:rPr>
        <w:t xml:space="preserve">see Attachment </w:t>
      </w:r>
      <w:r w:rsidR="00C02445">
        <w:rPr>
          <w:b/>
        </w:rPr>
        <w:t>F</w:t>
      </w:r>
      <w:r w:rsidR="00F5688F" w:rsidRPr="000A6110">
        <w:rPr>
          <w:b/>
        </w:rPr>
        <w:t>—Extension Email</w:t>
      </w:r>
      <w:r w:rsidR="00F5688F" w:rsidRPr="000A6110">
        <w:t>).</w:t>
      </w:r>
    </w:p>
    <w:p w14:paraId="4055031C" w14:textId="77777777" w:rsidR="00991BF9" w:rsidRPr="000A6110" w:rsidRDefault="00991BF9" w:rsidP="000A6110">
      <w:pPr>
        <w:pStyle w:val="ListParagraph"/>
        <w:ind w:left="0"/>
      </w:pPr>
    </w:p>
    <w:p w14:paraId="18651706" w14:textId="77777777" w:rsidR="00F52BCC" w:rsidRPr="000A6110" w:rsidRDefault="00287E2F" w:rsidP="000A6110">
      <w:pPr>
        <w:pStyle w:val="Heading4"/>
        <w:spacing w:after="0"/>
      </w:pPr>
      <w:bookmarkStart w:id="6" w:name="_Toc413847914"/>
      <w:r w:rsidRPr="000A6110">
        <w:t xml:space="preserve">Test of Procedures </w:t>
      </w:r>
      <w:r w:rsidR="009759F3" w:rsidRPr="000A6110">
        <w:t>or Methods to be Undertaken</w:t>
      </w:r>
      <w:bookmarkEnd w:id="6"/>
    </w:p>
    <w:p w14:paraId="41AD7B54" w14:textId="1E59948E" w:rsidR="00F5688F" w:rsidRPr="000A6110" w:rsidRDefault="00F5688F" w:rsidP="000A6110">
      <w:pPr>
        <w:ind w:left="0"/>
        <w:rPr>
          <w:color w:val="000000"/>
        </w:rPr>
      </w:pPr>
      <w:r w:rsidRPr="000A6110">
        <w:t>The information collection instrument was pilot tested by seven public health professionals. The feedback provided was used to refine questions, ensure accurate programming and skip patterns, and establish the estimated time required to complete the information collection instrument. The average time to complete the instrument was 2</w:t>
      </w:r>
      <w:r w:rsidR="00C315B7">
        <w:t>0</w:t>
      </w:r>
      <w:r w:rsidRPr="000A6110">
        <w:t xml:space="preserve"> minutes.</w:t>
      </w:r>
      <w:r w:rsidR="00C315B7">
        <w:t xml:space="preserve"> The range was 5 to 40 minutes.</w:t>
      </w:r>
      <w:r w:rsidR="00002E71" w:rsidRPr="000A6110">
        <w:t xml:space="preserve"> This includes the time to review the instructions, gather the information being requested, and complete the </w:t>
      </w:r>
      <w:r w:rsidR="00403A5B">
        <w:t>web</w:t>
      </w:r>
      <w:r w:rsidR="00002E71" w:rsidRPr="000A6110">
        <w:t xml:space="preserve"> instrument.</w:t>
      </w:r>
      <w:r w:rsidRPr="000A6110">
        <w:t xml:space="preserve"> For the purposes of estimating burden hours, the </w:t>
      </w:r>
      <w:r w:rsidR="00442EB4">
        <w:t>average</w:t>
      </w:r>
      <w:r w:rsidR="00044327" w:rsidRPr="000A6110">
        <w:t xml:space="preserve"> was</w:t>
      </w:r>
      <w:r w:rsidRPr="000A6110">
        <w:t xml:space="preserve"> used.</w:t>
      </w:r>
    </w:p>
    <w:p w14:paraId="45CA354D" w14:textId="77777777" w:rsidR="00F5688F" w:rsidRPr="000A6110" w:rsidRDefault="00F5688F" w:rsidP="000A6110">
      <w:pPr>
        <w:ind w:left="0"/>
        <w:rPr>
          <w:color w:val="000000"/>
          <w:lang w:eastAsia="zh-CN"/>
        </w:rPr>
      </w:pPr>
    </w:p>
    <w:p w14:paraId="4348224B" w14:textId="77777777" w:rsidR="009759F3" w:rsidRPr="000A6110" w:rsidRDefault="009759F3" w:rsidP="000A6110">
      <w:pPr>
        <w:pStyle w:val="Heading4"/>
        <w:spacing w:after="0"/>
      </w:pPr>
      <w:bookmarkStart w:id="7" w:name="_Toc413847915"/>
      <w:r w:rsidRPr="000A6110">
        <w:lastRenderedPageBreak/>
        <w:t>Individuals Consulted on Statistical Aspects and Individuals Collecting and/or Analyzing Data</w:t>
      </w:r>
      <w:bookmarkEnd w:id="7"/>
    </w:p>
    <w:p w14:paraId="41585DFB" w14:textId="4D1B2596" w:rsidR="00287E2F" w:rsidRPr="000A6110" w:rsidRDefault="00002E71" w:rsidP="000A6110">
      <w:pPr>
        <w:pStyle w:val="ListParagraph"/>
        <w:numPr>
          <w:ilvl w:val="0"/>
          <w:numId w:val="28"/>
        </w:numPr>
      </w:pPr>
      <w:r w:rsidRPr="000A6110">
        <w:t xml:space="preserve">Gretchen Weiss, MPH, Director, HIV, STI, &amp; Viral Hepatitis, NACCHO, </w:t>
      </w:r>
      <w:hyperlink r:id="rId13" w:history="1">
        <w:r w:rsidRPr="000A6110">
          <w:rPr>
            <w:rStyle w:val="Hyperlink"/>
          </w:rPr>
          <w:t>gweiss@naccho.org</w:t>
        </w:r>
      </w:hyperlink>
      <w:r w:rsidRPr="000A6110">
        <w:t>, 202-507-4276</w:t>
      </w:r>
    </w:p>
    <w:p w14:paraId="41D6161D" w14:textId="2769C855" w:rsidR="00002E71" w:rsidRDefault="00002E71" w:rsidP="000A6110">
      <w:pPr>
        <w:pStyle w:val="ListParagraph"/>
        <w:numPr>
          <w:ilvl w:val="0"/>
          <w:numId w:val="28"/>
        </w:numPr>
      </w:pPr>
      <w:r w:rsidRPr="000A6110">
        <w:t xml:space="preserve">Jiali Ye, PhD, Lead Research Scientist, NACCHO, </w:t>
      </w:r>
      <w:hyperlink r:id="rId14" w:history="1">
        <w:r w:rsidRPr="000A6110">
          <w:rPr>
            <w:rStyle w:val="Hyperlink"/>
          </w:rPr>
          <w:t>jye@naccho.org</w:t>
        </w:r>
      </w:hyperlink>
      <w:r w:rsidRPr="000A6110">
        <w:t>, 202-783-2491</w:t>
      </w:r>
    </w:p>
    <w:p w14:paraId="150B3674" w14:textId="2249A30E" w:rsidR="00AB409C" w:rsidRDefault="00AB409C" w:rsidP="000A6110">
      <w:pPr>
        <w:pStyle w:val="ListParagraph"/>
        <w:numPr>
          <w:ilvl w:val="0"/>
          <w:numId w:val="28"/>
        </w:numPr>
      </w:pPr>
      <w:r>
        <w:t xml:space="preserve">Jami Leichliter, PhD, Lead Health Scientist, CDC, </w:t>
      </w:r>
      <w:hyperlink r:id="rId15" w:history="1">
        <w:r w:rsidRPr="00F706A5">
          <w:rPr>
            <w:rStyle w:val="Hyperlink"/>
          </w:rPr>
          <w:t>gzl3@cdc.gov</w:t>
        </w:r>
      </w:hyperlink>
      <w:r>
        <w:t>, 404-639-1821</w:t>
      </w:r>
    </w:p>
    <w:p w14:paraId="180566E8" w14:textId="5C214A16" w:rsidR="00AB409C" w:rsidRPr="000A6110" w:rsidRDefault="00AB409C" w:rsidP="001C34BD">
      <w:pPr>
        <w:pStyle w:val="ListParagraph"/>
        <w:numPr>
          <w:ilvl w:val="0"/>
          <w:numId w:val="28"/>
        </w:numPr>
      </w:pPr>
      <w:r>
        <w:t xml:space="preserve">Dan Lentine, Public Health Advisor, CDC, </w:t>
      </w:r>
      <w:r w:rsidR="001C34BD" w:rsidRPr="001C34BD">
        <w:t>dhl2@cdc.gov</w:t>
      </w:r>
      <w:r w:rsidR="001C34BD">
        <w:t xml:space="preserve">, </w:t>
      </w:r>
      <w:r w:rsidR="001C34BD" w:rsidRPr="001C34BD">
        <w:t>404</w:t>
      </w:r>
      <w:r w:rsidR="001C34BD">
        <w:t>-</w:t>
      </w:r>
      <w:r w:rsidR="001C34BD" w:rsidRPr="001C34BD">
        <w:t>639</w:t>
      </w:r>
      <w:r w:rsidR="001C34BD">
        <w:t>-</w:t>
      </w:r>
      <w:r w:rsidR="001C34BD" w:rsidRPr="001C34BD">
        <w:t>0462</w:t>
      </w:r>
    </w:p>
    <w:p w14:paraId="761A2BA4" w14:textId="77777777" w:rsidR="00E24C20" w:rsidRPr="000A6110" w:rsidRDefault="00E24C20" w:rsidP="000A6110"/>
    <w:p w14:paraId="5ABBAD8F" w14:textId="786B8DDB" w:rsidR="000E6577" w:rsidRDefault="00A36419" w:rsidP="005938CA">
      <w:pPr>
        <w:pStyle w:val="Heading3"/>
      </w:pPr>
      <w:bookmarkStart w:id="8" w:name="_Toc413847916"/>
      <w:r w:rsidRPr="000A6110">
        <w:rPr>
          <w:sz w:val="22"/>
        </w:rPr>
        <w:t>LIST OF ATTACHMENTS</w:t>
      </w:r>
      <w:r w:rsidR="00E24C20" w:rsidRPr="000A6110">
        <w:rPr>
          <w:sz w:val="22"/>
        </w:rPr>
        <w:t xml:space="preserve"> – Section B</w:t>
      </w:r>
      <w:bookmarkEnd w:id="8"/>
    </w:p>
    <w:p w14:paraId="46404C01" w14:textId="6D9D1F84" w:rsidR="00E83A11" w:rsidRDefault="00E83A11" w:rsidP="005938CA">
      <w:pPr>
        <w:ind w:left="0"/>
      </w:pPr>
    </w:p>
    <w:p w14:paraId="2BB0A3EC" w14:textId="3C58B2F7" w:rsidR="00E83A11" w:rsidRDefault="00C02445" w:rsidP="005938CA">
      <w:pPr>
        <w:ind w:left="0"/>
      </w:pPr>
      <w:r>
        <w:t>D</w:t>
      </w:r>
      <w:r w:rsidR="00E83A11">
        <w:t>. Notification Email</w:t>
      </w:r>
    </w:p>
    <w:p w14:paraId="2D392D81" w14:textId="0F1260AB" w:rsidR="00E83A11" w:rsidRDefault="00C02445" w:rsidP="005938CA">
      <w:pPr>
        <w:ind w:left="0"/>
      </w:pPr>
      <w:r>
        <w:t>E</w:t>
      </w:r>
      <w:r w:rsidR="00E83A11">
        <w:t>. Reminder Email</w:t>
      </w:r>
    </w:p>
    <w:p w14:paraId="03128C62" w14:textId="351DE22E" w:rsidR="00E83A11" w:rsidRPr="005938CA" w:rsidRDefault="00C02445" w:rsidP="005938CA">
      <w:pPr>
        <w:ind w:left="0"/>
      </w:pPr>
      <w:r>
        <w:t>F</w:t>
      </w:r>
      <w:r w:rsidR="00E83A11">
        <w:t>. Extension Email</w:t>
      </w:r>
    </w:p>
    <w:sectPr w:rsidR="00E83A11" w:rsidRPr="005938CA"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D4F6C" w14:textId="77777777" w:rsidR="007A610F" w:rsidRDefault="007A610F" w:rsidP="00BC6896">
      <w:r>
        <w:separator/>
      </w:r>
    </w:p>
    <w:p w14:paraId="08FC9F88" w14:textId="77777777" w:rsidR="007A610F" w:rsidRDefault="007A610F" w:rsidP="00BC6896"/>
  </w:endnote>
  <w:endnote w:type="continuationSeparator" w:id="0">
    <w:p w14:paraId="0D7FA674" w14:textId="77777777" w:rsidR="007A610F" w:rsidRDefault="007A610F" w:rsidP="00BC6896">
      <w:r>
        <w:continuationSeparator/>
      </w:r>
    </w:p>
    <w:p w14:paraId="752162B7" w14:textId="77777777" w:rsidR="007A610F" w:rsidRDefault="007A610F"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479EB3CE" w14:textId="77777777" w:rsidR="007A610F" w:rsidRDefault="007A61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406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406B">
              <w:rPr>
                <w:b/>
                <w:bCs/>
                <w:noProof/>
              </w:rPr>
              <w:t>6</w:t>
            </w:r>
            <w:r>
              <w:rPr>
                <w:b/>
                <w:bCs/>
                <w:sz w:val="24"/>
                <w:szCs w:val="24"/>
              </w:rPr>
              <w:fldChar w:fldCharType="end"/>
            </w:r>
          </w:p>
        </w:sdtContent>
      </w:sdt>
    </w:sdtContent>
  </w:sdt>
  <w:p w14:paraId="2E64CF90" w14:textId="77777777" w:rsidR="007A610F" w:rsidRDefault="007A610F"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60076" w14:textId="77777777" w:rsidR="007A610F" w:rsidRDefault="007A610F" w:rsidP="00BC6896">
      <w:r>
        <w:separator/>
      </w:r>
    </w:p>
    <w:p w14:paraId="5D3C77EC" w14:textId="77777777" w:rsidR="007A610F" w:rsidRDefault="007A610F" w:rsidP="00BC6896"/>
  </w:footnote>
  <w:footnote w:type="continuationSeparator" w:id="0">
    <w:p w14:paraId="45B7DC7B" w14:textId="77777777" w:rsidR="007A610F" w:rsidRDefault="007A610F" w:rsidP="00BC6896">
      <w:r>
        <w:continuationSeparator/>
      </w:r>
    </w:p>
    <w:p w14:paraId="399221CB" w14:textId="77777777" w:rsidR="007A610F" w:rsidRDefault="007A610F"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7364" w14:textId="77777777" w:rsidR="007A610F" w:rsidRPr="00716F94" w:rsidRDefault="007A610F" w:rsidP="00BC6896">
    <w:pPr>
      <w:pStyle w:val="Header"/>
      <w:rPr>
        <w:color w:val="0033CC"/>
      </w:rPr>
    </w:pPr>
    <w:r>
      <w:tab/>
    </w:r>
  </w:p>
  <w:p w14:paraId="11539AFF" w14:textId="77777777" w:rsidR="007A610F" w:rsidRDefault="007A610F"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57BFE"/>
    <w:multiLevelType w:val="hybridMultilevel"/>
    <w:tmpl w:val="3CC6D3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41CA7"/>
    <w:multiLevelType w:val="hybridMultilevel"/>
    <w:tmpl w:val="E460E0DC"/>
    <w:lvl w:ilvl="0" w:tplc="5B1A7A12">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600B"/>
    <w:multiLevelType w:val="hybridMultilevel"/>
    <w:tmpl w:val="8068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58DF22C7"/>
    <w:multiLevelType w:val="hybridMultilevel"/>
    <w:tmpl w:val="C9344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B922E8"/>
    <w:multiLevelType w:val="hybridMultilevel"/>
    <w:tmpl w:val="4D76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916D1"/>
    <w:multiLevelType w:val="hybridMultilevel"/>
    <w:tmpl w:val="675A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8"/>
  </w:num>
  <w:num w:numId="4">
    <w:abstractNumId w:val="10"/>
  </w:num>
  <w:num w:numId="5">
    <w:abstractNumId w:val="18"/>
  </w:num>
  <w:num w:numId="6">
    <w:abstractNumId w:val="7"/>
  </w:num>
  <w:num w:numId="7">
    <w:abstractNumId w:val="0"/>
  </w:num>
  <w:num w:numId="8">
    <w:abstractNumId w:val="5"/>
  </w:num>
  <w:num w:numId="9">
    <w:abstractNumId w:val="9"/>
  </w:num>
  <w:num w:numId="10">
    <w:abstractNumId w:val="20"/>
  </w:num>
  <w:num w:numId="11">
    <w:abstractNumId w:val="2"/>
  </w:num>
  <w:num w:numId="12">
    <w:abstractNumId w:val="27"/>
  </w:num>
  <w:num w:numId="13">
    <w:abstractNumId w:val="6"/>
  </w:num>
  <w:num w:numId="14">
    <w:abstractNumId w:val="3"/>
  </w:num>
  <w:num w:numId="15">
    <w:abstractNumId w:val="25"/>
  </w:num>
  <w:num w:numId="16">
    <w:abstractNumId w:val="30"/>
  </w:num>
  <w:num w:numId="17">
    <w:abstractNumId w:val="8"/>
  </w:num>
  <w:num w:numId="18">
    <w:abstractNumId w:val="12"/>
  </w:num>
  <w:num w:numId="19">
    <w:abstractNumId w:val="4"/>
  </w:num>
  <w:num w:numId="20">
    <w:abstractNumId w:val="14"/>
  </w:num>
  <w:num w:numId="21">
    <w:abstractNumId w:val="29"/>
  </w:num>
  <w:num w:numId="22">
    <w:abstractNumId w:val="23"/>
  </w:num>
  <w:num w:numId="23">
    <w:abstractNumId w:val="11"/>
  </w:num>
  <w:num w:numId="24">
    <w:abstractNumId w:val="24"/>
  </w:num>
  <w:num w:numId="25">
    <w:abstractNumId w:val="26"/>
  </w:num>
  <w:num w:numId="26">
    <w:abstractNumId w:val="13"/>
  </w:num>
  <w:num w:numId="27">
    <w:abstractNumId w:val="15"/>
  </w:num>
  <w:num w:numId="28">
    <w:abstractNumId w:val="17"/>
  </w:num>
  <w:num w:numId="29">
    <w:abstractNumId w:val="22"/>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84"/>
    <w:rsid w:val="00002497"/>
    <w:rsid w:val="00002E71"/>
    <w:rsid w:val="00010420"/>
    <w:rsid w:val="00011A98"/>
    <w:rsid w:val="00011F8D"/>
    <w:rsid w:val="000130B4"/>
    <w:rsid w:val="00014361"/>
    <w:rsid w:val="00023FF7"/>
    <w:rsid w:val="00044327"/>
    <w:rsid w:val="000474FB"/>
    <w:rsid w:val="00052A34"/>
    <w:rsid w:val="00053A92"/>
    <w:rsid w:val="000557D0"/>
    <w:rsid w:val="0005605E"/>
    <w:rsid w:val="00057F36"/>
    <w:rsid w:val="00070AFB"/>
    <w:rsid w:val="00084770"/>
    <w:rsid w:val="000A1F30"/>
    <w:rsid w:val="000A6110"/>
    <w:rsid w:val="000E0C1B"/>
    <w:rsid w:val="000E6577"/>
    <w:rsid w:val="000E7A19"/>
    <w:rsid w:val="000F386F"/>
    <w:rsid w:val="001017F8"/>
    <w:rsid w:val="001022F1"/>
    <w:rsid w:val="00104A1B"/>
    <w:rsid w:val="001177DD"/>
    <w:rsid w:val="00121EA4"/>
    <w:rsid w:val="0012363A"/>
    <w:rsid w:val="00125942"/>
    <w:rsid w:val="001308EB"/>
    <w:rsid w:val="001412D4"/>
    <w:rsid w:val="00143AE4"/>
    <w:rsid w:val="00144224"/>
    <w:rsid w:val="00144F64"/>
    <w:rsid w:val="00151567"/>
    <w:rsid w:val="00163C1B"/>
    <w:rsid w:val="00163E17"/>
    <w:rsid w:val="00166F9E"/>
    <w:rsid w:val="0017506E"/>
    <w:rsid w:val="00187D5A"/>
    <w:rsid w:val="001939B2"/>
    <w:rsid w:val="001972D7"/>
    <w:rsid w:val="001A28F6"/>
    <w:rsid w:val="001A72D4"/>
    <w:rsid w:val="001A7327"/>
    <w:rsid w:val="001A7D0E"/>
    <w:rsid w:val="001B2831"/>
    <w:rsid w:val="001C0493"/>
    <w:rsid w:val="001C28AD"/>
    <w:rsid w:val="001C2AB0"/>
    <w:rsid w:val="001C34BD"/>
    <w:rsid w:val="001D3427"/>
    <w:rsid w:val="001D7FCB"/>
    <w:rsid w:val="001E2B99"/>
    <w:rsid w:val="001E69B6"/>
    <w:rsid w:val="001F4DBB"/>
    <w:rsid w:val="001F7C89"/>
    <w:rsid w:val="0020294C"/>
    <w:rsid w:val="0020312D"/>
    <w:rsid w:val="0020495F"/>
    <w:rsid w:val="00206E33"/>
    <w:rsid w:val="00210519"/>
    <w:rsid w:val="002108D7"/>
    <w:rsid w:val="00226C35"/>
    <w:rsid w:val="00230CEF"/>
    <w:rsid w:val="00241B17"/>
    <w:rsid w:val="00241C81"/>
    <w:rsid w:val="00245F1F"/>
    <w:rsid w:val="00256392"/>
    <w:rsid w:val="00257A1C"/>
    <w:rsid w:val="00261AF6"/>
    <w:rsid w:val="0027234C"/>
    <w:rsid w:val="00272E03"/>
    <w:rsid w:val="00281795"/>
    <w:rsid w:val="002850E3"/>
    <w:rsid w:val="00287E2F"/>
    <w:rsid w:val="00287FD2"/>
    <w:rsid w:val="002A1948"/>
    <w:rsid w:val="002C0877"/>
    <w:rsid w:val="002C2AE2"/>
    <w:rsid w:val="002D0160"/>
    <w:rsid w:val="002D0DCE"/>
    <w:rsid w:val="002D4A65"/>
    <w:rsid w:val="002E2B10"/>
    <w:rsid w:val="002F1502"/>
    <w:rsid w:val="002F169D"/>
    <w:rsid w:val="002F2069"/>
    <w:rsid w:val="002F6F92"/>
    <w:rsid w:val="003041AD"/>
    <w:rsid w:val="0030579C"/>
    <w:rsid w:val="0031279F"/>
    <w:rsid w:val="00312D63"/>
    <w:rsid w:val="00327D05"/>
    <w:rsid w:val="003324B8"/>
    <w:rsid w:val="00335EBD"/>
    <w:rsid w:val="00336D96"/>
    <w:rsid w:val="00344613"/>
    <w:rsid w:val="00344F07"/>
    <w:rsid w:val="003469C8"/>
    <w:rsid w:val="00355EA4"/>
    <w:rsid w:val="003635BE"/>
    <w:rsid w:val="0036466E"/>
    <w:rsid w:val="00366B5E"/>
    <w:rsid w:val="00372844"/>
    <w:rsid w:val="00383149"/>
    <w:rsid w:val="0038560A"/>
    <w:rsid w:val="003B7019"/>
    <w:rsid w:val="003C31C9"/>
    <w:rsid w:val="003C4961"/>
    <w:rsid w:val="003C7C5D"/>
    <w:rsid w:val="003D0AD2"/>
    <w:rsid w:val="003E4E7D"/>
    <w:rsid w:val="003E5D57"/>
    <w:rsid w:val="003F5913"/>
    <w:rsid w:val="00400DF1"/>
    <w:rsid w:val="004024F8"/>
    <w:rsid w:val="00403A5B"/>
    <w:rsid w:val="00403BC3"/>
    <w:rsid w:val="0041159A"/>
    <w:rsid w:val="004231F1"/>
    <w:rsid w:val="004302E9"/>
    <w:rsid w:val="004305A8"/>
    <w:rsid w:val="0043417A"/>
    <w:rsid w:val="00442EB4"/>
    <w:rsid w:val="00443CA0"/>
    <w:rsid w:val="00450E14"/>
    <w:rsid w:val="00450EBE"/>
    <w:rsid w:val="00452D04"/>
    <w:rsid w:val="00462C65"/>
    <w:rsid w:val="00463A9E"/>
    <w:rsid w:val="00467B14"/>
    <w:rsid w:val="00473318"/>
    <w:rsid w:val="00474EDA"/>
    <w:rsid w:val="0047536D"/>
    <w:rsid w:val="004824FA"/>
    <w:rsid w:val="00484011"/>
    <w:rsid w:val="004841F1"/>
    <w:rsid w:val="004A02D5"/>
    <w:rsid w:val="004A1E3A"/>
    <w:rsid w:val="004A5105"/>
    <w:rsid w:val="004B4EB5"/>
    <w:rsid w:val="004B6F34"/>
    <w:rsid w:val="004C4AEA"/>
    <w:rsid w:val="004D204C"/>
    <w:rsid w:val="004E003C"/>
    <w:rsid w:val="004E16EB"/>
    <w:rsid w:val="004E6665"/>
    <w:rsid w:val="004F634E"/>
    <w:rsid w:val="004F67A8"/>
    <w:rsid w:val="004F7333"/>
    <w:rsid w:val="005026F9"/>
    <w:rsid w:val="00522A50"/>
    <w:rsid w:val="00525515"/>
    <w:rsid w:val="00527225"/>
    <w:rsid w:val="0053557D"/>
    <w:rsid w:val="005454D9"/>
    <w:rsid w:val="005463DE"/>
    <w:rsid w:val="00546DC2"/>
    <w:rsid w:val="005542E8"/>
    <w:rsid w:val="00556630"/>
    <w:rsid w:val="0055686D"/>
    <w:rsid w:val="00562EF6"/>
    <w:rsid w:val="00564C33"/>
    <w:rsid w:val="005800EE"/>
    <w:rsid w:val="005807F1"/>
    <w:rsid w:val="005869D6"/>
    <w:rsid w:val="005938CA"/>
    <w:rsid w:val="00593E0C"/>
    <w:rsid w:val="005A33F6"/>
    <w:rsid w:val="005A59E5"/>
    <w:rsid w:val="005B7440"/>
    <w:rsid w:val="005C2A9C"/>
    <w:rsid w:val="005C6E9D"/>
    <w:rsid w:val="005E2150"/>
    <w:rsid w:val="005E2995"/>
    <w:rsid w:val="005F3FEF"/>
    <w:rsid w:val="00601392"/>
    <w:rsid w:val="006075F6"/>
    <w:rsid w:val="00607D35"/>
    <w:rsid w:val="00607F7C"/>
    <w:rsid w:val="006102DA"/>
    <w:rsid w:val="00621F93"/>
    <w:rsid w:val="006315A3"/>
    <w:rsid w:val="00636EEF"/>
    <w:rsid w:val="00637CC1"/>
    <w:rsid w:val="006466BA"/>
    <w:rsid w:val="0065006D"/>
    <w:rsid w:val="006579A2"/>
    <w:rsid w:val="00665862"/>
    <w:rsid w:val="00667C89"/>
    <w:rsid w:val="006711EE"/>
    <w:rsid w:val="00674072"/>
    <w:rsid w:val="0067651B"/>
    <w:rsid w:val="006809BB"/>
    <w:rsid w:val="006809FD"/>
    <w:rsid w:val="00691D1F"/>
    <w:rsid w:val="00697BAE"/>
    <w:rsid w:val="006A0941"/>
    <w:rsid w:val="006A1D8E"/>
    <w:rsid w:val="006A7376"/>
    <w:rsid w:val="006B4DDC"/>
    <w:rsid w:val="006B5E55"/>
    <w:rsid w:val="006D25A1"/>
    <w:rsid w:val="006E4CB8"/>
    <w:rsid w:val="006F6856"/>
    <w:rsid w:val="00707211"/>
    <w:rsid w:val="0071190E"/>
    <w:rsid w:val="007145D0"/>
    <w:rsid w:val="00716F94"/>
    <w:rsid w:val="00760E12"/>
    <w:rsid w:val="00763CF3"/>
    <w:rsid w:val="00772293"/>
    <w:rsid w:val="00774AD1"/>
    <w:rsid w:val="00783A3C"/>
    <w:rsid w:val="00783C75"/>
    <w:rsid w:val="00784619"/>
    <w:rsid w:val="0078627B"/>
    <w:rsid w:val="00787E86"/>
    <w:rsid w:val="0079271D"/>
    <w:rsid w:val="00794E32"/>
    <w:rsid w:val="007A47DE"/>
    <w:rsid w:val="007A610F"/>
    <w:rsid w:val="007B305A"/>
    <w:rsid w:val="007B5FE0"/>
    <w:rsid w:val="007E0599"/>
    <w:rsid w:val="007E065A"/>
    <w:rsid w:val="007E3ACD"/>
    <w:rsid w:val="00800993"/>
    <w:rsid w:val="008022D9"/>
    <w:rsid w:val="008075DF"/>
    <w:rsid w:val="00810E3A"/>
    <w:rsid w:val="00815C7D"/>
    <w:rsid w:val="00817941"/>
    <w:rsid w:val="008261AB"/>
    <w:rsid w:val="00835CA7"/>
    <w:rsid w:val="008370D4"/>
    <w:rsid w:val="008414AD"/>
    <w:rsid w:val="008428D9"/>
    <w:rsid w:val="00884DB9"/>
    <w:rsid w:val="00894F7B"/>
    <w:rsid w:val="0089676F"/>
    <w:rsid w:val="008A6A11"/>
    <w:rsid w:val="008B2147"/>
    <w:rsid w:val="008C4D12"/>
    <w:rsid w:val="008C67D2"/>
    <w:rsid w:val="008D458C"/>
    <w:rsid w:val="008E0683"/>
    <w:rsid w:val="008E7CD7"/>
    <w:rsid w:val="00902DD9"/>
    <w:rsid w:val="00911486"/>
    <w:rsid w:val="009129CA"/>
    <w:rsid w:val="009206B6"/>
    <w:rsid w:val="009263C1"/>
    <w:rsid w:val="0092674D"/>
    <w:rsid w:val="009272A3"/>
    <w:rsid w:val="00931C02"/>
    <w:rsid w:val="00935FFD"/>
    <w:rsid w:val="00941B4F"/>
    <w:rsid w:val="00963CE3"/>
    <w:rsid w:val="009647D1"/>
    <w:rsid w:val="00964F18"/>
    <w:rsid w:val="00974424"/>
    <w:rsid w:val="009759F3"/>
    <w:rsid w:val="00987F76"/>
    <w:rsid w:val="00991BF9"/>
    <w:rsid w:val="00993088"/>
    <w:rsid w:val="0099664F"/>
    <w:rsid w:val="00997D5D"/>
    <w:rsid w:val="009A0447"/>
    <w:rsid w:val="009A2A84"/>
    <w:rsid w:val="009B034F"/>
    <w:rsid w:val="009B4A51"/>
    <w:rsid w:val="009C28B1"/>
    <w:rsid w:val="009C61AD"/>
    <w:rsid w:val="009D373D"/>
    <w:rsid w:val="009D77CD"/>
    <w:rsid w:val="009E1D05"/>
    <w:rsid w:val="009E406B"/>
    <w:rsid w:val="009E43E9"/>
    <w:rsid w:val="009F368C"/>
    <w:rsid w:val="009F7283"/>
    <w:rsid w:val="00A11B0C"/>
    <w:rsid w:val="00A23F9F"/>
    <w:rsid w:val="00A262A6"/>
    <w:rsid w:val="00A305CE"/>
    <w:rsid w:val="00A33B35"/>
    <w:rsid w:val="00A36419"/>
    <w:rsid w:val="00A41483"/>
    <w:rsid w:val="00A4592E"/>
    <w:rsid w:val="00A45EB4"/>
    <w:rsid w:val="00A578C2"/>
    <w:rsid w:val="00A57FA9"/>
    <w:rsid w:val="00A70EBC"/>
    <w:rsid w:val="00A72652"/>
    <w:rsid w:val="00A75D1C"/>
    <w:rsid w:val="00A76DA3"/>
    <w:rsid w:val="00A809AA"/>
    <w:rsid w:val="00A849B3"/>
    <w:rsid w:val="00A8510D"/>
    <w:rsid w:val="00A86AF3"/>
    <w:rsid w:val="00A87214"/>
    <w:rsid w:val="00A90BDC"/>
    <w:rsid w:val="00A95477"/>
    <w:rsid w:val="00A975A9"/>
    <w:rsid w:val="00AA3192"/>
    <w:rsid w:val="00AA5966"/>
    <w:rsid w:val="00AA6212"/>
    <w:rsid w:val="00AB19A7"/>
    <w:rsid w:val="00AB3608"/>
    <w:rsid w:val="00AB409C"/>
    <w:rsid w:val="00AC5C48"/>
    <w:rsid w:val="00AD1AF5"/>
    <w:rsid w:val="00AF0CF4"/>
    <w:rsid w:val="00AF2252"/>
    <w:rsid w:val="00AF369F"/>
    <w:rsid w:val="00AF41B0"/>
    <w:rsid w:val="00B1129F"/>
    <w:rsid w:val="00B11D61"/>
    <w:rsid w:val="00B12F51"/>
    <w:rsid w:val="00B2751E"/>
    <w:rsid w:val="00B34AF2"/>
    <w:rsid w:val="00B3650C"/>
    <w:rsid w:val="00B4095B"/>
    <w:rsid w:val="00B50A2B"/>
    <w:rsid w:val="00B5360B"/>
    <w:rsid w:val="00B64BFA"/>
    <w:rsid w:val="00B6517E"/>
    <w:rsid w:val="00B65C38"/>
    <w:rsid w:val="00B66FD0"/>
    <w:rsid w:val="00B74701"/>
    <w:rsid w:val="00B74F32"/>
    <w:rsid w:val="00B82096"/>
    <w:rsid w:val="00B8216F"/>
    <w:rsid w:val="00B853F1"/>
    <w:rsid w:val="00B85DE4"/>
    <w:rsid w:val="00B91A31"/>
    <w:rsid w:val="00BA6DB4"/>
    <w:rsid w:val="00BC3F3C"/>
    <w:rsid w:val="00BC5BB2"/>
    <w:rsid w:val="00BC6896"/>
    <w:rsid w:val="00BD5FEA"/>
    <w:rsid w:val="00BF0D69"/>
    <w:rsid w:val="00BF3F54"/>
    <w:rsid w:val="00C003A4"/>
    <w:rsid w:val="00C00697"/>
    <w:rsid w:val="00C02445"/>
    <w:rsid w:val="00C0376C"/>
    <w:rsid w:val="00C06D77"/>
    <w:rsid w:val="00C131A5"/>
    <w:rsid w:val="00C14BA6"/>
    <w:rsid w:val="00C315B7"/>
    <w:rsid w:val="00C347E7"/>
    <w:rsid w:val="00C3485C"/>
    <w:rsid w:val="00C420D4"/>
    <w:rsid w:val="00C574AF"/>
    <w:rsid w:val="00C670F0"/>
    <w:rsid w:val="00C84DC3"/>
    <w:rsid w:val="00CA2004"/>
    <w:rsid w:val="00CB334D"/>
    <w:rsid w:val="00CB56D5"/>
    <w:rsid w:val="00CB69E0"/>
    <w:rsid w:val="00CC0BBD"/>
    <w:rsid w:val="00CD0771"/>
    <w:rsid w:val="00CD102B"/>
    <w:rsid w:val="00CD1EA8"/>
    <w:rsid w:val="00CE3206"/>
    <w:rsid w:val="00CE351B"/>
    <w:rsid w:val="00CF0CE8"/>
    <w:rsid w:val="00CF5ABD"/>
    <w:rsid w:val="00CF63CE"/>
    <w:rsid w:val="00D067C1"/>
    <w:rsid w:val="00D1187E"/>
    <w:rsid w:val="00D13B13"/>
    <w:rsid w:val="00D16E78"/>
    <w:rsid w:val="00D201D3"/>
    <w:rsid w:val="00D26A64"/>
    <w:rsid w:val="00D328FA"/>
    <w:rsid w:val="00D4221A"/>
    <w:rsid w:val="00D44CC4"/>
    <w:rsid w:val="00D52B9A"/>
    <w:rsid w:val="00D5367E"/>
    <w:rsid w:val="00D65F39"/>
    <w:rsid w:val="00D7156A"/>
    <w:rsid w:val="00D7285C"/>
    <w:rsid w:val="00D73BDA"/>
    <w:rsid w:val="00D85A6C"/>
    <w:rsid w:val="00D861ED"/>
    <w:rsid w:val="00D86D65"/>
    <w:rsid w:val="00D873E0"/>
    <w:rsid w:val="00D94F8B"/>
    <w:rsid w:val="00DA204F"/>
    <w:rsid w:val="00DA4EA9"/>
    <w:rsid w:val="00DA5988"/>
    <w:rsid w:val="00DC317C"/>
    <w:rsid w:val="00DC4FF2"/>
    <w:rsid w:val="00DC79CC"/>
    <w:rsid w:val="00DE5216"/>
    <w:rsid w:val="00DE696D"/>
    <w:rsid w:val="00DE7E0F"/>
    <w:rsid w:val="00DF2CAD"/>
    <w:rsid w:val="00DF3F6A"/>
    <w:rsid w:val="00DF50C8"/>
    <w:rsid w:val="00E134F4"/>
    <w:rsid w:val="00E2195A"/>
    <w:rsid w:val="00E23568"/>
    <w:rsid w:val="00E245B5"/>
    <w:rsid w:val="00E24C20"/>
    <w:rsid w:val="00E25205"/>
    <w:rsid w:val="00E33E1B"/>
    <w:rsid w:val="00E34D3E"/>
    <w:rsid w:val="00E81912"/>
    <w:rsid w:val="00E81C5E"/>
    <w:rsid w:val="00E83A11"/>
    <w:rsid w:val="00E83B3C"/>
    <w:rsid w:val="00E8736B"/>
    <w:rsid w:val="00E90275"/>
    <w:rsid w:val="00E90821"/>
    <w:rsid w:val="00E925D4"/>
    <w:rsid w:val="00E97226"/>
    <w:rsid w:val="00EB1399"/>
    <w:rsid w:val="00EB63B3"/>
    <w:rsid w:val="00EC288F"/>
    <w:rsid w:val="00ED2CED"/>
    <w:rsid w:val="00ED6878"/>
    <w:rsid w:val="00EE0B05"/>
    <w:rsid w:val="00EF0B1C"/>
    <w:rsid w:val="00EF0EC8"/>
    <w:rsid w:val="00EF33CD"/>
    <w:rsid w:val="00EF4B5A"/>
    <w:rsid w:val="00EF5AEB"/>
    <w:rsid w:val="00F00326"/>
    <w:rsid w:val="00F14B1F"/>
    <w:rsid w:val="00F2267A"/>
    <w:rsid w:val="00F23CAF"/>
    <w:rsid w:val="00F300CB"/>
    <w:rsid w:val="00F33DDA"/>
    <w:rsid w:val="00F42C3A"/>
    <w:rsid w:val="00F4505D"/>
    <w:rsid w:val="00F512D1"/>
    <w:rsid w:val="00F52BCC"/>
    <w:rsid w:val="00F5313F"/>
    <w:rsid w:val="00F556C6"/>
    <w:rsid w:val="00F5688F"/>
    <w:rsid w:val="00F57581"/>
    <w:rsid w:val="00F725B5"/>
    <w:rsid w:val="00F81A48"/>
    <w:rsid w:val="00FB364E"/>
    <w:rsid w:val="00FC1BFC"/>
    <w:rsid w:val="00FC5B1F"/>
    <w:rsid w:val="00FC70C2"/>
    <w:rsid w:val="00FD17C9"/>
    <w:rsid w:val="00FD1EF0"/>
    <w:rsid w:val="00FD2A5B"/>
    <w:rsid w:val="00FE0E1C"/>
    <w:rsid w:val="00FE32B9"/>
    <w:rsid w:val="00FE5F2F"/>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A00A"/>
  <w15:docId w15:val="{F4F971D1-32F3-413B-AA44-09063378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0A6110"/>
    <w:pPr>
      <w:tabs>
        <w:tab w:val="left" w:pos="660"/>
        <w:tab w:val="right" w:leader="dot" w:pos="9350"/>
      </w:tabs>
      <w:spacing w:after="100"/>
      <w:ind w:left="619" w:hanging="403"/>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48734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weiss@nacch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zl3@cdc.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ye@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OSTLTSDOC-727-81</_dlc_DocId>
    <_dlc_DocIdUrl xmlns="b5c0ca00-073d-4463-9985-b654f14791fe">
      <Url>https://esp.cdc.gov/sites/ostlts/pip/osc/_layouts/15/DocIdRedir.aspx?ID=OSTLTSDOC-727-81</Url>
      <Description>OSTLTSDOC-727-81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3.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4.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5.xml><?xml version="1.0" encoding="utf-8"?>
<ds:datastoreItem xmlns:ds="http://schemas.openxmlformats.org/officeDocument/2006/customXml" ds:itemID="{4C66D475-B04F-409F-B356-E58628029DB2}">
  <ds:schemaRefs>
    <ds:schemaRef ds:uri="15b1c282-9287-45cb-9b41-eae3a76919a0"/>
    <ds:schemaRef ds:uri="http://purl.org/dc/terms/"/>
    <ds:schemaRef ds:uri="http://purl.org/dc/dcmitype/"/>
    <ds:schemaRef ds:uri="bd99c180-279b-44c3-9486-dd050336677e"/>
    <ds:schemaRef ds:uri="http://schemas.microsoft.com/office/infopath/2007/PartnerControls"/>
    <ds:schemaRef ds:uri="http://schemas.openxmlformats.org/package/2006/metadata/core-properties"/>
    <ds:schemaRef ds:uri="b5c0ca00-073d-4463-9985-b654f14791f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6.xml><?xml version="1.0" encoding="utf-8"?>
<ds:datastoreItem xmlns:ds="http://schemas.openxmlformats.org/officeDocument/2006/customXml" ds:itemID="{F206A557-DE0B-4297-BBD8-7D8B1C44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4</cp:revision>
  <cp:lastPrinted>2016-03-29T16:50:00Z</cp:lastPrinted>
  <dcterms:created xsi:type="dcterms:W3CDTF">2016-04-20T20:33:00Z</dcterms:created>
  <dcterms:modified xsi:type="dcterms:W3CDTF">2016-04-20T20:33:00Z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8adf7222-a9b4-47b9-ba7e-75553263b23c</vt:lpwstr>
  </property>
</Properties>
</file>