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2A498" w14:textId="77777777" w:rsidR="002662BD" w:rsidRDefault="002662BD" w:rsidP="00DF39CF">
      <w:pPr>
        <w:ind w:left="0"/>
        <w:jc w:val="center"/>
        <w:rPr>
          <w:b/>
          <w:bCs/>
          <w:sz w:val="40"/>
        </w:rPr>
      </w:pPr>
      <w:bookmarkStart w:id="0" w:name="_GoBack"/>
      <w:bookmarkEnd w:id="0"/>
    </w:p>
    <w:p w14:paraId="345332F9" w14:textId="77777777" w:rsidR="002662BD" w:rsidRDefault="002662BD" w:rsidP="00DF39CF">
      <w:pPr>
        <w:ind w:left="0"/>
        <w:jc w:val="center"/>
        <w:rPr>
          <w:b/>
          <w:bCs/>
          <w:sz w:val="40"/>
        </w:rPr>
      </w:pPr>
    </w:p>
    <w:p w14:paraId="76D7386B" w14:textId="77777777" w:rsidR="002662BD" w:rsidRDefault="002662BD" w:rsidP="00DF39CF">
      <w:pPr>
        <w:ind w:left="0"/>
        <w:jc w:val="center"/>
        <w:rPr>
          <w:b/>
          <w:bCs/>
          <w:sz w:val="40"/>
        </w:rPr>
      </w:pPr>
    </w:p>
    <w:p w14:paraId="7A21C232" w14:textId="48D2E06B" w:rsidR="002662BD" w:rsidRDefault="002F0FF8" w:rsidP="00DF39CF">
      <w:pPr>
        <w:ind w:left="0"/>
        <w:jc w:val="center"/>
        <w:rPr>
          <w:b/>
          <w:bCs/>
          <w:sz w:val="40"/>
        </w:rPr>
      </w:pPr>
      <w:r>
        <w:rPr>
          <w:b/>
          <w:bCs/>
          <w:sz w:val="40"/>
        </w:rPr>
        <w:t xml:space="preserve">Priority Non-Infectious Drinking Water </w:t>
      </w:r>
      <w:r w:rsidR="002662BD">
        <w:rPr>
          <w:b/>
          <w:bCs/>
          <w:sz w:val="40"/>
        </w:rPr>
        <w:t>Issues</w:t>
      </w:r>
      <w:r w:rsidR="00F140E8">
        <w:rPr>
          <w:b/>
          <w:bCs/>
          <w:sz w:val="40"/>
        </w:rPr>
        <w:t>:</w:t>
      </w:r>
      <w:r w:rsidR="002662BD">
        <w:rPr>
          <w:b/>
          <w:bCs/>
          <w:sz w:val="40"/>
        </w:rPr>
        <w:t xml:space="preserve"> </w:t>
      </w:r>
    </w:p>
    <w:p w14:paraId="48D3AD7D" w14:textId="0302FACD" w:rsidR="00AA3192" w:rsidRDefault="00775BFF" w:rsidP="00DF39CF">
      <w:pPr>
        <w:ind w:left="0"/>
        <w:jc w:val="center"/>
      </w:pPr>
      <w:r w:rsidRPr="00775BFF">
        <w:rPr>
          <w:b/>
          <w:bCs/>
          <w:sz w:val="40"/>
        </w:rPr>
        <w:t>CSTE Assessment</w:t>
      </w:r>
    </w:p>
    <w:p w14:paraId="04A2C998" w14:textId="77777777" w:rsidR="00C620B9" w:rsidRDefault="00C620B9" w:rsidP="00CA5840">
      <w:pPr>
        <w:ind w:left="0"/>
        <w:jc w:val="center"/>
      </w:pPr>
    </w:p>
    <w:p w14:paraId="48D3AD7E"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48D3AD7F" w14:textId="77777777" w:rsidR="00484011" w:rsidRPr="00AA3192" w:rsidRDefault="00484011" w:rsidP="00CA5840">
      <w:pPr>
        <w:ind w:left="0"/>
        <w:jc w:val="center"/>
      </w:pPr>
      <w:r w:rsidRPr="00AA3192">
        <w:t>OMB No. 0920-0879</w:t>
      </w:r>
    </w:p>
    <w:p w14:paraId="48D3AD80" w14:textId="77777777" w:rsidR="009B4A51" w:rsidRDefault="009B4A51" w:rsidP="00CA5840">
      <w:pPr>
        <w:ind w:left="0"/>
      </w:pPr>
    </w:p>
    <w:p w14:paraId="48D3AD81" w14:textId="77777777" w:rsidR="009B4A51" w:rsidRDefault="009B4A51" w:rsidP="00CA5840">
      <w:pPr>
        <w:ind w:left="0"/>
      </w:pPr>
    </w:p>
    <w:p w14:paraId="48D3AD82" w14:textId="77777777" w:rsidR="00AA3192" w:rsidRDefault="00AA3192" w:rsidP="00CA5840">
      <w:pPr>
        <w:ind w:left="0"/>
      </w:pPr>
    </w:p>
    <w:p w14:paraId="48D3AD83" w14:textId="77777777" w:rsidR="00AA3192" w:rsidRDefault="00AA3192" w:rsidP="00CA5840">
      <w:pPr>
        <w:ind w:left="0"/>
      </w:pPr>
    </w:p>
    <w:p w14:paraId="48D3AD84" w14:textId="77777777" w:rsidR="009B4A51" w:rsidRPr="007D6163" w:rsidRDefault="009B4A51" w:rsidP="00CA5840">
      <w:pPr>
        <w:pStyle w:val="Heading2"/>
        <w:ind w:left="0"/>
      </w:pPr>
      <w:r w:rsidRPr="007D6163">
        <w:t>Supporting Statement – Section A</w:t>
      </w:r>
    </w:p>
    <w:p w14:paraId="48D3AD85" w14:textId="77777777" w:rsidR="009B4A51" w:rsidRDefault="009B4A51" w:rsidP="00CA5840">
      <w:pPr>
        <w:ind w:left="0"/>
      </w:pPr>
    </w:p>
    <w:p w14:paraId="48D3AD86" w14:textId="77777777" w:rsidR="00484011" w:rsidRDefault="00484011" w:rsidP="00CA5840">
      <w:pPr>
        <w:ind w:left="0"/>
      </w:pPr>
    </w:p>
    <w:p w14:paraId="48D3AD87" w14:textId="77777777" w:rsidR="00AA3192" w:rsidRDefault="00AA3192" w:rsidP="00CA5840">
      <w:pPr>
        <w:ind w:left="0"/>
      </w:pPr>
    </w:p>
    <w:p w14:paraId="48D3AD88" w14:textId="77777777" w:rsidR="009B4A51" w:rsidRDefault="009B4A51" w:rsidP="00CA5840">
      <w:pPr>
        <w:ind w:left="0"/>
      </w:pPr>
    </w:p>
    <w:p w14:paraId="48D3AD89" w14:textId="77777777" w:rsidR="009B4A51" w:rsidRDefault="009B4A51" w:rsidP="00CA5840">
      <w:pPr>
        <w:ind w:left="0"/>
      </w:pPr>
    </w:p>
    <w:p w14:paraId="48D3AD8A" w14:textId="77777777" w:rsidR="00187D5A" w:rsidRDefault="00187D5A" w:rsidP="00CA5840">
      <w:pPr>
        <w:ind w:left="0"/>
      </w:pPr>
    </w:p>
    <w:p w14:paraId="54A2E292" w14:textId="05C98A0E" w:rsidR="00DC27F9" w:rsidRPr="009B4A51" w:rsidRDefault="009B4A51" w:rsidP="00CA5840">
      <w:pPr>
        <w:ind w:left="0"/>
        <w:jc w:val="center"/>
      </w:pPr>
      <w:r w:rsidRPr="00AA3192">
        <w:t>Submitted</w:t>
      </w:r>
      <w:r w:rsidRPr="00BE4D5E">
        <w:t xml:space="preserve">: </w:t>
      </w:r>
      <w:r w:rsidR="00607DD8">
        <w:t>2/2 /16</w:t>
      </w:r>
    </w:p>
    <w:p w14:paraId="48D3AD8C" w14:textId="77777777" w:rsidR="009B4A51" w:rsidRDefault="009B4A51" w:rsidP="007D6163"/>
    <w:p w14:paraId="48D3AD8D" w14:textId="77777777" w:rsidR="009B4A51" w:rsidRDefault="009B4A51" w:rsidP="007D6163"/>
    <w:p w14:paraId="0A4F87A9" w14:textId="74E76536" w:rsidR="002662BD" w:rsidRDefault="002662BD" w:rsidP="007D6163"/>
    <w:p w14:paraId="61402564" w14:textId="77777777" w:rsidR="002662BD" w:rsidRDefault="002662BD" w:rsidP="007D6163"/>
    <w:p w14:paraId="71E25A87" w14:textId="77777777" w:rsidR="002662BD" w:rsidRDefault="002662BD" w:rsidP="007D6163"/>
    <w:p w14:paraId="48D3AD8E" w14:textId="77777777" w:rsidR="00873940" w:rsidRDefault="00716F94" w:rsidP="0022450B">
      <w:pPr>
        <w:ind w:left="0"/>
        <w:rPr>
          <w:b/>
          <w:u w:val="single"/>
        </w:rPr>
      </w:pPr>
      <w:r w:rsidRPr="00CA5840">
        <w:rPr>
          <w:b/>
          <w:u w:val="single"/>
        </w:rPr>
        <w:t>P</w:t>
      </w:r>
      <w:r w:rsidR="00667C89" w:rsidRPr="00CA5840">
        <w:rPr>
          <w:b/>
          <w:u w:val="single"/>
        </w:rPr>
        <w:t>rogram Official/Project Officer</w:t>
      </w:r>
    </w:p>
    <w:p w14:paraId="48D3AD8F" w14:textId="77777777" w:rsidR="00873940" w:rsidRDefault="00873940" w:rsidP="0022450B">
      <w:pPr>
        <w:ind w:left="0"/>
      </w:pPr>
      <w:r>
        <w:t>Angela Salazar</w:t>
      </w:r>
    </w:p>
    <w:p w14:paraId="48D3AD90" w14:textId="77777777" w:rsidR="00873940" w:rsidRPr="00873940" w:rsidRDefault="00873940" w:rsidP="00873940">
      <w:pPr>
        <w:ind w:left="0"/>
      </w:pPr>
      <w:r w:rsidRPr="00873940">
        <w:t>Public Health Advisor</w:t>
      </w:r>
    </w:p>
    <w:p w14:paraId="48D3AD91" w14:textId="77777777" w:rsidR="00873940" w:rsidRPr="00873940" w:rsidRDefault="00873940" w:rsidP="00873940">
      <w:pPr>
        <w:ind w:left="0"/>
      </w:pPr>
      <w:r w:rsidRPr="00873940">
        <w:t>Health Studies Branch</w:t>
      </w:r>
    </w:p>
    <w:p w14:paraId="48D3AD92" w14:textId="77777777" w:rsidR="00873940" w:rsidRPr="00873940" w:rsidRDefault="00873940" w:rsidP="00873940">
      <w:pPr>
        <w:ind w:left="0"/>
      </w:pPr>
      <w:r w:rsidRPr="00873940">
        <w:t>Division of Environmental Hazards and Health Effects</w:t>
      </w:r>
    </w:p>
    <w:p w14:paraId="48D3AD93" w14:textId="77777777" w:rsidR="00873940" w:rsidRPr="00873940" w:rsidRDefault="00873940" w:rsidP="00873940">
      <w:pPr>
        <w:ind w:left="0"/>
      </w:pPr>
      <w:r w:rsidRPr="00873940">
        <w:t>National Center for Environmental Health</w:t>
      </w:r>
    </w:p>
    <w:p w14:paraId="48D3AD94" w14:textId="77777777" w:rsidR="00873940" w:rsidRPr="00873940" w:rsidRDefault="00873940" w:rsidP="00873940">
      <w:pPr>
        <w:ind w:left="0"/>
      </w:pPr>
      <w:r w:rsidRPr="00873940">
        <w:t>4770 Buford Highway NE, MS F-60</w:t>
      </w:r>
    </w:p>
    <w:p w14:paraId="48D3AD95" w14:textId="77777777" w:rsidR="00873940" w:rsidRPr="00873940" w:rsidRDefault="00873940" w:rsidP="00873940">
      <w:pPr>
        <w:ind w:left="0"/>
      </w:pPr>
      <w:r w:rsidRPr="00873940">
        <w:t>Atlanta</w:t>
      </w:r>
      <w:r>
        <w:t>,</w:t>
      </w:r>
      <w:r w:rsidRPr="00873940">
        <w:t xml:space="preserve"> GA 30341</w:t>
      </w:r>
    </w:p>
    <w:p w14:paraId="48D3AD96" w14:textId="77777777" w:rsidR="00873940" w:rsidRPr="00873940" w:rsidRDefault="00873940" w:rsidP="00873940">
      <w:pPr>
        <w:ind w:left="0"/>
      </w:pPr>
      <w:r>
        <w:t xml:space="preserve">Phone: </w:t>
      </w:r>
      <w:r w:rsidRPr="00873940">
        <w:t xml:space="preserve">770.488.3949 </w:t>
      </w:r>
    </w:p>
    <w:p w14:paraId="48D3AD97" w14:textId="77777777" w:rsidR="00873940" w:rsidRPr="00873940" w:rsidRDefault="00873940" w:rsidP="00873940">
      <w:pPr>
        <w:ind w:left="0"/>
      </w:pPr>
      <w:r>
        <w:t xml:space="preserve">Email: </w:t>
      </w:r>
      <w:r w:rsidRPr="00873940">
        <w:t>aos9@cdc.gov</w:t>
      </w:r>
    </w:p>
    <w:p w14:paraId="48D3AD98" w14:textId="77777777" w:rsidR="00CA5840" w:rsidRDefault="00CA5840" w:rsidP="0022450B">
      <w:pPr>
        <w:ind w:left="0"/>
      </w:pPr>
    </w:p>
    <w:p w14:paraId="48D3AD99" w14:textId="77777777" w:rsidR="00873940" w:rsidRPr="0022450B" w:rsidRDefault="00873940" w:rsidP="0022450B">
      <w:pPr>
        <w:ind w:left="0"/>
      </w:pPr>
    </w:p>
    <w:p w14:paraId="043BECB6" w14:textId="77777777" w:rsidR="00052946" w:rsidRDefault="00052946">
      <w:pPr>
        <w:tabs>
          <w:tab w:val="clear" w:pos="9360"/>
        </w:tabs>
        <w:spacing w:after="200"/>
        <w:ind w:left="0"/>
      </w:pPr>
      <w:r>
        <w:br w:type="page"/>
      </w:r>
    </w:p>
    <w:p w14:paraId="22A1AA5B" w14:textId="77777777" w:rsidR="00052946" w:rsidRDefault="00052946" w:rsidP="00052946">
      <w:pPr>
        <w:pStyle w:val="Heading3"/>
        <w:ind w:left="0"/>
      </w:pPr>
      <w:bookmarkStart w:id="1" w:name="_Toc414349611"/>
      <w:bookmarkStart w:id="2" w:name="_Toc414349672"/>
      <w:bookmarkStart w:id="3" w:name="_Toc437419310"/>
      <w:r>
        <w:lastRenderedPageBreak/>
        <w:t>Table of Contents</w:t>
      </w:r>
      <w:bookmarkEnd w:id="1"/>
      <w:bookmarkEnd w:id="2"/>
      <w:bookmarkEnd w:id="3"/>
    </w:p>
    <w:p w14:paraId="6B7808BB" w14:textId="77777777" w:rsidR="00C87351" w:rsidRDefault="00052946">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37419310" w:history="1">
        <w:r w:rsidR="00C87351" w:rsidRPr="00D44FE7">
          <w:rPr>
            <w:rStyle w:val="Hyperlink"/>
            <w:noProof/>
          </w:rPr>
          <w:t>Table of Contents</w:t>
        </w:r>
        <w:r w:rsidR="00C87351">
          <w:rPr>
            <w:noProof/>
            <w:webHidden/>
          </w:rPr>
          <w:tab/>
        </w:r>
        <w:r w:rsidR="00C87351">
          <w:rPr>
            <w:noProof/>
            <w:webHidden/>
          </w:rPr>
          <w:fldChar w:fldCharType="begin"/>
        </w:r>
        <w:r w:rsidR="00C87351">
          <w:rPr>
            <w:noProof/>
            <w:webHidden/>
          </w:rPr>
          <w:instrText xml:space="preserve"> PAGEREF _Toc437419310 \h </w:instrText>
        </w:r>
        <w:r w:rsidR="00C87351">
          <w:rPr>
            <w:noProof/>
            <w:webHidden/>
          </w:rPr>
        </w:r>
        <w:r w:rsidR="00C87351">
          <w:rPr>
            <w:noProof/>
            <w:webHidden/>
          </w:rPr>
          <w:fldChar w:fldCharType="separate"/>
        </w:r>
        <w:r w:rsidR="00607DD8">
          <w:rPr>
            <w:noProof/>
            <w:webHidden/>
          </w:rPr>
          <w:t>2</w:t>
        </w:r>
        <w:r w:rsidR="00C87351">
          <w:rPr>
            <w:noProof/>
            <w:webHidden/>
          </w:rPr>
          <w:fldChar w:fldCharType="end"/>
        </w:r>
      </w:hyperlink>
    </w:p>
    <w:p w14:paraId="76F3E3DE" w14:textId="27561291" w:rsidR="00C87351" w:rsidRDefault="00455B37">
      <w:pPr>
        <w:pStyle w:val="TOC1"/>
        <w:tabs>
          <w:tab w:val="right" w:leader="dot" w:pos="9350"/>
        </w:tabs>
        <w:rPr>
          <w:rFonts w:asciiTheme="minorHAnsi" w:hAnsiTheme="minorHAnsi"/>
          <w:noProof/>
        </w:rPr>
      </w:pPr>
      <w:hyperlink w:anchor="_Toc437419311" w:history="1">
        <w:r w:rsidR="00C87351">
          <w:rPr>
            <w:noProof/>
            <w:webHidden/>
          </w:rPr>
          <w:tab/>
        </w:r>
        <w:r w:rsidR="00C87351">
          <w:rPr>
            <w:noProof/>
            <w:webHidden/>
          </w:rPr>
          <w:fldChar w:fldCharType="begin"/>
        </w:r>
        <w:r w:rsidR="00C87351">
          <w:rPr>
            <w:noProof/>
            <w:webHidden/>
          </w:rPr>
          <w:instrText xml:space="preserve"> PAGEREF _Toc437419311 \h </w:instrText>
        </w:r>
        <w:r w:rsidR="00C87351">
          <w:rPr>
            <w:noProof/>
            <w:webHidden/>
          </w:rPr>
        </w:r>
        <w:r w:rsidR="00C87351">
          <w:rPr>
            <w:noProof/>
            <w:webHidden/>
          </w:rPr>
          <w:fldChar w:fldCharType="separate"/>
        </w:r>
        <w:r w:rsidR="00607DD8">
          <w:rPr>
            <w:noProof/>
            <w:webHidden/>
          </w:rPr>
          <w:t>3</w:t>
        </w:r>
        <w:r w:rsidR="00C87351">
          <w:rPr>
            <w:noProof/>
            <w:webHidden/>
          </w:rPr>
          <w:fldChar w:fldCharType="end"/>
        </w:r>
      </w:hyperlink>
    </w:p>
    <w:p w14:paraId="0579B842" w14:textId="77777777" w:rsidR="00C87351" w:rsidRDefault="00455B37">
      <w:pPr>
        <w:pStyle w:val="TOC1"/>
        <w:tabs>
          <w:tab w:val="right" w:leader="dot" w:pos="9350"/>
        </w:tabs>
        <w:rPr>
          <w:rFonts w:asciiTheme="minorHAnsi" w:hAnsiTheme="minorHAnsi"/>
          <w:noProof/>
        </w:rPr>
      </w:pPr>
      <w:hyperlink w:anchor="_Toc437419312" w:history="1">
        <w:r w:rsidR="00C87351" w:rsidRPr="00D44FE7">
          <w:rPr>
            <w:rStyle w:val="Hyperlink"/>
            <w:noProof/>
          </w:rPr>
          <w:t>Section A – Justification</w:t>
        </w:r>
        <w:r w:rsidR="00C87351">
          <w:rPr>
            <w:noProof/>
            <w:webHidden/>
          </w:rPr>
          <w:tab/>
        </w:r>
        <w:r w:rsidR="00C87351">
          <w:rPr>
            <w:noProof/>
            <w:webHidden/>
          </w:rPr>
          <w:fldChar w:fldCharType="begin"/>
        </w:r>
        <w:r w:rsidR="00C87351">
          <w:rPr>
            <w:noProof/>
            <w:webHidden/>
          </w:rPr>
          <w:instrText xml:space="preserve"> PAGEREF _Toc437419312 \h </w:instrText>
        </w:r>
        <w:r w:rsidR="00C87351">
          <w:rPr>
            <w:noProof/>
            <w:webHidden/>
          </w:rPr>
        </w:r>
        <w:r w:rsidR="00C87351">
          <w:rPr>
            <w:noProof/>
            <w:webHidden/>
          </w:rPr>
          <w:fldChar w:fldCharType="separate"/>
        </w:r>
        <w:r w:rsidR="00607DD8">
          <w:rPr>
            <w:noProof/>
            <w:webHidden/>
          </w:rPr>
          <w:t>3</w:t>
        </w:r>
        <w:r w:rsidR="00C87351">
          <w:rPr>
            <w:noProof/>
            <w:webHidden/>
          </w:rPr>
          <w:fldChar w:fldCharType="end"/>
        </w:r>
      </w:hyperlink>
    </w:p>
    <w:p w14:paraId="299E7227" w14:textId="77777777" w:rsidR="00C87351" w:rsidRDefault="00455B37">
      <w:pPr>
        <w:pStyle w:val="TOC2"/>
        <w:rPr>
          <w:rFonts w:asciiTheme="minorHAnsi" w:hAnsiTheme="minorHAnsi"/>
          <w:noProof/>
        </w:rPr>
      </w:pPr>
      <w:hyperlink w:anchor="_Toc437419313" w:history="1">
        <w:r w:rsidR="00C87351" w:rsidRPr="00D44FE7">
          <w:rPr>
            <w:rStyle w:val="Hyperlink"/>
            <w:noProof/>
          </w:rPr>
          <w:t>1.</w:t>
        </w:r>
        <w:r w:rsidR="00C87351">
          <w:rPr>
            <w:rFonts w:asciiTheme="minorHAnsi" w:hAnsiTheme="minorHAnsi"/>
            <w:noProof/>
          </w:rPr>
          <w:tab/>
        </w:r>
        <w:r w:rsidR="00C87351" w:rsidRPr="00D44FE7">
          <w:rPr>
            <w:rStyle w:val="Hyperlink"/>
            <w:noProof/>
          </w:rPr>
          <w:t>Circumstances Making the Collection of Information Necessary</w:t>
        </w:r>
        <w:r w:rsidR="00C87351">
          <w:rPr>
            <w:noProof/>
            <w:webHidden/>
          </w:rPr>
          <w:tab/>
        </w:r>
        <w:r w:rsidR="00C87351">
          <w:rPr>
            <w:noProof/>
            <w:webHidden/>
          </w:rPr>
          <w:fldChar w:fldCharType="begin"/>
        </w:r>
        <w:r w:rsidR="00C87351">
          <w:rPr>
            <w:noProof/>
            <w:webHidden/>
          </w:rPr>
          <w:instrText xml:space="preserve"> PAGEREF _Toc437419313 \h </w:instrText>
        </w:r>
        <w:r w:rsidR="00C87351">
          <w:rPr>
            <w:noProof/>
            <w:webHidden/>
          </w:rPr>
        </w:r>
        <w:r w:rsidR="00C87351">
          <w:rPr>
            <w:noProof/>
            <w:webHidden/>
          </w:rPr>
          <w:fldChar w:fldCharType="separate"/>
        </w:r>
        <w:r w:rsidR="00607DD8">
          <w:rPr>
            <w:noProof/>
            <w:webHidden/>
          </w:rPr>
          <w:t>3</w:t>
        </w:r>
        <w:r w:rsidR="00C87351">
          <w:rPr>
            <w:noProof/>
            <w:webHidden/>
          </w:rPr>
          <w:fldChar w:fldCharType="end"/>
        </w:r>
      </w:hyperlink>
    </w:p>
    <w:p w14:paraId="3E8E0228" w14:textId="5C8A9E40" w:rsidR="00C87351" w:rsidRDefault="00455B37">
      <w:pPr>
        <w:pStyle w:val="TOC2"/>
        <w:rPr>
          <w:rFonts w:asciiTheme="minorHAnsi" w:hAnsiTheme="minorHAnsi"/>
          <w:noProof/>
        </w:rPr>
      </w:pPr>
      <w:hyperlink w:anchor="_Toc437419314" w:history="1">
        <w:r w:rsidR="00C87351" w:rsidRPr="00D44FE7">
          <w:rPr>
            <w:rStyle w:val="Hyperlink"/>
            <w:noProof/>
          </w:rPr>
          <w:t>2.</w:t>
        </w:r>
        <w:r w:rsidR="00C87351">
          <w:rPr>
            <w:rFonts w:asciiTheme="minorHAnsi" w:hAnsiTheme="minorHAnsi"/>
            <w:noProof/>
          </w:rPr>
          <w:tab/>
        </w:r>
        <w:r w:rsidR="00C87351" w:rsidRPr="00D44FE7">
          <w:rPr>
            <w:rStyle w:val="Hyperlink"/>
            <w:noProof/>
          </w:rPr>
          <w:t>Purpose and Use of the Information Collection</w:t>
        </w:r>
        <w:r w:rsidR="00C87351">
          <w:rPr>
            <w:noProof/>
            <w:webHidden/>
          </w:rPr>
          <w:tab/>
        </w:r>
        <w:r w:rsidR="00C87351">
          <w:rPr>
            <w:noProof/>
            <w:webHidden/>
          </w:rPr>
          <w:fldChar w:fldCharType="begin"/>
        </w:r>
        <w:r w:rsidR="00C87351">
          <w:rPr>
            <w:noProof/>
            <w:webHidden/>
          </w:rPr>
          <w:instrText xml:space="preserve"> PAGEREF _Toc437419314 \h </w:instrText>
        </w:r>
        <w:r w:rsidR="00C87351">
          <w:rPr>
            <w:noProof/>
            <w:webHidden/>
          </w:rPr>
        </w:r>
        <w:r w:rsidR="00C87351">
          <w:rPr>
            <w:noProof/>
            <w:webHidden/>
          </w:rPr>
          <w:fldChar w:fldCharType="separate"/>
        </w:r>
        <w:r w:rsidR="00607DD8">
          <w:rPr>
            <w:noProof/>
            <w:webHidden/>
          </w:rPr>
          <w:t>7</w:t>
        </w:r>
        <w:r w:rsidR="00C87351">
          <w:rPr>
            <w:noProof/>
            <w:webHidden/>
          </w:rPr>
          <w:fldChar w:fldCharType="end"/>
        </w:r>
      </w:hyperlink>
    </w:p>
    <w:p w14:paraId="68F59703" w14:textId="4CE5EEFE" w:rsidR="00C87351" w:rsidRDefault="00455B37">
      <w:pPr>
        <w:pStyle w:val="TOC2"/>
        <w:rPr>
          <w:rFonts w:asciiTheme="minorHAnsi" w:hAnsiTheme="minorHAnsi"/>
          <w:noProof/>
        </w:rPr>
      </w:pPr>
      <w:hyperlink w:anchor="_Toc437419315" w:history="1">
        <w:r w:rsidR="00C87351" w:rsidRPr="00D44FE7">
          <w:rPr>
            <w:rStyle w:val="Hyperlink"/>
            <w:noProof/>
          </w:rPr>
          <w:t>3.</w:t>
        </w:r>
        <w:r w:rsidR="00C87351">
          <w:rPr>
            <w:rFonts w:asciiTheme="minorHAnsi" w:hAnsiTheme="minorHAnsi"/>
            <w:noProof/>
          </w:rPr>
          <w:tab/>
        </w:r>
        <w:r w:rsidR="00C87351" w:rsidRPr="00D44FE7">
          <w:rPr>
            <w:rStyle w:val="Hyperlink"/>
            <w:noProof/>
          </w:rPr>
          <w:t>Use of Improved Information Technology and Burden Reduction</w:t>
        </w:r>
        <w:r w:rsidR="00C87351">
          <w:rPr>
            <w:noProof/>
            <w:webHidden/>
          </w:rPr>
          <w:tab/>
        </w:r>
        <w:r w:rsidR="00C87351">
          <w:rPr>
            <w:noProof/>
            <w:webHidden/>
          </w:rPr>
          <w:fldChar w:fldCharType="begin"/>
        </w:r>
        <w:r w:rsidR="00C87351">
          <w:rPr>
            <w:noProof/>
            <w:webHidden/>
          </w:rPr>
          <w:instrText xml:space="preserve"> PAGEREF _Toc437419315 \h </w:instrText>
        </w:r>
        <w:r w:rsidR="00C87351">
          <w:rPr>
            <w:noProof/>
            <w:webHidden/>
          </w:rPr>
        </w:r>
        <w:r w:rsidR="00C87351">
          <w:rPr>
            <w:noProof/>
            <w:webHidden/>
          </w:rPr>
          <w:fldChar w:fldCharType="separate"/>
        </w:r>
        <w:r w:rsidR="00607DD8">
          <w:rPr>
            <w:noProof/>
            <w:webHidden/>
          </w:rPr>
          <w:t>8</w:t>
        </w:r>
        <w:r w:rsidR="00C87351">
          <w:rPr>
            <w:noProof/>
            <w:webHidden/>
          </w:rPr>
          <w:fldChar w:fldCharType="end"/>
        </w:r>
      </w:hyperlink>
    </w:p>
    <w:p w14:paraId="30AF502B" w14:textId="2C0E55C6" w:rsidR="00C87351" w:rsidRDefault="00455B37">
      <w:pPr>
        <w:pStyle w:val="TOC2"/>
        <w:rPr>
          <w:rFonts w:asciiTheme="minorHAnsi" w:hAnsiTheme="minorHAnsi"/>
          <w:noProof/>
        </w:rPr>
      </w:pPr>
      <w:hyperlink w:anchor="_Toc437419316" w:history="1">
        <w:r w:rsidR="00C87351" w:rsidRPr="00D44FE7">
          <w:rPr>
            <w:rStyle w:val="Hyperlink"/>
            <w:noProof/>
          </w:rPr>
          <w:t>4.</w:t>
        </w:r>
        <w:r w:rsidR="00C87351">
          <w:rPr>
            <w:rFonts w:asciiTheme="minorHAnsi" w:hAnsiTheme="minorHAnsi"/>
            <w:noProof/>
          </w:rPr>
          <w:tab/>
        </w:r>
        <w:r w:rsidR="00C87351" w:rsidRPr="00D44FE7">
          <w:rPr>
            <w:rStyle w:val="Hyperlink"/>
            <w:noProof/>
          </w:rPr>
          <w:t>Efforts to Identify Duplication and Use of Similar Information</w:t>
        </w:r>
        <w:r w:rsidR="00C87351">
          <w:rPr>
            <w:noProof/>
            <w:webHidden/>
          </w:rPr>
          <w:tab/>
        </w:r>
        <w:r w:rsidR="00C87351">
          <w:rPr>
            <w:noProof/>
            <w:webHidden/>
          </w:rPr>
          <w:fldChar w:fldCharType="begin"/>
        </w:r>
        <w:r w:rsidR="00C87351">
          <w:rPr>
            <w:noProof/>
            <w:webHidden/>
          </w:rPr>
          <w:instrText xml:space="preserve"> PAGEREF _Toc437419316 \h </w:instrText>
        </w:r>
        <w:r w:rsidR="00C87351">
          <w:rPr>
            <w:noProof/>
            <w:webHidden/>
          </w:rPr>
        </w:r>
        <w:r w:rsidR="00C87351">
          <w:rPr>
            <w:noProof/>
            <w:webHidden/>
          </w:rPr>
          <w:fldChar w:fldCharType="separate"/>
        </w:r>
        <w:r w:rsidR="00607DD8">
          <w:rPr>
            <w:noProof/>
            <w:webHidden/>
          </w:rPr>
          <w:t>8</w:t>
        </w:r>
        <w:r w:rsidR="00C87351">
          <w:rPr>
            <w:noProof/>
            <w:webHidden/>
          </w:rPr>
          <w:fldChar w:fldCharType="end"/>
        </w:r>
      </w:hyperlink>
    </w:p>
    <w:p w14:paraId="50A341AF" w14:textId="77777777" w:rsidR="00C87351" w:rsidRDefault="00455B37">
      <w:pPr>
        <w:pStyle w:val="TOC2"/>
        <w:rPr>
          <w:rFonts w:asciiTheme="minorHAnsi" w:hAnsiTheme="minorHAnsi"/>
          <w:noProof/>
        </w:rPr>
      </w:pPr>
      <w:hyperlink w:anchor="_Toc437419317" w:history="1">
        <w:r w:rsidR="00C87351" w:rsidRPr="00D44FE7">
          <w:rPr>
            <w:rStyle w:val="Hyperlink"/>
            <w:noProof/>
          </w:rPr>
          <w:t>5.</w:t>
        </w:r>
        <w:r w:rsidR="00C87351">
          <w:rPr>
            <w:rFonts w:asciiTheme="minorHAnsi" w:hAnsiTheme="minorHAnsi"/>
            <w:noProof/>
          </w:rPr>
          <w:tab/>
        </w:r>
        <w:r w:rsidR="00C87351" w:rsidRPr="00D44FE7">
          <w:rPr>
            <w:rStyle w:val="Hyperlink"/>
            <w:noProof/>
          </w:rPr>
          <w:t>Impact on Small Businesses or Other Small Entities</w:t>
        </w:r>
        <w:r w:rsidR="00C87351">
          <w:rPr>
            <w:noProof/>
            <w:webHidden/>
          </w:rPr>
          <w:tab/>
        </w:r>
        <w:r w:rsidR="00C87351">
          <w:rPr>
            <w:noProof/>
            <w:webHidden/>
          </w:rPr>
          <w:fldChar w:fldCharType="begin"/>
        </w:r>
        <w:r w:rsidR="00C87351">
          <w:rPr>
            <w:noProof/>
            <w:webHidden/>
          </w:rPr>
          <w:instrText xml:space="preserve"> PAGEREF _Toc437419317 \h </w:instrText>
        </w:r>
        <w:r w:rsidR="00C87351">
          <w:rPr>
            <w:noProof/>
            <w:webHidden/>
          </w:rPr>
        </w:r>
        <w:r w:rsidR="00C87351">
          <w:rPr>
            <w:noProof/>
            <w:webHidden/>
          </w:rPr>
          <w:fldChar w:fldCharType="separate"/>
        </w:r>
        <w:r w:rsidR="00607DD8">
          <w:rPr>
            <w:noProof/>
            <w:webHidden/>
          </w:rPr>
          <w:t>8</w:t>
        </w:r>
        <w:r w:rsidR="00C87351">
          <w:rPr>
            <w:noProof/>
            <w:webHidden/>
          </w:rPr>
          <w:fldChar w:fldCharType="end"/>
        </w:r>
      </w:hyperlink>
    </w:p>
    <w:p w14:paraId="221BBC07" w14:textId="77777777" w:rsidR="00C87351" w:rsidRDefault="00455B37">
      <w:pPr>
        <w:pStyle w:val="TOC2"/>
        <w:rPr>
          <w:rFonts w:asciiTheme="minorHAnsi" w:hAnsiTheme="minorHAnsi"/>
          <w:noProof/>
        </w:rPr>
      </w:pPr>
      <w:hyperlink w:anchor="_Toc437419318" w:history="1">
        <w:r w:rsidR="00C87351" w:rsidRPr="00D44FE7">
          <w:rPr>
            <w:rStyle w:val="Hyperlink"/>
            <w:noProof/>
          </w:rPr>
          <w:t>6.</w:t>
        </w:r>
        <w:r w:rsidR="00C87351">
          <w:rPr>
            <w:rFonts w:asciiTheme="minorHAnsi" w:hAnsiTheme="minorHAnsi"/>
            <w:noProof/>
          </w:rPr>
          <w:tab/>
        </w:r>
        <w:r w:rsidR="00C87351" w:rsidRPr="00D44FE7">
          <w:rPr>
            <w:rStyle w:val="Hyperlink"/>
            <w:noProof/>
          </w:rPr>
          <w:t>Consequences of Collecting the Information Less Frequently</w:t>
        </w:r>
        <w:r w:rsidR="00C87351">
          <w:rPr>
            <w:noProof/>
            <w:webHidden/>
          </w:rPr>
          <w:tab/>
        </w:r>
        <w:r w:rsidR="00C87351">
          <w:rPr>
            <w:noProof/>
            <w:webHidden/>
          </w:rPr>
          <w:fldChar w:fldCharType="begin"/>
        </w:r>
        <w:r w:rsidR="00C87351">
          <w:rPr>
            <w:noProof/>
            <w:webHidden/>
          </w:rPr>
          <w:instrText xml:space="preserve"> PAGEREF _Toc437419318 \h </w:instrText>
        </w:r>
        <w:r w:rsidR="00C87351">
          <w:rPr>
            <w:noProof/>
            <w:webHidden/>
          </w:rPr>
        </w:r>
        <w:r w:rsidR="00C87351">
          <w:rPr>
            <w:noProof/>
            <w:webHidden/>
          </w:rPr>
          <w:fldChar w:fldCharType="separate"/>
        </w:r>
        <w:r w:rsidR="00607DD8">
          <w:rPr>
            <w:noProof/>
            <w:webHidden/>
          </w:rPr>
          <w:t>8</w:t>
        </w:r>
        <w:r w:rsidR="00C87351">
          <w:rPr>
            <w:noProof/>
            <w:webHidden/>
          </w:rPr>
          <w:fldChar w:fldCharType="end"/>
        </w:r>
      </w:hyperlink>
    </w:p>
    <w:p w14:paraId="1D093023" w14:textId="3CFD5C0E" w:rsidR="00C87351" w:rsidRDefault="00455B37">
      <w:pPr>
        <w:pStyle w:val="TOC2"/>
        <w:rPr>
          <w:rFonts w:asciiTheme="minorHAnsi" w:hAnsiTheme="minorHAnsi"/>
          <w:noProof/>
        </w:rPr>
      </w:pPr>
      <w:hyperlink w:anchor="_Toc437419319" w:history="1">
        <w:r w:rsidR="00C87351" w:rsidRPr="00D44FE7">
          <w:rPr>
            <w:rStyle w:val="Hyperlink"/>
            <w:noProof/>
          </w:rPr>
          <w:t>7.</w:t>
        </w:r>
        <w:r w:rsidR="00C87351">
          <w:rPr>
            <w:rFonts w:asciiTheme="minorHAnsi" w:hAnsiTheme="minorHAnsi"/>
            <w:noProof/>
          </w:rPr>
          <w:tab/>
        </w:r>
        <w:r w:rsidR="00C87351" w:rsidRPr="00D44FE7">
          <w:rPr>
            <w:rStyle w:val="Hyperlink"/>
            <w:noProof/>
          </w:rPr>
          <w:t>Special Circumstances Relating to the Guidelines of 5 CFR 1320.5</w:t>
        </w:r>
        <w:r w:rsidR="00C87351">
          <w:rPr>
            <w:noProof/>
            <w:webHidden/>
          </w:rPr>
          <w:tab/>
        </w:r>
        <w:r w:rsidR="00C87351">
          <w:rPr>
            <w:noProof/>
            <w:webHidden/>
          </w:rPr>
          <w:fldChar w:fldCharType="begin"/>
        </w:r>
        <w:r w:rsidR="00C87351">
          <w:rPr>
            <w:noProof/>
            <w:webHidden/>
          </w:rPr>
          <w:instrText xml:space="preserve"> PAGEREF _Toc437419319 \h </w:instrText>
        </w:r>
        <w:r w:rsidR="00C87351">
          <w:rPr>
            <w:noProof/>
            <w:webHidden/>
          </w:rPr>
        </w:r>
        <w:r w:rsidR="00C87351">
          <w:rPr>
            <w:noProof/>
            <w:webHidden/>
          </w:rPr>
          <w:fldChar w:fldCharType="separate"/>
        </w:r>
        <w:r w:rsidR="00607DD8">
          <w:rPr>
            <w:noProof/>
            <w:webHidden/>
          </w:rPr>
          <w:t>9</w:t>
        </w:r>
        <w:r w:rsidR="00C87351">
          <w:rPr>
            <w:noProof/>
            <w:webHidden/>
          </w:rPr>
          <w:fldChar w:fldCharType="end"/>
        </w:r>
      </w:hyperlink>
    </w:p>
    <w:p w14:paraId="04886F28" w14:textId="5EC157BB" w:rsidR="00C87351" w:rsidRDefault="00455B37">
      <w:pPr>
        <w:pStyle w:val="TOC2"/>
        <w:rPr>
          <w:rFonts w:asciiTheme="minorHAnsi" w:hAnsiTheme="minorHAnsi"/>
          <w:noProof/>
        </w:rPr>
      </w:pPr>
      <w:hyperlink w:anchor="_Toc437419320" w:history="1">
        <w:r w:rsidR="00C87351" w:rsidRPr="00D44FE7">
          <w:rPr>
            <w:rStyle w:val="Hyperlink"/>
            <w:noProof/>
          </w:rPr>
          <w:t>8.</w:t>
        </w:r>
        <w:r w:rsidR="00C87351">
          <w:rPr>
            <w:rFonts w:asciiTheme="minorHAnsi" w:hAnsiTheme="minorHAnsi"/>
            <w:noProof/>
          </w:rPr>
          <w:tab/>
        </w:r>
        <w:r w:rsidR="00C87351" w:rsidRPr="00D44FE7">
          <w:rPr>
            <w:rStyle w:val="Hyperlink"/>
            <w:noProof/>
          </w:rPr>
          <w:t>Comments in Response to the Federal Register Notice and Efforts to Consult Outside the Agency</w:t>
        </w:r>
        <w:r w:rsidR="00C87351">
          <w:rPr>
            <w:noProof/>
            <w:webHidden/>
          </w:rPr>
          <w:tab/>
        </w:r>
        <w:r w:rsidR="00C87351">
          <w:rPr>
            <w:noProof/>
            <w:webHidden/>
          </w:rPr>
          <w:fldChar w:fldCharType="begin"/>
        </w:r>
        <w:r w:rsidR="00C87351">
          <w:rPr>
            <w:noProof/>
            <w:webHidden/>
          </w:rPr>
          <w:instrText xml:space="preserve"> PAGEREF _Toc437419320 \h </w:instrText>
        </w:r>
        <w:r w:rsidR="00C87351">
          <w:rPr>
            <w:noProof/>
            <w:webHidden/>
          </w:rPr>
        </w:r>
        <w:r w:rsidR="00C87351">
          <w:rPr>
            <w:noProof/>
            <w:webHidden/>
          </w:rPr>
          <w:fldChar w:fldCharType="separate"/>
        </w:r>
        <w:r w:rsidR="00607DD8">
          <w:rPr>
            <w:noProof/>
            <w:webHidden/>
          </w:rPr>
          <w:t>9</w:t>
        </w:r>
        <w:r w:rsidR="00C87351">
          <w:rPr>
            <w:noProof/>
            <w:webHidden/>
          </w:rPr>
          <w:fldChar w:fldCharType="end"/>
        </w:r>
      </w:hyperlink>
    </w:p>
    <w:p w14:paraId="011D0D1A" w14:textId="3A4F882F" w:rsidR="00C87351" w:rsidRDefault="00455B37">
      <w:pPr>
        <w:pStyle w:val="TOC2"/>
        <w:rPr>
          <w:rFonts w:asciiTheme="minorHAnsi" w:hAnsiTheme="minorHAnsi"/>
          <w:noProof/>
        </w:rPr>
      </w:pPr>
      <w:hyperlink w:anchor="_Toc437419321" w:history="1">
        <w:r w:rsidR="00C87351" w:rsidRPr="00D44FE7">
          <w:rPr>
            <w:rStyle w:val="Hyperlink"/>
            <w:noProof/>
          </w:rPr>
          <w:t>9.</w:t>
        </w:r>
        <w:r w:rsidR="00C87351">
          <w:rPr>
            <w:rFonts w:asciiTheme="minorHAnsi" w:hAnsiTheme="minorHAnsi"/>
            <w:noProof/>
          </w:rPr>
          <w:tab/>
        </w:r>
        <w:r w:rsidR="00C87351" w:rsidRPr="00D44FE7">
          <w:rPr>
            <w:rStyle w:val="Hyperlink"/>
            <w:noProof/>
          </w:rPr>
          <w:t>Explanation of Any Payment or Gift to Respondents</w:t>
        </w:r>
        <w:r w:rsidR="00C87351">
          <w:rPr>
            <w:noProof/>
            <w:webHidden/>
          </w:rPr>
          <w:tab/>
        </w:r>
        <w:r w:rsidR="00C87351">
          <w:rPr>
            <w:noProof/>
            <w:webHidden/>
          </w:rPr>
          <w:fldChar w:fldCharType="begin"/>
        </w:r>
        <w:r w:rsidR="00C87351">
          <w:rPr>
            <w:noProof/>
            <w:webHidden/>
          </w:rPr>
          <w:instrText xml:space="preserve"> PAGEREF _Toc437419321 \h </w:instrText>
        </w:r>
        <w:r w:rsidR="00C87351">
          <w:rPr>
            <w:noProof/>
            <w:webHidden/>
          </w:rPr>
        </w:r>
        <w:r w:rsidR="00C87351">
          <w:rPr>
            <w:noProof/>
            <w:webHidden/>
          </w:rPr>
          <w:fldChar w:fldCharType="separate"/>
        </w:r>
        <w:r w:rsidR="00607DD8">
          <w:rPr>
            <w:noProof/>
            <w:webHidden/>
          </w:rPr>
          <w:t>9</w:t>
        </w:r>
        <w:r w:rsidR="00C87351">
          <w:rPr>
            <w:noProof/>
            <w:webHidden/>
          </w:rPr>
          <w:fldChar w:fldCharType="end"/>
        </w:r>
      </w:hyperlink>
    </w:p>
    <w:p w14:paraId="528C616E" w14:textId="18285874" w:rsidR="00C87351" w:rsidRDefault="00455B37">
      <w:pPr>
        <w:pStyle w:val="TOC2"/>
        <w:rPr>
          <w:rFonts w:asciiTheme="minorHAnsi" w:hAnsiTheme="minorHAnsi"/>
          <w:noProof/>
        </w:rPr>
      </w:pPr>
      <w:hyperlink w:anchor="_Toc437419322" w:history="1">
        <w:r w:rsidR="00C87351" w:rsidRPr="00D44FE7">
          <w:rPr>
            <w:rStyle w:val="Hyperlink"/>
            <w:noProof/>
          </w:rPr>
          <w:t>10.</w:t>
        </w:r>
        <w:r w:rsidR="00C87351">
          <w:rPr>
            <w:rFonts w:asciiTheme="minorHAnsi" w:hAnsiTheme="minorHAnsi"/>
            <w:noProof/>
          </w:rPr>
          <w:tab/>
        </w:r>
        <w:r w:rsidR="00C87351" w:rsidRPr="00D44FE7">
          <w:rPr>
            <w:rStyle w:val="Hyperlink"/>
            <w:noProof/>
          </w:rPr>
          <w:t>Protection of the Privacy and Confidentiality of Information Provided by Respondents</w:t>
        </w:r>
        <w:r w:rsidR="00C87351">
          <w:rPr>
            <w:noProof/>
            <w:webHidden/>
          </w:rPr>
          <w:tab/>
        </w:r>
        <w:r w:rsidR="00C87351">
          <w:rPr>
            <w:noProof/>
            <w:webHidden/>
          </w:rPr>
          <w:fldChar w:fldCharType="begin"/>
        </w:r>
        <w:r w:rsidR="00C87351">
          <w:rPr>
            <w:noProof/>
            <w:webHidden/>
          </w:rPr>
          <w:instrText xml:space="preserve"> PAGEREF _Toc437419322 \h </w:instrText>
        </w:r>
        <w:r w:rsidR="00C87351">
          <w:rPr>
            <w:noProof/>
            <w:webHidden/>
          </w:rPr>
        </w:r>
        <w:r w:rsidR="00C87351">
          <w:rPr>
            <w:noProof/>
            <w:webHidden/>
          </w:rPr>
          <w:fldChar w:fldCharType="separate"/>
        </w:r>
        <w:r w:rsidR="00607DD8">
          <w:rPr>
            <w:noProof/>
            <w:webHidden/>
          </w:rPr>
          <w:t>9</w:t>
        </w:r>
        <w:r w:rsidR="00C87351">
          <w:rPr>
            <w:noProof/>
            <w:webHidden/>
          </w:rPr>
          <w:fldChar w:fldCharType="end"/>
        </w:r>
      </w:hyperlink>
    </w:p>
    <w:p w14:paraId="6E82A1A2" w14:textId="77777777" w:rsidR="00C87351" w:rsidRDefault="00455B37">
      <w:pPr>
        <w:pStyle w:val="TOC2"/>
        <w:rPr>
          <w:rFonts w:asciiTheme="minorHAnsi" w:hAnsiTheme="minorHAnsi"/>
          <w:noProof/>
        </w:rPr>
      </w:pPr>
      <w:hyperlink w:anchor="_Toc437419323" w:history="1">
        <w:r w:rsidR="00C87351" w:rsidRPr="00D44FE7">
          <w:rPr>
            <w:rStyle w:val="Hyperlink"/>
            <w:noProof/>
          </w:rPr>
          <w:t>11.</w:t>
        </w:r>
        <w:r w:rsidR="00C87351">
          <w:rPr>
            <w:rFonts w:asciiTheme="minorHAnsi" w:hAnsiTheme="minorHAnsi"/>
            <w:noProof/>
          </w:rPr>
          <w:tab/>
        </w:r>
        <w:r w:rsidR="00C87351" w:rsidRPr="00D44FE7">
          <w:rPr>
            <w:rStyle w:val="Hyperlink"/>
            <w:noProof/>
          </w:rPr>
          <w:t>Institutional Review Board (IRB) and Justification for Sensitive Questions</w:t>
        </w:r>
        <w:r w:rsidR="00C87351">
          <w:rPr>
            <w:noProof/>
            <w:webHidden/>
          </w:rPr>
          <w:tab/>
        </w:r>
        <w:r w:rsidR="00C87351">
          <w:rPr>
            <w:noProof/>
            <w:webHidden/>
          </w:rPr>
          <w:fldChar w:fldCharType="begin"/>
        </w:r>
        <w:r w:rsidR="00C87351">
          <w:rPr>
            <w:noProof/>
            <w:webHidden/>
          </w:rPr>
          <w:instrText xml:space="preserve"> PAGEREF _Toc437419323 \h </w:instrText>
        </w:r>
        <w:r w:rsidR="00C87351">
          <w:rPr>
            <w:noProof/>
            <w:webHidden/>
          </w:rPr>
        </w:r>
        <w:r w:rsidR="00C87351">
          <w:rPr>
            <w:noProof/>
            <w:webHidden/>
          </w:rPr>
          <w:fldChar w:fldCharType="separate"/>
        </w:r>
        <w:r w:rsidR="00607DD8">
          <w:rPr>
            <w:noProof/>
            <w:webHidden/>
          </w:rPr>
          <w:t>9</w:t>
        </w:r>
        <w:r w:rsidR="00C87351">
          <w:rPr>
            <w:noProof/>
            <w:webHidden/>
          </w:rPr>
          <w:fldChar w:fldCharType="end"/>
        </w:r>
      </w:hyperlink>
    </w:p>
    <w:p w14:paraId="247FC601" w14:textId="77777777" w:rsidR="00C87351" w:rsidRDefault="00455B37">
      <w:pPr>
        <w:pStyle w:val="TOC2"/>
        <w:rPr>
          <w:rFonts w:asciiTheme="minorHAnsi" w:hAnsiTheme="minorHAnsi"/>
          <w:noProof/>
        </w:rPr>
      </w:pPr>
      <w:hyperlink w:anchor="_Toc437419324" w:history="1">
        <w:r w:rsidR="00C87351" w:rsidRPr="00D44FE7">
          <w:rPr>
            <w:rStyle w:val="Hyperlink"/>
            <w:noProof/>
          </w:rPr>
          <w:t>12.</w:t>
        </w:r>
        <w:r w:rsidR="00C87351">
          <w:rPr>
            <w:rFonts w:asciiTheme="minorHAnsi" w:hAnsiTheme="minorHAnsi"/>
            <w:noProof/>
          </w:rPr>
          <w:tab/>
        </w:r>
        <w:r w:rsidR="00C87351" w:rsidRPr="00D44FE7">
          <w:rPr>
            <w:rStyle w:val="Hyperlink"/>
            <w:noProof/>
          </w:rPr>
          <w:t>Estimates of Annualized Burden Hours and Costs</w:t>
        </w:r>
        <w:r w:rsidR="00C87351">
          <w:rPr>
            <w:noProof/>
            <w:webHidden/>
          </w:rPr>
          <w:tab/>
        </w:r>
        <w:r w:rsidR="00C87351">
          <w:rPr>
            <w:noProof/>
            <w:webHidden/>
          </w:rPr>
          <w:fldChar w:fldCharType="begin"/>
        </w:r>
        <w:r w:rsidR="00C87351">
          <w:rPr>
            <w:noProof/>
            <w:webHidden/>
          </w:rPr>
          <w:instrText xml:space="preserve"> PAGEREF _Toc437419324 \h </w:instrText>
        </w:r>
        <w:r w:rsidR="00C87351">
          <w:rPr>
            <w:noProof/>
            <w:webHidden/>
          </w:rPr>
        </w:r>
        <w:r w:rsidR="00C87351">
          <w:rPr>
            <w:noProof/>
            <w:webHidden/>
          </w:rPr>
          <w:fldChar w:fldCharType="separate"/>
        </w:r>
        <w:r w:rsidR="00607DD8">
          <w:rPr>
            <w:noProof/>
            <w:webHidden/>
          </w:rPr>
          <w:t>9</w:t>
        </w:r>
        <w:r w:rsidR="00C87351">
          <w:rPr>
            <w:noProof/>
            <w:webHidden/>
          </w:rPr>
          <w:fldChar w:fldCharType="end"/>
        </w:r>
      </w:hyperlink>
    </w:p>
    <w:p w14:paraId="54DBDB78" w14:textId="5ED62AC3" w:rsidR="00C87351" w:rsidRDefault="00455B37">
      <w:pPr>
        <w:pStyle w:val="TOC2"/>
        <w:rPr>
          <w:rFonts w:asciiTheme="minorHAnsi" w:hAnsiTheme="minorHAnsi"/>
          <w:noProof/>
        </w:rPr>
      </w:pPr>
      <w:hyperlink w:anchor="_Toc437419325" w:history="1">
        <w:r w:rsidR="00C87351" w:rsidRPr="00D44FE7">
          <w:rPr>
            <w:rStyle w:val="Hyperlink"/>
            <w:noProof/>
          </w:rPr>
          <w:t>13.</w:t>
        </w:r>
        <w:r w:rsidR="00C87351">
          <w:rPr>
            <w:rFonts w:asciiTheme="minorHAnsi" w:hAnsiTheme="minorHAnsi"/>
            <w:noProof/>
          </w:rPr>
          <w:tab/>
        </w:r>
        <w:r w:rsidR="00C87351" w:rsidRPr="00D44FE7">
          <w:rPr>
            <w:rStyle w:val="Hyperlink"/>
            <w:noProof/>
          </w:rPr>
          <w:t>Estimates of Other Total Annual Cost Burden to Respondents or Record Keepers</w:t>
        </w:r>
        <w:r w:rsidR="00C87351">
          <w:rPr>
            <w:noProof/>
            <w:webHidden/>
          </w:rPr>
          <w:tab/>
        </w:r>
        <w:r w:rsidR="00C87351">
          <w:rPr>
            <w:noProof/>
            <w:webHidden/>
          </w:rPr>
          <w:fldChar w:fldCharType="begin"/>
        </w:r>
        <w:r w:rsidR="00C87351">
          <w:rPr>
            <w:noProof/>
            <w:webHidden/>
          </w:rPr>
          <w:instrText xml:space="preserve"> PAGEREF _Toc437419325 \h </w:instrText>
        </w:r>
        <w:r w:rsidR="00C87351">
          <w:rPr>
            <w:noProof/>
            <w:webHidden/>
          </w:rPr>
        </w:r>
        <w:r w:rsidR="00C87351">
          <w:rPr>
            <w:noProof/>
            <w:webHidden/>
          </w:rPr>
          <w:fldChar w:fldCharType="separate"/>
        </w:r>
        <w:r w:rsidR="00607DD8">
          <w:rPr>
            <w:noProof/>
            <w:webHidden/>
          </w:rPr>
          <w:t>10</w:t>
        </w:r>
        <w:r w:rsidR="00C87351">
          <w:rPr>
            <w:noProof/>
            <w:webHidden/>
          </w:rPr>
          <w:fldChar w:fldCharType="end"/>
        </w:r>
      </w:hyperlink>
    </w:p>
    <w:p w14:paraId="117F72E6" w14:textId="77777777" w:rsidR="00C87351" w:rsidRDefault="00455B37">
      <w:pPr>
        <w:pStyle w:val="TOC2"/>
        <w:rPr>
          <w:rFonts w:asciiTheme="minorHAnsi" w:hAnsiTheme="minorHAnsi"/>
          <w:noProof/>
        </w:rPr>
      </w:pPr>
      <w:hyperlink w:anchor="_Toc437419326" w:history="1">
        <w:r w:rsidR="00C87351" w:rsidRPr="00D44FE7">
          <w:rPr>
            <w:rStyle w:val="Hyperlink"/>
            <w:noProof/>
          </w:rPr>
          <w:t>14.</w:t>
        </w:r>
        <w:r w:rsidR="00C87351">
          <w:rPr>
            <w:rFonts w:asciiTheme="minorHAnsi" w:hAnsiTheme="minorHAnsi"/>
            <w:noProof/>
          </w:rPr>
          <w:tab/>
        </w:r>
        <w:r w:rsidR="00C87351" w:rsidRPr="00D44FE7">
          <w:rPr>
            <w:rStyle w:val="Hyperlink"/>
            <w:noProof/>
          </w:rPr>
          <w:t>Annualized Cost to the Government</w:t>
        </w:r>
        <w:r w:rsidR="00C87351">
          <w:rPr>
            <w:noProof/>
            <w:webHidden/>
          </w:rPr>
          <w:tab/>
        </w:r>
        <w:r w:rsidR="00C87351">
          <w:rPr>
            <w:noProof/>
            <w:webHidden/>
          </w:rPr>
          <w:fldChar w:fldCharType="begin"/>
        </w:r>
        <w:r w:rsidR="00C87351">
          <w:rPr>
            <w:noProof/>
            <w:webHidden/>
          </w:rPr>
          <w:instrText xml:space="preserve"> PAGEREF _Toc437419326 \h </w:instrText>
        </w:r>
        <w:r w:rsidR="00C87351">
          <w:rPr>
            <w:noProof/>
            <w:webHidden/>
          </w:rPr>
        </w:r>
        <w:r w:rsidR="00C87351">
          <w:rPr>
            <w:noProof/>
            <w:webHidden/>
          </w:rPr>
          <w:fldChar w:fldCharType="separate"/>
        </w:r>
        <w:r w:rsidR="00607DD8">
          <w:rPr>
            <w:noProof/>
            <w:webHidden/>
          </w:rPr>
          <w:t>10</w:t>
        </w:r>
        <w:r w:rsidR="00C87351">
          <w:rPr>
            <w:noProof/>
            <w:webHidden/>
          </w:rPr>
          <w:fldChar w:fldCharType="end"/>
        </w:r>
      </w:hyperlink>
    </w:p>
    <w:p w14:paraId="61678F09" w14:textId="77777777" w:rsidR="00C87351" w:rsidRDefault="00455B37">
      <w:pPr>
        <w:pStyle w:val="TOC2"/>
        <w:rPr>
          <w:rFonts w:asciiTheme="minorHAnsi" w:hAnsiTheme="minorHAnsi"/>
          <w:noProof/>
        </w:rPr>
      </w:pPr>
      <w:hyperlink w:anchor="_Toc437419327" w:history="1">
        <w:r w:rsidR="00C87351" w:rsidRPr="00D44FE7">
          <w:rPr>
            <w:rStyle w:val="Hyperlink"/>
            <w:noProof/>
          </w:rPr>
          <w:t>15.</w:t>
        </w:r>
        <w:r w:rsidR="00C87351">
          <w:rPr>
            <w:rFonts w:asciiTheme="minorHAnsi" w:hAnsiTheme="minorHAnsi"/>
            <w:noProof/>
          </w:rPr>
          <w:tab/>
        </w:r>
        <w:r w:rsidR="00C87351" w:rsidRPr="00D44FE7">
          <w:rPr>
            <w:rStyle w:val="Hyperlink"/>
            <w:noProof/>
          </w:rPr>
          <w:t>Explanation for Program Changes or Adjustments</w:t>
        </w:r>
        <w:r w:rsidR="00C87351">
          <w:rPr>
            <w:noProof/>
            <w:webHidden/>
          </w:rPr>
          <w:tab/>
        </w:r>
        <w:r w:rsidR="00C87351">
          <w:rPr>
            <w:noProof/>
            <w:webHidden/>
          </w:rPr>
          <w:fldChar w:fldCharType="begin"/>
        </w:r>
        <w:r w:rsidR="00C87351">
          <w:rPr>
            <w:noProof/>
            <w:webHidden/>
          </w:rPr>
          <w:instrText xml:space="preserve"> PAGEREF _Toc437419327 \h </w:instrText>
        </w:r>
        <w:r w:rsidR="00C87351">
          <w:rPr>
            <w:noProof/>
            <w:webHidden/>
          </w:rPr>
        </w:r>
        <w:r w:rsidR="00C87351">
          <w:rPr>
            <w:noProof/>
            <w:webHidden/>
          </w:rPr>
          <w:fldChar w:fldCharType="separate"/>
        </w:r>
        <w:r w:rsidR="00607DD8">
          <w:rPr>
            <w:noProof/>
            <w:webHidden/>
          </w:rPr>
          <w:t>10</w:t>
        </w:r>
        <w:r w:rsidR="00C87351">
          <w:rPr>
            <w:noProof/>
            <w:webHidden/>
          </w:rPr>
          <w:fldChar w:fldCharType="end"/>
        </w:r>
      </w:hyperlink>
    </w:p>
    <w:p w14:paraId="5CE72FEC" w14:textId="593365C3" w:rsidR="00C87351" w:rsidRDefault="00455B37">
      <w:pPr>
        <w:pStyle w:val="TOC2"/>
        <w:rPr>
          <w:rFonts w:asciiTheme="minorHAnsi" w:hAnsiTheme="minorHAnsi"/>
          <w:noProof/>
        </w:rPr>
      </w:pPr>
      <w:hyperlink w:anchor="_Toc437419328" w:history="1">
        <w:r w:rsidR="00C87351" w:rsidRPr="00D44FE7">
          <w:rPr>
            <w:rStyle w:val="Hyperlink"/>
            <w:noProof/>
          </w:rPr>
          <w:t>16.</w:t>
        </w:r>
        <w:r w:rsidR="00C87351">
          <w:rPr>
            <w:rFonts w:asciiTheme="minorHAnsi" w:hAnsiTheme="minorHAnsi"/>
            <w:noProof/>
          </w:rPr>
          <w:tab/>
        </w:r>
        <w:r w:rsidR="00C87351" w:rsidRPr="00D44FE7">
          <w:rPr>
            <w:rStyle w:val="Hyperlink"/>
            <w:noProof/>
          </w:rPr>
          <w:t>Plans for Tabulation and Publication and Project Time Schedule</w:t>
        </w:r>
        <w:r w:rsidR="00C87351">
          <w:rPr>
            <w:noProof/>
            <w:webHidden/>
          </w:rPr>
          <w:tab/>
        </w:r>
        <w:r w:rsidR="00C87351">
          <w:rPr>
            <w:noProof/>
            <w:webHidden/>
          </w:rPr>
          <w:fldChar w:fldCharType="begin"/>
        </w:r>
        <w:r w:rsidR="00C87351">
          <w:rPr>
            <w:noProof/>
            <w:webHidden/>
          </w:rPr>
          <w:instrText xml:space="preserve"> PAGEREF _Toc437419328 \h </w:instrText>
        </w:r>
        <w:r w:rsidR="00C87351">
          <w:rPr>
            <w:noProof/>
            <w:webHidden/>
          </w:rPr>
        </w:r>
        <w:r w:rsidR="00C87351">
          <w:rPr>
            <w:noProof/>
            <w:webHidden/>
          </w:rPr>
          <w:fldChar w:fldCharType="separate"/>
        </w:r>
        <w:r w:rsidR="00607DD8">
          <w:rPr>
            <w:noProof/>
            <w:webHidden/>
          </w:rPr>
          <w:t>11</w:t>
        </w:r>
        <w:r w:rsidR="00C87351">
          <w:rPr>
            <w:noProof/>
            <w:webHidden/>
          </w:rPr>
          <w:fldChar w:fldCharType="end"/>
        </w:r>
      </w:hyperlink>
    </w:p>
    <w:p w14:paraId="2C2660E7" w14:textId="23D3CB66" w:rsidR="00C87351" w:rsidRDefault="00455B37">
      <w:pPr>
        <w:pStyle w:val="TOC2"/>
        <w:rPr>
          <w:rFonts w:asciiTheme="minorHAnsi" w:hAnsiTheme="minorHAnsi"/>
          <w:noProof/>
        </w:rPr>
      </w:pPr>
      <w:hyperlink w:anchor="_Toc437419329" w:history="1">
        <w:r w:rsidR="00C87351" w:rsidRPr="00D44FE7">
          <w:rPr>
            <w:rStyle w:val="Hyperlink"/>
            <w:noProof/>
          </w:rPr>
          <w:t>17.</w:t>
        </w:r>
        <w:r w:rsidR="00C87351">
          <w:rPr>
            <w:rFonts w:asciiTheme="minorHAnsi" w:hAnsiTheme="minorHAnsi"/>
            <w:noProof/>
          </w:rPr>
          <w:tab/>
        </w:r>
        <w:r w:rsidR="00C87351" w:rsidRPr="00D44FE7">
          <w:rPr>
            <w:rStyle w:val="Hyperlink"/>
            <w:noProof/>
          </w:rPr>
          <w:t>Reason(s) Display of OMB Expiration Date is Inappropriate</w:t>
        </w:r>
        <w:r w:rsidR="00C87351">
          <w:rPr>
            <w:noProof/>
            <w:webHidden/>
          </w:rPr>
          <w:tab/>
        </w:r>
        <w:r w:rsidR="00C87351">
          <w:rPr>
            <w:noProof/>
            <w:webHidden/>
          </w:rPr>
          <w:fldChar w:fldCharType="begin"/>
        </w:r>
        <w:r w:rsidR="00C87351">
          <w:rPr>
            <w:noProof/>
            <w:webHidden/>
          </w:rPr>
          <w:instrText xml:space="preserve"> PAGEREF _Toc437419329 \h </w:instrText>
        </w:r>
        <w:r w:rsidR="00C87351">
          <w:rPr>
            <w:noProof/>
            <w:webHidden/>
          </w:rPr>
        </w:r>
        <w:r w:rsidR="00C87351">
          <w:rPr>
            <w:noProof/>
            <w:webHidden/>
          </w:rPr>
          <w:fldChar w:fldCharType="separate"/>
        </w:r>
        <w:r w:rsidR="00607DD8">
          <w:rPr>
            <w:noProof/>
            <w:webHidden/>
          </w:rPr>
          <w:t>11</w:t>
        </w:r>
        <w:r w:rsidR="00C87351">
          <w:rPr>
            <w:noProof/>
            <w:webHidden/>
          </w:rPr>
          <w:fldChar w:fldCharType="end"/>
        </w:r>
      </w:hyperlink>
    </w:p>
    <w:p w14:paraId="57605489" w14:textId="0F2ECE91" w:rsidR="00C87351" w:rsidRDefault="00455B37">
      <w:pPr>
        <w:pStyle w:val="TOC2"/>
        <w:rPr>
          <w:rFonts w:asciiTheme="minorHAnsi" w:hAnsiTheme="minorHAnsi"/>
          <w:noProof/>
        </w:rPr>
      </w:pPr>
      <w:hyperlink w:anchor="_Toc437419330" w:history="1">
        <w:r w:rsidR="00C87351" w:rsidRPr="00D44FE7">
          <w:rPr>
            <w:rStyle w:val="Hyperlink"/>
            <w:noProof/>
          </w:rPr>
          <w:t>18.</w:t>
        </w:r>
        <w:r w:rsidR="00C87351">
          <w:rPr>
            <w:rFonts w:asciiTheme="minorHAnsi" w:hAnsiTheme="minorHAnsi"/>
            <w:noProof/>
          </w:rPr>
          <w:tab/>
        </w:r>
        <w:r w:rsidR="00C87351" w:rsidRPr="00D44FE7">
          <w:rPr>
            <w:rStyle w:val="Hyperlink"/>
            <w:noProof/>
          </w:rPr>
          <w:t>Exceptions to Certification for Paperwork Reduction Act Submissions</w:t>
        </w:r>
        <w:r w:rsidR="00C87351">
          <w:rPr>
            <w:noProof/>
            <w:webHidden/>
          </w:rPr>
          <w:tab/>
        </w:r>
        <w:r w:rsidR="00C87351">
          <w:rPr>
            <w:noProof/>
            <w:webHidden/>
          </w:rPr>
          <w:fldChar w:fldCharType="begin"/>
        </w:r>
        <w:r w:rsidR="00C87351">
          <w:rPr>
            <w:noProof/>
            <w:webHidden/>
          </w:rPr>
          <w:instrText xml:space="preserve"> PAGEREF _Toc437419330 \h </w:instrText>
        </w:r>
        <w:r w:rsidR="00C87351">
          <w:rPr>
            <w:noProof/>
            <w:webHidden/>
          </w:rPr>
        </w:r>
        <w:r w:rsidR="00C87351">
          <w:rPr>
            <w:noProof/>
            <w:webHidden/>
          </w:rPr>
          <w:fldChar w:fldCharType="separate"/>
        </w:r>
        <w:r w:rsidR="00607DD8">
          <w:rPr>
            <w:noProof/>
            <w:webHidden/>
          </w:rPr>
          <w:t>11</w:t>
        </w:r>
        <w:r w:rsidR="00C87351">
          <w:rPr>
            <w:noProof/>
            <w:webHidden/>
          </w:rPr>
          <w:fldChar w:fldCharType="end"/>
        </w:r>
      </w:hyperlink>
    </w:p>
    <w:p w14:paraId="2597E4B6" w14:textId="77777777" w:rsidR="00C87351" w:rsidRDefault="00455B37">
      <w:pPr>
        <w:pStyle w:val="TOC1"/>
        <w:tabs>
          <w:tab w:val="right" w:leader="dot" w:pos="9350"/>
        </w:tabs>
        <w:rPr>
          <w:rFonts w:asciiTheme="minorHAnsi" w:hAnsiTheme="minorHAnsi"/>
          <w:noProof/>
        </w:rPr>
      </w:pPr>
      <w:hyperlink w:anchor="_Toc437419331" w:history="1">
        <w:r w:rsidR="00C87351" w:rsidRPr="00D44FE7">
          <w:rPr>
            <w:rStyle w:val="Hyperlink"/>
            <w:noProof/>
          </w:rPr>
          <w:t>LIST OF ATTACHMENTS – Section A</w:t>
        </w:r>
        <w:r w:rsidR="00C87351">
          <w:rPr>
            <w:noProof/>
            <w:webHidden/>
          </w:rPr>
          <w:tab/>
        </w:r>
        <w:r w:rsidR="00C87351">
          <w:rPr>
            <w:noProof/>
            <w:webHidden/>
          </w:rPr>
          <w:fldChar w:fldCharType="begin"/>
        </w:r>
        <w:r w:rsidR="00C87351">
          <w:rPr>
            <w:noProof/>
            <w:webHidden/>
          </w:rPr>
          <w:instrText xml:space="preserve"> PAGEREF _Toc437419331 \h </w:instrText>
        </w:r>
        <w:r w:rsidR="00C87351">
          <w:rPr>
            <w:noProof/>
            <w:webHidden/>
          </w:rPr>
        </w:r>
        <w:r w:rsidR="00C87351">
          <w:rPr>
            <w:noProof/>
            <w:webHidden/>
          </w:rPr>
          <w:fldChar w:fldCharType="separate"/>
        </w:r>
        <w:r w:rsidR="00607DD8">
          <w:rPr>
            <w:noProof/>
            <w:webHidden/>
          </w:rPr>
          <w:t>11</w:t>
        </w:r>
        <w:r w:rsidR="00C87351">
          <w:rPr>
            <w:noProof/>
            <w:webHidden/>
          </w:rPr>
          <w:fldChar w:fldCharType="end"/>
        </w:r>
      </w:hyperlink>
    </w:p>
    <w:p w14:paraId="4F2DE4E5" w14:textId="77777777" w:rsidR="00C87351" w:rsidRDefault="00455B37">
      <w:pPr>
        <w:pStyle w:val="TOC1"/>
        <w:tabs>
          <w:tab w:val="right" w:leader="dot" w:pos="9350"/>
        </w:tabs>
        <w:rPr>
          <w:rFonts w:asciiTheme="minorHAnsi" w:hAnsiTheme="minorHAnsi"/>
          <w:noProof/>
        </w:rPr>
      </w:pPr>
      <w:hyperlink w:anchor="_Toc437419332" w:history="1">
        <w:r w:rsidR="00C87351" w:rsidRPr="00D44FE7">
          <w:rPr>
            <w:rStyle w:val="Hyperlink"/>
            <w:noProof/>
          </w:rPr>
          <w:t>REFERENCE LIST</w:t>
        </w:r>
        <w:r w:rsidR="00C87351">
          <w:rPr>
            <w:noProof/>
            <w:webHidden/>
          </w:rPr>
          <w:tab/>
        </w:r>
        <w:r w:rsidR="00C87351">
          <w:rPr>
            <w:noProof/>
            <w:webHidden/>
          </w:rPr>
          <w:fldChar w:fldCharType="begin"/>
        </w:r>
        <w:r w:rsidR="00C87351">
          <w:rPr>
            <w:noProof/>
            <w:webHidden/>
          </w:rPr>
          <w:instrText xml:space="preserve"> PAGEREF _Toc437419332 \h </w:instrText>
        </w:r>
        <w:r w:rsidR="00C87351">
          <w:rPr>
            <w:noProof/>
            <w:webHidden/>
          </w:rPr>
        </w:r>
        <w:r w:rsidR="00C87351">
          <w:rPr>
            <w:noProof/>
            <w:webHidden/>
          </w:rPr>
          <w:fldChar w:fldCharType="separate"/>
        </w:r>
        <w:r w:rsidR="00607DD8">
          <w:rPr>
            <w:noProof/>
            <w:webHidden/>
          </w:rPr>
          <w:t>11</w:t>
        </w:r>
        <w:r w:rsidR="00C87351">
          <w:rPr>
            <w:noProof/>
            <w:webHidden/>
          </w:rPr>
          <w:fldChar w:fldCharType="end"/>
        </w:r>
      </w:hyperlink>
    </w:p>
    <w:p w14:paraId="48D3AD9A" w14:textId="2F111C82" w:rsidR="00851705" w:rsidRDefault="00052946" w:rsidP="00052946">
      <w:pPr>
        <w:pStyle w:val="Heading3"/>
        <w:ind w:left="0"/>
        <w:rPr>
          <w:b w:val="0"/>
        </w:rPr>
      </w:pPr>
      <w:r>
        <w:fldChar w:fldCharType="end"/>
      </w:r>
      <w:r w:rsidR="00851705">
        <w:br w:type="page"/>
      </w:r>
    </w:p>
    <w:p w14:paraId="48D3AD9C" w14:textId="6BE4C92A" w:rsidR="00B36CAA" w:rsidRDefault="00807F81" w:rsidP="00CA5840">
      <w:pPr>
        <w:pStyle w:val="Heading3"/>
        <w:ind w:left="0"/>
      </w:pPr>
      <w:bookmarkStart w:id="4" w:name="_Toc414349612"/>
      <w:bookmarkStart w:id="5" w:name="_Toc414349673"/>
      <w:bookmarkStart w:id="6" w:name="_Toc437419311"/>
      <w:r>
        <w:rPr>
          <w:noProof/>
        </w:rPr>
        <w:lastRenderedPageBreak/>
        <mc:AlternateContent>
          <mc:Choice Requires="wps">
            <w:drawing>
              <wp:inline distT="0" distB="0" distL="0" distR="0" wp14:anchorId="48D3AE8E" wp14:editId="1E31A759">
                <wp:extent cx="5943600" cy="2392680"/>
                <wp:effectExtent l="0" t="0" r="19050" b="2667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92680"/>
                        </a:xfrm>
                        <a:prstGeom prst="rect">
                          <a:avLst/>
                        </a:prstGeom>
                        <a:solidFill>
                          <a:srgbClr val="FFFFFF"/>
                        </a:solidFill>
                        <a:ln w="9525">
                          <a:solidFill>
                            <a:srgbClr val="000000"/>
                          </a:solidFill>
                          <a:miter lim="800000"/>
                          <a:headEnd/>
                          <a:tailEnd/>
                        </a:ln>
                      </wps:spPr>
                      <wps:txbx>
                        <w:txbxContent>
                          <w:p w14:paraId="48D3AE9C" w14:textId="007337AB" w:rsidR="001640AD" w:rsidRPr="00C27D50" w:rsidRDefault="001640AD" w:rsidP="00B36CAA">
                            <w:pPr>
                              <w:pStyle w:val="ListParagraph"/>
                              <w:numPr>
                                <w:ilvl w:val="0"/>
                                <w:numId w:val="40"/>
                              </w:numPr>
                              <w:tabs>
                                <w:tab w:val="left" w:pos="720"/>
                              </w:tabs>
                              <w:spacing w:after="200"/>
                            </w:pPr>
                            <w:r w:rsidRPr="00C27D50">
                              <w:rPr>
                                <w:b/>
                              </w:rPr>
                              <w:t>Goal of the study:</w:t>
                            </w:r>
                            <w:r w:rsidRPr="00C27D50">
                              <w:t xml:space="preserve"> To identify priority non-infectious issues impacting drinking water, state and local epidemiologists</w:t>
                            </w:r>
                            <w:r>
                              <w:t>’</w:t>
                            </w:r>
                            <w:r w:rsidRPr="00C27D50">
                              <w:t xml:space="preserve"> technical assistance needs, and how CDC’s Health Studies Branch (HSB) can best provide technical assistance and support in addressing these issues.</w:t>
                            </w:r>
                          </w:p>
                          <w:p w14:paraId="48D3AE9D" w14:textId="740A5F1E" w:rsidR="001640AD" w:rsidRDefault="001640AD" w:rsidP="00B36CAA">
                            <w:pPr>
                              <w:pStyle w:val="ListParagraph"/>
                              <w:numPr>
                                <w:ilvl w:val="0"/>
                                <w:numId w:val="40"/>
                              </w:numPr>
                              <w:tabs>
                                <w:tab w:val="left" w:pos="720"/>
                              </w:tabs>
                              <w:spacing w:after="200"/>
                            </w:pPr>
                            <w:r w:rsidRPr="00935CEA">
                              <w:rPr>
                                <w:b/>
                              </w:rPr>
                              <w:t>Intended use of the resulting data:</w:t>
                            </w:r>
                            <w:r>
                              <w:t xml:space="preserve"> Inform future HSB Clean Water for Health program priorities and activities, including projects and activities to address the priority non-infectious drinking water issues identified through this assessment.</w:t>
                            </w:r>
                          </w:p>
                          <w:p w14:paraId="48D3AE9E" w14:textId="65C12FC8" w:rsidR="001640AD" w:rsidRDefault="001640AD" w:rsidP="00B36CAA">
                            <w:pPr>
                              <w:pStyle w:val="ListParagraph"/>
                              <w:numPr>
                                <w:ilvl w:val="0"/>
                                <w:numId w:val="40"/>
                              </w:numPr>
                              <w:tabs>
                                <w:tab w:val="left" w:pos="720"/>
                              </w:tabs>
                              <w:spacing w:after="200"/>
                            </w:pPr>
                            <w:r>
                              <w:rPr>
                                <w:b/>
                              </w:rPr>
                              <w:t>Methods to be used to collect:</w:t>
                            </w:r>
                            <w:r>
                              <w:t xml:space="preserve"> Online assessment; no sampling</w:t>
                            </w:r>
                          </w:p>
                          <w:p w14:paraId="48D3AE9F" w14:textId="194962E8" w:rsidR="001640AD" w:rsidRDefault="001640AD" w:rsidP="00B36CAA">
                            <w:pPr>
                              <w:pStyle w:val="ListParagraph"/>
                              <w:numPr>
                                <w:ilvl w:val="0"/>
                                <w:numId w:val="40"/>
                              </w:numPr>
                              <w:tabs>
                                <w:tab w:val="left" w:pos="720"/>
                              </w:tabs>
                              <w:spacing w:after="200"/>
                            </w:pPr>
                            <w:r w:rsidRPr="00935CEA">
                              <w:rPr>
                                <w:b/>
                              </w:rPr>
                              <w:t>The subpopulation to be studied:</w:t>
                            </w:r>
                            <w:r>
                              <w:t xml:space="preserve"> </w:t>
                            </w:r>
                            <w:r w:rsidRPr="00F00792">
                              <w:t>55</w:t>
                            </w:r>
                            <w:r>
                              <w:t xml:space="preserve"> state and local epidemiologists </w:t>
                            </w:r>
                            <w:r w:rsidRPr="00424646">
                              <w:t xml:space="preserve">or other staff (government employees) identified by the epidemiologists with responsibilities for </w:t>
                            </w:r>
                            <w:r>
                              <w:t>drinking water issues and</w:t>
                            </w:r>
                            <w:r w:rsidRPr="00424646">
                              <w:t xml:space="preserve"> private residential wells</w:t>
                            </w:r>
                            <w:r w:rsidRPr="001A3F2E">
                              <w:t>.</w:t>
                            </w:r>
                          </w:p>
                          <w:p w14:paraId="48D3AEA0" w14:textId="77777777" w:rsidR="001640AD" w:rsidRDefault="001640AD" w:rsidP="00B36CAA">
                            <w:pPr>
                              <w:pStyle w:val="ListParagraph"/>
                              <w:numPr>
                                <w:ilvl w:val="0"/>
                                <w:numId w:val="40"/>
                              </w:numPr>
                              <w:tabs>
                                <w:tab w:val="left" w:pos="720"/>
                              </w:tabs>
                              <w:spacing w:after="200"/>
                            </w:pPr>
                            <w:r>
                              <w:rPr>
                                <w:b/>
                              </w:rPr>
                              <w:t>How data will be analyzed:</w:t>
                            </w:r>
                            <w:r>
                              <w:t xml:space="preserve"> Descriptive statistics; analyses of narrative responses and appropriate findings from those responses</w:t>
                            </w:r>
                          </w:p>
                        </w:txbxContent>
                      </wps:txbx>
                      <wps:bodyPr rot="0" vert="horz" wrap="square" lIns="91440" tIns="45720" rIns="91440" bIns="45720" anchor="t" anchorCtr="0" upright="1">
                        <a:noAutofit/>
                      </wps:bodyPr>
                    </wps:wsp>
                  </a:graphicData>
                </a:graphic>
              </wp:inline>
            </w:drawing>
          </mc:Choice>
          <mc:Fallback>
            <w:pict>
              <v:shapetype w14:anchorId="48D3AE8E" id="_x0000_t202" coordsize="21600,21600" o:spt="202" path="m,l,21600r21600,l21600,xe">
                <v:stroke joinstyle="miter"/>
                <v:path gradientshapeok="t" o:connecttype="rect"/>
              </v:shapetype>
              <v:shape id="Text Box 1" o:spid="_x0000_s1026" type="#_x0000_t202" style="width:468pt;height:18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">
                <v:textbox>
                  <w:txbxContent>
                    <w:p w14:paraId="48D3AE9C" w14:textId="007337AB" w:rsidR="001640AD" w:rsidRPr="00C27D50" w:rsidRDefault="001640AD" w:rsidP="00B36CAA">
                      <w:pPr>
                        <w:pStyle w:val="ListParagraph"/>
                        <w:numPr>
                          <w:ilvl w:val="0"/>
                          <w:numId w:val="40"/>
                        </w:numPr>
                        <w:tabs>
                          <w:tab w:val="left" w:pos="720"/>
                        </w:tabs>
                        <w:spacing w:after="200"/>
                      </w:pPr>
                      <w:r w:rsidRPr="00C27D50">
                        <w:rPr>
                          <w:b/>
                        </w:rPr>
                        <w:t>Goal of the study:</w:t>
                      </w:r>
                      <w:r w:rsidRPr="00C27D50">
                        <w:t xml:space="preserve"> To identify priority non-infectious issues impacting drinking water, state and local epidemiologists</w:t>
                      </w:r>
                      <w:r>
                        <w:t>’</w:t>
                      </w:r>
                      <w:r w:rsidRPr="00C27D50">
                        <w:t xml:space="preserve"> technical assistance needs, and how CDC’s Health Studies Branch (HSB) can best provide technical assistance and support in addressing these issues.</w:t>
                      </w:r>
                    </w:p>
                    <w:p w14:paraId="48D3AE9D" w14:textId="740A5F1E" w:rsidR="001640AD" w:rsidRDefault="001640AD" w:rsidP="00B36CAA">
                      <w:pPr>
                        <w:pStyle w:val="ListParagraph"/>
                        <w:numPr>
                          <w:ilvl w:val="0"/>
                          <w:numId w:val="40"/>
                        </w:numPr>
                        <w:tabs>
                          <w:tab w:val="left" w:pos="720"/>
                        </w:tabs>
                        <w:spacing w:after="200"/>
                      </w:pPr>
                      <w:r w:rsidRPr="00935CEA">
                        <w:rPr>
                          <w:b/>
                        </w:rPr>
                        <w:t>Intended use of the resulting data:</w:t>
                      </w:r>
                      <w:r>
                        <w:t xml:space="preserve"> Inform future HSB Clean Water for Health program priorities and activities, including projects and activities to address the priority non-infectious drinking water issues identified through this assessment.</w:t>
                      </w:r>
                    </w:p>
                    <w:p w14:paraId="48D3AE9E" w14:textId="65C12FC8" w:rsidR="001640AD" w:rsidRDefault="001640AD" w:rsidP="00B36CAA">
                      <w:pPr>
                        <w:pStyle w:val="ListParagraph"/>
                        <w:numPr>
                          <w:ilvl w:val="0"/>
                          <w:numId w:val="40"/>
                        </w:numPr>
                        <w:tabs>
                          <w:tab w:val="left" w:pos="720"/>
                        </w:tabs>
                        <w:spacing w:after="200"/>
                      </w:pPr>
                      <w:r>
                        <w:rPr>
                          <w:b/>
                        </w:rPr>
                        <w:t>Methods to be used to collect:</w:t>
                      </w:r>
                      <w:r>
                        <w:t xml:space="preserve"> Online assessment; no sampling</w:t>
                      </w:r>
                    </w:p>
                    <w:p w14:paraId="48D3AE9F" w14:textId="194962E8" w:rsidR="001640AD" w:rsidRDefault="001640AD" w:rsidP="00B36CAA">
                      <w:pPr>
                        <w:pStyle w:val="ListParagraph"/>
                        <w:numPr>
                          <w:ilvl w:val="0"/>
                          <w:numId w:val="40"/>
                        </w:numPr>
                        <w:tabs>
                          <w:tab w:val="left" w:pos="720"/>
                        </w:tabs>
                        <w:spacing w:after="200"/>
                      </w:pPr>
                      <w:r w:rsidRPr="00935CEA">
                        <w:rPr>
                          <w:b/>
                        </w:rPr>
                        <w:t>The subpopulation to be studied:</w:t>
                      </w:r>
                      <w:r>
                        <w:t xml:space="preserve"> </w:t>
                      </w:r>
                      <w:r w:rsidRPr="00F00792">
                        <w:t>55</w:t>
                      </w:r>
                      <w:r>
                        <w:t xml:space="preserve"> state and local epidemiologists </w:t>
                      </w:r>
                      <w:r w:rsidRPr="00424646">
                        <w:t xml:space="preserve">or other staff (government employees) identified by the epidemiologists with responsibilities for </w:t>
                      </w:r>
                      <w:r>
                        <w:t>drinking water issues and</w:t>
                      </w:r>
                      <w:r w:rsidRPr="00424646">
                        <w:t xml:space="preserve"> private residential wells</w:t>
                      </w:r>
                      <w:r w:rsidRPr="001A3F2E">
                        <w:t>.</w:t>
                      </w:r>
                    </w:p>
                    <w:p w14:paraId="48D3AEA0" w14:textId="77777777" w:rsidR="001640AD" w:rsidRDefault="001640AD" w:rsidP="00B36CAA">
                      <w:pPr>
                        <w:pStyle w:val="ListParagraph"/>
                        <w:numPr>
                          <w:ilvl w:val="0"/>
                          <w:numId w:val="40"/>
                        </w:numPr>
                        <w:tabs>
                          <w:tab w:val="left" w:pos="720"/>
                        </w:tabs>
                        <w:spacing w:after="200"/>
                      </w:pPr>
                      <w:r>
                        <w:rPr>
                          <w:b/>
                        </w:rPr>
                        <w:t>How data will be analyzed:</w:t>
                      </w:r>
                      <w:r>
                        <w:t xml:space="preserve"> Descriptive statistics; analyses of narrative responses and appropriate findings from those responses</w:t>
                      </w:r>
                    </w:p>
                  </w:txbxContent>
                </v:textbox>
                <w10:anchorlock/>
              </v:shape>
            </w:pict>
          </mc:Fallback>
        </mc:AlternateContent>
      </w:r>
      <w:bookmarkEnd w:id="4"/>
      <w:bookmarkEnd w:id="5"/>
      <w:bookmarkEnd w:id="6"/>
    </w:p>
    <w:p w14:paraId="20602AD9" w14:textId="77777777" w:rsidR="00D74071" w:rsidRDefault="00D74071" w:rsidP="00CA5840">
      <w:pPr>
        <w:pStyle w:val="Heading3"/>
        <w:ind w:left="0"/>
      </w:pPr>
    </w:p>
    <w:p w14:paraId="48D3AD9D" w14:textId="77777777" w:rsidR="00CD1EA8" w:rsidRPr="007D6163" w:rsidRDefault="00CD1EA8" w:rsidP="00CA5840">
      <w:pPr>
        <w:pStyle w:val="Heading3"/>
        <w:ind w:left="0"/>
      </w:pPr>
      <w:bookmarkStart w:id="7" w:name="_Toc437419312"/>
      <w:r w:rsidRPr="007D6163">
        <w:t>Section A</w:t>
      </w:r>
      <w:r w:rsidR="00B12F51" w:rsidRPr="007D6163">
        <w:t xml:space="preserve"> – Justification</w:t>
      </w:r>
      <w:bookmarkEnd w:id="7"/>
    </w:p>
    <w:p w14:paraId="48D3AD9E" w14:textId="77777777" w:rsidR="00B12F51" w:rsidRDefault="00B12F51" w:rsidP="007D6163"/>
    <w:p w14:paraId="48D3AD9F" w14:textId="77777777" w:rsidR="00CD1EA8" w:rsidRPr="00B017F8" w:rsidRDefault="00B12F51" w:rsidP="00692DEB">
      <w:pPr>
        <w:pStyle w:val="Heading4"/>
      </w:pPr>
      <w:bookmarkStart w:id="8" w:name="_Toc437419313"/>
      <w:r w:rsidRPr="00B017F8">
        <w:t>Circumstances Making the Collection of Information Necessary</w:t>
      </w:r>
      <w:bookmarkEnd w:id="8"/>
    </w:p>
    <w:p w14:paraId="48D3ADA0" w14:textId="77777777" w:rsidR="00E33E1B" w:rsidRPr="007D6163" w:rsidRDefault="00E33E1B" w:rsidP="00692DEB">
      <w:pPr>
        <w:pStyle w:val="Heading5"/>
        <w:spacing w:after="120"/>
        <w:ind w:left="0"/>
      </w:pPr>
      <w:r w:rsidRPr="007D6163">
        <w:t>Background</w:t>
      </w:r>
    </w:p>
    <w:p w14:paraId="48D3ADA1" w14:textId="31408C3C" w:rsidR="0019164D" w:rsidRDefault="004F67A8" w:rsidP="00692DEB">
      <w:pPr>
        <w:ind w:left="0"/>
      </w:pPr>
      <w:r>
        <w:t xml:space="preserve">This </w:t>
      </w:r>
      <w:r w:rsidR="00157413">
        <w:t>information collection</w:t>
      </w:r>
      <w:r w:rsidR="00484011">
        <w:t xml:space="preserve"> is being conducted </w:t>
      </w:r>
      <w:r w:rsidR="009252DC">
        <w:t>using</w:t>
      </w:r>
      <w:r w:rsidR="00484011">
        <w:t xml:space="preserve"> the Generic Information Collection mechanism </w:t>
      </w:r>
      <w:r w:rsidR="00157413">
        <w:t>of the OSTLTS OMB Clearance Center</w:t>
      </w:r>
      <w:r w:rsidR="009252DC">
        <w:t xml:space="preserve"> (O</w:t>
      </w:r>
      <w:r w:rsidR="00157413">
        <w:t>2</w:t>
      </w:r>
      <w:r w:rsidR="009252DC">
        <w:t>C</w:t>
      </w:r>
      <w:r w:rsidR="00157413">
        <w:t>2</w:t>
      </w:r>
      <w:r w:rsidR="009252DC">
        <w:t xml:space="preserve">) </w:t>
      </w:r>
      <w:r w:rsidR="00484011">
        <w:t>– OMB No. 0920-0879</w:t>
      </w:r>
      <w:r w:rsidR="00DC27F9">
        <w:t xml:space="preserve"> (expiration date 03/31/2018)</w:t>
      </w:r>
      <w:r>
        <w:t>.</w:t>
      </w:r>
      <w:r w:rsidR="009252DC">
        <w:t xml:space="preserve"> </w:t>
      </w:r>
      <w:r w:rsidR="00970D2D">
        <w:t xml:space="preserve"> This information collection request is connected to </w:t>
      </w:r>
      <w:r w:rsidR="002F0FF8">
        <w:t>Emerging Issues for Private Wells: CSTE Assessment</w:t>
      </w:r>
      <w:r w:rsidR="005F18E0">
        <w:t xml:space="preserve"> (PWCSTE)</w:t>
      </w:r>
      <w:r w:rsidR="002F0FF8">
        <w:t xml:space="preserve">. </w:t>
      </w:r>
      <w:r w:rsidR="00D47703">
        <w:t xml:space="preserve">  </w:t>
      </w:r>
      <w:r w:rsidR="00F663A5">
        <w:t xml:space="preserve">The </w:t>
      </w:r>
      <w:r w:rsidR="00D47703">
        <w:t>PWSTE IC</w:t>
      </w:r>
      <w:r w:rsidR="00F663A5">
        <w:t xml:space="preserve"> </w:t>
      </w:r>
      <w:r w:rsidR="00970D2D">
        <w:t xml:space="preserve">was approved on </w:t>
      </w:r>
      <w:r w:rsidR="002F0FF8">
        <w:t>5</w:t>
      </w:r>
      <w:r w:rsidR="00F663A5">
        <w:t>/</w:t>
      </w:r>
      <w:r w:rsidR="002F0FF8">
        <w:t>6</w:t>
      </w:r>
      <w:r w:rsidR="00F663A5">
        <w:t>/</w:t>
      </w:r>
      <w:r w:rsidR="002F0FF8">
        <w:t>15</w:t>
      </w:r>
      <w:r w:rsidR="00F663A5">
        <w:t xml:space="preserve">.  </w:t>
      </w:r>
      <w:r w:rsidR="00970D2D">
        <w:t>A</w:t>
      </w:r>
      <w:r w:rsidR="00076E9F">
        <w:t>n adjustment within the purpose and a change to the instrument directly linked to that adjustment</w:t>
      </w:r>
      <w:r w:rsidR="00970D2D">
        <w:t xml:space="preserve"> is the justification for why this new GenIC request has been made</w:t>
      </w:r>
      <w:r w:rsidR="00076E9F">
        <w:t xml:space="preserve">.  </w:t>
      </w:r>
      <w:r w:rsidR="00970D2D">
        <w:t>The following content</w:t>
      </w:r>
      <w:r w:rsidR="00076E9F">
        <w:t xml:space="preserve"> provides information about these changes and the justification for the change</w:t>
      </w:r>
      <w:r w:rsidR="00EA3354">
        <w:t>s</w:t>
      </w:r>
      <w:r w:rsidR="00076E9F">
        <w:t>.</w:t>
      </w:r>
      <w:r w:rsidR="00F663A5">
        <w:t xml:space="preserve">  </w:t>
      </w:r>
      <w:r w:rsidR="009252DC">
        <w:t xml:space="preserve">The respondent universe for this </w:t>
      </w:r>
      <w:r w:rsidR="00157413">
        <w:t>information collection</w:t>
      </w:r>
      <w:r w:rsidR="00EA3354">
        <w:t xml:space="preserve"> will be identical to the respondent universe in </w:t>
      </w:r>
      <w:r w:rsidR="005F18E0">
        <w:t>PWCSTE</w:t>
      </w:r>
      <w:r w:rsidR="002F0FF8">
        <w:t xml:space="preserve"> </w:t>
      </w:r>
      <w:r w:rsidR="00EA3354">
        <w:t>and</w:t>
      </w:r>
      <w:r w:rsidR="00076E9F">
        <w:t xml:space="preserve"> </w:t>
      </w:r>
      <w:r w:rsidR="00157413">
        <w:t xml:space="preserve">aligns with that </w:t>
      </w:r>
      <w:r w:rsidR="00157413" w:rsidRPr="00EB7849">
        <w:t>of the O2C2.</w:t>
      </w:r>
      <w:r w:rsidR="009252DC" w:rsidRPr="00EB7849">
        <w:t xml:space="preserve"> </w:t>
      </w:r>
      <w:r w:rsidR="00D47703" w:rsidRPr="00EB7849">
        <w:t xml:space="preserve"> </w:t>
      </w:r>
      <w:r w:rsidR="0046447B">
        <w:t xml:space="preserve">CSTE will collect data from its members, or their designees, all of whom are employees of state and local health departments and who are </w:t>
      </w:r>
      <w:r w:rsidR="0046447B" w:rsidRPr="00711BFA">
        <w:t>acting in their official capacities</w:t>
      </w:r>
      <w:r w:rsidR="0046447B">
        <w:t xml:space="preserve"> as government employees. Specifically, the universe of respondents will consist of </w:t>
      </w:r>
      <w:r w:rsidR="0046447B" w:rsidRPr="00F00792">
        <w:t>5</w:t>
      </w:r>
      <w:r w:rsidR="0046447B">
        <w:t xml:space="preserve">0 state and 5 local epidemiologists or other staff (government employees who work with state and local drinking water programs, which could be part of the state/local health department or the state/local environmental agency) identified by the epidemiologists with responsibilities for drinking water issues and private residential wells. </w:t>
      </w:r>
      <w:r w:rsidR="00B36CAA">
        <w:t>The</w:t>
      </w:r>
      <w:r w:rsidR="00EB7849">
        <w:t xml:space="preserve"> </w:t>
      </w:r>
      <w:r w:rsidR="00B36CAA">
        <w:t xml:space="preserve">respondents </w:t>
      </w:r>
      <w:r w:rsidR="00EB7849">
        <w:t>represent</w:t>
      </w:r>
      <w:r w:rsidR="00B36CAA">
        <w:t xml:space="preserve"> </w:t>
      </w:r>
      <w:r w:rsidR="005E58AE">
        <w:t>50</w:t>
      </w:r>
      <w:r w:rsidR="00B36CAA">
        <w:t xml:space="preserve"> state</w:t>
      </w:r>
      <w:r w:rsidR="005E58AE">
        <w:t>s</w:t>
      </w:r>
      <w:r w:rsidR="00B36CAA">
        <w:t xml:space="preserve"> and </w:t>
      </w:r>
      <w:r w:rsidR="005E58AE">
        <w:t>five (5) city</w:t>
      </w:r>
      <w:r w:rsidR="00B36CAA">
        <w:t xml:space="preserve"> health departments</w:t>
      </w:r>
      <w:r w:rsidR="00EB7849">
        <w:t xml:space="preserve"> (i.e., </w:t>
      </w:r>
      <w:r w:rsidR="00807F81">
        <w:t>Los Angeles, CA</w:t>
      </w:r>
      <w:r w:rsidR="00E326D3">
        <w:t xml:space="preserve">; </w:t>
      </w:r>
      <w:r w:rsidR="00807F81">
        <w:t>District of Columbia</w:t>
      </w:r>
      <w:r w:rsidR="00E326D3">
        <w:t xml:space="preserve">; </w:t>
      </w:r>
      <w:r w:rsidR="00807F81">
        <w:t>Chicago, IL</w:t>
      </w:r>
      <w:r w:rsidR="00E326D3">
        <w:t xml:space="preserve">; </w:t>
      </w:r>
      <w:r w:rsidR="00807F81">
        <w:t>New York City, NY</w:t>
      </w:r>
      <w:r w:rsidR="00E326D3">
        <w:t xml:space="preserve">; </w:t>
      </w:r>
      <w:r w:rsidR="00807F81">
        <w:t>Houston, TX</w:t>
      </w:r>
      <w:r w:rsidR="00E326D3">
        <w:t xml:space="preserve">; </w:t>
      </w:r>
      <w:r w:rsidR="00807F81">
        <w:t>and Seattle, WA</w:t>
      </w:r>
      <w:r w:rsidR="00B36CAA">
        <w:t>).</w:t>
      </w:r>
      <w:r w:rsidR="0028681B">
        <w:t xml:space="preserve">  </w:t>
      </w:r>
    </w:p>
    <w:p w14:paraId="48D3ADA2" w14:textId="77777777" w:rsidR="009252DC" w:rsidRDefault="009252DC" w:rsidP="00F00792">
      <w:pPr>
        <w:ind w:left="0"/>
      </w:pPr>
    </w:p>
    <w:p w14:paraId="48D3ADA3" w14:textId="2DCC5AB3" w:rsidR="001E7537" w:rsidRDefault="00350C8C" w:rsidP="007D4E30">
      <w:pPr>
        <w:ind w:left="0"/>
        <w:rPr>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w:t>
      </w:r>
      <w:r w:rsidR="00DC27F9">
        <w:rPr>
          <w:iCs/>
        </w:rPr>
        <w:t xml:space="preserve">following </w:t>
      </w:r>
      <w:r w:rsidR="001E7537" w:rsidRPr="00E94775">
        <w:rPr>
          <w:iCs/>
        </w:rPr>
        <w:t>essential public health service</w:t>
      </w:r>
      <w:r w:rsidR="00DC27F9">
        <w:rPr>
          <w:iCs/>
        </w:rPr>
        <w:t>s:</w:t>
      </w:r>
      <w:r w:rsidR="00EA3354">
        <w:rPr>
          <w:iCs/>
        </w:rPr>
        <w:t xml:space="preserve"> #3)</w:t>
      </w:r>
      <w:r w:rsidR="00C90042">
        <w:rPr>
          <w:iCs/>
        </w:rPr>
        <w:t xml:space="preserve"> </w:t>
      </w:r>
      <w:r w:rsidR="00EA3354">
        <w:rPr>
          <w:iCs/>
        </w:rPr>
        <w:t>I</w:t>
      </w:r>
      <w:r w:rsidR="001E7537" w:rsidRPr="006203BE">
        <w:rPr>
          <w:iCs/>
        </w:rPr>
        <w:t>nforming, educating, and empowering people about health issues</w:t>
      </w:r>
      <w:r w:rsidR="00FF22CA">
        <w:rPr>
          <w:iCs/>
        </w:rPr>
        <w:t>;</w:t>
      </w:r>
      <w:r w:rsidR="007D4E30">
        <w:rPr>
          <w:iCs/>
        </w:rPr>
        <w:t xml:space="preserve"> </w:t>
      </w:r>
      <w:r w:rsidR="00C90042">
        <w:rPr>
          <w:iCs/>
        </w:rPr>
        <w:t xml:space="preserve">#4) </w:t>
      </w:r>
      <w:r w:rsidR="00EA3354">
        <w:rPr>
          <w:iCs/>
        </w:rPr>
        <w:t>M</w:t>
      </w:r>
      <w:r w:rsidR="001E7537" w:rsidRPr="006203BE">
        <w:rPr>
          <w:iCs/>
        </w:rPr>
        <w:t>obilizing community partnerships to identify and solve health problems</w:t>
      </w:r>
      <w:r w:rsidR="00FF22CA">
        <w:rPr>
          <w:iCs/>
        </w:rPr>
        <w:t>;</w:t>
      </w:r>
      <w:r w:rsidR="007D4E30">
        <w:rPr>
          <w:iCs/>
        </w:rPr>
        <w:t xml:space="preserve"> and </w:t>
      </w:r>
      <w:r w:rsidR="00C90042">
        <w:rPr>
          <w:iCs/>
        </w:rPr>
        <w:t xml:space="preserve">#5) </w:t>
      </w:r>
      <w:r w:rsidR="00EA3354">
        <w:rPr>
          <w:iCs/>
        </w:rPr>
        <w:t>D</w:t>
      </w:r>
      <w:r w:rsidR="001E7537" w:rsidRPr="00E94775">
        <w:rPr>
          <w:iCs/>
        </w:rPr>
        <w:t>evelop</w:t>
      </w:r>
      <w:r w:rsidR="00FF22CA">
        <w:rPr>
          <w:iCs/>
        </w:rPr>
        <w:t xml:space="preserve">ing </w:t>
      </w:r>
      <w:r w:rsidR="001E7537" w:rsidRPr="00E94775">
        <w:rPr>
          <w:iCs/>
        </w:rPr>
        <w:t>policies and plans that support individual and community health efforts</w:t>
      </w:r>
      <w:r w:rsidR="00424697">
        <w:rPr>
          <w:iCs/>
        </w:rPr>
        <w:t>.</w:t>
      </w:r>
      <w:r w:rsidR="001E2A2C">
        <w:rPr>
          <w:iCs/>
          <w:vertAlign w:val="superscript"/>
        </w:rPr>
        <w:t>1</w:t>
      </w:r>
      <w:r w:rsidR="009B3F46">
        <w:rPr>
          <w:iCs/>
        </w:rPr>
        <w:t xml:space="preserve"> </w:t>
      </w:r>
    </w:p>
    <w:p w14:paraId="2E56B458" w14:textId="77777777" w:rsidR="00E571DC" w:rsidRDefault="00E571DC" w:rsidP="00E571DC">
      <w:pPr>
        <w:ind w:left="0"/>
        <w:rPr>
          <w:iCs/>
        </w:rPr>
      </w:pPr>
    </w:p>
    <w:p w14:paraId="5E5CC019" w14:textId="1971A46A" w:rsidR="00FF17C1" w:rsidRDefault="00FF17C1" w:rsidP="00E571DC">
      <w:pPr>
        <w:ind w:left="0"/>
        <w:rPr>
          <w:iCs/>
        </w:rPr>
      </w:pPr>
    </w:p>
    <w:p w14:paraId="009CC657" w14:textId="77777777" w:rsidR="00FF17C1" w:rsidRPr="00E571DC" w:rsidRDefault="00FF17C1" w:rsidP="00E571DC">
      <w:pPr>
        <w:ind w:left="0"/>
        <w:rPr>
          <w:iCs/>
        </w:rPr>
      </w:pPr>
    </w:p>
    <w:p w14:paraId="4F514CEA" w14:textId="77777777" w:rsidR="00E571DC" w:rsidRPr="00E571DC" w:rsidRDefault="00E571DC" w:rsidP="00E571DC">
      <w:pPr>
        <w:ind w:left="0"/>
        <w:rPr>
          <w:iCs/>
        </w:rPr>
      </w:pPr>
      <w:r w:rsidRPr="00E571DC">
        <w:rPr>
          <w:iCs/>
        </w:rPr>
        <w:fldChar w:fldCharType="begin">
          <w:ffData>
            <w:name w:val="Check25"/>
            <w:enabled/>
            <w:calcOnExit w:val="0"/>
            <w:checkBox>
              <w:sizeAuto/>
              <w:default w:val="0"/>
            </w:checkBox>
          </w:ffData>
        </w:fldChar>
      </w:r>
      <w:bookmarkStart w:id="9" w:name="Check25"/>
      <w:r w:rsidRPr="00E571DC">
        <w:rPr>
          <w:iCs/>
        </w:rPr>
        <w:instrText xml:space="preserve"> FORMCHECKBOX </w:instrText>
      </w:r>
      <w:r w:rsidR="00455B37">
        <w:rPr>
          <w:iCs/>
        </w:rPr>
      </w:r>
      <w:r w:rsidR="00455B37">
        <w:rPr>
          <w:iCs/>
        </w:rPr>
        <w:fldChar w:fldCharType="separate"/>
      </w:r>
      <w:r w:rsidRPr="00E571DC">
        <w:rPr>
          <w:iCs/>
        </w:rPr>
        <w:fldChar w:fldCharType="end"/>
      </w:r>
      <w:bookmarkEnd w:id="9"/>
      <w:r w:rsidRPr="00E571DC">
        <w:rPr>
          <w:iCs/>
        </w:rPr>
        <w:t xml:space="preserve"> 1. Monitoring health status to identify community health problems</w:t>
      </w:r>
    </w:p>
    <w:p w14:paraId="7D0088A4" w14:textId="77777777" w:rsidR="00E571DC" w:rsidRPr="00E571DC" w:rsidRDefault="00E571DC" w:rsidP="00E571DC">
      <w:pPr>
        <w:ind w:left="0"/>
        <w:rPr>
          <w:iCs/>
        </w:rPr>
      </w:pPr>
      <w:r w:rsidRPr="00E571DC">
        <w:rPr>
          <w:iCs/>
        </w:rPr>
        <w:fldChar w:fldCharType="begin">
          <w:ffData>
            <w:name w:val="Check25"/>
            <w:enabled/>
            <w:calcOnExit w:val="0"/>
            <w:checkBox>
              <w:sizeAuto/>
              <w:default w:val="0"/>
            </w:checkBox>
          </w:ffData>
        </w:fldChar>
      </w:r>
      <w:r w:rsidRPr="00E571DC">
        <w:rPr>
          <w:iCs/>
        </w:rPr>
        <w:instrText xml:space="preserve"> FORMCHECKBOX </w:instrText>
      </w:r>
      <w:r w:rsidR="00455B37">
        <w:rPr>
          <w:iCs/>
        </w:rPr>
      </w:r>
      <w:r w:rsidR="00455B37">
        <w:rPr>
          <w:iCs/>
        </w:rPr>
        <w:fldChar w:fldCharType="separate"/>
      </w:r>
      <w:r w:rsidRPr="00E571DC">
        <w:rPr>
          <w:iCs/>
        </w:rPr>
        <w:fldChar w:fldCharType="end"/>
      </w:r>
      <w:r w:rsidRPr="00E571DC">
        <w:rPr>
          <w:iCs/>
        </w:rPr>
        <w:t xml:space="preserve"> 2. Diagnosing and investigating health problems and health hazards in the community</w:t>
      </w:r>
    </w:p>
    <w:p w14:paraId="18870167" w14:textId="443D075E" w:rsidR="00E571DC" w:rsidRPr="00E571DC" w:rsidRDefault="00E571DC" w:rsidP="00E571DC">
      <w:pPr>
        <w:ind w:left="0"/>
        <w:rPr>
          <w:iCs/>
        </w:rPr>
      </w:pPr>
      <w:r>
        <w:rPr>
          <w:iCs/>
        </w:rPr>
        <w:fldChar w:fldCharType="begin">
          <w:ffData>
            <w:name w:val=""/>
            <w:enabled/>
            <w:calcOnExit w:val="0"/>
            <w:checkBox>
              <w:sizeAuto/>
              <w:default w:val="1"/>
            </w:checkBox>
          </w:ffData>
        </w:fldChar>
      </w:r>
      <w:r>
        <w:rPr>
          <w:iCs/>
        </w:rPr>
        <w:instrText xml:space="preserve"> FORMCHECKBOX </w:instrText>
      </w:r>
      <w:r w:rsidR="00455B37">
        <w:rPr>
          <w:iCs/>
        </w:rPr>
      </w:r>
      <w:r w:rsidR="00455B37">
        <w:rPr>
          <w:iCs/>
        </w:rPr>
        <w:fldChar w:fldCharType="separate"/>
      </w:r>
      <w:r>
        <w:rPr>
          <w:iCs/>
        </w:rPr>
        <w:fldChar w:fldCharType="end"/>
      </w:r>
      <w:r w:rsidRPr="00E571DC">
        <w:rPr>
          <w:iCs/>
        </w:rPr>
        <w:t xml:space="preserve"> 3. Informing, educating, and empowering people about health issues</w:t>
      </w:r>
    </w:p>
    <w:p w14:paraId="0E4D8FC8" w14:textId="7BF208DB" w:rsidR="00E571DC" w:rsidRPr="00E571DC" w:rsidRDefault="00E571DC" w:rsidP="00E571DC">
      <w:pPr>
        <w:ind w:left="0"/>
        <w:rPr>
          <w:iCs/>
        </w:rPr>
      </w:pPr>
      <w:r>
        <w:rPr>
          <w:iCs/>
        </w:rPr>
        <w:fldChar w:fldCharType="begin">
          <w:ffData>
            <w:name w:val=""/>
            <w:enabled/>
            <w:calcOnExit w:val="0"/>
            <w:checkBox>
              <w:sizeAuto/>
              <w:default w:val="1"/>
            </w:checkBox>
          </w:ffData>
        </w:fldChar>
      </w:r>
      <w:r>
        <w:rPr>
          <w:iCs/>
        </w:rPr>
        <w:instrText xml:space="preserve"> FORMCHECKBOX </w:instrText>
      </w:r>
      <w:r w:rsidR="00455B37">
        <w:rPr>
          <w:iCs/>
        </w:rPr>
      </w:r>
      <w:r w:rsidR="00455B37">
        <w:rPr>
          <w:iCs/>
        </w:rPr>
        <w:fldChar w:fldCharType="separate"/>
      </w:r>
      <w:r>
        <w:rPr>
          <w:iCs/>
        </w:rPr>
        <w:fldChar w:fldCharType="end"/>
      </w:r>
      <w:r w:rsidRPr="00E571DC">
        <w:rPr>
          <w:iCs/>
        </w:rPr>
        <w:t xml:space="preserve"> 4. Mobilizing community partnerships to identify and solve health problems</w:t>
      </w:r>
    </w:p>
    <w:p w14:paraId="5091AA72" w14:textId="7A0CD2E1" w:rsidR="00E571DC" w:rsidRPr="00E571DC" w:rsidRDefault="00E571DC" w:rsidP="00E571DC">
      <w:pPr>
        <w:ind w:left="0"/>
        <w:rPr>
          <w:iCs/>
        </w:rPr>
      </w:pPr>
      <w:r>
        <w:rPr>
          <w:iCs/>
        </w:rPr>
        <w:fldChar w:fldCharType="begin">
          <w:ffData>
            <w:name w:val=""/>
            <w:enabled/>
            <w:calcOnExit w:val="0"/>
            <w:checkBox>
              <w:sizeAuto/>
              <w:default w:val="1"/>
            </w:checkBox>
          </w:ffData>
        </w:fldChar>
      </w:r>
      <w:r>
        <w:rPr>
          <w:iCs/>
        </w:rPr>
        <w:instrText xml:space="preserve"> FORMCHECKBOX </w:instrText>
      </w:r>
      <w:r w:rsidR="00455B37">
        <w:rPr>
          <w:iCs/>
        </w:rPr>
      </w:r>
      <w:r w:rsidR="00455B37">
        <w:rPr>
          <w:iCs/>
        </w:rPr>
        <w:fldChar w:fldCharType="separate"/>
      </w:r>
      <w:r>
        <w:rPr>
          <w:iCs/>
        </w:rPr>
        <w:fldChar w:fldCharType="end"/>
      </w:r>
      <w:r w:rsidRPr="00E571DC">
        <w:rPr>
          <w:iCs/>
        </w:rPr>
        <w:t xml:space="preserve"> 5. Development of policies and plans that support individual and community health efforts</w:t>
      </w:r>
    </w:p>
    <w:p w14:paraId="7F44B97E" w14:textId="77777777" w:rsidR="00E571DC" w:rsidRPr="00E571DC" w:rsidRDefault="00E571DC" w:rsidP="00E571DC">
      <w:pPr>
        <w:ind w:left="0"/>
        <w:rPr>
          <w:iCs/>
        </w:rPr>
      </w:pPr>
      <w:r w:rsidRPr="00E571DC">
        <w:rPr>
          <w:iCs/>
        </w:rPr>
        <w:fldChar w:fldCharType="begin">
          <w:ffData>
            <w:name w:val="Check25"/>
            <w:enabled/>
            <w:calcOnExit w:val="0"/>
            <w:checkBox>
              <w:sizeAuto/>
              <w:default w:val="0"/>
            </w:checkBox>
          </w:ffData>
        </w:fldChar>
      </w:r>
      <w:r w:rsidRPr="00E571DC">
        <w:rPr>
          <w:iCs/>
        </w:rPr>
        <w:instrText xml:space="preserve"> FORMCHECKBOX </w:instrText>
      </w:r>
      <w:r w:rsidR="00455B37">
        <w:rPr>
          <w:iCs/>
        </w:rPr>
      </w:r>
      <w:r w:rsidR="00455B37">
        <w:rPr>
          <w:iCs/>
        </w:rPr>
        <w:fldChar w:fldCharType="separate"/>
      </w:r>
      <w:r w:rsidRPr="00E571DC">
        <w:rPr>
          <w:iCs/>
        </w:rPr>
        <w:fldChar w:fldCharType="end"/>
      </w:r>
      <w:r w:rsidRPr="00E571DC">
        <w:rPr>
          <w:iCs/>
        </w:rPr>
        <w:t xml:space="preserve"> 6. Enforcement of laws and regulations that protect health and ensure safety</w:t>
      </w:r>
    </w:p>
    <w:p w14:paraId="0A8D0E10" w14:textId="77777777" w:rsidR="00E571DC" w:rsidRPr="00E571DC" w:rsidRDefault="00E571DC" w:rsidP="00E571DC">
      <w:pPr>
        <w:ind w:left="0"/>
        <w:rPr>
          <w:iCs/>
        </w:rPr>
      </w:pPr>
      <w:r w:rsidRPr="00E571DC">
        <w:rPr>
          <w:iCs/>
        </w:rPr>
        <w:fldChar w:fldCharType="begin">
          <w:ffData>
            <w:name w:val="Check25"/>
            <w:enabled/>
            <w:calcOnExit w:val="0"/>
            <w:checkBox>
              <w:sizeAuto/>
              <w:default w:val="0"/>
            </w:checkBox>
          </w:ffData>
        </w:fldChar>
      </w:r>
      <w:r w:rsidRPr="00E571DC">
        <w:rPr>
          <w:iCs/>
        </w:rPr>
        <w:instrText xml:space="preserve"> FORMCHECKBOX </w:instrText>
      </w:r>
      <w:r w:rsidR="00455B37">
        <w:rPr>
          <w:iCs/>
        </w:rPr>
      </w:r>
      <w:r w:rsidR="00455B37">
        <w:rPr>
          <w:iCs/>
        </w:rPr>
        <w:fldChar w:fldCharType="separate"/>
      </w:r>
      <w:r w:rsidRPr="00E571DC">
        <w:rPr>
          <w:iCs/>
        </w:rPr>
        <w:fldChar w:fldCharType="end"/>
      </w:r>
      <w:r w:rsidRPr="00E571DC">
        <w:rPr>
          <w:iCs/>
        </w:rPr>
        <w:t xml:space="preserve"> 7. Linking people to needed personal health services and assure the provision of health care </w:t>
      </w:r>
    </w:p>
    <w:p w14:paraId="606135E1" w14:textId="77777777" w:rsidR="00E571DC" w:rsidRPr="00E571DC" w:rsidRDefault="00E571DC" w:rsidP="00E571DC">
      <w:pPr>
        <w:ind w:left="0"/>
        <w:rPr>
          <w:iCs/>
        </w:rPr>
      </w:pPr>
      <w:r w:rsidRPr="00E571DC">
        <w:rPr>
          <w:iCs/>
        </w:rPr>
        <w:t xml:space="preserve">            when otherwise unavailable</w:t>
      </w:r>
    </w:p>
    <w:p w14:paraId="0C5CF02D" w14:textId="77777777" w:rsidR="00E571DC" w:rsidRPr="00E571DC" w:rsidRDefault="00E571DC" w:rsidP="00E571DC">
      <w:pPr>
        <w:ind w:left="0"/>
        <w:rPr>
          <w:iCs/>
        </w:rPr>
      </w:pPr>
      <w:r w:rsidRPr="00E571DC">
        <w:rPr>
          <w:iCs/>
        </w:rPr>
        <w:fldChar w:fldCharType="begin">
          <w:ffData>
            <w:name w:val="Check25"/>
            <w:enabled/>
            <w:calcOnExit w:val="0"/>
            <w:checkBox>
              <w:sizeAuto/>
              <w:default w:val="0"/>
            </w:checkBox>
          </w:ffData>
        </w:fldChar>
      </w:r>
      <w:r w:rsidRPr="00E571DC">
        <w:rPr>
          <w:iCs/>
        </w:rPr>
        <w:instrText xml:space="preserve"> FORMCHECKBOX </w:instrText>
      </w:r>
      <w:r w:rsidR="00455B37">
        <w:rPr>
          <w:iCs/>
        </w:rPr>
      </w:r>
      <w:r w:rsidR="00455B37">
        <w:rPr>
          <w:iCs/>
        </w:rPr>
        <w:fldChar w:fldCharType="separate"/>
      </w:r>
      <w:r w:rsidRPr="00E571DC">
        <w:rPr>
          <w:iCs/>
        </w:rPr>
        <w:fldChar w:fldCharType="end"/>
      </w:r>
      <w:r w:rsidRPr="00E571DC">
        <w:rPr>
          <w:iCs/>
        </w:rPr>
        <w:t xml:space="preserve"> 8. Assuring a competent public health and personal health care workforce</w:t>
      </w:r>
    </w:p>
    <w:p w14:paraId="6476B65A" w14:textId="77777777" w:rsidR="00E571DC" w:rsidRPr="00E571DC" w:rsidRDefault="00E571DC" w:rsidP="00E571DC">
      <w:pPr>
        <w:ind w:left="0"/>
        <w:rPr>
          <w:iCs/>
        </w:rPr>
      </w:pPr>
      <w:r w:rsidRPr="00E571DC">
        <w:rPr>
          <w:iCs/>
        </w:rPr>
        <w:fldChar w:fldCharType="begin">
          <w:ffData>
            <w:name w:val="Check25"/>
            <w:enabled/>
            <w:calcOnExit w:val="0"/>
            <w:checkBox>
              <w:sizeAuto/>
              <w:default w:val="0"/>
            </w:checkBox>
          </w:ffData>
        </w:fldChar>
      </w:r>
      <w:r w:rsidRPr="00E571DC">
        <w:rPr>
          <w:iCs/>
        </w:rPr>
        <w:instrText xml:space="preserve"> FORMCHECKBOX </w:instrText>
      </w:r>
      <w:r w:rsidR="00455B37">
        <w:rPr>
          <w:iCs/>
        </w:rPr>
      </w:r>
      <w:r w:rsidR="00455B37">
        <w:rPr>
          <w:iCs/>
        </w:rPr>
        <w:fldChar w:fldCharType="separate"/>
      </w:r>
      <w:r w:rsidRPr="00E571DC">
        <w:rPr>
          <w:iCs/>
        </w:rPr>
        <w:fldChar w:fldCharType="end"/>
      </w:r>
      <w:r w:rsidRPr="00E571DC">
        <w:rPr>
          <w:iCs/>
        </w:rPr>
        <w:t xml:space="preserve"> 9. Evaluating effectiveness, accessibility, and quality of personal and population-based health  </w:t>
      </w:r>
    </w:p>
    <w:p w14:paraId="393E89E4" w14:textId="77777777" w:rsidR="00E571DC" w:rsidRPr="00E571DC" w:rsidRDefault="00E571DC" w:rsidP="00E571DC">
      <w:pPr>
        <w:ind w:left="0"/>
        <w:rPr>
          <w:iCs/>
        </w:rPr>
      </w:pPr>
      <w:r w:rsidRPr="00E571DC">
        <w:rPr>
          <w:iCs/>
        </w:rPr>
        <w:t xml:space="preserve">            services</w:t>
      </w:r>
    </w:p>
    <w:p w14:paraId="2F3CB896" w14:textId="77777777" w:rsidR="00E571DC" w:rsidRPr="00E571DC" w:rsidRDefault="00E571DC" w:rsidP="00E571DC">
      <w:pPr>
        <w:ind w:left="0"/>
        <w:rPr>
          <w:iCs/>
        </w:rPr>
      </w:pPr>
      <w:r w:rsidRPr="00E571DC">
        <w:rPr>
          <w:iCs/>
        </w:rPr>
        <w:fldChar w:fldCharType="begin">
          <w:ffData>
            <w:name w:val="Check25"/>
            <w:enabled/>
            <w:calcOnExit w:val="0"/>
            <w:checkBox>
              <w:sizeAuto/>
              <w:default w:val="0"/>
            </w:checkBox>
          </w:ffData>
        </w:fldChar>
      </w:r>
      <w:r w:rsidRPr="00E571DC">
        <w:rPr>
          <w:iCs/>
        </w:rPr>
        <w:instrText xml:space="preserve"> FORMCHECKBOX </w:instrText>
      </w:r>
      <w:r w:rsidR="00455B37">
        <w:rPr>
          <w:iCs/>
        </w:rPr>
      </w:r>
      <w:r w:rsidR="00455B37">
        <w:rPr>
          <w:iCs/>
        </w:rPr>
        <w:fldChar w:fldCharType="separate"/>
      </w:r>
      <w:r w:rsidRPr="00E571DC">
        <w:rPr>
          <w:iCs/>
        </w:rPr>
        <w:fldChar w:fldCharType="end"/>
      </w:r>
      <w:r w:rsidRPr="00E571DC">
        <w:rPr>
          <w:iCs/>
        </w:rPr>
        <w:t xml:space="preserve"> 10. Research for new insights and innovative solutions to health problems</w:t>
      </w:r>
      <w:r w:rsidRPr="00E571DC">
        <w:rPr>
          <w:iCs/>
          <w:vertAlign w:val="superscript"/>
        </w:rPr>
        <w:t xml:space="preserve"> 1</w:t>
      </w:r>
    </w:p>
    <w:p w14:paraId="28EF8940" w14:textId="77777777" w:rsidR="00596D6E" w:rsidRDefault="00596D6E" w:rsidP="009E1DA6">
      <w:pPr>
        <w:ind w:left="0"/>
      </w:pPr>
    </w:p>
    <w:p w14:paraId="2BE1769F" w14:textId="6D75852F" w:rsidR="00D14689" w:rsidRDefault="002F0FF8" w:rsidP="009E1DA6">
      <w:pPr>
        <w:ind w:left="0"/>
      </w:pPr>
      <w:r>
        <w:t xml:space="preserve">Within the Centers for Disease Control (CDC), the </w:t>
      </w:r>
      <w:r w:rsidRPr="00171016">
        <w:t>National Center for Environmental Health</w:t>
      </w:r>
      <w:r>
        <w:t xml:space="preserve">’s (NCEH) </w:t>
      </w:r>
      <w:r w:rsidRPr="00171016">
        <w:t>Health Studies Branch</w:t>
      </w:r>
      <w:r>
        <w:t xml:space="preserve"> (HSB)</w:t>
      </w:r>
      <w:r w:rsidR="00F75CEF">
        <w:t xml:space="preserve">’s </w:t>
      </w:r>
      <w:r w:rsidR="00F93330">
        <w:t xml:space="preserve">Clean Water for Health Program </w:t>
      </w:r>
      <w:r>
        <w:t>goal</w:t>
      </w:r>
      <w:r w:rsidR="00F75CEF">
        <w:t xml:space="preserve"> is</w:t>
      </w:r>
      <w:r>
        <w:t xml:space="preserve"> to reduce exposures to and disease from non-infectious drinking water contaminants</w:t>
      </w:r>
      <w:r w:rsidR="007E3B00">
        <w:t xml:space="preserve"> (e.g. chemical contaminants)</w:t>
      </w:r>
      <w:r>
        <w:t xml:space="preserve">. </w:t>
      </w:r>
      <w:r w:rsidR="009E1DA6" w:rsidRPr="00D20B51">
        <w:t>Approximately 43 million people (about 14 percent of the U.S. population) rely on domestic wells as their source of drinking water</w:t>
      </w:r>
      <w:r w:rsidR="003448E2">
        <w:t>.</w:t>
      </w:r>
      <w:r w:rsidR="009E1DA6">
        <w:rPr>
          <w:vertAlign w:val="superscript"/>
        </w:rPr>
        <w:t>2</w:t>
      </w:r>
      <w:r w:rsidR="005C5036">
        <w:t xml:space="preserve"> </w:t>
      </w:r>
      <w:r w:rsidR="009E1DA6" w:rsidRPr="00D20B51">
        <w:t xml:space="preserve">Unlike community water systems, which are regulated by the Safe Drinking Water Act, there is no comprehensive national program to ensure that </w:t>
      </w:r>
      <w:r w:rsidR="00F75CEF">
        <w:t>well</w:t>
      </w:r>
      <w:r w:rsidR="00F75CEF" w:rsidRPr="00D20B51">
        <w:t xml:space="preserve"> </w:t>
      </w:r>
      <w:r w:rsidR="009E1DA6" w:rsidRPr="00D20B51">
        <w:t xml:space="preserve">water is tested </w:t>
      </w:r>
      <w:r w:rsidR="005B1AF2">
        <w:t>and is</w:t>
      </w:r>
      <w:r w:rsidR="009E1DA6" w:rsidRPr="00D20B51">
        <w:t xml:space="preserve"> safe to drink.  A study published in 2009 from the National Water-Quality Assessment Program of the U.S. Geological Sur</w:t>
      </w:r>
      <w:r w:rsidR="004D1511">
        <w:t xml:space="preserve">vey that assessed water-quality </w:t>
      </w:r>
      <w:r w:rsidR="009E1DA6" w:rsidRPr="00D20B51">
        <w:t>conditions from 2,100 domestic wells within 48 states reported that more than one in five (23 percent) of the sampled wells contained one or more contaminants at a concentration greater than a human-health benchmark.</w:t>
      </w:r>
      <w:r w:rsidR="009E1DA6">
        <w:rPr>
          <w:vertAlign w:val="superscript"/>
        </w:rPr>
        <w:t>3</w:t>
      </w:r>
      <w:r w:rsidR="009E1DA6" w:rsidRPr="00D20B51">
        <w:t xml:space="preserve"> In addition, there</w:t>
      </w:r>
      <w:r w:rsidR="004031F9">
        <w:t xml:space="preserve"> are many current circumstances</w:t>
      </w:r>
      <w:r w:rsidR="009E1DA6" w:rsidRPr="00D20B51">
        <w:t xml:space="preserve"> </w:t>
      </w:r>
      <w:r w:rsidR="004031F9">
        <w:t>(</w:t>
      </w:r>
      <w:r w:rsidR="009E1DA6" w:rsidRPr="00D20B51">
        <w:t>e.g., industrial activities such as resource extraction, climate change-induced drought, and changes in land use patterns</w:t>
      </w:r>
      <w:r w:rsidR="004031F9">
        <w:t>)</w:t>
      </w:r>
      <w:r w:rsidR="009E1DA6" w:rsidRPr="00D20B51">
        <w:t xml:space="preserve"> that could potential</w:t>
      </w:r>
      <w:r w:rsidR="005B1AF2">
        <w:t>ly</w:t>
      </w:r>
      <w:r w:rsidR="009E1DA6" w:rsidRPr="00D20B51">
        <w:t xml:space="preserve"> affect the quality of the ground water source for private wells.</w:t>
      </w:r>
      <w:r w:rsidR="005F18E0">
        <w:t xml:space="preserve"> </w:t>
      </w:r>
    </w:p>
    <w:p w14:paraId="42112869" w14:textId="77777777" w:rsidR="00D14689" w:rsidRDefault="00D14689" w:rsidP="009E1DA6">
      <w:pPr>
        <w:ind w:left="0"/>
      </w:pPr>
    </w:p>
    <w:p w14:paraId="48D3ADB2" w14:textId="18665EDC" w:rsidR="009E1DA6" w:rsidRDefault="005F18E0" w:rsidP="009E1DA6">
      <w:pPr>
        <w:ind w:left="0"/>
      </w:pPr>
      <w:r>
        <w:t>In addition to issues affecting drinking water from private wells, exposures and health effects associated with unregulated contaminants</w:t>
      </w:r>
      <w:r w:rsidR="007E3B00">
        <w:t xml:space="preserve"> (e.g. certain pesticides,</w:t>
      </w:r>
      <w:r w:rsidR="00F140E8">
        <w:t xml:space="preserve"> perfluorinated compounds (PFCs), brominated flame retardants,</w:t>
      </w:r>
      <w:r w:rsidR="007E3B00">
        <w:t xml:space="preserve"> pharmaceuticals,</w:t>
      </w:r>
      <w:r w:rsidR="00F140E8">
        <w:t xml:space="preserve"> etc.</w:t>
      </w:r>
      <w:r w:rsidR="007E3B00">
        <w:t>)</w:t>
      </w:r>
      <w:r>
        <w:t xml:space="preserve"> </w:t>
      </w:r>
      <w:r w:rsidR="00FB2993">
        <w:t>that can impact both private wells and</w:t>
      </w:r>
      <w:r>
        <w:t xml:space="preserve"> community water systems are also of concern. </w:t>
      </w:r>
      <w:r w:rsidR="00F140E8">
        <w:t>Although additional studies are needed to better define exposures and health effects of these chemicals, there is evidence that they may represent a health risk. For example, PFCs have been shown to be immunotoxicants and disrupt thyroid function, and brominated flame retardants are neurotoxicants</w:t>
      </w:r>
      <w:r w:rsidR="00F140E8" w:rsidRPr="00F140E8">
        <w:rPr>
          <w:vertAlign w:val="superscript"/>
        </w:rPr>
        <w:t>4</w:t>
      </w:r>
      <w:r w:rsidR="00F140E8">
        <w:t xml:space="preserve">. </w:t>
      </w:r>
      <w:r>
        <w:t xml:space="preserve">HSB is interested in getting states’ perspectives on particular contaminants of concern and what technical assistance HSB might provide in order to assess the possible public health impacts associated with these contaminants. </w:t>
      </w:r>
    </w:p>
    <w:p w14:paraId="77CA9044" w14:textId="14E7BFEF" w:rsidR="007E3B00" w:rsidRDefault="007E3B00" w:rsidP="00E326D3">
      <w:pPr>
        <w:ind w:left="0"/>
      </w:pPr>
    </w:p>
    <w:p w14:paraId="0A6FD8A3" w14:textId="7F6A5D13" w:rsidR="00E326D3" w:rsidRDefault="00E326D3" w:rsidP="00E326D3">
      <w:pPr>
        <w:ind w:left="0"/>
      </w:pPr>
      <w:r>
        <w:t xml:space="preserve">HSB partners with organizations such as the Council of State and Territorial Epidemiologists (CSTE) to advance </w:t>
      </w:r>
      <w:r w:rsidR="003529ED">
        <w:t>its goal</w:t>
      </w:r>
      <w:r>
        <w:t xml:space="preserve">. </w:t>
      </w:r>
      <w:r w:rsidR="003529ED">
        <w:t xml:space="preserve">The mission of CSTE is </w:t>
      </w:r>
      <w:r w:rsidRPr="00767048">
        <w:t>to advance public health policy and epidemiologic capacity</w:t>
      </w:r>
      <w:r w:rsidR="000D610F">
        <w:t xml:space="preserve">. </w:t>
      </w:r>
      <w:r w:rsidR="0087442D">
        <w:t>CSTE</w:t>
      </w:r>
      <w:r w:rsidR="0087442D" w:rsidRPr="00767048">
        <w:t xml:space="preserve"> </w:t>
      </w:r>
      <w:r w:rsidRPr="00767048">
        <w:t>provide</w:t>
      </w:r>
      <w:r>
        <w:t>s</w:t>
      </w:r>
      <w:r w:rsidRPr="00767048">
        <w:t xml:space="preserve"> information, education, and developmental support </w:t>
      </w:r>
      <w:r>
        <w:t>for</w:t>
      </w:r>
      <w:r w:rsidRPr="00767048">
        <w:t xml:space="preserve"> practicing epidemiologists in a wide range of areas as well as expertise for program and surveillance efforts.</w:t>
      </w:r>
      <w:r>
        <w:t xml:space="preserve"> </w:t>
      </w:r>
      <w:r w:rsidR="00477483" w:rsidRPr="006A271E">
        <w:lastRenderedPageBreak/>
        <w:t xml:space="preserve">CDC </w:t>
      </w:r>
      <w:r w:rsidR="000029A6">
        <w:t xml:space="preserve">has funded </w:t>
      </w:r>
      <w:r w:rsidR="00477483" w:rsidRPr="006A271E">
        <w:t xml:space="preserve">CSTE </w:t>
      </w:r>
      <w:r w:rsidR="000029A6">
        <w:t xml:space="preserve">through a cooperative agreement to </w:t>
      </w:r>
      <w:r w:rsidR="008C34B6">
        <w:t xml:space="preserve">conduct </w:t>
      </w:r>
      <w:r w:rsidR="008C34B6" w:rsidRPr="006A271E">
        <w:t>this</w:t>
      </w:r>
      <w:r w:rsidR="00477483" w:rsidRPr="006A271E">
        <w:t xml:space="preserve"> assessment because they have the appropriate contacts to allow us to assess every state.</w:t>
      </w:r>
    </w:p>
    <w:p w14:paraId="38B7D529" w14:textId="77777777" w:rsidR="00E326D3" w:rsidRDefault="00E326D3" w:rsidP="009E1DA6">
      <w:pPr>
        <w:ind w:left="0"/>
      </w:pPr>
    </w:p>
    <w:p w14:paraId="67DA8403" w14:textId="1D14057B" w:rsidR="00064859" w:rsidRDefault="003529ED" w:rsidP="00FD3645">
      <w:pPr>
        <w:ind w:left="0"/>
      </w:pPr>
      <w:r>
        <w:t xml:space="preserve">Few data collections so far have focused on asking </w:t>
      </w:r>
      <w:r w:rsidR="00FB2993">
        <w:t>state and local epidemiologists</w:t>
      </w:r>
      <w:r>
        <w:t xml:space="preserve"> what they perceive are </w:t>
      </w:r>
      <w:r w:rsidR="00736E20">
        <w:t xml:space="preserve">priority non-infectious drinking water </w:t>
      </w:r>
      <w:r>
        <w:t>issues</w:t>
      </w:r>
      <w:r w:rsidR="00736E20">
        <w:t xml:space="preserve"> and their </w:t>
      </w:r>
      <w:r w:rsidR="002F0FF8">
        <w:t xml:space="preserve">technical assistance </w:t>
      </w:r>
      <w:r w:rsidR="00736E20">
        <w:t>needs</w:t>
      </w:r>
      <w:r>
        <w:t xml:space="preserve"> in an effort to be proactive</w:t>
      </w:r>
      <w:r w:rsidR="00736E20">
        <w:t>, target technical assistance efforts,</w:t>
      </w:r>
      <w:r>
        <w:t xml:space="preserve"> and identify solutions to fill gaps that exist. Some assessments have been conducted to determine the knowledge, attitudes, and practices of private well owners and their water testing practices.</w:t>
      </w:r>
      <w:r w:rsidR="002D06E2">
        <w:rPr>
          <w:vertAlign w:val="superscript"/>
        </w:rPr>
        <w:t>4</w:t>
      </w:r>
      <w:r>
        <w:rPr>
          <w:vertAlign w:val="superscript"/>
        </w:rPr>
        <w:t>-</w:t>
      </w:r>
      <w:r w:rsidR="002D06E2">
        <w:rPr>
          <w:vertAlign w:val="superscript"/>
        </w:rPr>
        <w:t>10</w:t>
      </w:r>
      <w:r>
        <w:t xml:space="preserve"> Other assessments have focused on analyzing the quality of well water for a risk that has already been identified.</w:t>
      </w:r>
      <w:r w:rsidRPr="002563C7">
        <w:rPr>
          <w:vertAlign w:val="superscript"/>
        </w:rPr>
        <w:t>1</w:t>
      </w:r>
      <w:r w:rsidR="002D06E2">
        <w:rPr>
          <w:vertAlign w:val="superscript"/>
        </w:rPr>
        <w:t>1</w:t>
      </w:r>
      <w:r w:rsidRPr="002563C7">
        <w:rPr>
          <w:vertAlign w:val="superscript"/>
        </w:rPr>
        <w:t>-1</w:t>
      </w:r>
      <w:r w:rsidR="002D06E2">
        <w:rPr>
          <w:vertAlign w:val="superscript"/>
        </w:rPr>
        <w:t>4</w:t>
      </w:r>
      <w:r>
        <w:t xml:space="preserve"> </w:t>
      </w:r>
    </w:p>
    <w:p w14:paraId="43191336" w14:textId="77777777" w:rsidR="00064859" w:rsidRDefault="00064859" w:rsidP="00FD3645">
      <w:pPr>
        <w:ind w:left="0"/>
      </w:pPr>
    </w:p>
    <w:p w14:paraId="06AD510A" w14:textId="683586D6" w:rsidR="009F2678" w:rsidRDefault="009F2678" w:rsidP="00FD3645">
      <w:pPr>
        <w:ind w:left="0"/>
      </w:pPr>
      <w:r>
        <w:t>The purpose of this information collection request is to identify priority non-infectious issues impacting drinking water, state and local epidemiologists’ technical assistance needs, and identify how HSB can best provide technical assistance and support in addressing these needs. This information collection is aligned</w:t>
      </w:r>
      <w:r w:rsidR="00FA6828">
        <w:t xml:space="preserve">, but different than </w:t>
      </w:r>
      <w:r>
        <w:t xml:space="preserve">the PWCSTE GenIC </w:t>
      </w:r>
      <w:r w:rsidR="006C10DB">
        <w:t>information collection</w:t>
      </w:r>
      <w:r>
        <w:t xml:space="preserve"> that was approved in May 2015. The purpose of PWCSTE was to gather feedback on gaps in knowledge or practice, tools and resources needed to address gaps</w:t>
      </w:r>
      <w:r w:rsidR="006C10DB">
        <w:t>, and identify policy information regarding private wells</w:t>
      </w:r>
      <w:r w:rsidR="00546001">
        <w:t>.</w:t>
      </w:r>
      <w:r>
        <w:t xml:space="preserve"> </w:t>
      </w:r>
      <w:r w:rsidR="006C10DB">
        <w:t xml:space="preserve">Data were never collected for this GenIC. </w:t>
      </w:r>
      <w:r w:rsidR="002F2694" w:rsidRPr="002F2694">
        <w:t xml:space="preserve">After gaining approval, investigators’ reassessed the purpose and need of the PWCSTE data collection and decided not to collect data. </w:t>
      </w:r>
      <w:r w:rsidR="00C24434">
        <w:t>Data were not collected, as the scope of the HSB Clean Water for Health</w:t>
      </w:r>
      <w:r w:rsidR="002A4BE3">
        <w:t xml:space="preserve"> Program</w:t>
      </w:r>
      <w:r w:rsidR="00C24434">
        <w:t xml:space="preserve"> </w:t>
      </w:r>
      <w:r w:rsidR="002F2694" w:rsidRPr="002F2694">
        <w:t>expanded from</w:t>
      </w:r>
      <w:r w:rsidR="00C24434">
        <w:t xml:space="preserve"> a focus on</w:t>
      </w:r>
      <w:r w:rsidR="002F2694" w:rsidRPr="002F2694">
        <w:t xml:space="preserve"> private well issues to</w:t>
      </w:r>
      <w:r w:rsidR="00C24434">
        <w:t xml:space="preserve"> a more broad focus on </w:t>
      </w:r>
      <w:r w:rsidR="002F2694" w:rsidRPr="002F2694">
        <w:t xml:space="preserve">non-infectious drinking water issues. </w:t>
      </w:r>
      <w:r w:rsidR="008A5AB2">
        <w:t xml:space="preserve"> </w:t>
      </w:r>
      <w:r w:rsidR="001640AD">
        <w:t xml:space="preserve">Specifically, the new focus of </w:t>
      </w:r>
      <w:r w:rsidR="002A4BE3">
        <w:t xml:space="preserve">the </w:t>
      </w:r>
      <w:r w:rsidR="001640AD">
        <w:t xml:space="preserve">HSB Clean Water for Health </w:t>
      </w:r>
      <w:r w:rsidR="002A4BE3">
        <w:t xml:space="preserve">Program </w:t>
      </w:r>
      <w:r w:rsidR="001640AD">
        <w:t xml:space="preserve">was broadened to addressing non-infectious drinking water issues that could impact all Americans, not just private well owners; these issues include drought and chemicals that contaminate both regulated and unregulated drinking water. HSB Clean Water for Health focuses on non-infectious drinking water issues because there are other programs at CDC that deal with infectious drinking water issues. </w:t>
      </w:r>
      <w:r w:rsidR="00A65A96">
        <w:t xml:space="preserve">  </w:t>
      </w:r>
      <w:r w:rsidR="007E6F20">
        <w:t>In addition</w:t>
      </w:r>
      <w:r w:rsidR="001640AD">
        <w:t xml:space="preserve"> to the change in scope</w:t>
      </w:r>
      <w:r w:rsidR="007E6F20">
        <w:t xml:space="preserve">, </w:t>
      </w:r>
      <w:r w:rsidR="002A4BE3">
        <w:t>HSB’s Clean Water for Health Program</w:t>
      </w:r>
      <w:r w:rsidR="007E6F20">
        <w:t xml:space="preserve"> </w:t>
      </w:r>
      <w:r w:rsidR="001640AD">
        <w:t xml:space="preserve">seeks </w:t>
      </w:r>
      <w:r w:rsidR="007E6F20">
        <w:t>to work more closely with state and local health departments</w:t>
      </w:r>
      <w:r w:rsidR="0078342C">
        <w:t>, and therefore want</w:t>
      </w:r>
      <w:r w:rsidR="002A4BE3">
        <w:t>s</w:t>
      </w:r>
      <w:r w:rsidR="0078342C">
        <w:t xml:space="preserve"> to identify specific needs and ways that the program might provide technical assistance to address public health needs. The changes made to the information collection request reflect these programmatic changes</w:t>
      </w:r>
      <w:r w:rsidR="006C10DB">
        <w:t xml:space="preserve">. </w:t>
      </w:r>
    </w:p>
    <w:p w14:paraId="324B8DB1" w14:textId="69DD45C9" w:rsidR="003529ED" w:rsidRDefault="003529ED" w:rsidP="003529ED">
      <w:pPr>
        <w:ind w:left="0"/>
      </w:pPr>
    </w:p>
    <w:p w14:paraId="595662B9" w14:textId="4D8A4495" w:rsidR="00113706" w:rsidRDefault="00113706" w:rsidP="003529ED">
      <w:pPr>
        <w:ind w:left="0"/>
      </w:pPr>
      <w:r>
        <w:t xml:space="preserve">This </w:t>
      </w:r>
      <w:r w:rsidR="00FA6828">
        <w:t xml:space="preserve">current, proposed </w:t>
      </w:r>
      <w:r w:rsidR="003431E2">
        <w:t xml:space="preserve">CSTEDWA </w:t>
      </w:r>
      <w:r>
        <w:t>assessment builds on the work of studies with private well owners</w:t>
      </w:r>
      <w:r w:rsidR="00256C83">
        <w:t>,</w:t>
      </w:r>
      <w:r>
        <w:t xml:space="preserve"> water quality testing, </w:t>
      </w:r>
      <w:r w:rsidR="005C3976">
        <w:t xml:space="preserve">and </w:t>
      </w:r>
      <w:r>
        <w:t>discussions</w:t>
      </w:r>
      <w:r w:rsidR="00E2329F">
        <w:t xml:space="preserve"> with colleagues in the field</w:t>
      </w:r>
      <w:r w:rsidR="005C3976">
        <w:t>, about</w:t>
      </w:r>
      <w:r w:rsidR="00256C83">
        <w:t xml:space="preserve"> </w:t>
      </w:r>
      <w:r>
        <w:t>emerging issues</w:t>
      </w:r>
      <w:r w:rsidR="00256C83">
        <w:t xml:space="preserve">, </w:t>
      </w:r>
      <w:r>
        <w:t xml:space="preserve">lessons </w:t>
      </w:r>
      <w:r w:rsidR="005C3976">
        <w:t>learned,</w:t>
      </w:r>
      <w:r>
        <w:t xml:space="preserve"> </w:t>
      </w:r>
      <w:r w:rsidR="005C3976">
        <w:t>and methodologies</w:t>
      </w:r>
      <w:r>
        <w:t xml:space="preserve"> u</w:t>
      </w:r>
      <w:r w:rsidR="00256C83">
        <w:t>sed</w:t>
      </w:r>
      <w:r>
        <w:t xml:space="preserve"> while working with </w:t>
      </w:r>
      <w:r w:rsidR="00E2329F">
        <w:t>non-infectious drinking water issues</w:t>
      </w:r>
      <w:r>
        <w:t>.  The results of this</w:t>
      </w:r>
      <w:r w:rsidRPr="00C915F3">
        <w:t xml:space="preserve"> </w:t>
      </w:r>
      <w:r>
        <w:t xml:space="preserve">assessment will provide needed data to inform future activities conducted by CDC, CSTE, and </w:t>
      </w:r>
      <w:r w:rsidR="0078342C">
        <w:t xml:space="preserve">state and local drinking water programs </w:t>
      </w:r>
      <w:r>
        <w:t xml:space="preserve">to address </w:t>
      </w:r>
      <w:r w:rsidR="006A271E">
        <w:t>drinking water</w:t>
      </w:r>
      <w:r>
        <w:t xml:space="preserve">-related public health issues through research, innovative methodologies, more effective resource allocation, and policy change. </w:t>
      </w:r>
    </w:p>
    <w:p w14:paraId="789E77A7" w14:textId="77777777" w:rsidR="006A271E" w:rsidRDefault="006A271E" w:rsidP="003529ED">
      <w:pPr>
        <w:ind w:left="0"/>
      </w:pPr>
    </w:p>
    <w:p w14:paraId="48D3ADB8" w14:textId="1C651956" w:rsidR="00692DEB" w:rsidRDefault="006102DA" w:rsidP="00692DEB">
      <w:pPr>
        <w:pStyle w:val="Heading5"/>
        <w:spacing w:after="120"/>
        <w:ind w:left="0"/>
      </w:pPr>
      <w:r w:rsidRPr="00692DEB">
        <w:t xml:space="preserve">Overview of the </w:t>
      </w:r>
      <w:r w:rsidR="007F5776" w:rsidRPr="00692DEB">
        <w:t>Information C</w:t>
      </w:r>
      <w:r w:rsidR="00157413" w:rsidRPr="00692DEB">
        <w:t>ollection</w:t>
      </w:r>
      <w:r w:rsidRPr="00692DEB">
        <w:t xml:space="preserve"> System</w:t>
      </w:r>
      <w:r w:rsidR="00151567" w:rsidRPr="001A28F6">
        <w:t xml:space="preserve"> </w:t>
      </w:r>
    </w:p>
    <w:p w14:paraId="48D3ADB9" w14:textId="4FD96807" w:rsidR="00A07360" w:rsidRDefault="00711477" w:rsidP="00A07360">
      <w:pPr>
        <w:ind w:left="0"/>
        <w:rPr>
          <w:iCs/>
        </w:rPr>
      </w:pPr>
      <w:r>
        <w:t xml:space="preserve">The information </w:t>
      </w:r>
      <w:r w:rsidR="00D168CE">
        <w:t xml:space="preserve">will be collected via </w:t>
      </w:r>
      <w:r w:rsidR="00692DEB" w:rsidRPr="00711BFA">
        <w:t xml:space="preserve">a web-based </w:t>
      </w:r>
      <w:r w:rsidR="000C421B">
        <w:t>assessment</w:t>
      </w:r>
      <w:r w:rsidR="00692DEB" w:rsidRPr="00711BFA">
        <w:t xml:space="preserve"> </w:t>
      </w:r>
      <w:r w:rsidR="00D168CE">
        <w:t xml:space="preserve">that will allow </w:t>
      </w:r>
      <w:r w:rsidR="00692DEB" w:rsidRPr="00711BFA">
        <w:t xml:space="preserve">respondents to complete and submit their responses </w:t>
      </w:r>
      <w:r w:rsidR="00692DEB" w:rsidRPr="00C40A9C">
        <w:t xml:space="preserve">electronically </w:t>
      </w:r>
      <w:r w:rsidR="00692DEB" w:rsidRPr="00543A88">
        <w:t>(</w:t>
      </w:r>
      <w:r w:rsidR="00E647FB" w:rsidRPr="00543A88">
        <w:rPr>
          <w:b/>
        </w:rPr>
        <w:t>see Att</w:t>
      </w:r>
      <w:r w:rsidRPr="00543A88">
        <w:rPr>
          <w:b/>
        </w:rPr>
        <w:t>.</w:t>
      </w:r>
      <w:r w:rsidR="00E647FB" w:rsidRPr="00543A88">
        <w:rPr>
          <w:b/>
        </w:rPr>
        <w:t xml:space="preserve"> </w:t>
      </w:r>
      <w:r w:rsidR="000C421B" w:rsidRPr="00543A88">
        <w:rPr>
          <w:b/>
        </w:rPr>
        <w:t>A</w:t>
      </w:r>
      <w:r w:rsidR="00E647FB" w:rsidRPr="00543A88">
        <w:rPr>
          <w:b/>
        </w:rPr>
        <w:t>—</w:t>
      </w:r>
      <w:r w:rsidR="00692DEB" w:rsidRPr="00543A88">
        <w:rPr>
          <w:b/>
        </w:rPr>
        <w:t xml:space="preserve">Instrument: </w:t>
      </w:r>
      <w:r w:rsidR="00596D6E" w:rsidRPr="00543A88">
        <w:rPr>
          <w:b/>
        </w:rPr>
        <w:t xml:space="preserve">Word </w:t>
      </w:r>
      <w:r w:rsidR="00692DEB" w:rsidRPr="00543A88">
        <w:rPr>
          <w:b/>
        </w:rPr>
        <w:t xml:space="preserve">version </w:t>
      </w:r>
      <w:r w:rsidR="00692DEB" w:rsidRPr="00543A88">
        <w:t xml:space="preserve">and </w:t>
      </w:r>
      <w:r w:rsidR="009B3F46" w:rsidRPr="00543A88">
        <w:rPr>
          <w:b/>
        </w:rPr>
        <w:t>Att</w:t>
      </w:r>
      <w:r w:rsidRPr="00543A88">
        <w:rPr>
          <w:b/>
        </w:rPr>
        <w:t>.</w:t>
      </w:r>
      <w:r w:rsidR="00C915F3" w:rsidRPr="00543A88">
        <w:rPr>
          <w:b/>
        </w:rPr>
        <w:t xml:space="preserve"> B</w:t>
      </w:r>
      <w:r w:rsidR="00E647FB" w:rsidRPr="00543A88">
        <w:rPr>
          <w:b/>
        </w:rPr>
        <w:t>—</w:t>
      </w:r>
      <w:r w:rsidR="00692DEB" w:rsidRPr="00543A88">
        <w:rPr>
          <w:b/>
        </w:rPr>
        <w:t>Instrument: Web version</w:t>
      </w:r>
      <w:r w:rsidR="00692DEB" w:rsidRPr="00543A88">
        <w:t>).</w:t>
      </w:r>
      <w:r w:rsidR="00692DEB" w:rsidRPr="00C40A9C">
        <w:t xml:space="preserve"> T</w:t>
      </w:r>
      <w:r w:rsidR="00692DEB">
        <w:t>he online instrument will be used to</w:t>
      </w:r>
      <w:r w:rsidR="00692DEB" w:rsidRPr="00711BFA">
        <w:t xml:space="preserve"> </w:t>
      </w:r>
      <w:r w:rsidR="00692DEB">
        <w:t>gather information from</w:t>
      </w:r>
      <w:r w:rsidR="004B40B2">
        <w:t xml:space="preserve"> </w:t>
      </w:r>
      <w:r w:rsidR="00596D6E">
        <w:t>state and local epidemiologists</w:t>
      </w:r>
      <w:r w:rsidR="00256C83">
        <w:t>, or their designated experts,</w:t>
      </w:r>
      <w:r w:rsidR="00596D6E">
        <w:t xml:space="preserve"> on</w:t>
      </w:r>
      <w:r w:rsidR="0088135D">
        <w:t xml:space="preserve"> </w:t>
      </w:r>
      <w:r w:rsidR="00394A19">
        <w:t xml:space="preserve">non-infectious drinking water </w:t>
      </w:r>
      <w:r w:rsidR="00394A19">
        <w:lastRenderedPageBreak/>
        <w:t>issues</w:t>
      </w:r>
      <w:r w:rsidR="00692DEB">
        <w:t>.</w:t>
      </w:r>
      <w:r w:rsidR="00692DEB" w:rsidRPr="00711BFA">
        <w:t xml:space="preserve"> This method</w:t>
      </w:r>
      <w:r w:rsidR="00256C83">
        <w:t xml:space="preserve"> provides the most streamlined way to conduct an assessment and</w:t>
      </w:r>
      <w:r w:rsidR="00692DEB" w:rsidRPr="00711BFA">
        <w:t xml:space="preserve"> was</w:t>
      </w:r>
      <w:r w:rsidR="00256C83">
        <w:t xml:space="preserve"> thus</w:t>
      </w:r>
      <w:r w:rsidR="00692DEB" w:rsidRPr="00711BFA">
        <w:t xml:space="preserve"> chosen to reduce the overall burden on respondents. </w:t>
      </w:r>
      <w:r w:rsidR="00A07360">
        <w:t>CSTE will collect and store the data on a secure server only accessible to CSTE staff.  The de-</w:t>
      </w:r>
      <w:r w:rsidR="00A07360" w:rsidRPr="00A07360">
        <w:t xml:space="preserve">identified </w:t>
      </w:r>
      <w:r w:rsidR="00A07360" w:rsidRPr="00A07360">
        <w:rPr>
          <w:iCs/>
        </w:rPr>
        <w:t>summary results will be shared with CDC staff via an Excel file</w:t>
      </w:r>
      <w:r w:rsidR="00DA3A17">
        <w:rPr>
          <w:iCs/>
        </w:rPr>
        <w:t>.</w:t>
      </w:r>
    </w:p>
    <w:p w14:paraId="280FE16A" w14:textId="77777777" w:rsidR="003529ED" w:rsidRPr="00A07360" w:rsidRDefault="003529ED" w:rsidP="00A07360">
      <w:pPr>
        <w:ind w:left="0"/>
        <w:rPr>
          <w:b/>
          <w:i/>
          <w:iCs/>
        </w:rPr>
      </w:pPr>
    </w:p>
    <w:p w14:paraId="48D3ADBB" w14:textId="3AAD8C0C" w:rsidR="00692DEB" w:rsidRPr="00711BFA" w:rsidRDefault="00692DEB" w:rsidP="00692DEB">
      <w:pPr>
        <w:ind w:left="0"/>
      </w:pPr>
      <w:r w:rsidRPr="00577097">
        <w:t xml:space="preserve">The information collection instrument was pilot tested by </w:t>
      </w:r>
      <w:r w:rsidR="005F47C6" w:rsidRPr="00577097">
        <w:t>four</w:t>
      </w:r>
      <w:r w:rsidR="000855C1" w:rsidRPr="00577097">
        <w:t xml:space="preserve"> </w:t>
      </w:r>
      <w:r w:rsidR="0078342C">
        <w:t xml:space="preserve">state </w:t>
      </w:r>
      <w:r w:rsidRPr="00577097">
        <w:t>public health professionals. Feedback from this group was used to refine questions as needed, ensure accurate programming and skip patterns and establish the estimated time required to complete the information collection instrument.</w:t>
      </w:r>
    </w:p>
    <w:p w14:paraId="026F4829" w14:textId="77777777" w:rsidR="005C2FAE" w:rsidRPr="003C7939" w:rsidRDefault="005C2FAE" w:rsidP="00FF17C1">
      <w:pPr>
        <w:ind w:left="0"/>
      </w:pPr>
    </w:p>
    <w:p w14:paraId="7E241BB8" w14:textId="71EBB16C" w:rsidR="00187432" w:rsidRDefault="00692DEB" w:rsidP="00546001">
      <w:pPr>
        <w:pStyle w:val="Heading5"/>
        <w:spacing w:after="120"/>
        <w:ind w:left="0"/>
      </w:pPr>
      <w:r w:rsidRPr="00162CE4">
        <w:t>Items of Information to be Collected</w:t>
      </w:r>
    </w:p>
    <w:p w14:paraId="48D3ADC5" w14:textId="5586BB8C" w:rsidR="00692DEB" w:rsidRDefault="00187432" w:rsidP="00546001">
      <w:pPr>
        <w:ind w:left="0"/>
      </w:pPr>
      <w:r>
        <w:t xml:space="preserve">The web-based data collection instrument has 22 questions. The purposes of the instrument are to a). </w:t>
      </w:r>
      <w:r w:rsidR="008C34B6">
        <w:t>Identify</w:t>
      </w:r>
      <w:r>
        <w:t xml:space="preserve"> priority non-infectious issues impacting drinking water; b). </w:t>
      </w:r>
      <w:r w:rsidR="008C34B6">
        <w:t>State</w:t>
      </w:r>
      <w:r>
        <w:t xml:space="preserve"> and local epidemiologists’ technical assistance needs; and c). </w:t>
      </w:r>
      <w:r w:rsidR="008C34B6">
        <w:t>How</w:t>
      </w:r>
      <w:r>
        <w:t xml:space="preserve"> the HSB can best provide technical assistance and support.  Instrument q</w:t>
      </w:r>
      <w:r w:rsidRPr="00AA349F">
        <w:t>uestions</w:t>
      </w:r>
      <w:r>
        <w:t xml:space="preserve"> include </w:t>
      </w:r>
      <w:r w:rsidRPr="00AA349F">
        <w:t>various types, including dichotomous (yes/no), multiple response, an</w:t>
      </w:r>
      <w:r w:rsidRPr="00546001">
        <w:rPr>
          <w:rFonts w:eastAsiaTheme="majorEastAsia" w:cstheme="majorBidi"/>
        </w:rPr>
        <w:t>d 4 that are open-ended. An effort was made to limit questions requiring narrative respo</w:t>
      </w:r>
      <w:r w:rsidRPr="00AA349F">
        <w:t xml:space="preserve">nses from respondents whenever possible.  However, it is not always possible to predict the issues and responses that might be identified by government officials with responsibilities to address drinking water-related public health issues. </w:t>
      </w:r>
      <w:r>
        <w:t xml:space="preserve">Additional details regarding specific questions are included in the table below. </w:t>
      </w:r>
    </w:p>
    <w:p w14:paraId="2A1C3D39" w14:textId="77777777" w:rsidR="00546001" w:rsidRPr="00AA349F" w:rsidRDefault="00546001" w:rsidP="00692DEB">
      <w:pPr>
        <w:pStyle w:val="ListParagraph"/>
        <w:rPr>
          <w:lang w:eastAsia="zh-CN"/>
        </w:rPr>
      </w:pPr>
    </w:p>
    <w:tbl>
      <w:tblPr>
        <w:tblStyle w:val="TableGrid"/>
        <w:tblW w:w="5000" w:type="pct"/>
        <w:tblLook w:val="04A0" w:firstRow="1" w:lastRow="0" w:firstColumn="1" w:lastColumn="0" w:noHBand="0" w:noVBand="1"/>
      </w:tblPr>
      <w:tblGrid>
        <w:gridCol w:w="2332"/>
        <w:gridCol w:w="1376"/>
        <w:gridCol w:w="5642"/>
      </w:tblGrid>
      <w:tr w:rsidR="00360891" w:rsidRPr="00AA349F" w14:paraId="48D3ADC9" w14:textId="77777777" w:rsidTr="00B54C88">
        <w:trPr>
          <w:cantSplit/>
          <w:tblHeader/>
        </w:trPr>
        <w:tc>
          <w:tcPr>
            <w:tcW w:w="1247" w:type="pct"/>
            <w:vAlign w:val="center"/>
          </w:tcPr>
          <w:p w14:paraId="48D3ADC6" w14:textId="77777777" w:rsidR="00360891" w:rsidRPr="00AA349F" w:rsidRDefault="00360891" w:rsidP="00EA7870">
            <w:pPr>
              <w:pStyle w:val="ListParagraph"/>
              <w:ind w:left="0"/>
              <w:rPr>
                <w:b/>
                <w:lang w:eastAsia="zh-CN"/>
              </w:rPr>
            </w:pPr>
            <w:r w:rsidRPr="00AA349F">
              <w:rPr>
                <w:b/>
                <w:lang w:eastAsia="zh-CN"/>
              </w:rPr>
              <w:t>Information Collected</w:t>
            </w:r>
          </w:p>
        </w:tc>
        <w:tc>
          <w:tcPr>
            <w:tcW w:w="736" w:type="pct"/>
            <w:vAlign w:val="center"/>
          </w:tcPr>
          <w:p w14:paraId="48D3ADC7" w14:textId="77777777" w:rsidR="00360891" w:rsidRPr="00AA349F" w:rsidRDefault="0046061E" w:rsidP="0046061E">
            <w:pPr>
              <w:pStyle w:val="ListParagraph"/>
              <w:ind w:left="42"/>
              <w:rPr>
                <w:b/>
                <w:lang w:eastAsia="zh-CN"/>
              </w:rPr>
            </w:pPr>
            <w:r w:rsidRPr="00AA349F">
              <w:rPr>
                <w:b/>
                <w:lang w:eastAsia="zh-CN"/>
              </w:rPr>
              <w:t>Number</w:t>
            </w:r>
            <w:r w:rsidR="00360891" w:rsidRPr="00AA349F">
              <w:rPr>
                <w:b/>
                <w:lang w:eastAsia="zh-CN"/>
              </w:rPr>
              <w:t xml:space="preserve"> of questions of this type</w:t>
            </w:r>
          </w:p>
        </w:tc>
        <w:tc>
          <w:tcPr>
            <w:tcW w:w="3017" w:type="pct"/>
            <w:vAlign w:val="center"/>
          </w:tcPr>
          <w:p w14:paraId="48D3ADC8" w14:textId="77777777" w:rsidR="00360891" w:rsidRPr="00AA349F" w:rsidRDefault="00360891" w:rsidP="0046061E">
            <w:pPr>
              <w:pStyle w:val="ListParagraph"/>
              <w:ind w:left="42"/>
              <w:rPr>
                <w:b/>
                <w:lang w:eastAsia="zh-CN"/>
              </w:rPr>
            </w:pPr>
            <w:r w:rsidRPr="00AA349F">
              <w:rPr>
                <w:b/>
                <w:lang w:eastAsia="zh-CN"/>
              </w:rPr>
              <w:t>Purpose</w:t>
            </w:r>
          </w:p>
        </w:tc>
      </w:tr>
      <w:tr w:rsidR="00141155" w:rsidRPr="00AA349F" w14:paraId="48D3ADCD" w14:textId="77777777" w:rsidTr="00B54C88">
        <w:trPr>
          <w:cantSplit/>
        </w:trPr>
        <w:tc>
          <w:tcPr>
            <w:tcW w:w="1247" w:type="pct"/>
            <w:vAlign w:val="center"/>
          </w:tcPr>
          <w:p w14:paraId="48D3ADCA" w14:textId="77777777" w:rsidR="00141155" w:rsidRPr="00AA349F" w:rsidRDefault="00141155" w:rsidP="00EA7870">
            <w:pPr>
              <w:pStyle w:val="ListParagraph"/>
              <w:ind w:left="0"/>
            </w:pPr>
            <w:r w:rsidRPr="00AA349F">
              <w:t>Respondent Information</w:t>
            </w:r>
          </w:p>
        </w:tc>
        <w:tc>
          <w:tcPr>
            <w:tcW w:w="736" w:type="pct"/>
            <w:vAlign w:val="center"/>
          </w:tcPr>
          <w:p w14:paraId="48D3ADCB" w14:textId="77777777" w:rsidR="00141155" w:rsidRPr="00AA349F" w:rsidRDefault="00141155" w:rsidP="0046061E">
            <w:pPr>
              <w:ind w:left="0"/>
            </w:pPr>
            <w:r w:rsidRPr="00AA349F">
              <w:t>1</w:t>
            </w:r>
          </w:p>
        </w:tc>
        <w:tc>
          <w:tcPr>
            <w:tcW w:w="3017" w:type="pct"/>
            <w:vAlign w:val="center"/>
          </w:tcPr>
          <w:p w14:paraId="48D3ADCC" w14:textId="7159C944" w:rsidR="00141155" w:rsidRPr="00AA349F" w:rsidRDefault="00E6335A" w:rsidP="00E6335A">
            <w:pPr>
              <w:ind w:left="0"/>
            </w:pPr>
            <w:r>
              <w:t>To collect</w:t>
            </w:r>
            <w:r w:rsidR="00141155" w:rsidRPr="00AA349F">
              <w:t xml:space="preserve"> respondent’s professional contact information</w:t>
            </w:r>
            <w:r>
              <w:t>.</w:t>
            </w:r>
            <w:r w:rsidR="00141155" w:rsidRPr="00AA349F">
              <w:t xml:space="preserve"> </w:t>
            </w:r>
            <w:r>
              <w:t>T</w:t>
            </w:r>
            <w:r w:rsidR="00141155" w:rsidRPr="00AA349F">
              <w:t xml:space="preserve">his information will be removed </w:t>
            </w:r>
            <w:r w:rsidR="00942C4E" w:rsidRPr="00AA349F">
              <w:t>when the results are analyzed</w:t>
            </w:r>
            <w:r>
              <w:t>, stored securely,</w:t>
            </w:r>
            <w:r w:rsidR="00942C4E" w:rsidRPr="00AA349F">
              <w:t xml:space="preserve"> and will not be shared.</w:t>
            </w:r>
          </w:p>
        </w:tc>
      </w:tr>
      <w:tr w:rsidR="00F13852" w:rsidRPr="00AA349F" w14:paraId="57EF6D72" w14:textId="77777777" w:rsidTr="00B54C88">
        <w:trPr>
          <w:cantSplit/>
        </w:trPr>
        <w:tc>
          <w:tcPr>
            <w:tcW w:w="1247" w:type="pct"/>
            <w:vAlign w:val="center"/>
          </w:tcPr>
          <w:p w14:paraId="63D673E9" w14:textId="3669F4B6" w:rsidR="00F13852" w:rsidRDefault="00F13852" w:rsidP="00DE4BCB">
            <w:pPr>
              <w:pStyle w:val="ListParagraph"/>
              <w:ind w:left="0"/>
              <w:rPr>
                <w:highlight w:val="yellow"/>
              </w:rPr>
            </w:pPr>
            <w:r>
              <w:t xml:space="preserve">Priority non-infectious issues impacting drinking water  (e.g., </w:t>
            </w:r>
            <w:r w:rsidR="006205CB">
              <w:t>existing</w:t>
            </w:r>
            <w:r>
              <w:t xml:space="preserve"> and future issues and concerns, contaminants)</w:t>
            </w:r>
          </w:p>
        </w:tc>
        <w:tc>
          <w:tcPr>
            <w:tcW w:w="736" w:type="pct"/>
            <w:vAlign w:val="center"/>
          </w:tcPr>
          <w:p w14:paraId="3529A2A3" w14:textId="4EF50D7C" w:rsidR="00F13852" w:rsidRPr="00546001" w:rsidRDefault="00F13852" w:rsidP="0046061E">
            <w:pPr>
              <w:ind w:left="0"/>
            </w:pPr>
            <w:r w:rsidRPr="00546001">
              <w:t>17</w:t>
            </w:r>
          </w:p>
        </w:tc>
        <w:tc>
          <w:tcPr>
            <w:tcW w:w="3017" w:type="pct"/>
            <w:vAlign w:val="center"/>
          </w:tcPr>
          <w:p w14:paraId="19511DC2" w14:textId="352C3494" w:rsidR="00F13852" w:rsidRPr="00546001" w:rsidRDefault="00123BDF" w:rsidP="00DE4BCB">
            <w:pPr>
              <w:ind w:left="0"/>
            </w:pPr>
            <w:r w:rsidRPr="00546001">
              <w:t xml:space="preserve">Questions </w:t>
            </w:r>
            <w:r w:rsidR="00F03A84" w:rsidRPr="00546001">
              <w:t>identify</w:t>
            </w:r>
            <w:r w:rsidRPr="00546001">
              <w:t xml:space="preserve"> priority, non-infectious issues impacting drinking water including </w:t>
            </w:r>
            <w:r w:rsidR="006205CB" w:rsidRPr="00546001">
              <w:t>existing</w:t>
            </w:r>
            <w:r w:rsidRPr="00546001">
              <w:t xml:space="preserve"> and future private well issues and concerns, </w:t>
            </w:r>
            <w:r w:rsidR="00DE4BCB" w:rsidRPr="00546001">
              <w:t xml:space="preserve">unregulated </w:t>
            </w:r>
            <w:r w:rsidRPr="00546001">
              <w:t>contaminants</w:t>
            </w:r>
            <w:r w:rsidR="00DE4BCB" w:rsidRPr="00546001">
              <w:t xml:space="preserve"> that can impact all drinking water sources</w:t>
            </w:r>
            <w:r w:rsidRPr="00546001">
              <w:t xml:space="preserve">, </w:t>
            </w:r>
            <w:r w:rsidR="00DE4BCB" w:rsidRPr="00546001">
              <w:t xml:space="preserve">and </w:t>
            </w:r>
            <w:r w:rsidRPr="00546001">
              <w:t>private well program</w:t>
            </w:r>
            <w:r w:rsidR="00DE4BCB" w:rsidRPr="00546001">
              <w:t xml:space="preserve"> and policy</w:t>
            </w:r>
            <w:r w:rsidRPr="00546001">
              <w:t xml:space="preserve"> information</w:t>
            </w:r>
            <w:r w:rsidR="00DE4BCB" w:rsidRPr="00546001">
              <w:t>.</w:t>
            </w:r>
            <w:r w:rsidRPr="00546001">
              <w:t xml:space="preserve"> </w:t>
            </w:r>
          </w:p>
        </w:tc>
      </w:tr>
      <w:tr w:rsidR="00360891" w:rsidRPr="00AA349F" w14:paraId="48D3ADE1" w14:textId="77777777" w:rsidTr="00B54C88">
        <w:trPr>
          <w:cantSplit/>
        </w:trPr>
        <w:tc>
          <w:tcPr>
            <w:tcW w:w="1247" w:type="pct"/>
            <w:vAlign w:val="center"/>
          </w:tcPr>
          <w:p w14:paraId="48D3ADDE" w14:textId="7907B4BC" w:rsidR="00360891" w:rsidRPr="00AA349F" w:rsidRDefault="002002C5" w:rsidP="00BA0A9C">
            <w:pPr>
              <w:ind w:left="0"/>
              <w:rPr>
                <w:lang w:eastAsia="zh-CN"/>
              </w:rPr>
            </w:pPr>
            <w:r w:rsidRPr="00AA349F">
              <w:t>Technical assistance</w:t>
            </w:r>
          </w:p>
        </w:tc>
        <w:tc>
          <w:tcPr>
            <w:tcW w:w="736" w:type="pct"/>
            <w:vAlign w:val="center"/>
          </w:tcPr>
          <w:p w14:paraId="48D3ADDF" w14:textId="247D0500" w:rsidR="00360891" w:rsidRPr="00AA349F" w:rsidRDefault="00F05E05" w:rsidP="00F05E05">
            <w:pPr>
              <w:ind w:left="0"/>
            </w:pPr>
            <w:r w:rsidRPr="00AA349F">
              <w:t>2</w:t>
            </w:r>
          </w:p>
        </w:tc>
        <w:tc>
          <w:tcPr>
            <w:tcW w:w="3017" w:type="pct"/>
            <w:vAlign w:val="center"/>
          </w:tcPr>
          <w:p w14:paraId="48D3ADE0" w14:textId="4E6137C0" w:rsidR="00360891" w:rsidRPr="00AA349F" w:rsidRDefault="002D06E2" w:rsidP="0046061E">
            <w:pPr>
              <w:ind w:left="0"/>
            </w:pPr>
            <w:r w:rsidRPr="00AA349F">
              <w:t>Identifies specific ways that HSB can provide technical assistance to states to address priority drinking water issues.</w:t>
            </w:r>
          </w:p>
        </w:tc>
      </w:tr>
      <w:tr w:rsidR="00360891" w:rsidRPr="00DA3A17" w14:paraId="48D3ADE5" w14:textId="77777777" w:rsidTr="00B54C88">
        <w:trPr>
          <w:cantSplit/>
        </w:trPr>
        <w:tc>
          <w:tcPr>
            <w:tcW w:w="1247" w:type="pct"/>
            <w:vAlign w:val="center"/>
          </w:tcPr>
          <w:p w14:paraId="48D3ADE2" w14:textId="502B8DA1" w:rsidR="00360891" w:rsidRPr="00AA349F" w:rsidRDefault="00360891" w:rsidP="00F05E05">
            <w:pPr>
              <w:ind w:left="0"/>
            </w:pPr>
            <w:r w:rsidRPr="00AA349F">
              <w:t xml:space="preserve">Additional </w:t>
            </w:r>
            <w:r w:rsidR="00F05E05" w:rsidRPr="00AA349F">
              <w:t>information</w:t>
            </w:r>
          </w:p>
        </w:tc>
        <w:tc>
          <w:tcPr>
            <w:tcW w:w="736" w:type="pct"/>
            <w:vAlign w:val="center"/>
          </w:tcPr>
          <w:p w14:paraId="48D3ADE3" w14:textId="7728F68B" w:rsidR="00360891" w:rsidRPr="00AA349F" w:rsidRDefault="00F05E05" w:rsidP="0046061E">
            <w:pPr>
              <w:ind w:left="0"/>
            </w:pPr>
            <w:r w:rsidRPr="00AA349F">
              <w:t>2</w:t>
            </w:r>
          </w:p>
        </w:tc>
        <w:tc>
          <w:tcPr>
            <w:tcW w:w="3017" w:type="pct"/>
            <w:vAlign w:val="center"/>
          </w:tcPr>
          <w:p w14:paraId="48D3ADE4" w14:textId="7B1273AF" w:rsidR="00360891" w:rsidRPr="00360891" w:rsidRDefault="000B4083" w:rsidP="000B4083">
            <w:pPr>
              <w:ind w:left="0"/>
            </w:pPr>
            <w:r w:rsidRPr="00AA349F">
              <w:t xml:space="preserve">Includes </w:t>
            </w:r>
            <w:r w:rsidR="00F05E05" w:rsidRPr="00AA349F">
              <w:t xml:space="preserve">information on any documented clusters of illness associated with drinking water from private wells </w:t>
            </w:r>
            <w:r w:rsidR="00360891" w:rsidRPr="00AA349F">
              <w:t xml:space="preserve">any other comments regarding emerging private well issues that </w:t>
            </w:r>
            <w:r w:rsidRPr="00AA349F">
              <w:t>respondents</w:t>
            </w:r>
            <w:r w:rsidR="00360891" w:rsidRPr="00AA349F">
              <w:t xml:space="preserve"> </w:t>
            </w:r>
            <w:r w:rsidRPr="00AA349F">
              <w:t>want</w:t>
            </w:r>
            <w:r w:rsidR="0046061E" w:rsidRPr="00AA349F">
              <w:t xml:space="preserve"> to share.</w:t>
            </w:r>
            <w:r w:rsidR="0046061E">
              <w:t xml:space="preserve">  </w:t>
            </w:r>
          </w:p>
        </w:tc>
      </w:tr>
    </w:tbl>
    <w:p w14:paraId="48D3ADE6" w14:textId="77777777" w:rsidR="00DA3A17" w:rsidRDefault="00DA3A17" w:rsidP="00FF17C1">
      <w:pPr>
        <w:ind w:left="0"/>
        <w:rPr>
          <w:lang w:eastAsia="zh-CN"/>
        </w:rPr>
      </w:pPr>
    </w:p>
    <w:p w14:paraId="41BA4DD7" w14:textId="7135ADFA" w:rsidR="00187432" w:rsidRDefault="00187432" w:rsidP="00187432">
      <w:pPr>
        <w:ind w:left="0"/>
      </w:pPr>
      <w:r>
        <w:lastRenderedPageBreak/>
        <w:t>Although similar, this instrument is different than the instrument approved within th</w:t>
      </w:r>
      <w:r w:rsidR="00E6335A">
        <w:t xml:space="preserve">e PWCSTE information collection. The purpose has been adapted to better meet </w:t>
      </w:r>
      <w:r w:rsidR="00DE4BCB">
        <w:t>HSB’s Clean Water for Health Program</w:t>
      </w:r>
      <w:r w:rsidR="00E6335A">
        <w:t xml:space="preserve"> needs and as a result, the number of and type of questions have been adjusted. </w:t>
      </w:r>
    </w:p>
    <w:p w14:paraId="6665CEA6" w14:textId="2911C76C" w:rsidR="00187432" w:rsidRDefault="00187432" w:rsidP="00FF17C1">
      <w:pPr>
        <w:ind w:left="0"/>
        <w:rPr>
          <w:lang w:eastAsia="zh-CN"/>
        </w:rPr>
      </w:pPr>
    </w:p>
    <w:p w14:paraId="0D5A5FEC" w14:textId="5E3E5E05" w:rsidR="00FF2E80" w:rsidRDefault="00B12F51" w:rsidP="00FF2E80">
      <w:pPr>
        <w:pStyle w:val="Heading4"/>
      </w:pPr>
      <w:bookmarkStart w:id="10" w:name="_Toc437419314"/>
      <w:r w:rsidRPr="006A2ABB">
        <w:t>Purpose and Use of the Information Collection</w:t>
      </w:r>
      <w:bookmarkEnd w:id="10"/>
    </w:p>
    <w:p w14:paraId="25DA8EE9" w14:textId="79EE364A" w:rsidR="00607DD8" w:rsidRDefault="00FF2E80" w:rsidP="00607DD8">
      <w:pPr>
        <w:ind w:left="0"/>
      </w:pPr>
      <w:r>
        <w:t xml:space="preserve">The purpose of this information collection request is to identify priority non-infectious issues impacting drinking water, state and local epidemiologists’ technical assistance needs, and identify how HSB can best provide technical assistance and support in addressing these needs. This information collection is aligned to the PWCSTE GenIC information collection that was approved in May 2015. The purpose of PWCSTE was to gather feedback on gaps in knowledge or practice, tools and resources needed to address gaps, and identify policy information regarding private wells. Data were never collected for this GenIC. </w:t>
      </w:r>
      <w:r w:rsidRPr="00FF2E80">
        <w:t xml:space="preserve">Although similar to, this collection is different from the PWCSTE GenIC that was approved in May 2015. After gaining approval, investigators’ reassessed the purpose and need of the PWCSTE data collection and decided not to collect data. </w:t>
      </w:r>
      <w:r w:rsidR="003431E2">
        <w:t xml:space="preserve">Data were not collected, as the scope of the HSB Clean Water for Health Program </w:t>
      </w:r>
      <w:r w:rsidR="003431E2" w:rsidRPr="002F2694">
        <w:t>expanded from</w:t>
      </w:r>
      <w:r w:rsidR="003431E2">
        <w:t xml:space="preserve"> a focus on</w:t>
      </w:r>
      <w:r w:rsidR="003431E2" w:rsidRPr="002F2694">
        <w:t xml:space="preserve"> private well issues to</w:t>
      </w:r>
      <w:r w:rsidR="003431E2">
        <w:t xml:space="preserve"> a more broad focus on </w:t>
      </w:r>
      <w:r w:rsidR="003431E2" w:rsidRPr="002F2694">
        <w:t xml:space="preserve">non-infectious drinking water issues. </w:t>
      </w:r>
      <w:r w:rsidR="003431E2">
        <w:t xml:space="preserve"> Specifically, the new focus of the HSB Clean Water for Health Program was broadened to addressing non-infectious drinking water issues that could impact all Americans, not just private well owners; these issues include drought and chemicals that contaminate both regulated and unregulated drinking water. HSB Clean Water for Health focuses on non-infectious drinking water issues because there are other programs at CDC that deal with infectious drinking water issues. </w:t>
      </w:r>
      <w:r w:rsidR="00A65A96">
        <w:t xml:space="preserve">  </w:t>
      </w:r>
      <w:r w:rsidR="00607DD8">
        <w:t xml:space="preserve">In addition to the change in scope, HSB’s Clean Water for Health Program seeks to work more closely with state and local health departments, and therefore wants to identify specific needs and ways that the program might provide technical assistance to address public health needs. The changes made to the information collection request reflect these programmatic changes. </w:t>
      </w:r>
    </w:p>
    <w:p w14:paraId="408A0ADD" w14:textId="053CB532" w:rsidR="00FF2E80" w:rsidRDefault="00FF2E80" w:rsidP="00FF2E80">
      <w:pPr>
        <w:ind w:left="0"/>
      </w:pPr>
    </w:p>
    <w:p w14:paraId="1487CF43" w14:textId="721B0A87" w:rsidR="00FF2E80" w:rsidRDefault="00FF2E80" w:rsidP="00FF2E80">
      <w:pPr>
        <w:ind w:left="0"/>
      </w:pPr>
      <w:r>
        <w:t>This assessment builds on the work of studies with private well owners, water quality testing, and discussions with colleagues in the field, about emerging issues, lessons learned, and methodologies used while working with non-infectious drinking water issues.  The results of this assessment will provide needed data to inform future activities conducted by CDC, CSTE, and state and local drinking water programs to address drinking water-related public health issues through research, innovative methodologies, more effective resource allocation, and policy change.</w:t>
      </w:r>
    </w:p>
    <w:p w14:paraId="48D3ADED" w14:textId="37A8E98B" w:rsidR="004D7DCA" w:rsidRDefault="004D7DCA" w:rsidP="007D542E">
      <w:pPr>
        <w:ind w:left="0"/>
      </w:pPr>
    </w:p>
    <w:p w14:paraId="48D3ADF2" w14:textId="77777777" w:rsidR="00B47055" w:rsidRPr="006A2ABB" w:rsidRDefault="00B47055" w:rsidP="00692DEB">
      <w:pPr>
        <w:pStyle w:val="Heading4"/>
      </w:pPr>
      <w:bookmarkStart w:id="11" w:name="_Toc437419315"/>
      <w:r w:rsidRPr="006A2ABB">
        <w:t>Use of Improved Information Technology and Burden Reduction</w:t>
      </w:r>
      <w:bookmarkEnd w:id="11"/>
    </w:p>
    <w:p w14:paraId="48D3ADF4" w14:textId="7D5CDAD2" w:rsidR="00E8736B" w:rsidRDefault="00692DEB" w:rsidP="00546001">
      <w:pPr>
        <w:ind w:left="0"/>
      </w:pPr>
      <w:r w:rsidRPr="00711BFA">
        <w:t xml:space="preserve">Data will be collected via a web-based questionnaire allowing respondents to complete and submit their responses electronically. This method was chosen to reduce the overall burden on respondents. </w:t>
      </w:r>
      <w:r w:rsidRPr="006F0460">
        <w:t xml:space="preserve">The information collection instrument </w:t>
      </w:r>
      <w:r w:rsidRPr="00711BFA">
        <w:t xml:space="preserve">was designed to collect the minimum information necessary for the purposes of this project (i.e., limited to </w:t>
      </w:r>
      <w:r w:rsidR="00E2329F">
        <w:t>22</w:t>
      </w:r>
      <w:r w:rsidR="00232D6B">
        <w:t xml:space="preserve"> </w:t>
      </w:r>
      <w:r w:rsidRPr="00711BFA">
        <w:t>questions).</w:t>
      </w:r>
    </w:p>
    <w:p w14:paraId="2A998D02" w14:textId="77777777" w:rsidR="00FF17C1" w:rsidRDefault="00FF17C1" w:rsidP="007D6163">
      <w:pPr>
        <w:pStyle w:val="ListParagraph"/>
      </w:pPr>
    </w:p>
    <w:p w14:paraId="48D3ADF5" w14:textId="77777777" w:rsidR="00B47055" w:rsidRPr="00AB49A7" w:rsidRDefault="00B47055" w:rsidP="00692DEB">
      <w:pPr>
        <w:pStyle w:val="Heading4"/>
      </w:pPr>
      <w:bookmarkStart w:id="12" w:name="_Toc437419316"/>
      <w:r w:rsidRPr="00AB49A7">
        <w:t>Efforts to Identify Duplication and Use of Similar Information</w:t>
      </w:r>
      <w:bookmarkEnd w:id="12"/>
    </w:p>
    <w:p w14:paraId="2F51F23B" w14:textId="61852CCA" w:rsidR="00CD051D" w:rsidRDefault="00FF6D7C" w:rsidP="00C620B9">
      <w:pPr>
        <w:ind w:left="0"/>
      </w:pPr>
      <w:r>
        <w:t xml:space="preserve">Prior to conducting any data collection, CDC/NCEH reviewed existing published and unpublished literature, which determined that the planned data collection efforts do not duplicate any other </w:t>
      </w:r>
      <w:r>
        <w:lastRenderedPageBreak/>
        <w:t xml:space="preserve">current or previous data collection efforts. </w:t>
      </w:r>
      <w:r w:rsidR="00FF0949">
        <w:t>Some assessments have been conducted to determine the knowledge, attitudes, and practices associated with private well owners and testing.</w:t>
      </w:r>
      <w:r w:rsidR="00FF0949">
        <w:rPr>
          <w:vertAlign w:val="superscript"/>
        </w:rPr>
        <w:t>4-9</w:t>
      </w:r>
      <w:r w:rsidR="00FF0949">
        <w:t xml:space="preserve"> Other assessments have focused on analyzing the quality of well water for a risk that has already been identified.</w:t>
      </w:r>
      <w:r w:rsidR="00FF0949" w:rsidRPr="002563C7">
        <w:rPr>
          <w:vertAlign w:val="superscript"/>
        </w:rPr>
        <w:t>10-13</w:t>
      </w:r>
      <w:r w:rsidR="00FF0949">
        <w:t xml:space="preserve"> </w:t>
      </w:r>
      <w:r w:rsidR="00CD051D">
        <w:t>Other recent data collections conducted through NCEH focused on culling best practices from educational campaigns for private well owners (</w:t>
      </w:r>
      <w:r w:rsidR="00C620B9" w:rsidRPr="00554FC6">
        <w:rPr>
          <w:i/>
        </w:rPr>
        <w:t>Effective Educational Campaigns for Private Well Owners</w:t>
      </w:r>
      <w:r w:rsidR="00C620B9">
        <w:rPr>
          <w:i/>
        </w:rPr>
        <w:t xml:space="preserve">, </w:t>
      </w:r>
      <w:r w:rsidR="00C620B9">
        <w:t>OMB 0920-0879, approved 5/29/14</w:t>
      </w:r>
      <w:r w:rsidR="00CD051D">
        <w:t xml:space="preserve"> and </w:t>
      </w:r>
      <w:r w:rsidR="00113706" w:rsidRPr="00113706">
        <w:rPr>
          <w:i/>
        </w:rPr>
        <w:t>Interventions to Prevent Exposure to Contaminants in Drinking Water</w:t>
      </w:r>
      <w:r w:rsidR="00113706" w:rsidRPr="00113706">
        <w:t xml:space="preserve">, </w:t>
      </w:r>
      <w:r w:rsidR="00113706">
        <w:t xml:space="preserve">OMB 0920-0879, </w:t>
      </w:r>
      <w:r w:rsidR="00187C8A">
        <w:t>currently undergoing OMB approval</w:t>
      </w:r>
      <w:r w:rsidR="00C620B9">
        <w:t>)</w:t>
      </w:r>
      <w:r w:rsidR="00CD051D">
        <w:t>.</w:t>
      </w:r>
    </w:p>
    <w:p w14:paraId="403D2435" w14:textId="75C68A7C" w:rsidR="00C620B9" w:rsidRPr="00C96DD1" w:rsidRDefault="00C620B9" w:rsidP="00C620B9">
      <w:pPr>
        <w:ind w:left="0"/>
      </w:pPr>
      <w:r>
        <w:t xml:space="preserve"> </w:t>
      </w:r>
    </w:p>
    <w:p w14:paraId="48D3ADF6" w14:textId="6D12A106" w:rsidR="00FF0949" w:rsidRPr="00D26A64" w:rsidRDefault="00113706" w:rsidP="00FF0949">
      <w:pPr>
        <w:ind w:left="0"/>
      </w:pPr>
      <w:r>
        <w:t>This is a new data collection effort, for which data do not exist elsewhere. F</w:t>
      </w:r>
      <w:r w:rsidR="00FF0949">
        <w:t xml:space="preserve">ew have been in the strategic position to </w:t>
      </w:r>
      <w:r w:rsidR="00E83390">
        <w:t xml:space="preserve">easily </w:t>
      </w:r>
      <w:r w:rsidR="00FF0949">
        <w:t>ask</w:t>
      </w:r>
      <w:r w:rsidR="002D08EC">
        <w:t xml:space="preserve"> a group of</w:t>
      </w:r>
      <w:r w:rsidR="00FF0949">
        <w:t xml:space="preserve"> </w:t>
      </w:r>
      <w:r w:rsidR="00FB2993">
        <w:t>state and local epidemiologists</w:t>
      </w:r>
      <w:r w:rsidR="00FF0949">
        <w:t xml:space="preserve"> what they perceive are </w:t>
      </w:r>
      <w:r w:rsidR="002002C5">
        <w:t xml:space="preserve">priority </w:t>
      </w:r>
      <w:r w:rsidR="00FF0949">
        <w:t xml:space="preserve">issues in an effort to be proactive and </w:t>
      </w:r>
      <w:r w:rsidR="002002C5">
        <w:t>develop a program to best address state</w:t>
      </w:r>
      <w:r w:rsidR="00A544AF">
        <w:t xml:space="preserve"> and local</w:t>
      </w:r>
      <w:r w:rsidR="002002C5">
        <w:t xml:space="preserve"> needs. </w:t>
      </w:r>
      <w:r w:rsidR="00FF0949">
        <w:t>The membership of CSTE</w:t>
      </w:r>
      <w:r w:rsidR="00596D6E">
        <w:t xml:space="preserve"> (state and local epidemiologists)</w:t>
      </w:r>
      <w:r w:rsidR="00FF0949">
        <w:t xml:space="preserve"> provides a forum where</w:t>
      </w:r>
      <w:r w:rsidR="00571792" w:rsidRPr="00C915F3">
        <w:t xml:space="preserve"> </w:t>
      </w:r>
      <w:r w:rsidR="00FF0949">
        <w:t xml:space="preserve">information regarding health professionals’ perceptions about </w:t>
      </w:r>
      <w:r w:rsidR="002002C5">
        <w:t xml:space="preserve">priority non-infectious drinking water issues and needs </w:t>
      </w:r>
      <w:r w:rsidR="00AE5CE6">
        <w:t>can be collected easily.</w:t>
      </w:r>
    </w:p>
    <w:p w14:paraId="48D3ADF7" w14:textId="77777777" w:rsidR="00FF0949" w:rsidRDefault="00FF0949" w:rsidP="00FF6D7C">
      <w:pPr>
        <w:ind w:left="0"/>
      </w:pPr>
    </w:p>
    <w:p w14:paraId="48D3ADF8" w14:textId="77777777" w:rsidR="00B12F51" w:rsidRPr="00B47055" w:rsidRDefault="00B47055" w:rsidP="00692DEB">
      <w:pPr>
        <w:pStyle w:val="Heading4"/>
      </w:pPr>
      <w:bookmarkStart w:id="13" w:name="_Toc437419317"/>
      <w:r w:rsidRPr="00B47055">
        <w:t>Impact on Small Businesses or Other Small Entities</w:t>
      </w:r>
      <w:bookmarkEnd w:id="13"/>
    </w:p>
    <w:p w14:paraId="48D3ADFA" w14:textId="4A1F1208" w:rsidR="00C575D9" w:rsidRDefault="00D26A64" w:rsidP="00FB2993">
      <w:pPr>
        <w:ind w:left="0"/>
      </w:pPr>
      <w:r>
        <w:t>N</w:t>
      </w:r>
      <w:r w:rsidR="00AF2252">
        <w:t xml:space="preserve">o small businesses will be involved in this </w:t>
      </w:r>
      <w:r w:rsidR="00157413">
        <w:t>information collection</w:t>
      </w:r>
      <w:r>
        <w:t>.</w:t>
      </w:r>
    </w:p>
    <w:p w14:paraId="5B144626" w14:textId="77777777" w:rsidR="00546001" w:rsidRPr="00D95FBF" w:rsidRDefault="00546001" w:rsidP="00FB2993">
      <w:pPr>
        <w:ind w:left="0"/>
      </w:pPr>
    </w:p>
    <w:p w14:paraId="48D3ADFB" w14:textId="77777777" w:rsidR="00B12F51" w:rsidRPr="00AB49A7" w:rsidRDefault="00B47055" w:rsidP="00692DEB">
      <w:pPr>
        <w:pStyle w:val="Heading4"/>
      </w:pPr>
      <w:bookmarkStart w:id="14" w:name="_Toc437419318"/>
      <w:r w:rsidRPr="00AB49A7">
        <w:t>Consequences of Collecting the Information Less Frequently</w:t>
      </w:r>
      <w:bookmarkEnd w:id="14"/>
      <w:r w:rsidRPr="00AB49A7">
        <w:t xml:space="preserve"> </w:t>
      </w:r>
      <w:r w:rsidR="00D95FBF" w:rsidRPr="00AB49A7">
        <w:t xml:space="preserve">   </w:t>
      </w:r>
    </w:p>
    <w:p w14:paraId="48D3ADFC" w14:textId="77777777" w:rsidR="000058E0" w:rsidRDefault="000058E0" w:rsidP="000058E0">
      <w:pPr>
        <w:ind w:left="0"/>
      </w:pPr>
      <w:r w:rsidRPr="00711BFA">
        <w:t>This request is for a one time information collection.  There are no legal obstacles to reduce the burden.</w:t>
      </w:r>
      <w:r>
        <w:t xml:space="preserve"> </w:t>
      </w:r>
      <w:r w:rsidRPr="0061015C">
        <w:t xml:space="preserve">If no data are collected, </w:t>
      </w:r>
      <w:r>
        <w:t>CDC</w:t>
      </w:r>
      <w:r w:rsidR="00C915F3">
        <w:t>,</w:t>
      </w:r>
      <w:r w:rsidR="008D3B77">
        <w:t xml:space="preserve"> Health Studies Branch</w:t>
      </w:r>
      <w:r w:rsidR="00C915F3">
        <w:t>,</w:t>
      </w:r>
      <w:r w:rsidRPr="0061015C">
        <w:t xml:space="preserve"> will be unable to:</w:t>
      </w:r>
    </w:p>
    <w:p w14:paraId="48D3ADFD" w14:textId="36A56E60" w:rsidR="000058E0" w:rsidRDefault="007D542E" w:rsidP="00113706">
      <w:pPr>
        <w:pStyle w:val="ListParagraph"/>
        <w:numPr>
          <w:ilvl w:val="0"/>
          <w:numId w:val="37"/>
        </w:numPr>
        <w:rPr>
          <w:lang w:eastAsia="zh-CN"/>
        </w:rPr>
      </w:pPr>
      <w:r>
        <w:rPr>
          <w:lang w:eastAsia="zh-CN"/>
        </w:rPr>
        <w:t xml:space="preserve">Collect information from public health professionals regarding </w:t>
      </w:r>
      <w:r w:rsidR="002002C5">
        <w:rPr>
          <w:lang w:eastAsia="zh-CN"/>
        </w:rPr>
        <w:t xml:space="preserve">priority non-infectious drinking water </w:t>
      </w:r>
      <w:r>
        <w:rPr>
          <w:lang w:eastAsia="zh-CN"/>
        </w:rPr>
        <w:t xml:space="preserve">issues </w:t>
      </w:r>
    </w:p>
    <w:p w14:paraId="6484E75E" w14:textId="550E015E" w:rsidR="00E65F65" w:rsidRDefault="00E65F65" w:rsidP="00E65F65">
      <w:pPr>
        <w:pStyle w:val="ListParagraph"/>
        <w:numPr>
          <w:ilvl w:val="0"/>
          <w:numId w:val="37"/>
        </w:numPr>
        <w:rPr>
          <w:lang w:eastAsia="zh-CN"/>
        </w:rPr>
      </w:pPr>
      <w:r>
        <w:rPr>
          <w:lang w:eastAsia="zh-CN"/>
        </w:rPr>
        <w:t>Gain an understanding of private well policies and programs that are being undertaken by public health professionals to protect private well owners</w:t>
      </w:r>
    </w:p>
    <w:p w14:paraId="48D3ADFE" w14:textId="2B6D2B98" w:rsidR="004E0D66" w:rsidRDefault="004E0D66" w:rsidP="00113706">
      <w:pPr>
        <w:pStyle w:val="ListParagraph"/>
        <w:numPr>
          <w:ilvl w:val="0"/>
          <w:numId w:val="37"/>
        </w:numPr>
        <w:tabs>
          <w:tab w:val="clear" w:pos="9360"/>
        </w:tabs>
        <w:contextualSpacing w:val="0"/>
      </w:pPr>
      <w:r>
        <w:t xml:space="preserve">Collect </w:t>
      </w:r>
      <w:r w:rsidR="00E65F65">
        <w:t xml:space="preserve">information </w:t>
      </w:r>
      <w:r>
        <w:t xml:space="preserve">on </w:t>
      </w:r>
      <w:r w:rsidR="00E65F65">
        <w:t xml:space="preserve">state </w:t>
      </w:r>
      <w:r w:rsidR="004B032F">
        <w:t xml:space="preserve">and local technical assistance </w:t>
      </w:r>
      <w:r w:rsidR="00E65F65">
        <w:t>needs and how CDC can provide technical assistance to meet those needs</w:t>
      </w:r>
      <w:r w:rsidRPr="00D20B51">
        <w:t xml:space="preserve"> </w:t>
      </w:r>
    </w:p>
    <w:p w14:paraId="48D3AE00" w14:textId="6146553C" w:rsidR="004E0D66" w:rsidRDefault="004E0D66" w:rsidP="00113706">
      <w:pPr>
        <w:pStyle w:val="ListParagraph"/>
        <w:numPr>
          <w:ilvl w:val="0"/>
          <w:numId w:val="37"/>
        </w:numPr>
        <w:tabs>
          <w:tab w:val="clear" w:pos="9360"/>
        </w:tabs>
        <w:contextualSpacing w:val="0"/>
      </w:pPr>
      <w:r>
        <w:t xml:space="preserve">Share this information with public health partners to foster collaboration and increased awareness of </w:t>
      </w:r>
      <w:r w:rsidR="00E65F65">
        <w:t xml:space="preserve">priority non-infectious drinking water </w:t>
      </w:r>
      <w:r>
        <w:t xml:space="preserve">issues </w:t>
      </w:r>
    </w:p>
    <w:p w14:paraId="48D3AE01" w14:textId="77777777" w:rsidR="004E0D66" w:rsidRPr="00D20B51" w:rsidRDefault="004E0D66" w:rsidP="004E0D66"/>
    <w:p w14:paraId="48D3AE02" w14:textId="77777777" w:rsidR="00B12F51" w:rsidRPr="00B47055" w:rsidRDefault="00B47055" w:rsidP="00692DEB">
      <w:pPr>
        <w:pStyle w:val="Heading4"/>
      </w:pPr>
      <w:bookmarkStart w:id="15" w:name="_Toc437419319"/>
      <w:r w:rsidRPr="00B47055">
        <w:t>Special Circumstances Relating to the Guidelines of 5 CFR 1320.5</w:t>
      </w:r>
      <w:bookmarkEnd w:id="15"/>
    </w:p>
    <w:p w14:paraId="4FACDED4" w14:textId="15C3FE7C" w:rsidR="00FF17C1" w:rsidRDefault="00A809AA" w:rsidP="00FB2993">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32BDAA78" w14:textId="77777777" w:rsidR="00FF17C1" w:rsidRDefault="00FF17C1" w:rsidP="00FB2993">
      <w:pPr>
        <w:ind w:left="0"/>
      </w:pPr>
    </w:p>
    <w:p w14:paraId="48D3AE05" w14:textId="77777777" w:rsidR="00B12F51" w:rsidRPr="0088467A" w:rsidRDefault="0088467A" w:rsidP="00692DEB">
      <w:pPr>
        <w:pStyle w:val="Heading4"/>
      </w:pPr>
      <w:bookmarkStart w:id="16" w:name="_Toc437419320"/>
      <w:r w:rsidRPr="0088467A">
        <w:t>Comments in Response to the Federal Register Notice and Efforts to Consult Outside the Agency</w:t>
      </w:r>
      <w:bookmarkEnd w:id="16"/>
    </w:p>
    <w:p w14:paraId="48D3AE06" w14:textId="77777777"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48D3AE07" w14:textId="77777777" w:rsidR="00A809AA" w:rsidRPr="00A809AA" w:rsidRDefault="00A809AA" w:rsidP="00692DEB">
      <w:pPr>
        <w:ind w:left="0"/>
      </w:pPr>
    </w:p>
    <w:p w14:paraId="359D1830" w14:textId="77777777" w:rsidR="00FB2993" w:rsidRDefault="00A809AA" w:rsidP="001F0C31">
      <w:pPr>
        <w:ind w:left="0"/>
      </w:pPr>
      <w:r w:rsidRPr="00A809AA">
        <w:lastRenderedPageBreak/>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4A399761" w14:textId="77777777" w:rsidR="00FB2993" w:rsidRDefault="00FB2993" w:rsidP="001F0C31">
      <w:pPr>
        <w:ind w:left="0"/>
      </w:pPr>
    </w:p>
    <w:p w14:paraId="42A2B70E" w14:textId="77777777" w:rsidR="00FB2993" w:rsidRPr="0088467A" w:rsidRDefault="00FB2993" w:rsidP="00FB2993">
      <w:pPr>
        <w:pStyle w:val="Heading4"/>
      </w:pPr>
      <w:bookmarkStart w:id="17" w:name="_Toc437419321"/>
      <w:r w:rsidRPr="0088467A">
        <w:t>Explanation of Any Payment or Gift to Respondents</w:t>
      </w:r>
      <w:bookmarkEnd w:id="17"/>
    </w:p>
    <w:p w14:paraId="77555D96" w14:textId="77777777" w:rsidR="00FB2993" w:rsidRDefault="00FB2993" w:rsidP="00FB2993">
      <w:pPr>
        <w:ind w:left="0"/>
      </w:pPr>
      <w:r>
        <w:t>CDC will not provide payments or gifts to respondents.</w:t>
      </w:r>
    </w:p>
    <w:p w14:paraId="20F44AF7" w14:textId="77777777" w:rsidR="00FB2993" w:rsidRDefault="00FB2993" w:rsidP="00FB2993">
      <w:pPr>
        <w:ind w:left="0"/>
      </w:pPr>
    </w:p>
    <w:p w14:paraId="56ECA8CA" w14:textId="2900E612" w:rsidR="00FB2993" w:rsidRPr="00D16E78" w:rsidRDefault="00C87351" w:rsidP="00FB2993">
      <w:pPr>
        <w:pStyle w:val="Heading4"/>
      </w:pPr>
      <w:bookmarkStart w:id="18" w:name="_Toc427752823"/>
      <w:bookmarkStart w:id="19" w:name="_Toc437419322"/>
      <w:r w:rsidRPr="00C87351">
        <w:t>Protection of the Privacy and Confidentiality of Information Provided by Respondents</w:t>
      </w:r>
      <w:bookmarkEnd w:id="18"/>
      <w:bookmarkEnd w:id="19"/>
    </w:p>
    <w:p w14:paraId="50CE75EF" w14:textId="795B463E" w:rsidR="00CF3B00" w:rsidRPr="00CF3B00" w:rsidRDefault="00FB2993" w:rsidP="00CF3B00">
      <w:pPr>
        <w:ind w:left="0"/>
      </w:pPr>
      <w:r w:rsidRPr="003C31C9">
        <w:t xml:space="preserve">The Privacy Act does not apply to this </w:t>
      </w:r>
      <w:r>
        <w:t xml:space="preserve">information </w:t>
      </w:r>
      <w:r w:rsidRPr="00040611">
        <w:t>collection.  STLT governmental staff and / or delegates will be speaking from their official roles</w:t>
      </w:r>
      <w:r w:rsidR="00C32B57" w:rsidRPr="00CF3B00">
        <w:t xml:space="preserve">. </w:t>
      </w:r>
      <w:r w:rsidR="00CF3B00" w:rsidRPr="00CF3B00">
        <w:t>Data will be collected from STLT government staff speaking in their official roles.</w:t>
      </w:r>
      <w:r w:rsidR="0082209E">
        <w:t xml:space="preserve"> Data will be collected using a password protected Survey Monkey instrument;</w:t>
      </w:r>
      <w:r w:rsidR="00CF3B00" w:rsidRPr="00CF3B00">
        <w:t xml:space="preserve"> </w:t>
      </w:r>
      <w:r w:rsidR="0082209E">
        <w:t>i</w:t>
      </w:r>
      <w:r w:rsidR="00CF3B00" w:rsidRPr="002E102F">
        <w:t>ndividually identifiable infor</w:t>
      </w:r>
      <w:r w:rsidR="0082209E">
        <w:t>mation will be kept secure in an Excel database</w:t>
      </w:r>
      <w:r w:rsidR="00CB49F2">
        <w:t xml:space="preserve"> within the CSTE organization</w:t>
      </w:r>
      <w:r w:rsidR="0082209E">
        <w:t xml:space="preserve">. </w:t>
      </w:r>
      <w:r w:rsidR="00CF3B00" w:rsidRPr="002E102F">
        <w:t xml:space="preserve"> </w:t>
      </w:r>
      <w:r w:rsidR="00CB49F2">
        <w:t>CSTE officials will be responsible for ensuring all data is analyzed and a</w:t>
      </w:r>
      <w:r w:rsidR="00CF3B00" w:rsidRPr="002E102F">
        <w:t>ll results will be presented in the aggregate.</w:t>
      </w:r>
      <w:r w:rsidR="00CF3B00" w:rsidRPr="00CF3B00">
        <w:t xml:space="preserve"> </w:t>
      </w:r>
    </w:p>
    <w:p w14:paraId="337601BF" w14:textId="126814F6" w:rsidR="00FB2993" w:rsidRPr="003C31C9" w:rsidRDefault="00FB2993" w:rsidP="00FB2993">
      <w:pPr>
        <w:ind w:left="0"/>
      </w:pPr>
    </w:p>
    <w:p w14:paraId="512DCBCF" w14:textId="77777777" w:rsidR="00FB2993" w:rsidRPr="003C31C9" w:rsidRDefault="00FB2993" w:rsidP="00FB2993">
      <w:pPr>
        <w:ind w:left="0"/>
      </w:pPr>
      <w:r w:rsidRPr="003C31C9">
        <w:t xml:space="preserve">This </w:t>
      </w:r>
      <w:r>
        <w:t>information collection</w:t>
      </w:r>
      <w:r w:rsidRPr="003C31C9">
        <w:t xml:space="preserve"> is not research involving human subjects.</w:t>
      </w:r>
    </w:p>
    <w:p w14:paraId="64F0B2B7" w14:textId="77777777" w:rsidR="00FB2993" w:rsidRDefault="00FB2993" w:rsidP="00FB2993">
      <w:pPr>
        <w:pStyle w:val="Heading4"/>
        <w:numPr>
          <w:ilvl w:val="0"/>
          <w:numId w:val="0"/>
        </w:numPr>
      </w:pPr>
    </w:p>
    <w:p w14:paraId="0105139D" w14:textId="77777777" w:rsidR="00FB2993" w:rsidRPr="00CF3B00" w:rsidRDefault="00FB2993" w:rsidP="00FB2993">
      <w:pPr>
        <w:pStyle w:val="Heading4"/>
      </w:pPr>
      <w:bookmarkStart w:id="20" w:name="_Toc437419323"/>
      <w:r w:rsidRPr="00C45280">
        <w:t>Institutional Review Board (IRB</w:t>
      </w:r>
      <w:r w:rsidRPr="00CF3B00">
        <w:t>) and Justification for Sensitive Questions</w:t>
      </w:r>
      <w:bookmarkEnd w:id="20"/>
    </w:p>
    <w:p w14:paraId="3ACE2E8D" w14:textId="63349CD8" w:rsidR="00FB2993" w:rsidRDefault="00FB2993" w:rsidP="00FB2993">
      <w:pPr>
        <w:ind w:left="0"/>
      </w:pPr>
      <w:r w:rsidRPr="00CF3B00">
        <w:t>No information will be collected that are of sensitive nature.</w:t>
      </w:r>
    </w:p>
    <w:p w14:paraId="12DC99C3" w14:textId="77777777" w:rsidR="00FB2993" w:rsidRPr="0088467A" w:rsidRDefault="00FB2993" w:rsidP="00FB2993"/>
    <w:p w14:paraId="3403982B" w14:textId="77777777" w:rsidR="00FB2993" w:rsidRPr="00C45280" w:rsidRDefault="00FB2993" w:rsidP="00FB2993">
      <w:pPr>
        <w:pStyle w:val="Heading4"/>
      </w:pPr>
      <w:bookmarkStart w:id="21" w:name="_Toc437419324"/>
      <w:r w:rsidRPr="00C45280">
        <w:t>Estimates of Annualized Burden Hours and Costs</w:t>
      </w:r>
      <w:bookmarkEnd w:id="21"/>
    </w:p>
    <w:p w14:paraId="08F18AA8" w14:textId="0FEB6CBF" w:rsidR="00FB2993" w:rsidRPr="00711BFA" w:rsidRDefault="00FB2993" w:rsidP="00FB2993">
      <w:pPr>
        <w:ind w:left="0"/>
        <w:rPr>
          <w:color w:val="000000"/>
        </w:rPr>
      </w:pPr>
      <w:r w:rsidRPr="00711BFA">
        <w:rPr>
          <w:color w:val="000000"/>
        </w:rPr>
        <w:t xml:space="preserve">The estimate for burden hours is based on a pilot test of </w:t>
      </w:r>
      <w:r w:rsidRPr="0061015C">
        <w:t xml:space="preserve">the information collection instrument </w:t>
      </w:r>
      <w:r w:rsidRPr="00711BFA">
        <w:rPr>
          <w:color w:val="000000"/>
        </w:rPr>
        <w:t xml:space="preserve">by </w:t>
      </w:r>
      <w:r>
        <w:rPr>
          <w:color w:val="000000"/>
        </w:rPr>
        <w:t>4</w:t>
      </w:r>
      <w:r w:rsidRPr="00711BFA">
        <w:t xml:space="preserve"> </w:t>
      </w:r>
      <w:r w:rsidR="002E61D2">
        <w:t xml:space="preserve">state </w:t>
      </w:r>
      <w:r w:rsidRPr="00711BFA">
        <w:t>public health professionals</w:t>
      </w:r>
      <w:r w:rsidR="002E61D2">
        <w:t>.</w:t>
      </w:r>
      <w:r>
        <w:t xml:space="preserve"> </w:t>
      </w:r>
      <w:r w:rsidRPr="00711BFA">
        <w:t xml:space="preserve">In the pilot test, the average time to complete the </w:t>
      </w:r>
      <w:r w:rsidRPr="0061015C">
        <w:t>instrument including time for reviewing instructions, gathering needed information and completing the instrument</w:t>
      </w:r>
      <w:r w:rsidRPr="00711BFA">
        <w:t xml:space="preserve">, was </w:t>
      </w:r>
      <w:r>
        <w:t>35</w:t>
      </w:r>
      <w:r w:rsidRPr="00711BFA">
        <w:t xml:space="preserve"> minutes. Based on these results, the estimated time range for actual respondents to complete </w:t>
      </w:r>
      <w:r w:rsidRPr="0061015C">
        <w:t xml:space="preserve">the instrument </w:t>
      </w:r>
      <w:r w:rsidRPr="00711BFA">
        <w:t xml:space="preserve">is </w:t>
      </w:r>
      <w:r>
        <w:t xml:space="preserve">25 to 40 </w:t>
      </w:r>
      <w:r w:rsidRPr="00711BFA">
        <w:t xml:space="preserve">minutes. For the purposes of estimating burden hours, the </w:t>
      </w:r>
      <w:r>
        <w:t xml:space="preserve">upper limit of 40 minutes for completion </w:t>
      </w:r>
      <w:r w:rsidRPr="00711BFA">
        <w:t xml:space="preserve">(i.e., </w:t>
      </w:r>
      <w:r>
        <w:t xml:space="preserve">40 </w:t>
      </w:r>
      <w:r w:rsidRPr="00711BFA">
        <w:t>minutes) is used.</w:t>
      </w:r>
    </w:p>
    <w:p w14:paraId="35610B20" w14:textId="77777777" w:rsidR="00FB2993" w:rsidRDefault="00FB2993" w:rsidP="00FB2993">
      <w:pPr>
        <w:ind w:left="0"/>
      </w:pPr>
    </w:p>
    <w:p w14:paraId="66F49806" w14:textId="77777777" w:rsidR="00FB2993" w:rsidRPr="00711BFA" w:rsidRDefault="00FB2993" w:rsidP="00FB2993">
      <w:pPr>
        <w:ind w:left="0"/>
        <w:rPr>
          <w:rFonts w:cs="Arial"/>
        </w:rPr>
      </w:pPr>
      <w:r w:rsidRPr="00711BFA">
        <w:t xml:space="preserve">Estimates for the average hourly wage for respondents are based on the Department of Labor (DOL) National Compensation Survey estimate for </w:t>
      </w:r>
      <w:r>
        <w:t xml:space="preserve">environmental scientists and specialists, including health </w:t>
      </w:r>
      <w:r w:rsidRPr="00711BFA">
        <w:t>(</w:t>
      </w:r>
      <w:hyperlink r:id="rId13" w:history="1">
        <w:r w:rsidRPr="00711BFA">
          <w:rPr>
            <w:rStyle w:val="Hyperlink"/>
          </w:rPr>
          <w:t>http://www.bls.gov/ncs/ocs/sp/nctb1349.pdf</w:t>
        </w:r>
      </w:hyperlink>
      <w:r w:rsidRPr="00711BFA">
        <w:t xml:space="preserve">). Based on DOL data, an average hourly wage of </w:t>
      </w:r>
      <w:r>
        <w:t xml:space="preserve">$32.62 </w:t>
      </w:r>
      <w:r w:rsidRPr="00711BFA">
        <w:t xml:space="preserve">is estimated for all </w:t>
      </w:r>
      <w:r>
        <w:t xml:space="preserve">55 </w:t>
      </w:r>
      <w:r w:rsidRPr="00711BFA">
        <w:t>respondents. Table A-12 shows estimated burden and cost information.</w:t>
      </w:r>
    </w:p>
    <w:p w14:paraId="5079105F" w14:textId="77777777" w:rsidR="00FB2993" w:rsidRDefault="00FB2993" w:rsidP="00FB2993">
      <w:pPr>
        <w:ind w:left="0"/>
      </w:pPr>
    </w:p>
    <w:p w14:paraId="3316153E" w14:textId="0BEFAF9B" w:rsidR="00D73C3A" w:rsidRDefault="00D73C3A" w:rsidP="00FB2993">
      <w:pPr>
        <w:ind w:left="0"/>
      </w:pPr>
    </w:p>
    <w:p w14:paraId="39E471D4" w14:textId="77777777" w:rsidR="00D73C3A" w:rsidRDefault="00D73C3A" w:rsidP="00FB2993">
      <w:pPr>
        <w:ind w:left="0"/>
      </w:pPr>
    </w:p>
    <w:p w14:paraId="096EC9F2" w14:textId="77777777" w:rsidR="00D73C3A" w:rsidRDefault="00D73C3A" w:rsidP="00FB2993">
      <w:pPr>
        <w:ind w:left="0"/>
      </w:pPr>
    </w:p>
    <w:p w14:paraId="490CA06C" w14:textId="77777777" w:rsidR="00D73C3A" w:rsidRDefault="00D73C3A" w:rsidP="00FB2993">
      <w:pPr>
        <w:ind w:left="0"/>
      </w:pPr>
    </w:p>
    <w:p w14:paraId="27007B8C" w14:textId="77777777" w:rsidR="00D73C3A" w:rsidRDefault="00D73C3A" w:rsidP="00FB2993">
      <w:pPr>
        <w:ind w:left="0"/>
      </w:pPr>
    </w:p>
    <w:p w14:paraId="56EDF815" w14:textId="77777777" w:rsidR="00D73C3A" w:rsidRPr="002A1948" w:rsidRDefault="00D73C3A" w:rsidP="00FB2993">
      <w:pPr>
        <w:ind w:left="0"/>
      </w:pPr>
    </w:p>
    <w:p w14:paraId="4F75DF75" w14:textId="77777777" w:rsidR="00FB2993" w:rsidRPr="00162CE4" w:rsidRDefault="00FB2993" w:rsidP="00FB2993">
      <w:pPr>
        <w:tabs>
          <w:tab w:val="clear" w:pos="9360"/>
        </w:tabs>
        <w:spacing w:after="200"/>
        <w:ind w:left="0"/>
        <w:rPr>
          <w:b/>
          <w:u w:val="single"/>
        </w:rPr>
      </w:pPr>
      <w:r w:rsidRPr="002A1BE5">
        <w:rPr>
          <w:b/>
          <w:u w:val="single"/>
        </w:rPr>
        <w:lastRenderedPageBreak/>
        <w:t>Table A-12</w:t>
      </w:r>
      <w:r w:rsidRPr="002A1BE5">
        <w:rPr>
          <w:b/>
        </w:rPr>
        <w:t>:</w:t>
      </w:r>
      <w:r w:rsidRPr="002A1BE5">
        <w:t xml:space="preserve"> Estimated Annualized Burden Hours and Costs to Respondents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710"/>
        <w:gridCol w:w="1308"/>
        <w:gridCol w:w="1167"/>
        <w:gridCol w:w="973"/>
        <w:gridCol w:w="692"/>
        <w:gridCol w:w="898"/>
        <w:gridCol w:w="1167"/>
      </w:tblGrid>
      <w:tr w:rsidR="00FB2993" w:rsidRPr="00C620B9" w14:paraId="4A36D33E" w14:textId="77777777" w:rsidTr="00FF2E80">
        <w:trPr>
          <w:trHeight w:val="1493"/>
        </w:trPr>
        <w:tc>
          <w:tcPr>
            <w:tcW w:w="1417" w:type="dxa"/>
            <w:shd w:val="clear" w:color="auto" w:fill="D9D9D9" w:themeFill="background1" w:themeFillShade="D9"/>
          </w:tcPr>
          <w:p w14:paraId="780A6843" w14:textId="77777777" w:rsidR="00FB2993" w:rsidRPr="00C620B9" w:rsidRDefault="00FB2993" w:rsidP="001A3F2E">
            <w:pPr>
              <w:ind w:left="-18"/>
              <w:rPr>
                <w:b/>
                <w:sz w:val="18"/>
                <w:szCs w:val="20"/>
              </w:rPr>
            </w:pPr>
            <w:r w:rsidRPr="00C620B9">
              <w:rPr>
                <w:b/>
                <w:sz w:val="18"/>
                <w:szCs w:val="20"/>
              </w:rPr>
              <w:t>Information collection Instrument: Form Name</w:t>
            </w:r>
          </w:p>
        </w:tc>
        <w:tc>
          <w:tcPr>
            <w:tcW w:w="1710" w:type="dxa"/>
            <w:shd w:val="clear" w:color="auto" w:fill="D9D9D9" w:themeFill="background1" w:themeFillShade="D9"/>
            <w:vAlign w:val="center"/>
          </w:tcPr>
          <w:p w14:paraId="424ECD99" w14:textId="77777777" w:rsidR="00FB2993" w:rsidRPr="00C620B9" w:rsidRDefault="00FB2993" w:rsidP="001A3F2E">
            <w:pPr>
              <w:ind w:left="-18"/>
              <w:rPr>
                <w:b/>
                <w:sz w:val="18"/>
                <w:szCs w:val="20"/>
              </w:rPr>
            </w:pPr>
            <w:r w:rsidRPr="00C620B9">
              <w:rPr>
                <w:b/>
                <w:sz w:val="18"/>
                <w:szCs w:val="20"/>
              </w:rPr>
              <w:t>Type of Respondent</w:t>
            </w:r>
          </w:p>
        </w:tc>
        <w:tc>
          <w:tcPr>
            <w:tcW w:w="1308" w:type="dxa"/>
            <w:shd w:val="clear" w:color="auto" w:fill="D9D9D9" w:themeFill="background1" w:themeFillShade="D9"/>
            <w:vAlign w:val="center"/>
          </w:tcPr>
          <w:p w14:paraId="643238C7" w14:textId="77777777" w:rsidR="00FB2993" w:rsidRPr="00C620B9" w:rsidRDefault="00FB2993" w:rsidP="001A3F2E">
            <w:pPr>
              <w:ind w:left="-18"/>
              <w:rPr>
                <w:b/>
                <w:sz w:val="18"/>
                <w:szCs w:val="20"/>
              </w:rPr>
            </w:pPr>
            <w:r w:rsidRPr="00C620B9">
              <w:rPr>
                <w:b/>
                <w:sz w:val="18"/>
                <w:szCs w:val="20"/>
              </w:rPr>
              <w:t>No. of Respondents</w:t>
            </w:r>
          </w:p>
        </w:tc>
        <w:tc>
          <w:tcPr>
            <w:tcW w:w="1167" w:type="dxa"/>
            <w:shd w:val="clear" w:color="auto" w:fill="D9D9D9" w:themeFill="background1" w:themeFillShade="D9"/>
            <w:vAlign w:val="center"/>
          </w:tcPr>
          <w:p w14:paraId="75B90E18" w14:textId="77777777" w:rsidR="00FB2993" w:rsidRPr="00C620B9" w:rsidRDefault="00FB2993" w:rsidP="001A3F2E">
            <w:pPr>
              <w:ind w:left="-18"/>
              <w:rPr>
                <w:b/>
                <w:sz w:val="18"/>
                <w:szCs w:val="20"/>
              </w:rPr>
            </w:pPr>
            <w:r w:rsidRPr="00C620B9">
              <w:rPr>
                <w:b/>
                <w:sz w:val="18"/>
                <w:szCs w:val="20"/>
              </w:rPr>
              <w:t>No. of Responses per Respondent</w:t>
            </w:r>
          </w:p>
        </w:tc>
        <w:tc>
          <w:tcPr>
            <w:tcW w:w="973" w:type="dxa"/>
            <w:shd w:val="clear" w:color="auto" w:fill="D9D9D9" w:themeFill="background1" w:themeFillShade="D9"/>
            <w:vAlign w:val="center"/>
          </w:tcPr>
          <w:p w14:paraId="575EACD2" w14:textId="77777777" w:rsidR="00FB2993" w:rsidRPr="00C620B9" w:rsidRDefault="00FB2993" w:rsidP="001A3F2E">
            <w:pPr>
              <w:ind w:left="-18"/>
              <w:rPr>
                <w:b/>
                <w:sz w:val="18"/>
                <w:szCs w:val="20"/>
              </w:rPr>
            </w:pPr>
            <w:r w:rsidRPr="00C620B9">
              <w:rPr>
                <w:b/>
                <w:sz w:val="18"/>
                <w:szCs w:val="20"/>
              </w:rPr>
              <w:t>Average Burden per Response (in hours)</w:t>
            </w:r>
          </w:p>
        </w:tc>
        <w:tc>
          <w:tcPr>
            <w:tcW w:w="692" w:type="dxa"/>
            <w:shd w:val="clear" w:color="auto" w:fill="D9D9D9" w:themeFill="background1" w:themeFillShade="D9"/>
            <w:vAlign w:val="center"/>
          </w:tcPr>
          <w:p w14:paraId="6618E91A" w14:textId="77777777" w:rsidR="00FB2993" w:rsidRPr="00C620B9" w:rsidRDefault="00FB2993" w:rsidP="001A3F2E">
            <w:pPr>
              <w:ind w:left="-18"/>
              <w:rPr>
                <w:b/>
                <w:sz w:val="18"/>
                <w:szCs w:val="20"/>
              </w:rPr>
            </w:pPr>
            <w:r w:rsidRPr="00C620B9">
              <w:rPr>
                <w:b/>
                <w:sz w:val="18"/>
                <w:szCs w:val="20"/>
              </w:rPr>
              <w:t>Total Burden Hours</w:t>
            </w:r>
          </w:p>
        </w:tc>
        <w:tc>
          <w:tcPr>
            <w:tcW w:w="898" w:type="dxa"/>
            <w:shd w:val="clear" w:color="auto" w:fill="D9D9D9" w:themeFill="background1" w:themeFillShade="D9"/>
            <w:vAlign w:val="center"/>
          </w:tcPr>
          <w:p w14:paraId="64B36B1A" w14:textId="77777777" w:rsidR="00FB2993" w:rsidRPr="00C620B9" w:rsidRDefault="00FB2993" w:rsidP="001A3F2E">
            <w:pPr>
              <w:ind w:left="-18"/>
              <w:rPr>
                <w:b/>
                <w:sz w:val="18"/>
                <w:szCs w:val="20"/>
              </w:rPr>
            </w:pPr>
            <w:r w:rsidRPr="00C620B9">
              <w:rPr>
                <w:b/>
                <w:sz w:val="18"/>
                <w:szCs w:val="20"/>
              </w:rPr>
              <w:t>Hourly Wage Rate</w:t>
            </w:r>
          </w:p>
        </w:tc>
        <w:tc>
          <w:tcPr>
            <w:tcW w:w="1167" w:type="dxa"/>
            <w:shd w:val="clear" w:color="auto" w:fill="D9D9D9" w:themeFill="background1" w:themeFillShade="D9"/>
            <w:vAlign w:val="center"/>
          </w:tcPr>
          <w:p w14:paraId="5220AA6C" w14:textId="77777777" w:rsidR="00FB2993" w:rsidRPr="00C620B9" w:rsidRDefault="00FB2993" w:rsidP="001A3F2E">
            <w:pPr>
              <w:ind w:left="-18"/>
              <w:rPr>
                <w:b/>
                <w:sz w:val="18"/>
                <w:szCs w:val="20"/>
              </w:rPr>
            </w:pPr>
            <w:r w:rsidRPr="00C620B9">
              <w:rPr>
                <w:b/>
                <w:sz w:val="18"/>
                <w:szCs w:val="20"/>
              </w:rPr>
              <w:t>Total Respondent Costs</w:t>
            </w:r>
          </w:p>
        </w:tc>
      </w:tr>
      <w:tr w:rsidR="00FB2993" w:rsidRPr="00C620B9" w14:paraId="57A9886C" w14:textId="77777777" w:rsidTr="00FF2E80">
        <w:tc>
          <w:tcPr>
            <w:tcW w:w="1417" w:type="dxa"/>
          </w:tcPr>
          <w:p w14:paraId="3452BB7B" w14:textId="77777777" w:rsidR="00FB2993" w:rsidRPr="00C620B9" w:rsidRDefault="00FB2993" w:rsidP="001A3F2E">
            <w:pPr>
              <w:ind w:left="0"/>
              <w:rPr>
                <w:sz w:val="20"/>
                <w:szCs w:val="20"/>
              </w:rPr>
            </w:pPr>
            <w:r w:rsidRPr="00C620B9">
              <w:rPr>
                <w:sz w:val="20"/>
                <w:szCs w:val="20"/>
              </w:rPr>
              <w:t>CSTE</w:t>
            </w:r>
            <w:r>
              <w:rPr>
                <w:sz w:val="20"/>
                <w:szCs w:val="20"/>
              </w:rPr>
              <w:t>D</w:t>
            </w:r>
            <w:r w:rsidRPr="00C620B9">
              <w:rPr>
                <w:sz w:val="20"/>
                <w:szCs w:val="20"/>
              </w:rPr>
              <w:t>W</w:t>
            </w:r>
            <w:r>
              <w:rPr>
                <w:sz w:val="20"/>
                <w:szCs w:val="20"/>
              </w:rPr>
              <w:t>A</w:t>
            </w:r>
            <w:r w:rsidRPr="00C620B9">
              <w:rPr>
                <w:sz w:val="20"/>
                <w:szCs w:val="20"/>
              </w:rPr>
              <w:t xml:space="preserve"> Instrument</w:t>
            </w:r>
          </w:p>
        </w:tc>
        <w:tc>
          <w:tcPr>
            <w:tcW w:w="1710" w:type="dxa"/>
            <w:vAlign w:val="center"/>
          </w:tcPr>
          <w:p w14:paraId="64EF1BDF" w14:textId="77777777" w:rsidR="00FB2993" w:rsidRPr="00C620B9" w:rsidRDefault="00FB2993" w:rsidP="001A3F2E">
            <w:pPr>
              <w:ind w:left="0"/>
              <w:rPr>
                <w:sz w:val="20"/>
                <w:szCs w:val="20"/>
              </w:rPr>
            </w:pPr>
            <w:r w:rsidRPr="00C620B9">
              <w:rPr>
                <w:sz w:val="20"/>
                <w:szCs w:val="20"/>
              </w:rPr>
              <w:t>State epidemiologist</w:t>
            </w:r>
            <w:r>
              <w:rPr>
                <w:sz w:val="20"/>
                <w:szCs w:val="20"/>
              </w:rPr>
              <w:t xml:space="preserve"> or their designees</w:t>
            </w:r>
          </w:p>
        </w:tc>
        <w:tc>
          <w:tcPr>
            <w:tcW w:w="1308" w:type="dxa"/>
            <w:vAlign w:val="center"/>
          </w:tcPr>
          <w:p w14:paraId="440D3113" w14:textId="77777777" w:rsidR="00FB2993" w:rsidRPr="00C620B9" w:rsidRDefault="00FB2993" w:rsidP="001A3F2E">
            <w:pPr>
              <w:ind w:left="0"/>
              <w:rPr>
                <w:sz w:val="20"/>
                <w:szCs w:val="20"/>
              </w:rPr>
            </w:pPr>
            <w:r w:rsidRPr="00C620B9">
              <w:rPr>
                <w:sz w:val="20"/>
                <w:szCs w:val="20"/>
              </w:rPr>
              <w:t>5</w:t>
            </w:r>
            <w:r>
              <w:rPr>
                <w:sz w:val="20"/>
                <w:szCs w:val="20"/>
              </w:rPr>
              <w:t>0</w:t>
            </w:r>
          </w:p>
        </w:tc>
        <w:tc>
          <w:tcPr>
            <w:tcW w:w="1167" w:type="dxa"/>
            <w:vAlign w:val="center"/>
          </w:tcPr>
          <w:p w14:paraId="4920716E" w14:textId="77777777" w:rsidR="00FB2993" w:rsidRPr="00C620B9" w:rsidRDefault="00FB2993" w:rsidP="001A3F2E">
            <w:pPr>
              <w:ind w:left="0"/>
              <w:rPr>
                <w:sz w:val="20"/>
                <w:szCs w:val="20"/>
              </w:rPr>
            </w:pPr>
            <w:r w:rsidRPr="00C620B9">
              <w:rPr>
                <w:sz w:val="20"/>
                <w:szCs w:val="20"/>
              </w:rPr>
              <w:t>1</w:t>
            </w:r>
          </w:p>
        </w:tc>
        <w:tc>
          <w:tcPr>
            <w:tcW w:w="973" w:type="dxa"/>
            <w:vAlign w:val="center"/>
          </w:tcPr>
          <w:p w14:paraId="7CAC6665" w14:textId="6AEAEC82" w:rsidR="00FB2993" w:rsidRPr="00C620B9" w:rsidRDefault="004B33A1" w:rsidP="001A3F2E">
            <w:pPr>
              <w:ind w:left="0"/>
              <w:rPr>
                <w:sz w:val="20"/>
                <w:szCs w:val="20"/>
              </w:rPr>
            </w:pPr>
            <w:r>
              <w:rPr>
                <w:sz w:val="20"/>
                <w:szCs w:val="20"/>
              </w:rPr>
              <w:t>40/60</w:t>
            </w:r>
            <w:r w:rsidR="00FB2993">
              <w:rPr>
                <w:sz w:val="20"/>
                <w:szCs w:val="20"/>
              </w:rPr>
              <w:t xml:space="preserve"> </w:t>
            </w:r>
          </w:p>
        </w:tc>
        <w:tc>
          <w:tcPr>
            <w:tcW w:w="692" w:type="dxa"/>
            <w:vAlign w:val="center"/>
          </w:tcPr>
          <w:p w14:paraId="7CE11DEF" w14:textId="1D5A7315" w:rsidR="00FB2993" w:rsidRPr="00C620B9" w:rsidRDefault="00FB2993" w:rsidP="001A3F2E">
            <w:pPr>
              <w:ind w:left="0"/>
              <w:rPr>
                <w:sz w:val="20"/>
                <w:szCs w:val="20"/>
              </w:rPr>
            </w:pPr>
            <w:r>
              <w:rPr>
                <w:sz w:val="20"/>
                <w:szCs w:val="20"/>
              </w:rPr>
              <w:t>3</w:t>
            </w:r>
            <w:r w:rsidR="008128C6">
              <w:rPr>
                <w:sz w:val="20"/>
                <w:szCs w:val="20"/>
              </w:rPr>
              <w:t>3</w:t>
            </w:r>
          </w:p>
        </w:tc>
        <w:tc>
          <w:tcPr>
            <w:tcW w:w="898" w:type="dxa"/>
            <w:vAlign w:val="center"/>
          </w:tcPr>
          <w:p w14:paraId="634653BB" w14:textId="77777777" w:rsidR="00FB2993" w:rsidRPr="00C620B9" w:rsidRDefault="00FB2993" w:rsidP="001A3F2E">
            <w:pPr>
              <w:ind w:left="0"/>
              <w:rPr>
                <w:sz w:val="20"/>
                <w:szCs w:val="20"/>
              </w:rPr>
            </w:pPr>
            <w:r w:rsidRPr="00C620B9">
              <w:rPr>
                <w:sz w:val="20"/>
                <w:szCs w:val="20"/>
              </w:rPr>
              <w:t>$32.62</w:t>
            </w:r>
          </w:p>
        </w:tc>
        <w:tc>
          <w:tcPr>
            <w:tcW w:w="1167" w:type="dxa"/>
            <w:vAlign w:val="center"/>
          </w:tcPr>
          <w:p w14:paraId="1C071B28" w14:textId="6C863FDD" w:rsidR="00FB2993" w:rsidRPr="00C620B9" w:rsidRDefault="00FB2993" w:rsidP="008128C6">
            <w:pPr>
              <w:ind w:left="0"/>
              <w:rPr>
                <w:sz w:val="20"/>
                <w:szCs w:val="20"/>
              </w:rPr>
            </w:pPr>
            <w:r w:rsidRPr="00C620B9">
              <w:rPr>
                <w:sz w:val="20"/>
                <w:szCs w:val="20"/>
              </w:rPr>
              <w:t>$</w:t>
            </w:r>
            <w:r w:rsidR="008128C6">
              <w:rPr>
                <w:sz w:val="20"/>
                <w:szCs w:val="20"/>
              </w:rPr>
              <w:t>1076</w:t>
            </w:r>
          </w:p>
        </w:tc>
      </w:tr>
      <w:tr w:rsidR="00FB2993" w:rsidRPr="00C620B9" w14:paraId="3D1195B8" w14:textId="77777777" w:rsidTr="00FF2E80">
        <w:tc>
          <w:tcPr>
            <w:tcW w:w="1417" w:type="dxa"/>
          </w:tcPr>
          <w:p w14:paraId="1DE38E99" w14:textId="77777777" w:rsidR="00FB2993" w:rsidRPr="00C620B9" w:rsidRDefault="00FB2993" w:rsidP="001A3F2E">
            <w:pPr>
              <w:ind w:left="0"/>
              <w:rPr>
                <w:sz w:val="20"/>
                <w:szCs w:val="20"/>
              </w:rPr>
            </w:pPr>
            <w:r w:rsidRPr="00C620B9">
              <w:rPr>
                <w:sz w:val="20"/>
                <w:szCs w:val="20"/>
              </w:rPr>
              <w:t>CSTE</w:t>
            </w:r>
            <w:r>
              <w:rPr>
                <w:sz w:val="20"/>
                <w:szCs w:val="20"/>
              </w:rPr>
              <w:t>D</w:t>
            </w:r>
            <w:r w:rsidRPr="00C620B9">
              <w:rPr>
                <w:sz w:val="20"/>
                <w:szCs w:val="20"/>
              </w:rPr>
              <w:t>W</w:t>
            </w:r>
            <w:r>
              <w:rPr>
                <w:sz w:val="20"/>
                <w:szCs w:val="20"/>
              </w:rPr>
              <w:t>A</w:t>
            </w:r>
            <w:r w:rsidRPr="00C620B9">
              <w:rPr>
                <w:sz w:val="20"/>
                <w:szCs w:val="20"/>
              </w:rPr>
              <w:t xml:space="preserve"> Instrument</w:t>
            </w:r>
          </w:p>
        </w:tc>
        <w:tc>
          <w:tcPr>
            <w:tcW w:w="1710" w:type="dxa"/>
            <w:vAlign w:val="center"/>
          </w:tcPr>
          <w:p w14:paraId="3DE2449F" w14:textId="77777777" w:rsidR="00FB2993" w:rsidRPr="00C620B9" w:rsidRDefault="00FB2993" w:rsidP="001A3F2E">
            <w:pPr>
              <w:ind w:left="0"/>
              <w:rPr>
                <w:sz w:val="20"/>
                <w:szCs w:val="20"/>
              </w:rPr>
            </w:pPr>
            <w:r>
              <w:rPr>
                <w:sz w:val="20"/>
                <w:szCs w:val="20"/>
              </w:rPr>
              <w:t>Local epidemiologists or their designees</w:t>
            </w:r>
          </w:p>
        </w:tc>
        <w:tc>
          <w:tcPr>
            <w:tcW w:w="1308" w:type="dxa"/>
            <w:vAlign w:val="center"/>
          </w:tcPr>
          <w:p w14:paraId="2C6F54B7" w14:textId="77777777" w:rsidR="00FB2993" w:rsidRPr="00C620B9" w:rsidRDefault="00FB2993" w:rsidP="001A3F2E">
            <w:pPr>
              <w:ind w:left="0"/>
              <w:rPr>
                <w:sz w:val="20"/>
                <w:szCs w:val="20"/>
              </w:rPr>
            </w:pPr>
            <w:r>
              <w:rPr>
                <w:sz w:val="20"/>
                <w:szCs w:val="20"/>
              </w:rPr>
              <w:t>5</w:t>
            </w:r>
          </w:p>
        </w:tc>
        <w:tc>
          <w:tcPr>
            <w:tcW w:w="1167" w:type="dxa"/>
            <w:vAlign w:val="center"/>
          </w:tcPr>
          <w:p w14:paraId="4611B8DC" w14:textId="77777777" w:rsidR="00FB2993" w:rsidRPr="00C620B9" w:rsidRDefault="00FB2993" w:rsidP="001A3F2E">
            <w:pPr>
              <w:ind w:left="0"/>
              <w:rPr>
                <w:sz w:val="20"/>
                <w:szCs w:val="20"/>
              </w:rPr>
            </w:pPr>
            <w:r>
              <w:rPr>
                <w:sz w:val="20"/>
                <w:szCs w:val="20"/>
              </w:rPr>
              <w:t>1</w:t>
            </w:r>
          </w:p>
        </w:tc>
        <w:tc>
          <w:tcPr>
            <w:tcW w:w="973" w:type="dxa"/>
            <w:vAlign w:val="center"/>
          </w:tcPr>
          <w:p w14:paraId="30EDBB98" w14:textId="51802333" w:rsidR="00FB2993" w:rsidRDefault="004B33A1" w:rsidP="001A3F2E">
            <w:pPr>
              <w:ind w:left="0"/>
              <w:rPr>
                <w:sz w:val="20"/>
                <w:szCs w:val="20"/>
              </w:rPr>
            </w:pPr>
            <w:r>
              <w:rPr>
                <w:sz w:val="20"/>
                <w:szCs w:val="20"/>
              </w:rPr>
              <w:t>40/60</w:t>
            </w:r>
          </w:p>
        </w:tc>
        <w:tc>
          <w:tcPr>
            <w:tcW w:w="692" w:type="dxa"/>
            <w:vAlign w:val="center"/>
          </w:tcPr>
          <w:p w14:paraId="2B4290BC" w14:textId="77777777" w:rsidR="00FB2993" w:rsidRDefault="00FB2993" w:rsidP="001A3F2E">
            <w:pPr>
              <w:ind w:left="0"/>
              <w:rPr>
                <w:sz w:val="20"/>
                <w:szCs w:val="20"/>
              </w:rPr>
            </w:pPr>
            <w:r>
              <w:rPr>
                <w:sz w:val="20"/>
                <w:szCs w:val="20"/>
              </w:rPr>
              <w:t>3</w:t>
            </w:r>
          </w:p>
        </w:tc>
        <w:tc>
          <w:tcPr>
            <w:tcW w:w="898" w:type="dxa"/>
            <w:vAlign w:val="center"/>
          </w:tcPr>
          <w:p w14:paraId="33B73FF5" w14:textId="77777777" w:rsidR="00FB2993" w:rsidRPr="00C620B9" w:rsidRDefault="00FB2993" w:rsidP="001A3F2E">
            <w:pPr>
              <w:ind w:left="0"/>
              <w:rPr>
                <w:sz w:val="20"/>
                <w:szCs w:val="20"/>
              </w:rPr>
            </w:pPr>
            <w:r w:rsidRPr="00C620B9">
              <w:rPr>
                <w:sz w:val="20"/>
                <w:szCs w:val="20"/>
              </w:rPr>
              <w:t>$32.62</w:t>
            </w:r>
          </w:p>
        </w:tc>
        <w:tc>
          <w:tcPr>
            <w:tcW w:w="1167" w:type="dxa"/>
            <w:vAlign w:val="center"/>
          </w:tcPr>
          <w:p w14:paraId="181D74AB" w14:textId="77777777" w:rsidR="00FB2993" w:rsidRPr="00C620B9" w:rsidRDefault="00FB2993" w:rsidP="001A3F2E">
            <w:pPr>
              <w:ind w:left="0"/>
              <w:rPr>
                <w:sz w:val="20"/>
                <w:szCs w:val="20"/>
              </w:rPr>
            </w:pPr>
            <w:r>
              <w:rPr>
                <w:sz w:val="20"/>
                <w:szCs w:val="20"/>
              </w:rPr>
              <w:t>$98</w:t>
            </w:r>
          </w:p>
        </w:tc>
      </w:tr>
      <w:tr w:rsidR="00FB2993" w:rsidRPr="00C620B9" w14:paraId="5393A5EE" w14:textId="77777777" w:rsidTr="00FF2E80">
        <w:trPr>
          <w:trHeight w:hRule="exact" w:val="532"/>
        </w:trPr>
        <w:tc>
          <w:tcPr>
            <w:tcW w:w="1417" w:type="dxa"/>
          </w:tcPr>
          <w:p w14:paraId="66A98643" w14:textId="77777777" w:rsidR="00FB2993" w:rsidRPr="00C620B9" w:rsidRDefault="00FB2993" w:rsidP="001A3F2E">
            <w:pPr>
              <w:ind w:left="0"/>
              <w:rPr>
                <w:b/>
                <w:sz w:val="20"/>
                <w:szCs w:val="20"/>
              </w:rPr>
            </w:pPr>
          </w:p>
        </w:tc>
        <w:tc>
          <w:tcPr>
            <w:tcW w:w="1710" w:type="dxa"/>
            <w:vAlign w:val="center"/>
          </w:tcPr>
          <w:p w14:paraId="1090B10D" w14:textId="77777777" w:rsidR="00FB2993" w:rsidRPr="00C620B9" w:rsidRDefault="00FB2993" w:rsidP="001A3F2E">
            <w:pPr>
              <w:ind w:left="0"/>
              <w:rPr>
                <w:b/>
                <w:sz w:val="20"/>
                <w:szCs w:val="20"/>
              </w:rPr>
            </w:pPr>
            <w:r w:rsidRPr="00C620B9">
              <w:rPr>
                <w:b/>
                <w:sz w:val="20"/>
                <w:szCs w:val="20"/>
              </w:rPr>
              <w:t>TOTALS</w:t>
            </w:r>
          </w:p>
        </w:tc>
        <w:tc>
          <w:tcPr>
            <w:tcW w:w="1308" w:type="dxa"/>
            <w:vAlign w:val="center"/>
          </w:tcPr>
          <w:p w14:paraId="19E50B1A" w14:textId="77777777" w:rsidR="00FB2993" w:rsidRPr="00C620B9" w:rsidRDefault="00FB2993" w:rsidP="001A3F2E">
            <w:pPr>
              <w:ind w:left="0"/>
              <w:rPr>
                <w:b/>
                <w:sz w:val="20"/>
                <w:szCs w:val="20"/>
              </w:rPr>
            </w:pPr>
            <w:r w:rsidRPr="00C620B9">
              <w:rPr>
                <w:b/>
                <w:sz w:val="20"/>
                <w:szCs w:val="20"/>
              </w:rPr>
              <w:t>55</w:t>
            </w:r>
          </w:p>
        </w:tc>
        <w:tc>
          <w:tcPr>
            <w:tcW w:w="1167" w:type="dxa"/>
            <w:shd w:val="clear" w:color="auto" w:fill="auto"/>
            <w:vAlign w:val="center"/>
          </w:tcPr>
          <w:p w14:paraId="02E7B3F3" w14:textId="77777777" w:rsidR="00FB2993" w:rsidRPr="00C620B9" w:rsidRDefault="00FB2993" w:rsidP="001A3F2E">
            <w:pPr>
              <w:ind w:left="0"/>
              <w:rPr>
                <w:b/>
                <w:sz w:val="20"/>
                <w:szCs w:val="20"/>
              </w:rPr>
            </w:pPr>
          </w:p>
        </w:tc>
        <w:tc>
          <w:tcPr>
            <w:tcW w:w="973" w:type="dxa"/>
            <w:shd w:val="clear" w:color="auto" w:fill="D9D9D9" w:themeFill="background1" w:themeFillShade="D9"/>
            <w:vAlign w:val="center"/>
          </w:tcPr>
          <w:p w14:paraId="0DEF1A0B" w14:textId="77777777" w:rsidR="00FB2993" w:rsidRPr="00C620B9" w:rsidRDefault="00FB2993" w:rsidP="001A3F2E">
            <w:pPr>
              <w:ind w:left="0"/>
              <w:rPr>
                <w:b/>
                <w:sz w:val="20"/>
                <w:szCs w:val="20"/>
              </w:rPr>
            </w:pPr>
          </w:p>
        </w:tc>
        <w:tc>
          <w:tcPr>
            <w:tcW w:w="692" w:type="dxa"/>
            <w:vAlign w:val="center"/>
          </w:tcPr>
          <w:p w14:paraId="28C6C448" w14:textId="754CEA08" w:rsidR="00FB2993" w:rsidRPr="00C620B9" w:rsidRDefault="00FB2993" w:rsidP="001A3F2E">
            <w:pPr>
              <w:ind w:left="0"/>
              <w:rPr>
                <w:b/>
                <w:sz w:val="20"/>
                <w:szCs w:val="20"/>
              </w:rPr>
            </w:pPr>
            <w:r>
              <w:rPr>
                <w:b/>
                <w:sz w:val="20"/>
                <w:szCs w:val="20"/>
              </w:rPr>
              <w:t>3</w:t>
            </w:r>
            <w:r w:rsidR="008128C6">
              <w:rPr>
                <w:b/>
                <w:sz w:val="20"/>
                <w:szCs w:val="20"/>
              </w:rPr>
              <w:t>6</w:t>
            </w:r>
          </w:p>
        </w:tc>
        <w:tc>
          <w:tcPr>
            <w:tcW w:w="898" w:type="dxa"/>
            <w:shd w:val="clear" w:color="auto" w:fill="D9D9D9" w:themeFill="background1" w:themeFillShade="D9"/>
            <w:vAlign w:val="center"/>
          </w:tcPr>
          <w:p w14:paraId="6C64D60B" w14:textId="77777777" w:rsidR="00FB2993" w:rsidRPr="00C620B9" w:rsidRDefault="00FB2993" w:rsidP="001A3F2E">
            <w:pPr>
              <w:ind w:left="0"/>
              <w:rPr>
                <w:b/>
                <w:sz w:val="20"/>
                <w:szCs w:val="20"/>
              </w:rPr>
            </w:pPr>
          </w:p>
        </w:tc>
        <w:tc>
          <w:tcPr>
            <w:tcW w:w="1167" w:type="dxa"/>
            <w:vAlign w:val="center"/>
          </w:tcPr>
          <w:p w14:paraId="737466AB" w14:textId="22BB32B7" w:rsidR="00FB2993" w:rsidRPr="00C620B9" w:rsidRDefault="00FB2993" w:rsidP="008128C6">
            <w:pPr>
              <w:ind w:left="0"/>
              <w:rPr>
                <w:b/>
                <w:sz w:val="20"/>
                <w:szCs w:val="20"/>
              </w:rPr>
            </w:pPr>
            <w:r>
              <w:rPr>
                <w:b/>
                <w:sz w:val="20"/>
                <w:szCs w:val="20"/>
              </w:rPr>
              <w:t>$</w:t>
            </w:r>
            <w:r w:rsidR="008128C6">
              <w:rPr>
                <w:b/>
                <w:sz w:val="20"/>
                <w:szCs w:val="20"/>
              </w:rPr>
              <w:t>1174</w:t>
            </w:r>
          </w:p>
        </w:tc>
      </w:tr>
    </w:tbl>
    <w:p w14:paraId="020D9DA2" w14:textId="772FF457" w:rsidR="00CF3B00" w:rsidRDefault="00CF3B00" w:rsidP="00F43F18">
      <w:pPr>
        <w:ind w:left="0"/>
      </w:pPr>
    </w:p>
    <w:p w14:paraId="51916089" w14:textId="77777777" w:rsidR="00CF3B00" w:rsidRDefault="00CF3B00" w:rsidP="00FB2993"/>
    <w:p w14:paraId="678CCE66" w14:textId="77777777" w:rsidR="00FB2993" w:rsidRPr="0088467A" w:rsidRDefault="00FB2993" w:rsidP="00FB2993">
      <w:pPr>
        <w:pStyle w:val="Heading4"/>
      </w:pPr>
      <w:bookmarkStart w:id="22" w:name="_Toc437419325"/>
      <w:r w:rsidRPr="0088467A">
        <w:t>Estimates of Other Total Annual Cost Burden to Respondents or Record Keepers</w:t>
      </w:r>
      <w:bookmarkEnd w:id="22"/>
    </w:p>
    <w:p w14:paraId="1FD71C69" w14:textId="77777777" w:rsidR="00FB2993" w:rsidRPr="00040611" w:rsidRDefault="00FB2993" w:rsidP="00FB2993">
      <w:pPr>
        <w:ind w:left="0"/>
      </w:pPr>
      <w:r w:rsidRPr="003C31C9">
        <w:t xml:space="preserve">There will be no </w:t>
      </w:r>
      <w:r w:rsidRPr="00040611">
        <w:t xml:space="preserve">direct costs to the respondents other than their time to participate in </w:t>
      </w:r>
      <w:r>
        <w:t>the</w:t>
      </w:r>
      <w:r w:rsidRPr="00040611">
        <w:t xml:space="preserve"> </w:t>
      </w:r>
      <w:r w:rsidRPr="008C59E7">
        <w:t>information collection.</w:t>
      </w:r>
    </w:p>
    <w:p w14:paraId="6A0FDBBE" w14:textId="77777777" w:rsidR="009B5CE4" w:rsidRDefault="009B5CE4" w:rsidP="00FB2993">
      <w:pPr>
        <w:ind w:left="0"/>
      </w:pPr>
    </w:p>
    <w:p w14:paraId="659A19D9" w14:textId="77777777" w:rsidR="00FB2993" w:rsidRPr="00C40A9C" w:rsidRDefault="00FB2993" w:rsidP="00FB2993">
      <w:pPr>
        <w:pStyle w:val="Heading4"/>
      </w:pPr>
      <w:bookmarkStart w:id="23" w:name="_Toc437419326"/>
      <w:r w:rsidRPr="00C40A9C">
        <w:t>Annualized Cost to the Government</w:t>
      </w:r>
      <w:bookmarkEnd w:id="23"/>
      <w:r w:rsidRPr="00C40A9C">
        <w:t xml:space="preserve"> </w:t>
      </w:r>
    </w:p>
    <w:p w14:paraId="63DE802F" w14:textId="3BD32BA0" w:rsidR="00FB2993" w:rsidRPr="00711BFA" w:rsidRDefault="00FB2993" w:rsidP="00FB2993">
      <w:pPr>
        <w:ind w:left="0"/>
      </w:pPr>
      <w:r w:rsidRPr="000E58F5">
        <w:rPr>
          <w:rFonts w:cs="Arial"/>
        </w:rPr>
        <w:t>There are no equipment or overhead costs</w:t>
      </w:r>
      <w:r>
        <w:rPr>
          <w:rFonts w:cs="Arial"/>
        </w:rPr>
        <w:t xml:space="preserve">. </w:t>
      </w:r>
      <w:r w:rsidRPr="000E58F5">
        <w:rPr>
          <w:rFonts w:cs="Arial"/>
        </w:rPr>
        <w:t>The only cost to the federal government would be the salary of</w:t>
      </w:r>
      <w:r>
        <w:rPr>
          <w:rFonts w:cs="Arial"/>
        </w:rPr>
        <w:t xml:space="preserve"> </w:t>
      </w:r>
      <w:r w:rsidR="00416051">
        <w:rPr>
          <w:rFonts w:cs="Arial"/>
        </w:rPr>
        <w:t>one</w:t>
      </w:r>
      <w:r w:rsidRPr="000E58F5">
        <w:rPr>
          <w:rFonts w:cs="Arial"/>
        </w:rPr>
        <w:t xml:space="preserve"> CDC staff</w:t>
      </w:r>
      <w:r w:rsidR="00416051">
        <w:rPr>
          <w:rFonts w:cs="Arial"/>
        </w:rPr>
        <w:t xml:space="preserve"> member</w:t>
      </w:r>
      <w:r>
        <w:rPr>
          <w:rFonts w:cs="Arial"/>
        </w:rPr>
        <w:t xml:space="preserve"> during the data collection and analysis activities</w:t>
      </w:r>
      <w:r w:rsidR="00EE2002">
        <w:rPr>
          <w:rFonts w:cs="Arial"/>
        </w:rPr>
        <w:t>, as well as the cost of the contract with CSTE to conduct the information collection and analysis of the data</w:t>
      </w:r>
      <w:r>
        <w:rPr>
          <w:rFonts w:cs="Arial"/>
        </w:rPr>
        <w:t xml:space="preserve">. </w:t>
      </w:r>
      <w:r w:rsidRPr="000E58F5">
        <w:rPr>
          <w:rFonts w:cs="Arial"/>
        </w:rPr>
        <w:t>The total estimated cost to the federal government is</w:t>
      </w:r>
      <w:r>
        <w:rPr>
          <w:rFonts w:cs="Arial"/>
        </w:rPr>
        <w:t xml:space="preserve"> $29,</w:t>
      </w:r>
      <w:r w:rsidR="004B33A1">
        <w:rPr>
          <w:rFonts w:cs="Arial"/>
        </w:rPr>
        <w:t>355</w:t>
      </w:r>
      <w:r w:rsidRPr="000E58F5">
        <w:rPr>
          <w:rFonts w:cs="Arial"/>
        </w:rPr>
        <w:t>. Table A-14 describes how this cost estimate was calculated.</w:t>
      </w:r>
    </w:p>
    <w:p w14:paraId="69E8698E" w14:textId="77777777" w:rsidR="00FB2993" w:rsidRDefault="00FB2993" w:rsidP="00FB2993">
      <w:pPr>
        <w:ind w:left="0"/>
      </w:pPr>
    </w:p>
    <w:p w14:paraId="14266EAA" w14:textId="77777777" w:rsidR="00FB2993" w:rsidRPr="00D75750" w:rsidRDefault="00FB2993" w:rsidP="00FB2993">
      <w:pPr>
        <w:ind w:left="0"/>
      </w:pPr>
      <w:r w:rsidRPr="00692DEB">
        <w:rPr>
          <w:color w:val="000000"/>
        </w:rPr>
        <w:t xml:space="preserve"> </w:t>
      </w:r>
      <w:r w:rsidRPr="00692DEB">
        <w:rPr>
          <w:b/>
          <w:u w:val="single"/>
        </w:rPr>
        <w:t>Table A-14</w:t>
      </w:r>
      <w:r w:rsidRPr="00692DEB">
        <w:rPr>
          <w:b/>
        </w:rPr>
        <w:t>:</w:t>
      </w:r>
      <w:r w:rsidRPr="008E0683">
        <w:t xml:space="preserve"> Estimated Annualized Cost to the Federal Government</w:t>
      </w:r>
    </w:p>
    <w:tbl>
      <w:tblPr>
        <w:tblStyle w:val="TableGrid"/>
        <w:tblW w:w="0" w:type="auto"/>
        <w:tblLook w:val="04A0" w:firstRow="1" w:lastRow="0" w:firstColumn="1" w:lastColumn="0" w:noHBand="0" w:noVBand="1"/>
      </w:tblPr>
      <w:tblGrid>
        <w:gridCol w:w="3953"/>
        <w:gridCol w:w="1907"/>
        <w:gridCol w:w="993"/>
        <w:gridCol w:w="236"/>
        <w:gridCol w:w="422"/>
        <w:gridCol w:w="1839"/>
      </w:tblGrid>
      <w:tr w:rsidR="00FB2993" w:rsidRPr="004841F1" w14:paraId="0A1B8CAD" w14:textId="77777777" w:rsidTr="00416051">
        <w:trPr>
          <w:trHeight w:val="593"/>
        </w:trPr>
        <w:tc>
          <w:tcPr>
            <w:tcW w:w="3953" w:type="dxa"/>
            <w:tcBorders>
              <w:bottom w:val="single" w:sz="12" w:space="0" w:color="auto"/>
            </w:tcBorders>
            <w:shd w:val="clear" w:color="auto" w:fill="D9D9D9" w:themeFill="background1" w:themeFillShade="D9"/>
            <w:vAlign w:val="center"/>
          </w:tcPr>
          <w:p w14:paraId="21702FD3" w14:textId="77777777" w:rsidR="00FB2993" w:rsidRPr="00E647FB" w:rsidRDefault="00FB2993" w:rsidP="001A3F2E">
            <w:pPr>
              <w:ind w:left="0"/>
              <w:jc w:val="center"/>
              <w:rPr>
                <w:b/>
                <w:sz w:val="20"/>
                <w:szCs w:val="20"/>
              </w:rPr>
            </w:pPr>
            <w:r w:rsidRPr="00E647FB">
              <w:rPr>
                <w:b/>
                <w:sz w:val="20"/>
                <w:szCs w:val="20"/>
              </w:rPr>
              <w:t>Staff (FTE)</w:t>
            </w:r>
          </w:p>
        </w:tc>
        <w:tc>
          <w:tcPr>
            <w:tcW w:w="1907" w:type="dxa"/>
            <w:tcBorders>
              <w:bottom w:val="single" w:sz="12" w:space="0" w:color="auto"/>
            </w:tcBorders>
            <w:shd w:val="clear" w:color="auto" w:fill="D9D9D9" w:themeFill="background1" w:themeFillShade="D9"/>
            <w:vAlign w:val="center"/>
          </w:tcPr>
          <w:p w14:paraId="67E770BD" w14:textId="77777777" w:rsidR="00FB2993" w:rsidRPr="00E647FB" w:rsidRDefault="00FB2993" w:rsidP="001A3F2E">
            <w:pPr>
              <w:ind w:left="0"/>
              <w:jc w:val="center"/>
              <w:rPr>
                <w:b/>
                <w:sz w:val="20"/>
                <w:szCs w:val="20"/>
              </w:rPr>
            </w:pPr>
            <w:r w:rsidRPr="00E647FB">
              <w:rPr>
                <w:b/>
                <w:sz w:val="20"/>
                <w:szCs w:val="20"/>
              </w:rPr>
              <w:t>Average Hours per Collection</w:t>
            </w:r>
          </w:p>
        </w:tc>
        <w:tc>
          <w:tcPr>
            <w:tcW w:w="1651" w:type="dxa"/>
            <w:gridSpan w:val="3"/>
            <w:tcBorders>
              <w:bottom w:val="single" w:sz="12" w:space="0" w:color="auto"/>
            </w:tcBorders>
            <w:shd w:val="clear" w:color="auto" w:fill="D9D9D9" w:themeFill="background1" w:themeFillShade="D9"/>
            <w:vAlign w:val="center"/>
          </w:tcPr>
          <w:p w14:paraId="34DD009E" w14:textId="77777777" w:rsidR="00FB2993" w:rsidRPr="00E647FB" w:rsidRDefault="00FB2993" w:rsidP="001A3F2E">
            <w:pPr>
              <w:ind w:left="0"/>
              <w:jc w:val="center"/>
              <w:rPr>
                <w:b/>
                <w:sz w:val="20"/>
                <w:szCs w:val="20"/>
              </w:rPr>
            </w:pPr>
            <w:r w:rsidRPr="00E647FB">
              <w:rPr>
                <w:b/>
                <w:sz w:val="20"/>
                <w:szCs w:val="20"/>
              </w:rPr>
              <w:t>Average Hourly Rate</w:t>
            </w:r>
          </w:p>
        </w:tc>
        <w:tc>
          <w:tcPr>
            <w:tcW w:w="1839" w:type="dxa"/>
            <w:tcBorders>
              <w:bottom w:val="single" w:sz="12" w:space="0" w:color="auto"/>
            </w:tcBorders>
            <w:shd w:val="clear" w:color="auto" w:fill="D9D9D9" w:themeFill="background1" w:themeFillShade="D9"/>
            <w:vAlign w:val="center"/>
          </w:tcPr>
          <w:p w14:paraId="1D6D6DD7" w14:textId="77777777" w:rsidR="00FB2993" w:rsidRPr="00E647FB" w:rsidRDefault="00FB2993" w:rsidP="001A3F2E">
            <w:pPr>
              <w:ind w:left="0"/>
              <w:jc w:val="center"/>
              <w:rPr>
                <w:b/>
                <w:sz w:val="20"/>
                <w:szCs w:val="20"/>
              </w:rPr>
            </w:pPr>
            <w:r w:rsidRPr="00E647FB">
              <w:rPr>
                <w:b/>
                <w:sz w:val="20"/>
                <w:szCs w:val="20"/>
              </w:rPr>
              <w:t>Average Cost</w:t>
            </w:r>
          </w:p>
        </w:tc>
      </w:tr>
      <w:tr w:rsidR="00FB2993" w:rsidRPr="004841F1" w14:paraId="6B9D58D7" w14:textId="77777777" w:rsidTr="001A3F2E">
        <w:tc>
          <w:tcPr>
            <w:tcW w:w="4080" w:type="dxa"/>
            <w:tcBorders>
              <w:top w:val="single" w:sz="12" w:space="0" w:color="auto"/>
            </w:tcBorders>
          </w:tcPr>
          <w:p w14:paraId="5DF08BD5" w14:textId="2D0D26ED" w:rsidR="00FB2993" w:rsidRPr="00E647FB" w:rsidRDefault="00FB2993" w:rsidP="001A3F2E">
            <w:pPr>
              <w:ind w:left="0"/>
              <w:jc w:val="both"/>
              <w:rPr>
                <w:sz w:val="20"/>
                <w:szCs w:val="20"/>
              </w:rPr>
            </w:pPr>
            <w:r>
              <w:rPr>
                <w:sz w:val="20"/>
                <w:szCs w:val="20"/>
              </w:rPr>
              <w:t>GS-14 Team Lead</w:t>
            </w:r>
          </w:p>
        </w:tc>
        <w:tc>
          <w:tcPr>
            <w:tcW w:w="1940" w:type="dxa"/>
            <w:tcBorders>
              <w:top w:val="single" w:sz="12" w:space="0" w:color="auto"/>
            </w:tcBorders>
          </w:tcPr>
          <w:p w14:paraId="7031530D" w14:textId="053D93A6" w:rsidR="00FB2993" w:rsidRPr="00E647FB" w:rsidRDefault="00416051" w:rsidP="001A3F2E">
            <w:pPr>
              <w:ind w:left="0"/>
              <w:jc w:val="center"/>
              <w:rPr>
                <w:sz w:val="20"/>
                <w:szCs w:val="20"/>
              </w:rPr>
            </w:pPr>
            <w:r>
              <w:rPr>
                <w:sz w:val="20"/>
                <w:szCs w:val="20"/>
              </w:rPr>
              <w:t>6</w:t>
            </w:r>
            <w:r w:rsidR="00FB2993">
              <w:rPr>
                <w:sz w:val="20"/>
                <w:szCs w:val="20"/>
              </w:rPr>
              <w:t>0</w:t>
            </w:r>
          </w:p>
        </w:tc>
        <w:tc>
          <w:tcPr>
            <w:tcW w:w="1680" w:type="dxa"/>
            <w:gridSpan w:val="3"/>
            <w:tcBorders>
              <w:top w:val="single" w:sz="12" w:space="0" w:color="auto"/>
            </w:tcBorders>
          </w:tcPr>
          <w:p w14:paraId="2F4C1069" w14:textId="77777777" w:rsidR="00FB2993" w:rsidRPr="00E647FB" w:rsidRDefault="00FB2993" w:rsidP="001A3F2E">
            <w:pPr>
              <w:ind w:left="0"/>
              <w:jc w:val="center"/>
              <w:rPr>
                <w:sz w:val="20"/>
                <w:szCs w:val="20"/>
              </w:rPr>
            </w:pPr>
            <w:r>
              <w:rPr>
                <w:sz w:val="20"/>
                <w:szCs w:val="20"/>
              </w:rPr>
              <w:t>$55.60</w:t>
            </w:r>
          </w:p>
        </w:tc>
        <w:tc>
          <w:tcPr>
            <w:tcW w:w="1876" w:type="dxa"/>
            <w:tcBorders>
              <w:top w:val="single" w:sz="12" w:space="0" w:color="auto"/>
            </w:tcBorders>
          </w:tcPr>
          <w:p w14:paraId="141E5B32" w14:textId="0C73BABE" w:rsidR="00FB2993" w:rsidRPr="00E647FB" w:rsidRDefault="00416051" w:rsidP="001A3F2E">
            <w:pPr>
              <w:ind w:left="0"/>
              <w:jc w:val="center"/>
              <w:rPr>
                <w:sz w:val="20"/>
                <w:szCs w:val="20"/>
              </w:rPr>
            </w:pPr>
            <w:r>
              <w:rPr>
                <w:sz w:val="20"/>
                <w:szCs w:val="20"/>
              </w:rPr>
              <w:t>$3,336</w:t>
            </w:r>
          </w:p>
        </w:tc>
      </w:tr>
      <w:tr w:rsidR="00FB2993" w:rsidRPr="004841F1" w14:paraId="386AEFCA" w14:textId="77777777" w:rsidTr="001A3F2E">
        <w:tc>
          <w:tcPr>
            <w:tcW w:w="4080" w:type="dxa"/>
          </w:tcPr>
          <w:p w14:paraId="09B9C165" w14:textId="7204E7DF" w:rsidR="00FB2993" w:rsidRPr="00E647FB" w:rsidRDefault="00FB2993" w:rsidP="001A3F2E">
            <w:pPr>
              <w:ind w:left="0"/>
              <w:jc w:val="both"/>
              <w:rPr>
                <w:sz w:val="20"/>
                <w:szCs w:val="20"/>
              </w:rPr>
            </w:pPr>
            <w:r>
              <w:rPr>
                <w:sz w:val="20"/>
                <w:szCs w:val="20"/>
              </w:rPr>
              <w:t>CSTE Contract</w:t>
            </w:r>
            <w:r w:rsidR="00EC390F">
              <w:rPr>
                <w:sz w:val="20"/>
                <w:szCs w:val="20"/>
              </w:rPr>
              <w:t xml:space="preserve"> </w:t>
            </w:r>
          </w:p>
        </w:tc>
        <w:tc>
          <w:tcPr>
            <w:tcW w:w="1940" w:type="dxa"/>
          </w:tcPr>
          <w:p w14:paraId="363CF1D2" w14:textId="77777777" w:rsidR="00FB2993" w:rsidRDefault="00FB2993" w:rsidP="001A3F2E">
            <w:pPr>
              <w:ind w:left="0"/>
              <w:jc w:val="center"/>
              <w:rPr>
                <w:sz w:val="20"/>
                <w:szCs w:val="20"/>
              </w:rPr>
            </w:pPr>
            <w:r>
              <w:rPr>
                <w:sz w:val="20"/>
                <w:szCs w:val="20"/>
              </w:rPr>
              <w:t>NA</w:t>
            </w:r>
          </w:p>
        </w:tc>
        <w:tc>
          <w:tcPr>
            <w:tcW w:w="1680" w:type="dxa"/>
            <w:gridSpan w:val="3"/>
          </w:tcPr>
          <w:p w14:paraId="5B15CC9F" w14:textId="77777777" w:rsidR="00FB2993" w:rsidRDefault="00FB2993" w:rsidP="001A3F2E">
            <w:pPr>
              <w:ind w:left="0"/>
              <w:jc w:val="center"/>
              <w:rPr>
                <w:sz w:val="20"/>
                <w:szCs w:val="20"/>
              </w:rPr>
            </w:pPr>
            <w:r>
              <w:rPr>
                <w:sz w:val="20"/>
                <w:szCs w:val="20"/>
              </w:rPr>
              <w:t>NA</w:t>
            </w:r>
          </w:p>
        </w:tc>
        <w:tc>
          <w:tcPr>
            <w:tcW w:w="1876" w:type="dxa"/>
          </w:tcPr>
          <w:p w14:paraId="6E57C69A" w14:textId="77777777" w:rsidR="00FB2993" w:rsidRDefault="00FB2993" w:rsidP="001A3F2E">
            <w:pPr>
              <w:ind w:left="0"/>
              <w:jc w:val="center"/>
              <w:rPr>
                <w:sz w:val="20"/>
                <w:szCs w:val="20"/>
              </w:rPr>
            </w:pPr>
            <w:r>
              <w:rPr>
                <w:sz w:val="20"/>
                <w:szCs w:val="20"/>
              </w:rPr>
              <w:t>$26,019</w:t>
            </w:r>
          </w:p>
        </w:tc>
      </w:tr>
      <w:tr w:rsidR="00FB2993" w:rsidRPr="004841F1" w14:paraId="69C8347E" w14:textId="77777777" w:rsidTr="00416051">
        <w:trPr>
          <w:trHeight w:val="332"/>
        </w:trPr>
        <w:tc>
          <w:tcPr>
            <w:tcW w:w="7039" w:type="dxa"/>
            <w:gridSpan w:val="3"/>
            <w:tcBorders>
              <w:right w:val="nil"/>
            </w:tcBorders>
            <w:vAlign w:val="center"/>
          </w:tcPr>
          <w:p w14:paraId="797DFD4F" w14:textId="77777777" w:rsidR="00FB2993" w:rsidRPr="00E647FB" w:rsidRDefault="00FB2993" w:rsidP="001A3F2E">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716BB33C" w14:textId="77777777" w:rsidR="00FB2993" w:rsidRPr="00E647FB" w:rsidRDefault="00FB2993" w:rsidP="001A3F2E">
            <w:pPr>
              <w:ind w:left="0"/>
              <w:rPr>
                <w:b/>
                <w:sz w:val="20"/>
                <w:szCs w:val="20"/>
              </w:rPr>
            </w:pPr>
          </w:p>
        </w:tc>
        <w:tc>
          <w:tcPr>
            <w:tcW w:w="236" w:type="dxa"/>
            <w:tcBorders>
              <w:left w:val="nil"/>
            </w:tcBorders>
            <w:vAlign w:val="center"/>
          </w:tcPr>
          <w:p w14:paraId="4BC80898" w14:textId="77777777" w:rsidR="00FB2993" w:rsidRPr="00E647FB" w:rsidRDefault="00FB2993" w:rsidP="001A3F2E">
            <w:pPr>
              <w:ind w:left="0"/>
              <w:rPr>
                <w:b/>
                <w:sz w:val="20"/>
                <w:szCs w:val="20"/>
              </w:rPr>
            </w:pPr>
          </w:p>
        </w:tc>
        <w:tc>
          <w:tcPr>
            <w:tcW w:w="1839" w:type="dxa"/>
            <w:vAlign w:val="center"/>
          </w:tcPr>
          <w:p w14:paraId="53FE9C8A" w14:textId="0A229A7F" w:rsidR="00FB2993" w:rsidRPr="00E647FB" w:rsidRDefault="00FB2993" w:rsidP="00416051">
            <w:pPr>
              <w:ind w:left="0"/>
              <w:jc w:val="center"/>
              <w:rPr>
                <w:b/>
                <w:sz w:val="20"/>
                <w:szCs w:val="20"/>
              </w:rPr>
            </w:pPr>
            <w:r>
              <w:rPr>
                <w:b/>
                <w:sz w:val="20"/>
                <w:szCs w:val="20"/>
              </w:rPr>
              <w:t>$29,</w:t>
            </w:r>
            <w:r w:rsidR="00416051">
              <w:rPr>
                <w:b/>
                <w:sz w:val="20"/>
                <w:szCs w:val="20"/>
              </w:rPr>
              <w:t>355</w:t>
            </w:r>
          </w:p>
        </w:tc>
      </w:tr>
    </w:tbl>
    <w:p w14:paraId="4092C839" w14:textId="77777777" w:rsidR="00FB2993" w:rsidRDefault="00FB2993" w:rsidP="00FB2993"/>
    <w:p w14:paraId="5A18159C" w14:textId="77777777" w:rsidR="00FB2993" w:rsidRPr="00D75750" w:rsidRDefault="00FB2993" w:rsidP="00FB2993">
      <w:pPr>
        <w:pStyle w:val="Heading4"/>
      </w:pPr>
      <w:bookmarkStart w:id="24" w:name="_Toc437419327"/>
      <w:r w:rsidRPr="00D75750">
        <w:t>Explanation for Program Changes or Adjustments</w:t>
      </w:r>
      <w:bookmarkEnd w:id="24"/>
    </w:p>
    <w:p w14:paraId="6901F8E1" w14:textId="77777777" w:rsidR="00FB2993" w:rsidRDefault="00FB2993" w:rsidP="00FB2993">
      <w:pPr>
        <w:ind w:left="0"/>
      </w:pPr>
      <w:r>
        <w:t>This is a new information collection.</w:t>
      </w:r>
    </w:p>
    <w:p w14:paraId="0BB5CF92" w14:textId="77777777" w:rsidR="00FB2993" w:rsidRDefault="00FB2993" w:rsidP="00FB2993"/>
    <w:p w14:paraId="0CE3482C" w14:textId="46BC57F3" w:rsidR="00D73C3A" w:rsidRDefault="00D73C3A" w:rsidP="00FB2993"/>
    <w:p w14:paraId="4615A088" w14:textId="77777777" w:rsidR="00D73C3A" w:rsidRDefault="00D73C3A" w:rsidP="00FB2993"/>
    <w:p w14:paraId="748C21E5" w14:textId="77777777" w:rsidR="00D73C3A" w:rsidRDefault="00D73C3A" w:rsidP="00FB2993"/>
    <w:p w14:paraId="58E8C2DE" w14:textId="77777777" w:rsidR="00FB2993" w:rsidRPr="00AB49A7" w:rsidRDefault="00FB2993" w:rsidP="00FB2993">
      <w:pPr>
        <w:pStyle w:val="Heading4"/>
      </w:pPr>
      <w:bookmarkStart w:id="25" w:name="_Toc437419328"/>
      <w:r w:rsidRPr="00AB49A7">
        <w:lastRenderedPageBreak/>
        <w:t>Plans for Tabulation and Publication and Project Time Schedule</w:t>
      </w:r>
      <w:bookmarkEnd w:id="25"/>
    </w:p>
    <w:p w14:paraId="7488ACA4" w14:textId="42696000" w:rsidR="00FB2993" w:rsidRPr="000E58F5" w:rsidRDefault="00FB2993" w:rsidP="00FB2993">
      <w:pPr>
        <w:ind w:left="0"/>
        <w:rPr>
          <w:rFonts w:cs="Arial"/>
        </w:rPr>
      </w:pPr>
      <w:r>
        <w:rPr>
          <w:rFonts w:cs="Arial"/>
        </w:rPr>
        <w:t>CSTE will collect and store the data for the online assessment.  Upon completion of data collection and analysis, CSTE will share the de-identified summary data in a Microsoft Excel file with CDC.  Additionally, CSTE will share a report with CDC and members of CSTE that summarizes the results.</w:t>
      </w:r>
    </w:p>
    <w:p w14:paraId="7F746F52" w14:textId="77777777" w:rsidR="00CF3B00" w:rsidRDefault="00CF3B00" w:rsidP="00FB2993">
      <w:pPr>
        <w:tabs>
          <w:tab w:val="clear" w:pos="9360"/>
        </w:tabs>
        <w:spacing w:after="200"/>
        <w:ind w:left="0"/>
        <w:rPr>
          <w:rFonts w:cs="Arial"/>
          <w:u w:val="single"/>
        </w:rPr>
      </w:pPr>
    </w:p>
    <w:p w14:paraId="56340475" w14:textId="4FE7E865" w:rsidR="00FB2993" w:rsidRDefault="00FB2993" w:rsidP="00CF3B00">
      <w:pPr>
        <w:tabs>
          <w:tab w:val="clear" w:pos="9360"/>
        </w:tabs>
        <w:spacing w:after="200"/>
        <w:ind w:left="0"/>
        <w:rPr>
          <w:rFonts w:cs="Arial"/>
          <w:u w:val="single"/>
        </w:rPr>
      </w:pPr>
      <w:r w:rsidRPr="000058E0">
        <w:rPr>
          <w:rFonts w:cs="Arial"/>
          <w:u w:val="single"/>
        </w:rPr>
        <w:t>Project Time Schedule</w:t>
      </w:r>
    </w:p>
    <w:tbl>
      <w:tblPr>
        <w:tblStyle w:val="TableGrid"/>
        <w:tblW w:w="0" w:type="auto"/>
        <w:tblLook w:val="04A0" w:firstRow="1" w:lastRow="0" w:firstColumn="1" w:lastColumn="0" w:noHBand="0" w:noVBand="1"/>
      </w:tblPr>
      <w:tblGrid>
        <w:gridCol w:w="4855"/>
        <w:gridCol w:w="4495"/>
      </w:tblGrid>
      <w:tr w:rsidR="00FB2993" w14:paraId="396F3D5F" w14:textId="77777777" w:rsidTr="001A3F2E">
        <w:tc>
          <w:tcPr>
            <w:tcW w:w="4855" w:type="dxa"/>
            <w:tcBorders>
              <w:top w:val="single" w:sz="4" w:space="0" w:color="auto"/>
              <w:left w:val="single" w:sz="4" w:space="0" w:color="auto"/>
              <w:bottom w:val="single" w:sz="4" w:space="0" w:color="auto"/>
              <w:right w:val="single" w:sz="4" w:space="0" w:color="auto"/>
            </w:tcBorders>
            <w:hideMark/>
          </w:tcPr>
          <w:p w14:paraId="249BCFE7" w14:textId="77777777" w:rsidR="00FB2993" w:rsidRPr="00AB04D3" w:rsidRDefault="00FB2993" w:rsidP="001A3F2E">
            <w:pPr>
              <w:ind w:left="0"/>
              <w:rPr>
                <w:rFonts w:ascii="Cambria" w:hAnsi="Cambria"/>
                <w:b/>
              </w:rPr>
            </w:pPr>
            <w:r w:rsidRPr="00AB04D3">
              <w:rPr>
                <w:rFonts w:ascii="Cambria" w:hAnsi="Cambria"/>
                <w:b/>
              </w:rPr>
              <w:t>Task</w:t>
            </w:r>
          </w:p>
        </w:tc>
        <w:tc>
          <w:tcPr>
            <w:tcW w:w="4495" w:type="dxa"/>
            <w:tcBorders>
              <w:top w:val="single" w:sz="4" w:space="0" w:color="auto"/>
              <w:left w:val="single" w:sz="4" w:space="0" w:color="auto"/>
              <w:bottom w:val="single" w:sz="4" w:space="0" w:color="auto"/>
              <w:right w:val="single" w:sz="4" w:space="0" w:color="auto"/>
            </w:tcBorders>
            <w:hideMark/>
          </w:tcPr>
          <w:p w14:paraId="08838AC4" w14:textId="77777777" w:rsidR="00FB2993" w:rsidRDefault="00FB2993" w:rsidP="001A3F2E">
            <w:pPr>
              <w:ind w:left="0"/>
              <w:rPr>
                <w:rFonts w:ascii="Cambria" w:hAnsi="Cambria"/>
                <w:b/>
              </w:rPr>
            </w:pPr>
            <w:r>
              <w:rPr>
                <w:rFonts w:ascii="Cambria" w:hAnsi="Cambria"/>
                <w:b/>
              </w:rPr>
              <w:t>Timeline</w:t>
            </w:r>
          </w:p>
        </w:tc>
      </w:tr>
      <w:tr w:rsidR="00FB2993" w14:paraId="687F8A98" w14:textId="77777777" w:rsidTr="001A3F2E">
        <w:tc>
          <w:tcPr>
            <w:tcW w:w="4855" w:type="dxa"/>
            <w:tcBorders>
              <w:top w:val="single" w:sz="4" w:space="0" w:color="auto"/>
              <w:left w:val="single" w:sz="4" w:space="0" w:color="auto"/>
              <w:bottom w:val="single" w:sz="4" w:space="0" w:color="auto"/>
              <w:right w:val="single" w:sz="4" w:space="0" w:color="auto"/>
            </w:tcBorders>
            <w:vAlign w:val="center"/>
            <w:hideMark/>
          </w:tcPr>
          <w:p w14:paraId="7B9239E1" w14:textId="77777777" w:rsidR="00FB2993" w:rsidRDefault="00FB2993" w:rsidP="001A3F2E">
            <w:pPr>
              <w:ind w:left="0"/>
              <w:rPr>
                <w:rFonts w:ascii="Cambria" w:hAnsi="Cambria"/>
              </w:rPr>
            </w:pPr>
            <w:r>
              <w:rPr>
                <w:rFonts w:ascii="Cambria" w:hAnsi="Cambria"/>
              </w:rPr>
              <w:t xml:space="preserve">Obtain OMB Clearance for Information Collection </w:t>
            </w:r>
          </w:p>
        </w:tc>
        <w:tc>
          <w:tcPr>
            <w:tcW w:w="4495" w:type="dxa"/>
            <w:tcBorders>
              <w:top w:val="single" w:sz="4" w:space="0" w:color="auto"/>
              <w:left w:val="single" w:sz="4" w:space="0" w:color="auto"/>
              <w:bottom w:val="single" w:sz="4" w:space="0" w:color="auto"/>
              <w:right w:val="single" w:sz="4" w:space="0" w:color="auto"/>
            </w:tcBorders>
            <w:vAlign w:val="center"/>
          </w:tcPr>
          <w:p w14:paraId="33C35ACF" w14:textId="77777777" w:rsidR="00FB2993" w:rsidRDefault="00FB2993" w:rsidP="001A3F2E">
            <w:pPr>
              <w:ind w:left="0"/>
              <w:rPr>
                <w:rFonts w:ascii="Cambria" w:hAnsi="Cambria"/>
              </w:rPr>
            </w:pPr>
            <w:r>
              <w:rPr>
                <w:rFonts w:ascii="Cambria" w:hAnsi="Cambria"/>
              </w:rPr>
              <w:t>In Process</w:t>
            </w:r>
          </w:p>
        </w:tc>
      </w:tr>
      <w:tr w:rsidR="00FB2993" w14:paraId="7195EF6E" w14:textId="77777777" w:rsidTr="001A3F2E">
        <w:tc>
          <w:tcPr>
            <w:tcW w:w="4855" w:type="dxa"/>
            <w:tcBorders>
              <w:top w:val="single" w:sz="4" w:space="0" w:color="auto"/>
              <w:left w:val="single" w:sz="4" w:space="0" w:color="auto"/>
              <w:bottom w:val="single" w:sz="4" w:space="0" w:color="auto"/>
              <w:right w:val="single" w:sz="4" w:space="0" w:color="auto"/>
            </w:tcBorders>
            <w:vAlign w:val="center"/>
            <w:hideMark/>
          </w:tcPr>
          <w:p w14:paraId="7FF4C96C" w14:textId="77777777" w:rsidR="00FB2993" w:rsidRDefault="00FB2993" w:rsidP="001A3F2E">
            <w:pPr>
              <w:ind w:left="0"/>
              <w:rPr>
                <w:rFonts w:ascii="Cambria" w:hAnsi="Cambria"/>
              </w:rPr>
            </w:pPr>
            <w:r w:rsidRPr="005B3089">
              <w:rPr>
                <w:rFonts w:eastAsiaTheme="majorEastAsia" w:cstheme="majorBidi"/>
              </w:rPr>
              <w:t>Conduct assessment</w:t>
            </w:r>
          </w:p>
        </w:tc>
        <w:tc>
          <w:tcPr>
            <w:tcW w:w="4495" w:type="dxa"/>
            <w:tcBorders>
              <w:top w:val="single" w:sz="4" w:space="0" w:color="auto"/>
              <w:left w:val="single" w:sz="4" w:space="0" w:color="auto"/>
              <w:bottom w:val="single" w:sz="4" w:space="0" w:color="auto"/>
              <w:right w:val="single" w:sz="4" w:space="0" w:color="auto"/>
            </w:tcBorders>
            <w:vAlign w:val="center"/>
          </w:tcPr>
          <w:p w14:paraId="6CE03D20" w14:textId="77777777" w:rsidR="00FB2993" w:rsidRDefault="00FB2993" w:rsidP="001A3F2E">
            <w:pPr>
              <w:ind w:left="0"/>
              <w:rPr>
                <w:rFonts w:ascii="Cambria" w:hAnsi="Cambria"/>
              </w:rPr>
            </w:pPr>
            <w:r w:rsidRPr="005B3089">
              <w:rPr>
                <w:rFonts w:eastAsiaTheme="majorEastAsia" w:cstheme="majorBidi"/>
              </w:rPr>
              <w:t>Assessment open within 1 week of OMB approval</w:t>
            </w:r>
          </w:p>
        </w:tc>
      </w:tr>
      <w:tr w:rsidR="00FB2993" w14:paraId="70EF5EE6" w14:textId="77777777" w:rsidTr="001A3F2E">
        <w:tc>
          <w:tcPr>
            <w:tcW w:w="4855" w:type="dxa"/>
            <w:tcBorders>
              <w:top w:val="single" w:sz="4" w:space="0" w:color="auto"/>
              <w:left w:val="single" w:sz="4" w:space="0" w:color="auto"/>
              <w:bottom w:val="single" w:sz="4" w:space="0" w:color="auto"/>
              <w:right w:val="single" w:sz="4" w:space="0" w:color="auto"/>
            </w:tcBorders>
            <w:vAlign w:val="center"/>
            <w:hideMark/>
          </w:tcPr>
          <w:p w14:paraId="200F4413" w14:textId="77777777" w:rsidR="00FB2993" w:rsidRDefault="00FB2993" w:rsidP="001A3F2E">
            <w:pPr>
              <w:ind w:left="0"/>
              <w:rPr>
                <w:rFonts w:ascii="Cambria" w:hAnsi="Cambria"/>
              </w:rPr>
            </w:pPr>
            <w:r w:rsidRPr="005B3089">
              <w:rPr>
                <w:rFonts w:eastAsiaTheme="majorEastAsia" w:cstheme="majorBidi"/>
              </w:rPr>
              <w:t>Complete assessment</w:t>
            </w:r>
          </w:p>
        </w:tc>
        <w:tc>
          <w:tcPr>
            <w:tcW w:w="4495" w:type="dxa"/>
            <w:tcBorders>
              <w:top w:val="single" w:sz="4" w:space="0" w:color="auto"/>
              <w:left w:val="single" w:sz="4" w:space="0" w:color="auto"/>
              <w:bottom w:val="single" w:sz="4" w:space="0" w:color="auto"/>
              <w:right w:val="single" w:sz="4" w:space="0" w:color="auto"/>
            </w:tcBorders>
            <w:vAlign w:val="center"/>
          </w:tcPr>
          <w:p w14:paraId="04B36326" w14:textId="77777777" w:rsidR="00FB2993" w:rsidRDefault="00FB2993" w:rsidP="001A3F2E">
            <w:pPr>
              <w:ind w:left="0"/>
              <w:rPr>
                <w:rFonts w:ascii="Cambria" w:hAnsi="Cambria"/>
              </w:rPr>
            </w:pPr>
            <w:r w:rsidRPr="005B3089">
              <w:rPr>
                <w:rFonts w:eastAsiaTheme="majorEastAsia" w:cstheme="majorBidi"/>
              </w:rPr>
              <w:t>Within 4 weeks of OMB approval</w:t>
            </w:r>
          </w:p>
        </w:tc>
      </w:tr>
      <w:tr w:rsidR="00FB2993" w14:paraId="6DBC1FF9" w14:textId="77777777" w:rsidTr="001A3F2E">
        <w:tc>
          <w:tcPr>
            <w:tcW w:w="4855" w:type="dxa"/>
            <w:tcBorders>
              <w:top w:val="single" w:sz="4" w:space="0" w:color="auto"/>
              <w:left w:val="single" w:sz="4" w:space="0" w:color="auto"/>
              <w:bottom w:val="single" w:sz="4" w:space="0" w:color="auto"/>
              <w:right w:val="single" w:sz="4" w:space="0" w:color="auto"/>
            </w:tcBorders>
            <w:vAlign w:val="center"/>
            <w:hideMark/>
          </w:tcPr>
          <w:p w14:paraId="2A18A34E" w14:textId="77777777" w:rsidR="00FB2993" w:rsidRDefault="00FB2993" w:rsidP="001A3F2E">
            <w:pPr>
              <w:ind w:left="0"/>
              <w:rPr>
                <w:rFonts w:ascii="Cambria" w:hAnsi="Cambria"/>
              </w:rPr>
            </w:pPr>
            <w:r w:rsidRPr="005B3089">
              <w:rPr>
                <w:rFonts w:eastAsiaTheme="majorEastAsia" w:cstheme="majorBidi"/>
              </w:rPr>
              <w:t>Prepare reports</w:t>
            </w:r>
          </w:p>
        </w:tc>
        <w:tc>
          <w:tcPr>
            <w:tcW w:w="4495" w:type="dxa"/>
            <w:tcBorders>
              <w:top w:val="single" w:sz="4" w:space="0" w:color="auto"/>
              <w:left w:val="single" w:sz="4" w:space="0" w:color="auto"/>
              <w:bottom w:val="single" w:sz="4" w:space="0" w:color="auto"/>
              <w:right w:val="single" w:sz="4" w:space="0" w:color="auto"/>
            </w:tcBorders>
            <w:vAlign w:val="center"/>
          </w:tcPr>
          <w:p w14:paraId="0E3DA3A8" w14:textId="77777777" w:rsidR="00FB2993" w:rsidRDefault="00FB2993" w:rsidP="001A3F2E">
            <w:pPr>
              <w:ind w:left="0"/>
              <w:rPr>
                <w:rFonts w:ascii="Cambria" w:hAnsi="Cambria"/>
              </w:rPr>
            </w:pPr>
            <w:r w:rsidRPr="005B3089">
              <w:rPr>
                <w:rFonts w:eastAsiaTheme="majorEastAsia" w:cstheme="majorBidi"/>
              </w:rPr>
              <w:t>Within 2 weeks of completing assessment</w:t>
            </w:r>
          </w:p>
        </w:tc>
      </w:tr>
      <w:tr w:rsidR="00FB2993" w14:paraId="5A0F87EC" w14:textId="77777777" w:rsidTr="001A3F2E">
        <w:tc>
          <w:tcPr>
            <w:tcW w:w="4855" w:type="dxa"/>
            <w:tcBorders>
              <w:top w:val="single" w:sz="4" w:space="0" w:color="auto"/>
              <w:left w:val="single" w:sz="4" w:space="0" w:color="auto"/>
              <w:bottom w:val="single" w:sz="4" w:space="0" w:color="auto"/>
              <w:right w:val="single" w:sz="4" w:space="0" w:color="auto"/>
            </w:tcBorders>
            <w:vAlign w:val="center"/>
            <w:hideMark/>
          </w:tcPr>
          <w:p w14:paraId="65237948" w14:textId="77777777" w:rsidR="00FB2993" w:rsidRDefault="00FB2993" w:rsidP="001A3F2E">
            <w:pPr>
              <w:ind w:left="0"/>
              <w:rPr>
                <w:rFonts w:ascii="Cambria" w:hAnsi="Cambria"/>
              </w:rPr>
            </w:pPr>
            <w:r w:rsidRPr="005B3089">
              <w:rPr>
                <w:rFonts w:eastAsiaTheme="majorEastAsia" w:cstheme="majorBidi"/>
              </w:rPr>
              <w:t>Disseminate results/reports</w:t>
            </w:r>
          </w:p>
        </w:tc>
        <w:tc>
          <w:tcPr>
            <w:tcW w:w="4495" w:type="dxa"/>
            <w:tcBorders>
              <w:top w:val="single" w:sz="4" w:space="0" w:color="auto"/>
              <w:left w:val="single" w:sz="4" w:space="0" w:color="auto"/>
              <w:bottom w:val="single" w:sz="4" w:space="0" w:color="auto"/>
              <w:right w:val="single" w:sz="4" w:space="0" w:color="auto"/>
            </w:tcBorders>
            <w:vAlign w:val="center"/>
          </w:tcPr>
          <w:p w14:paraId="1CF0B9AB" w14:textId="77777777" w:rsidR="00FB2993" w:rsidRDefault="00FB2993" w:rsidP="001A3F2E">
            <w:pPr>
              <w:ind w:left="0"/>
              <w:rPr>
                <w:rFonts w:ascii="Cambria" w:hAnsi="Cambria"/>
              </w:rPr>
            </w:pPr>
            <w:r w:rsidRPr="005B3089">
              <w:rPr>
                <w:rFonts w:eastAsiaTheme="majorEastAsia" w:cstheme="majorBidi"/>
              </w:rPr>
              <w:t>Within 6 week</w:t>
            </w:r>
            <w:r>
              <w:rPr>
                <w:rFonts w:eastAsiaTheme="majorEastAsia" w:cstheme="majorBidi"/>
              </w:rPr>
              <w:t>s</w:t>
            </w:r>
            <w:r w:rsidRPr="005B3089">
              <w:rPr>
                <w:rFonts w:eastAsiaTheme="majorEastAsia" w:cstheme="majorBidi"/>
              </w:rPr>
              <w:t xml:space="preserve"> of completing assessment</w:t>
            </w:r>
          </w:p>
        </w:tc>
      </w:tr>
    </w:tbl>
    <w:p w14:paraId="20DE486C" w14:textId="77777777" w:rsidR="00FB2993" w:rsidRDefault="00FB2993" w:rsidP="00FB2993"/>
    <w:p w14:paraId="0A8D08FE" w14:textId="77777777" w:rsidR="00FB2993" w:rsidRPr="00D75750" w:rsidRDefault="00FB2993" w:rsidP="00FB2993">
      <w:pPr>
        <w:pStyle w:val="Heading4"/>
      </w:pPr>
      <w:bookmarkStart w:id="26" w:name="_Toc437419329"/>
      <w:r w:rsidRPr="00D75750">
        <w:t xml:space="preserve">Reason(s) Display of OMB Expiration </w:t>
      </w:r>
      <w:r>
        <w:t xml:space="preserve">Date </w:t>
      </w:r>
      <w:r w:rsidRPr="00D75750">
        <w:t>is Inappropriate</w:t>
      </w:r>
      <w:bookmarkEnd w:id="26"/>
    </w:p>
    <w:p w14:paraId="6B5F48E8" w14:textId="4DEECF67" w:rsidR="00CF3B00" w:rsidRDefault="005E20B4" w:rsidP="00CF3B00">
      <w:pPr>
        <w:ind w:left="0"/>
      </w:pPr>
      <w:r>
        <w:t>We are requesting no exemption.</w:t>
      </w:r>
    </w:p>
    <w:p w14:paraId="14DA20BB" w14:textId="77777777" w:rsidR="00CF3B00" w:rsidRDefault="00CF3B00" w:rsidP="00CF3B00">
      <w:pPr>
        <w:ind w:left="0"/>
      </w:pPr>
    </w:p>
    <w:p w14:paraId="4B736C7E" w14:textId="77777777" w:rsidR="00FB2993" w:rsidRPr="00D26A64" w:rsidRDefault="00FB2993" w:rsidP="00FB2993">
      <w:pPr>
        <w:pStyle w:val="Heading4"/>
      </w:pPr>
      <w:bookmarkStart w:id="27" w:name="_Toc437419330"/>
      <w:r w:rsidRPr="00D26A64">
        <w:t>Exceptions to Certification for Paperwork Reduction Act Submissions</w:t>
      </w:r>
      <w:bookmarkEnd w:id="27"/>
    </w:p>
    <w:p w14:paraId="325084A6" w14:textId="0E7F15BA" w:rsidR="00FB2993" w:rsidRDefault="00FB2993" w:rsidP="00CF3B00">
      <w:pPr>
        <w:ind w:left="0"/>
      </w:pPr>
      <w:r>
        <w:t>There are no exceptions to the certification.  These activities comply with the requirements in 5 CFR 1320.9.</w:t>
      </w:r>
    </w:p>
    <w:p w14:paraId="5F9266D0" w14:textId="77777777" w:rsidR="00CF3B00" w:rsidRDefault="00CF3B00" w:rsidP="00CF3B00">
      <w:pPr>
        <w:ind w:left="0"/>
      </w:pPr>
    </w:p>
    <w:p w14:paraId="55FDB077" w14:textId="77777777" w:rsidR="00FB2993" w:rsidRDefault="00FB2993" w:rsidP="00FB2993">
      <w:pPr>
        <w:pStyle w:val="Heading3"/>
        <w:ind w:left="0"/>
      </w:pPr>
      <w:bookmarkStart w:id="28" w:name="_Toc437419331"/>
      <w:r>
        <w:t>LIST OF ATTACHMENTS – Section A</w:t>
      </w:r>
      <w:bookmarkEnd w:id="28"/>
    </w:p>
    <w:p w14:paraId="0067AF1C" w14:textId="77777777" w:rsidR="00FB2993" w:rsidRDefault="00FB2993" w:rsidP="00FB2993">
      <w:pPr>
        <w:ind w:left="0"/>
      </w:pPr>
    </w:p>
    <w:p w14:paraId="24B56B8A" w14:textId="77777777" w:rsidR="00FB2993" w:rsidRDefault="00FB2993" w:rsidP="00FB2993">
      <w:pPr>
        <w:pStyle w:val="ListParagraph"/>
        <w:numPr>
          <w:ilvl w:val="0"/>
          <w:numId w:val="41"/>
        </w:numPr>
      </w:pPr>
      <w:r>
        <w:t>CSTEDWA Instrument: Word Version</w:t>
      </w:r>
    </w:p>
    <w:p w14:paraId="5EEB409C" w14:textId="77777777" w:rsidR="00FB2993" w:rsidRDefault="00FB2993" w:rsidP="00FB2993">
      <w:pPr>
        <w:pStyle w:val="ListParagraph"/>
        <w:numPr>
          <w:ilvl w:val="0"/>
          <w:numId w:val="41"/>
        </w:numPr>
      </w:pPr>
      <w:r>
        <w:t>CSTEDWA Instrument: Web Version</w:t>
      </w:r>
    </w:p>
    <w:p w14:paraId="021A80BC" w14:textId="77777777" w:rsidR="00FB2993" w:rsidRDefault="00FB2993" w:rsidP="00FB2993"/>
    <w:p w14:paraId="4DC95A87" w14:textId="77777777" w:rsidR="00FB2993" w:rsidRPr="00052946" w:rsidRDefault="00FB2993" w:rsidP="00FB2993">
      <w:pPr>
        <w:pStyle w:val="Heading3"/>
        <w:ind w:left="0"/>
      </w:pPr>
      <w:bookmarkStart w:id="29" w:name="_Toc437419332"/>
      <w:r w:rsidRPr="00052946">
        <w:t>REFERENCE LIST</w:t>
      </w:r>
      <w:bookmarkEnd w:id="29"/>
      <w:r w:rsidRPr="00052946">
        <w:t xml:space="preserve"> </w:t>
      </w:r>
    </w:p>
    <w:p w14:paraId="40A2C9A8" w14:textId="77777777" w:rsidR="00FB2993" w:rsidRDefault="00FB2993" w:rsidP="00FB2993">
      <w:pPr>
        <w:pStyle w:val="ListParagraph"/>
        <w:numPr>
          <w:ilvl w:val="2"/>
          <w:numId w:val="2"/>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4" w:history="1">
        <w:r w:rsidRPr="00E552C4">
          <w:rPr>
            <w:rStyle w:val="Hyperlink"/>
          </w:rPr>
          <w:t>http://www.cdc.gov/nphpsp/essentialservices.html. Accessed on 8/14/14</w:t>
        </w:r>
      </w:hyperlink>
      <w:r w:rsidRPr="008C59E7">
        <w:t>.</w:t>
      </w:r>
    </w:p>
    <w:p w14:paraId="401F0FFE" w14:textId="77777777" w:rsidR="00FB2993" w:rsidRPr="0072561C" w:rsidRDefault="00FB2993" w:rsidP="00FB2993">
      <w:pPr>
        <w:pStyle w:val="ListParagraph"/>
        <w:numPr>
          <w:ilvl w:val="2"/>
          <w:numId w:val="2"/>
        </w:numPr>
        <w:tabs>
          <w:tab w:val="clear" w:pos="9360"/>
        </w:tabs>
        <w:spacing w:line="240" w:lineRule="auto"/>
        <w:ind w:hanging="360"/>
        <w:rPr>
          <w:noProof/>
        </w:rPr>
      </w:pPr>
      <w:r w:rsidRPr="0072561C">
        <w:rPr>
          <w:noProof/>
        </w:rPr>
        <w:t xml:space="preserve">Kenny, J.F., N.L. Barber, and S.S. Hutson. </w:t>
      </w:r>
      <w:r w:rsidRPr="0072561C">
        <w:rPr>
          <w:i/>
          <w:noProof/>
        </w:rPr>
        <w:t>Estimated use of water in the United States in 2005.</w:t>
      </w:r>
      <w:r w:rsidRPr="0072561C">
        <w:rPr>
          <w:noProof/>
        </w:rPr>
        <w:t xml:space="preserve"> U.S. Geological Survey Circular  2009  [cited 2013 June 17]; Available from: </w:t>
      </w:r>
      <w:hyperlink r:id="rId15" w:history="1">
        <w:r w:rsidRPr="0072561C">
          <w:rPr>
            <w:rStyle w:val="Hyperlink"/>
            <w:noProof/>
          </w:rPr>
          <w:t>http://pubs.usgs.gov/circ/1344/pdf/c1344.pdf</w:t>
        </w:r>
      </w:hyperlink>
      <w:r>
        <w:rPr>
          <w:noProof/>
        </w:rPr>
        <w:t xml:space="preserve">. </w:t>
      </w:r>
    </w:p>
    <w:p w14:paraId="02B55493" w14:textId="77777777" w:rsidR="00FB2993" w:rsidRDefault="00FB2993" w:rsidP="00FB2993">
      <w:pPr>
        <w:pStyle w:val="ListParagraph"/>
        <w:numPr>
          <w:ilvl w:val="2"/>
          <w:numId w:val="2"/>
        </w:numPr>
        <w:tabs>
          <w:tab w:val="clear" w:pos="9360"/>
        </w:tabs>
        <w:spacing w:line="240" w:lineRule="auto"/>
        <w:ind w:hanging="360"/>
        <w:rPr>
          <w:noProof/>
        </w:rPr>
      </w:pPr>
      <w:r w:rsidRPr="0072561C">
        <w:rPr>
          <w:noProof/>
        </w:rPr>
        <w:t xml:space="preserve">DeSimone, L.A., P.A. Hamilton, and R.J. Gilliom, </w:t>
      </w:r>
      <w:r w:rsidRPr="0072561C">
        <w:rPr>
          <w:i/>
          <w:noProof/>
        </w:rPr>
        <w:t>The quality of our nations waters - Quality of water from domestic wells in principal aquifers of the United States, 1991-2004 - Overview of major findings: U.S. Geological Survey Circular 1332.</w:t>
      </w:r>
      <w:r w:rsidRPr="0072561C">
        <w:rPr>
          <w:noProof/>
        </w:rPr>
        <w:t xml:space="preserve"> 2009: p. 48.</w:t>
      </w:r>
    </w:p>
    <w:p w14:paraId="017A41F4" w14:textId="77777777" w:rsidR="00FB2993" w:rsidRPr="0072561C" w:rsidRDefault="00FB2993" w:rsidP="00FB2993">
      <w:pPr>
        <w:pStyle w:val="ListParagraph"/>
        <w:numPr>
          <w:ilvl w:val="2"/>
          <w:numId w:val="2"/>
        </w:numPr>
        <w:tabs>
          <w:tab w:val="clear" w:pos="9360"/>
        </w:tabs>
        <w:spacing w:line="240" w:lineRule="auto"/>
        <w:ind w:hanging="360"/>
        <w:rPr>
          <w:noProof/>
        </w:rPr>
      </w:pPr>
      <w:r>
        <w:rPr>
          <w:noProof/>
        </w:rPr>
        <w:t xml:space="preserve">Villanueva, C.M,, Kogevinas M, et al. Assessing Exposure and Health Consequences of Chemicals in Drinking water: Current State of Knowledge and Research Needs. </w:t>
      </w:r>
      <w:r w:rsidRPr="00E65F65">
        <w:rPr>
          <w:i/>
          <w:noProof/>
        </w:rPr>
        <w:t>Environmental Health Perspectives</w:t>
      </w:r>
      <w:r>
        <w:rPr>
          <w:noProof/>
        </w:rPr>
        <w:t xml:space="preserve">, 2014. 122(3): 213-221. </w:t>
      </w:r>
    </w:p>
    <w:p w14:paraId="4A40EA1C" w14:textId="77777777" w:rsidR="00FB2993" w:rsidRPr="00FF6D7C" w:rsidRDefault="00FB2993" w:rsidP="00FB2993">
      <w:pPr>
        <w:pStyle w:val="ListParagraph"/>
        <w:numPr>
          <w:ilvl w:val="2"/>
          <w:numId w:val="2"/>
        </w:numPr>
        <w:tabs>
          <w:tab w:val="clear" w:pos="9360"/>
        </w:tabs>
        <w:spacing w:line="240" w:lineRule="auto"/>
        <w:ind w:hanging="360"/>
        <w:rPr>
          <w:noProof/>
        </w:rPr>
      </w:pPr>
      <w:r w:rsidRPr="00FF6D7C">
        <w:rPr>
          <w:noProof/>
        </w:rPr>
        <w:t xml:space="preserve">Kreutzwiser, R., et al., Understanding stewardship behavior: Factors facilitating and constraining private water well stewardship. </w:t>
      </w:r>
      <w:r w:rsidRPr="00C54AAE">
        <w:rPr>
          <w:i/>
          <w:noProof/>
        </w:rPr>
        <w:t>Journal of Environmental Management</w:t>
      </w:r>
      <w:r w:rsidRPr="00FF6D7C">
        <w:rPr>
          <w:noProof/>
        </w:rPr>
        <w:t>, 2011. 92: p. 11.</w:t>
      </w:r>
    </w:p>
    <w:p w14:paraId="3762150D" w14:textId="77777777" w:rsidR="00FB2993" w:rsidRPr="00FF6D7C" w:rsidRDefault="00FB2993" w:rsidP="00FB2993">
      <w:pPr>
        <w:pStyle w:val="ListParagraph"/>
        <w:numPr>
          <w:ilvl w:val="2"/>
          <w:numId w:val="2"/>
        </w:numPr>
        <w:tabs>
          <w:tab w:val="clear" w:pos="9360"/>
        </w:tabs>
        <w:spacing w:line="240" w:lineRule="auto"/>
        <w:ind w:hanging="360"/>
        <w:rPr>
          <w:noProof/>
        </w:rPr>
      </w:pPr>
      <w:bookmarkStart w:id="30" w:name="_ENREF_6"/>
      <w:r w:rsidRPr="00FF6D7C">
        <w:rPr>
          <w:noProof/>
        </w:rPr>
        <w:lastRenderedPageBreak/>
        <w:t>Liukkonen, B., L. Severtson, and R. Kline-Robach, Social Dimensions of Private Well Testing: Why Don't People Test their Water? 2008.</w:t>
      </w:r>
      <w:bookmarkEnd w:id="30"/>
    </w:p>
    <w:p w14:paraId="48CE5523" w14:textId="77777777" w:rsidR="00FB2993" w:rsidRPr="00FF6D7C" w:rsidRDefault="00FB2993" w:rsidP="00FB2993">
      <w:pPr>
        <w:pStyle w:val="ListParagraph"/>
        <w:numPr>
          <w:ilvl w:val="2"/>
          <w:numId w:val="2"/>
        </w:numPr>
        <w:tabs>
          <w:tab w:val="clear" w:pos="9360"/>
        </w:tabs>
        <w:spacing w:line="240" w:lineRule="auto"/>
        <w:ind w:hanging="360"/>
        <w:rPr>
          <w:noProof/>
        </w:rPr>
      </w:pPr>
      <w:bookmarkStart w:id="31" w:name="_ENREF_7"/>
      <w:r w:rsidRPr="00FF6D7C">
        <w:rPr>
          <w:noProof/>
        </w:rPr>
        <w:t>Centers for Disease Control and Prevention, N.C.f.E.H., Division of Environmental Hazards and Health Effects, Health Studies Branch, Impact of Drought Conditions on Private Well Owners - Arkansas, Indiana, Oklahoma, in Epi Aid Trip Report. 2013.</w:t>
      </w:r>
      <w:bookmarkEnd w:id="31"/>
    </w:p>
    <w:p w14:paraId="2EA4E925" w14:textId="77777777" w:rsidR="00FB2993" w:rsidRPr="00FF6D7C" w:rsidRDefault="00FB2993" w:rsidP="00FB2993">
      <w:pPr>
        <w:pStyle w:val="ListParagraph"/>
        <w:numPr>
          <w:ilvl w:val="2"/>
          <w:numId w:val="2"/>
        </w:numPr>
        <w:tabs>
          <w:tab w:val="clear" w:pos="9360"/>
        </w:tabs>
        <w:spacing w:line="240" w:lineRule="auto"/>
        <w:ind w:hanging="360"/>
        <w:rPr>
          <w:noProof/>
        </w:rPr>
      </w:pPr>
      <w:bookmarkStart w:id="32" w:name="_ENREF_8"/>
      <w:r w:rsidRPr="00FF6D7C">
        <w:rPr>
          <w:noProof/>
        </w:rPr>
        <w:t>Jones, A.Q., C.E. Dewey, and K. Dore, Public perceptions of drinking water: a postal survey of residents with private water supplies. BioMed Central Public Health, 2006. 6(94).</w:t>
      </w:r>
      <w:bookmarkEnd w:id="32"/>
    </w:p>
    <w:p w14:paraId="07910A95" w14:textId="77777777" w:rsidR="00FB2993" w:rsidRPr="00FF6D7C" w:rsidRDefault="00FB2993" w:rsidP="00FB2993">
      <w:pPr>
        <w:pStyle w:val="ListParagraph"/>
        <w:numPr>
          <w:ilvl w:val="2"/>
          <w:numId w:val="2"/>
        </w:numPr>
        <w:tabs>
          <w:tab w:val="clear" w:pos="9360"/>
        </w:tabs>
        <w:spacing w:line="240" w:lineRule="auto"/>
        <w:ind w:hanging="360"/>
        <w:rPr>
          <w:noProof/>
        </w:rPr>
      </w:pPr>
      <w:bookmarkStart w:id="33" w:name="_ENREF_9"/>
      <w:r w:rsidRPr="00FF6D7C">
        <w:rPr>
          <w:noProof/>
        </w:rPr>
        <w:t xml:space="preserve">Jones, A.Q., et al., Public perception of drinking water from private water supplies: focus group analyses. </w:t>
      </w:r>
      <w:r w:rsidRPr="00C54AAE">
        <w:rPr>
          <w:i/>
          <w:noProof/>
        </w:rPr>
        <w:t>BioMed Central Public Health</w:t>
      </w:r>
      <w:r w:rsidRPr="00FF6D7C">
        <w:rPr>
          <w:noProof/>
        </w:rPr>
        <w:t>, 2005. 5(129).</w:t>
      </w:r>
      <w:bookmarkEnd w:id="33"/>
    </w:p>
    <w:p w14:paraId="624FBD4F" w14:textId="77777777" w:rsidR="00FB2993" w:rsidRPr="008A6211" w:rsidRDefault="00FB2993" w:rsidP="00FB2993">
      <w:pPr>
        <w:pStyle w:val="ListParagraph"/>
        <w:numPr>
          <w:ilvl w:val="2"/>
          <w:numId w:val="2"/>
        </w:numPr>
        <w:tabs>
          <w:tab w:val="clear" w:pos="9360"/>
        </w:tabs>
        <w:spacing w:line="240" w:lineRule="auto"/>
        <w:ind w:hanging="360"/>
        <w:rPr>
          <w:rFonts w:eastAsia="Times New Roman" w:cs="Courier New"/>
          <w:color w:val="000000"/>
        </w:rPr>
      </w:pPr>
      <w:r>
        <w:rPr>
          <w:rFonts w:eastAsia="Times New Roman" w:cs="Courier New"/>
          <w:color w:val="000000"/>
        </w:rPr>
        <w:t>F</w:t>
      </w:r>
      <w:r w:rsidRPr="008A6211">
        <w:rPr>
          <w:rFonts w:eastAsia="Times New Roman" w:cs="Courier New"/>
          <w:color w:val="000000"/>
        </w:rPr>
        <w:t>lanagan</w:t>
      </w:r>
      <w:r>
        <w:rPr>
          <w:rFonts w:eastAsia="Times New Roman" w:cs="Courier New"/>
          <w:color w:val="000000"/>
        </w:rPr>
        <w:t>, S.V.</w:t>
      </w:r>
      <w:r w:rsidRPr="008A6211">
        <w:rPr>
          <w:rFonts w:eastAsia="Times New Roman" w:cs="Courier New"/>
          <w:color w:val="000000"/>
        </w:rPr>
        <w:t>, Marvinney</w:t>
      </w:r>
      <w:r>
        <w:rPr>
          <w:rFonts w:eastAsia="Times New Roman" w:cs="Courier New"/>
          <w:color w:val="000000"/>
        </w:rPr>
        <w:t>, R.G.</w:t>
      </w:r>
      <w:r w:rsidRPr="008A6211">
        <w:rPr>
          <w:rFonts w:eastAsia="Times New Roman" w:cs="Courier New"/>
          <w:color w:val="000000"/>
        </w:rPr>
        <w:t xml:space="preserve">, </w:t>
      </w:r>
      <w:r>
        <w:rPr>
          <w:rFonts w:eastAsia="Times New Roman" w:cs="Courier New"/>
          <w:color w:val="000000"/>
        </w:rPr>
        <w:t>and Zheng, Y.</w:t>
      </w:r>
      <w:r w:rsidRPr="008A6211">
        <w:rPr>
          <w:rFonts w:eastAsia="Times New Roman" w:cs="Courier New"/>
          <w:color w:val="000000"/>
        </w:rPr>
        <w:t xml:space="preserve"> Influences on domestic well water testing behavior in a Central Maine area with frequent</w:t>
      </w:r>
      <w:r>
        <w:rPr>
          <w:rFonts w:eastAsia="Times New Roman" w:cs="Courier New"/>
          <w:color w:val="000000"/>
        </w:rPr>
        <w:t xml:space="preserve"> groundwater arsenic occurrence.</w:t>
      </w:r>
      <w:r w:rsidRPr="008A6211">
        <w:rPr>
          <w:rFonts w:eastAsia="Times New Roman" w:cs="Courier New"/>
          <w:color w:val="000000"/>
        </w:rPr>
        <w:t xml:space="preserve"> </w:t>
      </w:r>
      <w:r w:rsidRPr="00C54AAE">
        <w:rPr>
          <w:rFonts w:eastAsia="Times New Roman" w:cs="Courier New"/>
          <w:i/>
          <w:color w:val="000000"/>
        </w:rPr>
        <w:t>Science of The Total Environment</w:t>
      </w:r>
      <w:r w:rsidRPr="008A6211">
        <w:rPr>
          <w:rFonts w:eastAsia="Times New Roman" w:cs="Courier New"/>
          <w:color w:val="000000"/>
        </w:rPr>
        <w:t>, Available online 26 May 2014,</w:t>
      </w:r>
      <w:r>
        <w:rPr>
          <w:rFonts w:eastAsia="Times New Roman" w:cs="Courier New"/>
          <w:color w:val="000000"/>
        </w:rPr>
        <w:t xml:space="preserve"> </w:t>
      </w:r>
      <w:r w:rsidRPr="008A6211">
        <w:rPr>
          <w:rFonts w:eastAsia="Times New Roman" w:cs="Courier New"/>
          <w:color w:val="000000"/>
        </w:rPr>
        <w:t>http://www.sciencedirect.com/scienc</w:t>
      </w:r>
      <w:r>
        <w:rPr>
          <w:rFonts w:eastAsia="Times New Roman" w:cs="Courier New"/>
          <w:color w:val="000000"/>
        </w:rPr>
        <w:t>e/article/pii/S0048969714006755.</w:t>
      </w:r>
    </w:p>
    <w:p w14:paraId="281E6EF8" w14:textId="77777777" w:rsidR="00FB2993" w:rsidRPr="00586569" w:rsidRDefault="00FB2993" w:rsidP="00FB2993">
      <w:pPr>
        <w:pStyle w:val="ListParagraph"/>
        <w:numPr>
          <w:ilvl w:val="2"/>
          <w:numId w:val="2"/>
        </w:numPr>
        <w:tabs>
          <w:tab w:val="clear" w:pos="9360"/>
        </w:tabs>
        <w:spacing w:line="240" w:lineRule="auto"/>
        <w:ind w:hanging="360"/>
        <w:rPr>
          <w:noProof/>
        </w:rPr>
      </w:pPr>
      <w:r w:rsidRPr="00586569">
        <w:rPr>
          <w:rFonts w:cs="Arial"/>
          <w:shd w:val="clear" w:color="auto" w:fill="FFFFFF"/>
        </w:rPr>
        <w:t>Knobeloch L, Salna B, Hogan A, Postle J, Anderson H. Blue babies and nitrate-contaminated well water.</w:t>
      </w:r>
      <w:r w:rsidRPr="00586569">
        <w:rPr>
          <w:rStyle w:val="apple-converted-space"/>
          <w:rFonts w:cs="Arial"/>
          <w:shd w:val="clear" w:color="auto" w:fill="FFFFFF"/>
        </w:rPr>
        <w:t> </w:t>
      </w:r>
      <w:r w:rsidRPr="00586569">
        <w:rPr>
          <w:rFonts w:cs="Arial"/>
          <w:i/>
          <w:iCs/>
          <w:shd w:val="clear" w:color="auto" w:fill="FFFFFF"/>
        </w:rPr>
        <w:t xml:space="preserve">Environmental Health Perspectives. </w:t>
      </w:r>
      <w:r w:rsidRPr="00586569">
        <w:rPr>
          <w:rFonts w:cs="Arial"/>
          <w:shd w:val="clear" w:color="auto" w:fill="FFFFFF"/>
        </w:rPr>
        <w:t>2000; 108(7): 675-678.</w:t>
      </w:r>
    </w:p>
    <w:p w14:paraId="3293EFD2" w14:textId="77777777" w:rsidR="00FB2993" w:rsidRDefault="00FB2993" w:rsidP="00FB2993">
      <w:pPr>
        <w:pStyle w:val="ListParagraph"/>
        <w:numPr>
          <w:ilvl w:val="2"/>
          <w:numId w:val="2"/>
        </w:numPr>
        <w:tabs>
          <w:tab w:val="clear" w:pos="9360"/>
        </w:tabs>
        <w:spacing w:line="240" w:lineRule="auto"/>
        <w:ind w:hanging="360"/>
        <w:rPr>
          <w:noProof/>
        </w:rPr>
      </w:pPr>
      <w:r w:rsidRPr="00586569">
        <w:rPr>
          <w:noProof/>
        </w:rPr>
        <w:t xml:space="preserve">Borchardt, M. A., Bertz, P. D., Spencer, S. K. </w:t>
      </w:r>
      <w:r>
        <w:rPr>
          <w:noProof/>
        </w:rPr>
        <w:t>and</w:t>
      </w:r>
      <w:r w:rsidRPr="00586569">
        <w:rPr>
          <w:noProof/>
        </w:rPr>
        <w:t xml:space="preserve"> Battigelli, D. A.</w:t>
      </w:r>
      <w:r>
        <w:rPr>
          <w:noProof/>
        </w:rPr>
        <w:t xml:space="preserve"> </w:t>
      </w:r>
      <w:r w:rsidRPr="00586569">
        <w:rPr>
          <w:noProof/>
        </w:rPr>
        <w:t>Incidence of enteric viruses in groundwater from</w:t>
      </w:r>
      <w:r>
        <w:rPr>
          <w:noProof/>
        </w:rPr>
        <w:t xml:space="preserve"> </w:t>
      </w:r>
      <w:r w:rsidRPr="00586569">
        <w:rPr>
          <w:noProof/>
        </w:rPr>
        <w:t xml:space="preserve">household wells in Wisconsin. </w:t>
      </w:r>
      <w:r w:rsidRPr="00586569">
        <w:rPr>
          <w:i/>
          <w:noProof/>
        </w:rPr>
        <w:t>Applied and Environmental Microbiology</w:t>
      </w:r>
      <w:r>
        <w:rPr>
          <w:noProof/>
        </w:rPr>
        <w:t>. 2003;</w:t>
      </w:r>
      <w:r w:rsidRPr="00586569">
        <w:rPr>
          <w:noProof/>
        </w:rPr>
        <w:t xml:space="preserve"> 69, 1172–1180.</w:t>
      </w:r>
    </w:p>
    <w:p w14:paraId="706408F4" w14:textId="77777777" w:rsidR="00FB2993" w:rsidRDefault="00FB2993" w:rsidP="00FB2993">
      <w:pPr>
        <w:pStyle w:val="ListParagraph"/>
        <w:numPr>
          <w:ilvl w:val="2"/>
          <w:numId w:val="2"/>
        </w:numPr>
        <w:tabs>
          <w:tab w:val="clear" w:pos="9360"/>
        </w:tabs>
        <w:spacing w:line="240" w:lineRule="auto"/>
        <w:ind w:hanging="360"/>
        <w:rPr>
          <w:noProof/>
        </w:rPr>
      </w:pPr>
      <w:r w:rsidRPr="00586569">
        <w:rPr>
          <w:noProof/>
        </w:rPr>
        <w:t>Allevi, R., Krometis, L., Hagedorn, C., Benha</w:t>
      </w:r>
      <w:r>
        <w:rPr>
          <w:noProof/>
        </w:rPr>
        <w:t>m, B., Lawrence, A., Ling, E., and Ziegler, P</w:t>
      </w:r>
      <w:r w:rsidRPr="00586569">
        <w:rPr>
          <w:noProof/>
        </w:rPr>
        <w:t>. Quantitative analysis of microbial contamination in private drinking water supply systems. </w:t>
      </w:r>
      <w:r>
        <w:rPr>
          <w:i/>
          <w:iCs/>
          <w:noProof/>
        </w:rPr>
        <w:t xml:space="preserve">Journal of Water and Health. </w:t>
      </w:r>
      <w:r>
        <w:rPr>
          <w:iCs/>
          <w:noProof/>
        </w:rPr>
        <w:t>2013; 11(2),</w:t>
      </w:r>
      <w:r w:rsidRPr="00586569">
        <w:rPr>
          <w:noProof/>
        </w:rPr>
        <w:t> </w:t>
      </w:r>
      <w:r>
        <w:rPr>
          <w:noProof/>
        </w:rPr>
        <w:t>244-55</w:t>
      </w:r>
      <w:r w:rsidRPr="00586569">
        <w:rPr>
          <w:noProof/>
        </w:rPr>
        <w:t>.</w:t>
      </w:r>
    </w:p>
    <w:p w14:paraId="5B04EDA9" w14:textId="2BC809CE" w:rsidR="005C3976" w:rsidRPr="001F0C31" w:rsidRDefault="00FB2993" w:rsidP="00AA698D">
      <w:pPr>
        <w:pStyle w:val="ListParagraph"/>
        <w:numPr>
          <w:ilvl w:val="2"/>
          <w:numId w:val="2"/>
        </w:numPr>
        <w:tabs>
          <w:tab w:val="clear" w:pos="9360"/>
        </w:tabs>
        <w:spacing w:line="240" w:lineRule="auto"/>
        <w:ind w:hanging="360"/>
        <w:rPr>
          <w:noProof/>
        </w:rPr>
      </w:pPr>
      <w:r w:rsidRPr="002563C7">
        <w:rPr>
          <w:shd w:val="clear" w:color="auto" w:fill="FFFFFF"/>
        </w:rPr>
        <w:t>Sanders, A., Messier, K., Shehee, M., Rudo, K., Serre, M., and Fry, R. Arsenic in North Carolina: Public Health Implications.</w:t>
      </w:r>
      <w:r w:rsidRPr="002563C7">
        <w:rPr>
          <w:rStyle w:val="apple-converted-space"/>
          <w:shd w:val="clear" w:color="auto" w:fill="FFFFFF"/>
        </w:rPr>
        <w:t> </w:t>
      </w:r>
      <w:r w:rsidRPr="002563C7">
        <w:rPr>
          <w:i/>
          <w:iCs/>
          <w:shd w:val="clear" w:color="auto" w:fill="FFFFFF"/>
        </w:rPr>
        <w:t>Environment International.</w:t>
      </w:r>
      <w:r w:rsidRPr="002563C7">
        <w:rPr>
          <w:rFonts w:cs="Arial"/>
          <w:shd w:val="clear" w:color="auto" w:fill="FFFFFF"/>
        </w:rPr>
        <w:t xml:space="preserve"> 2012 Jan;</w:t>
      </w:r>
      <w:r>
        <w:rPr>
          <w:rFonts w:cs="Arial"/>
          <w:shd w:val="clear" w:color="auto" w:fill="FFFFFF"/>
        </w:rPr>
        <w:t xml:space="preserve"> </w:t>
      </w:r>
      <w:r w:rsidRPr="002563C7">
        <w:rPr>
          <w:rFonts w:cs="Arial"/>
          <w:shd w:val="clear" w:color="auto" w:fill="FFFFFF"/>
        </w:rPr>
        <w:t>38(1):</w:t>
      </w:r>
      <w:r>
        <w:rPr>
          <w:rFonts w:cs="Arial"/>
          <w:shd w:val="clear" w:color="auto" w:fill="FFFFFF"/>
        </w:rPr>
        <w:t xml:space="preserve"> </w:t>
      </w:r>
      <w:r w:rsidRPr="002563C7">
        <w:rPr>
          <w:rFonts w:cs="Arial"/>
          <w:shd w:val="clear" w:color="auto" w:fill="FFFFFF"/>
        </w:rPr>
        <w:t>10-6</w:t>
      </w:r>
      <w:r w:rsidRPr="002563C7">
        <w:rPr>
          <w:shd w:val="clear" w:color="auto" w:fill="FFFFFF"/>
        </w:rPr>
        <w:t>.</w:t>
      </w:r>
    </w:p>
    <w:sectPr w:rsidR="005C3976" w:rsidRPr="001F0C31"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3AE94" w14:textId="77777777" w:rsidR="001640AD" w:rsidRDefault="001640AD" w:rsidP="007D6163">
      <w:r>
        <w:separator/>
      </w:r>
    </w:p>
    <w:p w14:paraId="48D3AE95" w14:textId="77777777" w:rsidR="001640AD" w:rsidRDefault="001640AD" w:rsidP="007D6163"/>
  </w:endnote>
  <w:endnote w:type="continuationSeparator" w:id="0">
    <w:p w14:paraId="48D3AE96" w14:textId="77777777" w:rsidR="001640AD" w:rsidRDefault="001640AD" w:rsidP="007D6163">
      <w:r>
        <w:continuationSeparator/>
      </w:r>
    </w:p>
    <w:p w14:paraId="48D3AE97" w14:textId="77777777" w:rsidR="001640AD" w:rsidRDefault="001640AD"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8D3AE9A" w14:textId="77777777" w:rsidR="001640AD" w:rsidRDefault="001640A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5B37">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5B37">
              <w:rPr>
                <w:b/>
                <w:bCs/>
                <w:noProof/>
              </w:rPr>
              <w:t>12</w:t>
            </w:r>
            <w:r>
              <w:rPr>
                <w:b/>
                <w:bCs/>
                <w:sz w:val="24"/>
                <w:szCs w:val="24"/>
              </w:rPr>
              <w:fldChar w:fldCharType="end"/>
            </w:r>
          </w:p>
        </w:sdtContent>
      </w:sdt>
    </w:sdtContent>
  </w:sdt>
  <w:p w14:paraId="48D3AE9B" w14:textId="77777777" w:rsidR="001640AD" w:rsidRDefault="001640AD"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3AE90" w14:textId="77777777" w:rsidR="001640AD" w:rsidRDefault="001640AD" w:rsidP="007D6163">
      <w:r>
        <w:separator/>
      </w:r>
    </w:p>
    <w:p w14:paraId="48D3AE91" w14:textId="77777777" w:rsidR="001640AD" w:rsidRDefault="001640AD" w:rsidP="007D6163"/>
  </w:footnote>
  <w:footnote w:type="continuationSeparator" w:id="0">
    <w:p w14:paraId="48D3AE92" w14:textId="77777777" w:rsidR="001640AD" w:rsidRDefault="001640AD" w:rsidP="007D6163">
      <w:r>
        <w:continuationSeparator/>
      </w:r>
    </w:p>
    <w:p w14:paraId="48D3AE93" w14:textId="77777777" w:rsidR="001640AD" w:rsidRDefault="001640AD"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3AE98" w14:textId="77777777" w:rsidR="001640AD" w:rsidRPr="00716F94" w:rsidRDefault="001640AD" w:rsidP="007D6163">
    <w:pPr>
      <w:pStyle w:val="Header"/>
      <w:rPr>
        <w:color w:val="0033CC"/>
      </w:rPr>
    </w:pPr>
    <w:r>
      <w:tab/>
    </w:r>
  </w:p>
  <w:p w14:paraId="48D3AE99" w14:textId="77777777" w:rsidR="001640AD" w:rsidRDefault="001640AD"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45D0B"/>
    <w:multiLevelType w:val="hybridMultilevel"/>
    <w:tmpl w:val="65B8D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D6B4D"/>
    <w:multiLevelType w:val="hybridMultilevel"/>
    <w:tmpl w:val="1C705234"/>
    <w:lvl w:ilvl="0" w:tplc="09BA8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F85C09"/>
    <w:multiLevelType w:val="hybridMultilevel"/>
    <w:tmpl w:val="337EF2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B80E99"/>
    <w:multiLevelType w:val="hybridMultilevel"/>
    <w:tmpl w:val="688E9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2F325ED0"/>
    <w:multiLevelType w:val="hybridMultilevel"/>
    <w:tmpl w:val="651437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DB6EF2"/>
    <w:multiLevelType w:val="hybridMultilevel"/>
    <w:tmpl w:val="31A6FF3A"/>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8C643C"/>
    <w:multiLevelType w:val="hybridMultilevel"/>
    <w:tmpl w:val="77545FD0"/>
    <w:lvl w:ilvl="0" w:tplc="1C042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86F3183"/>
    <w:multiLevelType w:val="hybridMultilevel"/>
    <w:tmpl w:val="6DF60AB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1F7B4A"/>
    <w:multiLevelType w:val="hybridMultilevel"/>
    <w:tmpl w:val="0DF4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2AA647D"/>
    <w:multiLevelType w:val="hybridMultilevel"/>
    <w:tmpl w:val="CA56B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90716"/>
    <w:multiLevelType w:val="hybridMultilevel"/>
    <w:tmpl w:val="876E2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42"/>
  </w:num>
  <w:num w:numId="4">
    <w:abstractNumId w:val="17"/>
  </w:num>
  <w:num w:numId="5">
    <w:abstractNumId w:val="28"/>
  </w:num>
  <w:num w:numId="6">
    <w:abstractNumId w:val="13"/>
  </w:num>
  <w:num w:numId="7">
    <w:abstractNumId w:val="0"/>
  </w:num>
  <w:num w:numId="8">
    <w:abstractNumId w:val="7"/>
  </w:num>
  <w:num w:numId="9">
    <w:abstractNumId w:val="14"/>
  </w:num>
  <w:num w:numId="10">
    <w:abstractNumId w:val="33"/>
  </w:num>
  <w:num w:numId="11">
    <w:abstractNumId w:val="2"/>
  </w:num>
  <w:num w:numId="12">
    <w:abstractNumId w:val="41"/>
  </w:num>
  <w:num w:numId="13">
    <w:abstractNumId w:val="11"/>
  </w:num>
  <w:num w:numId="14">
    <w:abstractNumId w:val="3"/>
  </w:num>
  <w:num w:numId="15">
    <w:abstractNumId w:val="36"/>
  </w:num>
  <w:num w:numId="16">
    <w:abstractNumId w:val="38"/>
  </w:num>
  <w:num w:numId="17">
    <w:abstractNumId w:val="40"/>
  </w:num>
  <w:num w:numId="18">
    <w:abstractNumId w:val="20"/>
  </w:num>
  <w:num w:numId="19">
    <w:abstractNumId w:val="44"/>
  </w:num>
  <w:num w:numId="20">
    <w:abstractNumId w:val="31"/>
  </w:num>
  <w:num w:numId="21">
    <w:abstractNumId w:val="34"/>
  </w:num>
  <w:num w:numId="22">
    <w:abstractNumId w:val="29"/>
  </w:num>
  <w:num w:numId="23">
    <w:abstractNumId w:val="10"/>
  </w:num>
  <w:num w:numId="24">
    <w:abstractNumId w:val="37"/>
  </w:num>
  <w:num w:numId="25">
    <w:abstractNumId w:val="5"/>
  </w:num>
  <w:num w:numId="26">
    <w:abstractNumId w:val="26"/>
  </w:num>
  <w:num w:numId="27">
    <w:abstractNumId w:val="8"/>
  </w:num>
  <w:num w:numId="28">
    <w:abstractNumId w:val="16"/>
  </w:num>
  <w:num w:numId="29">
    <w:abstractNumId w:val="32"/>
  </w:num>
  <w:num w:numId="30">
    <w:abstractNumId w:val="43"/>
  </w:num>
  <w:num w:numId="31">
    <w:abstractNumId w:val="23"/>
  </w:num>
  <w:num w:numId="32">
    <w:abstractNumId w:val="27"/>
  </w:num>
  <w:num w:numId="33">
    <w:abstractNumId w:val="19"/>
  </w:num>
  <w:num w:numId="34">
    <w:abstractNumId w:val="39"/>
  </w:num>
  <w:num w:numId="35">
    <w:abstractNumId w:val="35"/>
  </w:num>
  <w:num w:numId="36">
    <w:abstractNumId w:val="12"/>
  </w:num>
  <w:num w:numId="37">
    <w:abstractNumId w:val="30"/>
  </w:num>
  <w:num w:numId="38">
    <w:abstractNumId w:val="25"/>
  </w:num>
  <w:num w:numId="39">
    <w:abstractNumId w:val="9"/>
  </w:num>
  <w:num w:numId="40">
    <w:abstractNumId w:val="18"/>
  </w:num>
  <w:num w:numId="41">
    <w:abstractNumId w:val="21"/>
  </w:num>
  <w:num w:numId="42">
    <w:abstractNumId w:val="15"/>
  </w:num>
  <w:num w:numId="43">
    <w:abstractNumId w:val="6"/>
  </w:num>
  <w:num w:numId="44">
    <w:abstractNumId w:val="24"/>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29A6"/>
    <w:rsid w:val="00003016"/>
    <w:rsid w:val="000058E0"/>
    <w:rsid w:val="00011A98"/>
    <w:rsid w:val="00011F8D"/>
    <w:rsid w:val="000130B4"/>
    <w:rsid w:val="00014361"/>
    <w:rsid w:val="000222B9"/>
    <w:rsid w:val="00022543"/>
    <w:rsid w:val="00037615"/>
    <w:rsid w:val="00040611"/>
    <w:rsid w:val="0004305C"/>
    <w:rsid w:val="00045452"/>
    <w:rsid w:val="00047268"/>
    <w:rsid w:val="000474FB"/>
    <w:rsid w:val="00052946"/>
    <w:rsid w:val="00053A92"/>
    <w:rsid w:val="00054839"/>
    <w:rsid w:val="00055DAE"/>
    <w:rsid w:val="00057F36"/>
    <w:rsid w:val="00064859"/>
    <w:rsid w:val="00067BEC"/>
    <w:rsid w:val="00076E9F"/>
    <w:rsid w:val="0008159E"/>
    <w:rsid w:val="000855C1"/>
    <w:rsid w:val="00096416"/>
    <w:rsid w:val="00096D92"/>
    <w:rsid w:val="000A0B75"/>
    <w:rsid w:val="000A1F30"/>
    <w:rsid w:val="000A2D0C"/>
    <w:rsid w:val="000A34C5"/>
    <w:rsid w:val="000A71DF"/>
    <w:rsid w:val="000B0962"/>
    <w:rsid w:val="000B2CBC"/>
    <w:rsid w:val="000B4083"/>
    <w:rsid w:val="000C25E8"/>
    <w:rsid w:val="000C3A0C"/>
    <w:rsid w:val="000C421B"/>
    <w:rsid w:val="000C6626"/>
    <w:rsid w:val="000D610F"/>
    <w:rsid w:val="000E6577"/>
    <w:rsid w:val="000E7A19"/>
    <w:rsid w:val="00101D27"/>
    <w:rsid w:val="00101FD0"/>
    <w:rsid w:val="00104A1B"/>
    <w:rsid w:val="00106585"/>
    <w:rsid w:val="00113706"/>
    <w:rsid w:val="00114488"/>
    <w:rsid w:val="00117419"/>
    <w:rsid w:val="001177DD"/>
    <w:rsid w:val="001208B6"/>
    <w:rsid w:val="00123BDF"/>
    <w:rsid w:val="00135334"/>
    <w:rsid w:val="00137CFB"/>
    <w:rsid w:val="00141155"/>
    <w:rsid w:val="001412D4"/>
    <w:rsid w:val="001424CF"/>
    <w:rsid w:val="00144F64"/>
    <w:rsid w:val="00145D62"/>
    <w:rsid w:val="0015125D"/>
    <w:rsid w:val="00151567"/>
    <w:rsid w:val="00157413"/>
    <w:rsid w:val="00161B3B"/>
    <w:rsid w:val="00162CE4"/>
    <w:rsid w:val="00163E17"/>
    <w:rsid w:val="001640AD"/>
    <w:rsid w:val="00166F9E"/>
    <w:rsid w:val="00167531"/>
    <w:rsid w:val="00167880"/>
    <w:rsid w:val="00171016"/>
    <w:rsid w:val="00180D45"/>
    <w:rsid w:val="00187432"/>
    <w:rsid w:val="00187870"/>
    <w:rsid w:val="00187C8A"/>
    <w:rsid w:val="00187D5A"/>
    <w:rsid w:val="0019164D"/>
    <w:rsid w:val="00195852"/>
    <w:rsid w:val="001972D7"/>
    <w:rsid w:val="001A28F6"/>
    <w:rsid w:val="001A3F2E"/>
    <w:rsid w:val="001B2831"/>
    <w:rsid w:val="001B4065"/>
    <w:rsid w:val="001B40D6"/>
    <w:rsid w:val="001B5910"/>
    <w:rsid w:val="001B7FE1"/>
    <w:rsid w:val="001C0493"/>
    <w:rsid w:val="001C28AD"/>
    <w:rsid w:val="001D7FCB"/>
    <w:rsid w:val="001E2A2C"/>
    <w:rsid w:val="001E2B99"/>
    <w:rsid w:val="001E69B6"/>
    <w:rsid w:val="001E7537"/>
    <w:rsid w:val="001F0C31"/>
    <w:rsid w:val="001F4556"/>
    <w:rsid w:val="001F4DBB"/>
    <w:rsid w:val="002002C5"/>
    <w:rsid w:val="00202D07"/>
    <w:rsid w:val="0020312D"/>
    <w:rsid w:val="002034CD"/>
    <w:rsid w:val="00206E33"/>
    <w:rsid w:val="00210519"/>
    <w:rsid w:val="00211CE5"/>
    <w:rsid w:val="0022450B"/>
    <w:rsid w:val="00227259"/>
    <w:rsid w:val="00232D6B"/>
    <w:rsid w:val="0023395A"/>
    <w:rsid w:val="00241B17"/>
    <w:rsid w:val="00241C81"/>
    <w:rsid w:val="00244557"/>
    <w:rsid w:val="002506E4"/>
    <w:rsid w:val="002563C7"/>
    <w:rsid w:val="00256C83"/>
    <w:rsid w:val="00257A1C"/>
    <w:rsid w:val="00261D30"/>
    <w:rsid w:val="002662BD"/>
    <w:rsid w:val="0027234C"/>
    <w:rsid w:val="00273362"/>
    <w:rsid w:val="00281795"/>
    <w:rsid w:val="002850E3"/>
    <w:rsid w:val="00285C44"/>
    <w:rsid w:val="0028681B"/>
    <w:rsid w:val="00287E2F"/>
    <w:rsid w:val="002A0A3C"/>
    <w:rsid w:val="002A1948"/>
    <w:rsid w:val="002A1BE5"/>
    <w:rsid w:val="002A4BE3"/>
    <w:rsid w:val="002A7708"/>
    <w:rsid w:val="002C0877"/>
    <w:rsid w:val="002C2AE2"/>
    <w:rsid w:val="002D06E2"/>
    <w:rsid w:val="002D08EC"/>
    <w:rsid w:val="002D0DCE"/>
    <w:rsid w:val="002E102F"/>
    <w:rsid w:val="002E2B10"/>
    <w:rsid w:val="002E61D2"/>
    <w:rsid w:val="002E73B0"/>
    <w:rsid w:val="002F0AA6"/>
    <w:rsid w:val="002F0FF8"/>
    <w:rsid w:val="002F1502"/>
    <w:rsid w:val="002F2069"/>
    <w:rsid w:val="002F2694"/>
    <w:rsid w:val="002F71A2"/>
    <w:rsid w:val="003041AD"/>
    <w:rsid w:val="00305B48"/>
    <w:rsid w:val="0031184C"/>
    <w:rsid w:val="0031279F"/>
    <w:rsid w:val="00313E81"/>
    <w:rsid w:val="003151B9"/>
    <w:rsid w:val="00316F00"/>
    <w:rsid w:val="00320676"/>
    <w:rsid w:val="00321B51"/>
    <w:rsid w:val="00336D96"/>
    <w:rsid w:val="003431E2"/>
    <w:rsid w:val="003448E2"/>
    <w:rsid w:val="00344F07"/>
    <w:rsid w:val="003469C8"/>
    <w:rsid w:val="00350C8C"/>
    <w:rsid w:val="003529ED"/>
    <w:rsid w:val="00355EA4"/>
    <w:rsid w:val="00360891"/>
    <w:rsid w:val="003635BE"/>
    <w:rsid w:val="00365045"/>
    <w:rsid w:val="00366B5E"/>
    <w:rsid w:val="00367669"/>
    <w:rsid w:val="00370AA4"/>
    <w:rsid w:val="00380CA8"/>
    <w:rsid w:val="00385BB5"/>
    <w:rsid w:val="00386BC2"/>
    <w:rsid w:val="00394A19"/>
    <w:rsid w:val="003A19AD"/>
    <w:rsid w:val="003A3014"/>
    <w:rsid w:val="003B125E"/>
    <w:rsid w:val="003B1BE3"/>
    <w:rsid w:val="003B2200"/>
    <w:rsid w:val="003B2AE6"/>
    <w:rsid w:val="003B50FD"/>
    <w:rsid w:val="003C31C9"/>
    <w:rsid w:val="003C4961"/>
    <w:rsid w:val="003C7939"/>
    <w:rsid w:val="003C7C5D"/>
    <w:rsid w:val="003D0AD2"/>
    <w:rsid w:val="003F0055"/>
    <w:rsid w:val="003F2C21"/>
    <w:rsid w:val="003F5913"/>
    <w:rsid w:val="004016AF"/>
    <w:rsid w:val="004024F8"/>
    <w:rsid w:val="004031F9"/>
    <w:rsid w:val="00405696"/>
    <w:rsid w:val="0041159A"/>
    <w:rsid w:val="00414DAA"/>
    <w:rsid w:val="00415BF7"/>
    <w:rsid w:val="00415EE4"/>
    <w:rsid w:val="00416051"/>
    <w:rsid w:val="00422B98"/>
    <w:rsid w:val="00423149"/>
    <w:rsid w:val="00424646"/>
    <w:rsid w:val="00424697"/>
    <w:rsid w:val="004277B5"/>
    <w:rsid w:val="00430053"/>
    <w:rsid w:val="004305A8"/>
    <w:rsid w:val="0043229B"/>
    <w:rsid w:val="004353D5"/>
    <w:rsid w:val="00443CA0"/>
    <w:rsid w:val="00445AFC"/>
    <w:rsid w:val="00450E14"/>
    <w:rsid w:val="00452C2B"/>
    <w:rsid w:val="00455B37"/>
    <w:rsid w:val="0046061E"/>
    <w:rsid w:val="00460D7B"/>
    <w:rsid w:val="00462C65"/>
    <w:rsid w:val="0046447B"/>
    <w:rsid w:val="004674E7"/>
    <w:rsid w:val="00467B14"/>
    <w:rsid w:val="00467D07"/>
    <w:rsid w:val="004722E8"/>
    <w:rsid w:val="00474EDA"/>
    <w:rsid w:val="00477483"/>
    <w:rsid w:val="004824FA"/>
    <w:rsid w:val="0048293F"/>
    <w:rsid w:val="00484011"/>
    <w:rsid w:val="004841F1"/>
    <w:rsid w:val="00486FB8"/>
    <w:rsid w:val="004A1B6E"/>
    <w:rsid w:val="004A1E3A"/>
    <w:rsid w:val="004B032F"/>
    <w:rsid w:val="004B1357"/>
    <w:rsid w:val="004B33A1"/>
    <w:rsid w:val="004B40B2"/>
    <w:rsid w:val="004B46D6"/>
    <w:rsid w:val="004C0BF6"/>
    <w:rsid w:val="004C26C7"/>
    <w:rsid w:val="004C4464"/>
    <w:rsid w:val="004C4607"/>
    <w:rsid w:val="004C4AEA"/>
    <w:rsid w:val="004D0430"/>
    <w:rsid w:val="004D1511"/>
    <w:rsid w:val="004D1DAA"/>
    <w:rsid w:val="004D4EB1"/>
    <w:rsid w:val="004D7DCA"/>
    <w:rsid w:val="004E003C"/>
    <w:rsid w:val="004E0D66"/>
    <w:rsid w:val="004E16EB"/>
    <w:rsid w:val="004E6665"/>
    <w:rsid w:val="004F5DB9"/>
    <w:rsid w:val="004F634E"/>
    <w:rsid w:val="004F67A8"/>
    <w:rsid w:val="005070F6"/>
    <w:rsid w:val="005115FA"/>
    <w:rsid w:val="00514727"/>
    <w:rsid w:val="0051582C"/>
    <w:rsid w:val="00522A50"/>
    <w:rsid w:val="00525E61"/>
    <w:rsid w:val="00527225"/>
    <w:rsid w:val="0053557D"/>
    <w:rsid w:val="005410E3"/>
    <w:rsid w:val="00543A88"/>
    <w:rsid w:val="00546001"/>
    <w:rsid w:val="005463DE"/>
    <w:rsid w:val="00546DC2"/>
    <w:rsid w:val="005542E8"/>
    <w:rsid w:val="00556630"/>
    <w:rsid w:val="0055686D"/>
    <w:rsid w:val="00556F3C"/>
    <w:rsid w:val="005633BD"/>
    <w:rsid w:val="00571792"/>
    <w:rsid w:val="005737AC"/>
    <w:rsid w:val="00577097"/>
    <w:rsid w:val="005800EE"/>
    <w:rsid w:val="005819E9"/>
    <w:rsid w:val="00583C33"/>
    <w:rsid w:val="00586569"/>
    <w:rsid w:val="005869D6"/>
    <w:rsid w:val="00587895"/>
    <w:rsid w:val="0059331E"/>
    <w:rsid w:val="00594619"/>
    <w:rsid w:val="005964F4"/>
    <w:rsid w:val="00596D6E"/>
    <w:rsid w:val="005A2412"/>
    <w:rsid w:val="005A33F6"/>
    <w:rsid w:val="005A59E5"/>
    <w:rsid w:val="005B1AF2"/>
    <w:rsid w:val="005B3089"/>
    <w:rsid w:val="005B7440"/>
    <w:rsid w:val="005C2FAE"/>
    <w:rsid w:val="005C3976"/>
    <w:rsid w:val="005C5036"/>
    <w:rsid w:val="005D2290"/>
    <w:rsid w:val="005D6F14"/>
    <w:rsid w:val="005E20B4"/>
    <w:rsid w:val="005E2150"/>
    <w:rsid w:val="005E2995"/>
    <w:rsid w:val="005E58AE"/>
    <w:rsid w:val="005E7954"/>
    <w:rsid w:val="005E7980"/>
    <w:rsid w:val="005F18E0"/>
    <w:rsid w:val="005F3FEF"/>
    <w:rsid w:val="005F47C6"/>
    <w:rsid w:val="005F7A89"/>
    <w:rsid w:val="00600C4F"/>
    <w:rsid w:val="0060287B"/>
    <w:rsid w:val="00607DD8"/>
    <w:rsid w:val="00607F7C"/>
    <w:rsid w:val="006102DA"/>
    <w:rsid w:val="00612997"/>
    <w:rsid w:val="006147C1"/>
    <w:rsid w:val="00616090"/>
    <w:rsid w:val="006205CB"/>
    <w:rsid w:val="00620656"/>
    <w:rsid w:val="00622B49"/>
    <w:rsid w:val="006315A3"/>
    <w:rsid w:val="0063626B"/>
    <w:rsid w:val="006579A2"/>
    <w:rsid w:val="00667C89"/>
    <w:rsid w:val="006711EE"/>
    <w:rsid w:val="006809BB"/>
    <w:rsid w:val="006809FD"/>
    <w:rsid w:val="00691D1F"/>
    <w:rsid w:val="00692A7B"/>
    <w:rsid w:val="00692DEB"/>
    <w:rsid w:val="00695020"/>
    <w:rsid w:val="00697BAE"/>
    <w:rsid w:val="006A2674"/>
    <w:rsid w:val="006A271E"/>
    <w:rsid w:val="006A2ABB"/>
    <w:rsid w:val="006A53CF"/>
    <w:rsid w:val="006B445F"/>
    <w:rsid w:val="006B4DDC"/>
    <w:rsid w:val="006B51BD"/>
    <w:rsid w:val="006B5E55"/>
    <w:rsid w:val="006C10DB"/>
    <w:rsid w:val="006C4DA7"/>
    <w:rsid w:val="006D25A1"/>
    <w:rsid w:val="006D28BA"/>
    <w:rsid w:val="006D2F36"/>
    <w:rsid w:val="006D2F43"/>
    <w:rsid w:val="006E0D26"/>
    <w:rsid w:val="006E14E9"/>
    <w:rsid w:val="006E47A5"/>
    <w:rsid w:val="006E6EE4"/>
    <w:rsid w:val="006F09A2"/>
    <w:rsid w:val="006F1004"/>
    <w:rsid w:val="006F36C6"/>
    <w:rsid w:val="006F6856"/>
    <w:rsid w:val="00707D93"/>
    <w:rsid w:val="00711477"/>
    <w:rsid w:val="00712E08"/>
    <w:rsid w:val="007145D0"/>
    <w:rsid w:val="00716F94"/>
    <w:rsid w:val="00717793"/>
    <w:rsid w:val="00721180"/>
    <w:rsid w:val="0072561C"/>
    <w:rsid w:val="00736E20"/>
    <w:rsid w:val="0075188E"/>
    <w:rsid w:val="0076001C"/>
    <w:rsid w:val="00760E12"/>
    <w:rsid w:val="00763CF3"/>
    <w:rsid w:val="00764220"/>
    <w:rsid w:val="00767048"/>
    <w:rsid w:val="007720F5"/>
    <w:rsid w:val="00772293"/>
    <w:rsid w:val="00774E3A"/>
    <w:rsid w:val="00775BFF"/>
    <w:rsid w:val="00776981"/>
    <w:rsid w:val="00781404"/>
    <w:rsid w:val="00781AE3"/>
    <w:rsid w:val="0078342C"/>
    <w:rsid w:val="00783839"/>
    <w:rsid w:val="00783C75"/>
    <w:rsid w:val="00784619"/>
    <w:rsid w:val="0078627B"/>
    <w:rsid w:val="0078765B"/>
    <w:rsid w:val="007921F1"/>
    <w:rsid w:val="00794E32"/>
    <w:rsid w:val="007A0D73"/>
    <w:rsid w:val="007B305A"/>
    <w:rsid w:val="007C2136"/>
    <w:rsid w:val="007C6F72"/>
    <w:rsid w:val="007D4E30"/>
    <w:rsid w:val="007D542E"/>
    <w:rsid w:val="007D6163"/>
    <w:rsid w:val="007E3B00"/>
    <w:rsid w:val="007E575D"/>
    <w:rsid w:val="007E57CD"/>
    <w:rsid w:val="007E6360"/>
    <w:rsid w:val="007E6AEF"/>
    <w:rsid w:val="007E6F20"/>
    <w:rsid w:val="007F5776"/>
    <w:rsid w:val="00800CFF"/>
    <w:rsid w:val="00807F81"/>
    <w:rsid w:val="008128C6"/>
    <w:rsid w:val="008140FE"/>
    <w:rsid w:val="00815C7D"/>
    <w:rsid w:val="00817941"/>
    <w:rsid w:val="0082209E"/>
    <w:rsid w:val="008229E4"/>
    <w:rsid w:val="00823547"/>
    <w:rsid w:val="00825CC5"/>
    <w:rsid w:val="008261AB"/>
    <w:rsid w:val="008269AB"/>
    <w:rsid w:val="00834C91"/>
    <w:rsid w:val="00835CA7"/>
    <w:rsid w:val="008370D4"/>
    <w:rsid w:val="008414AD"/>
    <w:rsid w:val="008428D9"/>
    <w:rsid w:val="008447A7"/>
    <w:rsid w:val="008447D3"/>
    <w:rsid w:val="00851705"/>
    <w:rsid w:val="00852785"/>
    <w:rsid w:val="00861B07"/>
    <w:rsid w:val="00862E39"/>
    <w:rsid w:val="00873940"/>
    <w:rsid w:val="0087442D"/>
    <w:rsid w:val="0088135D"/>
    <w:rsid w:val="0088467A"/>
    <w:rsid w:val="00884DB9"/>
    <w:rsid w:val="00885353"/>
    <w:rsid w:val="008957B0"/>
    <w:rsid w:val="008A5680"/>
    <w:rsid w:val="008A5AB2"/>
    <w:rsid w:val="008A6211"/>
    <w:rsid w:val="008B6DE2"/>
    <w:rsid w:val="008C34B6"/>
    <w:rsid w:val="008C59E7"/>
    <w:rsid w:val="008C67D2"/>
    <w:rsid w:val="008D3B77"/>
    <w:rsid w:val="008D5363"/>
    <w:rsid w:val="008E0683"/>
    <w:rsid w:val="008E17B2"/>
    <w:rsid w:val="008F3DF4"/>
    <w:rsid w:val="009017EF"/>
    <w:rsid w:val="00902DD9"/>
    <w:rsid w:val="00903104"/>
    <w:rsid w:val="00911486"/>
    <w:rsid w:val="00912003"/>
    <w:rsid w:val="009129CA"/>
    <w:rsid w:val="009206B6"/>
    <w:rsid w:val="00920AA5"/>
    <w:rsid w:val="009239AA"/>
    <w:rsid w:val="009252DC"/>
    <w:rsid w:val="009252F5"/>
    <w:rsid w:val="009263C1"/>
    <w:rsid w:val="00927480"/>
    <w:rsid w:val="00927CBF"/>
    <w:rsid w:val="00927E18"/>
    <w:rsid w:val="0093196F"/>
    <w:rsid w:val="00931B33"/>
    <w:rsid w:val="00931BC1"/>
    <w:rsid w:val="00935CEA"/>
    <w:rsid w:val="00941B4F"/>
    <w:rsid w:val="00942C4E"/>
    <w:rsid w:val="009518C0"/>
    <w:rsid w:val="00963CE3"/>
    <w:rsid w:val="00964F18"/>
    <w:rsid w:val="00970D2D"/>
    <w:rsid w:val="00974424"/>
    <w:rsid w:val="00977400"/>
    <w:rsid w:val="0098671E"/>
    <w:rsid w:val="00987F76"/>
    <w:rsid w:val="00993088"/>
    <w:rsid w:val="0099664F"/>
    <w:rsid w:val="00997D5D"/>
    <w:rsid w:val="009A0447"/>
    <w:rsid w:val="009A2CE5"/>
    <w:rsid w:val="009A4B59"/>
    <w:rsid w:val="009A72DA"/>
    <w:rsid w:val="009B3F46"/>
    <w:rsid w:val="009B4A51"/>
    <w:rsid w:val="009B5CE4"/>
    <w:rsid w:val="009C28B1"/>
    <w:rsid w:val="009C4B82"/>
    <w:rsid w:val="009C61AD"/>
    <w:rsid w:val="009C6697"/>
    <w:rsid w:val="009D373D"/>
    <w:rsid w:val="009D436B"/>
    <w:rsid w:val="009D7B2C"/>
    <w:rsid w:val="009E0801"/>
    <w:rsid w:val="009E1D05"/>
    <w:rsid w:val="009E1DA6"/>
    <w:rsid w:val="009E2CA1"/>
    <w:rsid w:val="009E6F06"/>
    <w:rsid w:val="009F2678"/>
    <w:rsid w:val="009F7DE0"/>
    <w:rsid w:val="00A0319E"/>
    <w:rsid w:val="00A04BD7"/>
    <w:rsid w:val="00A05973"/>
    <w:rsid w:val="00A06BCB"/>
    <w:rsid w:val="00A07360"/>
    <w:rsid w:val="00A11B0C"/>
    <w:rsid w:val="00A11C87"/>
    <w:rsid w:val="00A33B35"/>
    <w:rsid w:val="00A33E90"/>
    <w:rsid w:val="00A36419"/>
    <w:rsid w:val="00A36647"/>
    <w:rsid w:val="00A44921"/>
    <w:rsid w:val="00A44AD9"/>
    <w:rsid w:val="00A544AF"/>
    <w:rsid w:val="00A578C2"/>
    <w:rsid w:val="00A60C13"/>
    <w:rsid w:val="00A65A96"/>
    <w:rsid w:val="00A65BC7"/>
    <w:rsid w:val="00A72652"/>
    <w:rsid w:val="00A75B72"/>
    <w:rsid w:val="00A75D1C"/>
    <w:rsid w:val="00A809AA"/>
    <w:rsid w:val="00A849B3"/>
    <w:rsid w:val="00A8510D"/>
    <w:rsid w:val="00A86AF3"/>
    <w:rsid w:val="00A90AFF"/>
    <w:rsid w:val="00A90BDC"/>
    <w:rsid w:val="00A91B7E"/>
    <w:rsid w:val="00A95477"/>
    <w:rsid w:val="00A975A9"/>
    <w:rsid w:val="00AA3192"/>
    <w:rsid w:val="00AA349F"/>
    <w:rsid w:val="00AA698D"/>
    <w:rsid w:val="00AB0486"/>
    <w:rsid w:val="00AB145C"/>
    <w:rsid w:val="00AB251E"/>
    <w:rsid w:val="00AB3608"/>
    <w:rsid w:val="00AB49A7"/>
    <w:rsid w:val="00AC5C48"/>
    <w:rsid w:val="00AC63E3"/>
    <w:rsid w:val="00AD4558"/>
    <w:rsid w:val="00AD544C"/>
    <w:rsid w:val="00AE0A22"/>
    <w:rsid w:val="00AE5CE6"/>
    <w:rsid w:val="00AF0CF4"/>
    <w:rsid w:val="00AF2252"/>
    <w:rsid w:val="00B00B12"/>
    <w:rsid w:val="00B017F8"/>
    <w:rsid w:val="00B01950"/>
    <w:rsid w:val="00B1129F"/>
    <w:rsid w:val="00B11D61"/>
    <w:rsid w:val="00B12F51"/>
    <w:rsid w:val="00B2751E"/>
    <w:rsid w:val="00B31166"/>
    <w:rsid w:val="00B3650C"/>
    <w:rsid w:val="00B36CAA"/>
    <w:rsid w:val="00B41A7E"/>
    <w:rsid w:val="00B423BA"/>
    <w:rsid w:val="00B47055"/>
    <w:rsid w:val="00B521A0"/>
    <w:rsid w:val="00B54C88"/>
    <w:rsid w:val="00B54CA5"/>
    <w:rsid w:val="00B6175C"/>
    <w:rsid w:val="00B64BFA"/>
    <w:rsid w:val="00B65DCB"/>
    <w:rsid w:val="00B71E63"/>
    <w:rsid w:val="00B73F7E"/>
    <w:rsid w:val="00B749A5"/>
    <w:rsid w:val="00B83212"/>
    <w:rsid w:val="00B838F0"/>
    <w:rsid w:val="00B85DE4"/>
    <w:rsid w:val="00B85F35"/>
    <w:rsid w:val="00B87AAD"/>
    <w:rsid w:val="00B91A31"/>
    <w:rsid w:val="00B96480"/>
    <w:rsid w:val="00BA0A9C"/>
    <w:rsid w:val="00BA50D9"/>
    <w:rsid w:val="00BA6C28"/>
    <w:rsid w:val="00BA6DB4"/>
    <w:rsid w:val="00BA78AC"/>
    <w:rsid w:val="00BC3F3C"/>
    <w:rsid w:val="00BC5BB2"/>
    <w:rsid w:val="00BE4D5E"/>
    <w:rsid w:val="00BE738E"/>
    <w:rsid w:val="00BF11A1"/>
    <w:rsid w:val="00BF3F54"/>
    <w:rsid w:val="00C00697"/>
    <w:rsid w:val="00C0376C"/>
    <w:rsid w:val="00C05ED2"/>
    <w:rsid w:val="00C06D77"/>
    <w:rsid w:val="00C14BA6"/>
    <w:rsid w:val="00C166F6"/>
    <w:rsid w:val="00C24434"/>
    <w:rsid w:val="00C2607C"/>
    <w:rsid w:val="00C27D50"/>
    <w:rsid w:val="00C27EFD"/>
    <w:rsid w:val="00C308E9"/>
    <w:rsid w:val="00C32B57"/>
    <w:rsid w:val="00C3485C"/>
    <w:rsid w:val="00C40A9C"/>
    <w:rsid w:val="00C45280"/>
    <w:rsid w:val="00C460BC"/>
    <w:rsid w:val="00C52D53"/>
    <w:rsid w:val="00C544A4"/>
    <w:rsid w:val="00C54AAE"/>
    <w:rsid w:val="00C575D9"/>
    <w:rsid w:val="00C620B9"/>
    <w:rsid w:val="00C6726F"/>
    <w:rsid w:val="00C768E5"/>
    <w:rsid w:val="00C87351"/>
    <w:rsid w:val="00C90042"/>
    <w:rsid w:val="00C915F3"/>
    <w:rsid w:val="00CA2004"/>
    <w:rsid w:val="00CA5840"/>
    <w:rsid w:val="00CA5B99"/>
    <w:rsid w:val="00CB0933"/>
    <w:rsid w:val="00CB334D"/>
    <w:rsid w:val="00CB49F2"/>
    <w:rsid w:val="00CB56D5"/>
    <w:rsid w:val="00CC306F"/>
    <w:rsid w:val="00CC7188"/>
    <w:rsid w:val="00CC76CD"/>
    <w:rsid w:val="00CC7CB9"/>
    <w:rsid w:val="00CD051D"/>
    <w:rsid w:val="00CD1EA8"/>
    <w:rsid w:val="00CF3B00"/>
    <w:rsid w:val="00CF5ABD"/>
    <w:rsid w:val="00CF63CE"/>
    <w:rsid w:val="00D04B9E"/>
    <w:rsid w:val="00D04D46"/>
    <w:rsid w:val="00D065F7"/>
    <w:rsid w:val="00D067C1"/>
    <w:rsid w:val="00D1343B"/>
    <w:rsid w:val="00D13B13"/>
    <w:rsid w:val="00D14689"/>
    <w:rsid w:val="00D164B4"/>
    <w:rsid w:val="00D168CE"/>
    <w:rsid w:val="00D16E78"/>
    <w:rsid w:val="00D201D3"/>
    <w:rsid w:val="00D267D5"/>
    <w:rsid w:val="00D26A64"/>
    <w:rsid w:val="00D31720"/>
    <w:rsid w:val="00D36F55"/>
    <w:rsid w:val="00D46CA0"/>
    <w:rsid w:val="00D47703"/>
    <w:rsid w:val="00D52B9A"/>
    <w:rsid w:val="00D52BF3"/>
    <w:rsid w:val="00D5367E"/>
    <w:rsid w:val="00D537CA"/>
    <w:rsid w:val="00D53B1E"/>
    <w:rsid w:val="00D6105F"/>
    <w:rsid w:val="00D61AD2"/>
    <w:rsid w:val="00D71C1C"/>
    <w:rsid w:val="00D73C3A"/>
    <w:rsid w:val="00D74071"/>
    <w:rsid w:val="00D75750"/>
    <w:rsid w:val="00D84EF0"/>
    <w:rsid w:val="00D861ED"/>
    <w:rsid w:val="00D873E0"/>
    <w:rsid w:val="00D941E3"/>
    <w:rsid w:val="00D94F8B"/>
    <w:rsid w:val="00D95FBF"/>
    <w:rsid w:val="00DA3A17"/>
    <w:rsid w:val="00DA5988"/>
    <w:rsid w:val="00DA6F1E"/>
    <w:rsid w:val="00DB0871"/>
    <w:rsid w:val="00DB1FE1"/>
    <w:rsid w:val="00DB3F74"/>
    <w:rsid w:val="00DB7F78"/>
    <w:rsid w:val="00DC0184"/>
    <w:rsid w:val="00DC27F9"/>
    <w:rsid w:val="00DC3048"/>
    <w:rsid w:val="00DC317C"/>
    <w:rsid w:val="00DC4FF2"/>
    <w:rsid w:val="00DC79CC"/>
    <w:rsid w:val="00DD7BF0"/>
    <w:rsid w:val="00DE26C4"/>
    <w:rsid w:val="00DE4BCB"/>
    <w:rsid w:val="00DF2E29"/>
    <w:rsid w:val="00DF39CF"/>
    <w:rsid w:val="00E04308"/>
    <w:rsid w:val="00E07812"/>
    <w:rsid w:val="00E10D39"/>
    <w:rsid w:val="00E134F4"/>
    <w:rsid w:val="00E13F19"/>
    <w:rsid w:val="00E162E0"/>
    <w:rsid w:val="00E20D75"/>
    <w:rsid w:val="00E2329F"/>
    <w:rsid w:val="00E23568"/>
    <w:rsid w:val="00E245B5"/>
    <w:rsid w:val="00E24E0B"/>
    <w:rsid w:val="00E326D3"/>
    <w:rsid w:val="00E33E1B"/>
    <w:rsid w:val="00E34D3E"/>
    <w:rsid w:val="00E54E34"/>
    <w:rsid w:val="00E55A2A"/>
    <w:rsid w:val="00E571DC"/>
    <w:rsid w:val="00E62BD2"/>
    <w:rsid w:val="00E6335A"/>
    <w:rsid w:val="00E647FB"/>
    <w:rsid w:val="00E65F65"/>
    <w:rsid w:val="00E660C9"/>
    <w:rsid w:val="00E711E1"/>
    <w:rsid w:val="00E720E9"/>
    <w:rsid w:val="00E74EFD"/>
    <w:rsid w:val="00E75BAC"/>
    <w:rsid w:val="00E77AF5"/>
    <w:rsid w:val="00E81C5E"/>
    <w:rsid w:val="00E83390"/>
    <w:rsid w:val="00E83B3C"/>
    <w:rsid w:val="00E8736B"/>
    <w:rsid w:val="00E90275"/>
    <w:rsid w:val="00E925D4"/>
    <w:rsid w:val="00E9465D"/>
    <w:rsid w:val="00E97226"/>
    <w:rsid w:val="00EA2B44"/>
    <w:rsid w:val="00EA3354"/>
    <w:rsid w:val="00EA33EF"/>
    <w:rsid w:val="00EA7870"/>
    <w:rsid w:val="00EB7849"/>
    <w:rsid w:val="00EC1594"/>
    <w:rsid w:val="00EC390F"/>
    <w:rsid w:val="00EC4FFD"/>
    <w:rsid w:val="00EC58F5"/>
    <w:rsid w:val="00EC5EFC"/>
    <w:rsid w:val="00ED2C61"/>
    <w:rsid w:val="00ED4981"/>
    <w:rsid w:val="00ED6DF6"/>
    <w:rsid w:val="00EE2002"/>
    <w:rsid w:val="00EE2B01"/>
    <w:rsid w:val="00EF33CD"/>
    <w:rsid w:val="00F005A4"/>
    <w:rsid w:val="00F00792"/>
    <w:rsid w:val="00F03434"/>
    <w:rsid w:val="00F03A84"/>
    <w:rsid w:val="00F05E05"/>
    <w:rsid w:val="00F12924"/>
    <w:rsid w:val="00F13852"/>
    <w:rsid w:val="00F140E8"/>
    <w:rsid w:val="00F206BC"/>
    <w:rsid w:val="00F20C9B"/>
    <w:rsid w:val="00F300CB"/>
    <w:rsid w:val="00F31310"/>
    <w:rsid w:val="00F401BD"/>
    <w:rsid w:val="00F42C3A"/>
    <w:rsid w:val="00F43F18"/>
    <w:rsid w:val="00F52BCC"/>
    <w:rsid w:val="00F5313F"/>
    <w:rsid w:val="00F663A5"/>
    <w:rsid w:val="00F75CEF"/>
    <w:rsid w:val="00F77575"/>
    <w:rsid w:val="00F81135"/>
    <w:rsid w:val="00F81A48"/>
    <w:rsid w:val="00F93330"/>
    <w:rsid w:val="00FA6828"/>
    <w:rsid w:val="00FA6DF9"/>
    <w:rsid w:val="00FB192D"/>
    <w:rsid w:val="00FB2993"/>
    <w:rsid w:val="00FB62BC"/>
    <w:rsid w:val="00FC2E12"/>
    <w:rsid w:val="00FD17C9"/>
    <w:rsid w:val="00FD2A5B"/>
    <w:rsid w:val="00FD3645"/>
    <w:rsid w:val="00FD6038"/>
    <w:rsid w:val="00FD731A"/>
    <w:rsid w:val="00FE6482"/>
    <w:rsid w:val="00FE6A5C"/>
    <w:rsid w:val="00FE7785"/>
    <w:rsid w:val="00FF0949"/>
    <w:rsid w:val="00FF17C1"/>
    <w:rsid w:val="00FF22CA"/>
    <w:rsid w:val="00FF2E80"/>
    <w:rsid w:val="00FF6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D3AD7D"/>
  <w15:docId w15:val="{79DEF5D5-35DF-41B7-8336-DC8E49E3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customStyle="1" w:styleId="Body">
    <w:name w:val="Body"/>
    <w:basedOn w:val="Normal"/>
    <w:qFormat/>
    <w:rsid w:val="00FF6D7C"/>
    <w:pPr>
      <w:widowControl w:val="0"/>
      <w:tabs>
        <w:tab w:val="clear" w:pos="9360"/>
      </w:tabs>
      <w:autoSpaceDE w:val="0"/>
      <w:autoSpaceDN w:val="0"/>
      <w:adjustRightInd w:val="0"/>
      <w:ind w:left="0"/>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A6211"/>
    <w:pPr>
      <w:tabs>
        <w:tab w:val="clear" w:pos="9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6211"/>
    <w:rPr>
      <w:rFonts w:ascii="Courier New" w:eastAsia="Times New Roman" w:hAnsi="Courier New" w:cs="Courier New"/>
      <w:sz w:val="20"/>
      <w:szCs w:val="20"/>
    </w:rPr>
  </w:style>
  <w:style w:type="character" w:customStyle="1" w:styleId="apple-converted-space">
    <w:name w:val="apple-converted-space"/>
    <w:basedOn w:val="DefaultParagraphFont"/>
    <w:rsid w:val="00C54AAE"/>
  </w:style>
  <w:style w:type="paragraph" w:styleId="BlockText">
    <w:name w:val="Block Text"/>
    <w:basedOn w:val="Normal"/>
    <w:uiPriority w:val="99"/>
    <w:semiHidden/>
    <w:unhideWhenUsed/>
    <w:rsid w:val="00A0736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character" w:styleId="FollowedHyperlink">
    <w:name w:val="FollowedHyperlink"/>
    <w:basedOn w:val="DefaultParagraphFont"/>
    <w:uiPriority w:val="99"/>
    <w:semiHidden/>
    <w:unhideWhenUsed/>
    <w:rsid w:val="00DB3F74"/>
    <w:rPr>
      <w:color w:val="800080" w:themeColor="followedHyperlink"/>
      <w:u w:val="single"/>
    </w:rPr>
  </w:style>
  <w:style w:type="paragraph" w:styleId="TOC1">
    <w:name w:val="toc 1"/>
    <w:basedOn w:val="Normal"/>
    <w:next w:val="Normal"/>
    <w:autoRedefine/>
    <w:uiPriority w:val="39"/>
    <w:unhideWhenUsed/>
    <w:rsid w:val="00052946"/>
    <w:pPr>
      <w:tabs>
        <w:tab w:val="clear" w:pos="9360"/>
      </w:tabs>
      <w:spacing w:after="100"/>
      <w:ind w:left="0"/>
    </w:pPr>
  </w:style>
  <w:style w:type="paragraph" w:styleId="TOC2">
    <w:name w:val="toc 2"/>
    <w:basedOn w:val="Normal"/>
    <w:next w:val="Normal"/>
    <w:autoRedefine/>
    <w:uiPriority w:val="39"/>
    <w:unhideWhenUsed/>
    <w:rsid w:val="00052946"/>
    <w:pPr>
      <w:tabs>
        <w:tab w:val="clear" w:pos="9360"/>
        <w:tab w:val="left" w:pos="720"/>
        <w:tab w:val="right" w:leader="dot" w:pos="9350"/>
      </w:tabs>
      <w:spacing w:after="100"/>
      <w:ind w:hanging="500"/>
    </w:pPr>
  </w:style>
  <w:style w:type="paragraph" w:styleId="TOC8">
    <w:name w:val="toc 8"/>
    <w:basedOn w:val="Normal"/>
    <w:next w:val="Normal"/>
    <w:autoRedefine/>
    <w:uiPriority w:val="39"/>
    <w:unhideWhenUsed/>
    <w:rsid w:val="00052946"/>
    <w:pPr>
      <w:tabs>
        <w:tab w:val="clear" w:pos="9360"/>
      </w:tabs>
      <w:spacing w:after="100"/>
      <w:ind w:left="1540"/>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4416">
      <w:bodyDiv w:val="1"/>
      <w:marLeft w:val="0"/>
      <w:marRight w:val="0"/>
      <w:marTop w:val="0"/>
      <w:marBottom w:val="0"/>
      <w:divBdr>
        <w:top w:val="none" w:sz="0" w:space="0" w:color="auto"/>
        <w:left w:val="none" w:sz="0" w:space="0" w:color="auto"/>
        <w:bottom w:val="none" w:sz="0" w:space="0" w:color="auto"/>
        <w:right w:val="none" w:sz="0" w:space="0" w:color="auto"/>
      </w:divBdr>
    </w:div>
    <w:div w:id="25915261">
      <w:bodyDiv w:val="1"/>
      <w:marLeft w:val="0"/>
      <w:marRight w:val="0"/>
      <w:marTop w:val="0"/>
      <w:marBottom w:val="0"/>
      <w:divBdr>
        <w:top w:val="none" w:sz="0" w:space="0" w:color="auto"/>
        <w:left w:val="none" w:sz="0" w:space="0" w:color="auto"/>
        <w:bottom w:val="none" w:sz="0" w:space="0" w:color="auto"/>
        <w:right w:val="none" w:sz="0" w:space="0" w:color="auto"/>
      </w:divBdr>
      <w:divsChild>
        <w:div w:id="568154624">
          <w:marLeft w:val="0"/>
          <w:marRight w:val="0"/>
          <w:marTop w:val="0"/>
          <w:marBottom w:val="0"/>
          <w:divBdr>
            <w:top w:val="none" w:sz="0" w:space="0" w:color="auto"/>
            <w:left w:val="none" w:sz="0" w:space="0" w:color="auto"/>
            <w:bottom w:val="none" w:sz="0" w:space="0" w:color="auto"/>
            <w:right w:val="none" w:sz="0" w:space="0" w:color="auto"/>
          </w:divBdr>
        </w:div>
        <w:div w:id="1390112947">
          <w:marLeft w:val="0"/>
          <w:marRight w:val="0"/>
          <w:marTop w:val="0"/>
          <w:marBottom w:val="0"/>
          <w:divBdr>
            <w:top w:val="none" w:sz="0" w:space="0" w:color="auto"/>
            <w:left w:val="none" w:sz="0" w:space="0" w:color="auto"/>
            <w:bottom w:val="none" w:sz="0" w:space="0" w:color="auto"/>
            <w:right w:val="none" w:sz="0" w:space="0" w:color="auto"/>
          </w:divBdr>
        </w:div>
        <w:div w:id="694622408">
          <w:marLeft w:val="0"/>
          <w:marRight w:val="0"/>
          <w:marTop w:val="0"/>
          <w:marBottom w:val="0"/>
          <w:divBdr>
            <w:top w:val="none" w:sz="0" w:space="0" w:color="auto"/>
            <w:left w:val="none" w:sz="0" w:space="0" w:color="auto"/>
            <w:bottom w:val="none" w:sz="0" w:space="0" w:color="auto"/>
            <w:right w:val="none" w:sz="0" w:space="0" w:color="auto"/>
          </w:divBdr>
        </w:div>
        <w:div w:id="1249971458">
          <w:marLeft w:val="0"/>
          <w:marRight w:val="0"/>
          <w:marTop w:val="0"/>
          <w:marBottom w:val="0"/>
          <w:divBdr>
            <w:top w:val="none" w:sz="0" w:space="0" w:color="auto"/>
            <w:left w:val="none" w:sz="0" w:space="0" w:color="auto"/>
            <w:bottom w:val="none" w:sz="0" w:space="0" w:color="auto"/>
            <w:right w:val="none" w:sz="0" w:space="0" w:color="auto"/>
          </w:divBdr>
        </w:div>
      </w:divsChild>
    </w:div>
    <w:div w:id="70271681">
      <w:bodyDiv w:val="1"/>
      <w:marLeft w:val="0"/>
      <w:marRight w:val="0"/>
      <w:marTop w:val="0"/>
      <w:marBottom w:val="0"/>
      <w:divBdr>
        <w:top w:val="none" w:sz="0" w:space="0" w:color="auto"/>
        <w:left w:val="none" w:sz="0" w:space="0" w:color="auto"/>
        <w:bottom w:val="none" w:sz="0" w:space="0" w:color="auto"/>
        <w:right w:val="none" w:sz="0" w:space="0" w:color="auto"/>
      </w:divBdr>
    </w:div>
    <w:div w:id="361784686">
      <w:bodyDiv w:val="1"/>
      <w:marLeft w:val="0"/>
      <w:marRight w:val="0"/>
      <w:marTop w:val="0"/>
      <w:marBottom w:val="0"/>
      <w:divBdr>
        <w:top w:val="none" w:sz="0" w:space="0" w:color="auto"/>
        <w:left w:val="none" w:sz="0" w:space="0" w:color="auto"/>
        <w:bottom w:val="none" w:sz="0" w:space="0" w:color="auto"/>
        <w:right w:val="none" w:sz="0" w:space="0" w:color="auto"/>
      </w:divBdr>
    </w:div>
    <w:div w:id="560942256">
      <w:bodyDiv w:val="1"/>
      <w:marLeft w:val="0"/>
      <w:marRight w:val="0"/>
      <w:marTop w:val="0"/>
      <w:marBottom w:val="0"/>
      <w:divBdr>
        <w:top w:val="none" w:sz="0" w:space="0" w:color="auto"/>
        <w:left w:val="none" w:sz="0" w:space="0" w:color="auto"/>
        <w:bottom w:val="none" w:sz="0" w:space="0" w:color="auto"/>
        <w:right w:val="none" w:sz="0" w:space="0" w:color="auto"/>
      </w:divBdr>
      <w:divsChild>
        <w:div w:id="914316315">
          <w:marLeft w:val="0"/>
          <w:marRight w:val="0"/>
          <w:marTop w:val="0"/>
          <w:marBottom w:val="0"/>
          <w:divBdr>
            <w:top w:val="none" w:sz="0" w:space="0" w:color="auto"/>
            <w:left w:val="none" w:sz="0" w:space="0" w:color="auto"/>
            <w:bottom w:val="none" w:sz="0" w:space="0" w:color="auto"/>
            <w:right w:val="none" w:sz="0" w:space="0" w:color="auto"/>
          </w:divBdr>
        </w:div>
        <w:div w:id="190143347">
          <w:marLeft w:val="0"/>
          <w:marRight w:val="0"/>
          <w:marTop w:val="0"/>
          <w:marBottom w:val="0"/>
          <w:divBdr>
            <w:top w:val="none" w:sz="0" w:space="0" w:color="auto"/>
            <w:left w:val="none" w:sz="0" w:space="0" w:color="auto"/>
            <w:bottom w:val="none" w:sz="0" w:space="0" w:color="auto"/>
            <w:right w:val="none" w:sz="0" w:space="0" w:color="auto"/>
          </w:divBdr>
        </w:div>
        <w:div w:id="1726026791">
          <w:marLeft w:val="0"/>
          <w:marRight w:val="0"/>
          <w:marTop w:val="0"/>
          <w:marBottom w:val="0"/>
          <w:divBdr>
            <w:top w:val="none" w:sz="0" w:space="0" w:color="auto"/>
            <w:left w:val="none" w:sz="0" w:space="0" w:color="auto"/>
            <w:bottom w:val="none" w:sz="0" w:space="0" w:color="auto"/>
            <w:right w:val="none" w:sz="0" w:space="0" w:color="auto"/>
          </w:divBdr>
        </w:div>
        <w:div w:id="530150506">
          <w:marLeft w:val="0"/>
          <w:marRight w:val="0"/>
          <w:marTop w:val="0"/>
          <w:marBottom w:val="0"/>
          <w:divBdr>
            <w:top w:val="none" w:sz="0" w:space="0" w:color="auto"/>
            <w:left w:val="none" w:sz="0" w:space="0" w:color="auto"/>
            <w:bottom w:val="none" w:sz="0" w:space="0" w:color="auto"/>
            <w:right w:val="none" w:sz="0" w:space="0" w:color="auto"/>
          </w:divBdr>
        </w:div>
      </w:divsChild>
    </w:div>
    <w:div w:id="663975312">
      <w:bodyDiv w:val="1"/>
      <w:marLeft w:val="0"/>
      <w:marRight w:val="0"/>
      <w:marTop w:val="0"/>
      <w:marBottom w:val="0"/>
      <w:divBdr>
        <w:top w:val="none" w:sz="0" w:space="0" w:color="auto"/>
        <w:left w:val="none" w:sz="0" w:space="0" w:color="auto"/>
        <w:bottom w:val="none" w:sz="0" w:space="0" w:color="auto"/>
        <w:right w:val="none" w:sz="0" w:space="0" w:color="auto"/>
      </w:divBdr>
    </w:div>
    <w:div w:id="850074064">
      <w:bodyDiv w:val="1"/>
      <w:marLeft w:val="0"/>
      <w:marRight w:val="0"/>
      <w:marTop w:val="0"/>
      <w:marBottom w:val="0"/>
      <w:divBdr>
        <w:top w:val="none" w:sz="0" w:space="0" w:color="auto"/>
        <w:left w:val="none" w:sz="0" w:space="0" w:color="auto"/>
        <w:bottom w:val="none" w:sz="0" w:space="0" w:color="auto"/>
        <w:right w:val="none" w:sz="0" w:space="0" w:color="auto"/>
      </w:divBdr>
    </w:div>
    <w:div w:id="916599388">
      <w:bodyDiv w:val="1"/>
      <w:marLeft w:val="0"/>
      <w:marRight w:val="0"/>
      <w:marTop w:val="0"/>
      <w:marBottom w:val="0"/>
      <w:divBdr>
        <w:top w:val="none" w:sz="0" w:space="0" w:color="auto"/>
        <w:left w:val="none" w:sz="0" w:space="0" w:color="auto"/>
        <w:bottom w:val="none" w:sz="0" w:space="0" w:color="auto"/>
        <w:right w:val="none" w:sz="0" w:space="0" w:color="auto"/>
      </w:divBdr>
    </w:div>
    <w:div w:id="1083530925">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592742058">
      <w:bodyDiv w:val="1"/>
      <w:marLeft w:val="0"/>
      <w:marRight w:val="0"/>
      <w:marTop w:val="0"/>
      <w:marBottom w:val="0"/>
      <w:divBdr>
        <w:top w:val="none" w:sz="0" w:space="0" w:color="auto"/>
        <w:left w:val="none" w:sz="0" w:space="0" w:color="auto"/>
        <w:bottom w:val="none" w:sz="0" w:space="0" w:color="auto"/>
        <w:right w:val="none" w:sz="0" w:space="0" w:color="auto"/>
      </w:divBdr>
    </w:div>
    <w:div w:id="1698387142">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603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ncs/ocs/sp/nctb134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pubs.usgs.gov/circ/1344/pdf/c1344.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nphpsp/essentialservices.html.%20Accessed%20on%208/1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OSTLTSDOC-726-131</_dlc_DocId>
    <_dlc_DocIdUrl xmlns="b5c0ca00-073d-4463-9985-b654f14791fe">
      <Url>https://esp.cdc.gov/sites/ostlts/pip/osc/_layouts/15/DocIdRedir.aspx?ID=OSTLTSDOC-726-131</Url>
      <Description>OSTLTSDOC-726-131</Description>
    </_dlc_DocIdUrl>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A95B8-514F-4367-9F2C-F2BFF5B6D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10AE2-4AD4-4B53-8AA0-8572FE566E51}">
  <ds:schemaRefs>
    <ds:schemaRef ds:uri="http://schemas.microsoft.com/office/2006/metadata/customXsn"/>
  </ds:schemaRefs>
</ds:datastoreItem>
</file>

<file path=customXml/itemProps3.xml><?xml version="1.0" encoding="utf-8"?>
<ds:datastoreItem xmlns:ds="http://schemas.openxmlformats.org/officeDocument/2006/customXml" ds:itemID="{E5706BDB-1E51-4E25-AAD8-038175169196}">
  <ds:schemaRefs>
    <ds:schemaRef ds:uri="http://schemas.microsoft.com/sharepoint/events"/>
  </ds:schemaRefs>
</ds:datastoreItem>
</file>

<file path=customXml/itemProps4.xml><?xml version="1.0" encoding="utf-8"?>
<ds:datastoreItem xmlns:ds="http://schemas.openxmlformats.org/officeDocument/2006/customXml" ds:itemID="{990C287B-0937-4BDC-8547-3702DB4AC58D}">
  <ds:schemaRefs>
    <ds:schemaRef ds:uri="ce849d94-b00b-4457-8fdf-7e9e81e05b5e"/>
    <ds:schemaRef ds:uri="15b1c282-9287-45cb-9b41-eae3a76919a0"/>
    <ds:schemaRef ds:uri="bd99c180-279b-44c3-9486-dd050336677e"/>
    <ds:schemaRef ds:uri="b5c0ca00-073d-4463-9985-b654f14791fe"/>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15E35D6F-C3D2-4CCC-B38D-3CB7B21CECD4}">
  <ds:schemaRefs>
    <ds:schemaRef ds:uri="http://schemas.microsoft.com/sharepoint/v3/contenttype/forms"/>
  </ds:schemaRefs>
</ds:datastoreItem>
</file>

<file path=customXml/itemProps6.xml><?xml version="1.0" encoding="utf-8"?>
<ds:datastoreItem xmlns:ds="http://schemas.openxmlformats.org/officeDocument/2006/customXml" ds:itemID="{20B91BD7-5A7F-4080-9A77-8F332375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4361</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CDC User</cp:lastModifiedBy>
  <cp:revision>3</cp:revision>
  <cp:lastPrinted>2015-12-07T20:23:00Z</cp:lastPrinted>
  <dcterms:created xsi:type="dcterms:W3CDTF">2016-02-02T21:57:00Z</dcterms:created>
  <dcterms:modified xsi:type="dcterms:W3CDTF">2016-02-02T21:57:00Z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eebd3419-9375-4cca-813d-42418de1607c</vt:lpwstr>
  </property>
</Properties>
</file>