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E7239A" w14:textId="77777777" w:rsidR="00716F94" w:rsidRDefault="00716F94" w:rsidP="007D6163"/>
    <w:p w14:paraId="4C4DCA06" w14:textId="77777777" w:rsidR="009B4A51" w:rsidRDefault="009B4A51" w:rsidP="007D6163"/>
    <w:p w14:paraId="5F4C246A" w14:textId="77777777" w:rsidR="009B4A51" w:rsidRDefault="009B4A51" w:rsidP="007D6163"/>
    <w:p w14:paraId="071DE75B" w14:textId="77777777" w:rsidR="009B4A51" w:rsidRDefault="009B4A51" w:rsidP="007D6163"/>
    <w:p w14:paraId="2141304E" w14:textId="77777777" w:rsidR="009B4A51" w:rsidRDefault="009B4A51" w:rsidP="007D6163"/>
    <w:p w14:paraId="5CE6D42F" w14:textId="77777777" w:rsidR="00667C89" w:rsidRDefault="00667C89" w:rsidP="007D6163"/>
    <w:p w14:paraId="1E670397" w14:textId="77777777" w:rsidR="009B4A51" w:rsidRDefault="009B4A51" w:rsidP="007D6163"/>
    <w:p w14:paraId="71017CA3" w14:textId="77777777" w:rsidR="009B4A51" w:rsidRDefault="009B4A51" w:rsidP="00CA5840">
      <w:pPr>
        <w:ind w:left="0"/>
      </w:pPr>
    </w:p>
    <w:p w14:paraId="61176FAD" w14:textId="77777777" w:rsidR="00D248DF" w:rsidRDefault="00D248DF" w:rsidP="00CA5840">
      <w:pPr>
        <w:pStyle w:val="Heading1"/>
        <w:ind w:left="0"/>
        <w:rPr>
          <w:color w:val="0070C0"/>
        </w:rPr>
      </w:pPr>
    </w:p>
    <w:p w14:paraId="5B24206E" w14:textId="5850C978" w:rsidR="00D248DF" w:rsidRPr="00713DD6" w:rsidRDefault="00446D63" w:rsidP="00446D63">
      <w:pPr>
        <w:pStyle w:val="Heading1"/>
        <w:ind w:left="0"/>
        <w:rPr>
          <w:b w:val="0"/>
          <w:sz w:val="36"/>
          <w:szCs w:val="36"/>
        </w:rPr>
      </w:pPr>
      <w:r w:rsidRPr="00713DD6">
        <w:rPr>
          <w:sz w:val="36"/>
          <w:szCs w:val="36"/>
        </w:rPr>
        <w:t xml:space="preserve">State </w:t>
      </w:r>
      <w:r w:rsidR="00D248DF" w:rsidRPr="00713DD6">
        <w:rPr>
          <w:sz w:val="36"/>
          <w:szCs w:val="36"/>
        </w:rPr>
        <w:t>Chronic Disease Prevention and Control Programs</w:t>
      </w:r>
      <w:r w:rsidR="00713DD6" w:rsidRPr="00713DD6">
        <w:rPr>
          <w:sz w:val="36"/>
          <w:szCs w:val="36"/>
        </w:rPr>
        <w:t>: Training Needs</w:t>
      </w:r>
    </w:p>
    <w:p w14:paraId="13FCFAF9" w14:textId="77777777" w:rsidR="00AA3192" w:rsidRDefault="00AA3192" w:rsidP="00CA5840">
      <w:pPr>
        <w:ind w:left="0"/>
      </w:pPr>
    </w:p>
    <w:p w14:paraId="6B34E238" w14:textId="77777777" w:rsidR="00716F94" w:rsidRPr="00AA3192" w:rsidRDefault="00484011" w:rsidP="00CA5840">
      <w:pPr>
        <w:ind w:left="0"/>
        <w:jc w:val="center"/>
      </w:pPr>
      <w:r w:rsidRPr="00AA3192">
        <w:t>OSTL</w:t>
      </w:r>
      <w:r w:rsidR="00316F00">
        <w:t>TS Generic Information Collection</w:t>
      </w:r>
      <w:r w:rsidRPr="00AA3192">
        <w:t xml:space="preserve"> Request</w:t>
      </w:r>
    </w:p>
    <w:p w14:paraId="66D76E49" w14:textId="77777777" w:rsidR="00484011" w:rsidRPr="00AA3192" w:rsidRDefault="00484011" w:rsidP="00CA5840">
      <w:pPr>
        <w:ind w:left="0"/>
        <w:jc w:val="center"/>
      </w:pPr>
      <w:r w:rsidRPr="00AA3192">
        <w:t>OMB No. 0920-0879</w:t>
      </w:r>
    </w:p>
    <w:p w14:paraId="71AECEBE" w14:textId="77777777" w:rsidR="009B4A51" w:rsidRDefault="009B4A51" w:rsidP="00CA5840">
      <w:pPr>
        <w:ind w:left="0"/>
      </w:pPr>
    </w:p>
    <w:p w14:paraId="5A3E4243" w14:textId="77777777" w:rsidR="009B4A51" w:rsidRDefault="009B4A51" w:rsidP="00CA5840">
      <w:pPr>
        <w:ind w:left="0"/>
      </w:pPr>
    </w:p>
    <w:p w14:paraId="2180EC44" w14:textId="77777777" w:rsidR="00AA3192" w:rsidRDefault="00AA3192" w:rsidP="00CA5840">
      <w:pPr>
        <w:ind w:left="0"/>
      </w:pPr>
    </w:p>
    <w:p w14:paraId="69F4C411" w14:textId="77777777" w:rsidR="00AA3192" w:rsidRDefault="00AA3192" w:rsidP="00CA5840">
      <w:pPr>
        <w:ind w:left="0"/>
      </w:pPr>
    </w:p>
    <w:p w14:paraId="6E12B86F" w14:textId="77777777" w:rsidR="009B4A51" w:rsidRPr="007D6163" w:rsidRDefault="009B4A51" w:rsidP="00CA5840">
      <w:pPr>
        <w:pStyle w:val="Heading2"/>
        <w:ind w:left="0"/>
      </w:pPr>
      <w:r w:rsidRPr="007D6163">
        <w:t>Supporting Statement – Section A</w:t>
      </w:r>
    </w:p>
    <w:p w14:paraId="5F3A689E" w14:textId="77777777" w:rsidR="009B4A51" w:rsidRDefault="009B4A51" w:rsidP="00CA5840">
      <w:pPr>
        <w:ind w:left="0"/>
      </w:pPr>
    </w:p>
    <w:p w14:paraId="5ECC5D9F" w14:textId="77777777" w:rsidR="00484011" w:rsidRDefault="00484011" w:rsidP="00CA5840">
      <w:pPr>
        <w:ind w:left="0"/>
      </w:pPr>
    </w:p>
    <w:p w14:paraId="61309000" w14:textId="77777777" w:rsidR="00AA3192" w:rsidRDefault="00AA3192" w:rsidP="00CA5840">
      <w:pPr>
        <w:ind w:left="0"/>
      </w:pPr>
    </w:p>
    <w:p w14:paraId="1F1137C7" w14:textId="77777777" w:rsidR="009B4A51" w:rsidRDefault="009B4A51" w:rsidP="00CA5840">
      <w:pPr>
        <w:ind w:left="0"/>
      </w:pPr>
    </w:p>
    <w:p w14:paraId="729596B8" w14:textId="77777777" w:rsidR="009B4A51" w:rsidRDefault="009B4A51" w:rsidP="00CA5840">
      <w:pPr>
        <w:ind w:left="0"/>
      </w:pPr>
    </w:p>
    <w:p w14:paraId="6FC41158" w14:textId="77777777" w:rsidR="00187D5A" w:rsidRDefault="00187D5A" w:rsidP="00CA5840">
      <w:pPr>
        <w:ind w:left="0"/>
      </w:pPr>
    </w:p>
    <w:p w14:paraId="4FDA4A97" w14:textId="54FF9614" w:rsidR="009B4A51" w:rsidRPr="001A06B6" w:rsidRDefault="009B4A51" w:rsidP="00CA5840">
      <w:pPr>
        <w:ind w:left="0"/>
        <w:jc w:val="center"/>
      </w:pPr>
      <w:r w:rsidRPr="001A06B6">
        <w:t>Submitted:</w:t>
      </w:r>
      <w:r w:rsidR="00DF1A1F" w:rsidRPr="001A06B6">
        <w:t xml:space="preserve"> 8/21/</w:t>
      </w:r>
      <w:r w:rsidR="000F719C">
        <w:t>1</w:t>
      </w:r>
      <w:r w:rsidR="00DF1A1F" w:rsidRPr="001A06B6">
        <w:t>5</w:t>
      </w:r>
    </w:p>
    <w:p w14:paraId="046C52CF" w14:textId="77777777" w:rsidR="009B4A51" w:rsidRDefault="009B4A51" w:rsidP="007D6163"/>
    <w:p w14:paraId="4AB17B68" w14:textId="77777777" w:rsidR="009B4A51" w:rsidRDefault="009B4A51" w:rsidP="007D6163"/>
    <w:p w14:paraId="15D82511" w14:textId="77777777" w:rsidR="009B4A51" w:rsidRDefault="009B4A51" w:rsidP="007D6163"/>
    <w:p w14:paraId="2012C050" w14:textId="77777777" w:rsidR="00AA3192" w:rsidRDefault="00AA3192" w:rsidP="007D6163"/>
    <w:p w14:paraId="2F7FA13E" w14:textId="77777777" w:rsidR="00441CC3" w:rsidRDefault="00716F94" w:rsidP="00CA5840">
      <w:pPr>
        <w:ind w:left="0"/>
        <w:rPr>
          <w:b/>
          <w:u w:val="single"/>
        </w:rPr>
      </w:pPr>
      <w:r w:rsidRPr="00CA5840">
        <w:rPr>
          <w:b/>
          <w:u w:val="single"/>
        </w:rPr>
        <w:t>P</w:t>
      </w:r>
      <w:r w:rsidR="00667C89" w:rsidRPr="00CA5840">
        <w:rPr>
          <w:b/>
          <w:u w:val="single"/>
        </w:rPr>
        <w:t>rogram Official/Project Officer</w:t>
      </w:r>
    </w:p>
    <w:p w14:paraId="4E598C28" w14:textId="77777777" w:rsidR="003C631C" w:rsidRPr="003C631C" w:rsidRDefault="003C631C" w:rsidP="003C631C">
      <w:pPr>
        <w:tabs>
          <w:tab w:val="clear" w:pos="9360"/>
        </w:tabs>
        <w:spacing w:line="240" w:lineRule="auto"/>
        <w:ind w:left="0"/>
        <w:rPr>
          <w:rFonts w:ascii="Cambria" w:eastAsia="Times New Roman" w:hAnsi="Cambria" w:cs="Arial"/>
          <w:b/>
          <w:bCs/>
          <w:noProof/>
        </w:rPr>
      </w:pPr>
      <w:r w:rsidRPr="003C631C">
        <w:rPr>
          <w:rFonts w:ascii="Cambria" w:eastAsia="Times New Roman" w:hAnsi="Cambria" w:cs="Arial"/>
          <w:b/>
          <w:bCs/>
          <w:noProof/>
        </w:rPr>
        <w:t>Branalyn K. Williams, MPH</w:t>
      </w:r>
    </w:p>
    <w:p w14:paraId="5C62C30E" w14:textId="77777777" w:rsidR="000B0962" w:rsidRPr="003C631C" w:rsidRDefault="003C631C" w:rsidP="003C631C">
      <w:pPr>
        <w:ind w:left="0"/>
        <w:rPr>
          <w:color w:val="0070C0"/>
        </w:rPr>
      </w:pPr>
      <w:r w:rsidRPr="003C631C">
        <w:rPr>
          <w:rFonts w:ascii="Cambria" w:eastAsia="Times New Roman" w:hAnsi="Cambria" w:cs="Times New Roman"/>
          <w:noProof/>
        </w:rPr>
        <w:t>Centers for Disease Control and Prevention</w:t>
      </w:r>
      <w:r w:rsidRPr="003C631C">
        <w:rPr>
          <w:rFonts w:ascii="Cambria" w:eastAsia="Times New Roman" w:hAnsi="Cambria" w:cs="Times New Roman"/>
          <w:noProof/>
        </w:rPr>
        <w:br/>
      </w:r>
      <w:r w:rsidRPr="003C631C">
        <w:rPr>
          <w:rFonts w:ascii="Cambria" w:eastAsia="Times New Roman" w:hAnsi="Cambria" w:cs="Arial"/>
          <w:noProof/>
        </w:rPr>
        <w:t>4770 Buford Hwy, NE</w:t>
      </w:r>
      <w:r w:rsidRPr="003C631C">
        <w:rPr>
          <w:rFonts w:ascii="Cambria" w:eastAsia="Times New Roman" w:hAnsi="Cambria" w:cs="Times New Roman"/>
          <w:noProof/>
        </w:rPr>
        <w:t xml:space="preserve">, </w:t>
      </w:r>
      <w:r w:rsidRPr="003C631C">
        <w:rPr>
          <w:rFonts w:ascii="Cambria" w:eastAsia="Times New Roman" w:hAnsi="Cambria" w:cs="Arial"/>
          <w:noProof/>
        </w:rPr>
        <w:t>Mail Stop F-78</w:t>
      </w:r>
      <w:r w:rsidRPr="003C631C">
        <w:rPr>
          <w:rFonts w:ascii="Cambria" w:eastAsia="Times New Roman" w:hAnsi="Cambria" w:cs="Times New Roman"/>
          <w:noProof/>
        </w:rPr>
        <w:br/>
      </w:r>
      <w:r w:rsidRPr="003C631C">
        <w:rPr>
          <w:rFonts w:ascii="Cambria" w:eastAsia="Times New Roman" w:hAnsi="Cambria" w:cs="Arial"/>
          <w:noProof/>
        </w:rPr>
        <w:t>Atlanta, GA 30341-3717</w:t>
      </w:r>
      <w:r w:rsidRPr="003C631C">
        <w:rPr>
          <w:rFonts w:ascii="Cambria" w:eastAsia="Times New Roman" w:hAnsi="Cambria" w:cs="Times New Roman"/>
          <w:noProof/>
        </w:rPr>
        <w:t xml:space="preserve"> </w:t>
      </w:r>
      <w:r w:rsidRPr="003C631C">
        <w:rPr>
          <w:rFonts w:ascii="Cambria" w:eastAsia="Times New Roman" w:hAnsi="Cambria" w:cs="Times New Roman"/>
          <w:noProof/>
        </w:rPr>
        <w:br/>
      </w:r>
      <w:r w:rsidRPr="003C631C">
        <w:rPr>
          <w:rFonts w:ascii="Cambria" w:eastAsia="Times New Roman" w:hAnsi="Cambria" w:cs="Arial"/>
          <w:noProof/>
        </w:rPr>
        <w:t>Phone: 770.488.5085</w:t>
      </w:r>
      <w:r w:rsidRPr="003C631C">
        <w:rPr>
          <w:rFonts w:ascii="Cambria" w:eastAsia="Times New Roman" w:hAnsi="Cambria" w:cs="Times New Roman"/>
          <w:noProof/>
        </w:rPr>
        <w:t xml:space="preserve"> </w:t>
      </w:r>
      <w:r w:rsidRPr="003C631C">
        <w:rPr>
          <w:rFonts w:ascii="Cambria" w:eastAsia="Times New Roman" w:hAnsi="Cambria" w:cs="Times New Roman"/>
          <w:noProof/>
        </w:rPr>
        <w:br/>
      </w:r>
      <w:r w:rsidRPr="003C631C">
        <w:rPr>
          <w:rFonts w:ascii="Cambria" w:eastAsia="Times New Roman" w:hAnsi="Cambria" w:cs="Arial"/>
          <w:noProof/>
        </w:rPr>
        <w:t>Fax: 770.488.8488</w:t>
      </w:r>
      <w:r w:rsidRPr="003C631C">
        <w:rPr>
          <w:rFonts w:ascii="Cambria" w:eastAsia="Times New Roman" w:hAnsi="Cambria" w:cs="Times New Roman"/>
          <w:noProof/>
        </w:rPr>
        <w:t xml:space="preserve"> </w:t>
      </w:r>
      <w:r w:rsidRPr="003C631C">
        <w:rPr>
          <w:rFonts w:ascii="Cambria" w:eastAsia="Times New Roman" w:hAnsi="Cambria" w:cs="Times New Roman"/>
          <w:noProof/>
        </w:rPr>
        <w:br/>
      </w:r>
      <w:r w:rsidRPr="003C631C">
        <w:rPr>
          <w:rFonts w:ascii="Cambria" w:eastAsia="Times New Roman" w:hAnsi="Cambria" w:cs="Arial"/>
          <w:noProof/>
        </w:rPr>
        <w:t xml:space="preserve">Email: </w:t>
      </w:r>
      <w:hyperlink r:id="rId13" w:history="1">
        <w:r w:rsidRPr="00D9004D">
          <w:rPr>
            <w:rStyle w:val="Hyperlink"/>
            <w:rFonts w:ascii="Cambria" w:eastAsia="Times New Roman" w:hAnsi="Cambria" w:cs="Arial"/>
            <w:noProof/>
          </w:rPr>
          <w:t>bkwilliams@cdc.gov</w:t>
        </w:r>
      </w:hyperlink>
      <w:r>
        <w:rPr>
          <w:rFonts w:ascii="Cambria" w:eastAsia="Times New Roman" w:hAnsi="Cambria" w:cs="Arial"/>
          <w:noProof/>
        </w:rPr>
        <w:t xml:space="preserve"> </w:t>
      </w:r>
      <w:r>
        <w:rPr>
          <w:rFonts w:ascii="Cambria" w:eastAsia="Times New Roman" w:hAnsi="Cambria" w:cs="Times New Roman"/>
          <w:noProof/>
        </w:rPr>
        <w:t xml:space="preserve"> </w:t>
      </w:r>
    </w:p>
    <w:p w14:paraId="53E1D8D6" w14:textId="77777777" w:rsidR="000B0962" w:rsidRDefault="000B0962" w:rsidP="007D6163"/>
    <w:p w14:paraId="25864D9E" w14:textId="77777777" w:rsidR="001B1B65" w:rsidRDefault="001B1B65">
      <w:pPr>
        <w:tabs>
          <w:tab w:val="clear" w:pos="9360"/>
        </w:tabs>
        <w:spacing w:after="200"/>
        <w:ind w:left="0"/>
        <w:rPr>
          <w:b/>
          <w:sz w:val="28"/>
        </w:rPr>
      </w:pPr>
      <w:r>
        <w:br w:type="page"/>
      </w:r>
    </w:p>
    <w:p w14:paraId="65BF6132" w14:textId="64477CA9" w:rsidR="003860A5" w:rsidRDefault="003860A5" w:rsidP="003860A5">
      <w:pPr>
        <w:pStyle w:val="Heading3"/>
        <w:ind w:left="0"/>
      </w:pPr>
      <w:r>
        <w:lastRenderedPageBreak/>
        <w:t>Table of Contents</w:t>
      </w:r>
    </w:p>
    <w:p w14:paraId="7A00AD94" w14:textId="77777777" w:rsidR="003860A5" w:rsidRPr="003860A5" w:rsidRDefault="003860A5" w:rsidP="003860A5"/>
    <w:p w14:paraId="070FEE9F" w14:textId="77777777" w:rsidR="003860A5" w:rsidRDefault="003860A5">
      <w:pPr>
        <w:pStyle w:val="TOC1"/>
        <w:tabs>
          <w:tab w:val="right" w:leader="dot" w:pos="9350"/>
        </w:tabs>
        <w:rPr>
          <w:noProof/>
        </w:rPr>
      </w:pPr>
      <w:r>
        <w:fldChar w:fldCharType="begin"/>
      </w:r>
      <w:r>
        <w:instrText xml:space="preserve"> TOC \h \z \u \t "Heading 3,1,Heading 4,2" </w:instrText>
      </w:r>
      <w:r>
        <w:fldChar w:fldCharType="separate"/>
      </w:r>
      <w:hyperlink w:anchor="_Toc413847748" w:history="1">
        <w:r w:rsidRPr="009D49CD">
          <w:rPr>
            <w:rStyle w:val="Hyperlink"/>
            <w:noProof/>
          </w:rPr>
          <w:t>Section A – Justification</w:t>
        </w:r>
        <w:r>
          <w:rPr>
            <w:noProof/>
            <w:webHidden/>
          </w:rPr>
          <w:tab/>
        </w:r>
        <w:r>
          <w:rPr>
            <w:noProof/>
            <w:webHidden/>
          </w:rPr>
          <w:fldChar w:fldCharType="begin"/>
        </w:r>
        <w:r>
          <w:rPr>
            <w:noProof/>
            <w:webHidden/>
          </w:rPr>
          <w:instrText xml:space="preserve"> PAGEREF _Toc413847748 \h </w:instrText>
        </w:r>
        <w:r>
          <w:rPr>
            <w:noProof/>
            <w:webHidden/>
          </w:rPr>
        </w:r>
        <w:r>
          <w:rPr>
            <w:noProof/>
            <w:webHidden/>
          </w:rPr>
          <w:fldChar w:fldCharType="separate"/>
        </w:r>
        <w:r w:rsidR="0013776B">
          <w:rPr>
            <w:noProof/>
            <w:webHidden/>
          </w:rPr>
          <w:t>3</w:t>
        </w:r>
        <w:r>
          <w:rPr>
            <w:noProof/>
            <w:webHidden/>
          </w:rPr>
          <w:fldChar w:fldCharType="end"/>
        </w:r>
      </w:hyperlink>
    </w:p>
    <w:p w14:paraId="0941F3F3" w14:textId="77777777" w:rsidR="003860A5" w:rsidRDefault="00B621DD" w:rsidP="001B70B4">
      <w:pPr>
        <w:pStyle w:val="TOC2"/>
        <w:rPr>
          <w:noProof/>
        </w:rPr>
      </w:pPr>
      <w:hyperlink w:anchor="_Toc413847749" w:history="1">
        <w:r w:rsidR="003860A5" w:rsidRPr="009D49CD">
          <w:rPr>
            <w:rStyle w:val="Hyperlink"/>
            <w:noProof/>
          </w:rPr>
          <w:t>1.</w:t>
        </w:r>
        <w:r w:rsidR="003860A5">
          <w:rPr>
            <w:noProof/>
          </w:rPr>
          <w:tab/>
        </w:r>
        <w:r w:rsidR="003860A5" w:rsidRPr="009D49CD">
          <w:rPr>
            <w:rStyle w:val="Hyperlink"/>
            <w:noProof/>
          </w:rPr>
          <w:t>Circumstances Making the Collection of Information Necessary</w:t>
        </w:r>
        <w:r w:rsidR="003860A5">
          <w:rPr>
            <w:noProof/>
            <w:webHidden/>
          </w:rPr>
          <w:tab/>
        </w:r>
        <w:r w:rsidR="003860A5">
          <w:rPr>
            <w:noProof/>
            <w:webHidden/>
          </w:rPr>
          <w:fldChar w:fldCharType="begin"/>
        </w:r>
        <w:r w:rsidR="003860A5">
          <w:rPr>
            <w:noProof/>
            <w:webHidden/>
          </w:rPr>
          <w:instrText xml:space="preserve"> PAGEREF _Toc413847749 \h </w:instrText>
        </w:r>
        <w:r w:rsidR="003860A5">
          <w:rPr>
            <w:noProof/>
            <w:webHidden/>
          </w:rPr>
        </w:r>
        <w:r w:rsidR="003860A5">
          <w:rPr>
            <w:noProof/>
            <w:webHidden/>
          </w:rPr>
          <w:fldChar w:fldCharType="separate"/>
        </w:r>
        <w:r w:rsidR="0013776B">
          <w:rPr>
            <w:noProof/>
            <w:webHidden/>
          </w:rPr>
          <w:t>3</w:t>
        </w:r>
        <w:r w:rsidR="003860A5">
          <w:rPr>
            <w:noProof/>
            <w:webHidden/>
          </w:rPr>
          <w:fldChar w:fldCharType="end"/>
        </w:r>
      </w:hyperlink>
    </w:p>
    <w:p w14:paraId="42386EDE" w14:textId="77777777" w:rsidR="003860A5" w:rsidRDefault="00B621DD" w:rsidP="001B70B4">
      <w:pPr>
        <w:pStyle w:val="TOC2"/>
        <w:rPr>
          <w:noProof/>
        </w:rPr>
      </w:pPr>
      <w:hyperlink w:anchor="_Toc413847750" w:history="1">
        <w:r w:rsidR="003860A5" w:rsidRPr="009D49CD">
          <w:rPr>
            <w:rStyle w:val="Hyperlink"/>
            <w:noProof/>
          </w:rPr>
          <w:t>2.</w:t>
        </w:r>
        <w:r w:rsidR="003860A5">
          <w:rPr>
            <w:noProof/>
          </w:rPr>
          <w:tab/>
        </w:r>
        <w:r w:rsidR="003860A5" w:rsidRPr="009D49CD">
          <w:rPr>
            <w:rStyle w:val="Hyperlink"/>
            <w:noProof/>
          </w:rPr>
          <w:t>Purpose and Use of the Information Collection</w:t>
        </w:r>
        <w:r w:rsidR="003860A5">
          <w:rPr>
            <w:noProof/>
            <w:webHidden/>
          </w:rPr>
          <w:tab/>
        </w:r>
        <w:r w:rsidR="003860A5">
          <w:rPr>
            <w:noProof/>
            <w:webHidden/>
          </w:rPr>
          <w:fldChar w:fldCharType="begin"/>
        </w:r>
        <w:r w:rsidR="003860A5">
          <w:rPr>
            <w:noProof/>
            <w:webHidden/>
          </w:rPr>
          <w:instrText xml:space="preserve"> PAGEREF _Toc413847750 \h </w:instrText>
        </w:r>
        <w:r w:rsidR="003860A5">
          <w:rPr>
            <w:noProof/>
            <w:webHidden/>
          </w:rPr>
        </w:r>
        <w:r w:rsidR="003860A5">
          <w:rPr>
            <w:noProof/>
            <w:webHidden/>
          </w:rPr>
          <w:fldChar w:fldCharType="separate"/>
        </w:r>
        <w:r w:rsidR="0013776B">
          <w:rPr>
            <w:noProof/>
            <w:webHidden/>
          </w:rPr>
          <w:t>7</w:t>
        </w:r>
        <w:r w:rsidR="003860A5">
          <w:rPr>
            <w:noProof/>
            <w:webHidden/>
          </w:rPr>
          <w:fldChar w:fldCharType="end"/>
        </w:r>
      </w:hyperlink>
    </w:p>
    <w:p w14:paraId="0A022054" w14:textId="77777777" w:rsidR="003860A5" w:rsidRDefault="00B621DD" w:rsidP="001B70B4">
      <w:pPr>
        <w:pStyle w:val="TOC2"/>
        <w:rPr>
          <w:noProof/>
        </w:rPr>
      </w:pPr>
      <w:hyperlink w:anchor="_Toc413847751" w:history="1">
        <w:r w:rsidR="003860A5" w:rsidRPr="009D49CD">
          <w:rPr>
            <w:rStyle w:val="Hyperlink"/>
            <w:noProof/>
          </w:rPr>
          <w:t>3.</w:t>
        </w:r>
        <w:r w:rsidR="003860A5">
          <w:rPr>
            <w:noProof/>
          </w:rPr>
          <w:tab/>
        </w:r>
        <w:r w:rsidR="003860A5" w:rsidRPr="009D49CD">
          <w:rPr>
            <w:rStyle w:val="Hyperlink"/>
            <w:noProof/>
          </w:rPr>
          <w:t>Use of Improved Information Technology and Burden Reduction</w:t>
        </w:r>
        <w:r w:rsidR="003860A5">
          <w:rPr>
            <w:noProof/>
            <w:webHidden/>
          </w:rPr>
          <w:tab/>
        </w:r>
        <w:r w:rsidR="003860A5">
          <w:rPr>
            <w:noProof/>
            <w:webHidden/>
          </w:rPr>
          <w:fldChar w:fldCharType="begin"/>
        </w:r>
        <w:r w:rsidR="003860A5">
          <w:rPr>
            <w:noProof/>
            <w:webHidden/>
          </w:rPr>
          <w:instrText xml:space="preserve"> PAGEREF _Toc413847751 \h </w:instrText>
        </w:r>
        <w:r w:rsidR="003860A5">
          <w:rPr>
            <w:noProof/>
            <w:webHidden/>
          </w:rPr>
        </w:r>
        <w:r w:rsidR="003860A5">
          <w:rPr>
            <w:noProof/>
            <w:webHidden/>
          </w:rPr>
          <w:fldChar w:fldCharType="separate"/>
        </w:r>
        <w:r w:rsidR="0013776B">
          <w:rPr>
            <w:noProof/>
            <w:webHidden/>
          </w:rPr>
          <w:t>7</w:t>
        </w:r>
        <w:r w:rsidR="003860A5">
          <w:rPr>
            <w:noProof/>
            <w:webHidden/>
          </w:rPr>
          <w:fldChar w:fldCharType="end"/>
        </w:r>
      </w:hyperlink>
    </w:p>
    <w:p w14:paraId="0E9EFCA7" w14:textId="77777777" w:rsidR="003860A5" w:rsidRDefault="00B621DD" w:rsidP="001B70B4">
      <w:pPr>
        <w:pStyle w:val="TOC2"/>
        <w:rPr>
          <w:noProof/>
        </w:rPr>
      </w:pPr>
      <w:hyperlink w:anchor="_Toc413847752" w:history="1">
        <w:r w:rsidR="003860A5" w:rsidRPr="009D49CD">
          <w:rPr>
            <w:rStyle w:val="Hyperlink"/>
            <w:noProof/>
          </w:rPr>
          <w:t>4.</w:t>
        </w:r>
        <w:r w:rsidR="003860A5">
          <w:rPr>
            <w:noProof/>
          </w:rPr>
          <w:tab/>
        </w:r>
        <w:r w:rsidR="003860A5" w:rsidRPr="009D49CD">
          <w:rPr>
            <w:rStyle w:val="Hyperlink"/>
            <w:noProof/>
          </w:rPr>
          <w:t>Efforts to Identify Duplication and Use of Similar Information</w:t>
        </w:r>
        <w:r w:rsidR="003860A5">
          <w:rPr>
            <w:noProof/>
            <w:webHidden/>
          </w:rPr>
          <w:tab/>
        </w:r>
        <w:r w:rsidR="003860A5">
          <w:rPr>
            <w:noProof/>
            <w:webHidden/>
          </w:rPr>
          <w:fldChar w:fldCharType="begin"/>
        </w:r>
        <w:r w:rsidR="003860A5">
          <w:rPr>
            <w:noProof/>
            <w:webHidden/>
          </w:rPr>
          <w:instrText xml:space="preserve"> PAGEREF _Toc413847752 \h </w:instrText>
        </w:r>
        <w:r w:rsidR="003860A5">
          <w:rPr>
            <w:noProof/>
            <w:webHidden/>
          </w:rPr>
        </w:r>
        <w:r w:rsidR="003860A5">
          <w:rPr>
            <w:noProof/>
            <w:webHidden/>
          </w:rPr>
          <w:fldChar w:fldCharType="separate"/>
        </w:r>
        <w:r w:rsidR="0013776B">
          <w:rPr>
            <w:noProof/>
            <w:webHidden/>
          </w:rPr>
          <w:t>8</w:t>
        </w:r>
        <w:r w:rsidR="003860A5">
          <w:rPr>
            <w:noProof/>
            <w:webHidden/>
          </w:rPr>
          <w:fldChar w:fldCharType="end"/>
        </w:r>
      </w:hyperlink>
    </w:p>
    <w:p w14:paraId="044F46BF" w14:textId="77777777" w:rsidR="003860A5" w:rsidRDefault="00B621DD" w:rsidP="001B70B4">
      <w:pPr>
        <w:pStyle w:val="TOC2"/>
        <w:rPr>
          <w:noProof/>
        </w:rPr>
      </w:pPr>
      <w:hyperlink w:anchor="_Toc413847753" w:history="1">
        <w:r w:rsidR="003860A5" w:rsidRPr="009D49CD">
          <w:rPr>
            <w:rStyle w:val="Hyperlink"/>
            <w:noProof/>
          </w:rPr>
          <w:t>5.</w:t>
        </w:r>
        <w:r w:rsidR="003860A5">
          <w:rPr>
            <w:noProof/>
          </w:rPr>
          <w:tab/>
        </w:r>
        <w:r w:rsidR="003860A5" w:rsidRPr="009D49CD">
          <w:rPr>
            <w:rStyle w:val="Hyperlink"/>
            <w:noProof/>
          </w:rPr>
          <w:t>Impact on Small Businesses or Other Small Entities</w:t>
        </w:r>
        <w:r w:rsidR="003860A5">
          <w:rPr>
            <w:noProof/>
            <w:webHidden/>
          </w:rPr>
          <w:tab/>
        </w:r>
        <w:r w:rsidR="003860A5">
          <w:rPr>
            <w:noProof/>
            <w:webHidden/>
          </w:rPr>
          <w:fldChar w:fldCharType="begin"/>
        </w:r>
        <w:r w:rsidR="003860A5">
          <w:rPr>
            <w:noProof/>
            <w:webHidden/>
          </w:rPr>
          <w:instrText xml:space="preserve"> PAGEREF _Toc413847753 \h </w:instrText>
        </w:r>
        <w:r w:rsidR="003860A5">
          <w:rPr>
            <w:noProof/>
            <w:webHidden/>
          </w:rPr>
        </w:r>
        <w:r w:rsidR="003860A5">
          <w:rPr>
            <w:noProof/>
            <w:webHidden/>
          </w:rPr>
          <w:fldChar w:fldCharType="separate"/>
        </w:r>
        <w:r w:rsidR="0013776B">
          <w:rPr>
            <w:noProof/>
            <w:webHidden/>
          </w:rPr>
          <w:t>8</w:t>
        </w:r>
        <w:r w:rsidR="003860A5">
          <w:rPr>
            <w:noProof/>
            <w:webHidden/>
          </w:rPr>
          <w:fldChar w:fldCharType="end"/>
        </w:r>
      </w:hyperlink>
    </w:p>
    <w:p w14:paraId="7059CA13" w14:textId="77777777" w:rsidR="003860A5" w:rsidRDefault="00B621DD" w:rsidP="001B70B4">
      <w:pPr>
        <w:pStyle w:val="TOC2"/>
        <w:rPr>
          <w:noProof/>
        </w:rPr>
      </w:pPr>
      <w:hyperlink w:anchor="_Toc413847754" w:history="1">
        <w:r w:rsidR="003860A5" w:rsidRPr="009D49CD">
          <w:rPr>
            <w:rStyle w:val="Hyperlink"/>
            <w:noProof/>
          </w:rPr>
          <w:t>6.</w:t>
        </w:r>
        <w:r w:rsidR="003860A5">
          <w:rPr>
            <w:noProof/>
          </w:rPr>
          <w:tab/>
        </w:r>
        <w:r w:rsidR="003860A5" w:rsidRPr="009D49CD">
          <w:rPr>
            <w:rStyle w:val="Hyperlink"/>
            <w:noProof/>
          </w:rPr>
          <w:t xml:space="preserve">Consequences of Collecting the Information Less Frequently   </w:t>
        </w:r>
        <w:r w:rsidR="003860A5">
          <w:rPr>
            <w:noProof/>
            <w:webHidden/>
          </w:rPr>
          <w:tab/>
        </w:r>
        <w:r w:rsidR="003860A5">
          <w:rPr>
            <w:noProof/>
            <w:webHidden/>
          </w:rPr>
          <w:fldChar w:fldCharType="begin"/>
        </w:r>
        <w:r w:rsidR="003860A5">
          <w:rPr>
            <w:noProof/>
            <w:webHidden/>
          </w:rPr>
          <w:instrText xml:space="preserve"> PAGEREF _Toc413847754 \h </w:instrText>
        </w:r>
        <w:r w:rsidR="003860A5">
          <w:rPr>
            <w:noProof/>
            <w:webHidden/>
          </w:rPr>
        </w:r>
        <w:r w:rsidR="003860A5">
          <w:rPr>
            <w:noProof/>
            <w:webHidden/>
          </w:rPr>
          <w:fldChar w:fldCharType="separate"/>
        </w:r>
        <w:r w:rsidR="0013776B">
          <w:rPr>
            <w:noProof/>
            <w:webHidden/>
          </w:rPr>
          <w:t>8</w:t>
        </w:r>
        <w:r w:rsidR="003860A5">
          <w:rPr>
            <w:noProof/>
            <w:webHidden/>
          </w:rPr>
          <w:fldChar w:fldCharType="end"/>
        </w:r>
      </w:hyperlink>
    </w:p>
    <w:p w14:paraId="3FAA400D" w14:textId="77777777" w:rsidR="003860A5" w:rsidRDefault="00B621DD" w:rsidP="001B70B4">
      <w:pPr>
        <w:pStyle w:val="TOC2"/>
        <w:rPr>
          <w:noProof/>
        </w:rPr>
      </w:pPr>
      <w:hyperlink w:anchor="_Toc413847755" w:history="1">
        <w:r w:rsidR="003860A5" w:rsidRPr="009D49CD">
          <w:rPr>
            <w:rStyle w:val="Hyperlink"/>
            <w:noProof/>
          </w:rPr>
          <w:t>7.</w:t>
        </w:r>
        <w:r w:rsidR="003860A5">
          <w:rPr>
            <w:noProof/>
          </w:rPr>
          <w:tab/>
        </w:r>
        <w:r w:rsidR="003860A5" w:rsidRPr="009D49CD">
          <w:rPr>
            <w:rStyle w:val="Hyperlink"/>
            <w:noProof/>
          </w:rPr>
          <w:t>Special Circumstances Relating to the Guidelines of 5 CFR 1320.5</w:t>
        </w:r>
        <w:r w:rsidR="003860A5">
          <w:rPr>
            <w:noProof/>
            <w:webHidden/>
          </w:rPr>
          <w:tab/>
        </w:r>
        <w:r w:rsidR="003860A5">
          <w:rPr>
            <w:noProof/>
            <w:webHidden/>
          </w:rPr>
          <w:fldChar w:fldCharType="begin"/>
        </w:r>
        <w:r w:rsidR="003860A5">
          <w:rPr>
            <w:noProof/>
            <w:webHidden/>
          </w:rPr>
          <w:instrText xml:space="preserve"> PAGEREF _Toc413847755 \h </w:instrText>
        </w:r>
        <w:r w:rsidR="003860A5">
          <w:rPr>
            <w:noProof/>
            <w:webHidden/>
          </w:rPr>
        </w:r>
        <w:r w:rsidR="003860A5">
          <w:rPr>
            <w:noProof/>
            <w:webHidden/>
          </w:rPr>
          <w:fldChar w:fldCharType="separate"/>
        </w:r>
        <w:r w:rsidR="0013776B">
          <w:rPr>
            <w:noProof/>
            <w:webHidden/>
          </w:rPr>
          <w:t>9</w:t>
        </w:r>
        <w:r w:rsidR="003860A5">
          <w:rPr>
            <w:noProof/>
            <w:webHidden/>
          </w:rPr>
          <w:fldChar w:fldCharType="end"/>
        </w:r>
      </w:hyperlink>
    </w:p>
    <w:p w14:paraId="01680406" w14:textId="77777777" w:rsidR="003860A5" w:rsidRDefault="00B621DD" w:rsidP="001B70B4">
      <w:pPr>
        <w:pStyle w:val="TOC2"/>
        <w:rPr>
          <w:noProof/>
        </w:rPr>
      </w:pPr>
      <w:hyperlink w:anchor="_Toc413847756" w:history="1">
        <w:r w:rsidR="003860A5" w:rsidRPr="009D49CD">
          <w:rPr>
            <w:rStyle w:val="Hyperlink"/>
            <w:noProof/>
          </w:rPr>
          <w:t>8.</w:t>
        </w:r>
        <w:r w:rsidR="003860A5">
          <w:rPr>
            <w:noProof/>
          </w:rPr>
          <w:tab/>
        </w:r>
        <w:r w:rsidR="003860A5" w:rsidRPr="009D49CD">
          <w:rPr>
            <w:rStyle w:val="Hyperlink"/>
            <w:noProof/>
          </w:rPr>
          <w:t>Comments in Response to the Federal Register Notice and Efforts to Consult Outside the Agency</w:t>
        </w:r>
        <w:r w:rsidR="003860A5">
          <w:rPr>
            <w:noProof/>
            <w:webHidden/>
          </w:rPr>
          <w:tab/>
        </w:r>
        <w:r w:rsidR="003860A5">
          <w:rPr>
            <w:noProof/>
            <w:webHidden/>
          </w:rPr>
          <w:fldChar w:fldCharType="begin"/>
        </w:r>
        <w:r w:rsidR="003860A5">
          <w:rPr>
            <w:noProof/>
            <w:webHidden/>
          </w:rPr>
          <w:instrText xml:space="preserve"> PAGEREF _Toc413847756 \h </w:instrText>
        </w:r>
        <w:r w:rsidR="003860A5">
          <w:rPr>
            <w:noProof/>
            <w:webHidden/>
          </w:rPr>
        </w:r>
        <w:r w:rsidR="003860A5">
          <w:rPr>
            <w:noProof/>
            <w:webHidden/>
          </w:rPr>
          <w:fldChar w:fldCharType="separate"/>
        </w:r>
        <w:r w:rsidR="0013776B">
          <w:rPr>
            <w:noProof/>
            <w:webHidden/>
          </w:rPr>
          <w:t>9</w:t>
        </w:r>
        <w:r w:rsidR="003860A5">
          <w:rPr>
            <w:noProof/>
            <w:webHidden/>
          </w:rPr>
          <w:fldChar w:fldCharType="end"/>
        </w:r>
      </w:hyperlink>
    </w:p>
    <w:p w14:paraId="0E6F10BB" w14:textId="77777777" w:rsidR="003860A5" w:rsidRDefault="00B621DD" w:rsidP="001B70B4">
      <w:pPr>
        <w:pStyle w:val="TOC2"/>
        <w:rPr>
          <w:noProof/>
        </w:rPr>
      </w:pPr>
      <w:hyperlink w:anchor="_Toc413847757" w:history="1">
        <w:r w:rsidR="003860A5" w:rsidRPr="009D49CD">
          <w:rPr>
            <w:rStyle w:val="Hyperlink"/>
            <w:noProof/>
          </w:rPr>
          <w:t>9.</w:t>
        </w:r>
        <w:r w:rsidR="003860A5">
          <w:rPr>
            <w:noProof/>
          </w:rPr>
          <w:tab/>
        </w:r>
        <w:r w:rsidR="003860A5" w:rsidRPr="009D49CD">
          <w:rPr>
            <w:rStyle w:val="Hyperlink"/>
            <w:noProof/>
          </w:rPr>
          <w:t>Explanation of Any Payment or Gift to Respondents</w:t>
        </w:r>
        <w:r w:rsidR="003860A5">
          <w:rPr>
            <w:noProof/>
            <w:webHidden/>
          </w:rPr>
          <w:tab/>
        </w:r>
        <w:r w:rsidR="003860A5">
          <w:rPr>
            <w:noProof/>
            <w:webHidden/>
          </w:rPr>
          <w:fldChar w:fldCharType="begin"/>
        </w:r>
        <w:r w:rsidR="003860A5">
          <w:rPr>
            <w:noProof/>
            <w:webHidden/>
          </w:rPr>
          <w:instrText xml:space="preserve"> PAGEREF _Toc413847757 \h </w:instrText>
        </w:r>
        <w:r w:rsidR="003860A5">
          <w:rPr>
            <w:noProof/>
            <w:webHidden/>
          </w:rPr>
        </w:r>
        <w:r w:rsidR="003860A5">
          <w:rPr>
            <w:noProof/>
            <w:webHidden/>
          </w:rPr>
          <w:fldChar w:fldCharType="separate"/>
        </w:r>
        <w:r w:rsidR="0013776B">
          <w:rPr>
            <w:noProof/>
            <w:webHidden/>
          </w:rPr>
          <w:t>9</w:t>
        </w:r>
        <w:r w:rsidR="003860A5">
          <w:rPr>
            <w:noProof/>
            <w:webHidden/>
          </w:rPr>
          <w:fldChar w:fldCharType="end"/>
        </w:r>
      </w:hyperlink>
    </w:p>
    <w:p w14:paraId="55E19267" w14:textId="77777777" w:rsidR="003860A5" w:rsidRDefault="00B621DD" w:rsidP="001B70B4">
      <w:pPr>
        <w:pStyle w:val="TOC2"/>
        <w:rPr>
          <w:noProof/>
        </w:rPr>
      </w:pPr>
      <w:hyperlink w:anchor="_Toc413847758" w:history="1">
        <w:r w:rsidR="003860A5" w:rsidRPr="009D49CD">
          <w:rPr>
            <w:rStyle w:val="Hyperlink"/>
            <w:noProof/>
          </w:rPr>
          <w:t>10.</w:t>
        </w:r>
        <w:r w:rsidR="003860A5">
          <w:rPr>
            <w:noProof/>
          </w:rPr>
          <w:tab/>
        </w:r>
        <w:r w:rsidR="003860A5" w:rsidRPr="009D49CD">
          <w:rPr>
            <w:rStyle w:val="Hyperlink"/>
            <w:noProof/>
          </w:rPr>
          <w:t>Assurance of Confidentiality Provided to Respondents</w:t>
        </w:r>
        <w:r w:rsidR="003860A5">
          <w:rPr>
            <w:noProof/>
            <w:webHidden/>
          </w:rPr>
          <w:tab/>
        </w:r>
        <w:r w:rsidR="003860A5">
          <w:rPr>
            <w:noProof/>
            <w:webHidden/>
          </w:rPr>
          <w:fldChar w:fldCharType="begin"/>
        </w:r>
        <w:r w:rsidR="003860A5">
          <w:rPr>
            <w:noProof/>
            <w:webHidden/>
          </w:rPr>
          <w:instrText xml:space="preserve"> PAGEREF _Toc413847758 \h </w:instrText>
        </w:r>
        <w:r w:rsidR="003860A5">
          <w:rPr>
            <w:noProof/>
            <w:webHidden/>
          </w:rPr>
        </w:r>
        <w:r w:rsidR="003860A5">
          <w:rPr>
            <w:noProof/>
            <w:webHidden/>
          </w:rPr>
          <w:fldChar w:fldCharType="separate"/>
        </w:r>
        <w:r w:rsidR="0013776B">
          <w:rPr>
            <w:noProof/>
            <w:webHidden/>
          </w:rPr>
          <w:t>9</w:t>
        </w:r>
        <w:r w:rsidR="003860A5">
          <w:rPr>
            <w:noProof/>
            <w:webHidden/>
          </w:rPr>
          <w:fldChar w:fldCharType="end"/>
        </w:r>
      </w:hyperlink>
    </w:p>
    <w:p w14:paraId="0B6DD44F" w14:textId="77777777" w:rsidR="003860A5" w:rsidRDefault="00B621DD" w:rsidP="001B70B4">
      <w:pPr>
        <w:pStyle w:val="TOC2"/>
        <w:rPr>
          <w:noProof/>
        </w:rPr>
      </w:pPr>
      <w:hyperlink w:anchor="_Toc413847761" w:history="1">
        <w:r w:rsidR="003860A5" w:rsidRPr="009D49CD">
          <w:rPr>
            <w:rStyle w:val="Hyperlink"/>
            <w:noProof/>
          </w:rPr>
          <w:t>11.</w:t>
        </w:r>
        <w:r w:rsidR="003860A5">
          <w:rPr>
            <w:noProof/>
          </w:rPr>
          <w:tab/>
        </w:r>
        <w:r w:rsidR="003860A5" w:rsidRPr="009D49CD">
          <w:rPr>
            <w:rStyle w:val="Hyperlink"/>
            <w:noProof/>
          </w:rPr>
          <w:t>Justification for Sensitive Questions</w:t>
        </w:r>
        <w:r w:rsidR="003860A5">
          <w:rPr>
            <w:noProof/>
            <w:webHidden/>
          </w:rPr>
          <w:tab/>
        </w:r>
        <w:r w:rsidR="003860A5">
          <w:rPr>
            <w:noProof/>
            <w:webHidden/>
          </w:rPr>
          <w:fldChar w:fldCharType="begin"/>
        </w:r>
        <w:r w:rsidR="003860A5">
          <w:rPr>
            <w:noProof/>
            <w:webHidden/>
          </w:rPr>
          <w:instrText xml:space="preserve"> PAGEREF _Toc413847761 \h </w:instrText>
        </w:r>
        <w:r w:rsidR="003860A5">
          <w:rPr>
            <w:noProof/>
            <w:webHidden/>
          </w:rPr>
        </w:r>
        <w:r w:rsidR="003860A5">
          <w:rPr>
            <w:noProof/>
            <w:webHidden/>
          </w:rPr>
          <w:fldChar w:fldCharType="separate"/>
        </w:r>
        <w:r w:rsidR="0013776B">
          <w:rPr>
            <w:noProof/>
            <w:webHidden/>
          </w:rPr>
          <w:t>9</w:t>
        </w:r>
        <w:r w:rsidR="003860A5">
          <w:rPr>
            <w:noProof/>
            <w:webHidden/>
          </w:rPr>
          <w:fldChar w:fldCharType="end"/>
        </w:r>
      </w:hyperlink>
    </w:p>
    <w:p w14:paraId="0F769945" w14:textId="77777777" w:rsidR="003860A5" w:rsidRDefault="00B621DD" w:rsidP="001B70B4">
      <w:pPr>
        <w:pStyle w:val="TOC2"/>
        <w:rPr>
          <w:noProof/>
        </w:rPr>
      </w:pPr>
      <w:hyperlink w:anchor="_Toc413847762" w:history="1">
        <w:r w:rsidR="003860A5" w:rsidRPr="009D49CD">
          <w:rPr>
            <w:rStyle w:val="Hyperlink"/>
            <w:noProof/>
          </w:rPr>
          <w:t>12.</w:t>
        </w:r>
        <w:r w:rsidR="003860A5">
          <w:rPr>
            <w:noProof/>
          </w:rPr>
          <w:tab/>
        </w:r>
        <w:r w:rsidR="003860A5" w:rsidRPr="009D49CD">
          <w:rPr>
            <w:rStyle w:val="Hyperlink"/>
            <w:noProof/>
          </w:rPr>
          <w:t>Estimates of Annualized Burden Hours and Costs</w:t>
        </w:r>
        <w:r w:rsidR="003860A5">
          <w:rPr>
            <w:noProof/>
            <w:webHidden/>
          </w:rPr>
          <w:tab/>
        </w:r>
        <w:r w:rsidR="003860A5">
          <w:rPr>
            <w:noProof/>
            <w:webHidden/>
          </w:rPr>
          <w:fldChar w:fldCharType="begin"/>
        </w:r>
        <w:r w:rsidR="003860A5">
          <w:rPr>
            <w:noProof/>
            <w:webHidden/>
          </w:rPr>
          <w:instrText xml:space="preserve"> PAGEREF _Toc413847762 \h </w:instrText>
        </w:r>
        <w:r w:rsidR="003860A5">
          <w:rPr>
            <w:noProof/>
            <w:webHidden/>
          </w:rPr>
        </w:r>
        <w:r w:rsidR="003860A5">
          <w:rPr>
            <w:noProof/>
            <w:webHidden/>
          </w:rPr>
          <w:fldChar w:fldCharType="separate"/>
        </w:r>
        <w:r w:rsidR="0013776B">
          <w:rPr>
            <w:noProof/>
            <w:webHidden/>
          </w:rPr>
          <w:t>9</w:t>
        </w:r>
        <w:r w:rsidR="003860A5">
          <w:rPr>
            <w:noProof/>
            <w:webHidden/>
          </w:rPr>
          <w:fldChar w:fldCharType="end"/>
        </w:r>
      </w:hyperlink>
    </w:p>
    <w:p w14:paraId="53E292E1" w14:textId="77777777" w:rsidR="003860A5" w:rsidRDefault="00B621DD" w:rsidP="001B70B4">
      <w:pPr>
        <w:pStyle w:val="TOC2"/>
        <w:rPr>
          <w:noProof/>
        </w:rPr>
      </w:pPr>
      <w:hyperlink w:anchor="_Toc413847763" w:history="1">
        <w:r w:rsidR="003860A5" w:rsidRPr="009D49CD">
          <w:rPr>
            <w:rStyle w:val="Hyperlink"/>
            <w:noProof/>
          </w:rPr>
          <w:t>13.</w:t>
        </w:r>
        <w:r w:rsidR="003860A5">
          <w:rPr>
            <w:noProof/>
          </w:rPr>
          <w:tab/>
        </w:r>
        <w:r w:rsidR="003860A5" w:rsidRPr="009D49CD">
          <w:rPr>
            <w:rStyle w:val="Hyperlink"/>
            <w:noProof/>
          </w:rPr>
          <w:t>Estimates of Other Total Annual Cost Burden to Respondents or Record Keepers</w:t>
        </w:r>
        <w:r w:rsidR="003860A5">
          <w:rPr>
            <w:noProof/>
            <w:webHidden/>
          </w:rPr>
          <w:tab/>
        </w:r>
        <w:r w:rsidR="003860A5">
          <w:rPr>
            <w:noProof/>
            <w:webHidden/>
          </w:rPr>
          <w:fldChar w:fldCharType="begin"/>
        </w:r>
        <w:r w:rsidR="003860A5">
          <w:rPr>
            <w:noProof/>
            <w:webHidden/>
          </w:rPr>
          <w:instrText xml:space="preserve"> PAGEREF _Toc413847763 \h </w:instrText>
        </w:r>
        <w:r w:rsidR="003860A5">
          <w:rPr>
            <w:noProof/>
            <w:webHidden/>
          </w:rPr>
        </w:r>
        <w:r w:rsidR="003860A5">
          <w:rPr>
            <w:noProof/>
            <w:webHidden/>
          </w:rPr>
          <w:fldChar w:fldCharType="separate"/>
        </w:r>
        <w:r w:rsidR="0013776B">
          <w:rPr>
            <w:noProof/>
            <w:webHidden/>
          </w:rPr>
          <w:t>11</w:t>
        </w:r>
        <w:r w:rsidR="003860A5">
          <w:rPr>
            <w:noProof/>
            <w:webHidden/>
          </w:rPr>
          <w:fldChar w:fldCharType="end"/>
        </w:r>
      </w:hyperlink>
    </w:p>
    <w:p w14:paraId="36299F06" w14:textId="77777777" w:rsidR="003860A5" w:rsidRDefault="00B621DD" w:rsidP="001B70B4">
      <w:pPr>
        <w:pStyle w:val="TOC2"/>
        <w:rPr>
          <w:noProof/>
        </w:rPr>
      </w:pPr>
      <w:hyperlink w:anchor="_Toc413847764" w:history="1">
        <w:r w:rsidR="003860A5" w:rsidRPr="009D49CD">
          <w:rPr>
            <w:rStyle w:val="Hyperlink"/>
            <w:noProof/>
          </w:rPr>
          <w:t>14.</w:t>
        </w:r>
        <w:r w:rsidR="003860A5">
          <w:rPr>
            <w:noProof/>
          </w:rPr>
          <w:tab/>
        </w:r>
        <w:r w:rsidR="003860A5" w:rsidRPr="009D49CD">
          <w:rPr>
            <w:rStyle w:val="Hyperlink"/>
            <w:noProof/>
          </w:rPr>
          <w:t>Annualized Cost to the Government</w:t>
        </w:r>
        <w:r w:rsidR="003860A5">
          <w:rPr>
            <w:noProof/>
            <w:webHidden/>
          </w:rPr>
          <w:tab/>
        </w:r>
        <w:r w:rsidR="003860A5">
          <w:rPr>
            <w:noProof/>
            <w:webHidden/>
          </w:rPr>
          <w:fldChar w:fldCharType="begin"/>
        </w:r>
        <w:r w:rsidR="003860A5">
          <w:rPr>
            <w:noProof/>
            <w:webHidden/>
          </w:rPr>
          <w:instrText xml:space="preserve"> PAGEREF _Toc413847764 \h </w:instrText>
        </w:r>
        <w:r w:rsidR="003860A5">
          <w:rPr>
            <w:noProof/>
            <w:webHidden/>
          </w:rPr>
        </w:r>
        <w:r w:rsidR="003860A5">
          <w:rPr>
            <w:noProof/>
            <w:webHidden/>
          </w:rPr>
          <w:fldChar w:fldCharType="separate"/>
        </w:r>
        <w:r w:rsidR="0013776B">
          <w:rPr>
            <w:noProof/>
            <w:webHidden/>
          </w:rPr>
          <w:t>11</w:t>
        </w:r>
        <w:r w:rsidR="003860A5">
          <w:rPr>
            <w:noProof/>
            <w:webHidden/>
          </w:rPr>
          <w:fldChar w:fldCharType="end"/>
        </w:r>
      </w:hyperlink>
    </w:p>
    <w:p w14:paraId="75C6887C" w14:textId="77777777" w:rsidR="003860A5" w:rsidRDefault="00B621DD" w:rsidP="001B70B4">
      <w:pPr>
        <w:pStyle w:val="TOC2"/>
        <w:rPr>
          <w:noProof/>
        </w:rPr>
      </w:pPr>
      <w:hyperlink w:anchor="_Toc413847765" w:history="1">
        <w:r w:rsidR="003860A5" w:rsidRPr="009D49CD">
          <w:rPr>
            <w:rStyle w:val="Hyperlink"/>
            <w:noProof/>
          </w:rPr>
          <w:t>15.</w:t>
        </w:r>
        <w:r w:rsidR="003860A5">
          <w:rPr>
            <w:noProof/>
          </w:rPr>
          <w:tab/>
        </w:r>
        <w:r w:rsidR="003860A5" w:rsidRPr="009D49CD">
          <w:rPr>
            <w:rStyle w:val="Hyperlink"/>
            <w:noProof/>
          </w:rPr>
          <w:t>Explanation for Program Changes or Adjustments</w:t>
        </w:r>
        <w:r w:rsidR="003860A5">
          <w:rPr>
            <w:noProof/>
            <w:webHidden/>
          </w:rPr>
          <w:tab/>
        </w:r>
        <w:r w:rsidR="003860A5">
          <w:rPr>
            <w:noProof/>
            <w:webHidden/>
          </w:rPr>
          <w:fldChar w:fldCharType="begin"/>
        </w:r>
        <w:r w:rsidR="003860A5">
          <w:rPr>
            <w:noProof/>
            <w:webHidden/>
          </w:rPr>
          <w:instrText xml:space="preserve"> PAGEREF _Toc413847765 \h </w:instrText>
        </w:r>
        <w:r w:rsidR="003860A5">
          <w:rPr>
            <w:noProof/>
            <w:webHidden/>
          </w:rPr>
        </w:r>
        <w:r w:rsidR="003860A5">
          <w:rPr>
            <w:noProof/>
            <w:webHidden/>
          </w:rPr>
          <w:fldChar w:fldCharType="separate"/>
        </w:r>
        <w:r w:rsidR="0013776B">
          <w:rPr>
            <w:noProof/>
            <w:webHidden/>
          </w:rPr>
          <w:t>11</w:t>
        </w:r>
        <w:r w:rsidR="003860A5">
          <w:rPr>
            <w:noProof/>
            <w:webHidden/>
          </w:rPr>
          <w:fldChar w:fldCharType="end"/>
        </w:r>
      </w:hyperlink>
    </w:p>
    <w:p w14:paraId="5C6EFF0C" w14:textId="77777777" w:rsidR="003860A5" w:rsidRDefault="00B621DD" w:rsidP="001B70B4">
      <w:pPr>
        <w:pStyle w:val="TOC2"/>
        <w:rPr>
          <w:noProof/>
        </w:rPr>
      </w:pPr>
      <w:hyperlink w:anchor="_Toc413847766" w:history="1">
        <w:r w:rsidR="003860A5" w:rsidRPr="009D49CD">
          <w:rPr>
            <w:rStyle w:val="Hyperlink"/>
            <w:noProof/>
          </w:rPr>
          <w:t>16.</w:t>
        </w:r>
        <w:r w:rsidR="003860A5">
          <w:rPr>
            <w:noProof/>
          </w:rPr>
          <w:tab/>
        </w:r>
        <w:r w:rsidR="003860A5" w:rsidRPr="009D49CD">
          <w:rPr>
            <w:rStyle w:val="Hyperlink"/>
            <w:noProof/>
          </w:rPr>
          <w:t>Plans for Tabulation and Publication and Project Time Schedule</w:t>
        </w:r>
        <w:r w:rsidR="003860A5">
          <w:rPr>
            <w:noProof/>
            <w:webHidden/>
          </w:rPr>
          <w:tab/>
        </w:r>
        <w:r w:rsidR="003860A5">
          <w:rPr>
            <w:noProof/>
            <w:webHidden/>
          </w:rPr>
          <w:fldChar w:fldCharType="begin"/>
        </w:r>
        <w:r w:rsidR="003860A5">
          <w:rPr>
            <w:noProof/>
            <w:webHidden/>
          </w:rPr>
          <w:instrText xml:space="preserve"> PAGEREF _Toc413847766 \h </w:instrText>
        </w:r>
        <w:r w:rsidR="003860A5">
          <w:rPr>
            <w:noProof/>
            <w:webHidden/>
          </w:rPr>
        </w:r>
        <w:r w:rsidR="003860A5">
          <w:rPr>
            <w:noProof/>
            <w:webHidden/>
          </w:rPr>
          <w:fldChar w:fldCharType="separate"/>
        </w:r>
        <w:r w:rsidR="0013776B">
          <w:rPr>
            <w:noProof/>
            <w:webHidden/>
          </w:rPr>
          <w:t>11</w:t>
        </w:r>
        <w:r w:rsidR="003860A5">
          <w:rPr>
            <w:noProof/>
            <w:webHidden/>
          </w:rPr>
          <w:fldChar w:fldCharType="end"/>
        </w:r>
      </w:hyperlink>
    </w:p>
    <w:p w14:paraId="293B4EE5" w14:textId="77777777" w:rsidR="003860A5" w:rsidRDefault="00B621DD" w:rsidP="001B70B4">
      <w:pPr>
        <w:pStyle w:val="TOC2"/>
        <w:rPr>
          <w:noProof/>
        </w:rPr>
      </w:pPr>
      <w:hyperlink w:anchor="_Toc413847767" w:history="1">
        <w:r w:rsidR="003860A5" w:rsidRPr="009D49CD">
          <w:rPr>
            <w:rStyle w:val="Hyperlink"/>
            <w:noProof/>
          </w:rPr>
          <w:t>17.</w:t>
        </w:r>
        <w:r w:rsidR="003860A5">
          <w:rPr>
            <w:noProof/>
          </w:rPr>
          <w:tab/>
        </w:r>
        <w:r w:rsidR="003860A5" w:rsidRPr="009D49CD">
          <w:rPr>
            <w:rStyle w:val="Hyperlink"/>
            <w:noProof/>
          </w:rPr>
          <w:t>Reason(s) Display of OMB Expiration Date is Inappropriate</w:t>
        </w:r>
        <w:r w:rsidR="003860A5">
          <w:rPr>
            <w:noProof/>
            <w:webHidden/>
          </w:rPr>
          <w:tab/>
        </w:r>
        <w:r w:rsidR="003860A5">
          <w:rPr>
            <w:noProof/>
            <w:webHidden/>
          </w:rPr>
          <w:fldChar w:fldCharType="begin"/>
        </w:r>
        <w:r w:rsidR="003860A5">
          <w:rPr>
            <w:noProof/>
            <w:webHidden/>
          </w:rPr>
          <w:instrText xml:space="preserve"> PAGEREF _Toc413847767 \h </w:instrText>
        </w:r>
        <w:r w:rsidR="003860A5">
          <w:rPr>
            <w:noProof/>
            <w:webHidden/>
          </w:rPr>
        </w:r>
        <w:r w:rsidR="003860A5">
          <w:rPr>
            <w:noProof/>
            <w:webHidden/>
          </w:rPr>
          <w:fldChar w:fldCharType="separate"/>
        </w:r>
        <w:r w:rsidR="0013776B">
          <w:rPr>
            <w:noProof/>
            <w:webHidden/>
          </w:rPr>
          <w:t>12</w:t>
        </w:r>
        <w:r w:rsidR="003860A5">
          <w:rPr>
            <w:noProof/>
            <w:webHidden/>
          </w:rPr>
          <w:fldChar w:fldCharType="end"/>
        </w:r>
      </w:hyperlink>
    </w:p>
    <w:p w14:paraId="634E715E" w14:textId="77777777" w:rsidR="003860A5" w:rsidRDefault="00B621DD" w:rsidP="001B70B4">
      <w:pPr>
        <w:pStyle w:val="TOC2"/>
        <w:rPr>
          <w:noProof/>
        </w:rPr>
      </w:pPr>
      <w:hyperlink w:anchor="_Toc413847768" w:history="1">
        <w:r w:rsidR="003860A5" w:rsidRPr="009D49CD">
          <w:rPr>
            <w:rStyle w:val="Hyperlink"/>
            <w:noProof/>
          </w:rPr>
          <w:t>18.</w:t>
        </w:r>
        <w:r w:rsidR="003860A5">
          <w:rPr>
            <w:noProof/>
          </w:rPr>
          <w:tab/>
        </w:r>
        <w:r w:rsidR="003860A5" w:rsidRPr="009D49CD">
          <w:rPr>
            <w:rStyle w:val="Hyperlink"/>
            <w:noProof/>
          </w:rPr>
          <w:t>Exceptions to Certification for Paperwork Reduction Act Submissions</w:t>
        </w:r>
        <w:r w:rsidR="003860A5">
          <w:rPr>
            <w:noProof/>
            <w:webHidden/>
          </w:rPr>
          <w:tab/>
        </w:r>
        <w:r w:rsidR="003860A5">
          <w:rPr>
            <w:noProof/>
            <w:webHidden/>
          </w:rPr>
          <w:fldChar w:fldCharType="begin"/>
        </w:r>
        <w:r w:rsidR="003860A5">
          <w:rPr>
            <w:noProof/>
            <w:webHidden/>
          </w:rPr>
          <w:instrText xml:space="preserve"> PAGEREF _Toc413847768 \h </w:instrText>
        </w:r>
        <w:r w:rsidR="003860A5">
          <w:rPr>
            <w:noProof/>
            <w:webHidden/>
          </w:rPr>
        </w:r>
        <w:r w:rsidR="003860A5">
          <w:rPr>
            <w:noProof/>
            <w:webHidden/>
          </w:rPr>
          <w:fldChar w:fldCharType="separate"/>
        </w:r>
        <w:r w:rsidR="0013776B">
          <w:rPr>
            <w:noProof/>
            <w:webHidden/>
          </w:rPr>
          <w:t>12</w:t>
        </w:r>
        <w:r w:rsidR="003860A5">
          <w:rPr>
            <w:noProof/>
            <w:webHidden/>
          </w:rPr>
          <w:fldChar w:fldCharType="end"/>
        </w:r>
      </w:hyperlink>
    </w:p>
    <w:p w14:paraId="53601C9B" w14:textId="77777777" w:rsidR="003860A5" w:rsidRDefault="00B621DD">
      <w:pPr>
        <w:pStyle w:val="TOC1"/>
        <w:tabs>
          <w:tab w:val="right" w:leader="dot" w:pos="9350"/>
        </w:tabs>
        <w:rPr>
          <w:noProof/>
        </w:rPr>
      </w:pPr>
      <w:hyperlink w:anchor="_Toc413847769" w:history="1">
        <w:r w:rsidR="003860A5" w:rsidRPr="009D49CD">
          <w:rPr>
            <w:rStyle w:val="Hyperlink"/>
            <w:noProof/>
          </w:rPr>
          <w:t>LIST OF ATTACHMENTS – Section A</w:t>
        </w:r>
        <w:r w:rsidR="003860A5">
          <w:rPr>
            <w:noProof/>
            <w:webHidden/>
          </w:rPr>
          <w:tab/>
        </w:r>
        <w:r w:rsidR="003860A5">
          <w:rPr>
            <w:noProof/>
            <w:webHidden/>
          </w:rPr>
          <w:fldChar w:fldCharType="begin"/>
        </w:r>
        <w:r w:rsidR="003860A5">
          <w:rPr>
            <w:noProof/>
            <w:webHidden/>
          </w:rPr>
          <w:instrText xml:space="preserve"> PAGEREF _Toc413847769 \h </w:instrText>
        </w:r>
        <w:r w:rsidR="003860A5">
          <w:rPr>
            <w:noProof/>
            <w:webHidden/>
          </w:rPr>
        </w:r>
        <w:r w:rsidR="003860A5">
          <w:rPr>
            <w:noProof/>
            <w:webHidden/>
          </w:rPr>
          <w:fldChar w:fldCharType="separate"/>
        </w:r>
        <w:r w:rsidR="0013776B">
          <w:rPr>
            <w:noProof/>
            <w:webHidden/>
          </w:rPr>
          <w:t>12</w:t>
        </w:r>
        <w:r w:rsidR="003860A5">
          <w:rPr>
            <w:noProof/>
            <w:webHidden/>
          </w:rPr>
          <w:fldChar w:fldCharType="end"/>
        </w:r>
      </w:hyperlink>
    </w:p>
    <w:p w14:paraId="29365102" w14:textId="77777777" w:rsidR="003860A5" w:rsidRDefault="00B621DD">
      <w:pPr>
        <w:pStyle w:val="TOC1"/>
        <w:tabs>
          <w:tab w:val="right" w:leader="dot" w:pos="9350"/>
        </w:tabs>
        <w:rPr>
          <w:noProof/>
        </w:rPr>
      </w:pPr>
      <w:hyperlink w:anchor="_Toc413847770" w:history="1">
        <w:r w:rsidR="003860A5" w:rsidRPr="009D49CD">
          <w:rPr>
            <w:rStyle w:val="Hyperlink"/>
            <w:noProof/>
          </w:rPr>
          <w:t xml:space="preserve">REFERENCE LIST </w:t>
        </w:r>
        <w:r w:rsidR="003860A5">
          <w:rPr>
            <w:noProof/>
            <w:webHidden/>
          </w:rPr>
          <w:tab/>
        </w:r>
        <w:r w:rsidR="003860A5">
          <w:rPr>
            <w:noProof/>
            <w:webHidden/>
          </w:rPr>
          <w:fldChar w:fldCharType="begin"/>
        </w:r>
        <w:r w:rsidR="003860A5">
          <w:rPr>
            <w:noProof/>
            <w:webHidden/>
          </w:rPr>
          <w:instrText xml:space="preserve"> PAGEREF _Toc413847770 \h </w:instrText>
        </w:r>
        <w:r w:rsidR="003860A5">
          <w:rPr>
            <w:noProof/>
            <w:webHidden/>
          </w:rPr>
        </w:r>
        <w:r w:rsidR="003860A5">
          <w:rPr>
            <w:noProof/>
            <w:webHidden/>
          </w:rPr>
          <w:fldChar w:fldCharType="separate"/>
        </w:r>
        <w:r w:rsidR="0013776B">
          <w:rPr>
            <w:noProof/>
            <w:webHidden/>
          </w:rPr>
          <w:t>12</w:t>
        </w:r>
        <w:r w:rsidR="003860A5">
          <w:rPr>
            <w:noProof/>
            <w:webHidden/>
          </w:rPr>
          <w:fldChar w:fldCharType="end"/>
        </w:r>
      </w:hyperlink>
    </w:p>
    <w:p w14:paraId="23CE8661" w14:textId="77777777" w:rsidR="003860A5" w:rsidRDefault="003860A5" w:rsidP="00CA5840">
      <w:pPr>
        <w:pStyle w:val="Heading3"/>
        <w:ind w:left="0"/>
      </w:pPr>
      <w:r>
        <w:fldChar w:fldCharType="end"/>
      </w:r>
    </w:p>
    <w:bookmarkStart w:id="0" w:name="_Toc413847747"/>
    <w:p w14:paraId="45060A1C" w14:textId="77777777" w:rsidR="00487937" w:rsidRDefault="00487937" w:rsidP="00CA5840">
      <w:pPr>
        <w:pStyle w:val="Heading3"/>
        <w:ind w:left="0"/>
      </w:pPr>
      <w:r w:rsidRPr="00487937">
        <w:rPr>
          <w:rFonts w:ascii="Calibri" w:eastAsia="Calibri" w:hAnsi="Calibri" w:cs="Times New Roman"/>
          <w:b w:val="0"/>
          <w:noProof/>
          <w:sz w:val="22"/>
        </w:rPr>
        <w:lastRenderedPageBreak/>
        <mc:AlternateContent>
          <mc:Choice Requires="wps">
            <w:drawing>
              <wp:inline distT="0" distB="0" distL="0" distR="0" wp14:anchorId="0A6710CD" wp14:editId="3504CDEA">
                <wp:extent cx="6162675" cy="2461260"/>
                <wp:effectExtent l="0" t="0" r="28575" b="15240"/>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675" cy="2461260"/>
                        </a:xfrm>
                        <a:prstGeom prst="rect">
                          <a:avLst/>
                        </a:prstGeom>
                        <a:solidFill>
                          <a:srgbClr val="FFFFFF"/>
                        </a:solidFill>
                        <a:ln w="9525">
                          <a:solidFill>
                            <a:srgbClr val="000000"/>
                          </a:solidFill>
                          <a:miter lim="800000"/>
                          <a:headEnd/>
                          <a:tailEnd/>
                        </a:ln>
                      </wps:spPr>
                      <wps:txbx>
                        <w:txbxContent>
                          <w:p w14:paraId="6FA2DF19" w14:textId="3A5CA78C" w:rsidR="009F2CD6" w:rsidRPr="00173F65" w:rsidRDefault="009F2CD6" w:rsidP="00D31A6C">
                            <w:pPr>
                              <w:pStyle w:val="ListParagraph"/>
                              <w:numPr>
                                <w:ilvl w:val="0"/>
                                <w:numId w:val="34"/>
                              </w:numPr>
                              <w:tabs>
                                <w:tab w:val="clear" w:pos="9360"/>
                              </w:tabs>
                              <w:spacing w:after="120"/>
                              <w:contextualSpacing w:val="0"/>
                            </w:pPr>
                            <w:r w:rsidRPr="00713DD6">
                              <w:rPr>
                                <w:b/>
                              </w:rPr>
                              <w:t>Goal of the study</w:t>
                            </w:r>
                            <w:r w:rsidRPr="007B5999">
                              <w:rPr>
                                <w:b/>
                              </w:rPr>
                              <w:t xml:space="preserve">: </w:t>
                            </w:r>
                            <w:r w:rsidR="00FE4E50">
                              <w:t>Assess</w:t>
                            </w:r>
                            <w:r w:rsidRPr="00173F65">
                              <w:t xml:space="preserve"> core competency </w:t>
                            </w:r>
                            <w:r>
                              <w:rPr>
                                <w:rFonts w:cstheme="minorHAnsi"/>
                              </w:rPr>
                              <w:t>and</w:t>
                            </w:r>
                            <w:r w:rsidRPr="00167C3F">
                              <w:rPr>
                                <w:rFonts w:cstheme="minorHAnsi"/>
                              </w:rPr>
                              <w:t xml:space="preserve"> 1305 cooperative agreement</w:t>
                            </w:r>
                            <w:r w:rsidRPr="00173F65">
                              <w:t xml:space="preserve"> training needs of selected chronic disease unit staff within state health departments.  </w:t>
                            </w:r>
                          </w:p>
                          <w:p w14:paraId="6B0494F5" w14:textId="0E9EEFE3" w:rsidR="009F2CD6" w:rsidRDefault="009F2CD6" w:rsidP="00D31A6C">
                            <w:pPr>
                              <w:pStyle w:val="ListParagraph"/>
                              <w:numPr>
                                <w:ilvl w:val="0"/>
                                <w:numId w:val="34"/>
                              </w:numPr>
                              <w:tabs>
                                <w:tab w:val="clear" w:pos="9360"/>
                              </w:tabs>
                              <w:spacing w:after="120"/>
                              <w:contextualSpacing w:val="0"/>
                            </w:pPr>
                            <w:r w:rsidRPr="00713DD6">
                              <w:rPr>
                                <w:b/>
                              </w:rPr>
                              <w:t xml:space="preserve">Intended use of the resulting data:  </w:t>
                            </w:r>
                            <w:r>
                              <w:t xml:space="preserve">Inform the development and delivery of CDC-sponsored trainings, </w:t>
                            </w:r>
                            <w:r w:rsidRPr="00B01A37">
                              <w:rPr>
                                <w:rFonts w:cs="Arial"/>
                              </w:rPr>
                              <w:t>create a comprehensive 5</w:t>
                            </w:r>
                            <w:r>
                              <w:rPr>
                                <w:rFonts w:cs="Arial"/>
                              </w:rPr>
                              <w:t>-</w:t>
                            </w:r>
                            <w:r w:rsidRPr="00B01A37">
                              <w:rPr>
                                <w:rFonts w:cs="Arial"/>
                              </w:rPr>
                              <w:t>year training plan based on the stated needs of grantees</w:t>
                            </w:r>
                            <w:r>
                              <w:rPr>
                                <w:rFonts w:cs="Arial"/>
                              </w:rPr>
                              <w:t>,</w:t>
                            </w:r>
                            <w:r w:rsidRPr="00B01A37">
                              <w:rPr>
                                <w:rFonts w:cs="Arial"/>
                              </w:rPr>
                              <w:t xml:space="preserve"> and help coordinate trainings offered across the Center’s nine divisions</w:t>
                            </w:r>
                            <w:r>
                              <w:rPr>
                                <w:rFonts w:cs="Arial"/>
                              </w:rPr>
                              <w:t>.</w:t>
                            </w:r>
                          </w:p>
                          <w:p w14:paraId="30167E6B" w14:textId="5434580A" w:rsidR="009F2CD6" w:rsidRPr="00173F65" w:rsidRDefault="009F2CD6" w:rsidP="00D31A6C">
                            <w:pPr>
                              <w:pStyle w:val="ListParagraph"/>
                              <w:numPr>
                                <w:ilvl w:val="0"/>
                                <w:numId w:val="34"/>
                              </w:numPr>
                              <w:tabs>
                                <w:tab w:val="clear" w:pos="9360"/>
                              </w:tabs>
                              <w:spacing w:after="120"/>
                              <w:contextualSpacing w:val="0"/>
                            </w:pPr>
                            <w:r w:rsidRPr="00713DD6">
                              <w:rPr>
                                <w:b/>
                              </w:rPr>
                              <w:t xml:space="preserve">The subpopulation to be studied: </w:t>
                            </w:r>
                            <w:r>
                              <w:t xml:space="preserve">102 program managers, 102 program coordinators, and 102 health education specialists (within </w:t>
                            </w:r>
                            <w:r w:rsidRPr="00173F65">
                              <w:t xml:space="preserve">state health department chronic disease prevention and health promotion units) across all 50 states and the District of Columbia. </w:t>
                            </w:r>
                          </w:p>
                          <w:p w14:paraId="5CA9C4BF" w14:textId="5A809D89" w:rsidR="009F2CD6" w:rsidRPr="00713DD6" w:rsidRDefault="009F2CD6" w:rsidP="00D31A6C">
                            <w:pPr>
                              <w:pStyle w:val="ListParagraph"/>
                              <w:numPr>
                                <w:ilvl w:val="0"/>
                                <w:numId w:val="34"/>
                              </w:numPr>
                              <w:tabs>
                                <w:tab w:val="clear" w:pos="9360"/>
                              </w:tabs>
                              <w:spacing w:after="120"/>
                              <w:contextualSpacing w:val="0"/>
                            </w:pPr>
                            <w:r w:rsidRPr="00713DD6">
                              <w:rPr>
                                <w:b/>
                              </w:rPr>
                              <w:t xml:space="preserve">Information Collection Methods: </w:t>
                            </w:r>
                            <w:r>
                              <w:t>W</w:t>
                            </w:r>
                            <w:r w:rsidRPr="00713DD6">
                              <w:t>eb-based data collection instrument</w:t>
                            </w:r>
                            <w:r>
                              <w:t>.</w:t>
                            </w:r>
                          </w:p>
                          <w:p w14:paraId="14AC38E8" w14:textId="1328740D" w:rsidR="009F2CD6" w:rsidRDefault="009F2CD6" w:rsidP="00D31A6C">
                            <w:pPr>
                              <w:pStyle w:val="ListParagraph"/>
                              <w:numPr>
                                <w:ilvl w:val="0"/>
                                <w:numId w:val="34"/>
                              </w:numPr>
                              <w:tabs>
                                <w:tab w:val="clear" w:pos="9360"/>
                              </w:tabs>
                              <w:spacing w:after="120"/>
                              <w:contextualSpacing w:val="0"/>
                            </w:pPr>
                            <w:r w:rsidRPr="00713DD6">
                              <w:rPr>
                                <w:b/>
                              </w:rPr>
                              <w:t>How data will be analyzed:</w:t>
                            </w:r>
                            <w:r>
                              <w:t xml:space="preserve"> Information will be analyzed quantitatively and summarized by common thematic elements and frequently cited training needs across respondents. </w:t>
                            </w:r>
                          </w:p>
                        </w:txbxContent>
                      </wps:txbx>
                      <wps:bodyPr rot="0" vert="horz" wrap="square" lIns="91440" tIns="45720" rIns="91440" bIns="45720" anchor="t" anchorCtr="0">
                        <a:noAutofit/>
                      </wps:bodyPr>
                    </wps:wsp>
                  </a:graphicData>
                </a:graphic>
              </wp:inline>
            </w:drawing>
          </mc:Choice>
          <mc:Fallback>
            <w:pict>
              <v:shapetype w14:anchorId="0A6710CD" id="_x0000_t202" coordsize="21600,21600" o:spt="202" path="m,l,21600r21600,l21600,xe">
                <v:stroke joinstyle="miter"/>
                <v:path gradientshapeok="t" o:connecttype="rect"/>
              </v:shapetype>
              <v:shape id="Text Box 2" o:spid="_x0000_s1026" type="#_x0000_t202" style="width:485.25pt;height:19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">
                <v:textbox>
                  <w:txbxContent>
                    <w:p w14:paraId="6FA2DF19" w14:textId="3A5CA78C" w:rsidR="009F2CD6" w:rsidRPr="00173F65" w:rsidRDefault="009F2CD6" w:rsidP="00D31A6C">
                      <w:pPr>
                        <w:pStyle w:val="ListParagraph"/>
                        <w:numPr>
                          <w:ilvl w:val="0"/>
                          <w:numId w:val="34"/>
                        </w:numPr>
                        <w:tabs>
                          <w:tab w:val="clear" w:pos="9360"/>
                        </w:tabs>
                        <w:spacing w:after="120"/>
                        <w:contextualSpacing w:val="0"/>
                      </w:pPr>
                      <w:r w:rsidRPr="00713DD6">
                        <w:rPr>
                          <w:b/>
                        </w:rPr>
                        <w:t>Goal of the study</w:t>
                      </w:r>
                      <w:r w:rsidRPr="007B5999">
                        <w:rPr>
                          <w:b/>
                        </w:rPr>
                        <w:t xml:space="preserve">: </w:t>
                      </w:r>
                      <w:r w:rsidR="00FE4E50">
                        <w:t>Assess</w:t>
                      </w:r>
                      <w:r w:rsidRPr="00173F65">
                        <w:t xml:space="preserve"> core competency </w:t>
                      </w:r>
                      <w:r>
                        <w:rPr>
                          <w:rFonts w:cstheme="minorHAnsi"/>
                        </w:rPr>
                        <w:t>and</w:t>
                      </w:r>
                      <w:r w:rsidRPr="00167C3F">
                        <w:rPr>
                          <w:rFonts w:cstheme="minorHAnsi"/>
                        </w:rPr>
                        <w:t xml:space="preserve"> 1305 cooperative agreement</w:t>
                      </w:r>
                      <w:r w:rsidRPr="00173F65">
                        <w:t xml:space="preserve"> training needs of selected chronic disease unit staff within state health departments.  </w:t>
                      </w:r>
                    </w:p>
                    <w:p w14:paraId="6B0494F5" w14:textId="0E9EEFE3" w:rsidR="009F2CD6" w:rsidRDefault="009F2CD6" w:rsidP="00D31A6C">
                      <w:pPr>
                        <w:pStyle w:val="ListParagraph"/>
                        <w:numPr>
                          <w:ilvl w:val="0"/>
                          <w:numId w:val="34"/>
                        </w:numPr>
                        <w:tabs>
                          <w:tab w:val="clear" w:pos="9360"/>
                        </w:tabs>
                        <w:spacing w:after="120"/>
                        <w:contextualSpacing w:val="0"/>
                      </w:pPr>
                      <w:r w:rsidRPr="00713DD6">
                        <w:rPr>
                          <w:b/>
                        </w:rPr>
                        <w:t xml:space="preserve">Intended use of the resulting data:  </w:t>
                      </w:r>
                      <w:r>
                        <w:t xml:space="preserve">Inform the development and delivery of CDC-sponsored trainings, </w:t>
                      </w:r>
                      <w:r w:rsidRPr="00B01A37">
                        <w:rPr>
                          <w:rFonts w:cs="Arial"/>
                        </w:rPr>
                        <w:t>create a comprehensive 5</w:t>
                      </w:r>
                      <w:r>
                        <w:rPr>
                          <w:rFonts w:cs="Arial"/>
                        </w:rPr>
                        <w:t>-</w:t>
                      </w:r>
                      <w:r w:rsidRPr="00B01A37">
                        <w:rPr>
                          <w:rFonts w:cs="Arial"/>
                        </w:rPr>
                        <w:t>year training plan based on the stated needs of grantees</w:t>
                      </w:r>
                      <w:r>
                        <w:rPr>
                          <w:rFonts w:cs="Arial"/>
                        </w:rPr>
                        <w:t>,</w:t>
                      </w:r>
                      <w:r w:rsidRPr="00B01A37">
                        <w:rPr>
                          <w:rFonts w:cs="Arial"/>
                        </w:rPr>
                        <w:t xml:space="preserve"> and help coordinate trainings offered across the Center’s nine divisions</w:t>
                      </w:r>
                      <w:r>
                        <w:rPr>
                          <w:rFonts w:cs="Arial"/>
                        </w:rPr>
                        <w:t>.</w:t>
                      </w:r>
                    </w:p>
                    <w:p w14:paraId="30167E6B" w14:textId="5434580A" w:rsidR="009F2CD6" w:rsidRPr="00173F65" w:rsidRDefault="009F2CD6" w:rsidP="00D31A6C">
                      <w:pPr>
                        <w:pStyle w:val="ListParagraph"/>
                        <w:numPr>
                          <w:ilvl w:val="0"/>
                          <w:numId w:val="34"/>
                        </w:numPr>
                        <w:tabs>
                          <w:tab w:val="clear" w:pos="9360"/>
                        </w:tabs>
                        <w:spacing w:after="120"/>
                        <w:contextualSpacing w:val="0"/>
                      </w:pPr>
                      <w:r w:rsidRPr="00713DD6">
                        <w:rPr>
                          <w:b/>
                        </w:rPr>
                        <w:t xml:space="preserve">The subpopulation to be studied: </w:t>
                      </w:r>
                      <w:r>
                        <w:t xml:space="preserve">102 program managers, 102 program coordinators, and 102 health education specialists (within </w:t>
                      </w:r>
                      <w:r w:rsidRPr="00173F65">
                        <w:t xml:space="preserve">state health department chronic disease prevention and health promotion units) across all 50 states and the District of Columbia. </w:t>
                      </w:r>
                    </w:p>
                    <w:p w14:paraId="5CA9C4BF" w14:textId="5A809D89" w:rsidR="009F2CD6" w:rsidRPr="00713DD6" w:rsidRDefault="009F2CD6" w:rsidP="00D31A6C">
                      <w:pPr>
                        <w:pStyle w:val="ListParagraph"/>
                        <w:numPr>
                          <w:ilvl w:val="0"/>
                          <w:numId w:val="34"/>
                        </w:numPr>
                        <w:tabs>
                          <w:tab w:val="clear" w:pos="9360"/>
                        </w:tabs>
                        <w:spacing w:after="120"/>
                        <w:contextualSpacing w:val="0"/>
                      </w:pPr>
                      <w:r w:rsidRPr="00713DD6">
                        <w:rPr>
                          <w:b/>
                        </w:rPr>
                        <w:t xml:space="preserve">Information Collection Methods: </w:t>
                      </w:r>
                      <w:r>
                        <w:t>W</w:t>
                      </w:r>
                      <w:r w:rsidRPr="00713DD6">
                        <w:t>eb-based data collection instrument</w:t>
                      </w:r>
                      <w:r>
                        <w:t>.</w:t>
                      </w:r>
                    </w:p>
                    <w:p w14:paraId="14AC38E8" w14:textId="1328740D" w:rsidR="009F2CD6" w:rsidRDefault="009F2CD6" w:rsidP="00D31A6C">
                      <w:pPr>
                        <w:pStyle w:val="ListParagraph"/>
                        <w:numPr>
                          <w:ilvl w:val="0"/>
                          <w:numId w:val="34"/>
                        </w:numPr>
                        <w:tabs>
                          <w:tab w:val="clear" w:pos="9360"/>
                        </w:tabs>
                        <w:spacing w:after="120"/>
                        <w:contextualSpacing w:val="0"/>
                      </w:pPr>
                      <w:r w:rsidRPr="00713DD6">
                        <w:rPr>
                          <w:b/>
                        </w:rPr>
                        <w:t>How data will be analyzed:</w:t>
                      </w:r>
                      <w:r>
                        <w:t xml:space="preserve"> Information will be analyzed quantitatively and summarized by common thematic elements and frequently cited training needs across respondents. </w:t>
                      </w:r>
                    </w:p>
                  </w:txbxContent>
                </v:textbox>
                <w10:anchorlock/>
              </v:shape>
            </w:pict>
          </mc:Fallback>
        </mc:AlternateContent>
      </w:r>
      <w:bookmarkEnd w:id="0"/>
    </w:p>
    <w:p w14:paraId="7F575825" w14:textId="77777777" w:rsidR="00B35C6E" w:rsidRDefault="00B35C6E" w:rsidP="00CA5840">
      <w:pPr>
        <w:pStyle w:val="Heading3"/>
        <w:ind w:left="0"/>
      </w:pPr>
      <w:bookmarkStart w:id="1" w:name="_Toc413847748"/>
    </w:p>
    <w:p w14:paraId="1AF62639" w14:textId="77777777" w:rsidR="00CD1EA8" w:rsidRPr="007D6163" w:rsidRDefault="00CD1EA8" w:rsidP="00CA5840">
      <w:pPr>
        <w:pStyle w:val="Heading3"/>
        <w:ind w:left="0"/>
      </w:pPr>
      <w:r w:rsidRPr="007D6163">
        <w:t>Section A</w:t>
      </w:r>
      <w:r w:rsidR="00B12F51" w:rsidRPr="007D6163">
        <w:t xml:space="preserve"> – Justification</w:t>
      </w:r>
      <w:bookmarkEnd w:id="1"/>
    </w:p>
    <w:p w14:paraId="702524D5" w14:textId="77777777" w:rsidR="00B12F51" w:rsidRDefault="00B12F51" w:rsidP="007D6163"/>
    <w:p w14:paraId="5C02EE32" w14:textId="77777777" w:rsidR="00CD1EA8" w:rsidRPr="007D6163" w:rsidRDefault="00B12F51" w:rsidP="00692DEB">
      <w:pPr>
        <w:pStyle w:val="Heading4"/>
      </w:pPr>
      <w:bookmarkStart w:id="2" w:name="_Toc413847749"/>
      <w:r w:rsidRPr="00692DEB">
        <w:t>Circumstances</w:t>
      </w:r>
      <w:r w:rsidRPr="007D6163">
        <w:t xml:space="preserve"> Making the Collection of Information </w:t>
      </w:r>
      <w:r w:rsidRPr="00692DEB">
        <w:t>Necessary</w:t>
      </w:r>
      <w:bookmarkEnd w:id="2"/>
    </w:p>
    <w:p w14:paraId="7778E6E0" w14:textId="3ECD71B4" w:rsidR="00E33E1B" w:rsidRPr="007D6163" w:rsidRDefault="00E33E1B" w:rsidP="00692DEB">
      <w:pPr>
        <w:pStyle w:val="Heading5"/>
        <w:spacing w:after="120"/>
        <w:ind w:left="0"/>
      </w:pPr>
      <w:r w:rsidRPr="007D6163">
        <w:t>Background</w:t>
      </w:r>
    </w:p>
    <w:p w14:paraId="20D970E4" w14:textId="1FE61917" w:rsidR="00016C04" w:rsidRDefault="004F67A8" w:rsidP="00692DEB">
      <w:pPr>
        <w:ind w:left="0"/>
      </w:pPr>
      <w:r>
        <w:t xml:space="preserve">This </w:t>
      </w:r>
      <w:r w:rsidR="00157413">
        <w:t>information collection</w:t>
      </w:r>
      <w:r w:rsidR="00484011">
        <w:t xml:space="preserve"> is being conducted </w:t>
      </w:r>
      <w:r w:rsidR="009252DC">
        <w:t>using</w:t>
      </w:r>
      <w:r w:rsidR="00484011">
        <w:t xml:space="preserve"> the Generic Information Collection mechanism </w:t>
      </w:r>
      <w:r w:rsidR="00157413">
        <w:t>of the OSTLTS OMB Clearance Center</w:t>
      </w:r>
      <w:r w:rsidR="009252DC">
        <w:t xml:space="preserve"> (O</w:t>
      </w:r>
      <w:r w:rsidR="00157413">
        <w:t>2</w:t>
      </w:r>
      <w:r w:rsidR="009252DC">
        <w:t>C</w:t>
      </w:r>
      <w:r w:rsidR="00157413">
        <w:t>2</w:t>
      </w:r>
      <w:r w:rsidR="009252DC">
        <w:t xml:space="preserve">) </w:t>
      </w:r>
      <w:r w:rsidR="00484011">
        <w:t>– OMB No. 0920-0879</w:t>
      </w:r>
      <w:r>
        <w:t>.</w:t>
      </w:r>
      <w:r w:rsidR="009252DC">
        <w:t xml:space="preserve"> The respondent universe for this </w:t>
      </w:r>
      <w:r w:rsidR="00157413">
        <w:t>information collection aligns with that of the O2C2.</w:t>
      </w:r>
      <w:r w:rsidR="009252DC">
        <w:t xml:space="preserve"> </w:t>
      </w:r>
      <w:r w:rsidR="0019164D" w:rsidRPr="00711BFA">
        <w:t xml:space="preserve">Data will be </w:t>
      </w:r>
      <w:r w:rsidR="0019164D" w:rsidRPr="00713DD6">
        <w:t xml:space="preserve">collected from </w:t>
      </w:r>
      <w:r w:rsidR="00016C04">
        <w:t>30</w:t>
      </w:r>
      <w:r w:rsidR="00FC3D5E">
        <w:t>6</w:t>
      </w:r>
      <w:r w:rsidR="003F6517">
        <w:t xml:space="preserve"> </w:t>
      </w:r>
      <w:r w:rsidR="00B01A37">
        <w:t>s</w:t>
      </w:r>
      <w:r w:rsidR="009D2411" w:rsidRPr="00713DD6">
        <w:t xml:space="preserve">tate </w:t>
      </w:r>
      <w:r w:rsidR="00B01A37">
        <w:t>h</w:t>
      </w:r>
      <w:r w:rsidR="009D2411" w:rsidRPr="00713DD6">
        <w:t xml:space="preserve">ealth </w:t>
      </w:r>
      <w:r w:rsidR="00B01A37">
        <w:t>d</w:t>
      </w:r>
      <w:r w:rsidR="009D2411" w:rsidRPr="00713DD6">
        <w:t xml:space="preserve">epartment chronic disease and health promotion </w:t>
      </w:r>
      <w:r w:rsidR="005E3AA7" w:rsidRPr="00713DD6">
        <w:t xml:space="preserve">staff </w:t>
      </w:r>
      <w:r w:rsidR="0019164D" w:rsidRPr="00713DD6">
        <w:t>across</w:t>
      </w:r>
      <w:r w:rsidR="001B1B65">
        <w:t xml:space="preserve"> all</w:t>
      </w:r>
      <w:r w:rsidR="001E7537" w:rsidRPr="00713DD6">
        <w:t xml:space="preserve"> </w:t>
      </w:r>
      <w:r w:rsidR="005E3AA7" w:rsidRPr="00713DD6">
        <w:t>50</w:t>
      </w:r>
      <w:r w:rsidR="001E7537" w:rsidRPr="00713DD6">
        <w:t xml:space="preserve"> </w:t>
      </w:r>
      <w:r w:rsidR="00B01A37">
        <w:t>s</w:t>
      </w:r>
      <w:r w:rsidR="001E7537" w:rsidRPr="00713DD6">
        <w:t>tate</w:t>
      </w:r>
      <w:r w:rsidR="005E3AA7" w:rsidRPr="00713DD6">
        <w:t>s and the District of Columbia</w:t>
      </w:r>
      <w:r w:rsidR="0019164D" w:rsidRPr="00713DD6">
        <w:t xml:space="preserve"> acting in their official capacities.</w:t>
      </w:r>
      <w:r w:rsidR="00016C04">
        <w:t xml:space="preserve"> </w:t>
      </w:r>
      <w:r w:rsidR="00936E71">
        <w:t>The respondents will consist of 102 program managers (2 per state), 102 program coordinators (2 per state), and 102 health education specialists (2 per state).</w:t>
      </w:r>
      <w:r w:rsidR="00936E71" w:rsidRPr="00920F39">
        <w:t xml:space="preserve"> </w:t>
      </w:r>
      <w:r w:rsidR="001D5869" w:rsidRPr="00016C04">
        <w:t>All responde</w:t>
      </w:r>
      <w:r w:rsidR="00925464">
        <w:t xml:space="preserve">nts are </w:t>
      </w:r>
      <w:r w:rsidR="001D5869">
        <w:t>staff within s</w:t>
      </w:r>
      <w:r w:rsidR="001D5869" w:rsidRPr="00016C04">
        <w:t xml:space="preserve">tate health departments </w:t>
      </w:r>
      <w:r w:rsidR="00925464">
        <w:t xml:space="preserve">funded by </w:t>
      </w:r>
      <w:r w:rsidR="00267B7C">
        <w:t xml:space="preserve">the </w:t>
      </w:r>
      <w:r w:rsidR="00925464">
        <w:t>N</w:t>
      </w:r>
      <w:r w:rsidR="00267B7C">
        <w:t xml:space="preserve">ational </w:t>
      </w:r>
      <w:r w:rsidR="00925464">
        <w:t>C</w:t>
      </w:r>
      <w:r w:rsidR="00267B7C">
        <w:t xml:space="preserve">enter for </w:t>
      </w:r>
      <w:r w:rsidR="00925464">
        <w:t>C</w:t>
      </w:r>
      <w:r w:rsidR="00267B7C">
        <w:t xml:space="preserve">hronic </w:t>
      </w:r>
      <w:r w:rsidR="00925464">
        <w:t>D</w:t>
      </w:r>
      <w:r w:rsidR="00267B7C">
        <w:t xml:space="preserve">isease </w:t>
      </w:r>
      <w:r w:rsidR="00925464">
        <w:t>P</w:t>
      </w:r>
      <w:r w:rsidR="00267B7C">
        <w:t xml:space="preserve">revention and </w:t>
      </w:r>
      <w:r w:rsidR="00925464">
        <w:t>H</w:t>
      </w:r>
      <w:r w:rsidR="00267B7C">
        <w:t xml:space="preserve">ealth </w:t>
      </w:r>
      <w:r w:rsidR="00925464">
        <w:t>P</w:t>
      </w:r>
      <w:r w:rsidR="00267B7C">
        <w:t>romotion (NCCDPHP)</w:t>
      </w:r>
      <w:r w:rsidR="00925464">
        <w:t xml:space="preserve"> and </w:t>
      </w:r>
      <w:r w:rsidR="001D5869" w:rsidRPr="00016C04">
        <w:t>implement</w:t>
      </w:r>
      <w:r w:rsidR="001D5869">
        <w:t>ing</w:t>
      </w:r>
      <w:r w:rsidR="001D5869" w:rsidRPr="00016C04">
        <w:t xml:space="preserve"> CDC chronic disease prevention and health promotion strategies and interventions.</w:t>
      </w:r>
      <w:r w:rsidR="001D5869">
        <w:t xml:space="preserve"> </w:t>
      </w:r>
      <w:r w:rsidR="00091F9C">
        <w:t xml:space="preserve">Staff in these positions are the primary audience for trainings provided by NCCDPHP, therefore these position types are critical to assess.  </w:t>
      </w:r>
    </w:p>
    <w:p w14:paraId="74988C4D" w14:textId="77777777" w:rsidR="00B54143" w:rsidRDefault="00B54143" w:rsidP="00692DEB">
      <w:pPr>
        <w:ind w:left="0"/>
      </w:pPr>
    </w:p>
    <w:p w14:paraId="0934B619" w14:textId="77777777" w:rsidR="00B54143" w:rsidRDefault="00B54143" w:rsidP="00B54143">
      <w:pPr>
        <w:ind w:left="0"/>
        <w:rPr>
          <w:vertAlign w:val="superscript"/>
        </w:rPr>
      </w:pPr>
      <w:r>
        <w:t xml:space="preserve">This information collection is authorized by Section 301 of the Public Health Service Act (42 U.S.C. </w:t>
      </w:r>
      <w:r w:rsidRPr="001A28F6">
        <w:t>241).</w:t>
      </w:r>
      <w:r>
        <w:t xml:space="preserve"> </w:t>
      </w:r>
      <w:r>
        <w:rPr>
          <w:iCs/>
        </w:rPr>
        <w:t>This information</w:t>
      </w:r>
      <w:r w:rsidRPr="00E94775">
        <w:rPr>
          <w:iCs/>
        </w:rPr>
        <w:t xml:space="preserve"> collection falls under the essential public health service</w:t>
      </w:r>
      <w:r>
        <w:rPr>
          <w:iCs/>
        </w:rPr>
        <w:t>(s)</w:t>
      </w:r>
      <w:r w:rsidRPr="00E94775">
        <w:rPr>
          <w:iCs/>
        </w:rPr>
        <w:t xml:space="preserve"> </w:t>
      </w:r>
      <w:r w:rsidRPr="00B43AFE">
        <w:rPr>
          <w:iCs/>
        </w:rPr>
        <w:t xml:space="preserve">of </w:t>
      </w:r>
      <w:r>
        <w:t>a</w:t>
      </w:r>
      <w:r w:rsidRPr="00774689">
        <w:t>ssuring a competent public health and personal health care workforce</w:t>
      </w:r>
      <w:r>
        <w:t>.</w:t>
      </w:r>
      <w:r>
        <w:rPr>
          <w:vertAlign w:val="superscript"/>
        </w:rPr>
        <w:t>2</w:t>
      </w:r>
    </w:p>
    <w:p w14:paraId="463A8A7D" w14:textId="77777777" w:rsidR="00B54143" w:rsidRPr="00B174BC" w:rsidRDefault="00B54143" w:rsidP="00B54143">
      <w:pPr>
        <w:ind w:left="360"/>
        <w:rPr>
          <w:rFonts w:cs="Arial"/>
        </w:rPr>
      </w:pPr>
      <w:r w:rsidRPr="00B174BC">
        <w:rPr>
          <w:rFonts w:cs="Arial"/>
        </w:rPr>
        <w:fldChar w:fldCharType="begin">
          <w:ffData>
            <w:name w:val="Check25"/>
            <w:enabled/>
            <w:calcOnExit w:val="0"/>
            <w:checkBox>
              <w:sizeAuto/>
              <w:default w:val="0"/>
            </w:checkBox>
          </w:ffData>
        </w:fldChar>
      </w:r>
      <w:r w:rsidRPr="00B174BC">
        <w:rPr>
          <w:rFonts w:cs="Arial"/>
        </w:rPr>
        <w:instrText xml:space="preserve"> FORMCHECKBOX </w:instrText>
      </w:r>
      <w:r w:rsidR="00B621DD">
        <w:rPr>
          <w:rFonts w:cs="Arial"/>
        </w:rPr>
      </w:r>
      <w:r w:rsidR="00B621DD">
        <w:rPr>
          <w:rFonts w:cs="Arial"/>
        </w:rPr>
        <w:fldChar w:fldCharType="separate"/>
      </w:r>
      <w:r w:rsidRPr="00B174BC">
        <w:rPr>
          <w:rFonts w:cs="Arial"/>
        </w:rPr>
        <w:fldChar w:fldCharType="end"/>
      </w:r>
      <w:r>
        <w:rPr>
          <w:rFonts w:cs="Arial"/>
        </w:rPr>
        <w:t xml:space="preserve"> 1. </w:t>
      </w:r>
      <w:r w:rsidRPr="00B174BC">
        <w:rPr>
          <w:rFonts w:cs="Arial"/>
        </w:rPr>
        <w:t>Monitoring health status to identify community health problems</w:t>
      </w:r>
    </w:p>
    <w:p w14:paraId="4EDFBA19" w14:textId="77777777" w:rsidR="00B54143" w:rsidRPr="00B174BC" w:rsidRDefault="00B54143" w:rsidP="00B54143">
      <w:pPr>
        <w:ind w:left="360"/>
        <w:rPr>
          <w:rFonts w:cs="Arial"/>
        </w:rPr>
      </w:pPr>
      <w:r w:rsidRPr="00B174BC">
        <w:rPr>
          <w:rFonts w:cs="Arial"/>
        </w:rPr>
        <w:fldChar w:fldCharType="begin">
          <w:ffData>
            <w:name w:val="Check25"/>
            <w:enabled/>
            <w:calcOnExit w:val="0"/>
            <w:checkBox>
              <w:sizeAuto/>
              <w:default w:val="0"/>
            </w:checkBox>
          </w:ffData>
        </w:fldChar>
      </w:r>
      <w:r w:rsidRPr="00B174BC">
        <w:rPr>
          <w:rFonts w:cs="Arial"/>
        </w:rPr>
        <w:instrText xml:space="preserve"> FORMCHECKBOX </w:instrText>
      </w:r>
      <w:r w:rsidR="00B621DD">
        <w:rPr>
          <w:rFonts w:cs="Arial"/>
        </w:rPr>
      </w:r>
      <w:r w:rsidR="00B621DD">
        <w:rPr>
          <w:rFonts w:cs="Arial"/>
        </w:rPr>
        <w:fldChar w:fldCharType="separate"/>
      </w:r>
      <w:r w:rsidRPr="00B174BC">
        <w:rPr>
          <w:rFonts w:cs="Arial"/>
        </w:rPr>
        <w:fldChar w:fldCharType="end"/>
      </w:r>
      <w:r w:rsidRPr="00B174BC">
        <w:rPr>
          <w:rFonts w:cs="Arial"/>
        </w:rPr>
        <w:t xml:space="preserve"> 2. Diagnosing and investigating health problems and health hazards in the community</w:t>
      </w:r>
    </w:p>
    <w:p w14:paraId="77F31F01" w14:textId="77777777" w:rsidR="00B54143" w:rsidRPr="00B174BC" w:rsidRDefault="00B54143" w:rsidP="00B54143">
      <w:pPr>
        <w:ind w:left="360"/>
        <w:rPr>
          <w:rFonts w:cs="Arial"/>
        </w:rPr>
      </w:pPr>
      <w:r w:rsidRPr="00B174BC">
        <w:rPr>
          <w:rFonts w:cs="Arial"/>
        </w:rPr>
        <w:fldChar w:fldCharType="begin">
          <w:ffData>
            <w:name w:val="Check25"/>
            <w:enabled/>
            <w:calcOnExit w:val="0"/>
            <w:checkBox>
              <w:sizeAuto/>
              <w:default w:val="0"/>
            </w:checkBox>
          </w:ffData>
        </w:fldChar>
      </w:r>
      <w:r w:rsidRPr="00B174BC">
        <w:rPr>
          <w:rFonts w:cs="Arial"/>
        </w:rPr>
        <w:instrText xml:space="preserve"> FORMCHECKBOX </w:instrText>
      </w:r>
      <w:r w:rsidR="00B621DD">
        <w:rPr>
          <w:rFonts w:cs="Arial"/>
        </w:rPr>
      </w:r>
      <w:r w:rsidR="00B621DD">
        <w:rPr>
          <w:rFonts w:cs="Arial"/>
        </w:rPr>
        <w:fldChar w:fldCharType="separate"/>
      </w:r>
      <w:r w:rsidRPr="00B174BC">
        <w:rPr>
          <w:rFonts w:cs="Arial"/>
        </w:rPr>
        <w:fldChar w:fldCharType="end"/>
      </w:r>
      <w:r w:rsidRPr="00B174BC">
        <w:rPr>
          <w:rFonts w:cs="Arial"/>
        </w:rPr>
        <w:t xml:space="preserve"> 3. Informing, educating, and empowering people about health issues</w:t>
      </w:r>
    </w:p>
    <w:p w14:paraId="44F965F8" w14:textId="77777777" w:rsidR="00B54143" w:rsidRPr="00B174BC" w:rsidRDefault="00B54143" w:rsidP="00B54143">
      <w:pPr>
        <w:ind w:left="360"/>
        <w:rPr>
          <w:rFonts w:cs="Arial"/>
        </w:rPr>
      </w:pPr>
      <w:r w:rsidRPr="00B174BC">
        <w:rPr>
          <w:rFonts w:cs="Arial"/>
        </w:rPr>
        <w:fldChar w:fldCharType="begin">
          <w:ffData>
            <w:name w:val="Check25"/>
            <w:enabled/>
            <w:calcOnExit w:val="0"/>
            <w:checkBox>
              <w:sizeAuto/>
              <w:default w:val="0"/>
            </w:checkBox>
          </w:ffData>
        </w:fldChar>
      </w:r>
      <w:r w:rsidRPr="00B174BC">
        <w:rPr>
          <w:rFonts w:cs="Arial"/>
        </w:rPr>
        <w:instrText xml:space="preserve"> FORMCHECKBOX </w:instrText>
      </w:r>
      <w:r w:rsidR="00B621DD">
        <w:rPr>
          <w:rFonts w:cs="Arial"/>
        </w:rPr>
      </w:r>
      <w:r w:rsidR="00B621DD">
        <w:rPr>
          <w:rFonts w:cs="Arial"/>
        </w:rPr>
        <w:fldChar w:fldCharType="separate"/>
      </w:r>
      <w:r w:rsidRPr="00B174BC">
        <w:rPr>
          <w:rFonts w:cs="Arial"/>
        </w:rPr>
        <w:fldChar w:fldCharType="end"/>
      </w:r>
      <w:r w:rsidRPr="00B174BC">
        <w:rPr>
          <w:rFonts w:cs="Arial"/>
        </w:rPr>
        <w:t xml:space="preserve"> 4. Mobilizing community partnerships to identify and solve health problems</w:t>
      </w:r>
    </w:p>
    <w:p w14:paraId="2EC9B7A2" w14:textId="77777777" w:rsidR="00B54143" w:rsidRPr="00B174BC" w:rsidRDefault="00B54143" w:rsidP="00B54143">
      <w:pPr>
        <w:ind w:left="360"/>
        <w:rPr>
          <w:rFonts w:cs="Arial"/>
        </w:rPr>
      </w:pPr>
      <w:r w:rsidRPr="00B174BC">
        <w:rPr>
          <w:rFonts w:cs="Arial"/>
        </w:rPr>
        <w:fldChar w:fldCharType="begin">
          <w:ffData>
            <w:name w:val="Check25"/>
            <w:enabled/>
            <w:calcOnExit w:val="0"/>
            <w:checkBox>
              <w:sizeAuto/>
              <w:default w:val="0"/>
            </w:checkBox>
          </w:ffData>
        </w:fldChar>
      </w:r>
      <w:r w:rsidRPr="00B174BC">
        <w:rPr>
          <w:rFonts w:cs="Arial"/>
        </w:rPr>
        <w:instrText xml:space="preserve"> FORMCHECKBOX </w:instrText>
      </w:r>
      <w:r w:rsidR="00B621DD">
        <w:rPr>
          <w:rFonts w:cs="Arial"/>
        </w:rPr>
      </w:r>
      <w:r w:rsidR="00B621DD">
        <w:rPr>
          <w:rFonts w:cs="Arial"/>
        </w:rPr>
        <w:fldChar w:fldCharType="separate"/>
      </w:r>
      <w:r w:rsidRPr="00B174BC">
        <w:rPr>
          <w:rFonts w:cs="Arial"/>
        </w:rPr>
        <w:fldChar w:fldCharType="end"/>
      </w:r>
      <w:r w:rsidRPr="00B174BC">
        <w:rPr>
          <w:rFonts w:cs="Arial"/>
        </w:rPr>
        <w:t xml:space="preserve"> 5. Development of policies and plans that support individual and community health efforts</w:t>
      </w:r>
    </w:p>
    <w:p w14:paraId="0B9681D8" w14:textId="77777777" w:rsidR="00B54143" w:rsidRPr="00B174BC" w:rsidRDefault="00B54143" w:rsidP="00B54143">
      <w:pPr>
        <w:ind w:left="360"/>
        <w:rPr>
          <w:rFonts w:cs="Arial"/>
        </w:rPr>
      </w:pPr>
      <w:r w:rsidRPr="00B174BC">
        <w:rPr>
          <w:rFonts w:cs="Arial"/>
        </w:rPr>
        <w:fldChar w:fldCharType="begin">
          <w:ffData>
            <w:name w:val="Check25"/>
            <w:enabled/>
            <w:calcOnExit w:val="0"/>
            <w:checkBox>
              <w:sizeAuto/>
              <w:default w:val="0"/>
            </w:checkBox>
          </w:ffData>
        </w:fldChar>
      </w:r>
      <w:r w:rsidRPr="00B174BC">
        <w:rPr>
          <w:rFonts w:cs="Arial"/>
        </w:rPr>
        <w:instrText xml:space="preserve"> FORMCHECKBOX </w:instrText>
      </w:r>
      <w:r w:rsidR="00B621DD">
        <w:rPr>
          <w:rFonts w:cs="Arial"/>
        </w:rPr>
      </w:r>
      <w:r w:rsidR="00B621DD">
        <w:rPr>
          <w:rFonts w:cs="Arial"/>
        </w:rPr>
        <w:fldChar w:fldCharType="separate"/>
      </w:r>
      <w:r w:rsidRPr="00B174BC">
        <w:rPr>
          <w:rFonts w:cs="Arial"/>
        </w:rPr>
        <w:fldChar w:fldCharType="end"/>
      </w:r>
      <w:r w:rsidRPr="00B174BC">
        <w:rPr>
          <w:rFonts w:cs="Arial"/>
        </w:rPr>
        <w:t xml:space="preserve"> 6. Enforcement of laws and regulations that protect health and ensure safety</w:t>
      </w:r>
    </w:p>
    <w:p w14:paraId="27FFF398" w14:textId="77777777" w:rsidR="00B54143" w:rsidRPr="00B174BC" w:rsidRDefault="00B54143" w:rsidP="00B54143">
      <w:pPr>
        <w:ind w:left="360"/>
        <w:rPr>
          <w:rFonts w:cs="Arial"/>
        </w:rPr>
      </w:pPr>
      <w:r w:rsidRPr="00B174BC">
        <w:rPr>
          <w:rFonts w:cs="Arial"/>
        </w:rPr>
        <w:fldChar w:fldCharType="begin">
          <w:ffData>
            <w:name w:val="Check25"/>
            <w:enabled/>
            <w:calcOnExit w:val="0"/>
            <w:checkBox>
              <w:sizeAuto/>
              <w:default w:val="0"/>
            </w:checkBox>
          </w:ffData>
        </w:fldChar>
      </w:r>
      <w:r w:rsidRPr="00B174BC">
        <w:rPr>
          <w:rFonts w:cs="Arial"/>
        </w:rPr>
        <w:instrText xml:space="preserve"> FORMCHECKBOX </w:instrText>
      </w:r>
      <w:r w:rsidR="00B621DD">
        <w:rPr>
          <w:rFonts w:cs="Arial"/>
        </w:rPr>
      </w:r>
      <w:r w:rsidR="00B621DD">
        <w:rPr>
          <w:rFonts w:cs="Arial"/>
        </w:rPr>
        <w:fldChar w:fldCharType="separate"/>
      </w:r>
      <w:r w:rsidRPr="00B174BC">
        <w:rPr>
          <w:rFonts w:cs="Arial"/>
        </w:rPr>
        <w:fldChar w:fldCharType="end"/>
      </w:r>
      <w:r w:rsidRPr="00B174BC">
        <w:rPr>
          <w:rFonts w:cs="Arial"/>
        </w:rPr>
        <w:t xml:space="preserve"> 7. Linking people to needed personal health services and assure the provision of health care </w:t>
      </w:r>
    </w:p>
    <w:p w14:paraId="2130C392" w14:textId="77777777" w:rsidR="00B54143" w:rsidRPr="00B174BC" w:rsidRDefault="00B54143" w:rsidP="00B54143">
      <w:pPr>
        <w:ind w:left="360"/>
        <w:rPr>
          <w:rFonts w:cs="Arial"/>
        </w:rPr>
      </w:pPr>
      <w:r w:rsidRPr="00B174BC">
        <w:rPr>
          <w:rFonts w:cs="Arial"/>
        </w:rPr>
        <w:t xml:space="preserve">            when otherwise unavailable</w:t>
      </w:r>
    </w:p>
    <w:p w14:paraId="66CB781A" w14:textId="77777777" w:rsidR="00B54143" w:rsidRPr="00B174BC" w:rsidRDefault="00B54143" w:rsidP="00B54143">
      <w:pPr>
        <w:ind w:left="360"/>
        <w:rPr>
          <w:rFonts w:cs="Arial"/>
        </w:rPr>
      </w:pPr>
      <w:r>
        <w:rPr>
          <w:rFonts w:cs="Arial"/>
        </w:rPr>
        <w:fldChar w:fldCharType="begin">
          <w:ffData>
            <w:name w:val="Check25"/>
            <w:enabled/>
            <w:calcOnExit w:val="0"/>
            <w:checkBox>
              <w:sizeAuto/>
              <w:default w:val="1"/>
            </w:checkBox>
          </w:ffData>
        </w:fldChar>
      </w:r>
      <w:r>
        <w:rPr>
          <w:rFonts w:cs="Arial"/>
        </w:rPr>
        <w:instrText xml:space="preserve"> FORMCHECKBOX </w:instrText>
      </w:r>
      <w:r w:rsidR="00B621DD">
        <w:rPr>
          <w:rFonts w:cs="Arial"/>
        </w:rPr>
      </w:r>
      <w:r w:rsidR="00B621DD">
        <w:rPr>
          <w:rFonts w:cs="Arial"/>
        </w:rPr>
        <w:fldChar w:fldCharType="separate"/>
      </w:r>
      <w:r>
        <w:rPr>
          <w:rFonts w:cs="Arial"/>
        </w:rPr>
        <w:fldChar w:fldCharType="end"/>
      </w:r>
      <w:r w:rsidRPr="00B174BC">
        <w:rPr>
          <w:rFonts w:cs="Arial"/>
        </w:rPr>
        <w:t xml:space="preserve"> 8. Assuring a competent public health and personal health care workforce</w:t>
      </w:r>
    </w:p>
    <w:p w14:paraId="26CB62E6" w14:textId="77777777" w:rsidR="00B54143" w:rsidRDefault="00B54143" w:rsidP="00B54143">
      <w:pPr>
        <w:ind w:left="360"/>
        <w:rPr>
          <w:rFonts w:cs="Arial"/>
        </w:rPr>
      </w:pPr>
      <w:r>
        <w:rPr>
          <w:rFonts w:cs="Arial"/>
        </w:rPr>
        <w:lastRenderedPageBreak/>
        <w:fldChar w:fldCharType="begin">
          <w:ffData>
            <w:name w:val=""/>
            <w:enabled/>
            <w:calcOnExit w:val="0"/>
            <w:checkBox>
              <w:sizeAuto/>
              <w:default w:val="0"/>
            </w:checkBox>
          </w:ffData>
        </w:fldChar>
      </w:r>
      <w:r>
        <w:rPr>
          <w:rFonts w:cs="Arial"/>
        </w:rPr>
        <w:instrText xml:space="preserve"> FORMCHECKBOX </w:instrText>
      </w:r>
      <w:r w:rsidR="00B621DD">
        <w:rPr>
          <w:rFonts w:cs="Arial"/>
        </w:rPr>
      </w:r>
      <w:r w:rsidR="00B621DD">
        <w:rPr>
          <w:rFonts w:cs="Arial"/>
        </w:rPr>
        <w:fldChar w:fldCharType="separate"/>
      </w:r>
      <w:r>
        <w:rPr>
          <w:rFonts w:cs="Arial"/>
        </w:rPr>
        <w:fldChar w:fldCharType="end"/>
      </w:r>
      <w:r w:rsidRPr="00B174BC">
        <w:rPr>
          <w:rFonts w:cs="Arial"/>
        </w:rPr>
        <w:t xml:space="preserve"> 9. Evaluating effectiveness, accessibility, and quality of personal and population-based </w:t>
      </w:r>
      <w:r>
        <w:rPr>
          <w:rFonts w:cs="Arial"/>
        </w:rPr>
        <w:t xml:space="preserve"> </w:t>
      </w:r>
    </w:p>
    <w:p w14:paraId="639DE925" w14:textId="77777777" w:rsidR="00B54143" w:rsidRPr="00B174BC" w:rsidRDefault="00B54143" w:rsidP="00B54143">
      <w:pPr>
        <w:ind w:left="360"/>
        <w:rPr>
          <w:rFonts w:cs="Arial"/>
        </w:rPr>
      </w:pPr>
      <w:r>
        <w:rPr>
          <w:rFonts w:cs="Arial"/>
        </w:rPr>
        <w:t xml:space="preserve">           </w:t>
      </w:r>
      <w:r w:rsidRPr="00B174BC">
        <w:rPr>
          <w:rFonts w:cs="Arial"/>
        </w:rPr>
        <w:t>health</w:t>
      </w:r>
      <w:r>
        <w:rPr>
          <w:rFonts w:cs="Arial"/>
        </w:rPr>
        <w:t xml:space="preserve"> </w:t>
      </w:r>
      <w:r w:rsidRPr="00B174BC">
        <w:rPr>
          <w:rFonts w:cs="Arial"/>
        </w:rPr>
        <w:t>services</w:t>
      </w:r>
    </w:p>
    <w:p w14:paraId="3C06173E" w14:textId="77777777" w:rsidR="00B54143" w:rsidRPr="00B174BC" w:rsidRDefault="00B54143" w:rsidP="00B54143">
      <w:pPr>
        <w:ind w:left="360"/>
        <w:rPr>
          <w:rFonts w:cs="Arial"/>
        </w:rPr>
      </w:pPr>
      <w:r w:rsidRPr="00B174BC">
        <w:rPr>
          <w:rFonts w:cs="Arial"/>
        </w:rPr>
        <w:fldChar w:fldCharType="begin">
          <w:ffData>
            <w:name w:val="Check25"/>
            <w:enabled/>
            <w:calcOnExit w:val="0"/>
            <w:checkBox>
              <w:sizeAuto/>
              <w:default w:val="0"/>
            </w:checkBox>
          </w:ffData>
        </w:fldChar>
      </w:r>
      <w:r w:rsidRPr="00B174BC">
        <w:rPr>
          <w:rFonts w:cs="Arial"/>
        </w:rPr>
        <w:instrText xml:space="preserve"> FORMCHECKBOX </w:instrText>
      </w:r>
      <w:r w:rsidR="00B621DD">
        <w:rPr>
          <w:rFonts w:cs="Arial"/>
        </w:rPr>
      </w:r>
      <w:r w:rsidR="00B621DD">
        <w:rPr>
          <w:rFonts w:cs="Arial"/>
        </w:rPr>
        <w:fldChar w:fldCharType="separate"/>
      </w:r>
      <w:r w:rsidRPr="00B174BC">
        <w:rPr>
          <w:rFonts w:cs="Arial"/>
        </w:rPr>
        <w:fldChar w:fldCharType="end"/>
      </w:r>
      <w:r w:rsidRPr="00B174BC">
        <w:rPr>
          <w:rFonts w:cs="Arial"/>
        </w:rPr>
        <w:t xml:space="preserve"> 10. Research for new insights and innovative solutions to health problems</w:t>
      </w:r>
      <w:r>
        <w:rPr>
          <w:rFonts w:cs="Arial"/>
          <w:iCs/>
          <w:vertAlign w:val="superscript"/>
        </w:rPr>
        <w:t xml:space="preserve"> </w:t>
      </w:r>
    </w:p>
    <w:p w14:paraId="0ED55C83" w14:textId="77777777" w:rsidR="009252DC" w:rsidRPr="00713DD6" w:rsidRDefault="009252DC" w:rsidP="00091F9C">
      <w:pPr>
        <w:ind w:left="0"/>
      </w:pPr>
    </w:p>
    <w:p w14:paraId="2A4ACCC2" w14:textId="2A458232" w:rsidR="00516655" w:rsidRPr="00713DD6" w:rsidRDefault="00516655" w:rsidP="00516655">
      <w:pPr>
        <w:ind w:left="0"/>
      </w:pPr>
      <w:r w:rsidRPr="00713DD6">
        <w:t>Chronic diseases and conditions—such as heart disease, stroke, cancer, diabetes, obesity, and arthritis—are among the most common, costly, and preventable of all health problems. Health risk behaviors</w:t>
      </w:r>
      <w:r w:rsidR="007059C5" w:rsidRPr="00713DD6">
        <w:t>—</w:t>
      </w:r>
      <w:r w:rsidR="007059C5" w:rsidRPr="00713DD6">
        <w:softHyphen/>
      </w:r>
      <w:r w:rsidR="007059C5" w:rsidRPr="00713DD6">
        <w:softHyphen/>
      </w:r>
      <w:r w:rsidRPr="00713DD6">
        <w:t>such as lack of physical activity, poor nutrition,</w:t>
      </w:r>
      <w:r w:rsidR="007059C5" w:rsidRPr="00713DD6">
        <w:t xml:space="preserve"> tobacco use, and drinking too much alcohol—</w:t>
      </w:r>
      <w:r w:rsidRPr="00713DD6">
        <w:t>cause much of the illness, suffering, and early death related to chronic diseases and conditions. Most chronic diseases are caused or made worse by many of the same risk factors and can be prevented or lessened by many of the same strategies and interventions</w:t>
      </w:r>
      <w:r w:rsidR="007B3989">
        <w:rPr>
          <w:vertAlign w:val="superscript"/>
        </w:rPr>
        <w:t>1</w:t>
      </w:r>
      <w:r w:rsidRPr="00713DD6">
        <w:t>.</w:t>
      </w:r>
    </w:p>
    <w:p w14:paraId="129DE6AD" w14:textId="77777777" w:rsidR="00516655" w:rsidRPr="00713DD6" w:rsidRDefault="00516655" w:rsidP="003C631C">
      <w:pPr>
        <w:ind w:left="0"/>
      </w:pPr>
    </w:p>
    <w:p w14:paraId="4EA7372A" w14:textId="4CDE6E48" w:rsidR="00516655" w:rsidRDefault="00BF624B" w:rsidP="003C631C">
      <w:pPr>
        <w:ind w:left="0"/>
      </w:pPr>
      <w:r>
        <w:t>Within CDC, t</w:t>
      </w:r>
      <w:r w:rsidR="00516655" w:rsidRPr="00713DD6">
        <w:t>he National Center for Chronic Disease Prevention and Health Promotion</w:t>
      </w:r>
      <w:r w:rsidR="00586EA0" w:rsidRPr="00713DD6">
        <w:t xml:space="preserve"> (NCCDPHP)</w:t>
      </w:r>
      <w:r w:rsidR="00516655" w:rsidRPr="00713DD6">
        <w:t xml:space="preserve"> </w:t>
      </w:r>
      <w:r w:rsidR="002215F7">
        <w:t>provides</w:t>
      </w:r>
      <w:r w:rsidR="00516655" w:rsidRPr="00713DD6">
        <w:t xml:space="preserve"> scientific leadership and technical expertise to </w:t>
      </w:r>
      <w:r w:rsidR="002215F7">
        <w:t xml:space="preserve">program managers, program coordinators and health education specialists within </w:t>
      </w:r>
      <w:r w:rsidR="00516655" w:rsidRPr="00713DD6">
        <w:t xml:space="preserve">state departments of health and education, to build their capacity to develop, deliver, and implement chronic disease and health promotion programs that have measureable impact. </w:t>
      </w:r>
      <w:r w:rsidR="002215F7" w:rsidRPr="002215F7">
        <w:t xml:space="preserve"> These roles represent positions </w:t>
      </w:r>
      <w:r w:rsidR="00091F9C">
        <w:t xml:space="preserve">primarily </w:t>
      </w:r>
      <w:r w:rsidR="002215F7" w:rsidRPr="002215F7">
        <w:t>funded by NCCDPHP cooperative agreements</w:t>
      </w:r>
      <w:r w:rsidR="005B3A2E">
        <w:t xml:space="preserve"> and those that are </w:t>
      </w:r>
      <w:r w:rsidR="003B5559">
        <w:t xml:space="preserve">chiefly </w:t>
      </w:r>
      <w:r w:rsidR="005B3A2E">
        <w:t xml:space="preserve">responsible for implementing strategies </w:t>
      </w:r>
      <w:r w:rsidR="00CD0478">
        <w:t>within NCCDPHP funding opportunity announcements (FOAs)</w:t>
      </w:r>
      <w:r w:rsidR="002215F7" w:rsidRPr="002215F7">
        <w:t>.  Staff in these positions are the primary audience for trainings provided by NCCDPHP</w:t>
      </w:r>
      <w:r w:rsidR="003B5559">
        <w:t xml:space="preserve"> and often provide technical assistance</w:t>
      </w:r>
      <w:r w:rsidR="005B3A2E">
        <w:t xml:space="preserve"> to public health staff and partners</w:t>
      </w:r>
      <w:r w:rsidR="002215F7" w:rsidRPr="002215F7">
        <w:t>, therefore these position types are critical to assess.</w:t>
      </w:r>
    </w:p>
    <w:p w14:paraId="7FDF86C1" w14:textId="77777777" w:rsidR="002215F7" w:rsidRPr="00713DD6" w:rsidRDefault="002215F7" w:rsidP="003C631C">
      <w:pPr>
        <w:ind w:left="0"/>
      </w:pPr>
    </w:p>
    <w:p w14:paraId="48A0A1A5" w14:textId="31DF08BE" w:rsidR="00FF778D" w:rsidRDefault="00FF778D" w:rsidP="00FF778D">
      <w:pPr>
        <w:ind w:left="0"/>
        <w:rPr>
          <w:rFonts w:cstheme="minorHAnsi"/>
        </w:rPr>
      </w:pPr>
      <w:r w:rsidRPr="00713DD6">
        <w:rPr>
          <w:rFonts w:cstheme="minorHAnsi"/>
        </w:rPr>
        <w:t>NCCDPHP</w:t>
      </w:r>
      <w:r>
        <w:rPr>
          <w:rFonts w:cstheme="minorHAnsi"/>
        </w:rPr>
        <w:t xml:space="preserve"> </w:t>
      </w:r>
      <w:r w:rsidRPr="00713DD6">
        <w:rPr>
          <w:rFonts w:cstheme="minorHAnsi"/>
        </w:rPr>
        <w:t xml:space="preserve">identified 11 core competencies that are essential to </w:t>
      </w:r>
      <w:r>
        <w:rPr>
          <w:rFonts w:cstheme="minorHAnsi"/>
        </w:rPr>
        <w:t>s</w:t>
      </w:r>
      <w:r w:rsidRPr="00713DD6">
        <w:rPr>
          <w:rFonts w:cstheme="minorHAnsi"/>
        </w:rPr>
        <w:t xml:space="preserve">tate health department chronic disease and health promotion staff </w:t>
      </w:r>
      <w:r>
        <w:rPr>
          <w:rFonts w:cstheme="minorHAnsi"/>
        </w:rPr>
        <w:t xml:space="preserve">(see </w:t>
      </w:r>
      <w:r w:rsidRPr="00B01A37">
        <w:rPr>
          <w:rFonts w:cstheme="minorHAnsi"/>
          <w:b/>
        </w:rPr>
        <w:t xml:space="preserve">Attachment </w:t>
      </w:r>
      <w:r w:rsidR="00AB5B69">
        <w:rPr>
          <w:rFonts w:cstheme="minorHAnsi"/>
          <w:b/>
        </w:rPr>
        <w:t>A</w:t>
      </w:r>
      <w:r w:rsidRPr="00B01A37">
        <w:rPr>
          <w:rFonts w:cstheme="minorHAnsi"/>
          <w:b/>
        </w:rPr>
        <w:t>—</w:t>
      </w:r>
      <w:r w:rsidR="000F0076">
        <w:rPr>
          <w:rFonts w:cstheme="minorHAnsi"/>
          <w:b/>
        </w:rPr>
        <w:t xml:space="preserve">NCCDPHP </w:t>
      </w:r>
      <w:r w:rsidRPr="00B01A37">
        <w:rPr>
          <w:rFonts w:cstheme="minorHAnsi"/>
          <w:b/>
        </w:rPr>
        <w:t>Core Competencies</w:t>
      </w:r>
      <w:r w:rsidR="000F0076">
        <w:rPr>
          <w:rFonts w:cstheme="minorHAnsi"/>
          <w:b/>
        </w:rPr>
        <w:t xml:space="preserve"> </w:t>
      </w:r>
      <w:r w:rsidR="000F0076" w:rsidRPr="000F0076">
        <w:rPr>
          <w:b/>
        </w:rPr>
        <w:t>for State Health Departments</w:t>
      </w:r>
      <w:r>
        <w:rPr>
          <w:rFonts w:cstheme="minorHAnsi"/>
        </w:rPr>
        <w:t>)</w:t>
      </w:r>
      <w:r w:rsidRPr="00713DD6">
        <w:rPr>
          <w:rFonts w:cstheme="minorHAnsi"/>
        </w:rPr>
        <w:t xml:space="preserve">. </w:t>
      </w:r>
      <w:r>
        <w:rPr>
          <w:rFonts w:cstheme="minorHAnsi"/>
        </w:rPr>
        <w:t xml:space="preserve"> The core competencies were developed in 2015 and </w:t>
      </w:r>
      <w:r w:rsidRPr="00713DD6">
        <w:rPr>
          <w:rFonts w:cstheme="minorHAnsi"/>
        </w:rPr>
        <w:t>are part of NCCDPHP</w:t>
      </w:r>
      <w:r>
        <w:rPr>
          <w:rFonts w:cstheme="minorHAnsi"/>
        </w:rPr>
        <w:t>’s</w:t>
      </w:r>
      <w:r w:rsidRPr="00713DD6">
        <w:rPr>
          <w:rFonts w:cstheme="minorHAnsi"/>
        </w:rPr>
        <w:t xml:space="preserve"> </w:t>
      </w:r>
      <w:r>
        <w:rPr>
          <w:rFonts w:cstheme="minorHAnsi"/>
        </w:rPr>
        <w:t xml:space="preserve">efforts </w:t>
      </w:r>
      <w:r w:rsidRPr="00713DD6">
        <w:rPr>
          <w:rFonts w:cstheme="minorHAnsi"/>
        </w:rPr>
        <w:t>to create a comprehensive</w:t>
      </w:r>
      <w:r w:rsidR="00A34000">
        <w:rPr>
          <w:rFonts w:cstheme="minorHAnsi"/>
        </w:rPr>
        <w:t>, long-term</w:t>
      </w:r>
      <w:r w:rsidRPr="00713DD6">
        <w:rPr>
          <w:rFonts w:cstheme="minorHAnsi"/>
        </w:rPr>
        <w:t xml:space="preserve"> plan for and to coordinate trainings across </w:t>
      </w:r>
      <w:r>
        <w:rPr>
          <w:rFonts w:cstheme="minorHAnsi"/>
        </w:rPr>
        <w:t xml:space="preserve">the </w:t>
      </w:r>
      <w:r w:rsidRPr="00713DD6">
        <w:rPr>
          <w:rFonts w:cstheme="minorHAnsi"/>
        </w:rPr>
        <w:t xml:space="preserve">NCCDPHP’s </w:t>
      </w:r>
      <w:r>
        <w:rPr>
          <w:rFonts w:cstheme="minorHAnsi"/>
        </w:rPr>
        <w:t>nine</w:t>
      </w:r>
      <w:r w:rsidRPr="00713DD6">
        <w:rPr>
          <w:rFonts w:cstheme="minorHAnsi"/>
        </w:rPr>
        <w:t xml:space="preserve"> divisions. </w:t>
      </w:r>
    </w:p>
    <w:p w14:paraId="55562374" w14:textId="27D9C3F8" w:rsidR="00FF778D" w:rsidRDefault="00FF778D" w:rsidP="00763E5B">
      <w:pPr>
        <w:ind w:left="0"/>
      </w:pPr>
    </w:p>
    <w:p w14:paraId="07AD0225" w14:textId="67E15C53" w:rsidR="00763E5B" w:rsidRPr="00713DD6" w:rsidRDefault="00FF778D" w:rsidP="00763E5B">
      <w:pPr>
        <w:ind w:left="0"/>
      </w:pPr>
      <w:r>
        <w:t xml:space="preserve">The core competencies highlight the specific skills that are needed to implement public health programs across </w:t>
      </w:r>
      <w:r w:rsidR="00CD0478">
        <w:t xml:space="preserve">NCCDPHP’s </w:t>
      </w:r>
      <w:r>
        <w:t>four “domains” of activities.  These domains are:</w:t>
      </w:r>
      <w:r w:rsidR="00B01A37" w:rsidRPr="00713DD6" w:rsidDel="00B01A37">
        <w:rPr>
          <w:rStyle w:val="FootnoteReference"/>
        </w:rPr>
        <w:t xml:space="preserve"> </w:t>
      </w:r>
    </w:p>
    <w:p w14:paraId="1337F33A" w14:textId="6B578903" w:rsidR="00763E5B" w:rsidRPr="00713DD6" w:rsidRDefault="00763E5B" w:rsidP="00763E5B">
      <w:pPr>
        <w:pStyle w:val="ListParagraph"/>
        <w:numPr>
          <w:ilvl w:val="0"/>
          <w:numId w:val="35"/>
        </w:numPr>
      </w:pPr>
      <w:r w:rsidRPr="00713DD6">
        <w:t>Epidemiology and surveillance—to monitor trends and track progress</w:t>
      </w:r>
      <w:r w:rsidR="00B01A37">
        <w:t>.</w:t>
      </w:r>
    </w:p>
    <w:p w14:paraId="647AAADF" w14:textId="77777777" w:rsidR="00763E5B" w:rsidRPr="00713DD6" w:rsidRDefault="00763E5B" w:rsidP="00763E5B">
      <w:pPr>
        <w:pStyle w:val="ListParagraph"/>
        <w:numPr>
          <w:ilvl w:val="0"/>
          <w:numId w:val="35"/>
        </w:numPr>
      </w:pPr>
      <w:r w:rsidRPr="00713DD6">
        <w:t xml:space="preserve">Environmental approaches—to promote health and support healthy behaviors. </w:t>
      </w:r>
    </w:p>
    <w:p w14:paraId="50FA0CB2" w14:textId="77777777" w:rsidR="00763E5B" w:rsidRPr="00713DD6" w:rsidRDefault="00763E5B" w:rsidP="00763E5B">
      <w:pPr>
        <w:pStyle w:val="ListParagraph"/>
        <w:numPr>
          <w:ilvl w:val="0"/>
          <w:numId w:val="35"/>
        </w:numPr>
      </w:pPr>
      <w:r w:rsidRPr="00713DD6">
        <w:t xml:space="preserve">Health care system interventions—to improve the effective delivery and use of clinical and other high-value preventive services. </w:t>
      </w:r>
    </w:p>
    <w:p w14:paraId="23C5E0C8" w14:textId="2C9CF846" w:rsidR="00763E5B" w:rsidRPr="00713DD6" w:rsidRDefault="00763E5B" w:rsidP="00763E5B">
      <w:pPr>
        <w:pStyle w:val="ListParagraph"/>
        <w:numPr>
          <w:ilvl w:val="0"/>
          <w:numId w:val="35"/>
        </w:numPr>
      </w:pPr>
      <w:r w:rsidRPr="00713DD6">
        <w:t>Community programs linked to clinical services—to improve and sustain management of chronic conditions</w:t>
      </w:r>
      <w:r w:rsidR="00B01A37">
        <w:t>.</w:t>
      </w:r>
    </w:p>
    <w:p w14:paraId="794D2382" w14:textId="567978C8" w:rsidR="00E63899" w:rsidRPr="00713DD6" w:rsidRDefault="00516655" w:rsidP="001E7537">
      <w:pPr>
        <w:ind w:left="0"/>
      </w:pPr>
      <w:r w:rsidRPr="00713DD6">
        <w:t xml:space="preserve"> </w:t>
      </w:r>
      <w:r w:rsidR="00B01A37">
        <w:t xml:space="preserve">(See </w:t>
      </w:r>
      <w:r w:rsidR="00B01A37" w:rsidRPr="00B01A37">
        <w:rPr>
          <w:b/>
        </w:rPr>
        <w:t xml:space="preserve">Attachment </w:t>
      </w:r>
      <w:r w:rsidR="00AB5B69">
        <w:rPr>
          <w:b/>
        </w:rPr>
        <w:t>B</w:t>
      </w:r>
      <w:r w:rsidR="00B01A37" w:rsidRPr="00B01A37">
        <w:rPr>
          <w:b/>
        </w:rPr>
        <w:t>—</w:t>
      </w:r>
      <w:r w:rsidR="000F0076">
        <w:rPr>
          <w:b/>
        </w:rPr>
        <w:t xml:space="preserve">The </w:t>
      </w:r>
      <w:r w:rsidR="00B01A37" w:rsidRPr="00B01A37">
        <w:rPr>
          <w:b/>
        </w:rPr>
        <w:t>Four Domains</w:t>
      </w:r>
      <w:r w:rsidR="000F0076">
        <w:rPr>
          <w:b/>
        </w:rPr>
        <w:t xml:space="preserve"> </w:t>
      </w:r>
      <w:r w:rsidR="000F0076" w:rsidRPr="000F0076">
        <w:rPr>
          <w:b/>
        </w:rPr>
        <w:t>of Chronic Disease Prevention</w:t>
      </w:r>
      <w:r w:rsidR="00B01A37">
        <w:t>)</w:t>
      </w:r>
    </w:p>
    <w:p w14:paraId="0C869CC0" w14:textId="77777777" w:rsidR="00A34000" w:rsidRDefault="00A34000" w:rsidP="00E157EE">
      <w:pPr>
        <w:tabs>
          <w:tab w:val="clear" w:pos="9360"/>
        </w:tabs>
        <w:autoSpaceDE w:val="0"/>
        <w:autoSpaceDN w:val="0"/>
        <w:adjustRightInd w:val="0"/>
        <w:spacing w:line="240" w:lineRule="auto"/>
        <w:ind w:left="0"/>
        <w:rPr>
          <w:rFonts w:cstheme="minorHAnsi"/>
        </w:rPr>
      </w:pPr>
    </w:p>
    <w:p w14:paraId="1F581DAD" w14:textId="17A8B45A" w:rsidR="00E157EE" w:rsidRPr="00192AFD" w:rsidRDefault="004E6BBA" w:rsidP="00983998">
      <w:pPr>
        <w:tabs>
          <w:tab w:val="clear" w:pos="9360"/>
        </w:tabs>
        <w:autoSpaceDE w:val="0"/>
        <w:autoSpaceDN w:val="0"/>
        <w:adjustRightInd w:val="0"/>
        <w:spacing w:line="240" w:lineRule="auto"/>
        <w:ind w:left="0"/>
        <w:rPr>
          <w:rFonts w:cstheme="minorHAnsi"/>
        </w:rPr>
      </w:pPr>
      <w:r>
        <w:rPr>
          <w:rFonts w:cs="Myriad Pro"/>
          <w:color w:val="000000"/>
        </w:rPr>
        <w:t xml:space="preserve">The four domains apply a coordinated approach to </w:t>
      </w:r>
      <w:r w:rsidRPr="00D10A98">
        <w:rPr>
          <w:rFonts w:cs="Myriad Pro"/>
          <w:color w:val="000000"/>
        </w:rPr>
        <w:t>preventing chronic diseases and promoting health</w:t>
      </w:r>
      <w:r>
        <w:rPr>
          <w:rFonts w:cs="Myriad Pro"/>
          <w:color w:val="000000"/>
        </w:rPr>
        <w:t xml:space="preserve">. </w:t>
      </w:r>
      <w:r w:rsidR="00A34000" w:rsidRPr="00D10A98">
        <w:rPr>
          <w:rFonts w:cstheme="minorHAnsi"/>
        </w:rPr>
        <w:t>Domain 1, epidemiology and surveillance, is a pivotal do</w:t>
      </w:r>
      <w:r>
        <w:rPr>
          <w:rFonts w:cstheme="minorHAnsi"/>
        </w:rPr>
        <w:t>main for public health.  Additionally</w:t>
      </w:r>
      <w:r w:rsidR="00A34000" w:rsidRPr="00D10A98">
        <w:rPr>
          <w:rFonts w:cstheme="minorHAnsi"/>
        </w:rPr>
        <w:t xml:space="preserve">, public health programs increasingly recognize the importance of </w:t>
      </w:r>
      <w:r w:rsidR="00192AFD" w:rsidRPr="00192AFD">
        <w:rPr>
          <w:rFonts w:cstheme="minorHAnsi"/>
        </w:rPr>
        <w:t xml:space="preserve">coordinating chronic disease prevention efforts </w:t>
      </w:r>
      <w:r w:rsidR="00A34000" w:rsidRPr="00D10A98">
        <w:rPr>
          <w:rFonts w:cstheme="minorHAnsi"/>
        </w:rPr>
        <w:t>in domains 2, 3, and 4</w:t>
      </w:r>
      <w:r w:rsidR="00983998">
        <w:rPr>
          <w:rFonts w:cstheme="minorHAnsi"/>
        </w:rPr>
        <w:t xml:space="preserve"> t</w:t>
      </w:r>
      <w:r w:rsidR="00983998" w:rsidRPr="00983998">
        <w:rPr>
          <w:rFonts w:cstheme="minorHAnsi"/>
        </w:rPr>
        <w:t>o optimize public health’s efficiency and effectiveness</w:t>
      </w:r>
      <w:r w:rsidR="00983998">
        <w:rPr>
          <w:rFonts w:cstheme="minorHAnsi"/>
        </w:rPr>
        <w:t>.</w:t>
      </w:r>
    </w:p>
    <w:p w14:paraId="219281B4" w14:textId="77777777" w:rsidR="00A34000" w:rsidRPr="00713DD6" w:rsidRDefault="00A34000" w:rsidP="00E157EE">
      <w:pPr>
        <w:tabs>
          <w:tab w:val="clear" w:pos="9360"/>
        </w:tabs>
        <w:autoSpaceDE w:val="0"/>
        <w:autoSpaceDN w:val="0"/>
        <w:adjustRightInd w:val="0"/>
        <w:spacing w:line="240" w:lineRule="auto"/>
        <w:ind w:left="0"/>
        <w:rPr>
          <w:rFonts w:ascii="Myriad Pro" w:hAnsi="Myriad Pro" w:cs="Myriad Pro"/>
          <w:sz w:val="24"/>
          <w:szCs w:val="24"/>
        </w:rPr>
      </w:pPr>
    </w:p>
    <w:p w14:paraId="1FFD2DFE" w14:textId="77777777" w:rsidR="00866672" w:rsidRPr="00713DD6" w:rsidRDefault="00E157EE" w:rsidP="003228A3">
      <w:pPr>
        <w:spacing w:line="240" w:lineRule="auto"/>
        <w:ind w:left="0"/>
        <w:rPr>
          <w:rFonts w:cstheme="minorHAnsi"/>
        </w:rPr>
      </w:pPr>
      <w:r w:rsidRPr="00713DD6">
        <w:rPr>
          <w:rFonts w:cstheme="minorHAnsi"/>
        </w:rPr>
        <w:t xml:space="preserve">The four domains help organize, focus, and concentrate public health efforts to strengthen programs and build expertise to address gaps in services. These four domains highlight shared </w:t>
      </w:r>
      <w:r w:rsidRPr="00713DD6">
        <w:rPr>
          <w:rFonts w:cstheme="minorHAnsi"/>
        </w:rPr>
        <w:lastRenderedPageBreak/>
        <w:t>strategies and opportunities to make real health improvements across a range of diseases, conditions, and risk factors to improve the health and quality of life of millions of Americans.</w:t>
      </w:r>
      <w:r w:rsidR="00420EC1" w:rsidRPr="00713DD6">
        <w:rPr>
          <w:rFonts w:cstheme="minorHAnsi"/>
        </w:rPr>
        <w:t xml:space="preserve">  </w:t>
      </w:r>
    </w:p>
    <w:p w14:paraId="221D5173" w14:textId="77777777" w:rsidR="00866672" w:rsidRPr="00713DD6" w:rsidRDefault="00866672" w:rsidP="001E7537">
      <w:pPr>
        <w:ind w:left="0"/>
        <w:rPr>
          <w:rFonts w:cstheme="minorHAnsi"/>
        </w:rPr>
      </w:pPr>
    </w:p>
    <w:p w14:paraId="7838D792" w14:textId="147A153E" w:rsidR="0058208A" w:rsidRDefault="00420EC1" w:rsidP="00B5379A">
      <w:pPr>
        <w:ind w:left="0"/>
      </w:pPr>
      <w:r w:rsidRPr="00713DD6">
        <w:rPr>
          <w:rFonts w:cstheme="minorHAnsi"/>
        </w:rPr>
        <w:t>Several of NCCDPHP’s cooperative agreements use the four domains as an organizational framework for their efforts. Cooperative agreement</w:t>
      </w:r>
      <w:r w:rsidR="00A34000">
        <w:rPr>
          <w:rFonts w:cstheme="minorHAnsi"/>
        </w:rPr>
        <w:t>,</w:t>
      </w:r>
      <w:r w:rsidRPr="00713DD6">
        <w:rPr>
          <w:rFonts w:cstheme="minorHAnsi"/>
        </w:rPr>
        <w:t xml:space="preserve"> </w:t>
      </w:r>
      <w:r w:rsidR="00A34000">
        <w:rPr>
          <w:rFonts w:cstheme="minorHAnsi"/>
        </w:rPr>
        <w:t>“</w:t>
      </w:r>
      <w:r w:rsidRPr="00713DD6">
        <w:rPr>
          <w:rFonts w:cstheme="minorHAnsi"/>
        </w:rPr>
        <w:t xml:space="preserve">1305 </w:t>
      </w:r>
      <w:r w:rsidRPr="00713DD6">
        <w:t>State Public Health Actions to Prevent and Control Diabetes, Heart Disease, Obesity, and Associated Risk Factors and Promote School Health</w:t>
      </w:r>
      <w:r w:rsidR="00A34000">
        <w:t>”</w:t>
      </w:r>
      <w:r w:rsidRPr="00713DD6">
        <w:t xml:space="preserve"> (referred </w:t>
      </w:r>
      <w:r w:rsidR="00563764" w:rsidRPr="00713DD6">
        <w:t>to</w:t>
      </w:r>
      <w:r w:rsidRPr="00713DD6">
        <w:t xml:space="preserve"> as 1305) supports efforts nationwide</w:t>
      </w:r>
      <w:r w:rsidR="00563764" w:rsidRPr="00713DD6">
        <w:t xml:space="preserve"> </w:t>
      </w:r>
      <w:r w:rsidRPr="00713DD6">
        <w:t>to reduce the risk factors associated with childhood and adult obesity, diabetes, heart disease, and stroke.</w:t>
      </w:r>
      <w:r w:rsidR="00563764" w:rsidRPr="00713DD6">
        <w:t xml:space="preserve"> </w:t>
      </w:r>
      <w:r w:rsidR="00FF778D" w:rsidRPr="00713DD6">
        <w:t xml:space="preserve">The strategies to prevent </w:t>
      </w:r>
      <w:r w:rsidR="00FF778D">
        <w:t xml:space="preserve">these </w:t>
      </w:r>
      <w:r w:rsidR="00FF778D" w:rsidRPr="00713DD6">
        <w:t xml:space="preserve">chronic diseases and conditions are often similar and by combining approaches, public health programs can work together to be more impactful and efficient. </w:t>
      </w:r>
      <w:r w:rsidR="00563764" w:rsidRPr="00713DD6">
        <w:t xml:space="preserve">The 1305 cooperative agreement began in 2014 and all </w:t>
      </w:r>
      <w:r w:rsidR="00B01A37">
        <w:t>s</w:t>
      </w:r>
      <w:r w:rsidR="00563764" w:rsidRPr="00713DD6">
        <w:t>tate and District of Columbia health department</w:t>
      </w:r>
      <w:r w:rsidR="00866672" w:rsidRPr="00713DD6">
        <w:t>s</w:t>
      </w:r>
      <w:r w:rsidR="00563764" w:rsidRPr="00713DD6">
        <w:t xml:space="preserve"> are funded for five years to implement basic strategies. </w:t>
      </w:r>
      <w:r w:rsidR="00936E71">
        <w:t>Thirty-two</w:t>
      </w:r>
      <w:r w:rsidR="00A30981" w:rsidRPr="00713DD6">
        <w:t xml:space="preserve"> of the 1305 grantees </w:t>
      </w:r>
      <w:r w:rsidR="00936E71">
        <w:t>are</w:t>
      </w:r>
      <w:r w:rsidR="00563764" w:rsidRPr="00713DD6">
        <w:t xml:space="preserve"> funded to implement additional enhanced strategies.</w:t>
      </w:r>
      <w:r w:rsidR="0058208A">
        <w:t xml:space="preserve"> See details of each below:</w:t>
      </w:r>
    </w:p>
    <w:p w14:paraId="36C9EBB8" w14:textId="77777777" w:rsidR="0058208A" w:rsidRDefault="0058208A" w:rsidP="00B5379A">
      <w:pPr>
        <w:ind w:left="0"/>
      </w:pPr>
    </w:p>
    <w:p w14:paraId="49168D91" w14:textId="575785A9" w:rsidR="0058208A" w:rsidRDefault="00B5379A" w:rsidP="0058208A">
      <w:pPr>
        <w:pStyle w:val="ListParagraph"/>
        <w:numPr>
          <w:ilvl w:val="0"/>
          <w:numId w:val="43"/>
        </w:numPr>
      </w:pPr>
      <w:r w:rsidRPr="0058208A">
        <w:rPr>
          <w:b/>
        </w:rPr>
        <w:t xml:space="preserve">The 1305 </w:t>
      </w:r>
      <w:r w:rsidR="00A30981" w:rsidRPr="0058208A">
        <w:rPr>
          <w:b/>
        </w:rPr>
        <w:t>“</w:t>
      </w:r>
      <w:r w:rsidRPr="0058208A">
        <w:rPr>
          <w:b/>
        </w:rPr>
        <w:t>basic</w:t>
      </w:r>
      <w:r w:rsidR="00A30981" w:rsidRPr="0058208A">
        <w:rPr>
          <w:b/>
        </w:rPr>
        <w:t>”</w:t>
      </w:r>
      <w:r w:rsidRPr="0058208A">
        <w:rPr>
          <w:b/>
        </w:rPr>
        <w:t xml:space="preserve"> component</w:t>
      </w:r>
      <w:r w:rsidR="0058208A">
        <w:rPr>
          <w:b/>
        </w:rPr>
        <w:t>:</w:t>
      </w:r>
      <w:r w:rsidRPr="00A30981">
        <w:t xml:space="preserve"> designed to support health promotion, epidemiology, and surveillance activities and target</w:t>
      </w:r>
      <w:r w:rsidR="00A14523">
        <w:t>s</w:t>
      </w:r>
      <w:r w:rsidRPr="00A30981">
        <w:t xml:space="preserve"> strategies that will result in measurable impacts to address school health</w:t>
      </w:r>
      <w:r w:rsidR="00A14523">
        <w:t>,</w:t>
      </w:r>
      <w:r w:rsidR="00A34000">
        <w:t xml:space="preserve"> risk factors for suboptimal</w:t>
      </w:r>
      <w:r w:rsidRPr="00A30981">
        <w:t xml:space="preserve"> nutrition and physical activity</w:t>
      </w:r>
      <w:r w:rsidR="00A14523">
        <w:t>,</w:t>
      </w:r>
      <w:r w:rsidR="00A34000" w:rsidRPr="00A30981">
        <w:t xml:space="preserve"> </w:t>
      </w:r>
      <w:r w:rsidRPr="00A30981">
        <w:t xml:space="preserve">obesity, diabetes, and heart </w:t>
      </w:r>
      <w:r w:rsidR="00993F9B">
        <w:t xml:space="preserve">disease and stroke prevention. </w:t>
      </w:r>
    </w:p>
    <w:p w14:paraId="00C461E2" w14:textId="67C9D64C" w:rsidR="00420EC1" w:rsidRDefault="00B5379A" w:rsidP="0058208A">
      <w:pPr>
        <w:pStyle w:val="ListParagraph"/>
        <w:numPr>
          <w:ilvl w:val="0"/>
          <w:numId w:val="43"/>
        </w:numPr>
      </w:pPr>
      <w:r w:rsidRPr="0058208A">
        <w:rPr>
          <w:b/>
        </w:rPr>
        <w:t xml:space="preserve">The 1305 </w:t>
      </w:r>
      <w:r w:rsidR="00A30981" w:rsidRPr="0058208A">
        <w:rPr>
          <w:b/>
        </w:rPr>
        <w:t>“</w:t>
      </w:r>
      <w:r w:rsidRPr="0058208A">
        <w:rPr>
          <w:b/>
        </w:rPr>
        <w:t>enhanced</w:t>
      </w:r>
      <w:r w:rsidR="00A30981" w:rsidRPr="0058208A">
        <w:rPr>
          <w:b/>
        </w:rPr>
        <w:t xml:space="preserve">” </w:t>
      </w:r>
      <w:r w:rsidRPr="0058208A">
        <w:rPr>
          <w:b/>
        </w:rPr>
        <w:t>component</w:t>
      </w:r>
      <w:r w:rsidR="0058208A">
        <w:t xml:space="preserve">: </w:t>
      </w:r>
      <w:r w:rsidRPr="00A30981">
        <w:t>designed to build on and extend the activities supported with basic funding to achieve even greater reach and impact.  This component includes implementation of evidence-based strategies that are more extensive and wider-reaching than those implemented in the basic component.  States funded for this enhanced component are implementing interventions at scale to reach large segments of the population in the state and in partnership with</w:t>
      </w:r>
      <w:r w:rsidRPr="00B5379A">
        <w:t xml:space="preserve"> organizations that may or may not have worked with state departments of health in the past.</w:t>
      </w:r>
    </w:p>
    <w:p w14:paraId="6C85E5B2" w14:textId="77777777" w:rsidR="00D601D1" w:rsidRPr="00B5379A" w:rsidRDefault="00D601D1" w:rsidP="00D601D1">
      <w:pPr>
        <w:pStyle w:val="ListParagraph"/>
        <w:ind w:left="765"/>
      </w:pPr>
    </w:p>
    <w:p w14:paraId="720F503C" w14:textId="77777777" w:rsidR="00D601D1" w:rsidRDefault="00D601D1" w:rsidP="00D601D1">
      <w:pPr>
        <w:ind w:left="0"/>
        <w:rPr>
          <w:rFonts w:cstheme="minorHAnsi"/>
        </w:rPr>
      </w:pPr>
      <w:r>
        <w:rPr>
          <w:rFonts w:cs="Arial"/>
        </w:rPr>
        <w:t>T</w:t>
      </w:r>
      <w:r>
        <w:rPr>
          <w:rFonts w:cstheme="minorHAnsi"/>
        </w:rPr>
        <w:t xml:space="preserve">raining efforts are coordinated within NCCDPHP through a training workgroup formed in 2013. </w:t>
      </w:r>
      <w:r w:rsidRPr="00D81A2E">
        <w:rPr>
          <w:rFonts w:cstheme="minorHAnsi"/>
        </w:rPr>
        <w:t>The workgroup includes re</w:t>
      </w:r>
      <w:r>
        <w:rPr>
          <w:rFonts w:cstheme="minorHAnsi"/>
        </w:rPr>
        <w:t>presentatives from each of the nine</w:t>
      </w:r>
      <w:r w:rsidRPr="00D81A2E">
        <w:rPr>
          <w:rFonts w:cstheme="minorHAnsi"/>
        </w:rPr>
        <w:t xml:space="preserve"> divisions within the Center that are responsible for training activities within their respective divisions.</w:t>
      </w:r>
      <w:r>
        <w:rPr>
          <w:rFonts w:cstheme="minorHAnsi"/>
        </w:rPr>
        <w:t xml:space="preserve">  The workgroup is responsible for:</w:t>
      </w:r>
    </w:p>
    <w:p w14:paraId="5085F1FA" w14:textId="77777777" w:rsidR="00D601D1" w:rsidRPr="00C37DBB" w:rsidRDefault="00D601D1" w:rsidP="00D601D1">
      <w:pPr>
        <w:pStyle w:val="ListParagraph"/>
        <w:numPr>
          <w:ilvl w:val="0"/>
          <w:numId w:val="39"/>
        </w:numPr>
        <w:tabs>
          <w:tab w:val="clear" w:pos="9360"/>
        </w:tabs>
        <w:spacing w:after="200"/>
      </w:pPr>
      <w:r>
        <w:t>Determining the</w:t>
      </w:r>
      <w:r w:rsidRPr="00C37DBB">
        <w:t xml:space="preserve"> best training format for </w:t>
      </w:r>
      <w:r>
        <w:t>target audience</w:t>
      </w:r>
    </w:p>
    <w:p w14:paraId="3DA0D81D" w14:textId="77777777" w:rsidR="00D601D1" w:rsidRPr="00C37DBB" w:rsidRDefault="00D601D1" w:rsidP="00D601D1">
      <w:pPr>
        <w:pStyle w:val="ListParagraph"/>
        <w:numPr>
          <w:ilvl w:val="0"/>
          <w:numId w:val="39"/>
        </w:numPr>
        <w:tabs>
          <w:tab w:val="clear" w:pos="9360"/>
        </w:tabs>
        <w:spacing w:after="200"/>
      </w:pPr>
      <w:r>
        <w:t>S</w:t>
      </w:r>
      <w:r w:rsidRPr="00C37DBB">
        <w:t>elect</w:t>
      </w:r>
      <w:r>
        <w:t>ing and prioritizing</w:t>
      </w:r>
      <w:r w:rsidRPr="00C37DBB">
        <w:t xml:space="preserve"> training </w:t>
      </w:r>
      <w:r>
        <w:t>topics</w:t>
      </w:r>
    </w:p>
    <w:p w14:paraId="5E8FB7A3" w14:textId="77777777" w:rsidR="00D601D1" w:rsidRPr="00C37DBB" w:rsidRDefault="00D601D1" w:rsidP="00D601D1">
      <w:pPr>
        <w:pStyle w:val="ListParagraph"/>
        <w:numPr>
          <w:ilvl w:val="0"/>
          <w:numId w:val="39"/>
        </w:numPr>
        <w:tabs>
          <w:tab w:val="clear" w:pos="9360"/>
        </w:tabs>
        <w:spacing w:after="200"/>
      </w:pPr>
      <w:r>
        <w:t>I</w:t>
      </w:r>
      <w:r w:rsidRPr="00C37DBB">
        <w:t>dentify</w:t>
      </w:r>
      <w:r>
        <w:t>ing</w:t>
      </w:r>
      <w:r w:rsidRPr="00C37DBB">
        <w:t xml:space="preserve"> and select</w:t>
      </w:r>
      <w:r>
        <w:t>ing</w:t>
      </w:r>
      <w:r w:rsidRPr="00C37DBB">
        <w:t xml:space="preserve"> experts </w:t>
      </w:r>
      <w:r>
        <w:t>and presenters</w:t>
      </w:r>
    </w:p>
    <w:p w14:paraId="4A84BFA8" w14:textId="77777777" w:rsidR="00D601D1" w:rsidRPr="00C37DBB" w:rsidRDefault="00D601D1" w:rsidP="00D601D1">
      <w:pPr>
        <w:pStyle w:val="ListParagraph"/>
        <w:numPr>
          <w:ilvl w:val="0"/>
          <w:numId w:val="39"/>
        </w:numPr>
        <w:tabs>
          <w:tab w:val="clear" w:pos="9360"/>
        </w:tabs>
        <w:spacing w:after="200"/>
      </w:pPr>
      <w:r>
        <w:t>O</w:t>
      </w:r>
      <w:r w:rsidRPr="00C37DBB">
        <w:t>rganiz</w:t>
      </w:r>
      <w:r>
        <w:t>ing</w:t>
      </w:r>
      <w:r w:rsidRPr="00C37DBB">
        <w:t xml:space="preserve"> logistics and facilitat</w:t>
      </w:r>
      <w:r>
        <w:t>ing</w:t>
      </w:r>
      <w:r w:rsidRPr="00C37DBB">
        <w:t xml:space="preserve"> </w:t>
      </w:r>
      <w:r>
        <w:t>trainings</w:t>
      </w:r>
    </w:p>
    <w:p w14:paraId="61B968E5" w14:textId="77777777" w:rsidR="00D601D1" w:rsidRPr="00C37DBB" w:rsidRDefault="00D601D1" w:rsidP="00D601D1">
      <w:pPr>
        <w:pStyle w:val="ListParagraph"/>
        <w:numPr>
          <w:ilvl w:val="0"/>
          <w:numId w:val="39"/>
        </w:numPr>
        <w:tabs>
          <w:tab w:val="clear" w:pos="9360"/>
        </w:tabs>
        <w:spacing w:after="200"/>
      </w:pPr>
      <w:r>
        <w:t>C</w:t>
      </w:r>
      <w:r w:rsidRPr="00C37DBB">
        <w:t>ommunicat</w:t>
      </w:r>
      <w:r>
        <w:t>ing</w:t>
      </w:r>
      <w:r w:rsidRPr="00C37DBB">
        <w:t xml:space="preserve"> </w:t>
      </w:r>
      <w:r>
        <w:t>and promoting</w:t>
      </w:r>
      <w:r w:rsidRPr="00C37DBB">
        <w:t xml:space="preserve"> </w:t>
      </w:r>
      <w:r>
        <w:t xml:space="preserve">training </w:t>
      </w:r>
      <w:r w:rsidRPr="00C37DBB">
        <w:t>opportunities</w:t>
      </w:r>
    </w:p>
    <w:p w14:paraId="20FA035E" w14:textId="77777777" w:rsidR="00D601D1" w:rsidRPr="00C37DBB" w:rsidRDefault="00D601D1" w:rsidP="00D601D1">
      <w:pPr>
        <w:pStyle w:val="ListParagraph"/>
        <w:numPr>
          <w:ilvl w:val="0"/>
          <w:numId w:val="39"/>
        </w:numPr>
        <w:tabs>
          <w:tab w:val="clear" w:pos="9360"/>
        </w:tabs>
        <w:spacing w:after="200"/>
      </w:pPr>
      <w:r>
        <w:t>Serving</w:t>
      </w:r>
      <w:r w:rsidRPr="00C37DBB">
        <w:t xml:space="preserve"> as a liaison </w:t>
      </w:r>
      <w:r>
        <w:t>to Division</w:t>
      </w:r>
      <w:r w:rsidRPr="00C37DBB">
        <w:t xml:space="preserve"> leadership</w:t>
      </w:r>
    </w:p>
    <w:p w14:paraId="325FEF63" w14:textId="77777777" w:rsidR="00D601D1" w:rsidRPr="00C37DBB" w:rsidRDefault="00D601D1" w:rsidP="00D601D1">
      <w:pPr>
        <w:pStyle w:val="ListParagraph"/>
        <w:numPr>
          <w:ilvl w:val="0"/>
          <w:numId w:val="39"/>
        </w:numPr>
        <w:tabs>
          <w:tab w:val="clear" w:pos="9360"/>
        </w:tabs>
        <w:spacing w:after="200"/>
      </w:pPr>
      <w:r>
        <w:t>Cataloguing</w:t>
      </w:r>
      <w:r w:rsidRPr="00C37DBB">
        <w:t xml:space="preserve"> existing training opportunities</w:t>
      </w:r>
      <w:r>
        <w:t xml:space="preserve"> and resources</w:t>
      </w:r>
    </w:p>
    <w:p w14:paraId="256F7252" w14:textId="77777777" w:rsidR="00D601D1" w:rsidRPr="00616BE7" w:rsidRDefault="00D601D1" w:rsidP="00D601D1">
      <w:pPr>
        <w:pStyle w:val="ListParagraph"/>
        <w:numPr>
          <w:ilvl w:val="0"/>
          <w:numId w:val="39"/>
        </w:numPr>
        <w:tabs>
          <w:tab w:val="clear" w:pos="9360"/>
        </w:tabs>
        <w:spacing w:after="200"/>
      </w:pPr>
      <w:r>
        <w:t>Collaborating</w:t>
      </w:r>
      <w:r w:rsidRPr="00C37DBB">
        <w:t xml:space="preserve"> to </w:t>
      </w:r>
      <w:r>
        <w:t>assess internal and</w:t>
      </w:r>
      <w:r w:rsidRPr="00C37DBB">
        <w:t xml:space="preserve"> external training needs</w:t>
      </w:r>
    </w:p>
    <w:p w14:paraId="3F8186F6" w14:textId="77777777" w:rsidR="00D601D1" w:rsidRPr="008457AC" w:rsidRDefault="00D601D1" w:rsidP="00D601D1">
      <w:pPr>
        <w:ind w:left="0"/>
        <w:rPr>
          <w:rFonts w:cstheme="minorHAnsi"/>
        </w:rPr>
      </w:pPr>
      <w:r>
        <w:rPr>
          <w:rFonts w:cs="Arial"/>
        </w:rPr>
        <w:t>T</w:t>
      </w:r>
      <w:r w:rsidRPr="00B01A37">
        <w:rPr>
          <w:rFonts w:cs="Arial"/>
        </w:rPr>
        <w:t xml:space="preserve">o enhance internal CDC collaboration efforts and ensure that efforts are not duplicated in identifying training needs of </w:t>
      </w:r>
      <w:r>
        <w:rPr>
          <w:rFonts w:cs="Arial"/>
        </w:rPr>
        <w:t>s</w:t>
      </w:r>
      <w:r w:rsidRPr="00B01A37">
        <w:rPr>
          <w:rFonts w:cs="Arial"/>
        </w:rPr>
        <w:t xml:space="preserve">tate </w:t>
      </w:r>
      <w:r>
        <w:rPr>
          <w:rFonts w:cs="Arial"/>
        </w:rPr>
        <w:t>h</w:t>
      </w:r>
      <w:r w:rsidRPr="00B01A37">
        <w:rPr>
          <w:rFonts w:cs="Arial"/>
        </w:rPr>
        <w:t xml:space="preserve">ealth </w:t>
      </w:r>
      <w:r>
        <w:rPr>
          <w:rFonts w:cs="Arial"/>
        </w:rPr>
        <w:t>d</w:t>
      </w:r>
      <w:r w:rsidRPr="00B01A37">
        <w:rPr>
          <w:rFonts w:cs="Arial"/>
        </w:rPr>
        <w:t xml:space="preserve">epartment staff, NCCDPHP has worked with the NCCDPHP Training Workgroup to understand what current and planned training and technical needs assessments are occurring across the Center.  </w:t>
      </w:r>
    </w:p>
    <w:p w14:paraId="023653CB" w14:textId="77777777" w:rsidR="00420EC1" w:rsidRDefault="00420EC1" w:rsidP="001E7537">
      <w:pPr>
        <w:ind w:left="0"/>
        <w:rPr>
          <w:rFonts w:cstheme="minorHAnsi"/>
        </w:rPr>
      </w:pPr>
    </w:p>
    <w:p w14:paraId="1693A326" w14:textId="6506B154" w:rsidR="00050D9E" w:rsidRDefault="00050D9E" w:rsidP="001E7537">
      <w:pPr>
        <w:ind w:left="0"/>
      </w:pPr>
      <w:r>
        <w:lastRenderedPageBreak/>
        <w:t>CDC requests OMB approval to conduct a training needs assessment related to the 11 core competencies. Data will be collected from staff in chronic disease units of state health departments. Additionally, those funded under the 1305 cooperative agreement enhanced component will be asked to identify training they need to accomplish objectives related to NCCDPHP domains 2, 3, and 4.</w:t>
      </w:r>
    </w:p>
    <w:p w14:paraId="322E28D2" w14:textId="61CAB3A8" w:rsidR="0058208A" w:rsidRDefault="0058208A" w:rsidP="00050D9E">
      <w:pPr>
        <w:ind w:left="0"/>
        <w:rPr>
          <w:rFonts w:cstheme="minorHAnsi"/>
        </w:rPr>
      </w:pPr>
    </w:p>
    <w:p w14:paraId="4288628C" w14:textId="0F65099B" w:rsidR="00167C3F" w:rsidRDefault="00DF681A" w:rsidP="00167C3F">
      <w:pPr>
        <w:tabs>
          <w:tab w:val="clear" w:pos="9360"/>
        </w:tabs>
        <w:spacing w:after="120"/>
        <w:ind w:left="0"/>
      </w:pPr>
      <w:r w:rsidRPr="00167C3F">
        <w:rPr>
          <w:rFonts w:cstheme="minorHAnsi"/>
        </w:rPr>
        <w:t xml:space="preserve">The </w:t>
      </w:r>
      <w:r w:rsidR="00274708" w:rsidRPr="00167C3F">
        <w:rPr>
          <w:rFonts w:cstheme="minorHAnsi"/>
        </w:rPr>
        <w:t xml:space="preserve">results from this information collection will inform the development of </w:t>
      </w:r>
      <w:r w:rsidR="00274708" w:rsidRPr="00167C3F">
        <w:rPr>
          <w:rFonts w:cs="Arial"/>
        </w:rPr>
        <w:t>a comprehensive NCCDPHP 5-year training plan for state health department chronic disease prevention and health promotion staff</w:t>
      </w:r>
      <w:r w:rsidR="007C3662">
        <w:rPr>
          <w:rFonts w:cs="Arial"/>
        </w:rPr>
        <w:t xml:space="preserve">, </w:t>
      </w:r>
      <w:r w:rsidR="007C3662">
        <w:t>inform the development and delivery of CDC-sponsored trainings</w:t>
      </w:r>
      <w:r w:rsidR="007C3662" w:rsidRPr="00167C3F">
        <w:rPr>
          <w:rFonts w:cs="Arial"/>
        </w:rPr>
        <w:t>, and help coordinate trainings offered across the Center’s nine divisions.</w:t>
      </w:r>
      <w:r w:rsidR="007C3662">
        <w:t xml:space="preserve">  </w:t>
      </w:r>
      <w:r w:rsidR="00274708" w:rsidRPr="00167C3F">
        <w:rPr>
          <w:rFonts w:cs="Arial"/>
        </w:rPr>
        <w:t>The online needs assessments will provide critical information for designing and shaping the Center’s training plans by identifying both key priority areas and modes for training among the Center’s 11 core competencies for all state health department staff.</w:t>
      </w:r>
      <w:r w:rsidR="00167C3F" w:rsidRPr="00167C3F">
        <w:t xml:space="preserve"> </w:t>
      </w:r>
    </w:p>
    <w:p w14:paraId="67738818" w14:textId="77777777" w:rsidR="00692DEB" w:rsidRDefault="006102DA" w:rsidP="00692DEB">
      <w:pPr>
        <w:pStyle w:val="Heading5"/>
        <w:spacing w:after="120"/>
        <w:ind w:left="0"/>
      </w:pPr>
      <w:r w:rsidRPr="00692DEB">
        <w:t xml:space="preserve">Overview of the </w:t>
      </w:r>
      <w:r w:rsidR="007F5776" w:rsidRPr="00692DEB">
        <w:t>Information C</w:t>
      </w:r>
      <w:r w:rsidR="00157413" w:rsidRPr="00692DEB">
        <w:t>ollection</w:t>
      </w:r>
      <w:r w:rsidRPr="00692DEB">
        <w:t xml:space="preserve"> System</w:t>
      </w:r>
      <w:r w:rsidR="00151567" w:rsidRPr="001A28F6">
        <w:t xml:space="preserve"> </w:t>
      </w:r>
    </w:p>
    <w:p w14:paraId="49C4ED8C" w14:textId="273355B0" w:rsidR="009301F6" w:rsidRDefault="009301F6" w:rsidP="009301F6">
      <w:pPr>
        <w:tabs>
          <w:tab w:val="clear" w:pos="9360"/>
        </w:tabs>
        <w:ind w:left="0"/>
        <w:rPr>
          <w:rFonts w:cs="Times New Roman"/>
        </w:rPr>
      </w:pPr>
      <w:r w:rsidRPr="009301F6">
        <w:rPr>
          <w:rFonts w:cs="Times New Roman"/>
        </w:rPr>
        <w:t xml:space="preserve">In the first stage of data collection, CDC will send an email to all </w:t>
      </w:r>
      <w:r>
        <w:rPr>
          <w:rFonts w:cs="Times New Roman"/>
        </w:rPr>
        <w:t>state chronic disease d</w:t>
      </w:r>
      <w:r w:rsidRPr="009301F6">
        <w:rPr>
          <w:rFonts w:cs="Times New Roman"/>
        </w:rPr>
        <w:t xml:space="preserve">irectors who are responsible for program operations in </w:t>
      </w:r>
      <w:r w:rsidR="002203F1">
        <w:rPr>
          <w:rFonts w:cs="Times New Roman"/>
        </w:rPr>
        <w:t xml:space="preserve">their </w:t>
      </w:r>
      <w:r w:rsidRPr="009301F6">
        <w:rPr>
          <w:rFonts w:cs="Times New Roman"/>
        </w:rPr>
        <w:t xml:space="preserve">jurisdictions.  The email will introduce the data collection, explain the procedures, and collect the names and email information for each person whom the director designates to answer </w:t>
      </w:r>
      <w:r>
        <w:rPr>
          <w:rFonts w:cs="Times New Roman"/>
        </w:rPr>
        <w:t>the training needs</w:t>
      </w:r>
      <w:r w:rsidRPr="009301F6">
        <w:rPr>
          <w:rFonts w:cs="Times New Roman"/>
        </w:rPr>
        <w:t xml:space="preserve"> assessment (see</w:t>
      </w:r>
      <w:r w:rsidRPr="009301F6">
        <w:rPr>
          <w:rFonts w:cs="Times New Roman"/>
          <w:b/>
        </w:rPr>
        <w:t xml:space="preserve"> Attachment </w:t>
      </w:r>
      <w:r>
        <w:rPr>
          <w:rFonts w:cs="Times New Roman"/>
          <w:b/>
        </w:rPr>
        <w:t>C</w:t>
      </w:r>
      <w:r w:rsidRPr="009301F6">
        <w:rPr>
          <w:rFonts w:cs="Times New Roman"/>
          <w:b/>
        </w:rPr>
        <w:t>—Contact Instrument</w:t>
      </w:r>
      <w:r w:rsidRPr="009301F6">
        <w:rPr>
          <w:rFonts w:cs="Times New Roman"/>
        </w:rPr>
        <w:t>).</w:t>
      </w:r>
      <w:r w:rsidR="00476762">
        <w:rPr>
          <w:rFonts w:cs="Times New Roman"/>
        </w:rPr>
        <w:t xml:space="preserve"> Directors will be given </w:t>
      </w:r>
      <w:r w:rsidR="007B3989">
        <w:rPr>
          <w:rFonts w:cs="Times New Roman"/>
        </w:rPr>
        <w:t>5</w:t>
      </w:r>
      <w:r w:rsidR="00476762">
        <w:rPr>
          <w:rFonts w:cs="Times New Roman"/>
        </w:rPr>
        <w:t xml:space="preserve"> days/</w:t>
      </w:r>
      <w:r w:rsidR="007B3989">
        <w:rPr>
          <w:rFonts w:cs="Times New Roman"/>
        </w:rPr>
        <w:t xml:space="preserve">1 </w:t>
      </w:r>
      <w:r w:rsidR="00476762">
        <w:rPr>
          <w:rFonts w:cs="Times New Roman"/>
        </w:rPr>
        <w:t>week to complete the form.</w:t>
      </w:r>
    </w:p>
    <w:p w14:paraId="1D0B5771" w14:textId="77777777" w:rsidR="00324E82" w:rsidRDefault="00324E82" w:rsidP="009301F6">
      <w:pPr>
        <w:tabs>
          <w:tab w:val="clear" w:pos="9360"/>
        </w:tabs>
        <w:ind w:left="0"/>
        <w:rPr>
          <w:rFonts w:cs="Times New Roman"/>
        </w:rPr>
      </w:pPr>
    </w:p>
    <w:p w14:paraId="572652A8" w14:textId="77777777" w:rsidR="00324E82" w:rsidRDefault="00C80374" w:rsidP="00C80374">
      <w:pPr>
        <w:tabs>
          <w:tab w:val="clear" w:pos="9360"/>
        </w:tabs>
        <w:ind w:left="0"/>
      </w:pPr>
      <w:r w:rsidRPr="0081026C">
        <w:rPr>
          <w:rFonts w:cs="Times New Roman"/>
        </w:rPr>
        <w:t xml:space="preserve">The contact information obtained in stage 1 will </w:t>
      </w:r>
      <w:r>
        <w:rPr>
          <w:rFonts w:cs="Times New Roman"/>
        </w:rPr>
        <w:t xml:space="preserve">then </w:t>
      </w:r>
      <w:r w:rsidRPr="0081026C">
        <w:rPr>
          <w:rFonts w:cs="Times New Roman"/>
        </w:rPr>
        <w:t>be used</w:t>
      </w:r>
      <w:r>
        <w:rPr>
          <w:rFonts w:cs="Times New Roman"/>
        </w:rPr>
        <w:t xml:space="preserve"> by ICF International, a professional services consulting firm,</w:t>
      </w:r>
      <w:r w:rsidRPr="0081026C">
        <w:rPr>
          <w:rFonts w:cs="Times New Roman"/>
        </w:rPr>
        <w:t xml:space="preserve"> to </w:t>
      </w:r>
      <w:r>
        <w:rPr>
          <w:rFonts w:cs="Times New Roman"/>
        </w:rPr>
        <w:t>contact the designated</w:t>
      </w:r>
      <w:r w:rsidRPr="0081026C">
        <w:rPr>
          <w:rFonts w:cs="Times New Roman"/>
        </w:rPr>
        <w:t xml:space="preserve"> persons within each </w:t>
      </w:r>
      <w:r>
        <w:rPr>
          <w:rFonts w:cs="Times New Roman"/>
        </w:rPr>
        <w:t>state health department</w:t>
      </w:r>
      <w:r w:rsidRPr="0081026C">
        <w:rPr>
          <w:rFonts w:cs="Times New Roman"/>
        </w:rPr>
        <w:t xml:space="preserve"> to complete </w:t>
      </w:r>
      <w:r>
        <w:rPr>
          <w:rFonts w:cs="Times New Roman"/>
        </w:rPr>
        <w:t>the training needs assessment instrument</w:t>
      </w:r>
      <w:r w:rsidR="0007097B">
        <w:rPr>
          <w:rFonts w:cs="Times New Roman"/>
        </w:rPr>
        <w:t xml:space="preserve"> </w:t>
      </w:r>
      <w:r w:rsidR="0044050D">
        <w:rPr>
          <w:rFonts w:cs="Times New Roman"/>
        </w:rPr>
        <w:t>within a 2-week period</w:t>
      </w:r>
      <w:r w:rsidR="009301F6" w:rsidRPr="0081026C">
        <w:rPr>
          <w:rFonts w:cs="Times New Roman"/>
        </w:rPr>
        <w:t>.</w:t>
      </w:r>
      <w:r w:rsidR="009301F6">
        <w:rPr>
          <w:rFonts w:cs="Times New Roman"/>
        </w:rPr>
        <w:t xml:space="preserve"> </w:t>
      </w:r>
      <w:r w:rsidR="00692DEB" w:rsidRPr="00711BFA">
        <w:t xml:space="preserve">Data will be collected via a web-based </w:t>
      </w:r>
      <w:r w:rsidR="007C5190">
        <w:t>information collection instrument</w:t>
      </w:r>
      <w:r w:rsidR="002E523F">
        <w:t xml:space="preserve">, programmed using SurveyMonkey, </w:t>
      </w:r>
      <w:r w:rsidR="00692DEB" w:rsidRPr="00711BFA">
        <w:t xml:space="preserve">allowing respondents to complete and submit their </w:t>
      </w:r>
      <w:r w:rsidR="00692DEB" w:rsidRPr="00B01A37">
        <w:t>responses electronically</w:t>
      </w:r>
      <w:r w:rsidR="008D3A8B" w:rsidRPr="00B01A37">
        <w:t xml:space="preserve"> and at their own convenience</w:t>
      </w:r>
      <w:r w:rsidR="00692DEB" w:rsidRPr="00B01A37">
        <w:t xml:space="preserve"> (</w:t>
      </w:r>
      <w:r w:rsidR="007C5190" w:rsidRPr="008264E8">
        <w:t xml:space="preserve">see </w:t>
      </w:r>
      <w:r w:rsidR="007C5190" w:rsidRPr="00B01A37">
        <w:rPr>
          <w:b/>
        </w:rPr>
        <w:t xml:space="preserve">Attachment </w:t>
      </w:r>
      <w:r w:rsidR="009301F6">
        <w:rPr>
          <w:b/>
        </w:rPr>
        <w:t>D</w:t>
      </w:r>
      <w:r w:rsidR="009301F6" w:rsidRPr="00B01A37">
        <w:rPr>
          <w:b/>
        </w:rPr>
        <w:t xml:space="preserve"> </w:t>
      </w:r>
      <w:r w:rsidR="00E647FB" w:rsidRPr="00B01A37">
        <w:rPr>
          <w:b/>
        </w:rPr>
        <w:t>—</w:t>
      </w:r>
      <w:r w:rsidR="009301F6">
        <w:rPr>
          <w:b/>
        </w:rPr>
        <w:t>T</w:t>
      </w:r>
      <w:r w:rsidR="007C5190" w:rsidRPr="00B01A37">
        <w:rPr>
          <w:b/>
        </w:rPr>
        <w:t xml:space="preserve">raining </w:t>
      </w:r>
      <w:r w:rsidR="009301F6">
        <w:rPr>
          <w:b/>
        </w:rPr>
        <w:t>N</w:t>
      </w:r>
      <w:r w:rsidR="007C5190" w:rsidRPr="00B01A37">
        <w:rPr>
          <w:b/>
        </w:rPr>
        <w:t xml:space="preserve">eeds </w:t>
      </w:r>
      <w:r w:rsidR="009301F6">
        <w:rPr>
          <w:b/>
        </w:rPr>
        <w:t>A</w:t>
      </w:r>
      <w:r w:rsidR="00503CCD" w:rsidRPr="00B01A37">
        <w:rPr>
          <w:b/>
        </w:rPr>
        <w:t>ssessment</w:t>
      </w:r>
      <w:r w:rsidR="007C5190" w:rsidRPr="00B01A37">
        <w:rPr>
          <w:b/>
        </w:rPr>
        <w:t xml:space="preserve"> </w:t>
      </w:r>
      <w:r w:rsidR="009301F6">
        <w:rPr>
          <w:b/>
        </w:rPr>
        <w:t>I</w:t>
      </w:r>
      <w:r w:rsidR="007C5190" w:rsidRPr="00B01A37">
        <w:rPr>
          <w:b/>
        </w:rPr>
        <w:t xml:space="preserve">nstrument </w:t>
      </w:r>
      <w:r w:rsidR="00692DEB" w:rsidRPr="00B01A37">
        <w:rPr>
          <w:b/>
        </w:rPr>
        <w:t xml:space="preserve">Word version </w:t>
      </w:r>
      <w:r w:rsidR="00692DEB" w:rsidRPr="00B01A37">
        <w:t xml:space="preserve">and </w:t>
      </w:r>
      <w:r w:rsidR="007C5190" w:rsidRPr="00B01A37">
        <w:rPr>
          <w:b/>
        </w:rPr>
        <w:t xml:space="preserve">Attachment </w:t>
      </w:r>
      <w:r w:rsidR="009301F6">
        <w:rPr>
          <w:b/>
        </w:rPr>
        <w:t>E</w:t>
      </w:r>
      <w:r w:rsidR="00E647FB" w:rsidRPr="00B01A37">
        <w:rPr>
          <w:b/>
        </w:rPr>
        <w:t>—</w:t>
      </w:r>
      <w:r w:rsidR="009301F6">
        <w:rPr>
          <w:b/>
        </w:rPr>
        <w:t>T</w:t>
      </w:r>
      <w:r w:rsidR="009301F6" w:rsidRPr="00B01A37">
        <w:rPr>
          <w:b/>
        </w:rPr>
        <w:t xml:space="preserve">raining </w:t>
      </w:r>
      <w:r w:rsidR="009301F6">
        <w:rPr>
          <w:b/>
        </w:rPr>
        <w:t>N</w:t>
      </w:r>
      <w:r w:rsidR="007C5190" w:rsidRPr="00B01A37">
        <w:rPr>
          <w:b/>
        </w:rPr>
        <w:t xml:space="preserve">eeds </w:t>
      </w:r>
      <w:r w:rsidR="009301F6">
        <w:rPr>
          <w:b/>
        </w:rPr>
        <w:t>A</w:t>
      </w:r>
      <w:r w:rsidR="00503CCD" w:rsidRPr="00B01A37">
        <w:rPr>
          <w:b/>
        </w:rPr>
        <w:t>ssessment</w:t>
      </w:r>
      <w:r w:rsidR="007C5190" w:rsidRPr="00B01A37">
        <w:rPr>
          <w:b/>
        </w:rPr>
        <w:t xml:space="preserve"> </w:t>
      </w:r>
      <w:r w:rsidR="009301F6">
        <w:rPr>
          <w:b/>
        </w:rPr>
        <w:t>I</w:t>
      </w:r>
      <w:r w:rsidR="007C5190" w:rsidRPr="00B01A37">
        <w:rPr>
          <w:b/>
        </w:rPr>
        <w:t xml:space="preserve">nstrument </w:t>
      </w:r>
      <w:r w:rsidR="00692DEB" w:rsidRPr="00B01A37">
        <w:rPr>
          <w:b/>
        </w:rPr>
        <w:t>Web version</w:t>
      </w:r>
      <w:r w:rsidR="00692DEB" w:rsidRPr="00B01A37">
        <w:t xml:space="preserve">). </w:t>
      </w:r>
    </w:p>
    <w:p w14:paraId="02912C0A" w14:textId="77777777" w:rsidR="00324E82" w:rsidRDefault="00324E82" w:rsidP="00C80374">
      <w:pPr>
        <w:tabs>
          <w:tab w:val="clear" w:pos="9360"/>
        </w:tabs>
        <w:ind w:left="0"/>
      </w:pPr>
    </w:p>
    <w:p w14:paraId="605E9803" w14:textId="63D05124" w:rsidR="00774689" w:rsidRPr="0007097B" w:rsidRDefault="00692DEB" w:rsidP="00C80374">
      <w:pPr>
        <w:tabs>
          <w:tab w:val="clear" w:pos="9360"/>
        </w:tabs>
        <w:ind w:left="0"/>
        <w:rPr>
          <w:rFonts w:cs="Times New Roman"/>
        </w:rPr>
      </w:pPr>
      <w:r w:rsidRPr="00B01A37">
        <w:t xml:space="preserve">The online instrument will be used to </w:t>
      </w:r>
      <w:r w:rsidR="00FE4E50">
        <w:t xml:space="preserve">assess training needs of </w:t>
      </w:r>
      <w:r w:rsidR="008D3A8B" w:rsidRPr="00B01A37">
        <w:t xml:space="preserve">staff working in </w:t>
      </w:r>
      <w:r w:rsidR="00765760">
        <w:t>s</w:t>
      </w:r>
      <w:r w:rsidR="008D3A8B" w:rsidRPr="00B01A37">
        <w:t>tate health department chronic disease prevention and health promotion</w:t>
      </w:r>
      <w:r w:rsidR="00FF2F54" w:rsidRPr="00B01A37">
        <w:t xml:space="preserve"> units</w:t>
      </w:r>
      <w:r w:rsidRPr="00B01A37">
        <w:t xml:space="preserve">. This method was chosen to reduce the overall burden on respondents. The information collection instrument was pilot tested by </w:t>
      </w:r>
      <w:r w:rsidR="00763E5B" w:rsidRPr="00B01A37">
        <w:t>eight</w:t>
      </w:r>
      <w:r w:rsidRPr="00B01A37">
        <w:t xml:space="preserve"> public health professionals. Feedback from this group was used to refine questions as needed, ensure accurate programming and skip patterns and establish the estimated time required to complete the information collection instrument.</w:t>
      </w:r>
    </w:p>
    <w:p w14:paraId="5CFE5ADC" w14:textId="77777777" w:rsidR="00DD05E2" w:rsidRPr="00B01A37" w:rsidRDefault="00DD05E2" w:rsidP="00DD05E2">
      <w:pPr>
        <w:ind w:left="0"/>
      </w:pPr>
    </w:p>
    <w:p w14:paraId="27FAA081" w14:textId="77777777" w:rsidR="00692DEB" w:rsidRPr="00B01A37" w:rsidRDefault="00692DEB" w:rsidP="00692DEB">
      <w:pPr>
        <w:pStyle w:val="Heading5"/>
        <w:spacing w:after="120"/>
        <w:ind w:left="0"/>
      </w:pPr>
      <w:r w:rsidRPr="00B01A37">
        <w:t>Items of Information to be Collected</w:t>
      </w:r>
    </w:p>
    <w:p w14:paraId="54EC408A" w14:textId="4254104C" w:rsidR="00692DEB" w:rsidRPr="00B01A37" w:rsidRDefault="00692DEB" w:rsidP="00692DEB">
      <w:pPr>
        <w:ind w:left="0"/>
      </w:pPr>
      <w:r w:rsidRPr="00B01A37">
        <w:t xml:space="preserve">The online data collection instrument consists of </w:t>
      </w:r>
      <w:bookmarkStart w:id="3" w:name="_GoBack"/>
      <w:r w:rsidR="002374E7">
        <w:t>32</w:t>
      </w:r>
      <w:bookmarkEnd w:id="3"/>
      <w:r w:rsidR="002374E7" w:rsidRPr="00B01A37">
        <w:t xml:space="preserve"> </w:t>
      </w:r>
      <w:r w:rsidRPr="00B01A37">
        <w:t>main questions of various types, including</w:t>
      </w:r>
      <w:r w:rsidR="008C59E7" w:rsidRPr="00B01A37">
        <w:t xml:space="preserve"> multiple response, interval (rating scales), an</w:t>
      </w:r>
      <w:r w:rsidR="00F9046D" w:rsidRPr="00B01A37">
        <w:rPr>
          <w:rFonts w:eastAsiaTheme="majorEastAsia" w:cstheme="majorBidi"/>
        </w:rPr>
        <w:t>d open-ended</w:t>
      </w:r>
      <w:r w:rsidRPr="00B01A37">
        <w:rPr>
          <w:rFonts w:eastAsiaTheme="majorEastAsia" w:cstheme="majorBidi"/>
        </w:rPr>
        <w:t>. An effort was made to limit questions requiring narrative respo</w:t>
      </w:r>
      <w:r w:rsidRPr="00B01A37">
        <w:t>nses from respondents whenever possible</w:t>
      </w:r>
      <w:r w:rsidR="008D3A8B" w:rsidRPr="00B01A37">
        <w:t xml:space="preserve"> by limiting open-ended response options to only “other” answer categories. The vast majority of questions are multiple choice questions asking the respondent to “select all that apply</w:t>
      </w:r>
      <w:r w:rsidRPr="00B01A37">
        <w:t>.</w:t>
      </w:r>
      <w:r w:rsidR="008D3A8B" w:rsidRPr="00B01A37">
        <w:t>”</w:t>
      </w:r>
      <w:r w:rsidRPr="00B01A37">
        <w:t xml:space="preserve"> The instrument will collect information on the following: </w:t>
      </w:r>
    </w:p>
    <w:p w14:paraId="0674D982" w14:textId="77777777" w:rsidR="008C59E7" w:rsidRPr="00B01A37" w:rsidRDefault="00446D63" w:rsidP="008C59E7">
      <w:pPr>
        <w:pStyle w:val="ListParagraph"/>
        <w:numPr>
          <w:ilvl w:val="0"/>
          <w:numId w:val="25"/>
        </w:numPr>
        <w:tabs>
          <w:tab w:val="clear" w:pos="9360"/>
        </w:tabs>
        <w:spacing w:line="240" w:lineRule="auto"/>
      </w:pPr>
      <w:r w:rsidRPr="00B01A37">
        <w:lastRenderedPageBreak/>
        <w:t xml:space="preserve">Section 1: </w:t>
      </w:r>
      <w:r w:rsidR="008D3A8B" w:rsidRPr="00B01A37">
        <w:t>Respondent background information (e.g., chronic diseas</w:t>
      </w:r>
      <w:r w:rsidR="00F9046D" w:rsidRPr="00B01A37">
        <w:t xml:space="preserve">e area that </w:t>
      </w:r>
      <w:r w:rsidR="00FF2F54" w:rsidRPr="00B01A37">
        <w:t xml:space="preserve">the </w:t>
      </w:r>
      <w:r w:rsidR="00F9046D" w:rsidRPr="00B01A37">
        <w:t>respondent works in</w:t>
      </w:r>
      <w:r w:rsidR="008D3A8B" w:rsidRPr="00B01A37">
        <w:t xml:space="preserve"> and the cooperative agreements that the respondent works under)</w:t>
      </w:r>
    </w:p>
    <w:p w14:paraId="4BC90EDE" w14:textId="77777777" w:rsidR="008C59E7" w:rsidRPr="00B01A37" w:rsidRDefault="00446D63" w:rsidP="008C59E7">
      <w:pPr>
        <w:pStyle w:val="ListParagraph"/>
        <w:numPr>
          <w:ilvl w:val="0"/>
          <w:numId w:val="25"/>
        </w:numPr>
        <w:tabs>
          <w:tab w:val="clear" w:pos="9360"/>
        </w:tabs>
        <w:spacing w:line="240" w:lineRule="auto"/>
      </w:pPr>
      <w:r w:rsidRPr="00B01A37">
        <w:t xml:space="preserve">Section 2: </w:t>
      </w:r>
      <w:r w:rsidR="00763E5B" w:rsidRPr="00B01A37">
        <w:t>Respondent t</w:t>
      </w:r>
      <w:r w:rsidR="008D3A8B" w:rsidRPr="00B01A37">
        <w:t>raining needs for</w:t>
      </w:r>
      <w:r w:rsidR="00763E5B" w:rsidRPr="00B01A37">
        <w:t xml:space="preserve"> the</w:t>
      </w:r>
      <w:r w:rsidR="008D3A8B" w:rsidRPr="00B01A37">
        <w:t xml:space="preserve"> 11 core </w:t>
      </w:r>
      <w:r w:rsidR="00656C19" w:rsidRPr="00B01A37">
        <w:t xml:space="preserve">public health </w:t>
      </w:r>
      <w:r w:rsidR="008D3A8B" w:rsidRPr="00B01A37">
        <w:t>competency areas. These core competencies include:</w:t>
      </w:r>
    </w:p>
    <w:p w14:paraId="7B4C2ECA" w14:textId="77777777" w:rsidR="008D3A8B" w:rsidRPr="00B01A37" w:rsidRDefault="008D3A8B" w:rsidP="00F9046D">
      <w:pPr>
        <w:pStyle w:val="ListParagraph"/>
        <w:numPr>
          <w:ilvl w:val="1"/>
          <w:numId w:val="36"/>
        </w:numPr>
        <w:tabs>
          <w:tab w:val="clear" w:pos="9360"/>
        </w:tabs>
        <w:spacing w:line="240" w:lineRule="auto"/>
      </w:pPr>
      <w:r w:rsidRPr="00B01A37">
        <w:t>Leadership and Systems Thinking</w:t>
      </w:r>
    </w:p>
    <w:p w14:paraId="34ABFAE9" w14:textId="77777777" w:rsidR="008D3A8B" w:rsidRPr="00B01A37" w:rsidRDefault="008D3A8B" w:rsidP="00F9046D">
      <w:pPr>
        <w:pStyle w:val="ListParagraph"/>
        <w:numPr>
          <w:ilvl w:val="1"/>
          <w:numId w:val="36"/>
        </w:numPr>
        <w:tabs>
          <w:tab w:val="clear" w:pos="9360"/>
        </w:tabs>
        <w:spacing w:line="240" w:lineRule="auto"/>
      </w:pPr>
      <w:r w:rsidRPr="00B01A37">
        <w:t>Organizational and Financial Management</w:t>
      </w:r>
    </w:p>
    <w:p w14:paraId="44C59C7A" w14:textId="77777777" w:rsidR="008D3A8B" w:rsidRPr="00B01A37" w:rsidRDefault="008D3A8B" w:rsidP="00F9046D">
      <w:pPr>
        <w:pStyle w:val="ListParagraph"/>
        <w:numPr>
          <w:ilvl w:val="1"/>
          <w:numId w:val="36"/>
        </w:numPr>
        <w:tabs>
          <w:tab w:val="clear" w:pos="9360"/>
        </w:tabs>
        <w:spacing w:line="240" w:lineRule="auto"/>
      </w:pPr>
      <w:r w:rsidRPr="00B01A37">
        <w:t>Partnership Engagement and Strategic Communication</w:t>
      </w:r>
    </w:p>
    <w:p w14:paraId="6C10DA5F" w14:textId="77777777" w:rsidR="008D3A8B" w:rsidRPr="00B01A37" w:rsidRDefault="008D3A8B" w:rsidP="00F9046D">
      <w:pPr>
        <w:pStyle w:val="ListParagraph"/>
        <w:numPr>
          <w:ilvl w:val="1"/>
          <w:numId w:val="36"/>
        </w:numPr>
        <w:tabs>
          <w:tab w:val="clear" w:pos="9360"/>
        </w:tabs>
        <w:spacing w:line="240" w:lineRule="auto"/>
      </w:pPr>
      <w:r w:rsidRPr="00B01A37">
        <w:t>Public Health Science and Programming</w:t>
      </w:r>
    </w:p>
    <w:p w14:paraId="5D96577C" w14:textId="77777777" w:rsidR="008D3A8B" w:rsidRPr="00B01A37" w:rsidRDefault="008D3A8B" w:rsidP="00F9046D">
      <w:pPr>
        <w:pStyle w:val="ListParagraph"/>
        <w:numPr>
          <w:ilvl w:val="1"/>
          <w:numId w:val="36"/>
        </w:numPr>
        <w:tabs>
          <w:tab w:val="clear" w:pos="9360"/>
        </w:tabs>
        <w:spacing w:line="240" w:lineRule="auto"/>
      </w:pPr>
      <w:r w:rsidRPr="00B01A37">
        <w:t>Policy-Related Skills</w:t>
      </w:r>
    </w:p>
    <w:p w14:paraId="6BA71C51" w14:textId="77777777" w:rsidR="008D3A8B" w:rsidRPr="00B01A37" w:rsidRDefault="008D3A8B" w:rsidP="00F9046D">
      <w:pPr>
        <w:pStyle w:val="ListParagraph"/>
        <w:numPr>
          <w:ilvl w:val="1"/>
          <w:numId w:val="36"/>
        </w:numPr>
        <w:tabs>
          <w:tab w:val="clear" w:pos="9360"/>
        </w:tabs>
        <w:spacing w:line="240" w:lineRule="auto"/>
      </w:pPr>
      <w:r w:rsidRPr="00B01A37">
        <w:t>Sector-Wide and Systems Change</w:t>
      </w:r>
    </w:p>
    <w:p w14:paraId="04F63B54" w14:textId="77777777" w:rsidR="008D3A8B" w:rsidRPr="00B01A37" w:rsidRDefault="008D3A8B" w:rsidP="00F9046D">
      <w:pPr>
        <w:pStyle w:val="ListParagraph"/>
        <w:numPr>
          <w:ilvl w:val="1"/>
          <w:numId w:val="36"/>
        </w:numPr>
        <w:tabs>
          <w:tab w:val="clear" w:pos="9360"/>
        </w:tabs>
        <w:spacing w:line="240" w:lineRule="auto"/>
      </w:pPr>
      <w:r w:rsidRPr="00B01A37">
        <w:t>Health Equity</w:t>
      </w:r>
    </w:p>
    <w:p w14:paraId="754EA834" w14:textId="77777777" w:rsidR="008D3A8B" w:rsidRPr="00B01A37" w:rsidRDefault="008D3A8B" w:rsidP="00F9046D">
      <w:pPr>
        <w:pStyle w:val="ListParagraph"/>
        <w:numPr>
          <w:ilvl w:val="1"/>
          <w:numId w:val="36"/>
        </w:numPr>
        <w:tabs>
          <w:tab w:val="clear" w:pos="9360"/>
        </w:tabs>
        <w:spacing w:line="240" w:lineRule="auto"/>
      </w:pPr>
      <w:r w:rsidRPr="00B01A37">
        <w:t>Surveillance, Epidemiology, and Strategic Use of Data/Information</w:t>
      </w:r>
    </w:p>
    <w:p w14:paraId="6597D6EA" w14:textId="77777777" w:rsidR="008D3A8B" w:rsidRPr="00B01A37" w:rsidRDefault="008D3A8B" w:rsidP="00F9046D">
      <w:pPr>
        <w:pStyle w:val="ListParagraph"/>
        <w:numPr>
          <w:ilvl w:val="1"/>
          <w:numId w:val="36"/>
        </w:numPr>
        <w:tabs>
          <w:tab w:val="clear" w:pos="9360"/>
        </w:tabs>
        <w:spacing w:line="240" w:lineRule="auto"/>
      </w:pPr>
      <w:r w:rsidRPr="00B01A37">
        <w:t>Evaluation</w:t>
      </w:r>
    </w:p>
    <w:p w14:paraId="0D1CAAF3" w14:textId="77777777" w:rsidR="008D3A8B" w:rsidRPr="00B01A37" w:rsidRDefault="008D3A8B" w:rsidP="00F9046D">
      <w:pPr>
        <w:pStyle w:val="ListParagraph"/>
        <w:numPr>
          <w:ilvl w:val="1"/>
          <w:numId w:val="36"/>
        </w:numPr>
        <w:tabs>
          <w:tab w:val="clear" w:pos="9360"/>
        </w:tabs>
        <w:spacing w:line="240" w:lineRule="auto"/>
      </w:pPr>
      <w:r w:rsidRPr="00B01A37">
        <w:t>Sustainability</w:t>
      </w:r>
    </w:p>
    <w:p w14:paraId="1FD6DAE3" w14:textId="77777777" w:rsidR="008D3A8B" w:rsidRPr="00B01A37" w:rsidRDefault="008D3A8B" w:rsidP="00F9046D">
      <w:pPr>
        <w:pStyle w:val="ListParagraph"/>
        <w:numPr>
          <w:ilvl w:val="1"/>
          <w:numId w:val="36"/>
        </w:numPr>
        <w:tabs>
          <w:tab w:val="clear" w:pos="9360"/>
        </w:tabs>
        <w:spacing w:line="240" w:lineRule="auto"/>
      </w:pPr>
      <w:r w:rsidRPr="00B01A37">
        <w:t>Economic Analysis</w:t>
      </w:r>
    </w:p>
    <w:p w14:paraId="1097E932" w14:textId="0BE7C38C" w:rsidR="008C59E7" w:rsidRPr="00B01A37" w:rsidRDefault="005E5423" w:rsidP="005E5423">
      <w:pPr>
        <w:pStyle w:val="ListParagraph"/>
        <w:numPr>
          <w:ilvl w:val="0"/>
          <w:numId w:val="25"/>
        </w:numPr>
        <w:tabs>
          <w:tab w:val="clear" w:pos="9360"/>
        </w:tabs>
        <w:spacing w:line="240" w:lineRule="auto"/>
      </w:pPr>
      <w:r w:rsidRPr="00B01A37">
        <w:t xml:space="preserve">Section 2 continued: </w:t>
      </w:r>
      <w:r w:rsidR="008D3A8B" w:rsidRPr="00B01A37">
        <w:t xml:space="preserve">Training mode questions (i.e., </w:t>
      </w:r>
      <w:r w:rsidR="00472D78" w:rsidRPr="00B01A37">
        <w:t xml:space="preserve">what is the mode of training that each respondent prefers across each of the 11 core competency areas). </w:t>
      </w:r>
    </w:p>
    <w:p w14:paraId="0730650F" w14:textId="77777777" w:rsidR="001B1B65" w:rsidRDefault="00446D63" w:rsidP="00F00276">
      <w:pPr>
        <w:pStyle w:val="ListParagraph"/>
        <w:numPr>
          <w:ilvl w:val="0"/>
          <w:numId w:val="25"/>
        </w:numPr>
        <w:tabs>
          <w:tab w:val="clear" w:pos="9360"/>
        </w:tabs>
        <w:spacing w:line="240" w:lineRule="auto"/>
      </w:pPr>
      <w:r w:rsidRPr="00B01A37">
        <w:t xml:space="preserve">Section 3: Training priorities for </w:t>
      </w:r>
      <w:r w:rsidR="00F00276" w:rsidRPr="00B01A37">
        <w:t xml:space="preserve">1305 enhanced funded </w:t>
      </w:r>
      <w:r w:rsidRPr="00B01A37">
        <w:t>state health department staff on</w:t>
      </w:r>
      <w:r w:rsidR="005E5423" w:rsidRPr="00B01A37">
        <w:t xml:space="preserve"> enhanced strategies and interventions in</w:t>
      </w:r>
      <w:r w:rsidRPr="00B01A37">
        <w:t xml:space="preserve"> </w:t>
      </w:r>
      <w:r w:rsidR="00472D78" w:rsidRPr="00B01A37">
        <w:t xml:space="preserve">3 </w:t>
      </w:r>
      <w:r w:rsidRPr="00B01A37">
        <w:t xml:space="preserve">of the </w:t>
      </w:r>
      <w:r w:rsidR="007653AB" w:rsidRPr="00B01A37">
        <w:t xml:space="preserve">4 </w:t>
      </w:r>
      <w:r w:rsidR="00472D78" w:rsidRPr="00B01A37">
        <w:t>domains</w:t>
      </w:r>
      <w:r w:rsidR="007653AB" w:rsidRPr="00B01A37">
        <w:t>, specifically</w:t>
      </w:r>
      <w:r w:rsidR="00472D78" w:rsidRPr="00B01A37">
        <w:t xml:space="preserve">: </w:t>
      </w:r>
    </w:p>
    <w:p w14:paraId="5BCD92B2" w14:textId="6F0C9C92" w:rsidR="001B1B65" w:rsidRDefault="00472D78" w:rsidP="001B1B65">
      <w:pPr>
        <w:pStyle w:val="ListParagraph"/>
        <w:numPr>
          <w:ilvl w:val="1"/>
          <w:numId w:val="25"/>
        </w:numPr>
        <w:tabs>
          <w:tab w:val="clear" w:pos="9360"/>
        </w:tabs>
        <w:spacing w:line="240" w:lineRule="auto"/>
      </w:pPr>
      <w:r w:rsidRPr="00B01A37">
        <w:t xml:space="preserve">Domain 2: Environmental </w:t>
      </w:r>
      <w:r w:rsidR="001B1B65">
        <w:t>Approaches that Promote Health</w:t>
      </w:r>
    </w:p>
    <w:p w14:paraId="1D15DC19" w14:textId="28EBE6C3" w:rsidR="001B1B65" w:rsidRDefault="00472D78" w:rsidP="001B1B65">
      <w:pPr>
        <w:pStyle w:val="ListParagraph"/>
        <w:numPr>
          <w:ilvl w:val="1"/>
          <w:numId w:val="25"/>
        </w:numPr>
        <w:tabs>
          <w:tab w:val="clear" w:pos="9360"/>
        </w:tabs>
        <w:spacing w:line="240" w:lineRule="auto"/>
      </w:pPr>
      <w:r w:rsidRPr="00B01A37">
        <w:t>Domain 3: Healt</w:t>
      </w:r>
      <w:r w:rsidR="001B1B65">
        <w:t>h System Interventions</w:t>
      </w:r>
    </w:p>
    <w:p w14:paraId="5490F347" w14:textId="6AA975EF" w:rsidR="008C59E7" w:rsidRPr="00B01A37" w:rsidRDefault="00472D78" w:rsidP="001B1B65">
      <w:pPr>
        <w:pStyle w:val="ListParagraph"/>
        <w:numPr>
          <w:ilvl w:val="1"/>
          <w:numId w:val="25"/>
        </w:numPr>
        <w:tabs>
          <w:tab w:val="clear" w:pos="9360"/>
        </w:tabs>
        <w:spacing w:line="240" w:lineRule="auto"/>
      </w:pPr>
      <w:r w:rsidRPr="00B01A37">
        <w:t>Domain 4: Community-Clinical Linkages</w:t>
      </w:r>
    </w:p>
    <w:p w14:paraId="57D1D9E9" w14:textId="77777777" w:rsidR="00446D63" w:rsidRPr="00B01A37" w:rsidRDefault="00446D63" w:rsidP="00692DEB">
      <w:pPr>
        <w:pStyle w:val="ListParagraph"/>
        <w:rPr>
          <w:lang w:eastAsia="zh-CN"/>
        </w:rPr>
      </w:pPr>
    </w:p>
    <w:p w14:paraId="28A1A7CC" w14:textId="77777777" w:rsidR="00B12F51" w:rsidRPr="00B01A37" w:rsidRDefault="00B12F51" w:rsidP="00692DEB">
      <w:pPr>
        <w:pStyle w:val="Heading4"/>
      </w:pPr>
      <w:bookmarkStart w:id="4" w:name="_Toc413847750"/>
      <w:r w:rsidRPr="00B01A37">
        <w:t>Purpose and Use of the Information Collection</w:t>
      </w:r>
      <w:bookmarkEnd w:id="4"/>
    </w:p>
    <w:p w14:paraId="569E0432" w14:textId="1D2A182D" w:rsidR="00050D9E" w:rsidRDefault="00050D9E" w:rsidP="00DB78FC">
      <w:pPr>
        <w:pStyle w:val="ListParagraph"/>
        <w:ind w:left="0"/>
        <w:rPr>
          <w:rFonts w:cs="Arial"/>
        </w:rPr>
      </w:pPr>
      <w:r>
        <w:t>CDC requests OMB approval to conduct a training needs assessment related to the 11 core competencies. Data will be collected from staff in chronic disease units of state health departments. Additionally, those funded under the 1305 cooperative agreement enhanced component will be asked to identify training they need to accomplish objectives related to NCCDPHP domains 2, 3, and 4.</w:t>
      </w:r>
    </w:p>
    <w:p w14:paraId="7CBB9B0A" w14:textId="77777777" w:rsidR="00D601D1" w:rsidRDefault="00D601D1" w:rsidP="00DB78FC">
      <w:pPr>
        <w:pStyle w:val="ListParagraph"/>
        <w:ind w:left="0"/>
        <w:rPr>
          <w:rFonts w:cs="Arial"/>
        </w:rPr>
      </w:pPr>
    </w:p>
    <w:p w14:paraId="58383174" w14:textId="69299EBD" w:rsidR="00DB78FC" w:rsidRPr="00B01A37" w:rsidRDefault="00DB78FC" w:rsidP="00DB78FC">
      <w:pPr>
        <w:pStyle w:val="ListParagraph"/>
        <w:ind w:left="0"/>
        <w:rPr>
          <w:rFonts w:cs="Arial"/>
        </w:rPr>
      </w:pPr>
      <w:r w:rsidRPr="00B01A37">
        <w:rPr>
          <w:rFonts w:cs="Arial"/>
        </w:rPr>
        <w:t>Data from this needs assessment will help the NCCDPHP create a comprehensive 5</w:t>
      </w:r>
      <w:r>
        <w:rPr>
          <w:rFonts w:cs="Arial"/>
        </w:rPr>
        <w:t>-</w:t>
      </w:r>
      <w:r w:rsidRPr="00B01A37">
        <w:rPr>
          <w:rFonts w:cs="Arial"/>
        </w:rPr>
        <w:t xml:space="preserve">year training plan. </w:t>
      </w:r>
      <w:r w:rsidR="00E16B1E">
        <w:rPr>
          <w:rFonts w:cs="Arial"/>
        </w:rPr>
        <w:t xml:space="preserve">In addition, </w:t>
      </w:r>
      <w:r w:rsidR="00E16B1E">
        <w:rPr>
          <w:rFonts w:cstheme="minorHAnsi"/>
        </w:rPr>
        <w:t>t</w:t>
      </w:r>
      <w:r w:rsidR="00E16B1E" w:rsidRPr="00167C3F">
        <w:rPr>
          <w:rFonts w:cstheme="minorHAnsi"/>
        </w:rPr>
        <w:t xml:space="preserve">he </w:t>
      </w:r>
      <w:r w:rsidR="00E16B1E">
        <w:rPr>
          <w:rFonts w:cstheme="minorHAnsi"/>
        </w:rPr>
        <w:t>data will</w:t>
      </w:r>
      <w:r w:rsidR="00E16B1E">
        <w:rPr>
          <w:rFonts w:cs="Arial"/>
        </w:rPr>
        <w:t xml:space="preserve"> </w:t>
      </w:r>
      <w:r w:rsidR="00E16B1E">
        <w:t>inform the development and delivery of CDC-sponsored trainings</w:t>
      </w:r>
      <w:r w:rsidR="00E16B1E" w:rsidRPr="00167C3F">
        <w:rPr>
          <w:rFonts w:cs="Arial"/>
        </w:rPr>
        <w:t xml:space="preserve"> and </w:t>
      </w:r>
      <w:r w:rsidR="00E16B1E">
        <w:rPr>
          <w:rFonts w:cs="Arial"/>
        </w:rPr>
        <w:t>support efforts to</w:t>
      </w:r>
      <w:r w:rsidR="00E16B1E" w:rsidRPr="00167C3F">
        <w:rPr>
          <w:rFonts w:cs="Arial"/>
        </w:rPr>
        <w:t xml:space="preserve"> coordinate trainings offered across the Center’s nine divisions</w:t>
      </w:r>
      <w:r w:rsidR="00E16B1E">
        <w:rPr>
          <w:rFonts w:cs="Arial"/>
        </w:rPr>
        <w:t xml:space="preserve">. </w:t>
      </w:r>
      <w:r w:rsidRPr="00B01A37">
        <w:rPr>
          <w:rFonts w:cs="Arial"/>
        </w:rPr>
        <w:t xml:space="preserve">The </w:t>
      </w:r>
      <w:r w:rsidR="00B16428">
        <w:rPr>
          <w:rFonts w:cs="Arial"/>
        </w:rPr>
        <w:t>data</w:t>
      </w:r>
      <w:r w:rsidRPr="00B01A37">
        <w:rPr>
          <w:rFonts w:cs="Arial"/>
        </w:rPr>
        <w:t xml:space="preserve"> will provide critical information for designing and shaping the Center’s training plans by identifying </w:t>
      </w:r>
      <w:r>
        <w:rPr>
          <w:rFonts w:cs="Arial"/>
        </w:rPr>
        <w:t xml:space="preserve">both </w:t>
      </w:r>
      <w:r w:rsidRPr="00B01A37">
        <w:rPr>
          <w:rFonts w:cs="Arial"/>
        </w:rPr>
        <w:t>key priority areas and modes for training among the Center’s 11 core competencies for all state health department staff</w:t>
      </w:r>
      <w:r>
        <w:rPr>
          <w:rFonts w:cs="Arial"/>
        </w:rPr>
        <w:t xml:space="preserve">. </w:t>
      </w:r>
    </w:p>
    <w:p w14:paraId="4733F1C6" w14:textId="77777777" w:rsidR="00EB50D6" w:rsidRPr="00EB50D6" w:rsidRDefault="00EB50D6" w:rsidP="00EB50D6">
      <w:pPr>
        <w:ind w:left="0"/>
      </w:pPr>
    </w:p>
    <w:p w14:paraId="41139C5A" w14:textId="50F4520B" w:rsidR="00472D78" w:rsidRPr="00B01A37" w:rsidRDefault="00694E3E" w:rsidP="00692DEB">
      <w:pPr>
        <w:pStyle w:val="ListParagraph"/>
        <w:ind w:left="0"/>
        <w:rPr>
          <w:rFonts w:cs="Arial"/>
        </w:rPr>
      </w:pPr>
      <w:r w:rsidRPr="00B01A37">
        <w:rPr>
          <w:rFonts w:cs="Arial"/>
        </w:rPr>
        <w:t>The proposed information collection is based on the core competencies and NCCDPHP’s domains, which are foundational frameworks developed to</w:t>
      </w:r>
      <w:r w:rsidRPr="00B01A37">
        <w:rPr>
          <w:rFonts w:cstheme="minorHAnsi"/>
        </w:rPr>
        <w:t xml:space="preserve"> support and advance </w:t>
      </w:r>
      <w:r>
        <w:rPr>
          <w:rFonts w:cstheme="minorHAnsi"/>
        </w:rPr>
        <w:t>s</w:t>
      </w:r>
      <w:r w:rsidRPr="00B01A37">
        <w:rPr>
          <w:rFonts w:cstheme="minorHAnsi"/>
        </w:rPr>
        <w:t>tate health department chronic disease prevention and health promotion efforts</w:t>
      </w:r>
      <w:r w:rsidRPr="00B01A37">
        <w:rPr>
          <w:rFonts w:cs="Arial"/>
        </w:rPr>
        <w:t>. In the future there may be additional training needs relating to specific subject matters or cooperative agreement requirements. Additionally, findings from this needs assessment will be shared with training staff from each of NCCDPHP</w:t>
      </w:r>
      <w:r>
        <w:rPr>
          <w:rFonts w:cs="Arial"/>
        </w:rPr>
        <w:t>’s</w:t>
      </w:r>
      <w:r w:rsidRPr="00B01A37">
        <w:rPr>
          <w:rFonts w:cs="Arial"/>
        </w:rPr>
        <w:t xml:space="preserve"> </w:t>
      </w:r>
      <w:r>
        <w:rPr>
          <w:rFonts w:cs="Arial"/>
        </w:rPr>
        <w:t>nine</w:t>
      </w:r>
      <w:r w:rsidRPr="00B01A37">
        <w:rPr>
          <w:rFonts w:cs="Arial"/>
        </w:rPr>
        <w:t xml:space="preserve"> divisions to inform the development of any additional requests and to inform and tailor trainings to better meet the needs for their grantees. </w:t>
      </w:r>
    </w:p>
    <w:p w14:paraId="50843069" w14:textId="77777777" w:rsidR="005E5423" w:rsidRPr="00B01A37" w:rsidRDefault="005E5423" w:rsidP="00692DEB">
      <w:pPr>
        <w:ind w:left="0"/>
      </w:pPr>
    </w:p>
    <w:p w14:paraId="7A4207EE" w14:textId="77777777" w:rsidR="00B47055" w:rsidRPr="00B01A37" w:rsidRDefault="00B47055" w:rsidP="00692DEB">
      <w:pPr>
        <w:pStyle w:val="Heading4"/>
      </w:pPr>
      <w:bookmarkStart w:id="5" w:name="_Toc413847751"/>
      <w:r w:rsidRPr="00B01A37">
        <w:t>Use of Improved Information Technology and Burden Reduction</w:t>
      </w:r>
      <w:bookmarkEnd w:id="5"/>
    </w:p>
    <w:p w14:paraId="523722DB" w14:textId="3DC72CF3" w:rsidR="00692DEB" w:rsidRPr="00B01A37" w:rsidRDefault="00692DEB" w:rsidP="00692DEB">
      <w:pPr>
        <w:ind w:left="0"/>
      </w:pPr>
      <w:r w:rsidRPr="00B01A37">
        <w:lastRenderedPageBreak/>
        <w:t xml:space="preserve">Data will be collected via a web-based </w:t>
      </w:r>
      <w:r w:rsidR="00AD2715" w:rsidRPr="00B01A37">
        <w:t>information collection instrument</w:t>
      </w:r>
      <w:r w:rsidRPr="00B01A37">
        <w:t xml:space="preserve"> allowing respondents to complete and submit their responses electronically. This method was chosen to reduce the overall burden on respondents. The information collection instrument was designed to collect the minimum information necessary for the purposes of</w:t>
      </w:r>
      <w:r w:rsidR="00522FF4">
        <w:t xml:space="preserve"> this project</w:t>
      </w:r>
      <w:r w:rsidRPr="00B01A37">
        <w:t>.</w:t>
      </w:r>
      <w:r w:rsidR="00DA6A2C" w:rsidRPr="00B01A37">
        <w:t xml:space="preserve"> Further, the bulk of questions are of the multiple choice-multiple selection variety and there are limited opportunities for providing open-ended responses except as an “other” response. Therefore, the online </w:t>
      </w:r>
      <w:r w:rsidR="00AD2715" w:rsidRPr="00B01A37">
        <w:t xml:space="preserve">information collection instrument </w:t>
      </w:r>
      <w:r w:rsidR="00DA6A2C" w:rsidRPr="00B01A37">
        <w:t xml:space="preserve">was designed to keep respondent burden to an absolute minimum. </w:t>
      </w:r>
    </w:p>
    <w:p w14:paraId="28410CE4" w14:textId="77777777" w:rsidR="00E8736B" w:rsidRPr="00B01A37" w:rsidRDefault="00E8736B" w:rsidP="007D6163">
      <w:pPr>
        <w:pStyle w:val="ListParagraph"/>
      </w:pPr>
    </w:p>
    <w:p w14:paraId="62985ECB" w14:textId="77777777" w:rsidR="00B47055" w:rsidRPr="00B01A37" w:rsidRDefault="00B47055" w:rsidP="00692DEB">
      <w:pPr>
        <w:pStyle w:val="Heading4"/>
      </w:pPr>
      <w:bookmarkStart w:id="6" w:name="_Toc413847752"/>
      <w:r w:rsidRPr="00B01A37">
        <w:t>Efforts to Identify Duplication and Use of Similar Information</w:t>
      </w:r>
      <w:bookmarkEnd w:id="6"/>
    </w:p>
    <w:p w14:paraId="0A797508" w14:textId="0760D1B5" w:rsidR="00B12F51" w:rsidRPr="00B01A37" w:rsidRDefault="00DA6A2C" w:rsidP="00692DEB">
      <w:pPr>
        <w:ind w:left="0"/>
        <w:rPr>
          <w:rFonts w:cs="Arial"/>
        </w:rPr>
      </w:pPr>
      <w:r w:rsidRPr="00B01A37">
        <w:rPr>
          <w:rFonts w:cs="Arial"/>
        </w:rPr>
        <w:t xml:space="preserve">This online </w:t>
      </w:r>
      <w:r w:rsidR="00AD2715" w:rsidRPr="00B01A37">
        <w:rPr>
          <w:rFonts w:cs="Arial"/>
        </w:rPr>
        <w:t xml:space="preserve">information collection instrument </w:t>
      </w:r>
      <w:r w:rsidRPr="00B01A37">
        <w:rPr>
          <w:rFonts w:cs="Arial"/>
        </w:rPr>
        <w:t xml:space="preserve">will be the first of its kind to </w:t>
      </w:r>
      <w:r w:rsidR="00694E3E">
        <w:rPr>
          <w:rFonts w:cs="Arial"/>
        </w:rPr>
        <w:t xml:space="preserve">systematically </w:t>
      </w:r>
      <w:r w:rsidRPr="00B01A37">
        <w:rPr>
          <w:rFonts w:cs="Arial"/>
        </w:rPr>
        <w:t xml:space="preserve">assess </w:t>
      </w:r>
      <w:r w:rsidR="00694E3E">
        <w:rPr>
          <w:rFonts w:cs="Arial"/>
        </w:rPr>
        <w:t xml:space="preserve">the training needs of </w:t>
      </w:r>
      <w:r w:rsidR="00016C04">
        <w:rPr>
          <w:rFonts w:cs="Arial"/>
        </w:rPr>
        <w:t>s</w:t>
      </w:r>
      <w:r w:rsidR="00016C04" w:rsidRPr="00B01A37">
        <w:rPr>
          <w:rFonts w:cs="Arial"/>
        </w:rPr>
        <w:t>tate health department staff</w:t>
      </w:r>
      <w:r w:rsidR="00016C04">
        <w:rPr>
          <w:rFonts w:cs="Arial"/>
        </w:rPr>
        <w:t>,</w:t>
      </w:r>
      <w:r w:rsidR="00016C04" w:rsidRPr="00B01A37">
        <w:rPr>
          <w:rFonts w:cs="Arial"/>
        </w:rPr>
        <w:t xml:space="preserve"> who work on a range of chronic disease prevention and health promotion strategies across the country</w:t>
      </w:r>
      <w:r w:rsidR="00016C04">
        <w:rPr>
          <w:rFonts w:cs="Arial"/>
        </w:rPr>
        <w:t>,</w:t>
      </w:r>
      <w:r w:rsidR="00016C04" w:rsidRPr="00B01A37">
        <w:rPr>
          <w:rFonts w:cs="Arial"/>
        </w:rPr>
        <w:t xml:space="preserve"> </w:t>
      </w:r>
      <w:r w:rsidR="00694E3E">
        <w:rPr>
          <w:rFonts w:cs="Arial"/>
        </w:rPr>
        <w:t xml:space="preserve">according to </w:t>
      </w:r>
      <w:r w:rsidR="0017205F" w:rsidRPr="00B01A37">
        <w:rPr>
          <w:rFonts w:cs="Arial"/>
        </w:rPr>
        <w:t>the 11 NCCDPHP core competencies</w:t>
      </w:r>
      <w:r w:rsidR="00694E3E">
        <w:rPr>
          <w:rFonts w:cs="Arial"/>
        </w:rPr>
        <w:t>. This information collection is also the first of its’ kind to assess training needs specific to</w:t>
      </w:r>
      <w:r w:rsidR="003474CE">
        <w:rPr>
          <w:rFonts w:cs="Arial"/>
        </w:rPr>
        <w:t xml:space="preserve"> </w:t>
      </w:r>
      <w:r w:rsidR="003474CE" w:rsidRPr="00B01A37">
        <w:t>1305 enhanced Domain 2, 3 and 4 strategies and interventions</w:t>
      </w:r>
      <w:r w:rsidRPr="00B01A37">
        <w:rPr>
          <w:rFonts w:cs="Arial"/>
        </w:rPr>
        <w:t xml:space="preserve">. </w:t>
      </w:r>
      <w:r w:rsidR="00016C04">
        <w:rPr>
          <w:rFonts w:cs="Arial"/>
        </w:rPr>
        <w:t xml:space="preserve">NCCDPHP </w:t>
      </w:r>
      <w:r w:rsidR="003474CE">
        <w:rPr>
          <w:rFonts w:cs="Arial"/>
        </w:rPr>
        <w:t xml:space="preserve">has conducted </w:t>
      </w:r>
      <w:r w:rsidR="009E1276" w:rsidRPr="00B01A37">
        <w:rPr>
          <w:rFonts w:cs="Arial"/>
        </w:rPr>
        <w:t xml:space="preserve">previous </w:t>
      </w:r>
      <w:r w:rsidR="00694E3E">
        <w:rPr>
          <w:rFonts w:cs="Arial"/>
        </w:rPr>
        <w:t xml:space="preserve">information collections to </w:t>
      </w:r>
      <w:r w:rsidR="009E1276" w:rsidRPr="00B01A37">
        <w:rPr>
          <w:rFonts w:cs="Arial"/>
        </w:rPr>
        <w:t>assess</w:t>
      </w:r>
      <w:r w:rsidR="0017205F" w:rsidRPr="00B01A37">
        <w:rPr>
          <w:rFonts w:cs="Arial"/>
        </w:rPr>
        <w:t xml:space="preserve"> </w:t>
      </w:r>
      <w:r w:rsidRPr="00B01A37">
        <w:rPr>
          <w:rFonts w:cs="Arial"/>
        </w:rPr>
        <w:t>the</w:t>
      </w:r>
      <w:r w:rsidR="00147CC5" w:rsidRPr="00B01A37">
        <w:rPr>
          <w:rFonts w:cs="Arial"/>
        </w:rPr>
        <w:t xml:space="preserve"> training</w:t>
      </w:r>
      <w:r w:rsidRPr="00B01A37">
        <w:rPr>
          <w:rFonts w:cs="Arial"/>
        </w:rPr>
        <w:t xml:space="preserve"> needs of </w:t>
      </w:r>
      <w:r w:rsidR="003474CE">
        <w:rPr>
          <w:rFonts w:cs="Arial"/>
        </w:rPr>
        <w:t>s</w:t>
      </w:r>
      <w:r w:rsidR="009E1276" w:rsidRPr="00B01A37">
        <w:rPr>
          <w:rFonts w:cs="Arial"/>
        </w:rPr>
        <w:t xml:space="preserve">tate, </w:t>
      </w:r>
      <w:r w:rsidR="003474CE">
        <w:rPr>
          <w:rFonts w:cs="Arial"/>
        </w:rPr>
        <w:t>t</w:t>
      </w:r>
      <w:r w:rsidR="009E1276" w:rsidRPr="00B01A37">
        <w:rPr>
          <w:rFonts w:cs="Arial"/>
        </w:rPr>
        <w:t xml:space="preserve">ribal, </w:t>
      </w:r>
      <w:r w:rsidR="003474CE">
        <w:rPr>
          <w:rFonts w:cs="Arial"/>
        </w:rPr>
        <w:t>l</w:t>
      </w:r>
      <w:r w:rsidR="009E1276" w:rsidRPr="00B01A37">
        <w:rPr>
          <w:rFonts w:cs="Arial"/>
        </w:rPr>
        <w:t xml:space="preserve">ocal, and </w:t>
      </w:r>
      <w:r w:rsidR="003474CE">
        <w:rPr>
          <w:rFonts w:cs="Arial"/>
        </w:rPr>
        <w:t>t</w:t>
      </w:r>
      <w:r w:rsidR="009E1276" w:rsidRPr="00B01A37">
        <w:rPr>
          <w:rFonts w:cs="Arial"/>
        </w:rPr>
        <w:t>erritorial health department</w:t>
      </w:r>
      <w:r w:rsidR="003474CE">
        <w:rPr>
          <w:rFonts w:cs="Arial"/>
        </w:rPr>
        <w:t xml:space="preserve"> </w:t>
      </w:r>
      <w:r w:rsidR="00DA03A7" w:rsidRPr="00B01A37">
        <w:rPr>
          <w:rFonts w:cs="Arial"/>
        </w:rPr>
        <w:t>s</w:t>
      </w:r>
      <w:r w:rsidR="003474CE">
        <w:rPr>
          <w:rFonts w:cs="Arial"/>
        </w:rPr>
        <w:t xml:space="preserve">taff, </w:t>
      </w:r>
      <w:r w:rsidR="00E4573F">
        <w:rPr>
          <w:rFonts w:cs="Arial"/>
        </w:rPr>
        <w:t xml:space="preserve">those assessments </w:t>
      </w:r>
      <w:r w:rsidR="003474CE">
        <w:rPr>
          <w:rFonts w:cs="Arial"/>
        </w:rPr>
        <w:t>focused</w:t>
      </w:r>
      <w:r w:rsidR="009E1276" w:rsidRPr="00B01A37">
        <w:rPr>
          <w:rFonts w:cs="Arial"/>
        </w:rPr>
        <w:t xml:space="preserve"> on </w:t>
      </w:r>
      <w:r w:rsidR="00E4573F">
        <w:rPr>
          <w:rFonts w:cs="Arial"/>
        </w:rPr>
        <w:t xml:space="preserve">a single </w:t>
      </w:r>
      <w:r w:rsidR="00147CC5" w:rsidRPr="00B01A37">
        <w:rPr>
          <w:rFonts w:cs="Arial"/>
        </w:rPr>
        <w:t xml:space="preserve">chronic disease </w:t>
      </w:r>
      <w:r w:rsidR="00E4573F">
        <w:rPr>
          <w:rFonts w:cs="Arial"/>
        </w:rPr>
        <w:t>or funding opportunity announcement</w:t>
      </w:r>
      <w:r w:rsidR="003474CE">
        <w:rPr>
          <w:rFonts w:cs="Arial"/>
        </w:rPr>
        <w:t xml:space="preserve">, rather than </w:t>
      </w:r>
      <w:r w:rsidR="003474CE" w:rsidRPr="00B01A37">
        <w:rPr>
          <w:rFonts w:cs="Arial"/>
        </w:rPr>
        <w:t>NCCDPHP’s core competencie</w:t>
      </w:r>
      <w:r w:rsidR="003474CE">
        <w:rPr>
          <w:rFonts w:cs="Arial"/>
        </w:rPr>
        <w:t>s</w:t>
      </w:r>
      <w:r w:rsidR="001B1B65">
        <w:rPr>
          <w:rFonts w:cs="Arial"/>
        </w:rPr>
        <w:t>.</w:t>
      </w:r>
      <w:r w:rsidRPr="00B01A37">
        <w:rPr>
          <w:rFonts w:cs="Arial"/>
        </w:rPr>
        <w:t xml:space="preserve"> </w:t>
      </w:r>
      <w:r w:rsidR="00694E3E">
        <w:rPr>
          <w:rFonts w:cs="Arial"/>
        </w:rPr>
        <w:t>For example, the Division of Community Health’s training needs assessment for the P</w:t>
      </w:r>
      <w:r w:rsidR="00EB50D6">
        <w:rPr>
          <w:rFonts w:cs="Arial"/>
        </w:rPr>
        <w:t xml:space="preserve">artnerships to </w:t>
      </w:r>
      <w:r w:rsidR="00694E3E">
        <w:rPr>
          <w:rFonts w:cs="Arial"/>
        </w:rPr>
        <w:t>I</w:t>
      </w:r>
      <w:r w:rsidR="00EB50D6">
        <w:rPr>
          <w:rFonts w:cs="Arial"/>
        </w:rPr>
        <w:t xml:space="preserve">mprove </w:t>
      </w:r>
      <w:r w:rsidR="00694E3E">
        <w:rPr>
          <w:rFonts w:cs="Arial"/>
        </w:rPr>
        <w:t>C</w:t>
      </w:r>
      <w:r w:rsidR="00EB50D6">
        <w:rPr>
          <w:rFonts w:cs="Arial"/>
        </w:rPr>
        <w:t xml:space="preserve">ommunity </w:t>
      </w:r>
      <w:r w:rsidR="00694E3E">
        <w:rPr>
          <w:rFonts w:cs="Arial"/>
        </w:rPr>
        <w:t>H</w:t>
      </w:r>
      <w:r w:rsidR="00EB50D6">
        <w:rPr>
          <w:rFonts w:cs="Arial"/>
        </w:rPr>
        <w:t>ealth (PICH)</w:t>
      </w:r>
      <w:r w:rsidR="00350F65">
        <w:rPr>
          <w:rStyle w:val="FootnoteReference"/>
          <w:rFonts w:cs="Arial"/>
        </w:rPr>
        <w:t>3</w:t>
      </w:r>
      <w:r w:rsidR="00694E3E">
        <w:rPr>
          <w:rFonts w:cs="Arial"/>
        </w:rPr>
        <w:t xml:space="preserve"> and </w:t>
      </w:r>
      <w:r w:rsidR="007A4A9A">
        <w:rPr>
          <w:rFonts w:cs="Arial"/>
        </w:rPr>
        <w:t>Racial and Ethnic Approaches to Community Health (</w:t>
      </w:r>
      <w:r w:rsidR="00694E3E">
        <w:rPr>
          <w:rFonts w:cs="Arial"/>
        </w:rPr>
        <w:t>REACH</w:t>
      </w:r>
      <w:r w:rsidR="007A4A9A">
        <w:rPr>
          <w:rFonts w:cs="Arial"/>
        </w:rPr>
        <w:t>)</w:t>
      </w:r>
      <w:r w:rsidR="00350F65">
        <w:rPr>
          <w:rStyle w:val="FootnoteReference"/>
          <w:rFonts w:cs="Arial"/>
        </w:rPr>
        <w:t>4</w:t>
      </w:r>
      <w:r w:rsidR="00694E3E">
        <w:rPr>
          <w:rFonts w:cs="Arial"/>
        </w:rPr>
        <w:t xml:space="preserve"> programs was specific to activities for these programs; was not based on a systematic review of the 11 core competencies; and was adapted for use with private sector awardees. </w:t>
      </w:r>
      <w:r w:rsidR="00085EA8" w:rsidRPr="00B01A37">
        <w:rPr>
          <w:rFonts w:cs="Arial"/>
        </w:rPr>
        <w:t xml:space="preserve">Furthermore, </w:t>
      </w:r>
      <w:r w:rsidR="001B1B65" w:rsidRPr="00B01A37">
        <w:rPr>
          <w:rFonts w:cs="Arial"/>
        </w:rPr>
        <w:t xml:space="preserve">NCCDPHP has worked with the NCCDPHP Training Workgroup to </w:t>
      </w:r>
      <w:r w:rsidR="00085EA8" w:rsidRPr="00B01A37">
        <w:rPr>
          <w:rFonts w:cs="Arial"/>
        </w:rPr>
        <w:t>enhance internal CDC</w:t>
      </w:r>
      <w:r w:rsidR="0079750F" w:rsidRPr="00B01A37">
        <w:rPr>
          <w:rFonts w:cs="Arial"/>
        </w:rPr>
        <w:t xml:space="preserve"> </w:t>
      </w:r>
      <w:r w:rsidR="00085EA8" w:rsidRPr="00B01A37">
        <w:rPr>
          <w:rFonts w:cs="Arial"/>
        </w:rPr>
        <w:t>collaboration efforts</w:t>
      </w:r>
      <w:r w:rsidR="0079750F" w:rsidRPr="00B01A37">
        <w:rPr>
          <w:rFonts w:cs="Arial"/>
        </w:rPr>
        <w:t xml:space="preserve"> and ensure that efforts are not duplicated in identifying training needs of </w:t>
      </w:r>
      <w:r w:rsidR="003474CE">
        <w:rPr>
          <w:rFonts w:cs="Arial"/>
        </w:rPr>
        <w:t>s</w:t>
      </w:r>
      <w:r w:rsidR="0079750F" w:rsidRPr="00B01A37">
        <w:rPr>
          <w:rFonts w:cs="Arial"/>
        </w:rPr>
        <w:t xml:space="preserve">tate </w:t>
      </w:r>
      <w:r w:rsidR="003474CE">
        <w:rPr>
          <w:rFonts w:cs="Arial"/>
        </w:rPr>
        <w:t>h</w:t>
      </w:r>
      <w:r w:rsidR="0079750F" w:rsidRPr="00B01A37">
        <w:rPr>
          <w:rFonts w:cs="Arial"/>
        </w:rPr>
        <w:t xml:space="preserve">ealth </w:t>
      </w:r>
      <w:r w:rsidR="003474CE">
        <w:rPr>
          <w:rFonts w:cs="Arial"/>
        </w:rPr>
        <w:t>d</w:t>
      </w:r>
      <w:r w:rsidR="0079750F" w:rsidRPr="00B01A37">
        <w:rPr>
          <w:rFonts w:cs="Arial"/>
        </w:rPr>
        <w:t>epartment staff</w:t>
      </w:r>
      <w:r w:rsidR="001B1B65">
        <w:rPr>
          <w:rFonts w:cs="Arial"/>
        </w:rPr>
        <w:t>.</w:t>
      </w:r>
    </w:p>
    <w:p w14:paraId="01560EFA" w14:textId="77777777" w:rsidR="00E33E1B" w:rsidRPr="00B01A37" w:rsidRDefault="00E33E1B" w:rsidP="005D6F14"/>
    <w:p w14:paraId="5D894D8F" w14:textId="77777777" w:rsidR="00B12F51" w:rsidRPr="00B01A37" w:rsidRDefault="00B47055" w:rsidP="00692DEB">
      <w:pPr>
        <w:pStyle w:val="Heading4"/>
      </w:pPr>
      <w:bookmarkStart w:id="7" w:name="_Toc413847753"/>
      <w:r w:rsidRPr="00B01A37">
        <w:t>Impact on Small Businesses or Other Small Entities</w:t>
      </w:r>
      <w:bookmarkEnd w:id="7"/>
    </w:p>
    <w:p w14:paraId="03B9C33D" w14:textId="0783890C" w:rsidR="003474CE" w:rsidRPr="00B01A37" w:rsidRDefault="00D26A64" w:rsidP="003474CE">
      <w:pPr>
        <w:ind w:left="0"/>
      </w:pPr>
      <w:r w:rsidRPr="00B01A37">
        <w:t>N</w:t>
      </w:r>
      <w:r w:rsidR="00AF2252" w:rsidRPr="00B01A37">
        <w:t xml:space="preserve">o small businesses will be involved in this </w:t>
      </w:r>
      <w:r w:rsidR="00157413" w:rsidRPr="00B01A37">
        <w:t>information collection</w:t>
      </w:r>
      <w:r w:rsidRPr="00B01A37">
        <w:t>.</w:t>
      </w:r>
    </w:p>
    <w:p w14:paraId="3C361D43" w14:textId="77777777" w:rsidR="00441CC3" w:rsidRPr="00B01A37" w:rsidRDefault="00441CC3" w:rsidP="003474CE">
      <w:pPr>
        <w:ind w:left="0"/>
      </w:pPr>
    </w:p>
    <w:p w14:paraId="030D7234" w14:textId="77777777" w:rsidR="00B12F51" w:rsidRPr="00B01A37" w:rsidRDefault="00B47055" w:rsidP="00692DEB">
      <w:pPr>
        <w:pStyle w:val="Heading4"/>
      </w:pPr>
      <w:bookmarkStart w:id="8" w:name="_Toc413847754"/>
      <w:r w:rsidRPr="00B01A37">
        <w:t xml:space="preserve">Consequences of Collecting the Information Less Frequently </w:t>
      </w:r>
      <w:r w:rsidR="00D95FBF" w:rsidRPr="00B01A37">
        <w:t xml:space="preserve">  </w:t>
      </w:r>
      <w:bookmarkEnd w:id="8"/>
      <w:r w:rsidR="00D95FBF" w:rsidRPr="00B01A37">
        <w:t xml:space="preserve"> </w:t>
      </w:r>
    </w:p>
    <w:p w14:paraId="35E2E6B8" w14:textId="77777777" w:rsidR="000058E0" w:rsidRPr="00B01A37" w:rsidRDefault="000058E0" w:rsidP="000058E0">
      <w:pPr>
        <w:ind w:left="0"/>
      </w:pPr>
      <w:r w:rsidRPr="00B01A37">
        <w:t>This request is for a one time information collection.  There are no legal obstacles to reduce the burden. If no data are collected, CDC will be unable to:</w:t>
      </w:r>
    </w:p>
    <w:p w14:paraId="5CB9F2AB" w14:textId="7E3479CB" w:rsidR="00CA5CA1" w:rsidRPr="00B01A37" w:rsidRDefault="00CA5CA1" w:rsidP="00CA5CA1">
      <w:pPr>
        <w:pStyle w:val="ListParagraph"/>
        <w:numPr>
          <w:ilvl w:val="0"/>
          <w:numId w:val="25"/>
        </w:numPr>
        <w:tabs>
          <w:tab w:val="clear" w:pos="9360"/>
        </w:tabs>
        <w:spacing w:line="240" w:lineRule="auto"/>
      </w:pPr>
      <w:r w:rsidRPr="00B01A37">
        <w:t xml:space="preserve">Determine which of the 11 core competencies and 1305 </w:t>
      </w:r>
      <w:r w:rsidR="00A922EA" w:rsidRPr="00B01A37">
        <w:t xml:space="preserve">enhanced </w:t>
      </w:r>
      <w:r w:rsidRPr="00B01A37">
        <w:t>Domain 2</w:t>
      </w:r>
      <w:r w:rsidR="00C9097A" w:rsidRPr="00B01A37">
        <w:t>,</w:t>
      </w:r>
      <w:r w:rsidRPr="00B01A37">
        <w:t xml:space="preserve"> 3 and 4 </w:t>
      </w:r>
      <w:r w:rsidR="00085EA8" w:rsidRPr="00B01A37">
        <w:t xml:space="preserve">strategies and </w:t>
      </w:r>
      <w:r w:rsidRPr="00B01A37">
        <w:t xml:space="preserve">interventions are the least understood by </w:t>
      </w:r>
      <w:r w:rsidR="00CE0206" w:rsidRPr="00B01A37">
        <w:t xml:space="preserve">state </w:t>
      </w:r>
      <w:r w:rsidRPr="00B01A37">
        <w:t>health department staff and thus requiring the most training and assistance.</w:t>
      </w:r>
    </w:p>
    <w:p w14:paraId="649F6216" w14:textId="136D5499" w:rsidR="00570A25" w:rsidRPr="00B01A37" w:rsidRDefault="001A2B49" w:rsidP="008C59E7">
      <w:pPr>
        <w:pStyle w:val="ListParagraph"/>
        <w:numPr>
          <w:ilvl w:val="0"/>
          <w:numId w:val="25"/>
        </w:numPr>
        <w:tabs>
          <w:tab w:val="clear" w:pos="9360"/>
        </w:tabs>
        <w:spacing w:line="240" w:lineRule="auto"/>
      </w:pPr>
      <w:r w:rsidRPr="00B01A37">
        <w:t xml:space="preserve">Develop a </w:t>
      </w:r>
      <w:r w:rsidR="00824EE9" w:rsidRPr="00B01A37">
        <w:t>targeted and useful</w:t>
      </w:r>
      <w:r w:rsidRPr="00B01A37">
        <w:t xml:space="preserve"> training plan to </w:t>
      </w:r>
      <w:r w:rsidR="00824EE9" w:rsidRPr="00B01A37">
        <w:t>meet</w:t>
      </w:r>
      <w:r w:rsidRPr="00B01A37">
        <w:t xml:space="preserve"> </w:t>
      </w:r>
      <w:r w:rsidR="00F87B93">
        <w:t>s</w:t>
      </w:r>
      <w:r w:rsidR="00C9097A" w:rsidRPr="00B01A37">
        <w:t xml:space="preserve">tate </w:t>
      </w:r>
      <w:r w:rsidR="00F87B93">
        <w:t>h</w:t>
      </w:r>
      <w:r w:rsidR="00C9097A" w:rsidRPr="00B01A37">
        <w:t xml:space="preserve">ealth </w:t>
      </w:r>
      <w:r w:rsidR="00F87B93">
        <w:t>d</w:t>
      </w:r>
      <w:r w:rsidR="00C9097A" w:rsidRPr="00B01A37">
        <w:t>epartment chronic disease units’</w:t>
      </w:r>
      <w:r w:rsidRPr="00B01A37">
        <w:t xml:space="preserve"> </w:t>
      </w:r>
      <w:r w:rsidR="00824EE9" w:rsidRPr="00B01A37">
        <w:t>training needs</w:t>
      </w:r>
      <w:r w:rsidR="00FF01EC" w:rsidRPr="00B01A37">
        <w:t xml:space="preserve"> and maximize resources to address these needs</w:t>
      </w:r>
      <w:r w:rsidR="00CE0206" w:rsidRPr="00B01A37">
        <w:t>.</w:t>
      </w:r>
    </w:p>
    <w:p w14:paraId="5182C945" w14:textId="33579631" w:rsidR="008C59E7" w:rsidRPr="00B01A37" w:rsidRDefault="00570A25" w:rsidP="008C59E7">
      <w:pPr>
        <w:pStyle w:val="ListParagraph"/>
        <w:numPr>
          <w:ilvl w:val="0"/>
          <w:numId w:val="25"/>
        </w:numPr>
        <w:tabs>
          <w:tab w:val="clear" w:pos="9360"/>
        </w:tabs>
        <w:spacing w:line="240" w:lineRule="auto"/>
      </w:pPr>
      <w:r w:rsidRPr="00B01A37">
        <w:t>Provide</w:t>
      </w:r>
      <w:r w:rsidR="00824EE9" w:rsidRPr="00B01A37">
        <w:t xml:space="preserve"> targeted </w:t>
      </w:r>
      <w:r w:rsidR="001A2B49" w:rsidRPr="00B01A37">
        <w:t>training events and peer</w:t>
      </w:r>
      <w:r w:rsidR="00F87B93">
        <w:t>-</w:t>
      </w:r>
      <w:r w:rsidR="001A2B49" w:rsidRPr="00B01A37">
        <w:t>to</w:t>
      </w:r>
      <w:r w:rsidR="00F87B93">
        <w:t>-</w:t>
      </w:r>
      <w:r w:rsidR="001A2B49" w:rsidRPr="00B01A37">
        <w:t>peer networking sessions</w:t>
      </w:r>
      <w:r w:rsidR="00CA5CA1" w:rsidRPr="00B01A37">
        <w:t xml:space="preserve"> that build core competencies of</w:t>
      </w:r>
      <w:r w:rsidR="001A2B49" w:rsidRPr="00B01A37">
        <w:t xml:space="preserve"> </w:t>
      </w:r>
      <w:r w:rsidR="00F87B93">
        <w:t>s</w:t>
      </w:r>
      <w:r w:rsidR="00C9097A" w:rsidRPr="00B01A37">
        <w:t xml:space="preserve">tate </w:t>
      </w:r>
      <w:r w:rsidR="00F87B93">
        <w:t>h</w:t>
      </w:r>
      <w:r w:rsidR="00C9097A" w:rsidRPr="00B01A37">
        <w:t xml:space="preserve">ealth </w:t>
      </w:r>
      <w:r w:rsidR="00F87B93">
        <w:t>d</w:t>
      </w:r>
      <w:r w:rsidR="00C9097A" w:rsidRPr="00B01A37">
        <w:t>epartment staff</w:t>
      </w:r>
      <w:r w:rsidR="00CA5CA1" w:rsidRPr="00B01A37">
        <w:t xml:space="preserve"> and increase</w:t>
      </w:r>
      <w:r w:rsidR="00C9097A" w:rsidRPr="00B01A37">
        <w:t xml:space="preserve"> 1305 </w:t>
      </w:r>
      <w:r w:rsidR="00A922EA" w:rsidRPr="00B01A37">
        <w:t xml:space="preserve">enhanced </w:t>
      </w:r>
      <w:r w:rsidR="00C9097A" w:rsidRPr="00B01A37">
        <w:t>grantees’</w:t>
      </w:r>
      <w:r w:rsidR="00CA5CA1" w:rsidRPr="00B01A37">
        <w:t xml:space="preserve"> knowledge </w:t>
      </w:r>
      <w:r w:rsidR="00C9097A" w:rsidRPr="00B01A37">
        <w:t xml:space="preserve">of </w:t>
      </w:r>
      <w:r w:rsidR="00CA5CA1" w:rsidRPr="00B01A37">
        <w:t>Domain 2</w:t>
      </w:r>
      <w:r w:rsidR="00C9097A" w:rsidRPr="00B01A37">
        <w:t>,</w:t>
      </w:r>
      <w:r w:rsidR="00CA5CA1" w:rsidRPr="00B01A37">
        <w:t xml:space="preserve"> 3 and 4 </w:t>
      </w:r>
      <w:r w:rsidR="00C9097A" w:rsidRPr="00B01A37">
        <w:t xml:space="preserve">strategies and </w:t>
      </w:r>
      <w:r w:rsidR="00CA5CA1" w:rsidRPr="00B01A37">
        <w:t>interventions</w:t>
      </w:r>
      <w:r w:rsidR="001A2B49" w:rsidRPr="00B01A37">
        <w:t xml:space="preserve">. </w:t>
      </w:r>
    </w:p>
    <w:p w14:paraId="21704FC2" w14:textId="06F100FF" w:rsidR="00C9097A" w:rsidRPr="00B01A37" w:rsidRDefault="001A2B49" w:rsidP="008C59E7">
      <w:pPr>
        <w:pStyle w:val="ListParagraph"/>
        <w:numPr>
          <w:ilvl w:val="0"/>
          <w:numId w:val="25"/>
        </w:numPr>
        <w:tabs>
          <w:tab w:val="clear" w:pos="9360"/>
        </w:tabs>
        <w:spacing w:line="240" w:lineRule="auto"/>
      </w:pPr>
      <w:r w:rsidRPr="00B01A37">
        <w:t xml:space="preserve">Ensure that </w:t>
      </w:r>
      <w:r w:rsidR="00CE0206" w:rsidRPr="00B01A37">
        <w:t xml:space="preserve">state </w:t>
      </w:r>
      <w:r w:rsidRPr="00B01A37">
        <w:t xml:space="preserve">health department staff </w:t>
      </w:r>
      <w:r w:rsidR="00570A25" w:rsidRPr="00B01A37">
        <w:t>receive</w:t>
      </w:r>
      <w:r w:rsidRPr="00B01A37">
        <w:t xml:space="preserve"> </w:t>
      </w:r>
      <w:r w:rsidR="00CE0206" w:rsidRPr="00B01A37">
        <w:t>training on the core competencies and Domain 2, 3, and 4</w:t>
      </w:r>
      <w:r w:rsidR="00A922EA" w:rsidRPr="00B01A37">
        <w:t xml:space="preserve"> enhanced</w:t>
      </w:r>
      <w:r w:rsidR="00CE0206" w:rsidRPr="00B01A37">
        <w:t xml:space="preserve"> strategies and interventions </w:t>
      </w:r>
      <w:r w:rsidR="00CA5CA1" w:rsidRPr="00B01A37">
        <w:t>in a format that most suits their needs</w:t>
      </w:r>
      <w:r w:rsidRPr="00B01A37">
        <w:t>.</w:t>
      </w:r>
    </w:p>
    <w:p w14:paraId="6CB08A55" w14:textId="77777777" w:rsidR="000058E0" w:rsidRPr="00B01A37" w:rsidRDefault="000058E0" w:rsidP="000058E0">
      <w:pPr>
        <w:pStyle w:val="ListParagraph"/>
        <w:rPr>
          <w:lang w:eastAsia="zh-CN"/>
        </w:rPr>
      </w:pPr>
    </w:p>
    <w:p w14:paraId="4BB7DC4F" w14:textId="77777777" w:rsidR="00B12F51" w:rsidRPr="00B01A37" w:rsidRDefault="00B47055" w:rsidP="00692DEB">
      <w:pPr>
        <w:pStyle w:val="Heading4"/>
      </w:pPr>
      <w:bookmarkStart w:id="9" w:name="_Toc413847755"/>
      <w:r w:rsidRPr="00B01A37">
        <w:t>Special Circumstances Relating to the Guidelines of 5 CFR 1320.5</w:t>
      </w:r>
      <w:bookmarkEnd w:id="9"/>
    </w:p>
    <w:p w14:paraId="678B9F3C" w14:textId="77777777" w:rsidR="00F52BCC" w:rsidRPr="00B01A37" w:rsidRDefault="00A809AA" w:rsidP="00692DEB">
      <w:pPr>
        <w:ind w:left="0"/>
      </w:pPr>
      <w:r w:rsidRPr="00B01A37">
        <w:lastRenderedPageBreak/>
        <w:t xml:space="preserve">There are no special circumstances with this information collection package. </w:t>
      </w:r>
      <w:r w:rsidR="00835CA7" w:rsidRPr="00B01A37">
        <w:t>This request fully complies with the regulation 5 CFR 1320.5</w:t>
      </w:r>
      <w:r w:rsidR="00D95FBF" w:rsidRPr="00B01A37">
        <w:t xml:space="preserve"> and will be voluntary</w:t>
      </w:r>
      <w:r w:rsidR="00835CA7" w:rsidRPr="00B01A37">
        <w:t>.</w:t>
      </w:r>
    </w:p>
    <w:p w14:paraId="7268A725" w14:textId="77777777" w:rsidR="00E6715F" w:rsidRPr="00B01A37" w:rsidRDefault="00E6715F" w:rsidP="00692DEB">
      <w:pPr>
        <w:ind w:left="0"/>
      </w:pPr>
    </w:p>
    <w:p w14:paraId="62AC61AB" w14:textId="77777777" w:rsidR="00B12F51" w:rsidRPr="00B01A37" w:rsidRDefault="0088467A" w:rsidP="00692DEB">
      <w:pPr>
        <w:pStyle w:val="Heading4"/>
      </w:pPr>
      <w:bookmarkStart w:id="10" w:name="_Toc413847756"/>
      <w:r w:rsidRPr="00B01A37">
        <w:t>Comments in Response to the Federal Register Notice and Efforts to Consult Outside the Agency</w:t>
      </w:r>
      <w:bookmarkEnd w:id="10"/>
    </w:p>
    <w:p w14:paraId="0A2BCA85" w14:textId="77777777" w:rsidR="00A809AA" w:rsidRPr="00B01A37" w:rsidRDefault="00C768E5" w:rsidP="00692DEB">
      <w:pPr>
        <w:ind w:left="0"/>
      </w:pPr>
      <w:r w:rsidRPr="00B01A37">
        <w:t xml:space="preserve">This </w:t>
      </w:r>
      <w:r w:rsidR="00157413" w:rsidRPr="00B01A37">
        <w:t>information collection</w:t>
      </w:r>
      <w:r w:rsidRPr="00B01A37">
        <w:t xml:space="preserve"> is being conducted using the Generic Information Collection mecha</w:t>
      </w:r>
      <w:r w:rsidR="00157413" w:rsidRPr="00B01A37">
        <w:t>nism of the OSTLTS OMB Clearance Center</w:t>
      </w:r>
      <w:r w:rsidRPr="00B01A37">
        <w:t xml:space="preserve"> (O</w:t>
      </w:r>
      <w:r w:rsidR="00157413" w:rsidRPr="00B01A37">
        <w:t>2</w:t>
      </w:r>
      <w:r w:rsidRPr="00B01A37">
        <w:t>C</w:t>
      </w:r>
      <w:r w:rsidR="00157413" w:rsidRPr="00B01A37">
        <w:t>2</w:t>
      </w:r>
      <w:r w:rsidRPr="00B01A37">
        <w:t xml:space="preserve">) – OMB No. 0920-0879. </w:t>
      </w:r>
      <w:r w:rsidR="00A809AA" w:rsidRPr="00B01A37">
        <w:t xml:space="preserve">A 60-day Federal Register Notice was published in the Federal Register on </w:t>
      </w:r>
      <w:r w:rsidR="005115FA" w:rsidRPr="00B01A37">
        <w:t>October 31, 2013, Vol. 78, No. 211; pp. 653 25-26</w:t>
      </w:r>
      <w:r w:rsidR="00A809AA" w:rsidRPr="00B01A37">
        <w:t xml:space="preserve">.  </w:t>
      </w:r>
      <w:r w:rsidR="005115FA" w:rsidRPr="00B01A37">
        <w:t xml:space="preserve">No </w:t>
      </w:r>
      <w:r w:rsidR="00A809AA" w:rsidRPr="00B01A37">
        <w:t>comments were received</w:t>
      </w:r>
      <w:r w:rsidR="00783C75" w:rsidRPr="00B01A37">
        <w:t>.</w:t>
      </w:r>
    </w:p>
    <w:p w14:paraId="4D050B49" w14:textId="77777777" w:rsidR="00A809AA" w:rsidRPr="00B01A37" w:rsidRDefault="00A809AA" w:rsidP="00692DEB">
      <w:pPr>
        <w:ind w:left="0"/>
      </w:pPr>
    </w:p>
    <w:p w14:paraId="558EC77C" w14:textId="77777777" w:rsidR="00A809AA" w:rsidRPr="00B01A37" w:rsidRDefault="00A809AA" w:rsidP="00692DEB">
      <w:pPr>
        <w:ind w:left="0"/>
      </w:pPr>
      <w:r w:rsidRPr="00B01A37">
        <w:t xml:space="preserve">CDC partners with professional STLT organizations, such as the Association of State and Territorial Health Officials (ASTHO), the National Association of County and City Health Officials (NACCHO), and the National Association of Local Boards of Health (NALBOH) along with the National Center for Health Statistics (NCHS) to ensure that the collection requests under individual ICs are not in conflict with collections they have or will have in the field within the same timeframe.  </w:t>
      </w:r>
    </w:p>
    <w:p w14:paraId="6187C353" w14:textId="77777777" w:rsidR="00F52BCC" w:rsidRPr="00B01A37" w:rsidRDefault="00F52BCC" w:rsidP="005D6F14"/>
    <w:p w14:paraId="305D3AD8" w14:textId="77777777" w:rsidR="00B12F51" w:rsidRPr="00B01A37" w:rsidRDefault="0088467A" w:rsidP="00692DEB">
      <w:pPr>
        <w:pStyle w:val="Heading4"/>
      </w:pPr>
      <w:bookmarkStart w:id="11" w:name="_Toc413847757"/>
      <w:r w:rsidRPr="00B01A37">
        <w:t>Explanation of Any Payment or Gift to Respondents</w:t>
      </w:r>
      <w:bookmarkEnd w:id="11"/>
    </w:p>
    <w:p w14:paraId="03A73555" w14:textId="77777777" w:rsidR="00F52BCC" w:rsidRPr="00B01A37" w:rsidRDefault="00A809AA" w:rsidP="00692DEB">
      <w:pPr>
        <w:ind w:left="0"/>
      </w:pPr>
      <w:r w:rsidRPr="00B01A37">
        <w:t>CDC will not provide p</w:t>
      </w:r>
      <w:r w:rsidR="00D26A64" w:rsidRPr="00B01A37">
        <w:t>ayments or gifts to respondents.</w:t>
      </w:r>
    </w:p>
    <w:p w14:paraId="40B5AE95" w14:textId="77777777" w:rsidR="00F52BCC" w:rsidRPr="00B01A37" w:rsidRDefault="00F52BCC" w:rsidP="005D6F14"/>
    <w:p w14:paraId="14F76685" w14:textId="6BE38E5A" w:rsidR="00B12F51" w:rsidRPr="00B01A37" w:rsidRDefault="0088467A" w:rsidP="00692DEB">
      <w:pPr>
        <w:pStyle w:val="Heading4"/>
      </w:pPr>
      <w:r w:rsidRPr="00B01A37">
        <w:t xml:space="preserve"> </w:t>
      </w:r>
      <w:bookmarkStart w:id="12" w:name="_Toc413847758"/>
      <w:r w:rsidR="00073D74" w:rsidRPr="00073D74">
        <w:t>Protection of the Privacy and Confidentiality of Information Provided by Respondents</w:t>
      </w:r>
      <w:bookmarkEnd w:id="12"/>
    </w:p>
    <w:p w14:paraId="7224AE5E" w14:textId="77777777" w:rsidR="003C31C9" w:rsidRPr="00B01A37" w:rsidRDefault="003C31C9" w:rsidP="00692DEB">
      <w:pPr>
        <w:ind w:left="0"/>
      </w:pPr>
      <w:r w:rsidRPr="00B01A37">
        <w:t xml:space="preserve">The Privacy Act does not apply to this </w:t>
      </w:r>
      <w:r w:rsidR="00157413" w:rsidRPr="00B01A37">
        <w:t>information collection</w:t>
      </w:r>
      <w:r w:rsidRPr="00B01A37">
        <w:t xml:space="preserve">.  </w:t>
      </w:r>
      <w:r w:rsidR="007F5776" w:rsidRPr="00B01A37">
        <w:t xml:space="preserve">STLT governmental staff and / or delegates </w:t>
      </w:r>
      <w:r w:rsidRPr="00B01A37">
        <w:t xml:space="preserve">will be speaking from their official roles and will not be asked, nor will they provide individually identifiable information.  </w:t>
      </w:r>
    </w:p>
    <w:p w14:paraId="044232E1" w14:textId="77777777" w:rsidR="00B7292A" w:rsidRPr="00B01A37" w:rsidRDefault="00B7292A" w:rsidP="00692DEB">
      <w:pPr>
        <w:ind w:left="0"/>
      </w:pPr>
    </w:p>
    <w:p w14:paraId="6A38EE75" w14:textId="77777777" w:rsidR="003C31C9" w:rsidRPr="00B01A37" w:rsidRDefault="003C31C9" w:rsidP="00692DEB">
      <w:pPr>
        <w:ind w:left="0"/>
      </w:pPr>
      <w:r w:rsidRPr="00B01A37">
        <w:t xml:space="preserve">This </w:t>
      </w:r>
      <w:r w:rsidR="00157413" w:rsidRPr="00B01A37">
        <w:t>information collection</w:t>
      </w:r>
      <w:r w:rsidRPr="00B01A37">
        <w:t xml:space="preserve"> is not research involving human subjects.</w:t>
      </w:r>
    </w:p>
    <w:p w14:paraId="1774FBD4" w14:textId="64B17711" w:rsidR="000058E0" w:rsidRPr="00B01A37" w:rsidRDefault="000058E0" w:rsidP="00AD1978">
      <w:pPr>
        <w:ind w:left="0"/>
      </w:pPr>
    </w:p>
    <w:p w14:paraId="7DEDB87F" w14:textId="370E3099" w:rsidR="00B12F51" w:rsidRPr="00B01A37" w:rsidRDefault="00073D74" w:rsidP="00692DEB">
      <w:pPr>
        <w:pStyle w:val="Heading4"/>
      </w:pPr>
      <w:bookmarkStart w:id="13" w:name="_Toc413847761"/>
      <w:r w:rsidRPr="00073D74">
        <w:t>Institutional Review Board (IRB) and Justification for Sensitive Questions</w:t>
      </w:r>
      <w:bookmarkEnd w:id="13"/>
    </w:p>
    <w:p w14:paraId="23CBE117" w14:textId="77777777" w:rsidR="00F52BCC" w:rsidRPr="00B01A37" w:rsidRDefault="003C31C9" w:rsidP="00692DEB">
      <w:pPr>
        <w:ind w:left="0"/>
      </w:pPr>
      <w:r w:rsidRPr="00B01A37">
        <w:t>No information will be collected</w:t>
      </w:r>
      <w:r w:rsidR="00616090" w:rsidRPr="00B01A37">
        <w:t xml:space="preserve"> that are of personal or sensitive nature</w:t>
      </w:r>
      <w:r w:rsidR="00D26A64" w:rsidRPr="00B01A37">
        <w:t>.</w:t>
      </w:r>
    </w:p>
    <w:p w14:paraId="5F86FA0F" w14:textId="77777777" w:rsidR="00616090" w:rsidRPr="00B01A37" w:rsidRDefault="00616090" w:rsidP="005D6F14"/>
    <w:p w14:paraId="5833EEF5" w14:textId="77777777" w:rsidR="00B64BFA" w:rsidRPr="00B01A37" w:rsidRDefault="0088467A" w:rsidP="00692DEB">
      <w:pPr>
        <w:pStyle w:val="Heading4"/>
      </w:pPr>
      <w:bookmarkStart w:id="14" w:name="_Toc413847762"/>
      <w:r w:rsidRPr="00B01A37">
        <w:t>Estimates of Annualized Burden Hours and Costs</w:t>
      </w:r>
      <w:bookmarkEnd w:id="14"/>
    </w:p>
    <w:p w14:paraId="0F9F56E5" w14:textId="62435D89" w:rsidR="007E6B52" w:rsidRDefault="007E6B52" w:rsidP="007E6B52">
      <w:pPr>
        <w:ind w:left="0"/>
      </w:pPr>
      <w:r w:rsidRPr="00B01A37">
        <w:t>The estimate for burden hours is based on a pilot test of the information collection instrument</w:t>
      </w:r>
      <w:r w:rsidR="001B7C62">
        <w:t>s</w:t>
      </w:r>
      <w:r w:rsidRPr="00B01A37">
        <w:t xml:space="preserve"> by 8 public health professionals. </w:t>
      </w:r>
      <w:r w:rsidR="00484DA8">
        <w:t xml:space="preserve"> </w:t>
      </w:r>
    </w:p>
    <w:p w14:paraId="7A3DF61C" w14:textId="2747B22D" w:rsidR="001B7C62" w:rsidRDefault="001B7C62" w:rsidP="007E6B52">
      <w:pPr>
        <w:ind w:left="0"/>
      </w:pPr>
    </w:p>
    <w:p w14:paraId="08C430C4" w14:textId="600F5E6B" w:rsidR="007E6B52" w:rsidRDefault="00EE7BD0" w:rsidP="00EE7BD0">
      <w:pPr>
        <w:rPr>
          <w:lang w:eastAsia="zh-CN"/>
        </w:rPr>
      </w:pPr>
      <w:r w:rsidRPr="00EE7BD0">
        <w:rPr>
          <w:b/>
        </w:rPr>
        <w:t>Contact Instrument</w:t>
      </w:r>
      <w:r>
        <w:t>:  The average time to complete the Contact Instrument, including reading the</w:t>
      </w:r>
      <w:r w:rsidRPr="00972F0A">
        <w:rPr>
          <w:lang w:eastAsia="zh-CN"/>
        </w:rPr>
        <w:t xml:space="preserve"> introductory email, reading the instructions, and completing the associated table with contact information took</w:t>
      </w:r>
      <w:r>
        <w:rPr>
          <w:lang w:eastAsia="zh-CN"/>
        </w:rPr>
        <w:t xml:space="preserve"> </w:t>
      </w:r>
      <w:r w:rsidR="00D84811">
        <w:rPr>
          <w:lang w:eastAsia="zh-CN"/>
        </w:rPr>
        <w:t xml:space="preserve"> </w:t>
      </w:r>
      <w:r w:rsidR="007E6B52" w:rsidRPr="00972F0A">
        <w:rPr>
          <w:lang w:eastAsia="zh-CN"/>
        </w:rPr>
        <w:t xml:space="preserve">4 minutes. </w:t>
      </w:r>
    </w:p>
    <w:p w14:paraId="67D35FB4" w14:textId="77777777" w:rsidR="00EE7BD0" w:rsidRDefault="00EE7BD0" w:rsidP="007E6B52">
      <w:pPr>
        <w:ind w:left="0"/>
        <w:rPr>
          <w:b/>
          <w:sz w:val="20"/>
          <w:szCs w:val="20"/>
        </w:rPr>
      </w:pPr>
    </w:p>
    <w:p w14:paraId="7761B192" w14:textId="4F1EBD98" w:rsidR="00B14F2F" w:rsidRDefault="00EE7BD0" w:rsidP="003562D2">
      <w:pPr>
        <w:ind w:hanging="90"/>
        <w:rPr>
          <w:sz w:val="20"/>
          <w:szCs w:val="20"/>
        </w:rPr>
      </w:pPr>
      <w:r>
        <w:rPr>
          <w:b/>
          <w:sz w:val="20"/>
          <w:szCs w:val="20"/>
        </w:rPr>
        <w:tab/>
      </w:r>
      <w:r w:rsidRPr="00EE7BD0">
        <w:rPr>
          <w:b/>
          <w:sz w:val="20"/>
          <w:szCs w:val="20"/>
        </w:rPr>
        <w:t xml:space="preserve">NCCDPHP State Health Department Training Needs Assessment: </w:t>
      </w:r>
      <w:r w:rsidR="00B14F2F">
        <w:rPr>
          <w:sz w:val="20"/>
          <w:szCs w:val="20"/>
        </w:rPr>
        <w:t>the training needs assessment was pilot-tested from the perspective of those who would complete the “basic” (sections 1 and 2) as well as the “enhanced” (sections 1-3) version</w:t>
      </w:r>
      <w:r w:rsidR="00AA66E4">
        <w:rPr>
          <w:sz w:val="20"/>
          <w:szCs w:val="20"/>
        </w:rPr>
        <w:t>s</w:t>
      </w:r>
      <w:r w:rsidR="00B14F2F">
        <w:rPr>
          <w:sz w:val="20"/>
          <w:szCs w:val="20"/>
        </w:rPr>
        <w:t xml:space="preserve"> of the assessment. Time to complete the assessment, including reviewing instructions, gathering needed information and completing the instrument, are outlined below.</w:t>
      </w:r>
    </w:p>
    <w:p w14:paraId="4F32E35C" w14:textId="170781F2" w:rsidR="00B14F2F" w:rsidRDefault="00B14F2F" w:rsidP="00B14F2F">
      <w:pPr>
        <w:ind w:left="1530" w:hanging="90"/>
        <w:rPr>
          <w:sz w:val="20"/>
          <w:szCs w:val="20"/>
        </w:rPr>
      </w:pPr>
      <w:r w:rsidRPr="00B14F2F">
        <w:rPr>
          <w:sz w:val="20"/>
          <w:szCs w:val="20"/>
        </w:rPr>
        <w:lastRenderedPageBreak/>
        <w:t xml:space="preserve">“Basic” (Sections 1, 2): </w:t>
      </w:r>
      <w:r>
        <w:rPr>
          <w:sz w:val="20"/>
          <w:szCs w:val="20"/>
        </w:rPr>
        <w:t xml:space="preserve">Three of the eight public health professionals pilot-tested the assessment completing only sections 1 and 2. The average time to completion was 16 minutes (range 11-20 minutes). </w:t>
      </w:r>
    </w:p>
    <w:p w14:paraId="2D2CC887" w14:textId="77777777" w:rsidR="00B14F2F" w:rsidRPr="00B14F2F" w:rsidRDefault="00B14F2F" w:rsidP="00B14F2F">
      <w:pPr>
        <w:ind w:left="1530" w:hanging="90"/>
        <w:rPr>
          <w:sz w:val="20"/>
          <w:szCs w:val="20"/>
        </w:rPr>
      </w:pPr>
    </w:p>
    <w:p w14:paraId="6940DA0B" w14:textId="1610E5B3" w:rsidR="00B14F2F" w:rsidRDefault="00B14F2F" w:rsidP="00B14F2F">
      <w:pPr>
        <w:ind w:left="1530" w:hanging="90"/>
        <w:rPr>
          <w:sz w:val="20"/>
          <w:szCs w:val="20"/>
        </w:rPr>
      </w:pPr>
      <w:r w:rsidRPr="00B14F2F">
        <w:rPr>
          <w:sz w:val="20"/>
          <w:szCs w:val="20"/>
        </w:rPr>
        <w:t xml:space="preserve">“Enhanced” (Sections 1-3): </w:t>
      </w:r>
      <w:r>
        <w:rPr>
          <w:sz w:val="20"/>
          <w:szCs w:val="20"/>
        </w:rPr>
        <w:t xml:space="preserve">Five of the eight public health professionals pilot-tested the assessment completing sections 1-3. The average time to completion was 21 minutes (range 11-30 minutes). </w:t>
      </w:r>
    </w:p>
    <w:p w14:paraId="2148D421" w14:textId="77777777" w:rsidR="00B14F2F" w:rsidRDefault="00B14F2F" w:rsidP="00B14F2F">
      <w:pPr>
        <w:rPr>
          <w:sz w:val="20"/>
          <w:szCs w:val="20"/>
        </w:rPr>
      </w:pPr>
    </w:p>
    <w:p w14:paraId="01FEB023" w14:textId="22B7E065" w:rsidR="00B14F2F" w:rsidRPr="00B14F2F" w:rsidRDefault="00B14F2F" w:rsidP="00B14F2F">
      <w:pPr>
        <w:rPr>
          <w:sz w:val="20"/>
          <w:szCs w:val="20"/>
        </w:rPr>
      </w:pPr>
      <w:r>
        <w:rPr>
          <w:sz w:val="20"/>
          <w:szCs w:val="20"/>
        </w:rPr>
        <w:t xml:space="preserve">For the purpose of estimating burden hours, the upper limit of the range (i.e., 30 minutes) is used. </w:t>
      </w:r>
    </w:p>
    <w:p w14:paraId="0ADFBC6F" w14:textId="77777777" w:rsidR="00B14F2F" w:rsidRDefault="00B14F2F" w:rsidP="003562D2">
      <w:pPr>
        <w:ind w:hanging="90"/>
        <w:rPr>
          <w:b/>
          <w:sz w:val="20"/>
          <w:szCs w:val="20"/>
        </w:rPr>
      </w:pPr>
    </w:p>
    <w:p w14:paraId="78A2FE23" w14:textId="77777777" w:rsidR="007E6B52" w:rsidRDefault="007E6B52" w:rsidP="007E6B52">
      <w:pPr>
        <w:ind w:left="0"/>
      </w:pPr>
      <w:r w:rsidRPr="00711BFA">
        <w:t xml:space="preserve">Estimates for the average hourly wage for respondents are based on the Department of Labor (DOL) National Compensation Survey estimate for </w:t>
      </w:r>
      <w:r>
        <w:t xml:space="preserve">respondents </w:t>
      </w:r>
      <w:r w:rsidRPr="00711BFA">
        <w:t>(</w:t>
      </w:r>
      <w:hyperlink r:id="rId14" w:history="1">
        <w:r w:rsidRPr="00711BFA">
          <w:rPr>
            <w:rStyle w:val="Hyperlink"/>
          </w:rPr>
          <w:t>http://www.bls.gov/ncs/ocs/sp/nctb1349.pdf</w:t>
        </w:r>
      </w:hyperlink>
      <w:r w:rsidRPr="00711BFA">
        <w:t xml:space="preserve">). Based on DOL data, an average hourly wage of </w:t>
      </w:r>
      <w:r>
        <w:t xml:space="preserve">$48 is estimated for all 51 </w:t>
      </w:r>
      <w:r w:rsidRPr="00735CEF">
        <w:t>State Chronic Disease and Health Promotion Directors</w:t>
      </w:r>
      <w:r>
        <w:t xml:space="preserve">, </w:t>
      </w:r>
      <w:r w:rsidRPr="00F87B93">
        <w:t>$</w:t>
      </w:r>
      <w:r>
        <w:t>36.35</w:t>
      </w:r>
      <w:r w:rsidRPr="00F87B93">
        <w:t xml:space="preserve"> is estimated for all</w:t>
      </w:r>
      <w:r>
        <w:t xml:space="preserve"> 102</w:t>
      </w:r>
      <w:r w:rsidRPr="00F87B93">
        <w:t xml:space="preserve"> </w:t>
      </w:r>
      <w:r>
        <w:t xml:space="preserve">State Health Department Chronic Disease Program Managers, $32.00 for all 102 State Health Department Chronic Disease Program Coordinators, and $27.25 for all 102 State Health Department Chronic Disease Health Education Specialist </w:t>
      </w:r>
      <w:r w:rsidRPr="00711BFA">
        <w:t xml:space="preserve">respondents. </w:t>
      </w:r>
    </w:p>
    <w:p w14:paraId="4A2167BD" w14:textId="77777777" w:rsidR="00F676E0" w:rsidRDefault="00F676E0" w:rsidP="00F676E0">
      <w:pPr>
        <w:pStyle w:val="ListParagraph"/>
        <w:ind w:left="0"/>
        <w:rPr>
          <w:b/>
          <w:u w:val="single"/>
        </w:rPr>
      </w:pPr>
    </w:p>
    <w:p w14:paraId="6FC330F6" w14:textId="09D0DEFB" w:rsidR="007E6B52" w:rsidRPr="00441CC3" w:rsidRDefault="00F676E0" w:rsidP="00F676E0">
      <w:pPr>
        <w:pStyle w:val="ListParagraph"/>
        <w:ind w:left="0"/>
      </w:pPr>
      <w:r w:rsidRPr="008E0683">
        <w:rPr>
          <w:b/>
          <w:u w:val="single"/>
        </w:rPr>
        <w:t>Table A-12</w:t>
      </w:r>
      <w:r w:rsidRPr="008E0683">
        <w:rPr>
          <w:b/>
        </w:rPr>
        <w:t>:</w:t>
      </w:r>
      <w:r w:rsidRPr="003C31C9">
        <w:t xml:space="preserve"> </w:t>
      </w:r>
      <w:r>
        <w:t>Estimated</w:t>
      </w:r>
      <w:r w:rsidRPr="003C31C9">
        <w:t xml:space="preserve"> </w:t>
      </w:r>
      <w:r>
        <w:t>A</w:t>
      </w:r>
      <w:r w:rsidRPr="003C31C9">
        <w:t xml:space="preserve">nnualized </w:t>
      </w:r>
      <w:r>
        <w:t>Burden Hours and Costs to Respondents</w:t>
      </w:r>
    </w:p>
    <w:tbl>
      <w:tblPr>
        <w:tblW w:w="102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1350"/>
        <w:gridCol w:w="1440"/>
        <w:gridCol w:w="1440"/>
        <w:gridCol w:w="1530"/>
        <w:gridCol w:w="900"/>
        <w:gridCol w:w="900"/>
        <w:gridCol w:w="1350"/>
      </w:tblGrid>
      <w:tr w:rsidR="007E6B52" w:rsidRPr="007E6B52" w14:paraId="6BECB69D" w14:textId="77777777" w:rsidTr="00937080">
        <w:trPr>
          <w:cantSplit/>
          <w:trHeight w:val="1493"/>
          <w:tblHeader/>
        </w:trPr>
        <w:tc>
          <w:tcPr>
            <w:tcW w:w="1350" w:type="dxa"/>
            <w:shd w:val="clear" w:color="auto" w:fill="D9D9D9" w:themeFill="background1" w:themeFillShade="D9"/>
          </w:tcPr>
          <w:p w14:paraId="1B79F0C5" w14:textId="77777777" w:rsidR="007E6B52" w:rsidRPr="007E6B52" w:rsidRDefault="007E6B52" w:rsidP="007E6B52">
            <w:pPr>
              <w:ind w:left="0"/>
              <w:rPr>
                <w:b/>
              </w:rPr>
            </w:pPr>
            <w:r w:rsidRPr="007E6B52">
              <w:rPr>
                <w:b/>
              </w:rPr>
              <w:t>Information collection Instrument: Form Name</w:t>
            </w:r>
          </w:p>
        </w:tc>
        <w:tc>
          <w:tcPr>
            <w:tcW w:w="1350" w:type="dxa"/>
            <w:shd w:val="clear" w:color="auto" w:fill="D9D9D9" w:themeFill="background1" w:themeFillShade="D9"/>
            <w:vAlign w:val="center"/>
          </w:tcPr>
          <w:p w14:paraId="3016787B" w14:textId="77777777" w:rsidR="007E6B52" w:rsidRPr="007E6B52" w:rsidRDefault="007E6B52" w:rsidP="007E6B52">
            <w:pPr>
              <w:ind w:left="0"/>
              <w:rPr>
                <w:b/>
              </w:rPr>
            </w:pPr>
            <w:r w:rsidRPr="007E6B52">
              <w:rPr>
                <w:b/>
              </w:rPr>
              <w:t>Type of Respondent</w:t>
            </w:r>
          </w:p>
        </w:tc>
        <w:tc>
          <w:tcPr>
            <w:tcW w:w="1440" w:type="dxa"/>
            <w:shd w:val="clear" w:color="auto" w:fill="D9D9D9" w:themeFill="background1" w:themeFillShade="D9"/>
            <w:vAlign w:val="center"/>
          </w:tcPr>
          <w:p w14:paraId="6918C206" w14:textId="77777777" w:rsidR="007E6B52" w:rsidRPr="007E6B52" w:rsidRDefault="007E6B52" w:rsidP="007E6B52">
            <w:pPr>
              <w:ind w:left="0"/>
              <w:rPr>
                <w:b/>
              </w:rPr>
            </w:pPr>
            <w:r w:rsidRPr="007E6B52">
              <w:rPr>
                <w:b/>
              </w:rPr>
              <w:t>No. of Respondents</w:t>
            </w:r>
          </w:p>
        </w:tc>
        <w:tc>
          <w:tcPr>
            <w:tcW w:w="1440" w:type="dxa"/>
            <w:shd w:val="clear" w:color="auto" w:fill="D9D9D9" w:themeFill="background1" w:themeFillShade="D9"/>
            <w:vAlign w:val="center"/>
          </w:tcPr>
          <w:p w14:paraId="75D85AFC" w14:textId="77777777" w:rsidR="007E6B52" w:rsidRPr="007E6B52" w:rsidRDefault="007E6B52" w:rsidP="007E6B52">
            <w:pPr>
              <w:ind w:left="0"/>
              <w:rPr>
                <w:b/>
              </w:rPr>
            </w:pPr>
            <w:r w:rsidRPr="007E6B52">
              <w:rPr>
                <w:b/>
              </w:rPr>
              <w:t>No. of Responses per Respondent</w:t>
            </w:r>
          </w:p>
        </w:tc>
        <w:tc>
          <w:tcPr>
            <w:tcW w:w="1530" w:type="dxa"/>
            <w:shd w:val="clear" w:color="auto" w:fill="D9D9D9" w:themeFill="background1" w:themeFillShade="D9"/>
            <w:vAlign w:val="center"/>
          </w:tcPr>
          <w:p w14:paraId="08276A97" w14:textId="77777777" w:rsidR="007E6B52" w:rsidRPr="007E6B52" w:rsidRDefault="007E6B52" w:rsidP="007E6B52">
            <w:pPr>
              <w:ind w:left="0"/>
              <w:rPr>
                <w:b/>
              </w:rPr>
            </w:pPr>
            <w:r w:rsidRPr="007E6B52">
              <w:rPr>
                <w:b/>
              </w:rPr>
              <w:t>Average Burden per Response (in hours)</w:t>
            </w:r>
          </w:p>
        </w:tc>
        <w:tc>
          <w:tcPr>
            <w:tcW w:w="900" w:type="dxa"/>
            <w:shd w:val="clear" w:color="auto" w:fill="D9D9D9" w:themeFill="background1" w:themeFillShade="D9"/>
            <w:vAlign w:val="center"/>
          </w:tcPr>
          <w:p w14:paraId="6B30CBD7" w14:textId="77777777" w:rsidR="007E6B52" w:rsidRPr="007E6B52" w:rsidRDefault="007E6B52" w:rsidP="007E6B52">
            <w:pPr>
              <w:ind w:left="0"/>
              <w:rPr>
                <w:b/>
              </w:rPr>
            </w:pPr>
            <w:r w:rsidRPr="007E6B52">
              <w:rPr>
                <w:b/>
              </w:rPr>
              <w:t>Total Burden Hours</w:t>
            </w:r>
          </w:p>
        </w:tc>
        <w:tc>
          <w:tcPr>
            <w:tcW w:w="900" w:type="dxa"/>
            <w:shd w:val="clear" w:color="auto" w:fill="D9D9D9" w:themeFill="background1" w:themeFillShade="D9"/>
            <w:vAlign w:val="center"/>
          </w:tcPr>
          <w:p w14:paraId="4A08DEA8" w14:textId="77777777" w:rsidR="007E6B52" w:rsidRPr="007E6B52" w:rsidRDefault="007E6B52" w:rsidP="007E6B52">
            <w:pPr>
              <w:ind w:left="0"/>
              <w:rPr>
                <w:b/>
              </w:rPr>
            </w:pPr>
            <w:r w:rsidRPr="007E6B52">
              <w:rPr>
                <w:b/>
              </w:rPr>
              <w:t>Hourly Wage Rate</w:t>
            </w:r>
          </w:p>
        </w:tc>
        <w:tc>
          <w:tcPr>
            <w:tcW w:w="1350" w:type="dxa"/>
            <w:shd w:val="clear" w:color="auto" w:fill="D9D9D9" w:themeFill="background1" w:themeFillShade="D9"/>
            <w:vAlign w:val="center"/>
          </w:tcPr>
          <w:p w14:paraId="5152AE12" w14:textId="77777777" w:rsidR="007E6B52" w:rsidRPr="007E6B52" w:rsidRDefault="007E6B52" w:rsidP="007E6B52">
            <w:pPr>
              <w:ind w:left="0"/>
              <w:rPr>
                <w:b/>
              </w:rPr>
            </w:pPr>
            <w:r w:rsidRPr="007E6B52">
              <w:rPr>
                <w:b/>
              </w:rPr>
              <w:t>Total Respondent Costs</w:t>
            </w:r>
          </w:p>
        </w:tc>
      </w:tr>
      <w:tr w:rsidR="007E6B52" w:rsidRPr="007E6B52" w14:paraId="69F89692" w14:textId="77777777" w:rsidTr="001D5869">
        <w:tc>
          <w:tcPr>
            <w:tcW w:w="1350" w:type="dxa"/>
            <w:tcBorders>
              <w:top w:val="nil"/>
              <w:left w:val="single" w:sz="8" w:space="0" w:color="auto"/>
              <w:bottom w:val="single" w:sz="8" w:space="0" w:color="auto"/>
              <w:right w:val="single" w:sz="8" w:space="0" w:color="auto"/>
            </w:tcBorders>
          </w:tcPr>
          <w:p w14:paraId="73268936" w14:textId="08AAD489" w:rsidR="007E6B52" w:rsidRPr="007E6B52" w:rsidRDefault="007E6B52" w:rsidP="007E6B52">
            <w:pPr>
              <w:ind w:left="0"/>
            </w:pPr>
            <w:r>
              <w:rPr>
                <w:sz w:val="20"/>
                <w:szCs w:val="20"/>
                <w:lang w:eastAsia="zh-CN"/>
              </w:rPr>
              <w:t xml:space="preserve">Contact Instrument </w:t>
            </w:r>
          </w:p>
        </w:tc>
        <w:tc>
          <w:tcPr>
            <w:tcW w:w="1350" w:type="dxa"/>
            <w:tcBorders>
              <w:top w:val="nil"/>
              <w:left w:val="nil"/>
              <w:bottom w:val="single" w:sz="8" w:space="0" w:color="auto"/>
              <w:right w:val="single" w:sz="8" w:space="0" w:color="auto"/>
            </w:tcBorders>
          </w:tcPr>
          <w:p w14:paraId="286AD747" w14:textId="7E585C81" w:rsidR="007E6B52" w:rsidRPr="007E6B52" w:rsidRDefault="007E6B52" w:rsidP="007E6B52">
            <w:pPr>
              <w:ind w:left="0"/>
            </w:pPr>
            <w:r>
              <w:rPr>
                <w:sz w:val="20"/>
                <w:szCs w:val="20"/>
              </w:rPr>
              <w:t>State Chronic Disease and Health Promotion Directors</w:t>
            </w:r>
          </w:p>
        </w:tc>
        <w:tc>
          <w:tcPr>
            <w:tcW w:w="1440" w:type="dxa"/>
            <w:tcBorders>
              <w:top w:val="nil"/>
              <w:left w:val="nil"/>
              <w:bottom w:val="single" w:sz="8" w:space="0" w:color="auto"/>
              <w:right w:val="single" w:sz="8" w:space="0" w:color="auto"/>
            </w:tcBorders>
          </w:tcPr>
          <w:p w14:paraId="25D17F9C" w14:textId="52AA9E19" w:rsidR="007E6B52" w:rsidRPr="007E6B52" w:rsidRDefault="007E6B52" w:rsidP="007E6B52">
            <w:pPr>
              <w:ind w:left="0"/>
            </w:pPr>
            <w:r>
              <w:rPr>
                <w:sz w:val="20"/>
                <w:szCs w:val="20"/>
              </w:rPr>
              <w:t>51</w:t>
            </w:r>
          </w:p>
        </w:tc>
        <w:tc>
          <w:tcPr>
            <w:tcW w:w="1440" w:type="dxa"/>
            <w:tcBorders>
              <w:top w:val="nil"/>
              <w:left w:val="nil"/>
              <w:bottom w:val="single" w:sz="8" w:space="0" w:color="auto"/>
              <w:right w:val="single" w:sz="8" w:space="0" w:color="auto"/>
            </w:tcBorders>
          </w:tcPr>
          <w:p w14:paraId="71193BB7" w14:textId="299F7BAC" w:rsidR="007E6B52" w:rsidRPr="007E6B52" w:rsidRDefault="007E6B52" w:rsidP="007E6B52">
            <w:pPr>
              <w:ind w:left="0"/>
            </w:pPr>
            <w:r>
              <w:rPr>
                <w:sz w:val="20"/>
                <w:szCs w:val="20"/>
              </w:rPr>
              <w:t>1</w:t>
            </w:r>
          </w:p>
        </w:tc>
        <w:tc>
          <w:tcPr>
            <w:tcW w:w="1530" w:type="dxa"/>
            <w:tcBorders>
              <w:top w:val="nil"/>
              <w:left w:val="nil"/>
              <w:bottom w:val="single" w:sz="8" w:space="0" w:color="auto"/>
              <w:right w:val="single" w:sz="8" w:space="0" w:color="auto"/>
            </w:tcBorders>
          </w:tcPr>
          <w:p w14:paraId="7014D696" w14:textId="2AA49E1B" w:rsidR="007E6B52" w:rsidRPr="007E6B52" w:rsidRDefault="001A1814" w:rsidP="007E6B52">
            <w:pPr>
              <w:ind w:left="0"/>
            </w:pPr>
            <w:r>
              <w:rPr>
                <w:sz w:val="20"/>
                <w:szCs w:val="20"/>
              </w:rPr>
              <w:t>4</w:t>
            </w:r>
            <w:r w:rsidR="007E6B52">
              <w:rPr>
                <w:sz w:val="20"/>
                <w:szCs w:val="20"/>
              </w:rPr>
              <w:t>/60</w:t>
            </w:r>
          </w:p>
        </w:tc>
        <w:tc>
          <w:tcPr>
            <w:tcW w:w="900" w:type="dxa"/>
            <w:tcBorders>
              <w:top w:val="nil"/>
              <w:left w:val="nil"/>
              <w:bottom w:val="single" w:sz="8" w:space="0" w:color="auto"/>
              <w:right w:val="single" w:sz="8" w:space="0" w:color="auto"/>
            </w:tcBorders>
          </w:tcPr>
          <w:p w14:paraId="6A79231D" w14:textId="6644E151" w:rsidR="007E6B52" w:rsidRPr="007E6B52" w:rsidRDefault="008D6198" w:rsidP="007E6B52">
            <w:pPr>
              <w:ind w:left="0"/>
            </w:pPr>
            <w:r>
              <w:rPr>
                <w:sz w:val="20"/>
                <w:szCs w:val="20"/>
              </w:rPr>
              <w:t>3.4</w:t>
            </w:r>
          </w:p>
        </w:tc>
        <w:tc>
          <w:tcPr>
            <w:tcW w:w="900" w:type="dxa"/>
            <w:tcBorders>
              <w:top w:val="nil"/>
              <w:left w:val="nil"/>
              <w:bottom w:val="single" w:sz="8" w:space="0" w:color="auto"/>
              <w:right w:val="single" w:sz="8" w:space="0" w:color="auto"/>
            </w:tcBorders>
          </w:tcPr>
          <w:p w14:paraId="4444FBA8" w14:textId="75B0995E" w:rsidR="007E6B52" w:rsidRPr="007E6B52" w:rsidRDefault="007E6B52" w:rsidP="007E6B52">
            <w:pPr>
              <w:ind w:left="0"/>
            </w:pPr>
            <w:r>
              <w:rPr>
                <w:sz w:val="20"/>
                <w:szCs w:val="20"/>
              </w:rPr>
              <w:t>$48</w:t>
            </w:r>
          </w:p>
        </w:tc>
        <w:tc>
          <w:tcPr>
            <w:tcW w:w="1350" w:type="dxa"/>
            <w:tcBorders>
              <w:top w:val="nil"/>
              <w:left w:val="nil"/>
              <w:bottom w:val="single" w:sz="8" w:space="0" w:color="auto"/>
              <w:right w:val="single" w:sz="8" w:space="0" w:color="auto"/>
            </w:tcBorders>
          </w:tcPr>
          <w:p w14:paraId="257739FE" w14:textId="020A5C6F" w:rsidR="007E6B52" w:rsidRPr="007E6B52" w:rsidRDefault="007E6B52" w:rsidP="008D6198">
            <w:pPr>
              <w:ind w:left="0"/>
            </w:pPr>
            <w:r>
              <w:rPr>
                <w:sz w:val="20"/>
                <w:szCs w:val="20"/>
              </w:rPr>
              <w:t>$</w:t>
            </w:r>
            <w:r w:rsidR="008D6198">
              <w:rPr>
                <w:sz w:val="20"/>
                <w:szCs w:val="20"/>
              </w:rPr>
              <w:t>163.20</w:t>
            </w:r>
          </w:p>
        </w:tc>
      </w:tr>
      <w:tr w:rsidR="007E6B52" w:rsidRPr="007E6B52" w14:paraId="79392C52" w14:textId="77777777" w:rsidTr="00075685">
        <w:trPr>
          <w:cantSplit/>
        </w:trPr>
        <w:tc>
          <w:tcPr>
            <w:tcW w:w="1350" w:type="dxa"/>
          </w:tcPr>
          <w:p w14:paraId="00B53BF4" w14:textId="77777777" w:rsidR="007E6B52" w:rsidRPr="00BB75DA" w:rsidRDefault="007E6B52" w:rsidP="007E6B52">
            <w:pPr>
              <w:ind w:left="0"/>
              <w:rPr>
                <w:sz w:val="20"/>
                <w:szCs w:val="20"/>
              </w:rPr>
            </w:pPr>
            <w:r w:rsidRPr="00BB75DA">
              <w:rPr>
                <w:sz w:val="20"/>
                <w:szCs w:val="20"/>
              </w:rPr>
              <w:t>NCCDPHP State Health Department Training Needs Assessment</w:t>
            </w:r>
          </w:p>
        </w:tc>
        <w:tc>
          <w:tcPr>
            <w:tcW w:w="1350" w:type="dxa"/>
            <w:vAlign w:val="center"/>
          </w:tcPr>
          <w:p w14:paraId="43C9BC1C" w14:textId="77777777" w:rsidR="007E6B52" w:rsidRPr="00BB75DA" w:rsidRDefault="007E6B52" w:rsidP="007E6B52">
            <w:pPr>
              <w:ind w:left="0"/>
              <w:rPr>
                <w:sz w:val="20"/>
                <w:szCs w:val="20"/>
              </w:rPr>
            </w:pPr>
            <w:r w:rsidRPr="00BB75DA">
              <w:rPr>
                <w:sz w:val="20"/>
                <w:szCs w:val="20"/>
              </w:rPr>
              <w:t>State Health Department Chronic Disease Program Managers</w:t>
            </w:r>
          </w:p>
        </w:tc>
        <w:tc>
          <w:tcPr>
            <w:tcW w:w="1440" w:type="dxa"/>
            <w:vAlign w:val="center"/>
          </w:tcPr>
          <w:p w14:paraId="2D42480E" w14:textId="77777777" w:rsidR="007E6B52" w:rsidRPr="00BB75DA" w:rsidRDefault="007E6B52" w:rsidP="007E6B52">
            <w:pPr>
              <w:ind w:left="0"/>
              <w:rPr>
                <w:sz w:val="20"/>
                <w:szCs w:val="20"/>
              </w:rPr>
            </w:pPr>
            <w:r w:rsidRPr="00BB75DA">
              <w:rPr>
                <w:sz w:val="20"/>
                <w:szCs w:val="20"/>
              </w:rPr>
              <w:t>102</w:t>
            </w:r>
          </w:p>
        </w:tc>
        <w:tc>
          <w:tcPr>
            <w:tcW w:w="1440" w:type="dxa"/>
            <w:vAlign w:val="center"/>
          </w:tcPr>
          <w:p w14:paraId="62D303C5" w14:textId="77777777" w:rsidR="007E6B52" w:rsidRPr="00BB75DA" w:rsidRDefault="007E6B52" w:rsidP="007E6B52">
            <w:pPr>
              <w:ind w:left="0"/>
              <w:rPr>
                <w:sz w:val="20"/>
                <w:szCs w:val="20"/>
              </w:rPr>
            </w:pPr>
            <w:r w:rsidRPr="00BB75DA">
              <w:rPr>
                <w:sz w:val="20"/>
                <w:szCs w:val="20"/>
              </w:rPr>
              <w:t>1</w:t>
            </w:r>
          </w:p>
        </w:tc>
        <w:tc>
          <w:tcPr>
            <w:tcW w:w="1530" w:type="dxa"/>
            <w:vAlign w:val="center"/>
          </w:tcPr>
          <w:p w14:paraId="54448FBB" w14:textId="77777777" w:rsidR="007E6B52" w:rsidRPr="00BB75DA" w:rsidRDefault="007E6B52" w:rsidP="007E6B52">
            <w:pPr>
              <w:ind w:left="0"/>
              <w:rPr>
                <w:sz w:val="20"/>
                <w:szCs w:val="20"/>
              </w:rPr>
            </w:pPr>
            <w:r w:rsidRPr="00BB75DA">
              <w:rPr>
                <w:sz w:val="20"/>
                <w:szCs w:val="20"/>
              </w:rPr>
              <w:t xml:space="preserve"> 30/60</w:t>
            </w:r>
          </w:p>
        </w:tc>
        <w:tc>
          <w:tcPr>
            <w:tcW w:w="900" w:type="dxa"/>
            <w:vAlign w:val="center"/>
          </w:tcPr>
          <w:p w14:paraId="654AD9BD" w14:textId="77777777" w:rsidR="007E6B52" w:rsidRPr="00BB75DA" w:rsidRDefault="007E6B52" w:rsidP="007E6B52">
            <w:pPr>
              <w:ind w:left="0"/>
              <w:rPr>
                <w:sz w:val="20"/>
                <w:szCs w:val="20"/>
              </w:rPr>
            </w:pPr>
            <w:r w:rsidRPr="00BB75DA">
              <w:rPr>
                <w:sz w:val="20"/>
                <w:szCs w:val="20"/>
              </w:rPr>
              <w:t>51</w:t>
            </w:r>
          </w:p>
        </w:tc>
        <w:tc>
          <w:tcPr>
            <w:tcW w:w="900" w:type="dxa"/>
            <w:vAlign w:val="center"/>
          </w:tcPr>
          <w:p w14:paraId="03901B94" w14:textId="77777777" w:rsidR="007E6B52" w:rsidRPr="00BB75DA" w:rsidRDefault="007E6B52" w:rsidP="007E6B52">
            <w:pPr>
              <w:ind w:left="0"/>
              <w:rPr>
                <w:sz w:val="20"/>
                <w:szCs w:val="20"/>
              </w:rPr>
            </w:pPr>
            <w:r w:rsidRPr="00BB75DA">
              <w:rPr>
                <w:sz w:val="20"/>
                <w:szCs w:val="20"/>
              </w:rPr>
              <w:t>$36.35</w:t>
            </w:r>
          </w:p>
        </w:tc>
        <w:tc>
          <w:tcPr>
            <w:tcW w:w="1350" w:type="dxa"/>
            <w:vAlign w:val="center"/>
          </w:tcPr>
          <w:p w14:paraId="4A7EB02B" w14:textId="77777777" w:rsidR="007E6B52" w:rsidRPr="00BB75DA" w:rsidRDefault="007E6B52" w:rsidP="007E6B52">
            <w:pPr>
              <w:ind w:left="0"/>
              <w:rPr>
                <w:sz w:val="20"/>
                <w:szCs w:val="20"/>
              </w:rPr>
            </w:pPr>
            <w:r w:rsidRPr="00BB75DA">
              <w:rPr>
                <w:sz w:val="20"/>
                <w:szCs w:val="20"/>
              </w:rPr>
              <w:t>$1,853.85</w:t>
            </w:r>
          </w:p>
        </w:tc>
      </w:tr>
      <w:tr w:rsidR="007E6B52" w:rsidRPr="007E6B52" w14:paraId="0C4D9B14" w14:textId="77777777" w:rsidTr="00BB75DA">
        <w:trPr>
          <w:cantSplit/>
        </w:trPr>
        <w:tc>
          <w:tcPr>
            <w:tcW w:w="1350" w:type="dxa"/>
          </w:tcPr>
          <w:p w14:paraId="216649AA" w14:textId="77777777" w:rsidR="007E6B52" w:rsidRPr="00BB75DA" w:rsidRDefault="007E6B52" w:rsidP="007E6B52">
            <w:pPr>
              <w:ind w:left="0"/>
              <w:rPr>
                <w:sz w:val="20"/>
                <w:szCs w:val="20"/>
              </w:rPr>
            </w:pPr>
            <w:r w:rsidRPr="00BB75DA">
              <w:rPr>
                <w:sz w:val="20"/>
                <w:szCs w:val="20"/>
              </w:rPr>
              <w:t>NCCDPHP State Health Department Training Needs Assessment</w:t>
            </w:r>
          </w:p>
        </w:tc>
        <w:tc>
          <w:tcPr>
            <w:tcW w:w="1350" w:type="dxa"/>
            <w:vAlign w:val="center"/>
          </w:tcPr>
          <w:p w14:paraId="6C24CC9B" w14:textId="77777777" w:rsidR="007E6B52" w:rsidRPr="00BB75DA" w:rsidRDefault="007E6B52" w:rsidP="007E6B52">
            <w:pPr>
              <w:ind w:left="0"/>
              <w:rPr>
                <w:sz w:val="20"/>
                <w:szCs w:val="20"/>
              </w:rPr>
            </w:pPr>
            <w:r w:rsidRPr="00BB75DA">
              <w:rPr>
                <w:sz w:val="20"/>
                <w:szCs w:val="20"/>
              </w:rPr>
              <w:t>State Health Department Chronic Disease Program Coordinator</w:t>
            </w:r>
          </w:p>
        </w:tc>
        <w:tc>
          <w:tcPr>
            <w:tcW w:w="1440" w:type="dxa"/>
            <w:vAlign w:val="center"/>
          </w:tcPr>
          <w:p w14:paraId="5ACA4BF2" w14:textId="77777777" w:rsidR="007E6B52" w:rsidRPr="00BB75DA" w:rsidRDefault="007E6B52" w:rsidP="007E6B52">
            <w:pPr>
              <w:ind w:left="0"/>
              <w:rPr>
                <w:sz w:val="20"/>
                <w:szCs w:val="20"/>
              </w:rPr>
            </w:pPr>
            <w:r w:rsidRPr="00BB75DA">
              <w:rPr>
                <w:sz w:val="20"/>
                <w:szCs w:val="20"/>
              </w:rPr>
              <w:t>102</w:t>
            </w:r>
          </w:p>
        </w:tc>
        <w:tc>
          <w:tcPr>
            <w:tcW w:w="1440" w:type="dxa"/>
            <w:vAlign w:val="center"/>
          </w:tcPr>
          <w:p w14:paraId="1DD063A6" w14:textId="77777777" w:rsidR="007E6B52" w:rsidRPr="00BB75DA" w:rsidRDefault="007E6B52" w:rsidP="007E6B52">
            <w:pPr>
              <w:ind w:left="0"/>
              <w:rPr>
                <w:sz w:val="20"/>
                <w:szCs w:val="20"/>
              </w:rPr>
            </w:pPr>
            <w:r w:rsidRPr="00BB75DA">
              <w:rPr>
                <w:sz w:val="20"/>
                <w:szCs w:val="20"/>
              </w:rPr>
              <w:t>1</w:t>
            </w:r>
          </w:p>
        </w:tc>
        <w:tc>
          <w:tcPr>
            <w:tcW w:w="1530" w:type="dxa"/>
            <w:vAlign w:val="center"/>
          </w:tcPr>
          <w:p w14:paraId="5E8B9DE3" w14:textId="77777777" w:rsidR="007E6B52" w:rsidRPr="00BB75DA" w:rsidRDefault="007E6B52" w:rsidP="007E6B52">
            <w:pPr>
              <w:ind w:left="0"/>
              <w:rPr>
                <w:sz w:val="20"/>
                <w:szCs w:val="20"/>
              </w:rPr>
            </w:pPr>
            <w:r w:rsidRPr="00BB75DA">
              <w:rPr>
                <w:sz w:val="20"/>
                <w:szCs w:val="20"/>
              </w:rPr>
              <w:t>30/60</w:t>
            </w:r>
          </w:p>
        </w:tc>
        <w:tc>
          <w:tcPr>
            <w:tcW w:w="900" w:type="dxa"/>
            <w:vAlign w:val="center"/>
          </w:tcPr>
          <w:p w14:paraId="2D34EB5A" w14:textId="77777777" w:rsidR="007E6B52" w:rsidRPr="00BB75DA" w:rsidRDefault="007E6B52" w:rsidP="007E6B52">
            <w:pPr>
              <w:ind w:left="0"/>
              <w:rPr>
                <w:sz w:val="20"/>
                <w:szCs w:val="20"/>
              </w:rPr>
            </w:pPr>
            <w:r w:rsidRPr="00BB75DA">
              <w:rPr>
                <w:sz w:val="20"/>
                <w:szCs w:val="20"/>
              </w:rPr>
              <w:t>51</w:t>
            </w:r>
          </w:p>
        </w:tc>
        <w:tc>
          <w:tcPr>
            <w:tcW w:w="900" w:type="dxa"/>
            <w:vAlign w:val="center"/>
          </w:tcPr>
          <w:p w14:paraId="6235A606" w14:textId="77777777" w:rsidR="007E6B52" w:rsidRPr="00BB75DA" w:rsidRDefault="007E6B52" w:rsidP="007E6B52">
            <w:pPr>
              <w:ind w:left="0"/>
              <w:rPr>
                <w:sz w:val="20"/>
                <w:szCs w:val="20"/>
              </w:rPr>
            </w:pPr>
            <w:r w:rsidRPr="00BB75DA">
              <w:rPr>
                <w:sz w:val="20"/>
                <w:szCs w:val="20"/>
              </w:rPr>
              <w:t>$32.00</w:t>
            </w:r>
          </w:p>
        </w:tc>
        <w:tc>
          <w:tcPr>
            <w:tcW w:w="1350" w:type="dxa"/>
            <w:vAlign w:val="center"/>
          </w:tcPr>
          <w:p w14:paraId="3F2F1536" w14:textId="77777777" w:rsidR="007E6B52" w:rsidRPr="00BB75DA" w:rsidRDefault="007E6B52" w:rsidP="007E6B52">
            <w:pPr>
              <w:ind w:left="0"/>
              <w:rPr>
                <w:sz w:val="20"/>
                <w:szCs w:val="20"/>
              </w:rPr>
            </w:pPr>
            <w:r w:rsidRPr="00BB75DA">
              <w:rPr>
                <w:sz w:val="20"/>
                <w:szCs w:val="20"/>
              </w:rPr>
              <w:t>$1,632.00</w:t>
            </w:r>
          </w:p>
        </w:tc>
      </w:tr>
      <w:tr w:rsidR="007E6B52" w:rsidRPr="007E6B52" w14:paraId="0A782AA1" w14:textId="77777777" w:rsidTr="001D5869">
        <w:tc>
          <w:tcPr>
            <w:tcW w:w="1350" w:type="dxa"/>
          </w:tcPr>
          <w:p w14:paraId="1842F54E" w14:textId="77777777" w:rsidR="007E6B52" w:rsidRPr="00BB75DA" w:rsidRDefault="007E6B52" w:rsidP="007E6B52">
            <w:pPr>
              <w:ind w:left="0"/>
              <w:rPr>
                <w:sz w:val="20"/>
                <w:szCs w:val="20"/>
              </w:rPr>
            </w:pPr>
            <w:r w:rsidRPr="00BB75DA">
              <w:rPr>
                <w:sz w:val="20"/>
                <w:szCs w:val="20"/>
              </w:rPr>
              <w:t xml:space="preserve">NCCDPHP State Health Department </w:t>
            </w:r>
            <w:r w:rsidRPr="00BB75DA">
              <w:rPr>
                <w:sz w:val="20"/>
                <w:szCs w:val="20"/>
              </w:rPr>
              <w:lastRenderedPageBreak/>
              <w:t>Training Needs Assessment</w:t>
            </w:r>
          </w:p>
        </w:tc>
        <w:tc>
          <w:tcPr>
            <w:tcW w:w="1350" w:type="dxa"/>
            <w:vAlign w:val="center"/>
          </w:tcPr>
          <w:p w14:paraId="5BC97D29" w14:textId="77777777" w:rsidR="007E6B52" w:rsidRPr="00BB75DA" w:rsidRDefault="007E6B52" w:rsidP="007E6B52">
            <w:pPr>
              <w:ind w:left="0"/>
              <w:rPr>
                <w:sz w:val="20"/>
                <w:szCs w:val="20"/>
              </w:rPr>
            </w:pPr>
            <w:r w:rsidRPr="00BB75DA">
              <w:rPr>
                <w:sz w:val="20"/>
                <w:szCs w:val="20"/>
              </w:rPr>
              <w:lastRenderedPageBreak/>
              <w:t xml:space="preserve">State Health Department Chronic </w:t>
            </w:r>
            <w:r w:rsidRPr="00BB75DA">
              <w:rPr>
                <w:sz w:val="20"/>
                <w:szCs w:val="20"/>
              </w:rPr>
              <w:lastRenderedPageBreak/>
              <w:t>Disease Health Education Specialist</w:t>
            </w:r>
          </w:p>
        </w:tc>
        <w:tc>
          <w:tcPr>
            <w:tcW w:w="1440" w:type="dxa"/>
            <w:vAlign w:val="center"/>
          </w:tcPr>
          <w:p w14:paraId="5BD38734" w14:textId="77777777" w:rsidR="007E6B52" w:rsidRPr="00BB75DA" w:rsidRDefault="007E6B52" w:rsidP="007E6B52">
            <w:pPr>
              <w:ind w:left="0"/>
              <w:rPr>
                <w:sz w:val="20"/>
                <w:szCs w:val="20"/>
              </w:rPr>
            </w:pPr>
            <w:r w:rsidRPr="00BB75DA">
              <w:rPr>
                <w:sz w:val="20"/>
                <w:szCs w:val="20"/>
              </w:rPr>
              <w:lastRenderedPageBreak/>
              <w:t>102</w:t>
            </w:r>
          </w:p>
        </w:tc>
        <w:tc>
          <w:tcPr>
            <w:tcW w:w="1440" w:type="dxa"/>
            <w:vAlign w:val="center"/>
          </w:tcPr>
          <w:p w14:paraId="5CF6B2A7" w14:textId="77777777" w:rsidR="007E6B52" w:rsidRPr="00BB75DA" w:rsidRDefault="007E6B52" w:rsidP="007E6B52">
            <w:pPr>
              <w:ind w:left="0"/>
              <w:rPr>
                <w:sz w:val="20"/>
                <w:szCs w:val="20"/>
              </w:rPr>
            </w:pPr>
            <w:r w:rsidRPr="00BB75DA">
              <w:rPr>
                <w:sz w:val="20"/>
                <w:szCs w:val="20"/>
              </w:rPr>
              <w:t>1</w:t>
            </w:r>
          </w:p>
        </w:tc>
        <w:tc>
          <w:tcPr>
            <w:tcW w:w="1530" w:type="dxa"/>
            <w:vAlign w:val="center"/>
          </w:tcPr>
          <w:p w14:paraId="7F30858F" w14:textId="77777777" w:rsidR="007E6B52" w:rsidRPr="00BB75DA" w:rsidRDefault="007E6B52" w:rsidP="007E6B52">
            <w:pPr>
              <w:ind w:left="0"/>
              <w:rPr>
                <w:sz w:val="20"/>
                <w:szCs w:val="20"/>
              </w:rPr>
            </w:pPr>
            <w:r w:rsidRPr="00BB75DA">
              <w:rPr>
                <w:sz w:val="20"/>
                <w:szCs w:val="20"/>
              </w:rPr>
              <w:t>30/60</w:t>
            </w:r>
          </w:p>
        </w:tc>
        <w:tc>
          <w:tcPr>
            <w:tcW w:w="900" w:type="dxa"/>
            <w:vAlign w:val="center"/>
          </w:tcPr>
          <w:p w14:paraId="0380B770" w14:textId="77777777" w:rsidR="007E6B52" w:rsidRPr="00BB75DA" w:rsidRDefault="007E6B52" w:rsidP="007E6B52">
            <w:pPr>
              <w:ind w:left="0"/>
              <w:rPr>
                <w:sz w:val="20"/>
                <w:szCs w:val="20"/>
              </w:rPr>
            </w:pPr>
            <w:r w:rsidRPr="00BB75DA">
              <w:rPr>
                <w:sz w:val="20"/>
                <w:szCs w:val="20"/>
              </w:rPr>
              <w:t>51</w:t>
            </w:r>
          </w:p>
        </w:tc>
        <w:tc>
          <w:tcPr>
            <w:tcW w:w="900" w:type="dxa"/>
            <w:vAlign w:val="center"/>
          </w:tcPr>
          <w:p w14:paraId="7C09FA28" w14:textId="77777777" w:rsidR="007E6B52" w:rsidRPr="00BB75DA" w:rsidRDefault="007E6B52" w:rsidP="007E6B52">
            <w:pPr>
              <w:ind w:left="0"/>
              <w:rPr>
                <w:sz w:val="20"/>
                <w:szCs w:val="20"/>
              </w:rPr>
            </w:pPr>
            <w:r w:rsidRPr="00BB75DA">
              <w:rPr>
                <w:sz w:val="20"/>
                <w:szCs w:val="20"/>
              </w:rPr>
              <w:t>$27.52</w:t>
            </w:r>
          </w:p>
        </w:tc>
        <w:tc>
          <w:tcPr>
            <w:tcW w:w="1350" w:type="dxa"/>
            <w:vAlign w:val="center"/>
          </w:tcPr>
          <w:p w14:paraId="25CED2C2" w14:textId="77777777" w:rsidR="007E6B52" w:rsidRPr="00BB75DA" w:rsidRDefault="007E6B52" w:rsidP="007E6B52">
            <w:pPr>
              <w:ind w:left="0"/>
              <w:rPr>
                <w:sz w:val="20"/>
                <w:szCs w:val="20"/>
              </w:rPr>
            </w:pPr>
            <w:r w:rsidRPr="00BB75DA">
              <w:rPr>
                <w:sz w:val="20"/>
                <w:szCs w:val="20"/>
              </w:rPr>
              <w:t>$1,403.52</w:t>
            </w:r>
          </w:p>
        </w:tc>
      </w:tr>
      <w:tr w:rsidR="007E6B52" w:rsidRPr="007E6B52" w14:paraId="1E3EC990" w14:textId="77777777" w:rsidTr="00F53F42">
        <w:trPr>
          <w:trHeight w:hRule="exact" w:val="622"/>
        </w:trPr>
        <w:tc>
          <w:tcPr>
            <w:tcW w:w="1350" w:type="dxa"/>
          </w:tcPr>
          <w:p w14:paraId="3F082746" w14:textId="77777777" w:rsidR="007E6B52" w:rsidRPr="007E6B52" w:rsidRDefault="007E6B52" w:rsidP="007E6B52">
            <w:pPr>
              <w:ind w:left="0"/>
              <w:rPr>
                <w:b/>
              </w:rPr>
            </w:pPr>
          </w:p>
        </w:tc>
        <w:tc>
          <w:tcPr>
            <w:tcW w:w="1350" w:type="dxa"/>
            <w:vAlign w:val="center"/>
          </w:tcPr>
          <w:p w14:paraId="36D77887" w14:textId="77777777" w:rsidR="007E6B52" w:rsidRPr="007E6B52" w:rsidRDefault="007E6B52" w:rsidP="007E6B52">
            <w:pPr>
              <w:ind w:left="0"/>
              <w:rPr>
                <w:b/>
              </w:rPr>
            </w:pPr>
            <w:r w:rsidRPr="007E6B52">
              <w:rPr>
                <w:b/>
              </w:rPr>
              <w:t>TOTALS</w:t>
            </w:r>
          </w:p>
        </w:tc>
        <w:tc>
          <w:tcPr>
            <w:tcW w:w="1440" w:type="dxa"/>
            <w:vAlign w:val="center"/>
          </w:tcPr>
          <w:p w14:paraId="0337B38E" w14:textId="77777777" w:rsidR="007E6B52" w:rsidRPr="007E6B52" w:rsidRDefault="007E6B52" w:rsidP="007E6B52">
            <w:pPr>
              <w:ind w:left="0"/>
              <w:rPr>
                <w:b/>
              </w:rPr>
            </w:pPr>
            <w:r w:rsidRPr="007E6B52">
              <w:rPr>
                <w:b/>
              </w:rPr>
              <w:t>357</w:t>
            </w:r>
          </w:p>
        </w:tc>
        <w:tc>
          <w:tcPr>
            <w:tcW w:w="1440" w:type="dxa"/>
            <w:shd w:val="clear" w:color="auto" w:fill="auto"/>
            <w:vAlign w:val="center"/>
          </w:tcPr>
          <w:p w14:paraId="0AF00044" w14:textId="77777777" w:rsidR="007E6B52" w:rsidRPr="007E6B52" w:rsidRDefault="007E6B52" w:rsidP="007E6B52">
            <w:pPr>
              <w:ind w:left="0"/>
              <w:rPr>
                <w:b/>
              </w:rPr>
            </w:pPr>
            <w:r w:rsidRPr="007E6B52">
              <w:rPr>
                <w:b/>
              </w:rPr>
              <w:t>1</w:t>
            </w:r>
          </w:p>
        </w:tc>
        <w:tc>
          <w:tcPr>
            <w:tcW w:w="1530" w:type="dxa"/>
            <w:shd w:val="clear" w:color="auto" w:fill="D9D9D9" w:themeFill="background1" w:themeFillShade="D9"/>
            <w:vAlign w:val="center"/>
          </w:tcPr>
          <w:p w14:paraId="3446F497" w14:textId="77777777" w:rsidR="007E6B52" w:rsidRPr="007E6B52" w:rsidRDefault="007E6B52" w:rsidP="007E6B52">
            <w:pPr>
              <w:ind w:left="0"/>
              <w:rPr>
                <w:b/>
              </w:rPr>
            </w:pPr>
          </w:p>
        </w:tc>
        <w:tc>
          <w:tcPr>
            <w:tcW w:w="900" w:type="dxa"/>
            <w:vAlign w:val="center"/>
          </w:tcPr>
          <w:p w14:paraId="2122250E" w14:textId="2057BFFD" w:rsidR="007E6B52" w:rsidRPr="007E6B52" w:rsidRDefault="007E6B52" w:rsidP="00522FF4">
            <w:pPr>
              <w:ind w:left="0"/>
              <w:rPr>
                <w:b/>
              </w:rPr>
            </w:pPr>
            <w:r w:rsidRPr="007E6B52">
              <w:rPr>
                <w:b/>
              </w:rPr>
              <w:t>1</w:t>
            </w:r>
            <w:r w:rsidR="00522FF4">
              <w:rPr>
                <w:b/>
              </w:rPr>
              <w:t>56</w:t>
            </w:r>
          </w:p>
        </w:tc>
        <w:tc>
          <w:tcPr>
            <w:tcW w:w="900" w:type="dxa"/>
            <w:shd w:val="clear" w:color="auto" w:fill="D9D9D9" w:themeFill="background1" w:themeFillShade="D9"/>
            <w:vAlign w:val="center"/>
          </w:tcPr>
          <w:p w14:paraId="35F45D5F" w14:textId="77777777" w:rsidR="007E6B52" w:rsidRPr="007E6B52" w:rsidRDefault="007E6B52" w:rsidP="007E6B52">
            <w:pPr>
              <w:ind w:left="0"/>
              <w:rPr>
                <w:b/>
              </w:rPr>
            </w:pPr>
          </w:p>
        </w:tc>
        <w:tc>
          <w:tcPr>
            <w:tcW w:w="1350" w:type="dxa"/>
            <w:vAlign w:val="center"/>
          </w:tcPr>
          <w:p w14:paraId="7AAEC815" w14:textId="241AD795" w:rsidR="007E6B52" w:rsidRPr="007E6B52" w:rsidRDefault="007E6B52" w:rsidP="008D6198">
            <w:pPr>
              <w:ind w:left="0"/>
              <w:rPr>
                <w:b/>
              </w:rPr>
            </w:pPr>
            <w:r w:rsidRPr="007E6B52">
              <w:rPr>
                <w:b/>
              </w:rPr>
              <w:t>$</w:t>
            </w:r>
            <w:r w:rsidR="00921A73">
              <w:rPr>
                <w:b/>
              </w:rPr>
              <w:t>5053</w:t>
            </w:r>
          </w:p>
        </w:tc>
      </w:tr>
    </w:tbl>
    <w:p w14:paraId="340EF7BC" w14:textId="77777777" w:rsidR="007E6B52" w:rsidRDefault="007E6B52" w:rsidP="000058E0">
      <w:pPr>
        <w:ind w:left="0"/>
      </w:pPr>
    </w:p>
    <w:p w14:paraId="37CE0B67" w14:textId="77777777" w:rsidR="002F1502" w:rsidRDefault="002F1502" w:rsidP="00441CC3">
      <w:pPr>
        <w:ind w:left="0"/>
      </w:pPr>
    </w:p>
    <w:p w14:paraId="76983A2B" w14:textId="77777777" w:rsidR="00B12F51" w:rsidRPr="0088467A" w:rsidRDefault="0088467A" w:rsidP="00692DEB">
      <w:pPr>
        <w:pStyle w:val="Heading4"/>
      </w:pPr>
      <w:bookmarkStart w:id="15" w:name="_Toc413847763"/>
      <w:r w:rsidRPr="0088467A">
        <w:t>Estimates of Other Total Annual Cost Burden to Respondents or Record Keepers</w:t>
      </w:r>
      <w:bookmarkEnd w:id="15"/>
    </w:p>
    <w:p w14:paraId="48FC75F6" w14:textId="77777777" w:rsidR="003C31C9" w:rsidRPr="00040611" w:rsidRDefault="003C31C9" w:rsidP="00692DEB">
      <w:pPr>
        <w:ind w:left="0"/>
      </w:pPr>
      <w:r w:rsidRPr="003C31C9">
        <w:t xml:space="preserve">There will be no </w:t>
      </w:r>
      <w:r w:rsidRPr="00040611">
        <w:t xml:space="preserve">direct costs to the respondents other than their time to participate in each </w:t>
      </w:r>
      <w:r w:rsidR="00157413" w:rsidRPr="008C59E7">
        <w:t>information collection</w:t>
      </w:r>
      <w:r w:rsidRPr="008C59E7">
        <w:t>.</w:t>
      </w:r>
    </w:p>
    <w:p w14:paraId="18463F67" w14:textId="77777777" w:rsidR="00911486" w:rsidRDefault="00911486" w:rsidP="00692DEB">
      <w:pPr>
        <w:ind w:left="0"/>
      </w:pPr>
    </w:p>
    <w:p w14:paraId="59FB0E82" w14:textId="77777777" w:rsidR="00B12F51" w:rsidRPr="0088467A" w:rsidRDefault="0088467A" w:rsidP="00692DEB">
      <w:pPr>
        <w:pStyle w:val="Heading4"/>
      </w:pPr>
      <w:bookmarkStart w:id="16" w:name="_Toc413847764"/>
      <w:r w:rsidRPr="0088467A">
        <w:t>Annualized Cost to the Government</w:t>
      </w:r>
      <w:bookmarkEnd w:id="16"/>
      <w:r w:rsidR="00D75750">
        <w:t xml:space="preserve"> </w:t>
      </w:r>
    </w:p>
    <w:p w14:paraId="7D8FE2D7" w14:textId="3BAAC0EE" w:rsidR="00075685" w:rsidRPr="006225DC" w:rsidRDefault="000058E0" w:rsidP="00692DEB">
      <w:pPr>
        <w:ind w:left="0"/>
      </w:pPr>
      <w:r w:rsidRPr="000E58F5">
        <w:rPr>
          <w:rFonts w:cs="Arial"/>
        </w:rPr>
        <w:t xml:space="preserve">There are no equipment or overhead costs.  Contractors, however, are being used to support development of the assessment tool, data collection, and data analysis. The only cost to the federal government would be </w:t>
      </w:r>
      <w:r w:rsidRPr="00B01A37">
        <w:rPr>
          <w:rFonts w:cs="Arial"/>
        </w:rPr>
        <w:t>the salary of CDC staff and contractors. The total estimated cost to the federal government is</w:t>
      </w:r>
      <w:r w:rsidR="008C59E7" w:rsidRPr="00B01A37">
        <w:rPr>
          <w:rFonts w:cs="Arial"/>
        </w:rPr>
        <w:t xml:space="preserve"> </w:t>
      </w:r>
      <w:r w:rsidR="00FF01EC" w:rsidRPr="00B01A37">
        <w:rPr>
          <w:rFonts w:cs="Arial"/>
        </w:rPr>
        <w:t>$</w:t>
      </w:r>
      <w:r w:rsidR="00064C9D">
        <w:rPr>
          <w:rFonts w:cs="Arial"/>
        </w:rPr>
        <w:t>15,148</w:t>
      </w:r>
      <w:r w:rsidRPr="00B01A37">
        <w:rPr>
          <w:rFonts w:cs="Arial"/>
        </w:rPr>
        <w:t xml:space="preserve">. Table A-14 </w:t>
      </w:r>
      <w:r w:rsidRPr="000E58F5">
        <w:rPr>
          <w:rFonts w:cs="Arial"/>
        </w:rPr>
        <w:t>describes how this cost estimate was calculated.</w:t>
      </w:r>
    </w:p>
    <w:p w14:paraId="3306357E" w14:textId="77777777" w:rsidR="009F627E" w:rsidRDefault="009F627E" w:rsidP="00692DEB">
      <w:pPr>
        <w:ind w:left="0"/>
        <w:rPr>
          <w:b/>
          <w:u w:val="single"/>
        </w:rPr>
      </w:pPr>
    </w:p>
    <w:p w14:paraId="47B64864" w14:textId="4FEBD4B5" w:rsidR="003C31C9" w:rsidRPr="00D75750" w:rsidRDefault="008E0683" w:rsidP="00692DEB">
      <w:pPr>
        <w:ind w:left="0"/>
      </w:pPr>
      <w:r w:rsidRPr="00692DEB">
        <w:rPr>
          <w:b/>
          <w:u w:val="single"/>
        </w:rPr>
        <w:t>Table A-14</w:t>
      </w:r>
      <w:r w:rsidRPr="00692DEB">
        <w:rPr>
          <w:b/>
        </w:rPr>
        <w:t>:</w:t>
      </w:r>
      <w:r w:rsidRPr="008E0683">
        <w:t xml:space="preserve"> Estimated Annualized Cost to the Federal Government</w:t>
      </w:r>
    </w:p>
    <w:p w14:paraId="468D0B76" w14:textId="0E12AB0C" w:rsidR="00075685" w:rsidRDefault="00075685" w:rsidP="00075685">
      <w:pPr>
        <w:rPr>
          <w:rFonts w:ascii="Cambria" w:hAnsi="Cambria"/>
        </w:rPr>
      </w:pPr>
    </w:p>
    <w:tbl>
      <w:tblPr>
        <w:tblW w:w="0" w:type="auto"/>
        <w:tblCellMar>
          <w:left w:w="0" w:type="dxa"/>
          <w:right w:w="0" w:type="dxa"/>
        </w:tblCellMar>
        <w:tblLook w:val="04A0" w:firstRow="1" w:lastRow="0" w:firstColumn="1" w:lastColumn="0" w:noHBand="0" w:noVBand="1"/>
      </w:tblPr>
      <w:tblGrid>
        <w:gridCol w:w="3756"/>
        <w:gridCol w:w="1919"/>
        <w:gridCol w:w="1166"/>
        <w:gridCol w:w="363"/>
        <w:gridCol w:w="362"/>
        <w:gridCol w:w="1774"/>
      </w:tblGrid>
      <w:tr w:rsidR="00075685" w14:paraId="7C5E2D47" w14:textId="77777777" w:rsidTr="00264A78">
        <w:trPr>
          <w:trHeight w:val="593"/>
        </w:trPr>
        <w:tc>
          <w:tcPr>
            <w:tcW w:w="3756" w:type="dxa"/>
            <w:tcBorders>
              <w:top w:val="single" w:sz="8" w:space="0" w:color="auto"/>
              <w:left w:val="single" w:sz="8" w:space="0" w:color="auto"/>
              <w:bottom w:val="single" w:sz="12" w:space="0" w:color="auto"/>
              <w:right w:val="single" w:sz="8" w:space="0" w:color="auto"/>
            </w:tcBorders>
            <w:shd w:val="clear" w:color="auto" w:fill="D9D9D9"/>
            <w:tcMar>
              <w:top w:w="0" w:type="dxa"/>
              <w:left w:w="108" w:type="dxa"/>
              <w:bottom w:w="0" w:type="dxa"/>
              <w:right w:w="108" w:type="dxa"/>
            </w:tcMar>
            <w:vAlign w:val="center"/>
            <w:hideMark/>
          </w:tcPr>
          <w:p w14:paraId="2BFD83D0" w14:textId="77777777" w:rsidR="00075685" w:rsidRDefault="00075685">
            <w:pPr>
              <w:spacing w:line="252" w:lineRule="auto"/>
              <w:jc w:val="center"/>
              <w:rPr>
                <w:rFonts w:ascii="Cambria" w:hAnsi="Cambria"/>
                <w:b/>
                <w:bCs/>
                <w:sz w:val="20"/>
                <w:szCs w:val="20"/>
              </w:rPr>
            </w:pPr>
            <w:r>
              <w:rPr>
                <w:rFonts w:ascii="Cambria" w:hAnsi="Cambria"/>
                <w:b/>
                <w:bCs/>
                <w:sz w:val="20"/>
                <w:szCs w:val="20"/>
              </w:rPr>
              <w:t>Staff (FTE)</w:t>
            </w:r>
          </w:p>
        </w:tc>
        <w:tc>
          <w:tcPr>
            <w:tcW w:w="1919" w:type="dxa"/>
            <w:tcBorders>
              <w:top w:val="single" w:sz="8" w:space="0" w:color="auto"/>
              <w:left w:val="nil"/>
              <w:bottom w:val="single" w:sz="12" w:space="0" w:color="auto"/>
              <w:right w:val="single" w:sz="8" w:space="0" w:color="auto"/>
            </w:tcBorders>
            <w:shd w:val="clear" w:color="auto" w:fill="D9D9D9"/>
            <w:tcMar>
              <w:top w:w="0" w:type="dxa"/>
              <w:left w:w="108" w:type="dxa"/>
              <w:bottom w:w="0" w:type="dxa"/>
              <w:right w:w="108" w:type="dxa"/>
            </w:tcMar>
            <w:vAlign w:val="center"/>
            <w:hideMark/>
          </w:tcPr>
          <w:p w14:paraId="37B68327" w14:textId="77777777" w:rsidR="00075685" w:rsidRDefault="00075685">
            <w:pPr>
              <w:spacing w:line="252" w:lineRule="auto"/>
              <w:jc w:val="center"/>
              <w:rPr>
                <w:rFonts w:ascii="Cambria" w:hAnsi="Cambria"/>
                <w:b/>
                <w:bCs/>
                <w:sz w:val="20"/>
                <w:szCs w:val="20"/>
              </w:rPr>
            </w:pPr>
            <w:r>
              <w:rPr>
                <w:rFonts w:ascii="Cambria" w:hAnsi="Cambria"/>
                <w:b/>
                <w:bCs/>
                <w:sz w:val="20"/>
                <w:szCs w:val="20"/>
              </w:rPr>
              <w:t>Average Hours per Collection</w:t>
            </w:r>
          </w:p>
        </w:tc>
        <w:tc>
          <w:tcPr>
            <w:tcW w:w="1891" w:type="dxa"/>
            <w:gridSpan w:val="3"/>
            <w:tcBorders>
              <w:top w:val="single" w:sz="8" w:space="0" w:color="auto"/>
              <w:left w:val="nil"/>
              <w:bottom w:val="single" w:sz="12" w:space="0" w:color="auto"/>
              <w:right w:val="single" w:sz="8" w:space="0" w:color="auto"/>
            </w:tcBorders>
            <w:shd w:val="clear" w:color="auto" w:fill="D9D9D9"/>
            <w:tcMar>
              <w:top w:w="0" w:type="dxa"/>
              <w:left w:w="108" w:type="dxa"/>
              <w:bottom w:w="0" w:type="dxa"/>
              <w:right w:w="108" w:type="dxa"/>
            </w:tcMar>
            <w:vAlign w:val="center"/>
            <w:hideMark/>
          </w:tcPr>
          <w:p w14:paraId="6FD238AC" w14:textId="77777777" w:rsidR="00075685" w:rsidRDefault="00075685">
            <w:pPr>
              <w:spacing w:line="252" w:lineRule="auto"/>
              <w:jc w:val="center"/>
              <w:rPr>
                <w:rFonts w:ascii="Cambria" w:hAnsi="Cambria"/>
                <w:b/>
                <w:bCs/>
                <w:sz w:val="20"/>
                <w:szCs w:val="20"/>
              </w:rPr>
            </w:pPr>
            <w:r>
              <w:rPr>
                <w:rFonts w:ascii="Cambria" w:hAnsi="Cambria"/>
                <w:b/>
                <w:bCs/>
                <w:sz w:val="20"/>
                <w:szCs w:val="20"/>
              </w:rPr>
              <w:t>Average Hourly Rate</w:t>
            </w:r>
          </w:p>
        </w:tc>
        <w:tc>
          <w:tcPr>
            <w:tcW w:w="1774" w:type="dxa"/>
            <w:tcBorders>
              <w:top w:val="single" w:sz="8" w:space="0" w:color="auto"/>
              <w:left w:val="nil"/>
              <w:bottom w:val="single" w:sz="12" w:space="0" w:color="auto"/>
              <w:right w:val="single" w:sz="8" w:space="0" w:color="auto"/>
            </w:tcBorders>
            <w:shd w:val="clear" w:color="auto" w:fill="D9D9D9"/>
            <w:tcMar>
              <w:top w:w="0" w:type="dxa"/>
              <w:left w:w="108" w:type="dxa"/>
              <w:bottom w:w="0" w:type="dxa"/>
              <w:right w:w="108" w:type="dxa"/>
            </w:tcMar>
            <w:vAlign w:val="center"/>
            <w:hideMark/>
          </w:tcPr>
          <w:p w14:paraId="6ED4FF97" w14:textId="77777777" w:rsidR="00075685" w:rsidRDefault="00075685">
            <w:pPr>
              <w:spacing w:line="252" w:lineRule="auto"/>
              <w:jc w:val="center"/>
              <w:rPr>
                <w:rFonts w:ascii="Cambria" w:hAnsi="Cambria"/>
                <w:b/>
                <w:bCs/>
                <w:sz w:val="20"/>
                <w:szCs w:val="20"/>
              </w:rPr>
            </w:pPr>
            <w:r>
              <w:rPr>
                <w:rFonts w:ascii="Cambria" w:hAnsi="Cambria"/>
                <w:b/>
                <w:bCs/>
                <w:sz w:val="20"/>
                <w:szCs w:val="20"/>
              </w:rPr>
              <w:t>Average Cost</w:t>
            </w:r>
          </w:p>
        </w:tc>
      </w:tr>
      <w:tr w:rsidR="00075685" w14:paraId="5E81C908" w14:textId="77777777" w:rsidTr="00264A78">
        <w:tc>
          <w:tcPr>
            <w:tcW w:w="37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FBEC83" w14:textId="77777777" w:rsidR="00075685" w:rsidRPr="00075685" w:rsidRDefault="00075685">
            <w:pPr>
              <w:spacing w:line="252" w:lineRule="auto"/>
              <w:jc w:val="both"/>
              <w:rPr>
                <w:rFonts w:ascii="Cambria" w:hAnsi="Cambria"/>
                <w:sz w:val="20"/>
                <w:szCs w:val="20"/>
              </w:rPr>
            </w:pPr>
            <w:r w:rsidRPr="00075685">
              <w:rPr>
                <w:rFonts w:ascii="Cambria" w:hAnsi="Cambria"/>
                <w:sz w:val="20"/>
                <w:szCs w:val="20"/>
              </w:rPr>
              <w:t>Health Education Specialist GS-13 (project management and oversight)</w:t>
            </w:r>
          </w:p>
        </w:tc>
        <w:tc>
          <w:tcPr>
            <w:tcW w:w="1919" w:type="dxa"/>
            <w:tcBorders>
              <w:top w:val="nil"/>
              <w:left w:val="nil"/>
              <w:bottom w:val="single" w:sz="8" w:space="0" w:color="auto"/>
              <w:right w:val="single" w:sz="8" w:space="0" w:color="auto"/>
            </w:tcBorders>
            <w:tcMar>
              <w:top w:w="0" w:type="dxa"/>
              <w:left w:w="108" w:type="dxa"/>
              <w:bottom w:w="0" w:type="dxa"/>
              <w:right w:w="108" w:type="dxa"/>
            </w:tcMar>
            <w:hideMark/>
          </w:tcPr>
          <w:p w14:paraId="32AD30D6" w14:textId="77777777" w:rsidR="00075685" w:rsidRPr="00075685" w:rsidRDefault="00075685">
            <w:pPr>
              <w:spacing w:line="252" w:lineRule="auto"/>
              <w:jc w:val="center"/>
              <w:rPr>
                <w:rFonts w:ascii="Cambria" w:hAnsi="Cambria"/>
                <w:sz w:val="20"/>
                <w:szCs w:val="20"/>
              </w:rPr>
            </w:pPr>
            <w:r w:rsidRPr="00075685">
              <w:rPr>
                <w:rFonts w:ascii="Cambria" w:hAnsi="Cambria"/>
                <w:sz w:val="20"/>
                <w:szCs w:val="20"/>
              </w:rPr>
              <w:t>25</w:t>
            </w:r>
          </w:p>
        </w:tc>
        <w:tc>
          <w:tcPr>
            <w:tcW w:w="1891"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39375404" w14:textId="77777777" w:rsidR="00075685" w:rsidRPr="00075685" w:rsidRDefault="00075685">
            <w:pPr>
              <w:spacing w:line="252" w:lineRule="auto"/>
              <w:jc w:val="center"/>
              <w:rPr>
                <w:rFonts w:ascii="Cambria" w:hAnsi="Cambria"/>
                <w:sz w:val="20"/>
                <w:szCs w:val="20"/>
              </w:rPr>
            </w:pPr>
            <w:r w:rsidRPr="00075685">
              <w:rPr>
                <w:rFonts w:ascii="Cambria" w:hAnsi="Cambria"/>
                <w:sz w:val="20"/>
                <w:szCs w:val="20"/>
              </w:rPr>
              <w:t>$47.00</w:t>
            </w:r>
          </w:p>
        </w:tc>
        <w:tc>
          <w:tcPr>
            <w:tcW w:w="1774" w:type="dxa"/>
            <w:tcBorders>
              <w:top w:val="nil"/>
              <w:left w:val="nil"/>
              <w:bottom w:val="single" w:sz="8" w:space="0" w:color="auto"/>
              <w:right w:val="single" w:sz="8" w:space="0" w:color="auto"/>
            </w:tcBorders>
            <w:tcMar>
              <w:top w:w="0" w:type="dxa"/>
              <w:left w:w="108" w:type="dxa"/>
              <w:bottom w:w="0" w:type="dxa"/>
              <w:right w:w="108" w:type="dxa"/>
            </w:tcMar>
          </w:tcPr>
          <w:p w14:paraId="1A9EE1DE" w14:textId="77777777" w:rsidR="00075685" w:rsidRPr="00075685" w:rsidRDefault="00075685" w:rsidP="009F627E">
            <w:pPr>
              <w:autoSpaceDE w:val="0"/>
              <w:autoSpaceDN w:val="0"/>
              <w:spacing w:line="252" w:lineRule="auto"/>
              <w:ind w:left="309" w:right="-18"/>
              <w:jc w:val="right"/>
              <w:rPr>
                <w:rFonts w:ascii="Cambria" w:hAnsi="Cambria"/>
                <w:sz w:val="20"/>
                <w:szCs w:val="20"/>
              </w:rPr>
            </w:pPr>
            <w:r w:rsidRPr="00075685">
              <w:rPr>
                <w:rFonts w:ascii="Cambria" w:hAnsi="Cambria"/>
                <w:sz w:val="20"/>
                <w:szCs w:val="20"/>
              </w:rPr>
              <w:t>$1,175</w:t>
            </w:r>
          </w:p>
          <w:p w14:paraId="5C4BAEE7" w14:textId="77777777" w:rsidR="00075685" w:rsidRPr="00075685" w:rsidRDefault="00075685">
            <w:pPr>
              <w:spacing w:line="252" w:lineRule="auto"/>
              <w:jc w:val="center"/>
              <w:rPr>
                <w:rFonts w:ascii="Cambria" w:hAnsi="Cambria"/>
                <w:sz w:val="20"/>
                <w:szCs w:val="20"/>
              </w:rPr>
            </w:pPr>
          </w:p>
        </w:tc>
      </w:tr>
      <w:tr w:rsidR="00075685" w14:paraId="23DFC625" w14:textId="77777777" w:rsidTr="00264A78">
        <w:tc>
          <w:tcPr>
            <w:tcW w:w="37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B3645F" w14:textId="33D54E87" w:rsidR="00075685" w:rsidRPr="00075685" w:rsidRDefault="00075685">
            <w:pPr>
              <w:spacing w:line="252" w:lineRule="auto"/>
              <w:jc w:val="right"/>
              <w:rPr>
                <w:rFonts w:ascii="Cambria" w:eastAsiaTheme="minorHAnsi" w:hAnsi="Cambria"/>
                <w:sz w:val="20"/>
                <w:szCs w:val="20"/>
              </w:rPr>
            </w:pPr>
            <w:r w:rsidRPr="00075685">
              <w:rPr>
                <w:rFonts w:ascii="Cambria" w:hAnsi="Cambria"/>
                <w:sz w:val="20"/>
                <w:szCs w:val="20"/>
              </w:rPr>
              <w:t>Technical specialist</w:t>
            </w:r>
            <w:r w:rsidR="00264A78">
              <w:rPr>
                <w:rFonts w:ascii="Cambria" w:hAnsi="Cambria"/>
                <w:sz w:val="20"/>
                <w:szCs w:val="20"/>
              </w:rPr>
              <w:t xml:space="preserve"> (Contractor)</w:t>
            </w:r>
          </w:p>
        </w:tc>
        <w:tc>
          <w:tcPr>
            <w:tcW w:w="1919" w:type="dxa"/>
            <w:tcBorders>
              <w:top w:val="nil"/>
              <w:left w:val="nil"/>
              <w:bottom w:val="single" w:sz="8" w:space="0" w:color="auto"/>
              <w:right w:val="single" w:sz="8" w:space="0" w:color="auto"/>
            </w:tcBorders>
            <w:tcMar>
              <w:top w:w="0" w:type="dxa"/>
              <w:left w:w="108" w:type="dxa"/>
              <w:bottom w:w="0" w:type="dxa"/>
              <w:right w:w="108" w:type="dxa"/>
            </w:tcMar>
            <w:hideMark/>
          </w:tcPr>
          <w:p w14:paraId="111E4963" w14:textId="6984FCCD" w:rsidR="00075685" w:rsidRPr="00075685" w:rsidRDefault="0007693A">
            <w:pPr>
              <w:spacing w:line="252" w:lineRule="auto"/>
              <w:jc w:val="center"/>
              <w:rPr>
                <w:rFonts w:ascii="Cambria" w:hAnsi="Cambria"/>
                <w:sz w:val="20"/>
                <w:szCs w:val="20"/>
              </w:rPr>
            </w:pPr>
            <w:r>
              <w:rPr>
                <w:rFonts w:ascii="Cambria" w:hAnsi="Cambria"/>
                <w:sz w:val="20"/>
                <w:szCs w:val="20"/>
              </w:rPr>
              <w:t>30</w:t>
            </w:r>
          </w:p>
        </w:tc>
        <w:tc>
          <w:tcPr>
            <w:tcW w:w="1891"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51F20945" w14:textId="7F53719C" w:rsidR="00075685" w:rsidRPr="00075685" w:rsidRDefault="0007693A" w:rsidP="009833DD">
            <w:pPr>
              <w:spacing w:line="252" w:lineRule="auto"/>
              <w:rPr>
                <w:rFonts w:ascii="Cambria" w:hAnsi="Cambria"/>
                <w:sz w:val="20"/>
                <w:szCs w:val="20"/>
              </w:rPr>
            </w:pPr>
            <w:r>
              <w:rPr>
                <w:rFonts w:ascii="Cambria" w:hAnsi="Cambria"/>
                <w:sz w:val="20"/>
                <w:szCs w:val="20"/>
              </w:rPr>
              <w:t>$103.85</w:t>
            </w:r>
          </w:p>
        </w:tc>
        <w:tc>
          <w:tcPr>
            <w:tcW w:w="1774" w:type="dxa"/>
            <w:tcBorders>
              <w:top w:val="nil"/>
              <w:left w:val="nil"/>
              <w:bottom w:val="single" w:sz="8" w:space="0" w:color="auto"/>
              <w:right w:val="single" w:sz="8" w:space="0" w:color="auto"/>
            </w:tcBorders>
            <w:tcMar>
              <w:top w:w="0" w:type="dxa"/>
              <w:left w:w="108" w:type="dxa"/>
              <w:bottom w:w="0" w:type="dxa"/>
              <w:right w:w="108" w:type="dxa"/>
            </w:tcMar>
            <w:hideMark/>
          </w:tcPr>
          <w:p w14:paraId="4D5A7FA5" w14:textId="3F3A6FE6" w:rsidR="00075685" w:rsidRPr="00075685" w:rsidRDefault="0007693A" w:rsidP="009F627E">
            <w:pPr>
              <w:spacing w:line="252" w:lineRule="auto"/>
              <w:ind w:left="0"/>
              <w:jc w:val="right"/>
              <w:rPr>
                <w:rFonts w:ascii="Cambria" w:hAnsi="Cambria"/>
                <w:sz w:val="20"/>
                <w:szCs w:val="20"/>
              </w:rPr>
            </w:pPr>
            <w:r>
              <w:rPr>
                <w:rFonts w:ascii="Cambria" w:hAnsi="Cambria"/>
                <w:sz w:val="20"/>
                <w:szCs w:val="20"/>
              </w:rPr>
              <w:t>$3,116</w:t>
            </w:r>
            <w:r w:rsidR="00E11481">
              <w:rPr>
                <w:rFonts w:ascii="Cambria" w:hAnsi="Cambria"/>
                <w:sz w:val="20"/>
                <w:szCs w:val="20"/>
              </w:rPr>
              <w:t xml:space="preserve">       </w:t>
            </w:r>
          </w:p>
        </w:tc>
      </w:tr>
      <w:tr w:rsidR="00075685" w14:paraId="5B869FFB" w14:textId="77777777" w:rsidTr="00264A78">
        <w:tc>
          <w:tcPr>
            <w:tcW w:w="37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C12DD1" w14:textId="695B3389" w:rsidR="00075685" w:rsidRPr="00075685" w:rsidRDefault="00075685">
            <w:pPr>
              <w:spacing w:line="252" w:lineRule="auto"/>
              <w:jc w:val="right"/>
              <w:rPr>
                <w:rFonts w:ascii="Cambria" w:hAnsi="Cambria"/>
                <w:sz w:val="20"/>
                <w:szCs w:val="20"/>
              </w:rPr>
            </w:pPr>
            <w:r w:rsidRPr="00075685">
              <w:rPr>
                <w:rFonts w:ascii="Cambria" w:hAnsi="Cambria"/>
                <w:sz w:val="20"/>
                <w:szCs w:val="20"/>
              </w:rPr>
              <w:t>Senior associate</w:t>
            </w:r>
            <w:r w:rsidR="00264A78">
              <w:rPr>
                <w:rFonts w:ascii="Cambria" w:hAnsi="Cambria"/>
                <w:sz w:val="20"/>
                <w:szCs w:val="20"/>
              </w:rPr>
              <w:t xml:space="preserve"> (Contractor) </w:t>
            </w:r>
          </w:p>
        </w:tc>
        <w:tc>
          <w:tcPr>
            <w:tcW w:w="1919" w:type="dxa"/>
            <w:tcBorders>
              <w:top w:val="nil"/>
              <w:left w:val="nil"/>
              <w:bottom w:val="single" w:sz="8" w:space="0" w:color="auto"/>
              <w:right w:val="single" w:sz="8" w:space="0" w:color="auto"/>
            </w:tcBorders>
            <w:tcMar>
              <w:top w:w="0" w:type="dxa"/>
              <w:left w:w="108" w:type="dxa"/>
              <w:bottom w:w="0" w:type="dxa"/>
              <w:right w:w="108" w:type="dxa"/>
            </w:tcMar>
            <w:hideMark/>
          </w:tcPr>
          <w:p w14:paraId="4007837E" w14:textId="2DE32D73" w:rsidR="00075685" w:rsidRPr="00075685" w:rsidRDefault="0007693A">
            <w:pPr>
              <w:spacing w:line="252" w:lineRule="auto"/>
              <w:jc w:val="center"/>
              <w:rPr>
                <w:rFonts w:ascii="Cambria" w:hAnsi="Cambria"/>
                <w:sz w:val="20"/>
                <w:szCs w:val="20"/>
              </w:rPr>
            </w:pPr>
            <w:r>
              <w:rPr>
                <w:rFonts w:ascii="Cambria" w:hAnsi="Cambria"/>
                <w:sz w:val="20"/>
                <w:szCs w:val="20"/>
              </w:rPr>
              <w:t>122</w:t>
            </w:r>
          </w:p>
        </w:tc>
        <w:tc>
          <w:tcPr>
            <w:tcW w:w="1891"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7B4C4712" w14:textId="035185C1" w:rsidR="00075685" w:rsidRPr="00075685" w:rsidRDefault="0007693A" w:rsidP="009833DD">
            <w:pPr>
              <w:spacing w:line="252" w:lineRule="auto"/>
              <w:rPr>
                <w:rFonts w:ascii="Cambria" w:hAnsi="Cambria"/>
                <w:sz w:val="20"/>
                <w:szCs w:val="20"/>
              </w:rPr>
            </w:pPr>
            <w:r>
              <w:rPr>
                <w:rFonts w:ascii="Cambria" w:hAnsi="Cambria"/>
                <w:sz w:val="20"/>
                <w:szCs w:val="20"/>
              </w:rPr>
              <w:t>$88.99</w:t>
            </w:r>
          </w:p>
        </w:tc>
        <w:tc>
          <w:tcPr>
            <w:tcW w:w="1774" w:type="dxa"/>
            <w:tcBorders>
              <w:top w:val="nil"/>
              <w:left w:val="nil"/>
              <w:bottom w:val="single" w:sz="8" w:space="0" w:color="auto"/>
              <w:right w:val="single" w:sz="8" w:space="0" w:color="auto"/>
            </w:tcBorders>
            <w:tcMar>
              <w:top w:w="0" w:type="dxa"/>
              <w:left w:w="108" w:type="dxa"/>
              <w:bottom w:w="0" w:type="dxa"/>
              <w:right w:w="108" w:type="dxa"/>
            </w:tcMar>
            <w:hideMark/>
          </w:tcPr>
          <w:p w14:paraId="384F76A0" w14:textId="3FE398B5" w:rsidR="00075685" w:rsidRPr="00075685" w:rsidRDefault="0007693A">
            <w:pPr>
              <w:spacing w:line="252" w:lineRule="auto"/>
              <w:jc w:val="center"/>
              <w:rPr>
                <w:rFonts w:ascii="Cambria" w:hAnsi="Cambria"/>
                <w:sz w:val="20"/>
                <w:szCs w:val="20"/>
              </w:rPr>
            </w:pPr>
            <w:r>
              <w:rPr>
                <w:rFonts w:ascii="Cambria" w:hAnsi="Cambria"/>
                <w:sz w:val="20"/>
                <w:szCs w:val="20"/>
              </w:rPr>
              <w:t>$10,857</w:t>
            </w:r>
          </w:p>
        </w:tc>
      </w:tr>
      <w:tr w:rsidR="00075685" w14:paraId="50C36120" w14:textId="77777777" w:rsidTr="00264A78">
        <w:trPr>
          <w:trHeight w:val="332"/>
        </w:trPr>
        <w:tc>
          <w:tcPr>
            <w:tcW w:w="6841" w:type="dxa"/>
            <w:gridSpan w:val="3"/>
            <w:tcBorders>
              <w:top w:val="nil"/>
              <w:left w:val="single" w:sz="8" w:space="0" w:color="auto"/>
              <w:bottom w:val="single" w:sz="8" w:space="0" w:color="auto"/>
              <w:right w:val="nil"/>
            </w:tcBorders>
            <w:tcMar>
              <w:top w:w="0" w:type="dxa"/>
              <w:left w:w="108" w:type="dxa"/>
              <w:bottom w:w="0" w:type="dxa"/>
              <w:right w:w="108" w:type="dxa"/>
            </w:tcMar>
            <w:vAlign w:val="center"/>
            <w:hideMark/>
          </w:tcPr>
          <w:p w14:paraId="56B44171" w14:textId="77777777" w:rsidR="00075685" w:rsidRPr="00075685" w:rsidRDefault="00075685">
            <w:pPr>
              <w:spacing w:line="252" w:lineRule="auto"/>
              <w:jc w:val="right"/>
              <w:rPr>
                <w:rFonts w:ascii="Cambria" w:hAnsi="Cambria"/>
                <w:b/>
                <w:bCs/>
                <w:sz w:val="20"/>
                <w:szCs w:val="20"/>
              </w:rPr>
            </w:pPr>
            <w:r w:rsidRPr="00075685">
              <w:rPr>
                <w:rFonts w:ascii="Cambria" w:hAnsi="Cambria"/>
                <w:b/>
                <w:bCs/>
                <w:sz w:val="20"/>
                <w:szCs w:val="20"/>
              </w:rPr>
              <w:t>Estimated Total Cost of Information Collection</w:t>
            </w:r>
          </w:p>
        </w:tc>
        <w:tc>
          <w:tcPr>
            <w:tcW w:w="363" w:type="dxa"/>
            <w:tcBorders>
              <w:top w:val="nil"/>
              <w:left w:val="nil"/>
              <w:bottom w:val="single" w:sz="8" w:space="0" w:color="auto"/>
              <w:right w:val="nil"/>
            </w:tcBorders>
            <w:tcMar>
              <w:top w:w="0" w:type="dxa"/>
              <w:left w:w="108" w:type="dxa"/>
              <w:bottom w:w="0" w:type="dxa"/>
              <w:right w:w="108" w:type="dxa"/>
            </w:tcMar>
            <w:vAlign w:val="center"/>
          </w:tcPr>
          <w:p w14:paraId="5C3F5D0C" w14:textId="77777777" w:rsidR="00075685" w:rsidRPr="00075685" w:rsidRDefault="00075685">
            <w:pPr>
              <w:spacing w:line="252" w:lineRule="auto"/>
              <w:rPr>
                <w:rFonts w:ascii="Cambria" w:hAnsi="Cambria"/>
                <w:b/>
                <w:bCs/>
                <w:sz w:val="20"/>
                <w:szCs w:val="20"/>
              </w:rPr>
            </w:pPr>
          </w:p>
        </w:tc>
        <w:tc>
          <w:tcPr>
            <w:tcW w:w="362" w:type="dxa"/>
            <w:tcBorders>
              <w:top w:val="nil"/>
              <w:left w:val="nil"/>
              <w:bottom w:val="single" w:sz="8" w:space="0" w:color="auto"/>
              <w:right w:val="single" w:sz="8" w:space="0" w:color="auto"/>
            </w:tcBorders>
            <w:tcMar>
              <w:top w:w="0" w:type="dxa"/>
              <w:left w:w="108" w:type="dxa"/>
              <w:bottom w:w="0" w:type="dxa"/>
              <w:right w:w="108" w:type="dxa"/>
            </w:tcMar>
            <w:vAlign w:val="center"/>
          </w:tcPr>
          <w:p w14:paraId="05E17CC4" w14:textId="77777777" w:rsidR="00075685" w:rsidRPr="00075685" w:rsidRDefault="00075685">
            <w:pPr>
              <w:spacing w:line="252" w:lineRule="auto"/>
              <w:rPr>
                <w:rFonts w:ascii="Cambria" w:hAnsi="Cambria"/>
                <w:b/>
                <w:bCs/>
                <w:sz w:val="20"/>
                <w:szCs w:val="20"/>
              </w:rPr>
            </w:pPr>
          </w:p>
        </w:tc>
        <w:tc>
          <w:tcPr>
            <w:tcW w:w="17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67C11CB" w14:textId="5A4B3929" w:rsidR="00075685" w:rsidRPr="00075685" w:rsidRDefault="00E11481" w:rsidP="00264A78">
            <w:pPr>
              <w:spacing w:line="252" w:lineRule="auto"/>
              <w:jc w:val="center"/>
              <w:rPr>
                <w:rFonts w:ascii="Cambria" w:hAnsi="Cambria"/>
                <w:b/>
                <w:bCs/>
                <w:sz w:val="20"/>
                <w:szCs w:val="20"/>
              </w:rPr>
            </w:pPr>
            <w:r>
              <w:rPr>
                <w:rFonts w:ascii="Cambria" w:hAnsi="Cambria"/>
                <w:b/>
                <w:bCs/>
                <w:sz w:val="20"/>
                <w:szCs w:val="20"/>
              </w:rPr>
              <w:t>$15,148</w:t>
            </w:r>
          </w:p>
        </w:tc>
      </w:tr>
      <w:tr w:rsidR="00075685" w14:paraId="4A107AA1" w14:textId="77777777" w:rsidTr="00264A78">
        <w:tc>
          <w:tcPr>
            <w:tcW w:w="3756" w:type="dxa"/>
            <w:vAlign w:val="center"/>
            <w:hideMark/>
          </w:tcPr>
          <w:p w14:paraId="7271F44B" w14:textId="77777777" w:rsidR="00075685" w:rsidRDefault="00075685">
            <w:pPr>
              <w:rPr>
                <w:rFonts w:ascii="Cambria" w:hAnsi="Cambria"/>
                <w:b/>
                <w:bCs/>
                <w:sz w:val="20"/>
                <w:szCs w:val="20"/>
                <w:highlight w:val="yellow"/>
              </w:rPr>
            </w:pPr>
          </w:p>
        </w:tc>
        <w:tc>
          <w:tcPr>
            <w:tcW w:w="1919" w:type="dxa"/>
            <w:vAlign w:val="center"/>
            <w:hideMark/>
          </w:tcPr>
          <w:p w14:paraId="18B5E220" w14:textId="77777777" w:rsidR="00075685" w:rsidRDefault="00075685">
            <w:pPr>
              <w:rPr>
                <w:rFonts w:ascii="Times New Roman" w:eastAsia="Times New Roman" w:hAnsi="Times New Roman"/>
                <w:sz w:val="20"/>
                <w:szCs w:val="20"/>
              </w:rPr>
            </w:pPr>
          </w:p>
        </w:tc>
        <w:tc>
          <w:tcPr>
            <w:tcW w:w="1166" w:type="dxa"/>
            <w:vAlign w:val="center"/>
            <w:hideMark/>
          </w:tcPr>
          <w:p w14:paraId="14B0A94A" w14:textId="77777777" w:rsidR="00075685" w:rsidRDefault="00075685">
            <w:pPr>
              <w:rPr>
                <w:rFonts w:ascii="Times New Roman" w:eastAsia="Times New Roman" w:hAnsi="Times New Roman"/>
                <w:sz w:val="20"/>
                <w:szCs w:val="20"/>
              </w:rPr>
            </w:pPr>
          </w:p>
        </w:tc>
        <w:tc>
          <w:tcPr>
            <w:tcW w:w="363" w:type="dxa"/>
            <w:vAlign w:val="center"/>
            <w:hideMark/>
          </w:tcPr>
          <w:p w14:paraId="585B302E" w14:textId="77777777" w:rsidR="00075685" w:rsidRDefault="00075685">
            <w:pPr>
              <w:rPr>
                <w:rFonts w:ascii="Times New Roman" w:eastAsia="Times New Roman" w:hAnsi="Times New Roman"/>
                <w:sz w:val="20"/>
                <w:szCs w:val="20"/>
              </w:rPr>
            </w:pPr>
          </w:p>
        </w:tc>
        <w:tc>
          <w:tcPr>
            <w:tcW w:w="362" w:type="dxa"/>
            <w:vAlign w:val="center"/>
            <w:hideMark/>
          </w:tcPr>
          <w:p w14:paraId="3D544CAC" w14:textId="77777777" w:rsidR="00075685" w:rsidRDefault="00075685">
            <w:pPr>
              <w:rPr>
                <w:rFonts w:ascii="Times New Roman" w:eastAsia="Times New Roman" w:hAnsi="Times New Roman"/>
                <w:sz w:val="20"/>
                <w:szCs w:val="20"/>
              </w:rPr>
            </w:pPr>
          </w:p>
        </w:tc>
        <w:tc>
          <w:tcPr>
            <w:tcW w:w="1774" w:type="dxa"/>
            <w:vAlign w:val="center"/>
            <w:hideMark/>
          </w:tcPr>
          <w:p w14:paraId="660E34E7" w14:textId="77777777" w:rsidR="00075685" w:rsidRDefault="00075685">
            <w:pPr>
              <w:rPr>
                <w:rFonts w:ascii="Times New Roman" w:eastAsia="Times New Roman" w:hAnsi="Times New Roman"/>
                <w:sz w:val="20"/>
                <w:szCs w:val="20"/>
              </w:rPr>
            </w:pPr>
          </w:p>
        </w:tc>
      </w:tr>
    </w:tbl>
    <w:p w14:paraId="6065192A" w14:textId="0F2CDB6B" w:rsidR="007723DB" w:rsidRDefault="007723DB" w:rsidP="00441CC3">
      <w:pPr>
        <w:ind w:left="0"/>
      </w:pPr>
    </w:p>
    <w:p w14:paraId="64A81938" w14:textId="77777777" w:rsidR="00B12F51" w:rsidRPr="00D75750" w:rsidRDefault="00D75750" w:rsidP="00692DEB">
      <w:pPr>
        <w:pStyle w:val="Heading4"/>
      </w:pPr>
      <w:bookmarkStart w:id="17" w:name="_Toc413847765"/>
      <w:r w:rsidRPr="00D75750">
        <w:t>Explanation for Program Changes or Adjustments</w:t>
      </w:r>
      <w:bookmarkEnd w:id="17"/>
    </w:p>
    <w:p w14:paraId="1FDC6D1C" w14:textId="77777777" w:rsidR="00F52BCC" w:rsidRDefault="003C7C5D" w:rsidP="00692DEB">
      <w:pPr>
        <w:ind w:left="0"/>
      </w:pPr>
      <w:r>
        <w:t xml:space="preserve">This is a new </w:t>
      </w:r>
      <w:r w:rsidR="00157413">
        <w:t>information collection</w:t>
      </w:r>
      <w:r>
        <w:t>.</w:t>
      </w:r>
    </w:p>
    <w:p w14:paraId="665296FF" w14:textId="77777777" w:rsidR="00F52BCC" w:rsidRDefault="00F52BCC" w:rsidP="005D6F14"/>
    <w:p w14:paraId="0977ADF3" w14:textId="77777777" w:rsidR="00B12F51" w:rsidRPr="00EF33CD" w:rsidRDefault="00616090" w:rsidP="00692DEB">
      <w:pPr>
        <w:pStyle w:val="Heading4"/>
      </w:pPr>
      <w:bookmarkStart w:id="18" w:name="_Toc413847766"/>
      <w:r>
        <w:t>Plan</w:t>
      </w:r>
      <w:r w:rsidR="00D75750">
        <w:t>s</w:t>
      </w:r>
      <w:r w:rsidR="00D75750" w:rsidRPr="00D75750">
        <w:t xml:space="preserve"> for Tabulation and Publication and Project Time Schedule</w:t>
      </w:r>
      <w:bookmarkEnd w:id="18"/>
    </w:p>
    <w:p w14:paraId="4F58F9AD" w14:textId="72BF6E70" w:rsidR="008E43C8" w:rsidRPr="00B01A37" w:rsidRDefault="00494151" w:rsidP="00FE2631">
      <w:pPr>
        <w:ind w:left="0"/>
        <w:rPr>
          <w:rFonts w:cs="Arial"/>
        </w:rPr>
      </w:pPr>
      <w:r w:rsidRPr="00B01A37">
        <w:rPr>
          <w:rFonts w:cs="Arial"/>
        </w:rPr>
        <w:t xml:space="preserve">Data from the </w:t>
      </w:r>
      <w:r w:rsidR="008E43C8" w:rsidRPr="00B01A37">
        <w:rPr>
          <w:rFonts w:cs="Arial"/>
        </w:rPr>
        <w:t xml:space="preserve">online needs assessment </w:t>
      </w:r>
      <w:r w:rsidRPr="00B01A37">
        <w:rPr>
          <w:rFonts w:cs="Arial"/>
        </w:rPr>
        <w:t>will be a</w:t>
      </w:r>
      <w:r w:rsidR="008E43C8" w:rsidRPr="00B01A37">
        <w:rPr>
          <w:rFonts w:cs="Arial"/>
        </w:rPr>
        <w:t xml:space="preserve">nalyzed to identify </w:t>
      </w:r>
      <w:r w:rsidR="0054109C" w:rsidRPr="00B01A37">
        <w:rPr>
          <w:rFonts w:cs="Arial"/>
        </w:rPr>
        <w:t>state health department chronic disease and health promotion staff’</w:t>
      </w:r>
      <w:r w:rsidR="003474CE">
        <w:rPr>
          <w:rFonts w:cs="Arial"/>
        </w:rPr>
        <w:t>s</w:t>
      </w:r>
      <w:r w:rsidR="0054109C" w:rsidRPr="00B01A37">
        <w:rPr>
          <w:rFonts w:cs="Arial"/>
        </w:rPr>
        <w:t xml:space="preserve"> </w:t>
      </w:r>
      <w:r w:rsidR="008E43C8" w:rsidRPr="00B01A37">
        <w:rPr>
          <w:rFonts w:cs="Arial"/>
        </w:rPr>
        <w:t xml:space="preserve">key priority areas for training on the Center’s 11 core </w:t>
      </w:r>
      <w:r w:rsidR="008E43C8" w:rsidRPr="00B01A37">
        <w:rPr>
          <w:rFonts w:cs="Arial"/>
        </w:rPr>
        <w:lastRenderedPageBreak/>
        <w:t>competencies</w:t>
      </w:r>
      <w:r w:rsidR="003474CE">
        <w:rPr>
          <w:rFonts w:cs="Arial"/>
        </w:rPr>
        <w:t>;</w:t>
      </w:r>
      <w:r w:rsidR="008E43C8" w:rsidRPr="00B01A37">
        <w:rPr>
          <w:rFonts w:cs="Arial"/>
        </w:rPr>
        <w:t xml:space="preserve"> Domain 2</w:t>
      </w:r>
      <w:r w:rsidR="00FF01EC" w:rsidRPr="00B01A37">
        <w:rPr>
          <w:rFonts w:cs="Arial"/>
        </w:rPr>
        <w:t>,</w:t>
      </w:r>
      <w:r w:rsidR="008E43C8" w:rsidRPr="00B01A37">
        <w:rPr>
          <w:rFonts w:cs="Arial"/>
        </w:rPr>
        <w:t xml:space="preserve"> 3</w:t>
      </w:r>
      <w:r w:rsidR="00FF01EC" w:rsidRPr="00B01A37">
        <w:rPr>
          <w:rFonts w:cs="Arial"/>
        </w:rPr>
        <w:t>,</w:t>
      </w:r>
      <w:r w:rsidR="008E43C8" w:rsidRPr="00B01A37">
        <w:rPr>
          <w:rFonts w:cs="Arial"/>
        </w:rPr>
        <w:t xml:space="preserve"> and 4 </w:t>
      </w:r>
      <w:r w:rsidR="00892205" w:rsidRPr="00B01A37">
        <w:rPr>
          <w:rFonts w:cs="Arial"/>
        </w:rPr>
        <w:t xml:space="preserve">enhanced </w:t>
      </w:r>
      <w:r w:rsidR="008E43C8" w:rsidRPr="00B01A37">
        <w:rPr>
          <w:rFonts w:cs="Arial"/>
        </w:rPr>
        <w:t>strateg</w:t>
      </w:r>
      <w:r w:rsidR="00FF01EC" w:rsidRPr="00B01A37">
        <w:rPr>
          <w:rFonts w:cs="Arial"/>
        </w:rPr>
        <w:t>ies and</w:t>
      </w:r>
      <w:r w:rsidR="008E43C8" w:rsidRPr="00B01A37">
        <w:rPr>
          <w:rFonts w:cs="Arial"/>
        </w:rPr>
        <w:t xml:space="preserve"> interventions</w:t>
      </w:r>
      <w:r w:rsidR="003474CE">
        <w:rPr>
          <w:rFonts w:cs="Arial"/>
        </w:rPr>
        <w:t>;</w:t>
      </w:r>
      <w:r w:rsidR="008E43C8" w:rsidRPr="00B01A37">
        <w:rPr>
          <w:rFonts w:cs="Arial"/>
        </w:rPr>
        <w:t xml:space="preserve"> and information on preferred modes for training delivery.  </w:t>
      </w:r>
      <w:r w:rsidR="00FE2631" w:rsidRPr="00B01A37">
        <w:rPr>
          <w:rFonts w:cs="Arial"/>
        </w:rPr>
        <w:t xml:space="preserve">Data will be provided in a summary report and </w:t>
      </w:r>
      <w:r w:rsidR="008D6198">
        <w:rPr>
          <w:rFonts w:cs="Arial"/>
        </w:rPr>
        <w:t xml:space="preserve">will </w:t>
      </w:r>
      <w:r w:rsidR="00FE2631" w:rsidRPr="00B01A37">
        <w:rPr>
          <w:rFonts w:cs="Arial"/>
        </w:rPr>
        <w:t>be used by the NCCDPHP to create a comprehensive 5</w:t>
      </w:r>
      <w:r w:rsidR="003474CE">
        <w:rPr>
          <w:rFonts w:cs="Arial"/>
        </w:rPr>
        <w:t>-</w:t>
      </w:r>
      <w:r w:rsidR="00FE2631" w:rsidRPr="00B01A37">
        <w:rPr>
          <w:rFonts w:cs="Arial"/>
        </w:rPr>
        <w:t xml:space="preserve">year training plan based on the stated needs of </w:t>
      </w:r>
      <w:r w:rsidR="002203F1">
        <w:rPr>
          <w:rFonts w:cs="Arial"/>
        </w:rPr>
        <w:t>grante</w:t>
      </w:r>
      <w:r w:rsidR="002203F1" w:rsidRPr="00B01A37">
        <w:rPr>
          <w:rFonts w:cs="Arial"/>
        </w:rPr>
        <w:t>es</w:t>
      </w:r>
      <w:r w:rsidR="00FE2631" w:rsidRPr="00B01A37">
        <w:rPr>
          <w:rFonts w:cs="Arial"/>
        </w:rPr>
        <w:t xml:space="preserve">. </w:t>
      </w:r>
      <w:r w:rsidR="0054109C" w:rsidRPr="00B01A37">
        <w:rPr>
          <w:rFonts w:cs="Arial"/>
        </w:rPr>
        <w:t xml:space="preserve">Sections of this report will </w:t>
      </w:r>
      <w:r w:rsidR="000241ED" w:rsidRPr="00B01A37">
        <w:rPr>
          <w:rFonts w:cs="Arial"/>
        </w:rPr>
        <w:t xml:space="preserve">also </w:t>
      </w:r>
      <w:r w:rsidR="0054109C" w:rsidRPr="00B01A37">
        <w:rPr>
          <w:rFonts w:cs="Arial"/>
        </w:rPr>
        <w:t xml:space="preserve">provide NCCDPHP’s divisions with </w:t>
      </w:r>
      <w:r w:rsidR="000241ED" w:rsidRPr="00B01A37">
        <w:rPr>
          <w:rFonts w:cs="Arial"/>
        </w:rPr>
        <w:t xml:space="preserve">information about </w:t>
      </w:r>
      <w:r w:rsidR="0054109C" w:rsidRPr="00B01A37">
        <w:rPr>
          <w:rFonts w:cs="Arial"/>
        </w:rPr>
        <w:t>respondent</w:t>
      </w:r>
      <w:r w:rsidR="000241ED" w:rsidRPr="00B01A37">
        <w:rPr>
          <w:rFonts w:cs="Arial"/>
        </w:rPr>
        <w:t>s’</w:t>
      </w:r>
      <w:r w:rsidR="0054109C" w:rsidRPr="00B01A37">
        <w:rPr>
          <w:rFonts w:cs="Arial"/>
        </w:rPr>
        <w:t xml:space="preserve"> training needs by chronic disease area or funding opportunity agreements</w:t>
      </w:r>
      <w:r w:rsidR="000241ED" w:rsidRPr="00B01A37">
        <w:rPr>
          <w:rFonts w:cs="Arial"/>
        </w:rPr>
        <w:t>,</w:t>
      </w:r>
      <w:r w:rsidR="0054109C" w:rsidRPr="00B01A37">
        <w:rPr>
          <w:rFonts w:cs="Arial"/>
        </w:rPr>
        <w:t xml:space="preserve"> </w:t>
      </w:r>
      <w:r w:rsidR="000241ED" w:rsidRPr="00B01A37">
        <w:rPr>
          <w:rFonts w:cs="Arial"/>
        </w:rPr>
        <w:t>so that the divisions can use this information to further</w:t>
      </w:r>
      <w:r w:rsidR="00FE2631" w:rsidRPr="00B01A37">
        <w:rPr>
          <w:rFonts w:cs="Arial"/>
        </w:rPr>
        <w:t xml:space="preserve"> tailor and coordinate trainings offered </w:t>
      </w:r>
      <w:r w:rsidR="000241ED" w:rsidRPr="00B01A37">
        <w:rPr>
          <w:rFonts w:cs="Arial"/>
        </w:rPr>
        <w:t xml:space="preserve">within and </w:t>
      </w:r>
      <w:r w:rsidR="00FE2631" w:rsidRPr="00B01A37">
        <w:rPr>
          <w:rFonts w:cs="Arial"/>
        </w:rPr>
        <w:t>across the divisions.</w:t>
      </w:r>
    </w:p>
    <w:p w14:paraId="236F36BE" w14:textId="77777777" w:rsidR="000058E0" w:rsidRPr="00B01A37" w:rsidRDefault="000058E0" w:rsidP="000058E0">
      <w:pPr>
        <w:ind w:left="0"/>
        <w:rPr>
          <w:rFonts w:cs="Arial"/>
          <w:b/>
        </w:rPr>
      </w:pPr>
    </w:p>
    <w:p w14:paraId="7C93E924" w14:textId="778A40A1" w:rsidR="008C59E7" w:rsidRPr="006C0976" w:rsidRDefault="008C59E7" w:rsidP="006C0976">
      <w:pPr>
        <w:tabs>
          <w:tab w:val="clear" w:pos="9360"/>
        </w:tabs>
        <w:spacing w:after="200"/>
        <w:ind w:left="0"/>
        <w:rPr>
          <w:rFonts w:cs="Arial"/>
          <w:u w:val="single"/>
        </w:rPr>
      </w:pPr>
      <w:r w:rsidRPr="00B01A37">
        <w:rPr>
          <w:rFonts w:cs="Arial"/>
          <w:u w:val="single"/>
        </w:rPr>
        <w:t>Project Time Schedule</w:t>
      </w:r>
      <w:r w:rsidR="00BB090C" w:rsidRPr="00B01A37">
        <w:rPr>
          <w:rFonts w:cs="Arial"/>
        </w:rPr>
        <w:t xml:space="preserve"> </w:t>
      </w:r>
    </w:p>
    <w:p w14:paraId="51640D47" w14:textId="77777777" w:rsidR="008C59E7" w:rsidRPr="00B01A37" w:rsidRDefault="008C59E7" w:rsidP="008C59E7">
      <w:pPr>
        <w:pStyle w:val="ListParagraph"/>
        <w:numPr>
          <w:ilvl w:val="0"/>
          <w:numId w:val="17"/>
        </w:numPr>
        <w:tabs>
          <w:tab w:val="right" w:leader="dot" w:pos="9360"/>
        </w:tabs>
        <w:rPr>
          <w:rFonts w:cs="Arial"/>
        </w:rPr>
      </w:pPr>
      <w:r w:rsidRPr="00B01A37">
        <w:rPr>
          <w:rFonts w:eastAsiaTheme="majorEastAsia" w:cstheme="majorBidi"/>
        </w:rPr>
        <w:t xml:space="preserve">Design questionnaire </w:t>
      </w:r>
      <w:r w:rsidRPr="00B01A37">
        <w:tab/>
      </w:r>
      <w:r w:rsidR="00FE2631" w:rsidRPr="00B01A37">
        <w:rPr>
          <w:rFonts w:eastAsiaTheme="majorEastAsia" w:cstheme="majorBidi"/>
        </w:rPr>
        <w:t>COMPLETE</w:t>
      </w:r>
    </w:p>
    <w:p w14:paraId="065E38BC" w14:textId="77777777" w:rsidR="008C59E7" w:rsidRPr="00B01A37" w:rsidRDefault="008C59E7" w:rsidP="008C59E7">
      <w:pPr>
        <w:pStyle w:val="ListParagraph"/>
        <w:numPr>
          <w:ilvl w:val="0"/>
          <w:numId w:val="18"/>
        </w:numPr>
        <w:tabs>
          <w:tab w:val="right" w:leader="dot" w:pos="9360"/>
        </w:tabs>
        <w:rPr>
          <w:rFonts w:cs="Arial"/>
        </w:rPr>
      </w:pPr>
      <w:r w:rsidRPr="00B01A37">
        <w:rPr>
          <w:rFonts w:cs="Arial"/>
        </w:rPr>
        <w:t xml:space="preserve">Develop protocol, instructions, and analysis plan </w:t>
      </w:r>
      <w:r w:rsidRPr="00B01A37">
        <w:rPr>
          <w:rFonts w:cs="Arial"/>
        </w:rPr>
        <w:tab/>
        <w:t>COMPLETE</w:t>
      </w:r>
    </w:p>
    <w:p w14:paraId="67B332E6" w14:textId="3F936B95" w:rsidR="008C59E7" w:rsidRPr="00B01A37" w:rsidRDefault="008C59E7" w:rsidP="008C59E7">
      <w:pPr>
        <w:pStyle w:val="ListParagraph"/>
        <w:numPr>
          <w:ilvl w:val="0"/>
          <w:numId w:val="21"/>
        </w:numPr>
        <w:tabs>
          <w:tab w:val="right" w:leader="dot" w:pos="9360"/>
        </w:tabs>
        <w:ind w:left="720"/>
        <w:rPr>
          <w:rFonts w:cs="Arial"/>
        </w:rPr>
      </w:pPr>
      <w:r w:rsidRPr="00B01A37">
        <w:rPr>
          <w:rFonts w:cs="Arial"/>
        </w:rPr>
        <w:t xml:space="preserve">Pilot test questionnaire </w:t>
      </w:r>
      <w:r w:rsidRPr="00B01A37">
        <w:rPr>
          <w:rFonts w:cs="Arial"/>
        </w:rPr>
        <w:tab/>
      </w:r>
      <w:r w:rsidR="00D31A6C">
        <w:rPr>
          <w:rFonts w:cs="Arial"/>
        </w:rPr>
        <w:t>COMPLETE</w:t>
      </w:r>
    </w:p>
    <w:p w14:paraId="60B4A102" w14:textId="77777777" w:rsidR="008C59E7" w:rsidRPr="00B01A37" w:rsidRDefault="008C59E7" w:rsidP="008C59E7">
      <w:pPr>
        <w:pStyle w:val="ListParagraph"/>
        <w:numPr>
          <w:ilvl w:val="0"/>
          <w:numId w:val="21"/>
        </w:numPr>
        <w:tabs>
          <w:tab w:val="right" w:leader="dot" w:pos="9360"/>
        </w:tabs>
        <w:ind w:left="720"/>
        <w:rPr>
          <w:rFonts w:cs="Arial"/>
        </w:rPr>
      </w:pPr>
      <w:r w:rsidRPr="00B01A37">
        <w:rPr>
          <w:rFonts w:cs="Arial"/>
        </w:rPr>
        <w:t xml:space="preserve">Prepare OMB package </w:t>
      </w:r>
      <w:r w:rsidRPr="00B01A37">
        <w:rPr>
          <w:rFonts w:cs="Arial"/>
        </w:rPr>
        <w:tab/>
      </w:r>
      <w:r w:rsidR="00FE2631" w:rsidRPr="00B01A37">
        <w:rPr>
          <w:rFonts w:cs="Arial"/>
        </w:rPr>
        <w:t>COMPLETE</w:t>
      </w:r>
    </w:p>
    <w:p w14:paraId="0C91A272" w14:textId="43DE695B" w:rsidR="008C59E7" w:rsidRPr="00B01A37" w:rsidRDefault="008C59E7" w:rsidP="008C59E7">
      <w:pPr>
        <w:pStyle w:val="ListParagraph"/>
        <w:numPr>
          <w:ilvl w:val="0"/>
          <w:numId w:val="21"/>
        </w:numPr>
        <w:tabs>
          <w:tab w:val="right" w:leader="dot" w:pos="9360"/>
        </w:tabs>
        <w:ind w:left="720"/>
      </w:pPr>
      <w:r w:rsidRPr="00B01A37">
        <w:rPr>
          <w:rFonts w:eastAsiaTheme="majorEastAsia" w:cstheme="majorBidi"/>
        </w:rPr>
        <w:t xml:space="preserve">Submit OMB package </w:t>
      </w:r>
      <w:r w:rsidRPr="00B01A37">
        <w:tab/>
      </w:r>
      <w:r w:rsidR="00FE2631" w:rsidRPr="00B01A37">
        <w:t xml:space="preserve"> </w:t>
      </w:r>
      <w:r w:rsidR="00D31A6C">
        <w:t>COMPLETE</w:t>
      </w:r>
    </w:p>
    <w:p w14:paraId="4A11A54A" w14:textId="77777777" w:rsidR="008C59E7" w:rsidRPr="00CB2EFE" w:rsidRDefault="008C59E7" w:rsidP="008C59E7">
      <w:pPr>
        <w:pStyle w:val="ListParagraph"/>
        <w:numPr>
          <w:ilvl w:val="0"/>
          <w:numId w:val="16"/>
        </w:numPr>
        <w:tabs>
          <w:tab w:val="right" w:leader="dot" w:pos="9360"/>
        </w:tabs>
      </w:pPr>
      <w:r w:rsidRPr="00B01A37">
        <w:rPr>
          <w:rFonts w:eastAsiaTheme="majorEastAsia" w:cstheme="majorBidi"/>
        </w:rPr>
        <w:t xml:space="preserve">OMB approval </w:t>
      </w:r>
      <w:r w:rsidRPr="00B01A37">
        <w:tab/>
      </w:r>
      <w:r w:rsidRPr="00B01A37">
        <w:rPr>
          <w:rFonts w:eastAsiaTheme="majorEastAsia" w:cstheme="majorBidi"/>
        </w:rPr>
        <w:t>TBD</w:t>
      </w:r>
    </w:p>
    <w:p w14:paraId="6E7360BB" w14:textId="3F4EB22A" w:rsidR="00CB2EFE" w:rsidRPr="00CB2EFE" w:rsidRDefault="00CB2EFE" w:rsidP="00CB2EFE">
      <w:pPr>
        <w:pStyle w:val="ListParagraph"/>
        <w:numPr>
          <w:ilvl w:val="0"/>
          <w:numId w:val="16"/>
        </w:numPr>
        <w:tabs>
          <w:tab w:val="right" w:leader="dot" w:pos="9360"/>
        </w:tabs>
      </w:pPr>
      <w:r>
        <w:rPr>
          <w:rFonts w:eastAsiaTheme="majorEastAsia" w:cstheme="majorBidi"/>
        </w:rPr>
        <w:t>Gather contact form information from directors</w:t>
      </w:r>
      <w:r w:rsidRPr="00B01A37">
        <w:rPr>
          <w:rFonts w:eastAsiaTheme="majorEastAsia" w:cstheme="majorBidi"/>
        </w:rPr>
        <w:t xml:space="preserve"> </w:t>
      </w:r>
      <w:r w:rsidRPr="00B01A37">
        <w:tab/>
      </w:r>
      <w:r w:rsidR="006170CD">
        <w:rPr>
          <w:rFonts w:eastAsiaTheme="majorEastAsia" w:cstheme="majorBidi"/>
        </w:rPr>
        <w:t>1</w:t>
      </w:r>
      <w:r>
        <w:rPr>
          <w:rFonts w:eastAsiaTheme="majorEastAsia" w:cstheme="majorBidi"/>
        </w:rPr>
        <w:t xml:space="preserve"> week</w:t>
      </w:r>
    </w:p>
    <w:p w14:paraId="21FED25D" w14:textId="5B52D294" w:rsidR="008C59E7" w:rsidRPr="00B01A37" w:rsidRDefault="008C59E7" w:rsidP="00CB2EFE">
      <w:pPr>
        <w:pStyle w:val="ListParagraph"/>
        <w:numPr>
          <w:ilvl w:val="0"/>
          <w:numId w:val="16"/>
        </w:numPr>
        <w:tabs>
          <w:tab w:val="right" w:leader="dot" w:pos="9360"/>
        </w:tabs>
      </w:pPr>
      <w:r w:rsidRPr="00CB2EFE">
        <w:rPr>
          <w:rFonts w:eastAsiaTheme="majorEastAsia" w:cstheme="majorBidi"/>
        </w:rPr>
        <w:t>Conduct</w:t>
      </w:r>
      <w:r w:rsidR="00FE2631" w:rsidRPr="00CB2EFE">
        <w:rPr>
          <w:rFonts w:eastAsiaTheme="majorEastAsia" w:cstheme="majorBidi"/>
        </w:rPr>
        <w:t xml:space="preserve"> </w:t>
      </w:r>
      <w:r w:rsidR="00CB2EFE" w:rsidRPr="00CB2EFE">
        <w:rPr>
          <w:rFonts w:eastAsiaTheme="majorEastAsia" w:cstheme="majorBidi"/>
        </w:rPr>
        <w:t xml:space="preserve">training </w:t>
      </w:r>
      <w:r w:rsidR="00FE2631" w:rsidRPr="00CB2EFE">
        <w:rPr>
          <w:rFonts w:eastAsiaTheme="majorEastAsia" w:cstheme="majorBidi"/>
        </w:rPr>
        <w:t>needs</w:t>
      </w:r>
      <w:r w:rsidRPr="00CB2EFE">
        <w:rPr>
          <w:rFonts w:eastAsiaTheme="majorEastAsia" w:cstheme="majorBidi"/>
        </w:rPr>
        <w:t xml:space="preserve"> assessment </w:t>
      </w:r>
      <w:r w:rsidRPr="00B01A37">
        <w:tab/>
      </w:r>
      <w:r w:rsidR="00FE2631" w:rsidRPr="00CB2EFE">
        <w:rPr>
          <w:rFonts w:eastAsiaTheme="majorEastAsia" w:cstheme="majorBidi"/>
        </w:rPr>
        <w:t xml:space="preserve"> open 2 weeks</w:t>
      </w:r>
    </w:p>
    <w:p w14:paraId="47D90264" w14:textId="77777777" w:rsidR="008C59E7" w:rsidRPr="00B01A37" w:rsidRDefault="00FE2631" w:rsidP="008C59E7">
      <w:pPr>
        <w:pStyle w:val="ListParagraph"/>
        <w:numPr>
          <w:ilvl w:val="0"/>
          <w:numId w:val="16"/>
        </w:numPr>
        <w:tabs>
          <w:tab w:val="right" w:leader="dot" w:pos="9360"/>
        </w:tabs>
      </w:pPr>
      <w:r w:rsidRPr="00B01A37">
        <w:rPr>
          <w:rFonts w:eastAsiaTheme="majorEastAsia" w:cstheme="majorBidi"/>
        </w:rPr>
        <w:t>A</w:t>
      </w:r>
      <w:r w:rsidR="008C59E7" w:rsidRPr="00B01A37">
        <w:rPr>
          <w:rFonts w:eastAsiaTheme="majorEastAsia" w:cstheme="majorBidi"/>
        </w:rPr>
        <w:t>nalyze data</w:t>
      </w:r>
      <w:r w:rsidR="008C59E7" w:rsidRPr="00B01A37">
        <w:rPr>
          <w:rFonts w:cs="Arial"/>
        </w:rPr>
        <w:tab/>
      </w:r>
      <w:r w:rsidRPr="00B01A37">
        <w:rPr>
          <w:rFonts w:eastAsiaTheme="majorEastAsia" w:cstheme="majorBidi"/>
        </w:rPr>
        <w:t>2 weeks</w:t>
      </w:r>
    </w:p>
    <w:p w14:paraId="6B3D908A" w14:textId="77777777" w:rsidR="008C59E7" w:rsidRPr="00B01A37" w:rsidRDefault="008C59E7" w:rsidP="008C59E7">
      <w:pPr>
        <w:pStyle w:val="ListParagraph"/>
        <w:numPr>
          <w:ilvl w:val="0"/>
          <w:numId w:val="16"/>
        </w:numPr>
        <w:tabs>
          <w:tab w:val="right" w:leader="dot" w:pos="9360"/>
        </w:tabs>
      </w:pPr>
      <w:r w:rsidRPr="00B01A37">
        <w:rPr>
          <w:rFonts w:eastAsiaTheme="majorEastAsia" w:cstheme="majorBidi"/>
        </w:rPr>
        <w:t xml:space="preserve">Prepare reports </w:t>
      </w:r>
      <w:r w:rsidRPr="00B01A37">
        <w:tab/>
      </w:r>
      <w:r w:rsidR="00B874D4" w:rsidRPr="00B01A37">
        <w:rPr>
          <w:rFonts w:eastAsiaTheme="majorEastAsia" w:cstheme="majorBidi"/>
        </w:rPr>
        <w:t>2</w:t>
      </w:r>
      <w:r w:rsidR="00FE2631" w:rsidRPr="00B01A37">
        <w:rPr>
          <w:rFonts w:eastAsiaTheme="majorEastAsia" w:cstheme="majorBidi"/>
        </w:rPr>
        <w:t xml:space="preserve"> weeks</w:t>
      </w:r>
    </w:p>
    <w:p w14:paraId="33DEF2A6" w14:textId="77777777" w:rsidR="008C59E7" w:rsidRPr="00B01A37" w:rsidRDefault="00B874D4" w:rsidP="008C59E7">
      <w:pPr>
        <w:pStyle w:val="ListParagraph"/>
        <w:numPr>
          <w:ilvl w:val="0"/>
          <w:numId w:val="16"/>
        </w:numPr>
        <w:tabs>
          <w:tab w:val="right" w:leader="dot" w:pos="9360"/>
        </w:tabs>
      </w:pPr>
      <w:r w:rsidRPr="00B01A37">
        <w:rPr>
          <w:rFonts w:eastAsiaTheme="majorEastAsia" w:cstheme="majorBidi"/>
        </w:rPr>
        <w:t>Disseminate report</w:t>
      </w:r>
      <w:r w:rsidR="008C59E7" w:rsidRPr="00B01A37">
        <w:rPr>
          <w:rFonts w:eastAsiaTheme="majorEastAsia" w:cstheme="majorBidi"/>
        </w:rPr>
        <w:t xml:space="preserve"> </w:t>
      </w:r>
      <w:r w:rsidR="008C59E7" w:rsidRPr="00B01A37">
        <w:tab/>
      </w:r>
      <w:r w:rsidRPr="00B01A37">
        <w:rPr>
          <w:rFonts w:eastAsiaTheme="majorEastAsia" w:cstheme="majorBidi"/>
        </w:rPr>
        <w:t>1 week</w:t>
      </w:r>
    </w:p>
    <w:p w14:paraId="0B0F8F2B" w14:textId="77777777" w:rsidR="000A71DF" w:rsidRPr="00B01A37" w:rsidRDefault="000A71DF" w:rsidP="005D6F14"/>
    <w:p w14:paraId="6EF41552" w14:textId="77777777" w:rsidR="00B12F51" w:rsidRPr="00B01A37" w:rsidRDefault="00D75750" w:rsidP="00692DEB">
      <w:pPr>
        <w:pStyle w:val="Heading4"/>
      </w:pPr>
      <w:bookmarkStart w:id="19" w:name="_Toc413847767"/>
      <w:r w:rsidRPr="00B01A37">
        <w:t>Reason(s) Display of OMB Expiration Date is Inappropriate</w:t>
      </w:r>
      <w:bookmarkEnd w:id="19"/>
    </w:p>
    <w:p w14:paraId="24E2ED8A" w14:textId="77777777" w:rsidR="00F52BCC" w:rsidRPr="00B01A37" w:rsidRDefault="00180D45" w:rsidP="00692DEB">
      <w:pPr>
        <w:ind w:left="0"/>
      </w:pPr>
      <w:r w:rsidRPr="00B01A37">
        <w:t>We are requesting no exemption.</w:t>
      </w:r>
    </w:p>
    <w:p w14:paraId="30BF9FA0" w14:textId="77777777" w:rsidR="00F52BCC" w:rsidRPr="00B01A37" w:rsidRDefault="00F52BCC" w:rsidP="005D6F14"/>
    <w:p w14:paraId="425B8475" w14:textId="77777777" w:rsidR="00B12F51" w:rsidRPr="00B01A37" w:rsidRDefault="00B12F51" w:rsidP="00692DEB">
      <w:pPr>
        <w:pStyle w:val="Heading4"/>
      </w:pPr>
      <w:bookmarkStart w:id="20" w:name="_Toc413847768"/>
      <w:r w:rsidRPr="00B01A37">
        <w:t>Exceptions to Certification for Paperwork Reduction Act Submissions</w:t>
      </w:r>
      <w:bookmarkEnd w:id="20"/>
    </w:p>
    <w:p w14:paraId="4BF55358" w14:textId="77777777" w:rsidR="00F52BCC" w:rsidRPr="00B01A37" w:rsidRDefault="0031279F" w:rsidP="00692DEB">
      <w:pPr>
        <w:ind w:left="0"/>
      </w:pPr>
      <w:r w:rsidRPr="00B01A37">
        <w:t>There are no exceptions to the certification.</w:t>
      </w:r>
      <w:r w:rsidR="00180D45" w:rsidRPr="00B01A37">
        <w:t xml:space="preserve">  These activities comply with the requirements in 5 CFR 1320.9.</w:t>
      </w:r>
    </w:p>
    <w:p w14:paraId="1D8B44D1" w14:textId="77777777" w:rsidR="00385BB5" w:rsidRDefault="00385BB5" w:rsidP="008C59E7">
      <w:pPr>
        <w:ind w:left="0"/>
      </w:pPr>
    </w:p>
    <w:p w14:paraId="02DBC458" w14:textId="77777777" w:rsidR="00D1343B" w:rsidRDefault="00D1343B" w:rsidP="008C59E7">
      <w:pPr>
        <w:ind w:left="0"/>
      </w:pPr>
    </w:p>
    <w:p w14:paraId="44082335" w14:textId="77777777" w:rsidR="00A36419" w:rsidRDefault="00A36419" w:rsidP="008C59E7">
      <w:pPr>
        <w:pStyle w:val="Heading3"/>
        <w:ind w:left="0"/>
      </w:pPr>
      <w:bookmarkStart w:id="21" w:name="_Toc413847769"/>
      <w:r>
        <w:t>LIST OF ATTACHMENTS</w:t>
      </w:r>
      <w:r w:rsidR="00A33E90">
        <w:t xml:space="preserve"> – Section A</w:t>
      </w:r>
      <w:bookmarkEnd w:id="21"/>
    </w:p>
    <w:p w14:paraId="53FBBB51" w14:textId="67E06A3D" w:rsidR="00AB5B69" w:rsidRDefault="002C385C" w:rsidP="00AB5B69">
      <w:pPr>
        <w:pStyle w:val="ListParagraph"/>
        <w:numPr>
          <w:ilvl w:val="0"/>
          <w:numId w:val="26"/>
        </w:numPr>
        <w:tabs>
          <w:tab w:val="clear" w:pos="9360"/>
        </w:tabs>
        <w:spacing w:line="240" w:lineRule="auto"/>
        <w:ind w:left="720"/>
      </w:pPr>
      <w:r>
        <w:t xml:space="preserve">NCCDPHP </w:t>
      </w:r>
      <w:r w:rsidR="00AB5B69">
        <w:t>Core Competencies</w:t>
      </w:r>
      <w:r>
        <w:t xml:space="preserve"> for State Health Departments</w:t>
      </w:r>
    </w:p>
    <w:p w14:paraId="1391051A" w14:textId="44C7252B" w:rsidR="00B01A37" w:rsidRDefault="002C385C" w:rsidP="00E647FB">
      <w:pPr>
        <w:pStyle w:val="ListParagraph"/>
        <w:numPr>
          <w:ilvl w:val="0"/>
          <w:numId w:val="26"/>
        </w:numPr>
        <w:tabs>
          <w:tab w:val="clear" w:pos="9360"/>
        </w:tabs>
        <w:spacing w:line="240" w:lineRule="auto"/>
        <w:ind w:left="720"/>
      </w:pPr>
      <w:r>
        <w:t xml:space="preserve">The </w:t>
      </w:r>
      <w:r w:rsidR="00765760">
        <w:t>Four Domains</w:t>
      </w:r>
      <w:r>
        <w:t xml:space="preserve"> of Chronic Disease Prevention</w:t>
      </w:r>
    </w:p>
    <w:p w14:paraId="005613DE" w14:textId="28F08D8C" w:rsidR="008264E8" w:rsidRDefault="008264E8" w:rsidP="00E647FB">
      <w:pPr>
        <w:pStyle w:val="ListParagraph"/>
        <w:numPr>
          <w:ilvl w:val="0"/>
          <w:numId w:val="26"/>
        </w:numPr>
        <w:tabs>
          <w:tab w:val="clear" w:pos="9360"/>
        </w:tabs>
        <w:spacing w:line="240" w:lineRule="auto"/>
        <w:ind w:left="720"/>
      </w:pPr>
      <w:r>
        <w:t>Contact Instrument</w:t>
      </w:r>
    </w:p>
    <w:p w14:paraId="12BB2739" w14:textId="340BA0DE" w:rsidR="00B874D4" w:rsidRPr="00B01A37" w:rsidRDefault="008264E8" w:rsidP="00E647FB">
      <w:pPr>
        <w:pStyle w:val="ListParagraph"/>
        <w:numPr>
          <w:ilvl w:val="0"/>
          <w:numId w:val="26"/>
        </w:numPr>
        <w:tabs>
          <w:tab w:val="clear" w:pos="9360"/>
        </w:tabs>
        <w:spacing w:line="240" w:lineRule="auto"/>
        <w:ind w:left="720"/>
      </w:pPr>
      <w:r>
        <w:t xml:space="preserve">Training Needs Assessment </w:t>
      </w:r>
      <w:r w:rsidR="00765760">
        <w:t>I</w:t>
      </w:r>
      <w:r w:rsidR="00FF01EC" w:rsidRPr="00B01A37">
        <w:t xml:space="preserve">nstrument </w:t>
      </w:r>
      <w:r w:rsidR="00B874D4" w:rsidRPr="00B01A37">
        <w:t>Word version</w:t>
      </w:r>
    </w:p>
    <w:p w14:paraId="30DC68F6" w14:textId="3B8AB775" w:rsidR="00E647FB" w:rsidRPr="00B01A37" w:rsidRDefault="008264E8" w:rsidP="00E647FB">
      <w:pPr>
        <w:pStyle w:val="ListParagraph"/>
        <w:numPr>
          <w:ilvl w:val="0"/>
          <w:numId w:val="26"/>
        </w:numPr>
        <w:tabs>
          <w:tab w:val="clear" w:pos="9360"/>
        </w:tabs>
        <w:spacing w:line="240" w:lineRule="auto"/>
        <w:ind w:left="720"/>
      </w:pPr>
      <w:r>
        <w:t xml:space="preserve">Training Needs Assessment </w:t>
      </w:r>
      <w:r w:rsidR="00765760">
        <w:t>I</w:t>
      </w:r>
      <w:r w:rsidR="00FF01EC" w:rsidRPr="00B01A37">
        <w:t>nstrument</w:t>
      </w:r>
      <w:r w:rsidR="00FF01EC" w:rsidRPr="00B01A37">
        <w:rPr>
          <w:b/>
        </w:rPr>
        <w:t xml:space="preserve"> </w:t>
      </w:r>
      <w:r w:rsidR="00E647FB" w:rsidRPr="00B01A37">
        <w:t>Web version</w:t>
      </w:r>
    </w:p>
    <w:p w14:paraId="2859CBFF" w14:textId="77777777" w:rsidR="00350F65" w:rsidRDefault="00350F65" w:rsidP="003860A5">
      <w:pPr>
        <w:pStyle w:val="Heading3"/>
        <w:ind w:left="0"/>
      </w:pPr>
      <w:bookmarkStart w:id="22" w:name="_Toc413847770"/>
    </w:p>
    <w:p w14:paraId="588010E9" w14:textId="77777777" w:rsidR="00CC7188" w:rsidRDefault="00CC7188" w:rsidP="003860A5">
      <w:pPr>
        <w:pStyle w:val="Heading3"/>
        <w:ind w:left="0"/>
      </w:pPr>
      <w:r w:rsidRPr="00CC7188">
        <w:t xml:space="preserve">REFERENCE LIST </w:t>
      </w:r>
      <w:bookmarkEnd w:id="22"/>
    </w:p>
    <w:p w14:paraId="34BA9746" w14:textId="19279CAC" w:rsidR="007B3989" w:rsidRPr="007B6973" w:rsidRDefault="007B3989" w:rsidP="007B3989">
      <w:pPr>
        <w:pStyle w:val="ListParagraph"/>
        <w:numPr>
          <w:ilvl w:val="2"/>
          <w:numId w:val="2"/>
        </w:numPr>
        <w:tabs>
          <w:tab w:val="clear" w:pos="9360"/>
        </w:tabs>
        <w:spacing w:line="240" w:lineRule="auto"/>
        <w:ind w:hanging="360"/>
      </w:pPr>
      <w:r w:rsidRPr="007B6973">
        <w:t xml:space="preserve">Bauer, Ursula E et al. (2014). Prevention of chronic disease in the 21st century: elimination of the leading preventable causes of premature death and disability in the USA. </w:t>
      </w:r>
      <w:r w:rsidRPr="007B6973">
        <w:rPr>
          <w:i/>
        </w:rPr>
        <w:t>The Lancet</w:t>
      </w:r>
      <w:r w:rsidRPr="007B6973">
        <w:t xml:space="preserve">, 384 (9937), 45 – 52. </w:t>
      </w:r>
      <w:hyperlink r:id="rId15" w:history="1">
        <w:r w:rsidR="007B6973" w:rsidRPr="005D7CE6">
          <w:rPr>
            <w:rStyle w:val="Hyperlink"/>
          </w:rPr>
          <w:t>http://www.thelancet.com/journals/lancet/article/PIIS0140-6736(14)60648-6/abstract</w:t>
        </w:r>
      </w:hyperlink>
      <w:r w:rsidR="007B6973">
        <w:t xml:space="preserve"> </w:t>
      </w:r>
    </w:p>
    <w:p w14:paraId="10FF88AB" w14:textId="0D163D4E" w:rsidR="00BB5556" w:rsidRDefault="000058E0" w:rsidP="00BB5556">
      <w:pPr>
        <w:pStyle w:val="ListParagraph"/>
        <w:numPr>
          <w:ilvl w:val="2"/>
          <w:numId w:val="2"/>
        </w:numPr>
        <w:tabs>
          <w:tab w:val="clear" w:pos="9360"/>
        </w:tabs>
        <w:spacing w:line="240" w:lineRule="auto"/>
        <w:ind w:hanging="360"/>
      </w:pPr>
      <w:r w:rsidRPr="008C59E7">
        <w:lastRenderedPageBreak/>
        <w:t xml:space="preserve">Centers for Disease Control and Prevention (CDC). "National Public Health Performance Standards Program (NPHPSP): 10 Essential Public Health Services." Available at </w:t>
      </w:r>
      <w:hyperlink r:id="rId16" w:history="1">
        <w:r w:rsidR="00D82B56" w:rsidRPr="00D82B56">
          <w:rPr>
            <w:rStyle w:val="Hyperlink"/>
          </w:rPr>
          <w:t>http://www.cdc.gov/nphpsp/essentialservices.html.</w:t>
        </w:r>
      </w:hyperlink>
      <w:r w:rsidR="00D82B56">
        <w:t xml:space="preserve"> Accessed on 8/14/14.</w:t>
      </w:r>
    </w:p>
    <w:p w14:paraId="72DE840E" w14:textId="38B3950C" w:rsidR="00BB5556" w:rsidRDefault="00E11481" w:rsidP="00BB5556">
      <w:pPr>
        <w:pStyle w:val="ListParagraph"/>
        <w:numPr>
          <w:ilvl w:val="2"/>
          <w:numId w:val="2"/>
        </w:numPr>
        <w:tabs>
          <w:tab w:val="clear" w:pos="9360"/>
        </w:tabs>
        <w:spacing w:line="240" w:lineRule="auto"/>
        <w:ind w:hanging="360"/>
      </w:pPr>
      <w:r>
        <w:t xml:space="preserve">“Partnerships to Improve Community Health.” </w:t>
      </w:r>
      <w:r w:rsidR="00D660FD" w:rsidRPr="00D660FD">
        <w:rPr>
          <w:i/>
        </w:rPr>
        <w:t>Division of Community Health: Making Healthy Living Easier</w:t>
      </w:r>
      <w:r w:rsidR="00D660FD">
        <w:t xml:space="preserve">. Centers for Disease Control and Prevention (CDC), U.S. Department of Health and Human Services, </w:t>
      </w:r>
      <w:r w:rsidR="00A506FD">
        <w:t xml:space="preserve">17 July 2015. </w:t>
      </w:r>
      <w:r>
        <w:t>Available at</w:t>
      </w:r>
      <w:r w:rsidR="00BB5556">
        <w:t xml:space="preserve"> </w:t>
      </w:r>
      <w:hyperlink r:id="rId17" w:history="1">
        <w:r w:rsidRPr="00EB4AF9">
          <w:rPr>
            <w:rStyle w:val="Hyperlink"/>
          </w:rPr>
          <w:t>http://www.cdc.gov/nccdphp/dch/programs/partnershipstoimprovecommunityhealth/index.html</w:t>
        </w:r>
      </w:hyperlink>
      <w:r>
        <w:t xml:space="preserve">. Accessed on </w:t>
      </w:r>
      <w:r w:rsidR="009F2CD6">
        <w:t>8/</w:t>
      </w:r>
      <w:r w:rsidR="00BB5556">
        <w:t>14/15</w:t>
      </w:r>
      <w:r w:rsidR="009F2CD6">
        <w:t xml:space="preserve">. </w:t>
      </w:r>
      <w:r w:rsidR="00350F65">
        <w:t xml:space="preserve"> </w:t>
      </w:r>
    </w:p>
    <w:p w14:paraId="579CE3FB" w14:textId="604D52C1" w:rsidR="00350F65" w:rsidRDefault="009F2CD6" w:rsidP="00BB5556">
      <w:pPr>
        <w:pStyle w:val="ListParagraph"/>
        <w:numPr>
          <w:ilvl w:val="2"/>
          <w:numId w:val="2"/>
        </w:numPr>
        <w:tabs>
          <w:tab w:val="clear" w:pos="9360"/>
        </w:tabs>
        <w:spacing w:line="240" w:lineRule="auto"/>
        <w:ind w:hanging="360"/>
      </w:pPr>
      <w:r>
        <w:t>“Racial and Ethnic Approaches to Community Health.”</w:t>
      </w:r>
      <w:r w:rsidR="00350F65">
        <w:t xml:space="preserve"> </w:t>
      </w:r>
      <w:r w:rsidR="00A506FD">
        <w:rPr>
          <w:i/>
        </w:rPr>
        <w:t xml:space="preserve">Racial and Ethnic Approaches to Community Health. </w:t>
      </w:r>
      <w:r w:rsidR="00A506FD">
        <w:t xml:space="preserve">Centers for Disease Control and Prevention (CDC), U.S. Department of Health and Human Services, 25 Oct 2013. </w:t>
      </w:r>
      <w:r w:rsidR="00BB5556">
        <w:t xml:space="preserve">Available at </w:t>
      </w:r>
      <w:hyperlink r:id="rId18" w:history="1">
        <w:r w:rsidR="00BB5556" w:rsidRPr="00EB4AF9">
          <w:rPr>
            <w:rStyle w:val="Hyperlink"/>
          </w:rPr>
          <w:t>http://www.cdc.gov/nccdphp/dch/programs/reach/index.htm</w:t>
        </w:r>
      </w:hyperlink>
      <w:r w:rsidR="00BB5556">
        <w:t>. Accessed 8/14/15.</w:t>
      </w:r>
    </w:p>
    <w:p w14:paraId="0A9CBF11" w14:textId="77777777" w:rsidR="007B3989" w:rsidRDefault="007B3989" w:rsidP="007B3989">
      <w:pPr>
        <w:tabs>
          <w:tab w:val="clear" w:pos="9360"/>
        </w:tabs>
        <w:spacing w:line="240" w:lineRule="auto"/>
        <w:ind w:left="0"/>
      </w:pPr>
    </w:p>
    <w:sectPr w:rsidR="007B3989" w:rsidSect="008D3A8B">
      <w:footerReference w:type="default" r:id="rId19"/>
      <w:type w:val="continuous"/>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916C94" w14:textId="77777777" w:rsidR="00973BFB" w:rsidRDefault="00973BFB" w:rsidP="007D6163">
      <w:r>
        <w:separator/>
      </w:r>
    </w:p>
    <w:p w14:paraId="0EFF34C6" w14:textId="77777777" w:rsidR="00973BFB" w:rsidRDefault="00973BFB" w:rsidP="007D6163"/>
  </w:endnote>
  <w:endnote w:type="continuationSeparator" w:id="0">
    <w:p w14:paraId="4010F66F" w14:textId="77777777" w:rsidR="00973BFB" w:rsidRDefault="00973BFB" w:rsidP="007D6163">
      <w:r>
        <w:continuationSeparator/>
      </w:r>
    </w:p>
    <w:p w14:paraId="65CAE6C0" w14:textId="77777777" w:rsidR="00973BFB" w:rsidRDefault="00973BFB" w:rsidP="007D61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yriad Pro">
    <w:altName w:val="Arial"/>
    <w:panose1 w:val="00000000000000000000"/>
    <w:charset w:val="00"/>
    <w:family w:val="swiss"/>
    <w:notTrueType/>
    <w:pitch w:val="variable"/>
    <w:sig w:usb0="00000001" w:usb1="00000001"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9667637"/>
      <w:docPartObj>
        <w:docPartGallery w:val="Page Numbers (Bottom of Page)"/>
        <w:docPartUnique/>
      </w:docPartObj>
    </w:sdtPr>
    <w:sdtEndPr/>
    <w:sdtContent>
      <w:sdt>
        <w:sdtPr>
          <w:id w:val="-596409933"/>
          <w:docPartObj>
            <w:docPartGallery w:val="Page Numbers (Top of Page)"/>
            <w:docPartUnique/>
          </w:docPartObj>
        </w:sdtPr>
        <w:sdtEndPr/>
        <w:sdtContent>
          <w:p w14:paraId="001A040A" w14:textId="77777777" w:rsidR="009F2CD6" w:rsidRDefault="009F2CD6">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B621DD">
              <w:rPr>
                <w:b/>
                <w:bCs/>
                <w:noProof/>
              </w:rPr>
              <w:t>12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621DD">
              <w:rPr>
                <w:b/>
                <w:bCs/>
                <w:noProof/>
              </w:rPr>
              <w:t>13</w:t>
            </w:r>
            <w:r>
              <w:rPr>
                <w:b/>
                <w:bCs/>
                <w:sz w:val="24"/>
                <w:szCs w:val="24"/>
              </w:rPr>
              <w:fldChar w:fldCharType="end"/>
            </w:r>
          </w:p>
        </w:sdtContent>
      </w:sdt>
    </w:sdtContent>
  </w:sdt>
  <w:p w14:paraId="01199847" w14:textId="77777777" w:rsidR="009F2CD6" w:rsidRPr="004F2266" w:rsidRDefault="009F2CD6" w:rsidP="004F2266">
    <w:pPr>
      <w:pStyle w:val="Footer"/>
      <w:ind w:left="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A71CD9" w14:textId="77777777" w:rsidR="00973BFB" w:rsidRDefault="00973BFB" w:rsidP="007D6163">
      <w:r>
        <w:separator/>
      </w:r>
    </w:p>
    <w:p w14:paraId="420A7BFC" w14:textId="77777777" w:rsidR="00973BFB" w:rsidRDefault="00973BFB" w:rsidP="007D6163"/>
  </w:footnote>
  <w:footnote w:type="continuationSeparator" w:id="0">
    <w:p w14:paraId="5CE75759" w14:textId="77777777" w:rsidR="00973BFB" w:rsidRDefault="00973BFB" w:rsidP="007D6163">
      <w:r>
        <w:continuationSeparator/>
      </w:r>
    </w:p>
    <w:p w14:paraId="320EE938" w14:textId="77777777" w:rsidR="00973BFB" w:rsidRDefault="00973BFB" w:rsidP="007D6163"/>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C7CD4"/>
    <w:multiLevelType w:val="hybridMultilevel"/>
    <w:tmpl w:val="D72EAD62"/>
    <w:lvl w:ilvl="0" w:tplc="D960EF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B92BAD"/>
    <w:multiLevelType w:val="hybridMultilevel"/>
    <w:tmpl w:val="16645FF8"/>
    <w:lvl w:ilvl="0" w:tplc="512C5E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A038DA"/>
    <w:multiLevelType w:val="hybridMultilevel"/>
    <w:tmpl w:val="A44095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47F35DC"/>
    <w:multiLevelType w:val="hybridMultilevel"/>
    <w:tmpl w:val="E27AE780"/>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C87901"/>
    <w:multiLevelType w:val="hybridMultilevel"/>
    <w:tmpl w:val="E16699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C22082"/>
    <w:multiLevelType w:val="hybridMultilevel"/>
    <w:tmpl w:val="B51C5F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8016FE"/>
    <w:multiLevelType w:val="hybridMultilevel"/>
    <w:tmpl w:val="69FA07F8"/>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0E202237"/>
    <w:multiLevelType w:val="hybridMultilevel"/>
    <w:tmpl w:val="6E8EB8BC"/>
    <w:lvl w:ilvl="0" w:tplc="750EFF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EF32C4B"/>
    <w:multiLevelType w:val="hybridMultilevel"/>
    <w:tmpl w:val="C40819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26B406E"/>
    <w:multiLevelType w:val="hybridMultilevel"/>
    <w:tmpl w:val="7772D530"/>
    <w:lvl w:ilvl="0" w:tplc="FFB216BC">
      <w:start w:val="1"/>
      <w:numFmt w:val="decimal"/>
      <w:lvlText w:val="%1."/>
      <w:lvlJc w:val="left"/>
      <w:pPr>
        <w:ind w:left="8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2A31AB"/>
    <w:multiLevelType w:val="hybridMultilevel"/>
    <w:tmpl w:val="4538C066"/>
    <w:lvl w:ilvl="0" w:tplc="E1C03912">
      <w:start w:val="1"/>
      <w:numFmt w:val="bullet"/>
      <w:lvlText w:val=""/>
      <w:lvlJc w:val="left"/>
      <w:pPr>
        <w:ind w:left="720" w:hanging="360"/>
      </w:pPr>
      <w:rPr>
        <w:rFonts w:ascii="Wingdings" w:hAnsi="Wingdings"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4334D2"/>
    <w:multiLevelType w:val="hybridMultilevel"/>
    <w:tmpl w:val="197E5C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27C2A67"/>
    <w:multiLevelType w:val="hybridMultilevel"/>
    <w:tmpl w:val="B696488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5F2608B"/>
    <w:multiLevelType w:val="hybridMultilevel"/>
    <w:tmpl w:val="F7C2896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6996B22"/>
    <w:multiLevelType w:val="hybridMultilevel"/>
    <w:tmpl w:val="FE5811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6FC57D3"/>
    <w:multiLevelType w:val="hybridMultilevel"/>
    <w:tmpl w:val="F856A7AA"/>
    <w:lvl w:ilvl="0" w:tplc="33B618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EAF3879"/>
    <w:multiLevelType w:val="hybridMultilevel"/>
    <w:tmpl w:val="FC6ECA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7" w15:restartNumberingAfterBreak="0">
    <w:nsid w:val="2FC97E8D"/>
    <w:multiLevelType w:val="hybridMultilevel"/>
    <w:tmpl w:val="7D40639A"/>
    <w:lvl w:ilvl="0" w:tplc="0409000D">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0F0FA1"/>
    <w:multiLevelType w:val="hybridMultilevel"/>
    <w:tmpl w:val="596AC156"/>
    <w:lvl w:ilvl="0" w:tplc="805E065A">
      <w:start w:val="1"/>
      <w:numFmt w:val="decimal"/>
      <w:pStyle w:val="Heading4"/>
      <w:lvlText w:val="%1."/>
      <w:lvlJc w:val="left"/>
      <w:pPr>
        <w:ind w:left="-630" w:hanging="360"/>
      </w:pPr>
      <w:rPr>
        <w:rFonts w:hint="default"/>
      </w:rPr>
    </w:lvl>
    <w:lvl w:ilvl="1" w:tplc="04090019">
      <w:start w:val="1"/>
      <w:numFmt w:val="lowerLetter"/>
      <w:lvlText w:val="%2."/>
      <w:lvlJc w:val="left"/>
      <w:pPr>
        <w:ind w:left="0" w:hanging="360"/>
      </w:pPr>
    </w:lvl>
    <w:lvl w:ilvl="2" w:tplc="0409000F">
      <w:start w:val="1"/>
      <w:numFmt w:val="decimal"/>
      <w:lvlText w:val="%3."/>
      <w:lvlJc w:val="left"/>
      <w:pPr>
        <w:ind w:left="720" w:hanging="180"/>
      </w:pPr>
      <w:rPr>
        <w:rFonts w:hint="default"/>
        <w:b/>
        <w:i w:val="0"/>
        <w:color w:val="auto"/>
      </w:r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9" w15:restartNumberingAfterBreak="0">
    <w:nsid w:val="33DA708B"/>
    <w:multiLevelType w:val="hybridMultilevel"/>
    <w:tmpl w:val="C80C0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3C654E"/>
    <w:multiLevelType w:val="hybridMultilevel"/>
    <w:tmpl w:val="652E0AE6"/>
    <w:lvl w:ilvl="0" w:tplc="480ED39A">
      <w:start w:val="1"/>
      <w:numFmt w:val="upperLetter"/>
      <w:lvlText w:val="%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4617505"/>
    <w:multiLevelType w:val="hybridMultilevel"/>
    <w:tmpl w:val="126AC92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8BC2921"/>
    <w:multiLevelType w:val="multilevel"/>
    <w:tmpl w:val="E7729024"/>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3" w15:restartNumberingAfterBreak="0">
    <w:nsid w:val="508F5107"/>
    <w:multiLevelType w:val="hybridMultilevel"/>
    <w:tmpl w:val="5BBA7C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0B333BB"/>
    <w:multiLevelType w:val="hybridMultilevel"/>
    <w:tmpl w:val="6F9ADEA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25" w15:restartNumberingAfterBreak="0">
    <w:nsid w:val="536E5D34"/>
    <w:multiLevelType w:val="hybridMultilevel"/>
    <w:tmpl w:val="84063B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5EA3171"/>
    <w:multiLevelType w:val="hybridMultilevel"/>
    <w:tmpl w:val="E7240F3C"/>
    <w:lvl w:ilvl="0" w:tplc="0409000B">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665699"/>
    <w:multiLevelType w:val="hybridMultilevel"/>
    <w:tmpl w:val="DBF61F0C"/>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A1E6E94"/>
    <w:multiLevelType w:val="hybridMultilevel"/>
    <w:tmpl w:val="F468FF2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FAA364A"/>
    <w:multiLevelType w:val="hybridMultilevel"/>
    <w:tmpl w:val="C8BC5744"/>
    <w:lvl w:ilvl="0" w:tplc="0409000D">
      <w:start w:val="1"/>
      <w:numFmt w:val="bullet"/>
      <w:lvlText w:val=""/>
      <w:lvlJc w:val="left"/>
      <w:pPr>
        <w:ind w:left="1800" w:hanging="360"/>
      </w:pPr>
      <w:rPr>
        <w:rFonts w:ascii="Wingdings" w:hAnsi="Wingdings" w:hint="default"/>
        <w:sz w:val="2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643348AA"/>
    <w:multiLevelType w:val="hybridMultilevel"/>
    <w:tmpl w:val="8214C1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74F066A"/>
    <w:multiLevelType w:val="hybridMultilevel"/>
    <w:tmpl w:val="5FE09CE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2" w15:restartNumberingAfterBreak="0">
    <w:nsid w:val="69465EF4"/>
    <w:multiLevelType w:val="hybridMultilevel"/>
    <w:tmpl w:val="05D646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9605014"/>
    <w:multiLevelType w:val="hybridMultilevel"/>
    <w:tmpl w:val="860A917E"/>
    <w:lvl w:ilvl="0" w:tplc="E1C03912">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B97887"/>
    <w:multiLevelType w:val="hybridMultilevel"/>
    <w:tmpl w:val="3982A8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017043A"/>
    <w:multiLevelType w:val="hybridMultilevel"/>
    <w:tmpl w:val="B52E2E2C"/>
    <w:lvl w:ilvl="0" w:tplc="392CDC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15B73B6"/>
    <w:multiLevelType w:val="hybridMultilevel"/>
    <w:tmpl w:val="DA906682"/>
    <w:lvl w:ilvl="0" w:tplc="0409000D">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6BD7608"/>
    <w:multiLevelType w:val="hybridMultilevel"/>
    <w:tmpl w:val="D658B0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72E7E23"/>
    <w:multiLevelType w:val="hybridMultilevel"/>
    <w:tmpl w:val="17AC84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8441443"/>
    <w:multiLevelType w:val="hybridMultilevel"/>
    <w:tmpl w:val="32F2F8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A0C6AF8"/>
    <w:multiLevelType w:val="hybridMultilevel"/>
    <w:tmpl w:val="BBEAB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AC40CE8"/>
    <w:multiLevelType w:val="hybridMultilevel"/>
    <w:tmpl w:val="2B7CAA8A"/>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EA676D7"/>
    <w:multiLevelType w:val="hybridMultilevel"/>
    <w:tmpl w:val="C2CC848C"/>
    <w:lvl w:ilvl="0" w:tplc="0409000B">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8"/>
  </w:num>
  <w:num w:numId="3">
    <w:abstractNumId w:val="40"/>
  </w:num>
  <w:num w:numId="4">
    <w:abstractNumId w:val="15"/>
  </w:num>
  <w:num w:numId="5">
    <w:abstractNumId w:val="24"/>
  </w:num>
  <w:num w:numId="6">
    <w:abstractNumId w:val="11"/>
  </w:num>
  <w:num w:numId="7">
    <w:abstractNumId w:val="0"/>
  </w:num>
  <w:num w:numId="8">
    <w:abstractNumId w:val="7"/>
  </w:num>
  <w:num w:numId="9">
    <w:abstractNumId w:val="12"/>
  </w:num>
  <w:num w:numId="10">
    <w:abstractNumId w:val="28"/>
  </w:num>
  <w:num w:numId="11">
    <w:abstractNumId w:val="2"/>
  </w:num>
  <w:num w:numId="12">
    <w:abstractNumId w:val="38"/>
  </w:num>
  <w:num w:numId="13">
    <w:abstractNumId w:val="10"/>
  </w:num>
  <w:num w:numId="14">
    <w:abstractNumId w:val="4"/>
  </w:num>
  <w:num w:numId="15">
    <w:abstractNumId w:val="30"/>
  </w:num>
  <w:num w:numId="16">
    <w:abstractNumId w:val="33"/>
  </w:num>
  <w:num w:numId="17">
    <w:abstractNumId w:val="36"/>
  </w:num>
  <w:num w:numId="18">
    <w:abstractNumId w:val="17"/>
  </w:num>
  <w:num w:numId="19">
    <w:abstractNumId w:val="42"/>
  </w:num>
  <w:num w:numId="20">
    <w:abstractNumId w:val="26"/>
  </w:num>
  <w:num w:numId="21">
    <w:abstractNumId w:val="29"/>
  </w:num>
  <w:num w:numId="22">
    <w:abstractNumId w:val="25"/>
  </w:num>
  <w:num w:numId="23">
    <w:abstractNumId w:val="9"/>
  </w:num>
  <w:num w:numId="24">
    <w:abstractNumId w:val="32"/>
  </w:num>
  <w:num w:numId="25">
    <w:abstractNumId w:val="5"/>
  </w:num>
  <w:num w:numId="26">
    <w:abstractNumId w:val="20"/>
  </w:num>
  <w:num w:numId="27">
    <w:abstractNumId w:val="8"/>
  </w:num>
  <w:num w:numId="28">
    <w:abstractNumId w:val="14"/>
  </w:num>
  <w:num w:numId="29">
    <w:abstractNumId w:val="27"/>
  </w:num>
  <w:num w:numId="30">
    <w:abstractNumId w:val="41"/>
  </w:num>
  <w:num w:numId="31">
    <w:abstractNumId w:val="19"/>
  </w:num>
  <w:num w:numId="32">
    <w:abstractNumId w:val="23"/>
  </w:num>
  <w:num w:numId="33">
    <w:abstractNumId w:val="13"/>
  </w:num>
  <w:num w:numId="34">
    <w:abstractNumId w:val="16"/>
  </w:num>
  <w:num w:numId="35">
    <w:abstractNumId w:val="37"/>
  </w:num>
  <w:num w:numId="36">
    <w:abstractNumId w:val="3"/>
  </w:num>
  <w:num w:numId="37">
    <w:abstractNumId w:val="6"/>
  </w:num>
  <w:num w:numId="38">
    <w:abstractNumId w:val="21"/>
  </w:num>
  <w:num w:numId="39">
    <w:abstractNumId w:val="39"/>
  </w:num>
  <w:num w:numId="40">
    <w:abstractNumId w:val="22"/>
  </w:num>
  <w:num w:numId="41">
    <w:abstractNumId w:val="35"/>
  </w:num>
  <w:num w:numId="42">
    <w:abstractNumId w:val="34"/>
  </w:num>
  <w:num w:numId="4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oNotTrackFormatting/>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D81"/>
    <w:rsid w:val="000058E0"/>
    <w:rsid w:val="00006275"/>
    <w:rsid w:val="00007039"/>
    <w:rsid w:val="00011A98"/>
    <w:rsid w:val="00011F8D"/>
    <w:rsid w:val="000130B4"/>
    <w:rsid w:val="00014361"/>
    <w:rsid w:val="00014579"/>
    <w:rsid w:val="00016C04"/>
    <w:rsid w:val="00022129"/>
    <w:rsid w:val="000241ED"/>
    <w:rsid w:val="00040611"/>
    <w:rsid w:val="000421D0"/>
    <w:rsid w:val="0004305C"/>
    <w:rsid w:val="00043803"/>
    <w:rsid w:val="000474FB"/>
    <w:rsid w:val="00050D9E"/>
    <w:rsid w:val="00053A92"/>
    <w:rsid w:val="00053D48"/>
    <w:rsid w:val="00054839"/>
    <w:rsid w:val="00054BED"/>
    <w:rsid w:val="00055DAE"/>
    <w:rsid w:val="00055DB7"/>
    <w:rsid w:val="00057F36"/>
    <w:rsid w:val="000636CC"/>
    <w:rsid w:val="00064C9D"/>
    <w:rsid w:val="000670BB"/>
    <w:rsid w:val="0007097B"/>
    <w:rsid w:val="000735EE"/>
    <w:rsid w:val="00073C17"/>
    <w:rsid w:val="00073D74"/>
    <w:rsid w:val="00075685"/>
    <w:rsid w:val="0007693A"/>
    <w:rsid w:val="00084588"/>
    <w:rsid w:val="00085EA8"/>
    <w:rsid w:val="00091F9C"/>
    <w:rsid w:val="0009520D"/>
    <w:rsid w:val="000A1F30"/>
    <w:rsid w:val="000A2D0C"/>
    <w:rsid w:val="000A71DF"/>
    <w:rsid w:val="000B0962"/>
    <w:rsid w:val="000B2CBC"/>
    <w:rsid w:val="000B4BE5"/>
    <w:rsid w:val="000C26B9"/>
    <w:rsid w:val="000E6577"/>
    <w:rsid w:val="000E7A19"/>
    <w:rsid w:val="000F0076"/>
    <w:rsid w:val="000F315C"/>
    <w:rsid w:val="000F719C"/>
    <w:rsid w:val="00104355"/>
    <w:rsid w:val="00104A1B"/>
    <w:rsid w:val="001113A5"/>
    <w:rsid w:val="001177DD"/>
    <w:rsid w:val="00135334"/>
    <w:rsid w:val="0013776B"/>
    <w:rsid w:val="001407B6"/>
    <w:rsid w:val="001412D4"/>
    <w:rsid w:val="00144F64"/>
    <w:rsid w:val="00145D62"/>
    <w:rsid w:val="00147CC5"/>
    <w:rsid w:val="00151233"/>
    <w:rsid w:val="00151567"/>
    <w:rsid w:val="0015598A"/>
    <w:rsid w:val="00157413"/>
    <w:rsid w:val="00163E17"/>
    <w:rsid w:val="00166F9E"/>
    <w:rsid w:val="00167880"/>
    <w:rsid w:val="00167C3F"/>
    <w:rsid w:val="0017205F"/>
    <w:rsid w:val="00173F65"/>
    <w:rsid w:val="00180D45"/>
    <w:rsid w:val="00187870"/>
    <w:rsid w:val="00187C59"/>
    <w:rsid w:val="00187D5A"/>
    <w:rsid w:val="0019164D"/>
    <w:rsid w:val="00192AFD"/>
    <w:rsid w:val="001972D7"/>
    <w:rsid w:val="001A06B6"/>
    <w:rsid w:val="001A1814"/>
    <w:rsid w:val="001A28F6"/>
    <w:rsid w:val="001A2B49"/>
    <w:rsid w:val="001B1B65"/>
    <w:rsid w:val="001B2831"/>
    <w:rsid w:val="001B4065"/>
    <w:rsid w:val="001B5910"/>
    <w:rsid w:val="001B63F4"/>
    <w:rsid w:val="001B70B4"/>
    <w:rsid w:val="001B7C62"/>
    <w:rsid w:val="001C0493"/>
    <w:rsid w:val="001C28AD"/>
    <w:rsid w:val="001D5869"/>
    <w:rsid w:val="001D7FCB"/>
    <w:rsid w:val="001E2B99"/>
    <w:rsid w:val="001E69B6"/>
    <w:rsid w:val="001E6FCD"/>
    <w:rsid w:val="001E7537"/>
    <w:rsid w:val="001F4DBB"/>
    <w:rsid w:val="00202D07"/>
    <w:rsid w:val="0020312D"/>
    <w:rsid w:val="002032B6"/>
    <w:rsid w:val="00206E33"/>
    <w:rsid w:val="00210519"/>
    <w:rsid w:val="00212BC5"/>
    <w:rsid w:val="002203F1"/>
    <w:rsid w:val="002215F7"/>
    <w:rsid w:val="00222364"/>
    <w:rsid w:val="00227259"/>
    <w:rsid w:val="00231A54"/>
    <w:rsid w:val="002374E7"/>
    <w:rsid w:val="00240F9C"/>
    <w:rsid w:val="00241B17"/>
    <w:rsid w:val="00241C81"/>
    <w:rsid w:val="00244557"/>
    <w:rsid w:val="00252669"/>
    <w:rsid w:val="00255EB0"/>
    <w:rsid w:val="00257A1C"/>
    <w:rsid w:val="00261AD6"/>
    <w:rsid w:val="00264A78"/>
    <w:rsid w:val="00267B7C"/>
    <w:rsid w:val="002702A0"/>
    <w:rsid w:val="0027234C"/>
    <w:rsid w:val="00274708"/>
    <w:rsid w:val="00274C48"/>
    <w:rsid w:val="00277830"/>
    <w:rsid w:val="00280431"/>
    <w:rsid w:val="00281372"/>
    <w:rsid w:val="00281795"/>
    <w:rsid w:val="002850E3"/>
    <w:rsid w:val="00287869"/>
    <w:rsid w:val="00287E2F"/>
    <w:rsid w:val="002A1948"/>
    <w:rsid w:val="002A24A1"/>
    <w:rsid w:val="002B6649"/>
    <w:rsid w:val="002C0877"/>
    <w:rsid w:val="002C2AE2"/>
    <w:rsid w:val="002C385C"/>
    <w:rsid w:val="002D0DCE"/>
    <w:rsid w:val="002D43D8"/>
    <w:rsid w:val="002E002D"/>
    <w:rsid w:val="002E2B10"/>
    <w:rsid w:val="002E523F"/>
    <w:rsid w:val="002E73B0"/>
    <w:rsid w:val="002F1502"/>
    <w:rsid w:val="002F2069"/>
    <w:rsid w:val="002F71A2"/>
    <w:rsid w:val="003009C2"/>
    <w:rsid w:val="003041AD"/>
    <w:rsid w:val="0031279F"/>
    <w:rsid w:val="00312FC3"/>
    <w:rsid w:val="00316F00"/>
    <w:rsid w:val="00321B51"/>
    <w:rsid w:val="003228A3"/>
    <w:rsid w:val="00324E82"/>
    <w:rsid w:val="00336D96"/>
    <w:rsid w:val="00344F07"/>
    <w:rsid w:val="003469C8"/>
    <w:rsid w:val="003474CE"/>
    <w:rsid w:val="00350C8C"/>
    <w:rsid w:val="00350F65"/>
    <w:rsid w:val="00351D81"/>
    <w:rsid w:val="00354CC2"/>
    <w:rsid w:val="00355EA4"/>
    <w:rsid w:val="003562D2"/>
    <w:rsid w:val="003635BE"/>
    <w:rsid w:val="00365045"/>
    <w:rsid w:val="00366B5E"/>
    <w:rsid w:val="00385BB5"/>
    <w:rsid w:val="003860A5"/>
    <w:rsid w:val="00386BC2"/>
    <w:rsid w:val="003A5AC9"/>
    <w:rsid w:val="003B125E"/>
    <w:rsid w:val="003B1BE3"/>
    <w:rsid w:val="003B2200"/>
    <w:rsid w:val="003B2AE6"/>
    <w:rsid w:val="003B52A8"/>
    <w:rsid w:val="003B5559"/>
    <w:rsid w:val="003C31C9"/>
    <w:rsid w:val="003C4961"/>
    <w:rsid w:val="003C631C"/>
    <w:rsid w:val="003C7C5D"/>
    <w:rsid w:val="003D0AD2"/>
    <w:rsid w:val="003D3B7F"/>
    <w:rsid w:val="003E3D3D"/>
    <w:rsid w:val="003E49B4"/>
    <w:rsid w:val="003F5913"/>
    <w:rsid w:val="003F6517"/>
    <w:rsid w:val="00400AB7"/>
    <w:rsid w:val="0040191D"/>
    <w:rsid w:val="004024F8"/>
    <w:rsid w:val="00405696"/>
    <w:rsid w:val="0041159A"/>
    <w:rsid w:val="00412654"/>
    <w:rsid w:val="004130FE"/>
    <w:rsid w:val="00420EC1"/>
    <w:rsid w:val="004226DA"/>
    <w:rsid w:val="004305A8"/>
    <w:rsid w:val="0043229B"/>
    <w:rsid w:val="004353D5"/>
    <w:rsid w:val="0043790D"/>
    <w:rsid w:val="0044050D"/>
    <w:rsid w:val="00441CC3"/>
    <w:rsid w:val="00443CA0"/>
    <w:rsid w:val="00446D63"/>
    <w:rsid w:val="00450E14"/>
    <w:rsid w:val="00460B7F"/>
    <w:rsid w:val="00462C65"/>
    <w:rsid w:val="004674E7"/>
    <w:rsid w:val="00467B14"/>
    <w:rsid w:val="00467D07"/>
    <w:rsid w:val="00472D78"/>
    <w:rsid w:val="00472E4A"/>
    <w:rsid w:val="004741A0"/>
    <w:rsid w:val="00474EDA"/>
    <w:rsid w:val="004756AF"/>
    <w:rsid w:val="00476762"/>
    <w:rsid w:val="0048068A"/>
    <w:rsid w:val="00480A2D"/>
    <w:rsid w:val="00481D80"/>
    <w:rsid w:val="004824FA"/>
    <w:rsid w:val="00484011"/>
    <w:rsid w:val="004841F1"/>
    <w:rsid w:val="00484DA8"/>
    <w:rsid w:val="00487937"/>
    <w:rsid w:val="004909F2"/>
    <w:rsid w:val="00494151"/>
    <w:rsid w:val="004A1E3A"/>
    <w:rsid w:val="004B46D6"/>
    <w:rsid w:val="004C0BF6"/>
    <w:rsid w:val="004C4464"/>
    <w:rsid w:val="004C4AEA"/>
    <w:rsid w:val="004D0430"/>
    <w:rsid w:val="004D1DAA"/>
    <w:rsid w:val="004D4EB1"/>
    <w:rsid w:val="004E003C"/>
    <w:rsid w:val="004E16EB"/>
    <w:rsid w:val="004E6665"/>
    <w:rsid w:val="004E6BBA"/>
    <w:rsid w:val="004E7B30"/>
    <w:rsid w:val="004F2266"/>
    <w:rsid w:val="004F634E"/>
    <w:rsid w:val="004F67A8"/>
    <w:rsid w:val="005003F2"/>
    <w:rsid w:val="00503CCD"/>
    <w:rsid w:val="005070F6"/>
    <w:rsid w:val="005077F6"/>
    <w:rsid w:val="00511116"/>
    <w:rsid w:val="005115FA"/>
    <w:rsid w:val="00513E13"/>
    <w:rsid w:val="0051582C"/>
    <w:rsid w:val="00516655"/>
    <w:rsid w:val="005175E8"/>
    <w:rsid w:val="00517C5E"/>
    <w:rsid w:val="00522A50"/>
    <w:rsid w:val="00522FF4"/>
    <w:rsid w:val="00524B7F"/>
    <w:rsid w:val="00525E61"/>
    <w:rsid w:val="00527225"/>
    <w:rsid w:val="0053557D"/>
    <w:rsid w:val="00540EC2"/>
    <w:rsid w:val="0054109C"/>
    <w:rsid w:val="005410E3"/>
    <w:rsid w:val="00541B3D"/>
    <w:rsid w:val="0054527C"/>
    <w:rsid w:val="005463DE"/>
    <w:rsid w:val="00546DC2"/>
    <w:rsid w:val="005542E8"/>
    <w:rsid w:val="005557DE"/>
    <w:rsid w:val="00556630"/>
    <w:rsid w:val="0055686D"/>
    <w:rsid w:val="00563764"/>
    <w:rsid w:val="005650F8"/>
    <w:rsid w:val="00570A25"/>
    <w:rsid w:val="005800EE"/>
    <w:rsid w:val="0058208A"/>
    <w:rsid w:val="005869D6"/>
    <w:rsid w:val="00586EA0"/>
    <w:rsid w:val="00587C72"/>
    <w:rsid w:val="0059331E"/>
    <w:rsid w:val="00594619"/>
    <w:rsid w:val="005A33F6"/>
    <w:rsid w:val="005A3D2C"/>
    <w:rsid w:val="005A59E5"/>
    <w:rsid w:val="005B3A2E"/>
    <w:rsid w:val="005B7440"/>
    <w:rsid w:val="005D6F14"/>
    <w:rsid w:val="005E1CAE"/>
    <w:rsid w:val="005E2150"/>
    <w:rsid w:val="005E2995"/>
    <w:rsid w:val="005E37CD"/>
    <w:rsid w:val="005E3AA7"/>
    <w:rsid w:val="005E5423"/>
    <w:rsid w:val="005F104F"/>
    <w:rsid w:val="005F3FEF"/>
    <w:rsid w:val="00600C4F"/>
    <w:rsid w:val="0060287B"/>
    <w:rsid w:val="00607F7C"/>
    <w:rsid w:val="006102DA"/>
    <w:rsid w:val="00616090"/>
    <w:rsid w:val="00616BE7"/>
    <w:rsid w:val="006170CD"/>
    <w:rsid w:val="006225DC"/>
    <w:rsid w:val="006315A3"/>
    <w:rsid w:val="006341EF"/>
    <w:rsid w:val="00643590"/>
    <w:rsid w:val="006437EB"/>
    <w:rsid w:val="00656C19"/>
    <w:rsid w:val="006579A2"/>
    <w:rsid w:val="00667C89"/>
    <w:rsid w:val="006711EE"/>
    <w:rsid w:val="006809BB"/>
    <w:rsid w:val="006809FD"/>
    <w:rsid w:val="00691D1F"/>
    <w:rsid w:val="00692DEB"/>
    <w:rsid w:val="00694E3E"/>
    <w:rsid w:val="00697BAE"/>
    <w:rsid w:val="006A5781"/>
    <w:rsid w:val="006B4DDC"/>
    <w:rsid w:val="006B51BD"/>
    <w:rsid w:val="006B5E55"/>
    <w:rsid w:val="006B7E4B"/>
    <w:rsid w:val="006C0976"/>
    <w:rsid w:val="006C4DA7"/>
    <w:rsid w:val="006C6878"/>
    <w:rsid w:val="006C701D"/>
    <w:rsid w:val="006D25A1"/>
    <w:rsid w:val="006D4B8E"/>
    <w:rsid w:val="006E14E9"/>
    <w:rsid w:val="006F09A2"/>
    <w:rsid w:val="006F36C6"/>
    <w:rsid w:val="006F6856"/>
    <w:rsid w:val="007059C5"/>
    <w:rsid w:val="00713412"/>
    <w:rsid w:val="00713DD6"/>
    <w:rsid w:val="007145D0"/>
    <w:rsid w:val="00716F94"/>
    <w:rsid w:val="00721180"/>
    <w:rsid w:val="00721DEA"/>
    <w:rsid w:val="0072521C"/>
    <w:rsid w:val="00725D93"/>
    <w:rsid w:val="00730C78"/>
    <w:rsid w:val="00735CEF"/>
    <w:rsid w:val="0075188E"/>
    <w:rsid w:val="0076001C"/>
    <w:rsid w:val="00760E12"/>
    <w:rsid w:val="007623DF"/>
    <w:rsid w:val="00763CF3"/>
    <w:rsid w:val="00763E5B"/>
    <w:rsid w:val="007653AB"/>
    <w:rsid w:val="00765760"/>
    <w:rsid w:val="00772293"/>
    <w:rsid w:val="007723DB"/>
    <w:rsid w:val="0077264B"/>
    <w:rsid w:val="00774689"/>
    <w:rsid w:val="00776981"/>
    <w:rsid w:val="00777A0E"/>
    <w:rsid w:val="0078006E"/>
    <w:rsid w:val="00781AE3"/>
    <w:rsid w:val="00781B0C"/>
    <w:rsid w:val="00783C75"/>
    <w:rsid w:val="00784356"/>
    <w:rsid w:val="00784619"/>
    <w:rsid w:val="00784735"/>
    <w:rsid w:val="00784751"/>
    <w:rsid w:val="0078627B"/>
    <w:rsid w:val="0078765B"/>
    <w:rsid w:val="007921F1"/>
    <w:rsid w:val="00794E32"/>
    <w:rsid w:val="00794F8A"/>
    <w:rsid w:val="00796C7E"/>
    <w:rsid w:val="0079750F"/>
    <w:rsid w:val="007A0D73"/>
    <w:rsid w:val="007A4A9A"/>
    <w:rsid w:val="007A51C1"/>
    <w:rsid w:val="007B1072"/>
    <w:rsid w:val="007B305A"/>
    <w:rsid w:val="007B3989"/>
    <w:rsid w:val="007B5999"/>
    <w:rsid w:val="007B6973"/>
    <w:rsid w:val="007C3662"/>
    <w:rsid w:val="007C5190"/>
    <w:rsid w:val="007C6A2E"/>
    <w:rsid w:val="007D3E3B"/>
    <w:rsid w:val="007D6163"/>
    <w:rsid w:val="007E575D"/>
    <w:rsid w:val="007E57CD"/>
    <w:rsid w:val="007E6618"/>
    <w:rsid w:val="007E6AEF"/>
    <w:rsid w:val="007E6B52"/>
    <w:rsid w:val="007F5776"/>
    <w:rsid w:val="00802EE0"/>
    <w:rsid w:val="0080651D"/>
    <w:rsid w:val="00815C7D"/>
    <w:rsid w:val="00817941"/>
    <w:rsid w:val="008229E4"/>
    <w:rsid w:val="00823547"/>
    <w:rsid w:val="00823A68"/>
    <w:rsid w:val="008245EC"/>
    <w:rsid w:val="00824EE9"/>
    <w:rsid w:val="008261AB"/>
    <w:rsid w:val="008264E8"/>
    <w:rsid w:val="008269AB"/>
    <w:rsid w:val="00834C91"/>
    <w:rsid w:val="00835CA7"/>
    <w:rsid w:val="008370D4"/>
    <w:rsid w:val="008414AD"/>
    <w:rsid w:val="008428D9"/>
    <w:rsid w:val="008452B0"/>
    <w:rsid w:val="008457AC"/>
    <w:rsid w:val="00866672"/>
    <w:rsid w:val="008715E7"/>
    <w:rsid w:val="00871D94"/>
    <w:rsid w:val="0087511D"/>
    <w:rsid w:val="0088467A"/>
    <w:rsid w:val="00884DB9"/>
    <w:rsid w:val="00892205"/>
    <w:rsid w:val="00893F6E"/>
    <w:rsid w:val="008A0AC8"/>
    <w:rsid w:val="008A76DA"/>
    <w:rsid w:val="008B237D"/>
    <w:rsid w:val="008C091F"/>
    <w:rsid w:val="008C59E7"/>
    <w:rsid w:val="008C67D2"/>
    <w:rsid w:val="008D3A8B"/>
    <w:rsid w:val="008D5311"/>
    <w:rsid w:val="008D6198"/>
    <w:rsid w:val="008E0683"/>
    <w:rsid w:val="008E11A0"/>
    <w:rsid w:val="008E3D8D"/>
    <w:rsid w:val="008E43C8"/>
    <w:rsid w:val="008F6F3B"/>
    <w:rsid w:val="00900EE4"/>
    <w:rsid w:val="00902DD9"/>
    <w:rsid w:val="00906909"/>
    <w:rsid w:val="00907992"/>
    <w:rsid w:val="00911486"/>
    <w:rsid w:val="009129CA"/>
    <w:rsid w:val="00912D5E"/>
    <w:rsid w:val="009206B6"/>
    <w:rsid w:val="00921A73"/>
    <w:rsid w:val="00924753"/>
    <w:rsid w:val="00924DF4"/>
    <w:rsid w:val="009252DC"/>
    <w:rsid w:val="009252F5"/>
    <w:rsid w:val="00925464"/>
    <w:rsid w:val="009258FA"/>
    <w:rsid w:val="009263C1"/>
    <w:rsid w:val="009301F6"/>
    <w:rsid w:val="00936E71"/>
    <w:rsid w:val="00937080"/>
    <w:rsid w:val="0093730F"/>
    <w:rsid w:val="0094068E"/>
    <w:rsid w:val="00941B4F"/>
    <w:rsid w:val="00942DDA"/>
    <w:rsid w:val="00947884"/>
    <w:rsid w:val="009518C0"/>
    <w:rsid w:val="00963CE3"/>
    <w:rsid w:val="00964F18"/>
    <w:rsid w:val="00973BFB"/>
    <w:rsid w:val="00974424"/>
    <w:rsid w:val="009833DD"/>
    <w:rsid w:val="00983998"/>
    <w:rsid w:val="009874B5"/>
    <w:rsid w:val="00987F76"/>
    <w:rsid w:val="00993088"/>
    <w:rsid w:val="00993F9B"/>
    <w:rsid w:val="0099664F"/>
    <w:rsid w:val="00997D5D"/>
    <w:rsid w:val="009A0447"/>
    <w:rsid w:val="009A2CE5"/>
    <w:rsid w:val="009A4B59"/>
    <w:rsid w:val="009B3E51"/>
    <w:rsid w:val="009B4A51"/>
    <w:rsid w:val="009C28B1"/>
    <w:rsid w:val="009C39EB"/>
    <w:rsid w:val="009C61AD"/>
    <w:rsid w:val="009C6697"/>
    <w:rsid w:val="009D2411"/>
    <w:rsid w:val="009D373D"/>
    <w:rsid w:val="009D436B"/>
    <w:rsid w:val="009D56E7"/>
    <w:rsid w:val="009D7B2C"/>
    <w:rsid w:val="009E0801"/>
    <w:rsid w:val="009E1276"/>
    <w:rsid w:val="009E1D05"/>
    <w:rsid w:val="009F0E76"/>
    <w:rsid w:val="009F2CD6"/>
    <w:rsid w:val="009F627E"/>
    <w:rsid w:val="009F7DE0"/>
    <w:rsid w:val="00A04129"/>
    <w:rsid w:val="00A05973"/>
    <w:rsid w:val="00A06BCB"/>
    <w:rsid w:val="00A07C3C"/>
    <w:rsid w:val="00A11B0C"/>
    <w:rsid w:val="00A11C9E"/>
    <w:rsid w:val="00A14523"/>
    <w:rsid w:val="00A27A31"/>
    <w:rsid w:val="00A30923"/>
    <w:rsid w:val="00A30981"/>
    <w:rsid w:val="00A33B35"/>
    <w:rsid w:val="00A33E90"/>
    <w:rsid w:val="00A34000"/>
    <w:rsid w:val="00A36419"/>
    <w:rsid w:val="00A44921"/>
    <w:rsid w:val="00A44AD9"/>
    <w:rsid w:val="00A506FD"/>
    <w:rsid w:val="00A55D90"/>
    <w:rsid w:val="00A578C2"/>
    <w:rsid w:val="00A62049"/>
    <w:rsid w:val="00A71EB7"/>
    <w:rsid w:val="00A72652"/>
    <w:rsid w:val="00A75D1C"/>
    <w:rsid w:val="00A75FCF"/>
    <w:rsid w:val="00A809AA"/>
    <w:rsid w:val="00A849B3"/>
    <w:rsid w:val="00A8510D"/>
    <w:rsid w:val="00A85E88"/>
    <w:rsid w:val="00A86AF3"/>
    <w:rsid w:val="00A90AFF"/>
    <w:rsid w:val="00A90BDC"/>
    <w:rsid w:val="00A922EA"/>
    <w:rsid w:val="00A95477"/>
    <w:rsid w:val="00A969B7"/>
    <w:rsid w:val="00A975A9"/>
    <w:rsid w:val="00AA1281"/>
    <w:rsid w:val="00AA3192"/>
    <w:rsid w:val="00AA66E4"/>
    <w:rsid w:val="00AB0486"/>
    <w:rsid w:val="00AB251E"/>
    <w:rsid w:val="00AB3608"/>
    <w:rsid w:val="00AB5B69"/>
    <w:rsid w:val="00AC0C12"/>
    <w:rsid w:val="00AC1272"/>
    <w:rsid w:val="00AC1415"/>
    <w:rsid w:val="00AC1FAA"/>
    <w:rsid w:val="00AC5C48"/>
    <w:rsid w:val="00AC63E3"/>
    <w:rsid w:val="00AD0E15"/>
    <w:rsid w:val="00AD0E64"/>
    <w:rsid w:val="00AD1978"/>
    <w:rsid w:val="00AD2715"/>
    <w:rsid w:val="00AD3F08"/>
    <w:rsid w:val="00AF0CF4"/>
    <w:rsid w:val="00AF2252"/>
    <w:rsid w:val="00AF3F5F"/>
    <w:rsid w:val="00B0098C"/>
    <w:rsid w:val="00B00B12"/>
    <w:rsid w:val="00B01A37"/>
    <w:rsid w:val="00B1129F"/>
    <w:rsid w:val="00B11D61"/>
    <w:rsid w:val="00B12F51"/>
    <w:rsid w:val="00B14F2F"/>
    <w:rsid w:val="00B16428"/>
    <w:rsid w:val="00B20F6C"/>
    <w:rsid w:val="00B2751E"/>
    <w:rsid w:val="00B31AFB"/>
    <w:rsid w:val="00B35C6E"/>
    <w:rsid w:val="00B3650C"/>
    <w:rsid w:val="00B43AFE"/>
    <w:rsid w:val="00B47055"/>
    <w:rsid w:val="00B5379A"/>
    <w:rsid w:val="00B54143"/>
    <w:rsid w:val="00B576F9"/>
    <w:rsid w:val="00B621DD"/>
    <w:rsid w:val="00B63CF3"/>
    <w:rsid w:val="00B64BFA"/>
    <w:rsid w:val="00B71E63"/>
    <w:rsid w:val="00B7292A"/>
    <w:rsid w:val="00B746D5"/>
    <w:rsid w:val="00B74CDF"/>
    <w:rsid w:val="00B83212"/>
    <w:rsid w:val="00B85DE4"/>
    <w:rsid w:val="00B874D4"/>
    <w:rsid w:val="00B87AAD"/>
    <w:rsid w:val="00B91A31"/>
    <w:rsid w:val="00B947E4"/>
    <w:rsid w:val="00BA50D9"/>
    <w:rsid w:val="00BA6C28"/>
    <w:rsid w:val="00BA6DB4"/>
    <w:rsid w:val="00BB090C"/>
    <w:rsid w:val="00BB212C"/>
    <w:rsid w:val="00BB35F5"/>
    <w:rsid w:val="00BB5556"/>
    <w:rsid w:val="00BB75DA"/>
    <w:rsid w:val="00BC3F3C"/>
    <w:rsid w:val="00BC5BB2"/>
    <w:rsid w:val="00BC64EE"/>
    <w:rsid w:val="00BD56AF"/>
    <w:rsid w:val="00BE50F0"/>
    <w:rsid w:val="00BE738E"/>
    <w:rsid w:val="00BF11A1"/>
    <w:rsid w:val="00BF3F54"/>
    <w:rsid w:val="00BF624B"/>
    <w:rsid w:val="00C00697"/>
    <w:rsid w:val="00C0376C"/>
    <w:rsid w:val="00C06D77"/>
    <w:rsid w:val="00C0724E"/>
    <w:rsid w:val="00C12730"/>
    <w:rsid w:val="00C14BA6"/>
    <w:rsid w:val="00C33D2B"/>
    <w:rsid w:val="00C3485C"/>
    <w:rsid w:val="00C544A4"/>
    <w:rsid w:val="00C768E5"/>
    <w:rsid w:val="00C80374"/>
    <w:rsid w:val="00C9097A"/>
    <w:rsid w:val="00CA0C4A"/>
    <w:rsid w:val="00CA2004"/>
    <w:rsid w:val="00CA3BEB"/>
    <w:rsid w:val="00CA5840"/>
    <w:rsid w:val="00CA5B99"/>
    <w:rsid w:val="00CA5CA1"/>
    <w:rsid w:val="00CB0933"/>
    <w:rsid w:val="00CB2EFE"/>
    <w:rsid w:val="00CB334D"/>
    <w:rsid w:val="00CB3AFA"/>
    <w:rsid w:val="00CB4A3C"/>
    <w:rsid w:val="00CB4A61"/>
    <w:rsid w:val="00CB56D5"/>
    <w:rsid w:val="00CC7188"/>
    <w:rsid w:val="00CC76CD"/>
    <w:rsid w:val="00CD0478"/>
    <w:rsid w:val="00CD1EA8"/>
    <w:rsid w:val="00CE0206"/>
    <w:rsid w:val="00CE4B36"/>
    <w:rsid w:val="00CF5ABD"/>
    <w:rsid w:val="00CF63CE"/>
    <w:rsid w:val="00D067C1"/>
    <w:rsid w:val="00D1343B"/>
    <w:rsid w:val="00D13B13"/>
    <w:rsid w:val="00D16E78"/>
    <w:rsid w:val="00D201D3"/>
    <w:rsid w:val="00D22E28"/>
    <w:rsid w:val="00D248DF"/>
    <w:rsid w:val="00D267D5"/>
    <w:rsid w:val="00D26A64"/>
    <w:rsid w:val="00D27D57"/>
    <w:rsid w:val="00D31720"/>
    <w:rsid w:val="00D31A6C"/>
    <w:rsid w:val="00D337EF"/>
    <w:rsid w:val="00D52B9A"/>
    <w:rsid w:val="00D5367E"/>
    <w:rsid w:val="00D53B1E"/>
    <w:rsid w:val="00D601D1"/>
    <w:rsid w:val="00D6105F"/>
    <w:rsid w:val="00D61AD2"/>
    <w:rsid w:val="00D660FD"/>
    <w:rsid w:val="00D71C1C"/>
    <w:rsid w:val="00D75750"/>
    <w:rsid w:val="00D81A2E"/>
    <w:rsid w:val="00D82B56"/>
    <w:rsid w:val="00D84811"/>
    <w:rsid w:val="00D84EF0"/>
    <w:rsid w:val="00D861ED"/>
    <w:rsid w:val="00D873E0"/>
    <w:rsid w:val="00D941E3"/>
    <w:rsid w:val="00D94F8B"/>
    <w:rsid w:val="00D95FBF"/>
    <w:rsid w:val="00DA03A7"/>
    <w:rsid w:val="00DA16C5"/>
    <w:rsid w:val="00DA2F6C"/>
    <w:rsid w:val="00DA5988"/>
    <w:rsid w:val="00DA6A2C"/>
    <w:rsid w:val="00DB214F"/>
    <w:rsid w:val="00DB5D60"/>
    <w:rsid w:val="00DB78FC"/>
    <w:rsid w:val="00DB7F78"/>
    <w:rsid w:val="00DC0184"/>
    <w:rsid w:val="00DC317C"/>
    <w:rsid w:val="00DC402E"/>
    <w:rsid w:val="00DC4FF2"/>
    <w:rsid w:val="00DC79CC"/>
    <w:rsid w:val="00DD05E2"/>
    <w:rsid w:val="00DD09A6"/>
    <w:rsid w:val="00DD4D13"/>
    <w:rsid w:val="00DD7BF0"/>
    <w:rsid w:val="00DF1A1F"/>
    <w:rsid w:val="00DF681A"/>
    <w:rsid w:val="00DF7AB1"/>
    <w:rsid w:val="00E05DFA"/>
    <w:rsid w:val="00E10D39"/>
    <w:rsid w:val="00E11481"/>
    <w:rsid w:val="00E134F4"/>
    <w:rsid w:val="00E157EE"/>
    <w:rsid w:val="00E162E0"/>
    <w:rsid w:val="00E16B1E"/>
    <w:rsid w:val="00E20D75"/>
    <w:rsid w:val="00E23568"/>
    <w:rsid w:val="00E245B5"/>
    <w:rsid w:val="00E3001E"/>
    <w:rsid w:val="00E32F63"/>
    <w:rsid w:val="00E33E1B"/>
    <w:rsid w:val="00E34D3E"/>
    <w:rsid w:val="00E37C39"/>
    <w:rsid w:val="00E42790"/>
    <w:rsid w:val="00E4573F"/>
    <w:rsid w:val="00E46EBC"/>
    <w:rsid w:val="00E62BD2"/>
    <w:rsid w:val="00E63899"/>
    <w:rsid w:val="00E647FB"/>
    <w:rsid w:val="00E6715F"/>
    <w:rsid w:val="00E720E9"/>
    <w:rsid w:val="00E739CB"/>
    <w:rsid w:val="00E800D5"/>
    <w:rsid w:val="00E81C5E"/>
    <w:rsid w:val="00E83B3C"/>
    <w:rsid w:val="00E841EC"/>
    <w:rsid w:val="00E854D0"/>
    <w:rsid w:val="00E85C36"/>
    <w:rsid w:val="00E87123"/>
    <w:rsid w:val="00E8736B"/>
    <w:rsid w:val="00E90275"/>
    <w:rsid w:val="00E925D4"/>
    <w:rsid w:val="00E9465D"/>
    <w:rsid w:val="00E948D0"/>
    <w:rsid w:val="00E9650E"/>
    <w:rsid w:val="00E97226"/>
    <w:rsid w:val="00EA2B44"/>
    <w:rsid w:val="00EA33EF"/>
    <w:rsid w:val="00EA3678"/>
    <w:rsid w:val="00EA4F62"/>
    <w:rsid w:val="00EA73ED"/>
    <w:rsid w:val="00EB2571"/>
    <w:rsid w:val="00EB31C3"/>
    <w:rsid w:val="00EB50D6"/>
    <w:rsid w:val="00EC4FFD"/>
    <w:rsid w:val="00EC58F5"/>
    <w:rsid w:val="00EC5EFC"/>
    <w:rsid w:val="00ED6DF6"/>
    <w:rsid w:val="00EE2D20"/>
    <w:rsid w:val="00EE7810"/>
    <w:rsid w:val="00EE7BD0"/>
    <w:rsid w:val="00EF33CD"/>
    <w:rsid w:val="00F00276"/>
    <w:rsid w:val="00F12924"/>
    <w:rsid w:val="00F13821"/>
    <w:rsid w:val="00F20C9B"/>
    <w:rsid w:val="00F25BBD"/>
    <w:rsid w:val="00F300CB"/>
    <w:rsid w:val="00F3086F"/>
    <w:rsid w:val="00F31310"/>
    <w:rsid w:val="00F33298"/>
    <w:rsid w:val="00F407DD"/>
    <w:rsid w:val="00F42C3A"/>
    <w:rsid w:val="00F45451"/>
    <w:rsid w:val="00F52BCC"/>
    <w:rsid w:val="00F5313F"/>
    <w:rsid w:val="00F53F42"/>
    <w:rsid w:val="00F603A6"/>
    <w:rsid w:val="00F6218C"/>
    <w:rsid w:val="00F64EA9"/>
    <w:rsid w:val="00F676E0"/>
    <w:rsid w:val="00F81135"/>
    <w:rsid w:val="00F81A48"/>
    <w:rsid w:val="00F8343B"/>
    <w:rsid w:val="00F86094"/>
    <w:rsid w:val="00F87B93"/>
    <w:rsid w:val="00F9046D"/>
    <w:rsid w:val="00FA22D6"/>
    <w:rsid w:val="00FA6731"/>
    <w:rsid w:val="00FA69FB"/>
    <w:rsid w:val="00FB62BC"/>
    <w:rsid w:val="00FB67BC"/>
    <w:rsid w:val="00FC3D5E"/>
    <w:rsid w:val="00FC4D5E"/>
    <w:rsid w:val="00FD17C9"/>
    <w:rsid w:val="00FD2A5B"/>
    <w:rsid w:val="00FD731A"/>
    <w:rsid w:val="00FE2631"/>
    <w:rsid w:val="00FE4E50"/>
    <w:rsid w:val="00FE6A5C"/>
    <w:rsid w:val="00FE7FC4"/>
    <w:rsid w:val="00FF01EC"/>
    <w:rsid w:val="00FF2422"/>
    <w:rsid w:val="00FF2805"/>
    <w:rsid w:val="00FF2F54"/>
    <w:rsid w:val="00FF77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3B552"/>
  <w15:docId w15:val="{D104BA7D-73CB-432A-8588-73F2DF61F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6163"/>
    <w:pPr>
      <w:tabs>
        <w:tab w:val="right" w:pos="9360"/>
      </w:tabs>
      <w:spacing w:after="0"/>
      <w:ind w:left="720"/>
    </w:pPr>
    <w:rPr>
      <w:rFonts w:asciiTheme="majorHAnsi" w:hAnsiTheme="majorHAnsi"/>
    </w:rPr>
  </w:style>
  <w:style w:type="paragraph" w:styleId="Heading1">
    <w:name w:val="heading 1"/>
    <w:basedOn w:val="Normal"/>
    <w:next w:val="Normal"/>
    <w:link w:val="Heading1Char"/>
    <w:uiPriority w:val="9"/>
    <w:qFormat/>
    <w:rsid w:val="007D6163"/>
    <w:pPr>
      <w:jc w:val="center"/>
      <w:outlineLvl w:val="0"/>
    </w:pPr>
    <w:rPr>
      <w:b/>
      <w:sz w:val="40"/>
    </w:rPr>
  </w:style>
  <w:style w:type="paragraph" w:styleId="Heading2">
    <w:name w:val="heading 2"/>
    <w:basedOn w:val="Normal"/>
    <w:link w:val="Heading2Char"/>
    <w:uiPriority w:val="9"/>
    <w:qFormat/>
    <w:rsid w:val="007D6163"/>
    <w:pPr>
      <w:jc w:val="center"/>
      <w:outlineLvl w:val="1"/>
    </w:pPr>
    <w:rPr>
      <w:b/>
      <w:sz w:val="32"/>
    </w:rPr>
  </w:style>
  <w:style w:type="paragraph" w:styleId="Heading3">
    <w:name w:val="heading 3"/>
    <w:basedOn w:val="Normal"/>
    <w:next w:val="Normal"/>
    <w:link w:val="Heading3Char"/>
    <w:uiPriority w:val="9"/>
    <w:unhideWhenUsed/>
    <w:qFormat/>
    <w:rsid w:val="007D6163"/>
    <w:pPr>
      <w:outlineLvl w:val="2"/>
    </w:pPr>
    <w:rPr>
      <w:b/>
      <w:sz w:val="28"/>
    </w:rPr>
  </w:style>
  <w:style w:type="paragraph" w:styleId="Heading4">
    <w:name w:val="heading 4"/>
    <w:basedOn w:val="ListParagraph"/>
    <w:next w:val="Normal"/>
    <w:link w:val="Heading4Char"/>
    <w:uiPriority w:val="9"/>
    <w:unhideWhenUsed/>
    <w:qFormat/>
    <w:rsid w:val="00692DEB"/>
    <w:pPr>
      <w:numPr>
        <w:numId w:val="2"/>
      </w:numPr>
      <w:spacing w:after="120"/>
      <w:ind w:left="360"/>
      <w:outlineLvl w:val="3"/>
    </w:pPr>
    <w:rPr>
      <w:b/>
    </w:rPr>
  </w:style>
  <w:style w:type="paragraph" w:styleId="Heading5">
    <w:name w:val="heading 5"/>
    <w:basedOn w:val="Normal"/>
    <w:next w:val="Normal"/>
    <w:link w:val="Heading5Char"/>
    <w:uiPriority w:val="9"/>
    <w:unhideWhenUsed/>
    <w:qFormat/>
    <w:rsid w:val="007D6163"/>
    <w:pPr>
      <w:outlineLvl w:val="4"/>
    </w:pPr>
    <w:rPr>
      <w:b/>
    </w:rPr>
  </w:style>
  <w:style w:type="paragraph" w:styleId="Heading6">
    <w:name w:val="heading 6"/>
    <w:basedOn w:val="Normal"/>
    <w:next w:val="Normal"/>
    <w:link w:val="Heading6Char"/>
    <w:uiPriority w:val="9"/>
    <w:unhideWhenUsed/>
    <w:qFormat/>
    <w:rsid w:val="007D6163"/>
    <w:pPr>
      <w:outlineLvl w:val="5"/>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s>
      <w:spacing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s>
      <w:spacing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aliases w:val="Bullet List,FooterText,List Paragraph1"/>
    <w:basedOn w:val="Normal"/>
    <w:uiPriority w:val="34"/>
    <w:qFormat/>
    <w:rsid w:val="00B12F51"/>
    <w:pPr>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7D6163"/>
    <w:rPr>
      <w:rFonts w:asciiTheme="majorHAnsi" w:hAnsiTheme="majorHAnsi"/>
      <w:b/>
      <w:sz w:val="32"/>
    </w:rPr>
  </w:style>
  <w:style w:type="paragraph" w:customStyle="1" w:styleId="B1BodyCopy">
    <w:name w:val="B1 Body Copy"/>
    <w:basedOn w:val="Normal"/>
    <w:qFormat/>
    <w:rsid w:val="009C61AD"/>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0B0962"/>
    <w:rPr>
      <w:sz w:val="16"/>
      <w:szCs w:val="16"/>
    </w:rPr>
  </w:style>
  <w:style w:type="paragraph" w:styleId="CommentText">
    <w:name w:val="annotation text"/>
    <w:basedOn w:val="Normal"/>
    <w:link w:val="CommentTextChar"/>
    <w:uiPriority w:val="99"/>
    <w:unhideWhenUsed/>
    <w:rsid w:val="000B0962"/>
    <w:pPr>
      <w:spacing w:line="240" w:lineRule="auto"/>
    </w:pPr>
    <w:rPr>
      <w:sz w:val="20"/>
      <w:szCs w:val="20"/>
    </w:rPr>
  </w:style>
  <w:style w:type="character" w:customStyle="1" w:styleId="CommentTextChar">
    <w:name w:val="Comment Text Char"/>
    <w:basedOn w:val="DefaultParagraphFont"/>
    <w:link w:val="CommentText"/>
    <w:uiPriority w:val="99"/>
    <w:rsid w:val="000B0962"/>
    <w:rPr>
      <w:sz w:val="20"/>
      <w:szCs w:val="20"/>
    </w:rPr>
  </w:style>
  <w:style w:type="paragraph" w:styleId="CommentSubject">
    <w:name w:val="annotation subject"/>
    <w:basedOn w:val="CommentText"/>
    <w:next w:val="CommentText"/>
    <w:link w:val="CommentSubjectChar"/>
    <w:uiPriority w:val="99"/>
    <w:semiHidden/>
    <w:unhideWhenUsed/>
    <w:rsid w:val="000B0962"/>
    <w:rPr>
      <w:b/>
      <w:bCs/>
    </w:rPr>
  </w:style>
  <w:style w:type="character" w:customStyle="1" w:styleId="CommentSubjectChar">
    <w:name w:val="Comment Subject Char"/>
    <w:basedOn w:val="CommentTextChar"/>
    <w:link w:val="CommentSubject"/>
    <w:uiPriority w:val="99"/>
    <w:semiHidden/>
    <w:rsid w:val="000B0962"/>
    <w:rPr>
      <w:b/>
      <w:bCs/>
      <w:sz w:val="20"/>
      <w:szCs w:val="20"/>
    </w:rPr>
  </w:style>
  <w:style w:type="character" w:customStyle="1" w:styleId="Heading1Char">
    <w:name w:val="Heading 1 Char"/>
    <w:basedOn w:val="DefaultParagraphFont"/>
    <w:link w:val="Heading1"/>
    <w:uiPriority w:val="9"/>
    <w:rsid w:val="007D6163"/>
    <w:rPr>
      <w:rFonts w:asciiTheme="majorHAnsi" w:hAnsiTheme="majorHAnsi"/>
      <w:b/>
      <w:sz w:val="40"/>
    </w:rPr>
  </w:style>
  <w:style w:type="character" w:customStyle="1" w:styleId="Heading3Char">
    <w:name w:val="Heading 3 Char"/>
    <w:basedOn w:val="DefaultParagraphFont"/>
    <w:link w:val="Heading3"/>
    <w:uiPriority w:val="9"/>
    <w:rsid w:val="007D6163"/>
    <w:rPr>
      <w:rFonts w:asciiTheme="majorHAnsi" w:hAnsiTheme="majorHAnsi"/>
      <w:b/>
      <w:sz w:val="28"/>
    </w:rPr>
  </w:style>
  <w:style w:type="character" w:customStyle="1" w:styleId="Heading4Char">
    <w:name w:val="Heading 4 Char"/>
    <w:basedOn w:val="DefaultParagraphFont"/>
    <w:link w:val="Heading4"/>
    <w:uiPriority w:val="9"/>
    <w:rsid w:val="00692DEB"/>
    <w:rPr>
      <w:rFonts w:asciiTheme="majorHAnsi" w:hAnsiTheme="majorHAnsi"/>
      <w:b/>
    </w:rPr>
  </w:style>
  <w:style w:type="character" w:customStyle="1" w:styleId="Heading5Char">
    <w:name w:val="Heading 5 Char"/>
    <w:basedOn w:val="DefaultParagraphFont"/>
    <w:link w:val="Heading5"/>
    <w:uiPriority w:val="9"/>
    <w:rsid w:val="007D6163"/>
    <w:rPr>
      <w:rFonts w:asciiTheme="majorHAnsi" w:hAnsiTheme="majorHAnsi"/>
      <w:b/>
    </w:rPr>
  </w:style>
  <w:style w:type="character" w:customStyle="1" w:styleId="Heading6Char">
    <w:name w:val="Heading 6 Char"/>
    <w:basedOn w:val="DefaultParagraphFont"/>
    <w:link w:val="Heading6"/>
    <w:uiPriority w:val="9"/>
    <w:rsid w:val="007D6163"/>
    <w:rPr>
      <w:rFonts w:asciiTheme="majorHAnsi" w:hAnsiTheme="majorHAnsi"/>
      <w:u w:val="single"/>
    </w:rPr>
  </w:style>
  <w:style w:type="paragraph" w:styleId="Revision">
    <w:name w:val="Revision"/>
    <w:hidden/>
    <w:uiPriority w:val="99"/>
    <w:semiHidden/>
    <w:rsid w:val="003B1BE3"/>
    <w:pPr>
      <w:spacing w:after="0" w:line="240" w:lineRule="auto"/>
    </w:pPr>
    <w:rPr>
      <w:rFonts w:asciiTheme="majorHAnsi" w:hAnsiTheme="majorHAnsi"/>
    </w:rPr>
  </w:style>
  <w:style w:type="paragraph" w:styleId="TOC1">
    <w:name w:val="toc 1"/>
    <w:basedOn w:val="Normal"/>
    <w:next w:val="Normal"/>
    <w:autoRedefine/>
    <w:uiPriority w:val="39"/>
    <w:unhideWhenUsed/>
    <w:rsid w:val="003860A5"/>
    <w:pPr>
      <w:tabs>
        <w:tab w:val="clear" w:pos="9360"/>
      </w:tabs>
      <w:spacing w:after="100"/>
      <w:ind w:left="0"/>
    </w:pPr>
  </w:style>
  <w:style w:type="paragraph" w:styleId="TOC2">
    <w:name w:val="toc 2"/>
    <w:basedOn w:val="Normal"/>
    <w:next w:val="Normal"/>
    <w:autoRedefine/>
    <w:uiPriority w:val="39"/>
    <w:unhideWhenUsed/>
    <w:rsid w:val="001B70B4"/>
    <w:pPr>
      <w:tabs>
        <w:tab w:val="clear" w:pos="9360"/>
        <w:tab w:val="left" w:pos="660"/>
        <w:tab w:val="right" w:leader="dot" w:pos="9350"/>
      </w:tabs>
      <w:spacing w:after="100"/>
      <w:ind w:left="630" w:hanging="410"/>
    </w:pPr>
  </w:style>
  <w:style w:type="paragraph" w:styleId="TOC8">
    <w:name w:val="toc 8"/>
    <w:basedOn w:val="Normal"/>
    <w:next w:val="Normal"/>
    <w:autoRedefine/>
    <w:uiPriority w:val="39"/>
    <w:unhideWhenUsed/>
    <w:rsid w:val="003860A5"/>
    <w:pPr>
      <w:tabs>
        <w:tab w:val="clear" w:pos="9360"/>
      </w:tabs>
      <w:spacing w:after="100"/>
      <w:ind w:left="1540"/>
    </w:pPr>
    <w:rPr>
      <w:rFonts w:asciiTheme="minorHAnsi" w:hAnsiTheme="minorHAnsi"/>
    </w:rPr>
  </w:style>
  <w:style w:type="character" w:styleId="FollowedHyperlink">
    <w:name w:val="FollowedHyperlink"/>
    <w:basedOn w:val="DefaultParagraphFont"/>
    <w:uiPriority w:val="99"/>
    <w:semiHidden/>
    <w:unhideWhenUsed/>
    <w:rsid w:val="00400AB7"/>
    <w:rPr>
      <w:color w:val="800080" w:themeColor="followedHyperlink"/>
      <w:u w:val="single"/>
    </w:rPr>
  </w:style>
  <w:style w:type="character" w:customStyle="1" w:styleId="apple-converted-space">
    <w:name w:val="apple-converted-space"/>
    <w:basedOn w:val="DefaultParagraphFont"/>
    <w:rsid w:val="00A04129"/>
  </w:style>
  <w:style w:type="paragraph" w:styleId="FootnoteText">
    <w:name w:val="footnote text"/>
    <w:basedOn w:val="Normal"/>
    <w:link w:val="FootnoteTextChar"/>
    <w:uiPriority w:val="99"/>
    <w:semiHidden/>
    <w:unhideWhenUsed/>
    <w:rsid w:val="0054527C"/>
    <w:pPr>
      <w:spacing w:line="240" w:lineRule="auto"/>
    </w:pPr>
    <w:rPr>
      <w:sz w:val="20"/>
      <w:szCs w:val="20"/>
    </w:rPr>
  </w:style>
  <w:style w:type="character" w:customStyle="1" w:styleId="FootnoteTextChar">
    <w:name w:val="Footnote Text Char"/>
    <w:basedOn w:val="DefaultParagraphFont"/>
    <w:link w:val="FootnoteText"/>
    <w:uiPriority w:val="99"/>
    <w:semiHidden/>
    <w:rsid w:val="0054527C"/>
    <w:rPr>
      <w:rFonts w:asciiTheme="majorHAnsi" w:hAnsiTheme="majorHAnsi"/>
      <w:sz w:val="20"/>
      <w:szCs w:val="20"/>
    </w:rPr>
  </w:style>
  <w:style w:type="character" w:styleId="FootnoteReference">
    <w:name w:val="footnote reference"/>
    <w:basedOn w:val="DefaultParagraphFont"/>
    <w:uiPriority w:val="99"/>
    <w:semiHidden/>
    <w:unhideWhenUsed/>
    <w:rsid w:val="0054527C"/>
    <w:rPr>
      <w:vertAlign w:val="superscript"/>
    </w:rPr>
  </w:style>
  <w:style w:type="paragraph" w:styleId="EndnoteText">
    <w:name w:val="endnote text"/>
    <w:basedOn w:val="Normal"/>
    <w:link w:val="EndnoteTextChar"/>
    <w:uiPriority w:val="99"/>
    <w:semiHidden/>
    <w:unhideWhenUsed/>
    <w:rsid w:val="00B01A37"/>
    <w:pPr>
      <w:spacing w:line="240" w:lineRule="auto"/>
    </w:pPr>
    <w:rPr>
      <w:sz w:val="20"/>
      <w:szCs w:val="20"/>
    </w:rPr>
  </w:style>
  <w:style w:type="character" w:customStyle="1" w:styleId="EndnoteTextChar">
    <w:name w:val="Endnote Text Char"/>
    <w:basedOn w:val="DefaultParagraphFont"/>
    <w:link w:val="EndnoteText"/>
    <w:uiPriority w:val="99"/>
    <w:semiHidden/>
    <w:rsid w:val="00B01A37"/>
    <w:rPr>
      <w:rFonts w:asciiTheme="majorHAnsi" w:hAnsiTheme="majorHAnsi"/>
      <w:sz w:val="20"/>
      <w:szCs w:val="20"/>
    </w:rPr>
  </w:style>
  <w:style w:type="character" w:styleId="EndnoteReference">
    <w:name w:val="endnote reference"/>
    <w:basedOn w:val="DefaultParagraphFont"/>
    <w:uiPriority w:val="99"/>
    <w:semiHidden/>
    <w:unhideWhenUsed/>
    <w:rsid w:val="00B01A37"/>
    <w:rPr>
      <w:vertAlign w:val="superscript"/>
    </w:rPr>
  </w:style>
  <w:style w:type="character" w:styleId="Emphasis">
    <w:name w:val="Emphasis"/>
    <w:basedOn w:val="DefaultParagraphFont"/>
    <w:uiPriority w:val="20"/>
    <w:qFormat/>
    <w:rsid w:val="00D660F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0389864">
      <w:bodyDiv w:val="1"/>
      <w:marLeft w:val="0"/>
      <w:marRight w:val="0"/>
      <w:marTop w:val="0"/>
      <w:marBottom w:val="0"/>
      <w:divBdr>
        <w:top w:val="none" w:sz="0" w:space="0" w:color="auto"/>
        <w:left w:val="none" w:sz="0" w:space="0" w:color="auto"/>
        <w:bottom w:val="none" w:sz="0" w:space="0" w:color="auto"/>
        <w:right w:val="none" w:sz="0" w:space="0" w:color="auto"/>
      </w:divBdr>
      <w:divsChild>
        <w:div w:id="1203981236">
          <w:marLeft w:val="0"/>
          <w:marRight w:val="0"/>
          <w:marTop w:val="0"/>
          <w:marBottom w:val="0"/>
          <w:divBdr>
            <w:top w:val="none" w:sz="0" w:space="0" w:color="auto"/>
            <w:left w:val="none" w:sz="0" w:space="0" w:color="auto"/>
            <w:bottom w:val="none" w:sz="0" w:space="0" w:color="auto"/>
            <w:right w:val="none" w:sz="0" w:space="0" w:color="auto"/>
          </w:divBdr>
        </w:div>
        <w:div w:id="1355304563">
          <w:marLeft w:val="0"/>
          <w:marRight w:val="0"/>
          <w:marTop w:val="0"/>
          <w:marBottom w:val="0"/>
          <w:divBdr>
            <w:top w:val="none" w:sz="0" w:space="0" w:color="auto"/>
            <w:left w:val="none" w:sz="0" w:space="0" w:color="auto"/>
            <w:bottom w:val="none" w:sz="0" w:space="0" w:color="auto"/>
            <w:right w:val="none" w:sz="0" w:space="0" w:color="auto"/>
          </w:divBdr>
        </w:div>
      </w:divsChild>
    </w:div>
    <w:div w:id="741947116">
      <w:bodyDiv w:val="1"/>
      <w:marLeft w:val="0"/>
      <w:marRight w:val="0"/>
      <w:marTop w:val="0"/>
      <w:marBottom w:val="0"/>
      <w:divBdr>
        <w:top w:val="none" w:sz="0" w:space="0" w:color="auto"/>
        <w:left w:val="none" w:sz="0" w:space="0" w:color="auto"/>
        <w:bottom w:val="none" w:sz="0" w:space="0" w:color="auto"/>
        <w:right w:val="none" w:sz="0" w:space="0" w:color="auto"/>
      </w:divBdr>
    </w:div>
    <w:div w:id="1222063192">
      <w:bodyDiv w:val="1"/>
      <w:marLeft w:val="0"/>
      <w:marRight w:val="0"/>
      <w:marTop w:val="0"/>
      <w:marBottom w:val="0"/>
      <w:divBdr>
        <w:top w:val="none" w:sz="0" w:space="0" w:color="auto"/>
        <w:left w:val="none" w:sz="0" w:space="0" w:color="auto"/>
        <w:bottom w:val="none" w:sz="0" w:space="0" w:color="auto"/>
        <w:right w:val="none" w:sz="0" w:space="0" w:color="auto"/>
      </w:divBdr>
    </w:div>
    <w:div w:id="1333528839">
      <w:bodyDiv w:val="1"/>
      <w:marLeft w:val="0"/>
      <w:marRight w:val="0"/>
      <w:marTop w:val="0"/>
      <w:marBottom w:val="0"/>
      <w:divBdr>
        <w:top w:val="none" w:sz="0" w:space="0" w:color="auto"/>
        <w:left w:val="none" w:sz="0" w:space="0" w:color="auto"/>
        <w:bottom w:val="none" w:sz="0" w:space="0" w:color="auto"/>
        <w:right w:val="none" w:sz="0" w:space="0" w:color="auto"/>
      </w:divBdr>
    </w:div>
    <w:div w:id="1543326315">
      <w:bodyDiv w:val="1"/>
      <w:marLeft w:val="0"/>
      <w:marRight w:val="0"/>
      <w:marTop w:val="0"/>
      <w:marBottom w:val="0"/>
      <w:divBdr>
        <w:top w:val="none" w:sz="0" w:space="0" w:color="auto"/>
        <w:left w:val="none" w:sz="0" w:space="0" w:color="auto"/>
        <w:bottom w:val="none" w:sz="0" w:space="0" w:color="auto"/>
        <w:right w:val="none" w:sz="0" w:space="0" w:color="auto"/>
      </w:divBdr>
    </w:div>
    <w:div w:id="1556232561">
      <w:bodyDiv w:val="1"/>
      <w:marLeft w:val="0"/>
      <w:marRight w:val="0"/>
      <w:marTop w:val="0"/>
      <w:marBottom w:val="0"/>
      <w:divBdr>
        <w:top w:val="none" w:sz="0" w:space="0" w:color="auto"/>
        <w:left w:val="none" w:sz="0" w:space="0" w:color="auto"/>
        <w:bottom w:val="none" w:sz="0" w:space="0" w:color="auto"/>
        <w:right w:val="none" w:sz="0" w:space="0" w:color="auto"/>
      </w:divBdr>
    </w:div>
    <w:div w:id="1567448541">
      <w:bodyDiv w:val="1"/>
      <w:marLeft w:val="0"/>
      <w:marRight w:val="0"/>
      <w:marTop w:val="0"/>
      <w:marBottom w:val="0"/>
      <w:divBdr>
        <w:top w:val="none" w:sz="0" w:space="0" w:color="auto"/>
        <w:left w:val="none" w:sz="0" w:space="0" w:color="auto"/>
        <w:bottom w:val="none" w:sz="0" w:space="0" w:color="auto"/>
        <w:right w:val="none" w:sz="0" w:space="0" w:color="auto"/>
      </w:divBdr>
    </w:div>
    <w:div w:id="1742173681">
      <w:bodyDiv w:val="1"/>
      <w:marLeft w:val="0"/>
      <w:marRight w:val="0"/>
      <w:marTop w:val="0"/>
      <w:marBottom w:val="0"/>
      <w:divBdr>
        <w:top w:val="none" w:sz="0" w:space="0" w:color="auto"/>
        <w:left w:val="none" w:sz="0" w:space="0" w:color="auto"/>
        <w:bottom w:val="none" w:sz="0" w:space="0" w:color="auto"/>
        <w:right w:val="none" w:sz="0" w:space="0" w:color="auto"/>
      </w:divBdr>
    </w:div>
    <w:div w:id="2128037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bkwilliams@cdc.gov" TargetMode="External"/><Relationship Id="rId18" Type="http://schemas.openxmlformats.org/officeDocument/2006/relationships/hyperlink" Target="http://www.cdc.gov/nccdphp/dch/programs/reach/index.htm"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cdc.gov/nccdphp/dch/programs/partnershipstoimprovecommunityhealth/index.html" TargetMode="External"/><Relationship Id="rId2" Type="http://schemas.openxmlformats.org/officeDocument/2006/relationships/customXml" Target="../customXml/item2.xml"/><Relationship Id="rId16" Type="http://schemas.openxmlformats.org/officeDocument/2006/relationships/hyperlink" Target="http://www.cdc.gov/nphpsp/essentialservices.html.%20Accessed%20on%208/14/14"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thelancet.com/journals/lancet/article/PIIS0140-6736(14)60648-6/abstract" TargetMode="Externa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bls.gov/ncs/ocs/sp/nctb134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0C90E18ED62843B8190FE6ED302705" ma:contentTypeVersion="156" ma:contentTypeDescription="Create a new document." ma:contentTypeScope="" ma:versionID="0c0323e15530632096cbdc875ed5594f">
  <xsd:schema xmlns:xsd="http://www.w3.org/2001/XMLSchema" xmlns:xs="http://www.w3.org/2001/XMLSchema" xmlns:p="http://schemas.microsoft.com/office/2006/metadata/properties" xmlns:ns2="b5c0ca00-073d-4463-9985-b654f14791fe" xmlns:ns3="bd99c180-279b-44c3-9486-dd050336677e" xmlns:ns4="15b1c282-9287-45cb-9b41-eae3a76919a0" xmlns:ns5="ce849d94-b00b-4457-8fdf-7e9e81e05b5e" targetNamespace="http://schemas.microsoft.com/office/2006/metadata/properties" ma:root="true" ma:fieldsID="9ce394b6fd746891dba7a3791c49aea0" ns2:_="" ns3:_="" ns4:_="" ns5:_="">
    <xsd:import namespace="b5c0ca00-073d-4463-9985-b654f14791fe"/>
    <xsd:import namespace="bd99c180-279b-44c3-9486-dd050336677e"/>
    <xsd:import namespace="15b1c282-9287-45cb-9b41-eae3a76919a0"/>
    <xsd:import namespace="ce849d94-b00b-4457-8fdf-7e9e81e05b5e"/>
    <xsd:element name="properties">
      <xsd:complexType>
        <xsd:sequence>
          <xsd:element name="documentManagement">
            <xsd:complexType>
              <xsd:all>
                <xsd:element ref="ns2:_dlc_DocId" minOccurs="0"/>
                <xsd:element ref="ns2:_dlc_DocIdUrl" minOccurs="0"/>
                <xsd:element ref="ns2:_dlc_DocIdPersistId" minOccurs="0"/>
                <xsd:element ref="ns3:OSC_StateA_12_10Average_Burden_per_Response_in_Hours" minOccurs="0"/>
                <xsd:element ref="ns3:OSC_StateA_12_10Hourly_Wage_Rate" minOccurs="0"/>
                <xsd:element ref="ns3:OSC_StateA_12_10Number_of_Respondents" minOccurs="0"/>
                <xsd:element ref="ns3:OSC_StateA_12_10Number_of_Responses_per_Respondent" minOccurs="0"/>
                <xsd:element ref="ns3:OSC_StateA_12_10Total_Burden_Hours" minOccurs="0"/>
                <xsd:element ref="ns3:OSC_StateA_12_10Total_Respondent_Costs" minOccurs="0"/>
                <xsd:element ref="ns3:OSC_StateA_12_10Type_of_Respondent" minOccurs="0"/>
                <xsd:element ref="ns3:OSC_StateA_12_1Average_Burden_per_Response_in_Hours" minOccurs="0"/>
                <xsd:element ref="ns3:OSC_StateA_12_1Hourly_Wage_Rate" minOccurs="0"/>
                <xsd:element ref="ns3:OSC_StateA_12_1Number_of_Respondents" minOccurs="0"/>
                <xsd:element ref="ns3:OSC_StateA_12_1Number_of_Responses_per_Respondent" minOccurs="0"/>
                <xsd:element ref="ns3:OSC_StateA_12_1Total_Burden_Hours" minOccurs="0"/>
                <xsd:element ref="ns3:OSC_StateA_12_1Total_Respondent_Costs" minOccurs="0"/>
                <xsd:element ref="ns3:OSC_StateA_12_1Type_of_Respondent" minOccurs="0"/>
                <xsd:element ref="ns3:OSC_StateA_12_2Average_Burden_per_Response_in_Hours" minOccurs="0"/>
                <xsd:element ref="ns3:OSC_StateA_12_2Hourly_Wage_Rate" minOccurs="0"/>
                <xsd:element ref="ns3:OSC_StateA_12_2Number_of_Respondents" minOccurs="0"/>
                <xsd:element ref="ns3:OSC_StateA_12_2Number_of_Responses_per_Respondent" minOccurs="0"/>
                <xsd:element ref="ns3:OSC_StateA_12_2Total_Burden_Hours" minOccurs="0"/>
                <xsd:element ref="ns3:OSC_StateA_12_2Total_Respondent_Costs" minOccurs="0"/>
                <xsd:element ref="ns3:OSC_StateA_12_2Type_of_Respondent" minOccurs="0"/>
                <xsd:element ref="ns3:OSC_StateA_12_3Average_Burden_per_Response_in_Hours" minOccurs="0"/>
                <xsd:element ref="ns3:OSC_StateA_12_3Hourly_Wage_Rate" minOccurs="0"/>
                <xsd:element ref="ns3:OSC_StateA_12_3Number_of_Respondents" minOccurs="0"/>
                <xsd:element ref="ns3:OSC_StateA_12_3Number_of_Responses_per_Respondent" minOccurs="0"/>
                <xsd:element ref="ns3:OSC_StateA_12_3Total_Burden_Hours" minOccurs="0"/>
                <xsd:element ref="ns3:OSC_StateA_12_3Total_Respondent_Costs" minOccurs="0"/>
                <xsd:element ref="ns3:OSC_StateA_12_3Type_of_Respondent" minOccurs="0"/>
                <xsd:element ref="ns3:OSC_StateA_12_4Average_Burden_per_Response_in_Hours" minOccurs="0"/>
                <xsd:element ref="ns3:OSC_StateA_12_4Hourly_Wage_Rate" minOccurs="0"/>
                <xsd:element ref="ns3:OSC_StateA_12_4Number_of_Respondents" minOccurs="0"/>
                <xsd:element ref="ns3:OSC_StateA_12_4Number_of_Responses_per_Respondent" minOccurs="0"/>
                <xsd:element ref="ns3:OSC_StateA_12_4Total_Burden_Hours" minOccurs="0"/>
                <xsd:element ref="ns3:OSC_StateA_12_4Total_Respondent_Costs" minOccurs="0"/>
                <xsd:element ref="ns3:OSC_StateA_12_4Type_of_Respondent" minOccurs="0"/>
                <xsd:element ref="ns3:OSC_StateA_12_5Average_Burden_per_Response_in_Hours" minOccurs="0"/>
                <xsd:element ref="ns3:OSC_StateA_12_5Hourly_Wage_Rate" minOccurs="0"/>
                <xsd:element ref="ns3:OSC_StateA_12_5Number_of_Respondents" minOccurs="0"/>
                <xsd:element ref="ns3:OSC_StateA_12_5Number_of_Responses_per_Respondent" minOccurs="0"/>
                <xsd:element ref="ns3:OSC_StateA_12_5Total_Burden_Hours" minOccurs="0"/>
                <xsd:element ref="ns3:OSC_StateA_12_5Total_Respondent_Costs" minOccurs="0"/>
                <xsd:element ref="ns3:OSC_StateA_12_5Type_of_Respondent" minOccurs="0"/>
                <xsd:element ref="ns3:OSC_StateA_12_6Average_Burden_per_Response_in_Hours" minOccurs="0"/>
                <xsd:element ref="ns3:OSC_StateA_12_6Hourly_Wage_Rate" minOccurs="0"/>
                <xsd:element ref="ns3:OSC_StateA_12_6Number_of_Respondents" minOccurs="0"/>
                <xsd:element ref="ns3:OSC_StateA_12_6Number_of_Responses_per_Respondent" minOccurs="0"/>
                <xsd:element ref="ns3:OSC_StateA_12_6Total_Burden_Hours" minOccurs="0"/>
                <xsd:element ref="ns3:OSC_StateA_12_6Total_Respondent_Costs" minOccurs="0"/>
                <xsd:element ref="ns3:OSC_StateA_12_6Type_of_Respondent" minOccurs="0"/>
                <xsd:element ref="ns3:OSC_StateA_12_7Average_Burden_per_Response_in_Hours" minOccurs="0"/>
                <xsd:element ref="ns3:OSC_StateA_12_7Hourly_Wage_Rate" minOccurs="0"/>
                <xsd:element ref="ns3:OSC_StateA_12_7Number_of_Respondents" minOccurs="0"/>
                <xsd:element ref="ns3:OSC_StateA_12_7Number_of_Responses_per_Respondent" minOccurs="0"/>
                <xsd:element ref="ns3:OSC_StateA_12_7Total_Burden_Hours" minOccurs="0"/>
                <xsd:element ref="ns3:OSC_StateA_12_7Total_Respondent_Costs" minOccurs="0"/>
                <xsd:element ref="ns3:OSC_StateA_12_7Type_of_Respondent" minOccurs="0"/>
                <xsd:element ref="ns3:OSC_StateA_12_8Average_Burden_per_Response_in_Hours" minOccurs="0"/>
                <xsd:element ref="ns3:OSC_StateA_12_8Hourly_Wage_Rate" minOccurs="0"/>
                <xsd:element ref="ns3:OSC_StateA_12_8Number_of_Respondents" minOccurs="0"/>
                <xsd:element ref="ns3:OSC_StateA_12_8Number_of_Responses_per_Respondent" minOccurs="0"/>
                <xsd:element ref="ns3:OSC_StateA_12_8Total_Burden_Hours" minOccurs="0"/>
                <xsd:element ref="ns3:OSC_StateA_12_8Total_Respondent_Costs" minOccurs="0"/>
                <xsd:element ref="ns3:OSC_StateA_12_8Type_of_Respondent" minOccurs="0"/>
                <xsd:element ref="ns3:OSC_StateA_12_9Average_Burden_per_Response_in_Hours" minOccurs="0"/>
                <xsd:element ref="ns3:OSC_StateA_12_9Hourly_Wage_Rate" minOccurs="0"/>
                <xsd:element ref="ns3:OSC_StateA_12_9Number_of_Respondents" minOccurs="0"/>
                <xsd:element ref="ns3:OSC_StateA_12_9Number_of_Responses_per_Respondent" minOccurs="0"/>
                <xsd:element ref="ns3:OSC_StateA_12_9Total_Burden_Hours" minOccurs="0"/>
                <xsd:element ref="ns3:OSC_StateA_12_9Total_Respondent_Costs" minOccurs="0"/>
                <xsd:element ref="ns3:OSC_StateA_12_9Type_of_Respondent" minOccurs="0"/>
                <xsd:element ref="ns3:OSC_StateA_12_Total_Number_of_Responses_per_Respondent" minOccurs="0"/>
                <xsd:element ref="ns3:OSC_StateA_12_Total_Total_Burden_Hours" minOccurs="0"/>
                <xsd:element ref="ns3:OSC_StateA_12_Total_Total_Respondent_Costs" minOccurs="0"/>
                <xsd:element ref="ns3:OSC_StateA_14_10Average_Cost" minOccurs="0"/>
                <xsd:element ref="ns3:OSC_StateA_14_10Average_Hourly_Rate" minOccurs="0"/>
                <xsd:element ref="ns3:OSC_StateA_14_10Average_Hours_Per_Collection" minOccurs="0"/>
                <xsd:element ref="ns3:OSC_StateA_14_10Staff_FTE" minOccurs="0"/>
                <xsd:element ref="ns3:OSC_StateA_14_1Average_Cost" minOccurs="0"/>
                <xsd:element ref="ns3:OSC_StateA_14_1Average_Hourly_Rate" minOccurs="0"/>
                <xsd:element ref="ns3:OSC_StateA_14_1Average_Hours_Per_Collection" minOccurs="0"/>
                <xsd:element ref="ns3:OSC_StateA_14_1Staff_FTE" minOccurs="0"/>
                <xsd:element ref="ns3:OSC_StateA_14_2Average_Cost" minOccurs="0"/>
                <xsd:element ref="ns3:OSC_StateA_14_2Average_Hourly_Rate" minOccurs="0"/>
                <xsd:element ref="ns3:OSC_StateA_14_2Average_Hours_Per_Collection" minOccurs="0"/>
                <xsd:element ref="ns3:OSC_StateA_14_2Staff_FTE" minOccurs="0"/>
                <xsd:element ref="ns3:OSC_StateA_14_3Average_Cost" minOccurs="0"/>
                <xsd:element ref="ns3:OSC_StateA_14_3Average_Hourly_Rate" minOccurs="0"/>
                <xsd:element ref="ns3:OSC_StateA_14_3Average_Hours_Per_Collection" minOccurs="0"/>
                <xsd:element ref="ns3:OSC_StateA_14_3Staff_FTE" minOccurs="0"/>
                <xsd:element ref="ns3:OSC_StateA_14_4Average_Cost" minOccurs="0"/>
                <xsd:element ref="ns3:OSC_StateA_14_4Average_Hourly_Rate" minOccurs="0"/>
                <xsd:element ref="ns3:OSC_StateA_14_4Average_Hours_Per_Collection" minOccurs="0"/>
                <xsd:element ref="ns3:OSC_StateA_14_4Staff_FTE" minOccurs="0"/>
                <xsd:element ref="ns3:OSC_StateA_14_5Average_Cost" minOccurs="0"/>
                <xsd:element ref="ns3:OSC_StateA_14_5Average_Hourly_Rate" minOccurs="0"/>
                <xsd:element ref="ns3:OSC_StateA_14_5Average_Hours_Per_Collection" minOccurs="0"/>
                <xsd:element ref="ns3:OSC_StateA_14_5Staff_FTE" minOccurs="0"/>
                <xsd:element ref="ns3:OSC_StateA_14_6Average_Cost" minOccurs="0"/>
                <xsd:element ref="ns3:OSC_StateA_14_6Average_Hourly_Rate" minOccurs="0"/>
                <xsd:element ref="ns3:OSC_StateA_14_6Average_Hours_Per_Collection" minOccurs="0"/>
                <xsd:element ref="ns3:OSC_StateA_14_6Staff_FTE" minOccurs="0"/>
                <xsd:element ref="ns3:OSC_StateA_14_7Average_Cost" minOccurs="0"/>
                <xsd:element ref="ns3:OSC_StateA_14_7Average_Hourly_Rate" minOccurs="0"/>
                <xsd:element ref="ns3:OSC_StateA_14_7Average_Hours_Per_Collection" minOccurs="0"/>
                <xsd:element ref="ns3:OSC_StateA_14_7Staff_FTE" minOccurs="0"/>
                <xsd:element ref="ns3:OSC_StateA_14_8Average_Cost" minOccurs="0"/>
                <xsd:element ref="ns3:OSC_StateA_14_8Average_Hourly_Rate" minOccurs="0"/>
                <xsd:element ref="ns3:OSC_StateA_14_8Average_Hours_Per_Collection" minOccurs="0"/>
                <xsd:element ref="ns3:OSC_StateA_14_8Staff_FTE" minOccurs="0"/>
                <xsd:element ref="ns3:OSC_StateA_14_9Average_Cost" minOccurs="0"/>
                <xsd:element ref="ns3:OSC_StateA_14_9Average_Hourly_Rate" minOccurs="0"/>
                <xsd:element ref="ns3:OSC_StateA_14_9Average_Hours_Per_Collection" minOccurs="0"/>
                <xsd:element ref="ns3:OSC_StateA_14_9Staff_FTE" minOccurs="0"/>
                <xsd:element ref="ns3:OSC_StateA_14_Estimated_Total_Cost_of_Information_Collection" minOccurs="0"/>
                <xsd:element ref="ns3:OSC_StateA_Annualized_Cost_to_the_Government" minOccurs="0"/>
                <xsd:element ref="ns3:OSC_StateA_Assurance_of_Confidentiality_Provided_to_Respondents" minOccurs="0"/>
                <xsd:element ref="ns3:OSC_StateA_Background" minOccurs="0"/>
                <xsd:element ref="ns3:OSC_StateA_Consequences_Collecting_Less_Frequently" minOccurs="0"/>
                <xsd:element ref="ns3:OSC_StateA_Date_Submitted" minOccurs="0"/>
                <xsd:element ref="ns3:OSC_StateA_Estimate_Other_Total_Annual_Cost_Burden_to_Respond" minOccurs="0"/>
                <xsd:element ref="ns3:OSC_StateA_Estimates_of_Annualized_Burden_Hours_and_Costs" minOccurs="0"/>
                <xsd:element ref="ns3:OSC_StateA_Exceptions_Certification_Paperwork_Reduction_Act" minOccurs="0"/>
                <xsd:element ref="ns3:OSC_StateA_Explanation_for_Program_Changes_or_Adjustments" minOccurs="0"/>
                <xsd:element ref="ns3:OSC_StateA_Explanation_of_Any_Payment_or_Gift_to_Respondents" minOccurs="0"/>
                <xsd:element ref="ns3:OSC_StateA_Identify_Duplication_Similar_Information" minOccurs="0"/>
                <xsd:element ref="ns3:OSC_StateA_Impact_on_Small_Businesses_or_Other_Small_Entities" minOccurs="0"/>
                <xsd:element ref="ns3:OSC_StateA_Improved_Information_Technology_and_Burden_Reduction" minOccurs="0"/>
                <xsd:element ref="ns3:OSC_StateA_Items_to_be_collected" minOccurs="0"/>
                <xsd:element ref="ns3:OSC_StateA_Justification_for_Sensitive_Questions" minOccurs="0"/>
                <xsd:element ref="ns3:OSC_StateA_List_Of_Attachments" minOccurs="0"/>
                <xsd:element ref="ns3:OSC_StateA_Overview_Of_Data_Collection_System" minOccurs="0"/>
                <xsd:element ref="ns3:OSC_StateA_Purpose_and_Use" minOccurs="0"/>
                <xsd:element ref="ns3:OSC_StateA_Reason_Display_OMB_Expiration_Date_is_Inappropriate" minOccurs="0"/>
                <xsd:element ref="ns3:OSC_StateA_Response_to_the_Federal_Register_Notice_and_Efforts" minOccurs="0"/>
                <xsd:element ref="ns3:OSC_StateA_Tabulation_and_Publication_and_Project_Time_Schedule" minOccurs="0"/>
                <xsd:element ref="ns3:OSC_StateA_Websites_Directed_at_Children" minOccurs="0"/>
                <xsd:element ref="ns4:GenICNickname" minOccurs="0"/>
                <xsd:element ref="ns3:GenICPIBranchOROfficeTitle" minOccurs="0"/>
                <xsd:element ref="ns3:GenICPICDCID" minOccurs="0"/>
                <xsd:element ref="ns3:GenICPICenterDivisionBranch" minOccurs="0"/>
                <xsd:element ref="ns3:GenICPICIO" minOccurs="0"/>
                <xsd:element ref="ns3:GenICPIDivisionOROfficeTitle" minOccurs="0"/>
                <xsd:element ref="ns3:GenICPIEmail" minOccurs="0"/>
                <xsd:element ref="ns3:GenICPIFax" minOccurs="0"/>
                <xsd:element ref="ns3:GenICPIName" minOccurs="0"/>
                <xsd:element ref="ns3:GenICPIPhone" minOccurs="0"/>
                <xsd:element ref="ns3:GenICPITitle" minOccurs="0"/>
                <xsd:element ref="ns3:GenICPIWorkMailingAddress" minOccurs="0"/>
                <xsd:element ref="ns4:GenICTitle" minOccurs="0"/>
                <xsd:element ref="ns5:OSC_StateA_12_Total_Number_of_Respond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d99c180-279b-44c3-9486-dd050336677e" elementFormDefault="qualified">
    <xsd:import namespace="http://schemas.microsoft.com/office/2006/documentManagement/types"/>
    <xsd:import namespace="http://schemas.microsoft.com/office/infopath/2007/PartnerControls"/>
    <xsd:element name="OSC_StateA_12_10Average_Burden_per_Response_in_Hours" ma:index="11" nillable="true" ma:displayName="OSC_StateA_12_10Average_Burden_per_Response_in_Hours" ma:default="=&gt;20/60&lt;=" ma:internalName="OSC_StateA_12_10Average_Burden_per_Response_in_Hours">
      <xsd:simpleType>
        <xsd:restriction base="dms:Text">
          <xsd:maxLength value="255"/>
        </xsd:restriction>
      </xsd:simpleType>
    </xsd:element>
    <xsd:element name="OSC_StateA_12_10Hourly_Wage_Rate" ma:index="12" nillable="true" ma:displayName="OSC_StateA_12_10Hourly_Wage_Rate" ma:default="0" ma:internalName="OSC_StateA_12_10Hourly_Wage_Rate">
      <xsd:simpleType>
        <xsd:restriction base="dms:Text">
          <xsd:maxLength value="255"/>
        </xsd:restriction>
      </xsd:simpleType>
    </xsd:element>
    <xsd:element name="OSC_StateA_12_10Number_of_Respondents" ma:index="13" nillable="true" ma:displayName="OSC_StateA_12_10Number_of_Respondents" ma:decimals="0" ma:default="0" ma:internalName="OSC_StateA_12_10Number_of_Respondents" ma:percentage="FALSE">
      <xsd:simpleType>
        <xsd:restriction base="dms:Number"/>
      </xsd:simpleType>
    </xsd:element>
    <xsd:element name="OSC_StateA_12_10Number_of_Responses_per_Respondent" ma:index="14" nillable="true" ma:displayName="OSC_StateA_12_10Number_of_Responses_per_Respondent" ma:default="1" ma:internalName="OSC_StateA_12_10Number_of_Responses_per_Respondent">
      <xsd:simpleType>
        <xsd:restriction base="dms:Text">
          <xsd:maxLength value="255"/>
        </xsd:restriction>
      </xsd:simpleType>
    </xsd:element>
    <xsd:element name="OSC_StateA_12_10Total_Burden_Hours" ma:index="15" nillable="true" ma:displayName="OSC_StateA_12_10Total_Burden_Hours" ma:decimals="0" ma:default="0" ma:internalName="OSC_StateA_12_10Total_Burden_Hours" ma:percentage="FALSE">
      <xsd:simpleType>
        <xsd:restriction base="dms:Number"/>
      </xsd:simpleType>
    </xsd:element>
    <xsd:element name="OSC_StateA_12_10Total_Respondent_Costs" ma:index="16" nillable="true" ma:displayName="OSC_StateA_12_10Total_Respondent_Costs" ma:decimals="2" ma:default="0" ma:LCID="1033" ma:internalName="OSC_StateA_12_10Total_Respondent_Costs">
      <xsd:simpleType>
        <xsd:restriction base="dms:Currency"/>
      </xsd:simpleType>
    </xsd:element>
    <xsd:element name="OSC_StateA_12_10Type_of_Respondent" ma:index="17" nillable="true" ma:displayName="OSC_StateA_12_10Type_of_Respondent" ma:default="=&gt;Enter&lt;=" ma:internalName="OSC_StateA_12_10Type_of_Respondent">
      <xsd:simpleType>
        <xsd:restriction base="dms:Text">
          <xsd:maxLength value="255"/>
        </xsd:restriction>
      </xsd:simpleType>
    </xsd:element>
    <xsd:element name="OSC_StateA_12_1Average_Burden_per_Response_in_Hours" ma:index="18" nillable="true" ma:displayName="OSC_StateA_12_1Average_Burden_per_Response_in_Hours" ma:default="=&gt;20/60&lt;=" ma:internalName="OSC_StateA_12_1Average_Burden_per_Response_in_Hours">
      <xsd:simpleType>
        <xsd:restriction base="dms:Text">
          <xsd:maxLength value="255"/>
        </xsd:restriction>
      </xsd:simpleType>
    </xsd:element>
    <xsd:element name="OSC_StateA_12_1Hourly_Wage_Rate" ma:index="19" nillable="true" ma:displayName="OSC_StateA_12_1Hourly_Wage_Rate" ma:default="0" ma:internalName="OSC_StateA_12_1Hourly_Wage_Rate">
      <xsd:simpleType>
        <xsd:restriction base="dms:Text">
          <xsd:maxLength value="255"/>
        </xsd:restriction>
      </xsd:simpleType>
    </xsd:element>
    <xsd:element name="OSC_StateA_12_1Number_of_Respondents" ma:index="20" nillable="true" ma:displayName="OSC_StateA_12_1Number_of_Respondents" ma:decimals="0" ma:default="0" ma:internalName="OSC_StateA_12_1Number_of_Respondents" ma:percentage="FALSE">
      <xsd:simpleType>
        <xsd:restriction base="dms:Number"/>
      </xsd:simpleType>
    </xsd:element>
    <xsd:element name="OSC_StateA_12_1Number_of_Responses_per_Respondent" ma:index="21" nillable="true" ma:displayName="OSC_StateA_12_1Number_of_Responses_per_Respondent" ma:default="1" ma:internalName="OSC_StateA_12_1Number_of_Responses_per_Respondent">
      <xsd:simpleType>
        <xsd:restriction base="dms:Text">
          <xsd:maxLength value="255"/>
        </xsd:restriction>
      </xsd:simpleType>
    </xsd:element>
    <xsd:element name="OSC_StateA_12_1Total_Burden_Hours" ma:index="22" nillable="true" ma:displayName="OSC_StateA_12_1Total_Burden_Hours" ma:decimals="0" ma:default="0" ma:internalName="OSC_StateA_12_1Total_Burden_Hours" ma:percentage="FALSE">
      <xsd:simpleType>
        <xsd:restriction base="dms:Number"/>
      </xsd:simpleType>
    </xsd:element>
    <xsd:element name="OSC_StateA_12_1Total_Respondent_Costs" ma:index="23" nillable="true" ma:displayName="OSC_StateA_12_1Total_Respondent_Costs" ma:decimals="2" ma:default="0" ma:LCID="1033" ma:internalName="OSC_StateA_12_1Total_Respondent_Costs">
      <xsd:simpleType>
        <xsd:restriction base="dms:Currency"/>
      </xsd:simpleType>
    </xsd:element>
    <xsd:element name="OSC_StateA_12_1Type_of_Respondent" ma:index="24" nillable="true" ma:displayName="OSC_StateA_12_1Type_of_Respondent" ma:default="=&gt;Enter&lt;=" ma:internalName="OSC_StateA_12_1Type_of_Respondent">
      <xsd:simpleType>
        <xsd:restriction base="dms:Text">
          <xsd:maxLength value="255"/>
        </xsd:restriction>
      </xsd:simpleType>
    </xsd:element>
    <xsd:element name="OSC_StateA_12_2Average_Burden_per_Response_in_Hours" ma:index="25" nillable="true" ma:displayName="OSC_StateA_12_2Average_Burden_per_Response_in_Hours" ma:default="=&gt;20/60&lt;=" ma:internalName="OSC_StateA_12_2Average_Burden_per_Response_in_Hours">
      <xsd:simpleType>
        <xsd:restriction base="dms:Text">
          <xsd:maxLength value="255"/>
        </xsd:restriction>
      </xsd:simpleType>
    </xsd:element>
    <xsd:element name="OSC_StateA_12_2Hourly_Wage_Rate" ma:index="26" nillable="true" ma:displayName="OSC_StateA_12_2Hourly_Wage_Rate" ma:default="0" ma:internalName="OSC_StateA_12_2Hourly_Wage_Rate">
      <xsd:simpleType>
        <xsd:restriction base="dms:Text">
          <xsd:maxLength value="255"/>
        </xsd:restriction>
      </xsd:simpleType>
    </xsd:element>
    <xsd:element name="OSC_StateA_12_2Number_of_Respondents" ma:index="27" nillable="true" ma:displayName="OSC_StateA_12_2Number_of_Respondents" ma:decimals="0" ma:default="0" ma:internalName="OSC_StateA_12_2Number_of_Respondents" ma:percentage="FALSE">
      <xsd:simpleType>
        <xsd:restriction base="dms:Number"/>
      </xsd:simpleType>
    </xsd:element>
    <xsd:element name="OSC_StateA_12_2Number_of_Responses_per_Respondent" ma:index="28" nillable="true" ma:displayName="OSC_StateA_12_2Number_of_Responses_per_Respondent" ma:default="1" ma:internalName="OSC_StateA_12_2Number_of_Responses_per_Respondent">
      <xsd:simpleType>
        <xsd:restriction base="dms:Text">
          <xsd:maxLength value="255"/>
        </xsd:restriction>
      </xsd:simpleType>
    </xsd:element>
    <xsd:element name="OSC_StateA_12_2Total_Burden_Hours" ma:index="29" nillable="true" ma:displayName="OSC_StateA_12_2Total_Burden_Hours" ma:decimals="0" ma:default="0" ma:internalName="OSC_StateA_12_2Total_Burden_Hours" ma:percentage="FALSE">
      <xsd:simpleType>
        <xsd:restriction base="dms:Number"/>
      </xsd:simpleType>
    </xsd:element>
    <xsd:element name="OSC_StateA_12_2Total_Respondent_Costs" ma:index="30" nillable="true" ma:displayName="OSC_StateA_12_2Total_Respondent_Costs" ma:decimals="2" ma:default="0" ma:LCID="1033" ma:internalName="OSC_StateA_12_2Total_Respondent_Costs">
      <xsd:simpleType>
        <xsd:restriction base="dms:Currency"/>
      </xsd:simpleType>
    </xsd:element>
    <xsd:element name="OSC_StateA_12_2Type_of_Respondent" ma:index="31" nillable="true" ma:displayName="OSC_StateA_12_2Type_of_Respondent" ma:default="=&gt;Enter&lt;=" ma:internalName="OSC_StateA_12_2Type_of_Respondent">
      <xsd:simpleType>
        <xsd:restriction base="dms:Text">
          <xsd:maxLength value="255"/>
        </xsd:restriction>
      </xsd:simpleType>
    </xsd:element>
    <xsd:element name="OSC_StateA_12_3Average_Burden_per_Response_in_Hours" ma:index="32" nillable="true" ma:displayName="OSC_StateA_12_3Average_Burden_per_Response_in_Hours" ma:default="=&gt;20/60&lt;=" ma:internalName="OSC_StateA_12_3Average_Burden_per_Response_in_Hours">
      <xsd:simpleType>
        <xsd:restriction base="dms:Text">
          <xsd:maxLength value="255"/>
        </xsd:restriction>
      </xsd:simpleType>
    </xsd:element>
    <xsd:element name="OSC_StateA_12_3Hourly_Wage_Rate" ma:index="33" nillable="true" ma:displayName="OSC_StateA_12_3Hourly_Wage_Rate" ma:default="0" ma:internalName="OSC_StateA_12_3Hourly_Wage_Rate">
      <xsd:simpleType>
        <xsd:restriction base="dms:Text">
          <xsd:maxLength value="255"/>
        </xsd:restriction>
      </xsd:simpleType>
    </xsd:element>
    <xsd:element name="OSC_StateA_12_3Number_of_Respondents" ma:index="34" nillable="true" ma:displayName="OSC_StateA_12_3Number_of_Respondents" ma:decimals="0" ma:default="0" ma:internalName="OSC_StateA_12_3Number_of_Respondents" ma:percentage="FALSE">
      <xsd:simpleType>
        <xsd:restriction base="dms:Number"/>
      </xsd:simpleType>
    </xsd:element>
    <xsd:element name="OSC_StateA_12_3Number_of_Responses_per_Respondent" ma:index="35" nillable="true" ma:displayName="OSC_StateA_12_3Number_of_Responses_per_Respondent" ma:default="1" ma:internalName="OSC_StateA_12_3Number_of_Responses_per_Respondent">
      <xsd:simpleType>
        <xsd:restriction base="dms:Text">
          <xsd:maxLength value="255"/>
        </xsd:restriction>
      </xsd:simpleType>
    </xsd:element>
    <xsd:element name="OSC_StateA_12_3Total_Burden_Hours" ma:index="36" nillable="true" ma:displayName="OSC_StateA_12_3Total_Burden_Hours" ma:decimals="0" ma:default="0" ma:internalName="OSC_StateA_12_3Total_Burden_Hours" ma:percentage="FALSE">
      <xsd:simpleType>
        <xsd:restriction base="dms:Number"/>
      </xsd:simpleType>
    </xsd:element>
    <xsd:element name="OSC_StateA_12_3Total_Respondent_Costs" ma:index="37" nillable="true" ma:displayName="OSC_StateA_12_3Total_Respondent_Costs" ma:decimals="2" ma:default="0" ma:LCID="1033" ma:internalName="OSC_StateA_12_3Total_Respondent_Costs">
      <xsd:simpleType>
        <xsd:restriction base="dms:Currency"/>
      </xsd:simpleType>
    </xsd:element>
    <xsd:element name="OSC_StateA_12_3Type_of_Respondent" ma:index="38" nillable="true" ma:displayName="OSC_StateA_12_3Type_of_Respondent" ma:default="=&gt;Enter&lt;=" ma:internalName="OSC_StateA_12_3Type_of_Respondent">
      <xsd:simpleType>
        <xsd:restriction base="dms:Text">
          <xsd:maxLength value="255"/>
        </xsd:restriction>
      </xsd:simpleType>
    </xsd:element>
    <xsd:element name="OSC_StateA_12_4Average_Burden_per_Response_in_Hours" ma:index="39" nillable="true" ma:displayName="OSC_StateA_12_4Average_Burden_per_Response_in_Hours" ma:default="=&gt;20/60&lt;=" ma:internalName="OSC_StateA_12_4Average_Burden_per_Response_in_Hours">
      <xsd:simpleType>
        <xsd:restriction base="dms:Text">
          <xsd:maxLength value="255"/>
        </xsd:restriction>
      </xsd:simpleType>
    </xsd:element>
    <xsd:element name="OSC_StateA_12_4Hourly_Wage_Rate" ma:index="40" nillable="true" ma:displayName="OSC_StateA_12_4Hourly_Wage_Rate" ma:default="0" ma:internalName="OSC_StateA_12_4Hourly_Wage_Rate">
      <xsd:simpleType>
        <xsd:restriction base="dms:Text">
          <xsd:maxLength value="255"/>
        </xsd:restriction>
      </xsd:simpleType>
    </xsd:element>
    <xsd:element name="OSC_StateA_12_4Number_of_Respondents" ma:index="41" nillable="true" ma:displayName="OSC_StateA_12_4Number_of_Respondents" ma:decimals="0" ma:default="0" ma:internalName="OSC_StateA_12_4Number_of_Respondents" ma:percentage="FALSE">
      <xsd:simpleType>
        <xsd:restriction base="dms:Number"/>
      </xsd:simpleType>
    </xsd:element>
    <xsd:element name="OSC_StateA_12_4Number_of_Responses_per_Respondent" ma:index="42" nillable="true" ma:displayName="OSC_StateA_12_4Number_of_Responses_per_Respondent" ma:default="1" ma:internalName="OSC_StateA_12_4Number_of_Responses_per_Respondent">
      <xsd:simpleType>
        <xsd:restriction base="dms:Text">
          <xsd:maxLength value="255"/>
        </xsd:restriction>
      </xsd:simpleType>
    </xsd:element>
    <xsd:element name="OSC_StateA_12_4Total_Burden_Hours" ma:index="43" nillable="true" ma:displayName="OSC_StateA_12_4Total_Burden_Hours" ma:decimals="0" ma:default="0" ma:internalName="OSC_StateA_12_4Total_Burden_Hours" ma:percentage="FALSE">
      <xsd:simpleType>
        <xsd:restriction base="dms:Number"/>
      </xsd:simpleType>
    </xsd:element>
    <xsd:element name="OSC_StateA_12_4Total_Respondent_Costs" ma:index="44" nillable="true" ma:displayName="OSC_StateA_12_4Total_Respondent_Costs" ma:decimals="2" ma:default="0" ma:LCID="1033" ma:internalName="OSC_StateA_12_4Total_Respondent_Costs">
      <xsd:simpleType>
        <xsd:restriction base="dms:Currency"/>
      </xsd:simpleType>
    </xsd:element>
    <xsd:element name="OSC_StateA_12_4Type_of_Respondent" ma:index="45" nillable="true" ma:displayName="OSC_StateA_12_4Type_of_Respondent" ma:default="=&gt;Enter&lt;=" ma:internalName="OSC_StateA_12_4Type_of_Respondent">
      <xsd:simpleType>
        <xsd:restriction base="dms:Text">
          <xsd:maxLength value="255"/>
        </xsd:restriction>
      </xsd:simpleType>
    </xsd:element>
    <xsd:element name="OSC_StateA_12_5Average_Burden_per_Response_in_Hours" ma:index="46" nillable="true" ma:displayName="OSC_StateA_12_5Average_Burden_per_Response_in_Hours" ma:default="=&gt;20/60&lt;=" ma:internalName="OSC_StateA_12_5Average_Burden_per_Response_in_Hours">
      <xsd:simpleType>
        <xsd:restriction base="dms:Text">
          <xsd:maxLength value="255"/>
        </xsd:restriction>
      </xsd:simpleType>
    </xsd:element>
    <xsd:element name="OSC_StateA_12_5Hourly_Wage_Rate" ma:index="47" nillable="true" ma:displayName="OSC_StateA_12_5Hourly_Wage_Rate" ma:default="0" ma:internalName="OSC_StateA_12_5Hourly_Wage_Rate">
      <xsd:simpleType>
        <xsd:restriction base="dms:Text">
          <xsd:maxLength value="255"/>
        </xsd:restriction>
      </xsd:simpleType>
    </xsd:element>
    <xsd:element name="OSC_StateA_12_5Number_of_Respondents" ma:index="48" nillable="true" ma:displayName="OSC_StateA_12_5Number_of_Respondents" ma:decimals="0" ma:default="0" ma:internalName="OSC_StateA_12_5Number_of_Respondents" ma:percentage="FALSE">
      <xsd:simpleType>
        <xsd:restriction base="dms:Number"/>
      </xsd:simpleType>
    </xsd:element>
    <xsd:element name="OSC_StateA_12_5Number_of_Responses_per_Respondent" ma:index="49" nillable="true" ma:displayName="OSC_StateA_12_5Number_of_Responses_per_Respondent" ma:default="1" ma:internalName="OSC_StateA_12_5Number_of_Responses_per_Respondent">
      <xsd:simpleType>
        <xsd:restriction base="dms:Text">
          <xsd:maxLength value="255"/>
        </xsd:restriction>
      </xsd:simpleType>
    </xsd:element>
    <xsd:element name="OSC_StateA_12_5Total_Burden_Hours" ma:index="50" nillable="true" ma:displayName="OSC_StateA_12_5Total_Burden_Hours" ma:decimals="0" ma:default="0" ma:internalName="OSC_StateA_12_5Total_Burden_Hours" ma:percentage="FALSE">
      <xsd:simpleType>
        <xsd:restriction base="dms:Number"/>
      </xsd:simpleType>
    </xsd:element>
    <xsd:element name="OSC_StateA_12_5Total_Respondent_Costs" ma:index="51" nillable="true" ma:displayName="OSC_StateA_12_5Total_Respondent_Costs" ma:decimals="2" ma:default="0" ma:LCID="1033" ma:internalName="OSC_StateA_12_5Total_Respondent_Costs">
      <xsd:simpleType>
        <xsd:restriction base="dms:Currency"/>
      </xsd:simpleType>
    </xsd:element>
    <xsd:element name="OSC_StateA_12_5Type_of_Respondent" ma:index="52" nillable="true" ma:displayName="OSC_StateA_12_5Type_of_Respondent" ma:default="=&gt;Enter&lt;=" ma:internalName="OSC_StateA_12_5Type_of_Respondent">
      <xsd:simpleType>
        <xsd:restriction base="dms:Text">
          <xsd:maxLength value="255"/>
        </xsd:restriction>
      </xsd:simpleType>
    </xsd:element>
    <xsd:element name="OSC_StateA_12_6Average_Burden_per_Response_in_Hours" ma:index="53" nillable="true" ma:displayName="OSC_StateA_12_6Average_Burden_per_Response_in_Hours" ma:default="=&gt;20/60&lt;=" ma:internalName="OSC_StateA_12_6Average_Burden_per_Response_in_Hours">
      <xsd:simpleType>
        <xsd:restriction base="dms:Text">
          <xsd:maxLength value="255"/>
        </xsd:restriction>
      </xsd:simpleType>
    </xsd:element>
    <xsd:element name="OSC_StateA_12_6Hourly_Wage_Rate" ma:index="54" nillable="true" ma:displayName="OSC_StateA_12_6Hourly_Wage_Rate" ma:default="0" ma:internalName="OSC_StateA_12_6Hourly_Wage_Rate">
      <xsd:simpleType>
        <xsd:restriction base="dms:Text">
          <xsd:maxLength value="255"/>
        </xsd:restriction>
      </xsd:simpleType>
    </xsd:element>
    <xsd:element name="OSC_StateA_12_6Number_of_Respondents" ma:index="55" nillable="true" ma:displayName="OSC_StateA_12_6Number_of_Respondents" ma:decimals="0" ma:default="0" ma:internalName="OSC_StateA_12_6Number_of_Respondents" ma:percentage="FALSE">
      <xsd:simpleType>
        <xsd:restriction base="dms:Number"/>
      </xsd:simpleType>
    </xsd:element>
    <xsd:element name="OSC_StateA_12_6Number_of_Responses_per_Respondent" ma:index="56" nillable="true" ma:displayName="OSC_StateA_12_6Number_of_Responses_per_Respondent" ma:default="1" ma:internalName="OSC_StateA_12_6Number_of_Responses_per_Respondent">
      <xsd:simpleType>
        <xsd:restriction base="dms:Text">
          <xsd:maxLength value="255"/>
        </xsd:restriction>
      </xsd:simpleType>
    </xsd:element>
    <xsd:element name="OSC_StateA_12_6Total_Burden_Hours" ma:index="57" nillable="true" ma:displayName="OSC_StateA_12_6Total_Burden_Hours" ma:decimals="0" ma:default="0" ma:internalName="OSC_StateA_12_6Total_Burden_Hours" ma:percentage="FALSE">
      <xsd:simpleType>
        <xsd:restriction base="dms:Number"/>
      </xsd:simpleType>
    </xsd:element>
    <xsd:element name="OSC_StateA_12_6Total_Respondent_Costs" ma:index="58" nillable="true" ma:displayName="OSC_StateA_12_6Total_Respondent_Costs" ma:decimals="2" ma:default="0" ma:LCID="1033" ma:internalName="OSC_StateA_12_6Total_Respondent_Costs">
      <xsd:simpleType>
        <xsd:restriction base="dms:Currency"/>
      </xsd:simpleType>
    </xsd:element>
    <xsd:element name="OSC_StateA_12_6Type_of_Respondent" ma:index="59" nillable="true" ma:displayName="OSC_StateA_12_6Type_of_Respondent" ma:default="=&gt;Enter&lt;=" ma:internalName="OSC_StateA_12_6Type_of_Respondent">
      <xsd:simpleType>
        <xsd:restriction base="dms:Text">
          <xsd:maxLength value="255"/>
        </xsd:restriction>
      </xsd:simpleType>
    </xsd:element>
    <xsd:element name="OSC_StateA_12_7Average_Burden_per_Response_in_Hours" ma:index="60" nillable="true" ma:displayName="OSC_StateA_12_7Average_Burden_per_Response_in_Hours" ma:default="=&gt;20/60&lt;=" ma:internalName="OSC_StateA_12_7Average_Burden_per_Response_in_Hours">
      <xsd:simpleType>
        <xsd:restriction base="dms:Text">
          <xsd:maxLength value="255"/>
        </xsd:restriction>
      </xsd:simpleType>
    </xsd:element>
    <xsd:element name="OSC_StateA_12_7Hourly_Wage_Rate" ma:index="61" nillable="true" ma:displayName="OSC_StateA_12_7Hourly_Wage_Rate" ma:default="0" ma:internalName="OSC_StateA_12_7Hourly_Wage_Rate">
      <xsd:simpleType>
        <xsd:restriction base="dms:Text">
          <xsd:maxLength value="255"/>
        </xsd:restriction>
      </xsd:simpleType>
    </xsd:element>
    <xsd:element name="OSC_StateA_12_7Number_of_Respondents" ma:index="62" nillable="true" ma:displayName="OSC_StateA_12_7Number_of_Respondents" ma:decimals="0" ma:default="0" ma:internalName="OSC_StateA_12_7Number_of_Respondents" ma:percentage="FALSE">
      <xsd:simpleType>
        <xsd:restriction base="dms:Number"/>
      </xsd:simpleType>
    </xsd:element>
    <xsd:element name="OSC_StateA_12_7Number_of_Responses_per_Respondent" ma:index="63" nillable="true" ma:displayName="OSC_StateA_12_7Number_of_Responses_per_Respondent" ma:default="1" ma:internalName="OSC_StateA_12_7Number_of_Responses_per_Respondent">
      <xsd:simpleType>
        <xsd:restriction base="dms:Text">
          <xsd:maxLength value="255"/>
        </xsd:restriction>
      </xsd:simpleType>
    </xsd:element>
    <xsd:element name="OSC_StateA_12_7Total_Burden_Hours" ma:index="64" nillable="true" ma:displayName="OSC_StateA_12_7Total_Burden_Hours" ma:decimals="2" ma:default="0" ma:internalName="OSC_StateA_12_7Total_Burden_Hours" ma:percentage="FALSE">
      <xsd:simpleType>
        <xsd:restriction base="dms:Number"/>
      </xsd:simpleType>
    </xsd:element>
    <xsd:element name="OSC_StateA_12_7Total_Respondent_Costs" ma:index="65" nillable="true" ma:displayName="OSC_StateA_12_7Total_Respondent_Costs" ma:decimals="2" ma:default="0" ma:LCID="1033" ma:internalName="OSC_StateA_12_7Total_Respondent_Costs">
      <xsd:simpleType>
        <xsd:restriction base="dms:Currency"/>
      </xsd:simpleType>
    </xsd:element>
    <xsd:element name="OSC_StateA_12_7Type_of_Respondent" ma:index="66" nillable="true" ma:displayName="OSC_StateA_12_7Type_of_Respondent" ma:default="=&gt;Enter&lt;=" ma:internalName="OSC_StateA_12_7Type_of_Respondent">
      <xsd:simpleType>
        <xsd:restriction base="dms:Text">
          <xsd:maxLength value="255"/>
        </xsd:restriction>
      </xsd:simpleType>
    </xsd:element>
    <xsd:element name="OSC_StateA_12_8Average_Burden_per_Response_in_Hours" ma:index="67" nillable="true" ma:displayName="OSC_StateA_12_8Average_Burden_per_Response_in_Hours" ma:default="=&gt;20/60&lt;=" ma:internalName="OSC_StateA_12_8Average_Burden_per_Response_in_Hours">
      <xsd:simpleType>
        <xsd:restriction base="dms:Text">
          <xsd:maxLength value="255"/>
        </xsd:restriction>
      </xsd:simpleType>
    </xsd:element>
    <xsd:element name="OSC_StateA_12_8Hourly_Wage_Rate" ma:index="68" nillable="true" ma:displayName="OSC_StateA_12_8Hourly_Wage_Rate" ma:default="0" ma:internalName="OSC_StateA_12_8Hourly_Wage_Rate">
      <xsd:simpleType>
        <xsd:restriction base="dms:Text">
          <xsd:maxLength value="255"/>
        </xsd:restriction>
      </xsd:simpleType>
    </xsd:element>
    <xsd:element name="OSC_StateA_12_8Number_of_Respondents" ma:index="69" nillable="true" ma:displayName="OSC_StateA_12_8Number_of_Respondents" ma:decimals="0" ma:default="0" ma:internalName="OSC_StateA_12_8Number_of_Respondents" ma:percentage="FALSE">
      <xsd:simpleType>
        <xsd:restriction base="dms:Number"/>
      </xsd:simpleType>
    </xsd:element>
    <xsd:element name="OSC_StateA_12_8Number_of_Responses_per_Respondent" ma:index="70" nillable="true" ma:displayName="OSC_StateA_12_8Number_of_Responses_per_Respondent" ma:default="1" ma:internalName="OSC_StateA_12_8Number_of_Responses_per_Respondent">
      <xsd:simpleType>
        <xsd:restriction base="dms:Text">
          <xsd:maxLength value="255"/>
        </xsd:restriction>
      </xsd:simpleType>
    </xsd:element>
    <xsd:element name="OSC_StateA_12_8Total_Burden_Hours" ma:index="71" nillable="true" ma:displayName="OSC_StateA_12_8Total_Burden_Hours" ma:decimals="0" ma:default="0" ma:internalName="OSC_StateA_12_8Total_Burden_Hours" ma:percentage="FALSE">
      <xsd:simpleType>
        <xsd:restriction base="dms:Number"/>
      </xsd:simpleType>
    </xsd:element>
    <xsd:element name="OSC_StateA_12_8Total_Respondent_Costs" ma:index="72" nillable="true" ma:displayName="OSC_StateA_12_8Total_Respondent_Costs" ma:decimals="2" ma:default="0" ma:LCID="1033" ma:internalName="OSC_StateA_12_8Total_Respondent_Costs">
      <xsd:simpleType>
        <xsd:restriction base="dms:Currency"/>
      </xsd:simpleType>
    </xsd:element>
    <xsd:element name="OSC_StateA_12_8Type_of_Respondent" ma:index="73" nillable="true" ma:displayName="OSC_StateA_12_8Type_of_Respondent" ma:default="=&gt;Enter&lt;=" ma:internalName="OSC_StateA_12_8Type_of_Respondent">
      <xsd:simpleType>
        <xsd:restriction base="dms:Text">
          <xsd:maxLength value="255"/>
        </xsd:restriction>
      </xsd:simpleType>
    </xsd:element>
    <xsd:element name="OSC_StateA_12_9Average_Burden_per_Response_in_Hours" ma:index="74" nillable="true" ma:displayName="OSC_StateA_12_9Average_Burden_per_Response_in_Hours" ma:default="=&gt;20/60&lt;=" ma:internalName="OSC_StateA_12_9Average_Burden_per_Response_in_Hours">
      <xsd:simpleType>
        <xsd:restriction base="dms:Text">
          <xsd:maxLength value="255"/>
        </xsd:restriction>
      </xsd:simpleType>
    </xsd:element>
    <xsd:element name="OSC_StateA_12_9Hourly_Wage_Rate" ma:index="75" nillable="true" ma:displayName="OSC_StateA_12_9Hourly_Wage_Rate" ma:default="0" ma:internalName="OSC_StateA_12_9Hourly_Wage_Rate">
      <xsd:simpleType>
        <xsd:restriction base="dms:Text">
          <xsd:maxLength value="255"/>
        </xsd:restriction>
      </xsd:simpleType>
    </xsd:element>
    <xsd:element name="OSC_StateA_12_9Number_of_Respondents" ma:index="76" nillable="true" ma:displayName="OSC_StateA_12_9Number_of_Respondents" ma:decimals="0" ma:default="0" ma:internalName="OSC_StateA_12_9Number_of_Respondents" ma:percentage="FALSE">
      <xsd:simpleType>
        <xsd:restriction base="dms:Number"/>
      </xsd:simpleType>
    </xsd:element>
    <xsd:element name="OSC_StateA_12_9Number_of_Responses_per_Respondent" ma:index="77" nillable="true" ma:displayName="OSC_StateA_12_9Number_of_Responses_per_Respondent" ma:default="1" ma:internalName="OSC_StateA_12_9Number_of_Responses_per_Respondent">
      <xsd:simpleType>
        <xsd:restriction base="dms:Text">
          <xsd:maxLength value="255"/>
        </xsd:restriction>
      </xsd:simpleType>
    </xsd:element>
    <xsd:element name="OSC_StateA_12_9Total_Burden_Hours" ma:index="78" nillable="true" ma:displayName="OSC_StateA_12_9Total_Burden_Hours" ma:decimals="0" ma:default="0" ma:internalName="OSC_StateA_12_9Total_Burden_Hours" ma:percentage="FALSE">
      <xsd:simpleType>
        <xsd:restriction base="dms:Number"/>
      </xsd:simpleType>
    </xsd:element>
    <xsd:element name="OSC_StateA_12_9Total_Respondent_Costs" ma:index="79" nillable="true" ma:displayName="OSC_StateA_12_9Total_Respondent_Costs" ma:decimals="2" ma:default="0" ma:LCID="1033" ma:internalName="OSC_StateA_12_9Total_Respondent_Costs">
      <xsd:simpleType>
        <xsd:restriction base="dms:Currency"/>
      </xsd:simpleType>
    </xsd:element>
    <xsd:element name="OSC_StateA_12_9Type_of_Respondent" ma:index="80" nillable="true" ma:displayName="OSC_StateA_12_9Type_of_Respondent" ma:default="=&gt;Enter&lt;=" ma:internalName="OSC_StateA_12_9Type_of_Respondent">
      <xsd:simpleType>
        <xsd:restriction base="dms:Text">
          <xsd:maxLength value="255"/>
        </xsd:restriction>
      </xsd:simpleType>
    </xsd:element>
    <xsd:element name="OSC_StateA_12_Total_Number_of_Responses_per_Respondent" ma:index="81" nillable="true" ma:displayName="OSC_StateA_12_Total_Number_of_Responses_per_Respondent" ma:default="1" ma:internalName="OSC_StateA_12_Total_Number_of_Responses_per_Respondent">
      <xsd:simpleType>
        <xsd:restriction base="dms:Text">
          <xsd:maxLength value="255"/>
        </xsd:restriction>
      </xsd:simpleType>
    </xsd:element>
    <xsd:element name="OSC_StateA_12_Total_Total_Burden_Hours" ma:index="82" nillable="true" ma:displayName="OSC_StateA_12_Total_Total_Burden_Hours" ma:decimals="0" ma:default="0" ma:internalName="OSC_StateA_12_Total_Total_Burden_Hours" ma:percentage="FALSE">
      <xsd:simpleType>
        <xsd:restriction base="dms:Number"/>
      </xsd:simpleType>
    </xsd:element>
    <xsd:element name="OSC_StateA_12_Total_Total_Respondent_Costs" ma:index="83" nillable="true" ma:displayName="OSC_StateA_12_Total_Total_Respondent_Costs" ma:decimals="2" ma:default="0" ma:LCID="1033" ma:internalName="OSC_StateA_12_Total_Total_Respondent_Costs">
      <xsd:simpleType>
        <xsd:restriction base="dms:Currency"/>
      </xsd:simpleType>
    </xsd:element>
    <xsd:element name="OSC_StateA_14_10Average_Cost" ma:index="84" nillable="true" ma:displayName="OSC_StateA_14_10Average_Cost" ma:decimals="2" ma:default="0" ma:LCID="1033" ma:internalName="OSC_StateA_14_10Average_Cost">
      <xsd:simpleType>
        <xsd:restriction base="dms:Currency"/>
      </xsd:simpleType>
    </xsd:element>
    <xsd:element name="OSC_StateA_14_10Average_Hourly_Rate" ma:index="85" nillable="true" ma:displayName="OSC_StateA_14_10Average_Hourly_Rate" ma:default="0" ma:internalName="OSC_StateA_14_10Average_Hourly_Rate">
      <xsd:simpleType>
        <xsd:restriction base="dms:Text">
          <xsd:maxLength value="255"/>
        </xsd:restriction>
      </xsd:simpleType>
    </xsd:element>
    <xsd:element name="OSC_StateA_14_10Average_Hours_Per_Collection" ma:index="86" nillable="true" ma:displayName="OSC_StateA_14_10Average_Hours_Per_Collection" ma:default="0" ma:internalName="OSC_StateA_14_10Average_Hours_Per_Collection">
      <xsd:simpleType>
        <xsd:restriction base="dms:Text">
          <xsd:maxLength value="255"/>
        </xsd:restriction>
      </xsd:simpleType>
    </xsd:element>
    <xsd:element name="OSC_StateA_14_10Staff_FTE" ma:index="87" nillable="true" ma:displayName="OSC_StateA_14_10Staff_FTE" ma:default="=&gt;Enter&lt;=" ma:internalName="OSC_StateA_14_10Staff_FTE">
      <xsd:simpleType>
        <xsd:restriction base="dms:Text">
          <xsd:maxLength value="255"/>
        </xsd:restriction>
      </xsd:simpleType>
    </xsd:element>
    <xsd:element name="OSC_StateA_14_1Average_Cost" ma:index="88" nillable="true" ma:displayName="OSC_StateA_14_1Average_Cost" ma:decimals="2" ma:default="0" ma:LCID="1033" ma:internalName="OSC_StateA_14_1Average_Cost">
      <xsd:simpleType>
        <xsd:restriction base="dms:Currency"/>
      </xsd:simpleType>
    </xsd:element>
    <xsd:element name="OSC_StateA_14_1Average_Hourly_Rate" ma:index="89" nillable="true" ma:displayName="OSC_StateA_14_1Average_Hourly_Rate" ma:default="0" ma:internalName="OSC_StateA_14_1Average_Hourly_Rate">
      <xsd:simpleType>
        <xsd:restriction base="dms:Text">
          <xsd:maxLength value="255"/>
        </xsd:restriction>
      </xsd:simpleType>
    </xsd:element>
    <xsd:element name="OSC_StateA_14_1Average_Hours_Per_Collection" ma:index="90" nillable="true" ma:displayName="OSC_StateA_14_1Average_Hours_Per_Collection" ma:default="0" ma:internalName="OSC_StateA_14_1Average_Hours_Per_Collection">
      <xsd:simpleType>
        <xsd:restriction base="dms:Text">
          <xsd:maxLength value="255"/>
        </xsd:restriction>
      </xsd:simpleType>
    </xsd:element>
    <xsd:element name="OSC_StateA_14_1Staff_FTE" ma:index="91" nillable="true" ma:displayName="OSC_StateA_14_1Staff_FTE" ma:default="=&gt;Enter&lt;=" ma:internalName="OSC_StateA_14_1Staff_FTE">
      <xsd:simpleType>
        <xsd:restriction base="dms:Text">
          <xsd:maxLength value="255"/>
        </xsd:restriction>
      </xsd:simpleType>
    </xsd:element>
    <xsd:element name="OSC_StateA_14_2Average_Cost" ma:index="92" nillable="true" ma:displayName="OSC_StateA_14_2Average_Cost" ma:decimals="2" ma:default="0" ma:LCID="1033" ma:internalName="OSC_StateA_14_2Average_Cost">
      <xsd:simpleType>
        <xsd:restriction base="dms:Currency"/>
      </xsd:simpleType>
    </xsd:element>
    <xsd:element name="OSC_StateA_14_2Average_Hourly_Rate" ma:index="93" nillable="true" ma:displayName="OSC_StateA_14_2Average_Hourly_Rate" ma:default="0" ma:internalName="OSC_StateA_14_2Average_Hourly_Rate">
      <xsd:simpleType>
        <xsd:restriction base="dms:Text">
          <xsd:maxLength value="255"/>
        </xsd:restriction>
      </xsd:simpleType>
    </xsd:element>
    <xsd:element name="OSC_StateA_14_2Average_Hours_Per_Collection" ma:index="94" nillable="true" ma:displayName="OSC_StateA_14_2Average_Hours_Per_Collection" ma:default="0" ma:internalName="OSC_StateA_14_2Average_Hours_Per_Collection">
      <xsd:simpleType>
        <xsd:restriction base="dms:Text">
          <xsd:maxLength value="255"/>
        </xsd:restriction>
      </xsd:simpleType>
    </xsd:element>
    <xsd:element name="OSC_StateA_14_2Staff_FTE" ma:index="95" nillable="true" ma:displayName="OSC_StateA_14_2Staff_FTE" ma:default="=&gt;Enter&lt;=" ma:internalName="OSC_StateA_14_2Staff_FTE">
      <xsd:simpleType>
        <xsd:restriction base="dms:Text">
          <xsd:maxLength value="255"/>
        </xsd:restriction>
      </xsd:simpleType>
    </xsd:element>
    <xsd:element name="OSC_StateA_14_3Average_Cost" ma:index="96" nillable="true" ma:displayName="OSC_StateA_14_3Average_Cost" ma:decimals="2" ma:default="0" ma:LCID="1033" ma:internalName="OSC_StateA_14_3Average_Cost">
      <xsd:simpleType>
        <xsd:restriction base="dms:Currency"/>
      </xsd:simpleType>
    </xsd:element>
    <xsd:element name="OSC_StateA_14_3Average_Hourly_Rate" ma:index="97" nillable="true" ma:displayName="OSC_StateA_14_3Average_Hourly_Rate" ma:default="0" ma:internalName="OSC_StateA_14_3Average_Hourly_Rate">
      <xsd:simpleType>
        <xsd:restriction base="dms:Text">
          <xsd:maxLength value="255"/>
        </xsd:restriction>
      </xsd:simpleType>
    </xsd:element>
    <xsd:element name="OSC_StateA_14_3Average_Hours_Per_Collection" ma:index="98" nillable="true" ma:displayName="OSC_StateA_14_3Average_Hours_Per_Collection" ma:default="0" ma:internalName="OSC_StateA_14_3Average_Hours_Per_Collection">
      <xsd:simpleType>
        <xsd:restriction base="dms:Text">
          <xsd:maxLength value="255"/>
        </xsd:restriction>
      </xsd:simpleType>
    </xsd:element>
    <xsd:element name="OSC_StateA_14_3Staff_FTE" ma:index="99" nillable="true" ma:displayName="OSC_StateA_14_3Staff_FTE" ma:default="=&gt;Enter&lt;=" ma:internalName="OSC_StateA_14_3Staff_FTE">
      <xsd:simpleType>
        <xsd:restriction base="dms:Text">
          <xsd:maxLength value="255"/>
        </xsd:restriction>
      </xsd:simpleType>
    </xsd:element>
    <xsd:element name="OSC_StateA_14_4Average_Cost" ma:index="100" nillable="true" ma:displayName="OSC_StateA_14_4Average_Cost" ma:decimals="2" ma:default="0" ma:LCID="1033" ma:internalName="OSC_StateA_14_4Average_Cost">
      <xsd:simpleType>
        <xsd:restriction base="dms:Currency"/>
      </xsd:simpleType>
    </xsd:element>
    <xsd:element name="OSC_StateA_14_4Average_Hourly_Rate" ma:index="101" nillable="true" ma:displayName="OSC_StateA_14_4Average_Hourly_Rate" ma:default="0" ma:internalName="OSC_StateA_14_4Average_Hourly_Rate">
      <xsd:simpleType>
        <xsd:restriction base="dms:Text">
          <xsd:maxLength value="255"/>
        </xsd:restriction>
      </xsd:simpleType>
    </xsd:element>
    <xsd:element name="OSC_StateA_14_4Average_Hours_Per_Collection" ma:index="102" nillable="true" ma:displayName="OSC_StateA_14_4Average_Hours_Per_Collection" ma:default="0" ma:internalName="OSC_StateA_14_4Average_Hours_Per_Collection">
      <xsd:simpleType>
        <xsd:restriction base="dms:Text">
          <xsd:maxLength value="255"/>
        </xsd:restriction>
      </xsd:simpleType>
    </xsd:element>
    <xsd:element name="OSC_StateA_14_4Staff_FTE" ma:index="103" nillable="true" ma:displayName="OSC_StateA_14_4Staff_FTE" ma:default="=&gt;Enter&lt;=" ma:internalName="OSC_StateA_14_4Staff_FTE">
      <xsd:simpleType>
        <xsd:restriction base="dms:Text">
          <xsd:maxLength value="255"/>
        </xsd:restriction>
      </xsd:simpleType>
    </xsd:element>
    <xsd:element name="OSC_StateA_14_5Average_Cost" ma:index="104" nillable="true" ma:displayName="OSC_StateA_14_5Average_Cost" ma:decimals="2" ma:default="0" ma:LCID="1033" ma:internalName="OSC_StateA_14_5Average_Cost">
      <xsd:simpleType>
        <xsd:restriction base="dms:Currency"/>
      </xsd:simpleType>
    </xsd:element>
    <xsd:element name="OSC_StateA_14_5Average_Hourly_Rate" ma:index="105" nillable="true" ma:displayName="OSC_StateA_14_5Average_Hourly_Rate" ma:default="0" ma:internalName="OSC_StateA_14_5Average_Hourly_Rate">
      <xsd:simpleType>
        <xsd:restriction base="dms:Text">
          <xsd:maxLength value="255"/>
        </xsd:restriction>
      </xsd:simpleType>
    </xsd:element>
    <xsd:element name="OSC_StateA_14_5Average_Hours_Per_Collection" ma:index="106" nillable="true" ma:displayName="OSC_StateA_14_5Average_Hours_Per_Collection" ma:default="0" ma:internalName="OSC_StateA_14_5Average_Hours_Per_Collection">
      <xsd:simpleType>
        <xsd:restriction base="dms:Text">
          <xsd:maxLength value="255"/>
        </xsd:restriction>
      </xsd:simpleType>
    </xsd:element>
    <xsd:element name="OSC_StateA_14_5Staff_FTE" ma:index="107" nillable="true" ma:displayName="OSC_StateA_14_5Staff_FTE" ma:default="=&gt;Enter&lt;=" ma:internalName="OSC_StateA_14_5Staff_FTE">
      <xsd:simpleType>
        <xsd:restriction base="dms:Text">
          <xsd:maxLength value="255"/>
        </xsd:restriction>
      </xsd:simpleType>
    </xsd:element>
    <xsd:element name="OSC_StateA_14_6Average_Cost" ma:index="108" nillable="true" ma:displayName="OSC_StateA_14_6Average_Cost" ma:decimals="2" ma:default="0" ma:LCID="1033" ma:internalName="OSC_StateA_14_6Average_Cost">
      <xsd:simpleType>
        <xsd:restriction base="dms:Currency"/>
      </xsd:simpleType>
    </xsd:element>
    <xsd:element name="OSC_StateA_14_6Average_Hourly_Rate" ma:index="109" nillable="true" ma:displayName="OSC_StateA_14_6Average_Hourly_Rate" ma:default="0" ma:internalName="OSC_StateA_14_6Average_Hourly_Rate">
      <xsd:simpleType>
        <xsd:restriction base="dms:Text">
          <xsd:maxLength value="255"/>
        </xsd:restriction>
      </xsd:simpleType>
    </xsd:element>
    <xsd:element name="OSC_StateA_14_6Average_Hours_Per_Collection" ma:index="110" nillable="true" ma:displayName="OSC_StateA_14_6Average_Hours_Per_Collection" ma:default="0" ma:internalName="OSC_StateA_14_6Average_Hours_Per_Collection">
      <xsd:simpleType>
        <xsd:restriction base="dms:Text">
          <xsd:maxLength value="255"/>
        </xsd:restriction>
      </xsd:simpleType>
    </xsd:element>
    <xsd:element name="OSC_StateA_14_6Staff_FTE" ma:index="111" nillable="true" ma:displayName="OSC_StateA_14_6Staff_FTE" ma:default="=&gt;Enter&lt;=" ma:internalName="OSC_StateA_14_6Staff_FTE">
      <xsd:simpleType>
        <xsd:restriction base="dms:Text">
          <xsd:maxLength value="255"/>
        </xsd:restriction>
      </xsd:simpleType>
    </xsd:element>
    <xsd:element name="OSC_StateA_14_7Average_Cost" ma:index="112" nillable="true" ma:displayName="OSC_StateA_14_7Average_Cost" ma:decimals="2" ma:default="0" ma:LCID="1033" ma:internalName="OSC_StateA_14_7Average_Cost">
      <xsd:simpleType>
        <xsd:restriction base="dms:Currency"/>
      </xsd:simpleType>
    </xsd:element>
    <xsd:element name="OSC_StateA_14_7Average_Hourly_Rate" ma:index="113" nillable="true" ma:displayName="OSC_StateA_14_7Average_Hourly_Rate" ma:default="0" ma:internalName="OSC_StateA_14_7Average_Hourly_Rate">
      <xsd:simpleType>
        <xsd:restriction base="dms:Text">
          <xsd:maxLength value="255"/>
        </xsd:restriction>
      </xsd:simpleType>
    </xsd:element>
    <xsd:element name="OSC_StateA_14_7Average_Hours_Per_Collection" ma:index="114" nillable="true" ma:displayName="OSC_StateA_14_7Average_Hours_Per_Collection" ma:default="0" ma:internalName="OSC_StateA_14_7Average_Hours_Per_Collection">
      <xsd:simpleType>
        <xsd:restriction base="dms:Text">
          <xsd:maxLength value="255"/>
        </xsd:restriction>
      </xsd:simpleType>
    </xsd:element>
    <xsd:element name="OSC_StateA_14_7Staff_FTE" ma:index="115" nillable="true" ma:displayName="OSC_StateA_14_7Staff_FTE" ma:default="=&gt;Enter&lt;=" ma:internalName="OSC_StateA_14_7Staff_FTE">
      <xsd:simpleType>
        <xsd:restriction base="dms:Text">
          <xsd:maxLength value="255"/>
        </xsd:restriction>
      </xsd:simpleType>
    </xsd:element>
    <xsd:element name="OSC_StateA_14_8Average_Cost" ma:index="116" nillable="true" ma:displayName="OSC_StateA_14_8Average_Cost" ma:decimals="2" ma:default="0" ma:LCID="1033" ma:internalName="OSC_StateA_14_8Average_Cost">
      <xsd:simpleType>
        <xsd:restriction base="dms:Currency"/>
      </xsd:simpleType>
    </xsd:element>
    <xsd:element name="OSC_StateA_14_8Average_Hourly_Rate" ma:index="117" nillable="true" ma:displayName="OSC_StateA_14_8Average_Hourly_Rate" ma:default="0" ma:internalName="OSC_StateA_14_8Average_Hourly_Rate">
      <xsd:simpleType>
        <xsd:restriction base="dms:Text">
          <xsd:maxLength value="255"/>
        </xsd:restriction>
      </xsd:simpleType>
    </xsd:element>
    <xsd:element name="OSC_StateA_14_8Average_Hours_Per_Collection" ma:index="118" nillable="true" ma:displayName="OSC_StateA_14_8Average_Hours_Per_Collection" ma:default="0" ma:internalName="OSC_StateA_14_8Average_Hours_Per_Collection">
      <xsd:simpleType>
        <xsd:restriction base="dms:Text">
          <xsd:maxLength value="255"/>
        </xsd:restriction>
      </xsd:simpleType>
    </xsd:element>
    <xsd:element name="OSC_StateA_14_8Staff_FTE" ma:index="119" nillable="true" ma:displayName="OSC_StateA_14_8Staff_FTE" ma:default="=&gt;Enter&lt;=" ma:internalName="OSC_StateA_14_8Staff_FTE">
      <xsd:simpleType>
        <xsd:restriction base="dms:Text">
          <xsd:maxLength value="255"/>
        </xsd:restriction>
      </xsd:simpleType>
    </xsd:element>
    <xsd:element name="OSC_StateA_14_9Average_Cost" ma:index="120" nillable="true" ma:displayName="OSC_StateA_14_9Average_Cost" ma:decimals="2" ma:default="0" ma:LCID="1033" ma:internalName="OSC_StateA_14_9Average_Cost">
      <xsd:simpleType>
        <xsd:restriction base="dms:Currency"/>
      </xsd:simpleType>
    </xsd:element>
    <xsd:element name="OSC_StateA_14_9Average_Hourly_Rate" ma:index="121" nillable="true" ma:displayName="OSC_StateA_14_9Average_Hourly_Rate" ma:default="0" ma:internalName="OSC_StateA_14_9Average_Hourly_Rate">
      <xsd:simpleType>
        <xsd:restriction base="dms:Text">
          <xsd:maxLength value="255"/>
        </xsd:restriction>
      </xsd:simpleType>
    </xsd:element>
    <xsd:element name="OSC_StateA_14_9Average_Hours_Per_Collection" ma:index="122" nillable="true" ma:displayName="OSC_StateA_14_9Average_Hours_Per_Collection" ma:default="0" ma:internalName="OSC_StateA_14_9Average_Hours_Per_Collection">
      <xsd:simpleType>
        <xsd:restriction base="dms:Text">
          <xsd:maxLength value="255"/>
        </xsd:restriction>
      </xsd:simpleType>
    </xsd:element>
    <xsd:element name="OSC_StateA_14_9Staff_FTE" ma:index="123" nillable="true" ma:displayName="OSC_StateA_14_9Staff_FTE" ma:default="=&gt;Enter&lt;=" ma:internalName="OSC_StateA_14_9Staff_FTE">
      <xsd:simpleType>
        <xsd:restriction base="dms:Text">
          <xsd:maxLength value="255"/>
        </xsd:restriction>
      </xsd:simpleType>
    </xsd:element>
    <xsd:element name="OSC_StateA_14_Estimated_Total_Cost_of_Information_Collection" ma:index="124" nillable="true" ma:displayName="OSC_StateA_14_Estimated_Total_Cost_of_Information_Collection" ma:decimals="2" ma:default="0" ma:LCID="1033" ma:internalName="OSC_StateA_14_Estimated_Total_Cost_of_Information_Collection">
      <xsd:simpleType>
        <xsd:restriction base="dms:Currency"/>
      </xsd:simpleType>
    </xsd:element>
    <xsd:element name="OSC_StateA_Annualized_Cost_to_the_Government" ma:index="125" nillable="true" ma:displayName="OSC_StateA_Annualized_Cost_to_the_Government" ma:internalName="OSC_StateA_Annualized_Cost_to_the_Government">
      <xsd:simpleType>
        <xsd:restriction base="dms:Note"/>
      </xsd:simpleType>
    </xsd:element>
    <xsd:element name="OSC_StateA_Assurance_of_Confidentiality_Provided_to_Respondents" ma:index="126" nillable="true" ma:displayName="OSC_StateA_Assurance_of_Confidentiality_Provided_to_Respondents" ma:internalName="OSC_StateA_Assurance_of_Confidentiality_Provided_to_Respondents">
      <xsd:simpleType>
        <xsd:restriction base="dms:Note">
          <xsd:maxLength value="255"/>
        </xsd:restriction>
      </xsd:simpleType>
    </xsd:element>
    <xsd:element name="OSC_StateA_Background" ma:index="127" nillable="true" ma:displayName="OSC_StateA_Background" ma:internalName="OSC_StateA_Background">
      <xsd:simpleType>
        <xsd:restriction base="dms:Note">
          <xsd:maxLength value="255"/>
        </xsd:restriction>
      </xsd:simpleType>
    </xsd:element>
    <xsd:element name="OSC_StateA_Consequences_Collecting_Less_Frequently" ma:index="128" nillable="true" ma:displayName="OSC_StateA_Consequences_Collecting_Less_Frequently" ma:internalName="OSC_StateA_Consequences_Collecting_Less_Frequently">
      <xsd:simpleType>
        <xsd:restriction base="dms:Note">
          <xsd:maxLength value="255"/>
        </xsd:restriction>
      </xsd:simpleType>
    </xsd:element>
    <xsd:element name="OSC_StateA_Date_Submitted" ma:index="129" nillable="true" ma:displayName="OSC_StateA_Date_Submitted" ma:format="DateOnly" ma:internalName="OSC_StateA_Date_Submitted">
      <xsd:simpleType>
        <xsd:restriction base="dms:DateTime"/>
      </xsd:simpleType>
    </xsd:element>
    <xsd:element name="OSC_StateA_Estimate_Other_Total_Annual_Cost_Burden_to_Respond" ma:index="130" nillable="true" ma:displayName="OSC_StateA_Estimate_Other_Total_Annual_Cost_Burden_to_Respond" ma:internalName="OSC_StateA_Estimate_Other_Total_Annual_Cost_Burden_to_Respond">
      <xsd:simpleType>
        <xsd:restriction base="dms:Note">
          <xsd:maxLength value="255"/>
        </xsd:restriction>
      </xsd:simpleType>
    </xsd:element>
    <xsd:element name="OSC_StateA_Estimates_of_Annualized_Burden_Hours_and_Costs" ma:index="131" nillable="true" ma:displayName="OSC_StateA_Estimates_of_Annualized_Burden_Hours_and_Costs" ma:internalName="OSC_StateA_Estimates_of_Annualized_Burden_Hours_and_Costs">
      <xsd:simpleType>
        <xsd:restriction base="dms:Note">
          <xsd:maxLength value="255"/>
        </xsd:restriction>
      </xsd:simpleType>
    </xsd:element>
    <xsd:element name="OSC_StateA_Exceptions_Certification_Paperwork_Reduction_Act" ma:index="132" nillable="true" ma:displayName="OSC_StateA_Exceptions_Certification_Paperwork_Reduction_Act" ma:internalName="OSC_StateA_Exceptions_Certification_Paperwork_Reduction_Act">
      <xsd:simpleType>
        <xsd:restriction base="dms:Note">
          <xsd:maxLength value="255"/>
        </xsd:restriction>
      </xsd:simpleType>
    </xsd:element>
    <xsd:element name="OSC_StateA_Explanation_for_Program_Changes_or_Adjustments" ma:index="133" nillable="true" ma:displayName="OSC_StateA_Explanation_for_Program_Changes_or_Adjustments" ma:internalName="OSC_StateA_Explanation_for_Program_Changes_or_Adjustments">
      <xsd:simpleType>
        <xsd:restriction base="dms:Note">
          <xsd:maxLength value="255"/>
        </xsd:restriction>
      </xsd:simpleType>
    </xsd:element>
    <xsd:element name="OSC_StateA_Explanation_of_Any_Payment_or_Gift_to_Respondents" ma:index="134" nillable="true" ma:displayName="OSC_StateA_Explanation_of_Any_Payment_or_Gift_to_Respondents" ma:internalName="OSC_StateA_Explanation_of_Any_Payment_or_Gift_to_Respondents">
      <xsd:simpleType>
        <xsd:restriction base="dms:Note">
          <xsd:maxLength value="255"/>
        </xsd:restriction>
      </xsd:simpleType>
    </xsd:element>
    <xsd:element name="OSC_StateA_Identify_Duplication_Similar_Information" ma:index="135" nillable="true" ma:displayName="OSC_StateA_Identify_Duplication_Similar_Information" ma:internalName="OSC_StateA_Identify_Duplication_Similar_Information">
      <xsd:simpleType>
        <xsd:restriction base="dms:Note">
          <xsd:maxLength value="255"/>
        </xsd:restriction>
      </xsd:simpleType>
    </xsd:element>
    <xsd:element name="OSC_StateA_Impact_on_Small_Businesses_or_Other_Small_Entities" ma:index="136" nillable="true" ma:displayName="OSC_StateA_Impact_on_Small_Businesses_or_Other_Small_Entities" ma:internalName="OSC_StateA_Impact_on_Small_Businesses_or_Other_Small_Entities">
      <xsd:simpleType>
        <xsd:restriction base="dms:Note">
          <xsd:maxLength value="255"/>
        </xsd:restriction>
      </xsd:simpleType>
    </xsd:element>
    <xsd:element name="OSC_StateA_Improved_Information_Technology_and_Burden_Reduction" ma:index="137" nillable="true" ma:displayName="OSC_StateA_Improved_Information_Technology_and_Burden_Reduction" ma:internalName="OSC_StateA_Improved_Information_Technology_and_Burden_Reduction">
      <xsd:simpleType>
        <xsd:restriction base="dms:Note">
          <xsd:maxLength value="255"/>
        </xsd:restriction>
      </xsd:simpleType>
    </xsd:element>
    <xsd:element name="OSC_StateA_Items_to_be_collected" ma:index="138" nillable="true" ma:displayName="OSC_StateA_Items_to_be_collected" ma:internalName="OSC_StateA_Items_to_be_collected">
      <xsd:simpleType>
        <xsd:restriction base="dms:Note">
          <xsd:maxLength value="255"/>
        </xsd:restriction>
      </xsd:simpleType>
    </xsd:element>
    <xsd:element name="OSC_StateA_Justification_for_Sensitive_Questions" ma:index="139" nillable="true" ma:displayName="OSC_StateA_Justification_for_Sensitive_Questions" ma:internalName="OSC_StateA_Justification_for_Sensitive_Questions">
      <xsd:simpleType>
        <xsd:restriction base="dms:Note">
          <xsd:maxLength value="255"/>
        </xsd:restriction>
      </xsd:simpleType>
    </xsd:element>
    <xsd:element name="OSC_StateA_List_Of_Attachments" ma:index="140" nillable="true" ma:displayName="OSC_StateA_List_Of_Attachments" ma:internalName="OSC_StateA_List_Of_Attachments">
      <xsd:simpleType>
        <xsd:restriction base="dms:Note">
          <xsd:maxLength value="255"/>
        </xsd:restriction>
      </xsd:simpleType>
    </xsd:element>
    <xsd:element name="OSC_StateA_Overview_Of_Data_Collection_System" ma:index="141" nillable="true" ma:displayName="OSC_StateA_Overview_Of_Data_Collection_System" ma:internalName="OSC_StateA_Overview_Of_Data_Collection_System">
      <xsd:simpleType>
        <xsd:restriction base="dms:Note">
          <xsd:maxLength value="255"/>
        </xsd:restriction>
      </xsd:simpleType>
    </xsd:element>
    <xsd:element name="OSC_StateA_Purpose_and_Use" ma:index="142" nillable="true" ma:displayName="OSC_StateA_Purpose_and_Use" ma:internalName="OSC_StateA_Purpose_and_Use">
      <xsd:simpleType>
        <xsd:restriction base="dms:Note">
          <xsd:maxLength value="255"/>
        </xsd:restriction>
      </xsd:simpleType>
    </xsd:element>
    <xsd:element name="OSC_StateA_Reason_Display_OMB_Expiration_Date_is_Inappropriate" ma:index="143" nillable="true" ma:displayName="OSC_StateA_Reason_Display_OMB_Expiration_Date_is_Inappropriate" ma:internalName="OSC_StateA_Reason_Display_OMB_Expiration_Date_is_Inappropriate">
      <xsd:simpleType>
        <xsd:restriction base="dms:Note">
          <xsd:maxLength value="255"/>
        </xsd:restriction>
      </xsd:simpleType>
    </xsd:element>
    <xsd:element name="OSC_StateA_Response_to_the_Federal_Register_Notice_and_Efforts" ma:index="144" nillable="true" ma:displayName="OSC_StateA_Response_to_the_Federal_Register_Notice_and_Efforts" ma:internalName="OSC_StateA_Response_to_the_Federal_Register_Notice_and_Efforts">
      <xsd:simpleType>
        <xsd:restriction base="dms:Note">
          <xsd:maxLength value="255"/>
        </xsd:restriction>
      </xsd:simpleType>
    </xsd:element>
    <xsd:element name="OSC_StateA_Tabulation_and_Publication_and_Project_Time_Schedule" ma:index="145" nillable="true" ma:displayName="OSC_StateA_Tabulation_and_Publication_and_Project_Time_Schedule" ma:internalName="OSC_StateA_Tabulation_and_Publication_and_Project_Time_Schedule">
      <xsd:simpleType>
        <xsd:restriction base="dms:Note">
          <xsd:maxLength value="255"/>
        </xsd:restriction>
      </xsd:simpleType>
    </xsd:element>
    <xsd:element name="OSC_StateA_Websites_Directed_at_Children" ma:index="146" nillable="true" ma:displayName="OSC_StateA_Websites_Directed_at_Children" ma:internalName="OSC_StateA_Websites_Directed_at_Children">
      <xsd:simpleType>
        <xsd:restriction base="dms:Note">
          <xsd:maxLength value="255"/>
        </xsd:restriction>
      </xsd:simpleType>
    </xsd:element>
    <xsd:element name="GenICPIBranchOROfficeTitle" ma:index="148" nillable="true" ma:displayName="GenIC PI Branch OR Office Title" ma:default="=&gt;Enter branch or office title&lt;=" ma:internalName="GenICPIBranchOROfficeTitle">
      <xsd:simpleType>
        <xsd:restriction base="dms:Text">
          <xsd:maxLength value="255"/>
        </xsd:restriction>
      </xsd:simpleType>
    </xsd:element>
    <xsd:element name="GenICPICDCID" ma:index="149" nillable="true" ma:displayName="GenIC PI CDC ID" ma:description="" ma:internalName="GenICPICDCID">
      <xsd:simpleType>
        <xsd:restriction base="dms:Text">
          <xsd:maxLength value="255"/>
        </xsd:restriction>
      </xsd:simpleType>
    </xsd:element>
    <xsd:element name="GenICPICenterDivisionBranch" ma:index="150" nillable="true" ma:displayName="GenIC PI Center Division Branch" ma:description="" ma:internalName="GenICPICenterDivisionBranch">
      <xsd:simpleType>
        <xsd:restriction base="dms:Text">
          <xsd:maxLength value="255"/>
        </xsd:restriction>
      </xsd:simpleType>
    </xsd:element>
    <xsd:element name="GenICPICIO" ma:index="151" nillable="true" ma:displayName="GenIC PI CIO" ma:internalName="GenICPICIO">
      <xsd:simpleType>
        <xsd:restriction base="dms:Text">
          <xsd:maxLength value="255"/>
        </xsd:restriction>
      </xsd:simpleType>
    </xsd:element>
    <xsd:element name="GenICPIDivisionOROfficeTitle" ma:index="152" nillable="true" ma:displayName="GenIC PI Division OR Office Title" ma:default="=&gt;Enter division or office title&lt;=" ma:internalName="GenICPIDivisionOROfficeTitle">
      <xsd:simpleType>
        <xsd:restriction base="dms:Text">
          <xsd:maxLength value="255"/>
        </xsd:restriction>
      </xsd:simpleType>
    </xsd:element>
    <xsd:element name="GenICPIEmail" ma:index="153" nillable="true" ma:displayName="GenIC PI Email" ma:default="=&gt;Enter work email&lt;=" ma:description="" ma:internalName="GenICPIEmail">
      <xsd:simpleType>
        <xsd:restriction base="dms:Text">
          <xsd:maxLength value="255"/>
        </xsd:restriction>
      </xsd:simpleType>
    </xsd:element>
    <xsd:element name="GenICPIFax" ma:index="154" nillable="true" ma:displayName="GenIC PI Fax" ma:default="=&gt;###-###-####&lt;=" ma:internalName="GenICPIFax">
      <xsd:simpleType>
        <xsd:restriction base="dms:Text">
          <xsd:maxLength value="255"/>
        </xsd:restriction>
      </xsd:simpleType>
    </xsd:element>
    <xsd:element name="GenICPIName" ma:index="155" nillable="true" ma:displayName="GenIC PI Name" ma:default="=&gt;Enter full name and credentials&lt;=" ma:description="" ma:internalName="GenICPIName">
      <xsd:simpleType>
        <xsd:restriction base="dms:Text">
          <xsd:maxLength value="255"/>
        </xsd:restriction>
      </xsd:simpleType>
    </xsd:element>
    <xsd:element name="GenICPIPhone" ma:index="156" nillable="true" ma:displayName="GenIC PI Phone" ma:default="=&gt;###-###-####&lt;=" ma:description="" ma:internalName="GenICPIPhone">
      <xsd:simpleType>
        <xsd:restriction base="dms:Text">
          <xsd:maxLength value="255"/>
        </xsd:restriction>
      </xsd:simpleType>
    </xsd:element>
    <xsd:element name="GenICPITitle" ma:index="157" nillable="true" ma:displayName="GenIC PI Title" ma:default="=&gt;Enter official CDC title&lt;=" ma:internalName="GenICPITitle">
      <xsd:simpleType>
        <xsd:restriction base="dms:Text">
          <xsd:maxLength value="255"/>
        </xsd:restriction>
      </xsd:simpleType>
    </xsd:element>
    <xsd:element name="GenICPIWorkMailingAddress" ma:index="158" nillable="true" ma:displayName="GenIC PI Work Mailing Address" ma:default="=&gt;Enter work mailing address&lt;=" ma:internalName="GenICPIWorkMailingAddres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b1c282-9287-45cb-9b41-eae3a76919a0" elementFormDefault="qualified">
    <xsd:import namespace="http://schemas.microsoft.com/office/2006/documentManagement/types"/>
    <xsd:import namespace="http://schemas.microsoft.com/office/infopath/2007/PartnerControls"/>
    <xsd:element name="GenICNickname" ma:index="147" nillable="true" ma:displayName="GenIC Nickname" ma:internalName="GenICNickname">
      <xsd:simpleType>
        <xsd:restriction base="dms:Text">
          <xsd:maxLength value="255"/>
        </xsd:restriction>
      </xsd:simpleType>
    </xsd:element>
    <xsd:element name="GenICTitle" ma:index="159" nillable="true" ma:displayName="GenIC Title" ma:default="=&gt;Enter short but descriptive title reflecting the purpose of the data collection. &lt;=" ma:internalName="GenICTitl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e849d94-b00b-4457-8fdf-7e9e81e05b5e" elementFormDefault="qualified">
    <xsd:import namespace="http://schemas.microsoft.com/office/2006/documentManagement/types"/>
    <xsd:import namespace="http://schemas.microsoft.com/office/infopath/2007/PartnerControls"/>
    <xsd:element name="OSC_StateA_12_Total_Number_of_Respondents" ma:index="160" nillable="true" ma:displayName="OSC_StateA_12_Total_Number_of_Respondents" ma:decimals="0" ma:default="0" ma:internalName="OSC_StateA_12_Total_Number_of_Respondents">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ntns:customXsn xmlns:ntns="http://schemas.microsoft.com/office/2006/metadata/customXsn">
  <ntns:xsnLocation>http://esp.cdc.gov/sites/ostlts/pip/osc/StatementA/Forms/Document/f1a9b05ff230bd57customXsn.xsn</ntns:xsnLocation>
  <ntns:cached>False</ntns:cached>
  <ntns:openByDefault>False</ntns:openByDefault>
  <ntns:xsnScope>http://esp.cdc.gov/sites/ostlts/pip/osc/StatementA</ntns:xsnScope>
</ntns:customXs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OSC_StateA_12_10Total_Respondent_Costs xmlns="bd99c180-279b-44c3-9486-dd050336677e">0</OSC_StateA_12_10Total_Respondent_Costs>
    <OSC_StateA_12_2Number_of_Respondents xmlns="bd99c180-279b-44c3-9486-dd050336677e">0</OSC_StateA_12_2Number_of_Respondents>
    <OSC_StateA_12_6Average_Burden_per_Response_in_Hours xmlns="bd99c180-279b-44c3-9486-dd050336677e">=&gt;20/60&lt;=</OSC_StateA_12_6Average_Burden_per_Response_in_Hours>
    <OSC_StateA_12_9Total_Respondent_Costs xmlns="bd99c180-279b-44c3-9486-dd050336677e">0</OSC_StateA_12_9Total_Respondent_Costs>
    <OSC_StateA_14_10Average_Hourly_Rate xmlns="bd99c180-279b-44c3-9486-dd050336677e">0</OSC_StateA_14_10Average_Hourly_Rate>
    <OSC_StateA_14_2Staff_FTE xmlns="bd99c180-279b-44c3-9486-dd050336677e">=&gt;Enter&lt;=</OSC_StateA_14_2Staff_FTE>
    <OSC_StateA_14_5Average_Hourly_Rate xmlns="bd99c180-279b-44c3-9486-dd050336677e">0</OSC_StateA_14_5Average_Hourly_Rate>
    <OSC_StateA_14_8Average_Cost xmlns="bd99c180-279b-44c3-9486-dd050336677e">0</OSC_StateA_14_8Average_Cost>
    <GenICPIEmail xmlns="bd99c180-279b-44c3-9486-dd050336677e">=&gt;Enter work email&lt;=</GenICPIEmail>
    <OSC_StateA_12_Total_Number_of_Respondents xmlns="ce849d94-b00b-4457-8fdf-7e9e81e05b5e">0</OSC_StateA_12_Total_Number_of_Respondents>
    <OSC_StateA_12_10Average_Burden_per_Response_in_Hours xmlns="bd99c180-279b-44c3-9486-dd050336677e">=&gt;20/60&lt;=</OSC_StateA_12_10Average_Burden_per_Response_in_Hours>
    <OSC_StateA_12_10Type_of_Respondent xmlns="bd99c180-279b-44c3-9486-dd050336677e">=&gt;Enter&lt;=</OSC_StateA_12_10Type_of_Respondent>
    <OSC_StateA_12_3Number_of_Respondents xmlns="bd99c180-279b-44c3-9486-dd050336677e">0</OSC_StateA_12_3Number_of_Respondents>
    <OSC_StateA_12_7Average_Burden_per_Response_in_Hours xmlns="bd99c180-279b-44c3-9486-dd050336677e">=&gt;20/60&lt;=</OSC_StateA_12_7Average_Burden_per_Response_in_Hours>
    <OSC_StateA_12_8Total_Respondent_Costs xmlns="bd99c180-279b-44c3-9486-dd050336677e">0</OSC_StateA_12_8Total_Respondent_Costs>
    <OSC_StateA_14_3Staff_FTE xmlns="bd99c180-279b-44c3-9486-dd050336677e">=&gt;Enter&lt;=</OSC_StateA_14_3Staff_FTE>
    <OSC_StateA_14_4Average_Hourly_Rate xmlns="bd99c180-279b-44c3-9486-dd050336677e">0</OSC_StateA_14_4Average_Hourly_Rate>
    <OSC_StateA_14_9Average_Cost xmlns="bd99c180-279b-44c3-9486-dd050336677e">0</OSC_StateA_14_9Average_Cost>
    <OSC_StateA_12_4Average_Burden_per_Response_in_Hours xmlns="bd99c180-279b-44c3-9486-dd050336677e">=&gt;20/60&lt;=</OSC_StateA_12_4Average_Burden_per_Response_in_Hours>
    <OSC_StateA_12_9Type_of_Respondent xmlns="bd99c180-279b-44c3-9486-dd050336677e">=&gt;Enter&lt;=</OSC_StateA_12_9Type_of_Respondent>
    <OSC_StateA_14_7Average_Hourly_Rate xmlns="bd99c180-279b-44c3-9486-dd050336677e">0</OSC_StateA_14_7Average_Hourly_Rate>
    <OSC_StateA_Tabulation_and_Publication_and_Project_Time_Schedule xmlns="bd99c180-279b-44c3-9486-dd050336677e" xsi:nil="true"/>
    <OSC_StateA_12_10Number_of_Responses_per_Respondent xmlns="bd99c180-279b-44c3-9486-dd050336677e">1</OSC_StateA_12_10Number_of_Responses_per_Respondent>
    <OSC_StateA_12_1Number_of_Respondents xmlns="bd99c180-279b-44c3-9486-dd050336677e">0</OSC_StateA_12_1Number_of_Respondents>
    <OSC_StateA_12_5Average_Burden_per_Response_in_Hours xmlns="bd99c180-279b-44c3-9486-dd050336677e">=&gt;20/60&lt;=</OSC_StateA_12_5Average_Burden_per_Response_in_Hours>
    <OSC_StateA_12_8Type_of_Respondent xmlns="bd99c180-279b-44c3-9486-dd050336677e">=&gt;Enter&lt;=</OSC_StateA_12_8Type_of_Respondent>
    <OSC_StateA_14_1Staff_FTE xmlns="bd99c180-279b-44c3-9486-dd050336677e">=&gt;Enter&lt;=</OSC_StateA_14_1Staff_FTE>
    <OSC_StateA_14_6Average_Hourly_Rate xmlns="bd99c180-279b-44c3-9486-dd050336677e">0</OSC_StateA_14_6Average_Hourly_Rate>
    <OSC_StateA_Overview_Of_Data_Collection_System xmlns="bd99c180-279b-44c3-9486-dd050336677e" xsi:nil="true"/>
    <OSC_StateA_12_9Number_of_Responses_per_Respondent xmlns="bd99c180-279b-44c3-9486-dd050336677e">1</OSC_StateA_12_9Number_of_Responses_per_Respondent>
    <OSC_StateA_14_4Average_Hours_Per_Collection xmlns="bd99c180-279b-44c3-9486-dd050336677e">0</OSC_StateA_14_4Average_Hours_Per_Collection>
    <GenICPICenterDivisionBranch xmlns="bd99c180-279b-44c3-9486-dd050336677e" xsi:nil="true"/>
    <GenICPIWorkMailingAddress xmlns="bd99c180-279b-44c3-9486-dd050336677e">=&gt;Enter work mailing address&lt;=</GenICPIWorkMailingAddress>
    <OSC_StateA_12_8Number_of_Responses_per_Respondent xmlns="bd99c180-279b-44c3-9486-dd050336677e">1</OSC_StateA_12_8Number_of_Responses_per_Respondent>
    <OSC_StateA_14_5Average_Hours_Per_Collection xmlns="bd99c180-279b-44c3-9486-dd050336677e">0</OSC_StateA_14_5Average_Hours_Per_Collection>
    <OSC_StateA_Identify_Duplication_Similar_Information xmlns="bd99c180-279b-44c3-9486-dd050336677e" xsi:nil="true"/>
    <OSC_StateA_Justification_for_Sensitive_Questions xmlns="bd99c180-279b-44c3-9486-dd050336677e" xsi:nil="true"/>
    <GenICPICDCID xmlns="bd99c180-279b-44c3-9486-dd050336677e" xsi:nil="true"/>
    <OSC_StateA_12_8Average_Burden_per_Response_in_Hours xmlns="bd99c180-279b-44c3-9486-dd050336677e">=&gt;20/60&lt;=</OSC_StateA_12_8Average_Burden_per_Response_in_Hours>
    <OSC_StateA_14_6Average_Hours_Per_Collection xmlns="bd99c180-279b-44c3-9486-dd050336677e">0</OSC_StateA_14_6Average_Hours_Per_Collection>
    <OSC_StateA_Assurance_of_Confidentiality_Provided_to_Respondents xmlns="bd99c180-279b-44c3-9486-dd050336677e" xsi:nil="true"/>
    <OSC_StateA_Consequences_Collecting_Less_Frequently xmlns="bd99c180-279b-44c3-9486-dd050336677e" xsi:nil="true"/>
    <OSC_StateA_List_Of_Attachments xmlns="bd99c180-279b-44c3-9486-dd050336677e" xsi:nil="true"/>
    <GenICNickname xmlns="15b1c282-9287-45cb-9b41-eae3a76919a0" xsi:nil="true"/>
    <OSC_StateA_12_10Total_Burden_Hours xmlns="bd99c180-279b-44c3-9486-dd050336677e">0</OSC_StateA_12_10Total_Burden_Hours>
    <OSC_StateA_12_9Average_Burden_per_Response_in_Hours xmlns="bd99c180-279b-44c3-9486-dd050336677e">=&gt;20/60&lt;=</OSC_StateA_12_9Average_Burden_per_Response_in_Hours>
    <OSC_StateA_14_10Average_Hours_Per_Collection xmlns="bd99c180-279b-44c3-9486-dd050336677e">0</OSC_StateA_14_10Average_Hours_Per_Collection>
    <OSC_StateA_14_7Average_Hours_Per_Collection xmlns="bd99c180-279b-44c3-9486-dd050336677e">0</OSC_StateA_14_7Average_Hours_Per_Collection>
    <OSC_StateA_Date_Submitted xmlns="bd99c180-279b-44c3-9486-dd050336677e" xsi:nil="true"/>
    <OSC_StateA_12_10Number_of_Respondents xmlns="bd99c180-279b-44c3-9486-dd050336677e">0</OSC_StateA_12_10Number_of_Respondents>
    <OSC_StateA_12_1Total_Burden_Hours xmlns="bd99c180-279b-44c3-9486-dd050336677e">0</OSC_StateA_12_1Total_Burden_Hours>
    <OSC_StateA_12_1Total_Respondent_Costs xmlns="bd99c180-279b-44c3-9486-dd050336677e">0</OSC_StateA_12_1Total_Respondent_Costs>
    <OSC_StateA_12_7Type_of_Respondent xmlns="bd99c180-279b-44c3-9486-dd050336677e">=&gt;Enter&lt;=</OSC_StateA_12_7Type_of_Respondent>
    <OSC_StateA_14_9Average_Hourly_Rate xmlns="bd99c180-279b-44c3-9486-dd050336677e">0</OSC_StateA_14_9Average_Hourly_Rate>
    <OSC_StateA_14_Estimated_Total_Cost_of_Information_Collection xmlns="bd99c180-279b-44c3-9486-dd050336677e">0</OSC_StateA_14_Estimated_Total_Cost_of_Information_Collection>
    <OSC_StateA_Reason_Display_OMB_Expiration_Date_is_Inappropriate xmlns="bd99c180-279b-44c3-9486-dd050336677e" xsi:nil="true"/>
    <GenICPIName xmlns="bd99c180-279b-44c3-9486-dd050336677e">=&gt;Enter full name and credentials&lt;=</GenICPIName>
    <OSC_StateA_12_6Type_of_Respondent xmlns="bd99c180-279b-44c3-9486-dd050336677e">=&gt;Enter&lt;=</OSC_StateA_12_6Type_of_Respondent>
    <OSC_StateA_12_Total_Total_Respondent_Costs xmlns="bd99c180-279b-44c3-9486-dd050336677e">0</OSC_StateA_12_Total_Total_Respondent_Costs>
    <OSC_StateA_14_1Average_Hours_Per_Collection xmlns="bd99c180-279b-44c3-9486-dd050336677e">0</OSC_StateA_14_1Average_Hours_Per_Collection>
    <OSC_StateA_14_8Average_Hourly_Rate xmlns="bd99c180-279b-44c3-9486-dd050336677e">0</OSC_StateA_14_8Average_Hourly_Rate>
    <GenICPICIO xmlns="bd99c180-279b-44c3-9486-dd050336677e" xsi:nil="true"/>
    <GenICTitle xmlns="15b1c282-9287-45cb-9b41-eae3a76919a0">=&gt;Enter short but descriptive title reflecting the purpose of the data collection. &lt;=</GenICTitle>
    <OSC_StateA_12_3Total_Burden_Hours xmlns="bd99c180-279b-44c3-9486-dd050336677e">0</OSC_StateA_12_3Total_Burden_Hours>
    <OSC_StateA_12_3Total_Respondent_Costs xmlns="bd99c180-279b-44c3-9486-dd050336677e">0</OSC_StateA_12_3Total_Respondent_Costs>
    <OSC_StateA_12_5Type_of_Respondent xmlns="bd99c180-279b-44c3-9486-dd050336677e">=&gt;Enter&lt;=</OSC_StateA_12_5Type_of_Respondent>
    <OSC_StateA_12_8Hourly_Wage_Rate xmlns="bd99c180-279b-44c3-9486-dd050336677e">0</OSC_StateA_12_8Hourly_Wage_Rate>
    <OSC_StateA_12_Total_Number_of_Responses_per_Respondent xmlns="bd99c180-279b-44c3-9486-dd050336677e">1</OSC_StateA_12_Total_Number_of_Responses_per_Respondent>
    <OSC_StateA_14_2Average_Hours_Per_Collection xmlns="bd99c180-279b-44c3-9486-dd050336677e">0</OSC_StateA_14_2Average_Hours_Per_Collection>
    <OSC_StateA_Background xmlns="bd99c180-279b-44c3-9486-dd050336677e" xsi:nil="true"/>
    <OSC_StateA_Estimates_of_Annualized_Burden_Hours_and_Costs xmlns="bd99c180-279b-44c3-9486-dd050336677e" xsi:nil="true"/>
    <OSC_StateA_Items_to_be_collected xmlns="bd99c180-279b-44c3-9486-dd050336677e" xsi:nil="true"/>
    <OSC_StateA_12_2Total_Burden_Hours xmlns="bd99c180-279b-44c3-9486-dd050336677e">0</OSC_StateA_12_2Total_Burden_Hours>
    <OSC_StateA_12_2Total_Respondent_Costs xmlns="bd99c180-279b-44c3-9486-dd050336677e">0</OSC_StateA_12_2Total_Respondent_Costs>
    <OSC_StateA_12_4Type_of_Respondent xmlns="bd99c180-279b-44c3-9486-dd050336677e">=&gt;Enter&lt;=</OSC_StateA_12_4Type_of_Respondent>
    <OSC_StateA_12_9Hourly_Wage_Rate xmlns="bd99c180-279b-44c3-9486-dd050336677e">0</OSC_StateA_12_9Hourly_Wage_Rate>
    <OSC_StateA_14_3Average_Hours_Per_Collection xmlns="bd99c180-279b-44c3-9486-dd050336677e">0</OSC_StateA_14_3Average_Hours_Per_Collection>
    <OSC_StateA_Explanation_of_Any_Payment_or_Gift_to_Respondents xmlns="bd99c180-279b-44c3-9486-dd050336677e" xsi:nil="true"/>
    <OSC_StateA_12_3Type_of_Respondent xmlns="bd99c180-279b-44c3-9486-dd050336677e">=&gt;Enter&lt;=</OSC_StateA_12_3Type_of_Respondent>
    <OSC_StateA_12_5Number_of_Responses_per_Respondent xmlns="bd99c180-279b-44c3-9486-dd050336677e">1</OSC_StateA_12_5Number_of_Responses_per_Respondent>
    <OSC_StateA_12_5Total_Burden_Hours xmlns="bd99c180-279b-44c3-9486-dd050336677e">0</OSC_StateA_12_5Total_Burden_Hours>
    <OSC_StateA_12_5Total_Respondent_Costs xmlns="bd99c180-279b-44c3-9486-dd050336677e">0</OSC_StateA_12_5Total_Respondent_Costs>
    <OSC_StateA_12_6Hourly_Wage_Rate xmlns="bd99c180-279b-44c3-9486-dd050336677e">0</OSC_StateA_12_6Hourly_Wage_Rate>
    <OSC_StateA_Improved_Information_Technology_and_Burden_Reduction xmlns="bd99c180-279b-44c3-9486-dd050336677e" xsi:nil="true"/>
    <OSC_StateA_12_2Type_of_Respondent xmlns="bd99c180-279b-44c3-9486-dd050336677e">=&gt;Enter&lt;=</OSC_StateA_12_2Type_of_Respondent>
    <OSC_StateA_12_4Number_of_Responses_per_Respondent xmlns="bd99c180-279b-44c3-9486-dd050336677e">1</OSC_StateA_12_4Number_of_Responses_per_Respondent>
    <OSC_StateA_12_4Total_Burden_Hours xmlns="bd99c180-279b-44c3-9486-dd050336677e">0</OSC_StateA_12_4Total_Burden_Hours>
    <OSC_StateA_12_4Total_Respondent_Costs xmlns="bd99c180-279b-44c3-9486-dd050336677e">0</OSC_StateA_12_4Total_Respondent_Costs>
    <OSC_StateA_12_7Hourly_Wage_Rate xmlns="bd99c180-279b-44c3-9486-dd050336677e">0</OSC_StateA_12_7Hourly_Wage_Rate>
    <OSC_StateA_14_10Staff_FTE xmlns="bd99c180-279b-44c3-9486-dd050336677e">=&gt;Enter&lt;=</OSC_StateA_14_10Staff_FTE>
    <OSC_StateA_14_1Average_Cost xmlns="bd99c180-279b-44c3-9486-dd050336677e">0</OSC_StateA_14_1Average_Cost>
    <OSC_StateA_Estimate_Other_Total_Annual_Cost_Burden_to_Respond xmlns="bd99c180-279b-44c3-9486-dd050336677e" xsi:nil="true"/>
    <GenICPITitle xmlns="bd99c180-279b-44c3-9486-dd050336677e">=&gt;Enter official CDC title&lt;=</GenICPITitle>
    <OSC_StateA_12_1Type_of_Respondent xmlns="bd99c180-279b-44c3-9486-dd050336677e">=&gt;Enter&lt;=</OSC_StateA_12_1Type_of_Respondent>
    <OSC_StateA_12_4Hourly_Wage_Rate xmlns="bd99c180-279b-44c3-9486-dd050336677e">0</OSC_StateA_12_4Hourly_Wage_Rate>
    <OSC_StateA_12_7Number_of_Responses_per_Respondent xmlns="bd99c180-279b-44c3-9486-dd050336677e">1</OSC_StateA_12_7Number_of_Responses_per_Respondent>
    <OSC_StateA_12_7Total_Burden_Hours xmlns="bd99c180-279b-44c3-9486-dd050336677e">0</OSC_StateA_12_7Total_Burden_Hours>
    <OSC_StateA_12_7Total_Respondent_Costs xmlns="bd99c180-279b-44c3-9486-dd050336677e">0</OSC_StateA_12_7Total_Respondent_Costs>
    <OSC_StateA_12_8Number_of_Respondents xmlns="bd99c180-279b-44c3-9486-dd050336677e">0</OSC_StateA_12_8Number_of_Respondents>
    <OSC_StateA_12_Total_Total_Burden_Hours xmlns="bd99c180-279b-44c3-9486-dd050336677e">0</OSC_StateA_12_Total_Total_Burden_Hours>
    <OSC_StateA_14_2Average_Cost xmlns="bd99c180-279b-44c3-9486-dd050336677e">0</OSC_StateA_14_2Average_Cost>
    <OSC_StateA_14_8Staff_FTE xmlns="bd99c180-279b-44c3-9486-dd050336677e">=&gt;Enter&lt;=</OSC_StateA_14_8Staff_FTE>
    <OSC_StateA_Websites_Directed_at_Children xmlns="bd99c180-279b-44c3-9486-dd050336677e" xsi:nil="true"/>
    <GenICPIDivisionOROfficeTitle xmlns="bd99c180-279b-44c3-9486-dd050336677e">=&gt;Enter division or office title&lt;=</GenICPIDivisionOROfficeTitle>
    <OSC_StateA_12_5Hourly_Wage_Rate xmlns="bd99c180-279b-44c3-9486-dd050336677e">0</OSC_StateA_12_5Hourly_Wage_Rate>
    <OSC_StateA_12_6Number_of_Responses_per_Respondent xmlns="bd99c180-279b-44c3-9486-dd050336677e">1</OSC_StateA_12_6Number_of_Responses_per_Respondent>
    <OSC_StateA_12_6Total_Burden_Hours xmlns="bd99c180-279b-44c3-9486-dd050336677e">0</OSC_StateA_12_6Total_Burden_Hours>
    <OSC_StateA_12_6Total_Respondent_Costs xmlns="bd99c180-279b-44c3-9486-dd050336677e">0</OSC_StateA_12_6Total_Respondent_Costs>
    <OSC_StateA_12_9Number_of_Respondents xmlns="bd99c180-279b-44c3-9486-dd050336677e">0</OSC_StateA_12_9Number_of_Respondents>
    <OSC_StateA_14_3Average_Cost xmlns="bd99c180-279b-44c3-9486-dd050336677e">0</OSC_StateA_14_3Average_Cost>
    <OSC_StateA_14_9Staff_FTE xmlns="bd99c180-279b-44c3-9486-dd050336677e">=&gt;Enter&lt;=</OSC_StateA_14_9Staff_FTE>
    <OSC_StateA_Annualized_Cost_to_the_Government xmlns="bd99c180-279b-44c3-9486-dd050336677e" xsi:nil="true"/>
    <OSC_StateA_12_10Hourly_Wage_Rate xmlns="bd99c180-279b-44c3-9486-dd050336677e">0</OSC_StateA_12_10Hourly_Wage_Rate>
    <OSC_StateA_12_1Number_of_Responses_per_Respondent xmlns="bd99c180-279b-44c3-9486-dd050336677e">1</OSC_StateA_12_1Number_of_Responses_per_Respondent>
    <OSC_StateA_12_2Average_Burden_per_Response_in_Hours xmlns="bd99c180-279b-44c3-9486-dd050336677e">=&gt;20/60&lt;=</OSC_StateA_12_2Average_Burden_per_Response_in_Hours>
    <OSC_StateA_12_2Hourly_Wage_Rate xmlns="bd99c180-279b-44c3-9486-dd050336677e">0</OSC_StateA_12_2Hourly_Wage_Rate>
    <OSC_StateA_12_6Number_of_Respondents xmlns="bd99c180-279b-44c3-9486-dd050336677e">0</OSC_StateA_12_6Number_of_Respondents>
    <OSC_StateA_12_9Total_Burden_Hours xmlns="bd99c180-279b-44c3-9486-dd050336677e">0</OSC_StateA_12_9Total_Burden_Hours>
    <OSC_StateA_14_1Average_Hourly_Rate xmlns="bd99c180-279b-44c3-9486-dd050336677e">0</OSC_StateA_14_1Average_Hourly_Rate>
    <OSC_StateA_14_4Average_Cost xmlns="bd99c180-279b-44c3-9486-dd050336677e">0</OSC_StateA_14_4Average_Cost>
    <OSC_StateA_14_6Staff_FTE xmlns="bd99c180-279b-44c3-9486-dd050336677e">=&gt;Enter&lt;=</OSC_StateA_14_6Staff_FTE>
    <OSC_StateA_14_8Average_Hours_Per_Collection xmlns="bd99c180-279b-44c3-9486-dd050336677e">0</OSC_StateA_14_8Average_Hours_Per_Collection>
    <OSC_StateA_Exceptions_Certification_Paperwork_Reduction_Act xmlns="bd99c180-279b-44c3-9486-dd050336677e" xsi:nil="true"/>
    <OSC_StateA_Explanation_for_Program_Changes_or_Adjustments xmlns="bd99c180-279b-44c3-9486-dd050336677e" xsi:nil="true"/>
    <OSC_StateA_Purpose_and_Use xmlns="bd99c180-279b-44c3-9486-dd050336677e" xsi:nil="true"/>
    <OSC_StateA_12_3Average_Burden_per_Response_in_Hours xmlns="bd99c180-279b-44c3-9486-dd050336677e">=&gt;20/60&lt;=</OSC_StateA_12_3Average_Burden_per_Response_in_Hours>
    <OSC_StateA_12_3Hourly_Wage_Rate xmlns="bd99c180-279b-44c3-9486-dd050336677e">0</OSC_StateA_12_3Hourly_Wage_Rate>
    <OSC_StateA_12_7Number_of_Respondents xmlns="bd99c180-279b-44c3-9486-dd050336677e">0</OSC_StateA_12_7Number_of_Respondents>
    <OSC_StateA_12_8Total_Burden_Hours xmlns="bd99c180-279b-44c3-9486-dd050336677e">0</OSC_StateA_12_8Total_Burden_Hours>
    <OSC_StateA_14_5Average_Cost xmlns="bd99c180-279b-44c3-9486-dd050336677e">0</OSC_StateA_14_5Average_Cost>
    <OSC_StateA_14_7Staff_FTE xmlns="bd99c180-279b-44c3-9486-dd050336677e">=&gt;Enter&lt;=</OSC_StateA_14_7Staff_FTE>
    <OSC_StateA_14_9Average_Hours_Per_Collection xmlns="bd99c180-279b-44c3-9486-dd050336677e">0</OSC_StateA_14_9Average_Hours_Per_Collection>
    <OSC_StateA_Impact_on_Small_Businesses_or_Other_Small_Entities xmlns="bd99c180-279b-44c3-9486-dd050336677e" xsi:nil="true"/>
    <GenICPIBranchOROfficeTitle xmlns="bd99c180-279b-44c3-9486-dd050336677e">=&gt;Enter branch or office title&lt;=</GenICPIBranchOROfficeTitle>
    <GenICPIFax xmlns="bd99c180-279b-44c3-9486-dd050336677e">=&gt;###-###-####&lt;=</GenICPIFax>
    <OSC_StateA_12_3Number_of_Responses_per_Respondent xmlns="bd99c180-279b-44c3-9486-dd050336677e">1</OSC_StateA_12_3Number_of_Responses_per_Respondent>
    <OSC_StateA_12_4Number_of_Respondents xmlns="bd99c180-279b-44c3-9486-dd050336677e">0</OSC_StateA_12_4Number_of_Respondents>
    <OSC_StateA_14_10Average_Cost xmlns="bd99c180-279b-44c3-9486-dd050336677e">0</OSC_StateA_14_10Average_Cost>
    <OSC_StateA_14_3Average_Hourly_Rate xmlns="bd99c180-279b-44c3-9486-dd050336677e">0</OSC_StateA_14_3Average_Hourly_Rate>
    <OSC_StateA_14_4Staff_FTE xmlns="bd99c180-279b-44c3-9486-dd050336677e">=&gt;Enter&lt;=</OSC_StateA_14_4Staff_FTE>
    <OSC_StateA_14_6Average_Cost xmlns="bd99c180-279b-44c3-9486-dd050336677e">0</OSC_StateA_14_6Average_Cost>
    <GenICPIPhone xmlns="bd99c180-279b-44c3-9486-dd050336677e">=&gt;###-###-####&lt;=</GenICPIPhone>
    <OSC_StateA_12_1Average_Burden_per_Response_in_Hours xmlns="bd99c180-279b-44c3-9486-dd050336677e">=&gt;20/60&lt;=</OSC_StateA_12_1Average_Burden_per_Response_in_Hours>
    <OSC_StateA_12_1Hourly_Wage_Rate xmlns="bd99c180-279b-44c3-9486-dd050336677e">0</OSC_StateA_12_1Hourly_Wage_Rate>
    <OSC_StateA_12_2Number_of_Responses_per_Respondent xmlns="bd99c180-279b-44c3-9486-dd050336677e">1</OSC_StateA_12_2Number_of_Responses_per_Respondent>
    <OSC_StateA_12_5Number_of_Respondents xmlns="bd99c180-279b-44c3-9486-dd050336677e">0</OSC_StateA_12_5Number_of_Respondents>
    <OSC_StateA_14_2Average_Hourly_Rate xmlns="bd99c180-279b-44c3-9486-dd050336677e">0</OSC_StateA_14_2Average_Hourly_Rate>
    <OSC_StateA_14_5Staff_FTE xmlns="bd99c180-279b-44c3-9486-dd050336677e">=&gt;Enter&lt;=</OSC_StateA_14_5Staff_FTE>
    <OSC_StateA_14_7Average_Cost xmlns="bd99c180-279b-44c3-9486-dd050336677e">0</OSC_StateA_14_7Average_Cost>
    <OSC_StateA_Response_to_the_Federal_Register_Notice_and_Efforts xmlns="bd99c180-279b-44c3-9486-dd050336677e" xsi:nil="true"/>
    <_dlc_DocIdUrl xmlns="b5c0ca00-073d-4463-9985-b654f14791fe">
      <Url>https://esp.cdc.gov/sites/ostlts/pip/osc/_layouts/15/DocIdRedir.aspx?ID=OSTLTSDOC-726-97</Url>
      <Description>OSTLTSDOC-726-97</Description>
    </_dlc_DocIdUrl>
    <_dlc_DocId xmlns="b5c0ca00-073d-4463-9985-b654f14791fe">OSTLTSDOC-726-97</_dlc_DocId>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D16BD4-7E94-4A43-8969-78A157C2B6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bd99c180-279b-44c3-9486-dd050336677e"/>
    <ds:schemaRef ds:uri="15b1c282-9287-45cb-9b41-eae3a76919a0"/>
    <ds:schemaRef ds:uri="ce849d94-b00b-4457-8fdf-7e9e81e05b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2B53DF-AEFF-4CBA-B8B4-F6D8C4E13F32}">
  <ds:schemaRefs>
    <ds:schemaRef ds:uri="http://schemas.microsoft.com/sharepoint/events"/>
  </ds:schemaRefs>
</ds:datastoreItem>
</file>

<file path=customXml/itemProps3.xml><?xml version="1.0" encoding="utf-8"?>
<ds:datastoreItem xmlns:ds="http://schemas.openxmlformats.org/officeDocument/2006/customXml" ds:itemID="{DBEA5397-0177-43BB-87B2-0E1AF39B777D}">
  <ds:schemaRefs>
    <ds:schemaRef ds:uri="http://schemas.microsoft.com/office/2006/metadata/customXsn"/>
  </ds:schemaRefs>
</ds:datastoreItem>
</file>

<file path=customXml/itemProps4.xml><?xml version="1.0" encoding="utf-8"?>
<ds:datastoreItem xmlns:ds="http://schemas.openxmlformats.org/officeDocument/2006/customXml" ds:itemID="{D7D788B1-C12E-4F19-9EE4-D6BE19537181}">
  <ds:schemaRefs>
    <ds:schemaRef ds:uri="http://schemas.microsoft.com/sharepoint/v3/contenttype/forms"/>
  </ds:schemaRefs>
</ds:datastoreItem>
</file>

<file path=customXml/itemProps5.xml><?xml version="1.0" encoding="utf-8"?>
<ds:datastoreItem xmlns:ds="http://schemas.openxmlformats.org/officeDocument/2006/customXml" ds:itemID="{CC7F0F15-C51B-4FD5-977B-BE6170B19670}">
  <ds:schemaRefs>
    <ds:schemaRef ds:uri="http://schemas.microsoft.com/office/2006/documentManagement/types"/>
    <ds:schemaRef ds:uri="http://purl.org/dc/terms/"/>
    <ds:schemaRef ds:uri="http://purl.org/dc/dcmitype/"/>
    <ds:schemaRef ds:uri="http://www.w3.org/XML/1998/namespace"/>
    <ds:schemaRef ds:uri="b5c0ca00-073d-4463-9985-b654f14791fe"/>
    <ds:schemaRef ds:uri="http://purl.org/dc/elements/1.1/"/>
    <ds:schemaRef ds:uri="bd99c180-279b-44c3-9486-dd050336677e"/>
    <ds:schemaRef ds:uri="15b1c282-9287-45cb-9b41-eae3a76919a0"/>
    <ds:schemaRef ds:uri="http://schemas.openxmlformats.org/package/2006/metadata/core-properties"/>
    <ds:schemaRef ds:uri="http://schemas.microsoft.com/office/infopath/2007/PartnerControls"/>
    <ds:schemaRef ds:uri="ce849d94-b00b-4457-8fdf-7e9e81e05b5e"/>
    <ds:schemaRef ds:uri="http://schemas.microsoft.com/office/2006/metadata/properties"/>
  </ds:schemaRefs>
</ds:datastoreItem>
</file>

<file path=customXml/itemProps6.xml><?xml version="1.0" encoding="utf-8"?>
<ds:datastoreItem xmlns:ds="http://schemas.openxmlformats.org/officeDocument/2006/customXml" ds:itemID="{1EEA5B3F-2B66-404F-9DEF-F621F8F45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13</Pages>
  <Words>4420</Words>
  <Characters>25198</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29559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CDC User</dc:creator>
  <cp:lastModifiedBy>Zirger, Jeffrey (CDC/OD/OADS)</cp:lastModifiedBy>
  <cp:revision>9</cp:revision>
  <cp:lastPrinted>2015-08-10T19:01:00Z</cp:lastPrinted>
  <dcterms:created xsi:type="dcterms:W3CDTF">2015-08-27T12:59:00Z</dcterms:created>
  <dcterms:modified xsi:type="dcterms:W3CDTF">2015-08-31T13:28:00Z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0x0101008B0C90E18ED62843B8190FE6ED302705</vt:lpwstr>
  </property>
  <property fmtid="{D5CDD505-2E9C-101B-9397-08002B2CF9AE}" pid="3" name="_dlc_DocIdItemGuid">
    <vt:lpwstr>28546d83-0f81-4adc-a43e-66ef4d3f24eb</vt:lpwstr>
  </property>
</Properties>
</file>