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44EC2" w14:textId="77777777" w:rsidR="00716F94" w:rsidRDefault="00716F94" w:rsidP="00BC6896"/>
    <w:p w14:paraId="0BD44EC3" w14:textId="77777777" w:rsidR="009B4A51" w:rsidRDefault="009B4A51" w:rsidP="00BC6896"/>
    <w:p w14:paraId="0BD44EC4" w14:textId="77777777" w:rsidR="009B4A51" w:rsidRDefault="009B4A51" w:rsidP="00BC6896"/>
    <w:p w14:paraId="0BD44EC5" w14:textId="77777777" w:rsidR="009B4A51" w:rsidRDefault="009B4A51" w:rsidP="00BC6896"/>
    <w:p w14:paraId="0BD44EC6" w14:textId="77777777" w:rsidR="009B4A51" w:rsidRDefault="009B4A51" w:rsidP="00BC6896"/>
    <w:p w14:paraId="0BD44EC7" w14:textId="77777777" w:rsidR="00667C89" w:rsidRDefault="00667C89" w:rsidP="00BC6896"/>
    <w:p w14:paraId="0BD44EC8" w14:textId="77777777" w:rsidR="009B4A51" w:rsidRDefault="009B4A51" w:rsidP="00BC6896"/>
    <w:p w14:paraId="0BD44EC9" w14:textId="77777777" w:rsidR="009B4A51" w:rsidRDefault="009B4A51" w:rsidP="00BC6896"/>
    <w:p w14:paraId="0BD44ECB" w14:textId="30B4C164" w:rsidR="00AA3192" w:rsidRPr="00E7651D" w:rsidRDefault="00FA5721" w:rsidP="00E553B2">
      <w:pPr>
        <w:ind w:left="0"/>
        <w:jc w:val="center"/>
        <w:rPr>
          <w:b/>
          <w:sz w:val="36"/>
          <w:szCs w:val="36"/>
        </w:rPr>
      </w:pPr>
      <w:r w:rsidRPr="00E553B2">
        <w:rPr>
          <w:b/>
        </w:rPr>
        <w:t xml:space="preserve"> </w:t>
      </w:r>
      <w:r w:rsidRPr="00E7651D">
        <w:rPr>
          <w:b/>
          <w:sz w:val="36"/>
          <w:szCs w:val="36"/>
        </w:rPr>
        <w:t>RSB Product and STLT Preparedness Assessment</w:t>
      </w:r>
    </w:p>
    <w:p w14:paraId="0BD44ECC"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0BD44ECD" w14:textId="77777777" w:rsidR="00484011" w:rsidRPr="00AA3192" w:rsidRDefault="00484011" w:rsidP="00BC6896">
      <w:pPr>
        <w:pStyle w:val="Header"/>
        <w:ind w:left="0"/>
        <w:jc w:val="center"/>
      </w:pPr>
      <w:r w:rsidRPr="00AA3192">
        <w:t>OMB No. 0920-0879</w:t>
      </w:r>
    </w:p>
    <w:p w14:paraId="0BD44ECE" w14:textId="77777777" w:rsidR="009B4A51" w:rsidRDefault="009B4A51" w:rsidP="00BC6896"/>
    <w:p w14:paraId="0BD44ECF" w14:textId="77777777" w:rsidR="009B4A51" w:rsidRDefault="009B4A51" w:rsidP="00BC6896"/>
    <w:p w14:paraId="0BD44ED0" w14:textId="77777777" w:rsidR="00AA3192" w:rsidRDefault="00AA3192" w:rsidP="00BC6896"/>
    <w:p w14:paraId="3C04FB8B" w14:textId="77777777" w:rsidR="00DF71DD" w:rsidRDefault="00DF71DD" w:rsidP="00BC6896"/>
    <w:p w14:paraId="2632D146" w14:textId="77777777" w:rsidR="00DF71DD" w:rsidRDefault="00DF71DD" w:rsidP="00BC6896"/>
    <w:p w14:paraId="0BD44ED1" w14:textId="77777777" w:rsidR="00AA3192" w:rsidRDefault="00AA3192" w:rsidP="00BC6896"/>
    <w:p w14:paraId="0BD44ED2" w14:textId="580E3B00" w:rsidR="009B4A51" w:rsidRPr="00E7651D" w:rsidRDefault="00DF71DD" w:rsidP="00DF71DD">
      <w:pPr>
        <w:jc w:val="center"/>
        <w:rPr>
          <w:b/>
          <w:sz w:val="28"/>
          <w:szCs w:val="28"/>
        </w:rPr>
      </w:pPr>
      <w:r w:rsidRPr="00E7651D">
        <w:rPr>
          <w:b/>
          <w:sz w:val="28"/>
          <w:szCs w:val="28"/>
        </w:rPr>
        <w:t>S</w:t>
      </w:r>
      <w:r w:rsidR="009B4A51" w:rsidRPr="00E7651D">
        <w:rPr>
          <w:b/>
          <w:sz w:val="28"/>
          <w:szCs w:val="28"/>
        </w:rPr>
        <w:t xml:space="preserve">upporting Statement – Section </w:t>
      </w:r>
      <w:r w:rsidR="00601392" w:rsidRPr="00E7651D">
        <w:rPr>
          <w:b/>
          <w:sz w:val="28"/>
          <w:szCs w:val="28"/>
        </w:rPr>
        <w:t>B</w:t>
      </w:r>
    </w:p>
    <w:p w14:paraId="0BD44ED3" w14:textId="77777777" w:rsidR="009B4A51" w:rsidRDefault="009B4A51" w:rsidP="00BC6896"/>
    <w:p w14:paraId="0BD44ED4" w14:textId="77777777" w:rsidR="00484011" w:rsidRDefault="00484011" w:rsidP="00BC6896"/>
    <w:p w14:paraId="0BD44ED5" w14:textId="77777777" w:rsidR="00AA3192" w:rsidRDefault="00AA3192" w:rsidP="00BC6896"/>
    <w:p w14:paraId="0BD44ED6" w14:textId="77777777" w:rsidR="009B4A51" w:rsidRDefault="009B4A51" w:rsidP="00BC6896"/>
    <w:p w14:paraId="0BD44ED7" w14:textId="77777777" w:rsidR="009B4A51" w:rsidRDefault="009B4A51" w:rsidP="00BC6896"/>
    <w:p w14:paraId="0BD44ED8" w14:textId="77777777" w:rsidR="00187D5A" w:rsidRDefault="00187D5A" w:rsidP="00BC6896"/>
    <w:p w14:paraId="0BD44ED9" w14:textId="08F3A1A7" w:rsidR="009B4A51" w:rsidRPr="00BC6896" w:rsidRDefault="009B4A51" w:rsidP="00BC6896">
      <w:pPr>
        <w:ind w:left="0"/>
        <w:jc w:val="center"/>
      </w:pPr>
      <w:r w:rsidRPr="00AA3192">
        <w:t xml:space="preserve">Submitted: </w:t>
      </w:r>
      <w:r w:rsidR="002F7CD1" w:rsidRPr="002F7CD1">
        <w:t>April 2, 2015</w:t>
      </w:r>
    </w:p>
    <w:p w14:paraId="0BD44EDA" w14:textId="77777777" w:rsidR="009B4A51" w:rsidRDefault="009B4A51" w:rsidP="00BC6896">
      <w:bookmarkStart w:id="0" w:name="_GoBack"/>
      <w:bookmarkEnd w:id="0"/>
    </w:p>
    <w:p w14:paraId="0BD44EDB" w14:textId="77777777" w:rsidR="009B4A51" w:rsidRDefault="009B4A51" w:rsidP="00BC6896"/>
    <w:p w14:paraId="0BD44EDC" w14:textId="77777777" w:rsidR="009B4A51" w:rsidRDefault="009B4A51" w:rsidP="00BC6896"/>
    <w:p w14:paraId="0BD44EDD" w14:textId="77777777" w:rsidR="00AA3192" w:rsidRDefault="00AA3192" w:rsidP="00BC6896"/>
    <w:p w14:paraId="0BD44EDE" w14:textId="77777777" w:rsidR="00AA3192" w:rsidRDefault="00AA3192" w:rsidP="00BC6896"/>
    <w:p w14:paraId="0BD44EDF" w14:textId="77777777" w:rsidR="009B4A51" w:rsidRDefault="009B4A51" w:rsidP="00BC6896"/>
    <w:p w14:paraId="0BD44EE0"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4FE76E71" w14:textId="77777777" w:rsidR="00445FE9" w:rsidRPr="00CA38EA" w:rsidRDefault="00445FE9" w:rsidP="00445FE9">
      <w:pPr>
        <w:tabs>
          <w:tab w:val="right" w:pos="9360"/>
        </w:tabs>
        <w:ind w:left="0"/>
      </w:pPr>
      <w:r w:rsidRPr="00CA38EA">
        <w:t>Name: Carol McCurley</w:t>
      </w:r>
    </w:p>
    <w:p w14:paraId="7C84D49E" w14:textId="77777777" w:rsidR="00445FE9" w:rsidRPr="00CA38EA" w:rsidRDefault="00445FE9" w:rsidP="00445FE9">
      <w:pPr>
        <w:tabs>
          <w:tab w:val="right" w:pos="9360"/>
        </w:tabs>
        <w:ind w:left="0"/>
      </w:pPr>
      <w:r w:rsidRPr="00CA38EA">
        <w:t>Title: Lead Health Education Specialist</w:t>
      </w:r>
    </w:p>
    <w:p w14:paraId="0EDD9D00" w14:textId="77777777" w:rsidR="00445FE9" w:rsidRPr="00CA38EA" w:rsidRDefault="00445FE9" w:rsidP="00445FE9">
      <w:pPr>
        <w:tabs>
          <w:tab w:val="left" w:pos="3150"/>
        </w:tabs>
        <w:ind w:left="0"/>
      </w:pPr>
      <w:r w:rsidRPr="00CA38EA">
        <w:t>Organization: CDC, National Center for Environmental Health, Division of Environmental Hazards and Health Effects, Radiation Studies Branch</w:t>
      </w:r>
    </w:p>
    <w:p w14:paraId="66DCB62E" w14:textId="77777777" w:rsidR="00445FE9" w:rsidRPr="00CA38EA" w:rsidRDefault="00445FE9" w:rsidP="00445FE9">
      <w:pPr>
        <w:tabs>
          <w:tab w:val="right" w:pos="9360"/>
        </w:tabs>
        <w:ind w:left="0"/>
      </w:pPr>
      <w:r w:rsidRPr="00CA38EA">
        <w:t>Address:  4730 Buford Highway MS: F58, Atlanta, GA 30341</w:t>
      </w:r>
    </w:p>
    <w:p w14:paraId="3C45F0DB" w14:textId="77777777" w:rsidR="00445FE9" w:rsidRPr="00CA38EA" w:rsidRDefault="00445FE9" w:rsidP="00445FE9">
      <w:pPr>
        <w:tabs>
          <w:tab w:val="right" w:pos="9360"/>
        </w:tabs>
        <w:ind w:left="0"/>
      </w:pPr>
      <w:r w:rsidRPr="00CA38EA">
        <w:t>Phone number: 770.488.3738</w:t>
      </w:r>
    </w:p>
    <w:p w14:paraId="6235DBD8" w14:textId="77777777" w:rsidR="00445FE9" w:rsidRPr="00CA38EA" w:rsidRDefault="00445FE9" w:rsidP="00445FE9">
      <w:pPr>
        <w:tabs>
          <w:tab w:val="right" w:pos="9360"/>
        </w:tabs>
        <w:ind w:left="0"/>
      </w:pPr>
      <w:r w:rsidRPr="00CA38EA">
        <w:t>Fax Number: 770.488.1539</w:t>
      </w:r>
    </w:p>
    <w:p w14:paraId="473FE8F3" w14:textId="77777777" w:rsidR="00445FE9" w:rsidRPr="00CA38EA" w:rsidRDefault="00445FE9" w:rsidP="00445FE9">
      <w:pPr>
        <w:tabs>
          <w:tab w:val="right" w:pos="9360"/>
        </w:tabs>
        <w:ind w:left="0"/>
      </w:pPr>
      <w:r w:rsidRPr="00CA38EA">
        <w:t>Email: cmo3@cdc.gov</w:t>
      </w:r>
    </w:p>
    <w:p w14:paraId="0BD44EE8" w14:textId="77777777" w:rsidR="00F725B5" w:rsidRDefault="00F725B5" w:rsidP="00BC6896"/>
    <w:p w14:paraId="216BD799" w14:textId="77777777" w:rsidR="00E553B2" w:rsidRDefault="00E553B2" w:rsidP="00BC6896"/>
    <w:p w14:paraId="413AB9E3" w14:textId="77777777" w:rsidR="00E553B2" w:rsidRDefault="00E553B2" w:rsidP="00BC6896"/>
    <w:p w14:paraId="04FA00E0" w14:textId="77777777" w:rsidR="00E553B2" w:rsidRDefault="00E553B2" w:rsidP="00BC6896"/>
    <w:sdt>
      <w:sdtPr>
        <w:rPr>
          <w:rFonts w:eastAsiaTheme="minorEastAsia" w:cstheme="minorBidi"/>
          <w:b w:val="0"/>
          <w:color w:val="auto"/>
          <w:sz w:val="22"/>
          <w:szCs w:val="22"/>
          <w:lang w:eastAsia="en-US"/>
        </w:rPr>
        <w:id w:val="-1333754879"/>
        <w:docPartObj>
          <w:docPartGallery w:val="Table of Contents"/>
          <w:docPartUnique/>
        </w:docPartObj>
      </w:sdtPr>
      <w:sdtEndPr>
        <w:rPr>
          <w:bCs/>
          <w:noProof/>
        </w:rPr>
      </w:sdtEndPr>
      <w:sdtContent>
        <w:p w14:paraId="0EC6E2A6" w14:textId="6DA7C515" w:rsidR="00DF71DD" w:rsidRPr="00DF71DD" w:rsidRDefault="00DF71DD" w:rsidP="00DF71DD">
          <w:pPr>
            <w:pStyle w:val="TOCHeading"/>
            <w:rPr>
              <w:sz w:val="22"/>
              <w:szCs w:val="22"/>
            </w:rPr>
          </w:pPr>
          <w:r w:rsidRPr="00DF71DD">
            <w:rPr>
              <w:sz w:val="22"/>
              <w:szCs w:val="22"/>
            </w:rPr>
            <w:t>Contents</w:t>
          </w:r>
        </w:p>
        <w:p w14:paraId="2B680359" w14:textId="77777777" w:rsidR="00DF71DD" w:rsidRDefault="00DF71DD">
          <w:pPr>
            <w:pStyle w:val="TOC1"/>
            <w:tabs>
              <w:tab w:val="right" w:leader="dot" w:pos="9350"/>
            </w:tabs>
            <w:rPr>
              <w:rFonts w:asciiTheme="minorHAnsi" w:hAnsiTheme="minorHAnsi"/>
              <w:noProof/>
            </w:rPr>
          </w:pPr>
          <w:r>
            <w:fldChar w:fldCharType="begin"/>
          </w:r>
          <w:r>
            <w:instrText xml:space="preserve"> TOC \o "1-3" \h \z \u </w:instrText>
          </w:r>
          <w:r>
            <w:fldChar w:fldCharType="separate"/>
          </w:r>
          <w:hyperlink w:anchor="_Toc414625235" w:history="1">
            <w:r w:rsidRPr="007B3250">
              <w:rPr>
                <w:rStyle w:val="Hyperlink"/>
                <w:noProof/>
              </w:rPr>
              <w:t>Section B – Information Collection Procedures</w:t>
            </w:r>
            <w:r>
              <w:rPr>
                <w:noProof/>
                <w:webHidden/>
              </w:rPr>
              <w:tab/>
            </w:r>
            <w:r>
              <w:rPr>
                <w:noProof/>
                <w:webHidden/>
              </w:rPr>
              <w:fldChar w:fldCharType="begin"/>
            </w:r>
            <w:r>
              <w:rPr>
                <w:noProof/>
                <w:webHidden/>
              </w:rPr>
              <w:instrText xml:space="preserve"> PAGEREF _Toc414625235 \h </w:instrText>
            </w:r>
            <w:r>
              <w:rPr>
                <w:noProof/>
                <w:webHidden/>
              </w:rPr>
            </w:r>
            <w:r>
              <w:rPr>
                <w:noProof/>
                <w:webHidden/>
              </w:rPr>
              <w:fldChar w:fldCharType="separate"/>
            </w:r>
            <w:r w:rsidR="000B52D1">
              <w:rPr>
                <w:noProof/>
                <w:webHidden/>
              </w:rPr>
              <w:t>3</w:t>
            </w:r>
            <w:r>
              <w:rPr>
                <w:noProof/>
                <w:webHidden/>
              </w:rPr>
              <w:fldChar w:fldCharType="end"/>
            </w:r>
          </w:hyperlink>
        </w:p>
        <w:p w14:paraId="50553915" w14:textId="77777777" w:rsidR="00DF71DD" w:rsidRDefault="002F7CD1">
          <w:pPr>
            <w:pStyle w:val="TOC2"/>
            <w:tabs>
              <w:tab w:val="left" w:pos="660"/>
              <w:tab w:val="right" w:leader="dot" w:pos="9350"/>
            </w:tabs>
            <w:rPr>
              <w:rFonts w:asciiTheme="minorHAnsi" w:hAnsiTheme="minorHAnsi"/>
              <w:noProof/>
            </w:rPr>
          </w:pPr>
          <w:hyperlink w:anchor="_Toc414625236" w:history="1">
            <w:r w:rsidR="00DF71DD" w:rsidRPr="007B3250">
              <w:rPr>
                <w:rStyle w:val="Hyperlink"/>
                <w:noProof/>
              </w:rPr>
              <w:t>1.</w:t>
            </w:r>
            <w:r w:rsidR="00DF71DD">
              <w:rPr>
                <w:rFonts w:asciiTheme="minorHAnsi" w:hAnsiTheme="minorHAnsi"/>
                <w:noProof/>
              </w:rPr>
              <w:tab/>
            </w:r>
            <w:r w:rsidR="00DF71DD" w:rsidRPr="007B3250">
              <w:rPr>
                <w:rStyle w:val="Hyperlink"/>
                <w:noProof/>
              </w:rPr>
              <w:t>Respondent Universe and Sampling Methods</w:t>
            </w:r>
            <w:r w:rsidR="00DF71DD">
              <w:rPr>
                <w:noProof/>
                <w:webHidden/>
              </w:rPr>
              <w:tab/>
            </w:r>
            <w:r w:rsidR="00DF71DD">
              <w:rPr>
                <w:noProof/>
                <w:webHidden/>
              </w:rPr>
              <w:fldChar w:fldCharType="begin"/>
            </w:r>
            <w:r w:rsidR="00DF71DD">
              <w:rPr>
                <w:noProof/>
                <w:webHidden/>
              </w:rPr>
              <w:instrText xml:space="preserve"> PAGEREF _Toc414625236 \h </w:instrText>
            </w:r>
            <w:r w:rsidR="00DF71DD">
              <w:rPr>
                <w:noProof/>
                <w:webHidden/>
              </w:rPr>
            </w:r>
            <w:r w:rsidR="00DF71DD">
              <w:rPr>
                <w:noProof/>
                <w:webHidden/>
              </w:rPr>
              <w:fldChar w:fldCharType="separate"/>
            </w:r>
            <w:r w:rsidR="000B52D1">
              <w:rPr>
                <w:noProof/>
                <w:webHidden/>
              </w:rPr>
              <w:t>3</w:t>
            </w:r>
            <w:r w:rsidR="00DF71DD">
              <w:rPr>
                <w:noProof/>
                <w:webHidden/>
              </w:rPr>
              <w:fldChar w:fldCharType="end"/>
            </w:r>
          </w:hyperlink>
        </w:p>
        <w:p w14:paraId="707BCCF8" w14:textId="77777777" w:rsidR="00DF71DD" w:rsidRDefault="002F7CD1">
          <w:pPr>
            <w:pStyle w:val="TOC3"/>
            <w:tabs>
              <w:tab w:val="right" w:leader="dot" w:pos="9350"/>
            </w:tabs>
            <w:rPr>
              <w:noProof/>
            </w:rPr>
          </w:pPr>
          <w:hyperlink w:anchor="_Toc414625237" w:history="1">
            <w:r w:rsidR="00DF71DD" w:rsidRPr="007B3250">
              <w:rPr>
                <w:rStyle w:val="Hyperlink"/>
                <w:noProof/>
              </w:rPr>
              <w:t>Table 1: Respondent Universe for RSB Impact Assessment</w:t>
            </w:r>
            <w:r w:rsidR="00DF71DD">
              <w:rPr>
                <w:noProof/>
                <w:webHidden/>
              </w:rPr>
              <w:tab/>
            </w:r>
            <w:r w:rsidR="00DF71DD">
              <w:rPr>
                <w:noProof/>
                <w:webHidden/>
              </w:rPr>
              <w:fldChar w:fldCharType="begin"/>
            </w:r>
            <w:r w:rsidR="00DF71DD">
              <w:rPr>
                <w:noProof/>
                <w:webHidden/>
              </w:rPr>
              <w:instrText xml:space="preserve"> PAGEREF _Toc414625237 \h </w:instrText>
            </w:r>
            <w:r w:rsidR="00DF71DD">
              <w:rPr>
                <w:noProof/>
                <w:webHidden/>
              </w:rPr>
            </w:r>
            <w:r w:rsidR="00DF71DD">
              <w:rPr>
                <w:noProof/>
                <w:webHidden/>
              </w:rPr>
              <w:fldChar w:fldCharType="separate"/>
            </w:r>
            <w:r w:rsidR="000B52D1">
              <w:rPr>
                <w:noProof/>
                <w:webHidden/>
              </w:rPr>
              <w:t>3</w:t>
            </w:r>
            <w:r w:rsidR="00DF71DD">
              <w:rPr>
                <w:noProof/>
                <w:webHidden/>
              </w:rPr>
              <w:fldChar w:fldCharType="end"/>
            </w:r>
          </w:hyperlink>
        </w:p>
        <w:p w14:paraId="587326FA" w14:textId="77777777" w:rsidR="00DF71DD" w:rsidRDefault="002F7CD1">
          <w:pPr>
            <w:pStyle w:val="TOC2"/>
            <w:tabs>
              <w:tab w:val="left" w:pos="660"/>
              <w:tab w:val="right" w:leader="dot" w:pos="9350"/>
            </w:tabs>
            <w:rPr>
              <w:rFonts w:asciiTheme="minorHAnsi" w:hAnsiTheme="minorHAnsi"/>
              <w:noProof/>
            </w:rPr>
          </w:pPr>
          <w:hyperlink w:anchor="_Toc414625238" w:history="1">
            <w:r w:rsidR="00DF71DD" w:rsidRPr="007B3250">
              <w:rPr>
                <w:rStyle w:val="Hyperlink"/>
                <w:noProof/>
              </w:rPr>
              <w:t>2.</w:t>
            </w:r>
            <w:r w:rsidR="00DF71DD">
              <w:rPr>
                <w:rFonts w:asciiTheme="minorHAnsi" w:hAnsiTheme="minorHAnsi"/>
                <w:noProof/>
              </w:rPr>
              <w:tab/>
            </w:r>
            <w:r w:rsidR="00DF71DD" w:rsidRPr="007B3250">
              <w:rPr>
                <w:rStyle w:val="Hyperlink"/>
                <w:noProof/>
              </w:rPr>
              <w:t>Procedures for the Collection of Information</w:t>
            </w:r>
            <w:r w:rsidR="00DF71DD">
              <w:rPr>
                <w:noProof/>
                <w:webHidden/>
              </w:rPr>
              <w:tab/>
            </w:r>
            <w:r w:rsidR="00DF71DD">
              <w:rPr>
                <w:noProof/>
                <w:webHidden/>
              </w:rPr>
              <w:fldChar w:fldCharType="begin"/>
            </w:r>
            <w:r w:rsidR="00DF71DD">
              <w:rPr>
                <w:noProof/>
                <w:webHidden/>
              </w:rPr>
              <w:instrText xml:space="preserve"> PAGEREF _Toc414625238 \h </w:instrText>
            </w:r>
            <w:r w:rsidR="00DF71DD">
              <w:rPr>
                <w:noProof/>
                <w:webHidden/>
              </w:rPr>
            </w:r>
            <w:r w:rsidR="00DF71DD">
              <w:rPr>
                <w:noProof/>
                <w:webHidden/>
              </w:rPr>
              <w:fldChar w:fldCharType="separate"/>
            </w:r>
            <w:r w:rsidR="000B52D1">
              <w:rPr>
                <w:noProof/>
                <w:webHidden/>
              </w:rPr>
              <w:t>4</w:t>
            </w:r>
            <w:r w:rsidR="00DF71DD">
              <w:rPr>
                <w:noProof/>
                <w:webHidden/>
              </w:rPr>
              <w:fldChar w:fldCharType="end"/>
            </w:r>
          </w:hyperlink>
        </w:p>
        <w:p w14:paraId="54AB196A" w14:textId="77777777" w:rsidR="00DF71DD" w:rsidRDefault="002F7CD1">
          <w:pPr>
            <w:pStyle w:val="TOC2"/>
            <w:tabs>
              <w:tab w:val="left" w:pos="660"/>
              <w:tab w:val="right" w:leader="dot" w:pos="9350"/>
            </w:tabs>
            <w:rPr>
              <w:rFonts w:asciiTheme="minorHAnsi" w:hAnsiTheme="minorHAnsi"/>
              <w:noProof/>
            </w:rPr>
          </w:pPr>
          <w:hyperlink w:anchor="_Toc414625239" w:history="1">
            <w:r w:rsidR="00DF71DD" w:rsidRPr="007B3250">
              <w:rPr>
                <w:rStyle w:val="Hyperlink"/>
                <w:noProof/>
              </w:rPr>
              <w:t>3.</w:t>
            </w:r>
            <w:r w:rsidR="00DF71DD">
              <w:rPr>
                <w:rFonts w:asciiTheme="minorHAnsi" w:hAnsiTheme="minorHAnsi"/>
                <w:noProof/>
              </w:rPr>
              <w:tab/>
            </w:r>
            <w:r w:rsidR="00DF71DD" w:rsidRPr="007B3250">
              <w:rPr>
                <w:rStyle w:val="Hyperlink"/>
                <w:noProof/>
              </w:rPr>
              <w:t>Methods to Maximize Response Rates Deal with Nonresponse</w:t>
            </w:r>
            <w:r w:rsidR="00DF71DD">
              <w:rPr>
                <w:noProof/>
                <w:webHidden/>
              </w:rPr>
              <w:tab/>
            </w:r>
            <w:r w:rsidR="00DF71DD">
              <w:rPr>
                <w:noProof/>
                <w:webHidden/>
              </w:rPr>
              <w:fldChar w:fldCharType="begin"/>
            </w:r>
            <w:r w:rsidR="00DF71DD">
              <w:rPr>
                <w:noProof/>
                <w:webHidden/>
              </w:rPr>
              <w:instrText xml:space="preserve"> PAGEREF _Toc414625239 \h </w:instrText>
            </w:r>
            <w:r w:rsidR="00DF71DD">
              <w:rPr>
                <w:noProof/>
                <w:webHidden/>
              </w:rPr>
            </w:r>
            <w:r w:rsidR="00DF71DD">
              <w:rPr>
                <w:noProof/>
                <w:webHidden/>
              </w:rPr>
              <w:fldChar w:fldCharType="separate"/>
            </w:r>
            <w:r w:rsidR="000B52D1">
              <w:rPr>
                <w:noProof/>
                <w:webHidden/>
              </w:rPr>
              <w:t>4</w:t>
            </w:r>
            <w:r w:rsidR="00DF71DD">
              <w:rPr>
                <w:noProof/>
                <w:webHidden/>
              </w:rPr>
              <w:fldChar w:fldCharType="end"/>
            </w:r>
          </w:hyperlink>
        </w:p>
        <w:p w14:paraId="42FAD41F" w14:textId="77777777" w:rsidR="00DF71DD" w:rsidRDefault="002F7CD1">
          <w:pPr>
            <w:pStyle w:val="TOC2"/>
            <w:tabs>
              <w:tab w:val="left" w:pos="660"/>
              <w:tab w:val="right" w:leader="dot" w:pos="9350"/>
            </w:tabs>
            <w:rPr>
              <w:rFonts w:asciiTheme="minorHAnsi" w:hAnsiTheme="minorHAnsi"/>
              <w:noProof/>
            </w:rPr>
          </w:pPr>
          <w:hyperlink w:anchor="_Toc414625240" w:history="1">
            <w:r w:rsidR="00DF71DD" w:rsidRPr="007B3250">
              <w:rPr>
                <w:rStyle w:val="Hyperlink"/>
                <w:noProof/>
              </w:rPr>
              <w:t>4.</w:t>
            </w:r>
            <w:r w:rsidR="00DF71DD">
              <w:rPr>
                <w:rFonts w:asciiTheme="minorHAnsi" w:hAnsiTheme="minorHAnsi"/>
                <w:noProof/>
              </w:rPr>
              <w:tab/>
            </w:r>
            <w:r w:rsidR="00DF71DD" w:rsidRPr="007B3250">
              <w:rPr>
                <w:rStyle w:val="Hyperlink"/>
                <w:noProof/>
              </w:rPr>
              <w:t>Test of Procedures or Methods to be Undertaken</w:t>
            </w:r>
            <w:r w:rsidR="00DF71DD">
              <w:rPr>
                <w:noProof/>
                <w:webHidden/>
              </w:rPr>
              <w:tab/>
            </w:r>
            <w:r w:rsidR="00DF71DD">
              <w:rPr>
                <w:noProof/>
                <w:webHidden/>
              </w:rPr>
              <w:fldChar w:fldCharType="begin"/>
            </w:r>
            <w:r w:rsidR="00DF71DD">
              <w:rPr>
                <w:noProof/>
                <w:webHidden/>
              </w:rPr>
              <w:instrText xml:space="preserve"> PAGEREF _Toc414625240 \h </w:instrText>
            </w:r>
            <w:r w:rsidR="00DF71DD">
              <w:rPr>
                <w:noProof/>
                <w:webHidden/>
              </w:rPr>
            </w:r>
            <w:r w:rsidR="00DF71DD">
              <w:rPr>
                <w:noProof/>
                <w:webHidden/>
              </w:rPr>
              <w:fldChar w:fldCharType="separate"/>
            </w:r>
            <w:r w:rsidR="000B52D1">
              <w:rPr>
                <w:noProof/>
                <w:webHidden/>
              </w:rPr>
              <w:t>5</w:t>
            </w:r>
            <w:r w:rsidR="00DF71DD">
              <w:rPr>
                <w:noProof/>
                <w:webHidden/>
              </w:rPr>
              <w:fldChar w:fldCharType="end"/>
            </w:r>
          </w:hyperlink>
        </w:p>
        <w:p w14:paraId="2BA87038" w14:textId="77777777" w:rsidR="00DF71DD" w:rsidRDefault="002F7CD1" w:rsidP="00DF71DD">
          <w:pPr>
            <w:pStyle w:val="TOC2"/>
            <w:tabs>
              <w:tab w:val="left" w:pos="660"/>
              <w:tab w:val="right" w:leader="dot" w:pos="9350"/>
            </w:tabs>
            <w:ind w:left="655" w:hanging="435"/>
            <w:rPr>
              <w:rFonts w:asciiTheme="minorHAnsi" w:hAnsiTheme="minorHAnsi"/>
              <w:noProof/>
            </w:rPr>
          </w:pPr>
          <w:hyperlink w:anchor="_Toc414625241" w:history="1">
            <w:r w:rsidR="00DF71DD" w:rsidRPr="007B3250">
              <w:rPr>
                <w:rStyle w:val="Hyperlink"/>
                <w:noProof/>
              </w:rPr>
              <w:t>5.</w:t>
            </w:r>
            <w:r w:rsidR="00DF71DD">
              <w:rPr>
                <w:rFonts w:asciiTheme="minorHAnsi" w:hAnsiTheme="minorHAnsi"/>
                <w:noProof/>
              </w:rPr>
              <w:tab/>
            </w:r>
            <w:r w:rsidR="00DF71DD" w:rsidRPr="007B3250">
              <w:rPr>
                <w:rStyle w:val="Hyperlink"/>
                <w:noProof/>
              </w:rPr>
              <w:t>Individuals Consulted on Statistical Aspects and Individuals Collecting and/or Analyzing Data</w:t>
            </w:r>
            <w:r w:rsidR="00DF71DD">
              <w:rPr>
                <w:noProof/>
                <w:webHidden/>
              </w:rPr>
              <w:tab/>
            </w:r>
            <w:r w:rsidR="00DF71DD">
              <w:rPr>
                <w:noProof/>
                <w:webHidden/>
              </w:rPr>
              <w:fldChar w:fldCharType="begin"/>
            </w:r>
            <w:r w:rsidR="00DF71DD">
              <w:rPr>
                <w:noProof/>
                <w:webHidden/>
              </w:rPr>
              <w:instrText xml:space="preserve"> PAGEREF _Toc414625241 \h </w:instrText>
            </w:r>
            <w:r w:rsidR="00DF71DD">
              <w:rPr>
                <w:noProof/>
                <w:webHidden/>
              </w:rPr>
            </w:r>
            <w:r w:rsidR="00DF71DD">
              <w:rPr>
                <w:noProof/>
                <w:webHidden/>
              </w:rPr>
              <w:fldChar w:fldCharType="separate"/>
            </w:r>
            <w:r w:rsidR="000B52D1">
              <w:rPr>
                <w:noProof/>
                <w:webHidden/>
              </w:rPr>
              <w:t>5</w:t>
            </w:r>
            <w:r w:rsidR="00DF71DD">
              <w:rPr>
                <w:noProof/>
                <w:webHidden/>
              </w:rPr>
              <w:fldChar w:fldCharType="end"/>
            </w:r>
          </w:hyperlink>
        </w:p>
        <w:p w14:paraId="77E5EEB4" w14:textId="77777777" w:rsidR="00DF71DD" w:rsidRDefault="002F7CD1">
          <w:pPr>
            <w:pStyle w:val="TOC1"/>
            <w:tabs>
              <w:tab w:val="right" w:leader="dot" w:pos="9350"/>
            </w:tabs>
            <w:rPr>
              <w:rFonts w:asciiTheme="minorHAnsi" w:hAnsiTheme="minorHAnsi"/>
              <w:noProof/>
            </w:rPr>
          </w:pPr>
          <w:hyperlink w:anchor="_Toc414625242" w:history="1">
            <w:r w:rsidR="00DF71DD" w:rsidRPr="007B3250">
              <w:rPr>
                <w:rStyle w:val="Hyperlink"/>
                <w:noProof/>
              </w:rPr>
              <w:t>LIST OF ATTACHMENTS – Section B</w:t>
            </w:r>
            <w:r w:rsidR="00DF71DD">
              <w:rPr>
                <w:noProof/>
                <w:webHidden/>
              </w:rPr>
              <w:tab/>
            </w:r>
            <w:r w:rsidR="00DF71DD">
              <w:rPr>
                <w:noProof/>
                <w:webHidden/>
              </w:rPr>
              <w:fldChar w:fldCharType="begin"/>
            </w:r>
            <w:r w:rsidR="00DF71DD">
              <w:rPr>
                <w:noProof/>
                <w:webHidden/>
              </w:rPr>
              <w:instrText xml:space="preserve"> PAGEREF _Toc414625242 \h </w:instrText>
            </w:r>
            <w:r w:rsidR="00DF71DD">
              <w:rPr>
                <w:noProof/>
                <w:webHidden/>
              </w:rPr>
            </w:r>
            <w:r w:rsidR="00DF71DD">
              <w:rPr>
                <w:noProof/>
                <w:webHidden/>
              </w:rPr>
              <w:fldChar w:fldCharType="separate"/>
            </w:r>
            <w:r w:rsidR="000B52D1">
              <w:rPr>
                <w:noProof/>
                <w:webHidden/>
              </w:rPr>
              <w:t>5</w:t>
            </w:r>
            <w:r w:rsidR="00DF71DD">
              <w:rPr>
                <w:noProof/>
                <w:webHidden/>
              </w:rPr>
              <w:fldChar w:fldCharType="end"/>
            </w:r>
          </w:hyperlink>
        </w:p>
        <w:p w14:paraId="7EF1B5CB" w14:textId="42AC78EC" w:rsidR="00DF71DD" w:rsidRDefault="00DF71DD">
          <w:r>
            <w:rPr>
              <w:b/>
              <w:bCs/>
              <w:noProof/>
            </w:rPr>
            <w:fldChar w:fldCharType="end"/>
          </w:r>
        </w:p>
      </w:sdtContent>
    </w:sdt>
    <w:p w14:paraId="060048D3" w14:textId="77777777" w:rsidR="00E553B2" w:rsidRDefault="00E553B2" w:rsidP="00BC6896"/>
    <w:p w14:paraId="0BD44EEA" w14:textId="0DE52A53" w:rsidR="00F725B5" w:rsidRDefault="00F725B5" w:rsidP="00CA38EA">
      <w:pPr>
        <w:ind w:left="0"/>
      </w:pPr>
    </w:p>
    <w:p w14:paraId="0BD44EEB" w14:textId="77777777" w:rsidR="00BC6896" w:rsidRDefault="00BC6896" w:rsidP="00BC6896">
      <w:pPr>
        <w:rPr>
          <w:sz w:val="28"/>
        </w:rPr>
      </w:pPr>
      <w:r>
        <w:br w:type="page"/>
      </w:r>
    </w:p>
    <w:p w14:paraId="0BD44EEC" w14:textId="77777777" w:rsidR="00B12F51" w:rsidRPr="00E7651D" w:rsidRDefault="00B12F51" w:rsidP="00DF71DD">
      <w:pPr>
        <w:pStyle w:val="Heading1"/>
        <w:rPr>
          <w:sz w:val="28"/>
          <w:szCs w:val="28"/>
        </w:rPr>
      </w:pPr>
      <w:bookmarkStart w:id="1" w:name="_Toc414625235"/>
      <w:r w:rsidRPr="00E7651D">
        <w:rPr>
          <w:sz w:val="28"/>
          <w:szCs w:val="28"/>
        </w:rPr>
        <w:lastRenderedPageBreak/>
        <w:t xml:space="preserve">Section B – </w:t>
      </w:r>
      <w:r w:rsidR="00C84DC3" w:rsidRPr="00E7651D">
        <w:rPr>
          <w:sz w:val="28"/>
          <w:szCs w:val="28"/>
        </w:rPr>
        <w:t>Information</w:t>
      </w:r>
      <w:r w:rsidR="00287E2F" w:rsidRPr="00E7651D">
        <w:rPr>
          <w:sz w:val="28"/>
          <w:szCs w:val="28"/>
        </w:rPr>
        <w:t xml:space="preserve"> Collection Procedures</w:t>
      </w:r>
      <w:bookmarkEnd w:id="1"/>
    </w:p>
    <w:p w14:paraId="0BD44EED" w14:textId="77777777" w:rsidR="00287E2F" w:rsidRDefault="00287E2F" w:rsidP="00BC6896"/>
    <w:p w14:paraId="0BD44EEE" w14:textId="114C047C" w:rsidR="00A75D1C" w:rsidRPr="00DF71DD" w:rsidRDefault="009759F3" w:rsidP="00DF71DD">
      <w:pPr>
        <w:pStyle w:val="Heading2"/>
      </w:pPr>
      <w:bookmarkStart w:id="2" w:name="_Toc414625236"/>
      <w:r w:rsidRPr="00DF71DD">
        <w:t>Respondent Universe and Sampling Methods</w:t>
      </w:r>
      <w:bookmarkEnd w:id="2"/>
      <w:r w:rsidR="00A305CE" w:rsidRPr="00DF71DD">
        <w:t xml:space="preserve"> </w:t>
      </w:r>
    </w:p>
    <w:p w14:paraId="4489E29A" w14:textId="6DD98A91" w:rsidR="009C511C" w:rsidRPr="009C511C" w:rsidRDefault="00445FE9" w:rsidP="009C511C">
      <w:pPr>
        <w:ind w:left="0"/>
      </w:pPr>
      <w:r>
        <w:t xml:space="preserve">The respondent universe for this assessment consists of state, local, tribal, and territorial government staff involved in planning for the public health response </w:t>
      </w:r>
      <w:r w:rsidR="00ED1E3A">
        <w:t>to radiation emergencies (i.e. radiological and nuclear incidents)</w:t>
      </w:r>
      <w:r w:rsidR="00E7651D">
        <w:t xml:space="preserve">.  As described in Statement </w:t>
      </w:r>
      <w:proofErr w:type="gramStart"/>
      <w:r w:rsidR="00E7651D">
        <w:t>A</w:t>
      </w:r>
      <w:proofErr w:type="gramEnd"/>
      <w:r w:rsidR="00E7651D">
        <w:t>, p</w:t>
      </w:r>
      <w:r>
        <w:t xml:space="preserve">otential respondents can be found under multiple programs/offices at each level of government.  For this assessment, we will recruit from three different programs/offices to capture the greatest cross-section of radiation emergency preparedness personnel.  </w:t>
      </w:r>
      <w:r w:rsidR="00E7651D">
        <w:t>T</w:t>
      </w:r>
      <w:r>
        <w:t>he programs/offices include</w:t>
      </w:r>
      <w:r w:rsidR="000217BC">
        <w:t xml:space="preserve"> </w:t>
      </w:r>
      <w:r w:rsidR="000217BC" w:rsidRPr="000217BC">
        <w:t>CDC Public Health Emergency Preparedness (PHEP)</w:t>
      </w:r>
      <w:r w:rsidR="00ED1E3A">
        <w:t xml:space="preserve"> Grantees</w:t>
      </w:r>
      <w:r w:rsidR="000217BC">
        <w:t xml:space="preserve">, </w:t>
      </w:r>
      <w:r w:rsidR="000217BC" w:rsidRPr="000217BC">
        <w:t>Radiation Control Program</w:t>
      </w:r>
      <w:r w:rsidR="00ED1E3A">
        <w:t xml:space="preserve"> Officials</w:t>
      </w:r>
      <w:r w:rsidR="000217BC">
        <w:t>, and</w:t>
      </w:r>
      <w:r w:rsidR="000217BC" w:rsidRPr="000217BC">
        <w:t xml:space="preserve"> </w:t>
      </w:r>
      <w:r w:rsidR="000217BC">
        <w:t>FEMA Radiological Emergency Preparedness (REP) Program</w:t>
      </w:r>
      <w:r w:rsidR="00ED1E3A">
        <w:t xml:space="preserve"> Participants</w:t>
      </w:r>
      <w:r w:rsidR="000217BC">
        <w:t xml:space="preserve">. </w:t>
      </w:r>
      <w:r w:rsidR="00ED1E3A">
        <w:t xml:space="preserve"> </w:t>
      </w:r>
      <w:r w:rsidR="009C511C" w:rsidRPr="009C511C">
        <w:t>The fi</w:t>
      </w:r>
      <w:r w:rsidR="009C511C">
        <w:t>gures we provide</w:t>
      </w:r>
      <w:r w:rsidR="009C511C" w:rsidRPr="009C511C">
        <w:t xml:space="preserve"> encompass the total respondent universe.  The figures account for all jurisdictions participating in public health radiation emergency</w:t>
      </w:r>
      <w:r w:rsidR="009C511C">
        <w:t xml:space="preserve"> response planning under the</w:t>
      </w:r>
      <w:r w:rsidR="009C511C" w:rsidRPr="009C511C">
        <w:t xml:space="preserve"> PHEP, REP, or Rad Control Programs.  </w:t>
      </w:r>
      <w:r w:rsidR="009C511C">
        <w:t xml:space="preserve"> W</w:t>
      </w:r>
      <w:r w:rsidR="009C511C" w:rsidRPr="009C511C">
        <w:t>e plan to deliver the assessment to the appropriate radiation emergency planner in each ju</w:t>
      </w:r>
      <w:r w:rsidR="009C511C">
        <w:t>risdiction – whether that government official</w:t>
      </w:r>
      <w:r w:rsidR="009C511C" w:rsidRPr="009C511C">
        <w:t xml:space="preserve"> is employed by public health, emergency management, or radiation control.</w:t>
      </w:r>
    </w:p>
    <w:p w14:paraId="78C6F8A5" w14:textId="77777777" w:rsidR="009C511C" w:rsidRPr="009C511C" w:rsidRDefault="009C511C" w:rsidP="009C511C">
      <w:pPr>
        <w:ind w:left="0"/>
      </w:pPr>
    </w:p>
    <w:p w14:paraId="43FC9D85" w14:textId="7D9837FF" w:rsidR="00445FE9" w:rsidRDefault="00ED1E3A" w:rsidP="000217BC">
      <w:pPr>
        <w:ind w:left="0"/>
      </w:pPr>
      <w:r>
        <w:t>T</w:t>
      </w:r>
      <w:r w:rsidR="000217BC">
        <w:t>he breakdown of the respondent universe</w:t>
      </w:r>
      <w:r>
        <w:t xml:space="preserve"> as it relates to</w:t>
      </w:r>
      <w:r w:rsidRPr="00ED1E3A">
        <w:t xml:space="preserve"> </w:t>
      </w:r>
      <w:r>
        <w:t xml:space="preserve">these programs/offices </w:t>
      </w:r>
      <w:r w:rsidR="000217BC">
        <w:t>is</w:t>
      </w:r>
      <w:r w:rsidR="00FA5721">
        <w:t xml:space="preserve"> </w:t>
      </w:r>
      <w:r w:rsidR="000217BC">
        <w:t xml:space="preserve">described in greater detail below: </w:t>
      </w:r>
    </w:p>
    <w:p w14:paraId="4D33DE44" w14:textId="77777777" w:rsidR="00445FE9" w:rsidRDefault="00445FE9" w:rsidP="00445FE9"/>
    <w:p w14:paraId="59E2C692" w14:textId="3E67A61D" w:rsidR="00445FE9" w:rsidRDefault="00445FE9" w:rsidP="00445FE9">
      <w:pPr>
        <w:pStyle w:val="ListParagraph"/>
        <w:numPr>
          <w:ilvl w:val="0"/>
          <w:numId w:val="27"/>
        </w:numPr>
      </w:pPr>
      <w:r>
        <w:t>CDC Public Health Emergency Preparedness (PHEP) Grantees</w:t>
      </w:r>
      <w:r w:rsidR="00B42648">
        <w:t xml:space="preserve"> – 50 state respondents, 4 local respondents, and 8 territory </w:t>
      </w:r>
      <w:proofErr w:type="gramStart"/>
      <w:r w:rsidR="00B42648">
        <w:t>r</w:t>
      </w:r>
      <w:r w:rsidR="00222056">
        <w:t>espondents</w:t>
      </w:r>
      <w:proofErr w:type="gramEnd"/>
      <w:r w:rsidR="00222056">
        <w:t xml:space="preserve"> fall under the PHEP P</w:t>
      </w:r>
      <w:r w:rsidR="00B42648">
        <w:t>rogram, totaling to 62 PHEP respondents.</w:t>
      </w:r>
    </w:p>
    <w:p w14:paraId="5FE48778" w14:textId="46FB1145" w:rsidR="00B42648" w:rsidRDefault="00B42648" w:rsidP="00B42648">
      <w:pPr>
        <w:pStyle w:val="ListParagraph"/>
        <w:numPr>
          <w:ilvl w:val="0"/>
          <w:numId w:val="27"/>
        </w:numPr>
      </w:pPr>
      <w:r>
        <w:t>Radiation Control Program Officials – 52 state respondents, 4 local respondents, and 1 territory respondent fa</w:t>
      </w:r>
      <w:r w:rsidR="00222056">
        <w:t>ll under the Radiation Control P</w:t>
      </w:r>
      <w:r>
        <w:t>rogram</w:t>
      </w:r>
      <w:r w:rsidR="00222056">
        <w:t>s</w:t>
      </w:r>
      <w:r>
        <w:t>, to</w:t>
      </w:r>
      <w:r w:rsidR="00222056">
        <w:t>taling to 57 Radiation Control P</w:t>
      </w:r>
      <w:r>
        <w:t>rogram</w:t>
      </w:r>
      <w:r w:rsidR="00222056">
        <w:t>s</w:t>
      </w:r>
      <w:r>
        <w:t xml:space="preserve"> respondents.</w:t>
      </w:r>
    </w:p>
    <w:p w14:paraId="6BE8B025" w14:textId="2285E2A5" w:rsidR="00445FE9" w:rsidRDefault="00445FE9" w:rsidP="00B42648">
      <w:pPr>
        <w:pStyle w:val="ListParagraph"/>
        <w:numPr>
          <w:ilvl w:val="0"/>
          <w:numId w:val="27"/>
        </w:numPr>
      </w:pPr>
      <w:r>
        <w:t>FEMA Radiological Emergency Preparedness (REP) Program Participants</w:t>
      </w:r>
      <w:r w:rsidR="00222056">
        <w:t xml:space="preserve"> </w:t>
      </w:r>
      <w:r w:rsidR="00DF71DD">
        <w:t>–</w:t>
      </w:r>
      <w:r w:rsidR="00222056">
        <w:t xml:space="preserve"> </w:t>
      </w:r>
      <w:r w:rsidR="00B42648">
        <w:t xml:space="preserve">32 state respondents, 184 local respondents, and 1 tribal </w:t>
      </w:r>
      <w:r w:rsidR="00DF71DD">
        <w:t xml:space="preserve">respondent fall under the FEMA REP program, totaling to </w:t>
      </w:r>
      <w:r w:rsidR="00B42648">
        <w:t xml:space="preserve">217 FEMA </w:t>
      </w:r>
      <w:r w:rsidR="00DF71DD">
        <w:t xml:space="preserve">REP </w:t>
      </w:r>
      <w:r w:rsidR="00B42648">
        <w:t xml:space="preserve">respondents. </w:t>
      </w:r>
    </w:p>
    <w:p w14:paraId="50C45F8E" w14:textId="77777777" w:rsidR="00445FE9" w:rsidRDefault="00445FE9" w:rsidP="00445FE9">
      <w:pPr>
        <w:ind w:left="0"/>
        <w:rPr>
          <w:u w:val="single"/>
        </w:rPr>
      </w:pPr>
    </w:p>
    <w:p w14:paraId="1892A1E1" w14:textId="40A9F93D" w:rsidR="00445FE9" w:rsidRDefault="00445FE9" w:rsidP="00445FE9">
      <w:pPr>
        <w:ind w:left="0"/>
      </w:pPr>
      <w:r>
        <w:t>Table 1 provides a breakdown of th</w:t>
      </w:r>
      <w:r w:rsidR="00E7651D">
        <w:t>e respondent universe by program</w:t>
      </w:r>
      <w:r>
        <w:t xml:space="preserve"> and level of government</w:t>
      </w:r>
      <w:r w:rsidR="00AE3C67">
        <w:t xml:space="preserve"> and </w:t>
      </w:r>
      <w:r w:rsidR="00E7651D">
        <w:t>links</w:t>
      </w:r>
      <w:r w:rsidR="00AE3C67">
        <w:t xml:space="preserve"> directly with Table A12 of statement A</w:t>
      </w:r>
      <w:r>
        <w:t>.</w:t>
      </w:r>
      <w:r w:rsidR="00ED1E3A">
        <w:t xml:space="preserve"> </w:t>
      </w:r>
      <w:r w:rsidR="00ED1E3A" w:rsidRPr="00BA7B10">
        <w:rPr>
          <w:rFonts w:ascii="Cambria" w:eastAsia="SimSun" w:hAnsi="Cambria" w:cs="Arial"/>
          <w:lang w:eastAsia="zh-CN"/>
        </w:rPr>
        <w:t>Data will be collected from 336 respondents; 134 state, 9 territorial, 1 tribal, and 192 local government officials</w:t>
      </w:r>
      <w:r w:rsidR="00ED1E3A">
        <w:rPr>
          <w:rFonts w:ascii="Cambria" w:eastAsia="SimSun" w:hAnsi="Cambria" w:cs="Arial"/>
          <w:lang w:eastAsia="zh-CN"/>
        </w:rPr>
        <w:t xml:space="preserve"> </w:t>
      </w:r>
      <w:r w:rsidR="00ED1E3A" w:rsidRPr="001A6C9E">
        <w:t xml:space="preserve">engaged in public health preparedness planning for </w:t>
      </w:r>
      <w:r w:rsidR="00ED1E3A">
        <w:t xml:space="preserve">radiation emergencies </w:t>
      </w:r>
      <w:r w:rsidR="00ED1E3A">
        <w:rPr>
          <w:rFonts w:ascii="Cambria" w:eastAsia="SimSun" w:hAnsi="Cambria" w:cs="Arial"/>
          <w:lang w:eastAsia="zh-CN"/>
        </w:rPr>
        <w:t>acting in their official capacities</w:t>
      </w:r>
      <w:r w:rsidR="00ED1E3A" w:rsidRPr="00BA7B10">
        <w:rPr>
          <w:rFonts w:ascii="Cambria" w:eastAsia="SimSun" w:hAnsi="Cambria" w:cs="Arial"/>
          <w:lang w:eastAsia="zh-CN"/>
        </w:rPr>
        <w:t xml:space="preserve">.  </w:t>
      </w:r>
    </w:p>
    <w:p w14:paraId="4C58FFAB" w14:textId="77777777" w:rsidR="00445FE9" w:rsidRDefault="00445FE9" w:rsidP="00445FE9">
      <w:pPr>
        <w:rPr>
          <w:u w:val="single"/>
        </w:rPr>
      </w:pPr>
    </w:p>
    <w:p w14:paraId="0D550F2D" w14:textId="77777777" w:rsidR="00445FE9" w:rsidRPr="00DF71DD" w:rsidRDefault="00445FE9" w:rsidP="00DF71DD">
      <w:pPr>
        <w:pStyle w:val="Heading3"/>
      </w:pPr>
      <w:bookmarkStart w:id="3" w:name="_Toc414625237"/>
      <w:r w:rsidRPr="00DF71DD">
        <w:t xml:space="preserve">Table </w:t>
      </w:r>
      <w:fldSimple w:instr=" SEQ Table \* ARABIC ">
        <w:r w:rsidRPr="00DF71DD">
          <w:t>1</w:t>
        </w:r>
      </w:fldSimple>
      <w:r w:rsidRPr="00DF71DD">
        <w:t>: Respondent Universe for RSB Impact Assessment</w:t>
      </w:r>
      <w:bookmarkEnd w:id="3"/>
    </w:p>
    <w:tbl>
      <w:tblPr>
        <w:tblStyle w:val="MediumList2"/>
        <w:tblW w:w="0" w:type="auto"/>
        <w:tblLook w:val="04A0" w:firstRow="1" w:lastRow="0" w:firstColumn="1" w:lastColumn="0" w:noHBand="0" w:noVBand="1"/>
      </w:tblPr>
      <w:tblGrid>
        <w:gridCol w:w="1771"/>
        <w:gridCol w:w="1412"/>
        <w:gridCol w:w="1474"/>
        <w:gridCol w:w="1856"/>
        <w:gridCol w:w="1509"/>
        <w:gridCol w:w="1554"/>
      </w:tblGrid>
      <w:tr w:rsidR="00445FE9" w:rsidRPr="00130E1D" w14:paraId="23972DBD" w14:textId="77777777" w:rsidTr="00FA57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1" w:type="dxa"/>
            <w:tcBorders>
              <w:bottom w:val="single" w:sz="24" w:space="0" w:color="auto"/>
            </w:tcBorders>
            <w:hideMark/>
          </w:tcPr>
          <w:p w14:paraId="1333F2D7" w14:textId="77777777" w:rsidR="00445FE9" w:rsidRPr="00130E1D" w:rsidRDefault="00445FE9" w:rsidP="00FA5721">
            <w:pPr>
              <w:ind w:left="0"/>
              <w:jc w:val="center"/>
              <w:rPr>
                <w:rFonts w:asciiTheme="minorHAnsi" w:hAnsiTheme="minorHAnsi"/>
                <w:b/>
                <w:sz w:val="22"/>
                <w:szCs w:val="22"/>
              </w:rPr>
            </w:pPr>
            <w:r w:rsidRPr="00130E1D">
              <w:rPr>
                <w:rFonts w:asciiTheme="minorHAnsi" w:hAnsiTheme="minorHAnsi"/>
                <w:b/>
                <w:sz w:val="22"/>
                <w:szCs w:val="22"/>
              </w:rPr>
              <w:t>Program</w:t>
            </w:r>
          </w:p>
        </w:tc>
        <w:tc>
          <w:tcPr>
            <w:tcW w:w="1412" w:type="dxa"/>
            <w:tcBorders>
              <w:bottom w:val="single" w:sz="24" w:space="0" w:color="auto"/>
            </w:tcBorders>
            <w:hideMark/>
          </w:tcPr>
          <w:p w14:paraId="4AF7CC24" w14:textId="77777777" w:rsidR="00445FE9" w:rsidRPr="00130E1D" w:rsidRDefault="00445FE9" w:rsidP="00FA572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szCs w:val="22"/>
              </w:rPr>
            </w:pPr>
            <w:r w:rsidRPr="00130E1D">
              <w:rPr>
                <w:rFonts w:asciiTheme="minorHAnsi" w:hAnsiTheme="minorHAnsi"/>
                <w:b/>
                <w:sz w:val="22"/>
                <w:szCs w:val="22"/>
              </w:rPr>
              <w:t>State</w:t>
            </w:r>
          </w:p>
        </w:tc>
        <w:tc>
          <w:tcPr>
            <w:tcW w:w="1474" w:type="dxa"/>
            <w:tcBorders>
              <w:bottom w:val="single" w:sz="24" w:space="0" w:color="auto"/>
            </w:tcBorders>
            <w:hideMark/>
          </w:tcPr>
          <w:p w14:paraId="1F5F5719" w14:textId="77777777" w:rsidR="00445FE9" w:rsidRPr="00130E1D" w:rsidRDefault="00445FE9" w:rsidP="00FA572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szCs w:val="22"/>
              </w:rPr>
            </w:pPr>
            <w:r w:rsidRPr="00130E1D">
              <w:rPr>
                <w:rFonts w:asciiTheme="minorHAnsi" w:hAnsiTheme="minorHAnsi"/>
                <w:b/>
                <w:sz w:val="22"/>
                <w:szCs w:val="22"/>
              </w:rPr>
              <w:t>Local</w:t>
            </w:r>
          </w:p>
        </w:tc>
        <w:tc>
          <w:tcPr>
            <w:tcW w:w="1856" w:type="dxa"/>
            <w:tcBorders>
              <w:bottom w:val="single" w:sz="24" w:space="0" w:color="auto"/>
            </w:tcBorders>
            <w:hideMark/>
          </w:tcPr>
          <w:p w14:paraId="279D21A4" w14:textId="77777777" w:rsidR="00445FE9" w:rsidRPr="00130E1D" w:rsidRDefault="00445FE9" w:rsidP="00FA572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szCs w:val="22"/>
              </w:rPr>
            </w:pPr>
            <w:r w:rsidRPr="00130E1D">
              <w:rPr>
                <w:rFonts w:asciiTheme="minorHAnsi" w:hAnsiTheme="minorHAnsi"/>
                <w:b/>
                <w:sz w:val="22"/>
                <w:szCs w:val="22"/>
              </w:rPr>
              <w:t>Territorial</w:t>
            </w:r>
          </w:p>
        </w:tc>
        <w:tc>
          <w:tcPr>
            <w:tcW w:w="1509" w:type="dxa"/>
            <w:tcBorders>
              <w:bottom w:val="single" w:sz="24" w:space="0" w:color="auto"/>
            </w:tcBorders>
            <w:hideMark/>
          </w:tcPr>
          <w:p w14:paraId="522055F6" w14:textId="77777777" w:rsidR="00445FE9" w:rsidRPr="00130E1D" w:rsidRDefault="00445FE9" w:rsidP="00FA572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szCs w:val="22"/>
              </w:rPr>
            </w:pPr>
            <w:r w:rsidRPr="00130E1D">
              <w:rPr>
                <w:rFonts w:asciiTheme="minorHAnsi" w:hAnsiTheme="minorHAnsi"/>
                <w:b/>
                <w:sz w:val="22"/>
                <w:szCs w:val="22"/>
              </w:rPr>
              <w:t>Tribal</w:t>
            </w:r>
          </w:p>
        </w:tc>
        <w:tc>
          <w:tcPr>
            <w:tcW w:w="1554" w:type="dxa"/>
            <w:hideMark/>
          </w:tcPr>
          <w:p w14:paraId="3D8E9FD9" w14:textId="77777777" w:rsidR="00445FE9" w:rsidRPr="00130E1D" w:rsidRDefault="00445FE9" w:rsidP="00FA572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szCs w:val="22"/>
              </w:rPr>
            </w:pPr>
            <w:r w:rsidRPr="00130E1D">
              <w:rPr>
                <w:rFonts w:asciiTheme="minorHAnsi" w:hAnsiTheme="minorHAnsi"/>
                <w:b/>
                <w:sz w:val="22"/>
                <w:szCs w:val="22"/>
              </w:rPr>
              <w:t>TOTAL</w:t>
            </w:r>
          </w:p>
        </w:tc>
      </w:tr>
      <w:tr w:rsidR="00445FE9" w:rsidRPr="00130E1D" w14:paraId="7F95C522" w14:textId="77777777" w:rsidTr="00FA5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Borders>
              <w:top w:val="single" w:sz="24" w:space="0" w:color="auto"/>
              <w:left w:val="single" w:sz="4" w:space="0" w:color="auto"/>
              <w:right w:val="nil"/>
            </w:tcBorders>
            <w:shd w:val="clear" w:color="auto" w:fill="D9D9D9" w:themeFill="background1" w:themeFillShade="D9"/>
            <w:hideMark/>
          </w:tcPr>
          <w:p w14:paraId="79C26055" w14:textId="77777777" w:rsidR="00445FE9" w:rsidRPr="00130E1D" w:rsidRDefault="00445FE9" w:rsidP="00FA5721">
            <w:pPr>
              <w:ind w:left="0"/>
              <w:jc w:val="center"/>
              <w:rPr>
                <w:rFonts w:asciiTheme="minorHAnsi" w:hAnsiTheme="minorHAnsi"/>
                <w:b/>
              </w:rPr>
            </w:pPr>
            <w:r w:rsidRPr="00130E1D">
              <w:rPr>
                <w:rFonts w:asciiTheme="minorHAnsi" w:hAnsiTheme="minorHAnsi"/>
                <w:b/>
              </w:rPr>
              <w:t>PHEP</w:t>
            </w:r>
          </w:p>
        </w:tc>
        <w:tc>
          <w:tcPr>
            <w:tcW w:w="1412" w:type="dxa"/>
            <w:tcBorders>
              <w:top w:val="single" w:sz="24" w:space="0" w:color="auto"/>
            </w:tcBorders>
            <w:shd w:val="clear" w:color="auto" w:fill="D9D9D9" w:themeFill="background1" w:themeFillShade="D9"/>
            <w:hideMark/>
          </w:tcPr>
          <w:p w14:paraId="30F69152"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t>50</w:t>
            </w:r>
          </w:p>
        </w:tc>
        <w:tc>
          <w:tcPr>
            <w:tcW w:w="1474" w:type="dxa"/>
            <w:tcBorders>
              <w:top w:val="single" w:sz="24" w:space="0" w:color="auto"/>
            </w:tcBorders>
            <w:shd w:val="clear" w:color="auto" w:fill="D9D9D9" w:themeFill="background1" w:themeFillShade="D9"/>
            <w:hideMark/>
          </w:tcPr>
          <w:p w14:paraId="7E31B49A"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t>4</w:t>
            </w:r>
          </w:p>
        </w:tc>
        <w:tc>
          <w:tcPr>
            <w:tcW w:w="1856" w:type="dxa"/>
            <w:tcBorders>
              <w:top w:val="single" w:sz="24" w:space="0" w:color="auto"/>
            </w:tcBorders>
            <w:shd w:val="clear" w:color="auto" w:fill="D9D9D9" w:themeFill="background1" w:themeFillShade="D9"/>
            <w:hideMark/>
          </w:tcPr>
          <w:p w14:paraId="53EA7287"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t>8</w:t>
            </w:r>
          </w:p>
        </w:tc>
        <w:tc>
          <w:tcPr>
            <w:tcW w:w="1509" w:type="dxa"/>
            <w:tcBorders>
              <w:top w:val="single" w:sz="24" w:space="0" w:color="auto"/>
            </w:tcBorders>
            <w:shd w:val="clear" w:color="auto" w:fill="D9D9D9" w:themeFill="background1" w:themeFillShade="D9"/>
            <w:hideMark/>
          </w:tcPr>
          <w:p w14:paraId="6438852D"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t>0</w:t>
            </w:r>
          </w:p>
        </w:tc>
        <w:tc>
          <w:tcPr>
            <w:tcW w:w="1554" w:type="dxa"/>
            <w:tcBorders>
              <w:top w:val="single" w:sz="24" w:space="0" w:color="000000" w:themeColor="text1"/>
            </w:tcBorders>
            <w:shd w:val="clear" w:color="auto" w:fill="D9D9D9" w:themeFill="background1" w:themeFillShade="D9"/>
            <w:hideMark/>
          </w:tcPr>
          <w:p w14:paraId="6759EAE8"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fldChar w:fldCharType="begin"/>
            </w:r>
            <w:r w:rsidRPr="00130E1D">
              <w:rPr>
                <w:rFonts w:asciiTheme="minorHAnsi" w:hAnsiTheme="minorHAnsi"/>
              </w:rPr>
              <w:instrText xml:space="preserve"> =SUM(LEFT) </w:instrText>
            </w:r>
            <w:r w:rsidRPr="00130E1D">
              <w:rPr>
                <w:rFonts w:asciiTheme="minorHAnsi" w:hAnsiTheme="minorHAnsi"/>
              </w:rPr>
              <w:fldChar w:fldCharType="separate"/>
            </w:r>
            <w:r w:rsidRPr="00130E1D">
              <w:rPr>
                <w:rFonts w:asciiTheme="minorHAnsi" w:hAnsiTheme="minorHAnsi"/>
                <w:noProof/>
              </w:rPr>
              <w:t>62</w:t>
            </w:r>
            <w:r w:rsidRPr="00130E1D">
              <w:rPr>
                <w:rFonts w:asciiTheme="minorHAnsi" w:hAnsiTheme="minorHAnsi"/>
              </w:rPr>
              <w:fldChar w:fldCharType="end"/>
            </w:r>
          </w:p>
        </w:tc>
      </w:tr>
      <w:tr w:rsidR="00445FE9" w:rsidRPr="00130E1D" w14:paraId="5C5F90F6" w14:textId="77777777" w:rsidTr="00FA5721">
        <w:tc>
          <w:tcPr>
            <w:cnfStyle w:val="001000000000" w:firstRow="0" w:lastRow="0" w:firstColumn="1" w:lastColumn="0" w:oddVBand="0" w:evenVBand="0" w:oddHBand="0" w:evenHBand="0" w:firstRowFirstColumn="0" w:firstRowLastColumn="0" w:lastRowFirstColumn="0" w:lastRowLastColumn="0"/>
            <w:tcW w:w="1771" w:type="dxa"/>
            <w:tcBorders>
              <w:top w:val="nil"/>
              <w:left w:val="single" w:sz="4" w:space="0" w:color="auto"/>
              <w:right w:val="nil"/>
            </w:tcBorders>
            <w:hideMark/>
          </w:tcPr>
          <w:p w14:paraId="2FB8970C" w14:textId="77777777" w:rsidR="00445FE9" w:rsidRPr="00130E1D" w:rsidRDefault="00445FE9" w:rsidP="00FA5721">
            <w:pPr>
              <w:ind w:left="0"/>
              <w:jc w:val="center"/>
              <w:rPr>
                <w:rFonts w:asciiTheme="minorHAnsi" w:hAnsiTheme="minorHAnsi"/>
                <w:b/>
              </w:rPr>
            </w:pPr>
            <w:r w:rsidRPr="00130E1D">
              <w:rPr>
                <w:rFonts w:asciiTheme="minorHAnsi" w:hAnsiTheme="minorHAnsi"/>
                <w:b/>
              </w:rPr>
              <w:t>Rad Control</w:t>
            </w:r>
          </w:p>
        </w:tc>
        <w:tc>
          <w:tcPr>
            <w:tcW w:w="1412" w:type="dxa"/>
            <w:tcBorders>
              <w:left w:val="nil"/>
            </w:tcBorders>
            <w:hideMark/>
          </w:tcPr>
          <w:p w14:paraId="57877E33"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30E1D">
              <w:rPr>
                <w:rFonts w:asciiTheme="minorHAnsi" w:hAnsiTheme="minorHAnsi"/>
              </w:rPr>
              <w:t>52</w:t>
            </w:r>
          </w:p>
        </w:tc>
        <w:tc>
          <w:tcPr>
            <w:tcW w:w="1474" w:type="dxa"/>
            <w:hideMark/>
          </w:tcPr>
          <w:p w14:paraId="04015860"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30E1D">
              <w:rPr>
                <w:rFonts w:asciiTheme="minorHAnsi" w:hAnsiTheme="minorHAnsi"/>
              </w:rPr>
              <w:t>4</w:t>
            </w:r>
          </w:p>
        </w:tc>
        <w:tc>
          <w:tcPr>
            <w:tcW w:w="1856" w:type="dxa"/>
            <w:hideMark/>
          </w:tcPr>
          <w:p w14:paraId="42A8194A"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30E1D">
              <w:rPr>
                <w:rFonts w:asciiTheme="minorHAnsi" w:hAnsiTheme="minorHAnsi"/>
              </w:rPr>
              <w:t>1</w:t>
            </w:r>
          </w:p>
        </w:tc>
        <w:tc>
          <w:tcPr>
            <w:tcW w:w="1509" w:type="dxa"/>
            <w:hideMark/>
          </w:tcPr>
          <w:p w14:paraId="45DF117C"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30E1D">
              <w:rPr>
                <w:rFonts w:asciiTheme="minorHAnsi" w:hAnsiTheme="minorHAnsi"/>
              </w:rPr>
              <w:t>0</w:t>
            </w:r>
          </w:p>
        </w:tc>
        <w:tc>
          <w:tcPr>
            <w:tcW w:w="1554" w:type="dxa"/>
            <w:hideMark/>
          </w:tcPr>
          <w:p w14:paraId="19AEA794"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30E1D">
              <w:rPr>
                <w:rFonts w:asciiTheme="minorHAnsi" w:hAnsiTheme="minorHAnsi"/>
              </w:rPr>
              <w:fldChar w:fldCharType="begin"/>
            </w:r>
            <w:r w:rsidRPr="00130E1D">
              <w:rPr>
                <w:rFonts w:asciiTheme="minorHAnsi" w:hAnsiTheme="minorHAnsi"/>
              </w:rPr>
              <w:instrText xml:space="preserve"> =SUM(left) </w:instrText>
            </w:r>
            <w:r w:rsidRPr="00130E1D">
              <w:rPr>
                <w:rFonts w:asciiTheme="minorHAnsi" w:hAnsiTheme="minorHAnsi"/>
              </w:rPr>
              <w:fldChar w:fldCharType="separate"/>
            </w:r>
            <w:r w:rsidRPr="00130E1D">
              <w:rPr>
                <w:rFonts w:asciiTheme="minorHAnsi" w:hAnsiTheme="minorHAnsi"/>
                <w:noProof/>
              </w:rPr>
              <w:t>57</w:t>
            </w:r>
            <w:r w:rsidRPr="00130E1D">
              <w:rPr>
                <w:rFonts w:asciiTheme="minorHAnsi" w:hAnsiTheme="minorHAnsi"/>
              </w:rPr>
              <w:fldChar w:fldCharType="end"/>
            </w:r>
          </w:p>
        </w:tc>
      </w:tr>
      <w:tr w:rsidR="00445FE9" w:rsidRPr="00130E1D" w14:paraId="6FE95EA5" w14:textId="77777777" w:rsidTr="00FA5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Borders>
              <w:left w:val="single" w:sz="4" w:space="0" w:color="auto"/>
              <w:right w:val="nil"/>
            </w:tcBorders>
            <w:shd w:val="clear" w:color="auto" w:fill="D9D9D9" w:themeFill="background1" w:themeFillShade="D9"/>
            <w:hideMark/>
          </w:tcPr>
          <w:p w14:paraId="5949100C" w14:textId="77777777" w:rsidR="00445FE9" w:rsidRPr="00130E1D" w:rsidRDefault="00445FE9" w:rsidP="00FA5721">
            <w:pPr>
              <w:ind w:left="0"/>
              <w:jc w:val="center"/>
              <w:rPr>
                <w:rFonts w:asciiTheme="minorHAnsi" w:hAnsiTheme="minorHAnsi"/>
                <w:b/>
              </w:rPr>
            </w:pPr>
            <w:r w:rsidRPr="00130E1D">
              <w:rPr>
                <w:rFonts w:asciiTheme="minorHAnsi" w:hAnsiTheme="minorHAnsi"/>
                <w:b/>
              </w:rPr>
              <w:t>REP</w:t>
            </w:r>
          </w:p>
        </w:tc>
        <w:tc>
          <w:tcPr>
            <w:tcW w:w="1412" w:type="dxa"/>
            <w:shd w:val="clear" w:color="auto" w:fill="D9D9D9" w:themeFill="background1" w:themeFillShade="D9"/>
            <w:hideMark/>
          </w:tcPr>
          <w:p w14:paraId="62F97EAA"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t>32</w:t>
            </w:r>
          </w:p>
        </w:tc>
        <w:tc>
          <w:tcPr>
            <w:tcW w:w="1474" w:type="dxa"/>
            <w:shd w:val="clear" w:color="auto" w:fill="D9D9D9" w:themeFill="background1" w:themeFillShade="D9"/>
            <w:hideMark/>
          </w:tcPr>
          <w:p w14:paraId="187D2597"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t>184</w:t>
            </w:r>
          </w:p>
        </w:tc>
        <w:tc>
          <w:tcPr>
            <w:tcW w:w="1856" w:type="dxa"/>
            <w:shd w:val="clear" w:color="auto" w:fill="D9D9D9" w:themeFill="background1" w:themeFillShade="D9"/>
            <w:hideMark/>
          </w:tcPr>
          <w:p w14:paraId="1417BF91"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t>0</w:t>
            </w:r>
          </w:p>
        </w:tc>
        <w:tc>
          <w:tcPr>
            <w:tcW w:w="1509" w:type="dxa"/>
            <w:shd w:val="clear" w:color="auto" w:fill="D9D9D9" w:themeFill="background1" w:themeFillShade="D9"/>
            <w:hideMark/>
          </w:tcPr>
          <w:p w14:paraId="6E1CC982"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t>1</w:t>
            </w:r>
          </w:p>
        </w:tc>
        <w:tc>
          <w:tcPr>
            <w:tcW w:w="1554" w:type="dxa"/>
            <w:shd w:val="clear" w:color="auto" w:fill="D9D9D9" w:themeFill="background1" w:themeFillShade="D9"/>
            <w:hideMark/>
          </w:tcPr>
          <w:p w14:paraId="616B6408" w14:textId="77777777" w:rsidR="00445FE9" w:rsidRPr="00130E1D" w:rsidRDefault="00445FE9" w:rsidP="00FA57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30E1D">
              <w:rPr>
                <w:rFonts w:asciiTheme="minorHAnsi" w:hAnsiTheme="minorHAnsi"/>
              </w:rPr>
              <w:fldChar w:fldCharType="begin"/>
            </w:r>
            <w:r w:rsidRPr="00130E1D">
              <w:rPr>
                <w:rFonts w:asciiTheme="minorHAnsi" w:hAnsiTheme="minorHAnsi"/>
              </w:rPr>
              <w:instrText xml:space="preserve"> =SUM(left) </w:instrText>
            </w:r>
            <w:r w:rsidRPr="00130E1D">
              <w:rPr>
                <w:rFonts w:asciiTheme="minorHAnsi" w:hAnsiTheme="minorHAnsi"/>
              </w:rPr>
              <w:fldChar w:fldCharType="separate"/>
            </w:r>
            <w:r w:rsidRPr="00130E1D">
              <w:rPr>
                <w:rFonts w:asciiTheme="minorHAnsi" w:hAnsiTheme="minorHAnsi"/>
                <w:noProof/>
              </w:rPr>
              <w:t>217</w:t>
            </w:r>
            <w:r w:rsidRPr="00130E1D">
              <w:rPr>
                <w:rFonts w:asciiTheme="minorHAnsi" w:hAnsiTheme="minorHAnsi"/>
              </w:rPr>
              <w:fldChar w:fldCharType="end"/>
            </w:r>
          </w:p>
        </w:tc>
      </w:tr>
      <w:tr w:rsidR="00445FE9" w:rsidRPr="00130E1D" w14:paraId="4DB9243A" w14:textId="77777777" w:rsidTr="00FA5721">
        <w:tc>
          <w:tcPr>
            <w:cnfStyle w:val="001000000000" w:firstRow="0" w:lastRow="0" w:firstColumn="1" w:lastColumn="0" w:oddVBand="0" w:evenVBand="0" w:oddHBand="0" w:evenHBand="0" w:firstRowFirstColumn="0" w:firstRowLastColumn="0" w:lastRowFirstColumn="0" w:lastRowLastColumn="0"/>
            <w:tcW w:w="1771" w:type="dxa"/>
            <w:tcBorders>
              <w:top w:val="nil"/>
              <w:left w:val="single" w:sz="4" w:space="0" w:color="auto"/>
              <w:bottom w:val="single" w:sz="4" w:space="0" w:color="auto"/>
              <w:right w:val="nil"/>
            </w:tcBorders>
            <w:hideMark/>
          </w:tcPr>
          <w:p w14:paraId="66E0D4AD" w14:textId="77777777" w:rsidR="00445FE9" w:rsidRPr="00130E1D" w:rsidRDefault="00445FE9" w:rsidP="00FA5721">
            <w:pPr>
              <w:ind w:left="0"/>
              <w:jc w:val="center"/>
              <w:rPr>
                <w:rFonts w:asciiTheme="minorHAnsi" w:hAnsiTheme="minorHAnsi"/>
                <w:b/>
              </w:rPr>
            </w:pPr>
            <w:r w:rsidRPr="00130E1D">
              <w:rPr>
                <w:rFonts w:asciiTheme="minorHAnsi" w:hAnsiTheme="minorHAnsi"/>
                <w:b/>
              </w:rPr>
              <w:t>TOTAL</w:t>
            </w:r>
          </w:p>
        </w:tc>
        <w:tc>
          <w:tcPr>
            <w:tcW w:w="1412" w:type="dxa"/>
            <w:tcBorders>
              <w:left w:val="nil"/>
            </w:tcBorders>
            <w:hideMark/>
          </w:tcPr>
          <w:p w14:paraId="5A4BF0E6"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30E1D">
              <w:rPr>
                <w:rFonts w:asciiTheme="minorHAnsi" w:hAnsiTheme="minorHAnsi"/>
              </w:rPr>
              <w:fldChar w:fldCharType="begin"/>
            </w:r>
            <w:r w:rsidRPr="00130E1D">
              <w:rPr>
                <w:rFonts w:asciiTheme="minorHAnsi" w:hAnsiTheme="minorHAnsi"/>
              </w:rPr>
              <w:instrText xml:space="preserve"> =SUM(ABOVE) </w:instrText>
            </w:r>
            <w:r w:rsidRPr="00130E1D">
              <w:rPr>
                <w:rFonts w:asciiTheme="minorHAnsi" w:hAnsiTheme="minorHAnsi"/>
              </w:rPr>
              <w:fldChar w:fldCharType="separate"/>
            </w:r>
            <w:r w:rsidRPr="00130E1D">
              <w:rPr>
                <w:rFonts w:asciiTheme="minorHAnsi" w:hAnsiTheme="minorHAnsi"/>
                <w:noProof/>
              </w:rPr>
              <w:t>134</w:t>
            </w:r>
            <w:r w:rsidRPr="00130E1D">
              <w:rPr>
                <w:rFonts w:asciiTheme="minorHAnsi" w:hAnsiTheme="minorHAnsi"/>
              </w:rPr>
              <w:fldChar w:fldCharType="end"/>
            </w:r>
          </w:p>
        </w:tc>
        <w:tc>
          <w:tcPr>
            <w:tcW w:w="1474" w:type="dxa"/>
            <w:hideMark/>
          </w:tcPr>
          <w:p w14:paraId="2E6591A8"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30E1D">
              <w:rPr>
                <w:rFonts w:asciiTheme="minorHAnsi" w:hAnsiTheme="minorHAnsi"/>
              </w:rPr>
              <w:fldChar w:fldCharType="begin"/>
            </w:r>
            <w:r w:rsidRPr="00130E1D">
              <w:rPr>
                <w:rFonts w:asciiTheme="minorHAnsi" w:hAnsiTheme="minorHAnsi"/>
              </w:rPr>
              <w:instrText xml:space="preserve"> =SUM(ABOVE) </w:instrText>
            </w:r>
            <w:r w:rsidRPr="00130E1D">
              <w:rPr>
                <w:rFonts w:asciiTheme="minorHAnsi" w:hAnsiTheme="minorHAnsi"/>
              </w:rPr>
              <w:fldChar w:fldCharType="separate"/>
            </w:r>
            <w:r w:rsidRPr="00130E1D">
              <w:rPr>
                <w:rFonts w:asciiTheme="minorHAnsi" w:hAnsiTheme="minorHAnsi"/>
                <w:noProof/>
              </w:rPr>
              <w:t>192</w:t>
            </w:r>
            <w:r w:rsidRPr="00130E1D">
              <w:rPr>
                <w:rFonts w:asciiTheme="minorHAnsi" w:hAnsiTheme="minorHAnsi"/>
              </w:rPr>
              <w:fldChar w:fldCharType="end"/>
            </w:r>
          </w:p>
        </w:tc>
        <w:tc>
          <w:tcPr>
            <w:tcW w:w="1856" w:type="dxa"/>
            <w:hideMark/>
          </w:tcPr>
          <w:p w14:paraId="0991954E"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30E1D">
              <w:rPr>
                <w:rFonts w:asciiTheme="minorHAnsi" w:hAnsiTheme="minorHAnsi"/>
              </w:rPr>
              <w:fldChar w:fldCharType="begin"/>
            </w:r>
            <w:r w:rsidRPr="00130E1D">
              <w:rPr>
                <w:rFonts w:asciiTheme="minorHAnsi" w:hAnsiTheme="minorHAnsi"/>
              </w:rPr>
              <w:instrText xml:space="preserve"> =SUM(ABOVE) </w:instrText>
            </w:r>
            <w:r w:rsidRPr="00130E1D">
              <w:rPr>
                <w:rFonts w:asciiTheme="minorHAnsi" w:hAnsiTheme="minorHAnsi"/>
              </w:rPr>
              <w:fldChar w:fldCharType="separate"/>
            </w:r>
            <w:r w:rsidRPr="00130E1D">
              <w:rPr>
                <w:rFonts w:asciiTheme="minorHAnsi" w:hAnsiTheme="minorHAnsi"/>
                <w:noProof/>
              </w:rPr>
              <w:t>9</w:t>
            </w:r>
            <w:r w:rsidRPr="00130E1D">
              <w:rPr>
                <w:rFonts w:asciiTheme="minorHAnsi" w:hAnsiTheme="minorHAnsi"/>
              </w:rPr>
              <w:fldChar w:fldCharType="end"/>
            </w:r>
          </w:p>
        </w:tc>
        <w:tc>
          <w:tcPr>
            <w:tcW w:w="1509" w:type="dxa"/>
            <w:hideMark/>
          </w:tcPr>
          <w:p w14:paraId="31197873"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30E1D">
              <w:rPr>
                <w:rFonts w:asciiTheme="minorHAnsi" w:hAnsiTheme="minorHAnsi"/>
              </w:rPr>
              <w:fldChar w:fldCharType="begin"/>
            </w:r>
            <w:r w:rsidRPr="00130E1D">
              <w:rPr>
                <w:rFonts w:asciiTheme="minorHAnsi" w:hAnsiTheme="minorHAnsi"/>
              </w:rPr>
              <w:instrText xml:space="preserve"> =SUM(ABOVE) </w:instrText>
            </w:r>
            <w:r w:rsidRPr="00130E1D">
              <w:rPr>
                <w:rFonts w:asciiTheme="minorHAnsi" w:hAnsiTheme="minorHAnsi"/>
              </w:rPr>
              <w:fldChar w:fldCharType="separate"/>
            </w:r>
            <w:r w:rsidRPr="00130E1D">
              <w:rPr>
                <w:rFonts w:asciiTheme="minorHAnsi" w:hAnsiTheme="minorHAnsi"/>
                <w:noProof/>
              </w:rPr>
              <w:t>1</w:t>
            </w:r>
            <w:r w:rsidRPr="00130E1D">
              <w:rPr>
                <w:rFonts w:asciiTheme="minorHAnsi" w:hAnsiTheme="minorHAnsi"/>
              </w:rPr>
              <w:fldChar w:fldCharType="end"/>
            </w:r>
          </w:p>
        </w:tc>
        <w:tc>
          <w:tcPr>
            <w:tcW w:w="1554" w:type="dxa"/>
            <w:hideMark/>
          </w:tcPr>
          <w:p w14:paraId="392EA693" w14:textId="77777777" w:rsidR="00445FE9" w:rsidRPr="00130E1D" w:rsidRDefault="00445FE9" w:rsidP="00FA57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130E1D">
              <w:rPr>
                <w:rFonts w:asciiTheme="minorHAnsi" w:hAnsiTheme="minorHAnsi"/>
                <w:b/>
              </w:rPr>
              <w:fldChar w:fldCharType="begin"/>
            </w:r>
            <w:r w:rsidRPr="00130E1D">
              <w:rPr>
                <w:rFonts w:asciiTheme="minorHAnsi" w:hAnsiTheme="minorHAnsi"/>
                <w:b/>
              </w:rPr>
              <w:instrText xml:space="preserve"> =SUM(ABOVE) </w:instrText>
            </w:r>
            <w:r w:rsidRPr="00130E1D">
              <w:rPr>
                <w:rFonts w:asciiTheme="minorHAnsi" w:hAnsiTheme="minorHAnsi"/>
                <w:b/>
              </w:rPr>
              <w:fldChar w:fldCharType="separate"/>
            </w:r>
            <w:r w:rsidRPr="00130E1D">
              <w:rPr>
                <w:rFonts w:asciiTheme="minorHAnsi" w:hAnsiTheme="minorHAnsi"/>
                <w:b/>
                <w:noProof/>
              </w:rPr>
              <w:t>336</w:t>
            </w:r>
            <w:r w:rsidRPr="00130E1D">
              <w:rPr>
                <w:rFonts w:asciiTheme="minorHAnsi" w:hAnsiTheme="minorHAnsi"/>
                <w:b/>
              </w:rPr>
              <w:fldChar w:fldCharType="end"/>
            </w:r>
          </w:p>
        </w:tc>
      </w:tr>
    </w:tbl>
    <w:p w14:paraId="2DDF99D4" w14:textId="77777777" w:rsidR="008974B8" w:rsidRDefault="008974B8" w:rsidP="008974B8">
      <w:pPr>
        <w:ind w:left="0"/>
        <w:rPr>
          <w:rFonts w:ascii="Calibri" w:hAnsi="Calibri"/>
          <w:color w:val="1F497D"/>
        </w:rPr>
      </w:pPr>
    </w:p>
    <w:p w14:paraId="761D2A90" w14:textId="77777777" w:rsidR="008974B8" w:rsidRDefault="008974B8" w:rsidP="008974B8">
      <w:pPr>
        <w:tabs>
          <w:tab w:val="right" w:pos="9360"/>
        </w:tabs>
        <w:ind w:left="0"/>
      </w:pPr>
      <w:r w:rsidRPr="00804A22">
        <w:lastRenderedPageBreak/>
        <w:t xml:space="preserve">The planned information collection will be administered to </w:t>
      </w:r>
      <w:r>
        <w:t xml:space="preserve">the respondents </w:t>
      </w:r>
      <w:r w:rsidRPr="00804A22">
        <w:t xml:space="preserve">with the aid of </w:t>
      </w:r>
      <w:r>
        <w:t xml:space="preserve">partner </w:t>
      </w:r>
      <w:r w:rsidRPr="00804A22">
        <w:t xml:space="preserve">organizations/programs </w:t>
      </w:r>
      <w:r>
        <w:t>that can either provide contact information for respondents or direct potential respondents to the assessment through newsletters and/or links on the organization’s website.  Potential partners for dissemination include</w:t>
      </w:r>
      <w:r w:rsidRPr="00804A22">
        <w:t xml:space="preserve">: </w:t>
      </w:r>
    </w:p>
    <w:p w14:paraId="57F6BA44" w14:textId="77777777" w:rsidR="008974B8" w:rsidRDefault="008974B8" w:rsidP="008974B8">
      <w:pPr>
        <w:pStyle w:val="ListParagraph"/>
        <w:numPr>
          <w:ilvl w:val="0"/>
          <w:numId w:val="26"/>
        </w:numPr>
        <w:tabs>
          <w:tab w:val="right" w:pos="9360"/>
        </w:tabs>
      </w:pPr>
      <w:r>
        <w:t xml:space="preserve">The </w:t>
      </w:r>
      <w:r w:rsidRPr="00804A22">
        <w:t>National Alliance for Radiation Readiness [NARR]</w:t>
      </w:r>
    </w:p>
    <w:p w14:paraId="2F54A862" w14:textId="77777777" w:rsidR="008974B8" w:rsidRDefault="008974B8" w:rsidP="008974B8">
      <w:pPr>
        <w:pStyle w:val="ListParagraph"/>
        <w:numPr>
          <w:ilvl w:val="0"/>
          <w:numId w:val="26"/>
        </w:numPr>
        <w:tabs>
          <w:tab w:val="right" w:pos="9360"/>
        </w:tabs>
      </w:pPr>
      <w:r>
        <w:t>Conference of Radiation Control Program Directors (CRCPD, Inc.)</w:t>
      </w:r>
    </w:p>
    <w:p w14:paraId="5DCC7DBC" w14:textId="77777777" w:rsidR="008974B8" w:rsidRDefault="008974B8" w:rsidP="008974B8">
      <w:pPr>
        <w:pStyle w:val="ListParagraph"/>
        <w:numPr>
          <w:ilvl w:val="0"/>
          <w:numId w:val="26"/>
        </w:numPr>
        <w:tabs>
          <w:tab w:val="right" w:pos="9360"/>
        </w:tabs>
      </w:pPr>
      <w:r>
        <w:t>National Emergency Management Association (NEMA)</w:t>
      </w:r>
    </w:p>
    <w:p w14:paraId="7A0689D4" w14:textId="67E283C6" w:rsidR="001127F9" w:rsidRDefault="001127F9" w:rsidP="008974B8">
      <w:pPr>
        <w:pStyle w:val="ListParagraph"/>
        <w:numPr>
          <w:ilvl w:val="0"/>
          <w:numId w:val="26"/>
        </w:numPr>
        <w:tabs>
          <w:tab w:val="right" w:pos="9360"/>
        </w:tabs>
      </w:pPr>
      <w:r>
        <w:t>International Association of Emergency Managers (IAEM)</w:t>
      </w:r>
    </w:p>
    <w:p w14:paraId="09006FBD" w14:textId="77777777" w:rsidR="008974B8" w:rsidRDefault="008974B8" w:rsidP="008974B8">
      <w:pPr>
        <w:pStyle w:val="ListParagraph"/>
        <w:numPr>
          <w:ilvl w:val="0"/>
          <w:numId w:val="26"/>
        </w:numPr>
        <w:tabs>
          <w:tab w:val="right" w:pos="9360"/>
        </w:tabs>
      </w:pPr>
      <w:r w:rsidRPr="00804A22">
        <w:t>Association of State and Territorial Health Officials [ASTHO]</w:t>
      </w:r>
    </w:p>
    <w:p w14:paraId="70CB6259" w14:textId="77777777" w:rsidR="008974B8" w:rsidRDefault="008974B8" w:rsidP="008974B8">
      <w:pPr>
        <w:pStyle w:val="ListParagraph"/>
        <w:numPr>
          <w:ilvl w:val="0"/>
          <w:numId w:val="26"/>
        </w:numPr>
        <w:tabs>
          <w:tab w:val="right" w:pos="9360"/>
        </w:tabs>
      </w:pPr>
      <w:r w:rsidRPr="00804A22">
        <w:t>Public Health Emergency Preparedness [PHEP] Programs</w:t>
      </w:r>
    </w:p>
    <w:p w14:paraId="4588F57B" w14:textId="77777777" w:rsidR="008974B8" w:rsidRPr="00804A22" w:rsidRDefault="008974B8" w:rsidP="008974B8">
      <w:pPr>
        <w:pStyle w:val="ListParagraph"/>
        <w:numPr>
          <w:ilvl w:val="0"/>
          <w:numId w:val="26"/>
        </w:numPr>
        <w:tabs>
          <w:tab w:val="right" w:pos="9360"/>
        </w:tabs>
      </w:pPr>
      <w:r w:rsidRPr="00804A22">
        <w:t>National Association of County and City Health Officials [NACCHO]</w:t>
      </w:r>
      <w:r w:rsidRPr="00804A22" w:rsidDel="008F6CFE">
        <w:t xml:space="preserve"> </w:t>
      </w:r>
    </w:p>
    <w:p w14:paraId="0BD44F1C" w14:textId="77777777" w:rsidR="001A69E2" w:rsidRDefault="001A69E2" w:rsidP="001A69E2">
      <w:pPr>
        <w:ind w:left="0"/>
      </w:pPr>
    </w:p>
    <w:p w14:paraId="0BD44F1D" w14:textId="77777777" w:rsidR="00287E2F" w:rsidRPr="009759F3" w:rsidRDefault="00287E2F" w:rsidP="00DF71DD">
      <w:pPr>
        <w:pStyle w:val="Heading2"/>
      </w:pPr>
      <w:bookmarkStart w:id="4" w:name="_Toc414625238"/>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0BD44F1E" w14:textId="7C92513E" w:rsidR="001A69E2" w:rsidRPr="00A47587" w:rsidRDefault="001A69E2" w:rsidP="001A69E2">
      <w:pPr>
        <w:ind w:left="0"/>
      </w:pPr>
      <w:r w:rsidRPr="00A47587">
        <w:t xml:space="preserve">Data will be collected through a one-time web-based assessment and the respondents will be sent an email notification with a link to the information collection instrument </w:t>
      </w:r>
      <w:r w:rsidRPr="00222056">
        <w:t>(see</w:t>
      </w:r>
      <w:r w:rsidRPr="00A47587">
        <w:rPr>
          <w:b/>
        </w:rPr>
        <w:t xml:space="preserve"> Att</w:t>
      </w:r>
      <w:r w:rsidR="00C75E73">
        <w:rPr>
          <w:b/>
        </w:rPr>
        <w:t>.</w:t>
      </w:r>
      <w:r w:rsidR="00445FE9">
        <w:rPr>
          <w:b/>
        </w:rPr>
        <w:t xml:space="preserve"> </w:t>
      </w:r>
      <w:r w:rsidRPr="00A47587">
        <w:rPr>
          <w:b/>
        </w:rPr>
        <w:t xml:space="preserve"> </w:t>
      </w:r>
      <w:proofErr w:type="gramStart"/>
      <w:r w:rsidR="008974B8">
        <w:rPr>
          <w:b/>
        </w:rPr>
        <w:t>G</w:t>
      </w:r>
      <w:r w:rsidRPr="00A47587">
        <w:rPr>
          <w:b/>
        </w:rPr>
        <w:t>—Notification Email</w:t>
      </w:r>
      <w:r w:rsidRPr="00222056">
        <w:t>).</w:t>
      </w:r>
      <w:proofErr w:type="gramEnd"/>
      <w:r w:rsidRPr="00222056">
        <w:t xml:space="preserve"> </w:t>
      </w:r>
      <w:r w:rsidRPr="00A47587">
        <w:t>The notification email will explain:</w:t>
      </w:r>
    </w:p>
    <w:p w14:paraId="0BD44F1F" w14:textId="09876E74" w:rsidR="001A69E2" w:rsidRDefault="00445FE9" w:rsidP="001A69E2">
      <w:pPr>
        <w:pStyle w:val="ListParagraph"/>
        <w:numPr>
          <w:ilvl w:val="0"/>
          <w:numId w:val="26"/>
        </w:numPr>
      </w:pPr>
      <w:r>
        <w:t>The purpose of the assessment</w:t>
      </w:r>
    </w:p>
    <w:p w14:paraId="2AEAB751" w14:textId="21FEDF29" w:rsidR="00445FE9" w:rsidRDefault="00445FE9" w:rsidP="001A69E2">
      <w:pPr>
        <w:pStyle w:val="ListParagraph"/>
        <w:numPr>
          <w:ilvl w:val="0"/>
          <w:numId w:val="26"/>
        </w:numPr>
      </w:pPr>
      <w:r>
        <w:t>The link to the web assessment</w:t>
      </w:r>
    </w:p>
    <w:p w14:paraId="00CFF779" w14:textId="65A49B7F" w:rsidR="008974B8" w:rsidRDefault="00445FE9" w:rsidP="008974B8">
      <w:pPr>
        <w:pStyle w:val="ListParagraph"/>
        <w:numPr>
          <w:ilvl w:val="0"/>
          <w:numId w:val="26"/>
        </w:numPr>
      </w:pPr>
      <w:r>
        <w:t xml:space="preserve">The time it will take to </w:t>
      </w:r>
      <w:r w:rsidR="004E17CE">
        <w:t>complete</w:t>
      </w:r>
      <w:r w:rsidR="00B855F1">
        <w:t xml:space="preserve"> </w:t>
      </w:r>
      <w:r>
        <w:t>the assessment</w:t>
      </w:r>
    </w:p>
    <w:p w14:paraId="3C25E5E0" w14:textId="7E42479D" w:rsidR="00445FE9" w:rsidRDefault="008974B8" w:rsidP="008974B8">
      <w:pPr>
        <w:pStyle w:val="ListParagraph"/>
        <w:numPr>
          <w:ilvl w:val="0"/>
          <w:numId w:val="26"/>
        </w:numPr>
      </w:pPr>
      <w:r>
        <w:t xml:space="preserve">Participation in the </w:t>
      </w:r>
      <w:r w:rsidR="00445FE9">
        <w:t>assessment is voluntary</w:t>
      </w:r>
    </w:p>
    <w:p w14:paraId="4FC25D8D" w14:textId="6E8BCC4D" w:rsidR="008974B8" w:rsidRPr="00A47587" w:rsidRDefault="008974B8" w:rsidP="008974B8">
      <w:pPr>
        <w:pStyle w:val="ListParagraph"/>
        <w:numPr>
          <w:ilvl w:val="0"/>
          <w:numId w:val="26"/>
        </w:numPr>
      </w:pPr>
      <w:r>
        <w:t>Contact information for ORAU and CDC personnel if they have questions about the assessment</w:t>
      </w:r>
    </w:p>
    <w:p w14:paraId="0BD44F20" w14:textId="53DF3079" w:rsidR="001A69E2" w:rsidRPr="0046166B" w:rsidRDefault="001A69E2" w:rsidP="001A69E2">
      <w:pPr>
        <w:ind w:left="0"/>
      </w:pPr>
      <w:r w:rsidRPr="0046166B">
        <w:t xml:space="preserve">The email will also state instructions for participating and a link to the online assessment and consent form. </w:t>
      </w:r>
    </w:p>
    <w:p w14:paraId="0BD44F21" w14:textId="77777777" w:rsidR="001A69E2" w:rsidRPr="0046166B" w:rsidRDefault="001A69E2" w:rsidP="001A69E2"/>
    <w:p w14:paraId="0BD44F22" w14:textId="07711B1E" w:rsidR="001A69E2" w:rsidRPr="0046166B" w:rsidRDefault="001A69E2" w:rsidP="001A69E2">
      <w:pPr>
        <w:ind w:left="0"/>
      </w:pPr>
      <w:r w:rsidRPr="0046166B">
        <w:t xml:space="preserve">Respondents will be asked for their response to the instrument within a </w:t>
      </w:r>
      <w:r w:rsidR="005C049A">
        <w:t>4</w:t>
      </w:r>
      <w:r w:rsidR="00DC5584">
        <w:t xml:space="preserve"> </w:t>
      </w:r>
      <w:r w:rsidRPr="0046166B">
        <w:t xml:space="preserve">week period to allow ample time for respondents to complete it. </w:t>
      </w:r>
      <w:r w:rsidRPr="00A47587">
        <w:t xml:space="preserve">Email reminders will be sent to non-responders on day </w:t>
      </w:r>
      <w:r w:rsidR="005C049A">
        <w:t>14</w:t>
      </w:r>
      <w:r w:rsidRPr="00A47587">
        <w:t xml:space="preserve"> and day </w:t>
      </w:r>
      <w:r w:rsidR="005C049A">
        <w:t>21</w:t>
      </w:r>
      <w:r w:rsidRPr="00A47587">
        <w:t xml:space="preserve"> of the assessment open period (see </w:t>
      </w:r>
      <w:proofErr w:type="spellStart"/>
      <w:proofErr w:type="gramStart"/>
      <w:r w:rsidR="002E3EF8">
        <w:rPr>
          <w:b/>
        </w:rPr>
        <w:t>Att</w:t>
      </w:r>
      <w:proofErr w:type="spellEnd"/>
      <w:r w:rsidRPr="00A47587">
        <w:rPr>
          <w:b/>
        </w:rPr>
        <w:t xml:space="preserve"> </w:t>
      </w:r>
      <w:r w:rsidR="00943D62">
        <w:rPr>
          <w:b/>
        </w:rPr>
        <w:t>.</w:t>
      </w:r>
      <w:proofErr w:type="gramEnd"/>
      <w:r w:rsidR="00943D62">
        <w:rPr>
          <w:b/>
        </w:rPr>
        <w:t xml:space="preserve"> </w:t>
      </w:r>
      <w:r w:rsidR="008974B8">
        <w:rPr>
          <w:b/>
        </w:rPr>
        <w:t>H</w:t>
      </w:r>
      <w:r w:rsidR="00445FE9">
        <w:rPr>
          <w:b/>
        </w:rPr>
        <w:t xml:space="preserve"> </w:t>
      </w:r>
      <w:r w:rsidRPr="00A47587">
        <w:rPr>
          <w:b/>
        </w:rPr>
        <w:t xml:space="preserve">&amp; </w:t>
      </w:r>
      <w:r w:rsidR="008974B8">
        <w:rPr>
          <w:b/>
        </w:rPr>
        <w:t>I</w:t>
      </w:r>
      <w:r w:rsidRPr="00A47587">
        <w:rPr>
          <w:b/>
        </w:rPr>
        <w:t>—Reminder Emails</w:t>
      </w:r>
      <w:r w:rsidRPr="00A47587">
        <w:t xml:space="preserve">).  </w:t>
      </w:r>
      <w:r w:rsidRPr="0046166B">
        <w:t xml:space="preserve">Respondents may complete the assessment in multiple sessions, if necessary. </w:t>
      </w:r>
    </w:p>
    <w:p w14:paraId="0BD44F23" w14:textId="77777777" w:rsidR="001A69E2" w:rsidRPr="0046166B" w:rsidRDefault="001A69E2" w:rsidP="001A69E2"/>
    <w:p w14:paraId="0BD44F25" w14:textId="77D9E0CF" w:rsidR="001A69E2" w:rsidRDefault="001A69E2" w:rsidP="001A69E2">
      <w:pPr>
        <w:ind w:left="0"/>
      </w:pPr>
      <w:r w:rsidRPr="0046166B">
        <w:t>Data from the web-based instrument will be downloaded, cleaned, and analyzed in</w:t>
      </w:r>
      <w:r w:rsidR="00FA5721">
        <w:t xml:space="preserve"> SPSS</w:t>
      </w:r>
      <w:r w:rsidRPr="0046166B">
        <w:t>.</w:t>
      </w:r>
      <w:r w:rsidR="00FA5721" w:rsidRPr="00FA5721">
        <w:t xml:space="preserve"> </w:t>
      </w:r>
      <w:r w:rsidR="00FA5721">
        <w:t xml:space="preserve">Quantitative analyses will involve using descriptive statistics to determine frequency distributions for responses to each </w:t>
      </w:r>
      <w:r w:rsidR="00E553B2">
        <w:t>item</w:t>
      </w:r>
      <w:r w:rsidR="00FA5721">
        <w:t xml:space="preserve">. </w:t>
      </w:r>
      <w:r w:rsidR="00E553B2">
        <w:t>Qualitative thematic analyses will be conducted on the one open-ended item.</w:t>
      </w:r>
    </w:p>
    <w:p w14:paraId="7258A9CB" w14:textId="77777777" w:rsidR="00E553B2" w:rsidRDefault="00E553B2" w:rsidP="001A69E2">
      <w:pPr>
        <w:ind w:left="0"/>
      </w:pPr>
    </w:p>
    <w:p w14:paraId="0BD44F26" w14:textId="4E76C615" w:rsidR="009759F3" w:rsidRPr="009759F3" w:rsidRDefault="00287E2F" w:rsidP="00DF71DD">
      <w:pPr>
        <w:pStyle w:val="Heading2"/>
      </w:pPr>
      <w:bookmarkStart w:id="5" w:name="_Toc414625239"/>
      <w:r w:rsidRPr="00D26A64">
        <w:t>Methods to Maximize Response Rates</w:t>
      </w:r>
      <w:r w:rsidR="00F725B5">
        <w:t xml:space="preserve"> </w:t>
      </w:r>
      <w:r w:rsidR="009759F3" w:rsidRPr="009759F3">
        <w:t>Deal with Nonresponse</w:t>
      </w:r>
      <w:bookmarkEnd w:id="5"/>
    </w:p>
    <w:p w14:paraId="0BD44F27" w14:textId="5BBED0F5" w:rsidR="00991BF9" w:rsidRDefault="001A69E2" w:rsidP="001A69E2">
      <w:pPr>
        <w:ind w:left="0"/>
        <w:rPr>
          <w:b/>
        </w:rPr>
      </w:pPr>
      <w:r w:rsidRPr="001A69E2">
        <w:t xml:space="preserve">Although participation in the assessment is voluntary, the project lead will make every effort to maximize the rate of response. The assessment tool was designed with particular focus on streamlining questions to allow for skipping questions based on responses to previous questions, thereby minimizing response burden. Email notification and reminder emails will be sent to maximize response rates. An email reminder will be sent on day </w:t>
      </w:r>
      <w:r w:rsidR="005C049A">
        <w:t>14</w:t>
      </w:r>
      <w:r w:rsidRPr="001A69E2">
        <w:t xml:space="preserve"> and day </w:t>
      </w:r>
      <w:r w:rsidR="005C049A">
        <w:t>21</w:t>
      </w:r>
      <w:r w:rsidRPr="001A69E2">
        <w:t xml:space="preserve"> of the assessment’s open period (see </w:t>
      </w:r>
      <w:r w:rsidR="00445FE9">
        <w:rPr>
          <w:b/>
        </w:rPr>
        <w:t>Att</w:t>
      </w:r>
      <w:r w:rsidR="00943D62">
        <w:rPr>
          <w:b/>
        </w:rPr>
        <w:t>.</w:t>
      </w:r>
      <w:r w:rsidR="00445FE9">
        <w:rPr>
          <w:b/>
        </w:rPr>
        <w:t xml:space="preserve"> </w:t>
      </w:r>
      <w:r w:rsidR="008974B8">
        <w:rPr>
          <w:b/>
        </w:rPr>
        <w:t>H</w:t>
      </w:r>
      <w:r w:rsidR="00445FE9">
        <w:rPr>
          <w:b/>
        </w:rPr>
        <w:t xml:space="preserve"> &amp; </w:t>
      </w:r>
      <w:r w:rsidR="008974B8">
        <w:rPr>
          <w:b/>
        </w:rPr>
        <w:t>I</w:t>
      </w:r>
      <w:r w:rsidRPr="001A69E2">
        <w:rPr>
          <w:b/>
        </w:rPr>
        <w:t>—Reminder Emails</w:t>
      </w:r>
      <w:r w:rsidR="00DC5584">
        <w:rPr>
          <w:b/>
        </w:rPr>
        <w:t>)</w:t>
      </w:r>
      <w:r>
        <w:rPr>
          <w:b/>
        </w:rPr>
        <w:t>.</w:t>
      </w:r>
    </w:p>
    <w:p w14:paraId="0BD44F28" w14:textId="77777777" w:rsidR="001A69E2" w:rsidRDefault="001A69E2" w:rsidP="001A69E2">
      <w:pPr>
        <w:ind w:left="0"/>
      </w:pPr>
    </w:p>
    <w:p w14:paraId="0BD44F29" w14:textId="77777777" w:rsidR="00F52BCC" w:rsidRPr="009759F3" w:rsidRDefault="00287E2F" w:rsidP="00DF71DD">
      <w:pPr>
        <w:pStyle w:val="Heading2"/>
      </w:pPr>
      <w:bookmarkStart w:id="6" w:name="_Toc414625240"/>
      <w:r w:rsidRPr="005F3FEF">
        <w:t xml:space="preserve">Test of Procedures </w:t>
      </w:r>
      <w:r w:rsidR="009759F3" w:rsidRPr="009759F3">
        <w:t xml:space="preserve">or Methods to be </w:t>
      </w:r>
      <w:proofErr w:type="gramStart"/>
      <w:r w:rsidR="009759F3" w:rsidRPr="009759F3">
        <w:t>Undertaken</w:t>
      </w:r>
      <w:bookmarkEnd w:id="6"/>
      <w:proofErr w:type="gramEnd"/>
    </w:p>
    <w:p w14:paraId="0BD44F2B" w14:textId="0E439B4F" w:rsidR="00F52BCC" w:rsidRPr="008974B8" w:rsidRDefault="00AA54F6" w:rsidP="008974B8">
      <w:pPr>
        <w:ind w:left="0"/>
      </w:pPr>
      <w:r w:rsidRPr="008974B8">
        <w:t>The estimate for burden hours is based on a pilot test of the information collection instrument by nine of public health preparedness professionals. In the pilot test, the average time to complete the instrument including time for reviewing instructions, gathering needed information and completing the instrument, was approximately 20 minutes. Based on these results, the estimated time range for actual respondents to complete the instrument is 15-20 minutes. For the purposes of estimating burden hours, the upper limit of this range (i.e., 20 minutes) is used.</w:t>
      </w:r>
    </w:p>
    <w:p w14:paraId="28596479" w14:textId="77777777" w:rsidR="00445FE9" w:rsidRDefault="00445FE9" w:rsidP="00991BF9">
      <w:pPr>
        <w:ind w:left="360"/>
      </w:pPr>
    </w:p>
    <w:p w14:paraId="0BD44F2C" w14:textId="77777777" w:rsidR="009759F3" w:rsidRPr="009759F3" w:rsidRDefault="009759F3" w:rsidP="00DF71DD">
      <w:pPr>
        <w:pStyle w:val="Heading2"/>
      </w:pPr>
      <w:bookmarkStart w:id="7" w:name="_Toc414625241"/>
      <w:r w:rsidRPr="009759F3">
        <w:t>Individuals Consulted on Statistical Aspects and Individuals Collecting and/or Analyzing Data</w:t>
      </w:r>
      <w:bookmarkEnd w:id="7"/>
    </w:p>
    <w:p w14:paraId="0BD44F2D" w14:textId="77777777" w:rsidR="001A69E2" w:rsidRDefault="001A69E2" w:rsidP="001A69E2">
      <w:pPr>
        <w:ind w:left="0"/>
      </w:pPr>
      <w:r>
        <w:t>CDC and ORAU staff members will be responsible for majority of the data collection and analysis activities.</w:t>
      </w:r>
    </w:p>
    <w:p w14:paraId="0BD44F2E" w14:textId="77777777" w:rsidR="001A69E2" w:rsidRDefault="001A69E2" w:rsidP="001A69E2">
      <w:pPr>
        <w:ind w:left="0"/>
      </w:pPr>
    </w:p>
    <w:p w14:paraId="0BD44F2F" w14:textId="3F766D40" w:rsidR="001A69E2" w:rsidRDefault="001A69E2" w:rsidP="001A69E2">
      <w:pPr>
        <w:ind w:left="0"/>
      </w:pPr>
      <w:r>
        <w:t xml:space="preserve"> Name: Carol McCurley                                                                                                                                                              Title: Lead Health Education Specialist                                                                                                          Phone:</w:t>
      </w:r>
      <w:r w:rsidR="00943D62" w:rsidRPr="00943D62">
        <w:rPr>
          <w:color w:val="0070C0"/>
        </w:rPr>
        <w:t xml:space="preserve"> </w:t>
      </w:r>
      <w:r w:rsidR="00943D62" w:rsidRPr="00943D62">
        <w:t>770-488-3738</w:t>
      </w:r>
    </w:p>
    <w:p w14:paraId="0BD44F30" w14:textId="77777777" w:rsidR="00287E2F" w:rsidRPr="00281795" w:rsidRDefault="001A69E2" w:rsidP="001A69E2">
      <w:pPr>
        <w:ind w:left="0"/>
      </w:pPr>
      <w:r>
        <w:t xml:space="preserve">Email: cmo3@cdc.gov                                                                                                                                                    </w:t>
      </w:r>
    </w:p>
    <w:p w14:paraId="0BD44F31" w14:textId="77777777" w:rsidR="00E24C20" w:rsidRDefault="00E24C20" w:rsidP="001A69E2">
      <w:pPr>
        <w:ind w:left="0"/>
      </w:pPr>
    </w:p>
    <w:p w14:paraId="0BD44F32" w14:textId="77777777" w:rsidR="001A69E2" w:rsidRPr="001A69E2" w:rsidRDefault="001A69E2" w:rsidP="001A69E2">
      <w:pPr>
        <w:ind w:left="0"/>
      </w:pPr>
      <w:r w:rsidRPr="001A69E2">
        <w:t xml:space="preserve">Name: Karen Carera </w:t>
      </w:r>
    </w:p>
    <w:p w14:paraId="0BD44F33" w14:textId="77777777" w:rsidR="001A69E2" w:rsidRPr="001A69E2" w:rsidRDefault="001A69E2" w:rsidP="001A69E2">
      <w:pPr>
        <w:ind w:left="0"/>
      </w:pPr>
      <w:r w:rsidRPr="001A69E2">
        <w:t xml:space="preserve">Title: Evaluation Specialist </w:t>
      </w:r>
    </w:p>
    <w:p w14:paraId="0BD44F34" w14:textId="48130E6C" w:rsidR="001A69E2" w:rsidRPr="001A69E2" w:rsidRDefault="001A69E2" w:rsidP="001A69E2">
      <w:pPr>
        <w:ind w:left="0"/>
      </w:pPr>
      <w:r w:rsidRPr="001A69E2">
        <w:t xml:space="preserve">Phone: </w:t>
      </w:r>
      <w:r w:rsidR="00445FE9">
        <w:t>404-291-2236</w:t>
      </w:r>
    </w:p>
    <w:p w14:paraId="0BD44F35" w14:textId="77777777" w:rsidR="001A69E2" w:rsidRPr="001A69E2" w:rsidRDefault="001A69E2" w:rsidP="001A69E2">
      <w:pPr>
        <w:ind w:left="0"/>
        <w:rPr>
          <w:color w:val="0000FF" w:themeColor="hyperlink"/>
          <w:u w:val="single"/>
        </w:rPr>
      </w:pPr>
      <w:r w:rsidRPr="001A69E2">
        <w:t xml:space="preserve">Email: </w:t>
      </w:r>
      <w:hyperlink r:id="rId14" w:history="1">
        <w:r w:rsidRPr="001A69E2">
          <w:rPr>
            <w:color w:val="0000FF" w:themeColor="hyperlink"/>
            <w:u w:val="single"/>
          </w:rPr>
          <w:t>gke5@cdc.gov</w:t>
        </w:r>
      </w:hyperlink>
      <w:r w:rsidRPr="001A69E2">
        <w:rPr>
          <w:color w:val="0000FF" w:themeColor="hyperlink"/>
          <w:u w:val="single"/>
        </w:rPr>
        <w:t xml:space="preserve"> </w:t>
      </w:r>
    </w:p>
    <w:p w14:paraId="0BD44F36" w14:textId="77777777" w:rsidR="001A69E2" w:rsidRPr="001A69E2" w:rsidRDefault="001A69E2" w:rsidP="001A69E2">
      <w:pPr>
        <w:ind w:left="0"/>
      </w:pPr>
      <w:r w:rsidRPr="001A69E2">
        <w:t xml:space="preserve"> </w:t>
      </w:r>
    </w:p>
    <w:p w14:paraId="0BD44F37" w14:textId="77777777" w:rsidR="001A69E2" w:rsidRPr="001A69E2" w:rsidRDefault="001A69E2" w:rsidP="001A69E2">
      <w:pPr>
        <w:ind w:left="0"/>
      </w:pPr>
      <w:r w:rsidRPr="001A69E2">
        <w:t>Name: Scott Hale</w:t>
      </w:r>
    </w:p>
    <w:p w14:paraId="0BD44F38" w14:textId="77777777" w:rsidR="001A69E2" w:rsidRPr="001A69E2" w:rsidRDefault="001A69E2" w:rsidP="001A69E2">
      <w:pPr>
        <w:ind w:left="0"/>
      </w:pPr>
      <w:r w:rsidRPr="001A69E2">
        <w:t>Title: Evaluation Specialist</w:t>
      </w:r>
    </w:p>
    <w:p w14:paraId="0BD44F39" w14:textId="77777777" w:rsidR="001A69E2" w:rsidRPr="001A69E2" w:rsidRDefault="001A69E2" w:rsidP="001A69E2">
      <w:pPr>
        <w:ind w:left="0"/>
      </w:pPr>
      <w:r w:rsidRPr="001A69E2">
        <w:t>Phone: 865-318-6764</w:t>
      </w:r>
    </w:p>
    <w:p w14:paraId="0BD44F3A" w14:textId="77777777" w:rsidR="001A69E2" w:rsidRPr="001A69E2" w:rsidRDefault="001A69E2" w:rsidP="001A69E2">
      <w:pPr>
        <w:ind w:left="0"/>
        <w:rPr>
          <w:color w:val="0000FF" w:themeColor="hyperlink"/>
          <w:u w:val="single"/>
        </w:rPr>
      </w:pPr>
      <w:r w:rsidRPr="001A69E2">
        <w:t xml:space="preserve">Email: </w:t>
      </w:r>
      <w:r w:rsidRPr="001A69E2">
        <w:rPr>
          <w:rFonts w:asciiTheme="minorHAnsi" w:hAnsiTheme="minorHAnsi"/>
          <w:color w:val="0000FF" w:themeColor="hyperlink"/>
          <w:u w:val="single"/>
        </w:rPr>
        <w:t xml:space="preserve"> ftr4</w:t>
      </w:r>
      <w:hyperlink r:id="rId15" w:history="1">
        <w:r w:rsidRPr="001A69E2">
          <w:rPr>
            <w:rFonts w:asciiTheme="minorHAnsi" w:hAnsiTheme="minorHAnsi"/>
            <w:color w:val="0000FF" w:themeColor="hyperlink"/>
            <w:u w:val="single"/>
          </w:rPr>
          <w:t>@cdc.gov</w:t>
        </w:r>
      </w:hyperlink>
    </w:p>
    <w:p w14:paraId="0BD44F3B" w14:textId="77777777" w:rsidR="001A69E2" w:rsidRPr="001A69E2" w:rsidRDefault="001A69E2" w:rsidP="001A69E2">
      <w:pPr>
        <w:ind w:left="0"/>
      </w:pPr>
    </w:p>
    <w:p w14:paraId="0BD44F3C" w14:textId="77777777" w:rsidR="001A69E2" w:rsidRDefault="001A69E2" w:rsidP="001A69E2">
      <w:pPr>
        <w:ind w:left="0"/>
      </w:pPr>
    </w:p>
    <w:p w14:paraId="0BD44F3E" w14:textId="4A42DC44" w:rsidR="006B5E55" w:rsidRPr="00E7651D" w:rsidRDefault="00A36419" w:rsidP="00E7651D">
      <w:pPr>
        <w:pStyle w:val="Heading1"/>
        <w:rPr>
          <w:sz w:val="22"/>
          <w:szCs w:val="22"/>
        </w:rPr>
      </w:pPr>
      <w:bookmarkStart w:id="8" w:name="_Toc414625242"/>
      <w:r w:rsidRPr="00E7651D">
        <w:rPr>
          <w:sz w:val="22"/>
          <w:szCs w:val="22"/>
        </w:rPr>
        <w:t>LIST OF ATTACHMENTS</w:t>
      </w:r>
      <w:r w:rsidR="00E24C20" w:rsidRPr="00E7651D">
        <w:rPr>
          <w:sz w:val="22"/>
          <w:szCs w:val="22"/>
        </w:rPr>
        <w:t xml:space="preserve"> – Section B</w:t>
      </w:r>
      <w:bookmarkEnd w:id="8"/>
    </w:p>
    <w:p w14:paraId="0BD44F3F" w14:textId="76119954" w:rsidR="001A69E2" w:rsidRPr="00943D62" w:rsidRDefault="00943D62" w:rsidP="001A69E2">
      <w:pPr>
        <w:spacing w:line="360" w:lineRule="auto"/>
        <w:ind w:left="0"/>
      </w:pPr>
      <w:r w:rsidRPr="00943D62">
        <w:t xml:space="preserve">Att. </w:t>
      </w:r>
      <w:r w:rsidR="008974B8" w:rsidRPr="00943D62">
        <w:t>G</w:t>
      </w:r>
      <w:r w:rsidR="001A69E2" w:rsidRPr="00943D62">
        <w:t>.  Notification Email</w:t>
      </w:r>
    </w:p>
    <w:p w14:paraId="0BD44F40" w14:textId="3ABCBF5B" w:rsidR="001A69E2" w:rsidRPr="00943D62" w:rsidRDefault="00943D62" w:rsidP="001A69E2">
      <w:pPr>
        <w:spacing w:line="360" w:lineRule="auto"/>
        <w:ind w:left="0"/>
      </w:pPr>
      <w:r w:rsidRPr="00943D62">
        <w:t xml:space="preserve">Att. </w:t>
      </w:r>
      <w:r w:rsidR="008974B8" w:rsidRPr="00943D62">
        <w:t>H</w:t>
      </w:r>
      <w:r w:rsidR="001A69E2" w:rsidRPr="00943D62">
        <w:t xml:space="preserve">.  Reminder Email Day </w:t>
      </w:r>
      <w:r w:rsidR="005C049A">
        <w:t>14</w:t>
      </w:r>
    </w:p>
    <w:p w14:paraId="0BD44F41" w14:textId="4FBC4776" w:rsidR="00A36419" w:rsidRPr="00943D62" w:rsidRDefault="00943D62" w:rsidP="001A69E2">
      <w:pPr>
        <w:ind w:left="0"/>
      </w:pPr>
      <w:proofErr w:type="gramStart"/>
      <w:r w:rsidRPr="00943D62">
        <w:t xml:space="preserve">Att. </w:t>
      </w:r>
      <w:r w:rsidR="008974B8" w:rsidRPr="00943D62">
        <w:t>I</w:t>
      </w:r>
      <w:r w:rsidR="001A69E2" w:rsidRPr="00943D62">
        <w:t>.</w:t>
      </w:r>
      <w:proofErr w:type="gramEnd"/>
      <w:r w:rsidR="001A69E2" w:rsidRPr="00943D62">
        <w:t xml:space="preserve">  Reminder Email Day </w:t>
      </w:r>
      <w:r w:rsidR="005C049A">
        <w:t>21</w:t>
      </w:r>
    </w:p>
    <w:p w14:paraId="0BD44F42" w14:textId="77777777" w:rsidR="000E6577" w:rsidRPr="009D77CD" w:rsidRDefault="000E6577" w:rsidP="00BC6896">
      <w:pPr>
        <w:ind w:left="0"/>
        <w:rPr>
          <w:color w:val="0070C0"/>
        </w:rPr>
      </w:pPr>
    </w:p>
    <w:sectPr w:rsidR="000E6577" w:rsidRPr="009D77CD"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F024F" w14:textId="77777777" w:rsidR="00D836C8" w:rsidRDefault="00D836C8" w:rsidP="00BC6896">
      <w:r>
        <w:separator/>
      </w:r>
    </w:p>
    <w:p w14:paraId="3018824B" w14:textId="77777777" w:rsidR="00D836C8" w:rsidRDefault="00D836C8" w:rsidP="00BC6896"/>
  </w:endnote>
  <w:endnote w:type="continuationSeparator" w:id="0">
    <w:p w14:paraId="5BCF3490" w14:textId="77777777" w:rsidR="00D836C8" w:rsidRDefault="00D836C8" w:rsidP="00BC6896">
      <w:r>
        <w:continuationSeparator/>
      </w:r>
    </w:p>
    <w:p w14:paraId="37207093" w14:textId="77777777" w:rsidR="00D836C8" w:rsidRDefault="00D836C8"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BD44F51" w14:textId="77777777" w:rsidR="00076E77" w:rsidRDefault="00076E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7CD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7CD1">
              <w:rPr>
                <w:b/>
                <w:bCs/>
                <w:noProof/>
              </w:rPr>
              <w:t>5</w:t>
            </w:r>
            <w:r>
              <w:rPr>
                <w:b/>
                <w:bCs/>
                <w:sz w:val="24"/>
                <w:szCs w:val="24"/>
              </w:rPr>
              <w:fldChar w:fldCharType="end"/>
            </w:r>
          </w:p>
        </w:sdtContent>
      </w:sdt>
    </w:sdtContent>
  </w:sdt>
  <w:p w14:paraId="0BD44F52" w14:textId="77777777" w:rsidR="00076E77" w:rsidRDefault="00076E77"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5FEC6" w14:textId="77777777" w:rsidR="00D836C8" w:rsidRDefault="00D836C8" w:rsidP="00BC6896">
      <w:r>
        <w:separator/>
      </w:r>
    </w:p>
    <w:p w14:paraId="14ABECAA" w14:textId="77777777" w:rsidR="00D836C8" w:rsidRDefault="00D836C8" w:rsidP="00BC6896"/>
  </w:footnote>
  <w:footnote w:type="continuationSeparator" w:id="0">
    <w:p w14:paraId="61E2918D" w14:textId="77777777" w:rsidR="00D836C8" w:rsidRDefault="00D836C8" w:rsidP="00BC6896">
      <w:r>
        <w:continuationSeparator/>
      </w:r>
    </w:p>
    <w:p w14:paraId="4BF6A776" w14:textId="77777777" w:rsidR="00D836C8" w:rsidRDefault="00D836C8"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44F4F" w14:textId="77777777" w:rsidR="00076E77" w:rsidRPr="00716F94" w:rsidRDefault="00076E77" w:rsidP="00BC6896">
    <w:pPr>
      <w:pStyle w:val="Header"/>
      <w:rPr>
        <w:color w:val="0033CC"/>
      </w:rPr>
    </w:pPr>
    <w:r>
      <w:tab/>
    </w:r>
  </w:p>
  <w:p w14:paraId="0BD44F50" w14:textId="77777777" w:rsidR="00076E77" w:rsidRDefault="00076E77"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99004D"/>
    <w:multiLevelType w:val="hybridMultilevel"/>
    <w:tmpl w:val="E3386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A32D3"/>
    <w:multiLevelType w:val="hybridMultilevel"/>
    <w:tmpl w:val="1D1E5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7507B3"/>
    <w:multiLevelType w:val="hybridMultilevel"/>
    <w:tmpl w:val="0FD6CDF6"/>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C6AF8"/>
    <w:multiLevelType w:val="hybridMultilevel"/>
    <w:tmpl w:val="659C8428"/>
    <w:lvl w:ilvl="0" w:tplc="9014B0F0">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5"/>
  </w:num>
  <w:num w:numId="4">
    <w:abstractNumId w:val="11"/>
  </w:num>
  <w:num w:numId="5">
    <w:abstractNumId w:val="18"/>
  </w:num>
  <w:num w:numId="6">
    <w:abstractNumId w:val="7"/>
  </w:num>
  <w:num w:numId="7">
    <w:abstractNumId w:val="0"/>
  </w:num>
  <w:num w:numId="8">
    <w:abstractNumId w:val="5"/>
  </w:num>
  <w:num w:numId="9">
    <w:abstractNumId w:val="9"/>
  </w:num>
  <w:num w:numId="10">
    <w:abstractNumId w:val="19"/>
  </w:num>
  <w:num w:numId="11">
    <w:abstractNumId w:val="2"/>
  </w:num>
  <w:num w:numId="12">
    <w:abstractNumId w:val="24"/>
  </w:num>
  <w:num w:numId="13">
    <w:abstractNumId w:val="6"/>
  </w:num>
  <w:num w:numId="14">
    <w:abstractNumId w:val="3"/>
  </w:num>
  <w:num w:numId="15">
    <w:abstractNumId w:val="22"/>
  </w:num>
  <w:num w:numId="16">
    <w:abstractNumId w:val="27"/>
  </w:num>
  <w:num w:numId="17">
    <w:abstractNumId w:val="8"/>
  </w:num>
  <w:num w:numId="18">
    <w:abstractNumId w:val="13"/>
  </w:num>
  <w:num w:numId="19">
    <w:abstractNumId w:val="4"/>
  </w:num>
  <w:num w:numId="20">
    <w:abstractNumId w:val="14"/>
  </w:num>
  <w:num w:numId="21">
    <w:abstractNumId w:val="26"/>
  </w:num>
  <w:num w:numId="22">
    <w:abstractNumId w:val="20"/>
  </w:num>
  <w:num w:numId="23">
    <w:abstractNumId w:val="12"/>
  </w:num>
  <w:num w:numId="24">
    <w:abstractNumId w:val="21"/>
  </w:num>
  <w:num w:numId="25">
    <w:abstractNumId w:val="23"/>
  </w:num>
  <w:num w:numId="26">
    <w:abstractNumId w:val="17"/>
  </w:num>
  <w:num w:numId="27">
    <w:abstractNumId w:val="16"/>
  </w:num>
  <w:num w:numId="28">
    <w:abstractNumId w:val="10"/>
  </w:num>
  <w:num w:numId="29">
    <w:abstractNumId w:val="25"/>
    <w:lvlOverride w:ilvl="0">
      <w:startOverride w:val="1"/>
    </w:lvlOverride>
  </w:num>
  <w:num w:numId="30">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17BC"/>
    <w:rsid w:val="000474FB"/>
    <w:rsid w:val="00052A34"/>
    <w:rsid w:val="00053A92"/>
    <w:rsid w:val="000557D0"/>
    <w:rsid w:val="0005605E"/>
    <w:rsid w:val="00057F36"/>
    <w:rsid w:val="00076E77"/>
    <w:rsid w:val="000A1F30"/>
    <w:rsid w:val="000B1725"/>
    <w:rsid w:val="000B52D1"/>
    <w:rsid w:val="000E6577"/>
    <w:rsid w:val="000E7A19"/>
    <w:rsid w:val="00104A1B"/>
    <w:rsid w:val="001127F9"/>
    <w:rsid w:val="001177DD"/>
    <w:rsid w:val="001308EB"/>
    <w:rsid w:val="001412D4"/>
    <w:rsid w:val="00144CD9"/>
    <w:rsid w:val="00144F64"/>
    <w:rsid w:val="00151567"/>
    <w:rsid w:val="00163E17"/>
    <w:rsid w:val="00166F9E"/>
    <w:rsid w:val="00187D5A"/>
    <w:rsid w:val="001972D7"/>
    <w:rsid w:val="001A28F6"/>
    <w:rsid w:val="001A69E2"/>
    <w:rsid w:val="001A7D0E"/>
    <w:rsid w:val="001B2831"/>
    <w:rsid w:val="001C0493"/>
    <w:rsid w:val="001C28AD"/>
    <w:rsid w:val="001D7FCB"/>
    <w:rsid w:val="001E2B99"/>
    <w:rsid w:val="001E4982"/>
    <w:rsid w:val="001E69B6"/>
    <w:rsid w:val="001F4DBB"/>
    <w:rsid w:val="001F7C89"/>
    <w:rsid w:val="0020312D"/>
    <w:rsid w:val="0020495F"/>
    <w:rsid w:val="00206E33"/>
    <w:rsid w:val="00210519"/>
    <w:rsid w:val="00216FCF"/>
    <w:rsid w:val="00222056"/>
    <w:rsid w:val="00230CEF"/>
    <w:rsid w:val="00241B17"/>
    <w:rsid w:val="00241C81"/>
    <w:rsid w:val="00256392"/>
    <w:rsid w:val="00257A1C"/>
    <w:rsid w:val="0027234C"/>
    <w:rsid w:val="00272E03"/>
    <w:rsid w:val="00281795"/>
    <w:rsid w:val="002850E3"/>
    <w:rsid w:val="00287E2F"/>
    <w:rsid w:val="002A1948"/>
    <w:rsid w:val="002C0877"/>
    <w:rsid w:val="002C2AE2"/>
    <w:rsid w:val="002D0DCE"/>
    <w:rsid w:val="002E2B10"/>
    <w:rsid w:val="002E3EF8"/>
    <w:rsid w:val="002F1502"/>
    <w:rsid w:val="002F169D"/>
    <w:rsid w:val="002F2069"/>
    <w:rsid w:val="002F6F92"/>
    <w:rsid w:val="002F7CD1"/>
    <w:rsid w:val="003041AD"/>
    <w:rsid w:val="0031279F"/>
    <w:rsid w:val="00312D63"/>
    <w:rsid w:val="00327D05"/>
    <w:rsid w:val="00335EBD"/>
    <w:rsid w:val="00336D96"/>
    <w:rsid w:val="00344F07"/>
    <w:rsid w:val="003469C8"/>
    <w:rsid w:val="00355EA4"/>
    <w:rsid w:val="003635BE"/>
    <w:rsid w:val="00366B5E"/>
    <w:rsid w:val="00370A47"/>
    <w:rsid w:val="00372844"/>
    <w:rsid w:val="0038560A"/>
    <w:rsid w:val="003C31C9"/>
    <w:rsid w:val="003C4961"/>
    <w:rsid w:val="003C7C5D"/>
    <w:rsid w:val="003D0AD2"/>
    <w:rsid w:val="003E4E7D"/>
    <w:rsid w:val="003E5D57"/>
    <w:rsid w:val="003F5913"/>
    <w:rsid w:val="004024F8"/>
    <w:rsid w:val="0041159A"/>
    <w:rsid w:val="004167B0"/>
    <w:rsid w:val="004305A8"/>
    <w:rsid w:val="0043417A"/>
    <w:rsid w:val="00443CA0"/>
    <w:rsid w:val="00445FE9"/>
    <w:rsid w:val="00446416"/>
    <w:rsid w:val="00450E14"/>
    <w:rsid w:val="00462C65"/>
    <w:rsid w:val="00467B14"/>
    <w:rsid w:val="00474EDA"/>
    <w:rsid w:val="0047536D"/>
    <w:rsid w:val="004824FA"/>
    <w:rsid w:val="00484011"/>
    <w:rsid w:val="004841F1"/>
    <w:rsid w:val="004905E8"/>
    <w:rsid w:val="004A1E3A"/>
    <w:rsid w:val="004B4EB5"/>
    <w:rsid w:val="004C4AEA"/>
    <w:rsid w:val="004D2398"/>
    <w:rsid w:val="004E003C"/>
    <w:rsid w:val="004E16EB"/>
    <w:rsid w:val="004E17CE"/>
    <w:rsid w:val="004E6665"/>
    <w:rsid w:val="004F634E"/>
    <w:rsid w:val="004F67A8"/>
    <w:rsid w:val="00522A50"/>
    <w:rsid w:val="00527225"/>
    <w:rsid w:val="0053557D"/>
    <w:rsid w:val="005463DE"/>
    <w:rsid w:val="00546DC2"/>
    <w:rsid w:val="005542E8"/>
    <w:rsid w:val="00556630"/>
    <w:rsid w:val="0055686D"/>
    <w:rsid w:val="005800EE"/>
    <w:rsid w:val="005869D6"/>
    <w:rsid w:val="005A33F6"/>
    <w:rsid w:val="005A59E5"/>
    <w:rsid w:val="005B7440"/>
    <w:rsid w:val="005C037F"/>
    <w:rsid w:val="005C049A"/>
    <w:rsid w:val="005C6E9D"/>
    <w:rsid w:val="005D0C97"/>
    <w:rsid w:val="005E2150"/>
    <w:rsid w:val="005E2995"/>
    <w:rsid w:val="005F3FEF"/>
    <w:rsid w:val="00601392"/>
    <w:rsid w:val="006075F6"/>
    <w:rsid w:val="00607F7C"/>
    <w:rsid w:val="006102DA"/>
    <w:rsid w:val="00621F93"/>
    <w:rsid w:val="006315A3"/>
    <w:rsid w:val="00637CC1"/>
    <w:rsid w:val="006466BA"/>
    <w:rsid w:val="006579A2"/>
    <w:rsid w:val="00667C89"/>
    <w:rsid w:val="006711EE"/>
    <w:rsid w:val="006809BB"/>
    <w:rsid w:val="006809FD"/>
    <w:rsid w:val="00691D1F"/>
    <w:rsid w:val="00697BAE"/>
    <w:rsid w:val="006B1A23"/>
    <w:rsid w:val="006B4DDC"/>
    <w:rsid w:val="006B5E55"/>
    <w:rsid w:val="006D0A1E"/>
    <w:rsid w:val="006D25A1"/>
    <w:rsid w:val="006F6856"/>
    <w:rsid w:val="0071190E"/>
    <w:rsid w:val="007145D0"/>
    <w:rsid w:val="00716F94"/>
    <w:rsid w:val="0075290B"/>
    <w:rsid w:val="00760E12"/>
    <w:rsid w:val="00763CF3"/>
    <w:rsid w:val="00772293"/>
    <w:rsid w:val="00783A3C"/>
    <w:rsid w:val="00783C75"/>
    <w:rsid w:val="00784619"/>
    <w:rsid w:val="0078627B"/>
    <w:rsid w:val="00791986"/>
    <w:rsid w:val="00794E32"/>
    <w:rsid w:val="007B305A"/>
    <w:rsid w:val="00800993"/>
    <w:rsid w:val="00801EC1"/>
    <w:rsid w:val="00804A22"/>
    <w:rsid w:val="00815C7D"/>
    <w:rsid w:val="00817941"/>
    <w:rsid w:val="008261AB"/>
    <w:rsid w:val="00835CA7"/>
    <w:rsid w:val="008370D4"/>
    <w:rsid w:val="008414AD"/>
    <w:rsid w:val="008428D9"/>
    <w:rsid w:val="00884DB9"/>
    <w:rsid w:val="0089676F"/>
    <w:rsid w:val="008974B8"/>
    <w:rsid w:val="008A0EA5"/>
    <w:rsid w:val="008C67D2"/>
    <w:rsid w:val="008C7043"/>
    <w:rsid w:val="008E0683"/>
    <w:rsid w:val="00902DD9"/>
    <w:rsid w:val="00911486"/>
    <w:rsid w:val="009129CA"/>
    <w:rsid w:val="009206B6"/>
    <w:rsid w:val="009263C1"/>
    <w:rsid w:val="00931C02"/>
    <w:rsid w:val="00935FFD"/>
    <w:rsid w:val="00941B4F"/>
    <w:rsid w:val="00943D62"/>
    <w:rsid w:val="00963CE3"/>
    <w:rsid w:val="00964F18"/>
    <w:rsid w:val="00974424"/>
    <w:rsid w:val="009759F3"/>
    <w:rsid w:val="0098066E"/>
    <w:rsid w:val="00987F76"/>
    <w:rsid w:val="00991BF9"/>
    <w:rsid w:val="00993088"/>
    <w:rsid w:val="0099664F"/>
    <w:rsid w:val="00997D5D"/>
    <w:rsid w:val="009A0447"/>
    <w:rsid w:val="009B034F"/>
    <w:rsid w:val="009B4A51"/>
    <w:rsid w:val="009C28B1"/>
    <w:rsid w:val="009C511C"/>
    <w:rsid w:val="009C61AD"/>
    <w:rsid w:val="009D373D"/>
    <w:rsid w:val="009D77CD"/>
    <w:rsid w:val="009E1D05"/>
    <w:rsid w:val="009F7283"/>
    <w:rsid w:val="00A11B0C"/>
    <w:rsid w:val="00A305CE"/>
    <w:rsid w:val="00A33B35"/>
    <w:rsid w:val="00A36419"/>
    <w:rsid w:val="00A578C2"/>
    <w:rsid w:val="00A72652"/>
    <w:rsid w:val="00A75D1C"/>
    <w:rsid w:val="00A809AA"/>
    <w:rsid w:val="00A849B3"/>
    <w:rsid w:val="00A8510D"/>
    <w:rsid w:val="00A86AF3"/>
    <w:rsid w:val="00A90BDC"/>
    <w:rsid w:val="00A95477"/>
    <w:rsid w:val="00A975A9"/>
    <w:rsid w:val="00AA3192"/>
    <w:rsid w:val="00AA54F6"/>
    <w:rsid w:val="00AB3608"/>
    <w:rsid w:val="00AC5C48"/>
    <w:rsid w:val="00AE3C67"/>
    <w:rsid w:val="00AF036A"/>
    <w:rsid w:val="00AF0CF4"/>
    <w:rsid w:val="00AF2252"/>
    <w:rsid w:val="00AF51E4"/>
    <w:rsid w:val="00B1129F"/>
    <w:rsid w:val="00B11D61"/>
    <w:rsid w:val="00B12F51"/>
    <w:rsid w:val="00B2751E"/>
    <w:rsid w:val="00B3650C"/>
    <w:rsid w:val="00B42648"/>
    <w:rsid w:val="00B50A2B"/>
    <w:rsid w:val="00B64BFA"/>
    <w:rsid w:val="00B65C38"/>
    <w:rsid w:val="00B8216F"/>
    <w:rsid w:val="00B853F1"/>
    <w:rsid w:val="00B855F1"/>
    <w:rsid w:val="00B85DE4"/>
    <w:rsid w:val="00B91A31"/>
    <w:rsid w:val="00BA6DB4"/>
    <w:rsid w:val="00BC3F3C"/>
    <w:rsid w:val="00BC5BB2"/>
    <w:rsid w:val="00BC6896"/>
    <w:rsid w:val="00BD2C2B"/>
    <w:rsid w:val="00BF3F54"/>
    <w:rsid w:val="00C00697"/>
    <w:rsid w:val="00C0376C"/>
    <w:rsid w:val="00C06D77"/>
    <w:rsid w:val="00C14BA6"/>
    <w:rsid w:val="00C23D05"/>
    <w:rsid w:val="00C347E7"/>
    <w:rsid w:val="00C3485C"/>
    <w:rsid w:val="00C420D4"/>
    <w:rsid w:val="00C75E73"/>
    <w:rsid w:val="00C84DC3"/>
    <w:rsid w:val="00CA2004"/>
    <w:rsid w:val="00CA38EA"/>
    <w:rsid w:val="00CB334D"/>
    <w:rsid w:val="00CB56D5"/>
    <w:rsid w:val="00CD0771"/>
    <w:rsid w:val="00CD1EA8"/>
    <w:rsid w:val="00CF0CE8"/>
    <w:rsid w:val="00CF5ABD"/>
    <w:rsid w:val="00CF63CE"/>
    <w:rsid w:val="00D067C1"/>
    <w:rsid w:val="00D13B13"/>
    <w:rsid w:val="00D16E78"/>
    <w:rsid w:val="00D201D3"/>
    <w:rsid w:val="00D26A64"/>
    <w:rsid w:val="00D328FA"/>
    <w:rsid w:val="00D36F6F"/>
    <w:rsid w:val="00D4221A"/>
    <w:rsid w:val="00D52B9A"/>
    <w:rsid w:val="00D5367E"/>
    <w:rsid w:val="00D7285C"/>
    <w:rsid w:val="00D836C8"/>
    <w:rsid w:val="00D861ED"/>
    <w:rsid w:val="00D873E0"/>
    <w:rsid w:val="00D94F8B"/>
    <w:rsid w:val="00D97278"/>
    <w:rsid w:val="00DA4EA9"/>
    <w:rsid w:val="00DA5988"/>
    <w:rsid w:val="00DC317C"/>
    <w:rsid w:val="00DC4FF2"/>
    <w:rsid w:val="00DC5584"/>
    <w:rsid w:val="00DC79CC"/>
    <w:rsid w:val="00DF71DD"/>
    <w:rsid w:val="00E134F4"/>
    <w:rsid w:val="00E23568"/>
    <w:rsid w:val="00E245B5"/>
    <w:rsid w:val="00E24C20"/>
    <w:rsid w:val="00E33E1B"/>
    <w:rsid w:val="00E34D3E"/>
    <w:rsid w:val="00E553B2"/>
    <w:rsid w:val="00E7651D"/>
    <w:rsid w:val="00E81C5E"/>
    <w:rsid w:val="00E83B3C"/>
    <w:rsid w:val="00E8736B"/>
    <w:rsid w:val="00E90275"/>
    <w:rsid w:val="00E925D4"/>
    <w:rsid w:val="00E97226"/>
    <w:rsid w:val="00EB63B3"/>
    <w:rsid w:val="00ED1E3A"/>
    <w:rsid w:val="00ED6878"/>
    <w:rsid w:val="00EF0EC8"/>
    <w:rsid w:val="00EF33CD"/>
    <w:rsid w:val="00F11903"/>
    <w:rsid w:val="00F2267A"/>
    <w:rsid w:val="00F300CB"/>
    <w:rsid w:val="00F42C3A"/>
    <w:rsid w:val="00F52BCC"/>
    <w:rsid w:val="00F5313F"/>
    <w:rsid w:val="00F57581"/>
    <w:rsid w:val="00F725B5"/>
    <w:rsid w:val="00F81A48"/>
    <w:rsid w:val="00FA5721"/>
    <w:rsid w:val="00FC5B1F"/>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Heading3"/>
    <w:next w:val="Normal"/>
    <w:link w:val="Heading1Char"/>
    <w:uiPriority w:val="9"/>
    <w:qFormat/>
    <w:rsid w:val="00DF71DD"/>
    <w:pPr>
      <w:outlineLvl w:val="0"/>
    </w:pPr>
  </w:style>
  <w:style w:type="paragraph" w:styleId="Heading2">
    <w:name w:val="heading 2"/>
    <w:basedOn w:val="Heading4"/>
    <w:link w:val="Heading2Char"/>
    <w:uiPriority w:val="9"/>
    <w:qFormat/>
    <w:rsid w:val="00DF71DD"/>
    <w:pPr>
      <w:outlineLvl w:val="1"/>
    </w:pPr>
  </w:style>
  <w:style w:type="paragraph" w:styleId="Heading3">
    <w:name w:val="heading 3"/>
    <w:basedOn w:val="Caption"/>
    <w:next w:val="Normal"/>
    <w:link w:val="Heading3Char"/>
    <w:uiPriority w:val="9"/>
    <w:unhideWhenUsed/>
    <w:qFormat/>
    <w:rsid w:val="00DF71DD"/>
    <w:pPr>
      <w:keepNext/>
      <w:outlineLvl w:val="2"/>
    </w:pPr>
    <w:rPr>
      <w:rFonts w:asciiTheme="majorHAnsi" w:hAnsiTheme="majorHAnsi"/>
      <w:color w:val="auto"/>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DF71DD"/>
    <w:rPr>
      <w:rFonts w:asciiTheme="majorHAnsi" w:hAnsiTheme="majorHAnsi"/>
      <w:b/>
      <w:bCs/>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DF71DD"/>
    <w:rPr>
      <w:rFonts w:asciiTheme="majorHAnsi" w:hAnsiTheme="majorHAnsi"/>
      <w:b/>
      <w:sz w:val="28"/>
    </w:rPr>
  </w:style>
  <w:style w:type="character" w:customStyle="1" w:styleId="Heading3Char">
    <w:name w:val="Heading 3 Char"/>
    <w:basedOn w:val="DefaultParagraphFont"/>
    <w:link w:val="Heading3"/>
    <w:uiPriority w:val="9"/>
    <w:rsid w:val="00DF71DD"/>
    <w:rPr>
      <w:rFonts w:asciiTheme="majorHAnsi" w:eastAsiaTheme="minorHAnsi" w:hAnsiTheme="majorHAnsi"/>
      <w:b/>
      <w:bCs/>
      <w:sz w:val="18"/>
      <w:szCs w:val="1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Caption">
    <w:name w:val="caption"/>
    <w:basedOn w:val="Normal"/>
    <w:next w:val="Normal"/>
    <w:uiPriority w:val="35"/>
    <w:semiHidden/>
    <w:unhideWhenUsed/>
    <w:qFormat/>
    <w:rsid w:val="00445FE9"/>
    <w:pPr>
      <w:spacing w:after="200" w:line="240" w:lineRule="auto"/>
      <w:ind w:left="0"/>
    </w:pPr>
    <w:rPr>
      <w:rFonts w:asciiTheme="minorHAnsi" w:eastAsiaTheme="minorHAnsi" w:hAnsiTheme="minorHAnsi"/>
      <w:b/>
      <w:bCs/>
      <w:color w:val="4F81BD" w:themeColor="accent1"/>
      <w:sz w:val="18"/>
      <w:szCs w:val="18"/>
    </w:rPr>
  </w:style>
  <w:style w:type="table" w:styleId="MediumList2">
    <w:name w:val="Medium List 2"/>
    <w:basedOn w:val="TableNormal"/>
    <w:uiPriority w:val="66"/>
    <w:rsid w:val="00445F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AF036A"/>
  </w:style>
  <w:style w:type="paragraph" w:styleId="TOCHeading">
    <w:name w:val="TOC Heading"/>
    <w:basedOn w:val="Heading1"/>
    <w:next w:val="Normal"/>
    <w:uiPriority w:val="39"/>
    <w:unhideWhenUsed/>
    <w:qFormat/>
    <w:rsid w:val="00DF71DD"/>
    <w:pPr>
      <w:keepLines/>
      <w:spacing w:before="480"/>
      <w:outlineLvl w:val="9"/>
    </w:pPr>
    <w:rPr>
      <w:rFonts w:eastAsiaTheme="majorEastAsia" w:cstheme="majorBidi"/>
      <w:bCs w:val="0"/>
      <w:color w:val="365F91" w:themeColor="accent1" w:themeShade="BF"/>
      <w:szCs w:val="28"/>
      <w:lang w:eastAsia="ja-JP"/>
    </w:rPr>
  </w:style>
  <w:style w:type="paragraph" w:styleId="TOC1">
    <w:name w:val="toc 1"/>
    <w:basedOn w:val="Normal"/>
    <w:next w:val="Normal"/>
    <w:autoRedefine/>
    <w:uiPriority w:val="39"/>
    <w:unhideWhenUsed/>
    <w:rsid w:val="00DF71DD"/>
    <w:pPr>
      <w:spacing w:after="100"/>
      <w:ind w:left="0"/>
    </w:pPr>
  </w:style>
  <w:style w:type="paragraph" w:styleId="TOC2">
    <w:name w:val="toc 2"/>
    <w:basedOn w:val="Normal"/>
    <w:next w:val="Normal"/>
    <w:autoRedefine/>
    <w:uiPriority w:val="39"/>
    <w:unhideWhenUsed/>
    <w:rsid w:val="00DF71DD"/>
    <w:pPr>
      <w:spacing w:after="100"/>
      <w:ind w:left="220"/>
    </w:pPr>
  </w:style>
  <w:style w:type="paragraph" w:styleId="TOC3">
    <w:name w:val="toc 3"/>
    <w:basedOn w:val="Normal"/>
    <w:next w:val="Normal"/>
    <w:autoRedefine/>
    <w:uiPriority w:val="39"/>
    <w:unhideWhenUsed/>
    <w:rsid w:val="00DF71D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Heading3"/>
    <w:next w:val="Normal"/>
    <w:link w:val="Heading1Char"/>
    <w:uiPriority w:val="9"/>
    <w:qFormat/>
    <w:rsid w:val="00DF71DD"/>
    <w:pPr>
      <w:outlineLvl w:val="0"/>
    </w:pPr>
  </w:style>
  <w:style w:type="paragraph" w:styleId="Heading2">
    <w:name w:val="heading 2"/>
    <w:basedOn w:val="Heading4"/>
    <w:link w:val="Heading2Char"/>
    <w:uiPriority w:val="9"/>
    <w:qFormat/>
    <w:rsid w:val="00DF71DD"/>
    <w:pPr>
      <w:outlineLvl w:val="1"/>
    </w:pPr>
  </w:style>
  <w:style w:type="paragraph" w:styleId="Heading3">
    <w:name w:val="heading 3"/>
    <w:basedOn w:val="Caption"/>
    <w:next w:val="Normal"/>
    <w:link w:val="Heading3Char"/>
    <w:uiPriority w:val="9"/>
    <w:unhideWhenUsed/>
    <w:qFormat/>
    <w:rsid w:val="00DF71DD"/>
    <w:pPr>
      <w:keepNext/>
      <w:outlineLvl w:val="2"/>
    </w:pPr>
    <w:rPr>
      <w:rFonts w:asciiTheme="majorHAnsi" w:hAnsiTheme="majorHAnsi"/>
      <w:color w:val="auto"/>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DF71DD"/>
    <w:rPr>
      <w:rFonts w:asciiTheme="majorHAnsi" w:hAnsiTheme="majorHAnsi"/>
      <w:b/>
      <w:bCs/>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DF71DD"/>
    <w:rPr>
      <w:rFonts w:asciiTheme="majorHAnsi" w:hAnsiTheme="majorHAnsi"/>
      <w:b/>
      <w:sz w:val="28"/>
    </w:rPr>
  </w:style>
  <w:style w:type="character" w:customStyle="1" w:styleId="Heading3Char">
    <w:name w:val="Heading 3 Char"/>
    <w:basedOn w:val="DefaultParagraphFont"/>
    <w:link w:val="Heading3"/>
    <w:uiPriority w:val="9"/>
    <w:rsid w:val="00DF71DD"/>
    <w:rPr>
      <w:rFonts w:asciiTheme="majorHAnsi" w:eastAsiaTheme="minorHAnsi" w:hAnsiTheme="majorHAnsi"/>
      <w:b/>
      <w:bCs/>
      <w:sz w:val="18"/>
      <w:szCs w:val="1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Caption">
    <w:name w:val="caption"/>
    <w:basedOn w:val="Normal"/>
    <w:next w:val="Normal"/>
    <w:uiPriority w:val="35"/>
    <w:semiHidden/>
    <w:unhideWhenUsed/>
    <w:qFormat/>
    <w:rsid w:val="00445FE9"/>
    <w:pPr>
      <w:spacing w:after="200" w:line="240" w:lineRule="auto"/>
      <w:ind w:left="0"/>
    </w:pPr>
    <w:rPr>
      <w:rFonts w:asciiTheme="minorHAnsi" w:eastAsiaTheme="minorHAnsi" w:hAnsiTheme="minorHAnsi"/>
      <w:b/>
      <w:bCs/>
      <w:color w:val="4F81BD" w:themeColor="accent1"/>
      <w:sz w:val="18"/>
      <w:szCs w:val="18"/>
    </w:rPr>
  </w:style>
  <w:style w:type="table" w:styleId="MediumList2">
    <w:name w:val="Medium List 2"/>
    <w:basedOn w:val="TableNormal"/>
    <w:uiPriority w:val="66"/>
    <w:rsid w:val="00445F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AF036A"/>
  </w:style>
  <w:style w:type="paragraph" w:styleId="TOCHeading">
    <w:name w:val="TOC Heading"/>
    <w:basedOn w:val="Heading1"/>
    <w:next w:val="Normal"/>
    <w:uiPriority w:val="39"/>
    <w:unhideWhenUsed/>
    <w:qFormat/>
    <w:rsid w:val="00DF71DD"/>
    <w:pPr>
      <w:keepLines/>
      <w:spacing w:before="480"/>
      <w:outlineLvl w:val="9"/>
    </w:pPr>
    <w:rPr>
      <w:rFonts w:eastAsiaTheme="majorEastAsia" w:cstheme="majorBidi"/>
      <w:bCs w:val="0"/>
      <w:color w:val="365F91" w:themeColor="accent1" w:themeShade="BF"/>
      <w:szCs w:val="28"/>
      <w:lang w:eastAsia="ja-JP"/>
    </w:rPr>
  </w:style>
  <w:style w:type="paragraph" w:styleId="TOC1">
    <w:name w:val="toc 1"/>
    <w:basedOn w:val="Normal"/>
    <w:next w:val="Normal"/>
    <w:autoRedefine/>
    <w:uiPriority w:val="39"/>
    <w:unhideWhenUsed/>
    <w:rsid w:val="00DF71DD"/>
    <w:pPr>
      <w:spacing w:after="100"/>
      <w:ind w:left="0"/>
    </w:pPr>
  </w:style>
  <w:style w:type="paragraph" w:styleId="TOC2">
    <w:name w:val="toc 2"/>
    <w:basedOn w:val="Normal"/>
    <w:next w:val="Normal"/>
    <w:autoRedefine/>
    <w:uiPriority w:val="39"/>
    <w:unhideWhenUsed/>
    <w:rsid w:val="00DF71DD"/>
    <w:pPr>
      <w:spacing w:after="100"/>
      <w:ind w:left="220"/>
    </w:pPr>
  </w:style>
  <w:style w:type="paragraph" w:styleId="TOC3">
    <w:name w:val="toc 3"/>
    <w:basedOn w:val="Normal"/>
    <w:next w:val="Normal"/>
    <w:autoRedefine/>
    <w:uiPriority w:val="39"/>
    <w:unhideWhenUsed/>
    <w:rsid w:val="00DF71D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73530">
      <w:bodyDiv w:val="1"/>
      <w:marLeft w:val="0"/>
      <w:marRight w:val="0"/>
      <w:marTop w:val="0"/>
      <w:marBottom w:val="0"/>
      <w:divBdr>
        <w:top w:val="none" w:sz="0" w:space="0" w:color="auto"/>
        <w:left w:val="none" w:sz="0" w:space="0" w:color="auto"/>
        <w:bottom w:val="none" w:sz="0" w:space="0" w:color="auto"/>
        <w:right w:val="none" w:sz="0" w:space="0" w:color="auto"/>
      </w:divBdr>
    </w:div>
    <w:div w:id="146940009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gke5@cdc.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gke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Potential_Respondent3 xmlns="bd99c180-279b-44c3-9486-dd050336677e">=&gt;Enter potential respondent 3 or delete this comment&lt;=</OSC_StateB_TableB_1_Potential_Respondent3>
    <OSC_StateB_TableB_1_N3 xmlns="bd99c180-279b-44c3-9486-dd050336677e">0</OSC_StateB_TableB_1_N3>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2 xmlns="bd99c180-279b-44c3-9486-dd050336677e">=&gt;Enter entity 2 or delete this comment&lt;=</OSC_StateB_TableB_1_Entity2>
    <GenICPIFax xmlns="bd99c180-279b-44c3-9486-dd050336677e">=&gt;###-###-####&lt;=</GenICPIFax>
    <_dlc_DocId xmlns="b5c0ca00-073d-4463-9985-b654f14791fe">OSTLTSDOC-727-61</_dlc_DocId>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_dlc_DocIdUrl xmlns="b5c0ca00-073d-4463-9985-b654f14791fe">
      <Url>http://esp.cdc.gov/sites/ostlts/pip/osc/_layouts/DocIdRedir.aspx?ID=OSTLTSDOC-727-61</Url>
      <Description>OSTLTSDOC-727-61</Description>
    </_dlc_DocIdUrl>
    <GenICPIPhone xmlns="bd99c180-279b-44c3-9486-dd050336677e">04-291-223</GenICPIPhone>
    <OSC_StateB_TableB_1_N_Total xmlns="bd99c180-279b-44c3-9486-dd050336677e">0</OSC_StateB_TableB_1_N_Total>
    <GenICNickname xmlns="15b1c282-9287-45cb-9b41-eae3a76919a0" xsi:nil="true"/>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DCID xmlns="bd99c180-279b-44c3-9486-dd050336677e" xsi:nil="true"/>
    <GenICPICIO xmlns="bd99c180-279b-44c3-9486-dd050336677e" xsi:nil="true"/>
    <GenICPIDivisionOROfficeTitle xmlns="bd99c180-279b-44c3-9486-dd050336677e">=&gt;Enter division or office title&lt;=</GenICPIDivisionOROfficeTitle>
    <OSC_StateB_TableB_1_Entity1 xmlns="bd99c180-279b-44c3-9486-dd050336677e">=&gt;Enter entity 1 or delete this comment&lt;=</OSC_StateB_TableB_1_Entity1>
    <GenICPICenterDivisionBranch xmlns="bd99c180-279b-44c3-9486-dd050336677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AB4A-14F8-4300-98B1-FDD3196488FF}">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bd99c180-279b-44c3-9486-dd050336677e"/>
    <ds:schemaRef ds:uri="http://schemas.openxmlformats.org/package/2006/metadata/core-properties"/>
    <ds:schemaRef ds:uri="http://schemas.microsoft.com/office/2006/metadata/properties"/>
    <ds:schemaRef ds:uri="15b1c282-9287-45cb-9b41-eae3a76919a0"/>
    <ds:schemaRef ds:uri="b5c0ca00-073d-4463-9985-b654f14791fe"/>
    <ds:schemaRef ds:uri="http://www.w3.org/XML/1998/namespace"/>
  </ds:schemaRefs>
</ds:datastoreItem>
</file>

<file path=customXml/itemProps2.xml><?xml version="1.0" encoding="utf-8"?>
<ds:datastoreItem xmlns:ds="http://schemas.openxmlformats.org/officeDocument/2006/customXml" ds:itemID="{57CA5FBF-0061-4197-837B-776DE44B872B}">
  <ds:schemaRefs>
    <ds:schemaRef ds:uri="http://schemas.microsoft.com/sharepoint/events"/>
  </ds:schemaRefs>
</ds:datastoreItem>
</file>

<file path=customXml/itemProps3.xml><?xml version="1.0" encoding="utf-8"?>
<ds:datastoreItem xmlns:ds="http://schemas.openxmlformats.org/officeDocument/2006/customXml" ds:itemID="{1650B6F5-3E91-4FF0-8E6F-507344DFF6DC}">
  <ds:schemaRefs>
    <ds:schemaRef ds:uri="http://schemas.microsoft.com/office/2006/metadata/customXsn"/>
  </ds:schemaRefs>
</ds:datastoreItem>
</file>

<file path=customXml/itemProps4.xml><?xml version="1.0" encoding="utf-8"?>
<ds:datastoreItem xmlns:ds="http://schemas.openxmlformats.org/officeDocument/2006/customXml" ds:itemID="{6F6C2BEA-05B6-4D35-99B1-67E3F185FDE2}">
  <ds:schemaRefs>
    <ds:schemaRef ds:uri="http://schemas.microsoft.com/sharepoint/v3/contenttype/forms"/>
  </ds:schemaRefs>
</ds:datastoreItem>
</file>

<file path=customXml/itemProps5.xml><?xml version="1.0" encoding="utf-8"?>
<ds:datastoreItem xmlns:ds="http://schemas.openxmlformats.org/officeDocument/2006/customXml" ds:itemID="{6AF89ABA-41A6-479D-9B2F-43AC549C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40C9D5-1C40-4C6B-A266-B13716D2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2011-06-07T15:53:00Z</cp:lastPrinted>
  <dcterms:created xsi:type="dcterms:W3CDTF">2015-03-27T18:33:00Z</dcterms:created>
  <dcterms:modified xsi:type="dcterms:W3CDTF">2015-04-02T18:43:00Z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754a57db-bb61-4855-8d3e-b42cc8b96764</vt:lpwstr>
  </property>
</Properties>
</file>