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2A498" w14:textId="77777777" w:rsidR="002662BD" w:rsidRDefault="002662BD" w:rsidP="00DF39CF">
      <w:pPr>
        <w:ind w:left="0"/>
        <w:jc w:val="center"/>
        <w:rPr>
          <w:b/>
          <w:bCs/>
          <w:sz w:val="40"/>
        </w:rPr>
      </w:pPr>
    </w:p>
    <w:p w14:paraId="345332F9" w14:textId="77777777" w:rsidR="002662BD" w:rsidRDefault="002662BD" w:rsidP="00DF39CF">
      <w:pPr>
        <w:ind w:left="0"/>
        <w:jc w:val="center"/>
        <w:rPr>
          <w:b/>
          <w:bCs/>
          <w:sz w:val="40"/>
        </w:rPr>
      </w:pPr>
    </w:p>
    <w:p w14:paraId="76D7386B" w14:textId="77777777" w:rsidR="002662BD" w:rsidRDefault="002662BD" w:rsidP="00DF39CF">
      <w:pPr>
        <w:ind w:left="0"/>
        <w:jc w:val="center"/>
        <w:rPr>
          <w:b/>
          <w:bCs/>
          <w:sz w:val="40"/>
        </w:rPr>
      </w:pPr>
    </w:p>
    <w:p w14:paraId="7A21C232" w14:textId="092CE864" w:rsidR="002662BD" w:rsidRDefault="002662BD" w:rsidP="00DF39CF">
      <w:pPr>
        <w:ind w:left="0"/>
        <w:jc w:val="center"/>
        <w:rPr>
          <w:b/>
          <w:bCs/>
          <w:sz w:val="40"/>
        </w:rPr>
      </w:pPr>
      <w:r>
        <w:rPr>
          <w:b/>
          <w:bCs/>
          <w:sz w:val="40"/>
        </w:rPr>
        <w:t xml:space="preserve">Emerging Issues </w:t>
      </w:r>
      <w:r w:rsidR="00261D30">
        <w:rPr>
          <w:b/>
          <w:bCs/>
          <w:sz w:val="40"/>
        </w:rPr>
        <w:t>for</w:t>
      </w:r>
      <w:r>
        <w:rPr>
          <w:b/>
          <w:bCs/>
          <w:sz w:val="40"/>
        </w:rPr>
        <w:t xml:space="preserve"> Private Wells: </w:t>
      </w:r>
    </w:p>
    <w:p w14:paraId="48D3AD7D" w14:textId="0302FACD" w:rsidR="00AA3192" w:rsidRDefault="00775BFF" w:rsidP="00DF39CF">
      <w:pPr>
        <w:ind w:left="0"/>
        <w:jc w:val="center"/>
      </w:pPr>
      <w:r w:rsidRPr="00775BFF">
        <w:rPr>
          <w:b/>
          <w:bCs/>
          <w:sz w:val="40"/>
        </w:rPr>
        <w:t>CSTE Assessment</w:t>
      </w:r>
    </w:p>
    <w:p w14:paraId="04A2C998" w14:textId="77777777" w:rsidR="00C620B9" w:rsidRDefault="00C620B9" w:rsidP="00CA5840">
      <w:pPr>
        <w:ind w:left="0"/>
        <w:jc w:val="center"/>
      </w:pPr>
    </w:p>
    <w:p w14:paraId="48D3AD7E"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48D3AD7F" w14:textId="77777777" w:rsidR="00484011" w:rsidRPr="00AA3192" w:rsidRDefault="00484011" w:rsidP="00CA5840">
      <w:pPr>
        <w:ind w:left="0"/>
        <w:jc w:val="center"/>
      </w:pPr>
      <w:r w:rsidRPr="00AA3192">
        <w:t>OMB No. 0920-0879</w:t>
      </w:r>
    </w:p>
    <w:p w14:paraId="48D3AD80" w14:textId="77777777" w:rsidR="009B4A51" w:rsidRDefault="009B4A51" w:rsidP="00CA5840">
      <w:pPr>
        <w:ind w:left="0"/>
      </w:pPr>
    </w:p>
    <w:p w14:paraId="48D3AD81" w14:textId="77777777" w:rsidR="009B4A51" w:rsidRDefault="009B4A51" w:rsidP="00CA5840">
      <w:pPr>
        <w:ind w:left="0"/>
      </w:pPr>
    </w:p>
    <w:p w14:paraId="48D3AD82" w14:textId="77777777" w:rsidR="00AA3192" w:rsidRDefault="00AA3192" w:rsidP="00CA5840">
      <w:pPr>
        <w:ind w:left="0"/>
      </w:pPr>
    </w:p>
    <w:p w14:paraId="48D3AD83" w14:textId="77777777" w:rsidR="00AA3192" w:rsidRDefault="00AA3192" w:rsidP="00CA5840">
      <w:pPr>
        <w:ind w:left="0"/>
      </w:pPr>
    </w:p>
    <w:p w14:paraId="48D3AD84" w14:textId="77777777" w:rsidR="009B4A51" w:rsidRPr="007D6163" w:rsidRDefault="009B4A51" w:rsidP="00CA5840">
      <w:pPr>
        <w:pStyle w:val="Heading2"/>
        <w:ind w:left="0"/>
      </w:pPr>
      <w:r w:rsidRPr="007D6163">
        <w:t>Supporting Statement – Section A</w:t>
      </w:r>
    </w:p>
    <w:p w14:paraId="48D3AD85" w14:textId="77777777" w:rsidR="009B4A51" w:rsidRDefault="009B4A51" w:rsidP="00CA5840">
      <w:pPr>
        <w:ind w:left="0"/>
      </w:pPr>
    </w:p>
    <w:p w14:paraId="48D3AD86" w14:textId="77777777" w:rsidR="00484011" w:rsidRDefault="00484011" w:rsidP="00CA5840">
      <w:pPr>
        <w:ind w:left="0"/>
      </w:pPr>
    </w:p>
    <w:p w14:paraId="48D3AD87" w14:textId="77777777" w:rsidR="00AA3192" w:rsidRDefault="00AA3192" w:rsidP="00CA5840">
      <w:pPr>
        <w:ind w:left="0"/>
      </w:pPr>
    </w:p>
    <w:p w14:paraId="48D3AD88" w14:textId="77777777" w:rsidR="009B4A51" w:rsidRDefault="009B4A51" w:rsidP="00CA5840">
      <w:pPr>
        <w:ind w:left="0"/>
      </w:pPr>
    </w:p>
    <w:p w14:paraId="48D3AD89" w14:textId="77777777" w:rsidR="009B4A51" w:rsidRDefault="009B4A51" w:rsidP="00CA5840">
      <w:pPr>
        <w:ind w:left="0"/>
      </w:pPr>
    </w:p>
    <w:p w14:paraId="48D3AD8A" w14:textId="77777777" w:rsidR="00187D5A" w:rsidRDefault="00187D5A" w:rsidP="00CA5840">
      <w:pPr>
        <w:ind w:left="0"/>
      </w:pPr>
    </w:p>
    <w:p w14:paraId="48D3AD8B" w14:textId="780C9EE1" w:rsidR="009B4A51" w:rsidRPr="009B4A51" w:rsidRDefault="009B4A51" w:rsidP="00CA5840">
      <w:pPr>
        <w:ind w:left="0"/>
        <w:jc w:val="center"/>
      </w:pPr>
      <w:r w:rsidRPr="00AA3192">
        <w:t xml:space="preserve">Submitted: </w:t>
      </w:r>
      <w:r w:rsidR="00037615">
        <w:t>3/17/2015</w:t>
      </w:r>
    </w:p>
    <w:p w14:paraId="48D3AD8C" w14:textId="77777777" w:rsidR="009B4A51" w:rsidRDefault="009B4A51" w:rsidP="007D6163"/>
    <w:p w14:paraId="48D3AD8D" w14:textId="77777777" w:rsidR="009B4A51" w:rsidRDefault="009B4A51" w:rsidP="007D6163"/>
    <w:p w14:paraId="0A4F87A9" w14:textId="74E76536" w:rsidR="002662BD" w:rsidRDefault="002662BD" w:rsidP="007D6163"/>
    <w:p w14:paraId="61402564" w14:textId="77777777" w:rsidR="002662BD" w:rsidRDefault="002662BD" w:rsidP="007D6163"/>
    <w:p w14:paraId="71E25A87" w14:textId="77777777" w:rsidR="002662BD" w:rsidRDefault="002662BD" w:rsidP="007D6163"/>
    <w:p w14:paraId="48D3AD8E" w14:textId="77777777" w:rsidR="00873940" w:rsidRDefault="00716F94" w:rsidP="0022450B">
      <w:pPr>
        <w:ind w:left="0"/>
        <w:rPr>
          <w:b/>
          <w:u w:val="single"/>
        </w:rPr>
      </w:pPr>
      <w:r w:rsidRPr="00CA5840">
        <w:rPr>
          <w:b/>
          <w:u w:val="single"/>
        </w:rPr>
        <w:t>P</w:t>
      </w:r>
      <w:r w:rsidR="00667C89" w:rsidRPr="00CA5840">
        <w:rPr>
          <w:b/>
          <w:u w:val="single"/>
        </w:rPr>
        <w:t>rogram Official/Project Officer</w:t>
      </w:r>
    </w:p>
    <w:p w14:paraId="48D3AD8F" w14:textId="77777777" w:rsidR="00873940" w:rsidRDefault="00873940" w:rsidP="0022450B">
      <w:pPr>
        <w:ind w:left="0"/>
      </w:pPr>
      <w:r>
        <w:t>Angela Salazar</w:t>
      </w:r>
    </w:p>
    <w:p w14:paraId="48D3AD90" w14:textId="77777777" w:rsidR="00873940" w:rsidRPr="00873940" w:rsidRDefault="00873940" w:rsidP="00873940">
      <w:pPr>
        <w:ind w:left="0"/>
      </w:pPr>
      <w:r w:rsidRPr="00873940">
        <w:t>Public Health Advisor</w:t>
      </w:r>
    </w:p>
    <w:p w14:paraId="48D3AD91" w14:textId="77777777" w:rsidR="00873940" w:rsidRPr="00873940" w:rsidRDefault="00873940" w:rsidP="00873940">
      <w:pPr>
        <w:ind w:left="0"/>
      </w:pPr>
      <w:r w:rsidRPr="00873940">
        <w:t>Health Studies Branch</w:t>
      </w:r>
    </w:p>
    <w:p w14:paraId="48D3AD92" w14:textId="77777777" w:rsidR="00873940" w:rsidRPr="00873940" w:rsidRDefault="00873940" w:rsidP="00873940">
      <w:pPr>
        <w:ind w:left="0"/>
      </w:pPr>
      <w:r w:rsidRPr="00873940">
        <w:t>Division of Environmental Hazards and Health Effects</w:t>
      </w:r>
    </w:p>
    <w:p w14:paraId="48D3AD93" w14:textId="77777777" w:rsidR="00873940" w:rsidRPr="00873940" w:rsidRDefault="00873940" w:rsidP="00873940">
      <w:pPr>
        <w:ind w:left="0"/>
      </w:pPr>
      <w:r w:rsidRPr="00873940">
        <w:t>National Center for Environmental Health</w:t>
      </w:r>
    </w:p>
    <w:p w14:paraId="48D3AD94" w14:textId="77777777" w:rsidR="00873940" w:rsidRPr="00873940" w:rsidRDefault="00873940" w:rsidP="00873940">
      <w:pPr>
        <w:ind w:left="0"/>
      </w:pPr>
      <w:r w:rsidRPr="00873940">
        <w:t>4770 Buford Highway NE, MS F-60</w:t>
      </w:r>
    </w:p>
    <w:p w14:paraId="48D3AD95" w14:textId="77777777" w:rsidR="00873940" w:rsidRPr="00873940" w:rsidRDefault="00873940" w:rsidP="00873940">
      <w:pPr>
        <w:ind w:left="0"/>
      </w:pPr>
      <w:r w:rsidRPr="00873940">
        <w:t>Atlanta</w:t>
      </w:r>
      <w:r>
        <w:t>,</w:t>
      </w:r>
      <w:r w:rsidRPr="00873940">
        <w:t xml:space="preserve"> GA 30341</w:t>
      </w:r>
    </w:p>
    <w:p w14:paraId="48D3AD96" w14:textId="77777777" w:rsidR="00873940" w:rsidRPr="00873940" w:rsidRDefault="00873940" w:rsidP="00873940">
      <w:pPr>
        <w:ind w:left="0"/>
      </w:pPr>
      <w:r>
        <w:t xml:space="preserve">Phone: </w:t>
      </w:r>
      <w:r w:rsidRPr="00873940">
        <w:t xml:space="preserve">770.488.3949 </w:t>
      </w:r>
    </w:p>
    <w:p w14:paraId="48D3AD97" w14:textId="77777777" w:rsidR="00873940" w:rsidRPr="00873940" w:rsidRDefault="00873940" w:rsidP="00873940">
      <w:pPr>
        <w:ind w:left="0"/>
      </w:pPr>
      <w:r>
        <w:t xml:space="preserve">Email: </w:t>
      </w:r>
      <w:r w:rsidRPr="00873940">
        <w:t>aos9@cdc.gov</w:t>
      </w:r>
    </w:p>
    <w:p w14:paraId="48D3AD98" w14:textId="77777777" w:rsidR="00CA5840" w:rsidRDefault="00CA5840" w:rsidP="0022450B">
      <w:pPr>
        <w:ind w:left="0"/>
      </w:pPr>
    </w:p>
    <w:p w14:paraId="48D3AD99" w14:textId="77777777" w:rsidR="00873940" w:rsidRPr="0022450B" w:rsidRDefault="00873940" w:rsidP="0022450B">
      <w:pPr>
        <w:ind w:left="0"/>
      </w:pPr>
    </w:p>
    <w:p w14:paraId="043BECB6" w14:textId="77777777" w:rsidR="00052946" w:rsidRDefault="00052946">
      <w:pPr>
        <w:tabs>
          <w:tab w:val="clear" w:pos="9360"/>
        </w:tabs>
        <w:spacing w:after="200"/>
        <w:ind w:left="0"/>
      </w:pPr>
      <w:r>
        <w:br w:type="page"/>
      </w:r>
    </w:p>
    <w:p w14:paraId="22A1AA5B" w14:textId="77777777" w:rsidR="00052946" w:rsidRDefault="00052946" w:rsidP="00052946">
      <w:pPr>
        <w:pStyle w:val="Heading3"/>
        <w:ind w:left="0"/>
      </w:pPr>
      <w:bookmarkStart w:id="0" w:name="_Toc414349611"/>
      <w:bookmarkStart w:id="1" w:name="_Toc414349672"/>
      <w:r>
        <w:t>Table of Contents</w:t>
      </w:r>
      <w:bookmarkEnd w:id="0"/>
      <w:bookmarkEnd w:id="1"/>
    </w:p>
    <w:p w14:paraId="198B3604" w14:textId="1510B2B9" w:rsidR="00052946" w:rsidRDefault="00052946">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p>
    <w:p w14:paraId="0CA3F400" w14:textId="77777777" w:rsidR="00052946" w:rsidRDefault="00052946">
      <w:pPr>
        <w:pStyle w:val="TOC1"/>
        <w:tabs>
          <w:tab w:val="right" w:leader="dot" w:pos="9350"/>
        </w:tabs>
        <w:rPr>
          <w:rFonts w:asciiTheme="minorHAnsi" w:hAnsiTheme="minorHAnsi"/>
          <w:noProof/>
        </w:rPr>
      </w:pPr>
      <w:hyperlink w:anchor="_Toc414349674" w:history="1">
        <w:r w:rsidRPr="00D2142F">
          <w:rPr>
            <w:rStyle w:val="Hyperlink"/>
            <w:noProof/>
          </w:rPr>
          <w:t>Section A – Justification</w:t>
        </w:r>
        <w:r>
          <w:rPr>
            <w:noProof/>
            <w:webHidden/>
          </w:rPr>
          <w:tab/>
        </w:r>
        <w:r>
          <w:rPr>
            <w:noProof/>
            <w:webHidden/>
          </w:rPr>
          <w:fldChar w:fldCharType="begin"/>
        </w:r>
        <w:r>
          <w:rPr>
            <w:noProof/>
            <w:webHidden/>
          </w:rPr>
          <w:instrText xml:space="preserve"> PAGEREF _Toc414349674 \h </w:instrText>
        </w:r>
        <w:r>
          <w:rPr>
            <w:noProof/>
            <w:webHidden/>
          </w:rPr>
        </w:r>
        <w:r>
          <w:rPr>
            <w:noProof/>
            <w:webHidden/>
          </w:rPr>
          <w:fldChar w:fldCharType="separate"/>
        </w:r>
        <w:r>
          <w:rPr>
            <w:noProof/>
            <w:webHidden/>
          </w:rPr>
          <w:t>4</w:t>
        </w:r>
        <w:r>
          <w:rPr>
            <w:noProof/>
            <w:webHidden/>
          </w:rPr>
          <w:fldChar w:fldCharType="end"/>
        </w:r>
      </w:hyperlink>
    </w:p>
    <w:p w14:paraId="08D4657E" w14:textId="77777777" w:rsidR="00052946" w:rsidRDefault="00052946" w:rsidP="00052946">
      <w:pPr>
        <w:pStyle w:val="TOC2"/>
        <w:rPr>
          <w:rFonts w:asciiTheme="minorHAnsi" w:hAnsiTheme="minorHAnsi"/>
          <w:noProof/>
        </w:rPr>
      </w:pPr>
      <w:hyperlink w:anchor="_Toc414349675" w:history="1">
        <w:r w:rsidRPr="00D2142F">
          <w:rPr>
            <w:rStyle w:val="Hyperlink"/>
            <w:noProof/>
          </w:rPr>
          <w:t>1.</w:t>
        </w:r>
        <w:r>
          <w:rPr>
            <w:rFonts w:asciiTheme="minorHAnsi" w:hAnsiTheme="minorHAnsi"/>
            <w:noProof/>
          </w:rPr>
          <w:tab/>
        </w:r>
        <w:r w:rsidRPr="00D2142F">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_Toc414349675 \h </w:instrText>
        </w:r>
        <w:r>
          <w:rPr>
            <w:noProof/>
            <w:webHidden/>
          </w:rPr>
        </w:r>
        <w:r>
          <w:rPr>
            <w:noProof/>
            <w:webHidden/>
          </w:rPr>
          <w:fldChar w:fldCharType="separate"/>
        </w:r>
        <w:r>
          <w:rPr>
            <w:noProof/>
            <w:webHidden/>
          </w:rPr>
          <w:t>4</w:t>
        </w:r>
        <w:r>
          <w:rPr>
            <w:noProof/>
            <w:webHidden/>
          </w:rPr>
          <w:fldChar w:fldCharType="end"/>
        </w:r>
      </w:hyperlink>
    </w:p>
    <w:p w14:paraId="57463CCF" w14:textId="77777777" w:rsidR="00052946" w:rsidRDefault="00052946" w:rsidP="00052946">
      <w:pPr>
        <w:pStyle w:val="TOC2"/>
        <w:rPr>
          <w:rFonts w:asciiTheme="minorHAnsi" w:hAnsiTheme="minorHAnsi"/>
          <w:noProof/>
        </w:rPr>
      </w:pPr>
      <w:hyperlink w:anchor="_Toc414349676" w:history="1">
        <w:r w:rsidRPr="00D2142F">
          <w:rPr>
            <w:rStyle w:val="Hyperlink"/>
            <w:noProof/>
          </w:rPr>
          <w:t>2.</w:t>
        </w:r>
        <w:r>
          <w:rPr>
            <w:rFonts w:asciiTheme="minorHAnsi" w:hAnsiTheme="minorHAnsi"/>
            <w:noProof/>
          </w:rPr>
          <w:tab/>
        </w:r>
        <w:r w:rsidRPr="00D2142F">
          <w:rPr>
            <w:rStyle w:val="Hyperlink"/>
            <w:noProof/>
          </w:rPr>
          <w:t>Purpose and Use of the Information Collection</w:t>
        </w:r>
        <w:r>
          <w:rPr>
            <w:noProof/>
            <w:webHidden/>
          </w:rPr>
          <w:tab/>
        </w:r>
        <w:r>
          <w:rPr>
            <w:noProof/>
            <w:webHidden/>
          </w:rPr>
          <w:fldChar w:fldCharType="begin"/>
        </w:r>
        <w:r>
          <w:rPr>
            <w:noProof/>
            <w:webHidden/>
          </w:rPr>
          <w:instrText xml:space="preserve"> PAGEREF _Toc414349676 \h </w:instrText>
        </w:r>
        <w:r>
          <w:rPr>
            <w:noProof/>
            <w:webHidden/>
          </w:rPr>
        </w:r>
        <w:r>
          <w:rPr>
            <w:noProof/>
            <w:webHidden/>
          </w:rPr>
          <w:fldChar w:fldCharType="separate"/>
        </w:r>
        <w:r>
          <w:rPr>
            <w:noProof/>
            <w:webHidden/>
          </w:rPr>
          <w:t>7</w:t>
        </w:r>
        <w:r>
          <w:rPr>
            <w:noProof/>
            <w:webHidden/>
          </w:rPr>
          <w:fldChar w:fldCharType="end"/>
        </w:r>
      </w:hyperlink>
    </w:p>
    <w:p w14:paraId="3C97A738" w14:textId="77777777" w:rsidR="00052946" w:rsidRDefault="00052946" w:rsidP="00052946">
      <w:pPr>
        <w:pStyle w:val="TOC2"/>
        <w:rPr>
          <w:rFonts w:asciiTheme="minorHAnsi" w:hAnsiTheme="minorHAnsi"/>
          <w:noProof/>
        </w:rPr>
      </w:pPr>
      <w:hyperlink w:anchor="_Toc414349677" w:history="1">
        <w:r w:rsidRPr="00D2142F">
          <w:rPr>
            <w:rStyle w:val="Hyperlink"/>
            <w:noProof/>
          </w:rPr>
          <w:t>3.</w:t>
        </w:r>
        <w:r>
          <w:rPr>
            <w:rFonts w:asciiTheme="minorHAnsi" w:hAnsiTheme="minorHAnsi"/>
            <w:noProof/>
          </w:rPr>
          <w:tab/>
        </w:r>
        <w:r w:rsidRPr="00D2142F">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_Toc414349677 \h </w:instrText>
        </w:r>
        <w:r>
          <w:rPr>
            <w:noProof/>
            <w:webHidden/>
          </w:rPr>
        </w:r>
        <w:r>
          <w:rPr>
            <w:noProof/>
            <w:webHidden/>
          </w:rPr>
          <w:fldChar w:fldCharType="separate"/>
        </w:r>
        <w:r>
          <w:rPr>
            <w:noProof/>
            <w:webHidden/>
          </w:rPr>
          <w:t>7</w:t>
        </w:r>
        <w:r>
          <w:rPr>
            <w:noProof/>
            <w:webHidden/>
          </w:rPr>
          <w:fldChar w:fldCharType="end"/>
        </w:r>
      </w:hyperlink>
    </w:p>
    <w:p w14:paraId="20F6D6E7" w14:textId="77777777" w:rsidR="00052946" w:rsidRDefault="00052946" w:rsidP="00052946">
      <w:pPr>
        <w:pStyle w:val="TOC2"/>
        <w:rPr>
          <w:rFonts w:asciiTheme="minorHAnsi" w:hAnsiTheme="minorHAnsi"/>
          <w:noProof/>
        </w:rPr>
      </w:pPr>
      <w:hyperlink w:anchor="_Toc414349678" w:history="1">
        <w:r w:rsidRPr="00D2142F">
          <w:rPr>
            <w:rStyle w:val="Hyperlink"/>
            <w:noProof/>
          </w:rPr>
          <w:t>4.</w:t>
        </w:r>
        <w:r>
          <w:rPr>
            <w:rFonts w:asciiTheme="minorHAnsi" w:hAnsiTheme="minorHAnsi"/>
            <w:noProof/>
          </w:rPr>
          <w:tab/>
        </w:r>
        <w:r w:rsidRPr="00D2142F">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_Toc414349678 \h </w:instrText>
        </w:r>
        <w:r>
          <w:rPr>
            <w:noProof/>
            <w:webHidden/>
          </w:rPr>
        </w:r>
        <w:r>
          <w:rPr>
            <w:noProof/>
            <w:webHidden/>
          </w:rPr>
          <w:fldChar w:fldCharType="separate"/>
        </w:r>
        <w:r>
          <w:rPr>
            <w:noProof/>
            <w:webHidden/>
          </w:rPr>
          <w:t>7</w:t>
        </w:r>
        <w:r>
          <w:rPr>
            <w:noProof/>
            <w:webHidden/>
          </w:rPr>
          <w:fldChar w:fldCharType="end"/>
        </w:r>
      </w:hyperlink>
    </w:p>
    <w:p w14:paraId="389F214D" w14:textId="77777777" w:rsidR="00052946" w:rsidRDefault="00052946" w:rsidP="00052946">
      <w:pPr>
        <w:pStyle w:val="TOC2"/>
        <w:rPr>
          <w:rFonts w:asciiTheme="minorHAnsi" w:hAnsiTheme="minorHAnsi"/>
          <w:noProof/>
        </w:rPr>
      </w:pPr>
      <w:hyperlink w:anchor="_Toc414349679" w:history="1">
        <w:r w:rsidRPr="00D2142F">
          <w:rPr>
            <w:rStyle w:val="Hyperlink"/>
            <w:noProof/>
          </w:rPr>
          <w:t>5.</w:t>
        </w:r>
        <w:r>
          <w:rPr>
            <w:rFonts w:asciiTheme="minorHAnsi" w:hAnsiTheme="minorHAnsi"/>
            <w:noProof/>
          </w:rPr>
          <w:tab/>
        </w:r>
        <w:r w:rsidRPr="00D2142F">
          <w:rPr>
            <w:rStyle w:val="Hyperlink"/>
            <w:noProof/>
          </w:rPr>
          <w:t>Impact on Small Businesses or Other Small Entities</w:t>
        </w:r>
        <w:r>
          <w:rPr>
            <w:noProof/>
            <w:webHidden/>
          </w:rPr>
          <w:tab/>
        </w:r>
        <w:r>
          <w:rPr>
            <w:noProof/>
            <w:webHidden/>
          </w:rPr>
          <w:fldChar w:fldCharType="begin"/>
        </w:r>
        <w:r>
          <w:rPr>
            <w:noProof/>
            <w:webHidden/>
          </w:rPr>
          <w:instrText xml:space="preserve"> PAGEREF _Toc414349679 \h </w:instrText>
        </w:r>
        <w:r>
          <w:rPr>
            <w:noProof/>
            <w:webHidden/>
          </w:rPr>
        </w:r>
        <w:r>
          <w:rPr>
            <w:noProof/>
            <w:webHidden/>
          </w:rPr>
          <w:fldChar w:fldCharType="separate"/>
        </w:r>
        <w:r>
          <w:rPr>
            <w:noProof/>
            <w:webHidden/>
          </w:rPr>
          <w:t>8</w:t>
        </w:r>
        <w:r>
          <w:rPr>
            <w:noProof/>
            <w:webHidden/>
          </w:rPr>
          <w:fldChar w:fldCharType="end"/>
        </w:r>
      </w:hyperlink>
    </w:p>
    <w:p w14:paraId="4BCD6874" w14:textId="77777777" w:rsidR="00052946" w:rsidRDefault="00052946" w:rsidP="00052946">
      <w:pPr>
        <w:pStyle w:val="TOC2"/>
        <w:rPr>
          <w:rFonts w:asciiTheme="minorHAnsi" w:hAnsiTheme="minorHAnsi"/>
          <w:noProof/>
        </w:rPr>
      </w:pPr>
      <w:hyperlink w:anchor="_Toc414349680" w:history="1">
        <w:r w:rsidRPr="00D2142F">
          <w:rPr>
            <w:rStyle w:val="Hyperlink"/>
            <w:noProof/>
          </w:rPr>
          <w:t>6.</w:t>
        </w:r>
        <w:r>
          <w:rPr>
            <w:rFonts w:asciiTheme="minorHAnsi" w:hAnsiTheme="minorHAnsi"/>
            <w:noProof/>
          </w:rPr>
          <w:tab/>
        </w:r>
        <w:r w:rsidRPr="00D2142F">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_Toc414349680 \h </w:instrText>
        </w:r>
        <w:r>
          <w:rPr>
            <w:noProof/>
            <w:webHidden/>
          </w:rPr>
        </w:r>
        <w:r>
          <w:rPr>
            <w:noProof/>
            <w:webHidden/>
          </w:rPr>
          <w:fldChar w:fldCharType="separate"/>
        </w:r>
        <w:r>
          <w:rPr>
            <w:noProof/>
            <w:webHidden/>
          </w:rPr>
          <w:t>8</w:t>
        </w:r>
        <w:r>
          <w:rPr>
            <w:noProof/>
            <w:webHidden/>
          </w:rPr>
          <w:fldChar w:fldCharType="end"/>
        </w:r>
      </w:hyperlink>
    </w:p>
    <w:p w14:paraId="222D100C" w14:textId="77777777" w:rsidR="00052946" w:rsidRDefault="00052946" w:rsidP="00052946">
      <w:pPr>
        <w:pStyle w:val="TOC2"/>
        <w:rPr>
          <w:rFonts w:asciiTheme="minorHAnsi" w:hAnsiTheme="minorHAnsi"/>
          <w:noProof/>
        </w:rPr>
      </w:pPr>
      <w:hyperlink w:anchor="_Toc414349681" w:history="1">
        <w:r w:rsidRPr="00D2142F">
          <w:rPr>
            <w:rStyle w:val="Hyperlink"/>
            <w:noProof/>
          </w:rPr>
          <w:t>7.</w:t>
        </w:r>
        <w:r>
          <w:rPr>
            <w:rFonts w:asciiTheme="minorHAnsi" w:hAnsiTheme="minorHAnsi"/>
            <w:noProof/>
          </w:rPr>
          <w:tab/>
        </w:r>
        <w:r w:rsidRPr="00D2142F">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_Toc414349681 \h </w:instrText>
        </w:r>
        <w:r>
          <w:rPr>
            <w:noProof/>
            <w:webHidden/>
          </w:rPr>
        </w:r>
        <w:r>
          <w:rPr>
            <w:noProof/>
            <w:webHidden/>
          </w:rPr>
          <w:fldChar w:fldCharType="separate"/>
        </w:r>
        <w:r>
          <w:rPr>
            <w:noProof/>
            <w:webHidden/>
          </w:rPr>
          <w:t>8</w:t>
        </w:r>
        <w:r>
          <w:rPr>
            <w:noProof/>
            <w:webHidden/>
          </w:rPr>
          <w:fldChar w:fldCharType="end"/>
        </w:r>
      </w:hyperlink>
    </w:p>
    <w:p w14:paraId="35CD5109" w14:textId="77777777" w:rsidR="00052946" w:rsidRDefault="00052946" w:rsidP="00052946">
      <w:pPr>
        <w:pStyle w:val="TOC2"/>
        <w:rPr>
          <w:rFonts w:asciiTheme="minorHAnsi" w:hAnsiTheme="minorHAnsi"/>
          <w:noProof/>
        </w:rPr>
      </w:pPr>
      <w:hyperlink w:anchor="_Toc414349682" w:history="1">
        <w:r w:rsidRPr="00D2142F">
          <w:rPr>
            <w:rStyle w:val="Hyperlink"/>
            <w:noProof/>
          </w:rPr>
          <w:t>8.</w:t>
        </w:r>
        <w:r>
          <w:rPr>
            <w:rFonts w:asciiTheme="minorHAnsi" w:hAnsiTheme="minorHAnsi"/>
            <w:noProof/>
          </w:rPr>
          <w:tab/>
        </w:r>
        <w:r w:rsidRPr="00D2142F">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_Toc414349682 \h </w:instrText>
        </w:r>
        <w:r>
          <w:rPr>
            <w:noProof/>
            <w:webHidden/>
          </w:rPr>
        </w:r>
        <w:r>
          <w:rPr>
            <w:noProof/>
            <w:webHidden/>
          </w:rPr>
          <w:fldChar w:fldCharType="separate"/>
        </w:r>
        <w:r>
          <w:rPr>
            <w:noProof/>
            <w:webHidden/>
          </w:rPr>
          <w:t>8</w:t>
        </w:r>
        <w:r>
          <w:rPr>
            <w:noProof/>
            <w:webHidden/>
          </w:rPr>
          <w:fldChar w:fldCharType="end"/>
        </w:r>
      </w:hyperlink>
    </w:p>
    <w:p w14:paraId="20AA9459" w14:textId="77777777" w:rsidR="00052946" w:rsidRDefault="00052946" w:rsidP="00052946">
      <w:pPr>
        <w:pStyle w:val="TOC2"/>
        <w:rPr>
          <w:rFonts w:asciiTheme="minorHAnsi" w:hAnsiTheme="minorHAnsi"/>
          <w:noProof/>
        </w:rPr>
      </w:pPr>
      <w:hyperlink w:anchor="_Toc414349683" w:history="1">
        <w:r w:rsidRPr="00D2142F">
          <w:rPr>
            <w:rStyle w:val="Hyperlink"/>
            <w:noProof/>
          </w:rPr>
          <w:t>9.</w:t>
        </w:r>
        <w:r>
          <w:rPr>
            <w:rFonts w:asciiTheme="minorHAnsi" w:hAnsiTheme="minorHAnsi"/>
            <w:noProof/>
          </w:rPr>
          <w:tab/>
        </w:r>
        <w:r w:rsidRPr="00D2142F">
          <w:rPr>
            <w:rStyle w:val="Hyperlink"/>
            <w:noProof/>
          </w:rPr>
          <w:t>Explanation of Any Payment or Gift to Respondents</w:t>
        </w:r>
        <w:r>
          <w:rPr>
            <w:noProof/>
            <w:webHidden/>
          </w:rPr>
          <w:tab/>
        </w:r>
        <w:r>
          <w:rPr>
            <w:noProof/>
            <w:webHidden/>
          </w:rPr>
          <w:fldChar w:fldCharType="begin"/>
        </w:r>
        <w:r>
          <w:rPr>
            <w:noProof/>
            <w:webHidden/>
          </w:rPr>
          <w:instrText xml:space="preserve"> PAGEREF _Toc414349683 \h </w:instrText>
        </w:r>
        <w:r>
          <w:rPr>
            <w:noProof/>
            <w:webHidden/>
          </w:rPr>
        </w:r>
        <w:r>
          <w:rPr>
            <w:noProof/>
            <w:webHidden/>
          </w:rPr>
          <w:fldChar w:fldCharType="separate"/>
        </w:r>
        <w:r>
          <w:rPr>
            <w:noProof/>
            <w:webHidden/>
          </w:rPr>
          <w:t>9</w:t>
        </w:r>
        <w:r>
          <w:rPr>
            <w:noProof/>
            <w:webHidden/>
          </w:rPr>
          <w:fldChar w:fldCharType="end"/>
        </w:r>
      </w:hyperlink>
    </w:p>
    <w:p w14:paraId="4B09D826" w14:textId="77777777" w:rsidR="00052946" w:rsidRDefault="00052946" w:rsidP="00052946">
      <w:pPr>
        <w:pStyle w:val="TOC2"/>
        <w:rPr>
          <w:rFonts w:asciiTheme="minorHAnsi" w:hAnsiTheme="minorHAnsi"/>
          <w:noProof/>
        </w:rPr>
      </w:pPr>
      <w:hyperlink w:anchor="_Toc414349684" w:history="1">
        <w:r w:rsidRPr="00D2142F">
          <w:rPr>
            <w:rStyle w:val="Hyperlink"/>
            <w:noProof/>
          </w:rPr>
          <w:t>10.</w:t>
        </w:r>
        <w:r>
          <w:rPr>
            <w:rFonts w:asciiTheme="minorHAnsi" w:hAnsiTheme="minorHAnsi"/>
            <w:noProof/>
          </w:rPr>
          <w:tab/>
        </w:r>
        <w:r w:rsidRPr="00D2142F">
          <w:rPr>
            <w:rStyle w:val="Hyperlink"/>
            <w:noProof/>
          </w:rPr>
          <w:t>Assurance of Confidentiality Provided to Respondents</w:t>
        </w:r>
        <w:r>
          <w:rPr>
            <w:noProof/>
            <w:webHidden/>
          </w:rPr>
          <w:tab/>
        </w:r>
        <w:r>
          <w:rPr>
            <w:noProof/>
            <w:webHidden/>
          </w:rPr>
          <w:fldChar w:fldCharType="begin"/>
        </w:r>
        <w:r>
          <w:rPr>
            <w:noProof/>
            <w:webHidden/>
          </w:rPr>
          <w:instrText xml:space="preserve"> PAGEREF _Toc414349684 \h </w:instrText>
        </w:r>
        <w:r>
          <w:rPr>
            <w:noProof/>
            <w:webHidden/>
          </w:rPr>
        </w:r>
        <w:r>
          <w:rPr>
            <w:noProof/>
            <w:webHidden/>
          </w:rPr>
          <w:fldChar w:fldCharType="separate"/>
        </w:r>
        <w:r>
          <w:rPr>
            <w:noProof/>
            <w:webHidden/>
          </w:rPr>
          <w:t>9</w:t>
        </w:r>
        <w:r>
          <w:rPr>
            <w:noProof/>
            <w:webHidden/>
          </w:rPr>
          <w:fldChar w:fldCharType="end"/>
        </w:r>
      </w:hyperlink>
    </w:p>
    <w:p w14:paraId="53B5FE06" w14:textId="77777777" w:rsidR="00052946" w:rsidRDefault="00052946" w:rsidP="00052946">
      <w:pPr>
        <w:pStyle w:val="TOC2"/>
        <w:rPr>
          <w:rFonts w:asciiTheme="minorHAnsi" w:hAnsiTheme="minorHAnsi"/>
          <w:noProof/>
        </w:rPr>
      </w:pPr>
      <w:hyperlink w:anchor="_Toc414349685" w:history="1">
        <w:r w:rsidRPr="00D2142F">
          <w:rPr>
            <w:rStyle w:val="Hyperlink"/>
            <w:noProof/>
          </w:rPr>
          <w:t>10.1 Privacy Impact Assessment Information</w:t>
        </w:r>
        <w:r>
          <w:rPr>
            <w:noProof/>
            <w:webHidden/>
          </w:rPr>
          <w:tab/>
        </w:r>
        <w:r>
          <w:rPr>
            <w:noProof/>
            <w:webHidden/>
          </w:rPr>
          <w:fldChar w:fldCharType="begin"/>
        </w:r>
        <w:r>
          <w:rPr>
            <w:noProof/>
            <w:webHidden/>
          </w:rPr>
          <w:instrText xml:space="preserve"> PAGEREF _Toc414349685 \h </w:instrText>
        </w:r>
        <w:r>
          <w:rPr>
            <w:noProof/>
            <w:webHidden/>
          </w:rPr>
        </w:r>
        <w:r>
          <w:rPr>
            <w:noProof/>
            <w:webHidden/>
          </w:rPr>
          <w:fldChar w:fldCharType="separate"/>
        </w:r>
        <w:r>
          <w:rPr>
            <w:noProof/>
            <w:webHidden/>
          </w:rPr>
          <w:t>9</w:t>
        </w:r>
        <w:r>
          <w:rPr>
            <w:noProof/>
            <w:webHidden/>
          </w:rPr>
          <w:fldChar w:fldCharType="end"/>
        </w:r>
      </w:hyperlink>
    </w:p>
    <w:p w14:paraId="12E834A1" w14:textId="77777777" w:rsidR="00052946" w:rsidRDefault="00052946" w:rsidP="00052946">
      <w:pPr>
        <w:pStyle w:val="TOC2"/>
        <w:rPr>
          <w:rFonts w:asciiTheme="minorHAnsi" w:hAnsiTheme="minorHAnsi"/>
          <w:noProof/>
        </w:rPr>
      </w:pPr>
      <w:hyperlink w:anchor="_Toc414349687" w:history="1">
        <w:r w:rsidRPr="00D2142F">
          <w:rPr>
            <w:rStyle w:val="Hyperlink"/>
            <w:noProof/>
          </w:rPr>
          <w:t>11.</w:t>
        </w:r>
        <w:r>
          <w:rPr>
            <w:rFonts w:asciiTheme="minorHAnsi" w:hAnsiTheme="minorHAnsi"/>
            <w:noProof/>
          </w:rPr>
          <w:tab/>
        </w:r>
        <w:r w:rsidRPr="00D2142F">
          <w:rPr>
            <w:rStyle w:val="Hyperlink"/>
            <w:noProof/>
          </w:rPr>
          <w:t>Justification for Sensitive Questions</w:t>
        </w:r>
        <w:r>
          <w:rPr>
            <w:noProof/>
            <w:webHidden/>
          </w:rPr>
          <w:tab/>
        </w:r>
        <w:r>
          <w:rPr>
            <w:noProof/>
            <w:webHidden/>
          </w:rPr>
          <w:fldChar w:fldCharType="begin"/>
        </w:r>
        <w:r>
          <w:rPr>
            <w:noProof/>
            <w:webHidden/>
          </w:rPr>
          <w:instrText xml:space="preserve"> PAGEREF _Toc414349687 \h </w:instrText>
        </w:r>
        <w:r>
          <w:rPr>
            <w:noProof/>
            <w:webHidden/>
          </w:rPr>
        </w:r>
        <w:r>
          <w:rPr>
            <w:noProof/>
            <w:webHidden/>
          </w:rPr>
          <w:fldChar w:fldCharType="separate"/>
        </w:r>
        <w:r>
          <w:rPr>
            <w:noProof/>
            <w:webHidden/>
          </w:rPr>
          <w:t>9</w:t>
        </w:r>
        <w:r>
          <w:rPr>
            <w:noProof/>
            <w:webHidden/>
          </w:rPr>
          <w:fldChar w:fldCharType="end"/>
        </w:r>
      </w:hyperlink>
    </w:p>
    <w:p w14:paraId="7137B69D" w14:textId="77777777" w:rsidR="00052946" w:rsidRDefault="00052946" w:rsidP="00052946">
      <w:pPr>
        <w:pStyle w:val="TOC2"/>
        <w:rPr>
          <w:rFonts w:asciiTheme="minorHAnsi" w:hAnsiTheme="minorHAnsi"/>
          <w:noProof/>
        </w:rPr>
      </w:pPr>
      <w:hyperlink w:anchor="_Toc414349688" w:history="1">
        <w:r w:rsidRPr="00D2142F">
          <w:rPr>
            <w:rStyle w:val="Hyperlink"/>
            <w:noProof/>
          </w:rPr>
          <w:t>12.</w:t>
        </w:r>
        <w:r>
          <w:rPr>
            <w:rFonts w:asciiTheme="minorHAnsi" w:hAnsiTheme="minorHAnsi"/>
            <w:noProof/>
          </w:rPr>
          <w:tab/>
        </w:r>
        <w:r w:rsidRPr="00D2142F">
          <w:rPr>
            <w:rStyle w:val="Hyperlink"/>
            <w:noProof/>
          </w:rPr>
          <w:t>Estimates of Annualized Burden Hours and Costs</w:t>
        </w:r>
        <w:r>
          <w:rPr>
            <w:noProof/>
            <w:webHidden/>
          </w:rPr>
          <w:tab/>
        </w:r>
        <w:r>
          <w:rPr>
            <w:noProof/>
            <w:webHidden/>
          </w:rPr>
          <w:fldChar w:fldCharType="begin"/>
        </w:r>
        <w:r>
          <w:rPr>
            <w:noProof/>
            <w:webHidden/>
          </w:rPr>
          <w:instrText xml:space="preserve"> PAGEREF _Toc414349688 \h </w:instrText>
        </w:r>
        <w:r>
          <w:rPr>
            <w:noProof/>
            <w:webHidden/>
          </w:rPr>
        </w:r>
        <w:r>
          <w:rPr>
            <w:noProof/>
            <w:webHidden/>
          </w:rPr>
          <w:fldChar w:fldCharType="separate"/>
        </w:r>
        <w:r>
          <w:rPr>
            <w:noProof/>
            <w:webHidden/>
          </w:rPr>
          <w:t>9</w:t>
        </w:r>
        <w:r>
          <w:rPr>
            <w:noProof/>
            <w:webHidden/>
          </w:rPr>
          <w:fldChar w:fldCharType="end"/>
        </w:r>
      </w:hyperlink>
    </w:p>
    <w:p w14:paraId="016592BC" w14:textId="77777777" w:rsidR="00052946" w:rsidRDefault="00052946" w:rsidP="00052946">
      <w:pPr>
        <w:pStyle w:val="TOC2"/>
        <w:rPr>
          <w:rFonts w:asciiTheme="minorHAnsi" w:hAnsiTheme="minorHAnsi"/>
          <w:noProof/>
        </w:rPr>
      </w:pPr>
      <w:hyperlink w:anchor="_Toc414349689" w:history="1">
        <w:r w:rsidRPr="00D2142F">
          <w:rPr>
            <w:rStyle w:val="Hyperlink"/>
            <w:noProof/>
          </w:rPr>
          <w:t>13.</w:t>
        </w:r>
        <w:r>
          <w:rPr>
            <w:rFonts w:asciiTheme="minorHAnsi" w:hAnsiTheme="minorHAnsi"/>
            <w:noProof/>
          </w:rPr>
          <w:tab/>
        </w:r>
        <w:r w:rsidRPr="00D2142F">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_Toc414349689 \h </w:instrText>
        </w:r>
        <w:r>
          <w:rPr>
            <w:noProof/>
            <w:webHidden/>
          </w:rPr>
        </w:r>
        <w:r>
          <w:rPr>
            <w:noProof/>
            <w:webHidden/>
          </w:rPr>
          <w:fldChar w:fldCharType="separate"/>
        </w:r>
        <w:r>
          <w:rPr>
            <w:noProof/>
            <w:webHidden/>
          </w:rPr>
          <w:t>10</w:t>
        </w:r>
        <w:r>
          <w:rPr>
            <w:noProof/>
            <w:webHidden/>
          </w:rPr>
          <w:fldChar w:fldCharType="end"/>
        </w:r>
      </w:hyperlink>
    </w:p>
    <w:p w14:paraId="30BAE6C7" w14:textId="77777777" w:rsidR="00052946" w:rsidRDefault="00052946" w:rsidP="00052946">
      <w:pPr>
        <w:pStyle w:val="TOC2"/>
        <w:rPr>
          <w:rFonts w:asciiTheme="minorHAnsi" w:hAnsiTheme="minorHAnsi"/>
          <w:noProof/>
        </w:rPr>
      </w:pPr>
      <w:hyperlink w:anchor="_Toc414349690" w:history="1">
        <w:r w:rsidRPr="00D2142F">
          <w:rPr>
            <w:rStyle w:val="Hyperlink"/>
            <w:noProof/>
          </w:rPr>
          <w:t>14.</w:t>
        </w:r>
        <w:r>
          <w:rPr>
            <w:rFonts w:asciiTheme="minorHAnsi" w:hAnsiTheme="minorHAnsi"/>
            <w:noProof/>
          </w:rPr>
          <w:tab/>
        </w:r>
        <w:r w:rsidRPr="00D2142F">
          <w:rPr>
            <w:rStyle w:val="Hyperlink"/>
            <w:noProof/>
          </w:rPr>
          <w:t>Annualized Cost to the Government</w:t>
        </w:r>
        <w:r>
          <w:rPr>
            <w:noProof/>
            <w:webHidden/>
          </w:rPr>
          <w:tab/>
        </w:r>
        <w:r>
          <w:rPr>
            <w:noProof/>
            <w:webHidden/>
          </w:rPr>
          <w:fldChar w:fldCharType="begin"/>
        </w:r>
        <w:r>
          <w:rPr>
            <w:noProof/>
            <w:webHidden/>
          </w:rPr>
          <w:instrText xml:space="preserve"> PAGEREF _Toc414349690 \h </w:instrText>
        </w:r>
        <w:r>
          <w:rPr>
            <w:noProof/>
            <w:webHidden/>
          </w:rPr>
        </w:r>
        <w:r>
          <w:rPr>
            <w:noProof/>
            <w:webHidden/>
          </w:rPr>
          <w:fldChar w:fldCharType="separate"/>
        </w:r>
        <w:r>
          <w:rPr>
            <w:noProof/>
            <w:webHidden/>
          </w:rPr>
          <w:t>10</w:t>
        </w:r>
        <w:r>
          <w:rPr>
            <w:noProof/>
            <w:webHidden/>
          </w:rPr>
          <w:fldChar w:fldCharType="end"/>
        </w:r>
      </w:hyperlink>
    </w:p>
    <w:p w14:paraId="0D3427C7" w14:textId="77777777" w:rsidR="00052946" w:rsidRDefault="00052946" w:rsidP="00052946">
      <w:pPr>
        <w:pStyle w:val="TOC2"/>
        <w:rPr>
          <w:rFonts w:asciiTheme="minorHAnsi" w:hAnsiTheme="minorHAnsi"/>
          <w:noProof/>
        </w:rPr>
      </w:pPr>
      <w:hyperlink w:anchor="_Toc414349691" w:history="1">
        <w:r w:rsidRPr="00D2142F">
          <w:rPr>
            <w:rStyle w:val="Hyperlink"/>
            <w:noProof/>
          </w:rPr>
          <w:t>15.</w:t>
        </w:r>
        <w:r>
          <w:rPr>
            <w:rFonts w:asciiTheme="minorHAnsi" w:hAnsiTheme="minorHAnsi"/>
            <w:noProof/>
          </w:rPr>
          <w:tab/>
        </w:r>
        <w:r w:rsidRPr="00D2142F">
          <w:rPr>
            <w:rStyle w:val="Hyperlink"/>
            <w:noProof/>
          </w:rPr>
          <w:t>Explanation for Program Changes or Adjustments</w:t>
        </w:r>
        <w:r>
          <w:rPr>
            <w:noProof/>
            <w:webHidden/>
          </w:rPr>
          <w:tab/>
        </w:r>
        <w:r>
          <w:rPr>
            <w:noProof/>
            <w:webHidden/>
          </w:rPr>
          <w:fldChar w:fldCharType="begin"/>
        </w:r>
        <w:r>
          <w:rPr>
            <w:noProof/>
            <w:webHidden/>
          </w:rPr>
          <w:instrText xml:space="preserve"> PAGEREF _Toc414349691 \h </w:instrText>
        </w:r>
        <w:r>
          <w:rPr>
            <w:noProof/>
            <w:webHidden/>
          </w:rPr>
        </w:r>
        <w:r>
          <w:rPr>
            <w:noProof/>
            <w:webHidden/>
          </w:rPr>
          <w:fldChar w:fldCharType="separate"/>
        </w:r>
        <w:r>
          <w:rPr>
            <w:noProof/>
            <w:webHidden/>
          </w:rPr>
          <w:t>10</w:t>
        </w:r>
        <w:r>
          <w:rPr>
            <w:noProof/>
            <w:webHidden/>
          </w:rPr>
          <w:fldChar w:fldCharType="end"/>
        </w:r>
      </w:hyperlink>
    </w:p>
    <w:p w14:paraId="24E6C736" w14:textId="77777777" w:rsidR="00052946" w:rsidRDefault="00052946" w:rsidP="00052946">
      <w:pPr>
        <w:pStyle w:val="TOC2"/>
        <w:rPr>
          <w:rFonts w:asciiTheme="minorHAnsi" w:hAnsiTheme="minorHAnsi"/>
          <w:noProof/>
        </w:rPr>
      </w:pPr>
      <w:hyperlink w:anchor="_Toc414349692" w:history="1">
        <w:r w:rsidRPr="00D2142F">
          <w:rPr>
            <w:rStyle w:val="Hyperlink"/>
            <w:noProof/>
          </w:rPr>
          <w:t>16.</w:t>
        </w:r>
        <w:r>
          <w:rPr>
            <w:rFonts w:asciiTheme="minorHAnsi" w:hAnsiTheme="minorHAnsi"/>
            <w:noProof/>
          </w:rPr>
          <w:tab/>
        </w:r>
        <w:r w:rsidRPr="00D2142F">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_Toc414349692 \h </w:instrText>
        </w:r>
        <w:r>
          <w:rPr>
            <w:noProof/>
            <w:webHidden/>
          </w:rPr>
        </w:r>
        <w:r>
          <w:rPr>
            <w:noProof/>
            <w:webHidden/>
          </w:rPr>
          <w:fldChar w:fldCharType="separate"/>
        </w:r>
        <w:r>
          <w:rPr>
            <w:noProof/>
            <w:webHidden/>
          </w:rPr>
          <w:t>10</w:t>
        </w:r>
        <w:r>
          <w:rPr>
            <w:noProof/>
            <w:webHidden/>
          </w:rPr>
          <w:fldChar w:fldCharType="end"/>
        </w:r>
      </w:hyperlink>
    </w:p>
    <w:p w14:paraId="44753081" w14:textId="77777777" w:rsidR="00052946" w:rsidRDefault="00052946" w:rsidP="00052946">
      <w:pPr>
        <w:pStyle w:val="TOC2"/>
        <w:rPr>
          <w:rFonts w:asciiTheme="minorHAnsi" w:hAnsiTheme="minorHAnsi"/>
          <w:noProof/>
        </w:rPr>
      </w:pPr>
      <w:hyperlink w:anchor="_Toc414349693" w:history="1">
        <w:r w:rsidRPr="00D2142F">
          <w:rPr>
            <w:rStyle w:val="Hyperlink"/>
            <w:noProof/>
          </w:rPr>
          <w:t>17.</w:t>
        </w:r>
        <w:r>
          <w:rPr>
            <w:rFonts w:asciiTheme="minorHAnsi" w:hAnsiTheme="minorHAnsi"/>
            <w:noProof/>
          </w:rPr>
          <w:tab/>
        </w:r>
        <w:r w:rsidRPr="00D2142F">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_Toc414349693 \h </w:instrText>
        </w:r>
        <w:r>
          <w:rPr>
            <w:noProof/>
            <w:webHidden/>
          </w:rPr>
        </w:r>
        <w:r>
          <w:rPr>
            <w:noProof/>
            <w:webHidden/>
          </w:rPr>
          <w:fldChar w:fldCharType="separate"/>
        </w:r>
        <w:r>
          <w:rPr>
            <w:noProof/>
            <w:webHidden/>
          </w:rPr>
          <w:t>11</w:t>
        </w:r>
        <w:r>
          <w:rPr>
            <w:noProof/>
            <w:webHidden/>
          </w:rPr>
          <w:fldChar w:fldCharType="end"/>
        </w:r>
      </w:hyperlink>
    </w:p>
    <w:p w14:paraId="5ED2AACD" w14:textId="77777777" w:rsidR="00052946" w:rsidRDefault="00052946" w:rsidP="00052946">
      <w:pPr>
        <w:pStyle w:val="TOC2"/>
        <w:rPr>
          <w:rFonts w:asciiTheme="minorHAnsi" w:hAnsiTheme="minorHAnsi"/>
          <w:noProof/>
        </w:rPr>
      </w:pPr>
      <w:hyperlink w:anchor="_Toc414349694" w:history="1">
        <w:r w:rsidRPr="00D2142F">
          <w:rPr>
            <w:rStyle w:val="Hyperlink"/>
            <w:noProof/>
          </w:rPr>
          <w:t>18.</w:t>
        </w:r>
        <w:r>
          <w:rPr>
            <w:rFonts w:asciiTheme="minorHAnsi" w:hAnsiTheme="minorHAnsi"/>
            <w:noProof/>
          </w:rPr>
          <w:tab/>
        </w:r>
        <w:r w:rsidRPr="00D2142F">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_Toc414349694 \h </w:instrText>
        </w:r>
        <w:r>
          <w:rPr>
            <w:noProof/>
            <w:webHidden/>
          </w:rPr>
        </w:r>
        <w:r>
          <w:rPr>
            <w:noProof/>
            <w:webHidden/>
          </w:rPr>
          <w:fldChar w:fldCharType="separate"/>
        </w:r>
        <w:r>
          <w:rPr>
            <w:noProof/>
            <w:webHidden/>
          </w:rPr>
          <w:t>11</w:t>
        </w:r>
        <w:r>
          <w:rPr>
            <w:noProof/>
            <w:webHidden/>
          </w:rPr>
          <w:fldChar w:fldCharType="end"/>
        </w:r>
      </w:hyperlink>
    </w:p>
    <w:p w14:paraId="52EF6C37" w14:textId="77777777" w:rsidR="00052946" w:rsidRDefault="00052946">
      <w:pPr>
        <w:pStyle w:val="TOC1"/>
        <w:tabs>
          <w:tab w:val="right" w:leader="dot" w:pos="9350"/>
        </w:tabs>
        <w:rPr>
          <w:rFonts w:asciiTheme="minorHAnsi" w:hAnsiTheme="minorHAnsi"/>
          <w:noProof/>
        </w:rPr>
      </w:pPr>
      <w:hyperlink w:anchor="_Toc414349695" w:history="1">
        <w:r w:rsidRPr="00D2142F">
          <w:rPr>
            <w:rStyle w:val="Hyperlink"/>
            <w:noProof/>
          </w:rPr>
          <w:t>LIST OF ATTACHMENTS – Section A</w:t>
        </w:r>
        <w:r>
          <w:rPr>
            <w:noProof/>
            <w:webHidden/>
          </w:rPr>
          <w:tab/>
        </w:r>
        <w:r>
          <w:rPr>
            <w:noProof/>
            <w:webHidden/>
          </w:rPr>
          <w:fldChar w:fldCharType="begin"/>
        </w:r>
        <w:r>
          <w:rPr>
            <w:noProof/>
            <w:webHidden/>
          </w:rPr>
          <w:instrText xml:space="preserve"> PAGEREF _Toc414349695 \h </w:instrText>
        </w:r>
        <w:r>
          <w:rPr>
            <w:noProof/>
            <w:webHidden/>
          </w:rPr>
        </w:r>
        <w:r>
          <w:rPr>
            <w:noProof/>
            <w:webHidden/>
          </w:rPr>
          <w:fldChar w:fldCharType="separate"/>
        </w:r>
        <w:r>
          <w:rPr>
            <w:noProof/>
            <w:webHidden/>
          </w:rPr>
          <w:t>11</w:t>
        </w:r>
        <w:r>
          <w:rPr>
            <w:noProof/>
            <w:webHidden/>
          </w:rPr>
          <w:fldChar w:fldCharType="end"/>
        </w:r>
      </w:hyperlink>
    </w:p>
    <w:p w14:paraId="4617497B" w14:textId="77777777" w:rsidR="00052946" w:rsidRDefault="00052946">
      <w:pPr>
        <w:pStyle w:val="TOC1"/>
        <w:tabs>
          <w:tab w:val="right" w:leader="dot" w:pos="9350"/>
        </w:tabs>
        <w:rPr>
          <w:rFonts w:asciiTheme="minorHAnsi" w:hAnsiTheme="minorHAnsi"/>
          <w:noProof/>
        </w:rPr>
      </w:pPr>
      <w:hyperlink w:anchor="_Toc414349696" w:history="1">
        <w:r w:rsidRPr="00D2142F">
          <w:rPr>
            <w:rStyle w:val="Hyperlink"/>
            <w:noProof/>
          </w:rPr>
          <w:t>REFERENCE LIST</w:t>
        </w:r>
        <w:r>
          <w:rPr>
            <w:noProof/>
            <w:webHidden/>
          </w:rPr>
          <w:tab/>
        </w:r>
        <w:r>
          <w:rPr>
            <w:noProof/>
            <w:webHidden/>
          </w:rPr>
          <w:fldChar w:fldCharType="begin"/>
        </w:r>
        <w:r>
          <w:rPr>
            <w:noProof/>
            <w:webHidden/>
          </w:rPr>
          <w:instrText xml:space="preserve"> PAGEREF _Toc414349696 \h </w:instrText>
        </w:r>
        <w:r>
          <w:rPr>
            <w:noProof/>
            <w:webHidden/>
          </w:rPr>
        </w:r>
        <w:r>
          <w:rPr>
            <w:noProof/>
            <w:webHidden/>
          </w:rPr>
          <w:fldChar w:fldCharType="separate"/>
        </w:r>
        <w:r>
          <w:rPr>
            <w:noProof/>
            <w:webHidden/>
          </w:rPr>
          <w:t>11</w:t>
        </w:r>
        <w:r>
          <w:rPr>
            <w:noProof/>
            <w:webHidden/>
          </w:rPr>
          <w:fldChar w:fldCharType="end"/>
        </w:r>
      </w:hyperlink>
    </w:p>
    <w:p w14:paraId="48D3AD9A" w14:textId="2F111C82" w:rsidR="00851705" w:rsidRDefault="00052946" w:rsidP="00052946">
      <w:pPr>
        <w:pStyle w:val="Heading3"/>
        <w:ind w:left="0"/>
        <w:rPr>
          <w:b w:val="0"/>
        </w:rPr>
      </w:pPr>
      <w:r>
        <w:fldChar w:fldCharType="end"/>
      </w:r>
      <w:r w:rsidR="00851705">
        <w:br w:type="page"/>
      </w:r>
      <w:bookmarkStart w:id="2" w:name="_GoBack"/>
      <w:bookmarkEnd w:id="2"/>
    </w:p>
    <w:p w14:paraId="48D3AD9C" w14:textId="6BE4C92A" w:rsidR="00B36CAA" w:rsidRDefault="00807F81" w:rsidP="00CA5840">
      <w:pPr>
        <w:pStyle w:val="Heading3"/>
        <w:ind w:left="0"/>
      </w:pPr>
      <w:bookmarkStart w:id="3" w:name="_Toc414349612"/>
      <w:bookmarkStart w:id="4" w:name="_Toc414349673"/>
      <w:r>
        <w:rPr>
          <w:noProof/>
        </w:rPr>
        <w:lastRenderedPageBreak/>
        <mc:AlternateContent>
          <mc:Choice Requires="wps">
            <w:drawing>
              <wp:inline distT="0" distB="0" distL="0" distR="0" wp14:anchorId="48D3AE8E" wp14:editId="4587CA60">
                <wp:extent cx="5943600" cy="207645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76450"/>
                        </a:xfrm>
                        <a:prstGeom prst="rect">
                          <a:avLst/>
                        </a:prstGeom>
                        <a:solidFill>
                          <a:srgbClr val="FFFFFF"/>
                        </a:solidFill>
                        <a:ln w="9525">
                          <a:solidFill>
                            <a:srgbClr val="000000"/>
                          </a:solidFill>
                          <a:miter lim="800000"/>
                          <a:headEnd/>
                          <a:tailEnd/>
                        </a:ln>
                      </wps:spPr>
                      <wps:txbx>
                        <w:txbxContent>
                          <w:p w14:paraId="48D3AE9C" w14:textId="34FABE2C" w:rsidR="005E58AE" w:rsidRDefault="005E58AE" w:rsidP="00B36CAA">
                            <w:pPr>
                              <w:pStyle w:val="ListParagraph"/>
                              <w:numPr>
                                <w:ilvl w:val="0"/>
                                <w:numId w:val="40"/>
                              </w:numPr>
                              <w:tabs>
                                <w:tab w:val="left" w:pos="720"/>
                              </w:tabs>
                              <w:spacing w:after="200"/>
                            </w:pPr>
                            <w:r w:rsidRPr="00DF39CF">
                              <w:rPr>
                                <w:b/>
                              </w:rPr>
                              <w:t>Goal of the study:</w:t>
                            </w:r>
                            <w:r>
                              <w:t xml:space="preserve"> </w:t>
                            </w:r>
                            <w:r w:rsidR="00596D6E">
                              <w:t>I</w:t>
                            </w:r>
                            <w:r>
                              <w:t xml:space="preserve">dentify emerging public health </w:t>
                            </w:r>
                            <w:r w:rsidRPr="00D04D46">
                              <w:t>issues</w:t>
                            </w:r>
                            <w:r>
                              <w:t xml:space="preserve"> facing private wells and private well owners</w:t>
                            </w:r>
                            <w:r w:rsidR="00C620B9">
                              <w:t>,</w:t>
                            </w:r>
                            <w:r w:rsidR="00596D6E">
                              <w:t xml:space="preserve"> based on feedback from state and local epidemiologists</w:t>
                            </w:r>
                            <w:r w:rsidR="000D610F">
                              <w:t xml:space="preserve"> or their</w:t>
                            </w:r>
                            <w:r w:rsidR="005C3976">
                              <w:t xml:space="preserve"> designees</w:t>
                            </w:r>
                          </w:p>
                          <w:p w14:paraId="48D3AE9D" w14:textId="36549411" w:rsidR="005E58AE" w:rsidRDefault="005E58AE" w:rsidP="00B36CAA">
                            <w:pPr>
                              <w:pStyle w:val="ListParagraph"/>
                              <w:numPr>
                                <w:ilvl w:val="0"/>
                                <w:numId w:val="40"/>
                              </w:numPr>
                              <w:tabs>
                                <w:tab w:val="left" w:pos="720"/>
                              </w:tabs>
                              <w:spacing w:after="200"/>
                            </w:pPr>
                            <w:r w:rsidRPr="00935CEA">
                              <w:rPr>
                                <w:b/>
                              </w:rPr>
                              <w:t>Intended use of the resulting data:</w:t>
                            </w:r>
                            <w:r>
                              <w:t xml:space="preserve"> </w:t>
                            </w:r>
                            <w:r w:rsidR="00596D6E">
                              <w:t>D</w:t>
                            </w:r>
                            <w:r>
                              <w:t>irect future funding opportunities and design research projects to address the issues and gaps</w:t>
                            </w:r>
                          </w:p>
                          <w:p w14:paraId="48D3AE9E" w14:textId="65C12FC8" w:rsidR="005E58AE" w:rsidRDefault="005E58AE" w:rsidP="00B36CAA">
                            <w:pPr>
                              <w:pStyle w:val="ListParagraph"/>
                              <w:numPr>
                                <w:ilvl w:val="0"/>
                                <w:numId w:val="40"/>
                              </w:numPr>
                              <w:tabs>
                                <w:tab w:val="left" w:pos="720"/>
                              </w:tabs>
                              <w:spacing w:after="200"/>
                            </w:pPr>
                            <w:r>
                              <w:rPr>
                                <w:b/>
                              </w:rPr>
                              <w:t>Methods to be used to collect:</w:t>
                            </w:r>
                            <w:r>
                              <w:t xml:space="preserve"> </w:t>
                            </w:r>
                            <w:r w:rsidR="00596D6E">
                              <w:t>O</w:t>
                            </w:r>
                            <w:r>
                              <w:t>nline assessment; no sampling</w:t>
                            </w:r>
                          </w:p>
                          <w:p w14:paraId="48D3AE9F" w14:textId="25A7AE8B" w:rsidR="005E58AE" w:rsidRDefault="005E58AE" w:rsidP="00B36CAA">
                            <w:pPr>
                              <w:pStyle w:val="ListParagraph"/>
                              <w:numPr>
                                <w:ilvl w:val="0"/>
                                <w:numId w:val="40"/>
                              </w:numPr>
                              <w:tabs>
                                <w:tab w:val="left" w:pos="720"/>
                              </w:tabs>
                              <w:spacing w:after="200"/>
                            </w:pPr>
                            <w:r w:rsidRPr="00935CEA">
                              <w:rPr>
                                <w:b/>
                              </w:rPr>
                              <w:t>The subpopulation to be studied:</w:t>
                            </w:r>
                            <w:r>
                              <w:t xml:space="preserve"> </w:t>
                            </w:r>
                            <w:r w:rsidRPr="00F00792">
                              <w:t>55</w:t>
                            </w:r>
                            <w:r>
                              <w:t xml:space="preserve"> state and </w:t>
                            </w:r>
                            <w:r w:rsidR="00596D6E">
                              <w:t xml:space="preserve">local </w:t>
                            </w:r>
                            <w:r>
                              <w:t xml:space="preserve">epidemiologists </w:t>
                            </w:r>
                            <w:r w:rsidR="000D610F">
                              <w:t>or other staff</w:t>
                            </w:r>
                            <w:r w:rsidR="00FD3645">
                              <w:t xml:space="preserve"> </w:t>
                            </w:r>
                            <w:r w:rsidR="000D610F">
                              <w:t xml:space="preserve">(government employees) </w:t>
                            </w:r>
                            <w:r w:rsidR="00FD3645">
                              <w:t xml:space="preserve">identified by the epidemiologists </w:t>
                            </w:r>
                            <w:r>
                              <w:t>with responsibilities for private wells (e.g., for well construction, well water quality)</w:t>
                            </w:r>
                          </w:p>
                          <w:p w14:paraId="48D3AEA0" w14:textId="77777777" w:rsidR="005E58AE" w:rsidRDefault="005E58AE" w:rsidP="00B36CAA">
                            <w:pPr>
                              <w:pStyle w:val="ListParagraph"/>
                              <w:numPr>
                                <w:ilvl w:val="0"/>
                                <w:numId w:val="40"/>
                              </w:numPr>
                              <w:tabs>
                                <w:tab w:val="left" w:pos="720"/>
                              </w:tabs>
                              <w:spacing w:after="200"/>
                            </w:pPr>
                            <w:r>
                              <w:rPr>
                                <w:b/>
                              </w:rPr>
                              <w:t>How data will be analyzed:</w:t>
                            </w:r>
                            <w:r>
                              <w:t xml:space="preserve"> Descriptive statistics; analyses of narrative responses and appropriate findings from those responses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468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">
                <v:textbox>
                  <w:txbxContent>
                    <w:p w14:paraId="48D3AE9C" w14:textId="34FABE2C" w:rsidR="005E58AE" w:rsidRDefault="005E58AE" w:rsidP="00B36CAA">
                      <w:pPr>
                        <w:pStyle w:val="ListParagraph"/>
                        <w:numPr>
                          <w:ilvl w:val="0"/>
                          <w:numId w:val="40"/>
                        </w:numPr>
                        <w:tabs>
                          <w:tab w:val="left" w:pos="720"/>
                        </w:tabs>
                        <w:spacing w:after="200"/>
                      </w:pPr>
                      <w:r w:rsidRPr="00DF39CF">
                        <w:rPr>
                          <w:b/>
                        </w:rPr>
                        <w:t>Goal of the study:</w:t>
                      </w:r>
                      <w:r>
                        <w:t xml:space="preserve"> </w:t>
                      </w:r>
                      <w:r w:rsidR="00596D6E">
                        <w:t>I</w:t>
                      </w:r>
                      <w:r>
                        <w:t xml:space="preserve">dentify emerging public health </w:t>
                      </w:r>
                      <w:r w:rsidRPr="00D04D46">
                        <w:t>issues</w:t>
                      </w:r>
                      <w:r>
                        <w:t xml:space="preserve"> facing private wells and private well owners</w:t>
                      </w:r>
                      <w:r w:rsidR="00C620B9">
                        <w:t>,</w:t>
                      </w:r>
                      <w:r w:rsidR="00596D6E">
                        <w:t xml:space="preserve"> based on feedback from state and local epidemiologists</w:t>
                      </w:r>
                      <w:r w:rsidR="000D610F">
                        <w:t xml:space="preserve"> or their</w:t>
                      </w:r>
                      <w:r w:rsidR="005C3976">
                        <w:t xml:space="preserve"> designees</w:t>
                      </w:r>
                    </w:p>
                    <w:p w14:paraId="48D3AE9D" w14:textId="36549411" w:rsidR="005E58AE" w:rsidRDefault="005E58AE" w:rsidP="00B36CAA">
                      <w:pPr>
                        <w:pStyle w:val="ListParagraph"/>
                        <w:numPr>
                          <w:ilvl w:val="0"/>
                          <w:numId w:val="40"/>
                        </w:numPr>
                        <w:tabs>
                          <w:tab w:val="left" w:pos="720"/>
                        </w:tabs>
                        <w:spacing w:after="200"/>
                      </w:pPr>
                      <w:r w:rsidRPr="00935CEA">
                        <w:rPr>
                          <w:b/>
                        </w:rPr>
                        <w:t>Intended use of the resulting data:</w:t>
                      </w:r>
                      <w:r>
                        <w:t xml:space="preserve"> </w:t>
                      </w:r>
                      <w:r w:rsidR="00596D6E">
                        <w:t>D</w:t>
                      </w:r>
                      <w:r>
                        <w:t>irect future funding opportunities and design research projects to address the issues and gaps</w:t>
                      </w:r>
                    </w:p>
                    <w:p w14:paraId="48D3AE9E" w14:textId="65C12FC8" w:rsidR="005E58AE" w:rsidRDefault="005E58AE" w:rsidP="00B36CAA">
                      <w:pPr>
                        <w:pStyle w:val="ListParagraph"/>
                        <w:numPr>
                          <w:ilvl w:val="0"/>
                          <w:numId w:val="40"/>
                        </w:numPr>
                        <w:tabs>
                          <w:tab w:val="left" w:pos="720"/>
                        </w:tabs>
                        <w:spacing w:after="200"/>
                      </w:pPr>
                      <w:r>
                        <w:rPr>
                          <w:b/>
                        </w:rPr>
                        <w:t>Methods to be used to collect:</w:t>
                      </w:r>
                      <w:r>
                        <w:t xml:space="preserve"> </w:t>
                      </w:r>
                      <w:r w:rsidR="00596D6E">
                        <w:t>O</w:t>
                      </w:r>
                      <w:r>
                        <w:t>nline assessment; no sampling</w:t>
                      </w:r>
                    </w:p>
                    <w:p w14:paraId="48D3AE9F" w14:textId="25A7AE8B" w:rsidR="005E58AE" w:rsidRDefault="005E58AE" w:rsidP="00B36CAA">
                      <w:pPr>
                        <w:pStyle w:val="ListParagraph"/>
                        <w:numPr>
                          <w:ilvl w:val="0"/>
                          <w:numId w:val="40"/>
                        </w:numPr>
                        <w:tabs>
                          <w:tab w:val="left" w:pos="720"/>
                        </w:tabs>
                        <w:spacing w:after="200"/>
                      </w:pPr>
                      <w:r w:rsidRPr="00935CEA">
                        <w:rPr>
                          <w:b/>
                        </w:rPr>
                        <w:t>The subpopulation to be studied:</w:t>
                      </w:r>
                      <w:r>
                        <w:t xml:space="preserve"> </w:t>
                      </w:r>
                      <w:r w:rsidRPr="00F00792">
                        <w:t>55</w:t>
                      </w:r>
                      <w:r>
                        <w:t xml:space="preserve"> state and </w:t>
                      </w:r>
                      <w:r w:rsidR="00596D6E">
                        <w:t xml:space="preserve">local </w:t>
                      </w:r>
                      <w:r>
                        <w:t xml:space="preserve">epidemiologists </w:t>
                      </w:r>
                      <w:r w:rsidR="000D610F">
                        <w:t>or other staff</w:t>
                      </w:r>
                      <w:r w:rsidR="00FD3645">
                        <w:t xml:space="preserve"> </w:t>
                      </w:r>
                      <w:r w:rsidR="000D610F">
                        <w:t xml:space="preserve">(government employees) </w:t>
                      </w:r>
                      <w:r w:rsidR="00FD3645">
                        <w:t xml:space="preserve">identified by the epidemiologists </w:t>
                      </w:r>
                      <w:r>
                        <w:t>with responsibilities for private wells (e.g., for well construction, well water quality)</w:t>
                      </w:r>
                    </w:p>
                    <w:p w14:paraId="48D3AEA0" w14:textId="77777777" w:rsidR="005E58AE" w:rsidRDefault="005E58AE" w:rsidP="00B36CAA">
                      <w:pPr>
                        <w:pStyle w:val="ListParagraph"/>
                        <w:numPr>
                          <w:ilvl w:val="0"/>
                          <w:numId w:val="40"/>
                        </w:numPr>
                        <w:tabs>
                          <w:tab w:val="left" w:pos="720"/>
                        </w:tabs>
                        <w:spacing w:after="200"/>
                      </w:pPr>
                      <w:r>
                        <w:rPr>
                          <w:b/>
                        </w:rPr>
                        <w:t>How data will be analyzed:</w:t>
                      </w:r>
                      <w:r>
                        <w:t xml:space="preserve"> Descriptive statistics; analyses of narrative responses and appropriate findings from those responses</w:t>
                      </w:r>
                    </w:p>
                  </w:txbxContent>
                </v:textbox>
                <w10:anchorlock/>
              </v:shape>
            </w:pict>
          </mc:Fallback>
        </mc:AlternateContent>
      </w:r>
      <w:bookmarkEnd w:id="3"/>
      <w:bookmarkEnd w:id="4"/>
    </w:p>
    <w:p w14:paraId="20602AD9" w14:textId="77777777" w:rsidR="00D74071" w:rsidRDefault="00D74071" w:rsidP="00CA5840">
      <w:pPr>
        <w:pStyle w:val="Heading3"/>
        <w:ind w:left="0"/>
      </w:pPr>
    </w:p>
    <w:p w14:paraId="48D3AD9D" w14:textId="77777777" w:rsidR="00CD1EA8" w:rsidRPr="007D6163" w:rsidRDefault="00CD1EA8" w:rsidP="00CA5840">
      <w:pPr>
        <w:pStyle w:val="Heading3"/>
        <w:ind w:left="0"/>
      </w:pPr>
      <w:bookmarkStart w:id="5" w:name="_Toc414349674"/>
      <w:r w:rsidRPr="007D6163">
        <w:t>Section A</w:t>
      </w:r>
      <w:r w:rsidR="00B12F51" w:rsidRPr="007D6163">
        <w:t xml:space="preserve"> – Justification</w:t>
      </w:r>
      <w:bookmarkEnd w:id="5"/>
    </w:p>
    <w:p w14:paraId="48D3AD9E" w14:textId="77777777" w:rsidR="00B12F51" w:rsidRDefault="00B12F51" w:rsidP="007D6163"/>
    <w:p w14:paraId="48D3AD9F" w14:textId="77777777" w:rsidR="00CD1EA8" w:rsidRPr="00B017F8" w:rsidRDefault="00B12F51" w:rsidP="00692DEB">
      <w:pPr>
        <w:pStyle w:val="Heading4"/>
      </w:pPr>
      <w:bookmarkStart w:id="6" w:name="_Toc414349675"/>
      <w:r w:rsidRPr="00B017F8">
        <w:t>Circumstances Making the Collection of Information Necessary</w:t>
      </w:r>
      <w:bookmarkEnd w:id="6"/>
    </w:p>
    <w:p w14:paraId="48D3ADA0" w14:textId="77777777" w:rsidR="00E33E1B" w:rsidRPr="007D6163" w:rsidRDefault="00E33E1B" w:rsidP="00692DEB">
      <w:pPr>
        <w:pStyle w:val="Heading5"/>
        <w:spacing w:after="120"/>
        <w:ind w:left="0"/>
      </w:pPr>
      <w:r w:rsidRPr="007D6163">
        <w:t>Background</w:t>
      </w:r>
    </w:p>
    <w:p w14:paraId="48D3ADA1" w14:textId="705167C1" w:rsidR="0019164D" w:rsidRDefault="004F67A8" w:rsidP="00692DEB">
      <w:pPr>
        <w:ind w:left="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19164D" w:rsidRPr="00711BFA">
        <w:t xml:space="preserve">Data will be collected </w:t>
      </w:r>
      <w:r w:rsidR="00171016">
        <w:t xml:space="preserve">from </w:t>
      </w:r>
      <w:r w:rsidR="00370AA4">
        <w:t xml:space="preserve">55 </w:t>
      </w:r>
      <w:r w:rsidR="00596D6E">
        <w:t>epidemiologists</w:t>
      </w:r>
      <w:r w:rsidR="00FD3645">
        <w:t xml:space="preserve"> or </w:t>
      </w:r>
      <w:r w:rsidR="005C3976">
        <w:t>staff</w:t>
      </w:r>
      <w:r w:rsidR="00FD3645">
        <w:t xml:space="preserve"> identified by the epidemiologists as </w:t>
      </w:r>
      <w:r w:rsidR="00A04BD7">
        <w:t xml:space="preserve">subject matter </w:t>
      </w:r>
      <w:r w:rsidR="00FD3645">
        <w:t>experts</w:t>
      </w:r>
      <w:r w:rsidR="005964F4">
        <w:t xml:space="preserve">, who </w:t>
      </w:r>
      <w:r w:rsidR="005C3976">
        <w:t>work in</w:t>
      </w:r>
      <w:r w:rsidR="005964F4">
        <w:t xml:space="preserve"> state and </w:t>
      </w:r>
      <w:r w:rsidR="005C3976">
        <w:t>local health</w:t>
      </w:r>
      <w:r w:rsidR="005964F4">
        <w:t xml:space="preserve"> departments</w:t>
      </w:r>
      <w:r w:rsidR="00977400">
        <w:t xml:space="preserve"> </w:t>
      </w:r>
      <w:r w:rsidR="005964F4">
        <w:t xml:space="preserve">and who are </w:t>
      </w:r>
      <w:r w:rsidR="0019164D" w:rsidRPr="00711BFA">
        <w:t>acting in their official capacities</w:t>
      </w:r>
      <w:r w:rsidR="005964F4">
        <w:t xml:space="preserve"> as government employees</w:t>
      </w:r>
      <w:r w:rsidR="00B36CAA">
        <w:t xml:space="preserve">. These respondents will come from </w:t>
      </w:r>
      <w:r w:rsidR="005E58AE">
        <w:t>50</w:t>
      </w:r>
      <w:r w:rsidR="00B36CAA">
        <w:t xml:space="preserve"> state</w:t>
      </w:r>
      <w:r w:rsidR="005E58AE">
        <w:t>s</w:t>
      </w:r>
      <w:r w:rsidR="00B36CAA">
        <w:t xml:space="preserve"> and </w:t>
      </w:r>
      <w:r w:rsidR="005E58AE">
        <w:t>five (5) city</w:t>
      </w:r>
      <w:r w:rsidR="00B36CAA">
        <w:t xml:space="preserve"> health departments</w:t>
      </w:r>
      <w:r w:rsidR="00596D6E">
        <w:t xml:space="preserve">. </w:t>
      </w:r>
      <w:r w:rsidR="00B36CAA">
        <w:t>(</w:t>
      </w:r>
      <w:r w:rsidR="005E58AE">
        <w:t xml:space="preserve">Cities: </w:t>
      </w:r>
      <w:r w:rsidR="00807F81">
        <w:t>Los Angeles, CA</w:t>
      </w:r>
      <w:r w:rsidR="00E326D3">
        <w:t xml:space="preserve">; </w:t>
      </w:r>
      <w:r w:rsidR="00807F81">
        <w:t>District of Columbia</w:t>
      </w:r>
      <w:r w:rsidR="00E326D3">
        <w:t xml:space="preserve">; </w:t>
      </w:r>
      <w:r w:rsidR="00807F81">
        <w:t>Chicago, IL</w:t>
      </w:r>
      <w:r w:rsidR="00E326D3">
        <w:t xml:space="preserve">; </w:t>
      </w:r>
      <w:r w:rsidR="00807F81">
        <w:t>New York City, NY</w:t>
      </w:r>
      <w:r w:rsidR="00E326D3">
        <w:t xml:space="preserve">; </w:t>
      </w:r>
      <w:r w:rsidR="00807F81">
        <w:t>Houston, TX</w:t>
      </w:r>
      <w:r w:rsidR="00E326D3">
        <w:t xml:space="preserve">; </w:t>
      </w:r>
      <w:r w:rsidR="00807F81">
        <w:t>and Seattle, WA</w:t>
      </w:r>
      <w:r w:rsidR="00B36CAA">
        <w:t>).</w:t>
      </w:r>
    </w:p>
    <w:p w14:paraId="48D3ADA2" w14:textId="77777777" w:rsidR="009252DC" w:rsidRDefault="009252DC" w:rsidP="00F00792">
      <w:pPr>
        <w:ind w:left="0"/>
      </w:pPr>
    </w:p>
    <w:p w14:paraId="48D3ADA3" w14:textId="77777777" w:rsidR="001E7537" w:rsidRDefault="00350C8C" w:rsidP="007D4E30">
      <w:pPr>
        <w:ind w:left="0"/>
        <w:rPr>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of</w:t>
      </w:r>
      <w:r w:rsidR="00851705">
        <w:rPr>
          <w:iCs/>
        </w:rPr>
        <w:t xml:space="preserve"> </w:t>
      </w:r>
      <w:r w:rsidR="007D4E30">
        <w:rPr>
          <w:iCs/>
        </w:rPr>
        <w:t>i</w:t>
      </w:r>
      <w:r w:rsidR="001E7537" w:rsidRPr="006203BE">
        <w:rPr>
          <w:iCs/>
        </w:rPr>
        <w:t>nforming, educating, and empowering people about health issues</w:t>
      </w:r>
      <w:r w:rsidR="00FF22CA">
        <w:rPr>
          <w:iCs/>
        </w:rPr>
        <w:t>;</w:t>
      </w:r>
      <w:r w:rsidR="007D4E30">
        <w:rPr>
          <w:iCs/>
        </w:rPr>
        <w:t xml:space="preserve"> m</w:t>
      </w:r>
      <w:r w:rsidR="001E7537" w:rsidRPr="006203BE">
        <w:rPr>
          <w:iCs/>
        </w:rPr>
        <w:t>obilizing community partnerships to identify and solve health problems</w:t>
      </w:r>
      <w:r w:rsidR="00FF22CA">
        <w:rPr>
          <w:iCs/>
        </w:rPr>
        <w:t>;</w:t>
      </w:r>
      <w:r w:rsidR="007D4E30">
        <w:rPr>
          <w:iCs/>
        </w:rPr>
        <w:t xml:space="preserve"> and d</w:t>
      </w:r>
      <w:r w:rsidR="001E7537" w:rsidRPr="00E94775">
        <w:rPr>
          <w:iCs/>
        </w:rPr>
        <w:t>evelop</w:t>
      </w:r>
      <w:r w:rsidR="00FF22CA">
        <w:rPr>
          <w:iCs/>
        </w:rPr>
        <w:t xml:space="preserve">ing </w:t>
      </w:r>
      <w:r w:rsidR="001E7537" w:rsidRPr="00E94775">
        <w:rPr>
          <w:iCs/>
        </w:rPr>
        <w:t>policies and plans that support individual and community health efforts</w:t>
      </w:r>
      <w:r w:rsidR="00424697">
        <w:rPr>
          <w:iCs/>
        </w:rPr>
        <w:t>.</w:t>
      </w:r>
      <w:r w:rsidR="001E2A2C">
        <w:rPr>
          <w:iCs/>
          <w:vertAlign w:val="superscript"/>
        </w:rPr>
        <w:t>1</w:t>
      </w:r>
      <w:r w:rsidR="009B3F46">
        <w:rPr>
          <w:iCs/>
        </w:rPr>
        <w:t xml:space="preserve"> </w:t>
      </w:r>
    </w:p>
    <w:p w14:paraId="28EF8940" w14:textId="77777777" w:rsidR="00596D6E" w:rsidRDefault="00596D6E" w:rsidP="009E1DA6">
      <w:pPr>
        <w:ind w:left="0"/>
      </w:pPr>
    </w:p>
    <w:p w14:paraId="48D3ADB2" w14:textId="77777777" w:rsidR="009E1DA6" w:rsidRDefault="009E1DA6" w:rsidP="009E1DA6">
      <w:pPr>
        <w:ind w:left="0"/>
      </w:pPr>
      <w:r w:rsidRPr="00D20B51">
        <w:t>Approximately 43 million people (about 14 percent of the U.S. population) rely on domestic wells as their source of drinking water</w:t>
      </w:r>
      <w:r w:rsidR="003448E2">
        <w:t>.</w:t>
      </w:r>
      <w:r>
        <w:rPr>
          <w:vertAlign w:val="superscript"/>
        </w:rPr>
        <w:t>2</w:t>
      </w:r>
      <w:r w:rsidR="005C5036">
        <w:t xml:space="preserve"> </w:t>
      </w:r>
      <w:r w:rsidRPr="00D20B51">
        <w:t xml:space="preserve">Unlike community water systems, which are regulated by the Safe Drinking Water Act, there is no comprehensive national program to ensure that the water is tested </w:t>
      </w:r>
      <w:r w:rsidR="005B1AF2">
        <w:t>and is</w:t>
      </w:r>
      <w:r w:rsidRPr="00D20B51">
        <w:t xml:space="preserve"> safe to drink.  A study published in 2009 from the National Water-Quality Assessment Program of the U.S. Geological Sur</w:t>
      </w:r>
      <w:r w:rsidR="004D1511">
        <w:t xml:space="preserve">vey that assessed water-quality </w:t>
      </w:r>
      <w:r w:rsidRPr="00D20B51">
        <w:t>conditions from 2,100 domestic wells within 48 states reported that more than one in five (23 percent) of the sampled wells contained one or more contaminants at a concentration greater than a human-health benchmark.</w:t>
      </w:r>
      <w:r>
        <w:rPr>
          <w:vertAlign w:val="superscript"/>
        </w:rPr>
        <w:t>3</w:t>
      </w:r>
      <w:r w:rsidRPr="00D20B51">
        <w:t xml:space="preserve"> In addition, there</w:t>
      </w:r>
      <w:r w:rsidR="004031F9">
        <w:t xml:space="preserve"> are many current circumstances</w:t>
      </w:r>
      <w:r w:rsidRPr="00D20B51">
        <w:t xml:space="preserve"> </w:t>
      </w:r>
      <w:r w:rsidR="004031F9">
        <w:t>(</w:t>
      </w:r>
      <w:r w:rsidRPr="00D20B51">
        <w:t>e.g., industrial activities such as resource extraction, climate change-induced drought, and changes in land use patterns</w:t>
      </w:r>
      <w:r w:rsidR="004031F9">
        <w:t>)</w:t>
      </w:r>
      <w:r w:rsidRPr="00D20B51">
        <w:t xml:space="preserve"> that could potential</w:t>
      </w:r>
      <w:r w:rsidR="005B1AF2">
        <w:t>ly</w:t>
      </w:r>
      <w:r w:rsidRPr="00D20B51">
        <w:t xml:space="preserve"> affect the quality of the ground water source for private wells.</w:t>
      </w:r>
    </w:p>
    <w:p w14:paraId="0A6FD8A3" w14:textId="5C4F35FD" w:rsidR="00E326D3" w:rsidRDefault="003C7939" w:rsidP="00E326D3">
      <w:pPr>
        <w:ind w:left="0"/>
      </w:pPr>
      <w:r>
        <w:lastRenderedPageBreak/>
        <w:t xml:space="preserve">Within the Centers for Disease Control (CDC), </w:t>
      </w:r>
      <w:r w:rsidR="00DC3048">
        <w:t xml:space="preserve">the </w:t>
      </w:r>
      <w:r w:rsidRPr="00171016">
        <w:t>National Center for Environmental Health</w:t>
      </w:r>
      <w:r w:rsidR="00DC3048">
        <w:t>’s</w:t>
      </w:r>
      <w:r>
        <w:t xml:space="preserve"> (NCEH) </w:t>
      </w:r>
      <w:r w:rsidRPr="00171016">
        <w:t>Health Studies Branch</w:t>
      </w:r>
      <w:r w:rsidR="00E326D3">
        <w:t xml:space="preserve"> (HSB)</w:t>
      </w:r>
      <w:r w:rsidR="003529ED">
        <w:t xml:space="preserve"> has the goal to reduce exposures to and disease from waterborne contaminants, with a particular focus on the very small drinking water systems, such as private wells, which are not protected by the U.S. EPA’s Safe Drinking Water Act. </w:t>
      </w:r>
      <w:r w:rsidR="00E326D3">
        <w:t xml:space="preserve">HSB partners with organizations such as the Council of State and Territorial Epidemiologists (CSTE) to advance </w:t>
      </w:r>
      <w:r w:rsidR="003529ED">
        <w:t>its goal</w:t>
      </w:r>
      <w:r w:rsidR="00E326D3">
        <w:t xml:space="preserve">. </w:t>
      </w:r>
      <w:r w:rsidR="003529ED">
        <w:t xml:space="preserve">The mission of CSTE is </w:t>
      </w:r>
      <w:r w:rsidR="00E326D3" w:rsidRPr="00767048">
        <w:t>to advance public health policy and epidemiologic capacity</w:t>
      </w:r>
      <w:r w:rsidR="000D610F">
        <w:t xml:space="preserve">. </w:t>
      </w:r>
      <w:r w:rsidR="0087442D">
        <w:t>CSTE</w:t>
      </w:r>
      <w:r w:rsidR="0087442D" w:rsidRPr="00767048">
        <w:t xml:space="preserve"> </w:t>
      </w:r>
      <w:r w:rsidR="00E326D3" w:rsidRPr="00767048">
        <w:t>provide</w:t>
      </w:r>
      <w:r w:rsidR="00E326D3">
        <w:t>s</w:t>
      </w:r>
      <w:r w:rsidR="00E326D3" w:rsidRPr="00767048">
        <w:t xml:space="preserve"> information, education, and developmental support </w:t>
      </w:r>
      <w:r w:rsidR="00E326D3">
        <w:t>for</w:t>
      </w:r>
      <w:r w:rsidR="00E326D3" w:rsidRPr="00767048">
        <w:t xml:space="preserve"> practicing epidemiologists in a wide range of areas as well as expertise for program and surveillance efforts.</w:t>
      </w:r>
      <w:r w:rsidR="00E326D3">
        <w:t xml:space="preserve"> </w:t>
      </w:r>
      <w:r w:rsidR="000D610F">
        <w:t xml:space="preserve">HSB also leads the Private Well Community of Practice (CoP), which constitutes a group of health professionals, including CSTE members, at the federal, state, and local level dedicated to private well issues. Key activities of the CoP include informal discussions about interventions, emerging issues, and helpful tools; formal presentations; and the promotion of public health knowledge and practice that protects the health of private well owners. </w:t>
      </w:r>
    </w:p>
    <w:p w14:paraId="38B7D529" w14:textId="77777777" w:rsidR="00E326D3" w:rsidRDefault="00E326D3" w:rsidP="009E1DA6">
      <w:pPr>
        <w:ind w:left="0"/>
      </w:pPr>
    </w:p>
    <w:p w14:paraId="0AF9B9CB" w14:textId="68D5B9E1" w:rsidR="00FD3645" w:rsidRDefault="003529ED" w:rsidP="00FD3645">
      <w:pPr>
        <w:ind w:left="0"/>
      </w:pPr>
      <w:r>
        <w:t>Few data collections so far have focused on asking public health professionals what they perceive are emerging issues in an effort to be proactive and identify solutions to fill gaps that exist. Some assessments have been conducted to determine the knowledge, attitudes, and practices of private well owners and their water testing practices.</w:t>
      </w:r>
      <w:r>
        <w:rPr>
          <w:vertAlign w:val="superscript"/>
        </w:rPr>
        <w:t>4-9</w:t>
      </w:r>
      <w:r>
        <w:t xml:space="preserve"> Other assessments have focused on analyzing the quality of well water for a risk that has already been identified.</w:t>
      </w:r>
      <w:r w:rsidRPr="002563C7">
        <w:rPr>
          <w:vertAlign w:val="superscript"/>
        </w:rPr>
        <w:t>10-13</w:t>
      </w:r>
      <w:r>
        <w:t xml:space="preserve"> </w:t>
      </w:r>
      <w:r w:rsidR="00EA7870">
        <w:t xml:space="preserve">For this information collection request, CDC is partnering with CSTE </w:t>
      </w:r>
      <w:r w:rsidR="003448E2">
        <w:t>to identify emerging public health issues facing private wells and private well owners</w:t>
      </w:r>
      <w:r w:rsidR="00EA7870">
        <w:t xml:space="preserve">, based on feedback from </w:t>
      </w:r>
      <w:r w:rsidR="005C3976">
        <w:t xml:space="preserve">state and local epidemiologists or other staff (government employees) identified by the epidemiologists with responsibilities for private wells (e.g., for well construction, well water quality). </w:t>
      </w:r>
    </w:p>
    <w:p w14:paraId="7D2B40F8" w14:textId="77777777" w:rsidR="00FD3645" w:rsidRDefault="00FD3645" w:rsidP="00FD3645">
      <w:pPr>
        <w:ind w:left="0"/>
      </w:pPr>
    </w:p>
    <w:p w14:paraId="751E9BCA" w14:textId="66E27E47" w:rsidR="003529ED" w:rsidRDefault="005C3976" w:rsidP="00FD3645">
      <w:pPr>
        <w:ind w:left="0"/>
      </w:pPr>
      <w:r>
        <w:t xml:space="preserve">CDC is partnering </w:t>
      </w:r>
      <w:r w:rsidR="000D610F">
        <w:t>with CSTE for this assessment because they have the appropriate contacts to allow us to assess every state. Some state epidemiologists will have the expertise required to complete the assessment</w:t>
      </w:r>
      <w:r>
        <w:t xml:space="preserve">, while </w:t>
      </w:r>
      <w:r w:rsidR="000D610F">
        <w:t xml:space="preserve">others will designate the assessment to another government official with the relevant expertise.  </w:t>
      </w:r>
      <w:r w:rsidR="003151B9">
        <w:rPr>
          <w:rFonts w:ascii="Cambria" w:eastAsia="SimSun" w:hAnsi="Cambria" w:cs="Arial"/>
          <w:lang w:eastAsia="zh-CN"/>
        </w:rPr>
        <w:t xml:space="preserve">The purpose of this information collection request is to gather feedback </w:t>
      </w:r>
      <w:r w:rsidR="005964F4">
        <w:t>on gaps in knowledge or practice, tools and resources needed to address these gaps, and anticipated changes in policies or legislation impacting private wells and private well owners as well as information on emerging issues. The assessment will gain</w:t>
      </w:r>
      <w:r w:rsidR="00414DAA">
        <w:t xml:space="preserve"> insight</w:t>
      </w:r>
      <w:r w:rsidR="004C26C7">
        <w:t xml:space="preserve"> from health department professionals</w:t>
      </w:r>
      <w:r w:rsidR="003448E2" w:rsidRPr="003448E2">
        <w:t xml:space="preserve"> with responsibility for addressing private well-related public health issues</w:t>
      </w:r>
      <w:r w:rsidR="005964F4">
        <w:t xml:space="preserve"> </w:t>
      </w:r>
      <w:r w:rsidR="0063626B">
        <w:t>such as reducing exposure to contamination and increasing well owner awareness of well stewardship</w:t>
      </w:r>
      <w:r w:rsidR="000C421B">
        <w:t xml:space="preserve"> programs</w:t>
      </w:r>
      <w:r w:rsidR="003C7939">
        <w:t xml:space="preserve">. </w:t>
      </w:r>
    </w:p>
    <w:p w14:paraId="324B8DB1" w14:textId="77777777" w:rsidR="003529ED" w:rsidRDefault="003529ED" w:rsidP="003529ED">
      <w:pPr>
        <w:ind w:left="0"/>
      </w:pPr>
    </w:p>
    <w:p w14:paraId="595662B9" w14:textId="68BAB194" w:rsidR="00113706" w:rsidRDefault="00113706" w:rsidP="003529ED">
      <w:pPr>
        <w:ind w:left="0"/>
      </w:pPr>
      <w:r>
        <w:t>This assessment builds on the work of studies with private well owners</w:t>
      </w:r>
      <w:r w:rsidR="00256C83">
        <w:t>,</w:t>
      </w:r>
      <w:r>
        <w:t xml:space="preserve"> water quality testing, </w:t>
      </w:r>
      <w:r w:rsidR="005C3976">
        <w:t>and the</w:t>
      </w:r>
      <w:r>
        <w:t xml:space="preserve"> informal Private Well CoP discussions</w:t>
      </w:r>
      <w:r w:rsidR="005C3976">
        <w:t>, about</w:t>
      </w:r>
      <w:r w:rsidR="00256C83">
        <w:t xml:space="preserve"> </w:t>
      </w:r>
      <w:r>
        <w:t>emerging issues</w:t>
      </w:r>
      <w:r w:rsidR="00256C83">
        <w:t xml:space="preserve">, </w:t>
      </w:r>
      <w:r>
        <w:t xml:space="preserve">lessons </w:t>
      </w:r>
      <w:r w:rsidR="005C3976">
        <w:t>learned,</w:t>
      </w:r>
      <w:r>
        <w:t xml:space="preserve"> </w:t>
      </w:r>
      <w:r w:rsidR="005C3976">
        <w:t>and methodologies</w:t>
      </w:r>
      <w:r>
        <w:t xml:space="preserve"> u</w:t>
      </w:r>
      <w:r w:rsidR="00256C83">
        <w:t>sed</w:t>
      </w:r>
      <w:r>
        <w:t xml:space="preserve"> while working with private wells.  </w:t>
      </w:r>
      <w:r w:rsidR="00E326D3">
        <w:t xml:space="preserve">Additionally, the information collected during this assessment will be useful for members of CSTE and CDC staff in meeting their missions to protect health. </w:t>
      </w:r>
      <w:r>
        <w:t>The results of this</w:t>
      </w:r>
      <w:r w:rsidRPr="00C915F3">
        <w:t xml:space="preserve"> </w:t>
      </w:r>
      <w:r>
        <w:t xml:space="preserve">assessment will provide needed data to inform future activities conducted by CDC, CSTE, and other public health partners to address private well-related public health issues through research, innovative methodologies, more effective resource allocation, and policy change. </w:t>
      </w:r>
    </w:p>
    <w:p w14:paraId="48D3ADB8" w14:textId="1C651956" w:rsidR="00692DEB" w:rsidRDefault="006102DA" w:rsidP="00692DEB">
      <w:pPr>
        <w:pStyle w:val="Heading5"/>
        <w:spacing w:after="120"/>
        <w:ind w:left="0"/>
      </w:pPr>
      <w:r w:rsidRPr="00692DEB">
        <w:t xml:space="preserve">Overview of the </w:t>
      </w:r>
      <w:r w:rsidR="007F5776" w:rsidRPr="00692DEB">
        <w:t>Information C</w:t>
      </w:r>
      <w:r w:rsidR="00157413" w:rsidRPr="00692DEB">
        <w:t>ollection</w:t>
      </w:r>
      <w:r w:rsidRPr="00692DEB">
        <w:t xml:space="preserve"> System</w:t>
      </w:r>
      <w:r w:rsidR="00151567" w:rsidRPr="001A28F6">
        <w:t xml:space="preserve"> </w:t>
      </w:r>
    </w:p>
    <w:p w14:paraId="48D3ADB9" w14:textId="296D4BBC" w:rsidR="00A07360" w:rsidRDefault="00711477" w:rsidP="00A07360">
      <w:pPr>
        <w:ind w:left="0"/>
        <w:rPr>
          <w:iCs/>
        </w:rPr>
      </w:pPr>
      <w:r>
        <w:t>The information collection system consists of</w:t>
      </w:r>
      <w:r w:rsidR="00692DEB" w:rsidRPr="00711BFA">
        <w:t xml:space="preserve"> a web-based </w:t>
      </w:r>
      <w:r w:rsidR="000C421B">
        <w:t>assessment</w:t>
      </w:r>
      <w:r w:rsidR="00692DEB" w:rsidRPr="00711BFA">
        <w:t xml:space="preserve"> allowing respondents to complete and submit their responses </w:t>
      </w:r>
      <w:r w:rsidR="00692DEB" w:rsidRPr="00C40A9C">
        <w:t>electronically (</w:t>
      </w:r>
      <w:r w:rsidR="00E647FB" w:rsidRPr="00C40A9C">
        <w:rPr>
          <w:b/>
        </w:rPr>
        <w:t>see Att</w:t>
      </w:r>
      <w:r>
        <w:rPr>
          <w:b/>
        </w:rPr>
        <w:t>.</w:t>
      </w:r>
      <w:r w:rsidR="00E647FB" w:rsidRPr="00C40A9C">
        <w:rPr>
          <w:b/>
        </w:rPr>
        <w:t xml:space="preserve"> </w:t>
      </w:r>
      <w:r w:rsidR="000C421B">
        <w:rPr>
          <w:b/>
        </w:rPr>
        <w:t>A</w:t>
      </w:r>
      <w:r w:rsidR="00E647FB" w:rsidRPr="00C40A9C">
        <w:rPr>
          <w:b/>
        </w:rPr>
        <w:t>—</w:t>
      </w:r>
      <w:r w:rsidR="00692DEB" w:rsidRPr="00C40A9C">
        <w:rPr>
          <w:b/>
        </w:rPr>
        <w:t xml:space="preserve">Instrument: </w:t>
      </w:r>
      <w:r w:rsidR="00596D6E">
        <w:rPr>
          <w:b/>
        </w:rPr>
        <w:t>Word</w:t>
      </w:r>
      <w:r w:rsidR="00596D6E" w:rsidRPr="00C40A9C">
        <w:rPr>
          <w:b/>
        </w:rPr>
        <w:t xml:space="preserve"> </w:t>
      </w:r>
      <w:r w:rsidR="00692DEB" w:rsidRPr="00C40A9C">
        <w:rPr>
          <w:b/>
        </w:rPr>
        <w:t xml:space="preserve">version </w:t>
      </w:r>
      <w:r w:rsidR="00692DEB" w:rsidRPr="00C40A9C">
        <w:t xml:space="preserve">and </w:t>
      </w:r>
      <w:r w:rsidR="009B3F46">
        <w:rPr>
          <w:b/>
        </w:rPr>
        <w:t>Att</w:t>
      </w:r>
      <w:r>
        <w:rPr>
          <w:b/>
        </w:rPr>
        <w:t>.</w:t>
      </w:r>
      <w:r w:rsidR="00C915F3">
        <w:rPr>
          <w:b/>
        </w:rPr>
        <w:t xml:space="preserve"> B</w:t>
      </w:r>
      <w:r w:rsidR="00E647FB" w:rsidRPr="00C40A9C">
        <w:rPr>
          <w:b/>
        </w:rPr>
        <w:t>—</w:t>
      </w:r>
      <w:r w:rsidR="00692DEB" w:rsidRPr="00C40A9C">
        <w:rPr>
          <w:b/>
        </w:rPr>
        <w:t>Instrument: Web version</w:t>
      </w:r>
      <w:r w:rsidR="00692DEB" w:rsidRPr="00C40A9C">
        <w:t>). T</w:t>
      </w:r>
      <w:r w:rsidR="00692DEB">
        <w:t>he online instrument will be used to</w:t>
      </w:r>
      <w:r w:rsidR="00692DEB" w:rsidRPr="00711BFA">
        <w:t xml:space="preserve"> </w:t>
      </w:r>
      <w:r w:rsidR="00692DEB">
        <w:t>gather information from</w:t>
      </w:r>
      <w:r w:rsidR="004B40B2">
        <w:t xml:space="preserve"> </w:t>
      </w:r>
      <w:r w:rsidR="00596D6E">
        <w:t>state and local epidemiologists</w:t>
      </w:r>
      <w:r w:rsidR="00256C83">
        <w:t>, or their designated experts,</w:t>
      </w:r>
      <w:r w:rsidR="00596D6E">
        <w:t xml:space="preserve"> on</w:t>
      </w:r>
      <w:r w:rsidR="0088135D">
        <w:t xml:space="preserve"> emerging public health issues associated with using private wells for drinking water</w:t>
      </w:r>
      <w:r w:rsidR="00692DEB">
        <w:t>.</w:t>
      </w:r>
      <w:r w:rsidR="00692DEB" w:rsidRPr="00711BFA">
        <w:t xml:space="preserve"> This method</w:t>
      </w:r>
      <w:r w:rsidR="00256C83">
        <w:t xml:space="preserve"> provides the most streamlined way to conduct an assessment and</w:t>
      </w:r>
      <w:r w:rsidR="00692DEB" w:rsidRPr="00711BFA">
        <w:t xml:space="preserve"> was</w:t>
      </w:r>
      <w:r w:rsidR="00256C83">
        <w:t xml:space="preserve"> thus</w:t>
      </w:r>
      <w:r w:rsidR="00692DEB" w:rsidRPr="00711BFA">
        <w:t xml:space="preserve"> chosen to reduce the overall burden on respondents. </w:t>
      </w:r>
      <w:r w:rsidR="00A07360">
        <w:t>CSTE will collect and store the data on a secure server only accessible to CSTE staff.  The de-</w:t>
      </w:r>
      <w:r w:rsidR="00A07360" w:rsidRPr="00A07360">
        <w:t xml:space="preserve">identified </w:t>
      </w:r>
      <w:r w:rsidR="00A07360" w:rsidRPr="00A07360">
        <w:rPr>
          <w:iCs/>
        </w:rPr>
        <w:t>summary results will be shared with CDC staff via an Excel file</w:t>
      </w:r>
      <w:r w:rsidR="00DA3A17">
        <w:rPr>
          <w:iCs/>
        </w:rPr>
        <w:t>.</w:t>
      </w:r>
    </w:p>
    <w:p w14:paraId="280FE16A" w14:textId="77777777" w:rsidR="003529ED" w:rsidRPr="00A07360" w:rsidRDefault="003529ED" w:rsidP="00A07360">
      <w:pPr>
        <w:ind w:left="0"/>
        <w:rPr>
          <w:b/>
          <w:i/>
          <w:iCs/>
        </w:rPr>
      </w:pPr>
    </w:p>
    <w:p w14:paraId="48D3ADBB" w14:textId="77777777" w:rsidR="00692DEB" w:rsidRPr="00711BFA" w:rsidRDefault="00692DEB" w:rsidP="00692DEB">
      <w:pPr>
        <w:ind w:left="0"/>
      </w:pPr>
      <w:r w:rsidRPr="007720F5">
        <w:t xml:space="preserve">The information collection instrument was pilot tested by </w:t>
      </w:r>
      <w:r w:rsidR="000855C1">
        <w:t xml:space="preserve">two </w:t>
      </w:r>
      <w:r w:rsidRPr="007720F5">
        <w:t>public health professionals</w:t>
      </w:r>
      <w:r w:rsidR="000855C1">
        <w:t xml:space="preserve"> from New Mexico and Indiana</w:t>
      </w:r>
      <w:r w:rsidRPr="007720F5">
        <w:t>. Feedback from this group was used to refine questions as needed, ensure accurate programming and skip patterns and establish the estimated time required to complete the information collection instrument.</w:t>
      </w:r>
    </w:p>
    <w:p w14:paraId="4C07FAC0" w14:textId="77777777" w:rsidR="003C7939" w:rsidRPr="003C7939" w:rsidRDefault="003C7939" w:rsidP="003C7939"/>
    <w:p w14:paraId="48D3ADBD" w14:textId="77777777" w:rsidR="00692DEB" w:rsidRPr="00692DEB" w:rsidRDefault="00692DEB" w:rsidP="00692DEB">
      <w:pPr>
        <w:pStyle w:val="Heading5"/>
        <w:spacing w:after="120"/>
        <w:ind w:left="0"/>
      </w:pPr>
      <w:r w:rsidRPr="00692DEB">
        <w:t>Items of Information to be Collected</w:t>
      </w:r>
    </w:p>
    <w:p w14:paraId="48D3ADBE" w14:textId="704E1F80" w:rsidR="00692DEB" w:rsidRDefault="00692DEB" w:rsidP="00692DEB">
      <w:pPr>
        <w:ind w:left="0"/>
      </w:pPr>
      <w:r w:rsidRPr="007720F5">
        <w:t xml:space="preserve">The online data collection instrument consists of </w:t>
      </w:r>
      <w:r w:rsidR="005819E9">
        <w:t>2</w:t>
      </w:r>
      <w:r w:rsidR="00141155">
        <w:t>7</w:t>
      </w:r>
      <w:r w:rsidR="005819E9">
        <w:t xml:space="preserve"> </w:t>
      </w:r>
      <w:r w:rsidRPr="007720F5">
        <w:t>questions of various types, including</w:t>
      </w:r>
      <w:r w:rsidR="008C59E7" w:rsidRPr="007720F5">
        <w:t xml:space="preserve"> dichotomous (yes/no), multiple response, an</w:t>
      </w:r>
      <w:r w:rsidR="008C59E7" w:rsidRPr="007720F5">
        <w:rPr>
          <w:rFonts w:eastAsiaTheme="majorEastAsia" w:cstheme="majorBidi"/>
        </w:rPr>
        <w:t xml:space="preserve">d </w:t>
      </w:r>
      <w:r w:rsidR="00256C83">
        <w:rPr>
          <w:rFonts w:eastAsiaTheme="majorEastAsia" w:cstheme="majorBidi"/>
        </w:rPr>
        <w:t xml:space="preserve">4 that are </w:t>
      </w:r>
      <w:r w:rsidR="008C59E7" w:rsidRPr="007720F5">
        <w:rPr>
          <w:rFonts w:eastAsiaTheme="majorEastAsia" w:cstheme="majorBidi"/>
        </w:rPr>
        <w:t>open-ended</w:t>
      </w:r>
      <w:r w:rsidRPr="007720F5">
        <w:rPr>
          <w:rFonts w:eastAsiaTheme="majorEastAsia" w:cstheme="majorBidi"/>
        </w:rPr>
        <w:t>.</w:t>
      </w:r>
      <w:r w:rsidRPr="04524006">
        <w:rPr>
          <w:rFonts w:eastAsiaTheme="majorEastAsia" w:cstheme="majorBidi"/>
        </w:rPr>
        <w:t xml:space="preserve"> </w:t>
      </w:r>
      <w:r>
        <w:rPr>
          <w:rFonts w:eastAsiaTheme="majorEastAsia" w:cstheme="majorBidi"/>
        </w:rPr>
        <w:t>A</w:t>
      </w:r>
      <w:r w:rsidRPr="04524006">
        <w:rPr>
          <w:rFonts w:eastAsiaTheme="majorEastAsia" w:cstheme="majorBidi"/>
        </w:rPr>
        <w:t>n effort was made to limit questions requiring narrative respo</w:t>
      </w:r>
      <w:r w:rsidRPr="04524006">
        <w:t>nses from respondents</w:t>
      </w:r>
      <w:r>
        <w:t xml:space="preserve"> whenever possible</w:t>
      </w:r>
      <w:r w:rsidRPr="04524006">
        <w:t xml:space="preserve">. </w:t>
      </w:r>
      <w:r w:rsidR="005964F4">
        <w:t xml:space="preserve"> However, it is not possible to predict the emerging issues that might be identified by government officials with responsibilities to address private well-related public health issues. </w:t>
      </w:r>
      <w:r w:rsidRPr="04524006">
        <w:t>The instrument will collect information on the following:</w:t>
      </w:r>
      <w:r>
        <w:t xml:space="preserve"> </w:t>
      </w:r>
    </w:p>
    <w:p w14:paraId="48D3ADBF" w14:textId="77777777" w:rsidR="00B54C88" w:rsidRDefault="00B54C88" w:rsidP="008C59E7">
      <w:pPr>
        <w:pStyle w:val="ListParagraph"/>
        <w:numPr>
          <w:ilvl w:val="0"/>
          <w:numId w:val="25"/>
        </w:numPr>
        <w:tabs>
          <w:tab w:val="clear" w:pos="9360"/>
        </w:tabs>
        <w:spacing w:line="240" w:lineRule="auto"/>
      </w:pPr>
      <w:r>
        <w:t>Respondent information used for archiving and follow-up only</w:t>
      </w:r>
    </w:p>
    <w:p w14:paraId="48D3ADC0" w14:textId="77777777" w:rsidR="00B54C88" w:rsidRDefault="00B54C88" w:rsidP="008C59E7">
      <w:pPr>
        <w:pStyle w:val="ListParagraph"/>
        <w:numPr>
          <w:ilvl w:val="0"/>
          <w:numId w:val="25"/>
        </w:numPr>
        <w:tabs>
          <w:tab w:val="clear" w:pos="9360"/>
        </w:tabs>
        <w:spacing w:line="240" w:lineRule="auto"/>
      </w:pPr>
      <w:r>
        <w:t>Existing concerns that state health departments have for private wells</w:t>
      </w:r>
    </w:p>
    <w:p w14:paraId="48D3ADC1" w14:textId="77777777" w:rsidR="00707D93" w:rsidRDefault="00707D93" w:rsidP="008C59E7">
      <w:pPr>
        <w:pStyle w:val="ListParagraph"/>
        <w:numPr>
          <w:ilvl w:val="0"/>
          <w:numId w:val="25"/>
        </w:numPr>
        <w:tabs>
          <w:tab w:val="clear" w:pos="9360"/>
        </w:tabs>
        <w:spacing w:line="240" w:lineRule="auto"/>
      </w:pPr>
      <w:r>
        <w:t>Existing resources that health departments are using to track and mitigate private well issues</w:t>
      </w:r>
    </w:p>
    <w:p w14:paraId="48D3ADC2" w14:textId="77777777" w:rsidR="008C59E7" w:rsidRDefault="00B521A0" w:rsidP="008C59E7">
      <w:pPr>
        <w:pStyle w:val="ListParagraph"/>
        <w:numPr>
          <w:ilvl w:val="0"/>
          <w:numId w:val="25"/>
        </w:numPr>
        <w:tabs>
          <w:tab w:val="clear" w:pos="9360"/>
        </w:tabs>
        <w:spacing w:line="240" w:lineRule="auto"/>
      </w:pPr>
      <w:r>
        <w:t>Emerging issues affecting private well owners</w:t>
      </w:r>
    </w:p>
    <w:p w14:paraId="48D3ADC3" w14:textId="77777777" w:rsidR="00360891" w:rsidRDefault="00360891" w:rsidP="00360891">
      <w:pPr>
        <w:pStyle w:val="ListParagraph"/>
        <w:numPr>
          <w:ilvl w:val="0"/>
          <w:numId w:val="25"/>
        </w:numPr>
        <w:tabs>
          <w:tab w:val="clear" w:pos="9360"/>
        </w:tabs>
        <w:spacing w:line="240" w:lineRule="auto"/>
      </w:pPr>
      <w:r>
        <w:t>Gaps that need to be addressed to mitigate emerging private well issues</w:t>
      </w:r>
    </w:p>
    <w:p w14:paraId="48D3ADC4" w14:textId="77777777" w:rsidR="00B521A0" w:rsidRDefault="00B521A0" w:rsidP="008C59E7">
      <w:pPr>
        <w:pStyle w:val="ListParagraph"/>
        <w:numPr>
          <w:ilvl w:val="0"/>
          <w:numId w:val="25"/>
        </w:numPr>
        <w:tabs>
          <w:tab w:val="clear" w:pos="9360"/>
        </w:tabs>
        <w:spacing w:line="240" w:lineRule="auto"/>
      </w:pPr>
      <w:r>
        <w:t>Tools</w:t>
      </w:r>
      <w:r w:rsidR="00767048">
        <w:t xml:space="preserve"> and resources</w:t>
      </w:r>
      <w:r>
        <w:t xml:space="preserve"> that health departments need to address emerging private well issues</w:t>
      </w:r>
    </w:p>
    <w:p w14:paraId="48D3ADC5" w14:textId="77777777" w:rsidR="00692DEB" w:rsidRDefault="00692DEB" w:rsidP="00692DEB">
      <w:pPr>
        <w:pStyle w:val="ListParagraph"/>
        <w:rPr>
          <w:lang w:eastAsia="zh-CN"/>
        </w:rPr>
      </w:pPr>
    </w:p>
    <w:tbl>
      <w:tblPr>
        <w:tblStyle w:val="TableGrid"/>
        <w:tblW w:w="5000" w:type="pct"/>
        <w:tblLook w:val="04A0" w:firstRow="1" w:lastRow="0" w:firstColumn="1" w:lastColumn="0" w:noHBand="0" w:noVBand="1"/>
      </w:tblPr>
      <w:tblGrid>
        <w:gridCol w:w="2388"/>
        <w:gridCol w:w="1410"/>
        <w:gridCol w:w="5778"/>
      </w:tblGrid>
      <w:tr w:rsidR="00360891" w:rsidRPr="00DA3A17" w14:paraId="48D3ADC9" w14:textId="77777777" w:rsidTr="00B54C88">
        <w:trPr>
          <w:cantSplit/>
          <w:tblHeader/>
        </w:trPr>
        <w:tc>
          <w:tcPr>
            <w:tcW w:w="1247" w:type="pct"/>
            <w:vAlign w:val="center"/>
          </w:tcPr>
          <w:p w14:paraId="48D3ADC6" w14:textId="77777777" w:rsidR="00360891" w:rsidRPr="00DA3A17" w:rsidRDefault="00360891" w:rsidP="00EA7870">
            <w:pPr>
              <w:pStyle w:val="ListParagraph"/>
              <w:ind w:left="0"/>
              <w:rPr>
                <w:b/>
                <w:lang w:eastAsia="zh-CN"/>
              </w:rPr>
            </w:pPr>
            <w:r w:rsidRPr="00DA3A17">
              <w:rPr>
                <w:b/>
                <w:lang w:eastAsia="zh-CN"/>
              </w:rPr>
              <w:t>Information Collected</w:t>
            </w:r>
          </w:p>
        </w:tc>
        <w:tc>
          <w:tcPr>
            <w:tcW w:w="736" w:type="pct"/>
            <w:vAlign w:val="center"/>
          </w:tcPr>
          <w:p w14:paraId="48D3ADC7" w14:textId="77777777" w:rsidR="00360891" w:rsidRPr="00DA3A17" w:rsidRDefault="0046061E" w:rsidP="0046061E">
            <w:pPr>
              <w:pStyle w:val="ListParagraph"/>
              <w:ind w:left="42"/>
              <w:rPr>
                <w:b/>
                <w:lang w:eastAsia="zh-CN"/>
              </w:rPr>
            </w:pPr>
            <w:r>
              <w:rPr>
                <w:b/>
                <w:lang w:eastAsia="zh-CN"/>
              </w:rPr>
              <w:t>Number</w:t>
            </w:r>
            <w:r w:rsidR="00360891">
              <w:rPr>
                <w:b/>
                <w:lang w:eastAsia="zh-CN"/>
              </w:rPr>
              <w:t xml:space="preserve"> of questions of this type</w:t>
            </w:r>
          </w:p>
        </w:tc>
        <w:tc>
          <w:tcPr>
            <w:tcW w:w="3017" w:type="pct"/>
            <w:vAlign w:val="center"/>
          </w:tcPr>
          <w:p w14:paraId="48D3ADC8" w14:textId="77777777" w:rsidR="00360891" w:rsidRPr="00DA3A17" w:rsidRDefault="00360891" w:rsidP="0046061E">
            <w:pPr>
              <w:pStyle w:val="ListParagraph"/>
              <w:ind w:left="42"/>
              <w:rPr>
                <w:b/>
                <w:lang w:eastAsia="zh-CN"/>
              </w:rPr>
            </w:pPr>
            <w:r w:rsidRPr="00DA3A17">
              <w:rPr>
                <w:b/>
                <w:lang w:eastAsia="zh-CN"/>
              </w:rPr>
              <w:t>Purpose</w:t>
            </w:r>
          </w:p>
        </w:tc>
      </w:tr>
      <w:tr w:rsidR="00141155" w:rsidRPr="00DA3A17" w14:paraId="48D3ADCD" w14:textId="77777777" w:rsidTr="00B54C88">
        <w:trPr>
          <w:cantSplit/>
        </w:trPr>
        <w:tc>
          <w:tcPr>
            <w:tcW w:w="1247" w:type="pct"/>
            <w:vAlign w:val="center"/>
          </w:tcPr>
          <w:p w14:paraId="48D3ADCA" w14:textId="77777777" w:rsidR="00141155" w:rsidRDefault="00141155" w:rsidP="00EA7870">
            <w:pPr>
              <w:pStyle w:val="ListParagraph"/>
              <w:ind w:left="0"/>
            </w:pPr>
            <w:r>
              <w:t>Respondent Information</w:t>
            </w:r>
          </w:p>
        </w:tc>
        <w:tc>
          <w:tcPr>
            <w:tcW w:w="736" w:type="pct"/>
            <w:vAlign w:val="center"/>
          </w:tcPr>
          <w:p w14:paraId="48D3ADCB" w14:textId="77777777" w:rsidR="00141155" w:rsidRDefault="00141155" w:rsidP="0046061E">
            <w:pPr>
              <w:ind w:left="0"/>
            </w:pPr>
            <w:r>
              <w:t>1</w:t>
            </w:r>
          </w:p>
        </w:tc>
        <w:tc>
          <w:tcPr>
            <w:tcW w:w="3017" w:type="pct"/>
            <w:vAlign w:val="center"/>
          </w:tcPr>
          <w:p w14:paraId="48D3ADCC" w14:textId="77777777" w:rsidR="00141155" w:rsidRDefault="00141155" w:rsidP="00141155">
            <w:pPr>
              <w:ind w:left="0"/>
            </w:pPr>
            <w:r>
              <w:t xml:space="preserve">Questions are only for a respondent’s professional contact information; this information will be removed </w:t>
            </w:r>
            <w:r w:rsidR="00942C4E">
              <w:t>when the results are analyzed and will not be shared.</w:t>
            </w:r>
          </w:p>
        </w:tc>
      </w:tr>
      <w:tr w:rsidR="00360891" w:rsidRPr="00DA3A17" w14:paraId="48D3ADD1" w14:textId="77777777" w:rsidTr="00B54C88">
        <w:trPr>
          <w:cantSplit/>
        </w:trPr>
        <w:tc>
          <w:tcPr>
            <w:tcW w:w="1247" w:type="pct"/>
            <w:vAlign w:val="center"/>
          </w:tcPr>
          <w:p w14:paraId="48D3ADCE" w14:textId="77777777" w:rsidR="00360891" w:rsidRPr="00DA3A17" w:rsidRDefault="00360891" w:rsidP="00EA7870">
            <w:pPr>
              <w:pStyle w:val="ListParagraph"/>
              <w:ind w:left="0"/>
              <w:rPr>
                <w:lang w:eastAsia="zh-CN"/>
              </w:rPr>
            </w:pPr>
            <w:r>
              <w:t>Existing resources</w:t>
            </w:r>
          </w:p>
        </w:tc>
        <w:tc>
          <w:tcPr>
            <w:tcW w:w="736" w:type="pct"/>
            <w:vAlign w:val="center"/>
          </w:tcPr>
          <w:p w14:paraId="48D3ADCF" w14:textId="77777777" w:rsidR="00360891" w:rsidRPr="00DA3A17" w:rsidRDefault="00862E39" w:rsidP="0046061E">
            <w:pPr>
              <w:ind w:left="0"/>
            </w:pPr>
            <w:r>
              <w:t>4</w:t>
            </w:r>
          </w:p>
        </w:tc>
        <w:tc>
          <w:tcPr>
            <w:tcW w:w="3017" w:type="pct"/>
            <w:vAlign w:val="center"/>
          </w:tcPr>
          <w:p w14:paraId="48D3ADD0" w14:textId="77777777" w:rsidR="00360891" w:rsidRPr="00DA3A17" w:rsidRDefault="0046061E" w:rsidP="0046061E">
            <w:pPr>
              <w:ind w:left="0"/>
            </w:pPr>
            <w:r>
              <w:t>Establishes a baseline for what resources and actions state health departments are currently providing for private well owners.</w:t>
            </w:r>
          </w:p>
        </w:tc>
      </w:tr>
      <w:tr w:rsidR="00862E39" w:rsidRPr="00DA3A17" w14:paraId="48D3ADD5" w14:textId="77777777" w:rsidTr="00B54C88">
        <w:trPr>
          <w:cantSplit/>
        </w:trPr>
        <w:tc>
          <w:tcPr>
            <w:tcW w:w="1247" w:type="pct"/>
            <w:vAlign w:val="center"/>
          </w:tcPr>
          <w:p w14:paraId="48D3ADD2" w14:textId="77777777" w:rsidR="00862E39" w:rsidRDefault="00862E39" w:rsidP="00EA7870">
            <w:pPr>
              <w:pStyle w:val="ListParagraph"/>
              <w:ind w:left="0"/>
            </w:pPr>
            <w:r>
              <w:t>Existing concerns</w:t>
            </w:r>
          </w:p>
        </w:tc>
        <w:tc>
          <w:tcPr>
            <w:tcW w:w="736" w:type="pct"/>
            <w:vAlign w:val="center"/>
          </w:tcPr>
          <w:p w14:paraId="48D3ADD3" w14:textId="77777777" w:rsidR="00862E39" w:rsidRDefault="00862E39" w:rsidP="0046061E">
            <w:pPr>
              <w:ind w:left="0"/>
            </w:pPr>
            <w:r>
              <w:t>13</w:t>
            </w:r>
          </w:p>
        </w:tc>
        <w:tc>
          <w:tcPr>
            <w:tcW w:w="3017" w:type="pct"/>
            <w:vAlign w:val="center"/>
          </w:tcPr>
          <w:p w14:paraId="48D3ADD4" w14:textId="77777777" w:rsidR="00862E39" w:rsidRDefault="00B54C88" w:rsidP="0046061E">
            <w:pPr>
              <w:ind w:left="0"/>
            </w:pPr>
            <w:r>
              <w:t>Identifies the contaminants of concern and emerging issues health departments are already facing in their communities.</w:t>
            </w:r>
          </w:p>
        </w:tc>
      </w:tr>
      <w:tr w:rsidR="00360891" w:rsidRPr="00DA3A17" w14:paraId="48D3ADD9" w14:textId="77777777" w:rsidTr="00B54C88">
        <w:trPr>
          <w:cantSplit/>
        </w:trPr>
        <w:tc>
          <w:tcPr>
            <w:tcW w:w="1247" w:type="pct"/>
            <w:vAlign w:val="center"/>
          </w:tcPr>
          <w:p w14:paraId="48D3ADD6" w14:textId="77777777" w:rsidR="00360891" w:rsidRPr="00DA3A17" w:rsidRDefault="00360891" w:rsidP="00EA7870">
            <w:pPr>
              <w:pStyle w:val="ListParagraph"/>
              <w:ind w:left="0"/>
              <w:rPr>
                <w:lang w:eastAsia="zh-CN"/>
              </w:rPr>
            </w:pPr>
            <w:r>
              <w:t>Emerging issues</w:t>
            </w:r>
          </w:p>
        </w:tc>
        <w:tc>
          <w:tcPr>
            <w:tcW w:w="736" w:type="pct"/>
            <w:vAlign w:val="center"/>
          </w:tcPr>
          <w:p w14:paraId="48D3ADD7" w14:textId="77777777" w:rsidR="00360891" w:rsidRPr="00DA3A17" w:rsidRDefault="00360891" w:rsidP="0046061E">
            <w:pPr>
              <w:ind w:left="0"/>
            </w:pPr>
            <w:r>
              <w:t>4</w:t>
            </w:r>
          </w:p>
        </w:tc>
        <w:tc>
          <w:tcPr>
            <w:tcW w:w="3017" w:type="pct"/>
            <w:vAlign w:val="center"/>
          </w:tcPr>
          <w:p w14:paraId="48D3ADD8" w14:textId="77777777" w:rsidR="00360891" w:rsidRPr="00DA3A17" w:rsidRDefault="00B54C88" w:rsidP="00B54C88">
            <w:pPr>
              <w:ind w:left="0"/>
            </w:pPr>
            <w:r>
              <w:t xml:space="preserve">Identifies the contaminants of concern and emerging issues health departments </w:t>
            </w:r>
            <w:r w:rsidR="0046061E">
              <w:t xml:space="preserve">foresee as major threats to well owners in the next 10-20 years and </w:t>
            </w:r>
            <w:r>
              <w:t>rank them</w:t>
            </w:r>
            <w:r w:rsidR="0046061E">
              <w:t>.</w:t>
            </w:r>
          </w:p>
        </w:tc>
      </w:tr>
      <w:tr w:rsidR="00360891" w:rsidRPr="00DA3A17" w14:paraId="48D3ADDD" w14:textId="77777777" w:rsidTr="00B54C88">
        <w:trPr>
          <w:cantSplit/>
        </w:trPr>
        <w:tc>
          <w:tcPr>
            <w:tcW w:w="1247" w:type="pct"/>
            <w:vAlign w:val="center"/>
          </w:tcPr>
          <w:p w14:paraId="48D3ADDA" w14:textId="77777777" w:rsidR="00360891" w:rsidRPr="00DA3A17" w:rsidRDefault="00360891" w:rsidP="00EA7870">
            <w:pPr>
              <w:pStyle w:val="ListParagraph"/>
              <w:ind w:left="0"/>
              <w:rPr>
                <w:lang w:eastAsia="zh-CN"/>
              </w:rPr>
            </w:pPr>
            <w:r>
              <w:t>Gaps</w:t>
            </w:r>
          </w:p>
        </w:tc>
        <w:tc>
          <w:tcPr>
            <w:tcW w:w="736" w:type="pct"/>
            <w:vAlign w:val="center"/>
          </w:tcPr>
          <w:p w14:paraId="48D3ADDB" w14:textId="77777777" w:rsidR="00360891" w:rsidRPr="00360891" w:rsidRDefault="00862E39" w:rsidP="0046061E">
            <w:pPr>
              <w:ind w:left="0"/>
            </w:pPr>
            <w:r>
              <w:t>2</w:t>
            </w:r>
          </w:p>
        </w:tc>
        <w:tc>
          <w:tcPr>
            <w:tcW w:w="3017" w:type="pct"/>
            <w:vAlign w:val="center"/>
          </w:tcPr>
          <w:p w14:paraId="48D3ADDC" w14:textId="77777777" w:rsidR="00360891" w:rsidRPr="00DA3A17" w:rsidRDefault="0046061E" w:rsidP="0046061E">
            <w:pPr>
              <w:ind w:left="0"/>
            </w:pPr>
            <w:r>
              <w:t>Outlines the recommendations and plans of health departments to address these emerging issues and identifies whether they have the resources to act.</w:t>
            </w:r>
          </w:p>
        </w:tc>
      </w:tr>
      <w:tr w:rsidR="00360891" w:rsidRPr="00DA3A17" w14:paraId="48D3ADE1" w14:textId="77777777" w:rsidTr="00B54C88">
        <w:trPr>
          <w:cantSplit/>
        </w:trPr>
        <w:tc>
          <w:tcPr>
            <w:tcW w:w="1247" w:type="pct"/>
            <w:vAlign w:val="center"/>
          </w:tcPr>
          <w:p w14:paraId="48D3ADDE" w14:textId="77777777" w:rsidR="00360891" w:rsidRPr="00DA3A17" w:rsidRDefault="00360891" w:rsidP="00BA0A9C">
            <w:pPr>
              <w:ind w:left="0"/>
              <w:rPr>
                <w:lang w:eastAsia="zh-CN"/>
              </w:rPr>
            </w:pPr>
            <w:r>
              <w:t>Tools and resources that health departments need</w:t>
            </w:r>
          </w:p>
        </w:tc>
        <w:tc>
          <w:tcPr>
            <w:tcW w:w="736" w:type="pct"/>
            <w:vAlign w:val="center"/>
          </w:tcPr>
          <w:p w14:paraId="48D3ADDF" w14:textId="77777777" w:rsidR="00360891" w:rsidRPr="00360891" w:rsidRDefault="00862E39" w:rsidP="0046061E">
            <w:pPr>
              <w:ind w:left="0"/>
            </w:pPr>
            <w:r>
              <w:t>2</w:t>
            </w:r>
          </w:p>
        </w:tc>
        <w:tc>
          <w:tcPr>
            <w:tcW w:w="3017" w:type="pct"/>
            <w:vAlign w:val="center"/>
          </w:tcPr>
          <w:p w14:paraId="48D3ADE0" w14:textId="77777777" w:rsidR="00360891" w:rsidRPr="00360891" w:rsidRDefault="0046061E" w:rsidP="0046061E">
            <w:pPr>
              <w:ind w:left="0"/>
            </w:pPr>
            <w:r>
              <w:t>Lists what tools and resources are needed by health departments as well as private well owners to address emerging private well issues.</w:t>
            </w:r>
          </w:p>
        </w:tc>
      </w:tr>
      <w:tr w:rsidR="00360891" w:rsidRPr="00DA3A17" w14:paraId="48D3ADE5" w14:textId="77777777" w:rsidTr="00B54C88">
        <w:trPr>
          <w:cantSplit/>
        </w:trPr>
        <w:tc>
          <w:tcPr>
            <w:tcW w:w="1247" w:type="pct"/>
            <w:vAlign w:val="center"/>
          </w:tcPr>
          <w:p w14:paraId="48D3ADE2" w14:textId="77777777" w:rsidR="00360891" w:rsidRDefault="00360891" w:rsidP="00BA0A9C">
            <w:pPr>
              <w:ind w:left="0"/>
            </w:pPr>
            <w:r>
              <w:t>Additional comments</w:t>
            </w:r>
          </w:p>
        </w:tc>
        <w:tc>
          <w:tcPr>
            <w:tcW w:w="736" w:type="pct"/>
            <w:vAlign w:val="center"/>
          </w:tcPr>
          <w:p w14:paraId="48D3ADE3" w14:textId="77777777" w:rsidR="00360891" w:rsidRPr="00360891" w:rsidRDefault="00360891" w:rsidP="0046061E">
            <w:pPr>
              <w:ind w:left="0"/>
            </w:pPr>
            <w:r w:rsidRPr="00360891">
              <w:t>1</w:t>
            </w:r>
          </w:p>
        </w:tc>
        <w:tc>
          <w:tcPr>
            <w:tcW w:w="3017" w:type="pct"/>
            <w:vAlign w:val="center"/>
          </w:tcPr>
          <w:p w14:paraId="48D3ADE4" w14:textId="77777777" w:rsidR="00360891" w:rsidRPr="00360891" w:rsidRDefault="000B4083" w:rsidP="000B4083">
            <w:pPr>
              <w:ind w:left="0"/>
            </w:pPr>
            <w:r>
              <w:t xml:space="preserve">Includes </w:t>
            </w:r>
            <w:r w:rsidR="00360891">
              <w:t xml:space="preserve">any other comments regarding emerging private well issues that </w:t>
            </w:r>
            <w:r>
              <w:t>respondents</w:t>
            </w:r>
            <w:r w:rsidR="00360891">
              <w:t xml:space="preserve"> </w:t>
            </w:r>
            <w:r>
              <w:t>want</w:t>
            </w:r>
            <w:r w:rsidR="0046061E">
              <w:t xml:space="preserve"> to share.  </w:t>
            </w:r>
          </w:p>
        </w:tc>
      </w:tr>
    </w:tbl>
    <w:p w14:paraId="48D3ADE6" w14:textId="77777777" w:rsidR="00DA3A17" w:rsidRDefault="00DA3A17" w:rsidP="00692DEB">
      <w:pPr>
        <w:pStyle w:val="ListParagraph"/>
        <w:rPr>
          <w:lang w:eastAsia="zh-CN"/>
        </w:rPr>
      </w:pPr>
    </w:p>
    <w:p w14:paraId="48D3ADE7" w14:textId="77777777" w:rsidR="00B12F51" w:rsidRPr="006A2ABB" w:rsidRDefault="00B12F51" w:rsidP="00692DEB">
      <w:pPr>
        <w:pStyle w:val="Heading4"/>
      </w:pPr>
      <w:bookmarkStart w:id="7" w:name="_Toc414349676"/>
      <w:r w:rsidRPr="006A2ABB">
        <w:t>Purpose and Use of the Information Collection</w:t>
      </w:r>
      <w:bookmarkEnd w:id="7"/>
    </w:p>
    <w:p w14:paraId="48D3ADE8" w14:textId="1A13673A" w:rsidR="00767048" w:rsidRDefault="00B017F8" w:rsidP="00767048">
      <w:pPr>
        <w:ind w:left="0"/>
      </w:pPr>
      <w:r>
        <w:t>The purpose of this assessment is to identify e</w:t>
      </w:r>
      <w:r w:rsidR="00767048">
        <w:t>merging public health issues</w:t>
      </w:r>
      <w:r>
        <w:t xml:space="preserve"> and develop</w:t>
      </w:r>
      <w:r w:rsidR="00767048">
        <w:t xml:space="preserve"> plans to address these issues </w:t>
      </w:r>
      <w:r w:rsidR="00596D6E">
        <w:t xml:space="preserve">by gathering feedback from </w:t>
      </w:r>
      <w:r w:rsidR="00767048">
        <w:t>state</w:t>
      </w:r>
      <w:r w:rsidR="00E07812">
        <w:t xml:space="preserve"> and</w:t>
      </w:r>
      <w:r w:rsidR="00767048">
        <w:t xml:space="preserve"> </w:t>
      </w:r>
      <w:r w:rsidR="00596D6E">
        <w:t xml:space="preserve">local </w:t>
      </w:r>
      <w:r w:rsidR="00E07812">
        <w:t>epidemiologists</w:t>
      </w:r>
      <w:r w:rsidR="00767048">
        <w:t xml:space="preserve"> </w:t>
      </w:r>
      <w:r w:rsidR="00256C83">
        <w:t xml:space="preserve">or their designees </w:t>
      </w:r>
      <w:r w:rsidR="00767048">
        <w:t xml:space="preserve">(government employees) with responsibilities for private wells (e.g., for well construction, well water quality). </w:t>
      </w:r>
      <w:r w:rsidR="00FA6DF9">
        <w:t>The data will be used to assess</w:t>
      </w:r>
      <w:r w:rsidR="00767048">
        <w:t xml:space="preserve"> current issues, emerging issues, data gaps, plans to address emerging issues, and resources</w:t>
      </w:r>
      <w:r w:rsidR="00E07812">
        <w:t xml:space="preserve"> needed</w:t>
      </w:r>
      <w:r w:rsidR="00767048">
        <w:t xml:space="preserve"> to implement plans.  </w:t>
      </w:r>
    </w:p>
    <w:p w14:paraId="48D3ADE9" w14:textId="77777777" w:rsidR="00171016" w:rsidRDefault="00171016" w:rsidP="00767048">
      <w:pPr>
        <w:ind w:left="0"/>
      </w:pPr>
    </w:p>
    <w:p w14:paraId="48D3ADEC" w14:textId="0E544D3A" w:rsidR="00171016" w:rsidRDefault="00FE7785" w:rsidP="007D542E">
      <w:pPr>
        <w:ind w:left="0"/>
      </w:pPr>
      <w:r>
        <w:t>The data will be used to</w:t>
      </w:r>
      <w:r w:rsidR="00171016">
        <w:t xml:space="preserve"> inform the </w:t>
      </w:r>
      <w:r w:rsidR="00FD6038">
        <w:t>Health Studies Branch</w:t>
      </w:r>
      <w:r w:rsidR="00E07812">
        <w:t xml:space="preserve"> </w:t>
      </w:r>
      <w:r w:rsidR="00171016" w:rsidRPr="00171016">
        <w:t>Strategic Plan and Research Agenda</w:t>
      </w:r>
      <w:r w:rsidR="00E07812">
        <w:t xml:space="preserve">. For example, in response to emerging issues and data and policy gaps identified by this assessment, HSB could direct future funding opportunities and design research projects to address the issues and gaps.  </w:t>
      </w:r>
    </w:p>
    <w:p w14:paraId="48D3ADED" w14:textId="77777777" w:rsidR="004D7DCA" w:rsidRDefault="004D7DCA" w:rsidP="007D542E">
      <w:pPr>
        <w:ind w:left="0"/>
      </w:pPr>
    </w:p>
    <w:p w14:paraId="48D3ADF2" w14:textId="77777777" w:rsidR="00B47055" w:rsidRPr="006A2ABB" w:rsidRDefault="00B47055" w:rsidP="00692DEB">
      <w:pPr>
        <w:pStyle w:val="Heading4"/>
      </w:pPr>
      <w:bookmarkStart w:id="8" w:name="_Toc414349677"/>
      <w:r w:rsidRPr="006A2ABB">
        <w:t>Use of Improved Information Technology and Burden Reduction</w:t>
      </w:r>
      <w:bookmarkEnd w:id="8"/>
    </w:p>
    <w:p w14:paraId="48D3ADF3" w14:textId="77777777" w:rsidR="00692DEB" w:rsidRPr="00711BFA" w:rsidRDefault="00692DEB" w:rsidP="00692DEB">
      <w:pPr>
        <w:ind w:left="0"/>
      </w:pPr>
      <w:r w:rsidRPr="00711BFA">
        <w:t xml:space="preserve">Data will be collected via a web-based questionnaire allowing respondents to complete and submit their responses electronically. This method was chosen to reduce the overall burden on respondents. </w:t>
      </w:r>
      <w:r w:rsidRPr="006F0460">
        <w:t xml:space="preserve">The information collection instrument </w:t>
      </w:r>
      <w:r w:rsidRPr="00711BFA">
        <w:t xml:space="preserve">was designed to collect the minimum information necessary for the purposes of this project (i.e., limited to </w:t>
      </w:r>
      <w:r w:rsidR="00232D6B">
        <w:t xml:space="preserve">27 </w:t>
      </w:r>
      <w:r w:rsidRPr="00711BFA">
        <w:t>questions).</w:t>
      </w:r>
    </w:p>
    <w:p w14:paraId="48D3ADF4" w14:textId="77777777" w:rsidR="00E8736B" w:rsidRDefault="00E8736B" w:rsidP="007D6163">
      <w:pPr>
        <w:pStyle w:val="ListParagraph"/>
      </w:pPr>
    </w:p>
    <w:p w14:paraId="48D3ADF5" w14:textId="77777777" w:rsidR="00B47055" w:rsidRPr="00AB49A7" w:rsidRDefault="00B47055" w:rsidP="00692DEB">
      <w:pPr>
        <w:pStyle w:val="Heading4"/>
      </w:pPr>
      <w:bookmarkStart w:id="9" w:name="_Toc414349678"/>
      <w:r w:rsidRPr="00AB49A7">
        <w:t>Efforts to Identify Duplication and Use of Similar Information</w:t>
      </w:r>
      <w:bookmarkEnd w:id="9"/>
    </w:p>
    <w:p w14:paraId="2F51F23B" w14:textId="64D252BA" w:rsidR="00CD051D" w:rsidRDefault="00FF6D7C" w:rsidP="00C620B9">
      <w:pPr>
        <w:ind w:left="0"/>
      </w:pPr>
      <w:r>
        <w:t xml:space="preserve">Prior to conducting any data collection, CDC/NCEH reviewed existing published and unpublished literature, which determined that the planned data collection efforts do not duplicate any other current or previous data collection efforts. </w:t>
      </w:r>
      <w:r w:rsidR="00FF0949">
        <w:t>Some assessments have been conducted to determine the knowledge, attitudes, and practices associated with private well owners and testing.</w:t>
      </w:r>
      <w:r w:rsidR="00FF0949">
        <w:rPr>
          <w:vertAlign w:val="superscript"/>
        </w:rPr>
        <w:t>4-9</w:t>
      </w:r>
      <w:r w:rsidR="00FF0949">
        <w:t xml:space="preserve"> Other assessments have focused on analyzing the quality of well water for a risk that has already been identified.</w:t>
      </w:r>
      <w:r w:rsidR="00FF0949" w:rsidRPr="002563C7">
        <w:rPr>
          <w:vertAlign w:val="superscript"/>
        </w:rPr>
        <w:t>10-13</w:t>
      </w:r>
      <w:r w:rsidR="00FF0949">
        <w:t xml:space="preserve"> Both of these types of data collection efforts have demonstrated the need for more information regarding emerging issues and methodologies to address them.</w:t>
      </w:r>
      <w:r w:rsidR="00CD051D">
        <w:t xml:space="preserve"> Other recent data collections conducted through NCEH focused on culling best practices from educational campaigns for private well owners (</w:t>
      </w:r>
      <w:r w:rsidR="00C620B9" w:rsidRPr="00554FC6">
        <w:rPr>
          <w:i/>
        </w:rPr>
        <w:t>Effective Educational Campaigns for Private Well Owners</w:t>
      </w:r>
      <w:r w:rsidR="00C620B9">
        <w:rPr>
          <w:i/>
        </w:rPr>
        <w:t xml:space="preserve">, </w:t>
      </w:r>
      <w:r w:rsidR="00C620B9">
        <w:t>OMB 0920-0879, approved 5/29/14</w:t>
      </w:r>
      <w:r w:rsidR="00CD051D">
        <w:t xml:space="preserve"> and </w:t>
      </w:r>
      <w:r w:rsidR="00113706" w:rsidRPr="00113706">
        <w:rPr>
          <w:i/>
        </w:rPr>
        <w:t>Interventions to Prevent Exposure to Contaminants in Drinking Water</w:t>
      </w:r>
      <w:r w:rsidR="00113706" w:rsidRPr="00113706">
        <w:t xml:space="preserve">, </w:t>
      </w:r>
      <w:r w:rsidR="00113706">
        <w:t xml:space="preserve">OMB 0920-0879, </w:t>
      </w:r>
      <w:r w:rsidR="00187C8A">
        <w:t>currently undergoing OMB approval</w:t>
      </w:r>
      <w:r w:rsidR="00C620B9">
        <w:t>)</w:t>
      </w:r>
      <w:r w:rsidR="00CD051D">
        <w:t>.</w:t>
      </w:r>
    </w:p>
    <w:p w14:paraId="403D2435" w14:textId="75C68A7C" w:rsidR="00C620B9" w:rsidRPr="00C96DD1" w:rsidRDefault="00C620B9" w:rsidP="00C620B9">
      <w:pPr>
        <w:ind w:left="0"/>
      </w:pPr>
      <w:r>
        <w:t xml:space="preserve"> </w:t>
      </w:r>
    </w:p>
    <w:p w14:paraId="48D3ADF6" w14:textId="3715D509" w:rsidR="00FF0949" w:rsidRPr="00D26A64" w:rsidRDefault="00113706" w:rsidP="00FF0949">
      <w:pPr>
        <w:ind w:left="0"/>
      </w:pPr>
      <w:r>
        <w:t>This is a new data collection effort, for which data do not exist elsewhere. F</w:t>
      </w:r>
      <w:r w:rsidR="00FF0949">
        <w:t xml:space="preserve">ew have been in the strategic position to </w:t>
      </w:r>
      <w:r w:rsidR="00E83390">
        <w:t xml:space="preserve">easily </w:t>
      </w:r>
      <w:r w:rsidR="00FF0949">
        <w:t>ask</w:t>
      </w:r>
      <w:r w:rsidR="002D08EC">
        <w:t xml:space="preserve"> a group of</w:t>
      </w:r>
      <w:r w:rsidR="00FF0949">
        <w:t xml:space="preserve"> public health professionals what they perceive are emerging issues in an effort to be proactive and identify solutions to fill gaps that exist. The membership of CSTE</w:t>
      </w:r>
      <w:r w:rsidR="00596D6E">
        <w:t xml:space="preserve"> (state and local epidemiologists)</w:t>
      </w:r>
      <w:r w:rsidR="00FF0949">
        <w:t xml:space="preserve"> provides a forum where</w:t>
      </w:r>
      <w:r w:rsidR="00571792" w:rsidRPr="00C915F3">
        <w:t xml:space="preserve"> </w:t>
      </w:r>
      <w:r w:rsidR="00FF0949">
        <w:t>information regarding health professionals’ perceptions about emerging issues and solutions associated with private well drinking water use</w:t>
      </w:r>
      <w:r w:rsidR="00AE5CE6">
        <w:t xml:space="preserve"> can be collected easily.</w:t>
      </w:r>
    </w:p>
    <w:p w14:paraId="48D3ADF7" w14:textId="77777777" w:rsidR="00FF0949" w:rsidRDefault="00FF0949" w:rsidP="00FF6D7C">
      <w:pPr>
        <w:ind w:left="0"/>
      </w:pPr>
    </w:p>
    <w:p w14:paraId="48D3ADF8" w14:textId="77777777" w:rsidR="00B12F51" w:rsidRPr="00B47055" w:rsidRDefault="00B47055" w:rsidP="00692DEB">
      <w:pPr>
        <w:pStyle w:val="Heading4"/>
      </w:pPr>
      <w:bookmarkStart w:id="10" w:name="_Toc414349679"/>
      <w:r w:rsidRPr="00B47055">
        <w:t>Impact on Small Businesses or Other Small Entities</w:t>
      </w:r>
      <w:bookmarkEnd w:id="10"/>
    </w:p>
    <w:p w14:paraId="48D3ADF9" w14:textId="77777777" w:rsidR="0053557D" w:rsidRDefault="00D26A64" w:rsidP="00C620B9">
      <w:pPr>
        <w:ind w:left="0"/>
      </w:pPr>
      <w:r>
        <w:t>N</w:t>
      </w:r>
      <w:r w:rsidR="00AF2252">
        <w:t xml:space="preserve">o small businesses will be involved in this </w:t>
      </w:r>
      <w:r w:rsidR="00157413">
        <w:t>information collection</w:t>
      </w:r>
      <w:r>
        <w:t>.</w:t>
      </w:r>
    </w:p>
    <w:p w14:paraId="48D3ADFA" w14:textId="77777777" w:rsidR="00C575D9" w:rsidRPr="00D95FBF" w:rsidRDefault="00C575D9" w:rsidP="005D6F14"/>
    <w:p w14:paraId="48D3ADFB" w14:textId="77777777" w:rsidR="00B12F51" w:rsidRPr="00AB49A7" w:rsidRDefault="00B47055" w:rsidP="00692DEB">
      <w:pPr>
        <w:pStyle w:val="Heading4"/>
      </w:pPr>
      <w:bookmarkStart w:id="11" w:name="_Toc414349680"/>
      <w:r w:rsidRPr="00AB49A7">
        <w:t>Consequences of Collecting the Information Less Frequently</w:t>
      </w:r>
      <w:bookmarkEnd w:id="11"/>
      <w:r w:rsidRPr="00AB49A7">
        <w:t xml:space="preserve"> </w:t>
      </w:r>
      <w:r w:rsidR="00D95FBF" w:rsidRPr="00AB49A7">
        <w:t xml:space="preserve">   </w:t>
      </w:r>
    </w:p>
    <w:p w14:paraId="48D3ADFC" w14:textId="77777777" w:rsidR="000058E0" w:rsidRDefault="000058E0" w:rsidP="000058E0">
      <w:pPr>
        <w:ind w:left="0"/>
      </w:pPr>
      <w:r w:rsidRPr="00711BFA">
        <w:t>This request is for a one time information collection.  There are no legal obstacles to reduce the burden.</w:t>
      </w:r>
      <w:r>
        <w:t xml:space="preserve"> </w:t>
      </w:r>
      <w:r w:rsidRPr="0061015C">
        <w:t xml:space="preserve">If no data are collected, </w:t>
      </w:r>
      <w:r>
        <w:t>CDC</w:t>
      </w:r>
      <w:r w:rsidR="00C915F3">
        <w:t>,</w:t>
      </w:r>
      <w:r w:rsidR="008D3B77">
        <w:t xml:space="preserve"> Health Studies Branch</w:t>
      </w:r>
      <w:r w:rsidR="00C915F3">
        <w:t>,</w:t>
      </w:r>
      <w:r w:rsidRPr="0061015C">
        <w:t xml:space="preserve"> will be unable to:</w:t>
      </w:r>
    </w:p>
    <w:p w14:paraId="48D3ADFD" w14:textId="77777777" w:rsidR="000058E0" w:rsidRDefault="007D542E" w:rsidP="00113706">
      <w:pPr>
        <w:pStyle w:val="ListParagraph"/>
        <w:numPr>
          <w:ilvl w:val="0"/>
          <w:numId w:val="37"/>
        </w:numPr>
        <w:rPr>
          <w:lang w:eastAsia="zh-CN"/>
        </w:rPr>
      </w:pPr>
      <w:r>
        <w:rPr>
          <w:lang w:eastAsia="zh-CN"/>
        </w:rPr>
        <w:t>Collect information from public health professionals regarding emerging issues associated with the consumption of water from private wells</w:t>
      </w:r>
    </w:p>
    <w:p w14:paraId="48D3ADFE" w14:textId="77777777" w:rsidR="004E0D66" w:rsidRDefault="004E0D66" w:rsidP="00113706">
      <w:pPr>
        <w:pStyle w:val="ListParagraph"/>
        <w:numPr>
          <w:ilvl w:val="0"/>
          <w:numId w:val="37"/>
        </w:numPr>
        <w:tabs>
          <w:tab w:val="clear" w:pos="9360"/>
        </w:tabs>
        <w:contextualSpacing w:val="0"/>
      </w:pPr>
      <w:r>
        <w:t xml:space="preserve">Collect </w:t>
      </w:r>
      <w:r w:rsidRPr="00D20B51">
        <w:t>recommendations</w:t>
      </w:r>
      <w:r>
        <w:t xml:space="preserve"> on how to address these issues</w:t>
      </w:r>
      <w:r w:rsidRPr="00D20B51">
        <w:t xml:space="preserve"> </w:t>
      </w:r>
    </w:p>
    <w:p w14:paraId="48D3ADFF" w14:textId="77777777" w:rsidR="007D542E" w:rsidRDefault="007D542E" w:rsidP="00113706">
      <w:pPr>
        <w:pStyle w:val="ListParagraph"/>
        <w:numPr>
          <w:ilvl w:val="0"/>
          <w:numId w:val="37"/>
        </w:numPr>
        <w:rPr>
          <w:lang w:eastAsia="zh-CN"/>
        </w:rPr>
      </w:pPr>
      <w:r>
        <w:rPr>
          <w:lang w:eastAsia="zh-CN"/>
        </w:rPr>
        <w:t>Gain an understanding of methodologies and policy actions that are being undertaken by public health professionals to protect private well owners</w:t>
      </w:r>
    </w:p>
    <w:p w14:paraId="48D3AE00" w14:textId="77777777" w:rsidR="004E0D66" w:rsidRDefault="004E0D66" w:rsidP="00113706">
      <w:pPr>
        <w:pStyle w:val="ListParagraph"/>
        <w:numPr>
          <w:ilvl w:val="0"/>
          <w:numId w:val="37"/>
        </w:numPr>
        <w:tabs>
          <w:tab w:val="clear" w:pos="9360"/>
        </w:tabs>
        <w:contextualSpacing w:val="0"/>
      </w:pPr>
      <w:r>
        <w:t>Share this information with public health partners to foster collaboration and increased awareness of emerging issues associated with the consumption of water from private wells</w:t>
      </w:r>
    </w:p>
    <w:p w14:paraId="48D3AE01" w14:textId="77777777" w:rsidR="004E0D66" w:rsidRPr="00D20B51" w:rsidRDefault="004E0D66" w:rsidP="004E0D66"/>
    <w:p w14:paraId="48D3AE02" w14:textId="77777777" w:rsidR="00B12F51" w:rsidRPr="00B47055" w:rsidRDefault="00B47055" w:rsidP="00692DEB">
      <w:pPr>
        <w:pStyle w:val="Heading4"/>
      </w:pPr>
      <w:bookmarkStart w:id="12" w:name="_Toc414349681"/>
      <w:r w:rsidRPr="00B47055">
        <w:t>Special Circumstances Relating to the Guidelines of 5 CFR 1320.5</w:t>
      </w:r>
      <w:bookmarkEnd w:id="12"/>
    </w:p>
    <w:p w14:paraId="48D3AE03" w14:textId="77777777" w:rsidR="00F52BCC" w:rsidRDefault="00A809AA" w:rsidP="00692DE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48D3AE04" w14:textId="77777777" w:rsidR="00F52BCC" w:rsidRDefault="00F52BCC" w:rsidP="005D6F14"/>
    <w:p w14:paraId="48D3AE05" w14:textId="77777777" w:rsidR="00B12F51" w:rsidRPr="0088467A" w:rsidRDefault="0088467A" w:rsidP="00692DEB">
      <w:pPr>
        <w:pStyle w:val="Heading4"/>
      </w:pPr>
      <w:bookmarkStart w:id="13" w:name="_Toc414349682"/>
      <w:r w:rsidRPr="0088467A">
        <w:t>Comments in Response to the Federal Register Notice and Efforts to Consult Outside the Agency</w:t>
      </w:r>
      <w:bookmarkEnd w:id="13"/>
    </w:p>
    <w:p w14:paraId="48D3AE06" w14:textId="77777777" w:rsidR="00A809AA" w:rsidRPr="00A809AA" w:rsidRDefault="00C768E5" w:rsidP="00692DEB">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48D3AE07" w14:textId="77777777" w:rsidR="00A809AA" w:rsidRPr="00A809AA" w:rsidRDefault="00A809AA" w:rsidP="00692DEB">
      <w:pPr>
        <w:ind w:left="0"/>
      </w:pPr>
    </w:p>
    <w:p w14:paraId="48D3AE08" w14:textId="77777777" w:rsidR="00A809AA" w:rsidRPr="00A809AA" w:rsidRDefault="00A809AA" w:rsidP="00692DEB">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2E7C500E" w14:textId="77777777" w:rsidR="00E326D3" w:rsidRPr="00E326D3" w:rsidRDefault="00E326D3" w:rsidP="00E326D3"/>
    <w:p w14:paraId="5B04EDA9" w14:textId="77777777" w:rsidR="005C3976" w:rsidRDefault="005C3976">
      <w:pPr>
        <w:tabs>
          <w:tab w:val="clear" w:pos="9360"/>
        </w:tabs>
        <w:spacing w:after="200"/>
        <w:ind w:left="0"/>
        <w:rPr>
          <w:b/>
        </w:rPr>
      </w:pPr>
      <w:r>
        <w:br w:type="page"/>
      </w:r>
    </w:p>
    <w:p w14:paraId="48D3AE0A" w14:textId="348B31DE" w:rsidR="00B12F51" w:rsidRPr="0088467A" w:rsidRDefault="0088467A" w:rsidP="00692DEB">
      <w:pPr>
        <w:pStyle w:val="Heading4"/>
      </w:pPr>
      <w:bookmarkStart w:id="14" w:name="_Toc414349683"/>
      <w:r w:rsidRPr="0088467A">
        <w:t>Explanation of Any Payment or Gift to Respondents</w:t>
      </w:r>
      <w:bookmarkEnd w:id="14"/>
    </w:p>
    <w:p w14:paraId="48D3AE0B" w14:textId="77777777" w:rsidR="00F52BCC" w:rsidRDefault="00A809AA" w:rsidP="00692DEB">
      <w:pPr>
        <w:ind w:left="0"/>
      </w:pPr>
      <w:r>
        <w:t>CDC will not provide p</w:t>
      </w:r>
      <w:r w:rsidR="00D26A64">
        <w:t>ayments or gifts to respondents.</w:t>
      </w:r>
    </w:p>
    <w:p w14:paraId="60C432D3" w14:textId="77777777" w:rsidR="003C7939" w:rsidRDefault="003C7939" w:rsidP="00692DEB">
      <w:pPr>
        <w:ind w:left="0"/>
      </w:pPr>
    </w:p>
    <w:p w14:paraId="48D3AE0D" w14:textId="37596000" w:rsidR="00B12F51" w:rsidRPr="00D16E78" w:rsidRDefault="0088467A" w:rsidP="00692DEB">
      <w:pPr>
        <w:pStyle w:val="Heading4"/>
      </w:pPr>
      <w:bookmarkStart w:id="15" w:name="_Toc414349684"/>
      <w:r w:rsidRPr="0088467A">
        <w:t>Assurance of Confidentiality Provided to Respondents</w:t>
      </w:r>
      <w:bookmarkEnd w:id="15"/>
    </w:p>
    <w:p w14:paraId="48D3AE0E" w14:textId="77777777" w:rsidR="003C31C9" w:rsidRPr="003C31C9" w:rsidRDefault="003C31C9" w:rsidP="00692DEB">
      <w:pPr>
        <w:ind w:left="0"/>
      </w:pPr>
      <w:r w:rsidRPr="003C31C9">
        <w:t xml:space="preserve">The Privacy Act does not apply to this </w:t>
      </w:r>
      <w:r w:rsidR="00157413">
        <w:t xml:space="preserve">information </w:t>
      </w:r>
      <w:r w:rsidR="00157413" w:rsidRPr="00040611">
        <w:t>collection</w:t>
      </w:r>
      <w:r w:rsidRPr="00040611">
        <w:t xml:space="preserve">.  </w:t>
      </w:r>
      <w:r w:rsidR="007F5776" w:rsidRPr="00040611">
        <w:t xml:space="preserve">STLT governmental staff and / or delegates </w:t>
      </w:r>
      <w:r w:rsidRPr="00040611">
        <w:t>will be speaking from their official roles and</w:t>
      </w:r>
      <w:r w:rsidRPr="003C31C9">
        <w:t xml:space="preserve"> will not be asked, nor will they provide individually identifiable information.  </w:t>
      </w:r>
    </w:p>
    <w:p w14:paraId="48D3AE0F" w14:textId="77777777" w:rsidR="003C31C9" w:rsidRPr="003C31C9" w:rsidRDefault="003C31C9" w:rsidP="00692DEB">
      <w:pPr>
        <w:ind w:left="0"/>
      </w:pPr>
    </w:p>
    <w:p w14:paraId="48D3AE10" w14:textId="77777777" w:rsidR="003C31C9" w:rsidRPr="003C31C9" w:rsidRDefault="003C31C9" w:rsidP="00692DEB">
      <w:pPr>
        <w:ind w:left="0"/>
      </w:pPr>
      <w:r w:rsidRPr="003C31C9">
        <w:t xml:space="preserve">This </w:t>
      </w:r>
      <w:r w:rsidR="00157413">
        <w:t>information collection</w:t>
      </w:r>
      <w:r w:rsidRPr="003C31C9">
        <w:t xml:space="preserve"> is not research involving human subjects.</w:t>
      </w:r>
    </w:p>
    <w:p w14:paraId="48D3AE11" w14:textId="77777777" w:rsidR="00F52BCC" w:rsidRPr="003C31C9" w:rsidRDefault="00F52BCC" w:rsidP="005D6F14"/>
    <w:p w14:paraId="48D3AE12" w14:textId="77777777" w:rsidR="000058E0" w:rsidRDefault="008C59E7" w:rsidP="00D1343B">
      <w:pPr>
        <w:pStyle w:val="Heading4"/>
        <w:numPr>
          <w:ilvl w:val="0"/>
          <w:numId w:val="0"/>
        </w:numPr>
        <w:tabs>
          <w:tab w:val="clear" w:pos="9360"/>
          <w:tab w:val="right" w:pos="450"/>
        </w:tabs>
        <w:ind w:left="360" w:hanging="360"/>
        <w:contextualSpacing w:val="0"/>
      </w:pPr>
      <w:bookmarkStart w:id="16" w:name="_Toc414349685"/>
      <w:r>
        <w:t xml:space="preserve">10.1 </w:t>
      </w:r>
      <w:r w:rsidR="000058E0">
        <w:t>Privacy Impact Assessment Information</w:t>
      </w:r>
      <w:bookmarkEnd w:id="16"/>
    </w:p>
    <w:p w14:paraId="48D3AE13" w14:textId="77777777" w:rsidR="000058E0" w:rsidRPr="00B818ED" w:rsidRDefault="000058E0" w:rsidP="000058E0">
      <w:pPr>
        <w:pStyle w:val="Heading4"/>
        <w:numPr>
          <w:ilvl w:val="0"/>
          <w:numId w:val="0"/>
        </w:numPr>
        <w:rPr>
          <w:b w:val="0"/>
        </w:rPr>
      </w:pPr>
      <w:bookmarkStart w:id="17" w:name="_Toc414349686"/>
      <w:r w:rsidRPr="00B818ED">
        <w:rPr>
          <w:b w:val="0"/>
        </w:rPr>
        <w:t>No individually identifiable information (IIF) will be collected.</w:t>
      </w:r>
      <w:bookmarkEnd w:id="17"/>
      <w:r w:rsidRPr="00B818ED">
        <w:rPr>
          <w:b w:val="0"/>
        </w:rPr>
        <w:t xml:space="preserve"> </w:t>
      </w:r>
    </w:p>
    <w:p w14:paraId="48D3AE14" w14:textId="77777777" w:rsidR="000058E0" w:rsidRDefault="000058E0" w:rsidP="000058E0">
      <w:pPr>
        <w:pStyle w:val="Heading4"/>
        <w:numPr>
          <w:ilvl w:val="0"/>
          <w:numId w:val="0"/>
        </w:numPr>
        <w:ind w:left="360"/>
      </w:pPr>
    </w:p>
    <w:p w14:paraId="48D3AE15" w14:textId="77777777" w:rsidR="00B12F51" w:rsidRPr="0088467A" w:rsidRDefault="0088467A" w:rsidP="00692DEB">
      <w:pPr>
        <w:pStyle w:val="Heading4"/>
      </w:pPr>
      <w:bookmarkStart w:id="18" w:name="_Toc414349687"/>
      <w:r w:rsidRPr="0088467A">
        <w:t>Justification for Sensitive Questions</w:t>
      </w:r>
      <w:bookmarkEnd w:id="18"/>
    </w:p>
    <w:p w14:paraId="48D3AE16" w14:textId="77777777" w:rsidR="00F52BCC" w:rsidRDefault="003C31C9" w:rsidP="00692DEB">
      <w:pPr>
        <w:ind w:left="0"/>
      </w:pPr>
      <w:r>
        <w:t>No information will be collected</w:t>
      </w:r>
      <w:r w:rsidR="00616090">
        <w:t xml:space="preserve"> that are of </w:t>
      </w:r>
      <w:r w:rsidR="00D46CA0">
        <w:t xml:space="preserve">a </w:t>
      </w:r>
      <w:r w:rsidR="00616090">
        <w:t>personal or sensitive nature</w:t>
      </w:r>
      <w:r w:rsidR="00D26A64">
        <w:t>.</w:t>
      </w:r>
    </w:p>
    <w:p w14:paraId="48D3AE17" w14:textId="77777777" w:rsidR="00616090" w:rsidRPr="0088467A" w:rsidRDefault="00616090" w:rsidP="005D6F14"/>
    <w:p w14:paraId="48D3AE18" w14:textId="77777777" w:rsidR="00B64BFA" w:rsidRPr="00C40A9C" w:rsidRDefault="0088467A" w:rsidP="00692DEB">
      <w:pPr>
        <w:pStyle w:val="Heading4"/>
      </w:pPr>
      <w:bookmarkStart w:id="19" w:name="_Toc414349688"/>
      <w:r w:rsidRPr="00C40A9C">
        <w:t>Estimates of Annualized Burden Hours and Costs</w:t>
      </w:r>
      <w:bookmarkEnd w:id="19"/>
    </w:p>
    <w:p w14:paraId="48D3AE19" w14:textId="6587B1EF" w:rsidR="000058E0" w:rsidRPr="00711BFA" w:rsidRDefault="000058E0" w:rsidP="000058E0">
      <w:pPr>
        <w:ind w:left="0"/>
        <w:rPr>
          <w:color w:val="000000"/>
        </w:rPr>
      </w:pPr>
      <w:r w:rsidRPr="00711BFA">
        <w:rPr>
          <w:color w:val="000000"/>
        </w:rPr>
        <w:t xml:space="preserve">The estimate for burden hours is based on a pilot test of </w:t>
      </w:r>
      <w:r w:rsidRPr="0061015C">
        <w:t xml:space="preserve">the information collection instrument </w:t>
      </w:r>
      <w:r w:rsidRPr="00711BFA">
        <w:rPr>
          <w:color w:val="000000"/>
        </w:rPr>
        <w:t xml:space="preserve">by </w:t>
      </w:r>
      <w:r w:rsidR="000B4083">
        <w:rPr>
          <w:color w:val="000000"/>
        </w:rPr>
        <w:t>2</w:t>
      </w:r>
      <w:r w:rsidRPr="00711BFA">
        <w:t xml:space="preserve"> public health professionals</w:t>
      </w:r>
      <w:r w:rsidR="000B4083">
        <w:t xml:space="preserve"> from the New Mexico and Indiana health departments</w:t>
      </w:r>
      <w:r w:rsidRPr="00711BFA">
        <w:t xml:space="preserve">. In the pilot test, the average time to complete the </w:t>
      </w:r>
      <w:r w:rsidRPr="0061015C">
        <w:t>instrument including time for reviewing instructions, gathering needed information and completing the instrument</w:t>
      </w:r>
      <w:r w:rsidRPr="00711BFA">
        <w:t xml:space="preserve">, was approximately </w:t>
      </w:r>
      <w:r w:rsidR="000C3A0C">
        <w:t>60</w:t>
      </w:r>
      <w:r w:rsidRPr="00711BFA">
        <w:t xml:space="preserve"> minutes. </w:t>
      </w:r>
      <w:r w:rsidR="000C3A0C">
        <w:t xml:space="preserve">Most of this time was spent gathering the appropriate information to respond to the assessment questions. </w:t>
      </w:r>
      <w:r w:rsidRPr="00711BFA">
        <w:t xml:space="preserve">Based on these results, the estimated time range for actual respondents to complete </w:t>
      </w:r>
      <w:r w:rsidRPr="0061015C">
        <w:t xml:space="preserve">the instrument </w:t>
      </w:r>
      <w:r w:rsidRPr="00711BFA">
        <w:t xml:space="preserve">is </w:t>
      </w:r>
      <w:r w:rsidR="000C3A0C">
        <w:t>50</w:t>
      </w:r>
      <w:r w:rsidR="00931BC1">
        <w:t xml:space="preserve"> to </w:t>
      </w:r>
      <w:r w:rsidR="000C3A0C">
        <w:t>70</w:t>
      </w:r>
      <w:r w:rsidR="00931BC1">
        <w:t xml:space="preserve"> </w:t>
      </w:r>
      <w:r w:rsidRPr="00711BFA">
        <w:t xml:space="preserve">minutes. For the purposes of estimating burden hours, the </w:t>
      </w:r>
      <w:r w:rsidR="005C3976">
        <w:t xml:space="preserve">average time for completion </w:t>
      </w:r>
      <w:r w:rsidRPr="00711BFA">
        <w:t xml:space="preserve">(i.e., </w:t>
      </w:r>
      <w:r w:rsidR="000C3A0C">
        <w:t>60</w:t>
      </w:r>
      <w:r w:rsidR="00931BC1">
        <w:t xml:space="preserve"> </w:t>
      </w:r>
      <w:r w:rsidRPr="00711BFA">
        <w:t>minutes) is used.</w:t>
      </w:r>
    </w:p>
    <w:p w14:paraId="48D3AE1A" w14:textId="77777777" w:rsidR="000058E0" w:rsidRDefault="000058E0" w:rsidP="000058E0">
      <w:pPr>
        <w:ind w:left="0"/>
      </w:pPr>
    </w:p>
    <w:p w14:paraId="48D3AE1B" w14:textId="77777777" w:rsidR="000058E0" w:rsidRPr="00711BFA" w:rsidRDefault="000058E0" w:rsidP="000058E0">
      <w:pPr>
        <w:ind w:left="0"/>
        <w:rPr>
          <w:rFonts w:cs="Arial"/>
        </w:rPr>
      </w:pPr>
      <w:r w:rsidRPr="00711BFA">
        <w:t xml:space="preserve">Estimates for the average hourly wage for respondents are based on the Department of Labor (DOL) National Compensation Survey estimate for </w:t>
      </w:r>
      <w:r w:rsidR="00FD6038">
        <w:t>environmental scientists</w:t>
      </w:r>
      <w:r>
        <w:t xml:space="preserve"> </w:t>
      </w:r>
      <w:r w:rsidR="00FD6038">
        <w:t xml:space="preserve">and specialists, including health </w:t>
      </w:r>
      <w:r w:rsidRPr="00711BFA">
        <w:t>(</w:t>
      </w:r>
      <w:hyperlink r:id="rId14" w:history="1">
        <w:r w:rsidRPr="00711BFA">
          <w:rPr>
            <w:rStyle w:val="Hyperlink"/>
          </w:rPr>
          <w:t>http://www.bls.gov/ncs/ocs/sp/nctb1349.pdf</w:t>
        </w:r>
      </w:hyperlink>
      <w:r w:rsidRPr="00711BFA">
        <w:t xml:space="preserve">). Based on DOL data, an average hourly wage of </w:t>
      </w:r>
      <w:r w:rsidR="00FD6038">
        <w:t>$32.62</w:t>
      </w:r>
      <w:r>
        <w:t xml:space="preserve"> </w:t>
      </w:r>
      <w:r w:rsidRPr="00711BFA">
        <w:t xml:space="preserve">is estimated for all </w:t>
      </w:r>
      <w:r w:rsidR="000B4083">
        <w:t>55</w:t>
      </w:r>
      <w:r>
        <w:t xml:space="preserve"> </w:t>
      </w:r>
      <w:r w:rsidRPr="00711BFA">
        <w:t>respondents. Table A-12 shows estimated burden and cost information.</w:t>
      </w:r>
    </w:p>
    <w:p w14:paraId="48D3AE1C" w14:textId="77777777" w:rsidR="005A59E5" w:rsidRPr="002A1948" w:rsidRDefault="005A59E5" w:rsidP="00692DEB">
      <w:pPr>
        <w:ind w:left="0"/>
      </w:pPr>
    </w:p>
    <w:p w14:paraId="2FE4C57F" w14:textId="77777777" w:rsidR="00D74071" w:rsidRDefault="00D74071">
      <w:pPr>
        <w:tabs>
          <w:tab w:val="clear" w:pos="9360"/>
        </w:tabs>
        <w:spacing w:after="200"/>
        <w:ind w:left="0"/>
        <w:rPr>
          <w:b/>
          <w:u w:val="single"/>
        </w:rPr>
      </w:pPr>
      <w:r>
        <w:rPr>
          <w:b/>
          <w:u w:val="single"/>
        </w:rPr>
        <w:br w:type="page"/>
      </w:r>
    </w:p>
    <w:p w14:paraId="48D3AE1D" w14:textId="759D5578" w:rsidR="005A59E5" w:rsidRDefault="005A59E5" w:rsidP="00692DEB">
      <w:pPr>
        <w:pStyle w:val="ListParagraph"/>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608"/>
        <w:gridCol w:w="1297"/>
        <w:gridCol w:w="1271"/>
        <w:gridCol w:w="1109"/>
        <w:gridCol w:w="864"/>
        <w:gridCol w:w="842"/>
        <w:gridCol w:w="1235"/>
      </w:tblGrid>
      <w:tr w:rsidR="00256C83" w:rsidRPr="00C620B9" w14:paraId="48D3AE26" w14:textId="77777777" w:rsidTr="00FC2E12">
        <w:trPr>
          <w:trHeight w:val="1493"/>
        </w:trPr>
        <w:tc>
          <w:tcPr>
            <w:tcW w:w="0" w:type="auto"/>
            <w:shd w:val="clear" w:color="auto" w:fill="D9D9D9" w:themeFill="background1" w:themeFillShade="D9"/>
          </w:tcPr>
          <w:p w14:paraId="48D3AE1E" w14:textId="77777777" w:rsidR="003B2200" w:rsidRPr="00C620B9" w:rsidRDefault="00157413" w:rsidP="000058E0">
            <w:pPr>
              <w:ind w:left="-18"/>
              <w:rPr>
                <w:b/>
                <w:sz w:val="18"/>
                <w:szCs w:val="20"/>
              </w:rPr>
            </w:pPr>
            <w:r w:rsidRPr="00C620B9">
              <w:rPr>
                <w:b/>
                <w:sz w:val="18"/>
                <w:szCs w:val="20"/>
              </w:rPr>
              <w:t>Information collection</w:t>
            </w:r>
            <w:r w:rsidR="003B2200" w:rsidRPr="00C620B9">
              <w:rPr>
                <w:b/>
                <w:sz w:val="18"/>
                <w:szCs w:val="20"/>
              </w:rPr>
              <w:t xml:space="preserve"> Instrument: Form Name</w:t>
            </w:r>
          </w:p>
        </w:tc>
        <w:tc>
          <w:tcPr>
            <w:tcW w:w="0" w:type="auto"/>
            <w:shd w:val="clear" w:color="auto" w:fill="D9D9D9" w:themeFill="background1" w:themeFillShade="D9"/>
            <w:vAlign w:val="center"/>
          </w:tcPr>
          <w:p w14:paraId="48D3AE1F" w14:textId="77777777" w:rsidR="003B2200" w:rsidRPr="00C620B9" w:rsidRDefault="003B2200" w:rsidP="000058E0">
            <w:pPr>
              <w:ind w:left="-18"/>
              <w:rPr>
                <w:b/>
                <w:sz w:val="18"/>
                <w:szCs w:val="20"/>
              </w:rPr>
            </w:pPr>
            <w:r w:rsidRPr="00C620B9">
              <w:rPr>
                <w:b/>
                <w:sz w:val="18"/>
                <w:szCs w:val="20"/>
              </w:rPr>
              <w:t>Type of Respondent</w:t>
            </w:r>
          </w:p>
        </w:tc>
        <w:tc>
          <w:tcPr>
            <w:tcW w:w="0" w:type="auto"/>
            <w:shd w:val="clear" w:color="auto" w:fill="D9D9D9" w:themeFill="background1" w:themeFillShade="D9"/>
            <w:vAlign w:val="center"/>
          </w:tcPr>
          <w:p w14:paraId="48D3AE20" w14:textId="77777777" w:rsidR="003B2200" w:rsidRPr="00C620B9" w:rsidRDefault="003B2200" w:rsidP="000058E0">
            <w:pPr>
              <w:ind w:left="-18"/>
              <w:rPr>
                <w:b/>
                <w:sz w:val="18"/>
                <w:szCs w:val="20"/>
              </w:rPr>
            </w:pPr>
            <w:r w:rsidRPr="00C620B9">
              <w:rPr>
                <w:b/>
                <w:sz w:val="18"/>
                <w:szCs w:val="20"/>
              </w:rPr>
              <w:t>No. of Respondents</w:t>
            </w:r>
          </w:p>
        </w:tc>
        <w:tc>
          <w:tcPr>
            <w:tcW w:w="0" w:type="auto"/>
            <w:shd w:val="clear" w:color="auto" w:fill="D9D9D9" w:themeFill="background1" w:themeFillShade="D9"/>
            <w:vAlign w:val="center"/>
          </w:tcPr>
          <w:p w14:paraId="48D3AE21" w14:textId="77777777" w:rsidR="003B2200" w:rsidRPr="00C620B9" w:rsidRDefault="003B2200" w:rsidP="000058E0">
            <w:pPr>
              <w:ind w:left="-18"/>
              <w:rPr>
                <w:b/>
                <w:sz w:val="18"/>
                <w:szCs w:val="20"/>
              </w:rPr>
            </w:pPr>
            <w:r w:rsidRPr="00C620B9">
              <w:rPr>
                <w:b/>
                <w:sz w:val="18"/>
                <w:szCs w:val="20"/>
              </w:rPr>
              <w:t>No. of Responses per Respondent</w:t>
            </w:r>
          </w:p>
        </w:tc>
        <w:tc>
          <w:tcPr>
            <w:tcW w:w="0" w:type="auto"/>
            <w:shd w:val="clear" w:color="auto" w:fill="D9D9D9" w:themeFill="background1" w:themeFillShade="D9"/>
            <w:vAlign w:val="center"/>
          </w:tcPr>
          <w:p w14:paraId="48D3AE22" w14:textId="77777777" w:rsidR="003B2200" w:rsidRPr="00C620B9" w:rsidRDefault="003B2200" w:rsidP="000058E0">
            <w:pPr>
              <w:ind w:left="-18"/>
              <w:rPr>
                <w:b/>
                <w:sz w:val="18"/>
                <w:szCs w:val="20"/>
              </w:rPr>
            </w:pPr>
            <w:r w:rsidRPr="00C620B9">
              <w:rPr>
                <w:b/>
                <w:sz w:val="18"/>
                <w:szCs w:val="20"/>
              </w:rPr>
              <w:t>Average Burden per Response (in hours)</w:t>
            </w:r>
          </w:p>
        </w:tc>
        <w:tc>
          <w:tcPr>
            <w:tcW w:w="0" w:type="auto"/>
            <w:shd w:val="clear" w:color="auto" w:fill="D9D9D9" w:themeFill="background1" w:themeFillShade="D9"/>
            <w:vAlign w:val="center"/>
          </w:tcPr>
          <w:p w14:paraId="48D3AE23" w14:textId="77777777" w:rsidR="003B2200" w:rsidRPr="00C620B9" w:rsidRDefault="003B2200" w:rsidP="000058E0">
            <w:pPr>
              <w:ind w:left="-18"/>
              <w:rPr>
                <w:b/>
                <w:sz w:val="18"/>
                <w:szCs w:val="20"/>
              </w:rPr>
            </w:pPr>
            <w:r w:rsidRPr="00C620B9">
              <w:rPr>
                <w:b/>
                <w:sz w:val="18"/>
                <w:szCs w:val="20"/>
              </w:rPr>
              <w:t>Total Burden Hours</w:t>
            </w:r>
          </w:p>
        </w:tc>
        <w:tc>
          <w:tcPr>
            <w:tcW w:w="0" w:type="auto"/>
            <w:shd w:val="clear" w:color="auto" w:fill="D9D9D9" w:themeFill="background1" w:themeFillShade="D9"/>
            <w:vAlign w:val="center"/>
          </w:tcPr>
          <w:p w14:paraId="48D3AE24" w14:textId="77777777" w:rsidR="003B2200" w:rsidRPr="00C620B9" w:rsidRDefault="003B2200" w:rsidP="000058E0">
            <w:pPr>
              <w:ind w:left="-18"/>
              <w:rPr>
                <w:b/>
                <w:sz w:val="18"/>
                <w:szCs w:val="20"/>
              </w:rPr>
            </w:pPr>
            <w:r w:rsidRPr="00C620B9">
              <w:rPr>
                <w:b/>
                <w:sz w:val="18"/>
                <w:szCs w:val="20"/>
              </w:rPr>
              <w:t>Hourly Wage Rate</w:t>
            </w:r>
          </w:p>
        </w:tc>
        <w:tc>
          <w:tcPr>
            <w:tcW w:w="0" w:type="auto"/>
            <w:shd w:val="clear" w:color="auto" w:fill="D9D9D9" w:themeFill="background1" w:themeFillShade="D9"/>
            <w:vAlign w:val="center"/>
          </w:tcPr>
          <w:p w14:paraId="48D3AE25" w14:textId="77777777" w:rsidR="003B2200" w:rsidRPr="00C620B9" w:rsidRDefault="003B2200" w:rsidP="000058E0">
            <w:pPr>
              <w:ind w:left="-18"/>
              <w:rPr>
                <w:b/>
                <w:sz w:val="18"/>
                <w:szCs w:val="20"/>
              </w:rPr>
            </w:pPr>
            <w:r w:rsidRPr="00C620B9">
              <w:rPr>
                <w:b/>
                <w:sz w:val="18"/>
                <w:szCs w:val="20"/>
              </w:rPr>
              <w:t>Total Respondent Costs</w:t>
            </w:r>
          </w:p>
        </w:tc>
      </w:tr>
      <w:tr w:rsidR="00D164B4" w:rsidRPr="00C620B9" w14:paraId="48D3AE2F" w14:textId="77777777" w:rsidTr="00FC2E12">
        <w:tc>
          <w:tcPr>
            <w:tcW w:w="0" w:type="auto"/>
          </w:tcPr>
          <w:p w14:paraId="48D3AE27" w14:textId="77777777" w:rsidR="003B2200" w:rsidRPr="00C620B9" w:rsidRDefault="006D2F43" w:rsidP="000058E0">
            <w:pPr>
              <w:ind w:left="0"/>
              <w:rPr>
                <w:sz w:val="20"/>
                <w:szCs w:val="20"/>
              </w:rPr>
            </w:pPr>
            <w:r w:rsidRPr="00C620B9">
              <w:rPr>
                <w:sz w:val="20"/>
                <w:szCs w:val="20"/>
              </w:rPr>
              <w:t>CSTEPW Instrument</w:t>
            </w:r>
          </w:p>
        </w:tc>
        <w:tc>
          <w:tcPr>
            <w:tcW w:w="0" w:type="auto"/>
            <w:vAlign w:val="center"/>
          </w:tcPr>
          <w:p w14:paraId="48D3AE28" w14:textId="21C217E2" w:rsidR="003B2200" w:rsidRPr="00C620B9" w:rsidRDefault="00C620B9" w:rsidP="000058E0">
            <w:pPr>
              <w:ind w:left="0"/>
              <w:rPr>
                <w:sz w:val="20"/>
                <w:szCs w:val="20"/>
              </w:rPr>
            </w:pPr>
            <w:r w:rsidRPr="00C620B9">
              <w:rPr>
                <w:sz w:val="20"/>
                <w:szCs w:val="20"/>
              </w:rPr>
              <w:t>State or local epidemiologist</w:t>
            </w:r>
            <w:r w:rsidR="00256C83">
              <w:rPr>
                <w:sz w:val="20"/>
                <w:szCs w:val="20"/>
              </w:rPr>
              <w:t xml:space="preserve"> or their designees</w:t>
            </w:r>
          </w:p>
        </w:tc>
        <w:tc>
          <w:tcPr>
            <w:tcW w:w="0" w:type="auto"/>
            <w:vAlign w:val="center"/>
          </w:tcPr>
          <w:p w14:paraId="48D3AE29" w14:textId="77777777" w:rsidR="003B2200" w:rsidRPr="00C620B9" w:rsidRDefault="000B4083" w:rsidP="000058E0">
            <w:pPr>
              <w:ind w:left="0"/>
              <w:rPr>
                <w:sz w:val="20"/>
                <w:szCs w:val="20"/>
              </w:rPr>
            </w:pPr>
            <w:r w:rsidRPr="00C620B9">
              <w:rPr>
                <w:sz w:val="20"/>
                <w:szCs w:val="20"/>
              </w:rPr>
              <w:t>55</w:t>
            </w:r>
          </w:p>
        </w:tc>
        <w:tc>
          <w:tcPr>
            <w:tcW w:w="0" w:type="auto"/>
            <w:vAlign w:val="center"/>
          </w:tcPr>
          <w:p w14:paraId="48D3AE2A" w14:textId="77777777" w:rsidR="003B2200" w:rsidRPr="00C620B9" w:rsidRDefault="00FC2E12" w:rsidP="000058E0">
            <w:pPr>
              <w:ind w:left="0"/>
              <w:rPr>
                <w:sz w:val="20"/>
                <w:szCs w:val="20"/>
              </w:rPr>
            </w:pPr>
            <w:r w:rsidRPr="00C620B9">
              <w:rPr>
                <w:sz w:val="20"/>
                <w:szCs w:val="20"/>
              </w:rPr>
              <w:t>1</w:t>
            </w:r>
          </w:p>
        </w:tc>
        <w:tc>
          <w:tcPr>
            <w:tcW w:w="0" w:type="auto"/>
            <w:vAlign w:val="center"/>
          </w:tcPr>
          <w:p w14:paraId="48D3AE2B" w14:textId="712B1A43" w:rsidR="003B2200" w:rsidRPr="00C620B9" w:rsidRDefault="000C3A0C" w:rsidP="000058E0">
            <w:pPr>
              <w:ind w:left="0"/>
              <w:rPr>
                <w:sz w:val="20"/>
                <w:szCs w:val="20"/>
              </w:rPr>
            </w:pPr>
            <w:r>
              <w:rPr>
                <w:sz w:val="20"/>
                <w:szCs w:val="20"/>
              </w:rPr>
              <w:t>1.0</w:t>
            </w:r>
          </w:p>
        </w:tc>
        <w:tc>
          <w:tcPr>
            <w:tcW w:w="0" w:type="auto"/>
            <w:vAlign w:val="center"/>
          </w:tcPr>
          <w:p w14:paraId="48D3AE2C" w14:textId="4DE666DA" w:rsidR="003B2200" w:rsidRPr="00C620B9" w:rsidRDefault="000C3A0C" w:rsidP="000058E0">
            <w:pPr>
              <w:ind w:left="0"/>
              <w:rPr>
                <w:sz w:val="20"/>
                <w:szCs w:val="20"/>
              </w:rPr>
            </w:pPr>
            <w:r>
              <w:rPr>
                <w:sz w:val="20"/>
                <w:szCs w:val="20"/>
              </w:rPr>
              <w:t>55</w:t>
            </w:r>
          </w:p>
        </w:tc>
        <w:tc>
          <w:tcPr>
            <w:tcW w:w="0" w:type="auto"/>
            <w:vAlign w:val="center"/>
          </w:tcPr>
          <w:p w14:paraId="48D3AE2D" w14:textId="77777777" w:rsidR="003B2200" w:rsidRPr="00C620B9" w:rsidRDefault="00FD6038" w:rsidP="000058E0">
            <w:pPr>
              <w:ind w:left="0"/>
              <w:rPr>
                <w:sz w:val="20"/>
                <w:szCs w:val="20"/>
              </w:rPr>
            </w:pPr>
            <w:r w:rsidRPr="00C620B9">
              <w:rPr>
                <w:sz w:val="20"/>
                <w:szCs w:val="20"/>
              </w:rPr>
              <w:t>$32.62</w:t>
            </w:r>
          </w:p>
        </w:tc>
        <w:tc>
          <w:tcPr>
            <w:tcW w:w="0" w:type="auto"/>
            <w:vAlign w:val="center"/>
          </w:tcPr>
          <w:p w14:paraId="48D3AE2E" w14:textId="19D78A7C" w:rsidR="003B2200" w:rsidRPr="00C620B9" w:rsidRDefault="00931BC1" w:rsidP="000058E0">
            <w:pPr>
              <w:ind w:left="0"/>
              <w:rPr>
                <w:sz w:val="20"/>
                <w:szCs w:val="20"/>
              </w:rPr>
            </w:pPr>
            <w:r w:rsidRPr="00C620B9">
              <w:rPr>
                <w:sz w:val="20"/>
                <w:szCs w:val="20"/>
              </w:rPr>
              <w:t>$</w:t>
            </w:r>
            <w:r w:rsidR="000C3A0C">
              <w:rPr>
                <w:sz w:val="20"/>
                <w:szCs w:val="20"/>
              </w:rPr>
              <w:t>1</w:t>
            </w:r>
            <w:r w:rsidR="00717793">
              <w:rPr>
                <w:sz w:val="20"/>
                <w:szCs w:val="20"/>
              </w:rPr>
              <w:t>,</w:t>
            </w:r>
            <w:r w:rsidR="000C3A0C">
              <w:rPr>
                <w:sz w:val="20"/>
                <w:szCs w:val="20"/>
              </w:rPr>
              <w:t>794.10</w:t>
            </w:r>
          </w:p>
        </w:tc>
      </w:tr>
      <w:tr w:rsidR="00256C83" w:rsidRPr="00C620B9" w14:paraId="48D3AE38" w14:textId="77777777" w:rsidTr="00FC2E12">
        <w:trPr>
          <w:trHeight w:hRule="exact" w:val="432"/>
        </w:trPr>
        <w:tc>
          <w:tcPr>
            <w:tcW w:w="0" w:type="auto"/>
          </w:tcPr>
          <w:p w14:paraId="48D3AE30" w14:textId="77777777" w:rsidR="003B2200" w:rsidRPr="00C620B9" w:rsidRDefault="003B2200" w:rsidP="000058E0">
            <w:pPr>
              <w:ind w:left="0"/>
              <w:rPr>
                <w:b/>
                <w:sz w:val="20"/>
                <w:szCs w:val="20"/>
              </w:rPr>
            </w:pPr>
          </w:p>
        </w:tc>
        <w:tc>
          <w:tcPr>
            <w:tcW w:w="0" w:type="auto"/>
            <w:vAlign w:val="center"/>
          </w:tcPr>
          <w:p w14:paraId="48D3AE31" w14:textId="77777777" w:rsidR="003B2200" w:rsidRPr="00C620B9" w:rsidRDefault="003B2200" w:rsidP="000058E0">
            <w:pPr>
              <w:ind w:left="0"/>
              <w:rPr>
                <w:b/>
                <w:sz w:val="20"/>
                <w:szCs w:val="20"/>
              </w:rPr>
            </w:pPr>
            <w:r w:rsidRPr="00C620B9">
              <w:rPr>
                <w:b/>
                <w:sz w:val="20"/>
                <w:szCs w:val="20"/>
              </w:rPr>
              <w:t>TOTALS</w:t>
            </w:r>
          </w:p>
        </w:tc>
        <w:tc>
          <w:tcPr>
            <w:tcW w:w="0" w:type="auto"/>
            <w:vAlign w:val="center"/>
          </w:tcPr>
          <w:p w14:paraId="48D3AE32" w14:textId="77777777" w:rsidR="003B2200" w:rsidRPr="00C620B9" w:rsidRDefault="009E6F06" w:rsidP="000058E0">
            <w:pPr>
              <w:ind w:left="0"/>
              <w:rPr>
                <w:b/>
                <w:sz w:val="20"/>
                <w:szCs w:val="20"/>
              </w:rPr>
            </w:pPr>
            <w:r w:rsidRPr="00C620B9">
              <w:rPr>
                <w:b/>
                <w:sz w:val="20"/>
                <w:szCs w:val="20"/>
              </w:rPr>
              <w:t>55</w:t>
            </w:r>
          </w:p>
        </w:tc>
        <w:tc>
          <w:tcPr>
            <w:tcW w:w="0" w:type="auto"/>
            <w:shd w:val="clear" w:color="auto" w:fill="auto"/>
            <w:vAlign w:val="center"/>
          </w:tcPr>
          <w:p w14:paraId="48D3AE33" w14:textId="77777777" w:rsidR="003B2200" w:rsidRPr="00C620B9" w:rsidRDefault="009E6F06" w:rsidP="000058E0">
            <w:pPr>
              <w:ind w:left="0"/>
              <w:rPr>
                <w:b/>
                <w:sz w:val="20"/>
                <w:szCs w:val="20"/>
              </w:rPr>
            </w:pPr>
            <w:r w:rsidRPr="00C620B9">
              <w:rPr>
                <w:b/>
                <w:sz w:val="20"/>
                <w:szCs w:val="20"/>
              </w:rPr>
              <w:t>1</w:t>
            </w:r>
          </w:p>
        </w:tc>
        <w:tc>
          <w:tcPr>
            <w:tcW w:w="0" w:type="auto"/>
            <w:shd w:val="clear" w:color="auto" w:fill="D9D9D9" w:themeFill="background1" w:themeFillShade="D9"/>
            <w:vAlign w:val="center"/>
          </w:tcPr>
          <w:p w14:paraId="48D3AE34" w14:textId="77777777" w:rsidR="003B2200" w:rsidRPr="00C620B9" w:rsidRDefault="003B2200" w:rsidP="000058E0">
            <w:pPr>
              <w:ind w:left="0"/>
              <w:rPr>
                <w:b/>
                <w:sz w:val="20"/>
                <w:szCs w:val="20"/>
              </w:rPr>
            </w:pPr>
          </w:p>
        </w:tc>
        <w:tc>
          <w:tcPr>
            <w:tcW w:w="0" w:type="auto"/>
            <w:vAlign w:val="center"/>
          </w:tcPr>
          <w:p w14:paraId="48D3AE35" w14:textId="10E58D76" w:rsidR="003B2200" w:rsidRPr="00C620B9" w:rsidRDefault="00D164B4" w:rsidP="000058E0">
            <w:pPr>
              <w:ind w:left="0"/>
              <w:rPr>
                <w:b/>
                <w:sz w:val="20"/>
                <w:szCs w:val="20"/>
              </w:rPr>
            </w:pPr>
            <w:r>
              <w:rPr>
                <w:b/>
                <w:sz w:val="20"/>
                <w:szCs w:val="20"/>
              </w:rPr>
              <w:t>27.5</w:t>
            </w:r>
          </w:p>
        </w:tc>
        <w:tc>
          <w:tcPr>
            <w:tcW w:w="0" w:type="auto"/>
            <w:shd w:val="clear" w:color="auto" w:fill="D9D9D9" w:themeFill="background1" w:themeFillShade="D9"/>
            <w:vAlign w:val="center"/>
          </w:tcPr>
          <w:p w14:paraId="48D3AE36" w14:textId="77777777" w:rsidR="003B2200" w:rsidRPr="00C620B9" w:rsidRDefault="003B2200" w:rsidP="000058E0">
            <w:pPr>
              <w:ind w:left="0"/>
              <w:rPr>
                <w:b/>
                <w:sz w:val="20"/>
                <w:szCs w:val="20"/>
              </w:rPr>
            </w:pPr>
          </w:p>
        </w:tc>
        <w:tc>
          <w:tcPr>
            <w:tcW w:w="0" w:type="auto"/>
            <w:vAlign w:val="center"/>
          </w:tcPr>
          <w:p w14:paraId="48D3AE37" w14:textId="6107AD30" w:rsidR="003B2200" w:rsidRPr="00C620B9" w:rsidRDefault="00717793" w:rsidP="000058E0">
            <w:pPr>
              <w:ind w:left="0"/>
              <w:rPr>
                <w:b/>
                <w:sz w:val="20"/>
                <w:szCs w:val="20"/>
              </w:rPr>
            </w:pPr>
            <w:r>
              <w:rPr>
                <w:b/>
                <w:sz w:val="20"/>
                <w:szCs w:val="20"/>
              </w:rPr>
              <w:t>$</w:t>
            </w:r>
            <w:r w:rsidR="000C3A0C">
              <w:rPr>
                <w:b/>
                <w:sz w:val="20"/>
                <w:szCs w:val="20"/>
              </w:rPr>
              <w:t>1</w:t>
            </w:r>
            <w:r>
              <w:rPr>
                <w:b/>
                <w:sz w:val="20"/>
                <w:szCs w:val="20"/>
              </w:rPr>
              <w:t>,</w:t>
            </w:r>
            <w:r w:rsidR="000C3A0C">
              <w:rPr>
                <w:b/>
                <w:sz w:val="20"/>
                <w:szCs w:val="20"/>
              </w:rPr>
              <w:t>794.10</w:t>
            </w:r>
          </w:p>
        </w:tc>
      </w:tr>
    </w:tbl>
    <w:p w14:paraId="48D3AE39" w14:textId="77777777" w:rsidR="003C31C9" w:rsidRDefault="003C31C9" w:rsidP="003C31C9">
      <w:pPr>
        <w:pStyle w:val="Default"/>
        <w:ind w:left="720"/>
        <w:rPr>
          <w:rFonts w:asciiTheme="majorHAnsi" w:hAnsiTheme="majorHAnsi" w:cs="Times New Roman"/>
          <w:sz w:val="22"/>
          <w:szCs w:val="22"/>
        </w:rPr>
      </w:pPr>
    </w:p>
    <w:p w14:paraId="48D3AE3A" w14:textId="77777777" w:rsidR="002F1502" w:rsidRDefault="002F1502" w:rsidP="005D6F14"/>
    <w:p w14:paraId="48D3AE3B" w14:textId="77777777" w:rsidR="00B12F51" w:rsidRPr="0088467A" w:rsidRDefault="0088467A" w:rsidP="00692DEB">
      <w:pPr>
        <w:pStyle w:val="Heading4"/>
      </w:pPr>
      <w:bookmarkStart w:id="20" w:name="_Toc414349689"/>
      <w:r w:rsidRPr="0088467A">
        <w:t>Estimates of Other Total Annual Cost Burden to Respondents or Record Keepers</w:t>
      </w:r>
      <w:bookmarkEnd w:id="20"/>
    </w:p>
    <w:p w14:paraId="48D3AE3C" w14:textId="77777777" w:rsidR="003C31C9" w:rsidRPr="00040611" w:rsidRDefault="003C31C9" w:rsidP="00692DEB">
      <w:pPr>
        <w:ind w:left="0"/>
      </w:pPr>
      <w:r w:rsidRPr="003C31C9">
        <w:t xml:space="preserve">There will be no </w:t>
      </w:r>
      <w:r w:rsidRPr="00040611">
        <w:t xml:space="preserve">direct costs to the respondents other than their time to participate in </w:t>
      </w:r>
      <w:r w:rsidR="00A0319E">
        <w:t>the</w:t>
      </w:r>
      <w:r w:rsidRPr="00040611">
        <w:t xml:space="preserve"> </w:t>
      </w:r>
      <w:r w:rsidR="00157413" w:rsidRPr="008C59E7">
        <w:t>information collection</w:t>
      </w:r>
      <w:r w:rsidRPr="008C59E7">
        <w:t>.</w:t>
      </w:r>
    </w:p>
    <w:p w14:paraId="48D3AE3D" w14:textId="77777777" w:rsidR="00911486" w:rsidRDefault="00911486" w:rsidP="00692DEB">
      <w:pPr>
        <w:ind w:left="0"/>
      </w:pPr>
    </w:p>
    <w:p w14:paraId="48D3AE3E" w14:textId="77777777" w:rsidR="00B12F51" w:rsidRPr="00C40A9C" w:rsidRDefault="0088467A" w:rsidP="00692DEB">
      <w:pPr>
        <w:pStyle w:val="Heading4"/>
      </w:pPr>
      <w:bookmarkStart w:id="21" w:name="_Toc414349690"/>
      <w:r w:rsidRPr="00C40A9C">
        <w:t>Annualized Cost to the Government</w:t>
      </w:r>
      <w:bookmarkEnd w:id="21"/>
      <w:r w:rsidR="00D75750" w:rsidRPr="00C40A9C">
        <w:t xml:space="preserve"> </w:t>
      </w:r>
    </w:p>
    <w:p w14:paraId="48D3AE3F" w14:textId="7A0A0F05" w:rsidR="000058E0" w:rsidRPr="00711BFA" w:rsidRDefault="000058E0" w:rsidP="000058E0">
      <w:pPr>
        <w:ind w:left="0"/>
      </w:pPr>
      <w:r w:rsidRPr="000E58F5">
        <w:rPr>
          <w:rFonts w:cs="Arial"/>
        </w:rPr>
        <w:t>There are no equipment or overhead costs</w:t>
      </w:r>
      <w:r w:rsidR="00C40A9C">
        <w:rPr>
          <w:rFonts w:cs="Arial"/>
        </w:rPr>
        <w:t xml:space="preserve">. </w:t>
      </w:r>
      <w:r w:rsidRPr="000E58F5">
        <w:rPr>
          <w:rFonts w:cs="Arial"/>
        </w:rPr>
        <w:t>The only cost to the federal government would be the salary of</w:t>
      </w:r>
      <w:r w:rsidR="008D3B77">
        <w:rPr>
          <w:rFonts w:cs="Arial"/>
        </w:rPr>
        <w:t xml:space="preserve"> two</w:t>
      </w:r>
      <w:r w:rsidRPr="000E58F5">
        <w:rPr>
          <w:rFonts w:cs="Arial"/>
        </w:rPr>
        <w:t xml:space="preserve"> CDC staff</w:t>
      </w:r>
      <w:r w:rsidR="008D3B77">
        <w:rPr>
          <w:rFonts w:cs="Arial"/>
        </w:rPr>
        <w:t xml:space="preserve"> members during the data collection and analysis activities</w:t>
      </w:r>
      <w:r w:rsidR="00F00792">
        <w:rPr>
          <w:rFonts w:cs="Arial"/>
        </w:rPr>
        <w:t xml:space="preserve">. </w:t>
      </w:r>
      <w:r w:rsidRPr="000E58F5">
        <w:rPr>
          <w:rFonts w:cs="Arial"/>
        </w:rPr>
        <w:t>The total estimated cost to the federal government is</w:t>
      </w:r>
      <w:r w:rsidR="008C59E7">
        <w:rPr>
          <w:rFonts w:cs="Arial"/>
        </w:rPr>
        <w:t xml:space="preserve"> </w:t>
      </w:r>
      <w:r w:rsidR="006E47A5">
        <w:rPr>
          <w:rFonts w:cs="Arial"/>
        </w:rPr>
        <w:t>$29,747</w:t>
      </w:r>
      <w:r w:rsidRPr="000E58F5">
        <w:rPr>
          <w:rFonts w:cs="Arial"/>
        </w:rPr>
        <w:t>. Table A-14 describes how this cost estimate was calculated.</w:t>
      </w:r>
    </w:p>
    <w:p w14:paraId="48D3AE40" w14:textId="77777777" w:rsidR="00692DEB" w:rsidRDefault="00692DEB" w:rsidP="00692DEB">
      <w:pPr>
        <w:ind w:left="0"/>
      </w:pPr>
    </w:p>
    <w:p w14:paraId="48D3AE41" w14:textId="77777777" w:rsidR="003C31C9" w:rsidRPr="00D75750" w:rsidRDefault="00321B51" w:rsidP="00692DEB">
      <w:pPr>
        <w:ind w:left="0"/>
      </w:pPr>
      <w:r w:rsidRPr="00692DEB">
        <w:rPr>
          <w:color w:val="000000"/>
        </w:rPr>
        <w:t xml:space="preserve"> </w:t>
      </w:r>
      <w:r w:rsidR="008E0683" w:rsidRPr="00692DEB">
        <w:rPr>
          <w:b/>
          <w:u w:val="single"/>
        </w:rPr>
        <w:t>Table A-14</w:t>
      </w:r>
      <w:r w:rsidR="008E0683" w:rsidRPr="00692DEB">
        <w:rPr>
          <w:b/>
        </w:rPr>
        <w:t>:</w:t>
      </w:r>
      <w:r w:rsidR="008E0683" w:rsidRPr="008E0683">
        <w:t xml:space="preserve"> Estimated Annualized Cost to the Federal Government</w:t>
      </w:r>
    </w:p>
    <w:tbl>
      <w:tblPr>
        <w:tblStyle w:val="TableGrid"/>
        <w:tblW w:w="0" w:type="auto"/>
        <w:tblLook w:val="04A0" w:firstRow="1" w:lastRow="0" w:firstColumn="1" w:lastColumn="0" w:noHBand="0" w:noVBand="1"/>
      </w:tblPr>
      <w:tblGrid>
        <w:gridCol w:w="4080"/>
        <w:gridCol w:w="1940"/>
        <w:gridCol w:w="1208"/>
        <w:gridCol w:w="236"/>
        <w:gridCol w:w="236"/>
        <w:gridCol w:w="1876"/>
      </w:tblGrid>
      <w:tr w:rsidR="004841F1" w:rsidRPr="004841F1" w14:paraId="48D3AE46" w14:textId="77777777" w:rsidTr="000C3A0C">
        <w:trPr>
          <w:trHeight w:val="593"/>
        </w:trPr>
        <w:tc>
          <w:tcPr>
            <w:tcW w:w="4080" w:type="dxa"/>
            <w:tcBorders>
              <w:bottom w:val="single" w:sz="12" w:space="0" w:color="auto"/>
            </w:tcBorders>
            <w:shd w:val="clear" w:color="auto" w:fill="D9D9D9" w:themeFill="background1" w:themeFillShade="D9"/>
            <w:vAlign w:val="center"/>
          </w:tcPr>
          <w:p w14:paraId="48D3AE42" w14:textId="77777777" w:rsidR="004841F1" w:rsidRPr="00E647FB" w:rsidRDefault="004841F1" w:rsidP="005D6F14">
            <w:pPr>
              <w:ind w:left="0"/>
              <w:jc w:val="center"/>
              <w:rPr>
                <w:b/>
                <w:sz w:val="20"/>
                <w:szCs w:val="20"/>
              </w:rPr>
            </w:pPr>
            <w:r w:rsidRPr="00E647FB">
              <w:rPr>
                <w:b/>
                <w:sz w:val="20"/>
                <w:szCs w:val="20"/>
              </w:rPr>
              <w:t>Staff (FTE)</w:t>
            </w:r>
          </w:p>
        </w:tc>
        <w:tc>
          <w:tcPr>
            <w:tcW w:w="1940" w:type="dxa"/>
            <w:tcBorders>
              <w:bottom w:val="single" w:sz="12" w:space="0" w:color="auto"/>
            </w:tcBorders>
            <w:shd w:val="clear" w:color="auto" w:fill="D9D9D9" w:themeFill="background1" w:themeFillShade="D9"/>
            <w:vAlign w:val="center"/>
          </w:tcPr>
          <w:p w14:paraId="48D3AE43"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680" w:type="dxa"/>
            <w:gridSpan w:val="3"/>
            <w:tcBorders>
              <w:bottom w:val="single" w:sz="12" w:space="0" w:color="auto"/>
            </w:tcBorders>
            <w:shd w:val="clear" w:color="auto" w:fill="D9D9D9" w:themeFill="background1" w:themeFillShade="D9"/>
            <w:vAlign w:val="center"/>
          </w:tcPr>
          <w:p w14:paraId="48D3AE44" w14:textId="77777777" w:rsidR="004841F1" w:rsidRPr="00E647FB" w:rsidRDefault="004841F1" w:rsidP="005D6F14">
            <w:pPr>
              <w:ind w:left="0"/>
              <w:jc w:val="center"/>
              <w:rPr>
                <w:b/>
                <w:sz w:val="20"/>
                <w:szCs w:val="20"/>
              </w:rPr>
            </w:pPr>
            <w:r w:rsidRPr="00E647FB">
              <w:rPr>
                <w:b/>
                <w:sz w:val="20"/>
                <w:szCs w:val="20"/>
              </w:rPr>
              <w:t>Average Hourly Rate</w:t>
            </w:r>
          </w:p>
        </w:tc>
        <w:tc>
          <w:tcPr>
            <w:tcW w:w="1876" w:type="dxa"/>
            <w:tcBorders>
              <w:bottom w:val="single" w:sz="12" w:space="0" w:color="auto"/>
            </w:tcBorders>
            <w:shd w:val="clear" w:color="auto" w:fill="D9D9D9" w:themeFill="background1" w:themeFillShade="D9"/>
            <w:vAlign w:val="center"/>
          </w:tcPr>
          <w:p w14:paraId="48D3AE45" w14:textId="77777777" w:rsidR="004841F1" w:rsidRPr="00E647FB" w:rsidRDefault="004841F1" w:rsidP="005D6F14">
            <w:pPr>
              <w:ind w:left="0"/>
              <w:jc w:val="center"/>
              <w:rPr>
                <w:b/>
                <w:sz w:val="20"/>
                <w:szCs w:val="20"/>
              </w:rPr>
            </w:pPr>
            <w:r w:rsidRPr="00E647FB">
              <w:rPr>
                <w:b/>
                <w:sz w:val="20"/>
                <w:szCs w:val="20"/>
              </w:rPr>
              <w:t>Average Cost</w:t>
            </w:r>
          </w:p>
        </w:tc>
      </w:tr>
      <w:tr w:rsidR="004841F1" w:rsidRPr="004841F1" w14:paraId="48D3AE4B" w14:textId="77777777" w:rsidTr="000C3A0C">
        <w:tc>
          <w:tcPr>
            <w:tcW w:w="4080" w:type="dxa"/>
            <w:tcBorders>
              <w:top w:val="single" w:sz="12" w:space="0" w:color="auto"/>
            </w:tcBorders>
          </w:tcPr>
          <w:p w14:paraId="48D3AE47" w14:textId="77777777" w:rsidR="004841F1" w:rsidRPr="00E647FB" w:rsidRDefault="00321B51" w:rsidP="00CA5840">
            <w:pPr>
              <w:ind w:left="0"/>
              <w:jc w:val="both"/>
              <w:rPr>
                <w:sz w:val="20"/>
                <w:szCs w:val="20"/>
              </w:rPr>
            </w:pPr>
            <w:r w:rsidRPr="00E647FB">
              <w:rPr>
                <w:sz w:val="20"/>
                <w:szCs w:val="20"/>
              </w:rPr>
              <w:t xml:space="preserve"> </w:t>
            </w:r>
            <w:r w:rsidR="00273362">
              <w:rPr>
                <w:sz w:val="20"/>
                <w:szCs w:val="20"/>
              </w:rPr>
              <w:t>GS-14 Team Lead</w:t>
            </w:r>
          </w:p>
        </w:tc>
        <w:tc>
          <w:tcPr>
            <w:tcW w:w="1940" w:type="dxa"/>
            <w:tcBorders>
              <w:top w:val="single" w:sz="12" w:space="0" w:color="auto"/>
            </w:tcBorders>
          </w:tcPr>
          <w:p w14:paraId="48D3AE48" w14:textId="77777777" w:rsidR="004841F1" w:rsidRPr="00E647FB" w:rsidRDefault="00273362" w:rsidP="005D6F14">
            <w:pPr>
              <w:ind w:left="0"/>
              <w:jc w:val="center"/>
              <w:rPr>
                <w:sz w:val="20"/>
                <w:szCs w:val="20"/>
              </w:rPr>
            </w:pPr>
            <w:r>
              <w:rPr>
                <w:sz w:val="20"/>
                <w:szCs w:val="20"/>
              </w:rPr>
              <w:t>20</w:t>
            </w:r>
          </w:p>
        </w:tc>
        <w:tc>
          <w:tcPr>
            <w:tcW w:w="1680" w:type="dxa"/>
            <w:gridSpan w:val="3"/>
            <w:tcBorders>
              <w:top w:val="single" w:sz="12" w:space="0" w:color="auto"/>
            </w:tcBorders>
          </w:tcPr>
          <w:p w14:paraId="48D3AE49" w14:textId="77777777" w:rsidR="004841F1" w:rsidRPr="00E647FB" w:rsidRDefault="00B54CA5" w:rsidP="005D6F14">
            <w:pPr>
              <w:ind w:left="0"/>
              <w:jc w:val="center"/>
              <w:rPr>
                <w:sz w:val="20"/>
                <w:szCs w:val="20"/>
              </w:rPr>
            </w:pPr>
            <w:r>
              <w:rPr>
                <w:sz w:val="20"/>
                <w:szCs w:val="20"/>
              </w:rPr>
              <w:t>$55.60</w:t>
            </w:r>
          </w:p>
        </w:tc>
        <w:tc>
          <w:tcPr>
            <w:tcW w:w="1876" w:type="dxa"/>
            <w:tcBorders>
              <w:top w:val="single" w:sz="12" w:space="0" w:color="auto"/>
            </w:tcBorders>
          </w:tcPr>
          <w:p w14:paraId="48D3AE4A" w14:textId="28DABBA8" w:rsidR="004841F1" w:rsidRPr="00E647FB" w:rsidRDefault="00F005A4" w:rsidP="005D6F14">
            <w:pPr>
              <w:ind w:left="0"/>
              <w:jc w:val="center"/>
              <w:rPr>
                <w:sz w:val="20"/>
                <w:szCs w:val="20"/>
              </w:rPr>
            </w:pPr>
            <w:r>
              <w:rPr>
                <w:sz w:val="20"/>
                <w:szCs w:val="20"/>
              </w:rPr>
              <w:t>$1,112</w:t>
            </w:r>
          </w:p>
        </w:tc>
      </w:tr>
      <w:tr w:rsidR="004841F1" w:rsidRPr="004841F1" w14:paraId="48D3AE50" w14:textId="77777777" w:rsidTr="000C3A0C">
        <w:tc>
          <w:tcPr>
            <w:tcW w:w="4080" w:type="dxa"/>
          </w:tcPr>
          <w:p w14:paraId="48D3AE4C" w14:textId="77777777" w:rsidR="004824FA" w:rsidRPr="00E647FB" w:rsidRDefault="00321B51" w:rsidP="00CA5840">
            <w:pPr>
              <w:ind w:left="0"/>
              <w:jc w:val="both"/>
              <w:rPr>
                <w:sz w:val="20"/>
                <w:szCs w:val="20"/>
              </w:rPr>
            </w:pPr>
            <w:r w:rsidRPr="00E647FB">
              <w:rPr>
                <w:sz w:val="20"/>
                <w:szCs w:val="20"/>
              </w:rPr>
              <w:t xml:space="preserve"> </w:t>
            </w:r>
            <w:r w:rsidR="00273362">
              <w:rPr>
                <w:sz w:val="20"/>
                <w:szCs w:val="20"/>
              </w:rPr>
              <w:t>GS-15 Senior Scientist</w:t>
            </w:r>
          </w:p>
        </w:tc>
        <w:tc>
          <w:tcPr>
            <w:tcW w:w="1940" w:type="dxa"/>
          </w:tcPr>
          <w:p w14:paraId="48D3AE4D" w14:textId="77777777" w:rsidR="004841F1" w:rsidRPr="00E647FB" w:rsidRDefault="00273362" w:rsidP="005D6F14">
            <w:pPr>
              <w:ind w:left="0"/>
              <w:jc w:val="center"/>
              <w:rPr>
                <w:sz w:val="20"/>
                <w:szCs w:val="20"/>
              </w:rPr>
            </w:pPr>
            <w:r>
              <w:rPr>
                <w:sz w:val="20"/>
                <w:szCs w:val="20"/>
              </w:rPr>
              <w:t>40</w:t>
            </w:r>
          </w:p>
        </w:tc>
        <w:tc>
          <w:tcPr>
            <w:tcW w:w="1680" w:type="dxa"/>
            <w:gridSpan w:val="3"/>
          </w:tcPr>
          <w:p w14:paraId="48D3AE4E" w14:textId="77777777" w:rsidR="004841F1" w:rsidRPr="00E647FB" w:rsidRDefault="008D3B77" w:rsidP="005D6F14">
            <w:pPr>
              <w:ind w:left="0"/>
              <w:jc w:val="center"/>
              <w:rPr>
                <w:sz w:val="20"/>
                <w:szCs w:val="20"/>
              </w:rPr>
            </w:pPr>
            <w:r>
              <w:rPr>
                <w:sz w:val="20"/>
                <w:szCs w:val="20"/>
              </w:rPr>
              <w:t>$</w:t>
            </w:r>
            <w:r w:rsidR="00B54CA5">
              <w:rPr>
                <w:sz w:val="20"/>
                <w:szCs w:val="20"/>
              </w:rPr>
              <w:t>65.40</w:t>
            </w:r>
          </w:p>
        </w:tc>
        <w:tc>
          <w:tcPr>
            <w:tcW w:w="1876" w:type="dxa"/>
          </w:tcPr>
          <w:p w14:paraId="48D3AE4F" w14:textId="6087C250" w:rsidR="004841F1" w:rsidRPr="00E647FB" w:rsidRDefault="00F005A4" w:rsidP="005D6F14">
            <w:pPr>
              <w:ind w:left="0"/>
              <w:jc w:val="center"/>
              <w:rPr>
                <w:sz w:val="20"/>
                <w:szCs w:val="20"/>
              </w:rPr>
            </w:pPr>
            <w:r>
              <w:rPr>
                <w:sz w:val="20"/>
                <w:szCs w:val="20"/>
              </w:rPr>
              <w:t>$2,616</w:t>
            </w:r>
          </w:p>
        </w:tc>
      </w:tr>
      <w:tr w:rsidR="00D52BF3" w:rsidRPr="004841F1" w14:paraId="797D296D" w14:textId="77777777" w:rsidTr="000C3A0C">
        <w:tc>
          <w:tcPr>
            <w:tcW w:w="4080" w:type="dxa"/>
          </w:tcPr>
          <w:p w14:paraId="67870B87" w14:textId="742FD622" w:rsidR="00D52BF3" w:rsidRPr="00E647FB" w:rsidRDefault="00D52BF3" w:rsidP="00CA5840">
            <w:pPr>
              <w:ind w:left="0"/>
              <w:jc w:val="both"/>
              <w:rPr>
                <w:sz w:val="20"/>
                <w:szCs w:val="20"/>
              </w:rPr>
            </w:pPr>
            <w:r>
              <w:rPr>
                <w:sz w:val="20"/>
                <w:szCs w:val="20"/>
              </w:rPr>
              <w:t>CSTE</w:t>
            </w:r>
            <w:r w:rsidR="000C3A0C">
              <w:rPr>
                <w:sz w:val="20"/>
                <w:szCs w:val="20"/>
              </w:rPr>
              <w:t xml:space="preserve"> Contract</w:t>
            </w:r>
          </w:p>
        </w:tc>
        <w:tc>
          <w:tcPr>
            <w:tcW w:w="1940" w:type="dxa"/>
          </w:tcPr>
          <w:p w14:paraId="42D22F61" w14:textId="25C6E310" w:rsidR="00D52BF3" w:rsidRDefault="000C3A0C" w:rsidP="005D6F14">
            <w:pPr>
              <w:ind w:left="0"/>
              <w:jc w:val="center"/>
              <w:rPr>
                <w:sz w:val="20"/>
                <w:szCs w:val="20"/>
              </w:rPr>
            </w:pPr>
            <w:r>
              <w:rPr>
                <w:sz w:val="20"/>
                <w:szCs w:val="20"/>
              </w:rPr>
              <w:t>NA</w:t>
            </w:r>
          </w:p>
        </w:tc>
        <w:tc>
          <w:tcPr>
            <w:tcW w:w="1680" w:type="dxa"/>
            <w:gridSpan w:val="3"/>
          </w:tcPr>
          <w:p w14:paraId="14708750" w14:textId="5E6A9DF7" w:rsidR="00D52BF3" w:rsidRDefault="000C3A0C" w:rsidP="005D6F14">
            <w:pPr>
              <w:ind w:left="0"/>
              <w:jc w:val="center"/>
              <w:rPr>
                <w:sz w:val="20"/>
                <w:szCs w:val="20"/>
              </w:rPr>
            </w:pPr>
            <w:r>
              <w:rPr>
                <w:sz w:val="20"/>
                <w:szCs w:val="20"/>
              </w:rPr>
              <w:t>NA</w:t>
            </w:r>
          </w:p>
        </w:tc>
        <w:tc>
          <w:tcPr>
            <w:tcW w:w="1876" w:type="dxa"/>
          </w:tcPr>
          <w:p w14:paraId="3C03D131" w14:textId="19E1CE40" w:rsidR="00D52BF3" w:rsidRDefault="000C3A0C" w:rsidP="005D6F14">
            <w:pPr>
              <w:ind w:left="0"/>
              <w:jc w:val="center"/>
              <w:rPr>
                <w:sz w:val="20"/>
                <w:szCs w:val="20"/>
              </w:rPr>
            </w:pPr>
            <w:r>
              <w:rPr>
                <w:sz w:val="20"/>
                <w:szCs w:val="20"/>
              </w:rPr>
              <w:t>$26,019</w:t>
            </w:r>
          </w:p>
        </w:tc>
      </w:tr>
      <w:tr w:rsidR="005D6F14" w:rsidRPr="004841F1" w14:paraId="48D3AE55" w14:textId="77777777" w:rsidTr="000C3A0C">
        <w:trPr>
          <w:trHeight w:val="332"/>
        </w:trPr>
        <w:tc>
          <w:tcPr>
            <w:tcW w:w="7228" w:type="dxa"/>
            <w:gridSpan w:val="3"/>
            <w:tcBorders>
              <w:right w:val="nil"/>
            </w:tcBorders>
            <w:vAlign w:val="center"/>
          </w:tcPr>
          <w:p w14:paraId="48D3AE51" w14:textId="77777777" w:rsidR="005D6F14" w:rsidRPr="00E647FB" w:rsidRDefault="005D6F14" w:rsidP="005D6F14">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48D3AE52" w14:textId="77777777" w:rsidR="005D6F14" w:rsidRPr="00E647FB" w:rsidRDefault="005D6F14" w:rsidP="00CA5840">
            <w:pPr>
              <w:ind w:left="0"/>
              <w:rPr>
                <w:b/>
                <w:sz w:val="20"/>
                <w:szCs w:val="20"/>
              </w:rPr>
            </w:pPr>
          </w:p>
        </w:tc>
        <w:tc>
          <w:tcPr>
            <w:tcW w:w="236" w:type="dxa"/>
            <w:tcBorders>
              <w:left w:val="nil"/>
            </w:tcBorders>
            <w:vAlign w:val="center"/>
          </w:tcPr>
          <w:p w14:paraId="48D3AE53" w14:textId="77777777" w:rsidR="005D6F14" w:rsidRPr="00E647FB" w:rsidRDefault="005D6F14" w:rsidP="00CA5840">
            <w:pPr>
              <w:ind w:left="0"/>
              <w:rPr>
                <w:b/>
                <w:sz w:val="20"/>
                <w:szCs w:val="20"/>
              </w:rPr>
            </w:pPr>
          </w:p>
        </w:tc>
        <w:tc>
          <w:tcPr>
            <w:tcW w:w="1876" w:type="dxa"/>
            <w:vAlign w:val="center"/>
          </w:tcPr>
          <w:p w14:paraId="48D3AE54" w14:textId="6AEB7A83" w:rsidR="005D6F14" w:rsidRPr="00E647FB" w:rsidRDefault="000C3A0C" w:rsidP="005D6F14">
            <w:pPr>
              <w:ind w:left="0"/>
              <w:jc w:val="center"/>
              <w:rPr>
                <w:b/>
                <w:sz w:val="20"/>
                <w:szCs w:val="20"/>
              </w:rPr>
            </w:pPr>
            <w:r>
              <w:rPr>
                <w:b/>
                <w:sz w:val="20"/>
                <w:szCs w:val="20"/>
              </w:rPr>
              <w:t>$29,747</w:t>
            </w:r>
          </w:p>
        </w:tc>
      </w:tr>
    </w:tbl>
    <w:p w14:paraId="48D3AE56" w14:textId="77777777" w:rsidR="004841F1" w:rsidRDefault="004841F1" w:rsidP="005D6F14"/>
    <w:p w14:paraId="48D3AE57" w14:textId="77777777" w:rsidR="00B12F51" w:rsidRPr="00D75750" w:rsidRDefault="00D75750" w:rsidP="00692DEB">
      <w:pPr>
        <w:pStyle w:val="Heading4"/>
      </w:pPr>
      <w:bookmarkStart w:id="22" w:name="_Toc414349691"/>
      <w:r w:rsidRPr="00D75750">
        <w:t>Explanation for Program Changes or Adjustments</w:t>
      </w:r>
      <w:bookmarkEnd w:id="22"/>
    </w:p>
    <w:p w14:paraId="48D3AE58" w14:textId="77777777" w:rsidR="00F52BCC" w:rsidRDefault="003C7C5D" w:rsidP="00692DEB">
      <w:pPr>
        <w:ind w:left="0"/>
      </w:pPr>
      <w:r>
        <w:t xml:space="preserve">This is a new </w:t>
      </w:r>
      <w:r w:rsidR="00157413">
        <w:t>information collection</w:t>
      </w:r>
      <w:r>
        <w:t>.</w:t>
      </w:r>
    </w:p>
    <w:p w14:paraId="48D3AE59" w14:textId="77777777" w:rsidR="00F52BCC" w:rsidRDefault="00F52BCC" w:rsidP="005D6F14"/>
    <w:p w14:paraId="48D3AE5A" w14:textId="77777777" w:rsidR="00B12F51" w:rsidRPr="00AB49A7" w:rsidRDefault="00616090" w:rsidP="00692DEB">
      <w:pPr>
        <w:pStyle w:val="Heading4"/>
      </w:pPr>
      <w:bookmarkStart w:id="23" w:name="_Toc414349692"/>
      <w:r w:rsidRPr="00AB49A7">
        <w:t>Plan</w:t>
      </w:r>
      <w:r w:rsidR="00D75750" w:rsidRPr="00AB49A7">
        <w:t>s for Tabulation and Publication and Project Time Schedule</w:t>
      </w:r>
      <w:bookmarkEnd w:id="23"/>
    </w:p>
    <w:p w14:paraId="48D3AE5B" w14:textId="77777777" w:rsidR="008C59E7" w:rsidRPr="000E58F5" w:rsidRDefault="003F2C21" w:rsidP="008C59E7">
      <w:pPr>
        <w:ind w:left="0"/>
        <w:rPr>
          <w:rFonts w:cs="Arial"/>
        </w:rPr>
      </w:pPr>
      <w:r>
        <w:rPr>
          <w:rFonts w:cs="Arial"/>
        </w:rPr>
        <w:t>CSTE will collect and store the data for the online assessment.  Upon completion of data collection and analysis, CSTE will share the de-identified summary data in a Microsoft Excel file with CDC.  Additionally, CSTE will share a report with CDC and members of CSTE that summarizes the results.</w:t>
      </w:r>
    </w:p>
    <w:p w14:paraId="48D3AE5C" w14:textId="77777777" w:rsidR="000058E0" w:rsidRDefault="000058E0" w:rsidP="000058E0">
      <w:pPr>
        <w:ind w:left="0"/>
        <w:rPr>
          <w:rFonts w:cs="Arial"/>
          <w:b/>
        </w:rPr>
      </w:pPr>
    </w:p>
    <w:p w14:paraId="6122C13A" w14:textId="77777777" w:rsidR="00D74071" w:rsidRDefault="00D74071">
      <w:pPr>
        <w:tabs>
          <w:tab w:val="clear" w:pos="9360"/>
        </w:tabs>
        <w:spacing w:after="200"/>
        <w:ind w:left="0"/>
        <w:rPr>
          <w:rFonts w:cs="Arial"/>
          <w:u w:val="single"/>
        </w:rPr>
      </w:pPr>
      <w:r>
        <w:rPr>
          <w:rFonts w:cs="Arial"/>
          <w:u w:val="single"/>
        </w:rPr>
        <w:br w:type="page"/>
      </w:r>
    </w:p>
    <w:p w14:paraId="48D3AE60" w14:textId="1C937CAD" w:rsidR="008C59E7" w:rsidRDefault="008C59E7" w:rsidP="008C59E7">
      <w:pPr>
        <w:ind w:left="0"/>
        <w:rPr>
          <w:rFonts w:cs="Arial"/>
          <w:u w:val="single"/>
        </w:rPr>
      </w:pPr>
      <w:r w:rsidRPr="000058E0">
        <w:rPr>
          <w:rFonts w:cs="Arial"/>
          <w:u w:val="single"/>
        </w:rPr>
        <w:t>Project Time Schedule</w:t>
      </w:r>
    </w:p>
    <w:p w14:paraId="48D3AE61" w14:textId="77777777" w:rsidR="001B40D6" w:rsidRDefault="001B40D6" w:rsidP="008C59E7">
      <w:pPr>
        <w:ind w:left="0"/>
        <w:rPr>
          <w:rFonts w:cs="Arial"/>
          <w:u w:val="single"/>
        </w:rPr>
      </w:pPr>
    </w:p>
    <w:tbl>
      <w:tblPr>
        <w:tblStyle w:val="TableGrid"/>
        <w:tblW w:w="0" w:type="auto"/>
        <w:tblLook w:val="04A0" w:firstRow="1" w:lastRow="0" w:firstColumn="1" w:lastColumn="0" w:noHBand="0" w:noVBand="1"/>
      </w:tblPr>
      <w:tblGrid>
        <w:gridCol w:w="4855"/>
        <w:gridCol w:w="4495"/>
      </w:tblGrid>
      <w:tr w:rsidR="001B40D6" w14:paraId="48D3AE64" w14:textId="77777777" w:rsidTr="001B40D6">
        <w:tc>
          <w:tcPr>
            <w:tcW w:w="4855" w:type="dxa"/>
            <w:tcBorders>
              <w:top w:val="single" w:sz="4" w:space="0" w:color="auto"/>
              <w:left w:val="single" w:sz="4" w:space="0" w:color="auto"/>
              <w:bottom w:val="single" w:sz="4" w:space="0" w:color="auto"/>
              <w:right w:val="single" w:sz="4" w:space="0" w:color="auto"/>
            </w:tcBorders>
            <w:hideMark/>
          </w:tcPr>
          <w:p w14:paraId="48D3AE62" w14:textId="77777777" w:rsidR="001B40D6" w:rsidRPr="00AB04D3" w:rsidRDefault="001B40D6" w:rsidP="001B40D6">
            <w:pPr>
              <w:ind w:left="0"/>
              <w:rPr>
                <w:rFonts w:ascii="Cambria" w:hAnsi="Cambria"/>
                <w:b/>
              </w:rPr>
            </w:pPr>
            <w:r w:rsidRPr="00AB04D3">
              <w:rPr>
                <w:rFonts w:ascii="Cambria" w:hAnsi="Cambria"/>
                <w:b/>
              </w:rPr>
              <w:t>Task</w:t>
            </w:r>
          </w:p>
        </w:tc>
        <w:tc>
          <w:tcPr>
            <w:tcW w:w="4495" w:type="dxa"/>
            <w:tcBorders>
              <w:top w:val="single" w:sz="4" w:space="0" w:color="auto"/>
              <w:left w:val="single" w:sz="4" w:space="0" w:color="auto"/>
              <w:bottom w:val="single" w:sz="4" w:space="0" w:color="auto"/>
              <w:right w:val="single" w:sz="4" w:space="0" w:color="auto"/>
            </w:tcBorders>
            <w:hideMark/>
          </w:tcPr>
          <w:p w14:paraId="48D3AE63" w14:textId="77777777" w:rsidR="001B40D6" w:rsidRDefault="001B40D6" w:rsidP="001B40D6">
            <w:pPr>
              <w:ind w:left="0"/>
              <w:rPr>
                <w:rFonts w:ascii="Cambria" w:hAnsi="Cambria"/>
                <w:b/>
              </w:rPr>
            </w:pPr>
            <w:r>
              <w:rPr>
                <w:rFonts w:ascii="Cambria" w:hAnsi="Cambria"/>
                <w:b/>
              </w:rPr>
              <w:t>Timeline</w:t>
            </w:r>
          </w:p>
        </w:tc>
      </w:tr>
      <w:tr w:rsidR="001B40D6" w14:paraId="48D3AE67" w14:textId="77777777" w:rsidTr="001B40D6">
        <w:tc>
          <w:tcPr>
            <w:tcW w:w="4855" w:type="dxa"/>
            <w:tcBorders>
              <w:top w:val="single" w:sz="4" w:space="0" w:color="auto"/>
              <w:left w:val="single" w:sz="4" w:space="0" w:color="auto"/>
              <w:bottom w:val="single" w:sz="4" w:space="0" w:color="auto"/>
              <w:right w:val="single" w:sz="4" w:space="0" w:color="auto"/>
            </w:tcBorders>
            <w:vAlign w:val="center"/>
            <w:hideMark/>
          </w:tcPr>
          <w:p w14:paraId="48D3AE65" w14:textId="77777777" w:rsidR="001B40D6" w:rsidRDefault="001B40D6" w:rsidP="001B40D6">
            <w:pPr>
              <w:ind w:left="0"/>
              <w:rPr>
                <w:rFonts w:ascii="Cambria" w:hAnsi="Cambria"/>
              </w:rPr>
            </w:pPr>
            <w:r>
              <w:rPr>
                <w:rFonts w:ascii="Cambria" w:hAnsi="Cambria"/>
              </w:rPr>
              <w:t xml:space="preserve">Obtain OMB Clearance for Information Collection </w:t>
            </w:r>
          </w:p>
        </w:tc>
        <w:tc>
          <w:tcPr>
            <w:tcW w:w="4495" w:type="dxa"/>
            <w:tcBorders>
              <w:top w:val="single" w:sz="4" w:space="0" w:color="auto"/>
              <w:left w:val="single" w:sz="4" w:space="0" w:color="auto"/>
              <w:bottom w:val="single" w:sz="4" w:space="0" w:color="auto"/>
              <w:right w:val="single" w:sz="4" w:space="0" w:color="auto"/>
            </w:tcBorders>
            <w:vAlign w:val="center"/>
          </w:tcPr>
          <w:p w14:paraId="48D3AE66" w14:textId="77777777" w:rsidR="001B40D6" w:rsidRDefault="001B40D6" w:rsidP="001B40D6">
            <w:pPr>
              <w:ind w:left="0"/>
              <w:rPr>
                <w:rFonts w:ascii="Cambria" w:hAnsi="Cambria"/>
              </w:rPr>
            </w:pPr>
            <w:r>
              <w:rPr>
                <w:rFonts w:ascii="Cambria" w:hAnsi="Cambria"/>
              </w:rPr>
              <w:t>In Process</w:t>
            </w:r>
          </w:p>
        </w:tc>
      </w:tr>
      <w:tr w:rsidR="001B40D6" w14:paraId="48D3AE6A" w14:textId="77777777" w:rsidTr="001B40D6">
        <w:tc>
          <w:tcPr>
            <w:tcW w:w="4855" w:type="dxa"/>
            <w:tcBorders>
              <w:top w:val="single" w:sz="4" w:space="0" w:color="auto"/>
              <w:left w:val="single" w:sz="4" w:space="0" w:color="auto"/>
              <w:bottom w:val="single" w:sz="4" w:space="0" w:color="auto"/>
              <w:right w:val="single" w:sz="4" w:space="0" w:color="auto"/>
            </w:tcBorders>
            <w:vAlign w:val="center"/>
            <w:hideMark/>
          </w:tcPr>
          <w:p w14:paraId="48D3AE68" w14:textId="77777777" w:rsidR="001B40D6" w:rsidRDefault="001B40D6" w:rsidP="001B40D6">
            <w:pPr>
              <w:ind w:left="0"/>
              <w:rPr>
                <w:rFonts w:ascii="Cambria" w:hAnsi="Cambria"/>
              </w:rPr>
            </w:pPr>
            <w:r w:rsidRPr="005B3089">
              <w:rPr>
                <w:rFonts w:eastAsiaTheme="majorEastAsia" w:cstheme="majorBidi"/>
              </w:rPr>
              <w:t>Conduct assessment</w:t>
            </w:r>
          </w:p>
        </w:tc>
        <w:tc>
          <w:tcPr>
            <w:tcW w:w="4495" w:type="dxa"/>
            <w:tcBorders>
              <w:top w:val="single" w:sz="4" w:space="0" w:color="auto"/>
              <w:left w:val="single" w:sz="4" w:space="0" w:color="auto"/>
              <w:bottom w:val="single" w:sz="4" w:space="0" w:color="auto"/>
              <w:right w:val="single" w:sz="4" w:space="0" w:color="auto"/>
            </w:tcBorders>
            <w:vAlign w:val="center"/>
          </w:tcPr>
          <w:p w14:paraId="48D3AE69" w14:textId="77777777" w:rsidR="001B40D6" w:rsidRDefault="001B40D6" w:rsidP="001B40D6">
            <w:pPr>
              <w:ind w:left="0"/>
              <w:rPr>
                <w:rFonts w:ascii="Cambria" w:hAnsi="Cambria"/>
              </w:rPr>
            </w:pPr>
            <w:r w:rsidRPr="005B3089">
              <w:rPr>
                <w:rFonts w:eastAsiaTheme="majorEastAsia" w:cstheme="majorBidi"/>
              </w:rPr>
              <w:t>Assessment open within 1 week of OMB approval</w:t>
            </w:r>
          </w:p>
        </w:tc>
      </w:tr>
      <w:tr w:rsidR="001B40D6" w14:paraId="48D3AE6D" w14:textId="77777777" w:rsidTr="001B40D6">
        <w:tc>
          <w:tcPr>
            <w:tcW w:w="4855" w:type="dxa"/>
            <w:tcBorders>
              <w:top w:val="single" w:sz="4" w:space="0" w:color="auto"/>
              <w:left w:val="single" w:sz="4" w:space="0" w:color="auto"/>
              <w:bottom w:val="single" w:sz="4" w:space="0" w:color="auto"/>
              <w:right w:val="single" w:sz="4" w:space="0" w:color="auto"/>
            </w:tcBorders>
            <w:vAlign w:val="center"/>
            <w:hideMark/>
          </w:tcPr>
          <w:p w14:paraId="48D3AE6B" w14:textId="77777777" w:rsidR="001B40D6" w:rsidRDefault="001B40D6" w:rsidP="001B40D6">
            <w:pPr>
              <w:ind w:left="0"/>
              <w:rPr>
                <w:rFonts w:ascii="Cambria" w:hAnsi="Cambria"/>
              </w:rPr>
            </w:pPr>
            <w:r w:rsidRPr="005B3089">
              <w:rPr>
                <w:rFonts w:eastAsiaTheme="majorEastAsia" w:cstheme="majorBidi"/>
              </w:rPr>
              <w:t>Complete assessment</w:t>
            </w:r>
          </w:p>
        </w:tc>
        <w:tc>
          <w:tcPr>
            <w:tcW w:w="4495" w:type="dxa"/>
            <w:tcBorders>
              <w:top w:val="single" w:sz="4" w:space="0" w:color="auto"/>
              <w:left w:val="single" w:sz="4" w:space="0" w:color="auto"/>
              <w:bottom w:val="single" w:sz="4" w:space="0" w:color="auto"/>
              <w:right w:val="single" w:sz="4" w:space="0" w:color="auto"/>
            </w:tcBorders>
            <w:vAlign w:val="center"/>
          </w:tcPr>
          <w:p w14:paraId="48D3AE6C" w14:textId="77777777" w:rsidR="001B40D6" w:rsidRDefault="001B40D6" w:rsidP="001B40D6">
            <w:pPr>
              <w:ind w:left="0"/>
              <w:rPr>
                <w:rFonts w:ascii="Cambria" w:hAnsi="Cambria"/>
              </w:rPr>
            </w:pPr>
            <w:r w:rsidRPr="005B3089">
              <w:rPr>
                <w:rFonts w:eastAsiaTheme="majorEastAsia" w:cstheme="majorBidi"/>
              </w:rPr>
              <w:t>Within 4 weeks of OMB approval</w:t>
            </w:r>
          </w:p>
        </w:tc>
      </w:tr>
      <w:tr w:rsidR="001B40D6" w14:paraId="48D3AE70" w14:textId="77777777" w:rsidTr="001B40D6">
        <w:tc>
          <w:tcPr>
            <w:tcW w:w="4855" w:type="dxa"/>
            <w:tcBorders>
              <w:top w:val="single" w:sz="4" w:space="0" w:color="auto"/>
              <w:left w:val="single" w:sz="4" w:space="0" w:color="auto"/>
              <w:bottom w:val="single" w:sz="4" w:space="0" w:color="auto"/>
              <w:right w:val="single" w:sz="4" w:space="0" w:color="auto"/>
            </w:tcBorders>
            <w:vAlign w:val="center"/>
            <w:hideMark/>
          </w:tcPr>
          <w:p w14:paraId="48D3AE6E" w14:textId="77777777" w:rsidR="001B40D6" w:rsidRDefault="001B40D6" w:rsidP="001B40D6">
            <w:pPr>
              <w:ind w:left="0"/>
              <w:rPr>
                <w:rFonts w:ascii="Cambria" w:hAnsi="Cambria"/>
              </w:rPr>
            </w:pPr>
            <w:r w:rsidRPr="005B3089">
              <w:rPr>
                <w:rFonts w:eastAsiaTheme="majorEastAsia" w:cstheme="majorBidi"/>
              </w:rPr>
              <w:t>Prepare reports</w:t>
            </w:r>
          </w:p>
        </w:tc>
        <w:tc>
          <w:tcPr>
            <w:tcW w:w="4495" w:type="dxa"/>
            <w:tcBorders>
              <w:top w:val="single" w:sz="4" w:space="0" w:color="auto"/>
              <w:left w:val="single" w:sz="4" w:space="0" w:color="auto"/>
              <w:bottom w:val="single" w:sz="4" w:space="0" w:color="auto"/>
              <w:right w:val="single" w:sz="4" w:space="0" w:color="auto"/>
            </w:tcBorders>
            <w:vAlign w:val="center"/>
          </w:tcPr>
          <w:p w14:paraId="48D3AE6F" w14:textId="77777777" w:rsidR="001B40D6" w:rsidRDefault="001B40D6" w:rsidP="001B40D6">
            <w:pPr>
              <w:ind w:left="0"/>
              <w:rPr>
                <w:rFonts w:ascii="Cambria" w:hAnsi="Cambria"/>
              </w:rPr>
            </w:pPr>
            <w:r w:rsidRPr="005B3089">
              <w:rPr>
                <w:rFonts w:eastAsiaTheme="majorEastAsia" w:cstheme="majorBidi"/>
              </w:rPr>
              <w:t>Within 2 weeks of completing assessment</w:t>
            </w:r>
          </w:p>
        </w:tc>
      </w:tr>
      <w:tr w:rsidR="001B40D6" w14:paraId="48D3AE73" w14:textId="77777777" w:rsidTr="001B40D6">
        <w:tc>
          <w:tcPr>
            <w:tcW w:w="4855" w:type="dxa"/>
            <w:tcBorders>
              <w:top w:val="single" w:sz="4" w:space="0" w:color="auto"/>
              <w:left w:val="single" w:sz="4" w:space="0" w:color="auto"/>
              <w:bottom w:val="single" w:sz="4" w:space="0" w:color="auto"/>
              <w:right w:val="single" w:sz="4" w:space="0" w:color="auto"/>
            </w:tcBorders>
            <w:vAlign w:val="center"/>
            <w:hideMark/>
          </w:tcPr>
          <w:p w14:paraId="48D3AE71" w14:textId="77777777" w:rsidR="001B40D6" w:rsidRDefault="001B40D6" w:rsidP="001B40D6">
            <w:pPr>
              <w:ind w:left="0"/>
              <w:rPr>
                <w:rFonts w:ascii="Cambria" w:hAnsi="Cambria"/>
              </w:rPr>
            </w:pPr>
            <w:r w:rsidRPr="005B3089">
              <w:rPr>
                <w:rFonts w:eastAsiaTheme="majorEastAsia" w:cstheme="majorBidi"/>
              </w:rPr>
              <w:t>Disseminate results/reports</w:t>
            </w:r>
          </w:p>
        </w:tc>
        <w:tc>
          <w:tcPr>
            <w:tcW w:w="4495" w:type="dxa"/>
            <w:tcBorders>
              <w:top w:val="single" w:sz="4" w:space="0" w:color="auto"/>
              <w:left w:val="single" w:sz="4" w:space="0" w:color="auto"/>
              <w:bottom w:val="single" w:sz="4" w:space="0" w:color="auto"/>
              <w:right w:val="single" w:sz="4" w:space="0" w:color="auto"/>
            </w:tcBorders>
            <w:vAlign w:val="center"/>
          </w:tcPr>
          <w:p w14:paraId="48D3AE72" w14:textId="337B8BB2" w:rsidR="001B40D6" w:rsidRDefault="001B40D6" w:rsidP="001B40D6">
            <w:pPr>
              <w:ind w:left="0"/>
              <w:rPr>
                <w:rFonts w:ascii="Cambria" w:hAnsi="Cambria"/>
              </w:rPr>
            </w:pPr>
            <w:r w:rsidRPr="005B3089">
              <w:rPr>
                <w:rFonts w:eastAsiaTheme="majorEastAsia" w:cstheme="majorBidi"/>
              </w:rPr>
              <w:t>Within 6 week</w:t>
            </w:r>
            <w:r w:rsidR="00800CFF">
              <w:rPr>
                <w:rFonts w:eastAsiaTheme="majorEastAsia" w:cstheme="majorBidi"/>
              </w:rPr>
              <w:t>s</w:t>
            </w:r>
            <w:r w:rsidRPr="005B3089">
              <w:rPr>
                <w:rFonts w:eastAsiaTheme="majorEastAsia" w:cstheme="majorBidi"/>
              </w:rPr>
              <w:t xml:space="preserve"> of completing assessment</w:t>
            </w:r>
          </w:p>
        </w:tc>
      </w:tr>
    </w:tbl>
    <w:p w14:paraId="48D3AE74" w14:textId="77777777" w:rsidR="000A71DF" w:rsidRDefault="000A71DF" w:rsidP="005D6F14"/>
    <w:p w14:paraId="48D3AE75" w14:textId="77777777" w:rsidR="00B12F51" w:rsidRPr="00D75750" w:rsidRDefault="00D75750" w:rsidP="00692DEB">
      <w:pPr>
        <w:pStyle w:val="Heading4"/>
      </w:pPr>
      <w:bookmarkStart w:id="24" w:name="_Toc414349693"/>
      <w:r w:rsidRPr="00D75750">
        <w:t xml:space="preserve">Reason(s) Display of OMB Expiration </w:t>
      </w:r>
      <w:r>
        <w:t xml:space="preserve">Date </w:t>
      </w:r>
      <w:r w:rsidRPr="00D75750">
        <w:t>is Inappropriate</w:t>
      </w:r>
      <w:bookmarkEnd w:id="24"/>
    </w:p>
    <w:p w14:paraId="48D3AE76" w14:textId="77777777" w:rsidR="00F52BCC" w:rsidRDefault="00180D45" w:rsidP="00692DEB">
      <w:pPr>
        <w:ind w:left="0"/>
      </w:pPr>
      <w:r>
        <w:t>We are requesting no exemption.</w:t>
      </w:r>
    </w:p>
    <w:p w14:paraId="48D3AE77" w14:textId="77777777" w:rsidR="00F52BCC" w:rsidRDefault="00F52BCC" w:rsidP="005D6F14"/>
    <w:p w14:paraId="48D3AE78" w14:textId="77777777" w:rsidR="00B12F51" w:rsidRPr="00D26A64" w:rsidRDefault="00B12F51" w:rsidP="00692DEB">
      <w:pPr>
        <w:pStyle w:val="Heading4"/>
      </w:pPr>
      <w:bookmarkStart w:id="25" w:name="_Toc414349694"/>
      <w:r w:rsidRPr="00D26A64">
        <w:t>Exceptions to Certification for Paperwork Reduction Act Submissions</w:t>
      </w:r>
      <w:bookmarkEnd w:id="25"/>
    </w:p>
    <w:p w14:paraId="48D3AE79" w14:textId="77777777" w:rsidR="00F52BCC" w:rsidRDefault="0031279F" w:rsidP="00692DEB">
      <w:pPr>
        <w:ind w:left="0"/>
      </w:pPr>
      <w:r>
        <w:t>There are no exceptions to the certification.</w:t>
      </w:r>
      <w:r w:rsidR="00180D45">
        <w:t xml:space="preserve">  These activities comply with the requirements in 5 CFR 1320.9.</w:t>
      </w:r>
    </w:p>
    <w:p w14:paraId="48D3AE7A" w14:textId="5147FE27" w:rsidR="00C40A9C" w:rsidRDefault="00C40A9C">
      <w:pPr>
        <w:tabs>
          <w:tab w:val="clear" w:pos="9360"/>
        </w:tabs>
        <w:spacing w:after="200"/>
        <w:ind w:left="0"/>
      </w:pPr>
    </w:p>
    <w:p w14:paraId="48D3AE7B" w14:textId="77777777" w:rsidR="00A36419" w:rsidRDefault="00A36419" w:rsidP="008C59E7">
      <w:pPr>
        <w:pStyle w:val="Heading3"/>
        <w:ind w:left="0"/>
      </w:pPr>
      <w:bookmarkStart w:id="26" w:name="_Toc414349695"/>
      <w:r>
        <w:t>LIST OF ATTACHMENTS</w:t>
      </w:r>
      <w:r w:rsidR="00A33E90">
        <w:t xml:space="preserve"> – Section A</w:t>
      </w:r>
      <w:bookmarkEnd w:id="26"/>
    </w:p>
    <w:p w14:paraId="48D3AE7C" w14:textId="77777777" w:rsidR="000058E0" w:rsidRDefault="000058E0" w:rsidP="008C59E7">
      <w:pPr>
        <w:ind w:left="0"/>
      </w:pPr>
      <w:r w:rsidRPr="00711BFA">
        <w:t>Note: Attachments are included as separate files as instructed.</w:t>
      </w:r>
    </w:p>
    <w:p w14:paraId="48D3AE7D" w14:textId="0D82CB25" w:rsidR="000E6577" w:rsidRDefault="00C40A9C" w:rsidP="00CC7CB9">
      <w:pPr>
        <w:pStyle w:val="ListParagraph"/>
        <w:numPr>
          <w:ilvl w:val="0"/>
          <w:numId w:val="41"/>
        </w:numPr>
      </w:pPr>
      <w:r>
        <w:t xml:space="preserve">CSTEPW Instrument: </w:t>
      </w:r>
      <w:r w:rsidR="00C620B9">
        <w:t xml:space="preserve">Word </w:t>
      </w:r>
      <w:r>
        <w:t>Version</w:t>
      </w:r>
    </w:p>
    <w:p w14:paraId="48D3AE7E" w14:textId="6DB7F2AD" w:rsidR="00C40A9C" w:rsidRDefault="00C40A9C" w:rsidP="00CC7CB9">
      <w:pPr>
        <w:pStyle w:val="ListParagraph"/>
        <w:numPr>
          <w:ilvl w:val="0"/>
          <w:numId w:val="41"/>
        </w:numPr>
      </w:pPr>
      <w:r>
        <w:t>CSTEPW Instrument: Web Version</w:t>
      </w:r>
    </w:p>
    <w:p w14:paraId="48D3AE7F" w14:textId="77777777" w:rsidR="00CC7188" w:rsidRDefault="00CC7188" w:rsidP="005D6F14"/>
    <w:p w14:paraId="48D3AE80" w14:textId="77777777" w:rsidR="00CC7188" w:rsidRPr="00052946" w:rsidRDefault="00CC7188" w:rsidP="00052946">
      <w:pPr>
        <w:pStyle w:val="Heading3"/>
        <w:ind w:left="0"/>
      </w:pPr>
      <w:bookmarkStart w:id="27" w:name="_Toc414349696"/>
      <w:r w:rsidRPr="00052946">
        <w:t>REFERENCE LIST</w:t>
      </w:r>
      <w:bookmarkEnd w:id="27"/>
      <w:r w:rsidRPr="00052946">
        <w:t xml:space="preserve"> </w:t>
      </w:r>
    </w:p>
    <w:p w14:paraId="48D3AE81" w14:textId="77777777" w:rsidR="000058E0" w:rsidRDefault="000058E0" w:rsidP="008C59E7">
      <w:pPr>
        <w:pStyle w:val="ListParagraph"/>
        <w:numPr>
          <w:ilvl w:val="2"/>
          <w:numId w:val="2"/>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r:id="rId15" w:history="1">
        <w:r w:rsidR="0072561C" w:rsidRPr="00E552C4">
          <w:rPr>
            <w:rStyle w:val="Hyperlink"/>
          </w:rPr>
          <w:t>http://www.cdc.gov/nphpsp/essentialservices.html. Accessed on 8/14/14</w:t>
        </w:r>
      </w:hyperlink>
      <w:r w:rsidRPr="008C59E7">
        <w:t>.</w:t>
      </w:r>
    </w:p>
    <w:p w14:paraId="48D3AE82" w14:textId="77777777" w:rsidR="0072561C" w:rsidRPr="0072561C" w:rsidRDefault="0072561C" w:rsidP="0072561C">
      <w:pPr>
        <w:pStyle w:val="ListParagraph"/>
        <w:numPr>
          <w:ilvl w:val="2"/>
          <w:numId w:val="2"/>
        </w:numPr>
        <w:tabs>
          <w:tab w:val="clear" w:pos="9360"/>
        </w:tabs>
        <w:spacing w:line="240" w:lineRule="auto"/>
        <w:ind w:hanging="360"/>
        <w:rPr>
          <w:noProof/>
        </w:rPr>
      </w:pPr>
      <w:r w:rsidRPr="0072561C">
        <w:rPr>
          <w:noProof/>
        </w:rPr>
        <w:t xml:space="preserve">Kenny, J.F., N.L. Barber, and S.S. Hutson. </w:t>
      </w:r>
      <w:r w:rsidRPr="0072561C">
        <w:rPr>
          <w:i/>
          <w:noProof/>
        </w:rPr>
        <w:t>Estimated use of water in the United States in 2005.</w:t>
      </w:r>
      <w:r w:rsidRPr="0072561C">
        <w:rPr>
          <w:noProof/>
        </w:rPr>
        <w:t xml:space="preserve"> U.S. Geological Survey Circular  2009  [cited 2013 June 17]; Available from: </w:t>
      </w:r>
      <w:hyperlink r:id="rId16" w:history="1">
        <w:r w:rsidRPr="0072561C">
          <w:rPr>
            <w:rStyle w:val="Hyperlink"/>
            <w:noProof/>
          </w:rPr>
          <w:t>http://pubs.usgs.gov/circ/1344/pdf/c1344.pdf</w:t>
        </w:r>
      </w:hyperlink>
      <w:r>
        <w:rPr>
          <w:noProof/>
        </w:rPr>
        <w:t xml:space="preserve">. </w:t>
      </w:r>
    </w:p>
    <w:p w14:paraId="48D3AE83" w14:textId="77777777" w:rsidR="0072561C" w:rsidRPr="0072561C" w:rsidRDefault="0072561C" w:rsidP="0072561C">
      <w:pPr>
        <w:pStyle w:val="ListParagraph"/>
        <w:numPr>
          <w:ilvl w:val="2"/>
          <w:numId w:val="2"/>
        </w:numPr>
        <w:tabs>
          <w:tab w:val="clear" w:pos="9360"/>
        </w:tabs>
        <w:spacing w:line="240" w:lineRule="auto"/>
        <w:ind w:hanging="360"/>
        <w:rPr>
          <w:noProof/>
        </w:rPr>
      </w:pPr>
      <w:r w:rsidRPr="0072561C">
        <w:rPr>
          <w:noProof/>
        </w:rPr>
        <w:t xml:space="preserve">DeSimone, L.A., P.A. Hamilton, and R.J. Gilliom, </w:t>
      </w:r>
      <w:r w:rsidRPr="0072561C">
        <w:rPr>
          <w:i/>
          <w:noProof/>
        </w:rPr>
        <w:t>The quality of our nations waters - Quality of water from domestic wells in principal aquifers of the United States, 1991-2004 - Overview of major findings: U.S. Geological Survey Circular 1332.</w:t>
      </w:r>
      <w:r w:rsidRPr="0072561C">
        <w:rPr>
          <w:noProof/>
        </w:rPr>
        <w:t xml:space="preserve"> 2009: p. 48.</w:t>
      </w:r>
    </w:p>
    <w:p w14:paraId="48D3AE84" w14:textId="77777777" w:rsidR="00FF6D7C" w:rsidRPr="00FF6D7C" w:rsidRDefault="00FF6D7C" w:rsidP="00FF6D7C">
      <w:pPr>
        <w:pStyle w:val="ListParagraph"/>
        <w:numPr>
          <w:ilvl w:val="2"/>
          <w:numId w:val="2"/>
        </w:numPr>
        <w:tabs>
          <w:tab w:val="clear" w:pos="9360"/>
        </w:tabs>
        <w:spacing w:line="240" w:lineRule="auto"/>
        <w:ind w:hanging="360"/>
        <w:rPr>
          <w:noProof/>
        </w:rPr>
      </w:pPr>
      <w:r w:rsidRPr="00FF6D7C">
        <w:rPr>
          <w:noProof/>
        </w:rPr>
        <w:t xml:space="preserve">Kreutzwiser, R., et al., Understanding stewardship behavior: Factors facilitating and constraining private water well stewardship. </w:t>
      </w:r>
      <w:r w:rsidRPr="00C54AAE">
        <w:rPr>
          <w:i/>
          <w:noProof/>
        </w:rPr>
        <w:t>Journal of Environmental Management</w:t>
      </w:r>
      <w:r w:rsidRPr="00FF6D7C">
        <w:rPr>
          <w:noProof/>
        </w:rPr>
        <w:t>, 2011. 92: p. 11.</w:t>
      </w:r>
    </w:p>
    <w:p w14:paraId="48D3AE85" w14:textId="77777777" w:rsidR="00FF6D7C" w:rsidRPr="00FF6D7C" w:rsidRDefault="00FF6D7C" w:rsidP="00FF6D7C">
      <w:pPr>
        <w:pStyle w:val="ListParagraph"/>
        <w:numPr>
          <w:ilvl w:val="2"/>
          <w:numId w:val="2"/>
        </w:numPr>
        <w:tabs>
          <w:tab w:val="clear" w:pos="9360"/>
        </w:tabs>
        <w:spacing w:line="240" w:lineRule="auto"/>
        <w:ind w:hanging="360"/>
        <w:rPr>
          <w:noProof/>
        </w:rPr>
      </w:pPr>
      <w:bookmarkStart w:id="28" w:name="_ENREF_6"/>
      <w:r w:rsidRPr="00FF6D7C">
        <w:rPr>
          <w:noProof/>
        </w:rPr>
        <w:t>Liukkonen, B., L. Severtson, and R. Kline-Robach, Social Dimensions of Private Well Testing: Why Don't People Test their Water? 2008.</w:t>
      </w:r>
      <w:bookmarkEnd w:id="28"/>
    </w:p>
    <w:p w14:paraId="48D3AE86" w14:textId="77777777" w:rsidR="00FF6D7C" w:rsidRPr="00FF6D7C" w:rsidRDefault="00FF6D7C" w:rsidP="00FF6D7C">
      <w:pPr>
        <w:pStyle w:val="ListParagraph"/>
        <w:numPr>
          <w:ilvl w:val="2"/>
          <w:numId w:val="2"/>
        </w:numPr>
        <w:tabs>
          <w:tab w:val="clear" w:pos="9360"/>
        </w:tabs>
        <w:spacing w:line="240" w:lineRule="auto"/>
        <w:ind w:hanging="360"/>
        <w:rPr>
          <w:noProof/>
        </w:rPr>
      </w:pPr>
      <w:bookmarkStart w:id="29" w:name="_ENREF_7"/>
      <w:r w:rsidRPr="00FF6D7C">
        <w:rPr>
          <w:noProof/>
        </w:rPr>
        <w:t>Centers for Disease Control and Prevention, N.C.f.E.H., Division of Environmental Hazards and Health Effects, Health Studies Branch, Impact of Drought Conditions on Private Well Owners - Arkansas, Indiana, Oklahoma, in Epi Aid Trip Report. 2013.</w:t>
      </w:r>
      <w:bookmarkEnd w:id="29"/>
    </w:p>
    <w:p w14:paraId="48D3AE87" w14:textId="77777777" w:rsidR="00FF6D7C" w:rsidRPr="00FF6D7C" w:rsidRDefault="00FF6D7C" w:rsidP="00FF6D7C">
      <w:pPr>
        <w:pStyle w:val="ListParagraph"/>
        <w:numPr>
          <w:ilvl w:val="2"/>
          <w:numId w:val="2"/>
        </w:numPr>
        <w:tabs>
          <w:tab w:val="clear" w:pos="9360"/>
        </w:tabs>
        <w:spacing w:line="240" w:lineRule="auto"/>
        <w:ind w:hanging="360"/>
        <w:rPr>
          <w:noProof/>
        </w:rPr>
      </w:pPr>
      <w:bookmarkStart w:id="30" w:name="_ENREF_8"/>
      <w:r w:rsidRPr="00FF6D7C">
        <w:rPr>
          <w:noProof/>
        </w:rPr>
        <w:t>Jones, A.Q., C.E. Dewey, and K. Dore, Public perceptions of drinking water: a postal survey of residents with private water supplies. BioMed Central Public Health, 2006. 6(94).</w:t>
      </w:r>
      <w:bookmarkEnd w:id="30"/>
    </w:p>
    <w:p w14:paraId="48D3AE88" w14:textId="77777777" w:rsidR="00FF6D7C" w:rsidRPr="00FF6D7C" w:rsidRDefault="00FF6D7C" w:rsidP="00FF6D7C">
      <w:pPr>
        <w:pStyle w:val="ListParagraph"/>
        <w:numPr>
          <w:ilvl w:val="2"/>
          <w:numId w:val="2"/>
        </w:numPr>
        <w:tabs>
          <w:tab w:val="clear" w:pos="9360"/>
        </w:tabs>
        <w:spacing w:line="240" w:lineRule="auto"/>
        <w:ind w:hanging="360"/>
        <w:rPr>
          <w:noProof/>
        </w:rPr>
      </w:pPr>
      <w:bookmarkStart w:id="31" w:name="_ENREF_9"/>
      <w:r w:rsidRPr="00FF6D7C">
        <w:rPr>
          <w:noProof/>
        </w:rPr>
        <w:t xml:space="preserve">Jones, A.Q., et al., Public perception of drinking water from private water supplies: focus group analyses. </w:t>
      </w:r>
      <w:r w:rsidRPr="00C54AAE">
        <w:rPr>
          <w:i/>
          <w:noProof/>
        </w:rPr>
        <w:t>BioMed Central Public Health</w:t>
      </w:r>
      <w:r w:rsidRPr="00FF6D7C">
        <w:rPr>
          <w:noProof/>
        </w:rPr>
        <w:t>, 2005. 5(129).</w:t>
      </w:r>
      <w:bookmarkEnd w:id="31"/>
    </w:p>
    <w:p w14:paraId="48D3AE89" w14:textId="77777777" w:rsidR="008A6211" w:rsidRPr="008A6211" w:rsidRDefault="008A6211" w:rsidP="008A6211">
      <w:pPr>
        <w:pStyle w:val="ListParagraph"/>
        <w:numPr>
          <w:ilvl w:val="2"/>
          <w:numId w:val="2"/>
        </w:numPr>
        <w:tabs>
          <w:tab w:val="clear" w:pos="9360"/>
        </w:tabs>
        <w:spacing w:line="240" w:lineRule="auto"/>
        <w:ind w:hanging="360"/>
        <w:rPr>
          <w:rFonts w:eastAsia="Times New Roman" w:cs="Courier New"/>
          <w:color w:val="000000"/>
        </w:rPr>
      </w:pPr>
      <w:r>
        <w:rPr>
          <w:rFonts w:eastAsia="Times New Roman" w:cs="Courier New"/>
          <w:color w:val="000000"/>
        </w:rPr>
        <w:t>F</w:t>
      </w:r>
      <w:r w:rsidRPr="008A6211">
        <w:rPr>
          <w:rFonts w:eastAsia="Times New Roman" w:cs="Courier New"/>
          <w:color w:val="000000"/>
        </w:rPr>
        <w:t>lanagan</w:t>
      </w:r>
      <w:r>
        <w:rPr>
          <w:rFonts w:eastAsia="Times New Roman" w:cs="Courier New"/>
          <w:color w:val="000000"/>
        </w:rPr>
        <w:t>, S.V.</w:t>
      </w:r>
      <w:r w:rsidRPr="008A6211">
        <w:rPr>
          <w:rFonts w:eastAsia="Times New Roman" w:cs="Courier New"/>
          <w:color w:val="000000"/>
        </w:rPr>
        <w:t>, Marvinney</w:t>
      </w:r>
      <w:r>
        <w:rPr>
          <w:rFonts w:eastAsia="Times New Roman" w:cs="Courier New"/>
          <w:color w:val="000000"/>
        </w:rPr>
        <w:t>, R.G.</w:t>
      </w:r>
      <w:r w:rsidRPr="008A6211">
        <w:rPr>
          <w:rFonts w:eastAsia="Times New Roman" w:cs="Courier New"/>
          <w:color w:val="000000"/>
        </w:rPr>
        <w:t xml:space="preserve">, </w:t>
      </w:r>
      <w:r w:rsidR="008D5363">
        <w:rPr>
          <w:rFonts w:eastAsia="Times New Roman" w:cs="Courier New"/>
          <w:color w:val="000000"/>
        </w:rPr>
        <w:t xml:space="preserve">and </w:t>
      </w:r>
      <w:r>
        <w:rPr>
          <w:rFonts w:eastAsia="Times New Roman" w:cs="Courier New"/>
          <w:color w:val="000000"/>
        </w:rPr>
        <w:t>Zheng, Y.</w:t>
      </w:r>
      <w:r w:rsidRPr="008A6211">
        <w:rPr>
          <w:rFonts w:eastAsia="Times New Roman" w:cs="Courier New"/>
          <w:color w:val="000000"/>
        </w:rPr>
        <w:t xml:space="preserve"> Influences on domestic well water testing behavior in a Central Maine area with frequent</w:t>
      </w:r>
      <w:r>
        <w:rPr>
          <w:rFonts w:eastAsia="Times New Roman" w:cs="Courier New"/>
          <w:color w:val="000000"/>
        </w:rPr>
        <w:t xml:space="preserve"> groundwater arsenic occurrence.</w:t>
      </w:r>
      <w:r w:rsidRPr="008A6211">
        <w:rPr>
          <w:rFonts w:eastAsia="Times New Roman" w:cs="Courier New"/>
          <w:color w:val="000000"/>
        </w:rPr>
        <w:t xml:space="preserve"> </w:t>
      </w:r>
      <w:r w:rsidRPr="00C54AAE">
        <w:rPr>
          <w:rFonts w:eastAsia="Times New Roman" w:cs="Courier New"/>
          <w:i/>
          <w:color w:val="000000"/>
        </w:rPr>
        <w:t>Science of The Total Environment</w:t>
      </w:r>
      <w:r w:rsidRPr="008A6211">
        <w:rPr>
          <w:rFonts w:eastAsia="Times New Roman" w:cs="Courier New"/>
          <w:color w:val="000000"/>
        </w:rPr>
        <w:t>, Available online 26 May 2014,</w:t>
      </w:r>
      <w:r w:rsidR="008D5363">
        <w:rPr>
          <w:rFonts w:eastAsia="Times New Roman" w:cs="Courier New"/>
          <w:color w:val="000000"/>
        </w:rPr>
        <w:t xml:space="preserve"> </w:t>
      </w:r>
      <w:r w:rsidRPr="008A6211">
        <w:rPr>
          <w:rFonts w:eastAsia="Times New Roman" w:cs="Courier New"/>
          <w:color w:val="000000"/>
        </w:rPr>
        <w:t>http://www.sciencedirect.com/scienc</w:t>
      </w:r>
      <w:r w:rsidR="008D5363">
        <w:rPr>
          <w:rFonts w:eastAsia="Times New Roman" w:cs="Courier New"/>
          <w:color w:val="000000"/>
        </w:rPr>
        <w:t>e/article/pii/S0048969714006755.</w:t>
      </w:r>
    </w:p>
    <w:p w14:paraId="48D3AE8A" w14:textId="77777777" w:rsidR="0072561C" w:rsidRPr="00586569" w:rsidRDefault="00C54AAE" w:rsidP="00C54AAE">
      <w:pPr>
        <w:pStyle w:val="ListParagraph"/>
        <w:numPr>
          <w:ilvl w:val="2"/>
          <w:numId w:val="2"/>
        </w:numPr>
        <w:tabs>
          <w:tab w:val="clear" w:pos="9360"/>
        </w:tabs>
        <w:spacing w:line="240" w:lineRule="auto"/>
        <w:ind w:hanging="360"/>
        <w:rPr>
          <w:noProof/>
        </w:rPr>
      </w:pPr>
      <w:r w:rsidRPr="00586569">
        <w:rPr>
          <w:rFonts w:cs="Arial"/>
          <w:shd w:val="clear" w:color="auto" w:fill="FFFFFF"/>
        </w:rPr>
        <w:t>Knobeloch L, Salna B, Hogan A, Postle J, Anderson H. Blue babies and nitrate-contaminated well water.</w:t>
      </w:r>
      <w:r w:rsidRPr="00586569">
        <w:rPr>
          <w:rStyle w:val="apple-converted-space"/>
          <w:rFonts w:cs="Arial"/>
          <w:shd w:val="clear" w:color="auto" w:fill="FFFFFF"/>
        </w:rPr>
        <w:t> </w:t>
      </w:r>
      <w:r w:rsidRPr="00586569">
        <w:rPr>
          <w:rFonts w:cs="Arial"/>
          <w:i/>
          <w:iCs/>
          <w:shd w:val="clear" w:color="auto" w:fill="FFFFFF"/>
        </w:rPr>
        <w:t xml:space="preserve">Environmental Health Perspectives. </w:t>
      </w:r>
      <w:r w:rsidRPr="00586569">
        <w:rPr>
          <w:rFonts w:cs="Arial"/>
          <w:shd w:val="clear" w:color="auto" w:fill="FFFFFF"/>
        </w:rPr>
        <w:t>2000; 108(7): 675-678.</w:t>
      </w:r>
    </w:p>
    <w:p w14:paraId="48D3AE8B" w14:textId="77777777" w:rsidR="00885353" w:rsidRDefault="00885353" w:rsidP="00885353">
      <w:pPr>
        <w:pStyle w:val="ListParagraph"/>
        <w:numPr>
          <w:ilvl w:val="2"/>
          <w:numId w:val="2"/>
        </w:numPr>
        <w:tabs>
          <w:tab w:val="clear" w:pos="9360"/>
        </w:tabs>
        <w:spacing w:line="240" w:lineRule="auto"/>
        <w:ind w:hanging="360"/>
        <w:rPr>
          <w:noProof/>
        </w:rPr>
      </w:pPr>
      <w:r w:rsidRPr="00586569">
        <w:rPr>
          <w:noProof/>
        </w:rPr>
        <w:t xml:space="preserve">Borchardt, M. A., Bertz, P. D., Spencer, S. K. </w:t>
      </w:r>
      <w:r w:rsidR="00586569">
        <w:rPr>
          <w:noProof/>
        </w:rPr>
        <w:t>and</w:t>
      </w:r>
      <w:r w:rsidRPr="00586569">
        <w:rPr>
          <w:noProof/>
        </w:rPr>
        <w:t xml:space="preserve"> Battigelli, D. A.</w:t>
      </w:r>
      <w:r w:rsidR="00586569">
        <w:rPr>
          <w:noProof/>
        </w:rPr>
        <w:t xml:space="preserve"> </w:t>
      </w:r>
      <w:r w:rsidRPr="00586569">
        <w:rPr>
          <w:noProof/>
        </w:rPr>
        <w:t>Incidence of enteric viruses in groundwater from</w:t>
      </w:r>
      <w:r w:rsidR="00586569">
        <w:rPr>
          <w:noProof/>
        </w:rPr>
        <w:t xml:space="preserve"> </w:t>
      </w:r>
      <w:r w:rsidRPr="00586569">
        <w:rPr>
          <w:noProof/>
        </w:rPr>
        <w:t xml:space="preserve">household wells in Wisconsin. </w:t>
      </w:r>
      <w:r w:rsidRPr="00586569">
        <w:rPr>
          <w:i/>
          <w:noProof/>
        </w:rPr>
        <w:t>Applied and Environmental</w:t>
      </w:r>
      <w:r w:rsidR="00586569" w:rsidRPr="00586569">
        <w:rPr>
          <w:i/>
          <w:noProof/>
        </w:rPr>
        <w:t xml:space="preserve"> </w:t>
      </w:r>
      <w:r w:rsidRPr="00586569">
        <w:rPr>
          <w:i/>
          <w:noProof/>
        </w:rPr>
        <w:t>Microbiology</w:t>
      </w:r>
      <w:r w:rsidR="00586569">
        <w:rPr>
          <w:noProof/>
        </w:rPr>
        <w:t>. 2003;</w:t>
      </w:r>
      <w:r w:rsidRPr="00586569">
        <w:rPr>
          <w:noProof/>
        </w:rPr>
        <w:t xml:space="preserve"> 69, 1172–1180.</w:t>
      </w:r>
    </w:p>
    <w:p w14:paraId="48D3AE8C" w14:textId="77777777" w:rsidR="00586569" w:rsidRDefault="00586569" w:rsidP="00885353">
      <w:pPr>
        <w:pStyle w:val="ListParagraph"/>
        <w:numPr>
          <w:ilvl w:val="2"/>
          <w:numId w:val="2"/>
        </w:numPr>
        <w:tabs>
          <w:tab w:val="clear" w:pos="9360"/>
        </w:tabs>
        <w:spacing w:line="240" w:lineRule="auto"/>
        <w:ind w:hanging="360"/>
        <w:rPr>
          <w:noProof/>
        </w:rPr>
      </w:pPr>
      <w:r w:rsidRPr="00586569">
        <w:rPr>
          <w:noProof/>
        </w:rPr>
        <w:t>Allevi, R., Krometis, L., Hagedorn, C., Benha</w:t>
      </w:r>
      <w:r w:rsidR="000222B9">
        <w:rPr>
          <w:noProof/>
        </w:rPr>
        <w:t>m, B., Lawrence, A., Ling, E., and Ziegler, P</w:t>
      </w:r>
      <w:r w:rsidRPr="00586569">
        <w:rPr>
          <w:noProof/>
        </w:rPr>
        <w:t>. Quantitative analysis of microbial contamination in private drinking water supply systems. </w:t>
      </w:r>
      <w:r w:rsidR="000222B9">
        <w:rPr>
          <w:i/>
          <w:iCs/>
          <w:noProof/>
        </w:rPr>
        <w:t xml:space="preserve">Journal of Water and Health. </w:t>
      </w:r>
      <w:r w:rsidR="000222B9">
        <w:rPr>
          <w:iCs/>
          <w:noProof/>
        </w:rPr>
        <w:t>2013; 11(2),</w:t>
      </w:r>
      <w:r w:rsidRPr="00586569">
        <w:rPr>
          <w:noProof/>
        </w:rPr>
        <w:t> </w:t>
      </w:r>
      <w:r w:rsidR="000222B9">
        <w:rPr>
          <w:noProof/>
        </w:rPr>
        <w:t>244-55</w:t>
      </w:r>
      <w:r w:rsidRPr="00586569">
        <w:rPr>
          <w:noProof/>
        </w:rPr>
        <w:t>.</w:t>
      </w:r>
    </w:p>
    <w:p w14:paraId="48D3AE8D" w14:textId="77777777" w:rsidR="002563C7" w:rsidRPr="002563C7" w:rsidRDefault="002563C7" w:rsidP="00885353">
      <w:pPr>
        <w:pStyle w:val="ListParagraph"/>
        <w:numPr>
          <w:ilvl w:val="2"/>
          <w:numId w:val="2"/>
        </w:numPr>
        <w:tabs>
          <w:tab w:val="clear" w:pos="9360"/>
        </w:tabs>
        <w:spacing w:line="240" w:lineRule="auto"/>
        <w:ind w:hanging="360"/>
        <w:rPr>
          <w:noProof/>
        </w:rPr>
      </w:pPr>
      <w:r w:rsidRPr="002563C7">
        <w:rPr>
          <w:shd w:val="clear" w:color="auto" w:fill="FFFFFF"/>
        </w:rPr>
        <w:t>Sanders, A., Messier, K., Shehee, M., Rudo, K., Serre, M., and Fry, R. Arsenic in North Carolina: Public Health Implications.</w:t>
      </w:r>
      <w:r w:rsidRPr="002563C7">
        <w:rPr>
          <w:rStyle w:val="apple-converted-space"/>
          <w:shd w:val="clear" w:color="auto" w:fill="FFFFFF"/>
        </w:rPr>
        <w:t> </w:t>
      </w:r>
      <w:r w:rsidRPr="002563C7">
        <w:rPr>
          <w:i/>
          <w:iCs/>
          <w:shd w:val="clear" w:color="auto" w:fill="FFFFFF"/>
        </w:rPr>
        <w:t>Environment International.</w:t>
      </w:r>
      <w:r w:rsidRPr="002563C7">
        <w:rPr>
          <w:rFonts w:cs="Arial"/>
          <w:shd w:val="clear" w:color="auto" w:fill="FFFFFF"/>
        </w:rPr>
        <w:t xml:space="preserve"> 2012 Jan;</w:t>
      </w:r>
      <w:r>
        <w:rPr>
          <w:rFonts w:cs="Arial"/>
          <w:shd w:val="clear" w:color="auto" w:fill="FFFFFF"/>
        </w:rPr>
        <w:t xml:space="preserve"> </w:t>
      </w:r>
      <w:r w:rsidRPr="002563C7">
        <w:rPr>
          <w:rFonts w:cs="Arial"/>
          <w:shd w:val="clear" w:color="auto" w:fill="FFFFFF"/>
        </w:rPr>
        <w:t>38(1):</w:t>
      </w:r>
      <w:r>
        <w:rPr>
          <w:rFonts w:cs="Arial"/>
          <w:shd w:val="clear" w:color="auto" w:fill="FFFFFF"/>
        </w:rPr>
        <w:t xml:space="preserve"> </w:t>
      </w:r>
      <w:r w:rsidRPr="002563C7">
        <w:rPr>
          <w:rFonts w:cs="Arial"/>
          <w:shd w:val="clear" w:color="auto" w:fill="FFFFFF"/>
        </w:rPr>
        <w:t>10-6</w:t>
      </w:r>
      <w:r w:rsidRPr="002563C7">
        <w:rPr>
          <w:shd w:val="clear" w:color="auto" w:fill="FFFFFF"/>
        </w:rPr>
        <w:t>.</w:t>
      </w:r>
    </w:p>
    <w:sectPr w:rsidR="002563C7" w:rsidRPr="002563C7" w:rsidSect="00385BB5">
      <w:headerReference w:type="default" r:id="rId17"/>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3AE94" w14:textId="77777777" w:rsidR="005E58AE" w:rsidRDefault="005E58AE" w:rsidP="007D6163">
      <w:r>
        <w:separator/>
      </w:r>
    </w:p>
    <w:p w14:paraId="48D3AE95" w14:textId="77777777" w:rsidR="005E58AE" w:rsidRDefault="005E58AE" w:rsidP="007D6163"/>
  </w:endnote>
  <w:endnote w:type="continuationSeparator" w:id="0">
    <w:p w14:paraId="48D3AE96" w14:textId="77777777" w:rsidR="005E58AE" w:rsidRDefault="005E58AE" w:rsidP="007D6163">
      <w:r>
        <w:continuationSeparator/>
      </w:r>
    </w:p>
    <w:p w14:paraId="48D3AE97" w14:textId="77777777" w:rsidR="005E58AE" w:rsidRDefault="005E58AE"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8D3AE9A" w14:textId="77777777" w:rsidR="005E58AE" w:rsidRDefault="005E58A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5294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2946">
              <w:rPr>
                <w:b/>
                <w:bCs/>
                <w:noProof/>
              </w:rPr>
              <w:t>11</w:t>
            </w:r>
            <w:r>
              <w:rPr>
                <w:b/>
                <w:bCs/>
                <w:sz w:val="24"/>
                <w:szCs w:val="24"/>
              </w:rPr>
              <w:fldChar w:fldCharType="end"/>
            </w:r>
          </w:p>
        </w:sdtContent>
      </w:sdt>
    </w:sdtContent>
  </w:sdt>
  <w:p w14:paraId="48D3AE9B" w14:textId="77777777" w:rsidR="005E58AE" w:rsidRDefault="005E58AE"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3AE90" w14:textId="77777777" w:rsidR="005E58AE" w:rsidRDefault="005E58AE" w:rsidP="007D6163">
      <w:r>
        <w:separator/>
      </w:r>
    </w:p>
    <w:p w14:paraId="48D3AE91" w14:textId="77777777" w:rsidR="005E58AE" w:rsidRDefault="005E58AE" w:rsidP="007D6163"/>
  </w:footnote>
  <w:footnote w:type="continuationSeparator" w:id="0">
    <w:p w14:paraId="48D3AE92" w14:textId="77777777" w:rsidR="005E58AE" w:rsidRDefault="005E58AE" w:rsidP="007D6163">
      <w:r>
        <w:continuationSeparator/>
      </w:r>
    </w:p>
    <w:p w14:paraId="48D3AE93" w14:textId="77777777" w:rsidR="005E58AE" w:rsidRDefault="005E58AE"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3AE98" w14:textId="77777777" w:rsidR="005E58AE" w:rsidRPr="00716F94" w:rsidRDefault="005E58AE" w:rsidP="007D6163">
    <w:pPr>
      <w:pStyle w:val="Header"/>
      <w:rPr>
        <w:color w:val="0033CC"/>
      </w:rPr>
    </w:pPr>
    <w:r>
      <w:tab/>
    </w:r>
  </w:p>
  <w:p w14:paraId="48D3AE99" w14:textId="77777777" w:rsidR="005E58AE" w:rsidRDefault="005E58AE"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F85C09"/>
    <w:multiLevelType w:val="hybridMultilevel"/>
    <w:tmpl w:val="337EF2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80E99"/>
    <w:multiLevelType w:val="hybridMultilevel"/>
    <w:tmpl w:val="688E9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F325ED0"/>
    <w:multiLevelType w:val="hybridMultilevel"/>
    <w:tmpl w:val="65143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DB6EF2"/>
    <w:multiLevelType w:val="hybridMultilevel"/>
    <w:tmpl w:val="31A6FF3A"/>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6F3183"/>
    <w:multiLevelType w:val="hybridMultilevel"/>
    <w:tmpl w:val="6DF60A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1F7B4A"/>
    <w:multiLevelType w:val="hybridMultilevel"/>
    <w:tmpl w:val="0DF4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2AA647D"/>
    <w:multiLevelType w:val="hybridMultilevel"/>
    <w:tmpl w:val="CA56B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B90716"/>
    <w:multiLevelType w:val="hybridMultilevel"/>
    <w:tmpl w:val="876E2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38"/>
  </w:num>
  <w:num w:numId="4">
    <w:abstractNumId w:val="14"/>
  </w:num>
  <w:num w:numId="5">
    <w:abstractNumId w:val="24"/>
  </w:num>
  <w:num w:numId="6">
    <w:abstractNumId w:val="11"/>
  </w:num>
  <w:num w:numId="7">
    <w:abstractNumId w:val="0"/>
  </w:num>
  <w:num w:numId="8">
    <w:abstractNumId w:val="5"/>
  </w:num>
  <w:num w:numId="9">
    <w:abstractNumId w:val="12"/>
  </w:num>
  <w:num w:numId="10">
    <w:abstractNumId w:val="29"/>
  </w:num>
  <w:num w:numId="11">
    <w:abstractNumId w:val="2"/>
  </w:num>
  <w:num w:numId="12">
    <w:abstractNumId w:val="37"/>
  </w:num>
  <w:num w:numId="13">
    <w:abstractNumId w:val="9"/>
  </w:num>
  <w:num w:numId="14">
    <w:abstractNumId w:val="3"/>
  </w:num>
  <w:num w:numId="15">
    <w:abstractNumId w:val="32"/>
  </w:num>
  <w:num w:numId="16">
    <w:abstractNumId w:val="34"/>
  </w:num>
  <w:num w:numId="17">
    <w:abstractNumId w:val="36"/>
  </w:num>
  <w:num w:numId="18">
    <w:abstractNumId w:val="17"/>
  </w:num>
  <w:num w:numId="19">
    <w:abstractNumId w:val="40"/>
  </w:num>
  <w:num w:numId="20">
    <w:abstractNumId w:val="27"/>
  </w:num>
  <w:num w:numId="21">
    <w:abstractNumId w:val="30"/>
  </w:num>
  <w:num w:numId="22">
    <w:abstractNumId w:val="25"/>
  </w:num>
  <w:num w:numId="23">
    <w:abstractNumId w:val="8"/>
  </w:num>
  <w:num w:numId="24">
    <w:abstractNumId w:val="33"/>
  </w:num>
  <w:num w:numId="25">
    <w:abstractNumId w:val="4"/>
  </w:num>
  <w:num w:numId="26">
    <w:abstractNumId w:val="22"/>
  </w:num>
  <w:num w:numId="27">
    <w:abstractNumId w:val="6"/>
  </w:num>
  <w:num w:numId="28">
    <w:abstractNumId w:val="13"/>
  </w:num>
  <w:num w:numId="29">
    <w:abstractNumId w:val="28"/>
  </w:num>
  <w:num w:numId="30">
    <w:abstractNumId w:val="39"/>
  </w:num>
  <w:num w:numId="31">
    <w:abstractNumId w:val="20"/>
  </w:num>
  <w:num w:numId="32">
    <w:abstractNumId w:val="23"/>
  </w:num>
  <w:num w:numId="33">
    <w:abstractNumId w:val="16"/>
  </w:num>
  <w:num w:numId="34">
    <w:abstractNumId w:val="35"/>
  </w:num>
  <w:num w:numId="35">
    <w:abstractNumId w:val="31"/>
  </w:num>
  <w:num w:numId="36">
    <w:abstractNumId w:val="10"/>
  </w:num>
  <w:num w:numId="37">
    <w:abstractNumId w:val="26"/>
  </w:num>
  <w:num w:numId="38">
    <w:abstractNumId w:val="21"/>
  </w:num>
  <w:num w:numId="39">
    <w:abstractNumId w:val="7"/>
  </w:num>
  <w:num w:numId="40">
    <w:abstractNumId w:val="15"/>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3016"/>
    <w:rsid w:val="000058E0"/>
    <w:rsid w:val="00011A98"/>
    <w:rsid w:val="00011F8D"/>
    <w:rsid w:val="000130B4"/>
    <w:rsid w:val="00014361"/>
    <w:rsid w:val="000222B9"/>
    <w:rsid w:val="00022543"/>
    <w:rsid w:val="00037615"/>
    <w:rsid w:val="00040611"/>
    <w:rsid w:val="0004305C"/>
    <w:rsid w:val="00047268"/>
    <w:rsid w:val="000474FB"/>
    <w:rsid w:val="00052946"/>
    <w:rsid w:val="00053A92"/>
    <w:rsid w:val="00054839"/>
    <w:rsid w:val="00055DAE"/>
    <w:rsid w:val="00057F36"/>
    <w:rsid w:val="0008159E"/>
    <w:rsid w:val="000855C1"/>
    <w:rsid w:val="00096416"/>
    <w:rsid w:val="00096D92"/>
    <w:rsid w:val="000A0B75"/>
    <w:rsid w:val="000A1F30"/>
    <w:rsid w:val="000A2D0C"/>
    <w:rsid w:val="000A71DF"/>
    <w:rsid w:val="000B0962"/>
    <w:rsid w:val="000B2CBC"/>
    <w:rsid w:val="000B4083"/>
    <w:rsid w:val="000C3A0C"/>
    <w:rsid w:val="000C421B"/>
    <w:rsid w:val="000C6626"/>
    <w:rsid w:val="000D610F"/>
    <w:rsid w:val="000E6577"/>
    <w:rsid w:val="000E7A19"/>
    <w:rsid w:val="00101D27"/>
    <w:rsid w:val="00101FD0"/>
    <w:rsid w:val="00104A1B"/>
    <w:rsid w:val="00106585"/>
    <w:rsid w:val="00113706"/>
    <w:rsid w:val="00117419"/>
    <w:rsid w:val="001177DD"/>
    <w:rsid w:val="001208B6"/>
    <w:rsid w:val="00135334"/>
    <w:rsid w:val="00137CFB"/>
    <w:rsid w:val="00141155"/>
    <w:rsid w:val="001412D4"/>
    <w:rsid w:val="00144F64"/>
    <w:rsid w:val="00145D62"/>
    <w:rsid w:val="00151567"/>
    <w:rsid w:val="00157413"/>
    <w:rsid w:val="00161B3B"/>
    <w:rsid w:val="00163E17"/>
    <w:rsid w:val="00166F9E"/>
    <w:rsid w:val="00167880"/>
    <w:rsid w:val="00171016"/>
    <w:rsid w:val="00180D45"/>
    <w:rsid w:val="00187870"/>
    <w:rsid w:val="00187C8A"/>
    <w:rsid w:val="00187D5A"/>
    <w:rsid w:val="0019164D"/>
    <w:rsid w:val="00195852"/>
    <w:rsid w:val="001972D7"/>
    <w:rsid w:val="001A28F6"/>
    <w:rsid w:val="001B2831"/>
    <w:rsid w:val="001B4065"/>
    <w:rsid w:val="001B40D6"/>
    <w:rsid w:val="001B5910"/>
    <w:rsid w:val="001C0493"/>
    <w:rsid w:val="001C28AD"/>
    <w:rsid w:val="001D7FCB"/>
    <w:rsid w:val="001E2A2C"/>
    <w:rsid w:val="001E2B99"/>
    <w:rsid w:val="001E69B6"/>
    <w:rsid w:val="001E7537"/>
    <w:rsid w:val="001F4DBB"/>
    <w:rsid w:val="00202D07"/>
    <w:rsid w:val="0020312D"/>
    <w:rsid w:val="002034CD"/>
    <w:rsid w:val="00206E33"/>
    <w:rsid w:val="00210519"/>
    <w:rsid w:val="0022450B"/>
    <w:rsid w:val="00227259"/>
    <w:rsid w:val="00232D6B"/>
    <w:rsid w:val="00241B17"/>
    <w:rsid w:val="00241C81"/>
    <w:rsid w:val="00244557"/>
    <w:rsid w:val="002506E4"/>
    <w:rsid w:val="002563C7"/>
    <w:rsid w:val="00256C83"/>
    <w:rsid w:val="00257A1C"/>
    <w:rsid w:val="00261D30"/>
    <w:rsid w:val="002662BD"/>
    <w:rsid w:val="0027234C"/>
    <w:rsid w:val="00273362"/>
    <w:rsid w:val="00281795"/>
    <w:rsid w:val="002850E3"/>
    <w:rsid w:val="00287E2F"/>
    <w:rsid w:val="002A1948"/>
    <w:rsid w:val="002C0877"/>
    <w:rsid w:val="002C2AE2"/>
    <w:rsid w:val="002D08EC"/>
    <w:rsid w:val="002D0DCE"/>
    <w:rsid w:val="002E2B10"/>
    <w:rsid w:val="002E73B0"/>
    <w:rsid w:val="002F0AA6"/>
    <w:rsid w:val="002F1502"/>
    <w:rsid w:val="002F2069"/>
    <w:rsid w:val="002F71A2"/>
    <w:rsid w:val="003041AD"/>
    <w:rsid w:val="00305B48"/>
    <w:rsid w:val="0031184C"/>
    <w:rsid w:val="0031279F"/>
    <w:rsid w:val="00313E81"/>
    <w:rsid w:val="003151B9"/>
    <w:rsid w:val="00316F00"/>
    <w:rsid w:val="00321B51"/>
    <w:rsid w:val="00336D96"/>
    <w:rsid w:val="003448E2"/>
    <w:rsid w:val="00344F07"/>
    <w:rsid w:val="003469C8"/>
    <w:rsid w:val="00350C8C"/>
    <w:rsid w:val="003529ED"/>
    <w:rsid w:val="00355EA4"/>
    <w:rsid w:val="00360891"/>
    <w:rsid w:val="003635BE"/>
    <w:rsid w:val="00365045"/>
    <w:rsid w:val="00366B5E"/>
    <w:rsid w:val="00370AA4"/>
    <w:rsid w:val="00380CA8"/>
    <w:rsid w:val="00385BB5"/>
    <w:rsid w:val="00386BC2"/>
    <w:rsid w:val="003A3014"/>
    <w:rsid w:val="003B125E"/>
    <w:rsid w:val="003B1BE3"/>
    <w:rsid w:val="003B2200"/>
    <w:rsid w:val="003B2AE6"/>
    <w:rsid w:val="003B50FD"/>
    <w:rsid w:val="003C31C9"/>
    <w:rsid w:val="003C4961"/>
    <w:rsid w:val="003C7939"/>
    <w:rsid w:val="003C7C5D"/>
    <w:rsid w:val="003D0AD2"/>
    <w:rsid w:val="003F2C21"/>
    <w:rsid w:val="003F5913"/>
    <w:rsid w:val="004016AF"/>
    <w:rsid w:val="004024F8"/>
    <w:rsid w:val="004031F9"/>
    <w:rsid w:val="00405696"/>
    <w:rsid w:val="0041159A"/>
    <w:rsid w:val="00414DAA"/>
    <w:rsid w:val="00415BF7"/>
    <w:rsid w:val="00415EE4"/>
    <w:rsid w:val="00423149"/>
    <w:rsid w:val="00424697"/>
    <w:rsid w:val="00430053"/>
    <w:rsid w:val="004305A8"/>
    <w:rsid w:val="0043229B"/>
    <w:rsid w:val="004353D5"/>
    <w:rsid w:val="00443CA0"/>
    <w:rsid w:val="00445AFC"/>
    <w:rsid w:val="00450E14"/>
    <w:rsid w:val="0046061E"/>
    <w:rsid w:val="00460D7B"/>
    <w:rsid w:val="00462C65"/>
    <w:rsid w:val="004674E7"/>
    <w:rsid w:val="00467B14"/>
    <w:rsid w:val="00467D07"/>
    <w:rsid w:val="004722E8"/>
    <w:rsid w:val="00474EDA"/>
    <w:rsid w:val="004824FA"/>
    <w:rsid w:val="0048293F"/>
    <w:rsid w:val="00484011"/>
    <w:rsid w:val="004841F1"/>
    <w:rsid w:val="004A1E3A"/>
    <w:rsid w:val="004B40B2"/>
    <w:rsid w:val="004B46D6"/>
    <w:rsid w:val="004C0BF6"/>
    <w:rsid w:val="004C26C7"/>
    <w:rsid w:val="004C4464"/>
    <w:rsid w:val="004C4607"/>
    <w:rsid w:val="004C4AEA"/>
    <w:rsid w:val="004D0430"/>
    <w:rsid w:val="004D1511"/>
    <w:rsid w:val="004D1DAA"/>
    <w:rsid w:val="004D4EB1"/>
    <w:rsid w:val="004D7DCA"/>
    <w:rsid w:val="004E003C"/>
    <w:rsid w:val="004E0D66"/>
    <w:rsid w:val="004E16EB"/>
    <w:rsid w:val="004E6665"/>
    <w:rsid w:val="004F634E"/>
    <w:rsid w:val="004F67A8"/>
    <w:rsid w:val="005070F6"/>
    <w:rsid w:val="005115FA"/>
    <w:rsid w:val="00514727"/>
    <w:rsid w:val="0051582C"/>
    <w:rsid w:val="00522A50"/>
    <w:rsid w:val="00525E61"/>
    <w:rsid w:val="00527225"/>
    <w:rsid w:val="0053557D"/>
    <w:rsid w:val="005410E3"/>
    <w:rsid w:val="005463DE"/>
    <w:rsid w:val="00546DC2"/>
    <w:rsid w:val="005542E8"/>
    <w:rsid w:val="00556630"/>
    <w:rsid w:val="0055686D"/>
    <w:rsid w:val="00571792"/>
    <w:rsid w:val="005737AC"/>
    <w:rsid w:val="005800EE"/>
    <w:rsid w:val="005819E9"/>
    <w:rsid w:val="00583C33"/>
    <w:rsid w:val="00586569"/>
    <w:rsid w:val="005869D6"/>
    <w:rsid w:val="0059331E"/>
    <w:rsid w:val="00594619"/>
    <w:rsid w:val="005964F4"/>
    <w:rsid w:val="00596D6E"/>
    <w:rsid w:val="005A33F6"/>
    <w:rsid w:val="005A59E5"/>
    <w:rsid w:val="005B1AF2"/>
    <w:rsid w:val="005B3089"/>
    <w:rsid w:val="005B7440"/>
    <w:rsid w:val="005C3976"/>
    <w:rsid w:val="005C5036"/>
    <w:rsid w:val="005D2290"/>
    <w:rsid w:val="005D6F14"/>
    <w:rsid w:val="005E2150"/>
    <w:rsid w:val="005E2995"/>
    <w:rsid w:val="005E58AE"/>
    <w:rsid w:val="005F3FEF"/>
    <w:rsid w:val="005F7A89"/>
    <w:rsid w:val="00600C4F"/>
    <w:rsid w:val="0060287B"/>
    <w:rsid w:val="00607F7C"/>
    <w:rsid w:val="006102DA"/>
    <w:rsid w:val="00616090"/>
    <w:rsid w:val="00622B49"/>
    <w:rsid w:val="006315A3"/>
    <w:rsid w:val="0063626B"/>
    <w:rsid w:val="006579A2"/>
    <w:rsid w:val="00667C89"/>
    <w:rsid w:val="006711EE"/>
    <w:rsid w:val="006809BB"/>
    <w:rsid w:val="006809FD"/>
    <w:rsid w:val="00691D1F"/>
    <w:rsid w:val="00692DEB"/>
    <w:rsid w:val="00695020"/>
    <w:rsid w:val="00697BAE"/>
    <w:rsid w:val="006A2ABB"/>
    <w:rsid w:val="006B445F"/>
    <w:rsid w:val="006B4DDC"/>
    <w:rsid w:val="006B51BD"/>
    <w:rsid w:val="006B5E55"/>
    <w:rsid w:val="006C4DA7"/>
    <w:rsid w:val="006D25A1"/>
    <w:rsid w:val="006D28BA"/>
    <w:rsid w:val="006D2F36"/>
    <w:rsid w:val="006D2F43"/>
    <w:rsid w:val="006E0D26"/>
    <w:rsid w:val="006E14E9"/>
    <w:rsid w:val="006E47A5"/>
    <w:rsid w:val="006F09A2"/>
    <w:rsid w:val="006F36C6"/>
    <w:rsid w:val="006F6856"/>
    <w:rsid w:val="00707D93"/>
    <w:rsid w:val="00711477"/>
    <w:rsid w:val="007145D0"/>
    <w:rsid w:val="00716F94"/>
    <w:rsid w:val="00717793"/>
    <w:rsid w:val="00721180"/>
    <w:rsid w:val="0072561C"/>
    <w:rsid w:val="0075188E"/>
    <w:rsid w:val="0076001C"/>
    <w:rsid w:val="00760E12"/>
    <w:rsid w:val="00763CF3"/>
    <w:rsid w:val="00767048"/>
    <w:rsid w:val="007720F5"/>
    <w:rsid w:val="00772293"/>
    <w:rsid w:val="00775BFF"/>
    <w:rsid w:val="00776981"/>
    <w:rsid w:val="00781AE3"/>
    <w:rsid w:val="00783C75"/>
    <w:rsid w:val="00784619"/>
    <w:rsid w:val="0078627B"/>
    <w:rsid w:val="0078765B"/>
    <w:rsid w:val="007921F1"/>
    <w:rsid w:val="00794E32"/>
    <w:rsid w:val="007A0D73"/>
    <w:rsid w:val="007B305A"/>
    <w:rsid w:val="007D4E30"/>
    <w:rsid w:val="007D542E"/>
    <w:rsid w:val="007D6163"/>
    <w:rsid w:val="007E575D"/>
    <w:rsid w:val="007E57CD"/>
    <w:rsid w:val="007E6360"/>
    <w:rsid w:val="007E6AEF"/>
    <w:rsid w:val="007F5776"/>
    <w:rsid w:val="00800CFF"/>
    <w:rsid w:val="00807F81"/>
    <w:rsid w:val="00815C7D"/>
    <w:rsid w:val="00817941"/>
    <w:rsid w:val="008229E4"/>
    <w:rsid w:val="00823547"/>
    <w:rsid w:val="008261AB"/>
    <w:rsid w:val="008269AB"/>
    <w:rsid w:val="00834C91"/>
    <w:rsid w:val="00835CA7"/>
    <w:rsid w:val="008370D4"/>
    <w:rsid w:val="008414AD"/>
    <w:rsid w:val="008428D9"/>
    <w:rsid w:val="008447A7"/>
    <w:rsid w:val="00851705"/>
    <w:rsid w:val="00852785"/>
    <w:rsid w:val="00861B07"/>
    <w:rsid w:val="00862E39"/>
    <w:rsid w:val="00873940"/>
    <w:rsid w:val="0087442D"/>
    <w:rsid w:val="0088135D"/>
    <w:rsid w:val="0088467A"/>
    <w:rsid w:val="00884DB9"/>
    <w:rsid w:val="00885353"/>
    <w:rsid w:val="008957B0"/>
    <w:rsid w:val="008A6211"/>
    <w:rsid w:val="008B6DE2"/>
    <w:rsid w:val="008C59E7"/>
    <w:rsid w:val="008C67D2"/>
    <w:rsid w:val="008D3B77"/>
    <w:rsid w:val="008D5363"/>
    <w:rsid w:val="008E0683"/>
    <w:rsid w:val="008F3DF4"/>
    <w:rsid w:val="009017EF"/>
    <w:rsid w:val="00902DD9"/>
    <w:rsid w:val="00903104"/>
    <w:rsid w:val="00911486"/>
    <w:rsid w:val="00912003"/>
    <w:rsid w:val="009129CA"/>
    <w:rsid w:val="009206B6"/>
    <w:rsid w:val="00920AA5"/>
    <w:rsid w:val="009239AA"/>
    <w:rsid w:val="009252DC"/>
    <w:rsid w:val="009252F5"/>
    <w:rsid w:val="009263C1"/>
    <w:rsid w:val="00927480"/>
    <w:rsid w:val="0093196F"/>
    <w:rsid w:val="00931BC1"/>
    <w:rsid w:val="00935CEA"/>
    <w:rsid w:val="00941B4F"/>
    <w:rsid w:val="00942C4E"/>
    <w:rsid w:val="009518C0"/>
    <w:rsid w:val="00963CE3"/>
    <w:rsid w:val="00964F18"/>
    <w:rsid w:val="00974424"/>
    <w:rsid w:val="00977400"/>
    <w:rsid w:val="00987F76"/>
    <w:rsid w:val="00993088"/>
    <w:rsid w:val="0099664F"/>
    <w:rsid w:val="00997D5D"/>
    <w:rsid w:val="009A0447"/>
    <w:rsid w:val="009A2CE5"/>
    <w:rsid w:val="009A4B59"/>
    <w:rsid w:val="009A72DA"/>
    <w:rsid w:val="009B3F46"/>
    <w:rsid w:val="009B4A51"/>
    <w:rsid w:val="009C28B1"/>
    <w:rsid w:val="009C4B82"/>
    <w:rsid w:val="009C61AD"/>
    <w:rsid w:val="009C6697"/>
    <w:rsid w:val="009D373D"/>
    <w:rsid w:val="009D436B"/>
    <w:rsid w:val="009D7B2C"/>
    <w:rsid w:val="009E0801"/>
    <w:rsid w:val="009E1D05"/>
    <w:rsid w:val="009E1DA6"/>
    <w:rsid w:val="009E6F06"/>
    <w:rsid w:val="009F7DE0"/>
    <w:rsid w:val="00A0319E"/>
    <w:rsid w:val="00A04BD7"/>
    <w:rsid w:val="00A05973"/>
    <w:rsid w:val="00A06BCB"/>
    <w:rsid w:val="00A07360"/>
    <w:rsid w:val="00A11B0C"/>
    <w:rsid w:val="00A33B35"/>
    <w:rsid w:val="00A33E90"/>
    <w:rsid w:val="00A36419"/>
    <w:rsid w:val="00A36647"/>
    <w:rsid w:val="00A44921"/>
    <w:rsid w:val="00A44AD9"/>
    <w:rsid w:val="00A578C2"/>
    <w:rsid w:val="00A60C13"/>
    <w:rsid w:val="00A72652"/>
    <w:rsid w:val="00A75D1C"/>
    <w:rsid w:val="00A809AA"/>
    <w:rsid w:val="00A849B3"/>
    <w:rsid w:val="00A8510D"/>
    <w:rsid w:val="00A86AF3"/>
    <w:rsid w:val="00A90AFF"/>
    <w:rsid w:val="00A90BDC"/>
    <w:rsid w:val="00A91B7E"/>
    <w:rsid w:val="00A95477"/>
    <w:rsid w:val="00A975A9"/>
    <w:rsid w:val="00AA3192"/>
    <w:rsid w:val="00AB0486"/>
    <w:rsid w:val="00AB145C"/>
    <w:rsid w:val="00AB251E"/>
    <w:rsid w:val="00AB3608"/>
    <w:rsid w:val="00AB49A7"/>
    <w:rsid w:val="00AC5C48"/>
    <w:rsid w:val="00AC63E3"/>
    <w:rsid w:val="00AD4558"/>
    <w:rsid w:val="00AE0A22"/>
    <w:rsid w:val="00AE5CE6"/>
    <w:rsid w:val="00AF0CF4"/>
    <w:rsid w:val="00AF2252"/>
    <w:rsid w:val="00B00B12"/>
    <w:rsid w:val="00B017F8"/>
    <w:rsid w:val="00B01950"/>
    <w:rsid w:val="00B1129F"/>
    <w:rsid w:val="00B11D61"/>
    <w:rsid w:val="00B12F51"/>
    <w:rsid w:val="00B2751E"/>
    <w:rsid w:val="00B31166"/>
    <w:rsid w:val="00B3650C"/>
    <w:rsid w:val="00B36CAA"/>
    <w:rsid w:val="00B423BA"/>
    <w:rsid w:val="00B47055"/>
    <w:rsid w:val="00B521A0"/>
    <w:rsid w:val="00B54C88"/>
    <w:rsid w:val="00B54CA5"/>
    <w:rsid w:val="00B6175C"/>
    <w:rsid w:val="00B64BFA"/>
    <w:rsid w:val="00B71E63"/>
    <w:rsid w:val="00B73F7E"/>
    <w:rsid w:val="00B749A5"/>
    <w:rsid w:val="00B83212"/>
    <w:rsid w:val="00B838F0"/>
    <w:rsid w:val="00B85DE4"/>
    <w:rsid w:val="00B87AAD"/>
    <w:rsid w:val="00B91A31"/>
    <w:rsid w:val="00BA0A9C"/>
    <w:rsid w:val="00BA50D9"/>
    <w:rsid w:val="00BA6C28"/>
    <w:rsid w:val="00BA6DB4"/>
    <w:rsid w:val="00BC3F3C"/>
    <w:rsid w:val="00BC5BB2"/>
    <w:rsid w:val="00BE738E"/>
    <w:rsid w:val="00BF11A1"/>
    <w:rsid w:val="00BF3F54"/>
    <w:rsid w:val="00C00697"/>
    <w:rsid w:val="00C0376C"/>
    <w:rsid w:val="00C06D77"/>
    <w:rsid w:val="00C14BA6"/>
    <w:rsid w:val="00C3485C"/>
    <w:rsid w:val="00C40A9C"/>
    <w:rsid w:val="00C52D53"/>
    <w:rsid w:val="00C544A4"/>
    <w:rsid w:val="00C54AAE"/>
    <w:rsid w:val="00C575D9"/>
    <w:rsid w:val="00C620B9"/>
    <w:rsid w:val="00C768E5"/>
    <w:rsid w:val="00C915F3"/>
    <w:rsid w:val="00CA2004"/>
    <w:rsid w:val="00CA5840"/>
    <w:rsid w:val="00CA5B99"/>
    <w:rsid w:val="00CB0933"/>
    <w:rsid w:val="00CB334D"/>
    <w:rsid w:val="00CB56D5"/>
    <w:rsid w:val="00CC306F"/>
    <w:rsid w:val="00CC7188"/>
    <w:rsid w:val="00CC76CD"/>
    <w:rsid w:val="00CC7CB9"/>
    <w:rsid w:val="00CD051D"/>
    <w:rsid w:val="00CD1EA8"/>
    <w:rsid w:val="00CF5ABD"/>
    <w:rsid w:val="00CF63CE"/>
    <w:rsid w:val="00D04B9E"/>
    <w:rsid w:val="00D04D46"/>
    <w:rsid w:val="00D067C1"/>
    <w:rsid w:val="00D1343B"/>
    <w:rsid w:val="00D13B13"/>
    <w:rsid w:val="00D164B4"/>
    <w:rsid w:val="00D16E78"/>
    <w:rsid w:val="00D201D3"/>
    <w:rsid w:val="00D267D5"/>
    <w:rsid w:val="00D26A64"/>
    <w:rsid w:val="00D31720"/>
    <w:rsid w:val="00D36F55"/>
    <w:rsid w:val="00D46CA0"/>
    <w:rsid w:val="00D52B9A"/>
    <w:rsid w:val="00D52BF3"/>
    <w:rsid w:val="00D5367E"/>
    <w:rsid w:val="00D537CA"/>
    <w:rsid w:val="00D53B1E"/>
    <w:rsid w:val="00D6105F"/>
    <w:rsid w:val="00D61AD2"/>
    <w:rsid w:val="00D71C1C"/>
    <w:rsid w:val="00D74071"/>
    <w:rsid w:val="00D75750"/>
    <w:rsid w:val="00D84EF0"/>
    <w:rsid w:val="00D861ED"/>
    <w:rsid w:val="00D873E0"/>
    <w:rsid w:val="00D941E3"/>
    <w:rsid w:val="00D94F8B"/>
    <w:rsid w:val="00D95FBF"/>
    <w:rsid w:val="00DA3A17"/>
    <w:rsid w:val="00DA5988"/>
    <w:rsid w:val="00DB0871"/>
    <w:rsid w:val="00DB1FE1"/>
    <w:rsid w:val="00DB3F74"/>
    <w:rsid w:val="00DB7F78"/>
    <w:rsid w:val="00DC0184"/>
    <w:rsid w:val="00DC3048"/>
    <w:rsid w:val="00DC317C"/>
    <w:rsid w:val="00DC4FF2"/>
    <w:rsid w:val="00DC79CC"/>
    <w:rsid w:val="00DD7BF0"/>
    <w:rsid w:val="00DE26C4"/>
    <w:rsid w:val="00DF39CF"/>
    <w:rsid w:val="00E04308"/>
    <w:rsid w:val="00E07812"/>
    <w:rsid w:val="00E10D39"/>
    <w:rsid w:val="00E134F4"/>
    <w:rsid w:val="00E162E0"/>
    <w:rsid w:val="00E20D75"/>
    <w:rsid w:val="00E23568"/>
    <w:rsid w:val="00E245B5"/>
    <w:rsid w:val="00E326D3"/>
    <w:rsid w:val="00E33E1B"/>
    <w:rsid w:val="00E34D3E"/>
    <w:rsid w:val="00E62BD2"/>
    <w:rsid w:val="00E647FB"/>
    <w:rsid w:val="00E720E9"/>
    <w:rsid w:val="00E74EFD"/>
    <w:rsid w:val="00E77AF5"/>
    <w:rsid w:val="00E81C5E"/>
    <w:rsid w:val="00E83390"/>
    <w:rsid w:val="00E83B3C"/>
    <w:rsid w:val="00E8736B"/>
    <w:rsid w:val="00E90275"/>
    <w:rsid w:val="00E925D4"/>
    <w:rsid w:val="00E9465D"/>
    <w:rsid w:val="00E97226"/>
    <w:rsid w:val="00EA2B44"/>
    <w:rsid w:val="00EA33EF"/>
    <w:rsid w:val="00EA7870"/>
    <w:rsid w:val="00EC1594"/>
    <w:rsid w:val="00EC4FFD"/>
    <w:rsid w:val="00EC58F5"/>
    <w:rsid w:val="00EC5EFC"/>
    <w:rsid w:val="00ED2C61"/>
    <w:rsid w:val="00ED6DF6"/>
    <w:rsid w:val="00EE2B01"/>
    <w:rsid w:val="00EF33CD"/>
    <w:rsid w:val="00F005A4"/>
    <w:rsid w:val="00F00792"/>
    <w:rsid w:val="00F03434"/>
    <w:rsid w:val="00F12924"/>
    <w:rsid w:val="00F206BC"/>
    <w:rsid w:val="00F20C9B"/>
    <w:rsid w:val="00F300CB"/>
    <w:rsid w:val="00F31310"/>
    <w:rsid w:val="00F401BD"/>
    <w:rsid w:val="00F42C3A"/>
    <w:rsid w:val="00F52BCC"/>
    <w:rsid w:val="00F5313F"/>
    <w:rsid w:val="00F77575"/>
    <w:rsid w:val="00F81135"/>
    <w:rsid w:val="00F81A48"/>
    <w:rsid w:val="00FA6DF9"/>
    <w:rsid w:val="00FB62BC"/>
    <w:rsid w:val="00FC2E12"/>
    <w:rsid w:val="00FD17C9"/>
    <w:rsid w:val="00FD2A5B"/>
    <w:rsid w:val="00FD3645"/>
    <w:rsid w:val="00FD6038"/>
    <w:rsid w:val="00FD731A"/>
    <w:rsid w:val="00FE6482"/>
    <w:rsid w:val="00FE6A5C"/>
    <w:rsid w:val="00FE7785"/>
    <w:rsid w:val="00FF0949"/>
    <w:rsid w:val="00FF22CA"/>
    <w:rsid w:val="00FF6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D3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customStyle="1" w:styleId="Body">
    <w:name w:val="Body"/>
    <w:basedOn w:val="Normal"/>
    <w:qFormat/>
    <w:rsid w:val="00FF6D7C"/>
    <w:pPr>
      <w:widowControl w:val="0"/>
      <w:tabs>
        <w:tab w:val="clear" w:pos="9360"/>
      </w:tabs>
      <w:autoSpaceDE w:val="0"/>
      <w:autoSpaceDN w:val="0"/>
      <w:adjustRightInd w:val="0"/>
      <w:ind w:left="0"/>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A6211"/>
    <w:pPr>
      <w:tabs>
        <w:tab w:val="clear" w:pos="9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6211"/>
    <w:rPr>
      <w:rFonts w:ascii="Courier New" w:eastAsia="Times New Roman" w:hAnsi="Courier New" w:cs="Courier New"/>
      <w:sz w:val="20"/>
      <w:szCs w:val="20"/>
    </w:rPr>
  </w:style>
  <w:style w:type="character" w:customStyle="1" w:styleId="apple-converted-space">
    <w:name w:val="apple-converted-space"/>
    <w:basedOn w:val="DefaultParagraphFont"/>
    <w:rsid w:val="00C54AAE"/>
  </w:style>
  <w:style w:type="paragraph" w:styleId="BlockText">
    <w:name w:val="Block Text"/>
    <w:basedOn w:val="Normal"/>
    <w:uiPriority w:val="99"/>
    <w:semiHidden/>
    <w:unhideWhenUsed/>
    <w:rsid w:val="00A0736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character" w:styleId="FollowedHyperlink">
    <w:name w:val="FollowedHyperlink"/>
    <w:basedOn w:val="DefaultParagraphFont"/>
    <w:uiPriority w:val="99"/>
    <w:semiHidden/>
    <w:unhideWhenUsed/>
    <w:rsid w:val="00DB3F74"/>
    <w:rPr>
      <w:color w:val="800080" w:themeColor="followedHyperlink"/>
      <w:u w:val="single"/>
    </w:rPr>
  </w:style>
  <w:style w:type="paragraph" w:styleId="TOC1">
    <w:name w:val="toc 1"/>
    <w:basedOn w:val="Normal"/>
    <w:next w:val="Normal"/>
    <w:autoRedefine/>
    <w:uiPriority w:val="39"/>
    <w:unhideWhenUsed/>
    <w:rsid w:val="00052946"/>
    <w:pPr>
      <w:tabs>
        <w:tab w:val="clear" w:pos="9360"/>
      </w:tabs>
      <w:spacing w:after="100"/>
      <w:ind w:left="0"/>
    </w:pPr>
  </w:style>
  <w:style w:type="paragraph" w:styleId="TOC2">
    <w:name w:val="toc 2"/>
    <w:basedOn w:val="Normal"/>
    <w:next w:val="Normal"/>
    <w:autoRedefine/>
    <w:uiPriority w:val="39"/>
    <w:unhideWhenUsed/>
    <w:rsid w:val="00052946"/>
    <w:pPr>
      <w:tabs>
        <w:tab w:val="clear" w:pos="9360"/>
        <w:tab w:val="left" w:pos="720"/>
        <w:tab w:val="right" w:leader="dot" w:pos="9350"/>
      </w:tabs>
      <w:spacing w:after="100"/>
      <w:ind w:hanging="500"/>
    </w:pPr>
  </w:style>
  <w:style w:type="paragraph" w:styleId="TOC8">
    <w:name w:val="toc 8"/>
    <w:basedOn w:val="Normal"/>
    <w:next w:val="Normal"/>
    <w:autoRedefine/>
    <w:uiPriority w:val="39"/>
    <w:unhideWhenUsed/>
    <w:rsid w:val="00052946"/>
    <w:pPr>
      <w:tabs>
        <w:tab w:val="clear" w:pos="9360"/>
      </w:tabs>
      <w:spacing w:after="100"/>
      <w:ind w:left="1540"/>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customStyle="1" w:styleId="Body">
    <w:name w:val="Body"/>
    <w:basedOn w:val="Normal"/>
    <w:qFormat/>
    <w:rsid w:val="00FF6D7C"/>
    <w:pPr>
      <w:widowControl w:val="0"/>
      <w:tabs>
        <w:tab w:val="clear" w:pos="9360"/>
      </w:tabs>
      <w:autoSpaceDE w:val="0"/>
      <w:autoSpaceDN w:val="0"/>
      <w:adjustRightInd w:val="0"/>
      <w:ind w:left="0"/>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A6211"/>
    <w:pPr>
      <w:tabs>
        <w:tab w:val="clear" w:pos="9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6211"/>
    <w:rPr>
      <w:rFonts w:ascii="Courier New" w:eastAsia="Times New Roman" w:hAnsi="Courier New" w:cs="Courier New"/>
      <w:sz w:val="20"/>
      <w:szCs w:val="20"/>
    </w:rPr>
  </w:style>
  <w:style w:type="character" w:customStyle="1" w:styleId="apple-converted-space">
    <w:name w:val="apple-converted-space"/>
    <w:basedOn w:val="DefaultParagraphFont"/>
    <w:rsid w:val="00C54AAE"/>
  </w:style>
  <w:style w:type="paragraph" w:styleId="BlockText">
    <w:name w:val="Block Text"/>
    <w:basedOn w:val="Normal"/>
    <w:uiPriority w:val="99"/>
    <w:semiHidden/>
    <w:unhideWhenUsed/>
    <w:rsid w:val="00A0736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character" w:styleId="FollowedHyperlink">
    <w:name w:val="FollowedHyperlink"/>
    <w:basedOn w:val="DefaultParagraphFont"/>
    <w:uiPriority w:val="99"/>
    <w:semiHidden/>
    <w:unhideWhenUsed/>
    <w:rsid w:val="00DB3F74"/>
    <w:rPr>
      <w:color w:val="800080" w:themeColor="followedHyperlink"/>
      <w:u w:val="single"/>
    </w:rPr>
  </w:style>
  <w:style w:type="paragraph" w:styleId="TOC1">
    <w:name w:val="toc 1"/>
    <w:basedOn w:val="Normal"/>
    <w:next w:val="Normal"/>
    <w:autoRedefine/>
    <w:uiPriority w:val="39"/>
    <w:unhideWhenUsed/>
    <w:rsid w:val="00052946"/>
    <w:pPr>
      <w:tabs>
        <w:tab w:val="clear" w:pos="9360"/>
      </w:tabs>
      <w:spacing w:after="100"/>
      <w:ind w:left="0"/>
    </w:pPr>
  </w:style>
  <w:style w:type="paragraph" w:styleId="TOC2">
    <w:name w:val="toc 2"/>
    <w:basedOn w:val="Normal"/>
    <w:next w:val="Normal"/>
    <w:autoRedefine/>
    <w:uiPriority w:val="39"/>
    <w:unhideWhenUsed/>
    <w:rsid w:val="00052946"/>
    <w:pPr>
      <w:tabs>
        <w:tab w:val="clear" w:pos="9360"/>
        <w:tab w:val="left" w:pos="720"/>
        <w:tab w:val="right" w:leader="dot" w:pos="9350"/>
      </w:tabs>
      <w:spacing w:after="100"/>
      <w:ind w:hanging="500"/>
    </w:pPr>
  </w:style>
  <w:style w:type="paragraph" w:styleId="TOC8">
    <w:name w:val="toc 8"/>
    <w:basedOn w:val="Normal"/>
    <w:next w:val="Normal"/>
    <w:autoRedefine/>
    <w:uiPriority w:val="39"/>
    <w:unhideWhenUsed/>
    <w:rsid w:val="00052946"/>
    <w:pPr>
      <w:tabs>
        <w:tab w:val="clear" w:pos="9360"/>
      </w:tabs>
      <w:spacing w:after="100"/>
      <w:ind w:left="154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5261">
      <w:bodyDiv w:val="1"/>
      <w:marLeft w:val="0"/>
      <w:marRight w:val="0"/>
      <w:marTop w:val="0"/>
      <w:marBottom w:val="0"/>
      <w:divBdr>
        <w:top w:val="none" w:sz="0" w:space="0" w:color="auto"/>
        <w:left w:val="none" w:sz="0" w:space="0" w:color="auto"/>
        <w:bottom w:val="none" w:sz="0" w:space="0" w:color="auto"/>
        <w:right w:val="none" w:sz="0" w:space="0" w:color="auto"/>
      </w:divBdr>
      <w:divsChild>
        <w:div w:id="568154624">
          <w:marLeft w:val="0"/>
          <w:marRight w:val="0"/>
          <w:marTop w:val="0"/>
          <w:marBottom w:val="0"/>
          <w:divBdr>
            <w:top w:val="none" w:sz="0" w:space="0" w:color="auto"/>
            <w:left w:val="none" w:sz="0" w:space="0" w:color="auto"/>
            <w:bottom w:val="none" w:sz="0" w:space="0" w:color="auto"/>
            <w:right w:val="none" w:sz="0" w:space="0" w:color="auto"/>
          </w:divBdr>
        </w:div>
        <w:div w:id="1390112947">
          <w:marLeft w:val="0"/>
          <w:marRight w:val="0"/>
          <w:marTop w:val="0"/>
          <w:marBottom w:val="0"/>
          <w:divBdr>
            <w:top w:val="none" w:sz="0" w:space="0" w:color="auto"/>
            <w:left w:val="none" w:sz="0" w:space="0" w:color="auto"/>
            <w:bottom w:val="none" w:sz="0" w:space="0" w:color="auto"/>
            <w:right w:val="none" w:sz="0" w:space="0" w:color="auto"/>
          </w:divBdr>
        </w:div>
        <w:div w:id="694622408">
          <w:marLeft w:val="0"/>
          <w:marRight w:val="0"/>
          <w:marTop w:val="0"/>
          <w:marBottom w:val="0"/>
          <w:divBdr>
            <w:top w:val="none" w:sz="0" w:space="0" w:color="auto"/>
            <w:left w:val="none" w:sz="0" w:space="0" w:color="auto"/>
            <w:bottom w:val="none" w:sz="0" w:space="0" w:color="auto"/>
            <w:right w:val="none" w:sz="0" w:space="0" w:color="auto"/>
          </w:divBdr>
        </w:div>
        <w:div w:id="1249971458">
          <w:marLeft w:val="0"/>
          <w:marRight w:val="0"/>
          <w:marTop w:val="0"/>
          <w:marBottom w:val="0"/>
          <w:divBdr>
            <w:top w:val="none" w:sz="0" w:space="0" w:color="auto"/>
            <w:left w:val="none" w:sz="0" w:space="0" w:color="auto"/>
            <w:bottom w:val="none" w:sz="0" w:space="0" w:color="auto"/>
            <w:right w:val="none" w:sz="0" w:space="0" w:color="auto"/>
          </w:divBdr>
        </w:div>
      </w:divsChild>
    </w:div>
    <w:div w:id="70271681">
      <w:bodyDiv w:val="1"/>
      <w:marLeft w:val="0"/>
      <w:marRight w:val="0"/>
      <w:marTop w:val="0"/>
      <w:marBottom w:val="0"/>
      <w:divBdr>
        <w:top w:val="none" w:sz="0" w:space="0" w:color="auto"/>
        <w:left w:val="none" w:sz="0" w:space="0" w:color="auto"/>
        <w:bottom w:val="none" w:sz="0" w:space="0" w:color="auto"/>
        <w:right w:val="none" w:sz="0" w:space="0" w:color="auto"/>
      </w:divBdr>
    </w:div>
    <w:div w:id="361784686">
      <w:bodyDiv w:val="1"/>
      <w:marLeft w:val="0"/>
      <w:marRight w:val="0"/>
      <w:marTop w:val="0"/>
      <w:marBottom w:val="0"/>
      <w:divBdr>
        <w:top w:val="none" w:sz="0" w:space="0" w:color="auto"/>
        <w:left w:val="none" w:sz="0" w:space="0" w:color="auto"/>
        <w:bottom w:val="none" w:sz="0" w:space="0" w:color="auto"/>
        <w:right w:val="none" w:sz="0" w:space="0" w:color="auto"/>
      </w:divBdr>
    </w:div>
    <w:div w:id="560942256">
      <w:bodyDiv w:val="1"/>
      <w:marLeft w:val="0"/>
      <w:marRight w:val="0"/>
      <w:marTop w:val="0"/>
      <w:marBottom w:val="0"/>
      <w:divBdr>
        <w:top w:val="none" w:sz="0" w:space="0" w:color="auto"/>
        <w:left w:val="none" w:sz="0" w:space="0" w:color="auto"/>
        <w:bottom w:val="none" w:sz="0" w:space="0" w:color="auto"/>
        <w:right w:val="none" w:sz="0" w:space="0" w:color="auto"/>
      </w:divBdr>
      <w:divsChild>
        <w:div w:id="914316315">
          <w:marLeft w:val="0"/>
          <w:marRight w:val="0"/>
          <w:marTop w:val="0"/>
          <w:marBottom w:val="0"/>
          <w:divBdr>
            <w:top w:val="none" w:sz="0" w:space="0" w:color="auto"/>
            <w:left w:val="none" w:sz="0" w:space="0" w:color="auto"/>
            <w:bottom w:val="none" w:sz="0" w:space="0" w:color="auto"/>
            <w:right w:val="none" w:sz="0" w:space="0" w:color="auto"/>
          </w:divBdr>
        </w:div>
        <w:div w:id="190143347">
          <w:marLeft w:val="0"/>
          <w:marRight w:val="0"/>
          <w:marTop w:val="0"/>
          <w:marBottom w:val="0"/>
          <w:divBdr>
            <w:top w:val="none" w:sz="0" w:space="0" w:color="auto"/>
            <w:left w:val="none" w:sz="0" w:space="0" w:color="auto"/>
            <w:bottom w:val="none" w:sz="0" w:space="0" w:color="auto"/>
            <w:right w:val="none" w:sz="0" w:space="0" w:color="auto"/>
          </w:divBdr>
        </w:div>
        <w:div w:id="1726026791">
          <w:marLeft w:val="0"/>
          <w:marRight w:val="0"/>
          <w:marTop w:val="0"/>
          <w:marBottom w:val="0"/>
          <w:divBdr>
            <w:top w:val="none" w:sz="0" w:space="0" w:color="auto"/>
            <w:left w:val="none" w:sz="0" w:space="0" w:color="auto"/>
            <w:bottom w:val="none" w:sz="0" w:space="0" w:color="auto"/>
            <w:right w:val="none" w:sz="0" w:space="0" w:color="auto"/>
          </w:divBdr>
        </w:div>
        <w:div w:id="530150506">
          <w:marLeft w:val="0"/>
          <w:marRight w:val="0"/>
          <w:marTop w:val="0"/>
          <w:marBottom w:val="0"/>
          <w:divBdr>
            <w:top w:val="none" w:sz="0" w:space="0" w:color="auto"/>
            <w:left w:val="none" w:sz="0" w:space="0" w:color="auto"/>
            <w:bottom w:val="none" w:sz="0" w:space="0" w:color="auto"/>
            <w:right w:val="none" w:sz="0" w:space="0" w:color="auto"/>
          </w:divBdr>
        </w:div>
      </w:divsChild>
    </w:div>
    <w:div w:id="663975312">
      <w:bodyDiv w:val="1"/>
      <w:marLeft w:val="0"/>
      <w:marRight w:val="0"/>
      <w:marTop w:val="0"/>
      <w:marBottom w:val="0"/>
      <w:divBdr>
        <w:top w:val="none" w:sz="0" w:space="0" w:color="auto"/>
        <w:left w:val="none" w:sz="0" w:space="0" w:color="auto"/>
        <w:bottom w:val="none" w:sz="0" w:space="0" w:color="auto"/>
        <w:right w:val="none" w:sz="0" w:space="0" w:color="auto"/>
      </w:divBdr>
    </w:div>
    <w:div w:id="850074064">
      <w:bodyDiv w:val="1"/>
      <w:marLeft w:val="0"/>
      <w:marRight w:val="0"/>
      <w:marTop w:val="0"/>
      <w:marBottom w:val="0"/>
      <w:divBdr>
        <w:top w:val="none" w:sz="0" w:space="0" w:color="auto"/>
        <w:left w:val="none" w:sz="0" w:space="0" w:color="auto"/>
        <w:bottom w:val="none" w:sz="0" w:space="0" w:color="auto"/>
        <w:right w:val="none" w:sz="0" w:space="0" w:color="auto"/>
      </w:divBdr>
    </w:div>
    <w:div w:id="916599388">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592742058">
      <w:bodyDiv w:val="1"/>
      <w:marLeft w:val="0"/>
      <w:marRight w:val="0"/>
      <w:marTop w:val="0"/>
      <w:marBottom w:val="0"/>
      <w:divBdr>
        <w:top w:val="none" w:sz="0" w:space="0" w:color="auto"/>
        <w:left w:val="none" w:sz="0" w:space="0" w:color="auto"/>
        <w:bottom w:val="none" w:sz="0" w:space="0" w:color="auto"/>
        <w:right w:val="none" w:sz="0" w:space="0" w:color="auto"/>
      </w:divBdr>
    </w:div>
    <w:div w:id="1698387142">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603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ubs.usgs.gov/circ/1344/pdf/c134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dc.gov/nphpsp/essentialservices.html.%20Accessed%20on%208/14/14"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OSTLTSDOC-726-85</_dlc_DocId>
    <_dlc_DocIdUrl xmlns="b5c0ca00-073d-4463-9985-b654f14791fe">
      <Url>https://esp.cdc.gov/sites/ostlts/pip/osc/_layouts/15/DocIdRedir.aspx?ID=OSTLTSDOC-726-85</Url>
      <Description>OSTLTSDOC-726-85</Description>
    </_dlc_DocIdUrl>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35D6F-C3D2-4CCC-B38D-3CB7B21CECD4}">
  <ds:schemaRefs>
    <ds:schemaRef ds:uri="http://schemas.microsoft.com/sharepoint/v3/contenttype/forms"/>
  </ds:schemaRefs>
</ds:datastoreItem>
</file>

<file path=customXml/itemProps2.xml><?xml version="1.0" encoding="utf-8"?>
<ds:datastoreItem xmlns:ds="http://schemas.openxmlformats.org/officeDocument/2006/customXml" ds:itemID="{990C287B-0937-4BDC-8547-3702DB4AC58D}">
  <ds:schemaRefs>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b5c0ca00-073d-4463-9985-b654f14791fe"/>
    <ds:schemaRef ds:uri="ce849d94-b00b-4457-8fdf-7e9e81e05b5e"/>
    <ds:schemaRef ds:uri="15b1c282-9287-45cb-9b41-eae3a76919a0"/>
    <ds:schemaRef ds:uri="bd99c180-279b-44c3-9486-dd050336677e"/>
  </ds:schemaRefs>
</ds:datastoreItem>
</file>

<file path=customXml/itemProps3.xml><?xml version="1.0" encoding="utf-8"?>
<ds:datastoreItem xmlns:ds="http://schemas.openxmlformats.org/officeDocument/2006/customXml" ds:itemID="{E5706BDB-1E51-4E25-AAD8-038175169196}">
  <ds:schemaRefs>
    <ds:schemaRef ds:uri="http://schemas.microsoft.com/sharepoint/events"/>
  </ds:schemaRefs>
</ds:datastoreItem>
</file>

<file path=customXml/itemProps4.xml><?xml version="1.0" encoding="utf-8"?>
<ds:datastoreItem xmlns:ds="http://schemas.openxmlformats.org/officeDocument/2006/customXml" ds:itemID="{80D10AE2-4AD4-4B53-8AA0-8572FE566E51}">
  <ds:schemaRefs>
    <ds:schemaRef ds:uri="http://schemas.microsoft.com/office/2006/metadata/customXsn"/>
  </ds:schemaRefs>
</ds:datastoreItem>
</file>

<file path=customXml/itemProps5.xml><?xml version="1.0" encoding="utf-8"?>
<ds:datastoreItem xmlns:ds="http://schemas.openxmlformats.org/officeDocument/2006/customXml" ds:itemID="{8F3A95B8-514F-4367-9F2C-F2BFF5B6D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180EEF-63CC-4DA7-8366-0004DCD2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3625</Words>
  <Characters>20666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5</cp:revision>
  <cp:lastPrinted>2011-06-07T15:53:00Z</cp:lastPrinted>
  <dcterms:created xsi:type="dcterms:W3CDTF">2015-03-17T13:42:00Z</dcterms:created>
  <dcterms:modified xsi:type="dcterms:W3CDTF">2015-03-17T14:00:00Z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6882b233-92ff-4c39-8e3e-22b042c16062</vt:lpwstr>
  </property>
</Properties>
</file>