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899B" w14:textId="61F479B6" w:rsidR="0003342D" w:rsidRPr="0091469F" w:rsidRDefault="0003342D" w:rsidP="0003342D">
      <w:pPr>
        <w:keepNext/>
        <w:tabs>
          <w:tab w:val="left" w:pos="1890"/>
        </w:tabs>
        <w:spacing w:line="232" w:lineRule="auto"/>
        <w:ind w:left="1080" w:hanging="1080"/>
        <w:jc w:val="center"/>
        <w:outlineLvl w:val="6"/>
        <w:rPr>
          <w:rFonts w:eastAsia="Times New Roman"/>
        </w:rPr>
      </w:pPr>
      <w:r w:rsidRPr="0091469F">
        <w:rPr>
          <w:rFonts w:eastAsia="Times New Roman"/>
        </w:rPr>
        <w:t>SUPPORTING STATEMENT FOR THE</w:t>
      </w:r>
      <w:r w:rsidR="00EB16DD" w:rsidRPr="0091469F">
        <w:rPr>
          <w:rFonts w:eastAsia="Times New Roman"/>
        </w:rPr>
        <w:br/>
      </w:r>
    </w:p>
    <w:p w14:paraId="7AEE31F3" w14:textId="77777777" w:rsidR="00EB16DD" w:rsidRPr="0091469F" w:rsidRDefault="00EB16DD" w:rsidP="00EB16DD">
      <w:pPr>
        <w:keepNext/>
        <w:tabs>
          <w:tab w:val="left" w:pos="1890"/>
        </w:tabs>
        <w:spacing w:line="232" w:lineRule="auto"/>
        <w:ind w:left="1080" w:hanging="1080"/>
        <w:jc w:val="center"/>
        <w:outlineLvl w:val="6"/>
        <w:rPr>
          <w:rFonts w:eastAsia="Times New Roman"/>
          <w:b/>
        </w:rPr>
      </w:pPr>
      <w:r w:rsidRPr="0091469F">
        <w:rPr>
          <w:rFonts w:eastAsia="Times New Roman"/>
          <w:b/>
        </w:rPr>
        <w:t>National Tobacco Education Campaign</w:t>
      </w:r>
    </w:p>
    <w:p w14:paraId="41F15270" w14:textId="77777777" w:rsidR="00EB16DD" w:rsidRPr="0091469F" w:rsidRDefault="00EB16DD" w:rsidP="0091358E"/>
    <w:p w14:paraId="0BEBBF4D" w14:textId="77777777" w:rsidR="0003342D" w:rsidRPr="0091469F" w:rsidRDefault="0003342D" w:rsidP="0091358E"/>
    <w:p w14:paraId="212EAF94" w14:textId="79DBEB9E" w:rsidR="00B900A7" w:rsidRPr="0091469F" w:rsidRDefault="00234869" w:rsidP="0003342D">
      <w:pPr>
        <w:keepNext/>
        <w:tabs>
          <w:tab w:val="left" w:pos="1890"/>
        </w:tabs>
        <w:spacing w:line="232" w:lineRule="auto"/>
        <w:ind w:left="1080" w:hanging="1080"/>
        <w:jc w:val="center"/>
        <w:outlineLvl w:val="6"/>
        <w:rPr>
          <w:rFonts w:eastAsia="Times New Roman"/>
          <w:b/>
        </w:rPr>
      </w:pPr>
      <w:r w:rsidRPr="0091469F">
        <w:rPr>
          <w:rFonts w:eastAsia="Times New Roman"/>
          <w:b/>
        </w:rPr>
        <w:t>Message Platform Testing for</w:t>
      </w:r>
      <w:r w:rsidR="0003342D" w:rsidRPr="0091469F">
        <w:rPr>
          <w:rFonts w:eastAsia="Times New Roman"/>
          <w:b/>
        </w:rPr>
        <w:t xml:space="preserve"> </w:t>
      </w:r>
    </w:p>
    <w:p w14:paraId="4674F71B" w14:textId="3C54C362" w:rsidR="00234869" w:rsidRPr="0091469F" w:rsidRDefault="00703B38" w:rsidP="0003342D">
      <w:pPr>
        <w:keepNext/>
        <w:tabs>
          <w:tab w:val="left" w:pos="1890"/>
        </w:tabs>
        <w:spacing w:line="232" w:lineRule="auto"/>
        <w:ind w:left="1080" w:hanging="1080"/>
        <w:jc w:val="center"/>
        <w:outlineLvl w:val="6"/>
        <w:rPr>
          <w:rFonts w:eastAsia="Times New Roman"/>
          <w:b/>
        </w:rPr>
      </w:pPr>
      <w:r w:rsidRPr="0091469F">
        <w:rPr>
          <w:rFonts w:eastAsia="Times New Roman"/>
          <w:b/>
        </w:rPr>
        <w:t xml:space="preserve">Regular </w:t>
      </w:r>
      <w:r w:rsidR="00234869" w:rsidRPr="0091469F">
        <w:rPr>
          <w:rFonts w:eastAsia="Times New Roman"/>
          <w:b/>
        </w:rPr>
        <w:t>Cigarettes and Dual Use</w:t>
      </w:r>
      <w:r w:rsidR="0091358E" w:rsidRPr="0091469F">
        <w:rPr>
          <w:rFonts w:eastAsia="Times New Roman"/>
          <w:b/>
        </w:rPr>
        <w:br/>
      </w:r>
    </w:p>
    <w:p w14:paraId="75C8656E" w14:textId="04EB003E" w:rsidR="0003342D" w:rsidRPr="0091469F" w:rsidRDefault="00234869" w:rsidP="0003342D">
      <w:pPr>
        <w:jc w:val="center"/>
        <w:rPr>
          <w:rFonts w:eastAsia="Times New Roman"/>
        </w:rPr>
      </w:pPr>
      <w:r w:rsidRPr="0091469F">
        <w:rPr>
          <w:rFonts w:eastAsia="Times New Roman"/>
        </w:rPr>
        <w:t xml:space="preserve"> </w:t>
      </w:r>
      <w:r w:rsidR="0003342D" w:rsidRPr="0091469F">
        <w:rPr>
          <w:rFonts w:eastAsia="Times New Roman"/>
        </w:rPr>
        <w:t>(OMB No. 0920-0910</w:t>
      </w:r>
      <w:r w:rsidR="00C30086" w:rsidRPr="0091469F">
        <w:rPr>
          <w:rFonts w:eastAsia="Times New Roman"/>
        </w:rPr>
        <w:t>, Exp. Date 03/31/2018</w:t>
      </w:r>
      <w:r w:rsidR="0003342D" w:rsidRPr="0091469F">
        <w:rPr>
          <w:rFonts w:eastAsia="Times New Roman"/>
        </w:rPr>
        <w:t>)</w:t>
      </w:r>
    </w:p>
    <w:p w14:paraId="23E81364" w14:textId="77777777" w:rsidR="0003342D" w:rsidRPr="0091469F" w:rsidRDefault="0003342D" w:rsidP="0091358E"/>
    <w:p w14:paraId="193CA27F" w14:textId="77777777" w:rsidR="0003342D" w:rsidRPr="0091469F" w:rsidRDefault="0003342D" w:rsidP="0003342D">
      <w:pPr>
        <w:rPr>
          <w:rFonts w:eastAsia="Times New Roman"/>
        </w:rPr>
      </w:pPr>
    </w:p>
    <w:p w14:paraId="46329A55" w14:textId="14BA2100" w:rsidR="0003342D" w:rsidRPr="0091469F" w:rsidRDefault="0003342D" w:rsidP="0003342D">
      <w:pPr>
        <w:keepNext/>
        <w:spacing w:line="232" w:lineRule="auto"/>
        <w:jc w:val="center"/>
        <w:outlineLvl w:val="6"/>
        <w:rPr>
          <w:rFonts w:eastAsia="Times New Roman"/>
        </w:rPr>
      </w:pPr>
      <w:r w:rsidRPr="0091469F">
        <w:rPr>
          <w:rFonts w:eastAsia="Times New Roman"/>
          <w:b/>
        </w:rPr>
        <w:t>PART A: JUSTIFICATION</w:t>
      </w:r>
      <w:r w:rsidRPr="0091469F">
        <w:rPr>
          <w:rFonts w:eastAsia="Times New Roman"/>
          <w:b/>
        </w:rPr>
        <w:cr/>
      </w:r>
      <w:r w:rsidR="007B289C" w:rsidRPr="0091469F">
        <w:rPr>
          <w:rFonts w:eastAsia="Times New Roman"/>
          <w:b/>
        </w:rPr>
        <w:t xml:space="preserve"> </w:t>
      </w:r>
    </w:p>
    <w:p w14:paraId="1E579190" w14:textId="77777777" w:rsidR="0003342D" w:rsidRPr="0091469F" w:rsidRDefault="0003342D" w:rsidP="0091358E"/>
    <w:p w14:paraId="2077FD42" w14:textId="77777777" w:rsidR="0003342D" w:rsidRPr="0091469F" w:rsidRDefault="0003342D" w:rsidP="0091358E"/>
    <w:p w14:paraId="363B8C71" w14:textId="670A8494" w:rsidR="0003342D" w:rsidRPr="0091469F" w:rsidRDefault="00497268" w:rsidP="0003342D">
      <w:pPr>
        <w:jc w:val="center"/>
        <w:rPr>
          <w:rFonts w:eastAsia="Times New Roman"/>
        </w:rPr>
      </w:pPr>
      <w:r>
        <w:rPr>
          <w:rFonts w:eastAsia="Times New Roman"/>
        </w:rPr>
        <w:t>Ju</w:t>
      </w:r>
      <w:r w:rsidR="002B4465">
        <w:rPr>
          <w:rFonts w:eastAsia="Times New Roman"/>
        </w:rPr>
        <w:t>ly 11</w:t>
      </w:r>
      <w:r w:rsidR="00082D2A">
        <w:rPr>
          <w:rFonts w:eastAsia="Times New Roman"/>
        </w:rPr>
        <w:t>,</w:t>
      </w:r>
      <w:r w:rsidR="003E0C69" w:rsidRPr="003F2DAF">
        <w:rPr>
          <w:rFonts w:eastAsia="Times New Roman"/>
        </w:rPr>
        <w:t xml:space="preserve"> 2016</w:t>
      </w:r>
    </w:p>
    <w:p w14:paraId="25879F1F" w14:textId="77777777" w:rsidR="0003342D" w:rsidRPr="00803A81" w:rsidRDefault="0003342D" w:rsidP="0003342D">
      <w:pPr>
        <w:rPr>
          <w:rFonts w:eastAsia="Times New Roman"/>
        </w:rPr>
      </w:pPr>
    </w:p>
    <w:p w14:paraId="5EF03A75" w14:textId="77777777" w:rsidR="0003342D" w:rsidRPr="00E1033E" w:rsidRDefault="0003342D" w:rsidP="0003342D">
      <w:pPr>
        <w:rPr>
          <w:rFonts w:eastAsia="Times New Roman"/>
        </w:rPr>
      </w:pPr>
      <w:bookmarkStart w:id="0" w:name="_GoBack"/>
      <w:bookmarkEnd w:id="0"/>
    </w:p>
    <w:p w14:paraId="40FF7E4F" w14:textId="77777777" w:rsidR="0003342D" w:rsidRPr="008C3E18" w:rsidRDefault="0003342D" w:rsidP="0003342D">
      <w:pPr>
        <w:tabs>
          <w:tab w:val="center" w:pos="4680"/>
        </w:tabs>
        <w:jc w:val="center"/>
        <w:rPr>
          <w:rFonts w:eastAsia="Times New Roman"/>
        </w:rPr>
      </w:pPr>
      <w:r w:rsidRPr="008C3E18">
        <w:rPr>
          <w:rFonts w:eastAsia="Times New Roman"/>
        </w:rPr>
        <w:t>Submitted by:</w:t>
      </w:r>
    </w:p>
    <w:p w14:paraId="249D7471" w14:textId="77777777" w:rsidR="0003342D" w:rsidRPr="0091469F" w:rsidRDefault="0003342D" w:rsidP="0003342D">
      <w:pPr>
        <w:tabs>
          <w:tab w:val="center" w:pos="4680"/>
        </w:tabs>
        <w:jc w:val="center"/>
        <w:rPr>
          <w:rFonts w:eastAsia="Times New Roman"/>
        </w:rPr>
      </w:pPr>
    </w:p>
    <w:p w14:paraId="4788E16D" w14:textId="77777777" w:rsidR="0003342D" w:rsidRPr="0091469F" w:rsidRDefault="0003342D" w:rsidP="0003342D">
      <w:pPr>
        <w:tabs>
          <w:tab w:val="center" w:pos="4680"/>
        </w:tabs>
        <w:jc w:val="center"/>
        <w:rPr>
          <w:rFonts w:eastAsia="Times New Roman"/>
        </w:rPr>
      </w:pPr>
      <w:r w:rsidRPr="0091469F">
        <w:rPr>
          <w:rFonts w:eastAsia="Times New Roman"/>
        </w:rPr>
        <w:t>Office on Smoking and Health</w:t>
      </w:r>
    </w:p>
    <w:p w14:paraId="693CEC49" w14:textId="77777777" w:rsidR="0003342D" w:rsidRPr="0091469F" w:rsidRDefault="0003342D" w:rsidP="0003342D">
      <w:pPr>
        <w:tabs>
          <w:tab w:val="center" w:pos="4680"/>
        </w:tabs>
        <w:jc w:val="center"/>
        <w:rPr>
          <w:rFonts w:eastAsia="Times New Roman"/>
        </w:rPr>
      </w:pPr>
      <w:r w:rsidRPr="0091469F">
        <w:rPr>
          <w:rFonts w:eastAsia="Times New Roman"/>
        </w:rPr>
        <w:t>National Center for Chronic Disease Prevention and Health Promotion</w:t>
      </w:r>
    </w:p>
    <w:p w14:paraId="6141969E" w14:textId="77777777" w:rsidR="0003342D" w:rsidRPr="0091469F" w:rsidRDefault="0003342D" w:rsidP="0003342D">
      <w:pPr>
        <w:tabs>
          <w:tab w:val="center" w:pos="4680"/>
        </w:tabs>
        <w:jc w:val="center"/>
        <w:rPr>
          <w:rFonts w:eastAsia="Times New Roman"/>
        </w:rPr>
      </w:pPr>
      <w:r w:rsidRPr="0091469F">
        <w:rPr>
          <w:rFonts w:eastAsia="Times New Roman"/>
        </w:rPr>
        <w:t>Centers for Disease Control and Prevention</w:t>
      </w:r>
    </w:p>
    <w:p w14:paraId="2C3C0D08" w14:textId="77777777" w:rsidR="0003342D" w:rsidRPr="0091469F" w:rsidRDefault="0003342D" w:rsidP="0003342D">
      <w:pPr>
        <w:tabs>
          <w:tab w:val="center" w:pos="4680"/>
        </w:tabs>
        <w:jc w:val="center"/>
        <w:rPr>
          <w:rFonts w:eastAsia="Times New Roman"/>
        </w:rPr>
      </w:pPr>
      <w:r w:rsidRPr="0091469F">
        <w:rPr>
          <w:rFonts w:eastAsia="Times New Roman"/>
        </w:rPr>
        <w:t>Department of Health and Human Services</w:t>
      </w:r>
    </w:p>
    <w:p w14:paraId="16CCB963" w14:textId="77777777" w:rsidR="0003342D" w:rsidRPr="0091469F" w:rsidRDefault="0003342D" w:rsidP="0003342D">
      <w:pPr>
        <w:rPr>
          <w:rFonts w:eastAsia="Times New Roman"/>
        </w:rPr>
      </w:pPr>
    </w:p>
    <w:p w14:paraId="46F0B766" w14:textId="77777777" w:rsidR="0003342D" w:rsidRPr="0091469F" w:rsidRDefault="0003342D" w:rsidP="0003342D">
      <w:pPr>
        <w:rPr>
          <w:rFonts w:eastAsia="Times New Roman"/>
        </w:rPr>
      </w:pPr>
    </w:p>
    <w:p w14:paraId="1BB892E2" w14:textId="77777777" w:rsidR="0003342D" w:rsidRPr="0091469F" w:rsidRDefault="0003342D" w:rsidP="0003342D">
      <w:pPr>
        <w:rPr>
          <w:rFonts w:eastAsia="Times New Roman"/>
        </w:rPr>
      </w:pPr>
    </w:p>
    <w:p w14:paraId="12E79EE1" w14:textId="77777777" w:rsidR="0003342D" w:rsidRPr="0091469F" w:rsidRDefault="0003342D" w:rsidP="0003342D">
      <w:pPr>
        <w:tabs>
          <w:tab w:val="center" w:pos="4680"/>
        </w:tabs>
        <w:jc w:val="center"/>
        <w:rPr>
          <w:rFonts w:eastAsia="Times New Roman"/>
        </w:rPr>
      </w:pPr>
      <w:r w:rsidRPr="0091469F">
        <w:rPr>
          <w:rFonts w:eastAsia="Times New Roman"/>
        </w:rPr>
        <w:t>Refer questions to:</w:t>
      </w:r>
    </w:p>
    <w:p w14:paraId="5AC6C8BF" w14:textId="77777777" w:rsidR="0003342D" w:rsidRPr="0091469F" w:rsidRDefault="0003342D" w:rsidP="0003342D">
      <w:pPr>
        <w:jc w:val="center"/>
        <w:rPr>
          <w:rFonts w:eastAsia="Times New Roman"/>
        </w:rPr>
      </w:pPr>
    </w:p>
    <w:p w14:paraId="17102B45" w14:textId="77777777" w:rsidR="0003342D" w:rsidRPr="0091469F" w:rsidRDefault="0003342D" w:rsidP="0003342D">
      <w:pPr>
        <w:tabs>
          <w:tab w:val="center" w:pos="4680"/>
        </w:tabs>
        <w:jc w:val="center"/>
        <w:rPr>
          <w:rFonts w:eastAsia="Times New Roman"/>
        </w:rPr>
      </w:pPr>
      <w:r w:rsidRPr="0091469F">
        <w:rPr>
          <w:rFonts w:eastAsia="Times New Roman"/>
        </w:rPr>
        <w:t>Michelle O’Hegarty</w:t>
      </w:r>
    </w:p>
    <w:p w14:paraId="6258AE69" w14:textId="77777777" w:rsidR="0003342D" w:rsidRPr="0091469F" w:rsidRDefault="0003342D" w:rsidP="0003342D">
      <w:pPr>
        <w:tabs>
          <w:tab w:val="center" w:pos="4680"/>
        </w:tabs>
        <w:jc w:val="center"/>
        <w:rPr>
          <w:rFonts w:eastAsia="Times New Roman"/>
        </w:rPr>
      </w:pPr>
      <w:r w:rsidRPr="0091469F">
        <w:rPr>
          <w:rFonts w:eastAsia="Times New Roman"/>
        </w:rPr>
        <w:t>Office on Smoking and Health</w:t>
      </w:r>
    </w:p>
    <w:p w14:paraId="7F27E2C2" w14:textId="77777777" w:rsidR="0003342D" w:rsidRPr="0091469F" w:rsidRDefault="0003342D" w:rsidP="0003342D">
      <w:pPr>
        <w:tabs>
          <w:tab w:val="center" w:pos="4680"/>
        </w:tabs>
        <w:jc w:val="center"/>
        <w:rPr>
          <w:rFonts w:eastAsia="Times New Roman"/>
        </w:rPr>
      </w:pPr>
      <w:r w:rsidRPr="0091469F">
        <w:rPr>
          <w:rFonts w:eastAsia="Times New Roman"/>
        </w:rPr>
        <w:t>National Center for Chronic Disease Prevention and Health Promotion</w:t>
      </w:r>
    </w:p>
    <w:p w14:paraId="38332CE8" w14:textId="77777777" w:rsidR="0003342D" w:rsidRPr="0091469F" w:rsidRDefault="0003342D" w:rsidP="0003342D">
      <w:pPr>
        <w:tabs>
          <w:tab w:val="center" w:pos="4680"/>
        </w:tabs>
        <w:jc w:val="center"/>
        <w:rPr>
          <w:rFonts w:eastAsia="Times New Roman"/>
        </w:rPr>
      </w:pPr>
      <w:r w:rsidRPr="0091469F">
        <w:rPr>
          <w:rFonts w:eastAsia="Times New Roman"/>
        </w:rPr>
        <w:t>Centers for Disease Control and Prevention</w:t>
      </w:r>
    </w:p>
    <w:p w14:paraId="1E4E80A6" w14:textId="77777777" w:rsidR="0003342D" w:rsidRPr="0091469F" w:rsidRDefault="0003342D" w:rsidP="0003342D">
      <w:pPr>
        <w:tabs>
          <w:tab w:val="center" w:pos="4680"/>
        </w:tabs>
        <w:jc w:val="center"/>
        <w:rPr>
          <w:rFonts w:eastAsia="Times New Roman"/>
        </w:rPr>
      </w:pPr>
      <w:r w:rsidRPr="0091469F">
        <w:rPr>
          <w:rFonts w:eastAsia="Times New Roman"/>
        </w:rPr>
        <w:t>4770 Buford Highway, NE MS F-79</w:t>
      </w:r>
    </w:p>
    <w:p w14:paraId="44AA14E8" w14:textId="77777777" w:rsidR="0003342D" w:rsidRPr="0091469F" w:rsidRDefault="0003342D" w:rsidP="0003342D">
      <w:pPr>
        <w:tabs>
          <w:tab w:val="center" w:pos="4680"/>
        </w:tabs>
        <w:jc w:val="center"/>
        <w:rPr>
          <w:rFonts w:eastAsia="Times New Roman"/>
        </w:rPr>
      </w:pPr>
      <w:r w:rsidRPr="0091469F">
        <w:rPr>
          <w:rFonts w:eastAsia="Times New Roman"/>
        </w:rPr>
        <w:t>Atlanta, Georgia 30341</w:t>
      </w:r>
    </w:p>
    <w:p w14:paraId="4BF0CF63" w14:textId="77777777" w:rsidR="0003342D" w:rsidRPr="0091469F" w:rsidRDefault="0003342D" w:rsidP="0003342D">
      <w:pPr>
        <w:tabs>
          <w:tab w:val="center" w:pos="4680"/>
        </w:tabs>
        <w:jc w:val="center"/>
        <w:rPr>
          <w:rFonts w:eastAsia="Times New Roman"/>
        </w:rPr>
      </w:pPr>
      <w:r w:rsidRPr="0091469F">
        <w:rPr>
          <w:rFonts w:eastAsia="Times New Roman"/>
        </w:rPr>
        <w:lastRenderedPageBreak/>
        <w:t>770-488-5582</w:t>
      </w:r>
    </w:p>
    <w:p w14:paraId="7050F143" w14:textId="77777777" w:rsidR="0003342D" w:rsidRPr="0091469F" w:rsidRDefault="0003342D" w:rsidP="0003342D">
      <w:pPr>
        <w:tabs>
          <w:tab w:val="center" w:pos="4680"/>
        </w:tabs>
        <w:jc w:val="center"/>
        <w:rPr>
          <w:rFonts w:eastAsia="Times New Roman"/>
          <w:lang w:val="pt-BR"/>
        </w:rPr>
      </w:pPr>
      <w:r w:rsidRPr="0091469F">
        <w:rPr>
          <w:rFonts w:eastAsia="Times New Roman"/>
          <w:lang w:val="pt-BR"/>
        </w:rPr>
        <w:t>FAX:</w:t>
      </w:r>
      <w:r w:rsidR="00E867CB" w:rsidRPr="0091469F">
        <w:rPr>
          <w:rFonts w:eastAsia="Times New Roman"/>
          <w:lang w:val="pt-BR"/>
        </w:rPr>
        <w:t>770-488-5939</w:t>
      </w:r>
      <w:r w:rsidRPr="0091469F">
        <w:rPr>
          <w:rFonts w:eastAsia="Times New Roman"/>
          <w:lang w:val="pt-BR"/>
        </w:rPr>
        <w:t xml:space="preserve"> </w:t>
      </w:r>
    </w:p>
    <w:p w14:paraId="6C44918C" w14:textId="77777777" w:rsidR="0003342D" w:rsidRPr="0091469F" w:rsidRDefault="0003342D" w:rsidP="0003342D">
      <w:pPr>
        <w:tabs>
          <w:tab w:val="center" w:pos="4680"/>
        </w:tabs>
        <w:jc w:val="center"/>
        <w:rPr>
          <w:rFonts w:eastAsia="Times New Roman"/>
          <w:lang w:val="pt-BR"/>
        </w:rPr>
      </w:pPr>
      <w:r w:rsidRPr="0091469F">
        <w:rPr>
          <w:rFonts w:eastAsia="Times New Roman"/>
          <w:lang w:val="pt-BR"/>
        </w:rPr>
        <w:t xml:space="preserve">E-mail: </w:t>
      </w:r>
      <w:hyperlink r:id="rId8" w:history="1">
        <w:r w:rsidRPr="0091469F">
          <w:rPr>
            <w:rFonts w:eastAsia="Times New Roman"/>
            <w:color w:val="0563C1"/>
            <w:u w:val="single"/>
            <w:lang w:val="pt-BR"/>
          </w:rPr>
          <w:t>mohegarty@cdc.gov</w:t>
        </w:r>
      </w:hyperlink>
    </w:p>
    <w:p w14:paraId="1D908B97" w14:textId="77777777" w:rsidR="00E867CB" w:rsidRPr="00803A81" w:rsidRDefault="00E867CB" w:rsidP="00E867CB">
      <w:pPr>
        <w:rPr>
          <w:rFonts w:eastAsia="Times New Roman"/>
          <w:lang w:val="pt-BR"/>
        </w:rPr>
      </w:pPr>
    </w:p>
    <w:p w14:paraId="3D697A05" w14:textId="2F4D1DB7" w:rsidR="009403D6" w:rsidRPr="008C3E18" w:rsidRDefault="00996785" w:rsidP="00A80C94">
      <w:pPr>
        <w:rPr>
          <w:rFonts w:eastAsia="Times New Roman"/>
          <w:lang w:val="pt-BR"/>
        </w:rPr>
      </w:pPr>
      <w:r w:rsidRPr="00E1033E">
        <w:rPr>
          <w:rFonts w:eastAsia="Times New Roman"/>
          <w:lang w:val="pt-BR"/>
        </w:rPr>
        <w:br w:type="page"/>
      </w:r>
      <w:r w:rsidR="009403D6" w:rsidRPr="00E1033E">
        <w:rPr>
          <w:rFonts w:eastAsia="Times New Roman"/>
          <w:b/>
        </w:rPr>
        <w:lastRenderedPageBreak/>
        <w:t xml:space="preserve">TABLE OF </w:t>
      </w:r>
      <w:r w:rsidR="009403D6" w:rsidRPr="008C3E18">
        <w:rPr>
          <w:rFonts w:eastAsia="Times New Roman"/>
          <w:b/>
        </w:rPr>
        <w:t>CONTENTS</w:t>
      </w:r>
    </w:p>
    <w:p w14:paraId="127AF819" w14:textId="77777777" w:rsidR="009403D6" w:rsidRPr="0091469F" w:rsidRDefault="009403D6" w:rsidP="009403D6">
      <w:pPr>
        <w:rPr>
          <w:rFonts w:eastAsia="Times New Roman"/>
          <w:b/>
          <w:bCs/>
          <w:color w:val="000000"/>
        </w:rPr>
      </w:pPr>
    </w:p>
    <w:p w14:paraId="128C883D" w14:textId="77777777" w:rsidR="009403D6" w:rsidRPr="0091469F" w:rsidRDefault="009403D6" w:rsidP="009403D6">
      <w:pPr>
        <w:rPr>
          <w:rFonts w:eastAsia="Times New Roman"/>
          <w:b/>
          <w:color w:val="000000"/>
        </w:rPr>
      </w:pPr>
      <w:r w:rsidRPr="0091469F">
        <w:rPr>
          <w:rFonts w:eastAsia="Times New Roman"/>
          <w:b/>
          <w:bCs/>
          <w:color w:val="000000"/>
        </w:rPr>
        <w:t>ABSTRACT</w:t>
      </w:r>
      <w:r w:rsidRPr="0091469F">
        <w:rPr>
          <w:rFonts w:eastAsia="Times New Roman"/>
          <w:b/>
          <w:color w:val="000000"/>
        </w:rPr>
        <w:t xml:space="preserve"> </w:t>
      </w:r>
    </w:p>
    <w:p w14:paraId="345345A2" w14:textId="77777777" w:rsidR="009403D6" w:rsidRPr="0091469F" w:rsidRDefault="009403D6" w:rsidP="009403D6">
      <w:pPr>
        <w:rPr>
          <w:rFonts w:eastAsia="Times New Roman"/>
          <w:b/>
          <w:color w:val="000000"/>
        </w:rPr>
      </w:pPr>
    </w:p>
    <w:p w14:paraId="12CD2376" w14:textId="77777777" w:rsidR="00EF7021" w:rsidRPr="0091469F" w:rsidRDefault="009403D6" w:rsidP="003C3068">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bCs/>
          <w:color w:val="000000"/>
        </w:rPr>
      </w:pPr>
      <w:r w:rsidRPr="0091469F">
        <w:rPr>
          <w:rFonts w:eastAsia="Times New Roman"/>
          <w:b/>
          <w:color w:val="000000"/>
        </w:rPr>
        <w:t>JUSTIFICATION</w:t>
      </w:r>
      <w:r w:rsidR="009218C1" w:rsidRPr="0091469F">
        <w:rPr>
          <w:rFonts w:eastAsia="Times New Roman"/>
          <w:b/>
          <w:color w:val="000000"/>
        </w:rPr>
        <w:t xml:space="preserve">    </w:t>
      </w:r>
    </w:p>
    <w:p w14:paraId="00CAF21D" w14:textId="62D613CC" w:rsidR="009403D6" w:rsidRPr="0091469F" w:rsidRDefault="009218C1" w:rsidP="00EF7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rFonts w:eastAsia="Times New Roman"/>
          <w:bCs/>
          <w:color w:val="000000"/>
        </w:rPr>
      </w:pPr>
      <w:r w:rsidRPr="0091469F">
        <w:rPr>
          <w:rFonts w:eastAsia="Times New Roman"/>
          <w:b/>
          <w:color w:val="000000"/>
        </w:rPr>
        <w:t xml:space="preserve">                                                                                                    </w:t>
      </w:r>
    </w:p>
    <w:p w14:paraId="04B6E215" w14:textId="1B3C9963" w:rsidR="009403D6" w:rsidRPr="0091469F"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 xml:space="preserve">1. </w:t>
      </w:r>
      <w:r w:rsidRPr="0091469F">
        <w:rPr>
          <w:rFonts w:eastAsia="Times New Roman"/>
          <w:bCs/>
          <w:color w:val="000000"/>
        </w:rPr>
        <w:tab/>
        <w:t>Circumstances Making the Collection of Information Necessary</w:t>
      </w:r>
      <w:r w:rsidR="009218C1" w:rsidRPr="0091469F">
        <w:rPr>
          <w:rFonts w:eastAsia="Times New Roman"/>
          <w:bCs/>
          <w:color w:val="000000"/>
        </w:rPr>
        <w:t xml:space="preserve">                                     </w:t>
      </w:r>
      <w:r w:rsidR="009D470B" w:rsidRPr="0091469F">
        <w:rPr>
          <w:rFonts w:eastAsia="Times New Roman"/>
          <w:bCs/>
          <w:color w:val="000000"/>
        </w:rPr>
        <w:t xml:space="preserve"> </w:t>
      </w:r>
      <w:r w:rsidR="009218C1" w:rsidRPr="0091469F">
        <w:rPr>
          <w:rFonts w:eastAsia="Times New Roman"/>
          <w:bCs/>
          <w:color w:val="000000"/>
        </w:rPr>
        <w:t xml:space="preserve">         </w:t>
      </w:r>
    </w:p>
    <w:p w14:paraId="770C0529" w14:textId="77777777" w:rsidR="009403D6" w:rsidRPr="0091469F"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232EF0D0" w14:textId="10336093" w:rsidR="009403D6" w:rsidRPr="0091469F"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2.</w:t>
      </w:r>
      <w:r w:rsidRPr="0091469F">
        <w:rPr>
          <w:rFonts w:eastAsia="Times New Roman"/>
          <w:bCs/>
          <w:color w:val="000000"/>
        </w:rPr>
        <w:tab/>
        <w:t>Purpose and Use of Information Collection</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009218C1" w:rsidRPr="0091469F">
        <w:rPr>
          <w:rFonts w:eastAsia="Times New Roman"/>
          <w:bCs/>
          <w:color w:val="000000"/>
        </w:rPr>
        <w:t xml:space="preserve">                                            </w:t>
      </w:r>
    </w:p>
    <w:p w14:paraId="5AD919FA"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55C6716C" w14:textId="1E0C921D" w:rsidR="009403D6" w:rsidRPr="0091469F"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3.</w:t>
      </w:r>
      <w:r w:rsidRPr="0091469F">
        <w:rPr>
          <w:rFonts w:eastAsia="Times New Roman"/>
          <w:bCs/>
          <w:color w:val="000000"/>
        </w:rPr>
        <w:tab/>
        <w:t>Use of Improved Information Tec</w:t>
      </w:r>
      <w:r w:rsidR="009218C1" w:rsidRPr="0091469F">
        <w:rPr>
          <w:rFonts w:eastAsia="Times New Roman"/>
          <w:bCs/>
          <w:color w:val="000000"/>
        </w:rPr>
        <w:t>hnology and Burden Reduction</w:t>
      </w:r>
      <w:r w:rsidR="009218C1" w:rsidRPr="0091469F">
        <w:rPr>
          <w:rFonts w:eastAsia="Times New Roman"/>
          <w:bCs/>
          <w:color w:val="000000"/>
        </w:rPr>
        <w:tab/>
      </w:r>
      <w:r w:rsidR="009218C1" w:rsidRPr="0091469F">
        <w:rPr>
          <w:rFonts w:eastAsia="Times New Roman"/>
          <w:bCs/>
          <w:color w:val="000000"/>
        </w:rPr>
        <w:tab/>
      </w:r>
      <w:r w:rsidR="009218C1" w:rsidRPr="0091469F">
        <w:rPr>
          <w:rFonts w:eastAsia="Times New Roman"/>
          <w:bCs/>
          <w:color w:val="000000"/>
        </w:rPr>
        <w:tab/>
        <w:t xml:space="preserve">        </w:t>
      </w:r>
    </w:p>
    <w:p w14:paraId="38FA21C3"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6EEE1466" w14:textId="634E2A8A"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4.</w:t>
      </w:r>
      <w:r w:rsidRPr="0091469F">
        <w:rPr>
          <w:rFonts w:eastAsia="Times New Roman"/>
          <w:bCs/>
          <w:color w:val="000000"/>
        </w:rPr>
        <w:tab/>
        <w:t>Efforts to Identify Duplication and Use of Similar Information</w:t>
      </w:r>
      <w:r w:rsidRPr="0091469F">
        <w:rPr>
          <w:rFonts w:eastAsia="Times New Roman"/>
          <w:bCs/>
          <w:color w:val="000000"/>
        </w:rPr>
        <w:tab/>
      </w:r>
      <w:r w:rsidR="009218C1" w:rsidRPr="0091469F">
        <w:rPr>
          <w:rFonts w:eastAsia="Times New Roman"/>
          <w:bCs/>
          <w:color w:val="000000"/>
        </w:rPr>
        <w:t xml:space="preserve"> </w:t>
      </w:r>
      <w:r w:rsidR="00C951E5" w:rsidRPr="0091469F">
        <w:rPr>
          <w:rFonts w:eastAsia="Times New Roman"/>
          <w:bCs/>
          <w:color w:val="000000"/>
        </w:rPr>
        <w:t xml:space="preserve">                               </w:t>
      </w:r>
    </w:p>
    <w:p w14:paraId="3E916FBC"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6C7861AD" w14:textId="48C2DF54"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5.</w:t>
      </w:r>
      <w:r w:rsidRPr="0091469F">
        <w:rPr>
          <w:rFonts w:eastAsia="Times New Roman"/>
          <w:bCs/>
          <w:color w:val="000000"/>
        </w:rPr>
        <w:tab/>
        <w:t>Impact on Small Businesses or Other Small Entities</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009218C1" w:rsidRPr="0091469F">
        <w:rPr>
          <w:rFonts w:eastAsia="Times New Roman"/>
          <w:bCs/>
          <w:color w:val="000000"/>
        </w:rPr>
        <w:t xml:space="preserve">        </w:t>
      </w:r>
    </w:p>
    <w:p w14:paraId="614816A4"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259987E4" w14:textId="76FE6245"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6.</w:t>
      </w:r>
      <w:r w:rsidRPr="0091469F">
        <w:rPr>
          <w:rFonts w:eastAsia="Times New Roman"/>
          <w:bCs/>
          <w:color w:val="000000"/>
        </w:rPr>
        <w:tab/>
        <w:t>Consequences of Collecting the Information Less Frequently</w:t>
      </w:r>
      <w:r w:rsidR="009218C1" w:rsidRPr="0091469F">
        <w:rPr>
          <w:rFonts w:eastAsia="Times New Roman"/>
          <w:bCs/>
          <w:color w:val="000000"/>
        </w:rPr>
        <w:t xml:space="preserve">                                          </w:t>
      </w:r>
      <w:r w:rsidR="009D470B" w:rsidRPr="0091469F">
        <w:rPr>
          <w:rFonts w:eastAsia="Times New Roman"/>
          <w:bCs/>
          <w:color w:val="000000"/>
        </w:rPr>
        <w:t xml:space="preserve"> </w:t>
      </w:r>
      <w:r w:rsidR="009218C1" w:rsidRPr="0091469F">
        <w:rPr>
          <w:rFonts w:eastAsia="Times New Roman"/>
          <w:bCs/>
          <w:color w:val="000000"/>
        </w:rPr>
        <w:t xml:space="preserve">              </w:t>
      </w:r>
    </w:p>
    <w:p w14:paraId="0DFF0867"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0BF21157" w14:textId="180CD938"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7.</w:t>
      </w:r>
      <w:r w:rsidRPr="0091469F">
        <w:rPr>
          <w:rFonts w:eastAsia="Times New Roman"/>
          <w:bCs/>
          <w:color w:val="000000"/>
        </w:rPr>
        <w:tab/>
        <w:t>Special Circumstances Relating to the Guidelines of 5 CFR 1320.5</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608FF9BD"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FF0000"/>
        </w:rPr>
      </w:pPr>
    </w:p>
    <w:p w14:paraId="0E6CBE46" w14:textId="3FF5FF67" w:rsidR="009403D6" w:rsidRPr="0091469F" w:rsidRDefault="009403D6"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themeColor="text1"/>
        </w:rPr>
      </w:pPr>
      <w:r w:rsidRPr="0091469F">
        <w:rPr>
          <w:rFonts w:eastAsia="Times New Roman"/>
          <w:bCs/>
        </w:rPr>
        <w:t>8.</w:t>
      </w:r>
      <w:r w:rsidRPr="0091469F">
        <w:rPr>
          <w:rFonts w:eastAsia="Times New Roman"/>
          <w:bCs/>
          <w:color w:val="FF0000"/>
        </w:rPr>
        <w:tab/>
      </w:r>
      <w:r w:rsidRPr="0091469F">
        <w:rPr>
          <w:rFonts w:eastAsia="Times New Roman"/>
          <w:bCs/>
          <w:color w:val="000000" w:themeColor="text1"/>
        </w:rPr>
        <w:t>Comments in Response to the Federal Register Notice and Efforts to Consult Outside the Agency</w:t>
      </w:r>
      <w:r w:rsidRPr="0091469F">
        <w:rPr>
          <w:rFonts w:eastAsia="Times New Roman"/>
          <w:bCs/>
          <w:color w:val="000000" w:themeColor="text1"/>
        </w:rPr>
        <w:tab/>
      </w:r>
    </w:p>
    <w:p w14:paraId="3BDD9AD8" w14:textId="3E66B0DF" w:rsidR="00370390" w:rsidRPr="0091469F"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91469F">
        <w:rPr>
          <w:rFonts w:eastAsia="Times New Roman"/>
          <w:bCs/>
        </w:rPr>
        <w:tab/>
        <w:t>a.</w:t>
      </w:r>
      <w:r w:rsidRPr="0091469F">
        <w:rPr>
          <w:rFonts w:eastAsia="Times New Roman"/>
          <w:bCs/>
          <w:color w:val="000000"/>
        </w:rPr>
        <w:t xml:space="preserve"> </w:t>
      </w:r>
      <w:r w:rsidR="00FD2269" w:rsidRPr="0091469F">
        <w:rPr>
          <w:rFonts w:eastAsia="Times New Roman"/>
          <w:bCs/>
          <w:color w:val="000000"/>
        </w:rPr>
        <w:tab/>
      </w:r>
      <w:r w:rsidRPr="0091469F">
        <w:rPr>
          <w:rFonts w:eastAsia="Times New Roman"/>
          <w:bCs/>
          <w:color w:val="000000"/>
        </w:rPr>
        <w:t>Federal Register Announcement</w:t>
      </w:r>
    </w:p>
    <w:p w14:paraId="257B7506" w14:textId="049C2E69" w:rsidR="00370390" w:rsidRPr="0091469F"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91469F">
        <w:rPr>
          <w:rFonts w:eastAsia="Times New Roman"/>
          <w:bCs/>
        </w:rPr>
        <w:tab/>
        <w:t>b.</w:t>
      </w:r>
      <w:r w:rsidRPr="0091469F">
        <w:rPr>
          <w:rFonts w:eastAsia="Times New Roman"/>
          <w:bCs/>
          <w:color w:val="000000"/>
        </w:rPr>
        <w:t xml:space="preserve"> </w:t>
      </w:r>
      <w:r w:rsidR="00FD2269" w:rsidRPr="0091469F">
        <w:rPr>
          <w:rFonts w:eastAsia="Times New Roman"/>
          <w:bCs/>
          <w:color w:val="000000"/>
        </w:rPr>
        <w:tab/>
      </w:r>
      <w:r w:rsidRPr="0091469F">
        <w:rPr>
          <w:rFonts w:eastAsia="Times New Roman"/>
          <w:bCs/>
          <w:color w:val="000000"/>
        </w:rPr>
        <w:t>Consultations</w:t>
      </w:r>
    </w:p>
    <w:p w14:paraId="7CCC4B82" w14:textId="77777777" w:rsidR="009403D6" w:rsidRPr="0091469F" w:rsidRDefault="009403D6" w:rsidP="009403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4479B063" w14:textId="5B53E5E3" w:rsidR="009403D6" w:rsidRPr="0091469F" w:rsidRDefault="009403D6" w:rsidP="00086FA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9.</w:t>
      </w:r>
      <w:r w:rsidRPr="0091469F">
        <w:rPr>
          <w:rFonts w:eastAsia="Times New Roman"/>
          <w:bCs/>
          <w:color w:val="000000"/>
        </w:rPr>
        <w:tab/>
        <w:t>Explanation of Any Payment or Gift to Respondents</w:t>
      </w:r>
      <w:r w:rsidRPr="0091469F">
        <w:rPr>
          <w:rFonts w:eastAsia="Times New Roman"/>
          <w:bCs/>
          <w:color w:val="000000"/>
        </w:rPr>
        <w:tab/>
      </w:r>
      <w:r w:rsidRPr="0091469F">
        <w:rPr>
          <w:rFonts w:eastAsia="Times New Roman"/>
          <w:bCs/>
          <w:color w:val="000000"/>
        </w:rPr>
        <w:tab/>
      </w:r>
      <w:r w:rsidR="00086FA9" w:rsidRPr="0091469F">
        <w:rPr>
          <w:rFonts w:eastAsia="Times New Roman"/>
          <w:bCs/>
          <w:color w:val="000000"/>
        </w:rPr>
        <w:t xml:space="preserve">                                                </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0B70B10A" w14:textId="3CA71CA4"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91469F">
        <w:rPr>
          <w:rFonts w:eastAsia="Times New Roman"/>
          <w:bCs/>
          <w:color w:val="000000"/>
        </w:rPr>
        <w:t>10.</w:t>
      </w:r>
      <w:r w:rsidRPr="0091469F">
        <w:rPr>
          <w:rFonts w:eastAsia="Times New Roman"/>
          <w:bCs/>
          <w:color w:val="000000"/>
        </w:rPr>
        <w:tab/>
        <w:t>Protection of the Privacy and Confidentiality of Information Provided by Respondents</w:t>
      </w:r>
      <w:r w:rsidR="00086FA9" w:rsidRPr="0091469F">
        <w:rPr>
          <w:rFonts w:eastAsia="Times New Roman"/>
          <w:bCs/>
          <w:color w:val="000000"/>
        </w:rPr>
        <w:t xml:space="preserve">  </w:t>
      </w:r>
    </w:p>
    <w:p w14:paraId="7D4495C2"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4B323E78" w14:textId="72029DFC"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91469F">
        <w:rPr>
          <w:rFonts w:eastAsia="Times New Roman"/>
          <w:bCs/>
          <w:color w:val="000000"/>
        </w:rPr>
        <w:t>11.</w:t>
      </w:r>
      <w:r w:rsidRPr="0091469F">
        <w:rPr>
          <w:rFonts w:eastAsia="Times New Roman"/>
          <w:bCs/>
          <w:color w:val="000000"/>
        </w:rPr>
        <w:tab/>
        <w:t xml:space="preserve">Institutional Review Board (IRB) and Justification for Sensitive Questions </w:t>
      </w:r>
      <w:r w:rsidR="0094087F" w:rsidRPr="0091469F">
        <w:rPr>
          <w:rFonts w:eastAsia="Times New Roman"/>
          <w:bCs/>
          <w:color w:val="000000"/>
        </w:rPr>
        <w:t xml:space="preserve">                   </w:t>
      </w:r>
      <w:r w:rsidR="00086FA9" w:rsidRPr="0091469F">
        <w:rPr>
          <w:rFonts w:eastAsia="Times New Roman"/>
          <w:bCs/>
          <w:color w:val="000000"/>
        </w:rPr>
        <w:t xml:space="preserve">  </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61935955" w14:textId="6973C7A7"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12.</w:t>
      </w:r>
      <w:r w:rsidRPr="0091469F">
        <w:rPr>
          <w:rFonts w:eastAsia="Times New Roman"/>
          <w:bCs/>
          <w:color w:val="000000"/>
        </w:rPr>
        <w:tab/>
        <w:t>Estimates of Annualized Burden Hours and Costs</w:t>
      </w:r>
      <w:r w:rsidR="00086FA9" w:rsidRPr="0091469F">
        <w:rPr>
          <w:rFonts w:eastAsia="Times New Roman"/>
          <w:bCs/>
          <w:color w:val="000000"/>
        </w:rPr>
        <w:t xml:space="preserve">                                                            </w:t>
      </w:r>
    </w:p>
    <w:p w14:paraId="6CD7069D"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1025B517" w14:textId="19BF3C4B"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13.</w:t>
      </w:r>
      <w:r w:rsidRPr="0091469F">
        <w:rPr>
          <w:rFonts w:eastAsia="Times New Roman"/>
          <w:bCs/>
          <w:color w:val="000000"/>
        </w:rPr>
        <w:tab/>
        <w:t>Estimates of Other Total Annual Cost Burden to Respondents and Record Keepers</w:t>
      </w:r>
      <w:r w:rsidR="00086FA9" w:rsidRPr="0091469F">
        <w:rPr>
          <w:rFonts w:eastAsia="Times New Roman"/>
          <w:bCs/>
          <w:color w:val="000000"/>
        </w:rPr>
        <w:t xml:space="preserve">       </w:t>
      </w:r>
    </w:p>
    <w:p w14:paraId="11A0F72B" w14:textId="77777777" w:rsidR="009403D6" w:rsidRPr="0091469F"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6736EEDB" w14:textId="5878CEEE" w:rsidR="009403D6" w:rsidRPr="0091469F" w:rsidRDefault="009403D6" w:rsidP="009403D6">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14.</w:t>
      </w:r>
      <w:r w:rsidRPr="0091469F">
        <w:rPr>
          <w:rFonts w:eastAsia="Times New Roman"/>
          <w:bCs/>
          <w:color w:val="000000"/>
        </w:rPr>
        <w:tab/>
        <w:t>Annualized Cost to the Federal Government</w:t>
      </w:r>
      <w:r w:rsidR="00EB7DEA" w:rsidRPr="0091469F">
        <w:rPr>
          <w:rFonts w:eastAsia="Times New Roman"/>
          <w:bCs/>
          <w:color w:val="000000"/>
        </w:rPr>
        <w:t xml:space="preserve">                                                                     </w:t>
      </w:r>
      <w:r w:rsidRPr="0091469F">
        <w:rPr>
          <w:rFonts w:eastAsia="Times New Roman"/>
          <w:bCs/>
          <w:color w:val="000000"/>
        </w:rPr>
        <w:t xml:space="preserve"> </w:t>
      </w:r>
      <w:r w:rsidR="00EB7DEA" w:rsidRPr="0091469F">
        <w:rPr>
          <w:rFonts w:eastAsia="Times New Roman"/>
          <w:bCs/>
          <w:color w:val="000000"/>
        </w:rPr>
        <w:t xml:space="preserve"> </w:t>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r w:rsidRPr="0091469F">
        <w:rPr>
          <w:rFonts w:eastAsia="Times New Roman"/>
          <w:bCs/>
          <w:color w:val="000000"/>
        </w:rPr>
        <w:tab/>
      </w:r>
    </w:p>
    <w:p w14:paraId="41763747" w14:textId="2DA75774"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15.</w:t>
      </w:r>
      <w:r w:rsidRPr="0091469F">
        <w:rPr>
          <w:rFonts w:eastAsia="Times New Roman"/>
          <w:bCs/>
          <w:color w:val="000000"/>
        </w:rPr>
        <w:tab/>
        <w:t>Explanation for Prog</w:t>
      </w:r>
      <w:r w:rsidR="00EB7DEA" w:rsidRPr="0091469F">
        <w:rPr>
          <w:rFonts w:eastAsia="Times New Roman"/>
          <w:bCs/>
          <w:color w:val="000000"/>
        </w:rPr>
        <w:t>ram Changes or Adj</w:t>
      </w:r>
      <w:r w:rsidR="00FB67A9" w:rsidRPr="0091469F">
        <w:rPr>
          <w:rFonts w:eastAsia="Times New Roman"/>
          <w:bCs/>
          <w:color w:val="000000"/>
        </w:rPr>
        <w:t>ustments</w:t>
      </w:r>
      <w:r w:rsidR="00FB67A9" w:rsidRPr="0091469F">
        <w:rPr>
          <w:rFonts w:eastAsia="Times New Roman"/>
          <w:bCs/>
          <w:color w:val="000000"/>
        </w:rPr>
        <w:tab/>
      </w:r>
      <w:r w:rsidR="00FB67A9" w:rsidRPr="0091469F">
        <w:rPr>
          <w:rFonts w:eastAsia="Times New Roman"/>
          <w:bCs/>
          <w:color w:val="000000"/>
        </w:rPr>
        <w:tab/>
      </w:r>
      <w:r w:rsidR="00FB67A9" w:rsidRPr="0091469F">
        <w:rPr>
          <w:rFonts w:eastAsia="Times New Roman"/>
          <w:bCs/>
          <w:color w:val="000000"/>
        </w:rPr>
        <w:tab/>
      </w:r>
      <w:r w:rsidR="00FB67A9" w:rsidRPr="0091469F">
        <w:rPr>
          <w:rFonts w:eastAsia="Times New Roman"/>
          <w:bCs/>
          <w:color w:val="000000"/>
        </w:rPr>
        <w:tab/>
      </w:r>
      <w:r w:rsidR="00FB67A9" w:rsidRPr="0091469F">
        <w:rPr>
          <w:rFonts w:eastAsia="Times New Roman"/>
          <w:bCs/>
          <w:color w:val="000000"/>
        </w:rPr>
        <w:tab/>
        <w:t xml:space="preserve">        </w:t>
      </w:r>
    </w:p>
    <w:p w14:paraId="6F3371F6" w14:textId="77777777"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23A7DC09" w14:textId="07D2D290"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16.</w:t>
      </w:r>
      <w:r w:rsidRPr="0091469F">
        <w:rPr>
          <w:rFonts w:eastAsia="Times New Roman"/>
          <w:bCs/>
          <w:color w:val="000000"/>
        </w:rPr>
        <w:tab/>
        <w:t>Plans for Tabulation and Publication and Project Time Schedule</w:t>
      </w:r>
      <w:r w:rsidR="00EB7DEA" w:rsidRPr="0091469F">
        <w:rPr>
          <w:rFonts w:eastAsia="Times New Roman"/>
          <w:bCs/>
          <w:color w:val="000000"/>
        </w:rPr>
        <w:t xml:space="preserve">                                     </w:t>
      </w:r>
    </w:p>
    <w:p w14:paraId="79B10DDF" w14:textId="77777777"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186E2497" w14:textId="3DE4947C"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17.</w:t>
      </w:r>
      <w:r w:rsidRPr="0091469F">
        <w:rPr>
          <w:rFonts w:eastAsia="Times New Roman"/>
          <w:bCs/>
          <w:color w:val="000000"/>
        </w:rPr>
        <w:tab/>
        <w:t>Reason(s) Display of OMB Expiration Date is Inappropriate</w:t>
      </w:r>
      <w:r w:rsidR="00EB7DEA" w:rsidRPr="0091469F">
        <w:rPr>
          <w:rFonts w:eastAsia="Times New Roman"/>
          <w:bCs/>
          <w:color w:val="000000"/>
        </w:rPr>
        <w:t xml:space="preserve">             </w:t>
      </w:r>
      <w:r w:rsidR="00FB67A9" w:rsidRPr="0091469F">
        <w:rPr>
          <w:rFonts w:eastAsia="Times New Roman"/>
          <w:bCs/>
          <w:color w:val="000000"/>
        </w:rPr>
        <w:t xml:space="preserve">                              </w:t>
      </w:r>
    </w:p>
    <w:p w14:paraId="547E8301" w14:textId="77777777"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14:paraId="1474A884" w14:textId="05213F67" w:rsidR="009403D6" w:rsidRPr="0091469F"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91469F">
        <w:rPr>
          <w:rFonts w:eastAsia="Times New Roman"/>
          <w:bCs/>
          <w:color w:val="000000"/>
        </w:rPr>
        <w:t>18.</w:t>
      </w:r>
      <w:r w:rsidRPr="0091469F">
        <w:rPr>
          <w:rFonts w:eastAsia="Times New Roman"/>
          <w:bCs/>
          <w:color w:val="000000"/>
        </w:rPr>
        <w:tab/>
        <w:t>Exceptions to Certification for Paperwork Reduction Act Submissions</w:t>
      </w:r>
      <w:r w:rsidR="00FB67A9" w:rsidRPr="0091469F">
        <w:rPr>
          <w:rFonts w:eastAsia="Times New Roman"/>
          <w:bCs/>
          <w:color w:val="000000"/>
        </w:rPr>
        <w:t xml:space="preserve">                           </w:t>
      </w:r>
    </w:p>
    <w:p w14:paraId="5A7179B0" w14:textId="77777777" w:rsidR="009403D6" w:rsidRPr="0091469F" w:rsidRDefault="009403D6" w:rsidP="009403D6">
      <w:pPr>
        <w:tabs>
          <w:tab w:val="center" w:pos="4680"/>
        </w:tabs>
        <w:jc w:val="center"/>
        <w:rPr>
          <w:rFonts w:eastAsia="Times New Roman"/>
          <w:lang w:val="pt-BR"/>
        </w:rPr>
      </w:pPr>
    </w:p>
    <w:p w14:paraId="4E563572" w14:textId="77777777" w:rsidR="00352D38" w:rsidRPr="0091469F" w:rsidRDefault="00352D38" w:rsidP="008D2BA5">
      <w:pPr>
        <w:spacing w:line="480" w:lineRule="auto"/>
        <w:jc w:val="center"/>
      </w:pPr>
    </w:p>
    <w:p w14:paraId="5C4D2E74" w14:textId="77777777" w:rsidR="00352D38" w:rsidRPr="0091469F" w:rsidRDefault="00352D38" w:rsidP="008D2BA5">
      <w:pPr>
        <w:spacing w:line="480" w:lineRule="auto"/>
        <w:jc w:val="center"/>
      </w:pPr>
    </w:p>
    <w:p w14:paraId="17FC0264" w14:textId="214A4A32" w:rsidR="00E61310" w:rsidRPr="0091469F" w:rsidRDefault="00F83BFE" w:rsidP="008D2BA5">
      <w:pPr>
        <w:spacing w:line="480" w:lineRule="auto"/>
        <w:jc w:val="center"/>
        <w:rPr>
          <w:b/>
        </w:rPr>
      </w:pPr>
      <w:r w:rsidRPr="0091469F">
        <w:rPr>
          <w:b/>
        </w:rPr>
        <w:t xml:space="preserve">LIST OF </w:t>
      </w:r>
      <w:r w:rsidR="007248AA" w:rsidRPr="0091469F">
        <w:rPr>
          <w:b/>
        </w:rPr>
        <w:t>ATTACHMENTS</w:t>
      </w:r>
    </w:p>
    <w:p w14:paraId="6C76D128" w14:textId="77777777" w:rsidR="00271343" w:rsidRDefault="007900EE" w:rsidP="008A44FC">
      <w:pPr>
        <w:ind w:left="900" w:hanging="540"/>
        <w:rPr>
          <w:color w:val="000000" w:themeColor="text1"/>
        </w:rPr>
      </w:pPr>
      <w:r>
        <w:rPr>
          <w:color w:val="000000" w:themeColor="text1"/>
        </w:rPr>
        <w:t>1</w:t>
      </w:r>
      <w:r w:rsidR="00271343">
        <w:rPr>
          <w:color w:val="000000" w:themeColor="text1"/>
        </w:rPr>
        <w:t>A</w:t>
      </w:r>
      <w:r>
        <w:rPr>
          <w:color w:val="000000" w:themeColor="text1"/>
        </w:rPr>
        <w:t xml:space="preserve">. </w:t>
      </w:r>
      <w:r w:rsidR="008A44FC">
        <w:rPr>
          <w:color w:val="000000" w:themeColor="text1"/>
        </w:rPr>
        <w:tab/>
      </w:r>
      <w:r w:rsidR="005B4272" w:rsidRPr="00DA6742">
        <w:rPr>
          <w:color w:val="000000" w:themeColor="text1"/>
        </w:rPr>
        <w:t xml:space="preserve">Screen Shots of </w:t>
      </w:r>
      <w:r w:rsidR="007A1FF4" w:rsidRPr="00DA6742">
        <w:rPr>
          <w:color w:val="000000" w:themeColor="text1"/>
        </w:rPr>
        <w:t xml:space="preserve">the </w:t>
      </w:r>
      <w:r w:rsidR="00FA2549" w:rsidRPr="00DA6742">
        <w:rPr>
          <w:color w:val="000000" w:themeColor="text1"/>
        </w:rPr>
        <w:t xml:space="preserve">Recruitment </w:t>
      </w:r>
      <w:r w:rsidR="0046273A" w:rsidRPr="00DA6742">
        <w:rPr>
          <w:color w:val="000000" w:themeColor="text1"/>
        </w:rPr>
        <w:t>Screener</w:t>
      </w:r>
    </w:p>
    <w:p w14:paraId="66A8F0DA" w14:textId="11C7EF27" w:rsidR="003A0C40" w:rsidRPr="00DA6742" w:rsidRDefault="00271343" w:rsidP="008A44FC">
      <w:pPr>
        <w:ind w:left="900" w:hanging="540"/>
        <w:rPr>
          <w:color w:val="000000" w:themeColor="text1"/>
        </w:rPr>
      </w:pPr>
      <w:r>
        <w:rPr>
          <w:color w:val="000000" w:themeColor="text1"/>
        </w:rPr>
        <w:t>1B.</w:t>
      </w:r>
      <w:r>
        <w:rPr>
          <w:color w:val="000000" w:themeColor="text1"/>
        </w:rPr>
        <w:tab/>
        <w:t xml:space="preserve">Screen Shots of the </w:t>
      </w:r>
      <w:r w:rsidR="007A1FF4" w:rsidRPr="00DA6742">
        <w:rPr>
          <w:color w:val="000000" w:themeColor="text1"/>
        </w:rPr>
        <w:t xml:space="preserve">Main Questionnaire </w:t>
      </w:r>
      <w:r w:rsidR="00FA2549" w:rsidRPr="00DA6742">
        <w:rPr>
          <w:color w:val="000000" w:themeColor="text1"/>
        </w:rPr>
        <w:t xml:space="preserve">for </w:t>
      </w:r>
      <w:r w:rsidR="00703B38" w:rsidRPr="00DA6742">
        <w:rPr>
          <w:color w:val="000000" w:themeColor="text1"/>
        </w:rPr>
        <w:t xml:space="preserve">Regular </w:t>
      </w:r>
      <w:r w:rsidR="00FA2549" w:rsidRPr="00DA6742">
        <w:rPr>
          <w:color w:val="000000" w:themeColor="text1"/>
        </w:rPr>
        <w:t>Cigarette Smokers</w:t>
      </w:r>
      <w:r w:rsidR="003A0C40" w:rsidRPr="00DA6742">
        <w:rPr>
          <w:color w:val="000000" w:themeColor="text1"/>
        </w:rPr>
        <w:t xml:space="preserve"> and Dual Use</w:t>
      </w:r>
      <w:r w:rsidR="00FA2549" w:rsidRPr="00DA6742">
        <w:rPr>
          <w:color w:val="000000" w:themeColor="text1"/>
        </w:rPr>
        <w:t>rs</w:t>
      </w:r>
      <w:r w:rsidR="002E55F2" w:rsidRPr="00DA6742">
        <w:rPr>
          <w:color w:val="000000" w:themeColor="text1"/>
        </w:rPr>
        <w:t xml:space="preserve"> </w:t>
      </w:r>
    </w:p>
    <w:p w14:paraId="72BCC93A" w14:textId="5E7D1DA9" w:rsidR="007A1300" w:rsidRDefault="00271343" w:rsidP="008A44FC">
      <w:pPr>
        <w:ind w:left="900" w:hanging="540"/>
        <w:rPr>
          <w:color w:val="000000" w:themeColor="text1"/>
        </w:rPr>
      </w:pPr>
      <w:r>
        <w:rPr>
          <w:color w:val="000000" w:themeColor="text1"/>
        </w:rPr>
        <w:t>2</w:t>
      </w:r>
      <w:r w:rsidR="007900EE">
        <w:rPr>
          <w:color w:val="000000" w:themeColor="text1"/>
        </w:rPr>
        <w:t xml:space="preserve">A. </w:t>
      </w:r>
      <w:r w:rsidR="008A44FC">
        <w:rPr>
          <w:color w:val="000000" w:themeColor="text1"/>
        </w:rPr>
        <w:tab/>
      </w:r>
      <w:r w:rsidR="007A1300" w:rsidRPr="00DA6742">
        <w:rPr>
          <w:color w:val="000000" w:themeColor="text1"/>
        </w:rPr>
        <w:t>Moderator’s Guide</w:t>
      </w:r>
      <w:r w:rsidR="00FA2549" w:rsidRPr="00DA6742">
        <w:rPr>
          <w:color w:val="000000" w:themeColor="text1"/>
        </w:rPr>
        <w:t xml:space="preserve"> for IDI</w:t>
      </w:r>
      <w:r w:rsidR="007A1300" w:rsidRPr="00DA6742">
        <w:rPr>
          <w:color w:val="000000" w:themeColor="text1"/>
        </w:rPr>
        <w:t xml:space="preserve"> –</w:t>
      </w:r>
      <w:r w:rsidR="00FA2549" w:rsidRPr="00DA6742">
        <w:rPr>
          <w:color w:val="000000" w:themeColor="text1"/>
        </w:rPr>
        <w:t xml:space="preserve"> </w:t>
      </w:r>
      <w:r w:rsidR="007A1300" w:rsidRPr="00DA6742">
        <w:rPr>
          <w:color w:val="000000" w:themeColor="text1"/>
        </w:rPr>
        <w:t>Dual Use</w:t>
      </w:r>
    </w:p>
    <w:p w14:paraId="5B6EEDD1" w14:textId="5588F5FC" w:rsidR="007900EE" w:rsidRPr="00DA6742" w:rsidRDefault="00271343" w:rsidP="008A44FC">
      <w:pPr>
        <w:ind w:left="900" w:hanging="540"/>
        <w:rPr>
          <w:color w:val="000000" w:themeColor="text1"/>
        </w:rPr>
      </w:pPr>
      <w:r>
        <w:rPr>
          <w:color w:val="000000" w:themeColor="text1"/>
        </w:rPr>
        <w:t>2</w:t>
      </w:r>
      <w:r w:rsidR="007900EE">
        <w:rPr>
          <w:color w:val="000000" w:themeColor="text1"/>
        </w:rPr>
        <w:t xml:space="preserve">B. </w:t>
      </w:r>
      <w:r w:rsidR="008A44FC">
        <w:rPr>
          <w:color w:val="000000" w:themeColor="text1"/>
        </w:rPr>
        <w:tab/>
      </w:r>
      <w:r w:rsidR="007900EE" w:rsidRPr="006F1962">
        <w:rPr>
          <w:color w:val="000000" w:themeColor="text1"/>
        </w:rPr>
        <w:t>Additional Information About the Message Platforms for Dual Users</w:t>
      </w:r>
    </w:p>
    <w:p w14:paraId="183B53EA" w14:textId="145AC962" w:rsidR="007A1300" w:rsidRDefault="00271343" w:rsidP="008A44FC">
      <w:pPr>
        <w:ind w:left="900" w:hanging="540"/>
        <w:rPr>
          <w:color w:val="000000" w:themeColor="text1"/>
        </w:rPr>
      </w:pPr>
      <w:r>
        <w:rPr>
          <w:color w:val="000000" w:themeColor="text1"/>
        </w:rPr>
        <w:t>3</w:t>
      </w:r>
      <w:r w:rsidR="007900EE">
        <w:rPr>
          <w:color w:val="000000" w:themeColor="text1"/>
        </w:rPr>
        <w:t xml:space="preserve">A. </w:t>
      </w:r>
      <w:r w:rsidR="008A44FC">
        <w:rPr>
          <w:color w:val="000000" w:themeColor="text1"/>
        </w:rPr>
        <w:tab/>
      </w:r>
      <w:r w:rsidR="007A1300" w:rsidRPr="00DA6742">
        <w:rPr>
          <w:color w:val="000000" w:themeColor="text1"/>
        </w:rPr>
        <w:t>Moderator’s Guide</w:t>
      </w:r>
      <w:r w:rsidR="00FA2549" w:rsidRPr="00DA6742">
        <w:rPr>
          <w:color w:val="000000" w:themeColor="text1"/>
        </w:rPr>
        <w:t xml:space="preserve"> for IDI</w:t>
      </w:r>
      <w:r w:rsidR="00EF7021" w:rsidRPr="00DA6742">
        <w:rPr>
          <w:color w:val="000000" w:themeColor="text1"/>
        </w:rPr>
        <w:t xml:space="preserve"> –</w:t>
      </w:r>
      <w:r w:rsidR="00FA2549" w:rsidRPr="00DA6742">
        <w:rPr>
          <w:color w:val="000000" w:themeColor="text1"/>
        </w:rPr>
        <w:t xml:space="preserve"> </w:t>
      </w:r>
      <w:r w:rsidR="0058689B" w:rsidRPr="00DA6742">
        <w:rPr>
          <w:color w:val="000000" w:themeColor="text1"/>
        </w:rPr>
        <w:t xml:space="preserve">Regular </w:t>
      </w:r>
      <w:r w:rsidR="002E5F43" w:rsidRPr="00DA6742">
        <w:rPr>
          <w:color w:val="000000" w:themeColor="text1"/>
        </w:rPr>
        <w:t>Cigarette Smokers</w:t>
      </w:r>
    </w:p>
    <w:p w14:paraId="1275B383" w14:textId="7E30A6A0" w:rsidR="007900EE" w:rsidRPr="00DA6742" w:rsidRDefault="00271343" w:rsidP="008A44FC">
      <w:pPr>
        <w:ind w:left="900" w:hanging="540"/>
        <w:rPr>
          <w:color w:val="000000" w:themeColor="text1"/>
        </w:rPr>
      </w:pPr>
      <w:r>
        <w:rPr>
          <w:color w:val="000000" w:themeColor="text1"/>
        </w:rPr>
        <w:t>3</w:t>
      </w:r>
      <w:r w:rsidR="007900EE">
        <w:rPr>
          <w:color w:val="000000" w:themeColor="text1"/>
        </w:rPr>
        <w:t xml:space="preserve">B. </w:t>
      </w:r>
      <w:r w:rsidR="008A44FC">
        <w:rPr>
          <w:color w:val="000000" w:themeColor="text1"/>
        </w:rPr>
        <w:tab/>
      </w:r>
      <w:r w:rsidR="007900EE" w:rsidRPr="003E72DD">
        <w:rPr>
          <w:color w:val="000000" w:themeColor="text1"/>
        </w:rPr>
        <w:t>Additional Information About the Message Platforms for Cigarette Users</w:t>
      </w:r>
    </w:p>
    <w:p w14:paraId="5D6D3085" w14:textId="279265C2" w:rsidR="007A1300" w:rsidRPr="00DA6742" w:rsidRDefault="007900EE" w:rsidP="008A44FC">
      <w:pPr>
        <w:ind w:left="900" w:hanging="540"/>
        <w:rPr>
          <w:color w:val="000000" w:themeColor="text1"/>
        </w:rPr>
      </w:pPr>
      <w:r>
        <w:rPr>
          <w:color w:val="000000" w:themeColor="text1"/>
        </w:rPr>
        <w:t xml:space="preserve">4. </w:t>
      </w:r>
      <w:r w:rsidR="008A44FC">
        <w:rPr>
          <w:color w:val="000000" w:themeColor="text1"/>
        </w:rPr>
        <w:tab/>
      </w:r>
      <w:r w:rsidR="00340569" w:rsidRPr="00DA6742">
        <w:rPr>
          <w:color w:val="000000" w:themeColor="text1"/>
        </w:rPr>
        <w:t xml:space="preserve">Email </w:t>
      </w:r>
      <w:r w:rsidR="005B4272" w:rsidRPr="00DA6742">
        <w:rPr>
          <w:color w:val="000000" w:themeColor="text1"/>
        </w:rPr>
        <w:t xml:space="preserve">Invitation </w:t>
      </w:r>
      <w:r w:rsidR="00340569" w:rsidRPr="00DA6742">
        <w:rPr>
          <w:color w:val="000000" w:themeColor="text1"/>
        </w:rPr>
        <w:t xml:space="preserve">to Potential Respondents </w:t>
      </w:r>
    </w:p>
    <w:p w14:paraId="4EEB0907" w14:textId="36569D77" w:rsidR="00340569" w:rsidRPr="00DA6742" w:rsidRDefault="007900EE" w:rsidP="008A44FC">
      <w:pPr>
        <w:ind w:left="900" w:hanging="540"/>
        <w:rPr>
          <w:color w:val="000000" w:themeColor="text1"/>
        </w:rPr>
      </w:pPr>
      <w:r>
        <w:rPr>
          <w:color w:val="000000" w:themeColor="text1"/>
        </w:rPr>
        <w:t xml:space="preserve">5. </w:t>
      </w:r>
      <w:r w:rsidR="008A44FC">
        <w:rPr>
          <w:color w:val="000000" w:themeColor="text1"/>
        </w:rPr>
        <w:tab/>
      </w:r>
      <w:r w:rsidR="00340569" w:rsidRPr="00DA6742">
        <w:rPr>
          <w:color w:val="000000" w:themeColor="text1"/>
        </w:rPr>
        <w:t>Terms and Conditions</w:t>
      </w:r>
    </w:p>
    <w:p w14:paraId="15F4B219" w14:textId="33E3BDD7" w:rsidR="004843F6" w:rsidRPr="00DA6742" w:rsidRDefault="007900EE" w:rsidP="008A44FC">
      <w:pPr>
        <w:ind w:left="900" w:hanging="540"/>
        <w:rPr>
          <w:color w:val="000000" w:themeColor="text1"/>
        </w:rPr>
      </w:pPr>
      <w:r>
        <w:rPr>
          <w:color w:val="000000" w:themeColor="text1"/>
        </w:rPr>
        <w:t xml:space="preserve">6. </w:t>
      </w:r>
      <w:r w:rsidR="008A44FC">
        <w:rPr>
          <w:color w:val="000000" w:themeColor="text1"/>
        </w:rPr>
        <w:tab/>
      </w:r>
      <w:r w:rsidR="004843F6" w:rsidRPr="00DA6742">
        <w:rPr>
          <w:color w:val="000000" w:themeColor="text1"/>
        </w:rPr>
        <w:t>Privacy Policy</w:t>
      </w:r>
    </w:p>
    <w:p w14:paraId="312DAF47" w14:textId="42F6B241" w:rsidR="00340569" w:rsidRPr="00DA6742" w:rsidRDefault="007900EE" w:rsidP="008A44FC">
      <w:pPr>
        <w:ind w:left="900" w:hanging="540"/>
        <w:rPr>
          <w:color w:val="000000" w:themeColor="text1"/>
        </w:rPr>
      </w:pPr>
      <w:r>
        <w:rPr>
          <w:color w:val="000000" w:themeColor="text1"/>
        </w:rPr>
        <w:t xml:space="preserve">7. </w:t>
      </w:r>
      <w:r w:rsidR="008A44FC">
        <w:rPr>
          <w:color w:val="000000" w:themeColor="text1"/>
        </w:rPr>
        <w:tab/>
      </w:r>
      <w:r w:rsidR="00340569" w:rsidRPr="00DA6742">
        <w:rPr>
          <w:color w:val="000000" w:themeColor="text1"/>
        </w:rPr>
        <w:t>Battelle Institutional Review Board Approval</w:t>
      </w:r>
    </w:p>
    <w:p w14:paraId="7B06285F" w14:textId="5621E333" w:rsidR="009F5A1D" w:rsidRPr="0091469F" w:rsidRDefault="009F5A1D" w:rsidP="00E712A3"/>
    <w:p w14:paraId="23B9AE33" w14:textId="77777777" w:rsidR="0079238F" w:rsidRPr="0091469F" w:rsidRDefault="009F5A1D" w:rsidP="0079238F">
      <w:pPr>
        <w:spacing w:line="259" w:lineRule="auto"/>
        <w:ind w:left="-360"/>
        <w:rPr>
          <w:b/>
        </w:rPr>
      </w:pPr>
      <w:r w:rsidRPr="0091469F">
        <w:rPr>
          <w:b/>
        </w:rPr>
        <w:t>Notes on Excluded Attachments</w:t>
      </w:r>
    </w:p>
    <w:p w14:paraId="3E9B440E" w14:textId="169298B9" w:rsidR="0074735E" w:rsidRPr="0091469F" w:rsidRDefault="0074735E" w:rsidP="0039583F">
      <w:pPr>
        <w:spacing w:line="259" w:lineRule="auto"/>
        <w:ind w:left="-360"/>
      </w:pPr>
      <w:r w:rsidRPr="0091469F">
        <w:lastRenderedPageBreak/>
        <w:t>In this Gen</w:t>
      </w:r>
      <w:r w:rsidR="00EB16DD" w:rsidRPr="0091469F">
        <w:t xml:space="preserve"> </w:t>
      </w:r>
      <w:r w:rsidRPr="0091469F">
        <w:t xml:space="preserve">IC, CDC outlines a plan to test message </w:t>
      </w:r>
      <w:r w:rsidR="00EB16DD" w:rsidRPr="0091469F">
        <w:t>platforms with</w:t>
      </w:r>
      <w:r w:rsidRPr="0091469F">
        <w:t xml:space="preserve"> content that may be considered sensitive. The draft materials are not included in the attachments for this Gen</w:t>
      </w:r>
      <w:r w:rsidR="00EB16DD" w:rsidRPr="0091469F">
        <w:t xml:space="preserve"> </w:t>
      </w:r>
      <w:r w:rsidRPr="0091469F">
        <w:t>IC because:</w:t>
      </w:r>
      <w:r w:rsidRPr="0091469F">
        <w:br/>
      </w:r>
    </w:p>
    <w:p w14:paraId="658EB0D0" w14:textId="572FF551" w:rsidR="0074735E" w:rsidRPr="0091469F" w:rsidRDefault="0074735E" w:rsidP="0074735E">
      <w:pPr>
        <w:pStyle w:val="Heading5"/>
        <w:numPr>
          <w:ilvl w:val="0"/>
          <w:numId w:val="39"/>
        </w:numPr>
        <w:rPr>
          <w:rFonts w:ascii="Times New Roman" w:hAnsi="Times New Roman" w:cs="Times New Roman"/>
        </w:rPr>
      </w:pPr>
      <w:r w:rsidRPr="0091469F">
        <w:rPr>
          <w:rFonts w:ascii="Times New Roman" w:hAnsi="Times New Roman" w:cs="Times New Roman"/>
        </w:rPr>
        <w:t xml:space="preserve">The </w:t>
      </w:r>
      <w:r w:rsidR="00B22DB1" w:rsidRPr="0091469F">
        <w:rPr>
          <w:rFonts w:ascii="Times New Roman" w:hAnsi="Times New Roman" w:cs="Times New Roman"/>
        </w:rPr>
        <w:t>message platforms</w:t>
      </w:r>
      <w:r w:rsidRPr="0091469F">
        <w:rPr>
          <w:rFonts w:ascii="Times New Roman" w:hAnsi="Times New Roman" w:cs="Times New Roman"/>
        </w:rPr>
        <w:t xml:space="preserve"> have not been approved for public distribution by HHS/Assistant Secretary for Public Affairs (ASPA).</w:t>
      </w:r>
      <w:r w:rsidR="00EB16DD" w:rsidRPr="0091469F">
        <w:rPr>
          <w:rFonts w:ascii="Times New Roman" w:hAnsi="Times New Roman" w:cs="Times New Roman"/>
        </w:rPr>
        <w:br/>
      </w:r>
    </w:p>
    <w:p w14:paraId="2E2212B3" w14:textId="532CA6C0" w:rsidR="0074735E" w:rsidRPr="0091469F" w:rsidRDefault="0074735E" w:rsidP="0074735E">
      <w:pPr>
        <w:pStyle w:val="Heading5"/>
        <w:numPr>
          <w:ilvl w:val="0"/>
          <w:numId w:val="39"/>
        </w:numPr>
        <w:rPr>
          <w:rFonts w:ascii="Times New Roman" w:hAnsi="Times New Roman" w:cs="Times New Roman"/>
        </w:rPr>
      </w:pPr>
      <w:r w:rsidRPr="0091469F">
        <w:rPr>
          <w:rFonts w:ascii="Times New Roman" w:hAnsi="Times New Roman" w:cs="Times New Roman"/>
        </w:rPr>
        <w:t xml:space="preserve">The untested </w:t>
      </w:r>
      <w:r w:rsidR="00B22DB1" w:rsidRPr="0091469F">
        <w:rPr>
          <w:rFonts w:ascii="Times New Roman" w:hAnsi="Times New Roman" w:cs="Times New Roman"/>
        </w:rPr>
        <w:t>message platforms</w:t>
      </w:r>
      <w:r w:rsidRPr="0091469F">
        <w:rPr>
          <w:rFonts w:ascii="Times New Roman" w:hAnsi="Times New Roman" w:cs="Times New Roman"/>
        </w:rPr>
        <w:t xml:space="preserve"> could be perceived by the public as ineffective or offensive (testing is designed to identify potential problems).</w:t>
      </w:r>
      <w:r w:rsidR="00EB16DD" w:rsidRPr="0091469F">
        <w:rPr>
          <w:rFonts w:ascii="Times New Roman" w:hAnsi="Times New Roman" w:cs="Times New Roman"/>
        </w:rPr>
        <w:br/>
      </w:r>
    </w:p>
    <w:p w14:paraId="7218E23D" w14:textId="77777777" w:rsidR="0039583F" w:rsidRPr="0091469F" w:rsidRDefault="0039583F" w:rsidP="0039583F">
      <w:pPr>
        <w:spacing w:line="259" w:lineRule="auto"/>
        <w:ind w:left="-360"/>
      </w:pPr>
    </w:p>
    <w:p w14:paraId="13EDADAC" w14:textId="10F9B000" w:rsidR="009403D6" w:rsidRPr="0091469F" w:rsidRDefault="0039583F" w:rsidP="0039583F">
      <w:pPr>
        <w:spacing w:line="259" w:lineRule="auto"/>
        <w:ind w:left="-360"/>
      </w:pPr>
      <w:r w:rsidRPr="0091469F">
        <w:t xml:space="preserve">To support adequate review of this Gen IC by OMB, </w:t>
      </w:r>
      <w:r w:rsidR="00BD1027" w:rsidRPr="0091469F">
        <w:t xml:space="preserve">the Centers for Disease Control and Prevention </w:t>
      </w:r>
      <w:r w:rsidRPr="0091469F">
        <w:t xml:space="preserve">requests permission to provide OMB with a secure link to the draft materials. </w:t>
      </w:r>
      <w:r w:rsidR="009403D6" w:rsidRPr="0091469F">
        <w:rPr>
          <w:rFonts w:eastAsia="Times New Roman"/>
          <w:lang w:val="pt-BR"/>
        </w:rPr>
        <w:br w:type="page"/>
      </w:r>
    </w:p>
    <w:p w14:paraId="202C6206" w14:textId="77777777" w:rsidR="008B5418" w:rsidRPr="0091469F" w:rsidRDefault="008B5418" w:rsidP="005C6DAE">
      <w:pPr>
        <w:jc w:val="both"/>
        <w:rPr>
          <w:color w:val="000000"/>
        </w:rPr>
      </w:pPr>
    </w:p>
    <w:p w14:paraId="61B93F0B" w14:textId="7148C501" w:rsidR="008B5418" w:rsidRPr="0091469F" w:rsidRDefault="008B5418" w:rsidP="008B5418"/>
    <w:p w14:paraId="1AB4720C" w14:textId="0FBAAAE8" w:rsidR="008B5418" w:rsidRPr="0091469F" w:rsidRDefault="00D96549" w:rsidP="005C6DAE">
      <w:pPr>
        <w:jc w:val="both"/>
        <w:rPr>
          <w:color w:val="000000"/>
        </w:rPr>
      </w:pPr>
      <w:r w:rsidRPr="0091469F">
        <w:rPr>
          <w:noProof/>
        </w:rPr>
        <mc:AlternateContent>
          <mc:Choice Requires="wps">
            <w:drawing>
              <wp:anchor distT="0" distB="0" distL="114300" distR="114300" simplePos="0" relativeHeight="251659264" behindDoc="0" locked="0" layoutInCell="1" allowOverlap="1" wp14:anchorId="36C5CF79" wp14:editId="6B98A703">
                <wp:simplePos x="0" y="0"/>
                <wp:positionH relativeFrom="column">
                  <wp:posOffset>-83820</wp:posOffset>
                </wp:positionH>
                <wp:positionV relativeFrom="paragraph">
                  <wp:posOffset>114300</wp:posOffset>
                </wp:positionV>
                <wp:extent cx="6111240" cy="6385560"/>
                <wp:effectExtent l="0" t="0" r="2286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6385560"/>
                        </a:xfrm>
                        <a:prstGeom prst="rect">
                          <a:avLst/>
                        </a:prstGeom>
                        <a:solidFill>
                          <a:srgbClr val="FFFFFF"/>
                        </a:solidFill>
                        <a:ln w="9525">
                          <a:solidFill>
                            <a:srgbClr val="000000"/>
                          </a:solidFill>
                          <a:miter lim="800000"/>
                          <a:headEnd/>
                          <a:tailEnd/>
                        </a:ln>
                      </wps:spPr>
                      <wps:txbx>
                        <w:txbxContent>
                          <w:p w14:paraId="46D45755" w14:textId="68B048C6" w:rsidR="00A70E2F" w:rsidRPr="00C308B1" w:rsidRDefault="00A70E2F" w:rsidP="007E31E9">
                            <w:pPr>
                              <w:pStyle w:val="ListParagraph"/>
                              <w:numPr>
                                <w:ilvl w:val="0"/>
                                <w:numId w:val="21"/>
                              </w:numPr>
                            </w:pPr>
                            <w:r w:rsidRPr="00C308B1">
                              <w:rPr>
                                <w:b/>
                              </w:rPr>
                              <w:t xml:space="preserve">Goal of the Study: </w:t>
                            </w:r>
                            <w:r w:rsidRPr="00C308B1">
                              <w:t xml:space="preserve">To assess attitudes and perceptions of participants after viewing </w:t>
                            </w:r>
                            <w:r>
                              <w:t xml:space="preserve">evidence-based </w:t>
                            </w:r>
                            <w:r w:rsidRPr="00C308B1">
                              <w:t>message platforms that focus on the consequences of smoking</w:t>
                            </w:r>
                            <w:r w:rsidRPr="00A874C2">
                              <w:t xml:space="preserve"> and the benefits of quitting.</w:t>
                            </w:r>
                            <w:r>
                              <w:t xml:space="preserve"> </w:t>
                            </w:r>
                            <w:r w:rsidRPr="00945479">
                              <w:t xml:space="preserve">The goal is to test 23 message platforms with an average of 487 respondents for each platform. </w:t>
                            </w:r>
                            <w:r>
                              <w:t>In addition, given the uncertainties regarding the long-term health consequences of e-cigarette use, the qualitative component of this proposal further explores respondents’ perceptions about the health consequences of e-cigarette use. Overall, data collected from this study will help</w:t>
                            </w:r>
                            <w:r w:rsidRPr="00C308B1">
                              <w:t xml:space="preserve"> inform the creative brief that will be used to develop the creative concept for the next National Tobacco Education Campaign.</w:t>
                            </w:r>
                          </w:p>
                          <w:p w14:paraId="05AB7181" w14:textId="77777777" w:rsidR="00A70E2F" w:rsidRPr="00C308B1" w:rsidRDefault="00A70E2F" w:rsidP="00321B96">
                            <w:pPr>
                              <w:pStyle w:val="ListParagraph"/>
                              <w:ind w:left="360"/>
                            </w:pPr>
                          </w:p>
                          <w:p w14:paraId="5B272188" w14:textId="1C6FC04F" w:rsidR="00A70E2F" w:rsidRPr="00C308B1" w:rsidRDefault="00A70E2F" w:rsidP="007E31E9">
                            <w:pPr>
                              <w:pStyle w:val="ListParagraph"/>
                              <w:numPr>
                                <w:ilvl w:val="0"/>
                                <w:numId w:val="21"/>
                              </w:numPr>
                            </w:pPr>
                            <w:r w:rsidRPr="00C308B1">
                              <w:rPr>
                                <w:b/>
                              </w:rPr>
                              <w:t xml:space="preserve">Intended use of the resulting data: </w:t>
                            </w:r>
                            <w:r w:rsidRPr="00C308B1">
                              <w:t xml:space="preserve">The resulting data will ensure that future campaign concepts will be developed in a way that is clear, credible, and believable, and that </w:t>
                            </w:r>
                            <w:r w:rsidRPr="003F2DAF">
                              <w:t>persuades</w:t>
                            </w:r>
                            <w:r w:rsidRPr="00C308B1">
                              <w:t xml:space="preserve"> smokers to quit smoking regular cigarettes completely. </w:t>
                            </w:r>
                          </w:p>
                          <w:p w14:paraId="503C3696" w14:textId="77777777" w:rsidR="00A70E2F" w:rsidRPr="00C308B1" w:rsidRDefault="00A70E2F" w:rsidP="00BB310F"/>
                          <w:p w14:paraId="0B9F3638" w14:textId="2D861FC3" w:rsidR="00A70E2F" w:rsidRPr="00C308B1" w:rsidRDefault="00A70E2F" w:rsidP="00BB310F">
                            <w:pPr>
                              <w:pStyle w:val="ListParagraph"/>
                              <w:numPr>
                                <w:ilvl w:val="0"/>
                                <w:numId w:val="21"/>
                              </w:numPr>
                            </w:pPr>
                            <w:r w:rsidRPr="00C308B1">
                              <w:rPr>
                                <w:b/>
                              </w:rPr>
                              <w:t xml:space="preserve">Methods to be used to collect data: </w:t>
                            </w:r>
                            <w:r w:rsidRPr="00C308B1">
                              <w:t xml:space="preserve">Quantitative and qualitative methods will be used to collect data. Quantitative data will be collected through 15-minute online surveys of </w:t>
                            </w:r>
                            <w:r w:rsidRPr="00FC5D29">
                              <w:t>11,200</w:t>
                            </w:r>
                            <w:r w:rsidRPr="00C308B1">
                              <w:t xml:space="preserve"> respondents. The quantitative study questions will collect information about respondents’ reactions to the draft message platforms, as well as basic demographic and tobacco use information to assess determinants of individual responses to message platforms. Qualitative data will be collected through online 30-minute individual in-depth interviews (IDIs) using </w:t>
                            </w:r>
                            <w:r w:rsidRPr="00C308B1">
                              <w:rPr>
                                <w:rFonts w:eastAsia="Calibri"/>
                              </w:rPr>
                              <w:t>video conference,</w:t>
                            </w:r>
                            <w:r w:rsidRPr="00C308B1">
                              <w:t xml:space="preserve"> of </w:t>
                            </w:r>
                            <w:r w:rsidRPr="00FC5D29">
                              <w:t>50 respondents</w:t>
                            </w:r>
                            <w:r w:rsidRPr="00C308B1">
                              <w:t xml:space="preserve"> who completed the online quantitative survey. Respondents will answer questions about message platforms that were most persuasive</w:t>
                            </w:r>
                            <w:r>
                              <w:t xml:space="preserve">. </w:t>
                            </w:r>
                          </w:p>
                          <w:p w14:paraId="75EFA88E" w14:textId="676F8FB8" w:rsidR="00A70E2F" w:rsidRPr="00C308B1" w:rsidRDefault="00A70E2F" w:rsidP="00DA6742">
                            <w:pPr>
                              <w:pStyle w:val="ListParagraph"/>
                              <w:numPr>
                                <w:ilvl w:val="0"/>
                                <w:numId w:val="21"/>
                              </w:numPr>
                              <w:spacing w:before="240"/>
                              <w:contextualSpacing w:val="0"/>
                            </w:pPr>
                            <w:r w:rsidRPr="00C308B1">
                              <w:rPr>
                                <w:b/>
                              </w:rPr>
                              <w:t xml:space="preserve">Populations to be studied: </w:t>
                            </w:r>
                            <w:r w:rsidRPr="00C308B1">
                              <w:t>The study population will be adult smokers 18-54 years old, categorized as either</w:t>
                            </w:r>
                            <w:r>
                              <w:t>:</w:t>
                            </w:r>
                            <w:r w:rsidRPr="00C308B1">
                              <w:t xml:space="preserve"> (1) exclusive smokers of regular cigarettes of low socio-economic status (SES), or (2) concurrent users of regular cigarettes and e-cigarettes who </w:t>
                            </w:r>
                            <w:r w:rsidRPr="00FC5D29">
                              <w:t xml:space="preserve">are </w:t>
                            </w:r>
                            <w:r>
                              <w:t xml:space="preserve">not of low </w:t>
                            </w:r>
                            <w:r w:rsidRPr="00FC5D29">
                              <w:t>SES (dual users).</w:t>
                            </w:r>
                            <w:r w:rsidRPr="00C308B1">
                              <w:t xml:space="preserve"> These two different target audiences will be used to test two sets of message platforms, each tailored to its respective target audience.</w:t>
                            </w:r>
                            <w:r>
                              <w:t xml:space="preserve"> </w:t>
                            </w:r>
                            <w:r w:rsidRPr="007156BC">
                              <w:t>Exclusive e-cigarette smokers will not be included in the study.</w:t>
                            </w:r>
                            <w:r>
                              <w:t xml:space="preserve"> </w:t>
                            </w:r>
                            <w:r w:rsidRPr="00C308B1">
                              <w:br/>
                            </w:r>
                          </w:p>
                          <w:p w14:paraId="54691AB4" w14:textId="73D79669" w:rsidR="00A70E2F" w:rsidRPr="00C308B1" w:rsidRDefault="00A70E2F" w:rsidP="008B5418">
                            <w:pPr>
                              <w:pStyle w:val="ListParagraph"/>
                              <w:numPr>
                                <w:ilvl w:val="0"/>
                                <w:numId w:val="21"/>
                              </w:numPr>
                            </w:pPr>
                            <w:r w:rsidRPr="00C308B1">
                              <w:rPr>
                                <w:b/>
                              </w:rPr>
                              <w:t xml:space="preserve">How data will be analyzed: </w:t>
                            </w:r>
                            <w:r w:rsidRPr="00C308B1">
                              <w:t xml:space="preserve">The resulting quantitative data will be analyzed using aggregate measures such as percentages and means. The qualitative analysis will be analyzed using thematic analysis; interviewee responses will be read thoroughly and initial codes created manually, identifying themes and patterns of response. The qualitative data will provide rich detail, depth and context to the quantitative results.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5CF79" id="_x0000_t202" coordsize="21600,21600" o:spt="202" path="m,l,21600r21600,l21600,xe">
                <v:stroke joinstyle="miter"/>
                <v:path gradientshapeok="t" o:connecttype="rect"/>
              </v:shapetype>
              <v:shape id="Text Box 2" o:spid="_x0000_s1026" type="#_x0000_t202" style="position:absolute;left:0;text-align:left;margin-left:-6.6pt;margin-top:9pt;width:481.2pt;height:5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whJQIAAEc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">
                <v:textbox>
                  <w:txbxContent>
                    <w:p w14:paraId="46D45755" w14:textId="68B048C6" w:rsidR="00A70E2F" w:rsidRPr="00C308B1" w:rsidRDefault="00A70E2F" w:rsidP="007E31E9">
                      <w:pPr>
                        <w:pStyle w:val="ListParagraph"/>
                        <w:numPr>
                          <w:ilvl w:val="0"/>
                          <w:numId w:val="21"/>
                        </w:numPr>
                      </w:pPr>
                      <w:r w:rsidRPr="00C308B1">
                        <w:rPr>
                          <w:b/>
                        </w:rPr>
                        <w:t xml:space="preserve">Goal of the Study: </w:t>
                      </w:r>
                      <w:r w:rsidRPr="00C308B1">
                        <w:t xml:space="preserve">To assess attitudes and perceptions of participants after viewing </w:t>
                      </w:r>
                      <w:r>
                        <w:t xml:space="preserve">evidence-based </w:t>
                      </w:r>
                      <w:r w:rsidRPr="00C308B1">
                        <w:t>message platforms that focus on the consequences of smoking</w:t>
                      </w:r>
                      <w:r w:rsidRPr="00A874C2">
                        <w:t xml:space="preserve"> and the benefits of quitting.</w:t>
                      </w:r>
                      <w:r>
                        <w:t xml:space="preserve"> </w:t>
                      </w:r>
                      <w:r w:rsidRPr="00945479">
                        <w:t xml:space="preserve">The goal is to test 23 message platforms with an average of 487 respondents for each platform. </w:t>
                      </w:r>
                      <w:r>
                        <w:t>In addition, given the uncertainties regarding the long-term health consequences of e-cigarette use, the qualitative component of this proposal further explores respondents’ perceptions about the health consequences of e-cigarette use. Overall, data collected from this study will help</w:t>
                      </w:r>
                      <w:r w:rsidRPr="00C308B1">
                        <w:t xml:space="preserve"> inform the creative brief that will be used to develop the creative concept for the next National Tobacco Education Campaign.</w:t>
                      </w:r>
                    </w:p>
                    <w:p w14:paraId="05AB7181" w14:textId="77777777" w:rsidR="00A70E2F" w:rsidRPr="00C308B1" w:rsidRDefault="00A70E2F" w:rsidP="00321B96">
                      <w:pPr>
                        <w:pStyle w:val="ListParagraph"/>
                        <w:ind w:left="360"/>
                      </w:pPr>
                    </w:p>
                    <w:p w14:paraId="5B272188" w14:textId="1C6FC04F" w:rsidR="00A70E2F" w:rsidRPr="00C308B1" w:rsidRDefault="00A70E2F" w:rsidP="007E31E9">
                      <w:pPr>
                        <w:pStyle w:val="ListParagraph"/>
                        <w:numPr>
                          <w:ilvl w:val="0"/>
                          <w:numId w:val="21"/>
                        </w:numPr>
                      </w:pPr>
                      <w:r w:rsidRPr="00C308B1">
                        <w:rPr>
                          <w:b/>
                        </w:rPr>
                        <w:t xml:space="preserve">Intended use of the resulting data: </w:t>
                      </w:r>
                      <w:r w:rsidRPr="00C308B1">
                        <w:t xml:space="preserve">The resulting data will ensure that future campaign concepts will be developed in a way that is clear, credible, and believable, and that </w:t>
                      </w:r>
                      <w:r w:rsidRPr="003F2DAF">
                        <w:t>persuades</w:t>
                      </w:r>
                      <w:r w:rsidRPr="00C308B1">
                        <w:t xml:space="preserve"> smokers to quit smoking regular cigarettes completely. </w:t>
                      </w:r>
                    </w:p>
                    <w:p w14:paraId="503C3696" w14:textId="77777777" w:rsidR="00A70E2F" w:rsidRPr="00C308B1" w:rsidRDefault="00A70E2F" w:rsidP="00BB310F"/>
                    <w:p w14:paraId="0B9F3638" w14:textId="2D861FC3" w:rsidR="00A70E2F" w:rsidRPr="00C308B1" w:rsidRDefault="00A70E2F" w:rsidP="00BB310F">
                      <w:pPr>
                        <w:pStyle w:val="ListParagraph"/>
                        <w:numPr>
                          <w:ilvl w:val="0"/>
                          <w:numId w:val="21"/>
                        </w:numPr>
                      </w:pPr>
                      <w:r w:rsidRPr="00C308B1">
                        <w:rPr>
                          <w:b/>
                        </w:rPr>
                        <w:t xml:space="preserve">Methods to be used to collect data: </w:t>
                      </w:r>
                      <w:r w:rsidRPr="00C308B1">
                        <w:t xml:space="preserve">Quantitative and qualitative methods will be used to collect data. Quantitative data will be collected through 15-minute online surveys of </w:t>
                      </w:r>
                      <w:r w:rsidRPr="00FC5D29">
                        <w:t>11,200</w:t>
                      </w:r>
                      <w:r w:rsidRPr="00C308B1">
                        <w:t xml:space="preserve"> respondents. The quantitative study questions will collect information about respondents’ reactions to the draft message platforms, as well as basic demographic and tobacco use information to assess determinants of individual responses to message platforms. Qualitative data will be collected through online 30-minute individual in-depth interviews (IDIs) using </w:t>
                      </w:r>
                      <w:r w:rsidRPr="00C308B1">
                        <w:rPr>
                          <w:rFonts w:eastAsia="Calibri"/>
                        </w:rPr>
                        <w:t>video conference,</w:t>
                      </w:r>
                      <w:r w:rsidRPr="00C308B1">
                        <w:t xml:space="preserve"> of </w:t>
                      </w:r>
                      <w:r w:rsidRPr="00FC5D29">
                        <w:t>50 respondents</w:t>
                      </w:r>
                      <w:r w:rsidRPr="00C308B1">
                        <w:t xml:space="preserve"> who completed the online quantitative survey. Respondents will answer questions about message platforms that were most persuasive</w:t>
                      </w:r>
                      <w:r>
                        <w:t xml:space="preserve">. </w:t>
                      </w:r>
                    </w:p>
                    <w:p w14:paraId="75EFA88E" w14:textId="676F8FB8" w:rsidR="00A70E2F" w:rsidRPr="00C308B1" w:rsidRDefault="00A70E2F" w:rsidP="00DA6742">
                      <w:pPr>
                        <w:pStyle w:val="ListParagraph"/>
                        <w:numPr>
                          <w:ilvl w:val="0"/>
                          <w:numId w:val="21"/>
                        </w:numPr>
                        <w:spacing w:before="240"/>
                        <w:contextualSpacing w:val="0"/>
                      </w:pPr>
                      <w:r w:rsidRPr="00C308B1">
                        <w:rPr>
                          <w:b/>
                        </w:rPr>
                        <w:t xml:space="preserve">Populations to be studied: </w:t>
                      </w:r>
                      <w:r w:rsidRPr="00C308B1">
                        <w:t>The study population will be adult smokers 18-54 years old, categorized as either</w:t>
                      </w:r>
                      <w:r>
                        <w:t>:</w:t>
                      </w:r>
                      <w:r w:rsidRPr="00C308B1">
                        <w:t xml:space="preserve"> (1) exclusive smokers of regular cigarettes of low socio-economic status (SES), or (2) concurrent users of regular cigarettes and e-cigarettes who </w:t>
                      </w:r>
                      <w:r w:rsidRPr="00FC5D29">
                        <w:t xml:space="preserve">are </w:t>
                      </w:r>
                      <w:r>
                        <w:t xml:space="preserve">not of low </w:t>
                      </w:r>
                      <w:r w:rsidRPr="00FC5D29">
                        <w:t>SES (dual users).</w:t>
                      </w:r>
                      <w:r w:rsidRPr="00C308B1">
                        <w:t xml:space="preserve"> These two different target audiences will be used to test two sets of message platforms, each tailored to its respective target audience.</w:t>
                      </w:r>
                      <w:r>
                        <w:t xml:space="preserve"> </w:t>
                      </w:r>
                      <w:r w:rsidRPr="007156BC">
                        <w:t>Exclusive e-cigarette smokers will not be included in the study.</w:t>
                      </w:r>
                      <w:r>
                        <w:t xml:space="preserve"> </w:t>
                      </w:r>
                      <w:r w:rsidRPr="00C308B1">
                        <w:br/>
                      </w:r>
                    </w:p>
                    <w:p w14:paraId="54691AB4" w14:textId="73D79669" w:rsidR="00A70E2F" w:rsidRPr="00C308B1" w:rsidRDefault="00A70E2F" w:rsidP="008B5418">
                      <w:pPr>
                        <w:pStyle w:val="ListParagraph"/>
                        <w:numPr>
                          <w:ilvl w:val="0"/>
                          <w:numId w:val="21"/>
                        </w:numPr>
                      </w:pPr>
                      <w:r w:rsidRPr="00C308B1">
                        <w:rPr>
                          <w:b/>
                        </w:rPr>
                        <w:t xml:space="preserve">How data will be analyzed: </w:t>
                      </w:r>
                      <w:r w:rsidRPr="00C308B1">
                        <w:t xml:space="preserve">The resulting quantitative data will be analyzed using aggregate measures such as percentages and means. The qualitative analysis will be analyzed using thematic analysis; interviewee responses will be read thoroughly and initial codes created manually, identifying themes and patterns of response. The qualitative data will provide rich detail, depth and context to the quantitative results. </w:t>
                      </w:r>
                    </w:p>
                  </w:txbxContent>
                </v:textbox>
              </v:shape>
            </w:pict>
          </mc:Fallback>
        </mc:AlternateContent>
      </w:r>
    </w:p>
    <w:p w14:paraId="1788032A" w14:textId="77777777" w:rsidR="008B5418" w:rsidRPr="00390B41" w:rsidRDefault="008B5418" w:rsidP="005C6DAE">
      <w:pPr>
        <w:jc w:val="both"/>
        <w:rPr>
          <w:color w:val="000000"/>
        </w:rPr>
      </w:pPr>
    </w:p>
    <w:p w14:paraId="57EE1CB3" w14:textId="77777777" w:rsidR="008B5418" w:rsidRPr="00E1033E" w:rsidRDefault="008B5418" w:rsidP="005C6DAE">
      <w:pPr>
        <w:jc w:val="both"/>
        <w:rPr>
          <w:color w:val="000000"/>
        </w:rPr>
      </w:pPr>
    </w:p>
    <w:p w14:paraId="64CFF2F1" w14:textId="77777777" w:rsidR="008B5418" w:rsidRPr="008C3E18" w:rsidRDefault="008B5418" w:rsidP="005C6DAE">
      <w:pPr>
        <w:jc w:val="both"/>
        <w:rPr>
          <w:color w:val="000000"/>
        </w:rPr>
      </w:pPr>
    </w:p>
    <w:p w14:paraId="18A7E151" w14:textId="77777777" w:rsidR="008B5418" w:rsidRPr="0091469F" w:rsidRDefault="008B5418" w:rsidP="005C6DAE">
      <w:pPr>
        <w:jc w:val="both"/>
        <w:rPr>
          <w:color w:val="000000"/>
        </w:rPr>
      </w:pPr>
    </w:p>
    <w:p w14:paraId="7B7BAB20" w14:textId="77777777" w:rsidR="008B5418" w:rsidRPr="0091469F" w:rsidRDefault="008B5418" w:rsidP="005C6DAE">
      <w:pPr>
        <w:jc w:val="both"/>
        <w:rPr>
          <w:color w:val="000000"/>
        </w:rPr>
      </w:pPr>
    </w:p>
    <w:p w14:paraId="5260EE7F" w14:textId="77777777" w:rsidR="008B5418" w:rsidRPr="0091469F" w:rsidRDefault="008B5418" w:rsidP="005C6DAE">
      <w:pPr>
        <w:jc w:val="both"/>
        <w:rPr>
          <w:color w:val="000000"/>
        </w:rPr>
      </w:pPr>
    </w:p>
    <w:p w14:paraId="6BAA7259" w14:textId="77777777" w:rsidR="008B5418" w:rsidRPr="0091469F" w:rsidRDefault="008B5418" w:rsidP="005C6DAE">
      <w:pPr>
        <w:jc w:val="both"/>
        <w:rPr>
          <w:color w:val="000000"/>
        </w:rPr>
      </w:pPr>
    </w:p>
    <w:p w14:paraId="04F1B5F9" w14:textId="77777777" w:rsidR="008B5418" w:rsidRPr="0091469F" w:rsidRDefault="008B5418" w:rsidP="005C6DAE">
      <w:pPr>
        <w:jc w:val="both"/>
        <w:rPr>
          <w:color w:val="000000"/>
        </w:rPr>
      </w:pPr>
    </w:p>
    <w:p w14:paraId="47DECBD3" w14:textId="77777777" w:rsidR="008B5418" w:rsidRPr="0091469F" w:rsidRDefault="008B5418" w:rsidP="005C6DAE">
      <w:pPr>
        <w:jc w:val="both"/>
        <w:rPr>
          <w:color w:val="000000"/>
        </w:rPr>
      </w:pPr>
    </w:p>
    <w:p w14:paraId="493E4A99" w14:textId="77777777" w:rsidR="008B5418" w:rsidRPr="0091469F" w:rsidRDefault="008B5418" w:rsidP="005C6DAE">
      <w:pPr>
        <w:jc w:val="both"/>
        <w:rPr>
          <w:color w:val="000000"/>
        </w:rPr>
      </w:pPr>
    </w:p>
    <w:p w14:paraId="75C0AD77" w14:textId="77777777" w:rsidR="008B5418" w:rsidRPr="0091469F" w:rsidRDefault="008B5418" w:rsidP="005C6DAE">
      <w:pPr>
        <w:jc w:val="both"/>
        <w:rPr>
          <w:color w:val="000000"/>
        </w:rPr>
      </w:pPr>
    </w:p>
    <w:p w14:paraId="7BCB9EEB" w14:textId="77777777" w:rsidR="008B5418" w:rsidRPr="0091469F" w:rsidRDefault="008B5418" w:rsidP="005C6DAE">
      <w:pPr>
        <w:jc w:val="both"/>
        <w:rPr>
          <w:color w:val="000000"/>
        </w:rPr>
      </w:pPr>
    </w:p>
    <w:p w14:paraId="4D9CA4C4" w14:textId="77777777" w:rsidR="008B5418" w:rsidRPr="0091469F" w:rsidRDefault="008B5418" w:rsidP="005C6DAE">
      <w:pPr>
        <w:jc w:val="both"/>
        <w:rPr>
          <w:color w:val="000000"/>
        </w:rPr>
      </w:pPr>
    </w:p>
    <w:p w14:paraId="0D69D5BD" w14:textId="77777777" w:rsidR="008B5418" w:rsidRPr="0091469F" w:rsidRDefault="008B5418" w:rsidP="005C6DAE">
      <w:pPr>
        <w:jc w:val="both"/>
        <w:rPr>
          <w:color w:val="000000"/>
        </w:rPr>
      </w:pPr>
    </w:p>
    <w:p w14:paraId="303961AB" w14:textId="77777777" w:rsidR="008B5418" w:rsidRPr="0091469F" w:rsidRDefault="008B5418" w:rsidP="005C6DAE">
      <w:pPr>
        <w:jc w:val="both"/>
        <w:rPr>
          <w:color w:val="000000"/>
        </w:rPr>
      </w:pPr>
    </w:p>
    <w:p w14:paraId="2464A4D4" w14:textId="77777777" w:rsidR="008B5418" w:rsidRPr="0091469F" w:rsidRDefault="008B5418" w:rsidP="005C6DAE">
      <w:pPr>
        <w:jc w:val="both"/>
        <w:rPr>
          <w:color w:val="000000"/>
        </w:rPr>
      </w:pPr>
    </w:p>
    <w:p w14:paraId="44142C56" w14:textId="77777777" w:rsidR="008B5418" w:rsidRPr="0091469F" w:rsidRDefault="008B5418" w:rsidP="005C6DAE">
      <w:pPr>
        <w:jc w:val="both"/>
        <w:rPr>
          <w:color w:val="000000"/>
        </w:rPr>
      </w:pPr>
    </w:p>
    <w:p w14:paraId="54F5B87B" w14:textId="77777777" w:rsidR="008B5418" w:rsidRPr="0091469F" w:rsidRDefault="008B5418" w:rsidP="005C6DAE">
      <w:pPr>
        <w:jc w:val="both"/>
        <w:rPr>
          <w:color w:val="000000"/>
        </w:rPr>
      </w:pPr>
    </w:p>
    <w:p w14:paraId="71B32D55" w14:textId="77777777" w:rsidR="008B5418" w:rsidRPr="0091469F" w:rsidRDefault="008B5418" w:rsidP="005C6DAE">
      <w:pPr>
        <w:jc w:val="both"/>
        <w:rPr>
          <w:color w:val="000000"/>
        </w:rPr>
      </w:pPr>
    </w:p>
    <w:p w14:paraId="01DF103E" w14:textId="77777777" w:rsidR="008B5418" w:rsidRPr="0091469F" w:rsidRDefault="008B5418" w:rsidP="005C6DAE">
      <w:pPr>
        <w:jc w:val="both"/>
        <w:rPr>
          <w:color w:val="000000"/>
        </w:rPr>
      </w:pPr>
    </w:p>
    <w:p w14:paraId="657EBF76" w14:textId="77777777" w:rsidR="008B5418" w:rsidRPr="0091469F" w:rsidRDefault="008B5418" w:rsidP="005C6DAE">
      <w:pPr>
        <w:jc w:val="both"/>
        <w:rPr>
          <w:color w:val="000000"/>
        </w:rPr>
      </w:pPr>
    </w:p>
    <w:p w14:paraId="4A8400C3" w14:textId="77777777" w:rsidR="008B5418" w:rsidRPr="0091469F" w:rsidRDefault="008B5418" w:rsidP="005C6DAE">
      <w:pPr>
        <w:jc w:val="both"/>
        <w:rPr>
          <w:color w:val="000000"/>
        </w:rPr>
      </w:pPr>
    </w:p>
    <w:p w14:paraId="451E2317" w14:textId="77777777" w:rsidR="008B5418" w:rsidRPr="0091469F" w:rsidRDefault="008B5418" w:rsidP="005C6DAE">
      <w:pPr>
        <w:jc w:val="both"/>
        <w:rPr>
          <w:color w:val="000000"/>
        </w:rPr>
      </w:pPr>
    </w:p>
    <w:p w14:paraId="3034F290" w14:textId="77777777" w:rsidR="008B5418" w:rsidRPr="0091469F" w:rsidRDefault="008B5418" w:rsidP="005C6DAE">
      <w:pPr>
        <w:jc w:val="both"/>
        <w:rPr>
          <w:color w:val="000000"/>
        </w:rPr>
      </w:pPr>
    </w:p>
    <w:p w14:paraId="7A4A438B" w14:textId="77777777" w:rsidR="008B5418" w:rsidRPr="0091469F" w:rsidRDefault="008B5418" w:rsidP="005C6DAE">
      <w:pPr>
        <w:jc w:val="both"/>
        <w:rPr>
          <w:color w:val="000000"/>
        </w:rPr>
      </w:pPr>
    </w:p>
    <w:p w14:paraId="0E0E2568" w14:textId="77777777" w:rsidR="008B5418" w:rsidRPr="0091469F" w:rsidRDefault="008B5418" w:rsidP="005C6DAE">
      <w:pPr>
        <w:jc w:val="both"/>
        <w:rPr>
          <w:color w:val="000000"/>
        </w:rPr>
      </w:pPr>
    </w:p>
    <w:p w14:paraId="4FBDCEA3" w14:textId="77777777" w:rsidR="008B5418" w:rsidRPr="0091469F" w:rsidRDefault="008B5418" w:rsidP="005C6DAE">
      <w:pPr>
        <w:jc w:val="both"/>
        <w:rPr>
          <w:color w:val="000000"/>
        </w:rPr>
      </w:pPr>
    </w:p>
    <w:p w14:paraId="3FAD2479" w14:textId="77777777" w:rsidR="008B5418" w:rsidRPr="0091469F" w:rsidRDefault="008B5418" w:rsidP="005C6DAE">
      <w:pPr>
        <w:jc w:val="both"/>
        <w:rPr>
          <w:color w:val="000000"/>
        </w:rPr>
      </w:pPr>
    </w:p>
    <w:p w14:paraId="705D06F4" w14:textId="77777777" w:rsidR="008B5418" w:rsidRPr="0091469F" w:rsidRDefault="008B5418" w:rsidP="005C6DAE">
      <w:pPr>
        <w:jc w:val="both"/>
        <w:rPr>
          <w:color w:val="000000"/>
        </w:rPr>
      </w:pPr>
    </w:p>
    <w:p w14:paraId="3BE0A60B" w14:textId="77777777" w:rsidR="008B5418" w:rsidRPr="0091469F" w:rsidRDefault="008B5418" w:rsidP="005C6DAE">
      <w:pPr>
        <w:jc w:val="both"/>
        <w:rPr>
          <w:color w:val="000000"/>
        </w:rPr>
      </w:pPr>
    </w:p>
    <w:p w14:paraId="344EC0F3" w14:textId="77777777" w:rsidR="008B5418" w:rsidRPr="0091469F" w:rsidRDefault="008B5418" w:rsidP="005C6DAE">
      <w:pPr>
        <w:jc w:val="both"/>
        <w:rPr>
          <w:color w:val="000000"/>
        </w:rPr>
      </w:pPr>
    </w:p>
    <w:p w14:paraId="4C4CF2A8" w14:textId="77777777" w:rsidR="008B5418" w:rsidRPr="0091469F" w:rsidRDefault="008B5418" w:rsidP="005C6DAE">
      <w:pPr>
        <w:jc w:val="both"/>
        <w:rPr>
          <w:color w:val="000000"/>
        </w:rPr>
      </w:pPr>
    </w:p>
    <w:p w14:paraId="3F0602B4" w14:textId="77777777" w:rsidR="008B5418" w:rsidRPr="0091469F" w:rsidRDefault="008B5418" w:rsidP="005C6DAE">
      <w:pPr>
        <w:jc w:val="both"/>
        <w:rPr>
          <w:color w:val="000000"/>
        </w:rPr>
      </w:pPr>
    </w:p>
    <w:p w14:paraId="64A28DE7" w14:textId="77777777" w:rsidR="008B5418" w:rsidRPr="0091469F" w:rsidRDefault="008B5418" w:rsidP="005C6DAE">
      <w:pPr>
        <w:jc w:val="both"/>
        <w:rPr>
          <w:color w:val="000000"/>
        </w:rPr>
      </w:pPr>
    </w:p>
    <w:p w14:paraId="4B2AC0F1" w14:textId="77777777" w:rsidR="008B5418" w:rsidRPr="0091469F" w:rsidRDefault="008B5418" w:rsidP="005C6DAE">
      <w:pPr>
        <w:jc w:val="both"/>
        <w:rPr>
          <w:color w:val="000000"/>
        </w:rPr>
      </w:pPr>
    </w:p>
    <w:p w14:paraId="4238B837" w14:textId="77777777" w:rsidR="00676202" w:rsidRPr="0091469F" w:rsidRDefault="00676202">
      <w:pPr>
        <w:rPr>
          <w:color w:val="000000"/>
        </w:rPr>
      </w:pPr>
      <w:r w:rsidRPr="0091469F">
        <w:rPr>
          <w:color w:val="000000"/>
        </w:rPr>
        <w:br w:type="page"/>
      </w:r>
    </w:p>
    <w:p w14:paraId="14FFE795" w14:textId="77777777" w:rsidR="008B5418" w:rsidRPr="0091469F" w:rsidRDefault="008B5418" w:rsidP="008B5418">
      <w:pPr>
        <w:pStyle w:val="Heading2"/>
        <w:rPr>
          <w:rFonts w:ascii="Times New Roman" w:hAnsi="Times New Roman" w:cs="Times New Roman"/>
          <w:color w:val="auto"/>
          <w:sz w:val="24"/>
          <w:szCs w:val="24"/>
        </w:rPr>
      </w:pPr>
      <w:r w:rsidRPr="0091469F">
        <w:rPr>
          <w:rFonts w:ascii="Times New Roman" w:hAnsi="Times New Roman" w:cs="Times New Roman"/>
          <w:color w:val="auto"/>
          <w:sz w:val="24"/>
          <w:szCs w:val="24"/>
        </w:rPr>
        <w:lastRenderedPageBreak/>
        <w:t>A.1</w:t>
      </w:r>
      <w:r w:rsidRPr="0091469F">
        <w:rPr>
          <w:rFonts w:ascii="Times New Roman" w:hAnsi="Times New Roman" w:cs="Times New Roman"/>
          <w:color w:val="auto"/>
          <w:sz w:val="24"/>
          <w:szCs w:val="24"/>
        </w:rPr>
        <w:tab/>
        <w:t xml:space="preserve">Circumstances Making the Collection of Information Necessary </w:t>
      </w:r>
    </w:p>
    <w:p w14:paraId="6565F6EF" w14:textId="62609986" w:rsidR="00013803" w:rsidRPr="0091469F" w:rsidRDefault="00013803" w:rsidP="00185869">
      <w:pPr>
        <w:pStyle w:val="Tbodytext"/>
      </w:pPr>
      <w:r w:rsidRPr="0091469F">
        <w:t xml:space="preserve">Since 2012, the tobacco </w:t>
      </w:r>
      <w:r w:rsidR="006E085A" w:rsidRPr="0091469F">
        <w:t xml:space="preserve">prevention and </w:t>
      </w:r>
      <w:r w:rsidRPr="0091469F">
        <w:t xml:space="preserve">control landscape in the </w:t>
      </w:r>
      <w:r w:rsidR="005026D1" w:rsidRPr="0091469F">
        <w:t>United States</w:t>
      </w:r>
      <w:r w:rsidR="005026D1" w:rsidRPr="0091469F" w:rsidDel="005026D1">
        <w:t xml:space="preserve"> </w:t>
      </w:r>
      <w:r w:rsidRPr="0091469F">
        <w:t xml:space="preserve">has changed. </w:t>
      </w:r>
      <w:r w:rsidR="005101B0" w:rsidRPr="0091469F">
        <w:t>While</w:t>
      </w:r>
      <w:r w:rsidR="004B42CC" w:rsidRPr="0091469F">
        <w:t xml:space="preserve"> significa</w:t>
      </w:r>
      <w:r w:rsidR="003B5247" w:rsidRPr="0091469F">
        <w:t>nt improvements have been made i</w:t>
      </w:r>
      <w:r w:rsidR="004B42CC" w:rsidRPr="0091469F">
        <w:t xml:space="preserve">n </w:t>
      </w:r>
      <w:r w:rsidR="00FB5451" w:rsidRPr="0091469F">
        <w:t>reducing the</w:t>
      </w:r>
      <w:r w:rsidR="004B42CC" w:rsidRPr="0091469F">
        <w:t xml:space="preserve"> smoking rate in the United States, cigarette smoking is still the leading cause of preventable disease and death in the United States, accounting for more than 480,000 deaths every year, or 1 of every 5 deaths</w:t>
      </w:r>
      <w:r w:rsidR="00E55F21" w:rsidRPr="0091469F">
        <w:t xml:space="preserve"> </w:t>
      </w:r>
      <w:r w:rsidR="00E0578F" w:rsidRPr="0091469F">
        <w:t>(</w:t>
      </w:r>
      <w:r w:rsidR="00464C75" w:rsidRPr="0091469F">
        <w:t>U.S. Department of Health and Human Services</w:t>
      </w:r>
      <w:r w:rsidR="003659F5" w:rsidRPr="0091469F">
        <w:t xml:space="preserve"> (DHHS</w:t>
      </w:r>
      <w:r w:rsidR="00464C75" w:rsidRPr="0091469F">
        <w:t>, 2014)</w:t>
      </w:r>
      <w:r w:rsidR="004218E6">
        <w:t xml:space="preserve">. </w:t>
      </w:r>
      <w:r w:rsidR="004B42CC" w:rsidRPr="0091469F">
        <w:t>In addition, more than 16 million Americans live with a smoking-related disease</w:t>
      </w:r>
      <w:r w:rsidR="003658D6" w:rsidRPr="0091469F">
        <w:t xml:space="preserve"> </w:t>
      </w:r>
      <w:r w:rsidR="00464C75" w:rsidRPr="0091469F">
        <w:t>(</w:t>
      </w:r>
      <w:r w:rsidR="003659F5" w:rsidRPr="0091469F">
        <w:t>DHHS</w:t>
      </w:r>
      <w:r w:rsidR="00464C75" w:rsidRPr="0091469F">
        <w:t>, 2014)</w:t>
      </w:r>
      <w:r w:rsidR="004B42CC" w:rsidRPr="0091469F">
        <w:t xml:space="preserve">. </w:t>
      </w:r>
    </w:p>
    <w:p w14:paraId="26C42501" w14:textId="77777777" w:rsidR="00013803" w:rsidRPr="0091469F" w:rsidRDefault="00013803" w:rsidP="00185869">
      <w:pPr>
        <w:pStyle w:val="Tbodytext"/>
      </w:pPr>
    </w:p>
    <w:p w14:paraId="040EB6B4" w14:textId="4A913348" w:rsidR="00F44E6E" w:rsidRPr="0091469F" w:rsidRDefault="006E085A" w:rsidP="00F44E6E">
      <w:pPr>
        <w:pStyle w:val="Tbodytext"/>
      </w:pPr>
      <w:r w:rsidRPr="0091469F">
        <w:t>In 2012, for the first time, t</w:t>
      </w:r>
      <w:r w:rsidR="00BF1A80" w:rsidRPr="0091469F">
        <w:t xml:space="preserve">he </w:t>
      </w:r>
      <w:r w:rsidR="003659F5" w:rsidRPr="0091469F">
        <w:t>DHHS</w:t>
      </w:r>
      <w:r w:rsidR="00BF1A80" w:rsidRPr="0091469F">
        <w:t>, through the Centers for Disease Control and Prevention</w:t>
      </w:r>
      <w:r w:rsidR="003659F5" w:rsidRPr="0091469F">
        <w:t xml:space="preserve"> (CDC)</w:t>
      </w:r>
      <w:r w:rsidR="00BF1A80" w:rsidRPr="0091469F">
        <w:t>, aired an adult-focused national tobacco education campaign called Tips From Former Smokers (</w:t>
      </w:r>
      <w:r w:rsidR="00BF1A80" w:rsidRPr="0091469F">
        <w:rPr>
          <w:i/>
        </w:rPr>
        <w:t>Tips</w:t>
      </w:r>
      <w:r w:rsidR="00BF1A80" w:rsidRPr="0091469F">
        <w:t>)</w:t>
      </w:r>
      <w:r w:rsidR="00E72269" w:rsidRPr="0091469F">
        <w:t xml:space="preserve">. </w:t>
      </w:r>
      <w:r w:rsidR="00BF1A80" w:rsidRPr="0091469F">
        <w:t xml:space="preserve">The goals of the </w:t>
      </w:r>
      <w:r w:rsidR="00BF1A80" w:rsidRPr="0091469F">
        <w:rPr>
          <w:i/>
        </w:rPr>
        <w:t xml:space="preserve">Tips </w:t>
      </w:r>
      <w:r w:rsidR="00BF1A80" w:rsidRPr="0091469F">
        <w:t xml:space="preserve">campaign </w:t>
      </w:r>
      <w:r w:rsidR="006C451B" w:rsidRPr="0091469F">
        <w:t xml:space="preserve">are </w:t>
      </w:r>
      <w:r w:rsidR="00BF1A80" w:rsidRPr="0091469F">
        <w:t>to:</w:t>
      </w:r>
    </w:p>
    <w:p w14:paraId="2DAEFA4F" w14:textId="77777777" w:rsidR="00BF1A80" w:rsidRPr="0091469F" w:rsidRDefault="00BF1A80" w:rsidP="00BF1A80">
      <w:pPr>
        <w:pStyle w:val="ListParagraph"/>
        <w:numPr>
          <w:ilvl w:val="0"/>
          <w:numId w:val="48"/>
        </w:numPr>
      </w:pPr>
      <w:r w:rsidRPr="0091469F">
        <w:t>Build public awareness of the immediate health damage caused by smoking and exposure to secondhand smoke;</w:t>
      </w:r>
    </w:p>
    <w:p w14:paraId="2CC57F2B" w14:textId="3F693855" w:rsidR="00BF1A80" w:rsidRPr="0091469F" w:rsidRDefault="00406E9C" w:rsidP="00BF1A80">
      <w:pPr>
        <w:pStyle w:val="ListParagraph"/>
        <w:numPr>
          <w:ilvl w:val="0"/>
          <w:numId w:val="22"/>
        </w:numPr>
      </w:pPr>
      <w:r w:rsidRPr="0091469F">
        <w:t>E</w:t>
      </w:r>
      <w:r w:rsidR="00BF1A80" w:rsidRPr="0091469F">
        <w:t>ncourage smokers to quit, and make free help available</w:t>
      </w:r>
      <w:r w:rsidR="0024534E" w:rsidRPr="0091469F">
        <w:t>,</w:t>
      </w:r>
      <w:r w:rsidR="00BF1A80" w:rsidRPr="0091469F">
        <w:t xml:space="preserve"> and;</w:t>
      </w:r>
    </w:p>
    <w:p w14:paraId="2FAC5FA0" w14:textId="55105996" w:rsidR="00BF1A80" w:rsidRPr="0091469F" w:rsidRDefault="00BF1A80" w:rsidP="00BF1A80">
      <w:pPr>
        <w:pStyle w:val="ListParagraph"/>
        <w:numPr>
          <w:ilvl w:val="0"/>
          <w:numId w:val="22"/>
        </w:numPr>
      </w:pPr>
      <w:r w:rsidRPr="0091469F">
        <w:t>Encourage smokers not to smoke around others</w:t>
      </w:r>
      <w:r w:rsidR="0024534E" w:rsidRPr="0091469F">
        <w:t>,</w:t>
      </w:r>
      <w:r w:rsidRPr="0091469F">
        <w:t xml:space="preserve"> and </w:t>
      </w:r>
      <w:r w:rsidR="0024534E" w:rsidRPr="0091469F">
        <w:t xml:space="preserve">encourage </w:t>
      </w:r>
      <w:r w:rsidRPr="0091469F">
        <w:t>non-smokers to protect themselves and their families from exposure to secondhand smoke.</w:t>
      </w:r>
    </w:p>
    <w:p w14:paraId="163980AB" w14:textId="081A8E7D" w:rsidR="005C408F" w:rsidRPr="0091469F" w:rsidRDefault="005C408F" w:rsidP="00185869">
      <w:pPr>
        <w:pStyle w:val="Tbodytext"/>
      </w:pPr>
    </w:p>
    <w:p w14:paraId="03ABFDF2" w14:textId="196BA7C4" w:rsidR="00381ADA" w:rsidRPr="00C422C3" w:rsidRDefault="009E45FF" w:rsidP="005F12AE">
      <w:pPr>
        <w:pStyle w:val="Tbodytext"/>
      </w:pPr>
      <w:r w:rsidRPr="0091469F">
        <w:t>However</w:t>
      </w:r>
      <w:r w:rsidR="006E085A" w:rsidRPr="0091469F">
        <w:t xml:space="preserve">, </w:t>
      </w:r>
      <w:r w:rsidR="003442BF" w:rsidRPr="0091469F">
        <w:t xml:space="preserve">in recent years, </w:t>
      </w:r>
      <w:r w:rsidR="00713923" w:rsidRPr="0091469F">
        <w:t>t</w:t>
      </w:r>
      <w:r w:rsidR="00696E35" w:rsidRPr="0091469F">
        <w:t xml:space="preserve">he use of </w:t>
      </w:r>
      <w:r w:rsidR="00FF5B21" w:rsidRPr="0091469F">
        <w:t xml:space="preserve">electronic nicotine delivery systems (ENDS) or e-cigarettes </w:t>
      </w:r>
      <w:r w:rsidR="00696E35" w:rsidRPr="0091469F">
        <w:t>has rapidly increased</w:t>
      </w:r>
      <w:r w:rsidR="003442BF" w:rsidRPr="0091469F">
        <w:t xml:space="preserve">; </w:t>
      </w:r>
      <w:r w:rsidR="0091469F" w:rsidRPr="0091469F">
        <w:t>with</w:t>
      </w:r>
      <w:r w:rsidR="003442BF" w:rsidRPr="0091469F">
        <w:t xml:space="preserve"> most adult e-cigarette users (76.8%) </w:t>
      </w:r>
      <w:r w:rsidR="0091469F" w:rsidRPr="0091469F">
        <w:t>also reporting current use of regular cigarettes</w:t>
      </w:r>
      <w:r w:rsidR="006640BF">
        <w:t xml:space="preserve"> </w:t>
      </w:r>
      <w:r w:rsidR="0091469F" w:rsidRPr="0091469F">
        <w:t>(Agaku, 2014; King</w:t>
      </w:r>
      <w:r w:rsidR="00607C07">
        <w:t>,</w:t>
      </w:r>
      <w:r w:rsidR="0091469F" w:rsidRPr="0091469F">
        <w:t xml:space="preserve"> 2015). </w:t>
      </w:r>
      <w:r w:rsidR="00A23D82">
        <w:t xml:space="preserve">Research on e-cigarettes </w:t>
      </w:r>
      <w:r w:rsidR="00740205">
        <w:t>and cessation is inconclusive</w:t>
      </w:r>
      <w:r w:rsidR="00BF2226">
        <w:t xml:space="preserve"> </w:t>
      </w:r>
      <w:r w:rsidR="00381ADA">
        <w:t>as l</w:t>
      </w:r>
      <w:r w:rsidR="00381ADA" w:rsidRPr="00C422C3">
        <w:t>ong-term</w:t>
      </w:r>
      <w:r w:rsidR="000C48DD">
        <w:t xml:space="preserve"> longitudinal</w:t>
      </w:r>
      <w:r w:rsidR="00381ADA" w:rsidRPr="00C422C3">
        <w:t xml:space="preserve"> studies are</w:t>
      </w:r>
      <w:r w:rsidR="00381ADA">
        <w:t xml:space="preserve"> </w:t>
      </w:r>
      <w:r w:rsidR="00381ADA" w:rsidRPr="00C422C3">
        <w:t>not available to conclude that ENDS are</w:t>
      </w:r>
      <w:r w:rsidR="00381ADA">
        <w:t xml:space="preserve"> </w:t>
      </w:r>
      <w:r w:rsidR="00381ADA" w:rsidRPr="00C422C3">
        <w:t>a proven cessation product or to</w:t>
      </w:r>
      <w:r w:rsidR="00381ADA">
        <w:t xml:space="preserve"> </w:t>
      </w:r>
      <w:r w:rsidR="00381ADA" w:rsidRPr="00C422C3">
        <w:t>establish what</w:t>
      </w:r>
      <w:r w:rsidR="000C48DD">
        <w:t xml:space="preserve"> long-term</w:t>
      </w:r>
      <w:r w:rsidR="00381ADA" w:rsidRPr="00C422C3">
        <w:t xml:space="preserve"> effect e-cigarettes have</w:t>
      </w:r>
      <w:r w:rsidR="00381ADA">
        <w:t xml:space="preserve"> on users who might </w:t>
      </w:r>
      <w:r w:rsidR="00381ADA" w:rsidRPr="00C422C3">
        <w:t>otherwise quit but</w:t>
      </w:r>
      <w:r w:rsidR="00381ADA">
        <w:t xml:space="preserve"> </w:t>
      </w:r>
      <w:r w:rsidR="00381ADA" w:rsidRPr="00C422C3">
        <w:t>instead engage in dual use of ENDS and</w:t>
      </w:r>
      <w:r w:rsidR="00381ADA">
        <w:t xml:space="preserve"> </w:t>
      </w:r>
      <w:r w:rsidR="00381ADA" w:rsidRPr="00C422C3">
        <w:t xml:space="preserve">other tobacco products </w:t>
      </w:r>
      <w:bookmarkStart w:id="1" w:name="OLE_LINK1"/>
      <w:bookmarkStart w:id="2" w:name="OLE_LINK2"/>
      <w:r w:rsidR="00BF2226">
        <w:t>(</w:t>
      </w:r>
      <w:r w:rsidR="00BF2226">
        <w:rPr>
          <w:rStyle w:val="volume"/>
        </w:rPr>
        <w:t>81</w:t>
      </w:r>
      <w:r w:rsidR="00BF2226">
        <w:t xml:space="preserve"> FR </w:t>
      </w:r>
      <w:r w:rsidR="00BF2226">
        <w:rPr>
          <w:rStyle w:val="page"/>
        </w:rPr>
        <w:t>28973</w:t>
      </w:r>
      <w:r w:rsidR="00DE2E8B">
        <w:rPr>
          <w:rStyle w:val="page"/>
        </w:rPr>
        <w:t>, 2016</w:t>
      </w:r>
      <w:r w:rsidR="00BF2226">
        <w:rPr>
          <w:rStyle w:val="page"/>
        </w:rPr>
        <w:t>)</w:t>
      </w:r>
      <w:bookmarkEnd w:id="1"/>
      <w:bookmarkEnd w:id="2"/>
      <w:r w:rsidR="00740205">
        <w:t xml:space="preserve">.  </w:t>
      </w:r>
      <w:r w:rsidR="000C48DD">
        <w:t>T</w:t>
      </w:r>
      <w:r w:rsidR="000C48DD" w:rsidRPr="00D17C11">
        <w:t>he United States Preventive Services Task Force (USPSTF)</w:t>
      </w:r>
      <w:r w:rsidR="000C48DD">
        <w:t xml:space="preserve"> </w:t>
      </w:r>
      <w:r w:rsidR="000C48DD" w:rsidRPr="00D17C11">
        <w:t>concluded that the current evidence is insufficient to recommend ENDS for tobacco cessation</w:t>
      </w:r>
      <w:r w:rsidR="000C48DD">
        <w:t>, and gave an “I” (Inconclusive) recommendation</w:t>
      </w:r>
      <w:r w:rsidR="001233D9">
        <w:t>.</w:t>
      </w:r>
      <w:r w:rsidR="000C48DD" w:rsidRPr="006640BF">
        <w:t xml:space="preserve"> </w:t>
      </w:r>
      <w:r w:rsidR="00312BAF" w:rsidRPr="006640BF">
        <w:t>Findings</w:t>
      </w:r>
      <w:r w:rsidR="00611C69" w:rsidRPr="0091469F">
        <w:t xml:space="preserve"> from the </w:t>
      </w:r>
      <w:r w:rsidR="00381ADA">
        <w:t xml:space="preserve">outcome </w:t>
      </w:r>
      <w:r w:rsidR="00611C69" w:rsidRPr="0091469F">
        <w:t xml:space="preserve">evaluation of this campaign </w:t>
      </w:r>
      <w:r w:rsidR="00611C69" w:rsidRPr="006640BF">
        <w:t>s</w:t>
      </w:r>
      <w:r w:rsidR="00312BAF" w:rsidRPr="006640BF">
        <w:t>how</w:t>
      </w:r>
      <w:r w:rsidR="00611C69" w:rsidRPr="0091469F">
        <w:t xml:space="preserve"> that smokers who only smoke regular cigarettes are behaviorally and attitudinally different from smokers who use regular cigarettes in combination with e-cigarettes (dual users). These smokers may </w:t>
      </w:r>
      <w:r w:rsidR="00611C69" w:rsidRPr="0091469F">
        <w:lastRenderedPageBreak/>
        <w:t xml:space="preserve">relate differently to </w:t>
      </w:r>
      <w:r w:rsidR="00312BAF" w:rsidRPr="006640BF">
        <w:t>public health messages about smoking</w:t>
      </w:r>
      <w:r w:rsidR="00611C69" w:rsidRPr="0091469F">
        <w:t>. Thus, creating messages that</w:t>
      </w:r>
      <w:r w:rsidR="008F20EC" w:rsidRPr="0091469F">
        <w:t xml:space="preserve"> also</w:t>
      </w:r>
      <w:r w:rsidR="00611C69" w:rsidRPr="0091469F">
        <w:t xml:space="preserve"> target dual tobacco users may be helpful in promoting quit attempts</w:t>
      </w:r>
      <w:r w:rsidR="005F12AE">
        <w:t>.</w:t>
      </w:r>
    </w:p>
    <w:p w14:paraId="13D4DFFC" w14:textId="77777777" w:rsidR="00740205" w:rsidRDefault="00740205" w:rsidP="00185869">
      <w:pPr>
        <w:pStyle w:val="Tbodytext"/>
      </w:pPr>
    </w:p>
    <w:p w14:paraId="1EDA6719" w14:textId="78416550" w:rsidR="00C07F07" w:rsidRPr="0091469F" w:rsidRDefault="003442BF" w:rsidP="009F2558">
      <w:pPr>
        <w:pStyle w:val="Tbodytext"/>
      </w:pPr>
      <w:r w:rsidRPr="006640BF">
        <w:t xml:space="preserve">Message platforms are fact-based statements that underlie health communication messages. The objective of </w:t>
      </w:r>
      <w:r w:rsidR="004439E2">
        <w:t>the proposed study is to test 2</w:t>
      </w:r>
      <w:r w:rsidR="00CC4236">
        <w:t>3</w:t>
      </w:r>
      <w:r w:rsidRPr="006640BF">
        <w:t xml:space="preserve"> message platforms among smokers of different socio-economic groups (low and non-low), and tobacco use behaviors (exclusive </w:t>
      </w:r>
      <w:r w:rsidR="00857364">
        <w:t xml:space="preserve">regular </w:t>
      </w:r>
      <w:r w:rsidRPr="006640BF">
        <w:t>cigarette smokers and dual users</w:t>
      </w:r>
      <w:r w:rsidR="0091469F" w:rsidRPr="006640BF">
        <w:t xml:space="preserve"> of cigarette</w:t>
      </w:r>
      <w:r w:rsidR="009B706D">
        <w:t>s</w:t>
      </w:r>
      <w:r w:rsidR="0091469F" w:rsidRPr="006640BF">
        <w:t xml:space="preserve"> and e-cigarettes</w:t>
      </w:r>
      <w:r w:rsidRPr="006640BF">
        <w:t xml:space="preserve">). </w:t>
      </w:r>
      <w:r w:rsidR="009A4477" w:rsidRPr="009A4477">
        <w:t xml:space="preserve">Exclusive e-cigarette smokers will not be included in the study. </w:t>
      </w:r>
      <w:r w:rsidR="00D6791E" w:rsidRPr="009B706D">
        <w:t xml:space="preserve">Each message platform will </w:t>
      </w:r>
      <w:r w:rsidR="0048575C" w:rsidRPr="009B706D">
        <w:t>be tested with</w:t>
      </w:r>
      <w:r w:rsidR="00D6791E" w:rsidRPr="009B706D">
        <w:t xml:space="preserve"> approximately </w:t>
      </w:r>
      <w:r w:rsidR="001712A8">
        <w:t>420</w:t>
      </w:r>
      <w:r w:rsidR="004E316B">
        <w:t>-</w:t>
      </w:r>
      <w:r w:rsidR="001712A8">
        <w:t>800</w:t>
      </w:r>
      <w:r w:rsidR="00082D2A" w:rsidRPr="009B706D">
        <w:t xml:space="preserve"> </w:t>
      </w:r>
      <w:r w:rsidR="00D6791E" w:rsidRPr="009B706D">
        <w:t>respondents</w:t>
      </w:r>
      <w:r w:rsidR="00D6791E" w:rsidRPr="00EB71A2">
        <w:t xml:space="preserve"> to help identify the facts that are considered to be most relevant and motivating to the target audience. </w:t>
      </w:r>
      <w:r w:rsidR="00D6791E" w:rsidRPr="0091469F">
        <w:t xml:space="preserve"> </w:t>
      </w:r>
      <w:r w:rsidRPr="006640BF">
        <w:t xml:space="preserve">This information will help in developing appropriate public health messages that help smokers quit.  </w:t>
      </w:r>
    </w:p>
    <w:p w14:paraId="659DB825" w14:textId="77777777" w:rsidR="00D71DAC" w:rsidRPr="0091469F" w:rsidRDefault="00D71DAC" w:rsidP="00D51FCC">
      <w:pPr>
        <w:pStyle w:val="Tbodytext"/>
      </w:pPr>
    </w:p>
    <w:p w14:paraId="53597DB7" w14:textId="373D7178" w:rsidR="00D6791E" w:rsidRDefault="00014D1E" w:rsidP="00D6791E">
      <w:pPr>
        <w:pStyle w:val="Tbodytext"/>
      </w:pPr>
      <w:r w:rsidRPr="0091469F">
        <w:t xml:space="preserve">The </w:t>
      </w:r>
      <w:r w:rsidR="002D1C5E" w:rsidRPr="002D1C5E">
        <w:t>2</w:t>
      </w:r>
      <w:r w:rsidR="00CC4236">
        <w:t>3</w:t>
      </w:r>
      <w:r w:rsidR="002D1C5E" w:rsidRPr="002D1C5E">
        <w:t xml:space="preserve"> </w:t>
      </w:r>
      <w:r w:rsidR="000F350D" w:rsidRPr="002D1C5E">
        <w:t>message platforms</w:t>
      </w:r>
      <w:r w:rsidRPr="0091469F">
        <w:t xml:space="preserve"> </w:t>
      </w:r>
      <w:r w:rsidR="002D1C5E">
        <w:t xml:space="preserve">will focus </w:t>
      </w:r>
      <w:r w:rsidR="00091580" w:rsidRPr="0091469F">
        <w:t>on</w:t>
      </w:r>
      <w:r w:rsidR="00A60798" w:rsidRPr="0091469F">
        <w:t xml:space="preserve"> the following categories</w:t>
      </w:r>
      <w:r w:rsidR="00091580" w:rsidRPr="0091469F">
        <w:t>:</w:t>
      </w:r>
      <w:r w:rsidR="0091469F" w:rsidRPr="0091469F">
        <w:t xml:space="preserve"> </w:t>
      </w:r>
    </w:p>
    <w:p w14:paraId="7DE323A4" w14:textId="4B36CA4E" w:rsidR="00C439F8" w:rsidRPr="0091469F" w:rsidRDefault="00711318" w:rsidP="00D6791E">
      <w:pPr>
        <w:pStyle w:val="Tbodytext"/>
        <w:numPr>
          <w:ilvl w:val="0"/>
          <w:numId w:val="52"/>
        </w:numPr>
        <w:rPr>
          <w:i/>
        </w:rPr>
      </w:pPr>
      <w:r w:rsidRPr="00390B41">
        <w:rPr>
          <w:i/>
        </w:rPr>
        <w:t>Low SES e</w:t>
      </w:r>
      <w:r w:rsidR="00DF499C" w:rsidRPr="00E1033E">
        <w:rPr>
          <w:i/>
        </w:rPr>
        <w:t xml:space="preserve">xclusive </w:t>
      </w:r>
      <w:r w:rsidR="009906EE" w:rsidRPr="00E61E02">
        <w:rPr>
          <w:i/>
        </w:rPr>
        <w:t>Regular</w:t>
      </w:r>
      <w:r w:rsidR="00720CCE" w:rsidRPr="008C3E18">
        <w:rPr>
          <w:i/>
        </w:rPr>
        <w:t xml:space="preserve"> Cigarette</w:t>
      </w:r>
      <w:r w:rsidR="00DF499C" w:rsidRPr="008C3E18">
        <w:rPr>
          <w:i/>
        </w:rPr>
        <w:t xml:space="preserve"> </w:t>
      </w:r>
      <w:r w:rsidR="00EC1613">
        <w:rPr>
          <w:i/>
        </w:rPr>
        <w:t>S</w:t>
      </w:r>
      <w:r w:rsidR="00DF499C" w:rsidRPr="008C3E18">
        <w:rPr>
          <w:i/>
        </w:rPr>
        <w:t>mokers</w:t>
      </w:r>
      <w:r w:rsidR="00CF032E" w:rsidRPr="0091469F">
        <w:rPr>
          <w:i/>
        </w:rPr>
        <w:t xml:space="preserve"> (</w:t>
      </w:r>
      <w:r w:rsidR="00CC4236" w:rsidRPr="0091469F">
        <w:rPr>
          <w:i/>
        </w:rPr>
        <w:t>1</w:t>
      </w:r>
      <w:r w:rsidR="00CC4236">
        <w:rPr>
          <w:i/>
        </w:rPr>
        <w:t>5</w:t>
      </w:r>
      <w:r w:rsidR="00CC4236" w:rsidRPr="0091469F">
        <w:rPr>
          <w:i/>
        </w:rPr>
        <w:t xml:space="preserve"> </w:t>
      </w:r>
      <w:r w:rsidR="00CF032E" w:rsidRPr="0091469F">
        <w:rPr>
          <w:i/>
        </w:rPr>
        <w:t>message platforms)</w:t>
      </w:r>
      <w:r w:rsidR="00C439F8" w:rsidRPr="0091469F">
        <w:rPr>
          <w:i/>
        </w:rPr>
        <w:t>:</w:t>
      </w:r>
    </w:p>
    <w:p w14:paraId="643D89DE" w14:textId="39CD6525" w:rsidR="00720CCE" w:rsidRPr="0091469F" w:rsidRDefault="00720CCE" w:rsidP="009146AA">
      <w:pPr>
        <w:pStyle w:val="Tbodytext"/>
        <w:numPr>
          <w:ilvl w:val="1"/>
          <w:numId w:val="45"/>
        </w:numPr>
      </w:pPr>
      <w:r w:rsidRPr="0091469F">
        <w:t>Health consequences</w:t>
      </w:r>
      <w:r w:rsidR="002B7C3B" w:rsidRPr="0091469F">
        <w:t xml:space="preserve"> (Seven message platforms</w:t>
      </w:r>
      <w:r w:rsidR="00990008" w:rsidRPr="0091469F">
        <w:t>)</w:t>
      </w:r>
    </w:p>
    <w:p w14:paraId="27DF0069" w14:textId="094F5FB9" w:rsidR="00720CCE" w:rsidRPr="0091469F" w:rsidRDefault="00720CCE" w:rsidP="009146AA">
      <w:pPr>
        <w:pStyle w:val="Tbodytext"/>
        <w:numPr>
          <w:ilvl w:val="1"/>
          <w:numId w:val="45"/>
        </w:numPr>
      </w:pPr>
      <w:r w:rsidRPr="0091469F">
        <w:t>Impact on lifestyle</w:t>
      </w:r>
      <w:r w:rsidR="002B7C3B" w:rsidRPr="0091469F">
        <w:t xml:space="preserve"> (Three message platforms</w:t>
      </w:r>
      <w:r w:rsidR="00990008" w:rsidRPr="0091469F">
        <w:t>)</w:t>
      </w:r>
    </w:p>
    <w:p w14:paraId="311F922A" w14:textId="44FC1F99" w:rsidR="00720CCE" w:rsidRPr="0091469F" w:rsidRDefault="00720CCE" w:rsidP="009146AA">
      <w:pPr>
        <w:pStyle w:val="Tbodytext"/>
        <w:numPr>
          <w:ilvl w:val="1"/>
          <w:numId w:val="45"/>
        </w:numPr>
      </w:pPr>
      <w:r w:rsidRPr="0091469F">
        <w:t>Secondhand smoke consequences</w:t>
      </w:r>
      <w:r w:rsidR="002B7C3B" w:rsidRPr="0091469F">
        <w:t xml:space="preserve"> (Four message platforms</w:t>
      </w:r>
      <w:r w:rsidR="00990008" w:rsidRPr="0091469F">
        <w:t>)</w:t>
      </w:r>
    </w:p>
    <w:p w14:paraId="172BBCD1" w14:textId="5EA67E7A" w:rsidR="00053E24" w:rsidRPr="002D1C5E" w:rsidRDefault="00720CCE" w:rsidP="009146AA">
      <w:pPr>
        <w:pStyle w:val="Tbodytext"/>
        <w:numPr>
          <w:ilvl w:val="1"/>
          <w:numId w:val="45"/>
        </w:numPr>
      </w:pPr>
      <w:r w:rsidRPr="002D1C5E">
        <w:t>Impact on young adults</w:t>
      </w:r>
      <w:r w:rsidR="00990008" w:rsidRPr="002D1C5E">
        <w:t xml:space="preserve"> (</w:t>
      </w:r>
      <w:r w:rsidR="00CC4236">
        <w:t>One</w:t>
      </w:r>
      <w:r w:rsidR="00CC4236" w:rsidRPr="002D1C5E">
        <w:t xml:space="preserve"> </w:t>
      </w:r>
      <w:r w:rsidR="002B7C3B" w:rsidRPr="002D1C5E">
        <w:t>message platform</w:t>
      </w:r>
      <w:r w:rsidR="00990008" w:rsidRPr="002D1C5E">
        <w:t>)</w:t>
      </w:r>
      <w:r w:rsidRPr="002D1C5E">
        <w:br/>
      </w:r>
    </w:p>
    <w:p w14:paraId="49251127" w14:textId="5346F1E4" w:rsidR="00091580" w:rsidRPr="002D1C5E" w:rsidRDefault="009B706D" w:rsidP="00D6791E">
      <w:pPr>
        <w:pStyle w:val="Tbodytext"/>
        <w:numPr>
          <w:ilvl w:val="0"/>
          <w:numId w:val="52"/>
        </w:numPr>
        <w:rPr>
          <w:i/>
        </w:rPr>
      </w:pPr>
      <w:r>
        <w:rPr>
          <w:i/>
        </w:rPr>
        <w:t>Non-low</w:t>
      </w:r>
      <w:r w:rsidR="002D1C5E" w:rsidRPr="002D1C5E">
        <w:rPr>
          <w:i/>
        </w:rPr>
        <w:t xml:space="preserve"> </w:t>
      </w:r>
      <w:r w:rsidR="00711318" w:rsidRPr="002D1C5E">
        <w:rPr>
          <w:i/>
        </w:rPr>
        <w:t xml:space="preserve">SES </w:t>
      </w:r>
      <w:r w:rsidR="00C439F8" w:rsidRPr="002D1C5E">
        <w:rPr>
          <w:i/>
        </w:rPr>
        <w:t>Dual Use</w:t>
      </w:r>
      <w:r w:rsidR="00EC1613" w:rsidRPr="002D1C5E">
        <w:rPr>
          <w:i/>
        </w:rPr>
        <w:t>rs of Regular C</w:t>
      </w:r>
      <w:r w:rsidR="00DF499C" w:rsidRPr="002D1C5E">
        <w:rPr>
          <w:i/>
        </w:rPr>
        <w:t>i</w:t>
      </w:r>
      <w:r w:rsidR="00EC1613" w:rsidRPr="002D1C5E">
        <w:rPr>
          <w:i/>
        </w:rPr>
        <w:t>garettes and E-C</w:t>
      </w:r>
      <w:r w:rsidR="00DF499C" w:rsidRPr="002D1C5E">
        <w:rPr>
          <w:i/>
        </w:rPr>
        <w:t>igarettes</w:t>
      </w:r>
      <w:r w:rsidR="002D1C5E">
        <w:rPr>
          <w:i/>
        </w:rPr>
        <w:t xml:space="preserve"> (</w:t>
      </w:r>
      <w:r w:rsidR="00C45D70">
        <w:rPr>
          <w:i/>
        </w:rPr>
        <w:t>8</w:t>
      </w:r>
      <w:r w:rsidR="00C45D70" w:rsidRPr="002D1C5E">
        <w:rPr>
          <w:i/>
        </w:rPr>
        <w:t xml:space="preserve"> </w:t>
      </w:r>
      <w:r w:rsidR="00CF032E" w:rsidRPr="002D1C5E">
        <w:rPr>
          <w:i/>
        </w:rPr>
        <w:t>message platforms)</w:t>
      </w:r>
      <w:r w:rsidR="00720CCE" w:rsidRPr="002D1C5E">
        <w:rPr>
          <w:i/>
        </w:rPr>
        <w:t>:</w:t>
      </w:r>
    </w:p>
    <w:p w14:paraId="63A2C4C4" w14:textId="0A198047" w:rsidR="00720CCE" w:rsidRPr="002D1C5E" w:rsidRDefault="00720CCE" w:rsidP="009146AA">
      <w:pPr>
        <w:pStyle w:val="Tbodytext"/>
        <w:numPr>
          <w:ilvl w:val="1"/>
          <w:numId w:val="45"/>
        </w:numPr>
      </w:pPr>
      <w:r w:rsidRPr="002D1C5E">
        <w:t>Cutting down is not enough</w:t>
      </w:r>
      <w:r w:rsidR="002A4595">
        <w:t xml:space="preserve"> (Three</w:t>
      </w:r>
      <w:r w:rsidR="002A4595" w:rsidRPr="002D1C5E">
        <w:t xml:space="preserve"> </w:t>
      </w:r>
      <w:r w:rsidR="002B7C3B" w:rsidRPr="002D1C5E">
        <w:t>message platforms</w:t>
      </w:r>
      <w:r w:rsidR="00990008" w:rsidRPr="002D1C5E">
        <w:t>)</w:t>
      </w:r>
    </w:p>
    <w:p w14:paraId="76638504" w14:textId="77567E30" w:rsidR="00720CCE" w:rsidRPr="002D1C5E" w:rsidRDefault="00720CCE" w:rsidP="009146AA">
      <w:pPr>
        <w:pStyle w:val="Tbodytext"/>
        <w:numPr>
          <w:ilvl w:val="1"/>
          <w:numId w:val="45"/>
        </w:numPr>
      </w:pPr>
      <w:r w:rsidRPr="002D1C5E">
        <w:t xml:space="preserve">Effective ways to quit </w:t>
      </w:r>
      <w:r w:rsidR="00990008" w:rsidRPr="002D1C5E">
        <w:t>(One message</w:t>
      </w:r>
      <w:r w:rsidR="002B7C3B" w:rsidRPr="002D1C5E">
        <w:t xml:space="preserve"> platform</w:t>
      </w:r>
      <w:r w:rsidR="00990008" w:rsidRPr="002D1C5E">
        <w:t>)</w:t>
      </w:r>
    </w:p>
    <w:p w14:paraId="5D7B8410" w14:textId="28EA9BCB" w:rsidR="00720CCE" w:rsidRPr="002D1C5E" w:rsidRDefault="00720CCE" w:rsidP="009146AA">
      <w:pPr>
        <w:pStyle w:val="Tbodytext"/>
        <w:numPr>
          <w:ilvl w:val="1"/>
          <w:numId w:val="45"/>
        </w:numPr>
      </w:pPr>
      <w:r w:rsidRPr="002D1C5E">
        <w:t>Guidance for parents and adults</w:t>
      </w:r>
      <w:r w:rsidR="002A4595">
        <w:t xml:space="preserve"> (Four</w:t>
      </w:r>
      <w:r w:rsidR="002B7C3B" w:rsidRPr="002D1C5E">
        <w:t xml:space="preserve"> message platforms</w:t>
      </w:r>
      <w:r w:rsidR="00990008" w:rsidRPr="002D1C5E">
        <w:t>)</w:t>
      </w:r>
    </w:p>
    <w:p w14:paraId="350A3D72" w14:textId="77777777" w:rsidR="00994736" w:rsidRPr="0091469F" w:rsidRDefault="00994736" w:rsidP="00D51FCC">
      <w:pPr>
        <w:pStyle w:val="Tbodytext"/>
      </w:pPr>
    </w:p>
    <w:p w14:paraId="11A49869" w14:textId="66147A02" w:rsidR="00A3406F" w:rsidRPr="00390B41" w:rsidRDefault="00130730" w:rsidP="00D51FCC">
      <w:pPr>
        <w:pStyle w:val="Tbodytext"/>
        <w:rPr>
          <w:shd w:val="clear" w:color="auto" w:fill="FFFFFF"/>
        </w:rPr>
      </w:pPr>
      <w:r w:rsidRPr="0091469F">
        <w:t>Quantitative and qualitative methods will be used to collect data.</w:t>
      </w:r>
      <w:r w:rsidR="003F196B">
        <w:t xml:space="preserve"> Respondents will be recruited from an established, online panel system.</w:t>
      </w:r>
      <w:r w:rsidRPr="0091469F">
        <w:t xml:space="preserve"> </w:t>
      </w:r>
      <w:r w:rsidR="003F7C3F">
        <w:t xml:space="preserve">All </w:t>
      </w:r>
      <w:r w:rsidR="00514AB1">
        <w:t xml:space="preserve">survey </w:t>
      </w:r>
      <w:r w:rsidR="003F7C3F">
        <w:t xml:space="preserve">information collection </w:t>
      </w:r>
      <w:r w:rsidR="00514AB1">
        <w:t>will be</w:t>
      </w:r>
      <w:r w:rsidR="003F7C3F">
        <w:t xml:space="preserve"> conducted electronically on this platform. </w:t>
      </w:r>
      <w:r w:rsidR="00514AB1">
        <w:t xml:space="preserve">There is also a provision for in-depth interviews </w:t>
      </w:r>
      <w:r w:rsidR="00993311">
        <w:t>(IDI)</w:t>
      </w:r>
      <w:r w:rsidR="00993311" w:rsidRPr="0091469F">
        <w:t xml:space="preserve"> </w:t>
      </w:r>
      <w:r w:rsidR="00B25B9C">
        <w:t xml:space="preserve">to be </w:t>
      </w:r>
      <w:r w:rsidR="00514AB1">
        <w:t xml:space="preserve">conducted via </w:t>
      </w:r>
      <w:r w:rsidR="00141E79">
        <w:t xml:space="preserve">a Skype-like interview format. </w:t>
      </w:r>
      <w:r w:rsidR="00A26D87" w:rsidRPr="00EB71A2">
        <w:t xml:space="preserve">Screening will be conducted to identify respondents using the “Recruitment Screener for Regular Cigarette Smokers and Dual Users, which </w:t>
      </w:r>
      <w:r w:rsidR="000429F1" w:rsidRPr="00EB71A2">
        <w:t>will be</w:t>
      </w:r>
      <w:r w:rsidR="00A26D87" w:rsidRPr="00EB71A2">
        <w:t xml:space="preserve"> call</w:t>
      </w:r>
      <w:r w:rsidR="0048575C">
        <w:t>ed</w:t>
      </w:r>
      <w:r w:rsidR="00A26D87" w:rsidRPr="00EB71A2">
        <w:t xml:space="preserve"> the screener in this </w:t>
      </w:r>
      <w:r w:rsidR="003D5AA2" w:rsidRPr="00EB71A2">
        <w:t>ICR</w:t>
      </w:r>
      <w:r w:rsidR="00A26D87" w:rsidRPr="00EB71A2">
        <w:t xml:space="preserve"> (Attachment 1</w:t>
      </w:r>
      <w:r w:rsidR="00271343">
        <w:t>A</w:t>
      </w:r>
      <w:r w:rsidR="00A26D87" w:rsidRPr="00EB71A2">
        <w:t>)</w:t>
      </w:r>
      <w:r w:rsidR="0091469F">
        <w:t xml:space="preserve">. Persons meeting the eligibility criteria will be administered </w:t>
      </w:r>
      <w:r w:rsidR="001C381E" w:rsidRPr="00EB71A2">
        <w:t>the</w:t>
      </w:r>
      <w:r w:rsidR="00ED0B7C" w:rsidRPr="00EB71A2">
        <w:t xml:space="preserve"> “Main Questionnaire for Regular C</w:t>
      </w:r>
      <w:r w:rsidR="00D6791E">
        <w:t xml:space="preserve">igarette </w:t>
      </w:r>
      <w:r w:rsidR="00D6791E">
        <w:lastRenderedPageBreak/>
        <w:t>Smokers and Dual Users</w:t>
      </w:r>
      <w:r w:rsidR="0048575C">
        <w:t>,</w:t>
      </w:r>
      <w:r w:rsidR="00D6791E" w:rsidRPr="00EB71A2">
        <w:t>”</w:t>
      </w:r>
      <w:r w:rsidR="00D6791E">
        <w:t xml:space="preserve"> subsequently referred to as “</w:t>
      </w:r>
      <w:r w:rsidR="00ED0B7C" w:rsidRPr="00EB71A2">
        <w:t xml:space="preserve">the </w:t>
      </w:r>
      <w:r w:rsidR="001016F8" w:rsidRPr="00EB71A2">
        <w:t>main q</w:t>
      </w:r>
      <w:r w:rsidR="00ED0B7C" w:rsidRPr="00EB71A2">
        <w:t>uestionnaire</w:t>
      </w:r>
      <w:r w:rsidR="00D6791E">
        <w:t>”</w:t>
      </w:r>
      <w:r w:rsidR="00ED0B7C" w:rsidRPr="00EB71A2">
        <w:t xml:space="preserve"> in this </w:t>
      </w:r>
      <w:r w:rsidR="003D5AA2" w:rsidRPr="00EB71A2">
        <w:t>ICR</w:t>
      </w:r>
      <w:r w:rsidR="00ED0B7C" w:rsidRPr="00EB71A2">
        <w:t xml:space="preserve"> (</w:t>
      </w:r>
      <w:r w:rsidR="009B1EF8" w:rsidRPr="00EB71A2">
        <w:t xml:space="preserve">Attachment </w:t>
      </w:r>
      <w:r w:rsidR="00126907">
        <w:t>1</w:t>
      </w:r>
      <w:r w:rsidR="00271343">
        <w:t>B</w:t>
      </w:r>
      <w:r w:rsidR="009B1EF8" w:rsidRPr="00EB71A2">
        <w:t>)</w:t>
      </w:r>
      <w:r w:rsidRPr="00EB71A2">
        <w:t>.</w:t>
      </w:r>
      <w:r w:rsidR="000429F1" w:rsidRPr="00EB71A2">
        <w:t xml:space="preserve"> </w:t>
      </w:r>
    </w:p>
    <w:p w14:paraId="76A50B0E" w14:textId="77777777" w:rsidR="00A3406F" w:rsidRPr="00390B41" w:rsidRDefault="00A3406F" w:rsidP="00D51FCC">
      <w:pPr>
        <w:pStyle w:val="Tbodytext"/>
        <w:rPr>
          <w:shd w:val="clear" w:color="auto" w:fill="FFFFFF"/>
        </w:rPr>
      </w:pPr>
    </w:p>
    <w:p w14:paraId="6B8BD424" w14:textId="2CF8213F" w:rsidR="004D42E4" w:rsidRDefault="0091469F" w:rsidP="00D51FCC">
      <w:pPr>
        <w:pStyle w:val="Tbodytext"/>
      </w:pPr>
      <w:r>
        <w:t>IDI</w:t>
      </w:r>
      <w:r w:rsidR="00993311">
        <w:t>’s</w:t>
      </w:r>
      <w:r w:rsidR="00FA426B" w:rsidRPr="0091469F">
        <w:t xml:space="preserve"> </w:t>
      </w:r>
      <w:r>
        <w:t>will also be performed</w:t>
      </w:r>
      <w:r w:rsidR="00803A81">
        <w:t xml:space="preserve"> to collect qualitative data from about 50 respondents</w:t>
      </w:r>
      <w:r w:rsidR="00FA426B" w:rsidRPr="0091469F">
        <w:t xml:space="preserve"> </w:t>
      </w:r>
      <w:r>
        <w:t>who completed</w:t>
      </w:r>
      <w:r w:rsidRPr="0091469F">
        <w:t xml:space="preserve"> </w:t>
      </w:r>
      <w:r w:rsidR="00D6791E" w:rsidRPr="00EB71A2">
        <w:t>the main questionnaire</w:t>
      </w:r>
      <w:r w:rsidR="00803A81">
        <w:t xml:space="preserve">, including </w:t>
      </w:r>
      <w:r w:rsidR="00390B41">
        <w:t>~ 25</w:t>
      </w:r>
      <w:r w:rsidR="00803A81">
        <w:t xml:space="preserve"> </w:t>
      </w:r>
      <w:r w:rsidR="00803A81" w:rsidRPr="009D717B">
        <w:t>non-low SES adult dual users</w:t>
      </w:r>
      <w:r w:rsidR="00803A81">
        <w:t xml:space="preserve"> (</w:t>
      </w:r>
      <w:r w:rsidR="00803A81" w:rsidRPr="009D717B">
        <w:t>“Moderator’s Guide for IDI- Dual Use</w:t>
      </w:r>
      <w:r w:rsidR="0048575C">
        <w:t>,</w:t>
      </w:r>
      <w:r w:rsidR="00803A81" w:rsidRPr="009D717B">
        <w:t>”</w:t>
      </w:r>
      <w:r w:rsidR="00082D2A">
        <w:t xml:space="preserve"> </w:t>
      </w:r>
      <w:r w:rsidR="00803A81" w:rsidRPr="009D717B">
        <w:t>Attachment</w:t>
      </w:r>
      <w:r w:rsidR="00803A81">
        <w:t xml:space="preserve"> </w:t>
      </w:r>
      <w:r w:rsidR="00126907">
        <w:t>2</w:t>
      </w:r>
      <w:r w:rsidR="005E1BC9">
        <w:t>A</w:t>
      </w:r>
      <w:r w:rsidR="00803A81">
        <w:t>), and</w:t>
      </w:r>
      <w:r w:rsidR="00803A81" w:rsidRPr="009D717B">
        <w:t xml:space="preserve"> </w:t>
      </w:r>
      <w:r w:rsidR="00390B41">
        <w:t xml:space="preserve">~25 </w:t>
      </w:r>
      <w:r w:rsidR="00803A81" w:rsidRPr="009D717B">
        <w:t xml:space="preserve">low SES exclusive </w:t>
      </w:r>
      <w:r w:rsidR="00C0408F">
        <w:t xml:space="preserve">regular </w:t>
      </w:r>
      <w:r w:rsidR="00803A81" w:rsidRPr="009D717B">
        <w:t xml:space="preserve">cigarette smokers </w:t>
      </w:r>
      <w:r w:rsidR="00803A81">
        <w:t xml:space="preserve"> (</w:t>
      </w:r>
      <w:r w:rsidR="00803A81" w:rsidRPr="009D717B">
        <w:t>“Moderator’s Guide for IDI – Regular Cigarette Smokers</w:t>
      </w:r>
      <w:r w:rsidR="0048575C">
        <w:t>,</w:t>
      </w:r>
      <w:r w:rsidR="00803A81" w:rsidRPr="009D717B">
        <w:t xml:space="preserve">” Attachment </w:t>
      </w:r>
      <w:r w:rsidR="00126907">
        <w:t>3</w:t>
      </w:r>
      <w:r w:rsidR="005E1BC9">
        <w:t>A</w:t>
      </w:r>
      <w:r w:rsidR="00803A81" w:rsidRPr="009D717B">
        <w:t>)</w:t>
      </w:r>
      <w:r w:rsidR="00E05143">
        <w:t>.</w:t>
      </w:r>
      <w:r w:rsidR="00126907">
        <w:t xml:space="preserve"> </w:t>
      </w:r>
      <w:r w:rsidR="00710444">
        <w:t>A flowchart of the sampling of participants is shown in Figure 1 below.</w:t>
      </w:r>
    </w:p>
    <w:p w14:paraId="1EB3A9BA" w14:textId="77777777" w:rsidR="00710444" w:rsidRDefault="00710444" w:rsidP="00D51FCC">
      <w:pPr>
        <w:pStyle w:val="Tbodytext"/>
      </w:pPr>
    </w:p>
    <w:p w14:paraId="18DE4C89" w14:textId="77777777" w:rsidR="007900EE" w:rsidRDefault="007900EE" w:rsidP="00D51FCC">
      <w:pPr>
        <w:pStyle w:val="Tbodytext"/>
        <w:rPr>
          <w:b/>
        </w:rPr>
      </w:pPr>
      <w:r>
        <w:rPr>
          <w:b/>
        </w:rPr>
        <w:br w:type="page"/>
      </w:r>
    </w:p>
    <w:p w14:paraId="586C4840" w14:textId="3327CC88" w:rsidR="00710444" w:rsidRPr="00BC36AE" w:rsidRDefault="00BC36AE" w:rsidP="00D51FCC">
      <w:pPr>
        <w:pStyle w:val="Tbodytext"/>
        <w:rPr>
          <w:b/>
        </w:rPr>
      </w:pPr>
      <w:r w:rsidRPr="00BC36AE">
        <w:rPr>
          <w:b/>
        </w:rPr>
        <w:lastRenderedPageBreak/>
        <w:t>Figure 1: Flowchart of the sampling of participants for quantitative and qualitative aspects of the study</w:t>
      </w:r>
    </w:p>
    <w:p w14:paraId="5ECFE501" w14:textId="5AD5497E" w:rsidR="00B10E4E" w:rsidRDefault="00B10E4E" w:rsidP="00BC36AE">
      <w:pPr>
        <w:pStyle w:val="Tbodytext"/>
      </w:pPr>
    </w:p>
    <w:p w14:paraId="45EC90E1" w14:textId="500BCC17" w:rsidR="005A7BC8" w:rsidRDefault="00D73300" w:rsidP="00BC36AE">
      <w:pPr>
        <w:pStyle w:val="Tbodytext"/>
      </w:pPr>
      <w:r w:rsidRPr="00D73300">
        <w:rPr>
          <w:noProof/>
        </w:rPr>
        <w:drawing>
          <wp:inline distT="0" distB="0" distL="0" distR="0" wp14:anchorId="115E778A" wp14:editId="37547406">
            <wp:extent cx="5581650" cy="41862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9699" cy="4199775"/>
                    </a:xfrm>
                    <a:prstGeom prst="rect">
                      <a:avLst/>
                    </a:prstGeom>
                  </pic:spPr>
                </pic:pic>
              </a:graphicData>
            </a:graphic>
          </wp:inline>
        </w:drawing>
      </w:r>
    </w:p>
    <w:p w14:paraId="4C25CD3E" w14:textId="77777777" w:rsidR="00DE2E8B" w:rsidRPr="0091469F" w:rsidRDefault="00DE2E8B" w:rsidP="00BC36AE">
      <w:pPr>
        <w:pStyle w:val="Tbodytext"/>
      </w:pPr>
    </w:p>
    <w:p w14:paraId="3AC7505D" w14:textId="512A8204" w:rsidR="00FE771D" w:rsidRPr="00390B41" w:rsidRDefault="00931E48" w:rsidP="00D51FCC">
      <w:r w:rsidRPr="00390B41">
        <w:rPr>
          <w:b/>
        </w:rPr>
        <w:t>A.2</w:t>
      </w:r>
      <w:r w:rsidRPr="00390B41">
        <w:rPr>
          <w:b/>
        </w:rPr>
        <w:tab/>
        <w:t>Purpose and Use of Information Collection</w:t>
      </w:r>
    </w:p>
    <w:p w14:paraId="15A5E68D" w14:textId="2B3A76E3" w:rsidR="00607C07" w:rsidRDefault="00B009F8" w:rsidP="003243B8">
      <w:pPr>
        <w:pStyle w:val="Tbodytext"/>
      </w:pPr>
      <w:r>
        <w:t xml:space="preserve">The overall purpose of the project is to </w:t>
      </w:r>
      <w:r w:rsidR="007B66EF" w:rsidRPr="00E05143">
        <w:t xml:space="preserve">assess whether the </w:t>
      </w:r>
      <w:r w:rsidR="00720CCE" w:rsidRPr="00E05143">
        <w:t>message platforms under test</w:t>
      </w:r>
      <w:r w:rsidR="007B66EF" w:rsidRPr="00E05143">
        <w:t xml:space="preserve"> are likely to be perceived as credible, comprehensible, and persuasive </w:t>
      </w:r>
      <w:r w:rsidR="00B54BA8" w:rsidRPr="00E05143">
        <w:t xml:space="preserve">among </w:t>
      </w:r>
      <w:r w:rsidR="00B86EC3" w:rsidRPr="00E05143">
        <w:t xml:space="preserve">adult </w:t>
      </w:r>
      <w:r w:rsidR="00B8347C" w:rsidRPr="00E05143">
        <w:t xml:space="preserve">low SES </w:t>
      </w:r>
      <w:r w:rsidR="00985B28" w:rsidRPr="00E05143">
        <w:t xml:space="preserve">exclusive </w:t>
      </w:r>
      <w:r w:rsidR="0085708D">
        <w:t xml:space="preserve">regular </w:t>
      </w:r>
      <w:r w:rsidR="00985B28" w:rsidRPr="00E05143">
        <w:t>cigarette smokers</w:t>
      </w:r>
      <w:r w:rsidR="00B86EC3" w:rsidRPr="00E05143">
        <w:t xml:space="preserve"> </w:t>
      </w:r>
      <w:r w:rsidR="00933BAB" w:rsidRPr="00E05143">
        <w:t xml:space="preserve">and </w:t>
      </w:r>
      <w:r w:rsidR="00711318" w:rsidRPr="00E05143">
        <w:t xml:space="preserve">non-low SES </w:t>
      </w:r>
      <w:r w:rsidR="00B86EC3" w:rsidRPr="00E05143">
        <w:t xml:space="preserve">adult </w:t>
      </w:r>
      <w:r w:rsidR="00933BAB" w:rsidRPr="00E05143">
        <w:t>dual users</w:t>
      </w:r>
      <w:r w:rsidR="007B66EF" w:rsidRPr="00E05143">
        <w:t>.</w:t>
      </w:r>
      <w:r w:rsidR="00B8347C" w:rsidRPr="00E05143">
        <w:t xml:space="preserve"> </w:t>
      </w:r>
      <w:r w:rsidR="00F43E5D">
        <w:t xml:space="preserve">Although the effects of cigarette smoking on public health have been well-studied, </w:t>
      </w:r>
      <w:r w:rsidR="003243B8">
        <w:t xml:space="preserve">data to determine </w:t>
      </w:r>
      <w:r w:rsidR="005D2AE9">
        <w:t xml:space="preserve">the </w:t>
      </w:r>
      <w:r w:rsidR="000C48DD">
        <w:t xml:space="preserve">long-term </w:t>
      </w:r>
      <w:r w:rsidR="003243B8">
        <w:t xml:space="preserve">effects </w:t>
      </w:r>
      <w:r w:rsidR="005D2AE9">
        <w:t xml:space="preserve">of </w:t>
      </w:r>
      <w:r w:rsidR="00991739">
        <w:t>dual use of cigarettes and e-cigarettes</w:t>
      </w:r>
      <w:r w:rsidR="005D2AE9">
        <w:t xml:space="preserve"> </w:t>
      </w:r>
      <w:r w:rsidR="003243B8">
        <w:t xml:space="preserve">on public health at </w:t>
      </w:r>
      <w:r w:rsidR="00F43E5D">
        <w:t>the population level</w:t>
      </w:r>
      <w:r w:rsidR="005D2AE9">
        <w:t xml:space="preserve"> are insufficient</w:t>
      </w:r>
      <w:r w:rsidR="00985DE2">
        <w:t xml:space="preserve"> </w:t>
      </w:r>
      <w:r w:rsidR="00DE2E8B">
        <w:t>(</w:t>
      </w:r>
      <w:r w:rsidR="00DE2E8B">
        <w:rPr>
          <w:rStyle w:val="volume"/>
        </w:rPr>
        <w:t>81</w:t>
      </w:r>
      <w:r w:rsidR="00DE2E8B">
        <w:t xml:space="preserve"> FR </w:t>
      </w:r>
      <w:r w:rsidR="00DE2E8B">
        <w:rPr>
          <w:rStyle w:val="page"/>
        </w:rPr>
        <w:t>28973, 2016)</w:t>
      </w:r>
      <w:r w:rsidR="00F43E5D">
        <w:t xml:space="preserve">. </w:t>
      </w:r>
      <w:r w:rsidR="000C48DD">
        <w:t>Given the uncertainties regarding the long-term health consequences of e-cigarette use, the qualitative component of this proposal further explores respondents’ perceptions about the health consequences of e-cigarette use.</w:t>
      </w:r>
      <w:r w:rsidR="005E1BC9">
        <w:t xml:space="preserve"> </w:t>
      </w:r>
      <w:r w:rsidR="008A4AF9" w:rsidRPr="008A4AF9">
        <w:t xml:space="preserve">Attachments </w:t>
      </w:r>
      <w:r w:rsidR="00271343">
        <w:t>2</w:t>
      </w:r>
      <w:r w:rsidR="00462FAA">
        <w:t>B</w:t>
      </w:r>
      <w:r w:rsidR="008A4AF9" w:rsidRPr="008A4AF9">
        <w:t xml:space="preserve"> and </w:t>
      </w:r>
      <w:r w:rsidR="00271343">
        <w:t>3</w:t>
      </w:r>
      <w:r w:rsidR="00462FAA">
        <w:t>B</w:t>
      </w:r>
      <w:r w:rsidR="008A4AF9" w:rsidRPr="008A4AF9">
        <w:t xml:space="preserve"> were included to highlight which themes were </w:t>
      </w:r>
      <w:r w:rsidR="008A4AF9">
        <w:t>evidence-based</w:t>
      </w:r>
      <w:r w:rsidR="008A4AF9" w:rsidRPr="008A4AF9">
        <w:t xml:space="preserve"> and which were exploratory. We deemed certain messages as "explora</w:t>
      </w:r>
      <w:r w:rsidR="008A4AF9" w:rsidRPr="008A4AF9">
        <w:lastRenderedPageBreak/>
        <w:t>tory" if they were not supported by conclusive science and overall HHS messaging.</w:t>
      </w:r>
      <w:r w:rsidR="005E1BC9">
        <w:t xml:space="preserve"> Questions that are exploratory in nature</w:t>
      </w:r>
      <w:r w:rsidR="00271343">
        <w:t xml:space="preserve"> are identified in Attachment 2</w:t>
      </w:r>
      <w:r w:rsidR="005E1BC9">
        <w:t>B (</w:t>
      </w:r>
      <w:r w:rsidR="00D963D0" w:rsidRPr="006F1962">
        <w:rPr>
          <w:color w:val="000000" w:themeColor="text1"/>
        </w:rPr>
        <w:t>Additional Information About the Message Platforms for Dual Users</w:t>
      </w:r>
      <w:r w:rsidR="00271343">
        <w:rPr>
          <w:color w:val="000000" w:themeColor="text1"/>
        </w:rPr>
        <w:t>) and Attachment 3</w:t>
      </w:r>
      <w:r w:rsidR="00D963D0">
        <w:rPr>
          <w:color w:val="000000" w:themeColor="text1"/>
        </w:rPr>
        <w:t>B (</w:t>
      </w:r>
      <w:r w:rsidR="00D963D0" w:rsidRPr="003E72DD">
        <w:rPr>
          <w:color w:val="000000" w:themeColor="text1"/>
        </w:rPr>
        <w:t>Additional Information About the Message Platforms for Cigarette Users</w:t>
      </w:r>
      <w:r w:rsidR="00D963D0">
        <w:rPr>
          <w:color w:val="000000" w:themeColor="text1"/>
        </w:rPr>
        <w:t xml:space="preserve">).  </w:t>
      </w:r>
      <w:r w:rsidR="00607C07" w:rsidRPr="00E05143">
        <w:t>Th</w:t>
      </w:r>
      <w:r w:rsidR="00607C07">
        <w:t>e</w:t>
      </w:r>
      <w:r w:rsidR="00607C07" w:rsidRPr="00E05143">
        <w:t xml:space="preserve"> information</w:t>
      </w:r>
      <w:r w:rsidR="00607C07">
        <w:t xml:space="preserve"> to be collected</w:t>
      </w:r>
      <w:r w:rsidR="00607C07" w:rsidRPr="00E05143">
        <w:t xml:space="preserve"> will help guide the development of creative briefs and future creative concepts for a new National Tobacco Education Campaign. Creative briefs will include the goal, background information, target audience, messages and tone to guide the creation of concepts for advertisements. If this data collection is not performed, CDC will not know whether these message platforms communicate credibly and effectively across varying audience segments. Additionally, message platform testing is a way to measure any unanticipated confusion, ambiguity, or lack of understanding of the facts.</w:t>
      </w:r>
    </w:p>
    <w:p w14:paraId="10359BFD" w14:textId="77777777" w:rsidR="00607C07" w:rsidRDefault="00607C07" w:rsidP="00A14860">
      <w:pPr>
        <w:pStyle w:val="Tbodytext"/>
      </w:pPr>
    </w:p>
    <w:p w14:paraId="3D3AE42D" w14:textId="49A7D0DC" w:rsidR="00B000AA" w:rsidRDefault="003111D9" w:rsidP="00A14860">
      <w:pPr>
        <w:pStyle w:val="Tbodytext"/>
      </w:pPr>
      <w:r>
        <w:t>As outlined in the preceding flowchart, i</w:t>
      </w:r>
      <w:r w:rsidR="00607C07">
        <w:t xml:space="preserve">nformation will be collected in three stages. First, </w:t>
      </w:r>
      <w:r>
        <w:t xml:space="preserve">CDC’s contractor will </w:t>
      </w:r>
      <w:r w:rsidR="00607C07">
        <w:t xml:space="preserve">screen potential participants who are members of an existing online panel. Although the panel provider maintains demographic information about panelists in its proprietary database (so that the invitation to participate </w:t>
      </w:r>
      <w:r w:rsidR="00EA2998">
        <w:t>in this project will</w:t>
      </w:r>
      <w:r w:rsidR="00607C07">
        <w:t xml:space="preserve"> </w:t>
      </w:r>
      <w:r w:rsidR="00E52ADD">
        <w:t>target only individuals who are likely to be eligible</w:t>
      </w:r>
      <w:r w:rsidR="009B29E0">
        <w:t>; Attachment 4</w:t>
      </w:r>
      <w:r w:rsidR="00607C07">
        <w:t xml:space="preserve">), </w:t>
      </w:r>
      <w:r w:rsidR="00EA2998">
        <w:t>C</w:t>
      </w:r>
      <w:r w:rsidR="00947549">
        <w:t xml:space="preserve">DC will administer an online, </w:t>
      </w:r>
      <w:r w:rsidR="00EA2998">
        <w:t>project-specific screener</w:t>
      </w:r>
      <w:r w:rsidR="00E52ADD">
        <w:t xml:space="preserve"> </w:t>
      </w:r>
      <w:r w:rsidR="00607C07">
        <w:t xml:space="preserve">to identify any changes in demographics that could affect eligibility for this study. </w:t>
      </w:r>
      <w:r w:rsidR="000225A9">
        <w:t>CDC’s</w:t>
      </w:r>
      <w:r w:rsidR="00EA2998">
        <w:t xml:space="preserve"> screening instrument will</w:t>
      </w:r>
      <w:r w:rsidR="008C0DEE">
        <w:t xml:space="preserve"> asse</w:t>
      </w:r>
      <w:r w:rsidR="007707EE">
        <w:t xml:space="preserve">ss </w:t>
      </w:r>
      <w:r w:rsidR="00EA2998">
        <w:t xml:space="preserve">respondent </w:t>
      </w:r>
      <w:r w:rsidR="007707EE">
        <w:t xml:space="preserve">characteristics such as age, </w:t>
      </w:r>
      <w:r w:rsidR="008C0DEE">
        <w:t>smoking and e-cigarette behavior</w:t>
      </w:r>
      <w:r w:rsidR="000225A9">
        <w:t xml:space="preserve">. In addition to confirming to </w:t>
      </w:r>
      <w:r w:rsidR="008C0DEE">
        <w:t>eligibility</w:t>
      </w:r>
      <w:r w:rsidR="000225A9">
        <w:t>, the</w:t>
      </w:r>
      <w:r w:rsidR="00012CAD">
        <w:t xml:space="preserve"> screening</w:t>
      </w:r>
      <w:r w:rsidR="000225A9">
        <w:t xml:space="preserve"> information will be used to </w:t>
      </w:r>
      <w:r w:rsidR="00EF49ED">
        <w:t xml:space="preserve">(a) </w:t>
      </w:r>
      <w:r w:rsidR="000225A9">
        <w:t>assign respondent</w:t>
      </w:r>
      <w:r w:rsidR="008B5D35">
        <w:t xml:space="preserve">s to the platforms to be tested, and </w:t>
      </w:r>
      <w:r w:rsidR="00EF49ED">
        <w:t xml:space="preserve">(b) </w:t>
      </w:r>
      <w:r w:rsidR="000225A9">
        <w:t xml:space="preserve">assist </w:t>
      </w:r>
      <w:r w:rsidR="008B5D35">
        <w:t xml:space="preserve">in the interpretation of </w:t>
      </w:r>
      <w:r w:rsidR="00012CAD">
        <w:t xml:space="preserve">study </w:t>
      </w:r>
      <w:r w:rsidR="008B5D35">
        <w:t>findings</w:t>
      </w:r>
      <w:r w:rsidR="008C0DEE">
        <w:t xml:space="preserve">. </w:t>
      </w:r>
      <w:r w:rsidR="00947549">
        <w:t>In the second stage of information collection, respondents will complete</w:t>
      </w:r>
      <w:r w:rsidR="003F3718">
        <w:t xml:space="preserve"> the main </w:t>
      </w:r>
      <w:r w:rsidR="00947549">
        <w:t xml:space="preserve">online </w:t>
      </w:r>
      <w:r w:rsidR="003F3718">
        <w:t>questionnaire</w:t>
      </w:r>
      <w:r w:rsidR="00137519">
        <w:t>. The purpose of the main questionnaire</w:t>
      </w:r>
      <w:r w:rsidR="003F3718">
        <w:t xml:space="preserve"> is </w:t>
      </w:r>
      <w:r w:rsidR="00137519">
        <w:t xml:space="preserve">to </w:t>
      </w:r>
      <w:r w:rsidR="00413C28">
        <w:t xml:space="preserve">show respondents the message platforms under test and </w:t>
      </w:r>
      <w:r w:rsidR="00E1527C">
        <w:t>collect quantitative information on</w:t>
      </w:r>
      <w:r w:rsidR="00413C28">
        <w:t xml:space="preserve"> the credibility, clarity, and persuasiveness of the message platforms. </w:t>
      </w:r>
      <w:r w:rsidR="00A75CBC">
        <w:t xml:space="preserve">In the third stage of information collection, in-depth interviews (IDI) will be conducted with a subset of respondents who completed the main questionnaire. </w:t>
      </w:r>
      <w:r w:rsidR="0048575C">
        <w:t xml:space="preserve">The </w:t>
      </w:r>
      <w:r w:rsidR="003F3718">
        <w:t xml:space="preserve">purpose of the </w:t>
      </w:r>
      <w:r w:rsidR="0048575C" w:rsidRPr="0091469F">
        <w:t xml:space="preserve">IDIs </w:t>
      </w:r>
      <w:r w:rsidR="003F3718">
        <w:t xml:space="preserve">is to </w:t>
      </w:r>
      <w:r w:rsidR="00B05962">
        <w:t xml:space="preserve">obtain </w:t>
      </w:r>
      <w:r w:rsidR="0048575C">
        <w:t>additional</w:t>
      </w:r>
      <w:r w:rsidR="0048575C" w:rsidRPr="0091469F">
        <w:t xml:space="preserve"> </w:t>
      </w:r>
      <w:r w:rsidR="00B05962">
        <w:t xml:space="preserve">detailed </w:t>
      </w:r>
      <w:r w:rsidR="0048575C" w:rsidRPr="0091469F">
        <w:t xml:space="preserve">information </w:t>
      </w:r>
      <w:r w:rsidR="0048575C">
        <w:t>about</w:t>
      </w:r>
      <w:r w:rsidR="0048575C" w:rsidRPr="0091469F">
        <w:t xml:space="preserve"> two or three message platforms that seem to resonate best with each target audience.</w:t>
      </w:r>
      <w:r w:rsidR="00152E38">
        <w:t xml:space="preserve"> </w:t>
      </w:r>
    </w:p>
    <w:p w14:paraId="6AB1BDD3" w14:textId="77777777" w:rsidR="00784075" w:rsidRDefault="00784075" w:rsidP="00A14860">
      <w:pPr>
        <w:pStyle w:val="Tbodytext"/>
      </w:pPr>
    </w:p>
    <w:p w14:paraId="1AF04E1B" w14:textId="77777777" w:rsidR="00784075" w:rsidRPr="0091469F" w:rsidRDefault="00784075" w:rsidP="00784075">
      <w:pPr>
        <w:pStyle w:val="Tbodytext"/>
      </w:pPr>
      <w:r>
        <w:lastRenderedPageBreak/>
        <w:t>Please note that the</w:t>
      </w:r>
      <w:r w:rsidRPr="00784075">
        <w:t xml:space="preserve"> </w:t>
      </w:r>
      <w:r>
        <w:t>main online questionnaire identifies</w:t>
      </w:r>
      <w:r w:rsidRPr="00784075">
        <w:t xml:space="preserve"> the behavioral characteristics of each target audience</w:t>
      </w:r>
      <w:r>
        <w:t xml:space="preserve"> by asking the respondents fixed, quantitative questions</w:t>
      </w:r>
      <w:r w:rsidRPr="00784075">
        <w:t xml:space="preserve">. </w:t>
      </w:r>
      <w:r>
        <w:t>The purpose of many of the</w:t>
      </w:r>
      <w:r w:rsidRPr="00784075">
        <w:t xml:space="preserve"> questions </w:t>
      </w:r>
      <w:r>
        <w:t xml:space="preserve">at the beginning of the main online questionnaire </w:t>
      </w:r>
      <w:r w:rsidRPr="00784075">
        <w:t>is</w:t>
      </w:r>
      <w:r>
        <w:t xml:space="preserve"> to define these </w:t>
      </w:r>
      <w:r w:rsidRPr="00784075">
        <w:t xml:space="preserve">characteristics. </w:t>
      </w:r>
      <w:r>
        <w:t xml:space="preserve"> In previous research, it is noted that the receptivity of messages </w:t>
      </w:r>
      <w:r w:rsidRPr="00784075">
        <w:t xml:space="preserve">are </w:t>
      </w:r>
      <w:r>
        <w:t xml:space="preserve">in part </w:t>
      </w:r>
      <w:r w:rsidRPr="00784075">
        <w:t>influenced by how open the respondent is to quitting</w:t>
      </w:r>
      <w:r>
        <w:t xml:space="preserve"> smoking cigarettes</w:t>
      </w:r>
      <w:r w:rsidRPr="00784075">
        <w:t xml:space="preserve"> as well as other </w:t>
      </w:r>
      <w:r>
        <w:t>attitudes and behaviors</w:t>
      </w:r>
      <w:r w:rsidRPr="00784075">
        <w:t xml:space="preserve">. These attitudinal and behavioral measures are required to properly interpret the </w:t>
      </w:r>
      <w:r>
        <w:t xml:space="preserve">receptivity of the </w:t>
      </w:r>
      <w:r w:rsidRPr="00784075">
        <w:t>qualitative information for each target audience.</w:t>
      </w:r>
    </w:p>
    <w:p w14:paraId="3FCC47EE" w14:textId="77777777" w:rsidR="00784075" w:rsidRDefault="00784075" w:rsidP="00A14860">
      <w:pPr>
        <w:pStyle w:val="Tbodytext"/>
      </w:pPr>
    </w:p>
    <w:p w14:paraId="400C1E32" w14:textId="77777777" w:rsidR="00784075" w:rsidRDefault="00784075" w:rsidP="00A14860">
      <w:pPr>
        <w:pStyle w:val="Tbodytext"/>
      </w:pPr>
    </w:p>
    <w:p w14:paraId="3DAB04AA" w14:textId="77777777" w:rsidR="00044A5F" w:rsidRPr="00E1033E" w:rsidRDefault="00044A5F" w:rsidP="009505A2">
      <w:pPr>
        <w:jc w:val="both"/>
        <w:rPr>
          <w:b/>
        </w:rPr>
      </w:pPr>
      <w:r w:rsidRPr="00E1033E">
        <w:rPr>
          <w:b/>
        </w:rPr>
        <w:t>A.3</w:t>
      </w:r>
      <w:r w:rsidRPr="00E1033E">
        <w:rPr>
          <w:b/>
        </w:rPr>
        <w:tab/>
        <w:t>Use of Improved Information Technology and Burden Reduction</w:t>
      </w:r>
    </w:p>
    <w:p w14:paraId="0637F282" w14:textId="6876C52A" w:rsidR="00DE3030" w:rsidRDefault="001B100D" w:rsidP="00082D2A">
      <w:pPr>
        <w:pStyle w:val="HarrisBody"/>
        <w:tabs>
          <w:tab w:val="clear" w:pos="720"/>
          <w:tab w:val="left" w:pos="0"/>
        </w:tabs>
        <w:spacing w:after="0"/>
        <w:rPr>
          <w:sz w:val="24"/>
          <w:szCs w:val="24"/>
        </w:rPr>
      </w:pPr>
      <w:r>
        <w:rPr>
          <w:sz w:val="24"/>
          <w:szCs w:val="24"/>
        </w:rPr>
        <w:t>All information will be collected electronically</w:t>
      </w:r>
      <w:r w:rsidR="000D0CBC">
        <w:rPr>
          <w:sz w:val="24"/>
          <w:szCs w:val="24"/>
        </w:rPr>
        <w:t xml:space="preserve"> by</w:t>
      </w:r>
      <w:r>
        <w:rPr>
          <w:sz w:val="24"/>
          <w:szCs w:val="24"/>
        </w:rPr>
        <w:t xml:space="preserve"> utilizing </w:t>
      </w:r>
      <w:r w:rsidR="00756E4C">
        <w:rPr>
          <w:sz w:val="24"/>
          <w:szCs w:val="24"/>
        </w:rPr>
        <w:t>a</w:t>
      </w:r>
      <w:r>
        <w:rPr>
          <w:sz w:val="24"/>
          <w:szCs w:val="24"/>
        </w:rPr>
        <w:t>n integrated</w:t>
      </w:r>
      <w:r w:rsidR="00756E4C">
        <w:rPr>
          <w:sz w:val="24"/>
          <w:szCs w:val="24"/>
        </w:rPr>
        <w:t xml:space="preserve"> Web-based</w:t>
      </w:r>
      <w:r w:rsidR="00756E4C" w:rsidRPr="00E1527C">
        <w:rPr>
          <w:sz w:val="24"/>
          <w:szCs w:val="24"/>
        </w:rPr>
        <w:t xml:space="preserve"> software</w:t>
      </w:r>
      <w:r w:rsidR="00DE3030">
        <w:rPr>
          <w:sz w:val="24"/>
          <w:szCs w:val="24"/>
        </w:rPr>
        <w:t xml:space="preserve"> platform. S</w:t>
      </w:r>
      <w:r w:rsidR="00DE3030" w:rsidRPr="00556E9A">
        <w:rPr>
          <w:sz w:val="24"/>
          <w:szCs w:val="24"/>
        </w:rPr>
        <w:t xml:space="preserve">creening and response </w:t>
      </w:r>
      <w:r w:rsidR="00DE3030" w:rsidRPr="005C3319">
        <w:rPr>
          <w:sz w:val="24"/>
          <w:szCs w:val="24"/>
        </w:rPr>
        <w:t xml:space="preserve">information will be collected electronically through online, Web-based </w:t>
      </w:r>
      <w:r w:rsidR="003111D9">
        <w:rPr>
          <w:sz w:val="24"/>
          <w:szCs w:val="24"/>
        </w:rPr>
        <w:t>surveys</w:t>
      </w:r>
      <w:r w:rsidR="00DE3030" w:rsidRPr="005C3319">
        <w:rPr>
          <w:sz w:val="24"/>
          <w:szCs w:val="24"/>
        </w:rPr>
        <w:t>.</w:t>
      </w:r>
      <w:r w:rsidR="00DE3030">
        <w:rPr>
          <w:sz w:val="24"/>
          <w:szCs w:val="24"/>
        </w:rPr>
        <w:t xml:space="preserve"> </w:t>
      </w:r>
      <w:r w:rsidR="00DE3030" w:rsidRPr="00756E4C">
        <w:rPr>
          <w:sz w:val="24"/>
          <w:szCs w:val="24"/>
        </w:rPr>
        <w:t>Web-based surveys are an especially convenient option for eliciting feedback on textual stimuli</w:t>
      </w:r>
      <w:r w:rsidR="00C37716">
        <w:rPr>
          <w:sz w:val="24"/>
          <w:szCs w:val="24"/>
        </w:rPr>
        <w:t xml:space="preserve"> such as the message platforms to be tested</w:t>
      </w:r>
      <w:r w:rsidR="00362416">
        <w:rPr>
          <w:sz w:val="24"/>
          <w:szCs w:val="24"/>
        </w:rPr>
        <w:t>. In addition, w</w:t>
      </w:r>
      <w:r w:rsidR="00362416" w:rsidRPr="0098028B">
        <w:rPr>
          <w:sz w:val="24"/>
          <w:szCs w:val="24"/>
        </w:rPr>
        <w:t xml:space="preserve">e are using electronic technology to facilitate </w:t>
      </w:r>
      <w:r w:rsidR="0058567E">
        <w:rPr>
          <w:sz w:val="24"/>
          <w:szCs w:val="24"/>
        </w:rPr>
        <w:t>IDIs (similar to a CATI system or conversation over Skype).</w:t>
      </w:r>
    </w:p>
    <w:p w14:paraId="778BE25B" w14:textId="77777777" w:rsidR="00DE3030" w:rsidRDefault="00DE3030" w:rsidP="00082D2A">
      <w:pPr>
        <w:pStyle w:val="HarrisBody"/>
        <w:tabs>
          <w:tab w:val="clear" w:pos="720"/>
          <w:tab w:val="left" w:pos="0"/>
        </w:tabs>
        <w:spacing w:after="0"/>
        <w:rPr>
          <w:sz w:val="24"/>
          <w:szCs w:val="24"/>
        </w:rPr>
      </w:pPr>
    </w:p>
    <w:p w14:paraId="6F0E7749" w14:textId="2B39A9AE" w:rsidR="004A1885" w:rsidRDefault="000D0CBC" w:rsidP="00082D2A">
      <w:pPr>
        <w:pStyle w:val="HarrisBody"/>
        <w:tabs>
          <w:tab w:val="clear" w:pos="720"/>
          <w:tab w:val="left" w:pos="0"/>
        </w:tabs>
        <w:spacing w:after="0"/>
        <w:rPr>
          <w:sz w:val="24"/>
          <w:szCs w:val="24"/>
        </w:rPr>
      </w:pPr>
      <w:r>
        <w:rPr>
          <w:sz w:val="24"/>
          <w:szCs w:val="24"/>
        </w:rPr>
        <w:t xml:space="preserve">The </w:t>
      </w:r>
      <w:r w:rsidR="003111D9">
        <w:rPr>
          <w:sz w:val="24"/>
          <w:szCs w:val="24"/>
        </w:rPr>
        <w:t xml:space="preserve">Web-based </w:t>
      </w:r>
      <w:r>
        <w:rPr>
          <w:sz w:val="24"/>
          <w:szCs w:val="24"/>
        </w:rPr>
        <w:t xml:space="preserve">software system includes </w:t>
      </w:r>
      <w:r w:rsidR="001B100D">
        <w:rPr>
          <w:sz w:val="24"/>
          <w:szCs w:val="24"/>
        </w:rPr>
        <w:t xml:space="preserve">embedded logic </w:t>
      </w:r>
      <w:r w:rsidR="004E3EEB">
        <w:rPr>
          <w:sz w:val="24"/>
          <w:szCs w:val="24"/>
        </w:rPr>
        <w:t xml:space="preserve">that </w:t>
      </w:r>
      <w:r w:rsidR="00362416">
        <w:rPr>
          <w:sz w:val="24"/>
          <w:szCs w:val="24"/>
        </w:rPr>
        <w:t>will route</w:t>
      </w:r>
      <w:r w:rsidR="001B100D">
        <w:rPr>
          <w:sz w:val="24"/>
          <w:szCs w:val="24"/>
        </w:rPr>
        <w:t xml:space="preserve"> respondents</w:t>
      </w:r>
      <w:r w:rsidR="00684907">
        <w:rPr>
          <w:sz w:val="24"/>
          <w:szCs w:val="24"/>
        </w:rPr>
        <w:t xml:space="preserve"> efficiently</w:t>
      </w:r>
      <w:r w:rsidR="001B100D">
        <w:rPr>
          <w:sz w:val="24"/>
          <w:szCs w:val="24"/>
        </w:rPr>
        <w:t xml:space="preserve"> through the 3 stages of information collection: </w:t>
      </w:r>
      <w:r w:rsidR="009F141D">
        <w:rPr>
          <w:sz w:val="24"/>
          <w:szCs w:val="24"/>
        </w:rPr>
        <w:t>the online screener</w:t>
      </w:r>
      <w:r w:rsidR="001B100D">
        <w:rPr>
          <w:sz w:val="24"/>
          <w:szCs w:val="24"/>
        </w:rPr>
        <w:t xml:space="preserve">, the </w:t>
      </w:r>
      <w:r w:rsidR="009F141D">
        <w:rPr>
          <w:sz w:val="24"/>
          <w:szCs w:val="24"/>
        </w:rPr>
        <w:t xml:space="preserve">online </w:t>
      </w:r>
      <w:r w:rsidR="001B100D">
        <w:rPr>
          <w:sz w:val="24"/>
          <w:szCs w:val="24"/>
        </w:rPr>
        <w:t xml:space="preserve">main questionnaire, and the IDI. </w:t>
      </w:r>
      <w:r w:rsidR="009F141D" w:rsidRPr="00556E9A">
        <w:rPr>
          <w:sz w:val="24"/>
          <w:szCs w:val="24"/>
        </w:rPr>
        <w:t>T</w:t>
      </w:r>
      <w:r w:rsidR="009F141D" w:rsidRPr="00875D93">
        <w:rPr>
          <w:sz w:val="24"/>
          <w:szCs w:val="24"/>
        </w:rPr>
        <w:t xml:space="preserve">he software </w:t>
      </w:r>
      <w:r w:rsidR="00435CE6">
        <w:rPr>
          <w:sz w:val="24"/>
          <w:szCs w:val="24"/>
        </w:rPr>
        <w:t>assigns respondents to specific platform tests</w:t>
      </w:r>
      <w:r w:rsidR="0035341B">
        <w:rPr>
          <w:sz w:val="24"/>
          <w:szCs w:val="24"/>
        </w:rPr>
        <w:t>. After the first 100 responses per message platform are collected, the software</w:t>
      </w:r>
      <w:r w:rsidR="0058567E">
        <w:rPr>
          <w:sz w:val="24"/>
          <w:szCs w:val="24"/>
        </w:rPr>
        <w:t xml:space="preserve"> </w:t>
      </w:r>
      <w:r w:rsidR="00B02A5C">
        <w:rPr>
          <w:sz w:val="24"/>
          <w:szCs w:val="24"/>
        </w:rPr>
        <w:t xml:space="preserve">randomly invites a subset of respondents to participate in IDIs. </w:t>
      </w:r>
      <w:r w:rsidR="007E75DF">
        <w:rPr>
          <w:sz w:val="24"/>
          <w:szCs w:val="24"/>
        </w:rPr>
        <w:t xml:space="preserve">The software </w:t>
      </w:r>
      <w:r w:rsidR="003111D9">
        <w:rPr>
          <w:sz w:val="24"/>
          <w:szCs w:val="24"/>
        </w:rPr>
        <w:t xml:space="preserve">then </w:t>
      </w:r>
      <w:r w:rsidR="007E75DF">
        <w:rPr>
          <w:sz w:val="24"/>
          <w:szCs w:val="24"/>
        </w:rPr>
        <w:t xml:space="preserve">displays </w:t>
      </w:r>
      <w:r w:rsidR="009F141D" w:rsidRPr="00875D93">
        <w:rPr>
          <w:sz w:val="24"/>
          <w:szCs w:val="24"/>
        </w:rPr>
        <w:t>a customized set of screen shots</w:t>
      </w:r>
      <w:r w:rsidR="007E75DF">
        <w:rPr>
          <w:sz w:val="24"/>
          <w:szCs w:val="24"/>
        </w:rPr>
        <w:t xml:space="preserve"> for each respondent,</w:t>
      </w:r>
      <w:r w:rsidR="009F141D" w:rsidRPr="00875D93">
        <w:rPr>
          <w:sz w:val="24"/>
          <w:szCs w:val="24"/>
        </w:rPr>
        <w:t xml:space="preserve"> so that the respondent perceives the entire experience as seamless </w:t>
      </w:r>
      <w:r w:rsidR="00684907">
        <w:rPr>
          <w:sz w:val="24"/>
          <w:szCs w:val="24"/>
        </w:rPr>
        <w:t xml:space="preserve">and </w:t>
      </w:r>
      <w:r w:rsidR="009F141D" w:rsidRPr="00875D93">
        <w:rPr>
          <w:sz w:val="24"/>
          <w:szCs w:val="24"/>
        </w:rPr>
        <w:t xml:space="preserve">continuous. </w:t>
      </w:r>
      <w:r w:rsidR="00142AB8">
        <w:rPr>
          <w:sz w:val="24"/>
          <w:szCs w:val="24"/>
        </w:rPr>
        <w:t>For example, i</w:t>
      </w:r>
      <w:r w:rsidR="009F141D" w:rsidRPr="00E1527C">
        <w:rPr>
          <w:sz w:val="24"/>
          <w:szCs w:val="24"/>
        </w:rPr>
        <w:t>f a respondent is ineligible or declines to participate</w:t>
      </w:r>
      <w:r w:rsidR="009F141D">
        <w:rPr>
          <w:sz w:val="24"/>
          <w:szCs w:val="24"/>
        </w:rPr>
        <w:t xml:space="preserve"> after screening</w:t>
      </w:r>
      <w:r w:rsidR="009F141D" w:rsidRPr="00E1527C">
        <w:rPr>
          <w:sz w:val="24"/>
          <w:szCs w:val="24"/>
        </w:rPr>
        <w:t>, s</w:t>
      </w:r>
      <w:r w:rsidR="009F141D">
        <w:rPr>
          <w:sz w:val="24"/>
          <w:szCs w:val="24"/>
        </w:rPr>
        <w:t>he</w:t>
      </w:r>
      <w:r w:rsidR="009F141D" w:rsidRPr="00E1527C">
        <w:rPr>
          <w:sz w:val="24"/>
          <w:szCs w:val="24"/>
        </w:rPr>
        <w:t>/he is routed to the appropriate thank-you s</w:t>
      </w:r>
      <w:r w:rsidR="009F141D">
        <w:rPr>
          <w:sz w:val="24"/>
          <w:szCs w:val="24"/>
        </w:rPr>
        <w:t xml:space="preserve">creen. </w:t>
      </w:r>
      <w:r w:rsidR="009F141D" w:rsidRPr="00E1527C">
        <w:rPr>
          <w:sz w:val="24"/>
          <w:szCs w:val="24"/>
        </w:rPr>
        <w:t>If a respondent</w:t>
      </w:r>
      <w:r w:rsidR="009F141D">
        <w:rPr>
          <w:sz w:val="24"/>
          <w:szCs w:val="24"/>
        </w:rPr>
        <w:t xml:space="preserve"> is eligible and</w:t>
      </w:r>
      <w:r w:rsidR="009F141D" w:rsidRPr="00E1527C">
        <w:rPr>
          <w:sz w:val="24"/>
          <w:szCs w:val="24"/>
        </w:rPr>
        <w:t xml:space="preserve"> completes the main questionnaire, </w:t>
      </w:r>
      <w:r w:rsidR="009F141D">
        <w:rPr>
          <w:sz w:val="24"/>
          <w:szCs w:val="24"/>
        </w:rPr>
        <w:t>he</w:t>
      </w:r>
      <w:r w:rsidR="009F141D" w:rsidRPr="00E1527C">
        <w:rPr>
          <w:sz w:val="24"/>
          <w:szCs w:val="24"/>
        </w:rPr>
        <w:t>/</w:t>
      </w:r>
      <w:r w:rsidR="003111D9">
        <w:rPr>
          <w:sz w:val="24"/>
          <w:szCs w:val="24"/>
        </w:rPr>
        <w:t>s</w:t>
      </w:r>
      <w:r w:rsidR="009F141D" w:rsidRPr="00E1527C">
        <w:rPr>
          <w:sz w:val="24"/>
          <w:szCs w:val="24"/>
        </w:rPr>
        <w:t>he is routed to the appropriate thank-you screen. If the software determines that the respondent should be invited to participate in an IDI, the software will display the relevant invitation and routing screens</w:t>
      </w:r>
      <w:r w:rsidR="003111D9">
        <w:rPr>
          <w:sz w:val="24"/>
          <w:szCs w:val="24"/>
        </w:rPr>
        <w:t>, and t</w:t>
      </w:r>
      <w:r w:rsidR="00684907">
        <w:rPr>
          <w:sz w:val="24"/>
          <w:szCs w:val="24"/>
        </w:rPr>
        <w:t>he respondent can schedule the IDI at a time of their choosing.</w:t>
      </w:r>
      <w:r w:rsidR="00684907" w:rsidRPr="00684907">
        <w:rPr>
          <w:sz w:val="24"/>
          <w:szCs w:val="24"/>
        </w:rPr>
        <w:t xml:space="preserve"> </w:t>
      </w:r>
      <w:r w:rsidR="00684907" w:rsidRPr="00E1527C">
        <w:rPr>
          <w:sz w:val="24"/>
          <w:szCs w:val="24"/>
        </w:rPr>
        <w:t>Overall</w:t>
      </w:r>
      <w:r w:rsidR="00684907">
        <w:rPr>
          <w:sz w:val="24"/>
          <w:szCs w:val="24"/>
        </w:rPr>
        <w:t>,</w:t>
      </w:r>
      <w:r w:rsidR="00684907" w:rsidRPr="00E1527C">
        <w:rPr>
          <w:sz w:val="24"/>
          <w:szCs w:val="24"/>
        </w:rPr>
        <w:t xml:space="preserve"> the software supports a very efficient assignment and routing process, and a smooth user experience that would be difficult to attain in other modes of data collection.</w:t>
      </w:r>
    </w:p>
    <w:p w14:paraId="2A85E063" w14:textId="77777777" w:rsidR="004A1885" w:rsidRDefault="004A1885" w:rsidP="00082D2A">
      <w:pPr>
        <w:pStyle w:val="HarrisBody"/>
        <w:tabs>
          <w:tab w:val="clear" w:pos="720"/>
          <w:tab w:val="left" w:pos="0"/>
        </w:tabs>
        <w:spacing w:after="0"/>
        <w:rPr>
          <w:sz w:val="24"/>
          <w:szCs w:val="24"/>
        </w:rPr>
      </w:pPr>
    </w:p>
    <w:p w14:paraId="4C85ECFE" w14:textId="70749913" w:rsidR="00D1237C" w:rsidRDefault="005F71FD" w:rsidP="005F71FD">
      <w:pPr>
        <w:pStyle w:val="HarrisBody"/>
        <w:tabs>
          <w:tab w:val="clear" w:pos="720"/>
          <w:tab w:val="left" w:pos="0"/>
        </w:tabs>
        <w:spacing w:after="0"/>
        <w:rPr>
          <w:sz w:val="24"/>
          <w:szCs w:val="24"/>
        </w:rPr>
      </w:pPr>
      <w:r>
        <w:rPr>
          <w:sz w:val="24"/>
          <w:szCs w:val="24"/>
        </w:rPr>
        <w:lastRenderedPageBreak/>
        <w:t>The Web-based platfo</w:t>
      </w:r>
      <w:r w:rsidR="00D1237C">
        <w:rPr>
          <w:sz w:val="24"/>
          <w:szCs w:val="24"/>
        </w:rPr>
        <w:t>rm has 2 additional advantages</w:t>
      </w:r>
      <w:r w:rsidR="003111D9">
        <w:rPr>
          <w:sz w:val="24"/>
          <w:szCs w:val="24"/>
        </w:rPr>
        <w:t xml:space="preserve"> for managing the project</w:t>
      </w:r>
      <w:r w:rsidR="00D1237C">
        <w:rPr>
          <w:sz w:val="24"/>
          <w:szCs w:val="24"/>
        </w:rPr>
        <w:t>.</w:t>
      </w:r>
    </w:p>
    <w:p w14:paraId="4C013008" w14:textId="77777777" w:rsidR="00D1237C" w:rsidRDefault="005F71FD" w:rsidP="001331D2">
      <w:pPr>
        <w:pStyle w:val="HarrisBody"/>
        <w:numPr>
          <w:ilvl w:val="0"/>
          <w:numId w:val="53"/>
        </w:numPr>
        <w:tabs>
          <w:tab w:val="clear" w:pos="720"/>
          <w:tab w:val="left" w:pos="0"/>
        </w:tabs>
        <w:spacing w:after="0"/>
        <w:rPr>
          <w:sz w:val="24"/>
          <w:szCs w:val="24"/>
        </w:rPr>
      </w:pPr>
      <w:r>
        <w:rPr>
          <w:sz w:val="24"/>
          <w:szCs w:val="24"/>
        </w:rPr>
        <w:t>First, u</w:t>
      </w:r>
      <w:r w:rsidRPr="00875D93">
        <w:rPr>
          <w:sz w:val="24"/>
          <w:szCs w:val="24"/>
        </w:rPr>
        <w:t>se of an existing online panel system will allow CDC to obtain information quickly so that needed adjustments to health messaging can be made expeditiously and campaign development can progress rapidly from planning to implementation. Convenience panels managed by Qualtrics/Toluna will be used for the subpopulations under test. The panel used for this testing is very large, allowing quick selection from the overall pool and rapid identification of several potential respondents from extremely small subgroups of the population. Samples from this panel are not designed to generate nationally representative samples or precise population parameters but rather are used as a highly efficient, low cost, and low burden method of data collection for formative copy testing.</w:t>
      </w:r>
    </w:p>
    <w:p w14:paraId="5BA335E7" w14:textId="44215A53" w:rsidR="005F71FD" w:rsidRPr="00D1237C" w:rsidRDefault="005F71FD" w:rsidP="001331D2">
      <w:pPr>
        <w:pStyle w:val="HarrisBody"/>
        <w:numPr>
          <w:ilvl w:val="0"/>
          <w:numId w:val="53"/>
        </w:numPr>
        <w:tabs>
          <w:tab w:val="clear" w:pos="720"/>
          <w:tab w:val="left" w:pos="0"/>
        </w:tabs>
        <w:spacing w:after="0"/>
        <w:rPr>
          <w:sz w:val="24"/>
          <w:szCs w:val="24"/>
        </w:rPr>
      </w:pPr>
      <w:r w:rsidRPr="00D1237C">
        <w:rPr>
          <w:sz w:val="24"/>
          <w:szCs w:val="24"/>
        </w:rPr>
        <w:t xml:space="preserve">Second, when a respondent enters the screener for this project, the link to </w:t>
      </w:r>
      <w:r w:rsidR="00D1237C" w:rsidRPr="00D1237C">
        <w:rPr>
          <w:sz w:val="24"/>
          <w:szCs w:val="24"/>
        </w:rPr>
        <w:t xml:space="preserve">his or her </w:t>
      </w:r>
      <w:r w:rsidRPr="00D1237C">
        <w:rPr>
          <w:sz w:val="24"/>
          <w:szCs w:val="24"/>
        </w:rPr>
        <w:t>identifiable information is severed</w:t>
      </w:r>
      <w:r w:rsidR="00D1237C">
        <w:rPr>
          <w:sz w:val="24"/>
          <w:szCs w:val="24"/>
        </w:rPr>
        <w:t xml:space="preserve"> (i.e., the link to the identifiable information maintained by the panel provider)</w:t>
      </w:r>
      <w:r w:rsidRPr="00D1237C">
        <w:rPr>
          <w:sz w:val="24"/>
          <w:szCs w:val="24"/>
        </w:rPr>
        <w:t>.</w:t>
      </w:r>
      <w:r w:rsidR="00D1237C">
        <w:rPr>
          <w:sz w:val="24"/>
          <w:szCs w:val="24"/>
        </w:rPr>
        <w:t xml:space="preserve"> </w:t>
      </w:r>
      <w:r w:rsidR="00FC77ED">
        <w:rPr>
          <w:sz w:val="24"/>
          <w:szCs w:val="24"/>
        </w:rPr>
        <w:t>None of the information collected through screening, the main questionnaire, or the IDI is identifiable</w:t>
      </w:r>
      <w:r w:rsidR="003111D9">
        <w:rPr>
          <w:sz w:val="24"/>
          <w:szCs w:val="24"/>
        </w:rPr>
        <w:t>, thus providing a secure environment for participants</w:t>
      </w:r>
      <w:r w:rsidR="00FC77ED">
        <w:rPr>
          <w:sz w:val="24"/>
          <w:szCs w:val="24"/>
        </w:rPr>
        <w:t>.</w:t>
      </w:r>
      <w:r w:rsidRPr="00D1237C">
        <w:rPr>
          <w:sz w:val="24"/>
          <w:szCs w:val="24"/>
        </w:rPr>
        <w:t xml:space="preserve"> </w:t>
      </w:r>
    </w:p>
    <w:p w14:paraId="57EF687A" w14:textId="143D7949" w:rsidR="00437CE9" w:rsidRDefault="00437CE9" w:rsidP="00082D2A">
      <w:pPr>
        <w:pStyle w:val="HarrisBody"/>
        <w:tabs>
          <w:tab w:val="clear" w:pos="720"/>
          <w:tab w:val="left" w:pos="0"/>
        </w:tabs>
        <w:spacing w:after="0"/>
        <w:rPr>
          <w:sz w:val="24"/>
          <w:szCs w:val="24"/>
        </w:rPr>
      </w:pPr>
    </w:p>
    <w:p w14:paraId="47466029" w14:textId="4D0D0DAB" w:rsidR="00A4010C" w:rsidRPr="00556E9A" w:rsidRDefault="00A4010C" w:rsidP="00550AB6">
      <w:pPr>
        <w:pStyle w:val="Tbodytext"/>
      </w:pPr>
      <w:r>
        <w:t>Please note that the</w:t>
      </w:r>
      <w:r w:rsidRPr="00784075">
        <w:t xml:space="preserve"> </w:t>
      </w:r>
      <w:r>
        <w:t xml:space="preserve">information gathered in this package is not meant </w:t>
      </w:r>
      <w:r w:rsidRPr="00E30682">
        <w:t>to generate any prevalence or generalizable statistics concerning us</w:t>
      </w:r>
      <w:r>
        <w:t xml:space="preserve">ers’ smoking or dual use habits, and no </w:t>
      </w:r>
      <w:r w:rsidRPr="00E30682">
        <w:t xml:space="preserve">claims in results </w:t>
      </w:r>
      <w:r>
        <w:t>will be</w:t>
      </w:r>
      <w:r w:rsidRPr="00E30682">
        <w:t xml:space="preserve"> made about anyone other than those in the targeted population</w:t>
      </w:r>
      <w:r>
        <w:t xml:space="preserve"> and only for the purposes listed herein, that is, to help shape future creative development for this specific campaign</w:t>
      </w:r>
      <w:r w:rsidRPr="00E30682">
        <w:t>.</w:t>
      </w:r>
    </w:p>
    <w:p w14:paraId="7C4BFAEB" w14:textId="77777777" w:rsidR="00E11DAD" w:rsidRPr="0091469F" w:rsidRDefault="00E11DAD" w:rsidP="001478D3">
      <w:pPr>
        <w:jc w:val="both"/>
        <w:rPr>
          <w:b/>
        </w:rPr>
      </w:pPr>
    </w:p>
    <w:p w14:paraId="4ABC7D12" w14:textId="77777777" w:rsidR="00044A5F" w:rsidRPr="0091469F" w:rsidRDefault="00044A5F" w:rsidP="00DC178F">
      <w:pPr>
        <w:keepNext/>
        <w:keepLines/>
        <w:jc w:val="both"/>
        <w:rPr>
          <w:b/>
        </w:rPr>
      </w:pPr>
      <w:r w:rsidRPr="0091469F">
        <w:rPr>
          <w:b/>
        </w:rPr>
        <w:t>A.4</w:t>
      </w:r>
      <w:r w:rsidRPr="0091469F">
        <w:rPr>
          <w:b/>
        </w:rPr>
        <w:tab/>
        <w:t>Efforts to Identify Duplication and Use of Similar Information</w:t>
      </w:r>
    </w:p>
    <w:p w14:paraId="5B14D646" w14:textId="2976DE73" w:rsidR="003019E0" w:rsidRPr="0091469F" w:rsidRDefault="003A43EF" w:rsidP="00DC178F">
      <w:pPr>
        <w:pStyle w:val="Tbodytext"/>
        <w:keepNext/>
        <w:keepLines/>
      </w:pPr>
      <w:r w:rsidRPr="0091469F">
        <w:t xml:space="preserve">This </w:t>
      </w:r>
      <w:r w:rsidR="00AC1CD2" w:rsidRPr="0091469F">
        <w:t>Information Collection Request (</w:t>
      </w:r>
      <w:r w:rsidRPr="0091469F">
        <w:t>ICR</w:t>
      </w:r>
      <w:r w:rsidR="00AC1CD2" w:rsidRPr="0091469F">
        <w:t>)</w:t>
      </w:r>
      <w:r w:rsidRPr="0091469F">
        <w:t xml:space="preserve"> is </w:t>
      </w:r>
      <w:r w:rsidR="001C7A47" w:rsidRPr="0091469F">
        <w:t xml:space="preserve">designed </w:t>
      </w:r>
      <w:r w:rsidRPr="0091469F">
        <w:t xml:space="preserve">to test </w:t>
      </w:r>
      <w:r w:rsidR="003019E0" w:rsidRPr="0091469F">
        <w:t xml:space="preserve">draft </w:t>
      </w:r>
      <w:r w:rsidR="00BD7062" w:rsidRPr="0091469F">
        <w:t>message platforms</w:t>
      </w:r>
      <w:r w:rsidR="001C7A47" w:rsidRPr="0091469F">
        <w:t xml:space="preserve"> to support the </w:t>
      </w:r>
      <w:r w:rsidR="00C15B43" w:rsidRPr="0091469F">
        <w:t xml:space="preserve">development efforts of </w:t>
      </w:r>
      <w:r w:rsidR="000B0905" w:rsidRPr="0091469F">
        <w:t xml:space="preserve">a new </w:t>
      </w:r>
      <w:r w:rsidR="00C15B43" w:rsidRPr="0091469F">
        <w:t>National Tobacco Education Campaign</w:t>
      </w:r>
      <w:r w:rsidR="00D545F4" w:rsidRPr="0091469F">
        <w:t>.</w:t>
      </w:r>
      <w:r w:rsidR="003019E0" w:rsidRPr="0091469F">
        <w:t xml:space="preserve"> </w:t>
      </w:r>
      <w:r w:rsidR="00CF1ACD" w:rsidRPr="0091469F">
        <w:t>As it does p</w:t>
      </w:r>
      <w:r w:rsidR="003019E0" w:rsidRPr="0091469F">
        <w:t>rior to conducting any data collection</w:t>
      </w:r>
      <w:r w:rsidR="00CF1ACD" w:rsidRPr="0091469F">
        <w:t xml:space="preserve"> effort</w:t>
      </w:r>
      <w:r w:rsidR="003019E0" w:rsidRPr="0091469F">
        <w:t xml:space="preserve">, CDC </w:t>
      </w:r>
      <w:r w:rsidR="00CF1ACD" w:rsidRPr="0091469F">
        <w:t xml:space="preserve">reviewed </w:t>
      </w:r>
      <w:r w:rsidR="003019E0" w:rsidRPr="0091469F">
        <w:t>existing published literature</w:t>
      </w:r>
      <w:r w:rsidR="006B0D97">
        <w:t>, FDA’s Deeming Rule,</w:t>
      </w:r>
      <w:r w:rsidR="003019E0" w:rsidRPr="0091469F">
        <w:t xml:space="preserve"> and unpublished qualitative pretesting reports when they </w:t>
      </w:r>
      <w:r w:rsidR="00CF1ACD" w:rsidRPr="0091469F">
        <w:t xml:space="preserve">were </w:t>
      </w:r>
      <w:r w:rsidR="003019E0" w:rsidRPr="0091469F">
        <w:t>available. Additionally</w:t>
      </w:r>
      <w:r w:rsidR="00376ADF" w:rsidRPr="0091469F">
        <w:t>,</w:t>
      </w:r>
      <w:r w:rsidR="003019E0" w:rsidRPr="0091469F">
        <w:t xml:space="preserve"> CDC </w:t>
      </w:r>
      <w:r w:rsidR="00CF1ACD" w:rsidRPr="0091469F">
        <w:t xml:space="preserve">consulted </w:t>
      </w:r>
      <w:r w:rsidR="003019E0" w:rsidRPr="0091469F">
        <w:t>with outside experts to identify information that could facilitate message development</w:t>
      </w:r>
      <w:r w:rsidR="00014D1E" w:rsidRPr="0091469F">
        <w:t xml:space="preserve">. </w:t>
      </w:r>
    </w:p>
    <w:p w14:paraId="6A034166" w14:textId="77777777" w:rsidR="0077062E" w:rsidRPr="0091469F" w:rsidRDefault="0077062E" w:rsidP="0077062E">
      <w:pPr>
        <w:pStyle w:val="Tbodytext"/>
      </w:pPr>
    </w:p>
    <w:p w14:paraId="496D3137" w14:textId="6F928C76" w:rsidR="00571BF2" w:rsidRPr="0091469F" w:rsidRDefault="00427749" w:rsidP="0077062E">
      <w:pPr>
        <w:pStyle w:val="Tbodytext"/>
      </w:pPr>
      <w:r w:rsidRPr="0091469F">
        <w:t xml:space="preserve">There are no similar data available specific to the </w:t>
      </w:r>
      <w:r w:rsidR="00C15B43" w:rsidRPr="0091469F">
        <w:t>message platforms</w:t>
      </w:r>
      <w:r w:rsidRPr="0091469F">
        <w:t xml:space="preserve"> proposed for testing in this ICR. CDC</w:t>
      </w:r>
      <w:r w:rsidR="00505C4E" w:rsidRPr="0091469F">
        <w:t xml:space="preserve">’s </w:t>
      </w:r>
      <w:r w:rsidR="00CF1ACD" w:rsidRPr="0091469F">
        <w:t>Office on Smoking and Health (</w:t>
      </w:r>
      <w:r w:rsidRPr="0091469F">
        <w:t>OSH</w:t>
      </w:r>
      <w:r w:rsidR="00CF1ACD" w:rsidRPr="0091469F">
        <w:t>)</w:t>
      </w:r>
      <w:r w:rsidRPr="0091469F">
        <w:t xml:space="preserve"> conducts </w:t>
      </w:r>
      <w:r w:rsidR="00C15B43" w:rsidRPr="0091469F">
        <w:lastRenderedPageBreak/>
        <w:t>quantitative research</w:t>
      </w:r>
      <w:r w:rsidRPr="0091469F">
        <w:t xml:space="preserve"> among adults to perform formative testing of </w:t>
      </w:r>
      <w:r w:rsidRPr="0091469F">
        <w:rPr>
          <w:i/>
        </w:rPr>
        <w:t>Tips</w:t>
      </w:r>
      <w:r w:rsidRPr="0091469F">
        <w:t xml:space="preserve"> ad concepts. </w:t>
      </w:r>
      <w:r w:rsidR="003019E0" w:rsidRPr="0091469F">
        <w:t xml:space="preserve">CDC/OSH collaborates with other federal government agencies that sponsor or endorse health communication projects, such as </w:t>
      </w:r>
      <w:r w:rsidR="00996B26" w:rsidRPr="0091469F">
        <w:t>FDA</w:t>
      </w:r>
      <w:r w:rsidR="00505C4E" w:rsidRPr="0091469F">
        <w:t>’s</w:t>
      </w:r>
      <w:r w:rsidR="00571BF2" w:rsidRPr="0091469F">
        <w:t xml:space="preserve"> </w:t>
      </w:r>
      <w:r w:rsidR="003019E0" w:rsidRPr="0091469F">
        <w:t>Center for Tobacco Products (CTP</w:t>
      </w:r>
      <w:r w:rsidR="00571BF2" w:rsidRPr="0091469F">
        <w:t>).</w:t>
      </w:r>
      <w:r w:rsidR="00014D1E" w:rsidRPr="0091469F">
        <w:t xml:space="preserve"> </w:t>
      </w:r>
      <w:r w:rsidR="00B00C67" w:rsidRPr="0091469F">
        <w:t>These affiliations serve as information channels,</w:t>
      </w:r>
      <w:r w:rsidR="00571BF2" w:rsidRPr="0091469F">
        <w:t xml:space="preserve"> help prevent redundancy</w:t>
      </w:r>
      <w:r w:rsidR="001978B8" w:rsidRPr="0091469F">
        <w:t>,</w:t>
      </w:r>
      <w:r w:rsidR="00571BF2" w:rsidRPr="0091469F">
        <w:t xml:space="preserve"> </w:t>
      </w:r>
      <w:r w:rsidR="003019E0" w:rsidRPr="0091469F">
        <w:t>and promote use of consistent measures of effectiveness</w:t>
      </w:r>
      <w:r w:rsidR="00014D1E" w:rsidRPr="0091469F">
        <w:t xml:space="preserve">. </w:t>
      </w:r>
      <w:r w:rsidR="003019E0" w:rsidRPr="0091469F">
        <w:t>Coordination act</w:t>
      </w:r>
      <w:r w:rsidR="00571BF2" w:rsidRPr="0091469F">
        <w:t>ivities include the r</w:t>
      </w:r>
      <w:r w:rsidR="003019E0" w:rsidRPr="0091469F">
        <w:t>eview of propo</w:t>
      </w:r>
      <w:r w:rsidR="002E0A38" w:rsidRPr="0091469F">
        <w:t>sed messages</w:t>
      </w:r>
      <w:r w:rsidR="00B00C67" w:rsidRPr="0091469F">
        <w:t xml:space="preserve">; review of </w:t>
      </w:r>
      <w:r w:rsidR="002E0A38" w:rsidRPr="0091469F">
        <w:t>questionnaire and other support material</w:t>
      </w:r>
      <w:r w:rsidR="00B00C67" w:rsidRPr="0091469F">
        <w:t xml:space="preserve"> for testing purposes;</w:t>
      </w:r>
      <w:r w:rsidR="00571BF2" w:rsidRPr="0091469F">
        <w:t xml:space="preserve"> and sharing</w:t>
      </w:r>
      <w:r w:rsidR="00CF1ACD" w:rsidRPr="0091469F">
        <w:t xml:space="preserve"> of</w:t>
      </w:r>
      <w:r w:rsidR="00571BF2" w:rsidRPr="0091469F">
        <w:t xml:space="preserve"> data.</w:t>
      </w:r>
      <w:r w:rsidR="001258BF" w:rsidRPr="0091469F">
        <w:t xml:space="preserve"> </w:t>
      </w:r>
      <w:r w:rsidR="001258BF" w:rsidRPr="00787890">
        <w:t xml:space="preserve">FDA is not currently developing </w:t>
      </w:r>
      <w:r w:rsidR="001C6210" w:rsidRPr="00787890">
        <w:t>message platforms</w:t>
      </w:r>
      <w:r w:rsidR="004D458B" w:rsidRPr="00787890">
        <w:t xml:space="preserve"> based on cessation</w:t>
      </w:r>
      <w:r w:rsidR="001C6210" w:rsidRPr="00787890">
        <w:t xml:space="preserve"> to support the development efforts of the National Tobacco Education Campaign</w:t>
      </w:r>
      <w:r w:rsidR="004D458B" w:rsidRPr="00787890">
        <w:t>.</w:t>
      </w:r>
      <w:r w:rsidR="001C6210" w:rsidRPr="0091469F">
        <w:t xml:space="preserve"> </w:t>
      </w:r>
    </w:p>
    <w:p w14:paraId="7BD19615" w14:textId="77777777" w:rsidR="00566DDA" w:rsidRPr="00390B41" w:rsidRDefault="00566DDA" w:rsidP="0077062E">
      <w:pPr>
        <w:pStyle w:val="Tbodytext"/>
      </w:pPr>
    </w:p>
    <w:p w14:paraId="7D05F97F" w14:textId="7DE4ADD0" w:rsidR="003019E0" w:rsidRPr="0091469F" w:rsidRDefault="003019E0" w:rsidP="0077062E">
      <w:pPr>
        <w:pStyle w:val="Tbodytext"/>
      </w:pPr>
      <w:r w:rsidRPr="00390B41">
        <w:t>CDC will share the findings from this collection of information</w:t>
      </w:r>
      <w:r w:rsidR="00B00C67" w:rsidRPr="00390B41">
        <w:t xml:space="preserve"> with</w:t>
      </w:r>
      <w:r w:rsidRPr="00390B41">
        <w:t xml:space="preserve"> </w:t>
      </w:r>
      <w:r w:rsidR="00FE4B78" w:rsidRPr="00390B41">
        <w:t xml:space="preserve">FDA </w:t>
      </w:r>
      <w:r w:rsidR="00571BF2" w:rsidRPr="00390B41">
        <w:t>CTP.</w:t>
      </w:r>
      <w:r w:rsidRPr="00390B41">
        <w:t xml:space="preserve"> </w:t>
      </w:r>
      <w:r w:rsidR="000E5414" w:rsidRPr="00390B41">
        <w:t xml:space="preserve">CDC and FDA are developing complementary but distinct messages to </w:t>
      </w:r>
      <w:r w:rsidR="000E5414" w:rsidRPr="00E1033E">
        <w:t>educate the public about the harmful effects of tobacco products. Staff members in OSH’s Health Communications Branch</w:t>
      </w:r>
      <w:r w:rsidR="00E81239" w:rsidRPr="008C3E18">
        <w:t xml:space="preserve"> </w:t>
      </w:r>
      <w:r w:rsidR="000E5414" w:rsidRPr="008C3E18">
        <w:t>work closely with staff in FDA’s Health Communication and Education unit. Regularly scheduled conference calls are held to review plans and share research find</w:t>
      </w:r>
      <w:r w:rsidR="000E5414" w:rsidRPr="0091469F">
        <w:t xml:space="preserve">ings of mutual interest. Staff members in OSH’s Health Communications Branch are thus working closely with staff in FDA’s Health Communication and Education unit as appropriate. It was determined that message </w:t>
      </w:r>
      <w:r w:rsidR="001C6210" w:rsidRPr="0091469F">
        <w:t xml:space="preserve">platform </w:t>
      </w:r>
      <w:r w:rsidR="000E5414" w:rsidRPr="0091469F">
        <w:t xml:space="preserve">testing proposed in this </w:t>
      </w:r>
      <w:r w:rsidR="001B6ECD" w:rsidRPr="0091469F">
        <w:t>ICR</w:t>
      </w:r>
      <w:r w:rsidR="000E5414" w:rsidRPr="0091469F">
        <w:t xml:space="preserve"> does not duplicate FDA efforts.</w:t>
      </w:r>
    </w:p>
    <w:p w14:paraId="407A79A2" w14:textId="77777777" w:rsidR="001C6210" w:rsidRPr="0091469F" w:rsidRDefault="001C6210" w:rsidP="0077062E">
      <w:pPr>
        <w:pStyle w:val="Tbodytext"/>
      </w:pPr>
    </w:p>
    <w:p w14:paraId="69417A44" w14:textId="77777777" w:rsidR="003019E0" w:rsidRPr="0091469F" w:rsidRDefault="00451A65" w:rsidP="0077062E">
      <w:pPr>
        <w:pStyle w:val="Tbodytext"/>
      </w:pPr>
      <w:r w:rsidRPr="0091469F">
        <w:t>Points</w:t>
      </w:r>
      <w:r w:rsidR="003019E0" w:rsidRPr="0091469F">
        <w:t xml:space="preserve"> of contact for this coordination are:</w:t>
      </w:r>
    </w:p>
    <w:p w14:paraId="0FFC69BC" w14:textId="2C11BD6A" w:rsidR="003019E0" w:rsidRPr="0091469F" w:rsidRDefault="00451A65" w:rsidP="00C979B7">
      <w:pPr>
        <w:pStyle w:val="Tbodytext"/>
        <w:numPr>
          <w:ilvl w:val="0"/>
          <w:numId w:val="46"/>
        </w:numPr>
      </w:pPr>
      <w:r w:rsidRPr="0091469F">
        <w:t xml:space="preserve">CDC: </w:t>
      </w:r>
      <w:r w:rsidR="003019E0" w:rsidRPr="0091469F">
        <w:t xml:space="preserve">Diane Beistle, Chief, Health Communication Branch, telephone (770) 488-5066, email </w:t>
      </w:r>
      <w:hyperlink r:id="rId10" w:history="1">
        <w:r w:rsidR="003019E0" w:rsidRPr="0091469F">
          <w:t>zgv1@cdc.gov</w:t>
        </w:r>
      </w:hyperlink>
      <w:r w:rsidR="00C979B7" w:rsidRPr="0091469F">
        <w:br/>
      </w:r>
    </w:p>
    <w:p w14:paraId="6170FB68" w14:textId="7DAD635C" w:rsidR="00571BF2" w:rsidRPr="0091469F" w:rsidRDefault="00451A65" w:rsidP="00C979B7">
      <w:pPr>
        <w:pStyle w:val="Tbodytext"/>
        <w:numPr>
          <w:ilvl w:val="0"/>
          <w:numId w:val="46"/>
        </w:numPr>
      </w:pPr>
      <w:r w:rsidRPr="0091469F">
        <w:t xml:space="preserve">CDC: </w:t>
      </w:r>
      <w:r w:rsidR="00D16E04" w:rsidRPr="0091469F">
        <w:t>Michelle O’Hegarty</w:t>
      </w:r>
      <w:r w:rsidR="003019E0" w:rsidRPr="0091469F">
        <w:t>, Health Communications Specialist, Campaign Development, Health Communication Branch, telephone (770) 488-</w:t>
      </w:r>
      <w:r w:rsidR="00F12EFA" w:rsidRPr="0091469F">
        <w:t>5582</w:t>
      </w:r>
      <w:r w:rsidR="003019E0" w:rsidRPr="0091469F">
        <w:t xml:space="preserve">, email </w:t>
      </w:r>
      <w:hyperlink r:id="rId11" w:history="1">
        <w:r w:rsidR="00F12EFA" w:rsidRPr="0091469F">
          <w:t>mohegarty@cdc.gov</w:t>
        </w:r>
      </w:hyperlink>
      <w:r w:rsidR="00C979B7" w:rsidRPr="0091469F">
        <w:br/>
      </w:r>
    </w:p>
    <w:p w14:paraId="4669A1C4" w14:textId="4CFD4A21" w:rsidR="00451A65" w:rsidRPr="0091469F" w:rsidRDefault="00451A65" w:rsidP="00C979B7">
      <w:pPr>
        <w:pStyle w:val="Tbodytext"/>
        <w:numPr>
          <w:ilvl w:val="0"/>
          <w:numId w:val="46"/>
        </w:numPr>
      </w:pPr>
      <w:r w:rsidRPr="0091469F">
        <w:t xml:space="preserve">FDA: Tesfa Alexander, Health Communication Specialist, Office of Health Communication and Education, telephone (301) 796-9335, email </w:t>
      </w:r>
      <w:r w:rsidR="00C979B7" w:rsidRPr="0091469F">
        <w:t>Tesfa.Alexander@fda.hhs.gov</w:t>
      </w:r>
    </w:p>
    <w:p w14:paraId="0B67DD96" w14:textId="77777777" w:rsidR="00E81239" w:rsidRPr="0091469F" w:rsidRDefault="00E81239" w:rsidP="0077062E">
      <w:pPr>
        <w:pStyle w:val="Tbodytext"/>
      </w:pPr>
    </w:p>
    <w:p w14:paraId="240BDA20" w14:textId="77777777" w:rsidR="00044A5F" w:rsidRPr="0091469F" w:rsidRDefault="00044A5F" w:rsidP="009505A2">
      <w:pPr>
        <w:jc w:val="both"/>
        <w:rPr>
          <w:b/>
        </w:rPr>
      </w:pPr>
      <w:r w:rsidRPr="0091469F">
        <w:rPr>
          <w:b/>
        </w:rPr>
        <w:t>A.5</w:t>
      </w:r>
      <w:r w:rsidRPr="0091469F">
        <w:rPr>
          <w:b/>
        </w:rPr>
        <w:tab/>
        <w:t>Impact on Small Business or Other Small Entities</w:t>
      </w:r>
    </w:p>
    <w:p w14:paraId="3D241D01" w14:textId="77777777" w:rsidR="00044A5F" w:rsidRPr="0091469F" w:rsidRDefault="002B4C70" w:rsidP="009505A2">
      <w:pPr>
        <w:jc w:val="both"/>
        <w:rPr>
          <w:rFonts w:eastAsia="Calibri"/>
        </w:rPr>
      </w:pPr>
      <w:r w:rsidRPr="0091469F">
        <w:rPr>
          <w:rFonts w:eastAsia="Calibri"/>
        </w:rPr>
        <w:t>This data collection will not involve</w:t>
      </w:r>
      <w:r w:rsidR="00A25C91" w:rsidRPr="0091469F">
        <w:rPr>
          <w:rFonts w:eastAsia="Calibri"/>
        </w:rPr>
        <w:t xml:space="preserve"> small businesses or other small entities.</w:t>
      </w:r>
      <w:r w:rsidR="003A7B66" w:rsidRPr="0091469F">
        <w:rPr>
          <w:rFonts w:eastAsia="Calibri"/>
        </w:rPr>
        <w:t xml:space="preserve"> </w:t>
      </w:r>
    </w:p>
    <w:p w14:paraId="2D798C5A" w14:textId="77777777" w:rsidR="007F1ACE" w:rsidRPr="0091469F" w:rsidRDefault="007F1ACE" w:rsidP="001478D3">
      <w:pPr>
        <w:jc w:val="both"/>
        <w:rPr>
          <w:b/>
        </w:rPr>
      </w:pPr>
    </w:p>
    <w:p w14:paraId="2B0A1C22" w14:textId="77777777" w:rsidR="00044A5F" w:rsidRPr="0091469F" w:rsidRDefault="00044A5F" w:rsidP="001478D3">
      <w:pPr>
        <w:jc w:val="both"/>
        <w:rPr>
          <w:b/>
        </w:rPr>
      </w:pPr>
      <w:r w:rsidRPr="0091469F">
        <w:rPr>
          <w:b/>
        </w:rPr>
        <w:t>A.6</w:t>
      </w:r>
      <w:r w:rsidRPr="0091469F">
        <w:rPr>
          <w:b/>
        </w:rPr>
        <w:tab/>
        <w:t>Consequences of Collecting the Information Less Frequently</w:t>
      </w:r>
    </w:p>
    <w:p w14:paraId="5DA493A6" w14:textId="3A1C37A8" w:rsidR="007F1ACE" w:rsidRPr="0091469F" w:rsidRDefault="002D5E05" w:rsidP="00D01CC1">
      <w:pPr>
        <w:pStyle w:val="Tbodytext"/>
      </w:pPr>
      <w:r w:rsidRPr="0091469F">
        <w:t xml:space="preserve">This is a one-time </w:t>
      </w:r>
      <w:r w:rsidR="00427749" w:rsidRPr="0091469F">
        <w:t xml:space="preserve">information collection </w:t>
      </w:r>
      <w:r w:rsidRPr="0091469F">
        <w:t>request</w:t>
      </w:r>
      <w:r w:rsidR="00427749" w:rsidRPr="0091469F">
        <w:t xml:space="preserve">. </w:t>
      </w:r>
    </w:p>
    <w:p w14:paraId="5F1DAA8D" w14:textId="77777777" w:rsidR="00D01CC1" w:rsidRPr="0091469F" w:rsidRDefault="00D01CC1" w:rsidP="001F2451"/>
    <w:p w14:paraId="0DC12438" w14:textId="77777777" w:rsidR="00044A5F" w:rsidRPr="0091469F" w:rsidRDefault="00044A5F" w:rsidP="001478D3">
      <w:pPr>
        <w:jc w:val="both"/>
        <w:rPr>
          <w:b/>
        </w:rPr>
      </w:pPr>
      <w:r w:rsidRPr="0091469F">
        <w:rPr>
          <w:b/>
        </w:rPr>
        <w:t>A.7</w:t>
      </w:r>
      <w:r w:rsidRPr="0091469F">
        <w:rPr>
          <w:b/>
        </w:rPr>
        <w:tab/>
        <w:t>Special Circumstances Relating to the Guidelines of 5 CFR 1320.5</w:t>
      </w:r>
    </w:p>
    <w:p w14:paraId="6CEDF73A" w14:textId="3F1BADE9" w:rsidR="00F9455A" w:rsidRPr="0091469F" w:rsidRDefault="00427749" w:rsidP="00D01CC1">
      <w:pPr>
        <w:pStyle w:val="Tbodytext"/>
      </w:pPr>
      <w:r w:rsidRPr="0091469F">
        <w:t>There are no special circumstances that require data collect</w:t>
      </w:r>
      <w:r w:rsidR="00DC74E5" w:rsidRPr="0091469F">
        <w:t>ion to be conducted in a manner</w:t>
      </w:r>
      <w:r w:rsidR="00E7480D" w:rsidRPr="0091469F">
        <w:t xml:space="preserve"> </w:t>
      </w:r>
      <w:r w:rsidRPr="0091469F">
        <w:t xml:space="preserve">inconsistent with 5 </w:t>
      </w:r>
      <w:r w:rsidR="00BF6D95">
        <w:t>C</w:t>
      </w:r>
      <w:r w:rsidR="002F39E0">
        <w:t>FR</w:t>
      </w:r>
      <w:r w:rsidR="002F39E0" w:rsidRPr="0091469F">
        <w:t xml:space="preserve"> </w:t>
      </w:r>
      <w:r w:rsidRPr="0091469F">
        <w:t>1320.5 (d)</w:t>
      </w:r>
      <w:r w:rsidR="00DC74E5" w:rsidRPr="0091469F">
        <w:t xml:space="preserve"> </w:t>
      </w:r>
      <w:r w:rsidRPr="0091469F">
        <w:t>(2). The information collection fully complies with the</w:t>
      </w:r>
      <w:r w:rsidR="00E7480D" w:rsidRPr="0091469F">
        <w:t xml:space="preserve"> </w:t>
      </w:r>
      <w:r w:rsidRPr="0091469F">
        <w:t xml:space="preserve">guidelines in 5 CFR 1320.5. </w:t>
      </w:r>
    </w:p>
    <w:p w14:paraId="29736AF9" w14:textId="77777777" w:rsidR="00F9455A" w:rsidRPr="0091469F" w:rsidRDefault="00F9455A" w:rsidP="00D01CC1">
      <w:pPr>
        <w:pStyle w:val="Tbodytext"/>
      </w:pPr>
    </w:p>
    <w:p w14:paraId="59291B31" w14:textId="00326C5A" w:rsidR="00044A5F" w:rsidRPr="0091469F" w:rsidRDefault="00044A5F" w:rsidP="00F9455A">
      <w:pPr>
        <w:ind w:left="720" w:hanging="720"/>
      </w:pPr>
      <w:r w:rsidRPr="0091469F">
        <w:rPr>
          <w:b/>
        </w:rPr>
        <w:t>A.8</w:t>
      </w:r>
      <w:r w:rsidRPr="0091469F">
        <w:rPr>
          <w:b/>
        </w:rPr>
        <w:tab/>
        <w:t>Comments in Response to the Federal Register Notice and Efforts to Consult Outside the Agency</w:t>
      </w:r>
    </w:p>
    <w:p w14:paraId="703B6225" w14:textId="77777777" w:rsidR="004E7F02" w:rsidRPr="0091469F" w:rsidRDefault="004E7F02" w:rsidP="004E7F02">
      <w:pPr>
        <w:pStyle w:val="Heading3"/>
        <w:rPr>
          <w:rFonts w:ascii="Times New Roman" w:hAnsi="Times New Roman" w:cs="Times New Roman"/>
          <w:color w:val="auto"/>
        </w:rPr>
      </w:pPr>
      <w:r w:rsidRPr="0091469F">
        <w:rPr>
          <w:rFonts w:ascii="Times New Roman" w:hAnsi="Times New Roman" w:cs="Times New Roman"/>
          <w:color w:val="auto"/>
        </w:rPr>
        <w:t>A.8.a</w:t>
      </w:r>
      <w:r w:rsidRPr="0091469F">
        <w:rPr>
          <w:rFonts w:ascii="Times New Roman" w:hAnsi="Times New Roman" w:cs="Times New Roman"/>
          <w:color w:val="auto"/>
        </w:rPr>
        <w:tab/>
      </w:r>
      <w:r w:rsidRPr="007A16A8">
        <w:rPr>
          <w:rFonts w:ascii="Times New Roman" w:hAnsi="Times New Roman" w:cs="Times New Roman"/>
          <w:b w:val="0"/>
          <w:color w:val="auto"/>
          <w:u w:val="single"/>
        </w:rPr>
        <w:t>Federal Register Announcement</w:t>
      </w:r>
    </w:p>
    <w:p w14:paraId="31310F04" w14:textId="66BC421B" w:rsidR="00091E6A" w:rsidRPr="0091469F" w:rsidRDefault="00091E6A" w:rsidP="00D01CC1">
      <w:pPr>
        <w:pStyle w:val="Tbodytext"/>
      </w:pPr>
      <w:r w:rsidRPr="0091469F">
        <w:rPr>
          <w:rFonts w:eastAsia="Calibri"/>
        </w:rPr>
        <w:t xml:space="preserve">A </w:t>
      </w:r>
      <w:r w:rsidR="009F5359" w:rsidRPr="0091469F">
        <w:rPr>
          <w:rFonts w:eastAsia="Calibri"/>
        </w:rPr>
        <w:t>Notice was published in the Federal Register on August 11, 2014, volume 79, number 154, pp.</w:t>
      </w:r>
      <w:r w:rsidR="00D01CC1" w:rsidRPr="0091469F">
        <w:rPr>
          <w:rFonts w:eastAsia="Calibri"/>
        </w:rPr>
        <w:t xml:space="preserve"> </w:t>
      </w:r>
      <w:r w:rsidR="009F5359" w:rsidRPr="0091469F">
        <w:rPr>
          <w:rFonts w:eastAsia="Calibri"/>
        </w:rPr>
        <w:t>46829-46830). One public comment was received</w:t>
      </w:r>
      <w:r w:rsidR="00D32107" w:rsidRPr="0091469F">
        <w:rPr>
          <w:rFonts w:eastAsia="Calibri"/>
        </w:rPr>
        <w:t xml:space="preserve"> and addressed.</w:t>
      </w:r>
    </w:p>
    <w:p w14:paraId="4219E3BF" w14:textId="77777777" w:rsidR="007F1ACE" w:rsidRPr="0091469F" w:rsidRDefault="007F1ACE" w:rsidP="00D01CC1">
      <w:pPr>
        <w:pStyle w:val="Tbodytext"/>
      </w:pPr>
    </w:p>
    <w:p w14:paraId="5EE60660" w14:textId="77777777" w:rsidR="00C240CC" w:rsidRPr="0091469F" w:rsidRDefault="004E7F02" w:rsidP="00C240CC">
      <w:pPr>
        <w:pStyle w:val="BodyText0"/>
        <w:spacing w:after="0"/>
        <w:ind w:firstLine="0"/>
        <w:rPr>
          <w:b/>
          <w:u w:val="single"/>
        </w:rPr>
      </w:pPr>
      <w:r w:rsidRPr="0091469F">
        <w:rPr>
          <w:b/>
        </w:rPr>
        <w:t>A.8.b</w:t>
      </w:r>
      <w:r w:rsidRPr="0091469F">
        <w:rPr>
          <w:b/>
        </w:rPr>
        <w:tab/>
      </w:r>
      <w:r w:rsidRPr="008D3DCA">
        <w:rPr>
          <w:u w:val="single"/>
        </w:rPr>
        <w:t xml:space="preserve">Consultations </w:t>
      </w:r>
    </w:p>
    <w:p w14:paraId="6DA68F05" w14:textId="344AF50E" w:rsidR="00E8311B" w:rsidRPr="00803A81" w:rsidRDefault="003D7546" w:rsidP="001F632A">
      <w:pPr>
        <w:pStyle w:val="Tbodytext"/>
      </w:pPr>
      <w:r w:rsidRPr="00AA5048">
        <w:t xml:space="preserve">CDC’s National Tobacco Education Campaign has been funded primarily with funds from the Affordable Care Act/Public Health Fund designated for smoking education since 2010. CDC did not consult outside of the agency on the message platforms. </w:t>
      </w:r>
      <w:r w:rsidRPr="0091469F">
        <w:t xml:space="preserve"> </w:t>
      </w:r>
      <w:r w:rsidR="00B175C6" w:rsidRPr="0091469F">
        <w:t xml:space="preserve">  </w:t>
      </w:r>
      <w:r w:rsidR="00652C0E" w:rsidRPr="0091469F">
        <w:t xml:space="preserve"> </w:t>
      </w:r>
      <w:r w:rsidR="00E8311B" w:rsidRPr="0091469F">
        <w:t xml:space="preserve"> </w:t>
      </w:r>
    </w:p>
    <w:p w14:paraId="76E40515" w14:textId="77777777" w:rsidR="001F2451" w:rsidRPr="00803A81" w:rsidRDefault="001F2451" w:rsidP="00C240CC">
      <w:pPr>
        <w:pStyle w:val="BodyText0"/>
        <w:spacing w:after="0"/>
        <w:ind w:firstLine="0"/>
      </w:pPr>
    </w:p>
    <w:p w14:paraId="3E2A7C56" w14:textId="77777777" w:rsidR="003667F4" w:rsidRDefault="003667F4" w:rsidP="00E62957">
      <w:pPr>
        <w:jc w:val="both"/>
        <w:rPr>
          <w:b/>
        </w:rPr>
      </w:pPr>
    </w:p>
    <w:p w14:paraId="4047AC3F" w14:textId="6CFBFF5B" w:rsidR="00044A5F" w:rsidRPr="00390B41" w:rsidRDefault="00044A5F" w:rsidP="00E62957">
      <w:pPr>
        <w:jc w:val="both"/>
        <w:rPr>
          <w:b/>
        </w:rPr>
      </w:pPr>
      <w:r w:rsidRPr="00390B41">
        <w:rPr>
          <w:b/>
        </w:rPr>
        <w:t>A.9</w:t>
      </w:r>
      <w:r w:rsidRPr="00390B41">
        <w:rPr>
          <w:b/>
        </w:rPr>
        <w:tab/>
        <w:t>Explanation of Any Payments or Gift to Respondents</w:t>
      </w:r>
    </w:p>
    <w:p w14:paraId="41A7C1D3" w14:textId="1503DD5C" w:rsidR="00390B41" w:rsidRPr="009D717B" w:rsidRDefault="00251FF3" w:rsidP="00390B41">
      <w:pPr>
        <w:pStyle w:val="HarrisBody"/>
        <w:tabs>
          <w:tab w:val="clear" w:pos="720"/>
          <w:tab w:val="left" w:pos="0"/>
        </w:tabs>
        <w:spacing w:after="0"/>
        <w:rPr>
          <w:sz w:val="24"/>
          <w:szCs w:val="24"/>
        </w:rPr>
      </w:pPr>
      <w:r>
        <w:rPr>
          <w:sz w:val="24"/>
          <w:szCs w:val="24"/>
        </w:rPr>
        <w:t>R</w:t>
      </w:r>
      <w:r w:rsidR="00047579" w:rsidRPr="0091469F">
        <w:rPr>
          <w:sz w:val="24"/>
          <w:szCs w:val="24"/>
        </w:rPr>
        <w:t xml:space="preserve">espondents will be drawn from the established Toluna panel system </w:t>
      </w:r>
      <w:r w:rsidR="00F37710">
        <w:rPr>
          <w:sz w:val="24"/>
          <w:szCs w:val="24"/>
        </w:rPr>
        <w:t xml:space="preserve">which </w:t>
      </w:r>
      <w:r w:rsidR="00047579" w:rsidRPr="0091469F">
        <w:rPr>
          <w:sz w:val="24"/>
          <w:szCs w:val="24"/>
        </w:rPr>
        <w:t xml:space="preserve">provides points </w:t>
      </w:r>
      <w:r w:rsidR="00F37710">
        <w:rPr>
          <w:sz w:val="24"/>
          <w:szCs w:val="24"/>
        </w:rPr>
        <w:t xml:space="preserve">to panelists </w:t>
      </w:r>
      <w:r w:rsidR="006A73D0" w:rsidRPr="0091469F">
        <w:rPr>
          <w:sz w:val="24"/>
          <w:szCs w:val="24"/>
        </w:rPr>
        <w:t>as a reward for participation</w:t>
      </w:r>
      <w:r w:rsidR="005C3318">
        <w:rPr>
          <w:sz w:val="24"/>
          <w:szCs w:val="24"/>
        </w:rPr>
        <w:t xml:space="preserve"> (see Toluna’s Terms and Conditions, Attachment </w:t>
      </w:r>
      <w:r w:rsidR="00126907">
        <w:rPr>
          <w:sz w:val="24"/>
          <w:szCs w:val="24"/>
        </w:rPr>
        <w:t>5</w:t>
      </w:r>
      <w:r w:rsidR="005C3318">
        <w:rPr>
          <w:sz w:val="24"/>
          <w:szCs w:val="24"/>
        </w:rPr>
        <w:t>)</w:t>
      </w:r>
      <w:r w:rsidR="006A73D0" w:rsidRPr="0091469F">
        <w:rPr>
          <w:sz w:val="24"/>
          <w:szCs w:val="24"/>
        </w:rPr>
        <w:t xml:space="preserve">. </w:t>
      </w:r>
      <w:r w:rsidR="00047579" w:rsidRPr="0091469F">
        <w:rPr>
          <w:sz w:val="24"/>
          <w:szCs w:val="24"/>
        </w:rPr>
        <w:t xml:space="preserve">Immediately upon completion of the survey, each respondent </w:t>
      </w:r>
      <w:r w:rsidR="00F37710">
        <w:rPr>
          <w:sz w:val="24"/>
          <w:szCs w:val="24"/>
        </w:rPr>
        <w:t>will be</w:t>
      </w:r>
      <w:r w:rsidR="00047579" w:rsidRPr="0091469F">
        <w:rPr>
          <w:sz w:val="24"/>
          <w:szCs w:val="24"/>
        </w:rPr>
        <w:t xml:space="preserve"> provided with a certain number of point</w:t>
      </w:r>
      <w:r w:rsidR="006A73D0" w:rsidRPr="00803A81">
        <w:rPr>
          <w:sz w:val="24"/>
          <w:szCs w:val="24"/>
        </w:rPr>
        <w:t xml:space="preserve">s that are equivalent to $.50. </w:t>
      </w:r>
      <w:r w:rsidR="00E81239" w:rsidRPr="00390B41">
        <w:rPr>
          <w:sz w:val="24"/>
          <w:szCs w:val="24"/>
        </w:rPr>
        <w:t xml:space="preserve">These </w:t>
      </w:r>
      <w:r w:rsidR="00047579" w:rsidRPr="00E1033E">
        <w:rPr>
          <w:sz w:val="24"/>
          <w:szCs w:val="24"/>
        </w:rPr>
        <w:t>points are accrued with other points when the panelis</w:t>
      </w:r>
      <w:r w:rsidR="00FD0411">
        <w:rPr>
          <w:sz w:val="24"/>
          <w:szCs w:val="24"/>
        </w:rPr>
        <w:t xml:space="preserve">t takes part in other surveys. </w:t>
      </w:r>
      <w:r w:rsidR="00047579" w:rsidRPr="00E1033E">
        <w:rPr>
          <w:sz w:val="24"/>
          <w:szCs w:val="24"/>
        </w:rPr>
        <w:t>At any time, the panelis</w:t>
      </w:r>
      <w:r w:rsidR="00047579" w:rsidRPr="00E61E02">
        <w:rPr>
          <w:sz w:val="24"/>
          <w:szCs w:val="24"/>
        </w:rPr>
        <w:t>t is able to redeem their points for different products, such as gift cards</w:t>
      </w:r>
      <w:r w:rsidR="00F37710">
        <w:rPr>
          <w:sz w:val="24"/>
          <w:szCs w:val="24"/>
        </w:rPr>
        <w:t xml:space="preserve">. </w:t>
      </w:r>
    </w:p>
    <w:p w14:paraId="3FC7420E" w14:textId="77777777" w:rsidR="00047579" w:rsidRPr="00E1033E" w:rsidRDefault="00047579" w:rsidP="00E62957">
      <w:pPr>
        <w:rPr>
          <w:b/>
        </w:rPr>
      </w:pPr>
    </w:p>
    <w:p w14:paraId="789B983D" w14:textId="21F73CBE" w:rsidR="006D258E" w:rsidRPr="0091469F" w:rsidRDefault="006D258E" w:rsidP="002F5DF0">
      <w:pPr>
        <w:rPr>
          <w:b/>
        </w:rPr>
      </w:pPr>
      <w:r w:rsidRPr="008C3E18">
        <w:rPr>
          <w:b/>
        </w:rPr>
        <w:t>A.10.</w:t>
      </w:r>
      <w:r w:rsidR="006A73D0" w:rsidRPr="008C3E18">
        <w:rPr>
          <w:b/>
        </w:rPr>
        <w:t xml:space="preserve"> </w:t>
      </w:r>
      <w:r w:rsidR="005907D1" w:rsidRPr="008C3E18">
        <w:rPr>
          <w:b/>
        </w:rPr>
        <w:t>Protection of the Privacy and Confidentiality of Information Provided by Respondents</w:t>
      </w:r>
      <w:r w:rsidRPr="0091469F">
        <w:rPr>
          <w:b/>
        </w:rPr>
        <w:br/>
      </w:r>
      <w:r w:rsidR="00FC4782" w:rsidRPr="0091469F">
        <w:lastRenderedPageBreak/>
        <w:t>This submission has been reviewed by staff in CDC’s National Center for Chronic Disease Prevention and Health Promotion, who determined that the Privacy Act does not apply.</w:t>
      </w:r>
      <w:r w:rsidR="00FC4782" w:rsidRPr="0091469F">
        <w:rPr>
          <w:b/>
        </w:rPr>
        <w:t xml:space="preserve"> </w:t>
      </w:r>
      <w:r w:rsidR="002F5DF0">
        <w:t>The identifiable information about Toluna panelists is maintained in a proprietary records system and is not released (see</w:t>
      </w:r>
      <w:r w:rsidR="002F5DF0" w:rsidRPr="0091469F">
        <w:t xml:space="preserve"> Toluna’s Privacy Policy</w:t>
      </w:r>
      <w:r w:rsidR="002F5DF0">
        <w:t>,</w:t>
      </w:r>
      <w:r w:rsidR="002F5DF0" w:rsidRPr="0091469F">
        <w:t xml:space="preserve"> Attachment </w:t>
      </w:r>
      <w:r w:rsidR="00126907">
        <w:t>6</w:t>
      </w:r>
      <w:r w:rsidR="002F5DF0">
        <w:t>)</w:t>
      </w:r>
      <w:r w:rsidR="002F5DF0" w:rsidRPr="0091469F">
        <w:t>.</w:t>
      </w:r>
      <w:r w:rsidR="002F5DF0" w:rsidDel="002F5DF0">
        <w:rPr>
          <w:rStyle w:val="CommentReference"/>
        </w:rPr>
        <w:t xml:space="preserve"> </w:t>
      </w:r>
      <w:r w:rsidR="002F5DF0" w:rsidRPr="0091469F">
        <w:t>When the respondent begins the survey, all identifiable links to the existing system of records are severed.</w:t>
      </w:r>
    </w:p>
    <w:p w14:paraId="4157E362" w14:textId="77777777" w:rsidR="00FC4782" w:rsidRPr="0091469F" w:rsidRDefault="00FC4782" w:rsidP="002F5DF0">
      <w:pPr>
        <w:rPr>
          <w:b/>
        </w:rPr>
      </w:pPr>
    </w:p>
    <w:p w14:paraId="4E5EBCBD" w14:textId="24C56D6D" w:rsidR="003B3F8C" w:rsidRDefault="00790BEA" w:rsidP="002F5DF0">
      <w:pPr>
        <w:pStyle w:val="HarrisBody"/>
        <w:tabs>
          <w:tab w:val="clear" w:pos="720"/>
          <w:tab w:val="left" w:pos="0"/>
        </w:tabs>
        <w:spacing w:after="0"/>
        <w:rPr>
          <w:sz w:val="24"/>
          <w:szCs w:val="24"/>
        </w:rPr>
      </w:pPr>
      <w:r w:rsidRPr="00933FD6">
        <w:rPr>
          <w:sz w:val="24"/>
          <w:szCs w:val="24"/>
        </w:rPr>
        <w:t xml:space="preserve">CDC </w:t>
      </w:r>
      <w:r w:rsidR="000159C8">
        <w:rPr>
          <w:sz w:val="24"/>
          <w:szCs w:val="24"/>
        </w:rPr>
        <w:t xml:space="preserve">has </w:t>
      </w:r>
      <w:r w:rsidRPr="00933FD6">
        <w:rPr>
          <w:sz w:val="24"/>
          <w:szCs w:val="24"/>
        </w:rPr>
        <w:t>contract</w:t>
      </w:r>
      <w:r w:rsidR="000159C8">
        <w:rPr>
          <w:sz w:val="24"/>
          <w:szCs w:val="24"/>
        </w:rPr>
        <w:t>ed</w:t>
      </w:r>
      <w:r w:rsidRPr="00933FD6">
        <w:rPr>
          <w:sz w:val="24"/>
          <w:szCs w:val="24"/>
        </w:rPr>
        <w:t xml:space="preserve"> with The Plow</w:t>
      </w:r>
      <w:r w:rsidR="00A16692" w:rsidRPr="00933FD6">
        <w:rPr>
          <w:sz w:val="24"/>
          <w:szCs w:val="24"/>
        </w:rPr>
        <w:t>S</w:t>
      </w:r>
      <w:r w:rsidRPr="00933FD6">
        <w:rPr>
          <w:sz w:val="24"/>
          <w:szCs w:val="24"/>
        </w:rPr>
        <w:t>hare Group for this information collection.</w:t>
      </w:r>
      <w:r w:rsidR="00887CBD" w:rsidRPr="00933FD6">
        <w:rPr>
          <w:sz w:val="24"/>
          <w:szCs w:val="24"/>
        </w:rPr>
        <w:t xml:space="preserve"> The Plow</w:t>
      </w:r>
      <w:r w:rsidR="00045FAD" w:rsidRPr="00933FD6">
        <w:rPr>
          <w:sz w:val="24"/>
          <w:szCs w:val="24"/>
        </w:rPr>
        <w:t>S</w:t>
      </w:r>
      <w:r w:rsidR="00887CBD" w:rsidRPr="00933FD6">
        <w:rPr>
          <w:sz w:val="24"/>
          <w:szCs w:val="24"/>
        </w:rPr>
        <w:t xml:space="preserve">hare Group’s data collection and formative research </w:t>
      </w:r>
      <w:r w:rsidR="00E54FE5" w:rsidRPr="00933FD6">
        <w:rPr>
          <w:sz w:val="24"/>
          <w:szCs w:val="24"/>
        </w:rPr>
        <w:t>sub-</w:t>
      </w:r>
      <w:r w:rsidR="00887CBD" w:rsidRPr="00933FD6">
        <w:rPr>
          <w:sz w:val="24"/>
          <w:szCs w:val="24"/>
        </w:rPr>
        <w:t>contractor</w:t>
      </w:r>
      <w:r w:rsidR="005D46A1">
        <w:rPr>
          <w:sz w:val="24"/>
          <w:szCs w:val="24"/>
        </w:rPr>
        <w:t>s</w:t>
      </w:r>
      <w:r w:rsidR="000159C8">
        <w:rPr>
          <w:sz w:val="24"/>
          <w:szCs w:val="24"/>
        </w:rPr>
        <w:t xml:space="preserve"> </w:t>
      </w:r>
      <w:r w:rsidR="005D46A1">
        <w:rPr>
          <w:sz w:val="24"/>
          <w:szCs w:val="24"/>
        </w:rPr>
        <w:t>are</w:t>
      </w:r>
      <w:r w:rsidR="005D46A1" w:rsidRPr="00933FD6">
        <w:rPr>
          <w:sz w:val="24"/>
          <w:szCs w:val="24"/>
        </w:rPr>
        <w:t xml:space="preserve"> </w:t>
      </w:r>
      <w:r w:rsidR="002D4E01" w:rsidRPr="00933FD6">
        <w:rPr>
          <w:sz w:val="24"/>
          <w:szCs w:val="24"/>
        </w:rPr>
        <w:t>Qualtrics</w:t>
      </w:r>
      <w:r w:rsidR="005D46A1">
        <w:rPr>
          <w:sz w:val="24"/>
          <w:szCs w:val="24"/>
        </w:rPr>
        <w:t xml:space="preserve"> and Battelle</w:t>
      </w:r>
      <w:r w:rsidR="00027327" w:rsidRPr="00933FD6">
        <w:rPr>
          <w:sz w:val="24"/>
          <w:szCs w:val="24"/>
        </w:rPr>
        <w:t>.</w:t>
      </w:r>
      <w:r w:rsidRPr="00933FD6">
        <w:rPr>
          <w:sz w:val="24"/>
          <w:szCs w:val="24"/>
        </w:rPr>
        <w:t xml:space="preserve"> </w:t>
      </w:r>
      <w:r w:rsidR="0033188D">
        <w:rPr>
          <w:sz w:val="24"/>
          <w:szCs w:val="24"/>
        </w:rPr>
        <w:t>Qualtrics will recruit resp</w:t>
      </w:r>
      <w:r w:rsidR="00B025E7">
        <w:rPr>
          <w:sz w:val="24"/>
          <w:szCs w:val="24"/>
        </w:rPr>
        <w:t>ondents by interfacing with</w:t>
      </w:r>
      <w:r w:rsidR="0033188D">
        <w:rPr>
          <w:sz w:val="24"/>
          <w:szCs w:val="24"/>
        </w:rPr>
        <w:t xml:space="preserve"> a</w:t>
      </w:r>
      <w:r w:rsidR="00510294">
        <w:rPr>
          <w:sz w:val="24"/>
          <w:szCs w:val="24"/>
        </w:rPr>
        <w:t>n existing panel system</w:t>
      </w:r>
      <w:r w:rsidR="003B3F8C">
        <w:rPr>
          <w:sz w:val="24"/>
          <w:szCs w:val="24"/>
        </w:rPr>
        <w:t xml:space="preserve"> </w:t>
      </w:r>
      <w:r w:rsidR="0033188D">
        <w:rPr>
          <w:sz w:val="24"/>
          <w:szCs w:val="24"/>
        </w:rPr>
        <w:t xml:space="preserve">managed by </w:t>
      </w:r>
      <w:r w:rsidR="003B3F8C">
        <w:rPr>
          <w:sz w:val="24"/>
          <w:szCs w:val="24"/>
        </w:rPr>
        <w:t>Toluna.</w:t>
      </w:r>
      <w:r w:rsidR="00B025E7">
        <w:rPr>
          <w:sz w:val="24"/>
          <w:szCs w:val="24"/>
        </w:rPr>
        <w:t xml:space="preserve"> </w:t>
      </w:r>
      <w:r w:rsidR="0092740D">
        <w:rPr>
          <w:sz w:val="24"/>
          <w:szCs w:val="24"/>
        </w:rPr>
        <w:t xml:space="preserve">CDC, Qualtrics, and Battelle </w:t>
      </w:r>
      <w:r w:rsidR="00742D38">
        <w:rPr>
          <w:sz w:val="24"/>
          <w:szCs w:val="24"/>
        </w:rPr>
        <w:t>participated in planning</w:t>
      </w:r>
      <w:r w:rsidR="00193B05">
        <w:rPr>
          <w:sz w:val="24"/>
          <w:szCs w:val="24"/>
        </w:rPr>
        <w:t xml:space="preserve"> </w:t>
      </w:r>
      <w:r w:rsidR="00742D38">
        <w:rPr>
          <w:sz w:val="24"/>
          <w:szCs w:val="24"/>
        </w:rPr>
        <w:t xml:space="preserve">the information collection </w:t>
      </w:r>
      <w:r w:rsidR="00AC75C0">
        <w:rPr>
          <w:sz w:val="24"/>
          <w:szCs w:val="24"/>
        </w:rPr>
        <w:t xml:space="preserve">and </w:t>
      </w:r>
      <w:r w:rsidR="0092740D">
        <w:rPr>
          <w:sz w:val="24"/>
          <w:szCs w:val="24"/>
        </w:rPr>
        <w:t>will interpret</w:t>
      </w:r>
      <w:r w:rsidR="00510294">
        <w:rPr>
          <w:sz w:val="24"/>
          <w:szCs w:val="24"/>
        </w:rPr>
        <w:t xml:space="preserve"> de-identified response information</w:t>
      </w:r>
      <w:r w:rsidR="00C528BE">
        <w:rPr>
          <w:sz w:val="24"/>
          <w:szCs w:val="24"/>
        </w:rPr>
        <w:t xml:space="preserve"> and will not receive an</w:t>
      </w:r>
      <w:r w:rsidR="002843A3">
        <w:rPr>
          <w:sz w:val="24"/>
          <w:szCs w:val="24"/>
        </w:rPr>
        <w:t>y</w:t>
      </w:r>
      <w:r w:rsidR="00C528BE">
        <w:rPr>
          <w:sz w:val="24"/>
          <w:szCs w:val="24"/>
        </w:rPr>
        <w:t xml:space="preserve"> PII on the respondents</w:t>
      </w:r>
      <w:r w:rsidR="0092740D">
        <w:rPr>
          <w:sz w:val="24"/>
          <w:szCs w:val="24"/>
        </w:rPr>
        <w:t>.</w:t>
      </w:r>
    </w:p>
    <w:p w14:paraId="5476E4E7" w14:textId="77777777" w:rsidR="003B3F8C" w:rsidRDefault="003B3F8C" w:rsidP="005B2B4E">
      <w:pPr>
        <w:pStyle w:val="HarrisBody"/>
        <w:tabs>
          <w:tab w:val="clear" w:pos="720"/>
          <w:tab w:val="left" w:pos="0"/>
        </w:tabs>
        <w:spacing w:after="0"/>
        <w:rPr>
          <w:sz w:val="24"/>
          <w:szCs w:val="24"/>
        </w:rPr>
      </w:pPr>
    </w:p>
    <w:p w14:paraId="34D78DD9" w14:textId="4D7B4E1F" w:rsidR="006D258E" w:rsidRPr="0091469F" w:rsidRDefault="006D258E" w:rsidP="005B2B4E">
      <w:pPr>
        <w:pStyle w:val="HarrisBody"/>
        <w:tabs>
          <w:tab w:val="clear" w:pos="720"/>
          <w:tab w:val="left" w:pos="0"/>
        </w:tabs>
        <w:spacing w:after="0"/>
        <w:rPr>
          <w:sz w:val="24"/>
          <w:szCs w:val="24"/>
        </w:rPr>
      </w:pPr>
      <w:r w:rsidRPr="00933FD6">
        <w:rPr>
          <w:sz w:val="24"/>
          <w:szCs w:val="24"/>
        </w:rPr>
        <w:t xml:space="preserve">All </w:t>
      </w:r>
      <w:r w:rsidR="001B07AB" w:rsidRPr="00933FD6">
        <w:rPr>
          <w:sz w:val="24"/>
          <w:szCs w:val="24"/>
        </w:rPr>
        <w:t>i</w:t>
      </w:r>
      <w:r w:rsidRPr="00933FD6">
        <w:rPr>
          <w:sz w:val="24"/>
          <w:szCs w:val="24"/>
        </w:rPr>
        <w:t xml:space="preserve">nformation </w:t>
      </w:r>
      <w:r w:rsidR="00475172">
        <w:rPr>
          <w:sz w:val="24"/>
          <w:szCs w:val="24"/>
        </w:rPr>
        <w:t xml:space="preserve">for the self-administered screening process and the self-administered main questionnaire </w:t>
      </w:r>
      <w:r w:rsidRPr="00933FD6">
        <w:rPr>
          <w:sz w:val="24"/>
          <w:szCs w:val="24"/>
        </w:rPr>
        <w:t xml:space="preserve">will be collected electronically in a secure, online, </w:t>
      </w:r>
      <w:r w:rsidR="005C0096" w:rsidRPr="00933FD6">
        <w:rPr>
          <w:sz w:val="24"/>
          <w:szCs w:val="24"/>
        </w:rPr>
        <w:t>W</w:t>
      </w:r>
      <w:r w:rsidRPr="00933FD6">
        <w:rPr>
          <w:sz w:val="24"/>
          <w:szCs w:val="24"/>
        </w:rPr>
        <w:t>eb</w:t>
      </w:r>
      <w:r w:rsidR="006A73D0" w:rsidRPr="00933FD6">
        <w:rPr>
          <w:sz w:val="24"/>
          <w:szCs w:val="24"/>
        </w:rPr>
        <w:t xml:space="preserve">-based data collection system. </w:t>
      </w:r>
      <w:r w:rsidRPr="00933FD6">
        <w:rPr>
          <w:sz w:val="24"/>
          <w:szCs w:val="24"/>
        </w:rPr>
        <w:t xml:space="preserve">CDC will not have direct contact with </w:t>
      </w:r>
      <w:r w:rsidR="00850650" w:rsidRPr="00933FD6">
        <w:rPr>
          <w:sz w:val="24"/>
          <w:szCs w:val="24"/>
        </w:rPr>
        <w:t xml:space="preserve">nor access to any personal identifying information (PII) about </w:t>
      </w:r>
      <w:r w:rsidRPr="00933FD6">
        <w:rPr>
          <w:sz w:val="24"/>
          <w:szCs w:val="24"/>
        </w:rPr>
        <w:t>participants</w:t>
      </w:r>
      <w:r w:rsidR="00850650" w:rsidRPr="00933FD6">
        <w:rPr>
          <w:sz w:val="24"/>
          <w:szCs w:val="24"/>
        </w:rPr>
        <w:t xml:space="preserve">. </w:t>
      </w:r>
      <w:r w:rsidR="00A3406F" w:rsidRPr="00933FD6">
        <w:rPr>
          <w:sz w:val="24"/>
          <w:szCs w:val="24"/>
        </w:rPr>
        <w:t xml:space="preserve"> CDC will </w:t>
      </w:r>
      <w:r w:rsidR="00850650" w:rsidRPr="00933FD6">
        <w:rPr>
          <w:sz w:val="24"/>
          <w:szCs w:val="24"/>
        </w:rPr>
        <w:t xml:space="preserve">only </w:t>
      </w:r>
      <w:r w:rsidR="00A3406F" w:rsidRPr="00933FD6">
        <w:rPr>
          <w:sz w:val="24"/>
          <w:szCs w:val="24"/>
        </w:rPr>
        <w:t xml:space="preserve">have access to the audio-visuals of the IDIs via a password-protected </w:t>
      </w:r>
      <w:r w:rsidR="005C0096" w:rsidRPr="00933FD6">
        <w:rPr>
          <w:sz w:val="24"/>
          <w:szCs w:val="24"/>
        </w:rPr>
        <w:t>W</w:t>
      </w:r>
      <w:r w:rsidR="00A3406F" w:rsidRPr="00933FD6">
        <w:rPr>
          <w:sz w:val="24"/>
          <w:szCs w:val="24"/>
        </w:rPr>
        <w:t>eb stream</w:t>
      </w:r>
      <w:r w:rsidR="00850650" w:rsidRPr="00933FD6">
        <w:rPr>
          <w:sz w:val="24"/>
          <w:szCs w:val="24"/>
        </w:rPr>
        <w:t>.</w:t>
      </w:r>
    </w:p>
    <w:p w14:paraId="4F033C69" w14:textId="7CB44F7F" w:rsidR="001B4DFA" w:rsidRPr="00803A81" w:rsidRDefault="001B4DFA" w:rsidP="008811AB">
      <w:pPr>
        <w:rPr>
          <w:b/>
          <w:i/>
          <w:u w:val="single"/>
        </w:rPr>
      </w:pPr>
    </w:p>
    <w:p w14:paraId="5B2D867B" w14:textId="7CEFB974" w:rsidR="008E7BBA" w:rsidRDefault="006D258E" w:rsidP="005B2B4E">
      <w:pPr>
        <w:pStyle w:val="HarrisBody"/>
        <w:tabs>
          <w:tab w:val="clear" w:pos="720"/>
          <w:tab w:val="left" w:pos="0"/>
        </w:tabs>
        <w:spacing w:after="0"/>
        <w:rPr>
          <w:sz w:val="24"/>
          <w:szCs w:val="24"/>
        </w:rPr>
      </w:pPr>
      <w:r w:rsidRPr="00390B41">
        <w:rPr>
          <w:sz w:val="24"/>
          <w:szCs w:val="24"/>
        </w:rPr>
        <w:t xml:space="preserve">No individually identifiable information or </w:t>
      </w:r>
      <w:r w:rsidR="00850650" w:rsidRPr="00390B41">
        <w:rPr>
          <w:sz w:val="24"/>
          <w:szCs w:val="24"/>
        </w:rPr>
        <w:t>PII</w:t>
      </w:r>
      <w:r w:rsidRPr="00390B41">
        <w:rPr>
          <w:sz w:val="24"/>
          <w:szCs w:val="24"/>
        </w:rPr>
        <w:t xml:space="preserve"> is being collected.  Although</w:t>
      </w:r>
      <w:r w:rsidR="006457E5">
        <w:rPr>
          <w:sz w:val="24"/>
          <w:szCs w:val="24"/>
        </w:rPr>
        <w:t xml:space="preserve"> demographic </w:t>
      </w:r>
      <w:r w:rsidR="006457E5" w:rsidRPr="008420A0">
        <w:rPr>
          <w:sz w:val="24"/>
          <w:szCs w:val="24"/>
        </w:rPr>
        <w:t xml:space="preserve">information (e.g., </w:t>
      </w:r>
      <w:r w:rsidRPr="008420A0">
        <w:rPr>
          <w:sz w:val="24"/>
          <w:szCs w:val="24"/>
        </w:rPr>
        <w:t xml:space="preserve">age) will be </w:t>
      </w:r>
      <w:r w:rsidR="00510294" w:rsidRPr="008420A0">
        <w:rPr>
          <w:sz w:val="24"/>
          <w:szCs w:val="24"/>
        </w:rPr>
        <w:t>confirmed through screening</w:t>
      </w:r>
      <w:r w:rsidRPr="00390B41">
        <w:rPr>
          <w:sz w:val="24"/>
          <w:szCs w:val="24"/>
        </w:rPr>
        <w:t>, no direct personal identifiers (e.g., name, phone number, social securit</w:t>
      </w:r>
      <w:r w:rsidRPr="00E1033E">
        <w:rPr>
          <w:sz w:val="24"/>
          <w:szCs w:val="24"/>
        </w:rPr>
        <w:t>y number, etc.) will be collecte</w:t>
      </w:r>
      <w:r w:rsidR="00DA7BBE" w:rsidRPr="00E1033E">
        <w:rPr>
          <w:sz w:val="24"/>
          <w:szCs w:val="24"/>
        </w:rPr>
        <w:t>d or maintained as part of the s</w:t>
      </w:r>
      <w:r w:rsidR="00126907">
        <w:rPr>
          <w:sz w:val="24"/>
          <w:szCs w:val="24"/>
        </w:rPr>
        <w:t xml:space="preserve">creener </w:t>
      </w:r>
      <w:r w:rsidR="00DA7BBE" w:rsidRPr="00E61E02">
        <w:rPr>
          <w:sz w:val="24"/>
          <w:szCs w:val="24"/>
        </w:rPr>
        <w:t>or main questionnaire (</w:t>
      </w:r>
      <w:r w:rsidRPr="008C3E18">
        <w:rPr>
          <w:sz w:val="24"/>
          <w:szCs w:val="24"/>
        </w:rPr>
        <w:t xml:space="preserve">Attachment </w:t>
      </w:r>
      <w:r w:rsidR="00126907">
        <w:rPr>
          <w:sz w:val="24"/>
          <w:szCs w:val="24"/>
        </w:rPr>
        <w:t>1</w:t>
      </w:r>
      <w:r w:rsidR="00271343">
        <w:rPr>
          <w:sz w:val="24"/>
          <w:szCs w:val="24"/>
        </w:rPr>
        <w:t>A/Attachment 1B</w:t>
      </w:r>
      <w:r w:rsidRPr="008C3E18">
        <w:rPr>
          <w:sz w:val="24"/>
          <w:szCs w:val="24"/>
        </w:rPr>
        <w:t>). As su</w:t>
      </w:r>
      <w:r w:rsidRPr="00B8136C">
        <w:rPr>
          <w:sz w:val="24"/>
          <w:szCs w:val="24"/>
        </w:rPr>
        <w:t>ch, because it does not exist, no directly identifying information will b</w:t>
      </w:r>
      <w:r w:rsidR="00F517F4">
        <w:rPr>
          <w:sz w:val="24"/>
          <w:szCs w:val="24"/>
        </w:rPr>
        <w:t xml:space="preserve">e transmitted to CDC. </w:t>
      </w:r>
      <w:r w:rsidRPr="0091469F">
        <w:rPr>
          <w:sz w:val="24"/>
          <w:szCs w:val="24"/>
        </w:rPr>
        <w:t xml:space="preserve">While Toluna has access to the email address of panel subscribers, no match back is possible between the survey </w:t>
      </w:r>
      <w:r w:rsidR="008E7BBA">
        <w:rPr>
          <w:sz w:val="24"/>
          <w:szCs w:val="24"/>
        </w:rPr>
        <w:t xml:space="preserve">response </w:t>
      </w:r>
      <w:r w:rsidRPr="0091469F">
        <w:rPr>
          <w:sz w:val="24"/>
          <w:szCs w:val="24"/>
        </w:rPr>
        <w:t>data and Toluna nor is this information available to Qualtrics. No link between the respondent</w:t>
      </w:r>
      <w:r w:rsidR="00045FAD" w:rsidRPr="0091469F">
        <w:rPr>
          <w:sz w:val="24"/>
          <w:szCs w:val="24"/>
        </w:rPr>
        <w:t>’s</w:t>
      </w:r>
      <w:r w:rsidRPr="0091469F">
        <w:rPr>
          <w:sz w:val="24"/>
          <w:szCs w:val="24"/>
        </w:rPr>
        <w:t xml:space="preserve"> email and the specific survey is made after the potential respondent clicks on the link to view the consent and potentially starts the survey.  No information is collected that will tie the respondent back to the email or any other pers</w:t>
      </w:r>
      <w:r w:rsidR="005E0706" w:rsidRPr="0091469F">
        <w:rPr>
          <w:sz w:val="24"/>
          <w:szCs w:val="24"/>
        </w:rPr>
        <w:t>onal identifying information. I</w:t>
      </w:r>
      <w:r w:rsidRPr="0091469F">
        <w:rPr>
          <w:sz w:val="24"/>
          <w:szCs w:val="24"/>
        </w:rPr>
        <w:t>n addition, the information at the observation level is identified through use on</w:t>
      </w:r>
      <w:r w:rsidR="005E0706" w:rsidRPr="0091469F">
        <w:rPr>
          <w:sz w:val="24"/>
          <w:szCs w:val="24"/>
        </w:rPr>
        <w:t xml:space="preserve">ly of sample unit identifiers. </w:t>
      </w:r>
      <w:r w:rsidRPr="0091469F">
        <w:rPr>
          <w:sz w:val="24"/>
          <w:szCs w:val="24"/>
        </w:rPr>
        <w:t xml:space="preserve">Neither </w:t>
      </w:r>
      <w:r w:rsidRPr="0091469F">
        <w:rPr>
          <w:sz w:val="24"/>
          <w:szCs w:val="24"/>
        </w:rPr>
        <w:lastRenderedPageBreak/>
        <w:t>Qualtrics</w:t>
      </w:r>
      <w:r w:rsidR="00045FAD" w:rsidRPr="0091469F">
        <w:rPr>
          <w:sz w:val="24"/>
          <w:szCs w:val="24"/>
        </w:rPr>
        <w:t>, Battelle,</w:t>
      </w:r>
      <w:r w:rsidRPr="0091469F">
        <w:rPr>
          <w:sz w:val="24"/>
          <w:szCs w:val="24"/>
        </w:rPr>
        <w:t xml:space="preserve"> nor CDC employees working on the project will have access to any identifying information.</w:t>
      </w:r>
    </w:p>
    <w:p w14:paraId="4AF934E3" w14:textId="77777777" w:rsidR="008E7BBA" w:rsidRDefault="008E7BBA" w:rsidP="005B2B4E">
      <w:pPr>
        <w:pStyle w:val="HarrisBody"/>
        <w:tabs>
          <w:tab w:val="clear" w:pos="720"/>
          <w:tab w:val="left" w:pos="0"/>
        </w:tabs>
        <w:spacing w:after="0"/>
        <w:rPr>
          <w:sz w:val="24"/>
          <w:szCs w:val="24"/>
        </w:rPr>
      </w:pPr>
    </w:p>
    <w:p w14:paraId="5944FA62" w14:textId="13AA92ED" w:rsidR="006D258E" w:rsidRPr="0091469F" w:rsidRDefault="000C76E7" w:rsidP="005B2B4E">
      <w:pPr>
        <w:pStyle w:val="HarrisBody"/>
        <w:tabs>
          <w:tab w:val="clear" w:pos="720"/>
          <w:tab w:val="left" w:pos="0"/>
        </w:tabs>
        <w:spacing w:after="0"/>
        <w:rPr>
          <w:sz w:val="24"/>
          <w:szCs w:val="24"/>
        </w:rPr>
      </w:pPr>
      <w:r>
        <w:rPr>
          <w:sz w:val="24"/>
          <w:szCs w:val="24"/>
        </w:rPr>
        <w:t xml:space="preserve">After completing the main questionnaire, respondents will have the opportunity to schedule a follow-up </w:t>
      </w:r>
      <w:r w:rsidR="00B7258F">
        <w:rPr>
          <w:sz w:val="24"/>
          <w:szCs w:val="24"/>
        </w:rPr>
        <w:t>IDI</w:t>
      </w:r>
      <w:r w:rsidR="007D0341">
        <w:rPr>
          <w:sz w:val="24"/>
          <w:szCs w:val="24"/>
        </w:rPr>
        <w:t xml:space="preserve"> (Attachment </w:t>
      </w:r>
      <w:r w:rsidR="00126907">
        <w:rPr>
          <w:sz w:val="24"/>
          <w:szCs w:val="24"/>
        </w:rPr>
        <w:t>1</w:t>
      </w:r>
      <w:r w:rsidR="00271343">
        <w:rPr>
          <w:sz w:val="24"/>
          <w:szCs w:val="24"/>
        </w:rPr>
        <w:t>B</w:t>
      </w:r>
      <w:r w:rsidR="007D0341">
        <w:rPr>
          <w:sz w:val="24"/>
          <w:szCs w:val="24"/>
        </w:rPr>
        <w:t xml:space="preserve"> – page 100)</w:t>
      </w:r>
      <w:r>
        <w:rPr>
          <w:sz w:val="24"/>
          <w:szCs w:val="24"/>
        </w:rPr>
        <w:t xml:space="preserve">. Respondents who </w:t>
      </w:r>
      <w:r w:rsidR="008E7BBA">
        <w:rPr>
          <w:sz w:val="24"/>
          <w:szCs w:val="24"/>
        </w:rPr>
        <w:t>express inte</w:t>
      </w:r>
      <w:r>
        <w:rPr>
          <w:sz w:val="24"/>
          <w:szCs w:val="24"/>
        </w:rPr>
        <w:t>rest in participating in an IDI</w:t>
      </w:r>
      <w:r w:rsidR="008E7BBA">
        <w:rPr>
          <w:sz w:val="24"/>
          <w:szCs w:val="24"/>
        </w:rPr>
        <w:t xml:space="preserve"> and have the necessary computer equipment</w:t>
      </w:r>
      <w:r>
        <w:rPr>
          <w:sz w:val="24"/>
          <w:szCs w:val="24"/>
        </w:rPr>
        <w:t xml:space="preserve"> </w:t>
      </w:r>
      <w:r w:rsidR="008E7BBA">
        <w:rPr>
          <w:sz w:val="24"/>
          <w:szCs w:val="24"/>
        </w:rPr>
        <w:t>will be routed to a secure site where they can schedule the IDI</w:t>
      </w:r>
      <w:r>
        <w:rPr>
          <w:sz w:val="24"/>
          <w:szCs w:val="24"/>
        </w:rPr>
        <w:t xml:space="preserve"> at their convenience</w:t>
      </w:r>
      <w:r w:rsidR="008E7BBA">
        <w:rPr>
          <w:sz w:val="24"/>
          <w:szCs w:val="24"/>
        </w:rPr>
        <w:t>.</w:t>
      </w:r>
      <w:r>
        <w:rPr>
          <w:sz w:val="24"/>
          <w:szCs w:val="24"/>
        </w:rPr>
        <w:t xml:space="preserve"> No information that could potentially identify the respondent is collected for scheduling the IDI or during the IDI.</w:t>
      </w:r>
      <w:r w:rsidR="008E7BBA">
        <w:rPr>
          <w:sz w:val="24"/>
          <w:szCs w:val="24"/>
        </w:rPr>
        <w:t xml:space="preserve">  </w:t>
      </w:r>
      <w:r w:rsidR="006D258E" w:rsidRPr="0091469F">
        <w:rPr>
          <w:sz w:val="24"/>
          <w:szCs w:val="24"/>
        </w:rPr>
        <w:t xml:space="preserve">   </w:t>
      </w:r>
    </w:p>
    <w:p w14:paraId="14656D45" w14:textId="202ADB57" w:rsidR="006D258E" w:rsidRPr="0091469F" w:rsidRDefault="006D258E" w:rsidP="005B2B4E">
      <w:pPr>
        <w:rPr>
          <w:rFonts w:eastAsia="MS Mincho"/>
          <w:kern w:val="2"/>
          <w:lang w:eastAsia="ja-JP"/>
        </w:rPr>
      </w:pPr>
      <w:r w:rsidRPr="0091469F">
        <w:rPr>
          <w:rFonts w:eastAsia="MS Mincho"/>
          <w:kern w:val="2"/>
          <w:lang w:eastAsia="ja-JP"/>
        </w:rPr>
        <w:br/>
      </w:r>
      <w:r w:rsidR="00D23317" w:rsidRPr="00EE7514">
        <w:rPr>
          <w:i/>
        </w:rPr>
        <w:t>Data Security</w:t>
      </w:r>
      <w:r w:rsidRPr="0091469F">
        <w:rPr>
          <w:b/>
          <w:i/>
          <w:u w:val="single"/>
        </w:rPr>
        <w:t xml:space="preserve"> </w:t>
      </w:r>
      <w:r w:rsidRPr="0091469F">
        <w:rPr>
          <w:b/>
        </w:rPr>
        <w:br/>
      </w:r>
      <w:r w:rsidRPr="0091469F">
        <w:rPr>
          <w:rFonts w:eastAsia="MS Mincho"/>
          <w:kern w:val="2"/>
          <w:lang w:eastAsia="ja-JP"/>
        </w:rPr>
        <w:t>All findings will be reported in the aggregate only. All information will be stored on password-protected databases to which only Qualtrics employees working on this project have access.  Qualtrics will keep the data in non-aggregate form for six months after information collection has been completed, and then the observation-level data will be deleted from the password-protected databases. No desktop or laptop computer will contain any personal identifying information. To prevent unauthorized access to their data servers (such as that which would be done by “hacking”)</w:t>
      </w:r>
      <w:r w:rsidR="00775601" w:rsidRPr="0091469F">
        <w:rPr>
          <w:rFonts w:eastAsia="MS Mincho"/>
          <w:kern w:val="2"/>
          <w:lang w:eastAsia="ja-JP"/>
        </w:rPr>
        <w:t>,</w:t>
      </w:r>
      <w:r w:rsidRPr="0091469F">
        <w:rPr>
          <w:rFonts w:eastAsia="MS Mincho"/>
          <w:kern w:val="2"/>
          <w:lang w:eastAsia="ja-JP"/>
        </w:rPr>
        <w:t xml:space="preserve"> Qualtrics is currently certified and has achieved the distinguished ISO 27001 accreditation. With this achievement</w:t>
      </w:r>
      <w:r w:rsidR="00D82C5C" w:rsidRPr="0091469F">
        <w:rPr>
          <w:rFonts w:eastAsia="MS Mincho"/>
          <w:kern w:val="2"/>
          <w:lang w:eastAsia="ja-JP"/>
        </w:rPr>
        <w:t>,</w:t>
      </w:r>
      <w:r w:rsidRPr="0091469F">
        <w:rPr>
          <w:rFonts w:eastAsia="MS Mincho"/>
          <w:kern w:val="2"/>
          <w:lang w:eastAsia="ja-JP"/>
        </w:rPr>
        <w:t xml:space="preserve"> Qualtrics’ data systems have assurance that all data will be managed in a secure environment. This means that Qualtrics has been formally audited and has been certified compliant with the standard ISO 27001 accreditation.</w:t>
      </w:r>
      <w:r w:rsidR="000E1888" w:rsidRPr="0091469F">
        <w:rPr>
          <w:rFonts w:eastAsia="MS Mincho"/>
          <w:kern w:val="2"/>
          <w:lang w:eastAsia="ja-JP"/>
        </w:rPr>
        <w:t xml:space="preserve"> </w:t>
      </w:r>
      <w:r w:rsidR="000E1888" w:rsidRPr="00933FD6">
        <w:rPr>
          <w:rFonts w:eastAsia="MS Mincho"/>
          <w:kern w:val="2"/>
          <w:lang w:eastAsia="ja-JP"/>
        </w:rPr>
        <w:t>CDC will retain and destroy records in accordance with the applicable CDC Records Control Schedule.</w:t>
      </w:r>
    </w:p>
    <w:p w14:paraId="010B88EC" w14:textId="77777777" w:rsidR="00744A13" w:rsidRPr="00803A81" w:rsidRDefault="00744A13" w:rsidP="005B2B4E"/>
    <w:p w14:paraId="123210A3" w14:textId="3D229E4F" w:rsidR="00EB5567" w:rsidRPr="00390B41" w:rsidRDefault="00FB68CC" w:rsidP="00F95B87">
      <w:pPr>
        <w:spacing w:line="276" w:lineRule="auto"/>
      </w:pPr>
      <w:r w:rsidRPr="00390B41">
        <w:t>A.10.1 Access Controls</w:t>
      </w:r>
    </w:p>
    <w:tbl>
      <w:tblPr>
        <w:tblStyle w:val="TableGrid"/>
        <w:tblW w:w="10165" w:type="dxa"/>
        <w:tblLook w:val="04A0" w:firstRow="1" w:lastRow="0" w:firstColumn="1" w:lastColumn="0" w:noHBand="0" w:noVBand="1"/>
      </w:tblPr>
      <w:tblGrid>
        <w:gridCol w:w="2785"/>
        <w:gridCol w:w="3060"/>
        <w:gridCol w:w="4320"/>
      </w:tblGrid>
      <w:tr w:rsidR="004E5B5D" w:rsidRPr="0091469F" w14:paraId="44BD4FB1" w14:textId="77777777" w:rsidTr="00E81239">
        <w:trPr>
          <w:trHeight w:val="521"/>
        </w:trPr>
        <w:tc>
          <w:tcPr>
            <w:tcW w:w="2785" w:type="dxa"/>
          </w:tcPr>
          <w:p w14:paraId="4049FBA9" w14:textId="77777777" w:rsidR="004E5B5D" w:rsidRPr="00E61E02" w:rsidRDefault="004E5B5D" w:rsidP="00E81239">
            <w:pPr>
              <w:pStyle w:val="bodytextpsg0"/>
              <w:spacing w:after="144"/>
              <w:rPr>
                <w:b/>
                <w:szCs w:val="24"/>
              </w:rPr>
            </w:pPr>
            <w:r w:rsidRPr="00E1033E">
              <w:rPr>
                <w:b/>
                <w:szCs w:val="24"/>
              </w:rPr>
              <w:t>Technical Controls</w:t>
            </w:r>
          </w:p>
        </w:tc>
        <w:tc>
          <w:tcPr>
            <w:tcW w:w="3060" w:type="dxa"/>
          </w:tcPr>
          <w:p w14:paraId="71484680" w14:textId="77777777" w:rsidR="004E5B5D" w:rsidRPr="008C3E18" w:rsidRDefault="004E5B5D" w:rsidP="00E81239">
            <w:pPr>
              <w:pStyle w:val="bodytextpsg0"/>
              <w:spacing w:after="144"/>
              <w:rPr>
                <w:b/>
                <w:szCs w:val="24"/>
              </w:rPr>
            </w:pPr>
            <w:r w:rsidRPr="008C3E18">
              <w:rPr>
                <w:b/>
                <w:szCs w:val="24"/>
              </w:rPr>
              <w:t>Physical Controls</w:t>
            </w:r>
          </w:p>
        </w:tc>
        <w:tc>
          <w:tcPr>
            <w:tcW w:w="4320" w:type="dxa"/>
          </w:tcPr>
          <w:p w14:paraId="7CC5A0F8" w14:textId="77777777" w:rsidR="004E5B5D" w:rsidRPr="0091469F" w:rsidRDefault="004E5B5D" w:rsidP="00E81239">
            <w:pPr>
              <w:pStyle w:val="bodytextpsg0"/>
              <w:spacing w:after="144"/>
              <w:rPr>
                <w:b/>
                <w:szCs w:val="24"/>
              </w:rPr>
            </w:pPr>
            <w:r w:rsidRPr="0091469F">
              <w:rPr>
                <w:b/>
                <w:szCs w:val="24"/>
              </w:rPr>
              <w:t>Administrative Controls</w:t>
            </w:r>
          </w:p>
        </w:tc>
      </w:tr>
      <w:tr w:rsidR="004E5B5D" w:rsidRPr="0091469F" w14:paraId="1876A64A" w14:textId="77777777" w:rsidTr="00E81239">
        <w:trPr>
          <w:trHeight w:val="3050"/>
        </w:trPr>
        <w:tc>
          <w:tcPr>
            <w:tcW w:w="2785" w:type="dxa"/>
          </w:tcPr>
          <w:p w14:paraId="2DA70E0C" w14:textId="77777777" w:rsidR="004E5B5D" w:rsidRPr="0091469F" w:rsidRDefault="004E5B5D" w:rsidP="004E5B5D">
            <w:pPr>
              <w:pStyle w:val="bodytextpsg0"/>
              <w:numPr>
                <w:ilvl w:val="0"/>
                <w:numId w:val="28"/>
              </w:numPr>
              <w:spacing w:after="144"/>
              <w:rPr>
                <w:szCs w:val="24"/>
              </w:rPr>
            </w:pPr>
            <w:r w:rsidRPr="0091469F">
              <w:rPr>
                <w:szCs w:val="24"/>
              </w:rPr>
              <w:lastRenderedPageBreak/>
              <w:t>User identification</w:t>
            </w:r>
          </w:p>
          <w:p w14:paraId="7CD2A68A" w14:textId="77777777" w:rsidR="004E5B5D" w:rsidRPr="0091469F" w:rsidRDefault="004E5B5D" w:rsidP="004E5B5D">
            <w:pPr>
              <w:pStyle w:val="bodytextpsg0"/>
              <w:numPr>
                <w:ilvl w:val="0"/>
                <w:numId w:val="28"/>
              </w:numPr>
              <w:spacing w:after="144"/>
              <w:rPr>
                <w:szCs w:val="24"/>
              </w:rPr>
            </w:pPr>
            <w:r w:rsidRPr="0091469F">
              <w:rPr>
                <w:szCs w:val="24"/>
              </w:rPr>
              <w:t>Passwords</w:t>
            </w:r>
          </w:p>
          <w:p w14:paraId="384C0793" w14:textId="77777777" w:rsidR="004E5B5D" w:rsidRPr="0091469F" w:rsidRDefault="004E5B5D" w:rsidP="004E5B5D">
            <w:pPr>
              <w:pStyle w:val="bodytextpsg0"/>
              <w:numPr>
                <w:ilvl w:val="0"/>
                <w:numId w:val="28"/>
              </w:numPr>
              <w:spacing w:after="144"/>
              <w:rPr>
                <w:szCs w:val="24"/>
              </w:rPr>
            </w:pPr>
            <w:r w:rsidRPr="0091469F">
              <w:rPr>
                <w:szCs w:val="24"/>
              </w:rPr>
              <w:t>Firewall</w:t>
            </w:r>
          </w:p>
          <w:p w14:paraId="57CB6D97" w14:textId="77777777" w:rsidR="004E5B5D" w:rsidRPr="0091469F" w:rsidRDefault="004E5B5D" w:rsidP="004E5B5D">
            <w:pPr>
              <w:pStyle w:val="bodytextpsg0"/>
              <w:numPr>
                <w:ilvl w:val="0"/>
                <w:numId w:val="28"/>
              </w:numPr>
              <w:spacing w:after="144"/>
              <w:rPr>
                <w:szCs w:val="24"/>
              </w:rPr>
            </w:pPr>
            <w:r w:rsidRPr="0091469F">
              <w:rPr>
                <w:szCs w:val="24"/>
              </w:rPr>
              <w:t>Virtual Private Network (VPN)</w:t>
            </w:r>
          </w:p>
          <w:p w14:paraId="323815DE" w14:textId="77777777" w:rsidR="004E5B5D" w:rsidRPr="0091469F" w:rsidRDefault="004E5B5D" w:rsidP="00E81239">
            <w:pPr>
              <w:pStyle w:val="bodytextpsg0"/>
              <w:spacing w:after="144"/>
              <w:rPr>
                <w:szCs w:val="24"/>
              </w:rPr>
            </w:pPr>
          </w:p>
        </w:tc>
        <w:tc>
          <w:tcPr>
            <w:tcW w:w="3060" w:type="dxa"/>
          </w:tcPr>
          <w:p w14:paraId="2CABC196" w14:textId="77777777" w:rsidR="004E5B5D" w:rsidRPr="0091469F" w:rsidRDefault="004E5B5D" w:rsidP="004E5B5D">
            <w:pPr>
              <w:pStyle w:val="bodytextpsg0"/>
              <w:numPr>
                <w:ilvl w:val="0"/>
                <w:numId w:val="28"/>
              </w:numPr>
              <w:spacing w:after="144"/>
              <w:rPr>
                <w:szCs w:val="24"/>
              </w:rPr>
            </w:pPr>
            <w:r w:rsidRPr="0091469F">
              <w:rPr>
                <w:szCs w:val="24"/>
              </w:rPr>
              <w:t>Guards/Security Officers</w:t>
            </w:r>
            <w:r w:rsidRPr="0091469F">
              <w:rPr>
                <w:szCs w:val="24"/>
              </w:rPr>
              <w:br/>
            </w:r>
          </w:p>
          <w:p w14:paraId="7C352BB4" w14:textId="46E148BF" w:rsidR="004E5B5D" w:rsidRPr="0091469F" w:rsidRDefault="004E5B5D" w:rsidP="004E5B5D">
            <w:pPr>
              <w:pStyle w:val="bodytextpsg0"/>
              <w:numPr>
                <w:ilvl w:val="0"/>
                <w:numId w:val="28"/>
              </w:numPr>
              <w:spacing w:after="144"/>
              <w:rPr>
                <w:szCs w:val="24"/>
              </w:rPr>
            </w:pPr>
            <w:r w:rsidRPr="0091469F">
              <w:rPr>
                <w:szCs w:val="24"/>
              </w:rPr>
              <w:t>24-hour maintenance of Video/Audio of all data centers and all offices</w:t>
            </w:r>
          </w:p>
          <w:p w14:paraId="542E6C76" w14:textId="77777777" w:rsidR="004E5B5D" w:rsidRPr="0091469F" w:rsidRDefault="004E5B5D" w:rsidP="004E5B5D">
            <w:pPr>
              <w:pStyle w:val="bodytextpsg0"/>
              <w:numPr>
                <w:ilvl w:val="0"/>
                <w:numId w:val="28"/>
              </w:numPr>
              <w:spacing w:after="144"/>
              <w:rPr>
                <w:szCs w:val="24"/>
              </w:rPr>
            </w:pPr>
            <w:r w:rsidRPr="0091469F">
              <w:rPr>
                <w:szCs w:val="24"/>
              </w:rPr>
              <w:t>Identification badges</w:t>
            </w:r>
          </w:p>
          <w:p w14:paraId="1403C3F6" w14:textId="77777777" w:rsidR="004E5B5D" w:rsidRPr="0091469F" w:rsidRDefault="004E5B5D" w:rsidP="004E5B5D">
            <w:pPr>
              <w:pStyle w:val="bodytextpsg0"/>
              <w:numPr>
                <w:ilvl w:val="0"/>
                <w:numId w:val="28"/>
              </w:numPr>
              <w:spacing w:after="144"/>
              <w:rPr>
                <w:szCs w:val="24"/>
              </w:rPr>
            </w:pPr>
            <w:r w:rsidRPr="0091469F">
              <w:rPr>
                <w:szCs w:val="24"/>
              </w:rPr>
              <w:t>Key Cards</w:t>
            </w:r>
          </w:p>
          <w:p w14:paraId="6F8166B7" w14:textId="77777777" w:rsidR="004E5B5D" w:rsidRPr="0091469F" w:rsidRDefault="004E5B5D" w:rsidP="00E81239">
            <w:pPr>
              <w:pStyle w:val="bodytextpsg0"/>
              <w:spacing w:after="144"/>
              <w:ind w:firstLine="0"/>
              <w:rPr>
                <w:szCs w:val="24"/>
              </w:rPr>
            </w:pPr>
          </w:p>
        </w:tc>
        <w:tc>
          <w:tcPr>
            <w:tcW w:w="4320" w:type="dxa"/>
          </w:tcPr>
          <w:p w14:paraId="524E7D14" w14:textId="77777777" w:rsidR="004E5B5D" w:rsidRPr="0091469F" w:rsidRDefault="004E5B5D" w:rsidP="004E5B5D">
            <w:pPr>
              <w:pStyle w:val="bodytextpsg0"/>
              <w:numPr>
                <w:ilvl w:val="0"/>
                <w:numId w:val="32"/>
              </w:numPr>
              <w:spacing w:after="144"/>
              <w:rPr>
                <w:szCs w:val="24"/>
              </w:rPr>
            </w:pPr>
            <w:r w:rsidRPr="0091469F">
              <w:rPr>
                <w:szCs w:val="24"/>
              </w:rPr>
              <w:t>The system security plan for the information collection is that survey data and all identifying information about respondents will be handled in ways that prevent unauthorized access at any point during the study.</w:t>
            </w:r>
          </w:p>
          <w:p w14:paraId="2821592F" w14:textId="7057D701" w:rsidR="004E5B5D" w:rsidRPr="0091469F" w:rsidRDefault="004E5B5D" w:rsidP="004E5B5D">
            <w:pPr>
              <w:pStyle w:val="bodytextpsg0"/>
              <w:numPr>
                <w:ilvl w:val="0"/>
                <w:numId w:val="32"/>
              </w:numPr>
              <w:spacing w:after="144"/>
              <w:rPr>
                <w:szCs w:val="24"/>
              </w:rPr>
            </w:pPr>
            <w:r w:rsidRPr="0091469F">
              <w:rPr>
                <w:szCs w:val="24"/>
              </w:rPr>
              <w:t>The contingency plan for this information collection is that the screeners will be kept only on password-protected computer files stored on a Qualtrics server. No directly identifying information will be transmitted to CDC/OSH (thus, the Privacy Act does not apply).</w:t>
            </w:r>
          </w:p>
          <w:p w14:paraId="6B9BC965" w14:textId="7E852BBB" w:rsidR="004E5B5D" w:rsidRPr="0091469F" w:rsidRDefault="004E5B5D" w:rsidP="004E5B5D">
            <w:pPr>
              <w:pStyle w:val="bodytextpsg0"/>
              <w:numPr>
                <w:ilvl w:val="0"/>
                <w:numId w:val="32"/>
              </w:numPr>
              <w:spacing w:after="144"/>
              <w:rPr>
                <w:szCs w:val="24"/>
              </w:rPr>
            </w:pPr>
            <w:r w:rsidRPr="0091469F">
              <w:rPr>
                <w:szCs w:val="24"/>
              </w:rPr>
              <w:t>Backup file storage: Qualtrics has a redundancy system stored on a FedRAMP server farm for data security and quality. Transcripts and reports will not include any identifiable information.</w:t>
            </w:r>
          </w:p>
          <w:p w14:paraId="528A1C94" w14:textId="1BA54FE5" w:rsidR="004E5B5D" w:rsidRPr="0091469F" w:rsidRDefault="004E5B5D" w:rsidP="004E5B5D">
            <w:pPr>
              <w:pStyle w:val="bodytextpsg0"/>
              <w:numPr>
                <w:ilvl w:val="0"/>
                <w:numId w:val="32"/>
              </w:numPr>
              <w:spacing w:after="144"/>
              <w:rPr>
                <w:szCs w:val="24"/>
              </w:rPr>
            </w:pPr>
            <w:r w:rsidRPr="0091469F">
              <w:rPr>
                <w:szCs w:val="24"/>
              </w:rPr>
              <w:t>There will not be user manuals for this information collection</w:t>
            </w:r>
            <w:r w:rsidR="00D82C5C" w:rsidRPr="0091469F">
              <w:rPr>
                <w:szCs w:val="24"/>
              </w:rPr>
              <w:t xml:space="preserve"> effort</w:t>
            </w:r>
            <w:r w:rsidRPr="0091469F">
              <w:rPr>
                <w:szCs w:val="24"/>
              </w:rPr>
              <w:t>.</w:t>
            </w:r>
          </w:p>
          <w:p w14:paraId="55147B2F" w14:textId="3BAC2318" w:rsidR="004E5B5D" w:rsidRPr="0091469F" w:rsidRDefault="004E5B5D" w:rsidP="004E5B5D">
            <w:pPr>
              <w:pStyle w:val="ListParagraph"/>
              <w:numPr>
                <w:ilvl w:val="0"/>
                <w:numId w:val="32"/>
              </w:numPr>
              <w:rPr>
                <w:rFonts w:eastAsia="Times New Roman"/>
              </w:rPr>
            </w:pPr>
            <w:r w:rsidRPr="0091469F">
              <w:rPr>
                <w:rFonts w:eastAsia="Times New Roman"/>
              </w:rPr>
              <w:t xml:space="preserve">Personnel who use the system will be trained to protect the information being collected and maintained by adhering to a procedure that removes identifiers from response data. </w:t>
            </w:r>
            <w:r w:rsidRPr="0091469F">
              <w:rPr>
                <w:rFonts w:eastAsia="Times New Roman"/>
              </w:rPr>
              <w:br/>
            </w:r>
          </w:p>
          <w:p w14:paraId="0DC69C75" w14:textId="77777777" w:rsidR="004E5B5D" w:rsidRPr="0091469F" w:rsidRDefault="004E5B5D" w:rsidP="004E5B5D">
            <w:pPr>
              <w:pStyle w:val="bodytextpsg0"/>
              <w:numPr>
                <w:ilvl w:val="0"/>
                <w:numId w:val="32"/>
              </w:numPr>
              <w:spacing w:after="144"/>
              <w:rPr>
                <w:szCs w:val="24"/>
              </w:rPr>
            </w:pPr>
            <w:r w:rsidRPr="0091469F">
              <w:rPr>
                <w:szCs w:val="24"/>
              </w:rPr>
              <w:t>Contractors who are operating/using the system will include clauses in the contracts that adhere to privacy provisions and practices.</w:t>
            </w:r>
          </w:p>
          <w:p w14:paraId="176CFAF0" w14:textId="77777777" w:rsidR="004E5B5D" w:rsidRPr="0091469F" w:rsidRDefault="004E5B5D" w:rsidP="004E5B5D">
            <w:pPr>
              <w:pStyle w:val="bodytextpsg0"/>
              <w:numPr>
                <w:ilvl w:val="0"/>
                <w:numId w:val="32"/>
              </w:numPr>
              <w:spacing w:after="144"/>
              <w:rPr>
                <w:szCs w:val="24"/>
              </w:rPr>
            </w:pPr>
            <w:r w:rsidRPr="0091469F">
              <w:rPr>
                <w:szCs w:val="24"/>
              </w:rPr>
              <w:t>Methods will be in place to ensure least privilege. Data and all identifying information about respondents will be handled in ways that prevent unauthorized access at any point during the study.</w:t>
            </w:r>
          </w:p>
          <w:p w14:paraId="4AE39923" w14:textId="664250C5" w:rsidR="004E5B5D" w:rsidRPr="0091469F" w:rsidRDefault="004E5B5D" w:rsidP="004E5B5D">
            <w:pPr>
              <w:pStyle w:val="bodytextpsg0"/>
              <w:numPr>
                <w:ilvl w:val="0"/>
                <w:numId w:val="32"/>
              </w:numPr>
              <w:spacing w:after="144"/>
              <w:rPr>
                <w:szCs w:val="24"/>
              </w:rPr>
            </w:pPr>
            <w:r w:rsidRPr="0091469F">
              <w:rPr>
                <w:szCs w:val="24"/>
              </w:rPr>
              <w:lastRenderedPageBreak/>
              <w:t>There are policies/guidelines in place with regard to the retention and destruction of PII:</w:t>
            </w:r>
            <w:r w:rsidRPr="0091469F">
              <w:rPr>
                <w:iCs/>
                <w:szCs w:val="24"/>
              </w:rPr>
              <w:t xml:space="preserve"> PII will not be transmitted to CDC, and PII will not be linked to response data.</w:t>
            </w:r>
          </w:p>
        </w:tc>
      </w:tr>
    </w:tbl>
    <w:p w14:paraId="7E5F8420" w14:textId="77777777" w:rsidR="009D6A26" w:rsidRPr="0091469F" w:rsidRDefault="009D6A26" w:rsidP="00F95B87">
      <w:pPr>
        <w:spacing w:line="276" w:lineRule="auto"/>
        <w:rPr>
          <w:rFonts w:eastAsia="Times New Roman"/>
        </w:rPr>
      </w:pPr>
    </w:p>
    <w:p w14:paraId="121DA186" w14:textId="01F48EE4" w:rsidR="006D258E" w:rsidRPr="0091469F" w:rsidRDefault="006D258E" w:rsidP="00F95B87">
      <w:pPr>
        <w:spacing w:line="276" w:lineRule="auto"/>
        <w:rPr>
          <w:b/>
        </w:rPr>
      </w:pPr>
      <w:r w:rsidRPr="0091469F">
        <w:rPr>
          <w:b/>
        </w:rPr>
        <w:t>A.11</w:t>
      </w:r>
      <w:r w:rsidRPr="0091469F">
        <w:rPr>
          <w:b/>
        </w:rPr>
        <w:tab/>
      </w:r>
      <w:r w:rsidR="008224CA" w:rsidRPr="0091469F">
        <w:rPr>
          <w:b/>
        </w:rPr>
        <w:t>Institutional Review Board (IRB) and Justification for Sensitive Questions.</w:t>
      </w:r>
    </w:p>
    <w:p w14:paraId="72561453" w14:textId="3E5E1215" w:rsidR="008224CA" w:rsidRPr="0091469F" w:rsidRDefault="00A92261" w:rsidP="005B2B4E">
      <w:pPr>
        <w:rPr>
          <w:b/>
        </w:rPr>
      </w:pPr>
      <w:r w:rsidRPr="0091469F">
        <w:rPr>
          <w:b/>
        </w:rPr>
        <w:t>IRB Approval</w:t>
      </w:r>
    </w:p>
    <w:p w14:paraId="1E1A77E7" w14:textId="67C1BC4F" w:rsidR="00B000AA" w:rsidRPr="0091469F" w:rsidRDefault="00A92261" w:rsidP="005B2B4E">
      <w:r w:rsidRPr="0091469F">
        <w:t xml:space="preserve">All procedures have been developed in accordance with federal, state, and local guidelines to ensure that the rights and privacy of participants are protected and maintained. </w:t>
      </w:r>
      <w:r w:rsidR="00045FAD" w:rsidRPr="0091469F">
        <w:t>Battelle’s Institutional</w:t>
      </w:r>
      <w:r w:rsidR="00B43067" w:rsidRPr="0091469F">
        <w:t xml:space="preserve"> R</w:t>
      </w:r>
      <w:r w:rsidR="008B5AD0" w:rsidRPr="0091469F">
        <w:t>eview Board</w:t>
      </w:r>
      <w:r w:rsidR="00D82C5C" w:rsidRPr="0091469F">
        <w:t xml:space="preserve"> (IRB)</w:t>
      </w:r>
      <w:r w:rsidR="008B5AD0" w:rsidRPr="0091469F">
        <w:t xml:space="preserve"> </w:t>
      </w:r>
      <w:r w:rsidR="00B7258F">
        <w:t>has</w:t>
      </w:r>
      <w:r w:rsidR="00D82C5C" w:rsidRPr="0091469F">
        <w:t xml:space="preserve"> </w:t>
      </w:r>
      <w:r w:rsidR="008B5AD0" w:rsidRPr="0091469F">
        <w:t>revi</w:t>
      </w:r>
      <w:r w:rsidR="00E54FE5" w:rsidRPr="0091469F">
        <w:t>e</w:t>
      </w:r>
      <w:r w:rsidR="008B5AD0" w:rsidRPr="0091469F">
        <w:t>w</w:t>
      </w:r>
      <w:r w:rsidR="00D82C5C" w:rsidRPr="0091469F">
        <w:t xml:space="preserve"> </w:t>
      </w:r>
      <w:r w:rsidR="008B5AD0" w:rsidRPr="0091469F">
        <w:t>and approve</w:t>
      </w:r>
      <w:r w:rsidR="00B7258F">
        <w:t>d</w:t>
      </w:r>
      <w:r w:rsidR="008B5AD0" w:rsidRPr="0091469F">
        <w:t xml:space="preserve"> all instruments, informed consent materials, and data collection and management procedures</w:t>
      </w:r>
      <w:r w:rsidR="00D82C5C" w:rsidRPr="0091469F">
        <w:t xml:space="preserve"> </w:t>
      </w:r>
      <w:r w:rsidR="008B5AD0" w:rsidRPr="0091469F">
        <w:t xml:space="preserve">(see approval notice in </w:t>
      </w:r>
      <w:r w:rsidR="00187317" w:rsidRPr="0091469F">
        <w:t>Attachment</w:t>
      </w:r>
      <w:r w:rsidR="00744A13" w:rsidRPr="0091469F">
        <w:t xml:space="preserve"> </w:t>
      </w:r>
      <w:r w:rsidR="00126907">
        <w:t>7</w:t>
      </w:r>
      <w:r w:rsidR="008B5AD0" w:rsidRPr="0091469F">
        <w:t>)</w:t>
      </w:r>
      <w:r w:rsidR="00B43067" w:rsidRPr="0091469F">
        <w:t>.</w:t>
      </w:r>
    </w:p>
    <w:p w14:paraId="0F8D5626" w14:textId="77777777" w:rsidR="00D43DE1" w:rsidRPr="0091469F" w:rsidRDefault="00D43DE1" w:rsidP="005B2B4E"/>
    <w:p w14:paraId="048FCC48" w14:textId="1B9CA972" w:rsidR="00A92261" w:rsidRPr="0091469F" w:rsidRDefault="00A92261" w:rsidP="005B2B4E">
      <w:pPr>
        <w:rPr>
          <w:b/>
        </w:rPr>
      </w:pPr>
      <w:r w:rsidRPr="0091469F">
        <w:rPr>
          <w:b/>
        </w:rPr>
        <w:t>Sensitive Questions</w:t>
      </w:r>
    </w:p>
    <w:p w14:paraId="0B1F68F7" w14:textId="11D34446" w:rsidR="006D258E" w:rsidRPr="0091469F" w:rsidRDefault="006D258E" w:rsidP="00D82C5C">
      <w:pPr>
        <w:rPr>
          <w:rFonts w:eastAsia="MS Mincho"/>
          <w:kern w:val="2"/>
          <w:lang w:eastAsia="ja-JP"/>
        </w:rPr>
      </w:pPr>
      <w:r w:rsidRPr="0091469F">
        <w:rPr>
          <w:rFonts w:eastAsia="MS Mincho"/>
          <w:kern w:val="2"/>
          <w:lang w:eastAsia="ja-JP"/>
        </w:rPr>
        <w:t>The majority of questions asked will not be of a sensitive nature</w:t>
      </w:r>
      <w:r w:rsidR="00DF2D9F" w:rsidRPr="0091469F">
        <w:rPr>
          <w:rFonts w:eastAsia="MS Mincho"/>
          <w:kern w:val="2"/>
          <w:lang w:eastAsia="ja-JP"/>
        </w:rPr>
        <w:t xml:space="preserve"> </w:t>
      </w:r>
      <w:r w:rsidR="00DF2D9F" w:rsidRPr="003E0A86">
        <w:rPr>
          <w:rFonts w:eastAsia="MS Mincho"/>
          <w:kern w:val="2"/>
          <w:lang w:eastAsia="ja-JP"/>
        </w:rPr>
        <w:t>(Attachment</w:t>
      </w:r>
      <w:r w:rsidR="00126907">
        <w:rPr>
          <w:rFonts w:eastAsia="MS Mincho"/>
          <w:kern w:val="2"/>
          <w:lang w:eastAsia="ja-JP"/>
        </w:rPr>
        <w:t xml:space="preserve"> 1</w:t>
      </w:r>
      <w:r w:rsidR="00271343">
        <w:rPr>
          <w:rFonts w:eastAsia="MS Mincho"/>
          <w:kern w:val="2"/>
          <w:lang w:eastAsia="ja-JP"/>
        </w:rPr>
        <w:t>A/1B</w:t>
      </w:r>
      <w:r w:rsidR="0011350E" w:rsidRPr="003E0A86">
        <w:rPr>
          <w:rFonts w:eastAsia="MS Mincho"/>
          <w:kern w:val="2"/>
          <w:lang w:eastAsia="ja-JP"/>
        </w:rPr>
        <w:t>)</w:t>
      </w:r>
      <w:r w:rsidRPr="003E0A86">
        <w:rPr>
          <w:rFonts w:eastAsia="MS Mincho"/>
          <w:kern w:val="2"/>
          <w:lang w:eastAsia="ja-JP"/>
        </w:rPr>
        <w:t>.</w:t>
      </w:r>
      <w:r w:rsidRPr="0091469F">
        <w:rPr>
          <w:rFonts w:eastAsia="MS Mincho"/>
          <w:kern w:val="2"/>
          <w:lang w:eastAsia="ja-JP"/>
        </w:rPr>
        <w:t xml:space="preserve">  </w:t>
      </w:r>
      <w:r w:rsidR="0011350E" w:rsidRPr="0091469F">
        <w:rPr>
          <w:rFonts w:eastAsia="MS Mincho"/>
          <w:kern w:val="2"/>
          <w:lang w:eastAsia="ja-JP"/>
        </w:rPr>
        <w:t>There will be no requests for a respondent’s Social Security Number (S</w:t>
      </w:r>
      <w:r w:rsidR="00EC57B7" w:rsidRPr="00803A81">
        <w:rPr>
          <w:rFonts w:eastAsia="MS Mincho"/>
          <w:kern w:val="2"/>
          <w:lang w:eastAsia="ja-JP"/>
        </w:rPr>
        <w:t>S</w:t>
      </w:r>
      <w:r w:rsidR="0011350E" w:rsidRPr="00390B41">
        <w:rPr>
          <w:rFonts w:eastAsia="MS Mincho"/>
          <w:kern w:val="2"/>
          <w:lang w:eastAsia="ja-JP"/>
        </w:rPr>
        <w:t xml:space="preserve">N). </w:t>
      </w:r>
      <w:r w:rsidR="003D6C88" w:rsidRPr="00390B41">
        <w:rPr>
          <w:rFonts w:eastAsia="MS Mincho"/>
          <w:kern w:val="2"/>
          <w:lang w:eastAsia="ja-JP"/>
        </w:rPr>
        <w:t>Questions asked durin</w:t>
      </w:r>
      <w:r w:rsidR="00B34238" w:rsidRPr="00390B41">
        <w:rPr>
          <w:rFonts w:eastAsia="MS Mincho"/>
          <w:kern w:val="2"/>
          <w:lang w:eastAsia="ja-JP"/>
        </w:rPr>
        <w:t xml:space="preserve">g the screening about </w:t>
      </w:r>
      <w:r w:rsidR="00777F38" w:rsidRPr="00E61E02">
        <w:rPr>
          <w:rFonts w:eastAsia="MS Mincho"/>
          <w:kern w:val="2"/>
          <w:lang w:eastAsia="ja-JP"/>
        </w:rPr>
        <w:t xml:space="preserve">regular </w:t>
      </w:r>
      <w:r w:rsidR="00B34238" w:rsidRPr="00E61E02">
        <w:rPr>
          <w:rFonts w:eastAsia="MS Mincho"/>
          <w:kern w:val="2"/>
          <w:lang w:eastAsia="ja-JP"/>
        </w:rPr>
        <w:t xml:space="preserve">cigarette or </w:t>
      </w:r>
      <w:r w:rsidR="00A855E6" w:rsidRPr="00E61E02">
        <w:rPr>
          <w:rFonts w:eastAsia="MS Mincho"/>
          <w:kern w:val="2"/>
          <w:lang w:eastAsia="ja-JP"/>
        </w:rPr>
        <w:t xml:space="preserve">e-cigarette </w:t>
      </w:r>
      <w:r w:rsidR="003D6C88" w:rsidRPr="00E61E02">
        <w:rPr>
          <w:rFonts w:eastAsia="MS Mincho"/>
          <w:kern w:val="2"/>
          <w:lang w:eastAsia="ja-JP"/>
        </w:rPr>
        <w:t>use, and some demographic information (e.g.</w:t>
      </w:r>
      <w:r w:rsidR="00A855E6" w:rsidRPr="00E61E02">
        <w:rPr>
          <w:rFonts w:eastAsia="MS Mincho"/>
          <w:kern w:val="2"/>
          <w:lang w:eastAsia="ja-JP"/>
        </w:rPr>
        <w:t>,</w:t>
      </w:r>
      <w:r w:rsidR="003D6C88" w:rsidRPr="00E61E02">
        <w:rPr>
          <w:rFonts w:eastAsia="MS Mincho"/>
          <w:kern w:val="2"/>
          <w:lang w:eastAsia="ja-JP"/>
        </w:rPr>
        <w:t xml:space="preserve"> </w:t>
      </w:r>
      <w:r w:rsidR="0041499D" w:rsidRPr="008C3E18">
        <w:rPr>
          <w:rFonts w:eastAsia="MS Mincho"/>
          <w:kern w:val="2"/>
          <w:lang w:eastAsia="ja-JP"/>
        </w:rPr>
        <w:t>age</w:t>
      </w:r>
      <w:r w:rsidR="003D6C88" w:rsidRPr="008C3E18">
        <w:rPr>
          <w:rFonts w:eastAsia="MS Mincho"/>
          <w:kern w:val="2"/>
          <w:lang w:eastAsia="ja-JP"/>
        </w:rPr>
        <w:t xml:space="preserve">) could be considered sensitive, </w:t>
      </w:r>
      <w:r w:rsidR="00B34238" w:rsidRPr="008C3E18">
        <w:rPr>
          <w:rFonts w:eastAsia="MS Mincho"/>
          <w:kern w:val="2"/>
          <w:lang w:eastAsia="ja-JP"/>
        </w:rPr>
        <w:t>although</w:t>
      </w:r>
      <w:r w:rsidR="003D6C88" w:rsidRPr="008C3E18">
        <w:rPr>
          <w:rFonts w:eastAsia="MS Mincho"/>
          <w:kern w:val="2"/>
          <w:lang w:eastAsia="ja-JP"/>
        </w:rPr>
        <w:t xml:space="preserve"> these items would not generally be considered highly sensitive. </w:t>
      </w:r>
      <w:r w:rsidR="0041499D" w:rsidRPr="008C3E18">
        <w:rPr>
          <w:rFonts w:eastAsia="MS Mincho"/>
          <w:kern w:val="2"/>
          <w:lang w:eastAsia="ja-JP"/>
        </w:rPr>
        <w:t>It will</w:t>
      </w:r>
      <w:r w:rsidRPr="0091469F">
        <w:rPr>
          <w:rFonts w:eastAsia="MS Mincho"/>
          <w:kern w:val="2"/>
          <w:lang w:eastAsia="ja-JP"/>
        </w:rPr>
        <w:t xml:space="preserve"> </w:t>
      </w:r>
      <w:r w:rsidR="00B34238" w:rsidRPr="0091469F">
        <w:rPr>
          <w:rFonts w:eastAsia="MS Mincho"/>
          <w:kern w:val="2"/>
          <w:lang w:eastAsia="ja-JP"/>
        </w:rPr>
        <w:t xml:space="preserve">also </w:t>
      </w:r>
      <w:r w:rsidRPr="0091469F">
        <w:rPr>
          <w:rFonts w:eastAsia="MS Mincho"/>
          <w:kern w:val="2"/>
          <w:lang w:eastAsia="ja-JP"/>
        </w:rPr>
        <w:t xml:space="preserve">be necessary to ask some questions considered to be sensitive in order to assess individuals’ attitudes and behaviors or to test messages about the specific health behavior of </w:t>
      </w:r>
      <w:r w:rsidR="00A855E6" w:rsidRPr="0091469F">
        <w:rPr>
          <w:rFonts w:eastAsia="MS Mincho"/>
          <w:kern w:val="2"/>
          <w:lang w:eastAsia="ja-JP"/>
        </w:rPr>
        <w:t xml:space="preserve">regular </w:t>
      </w:r>
      <w:r w:rsidRPr="0091469F">
        <w:rPr>
          <w:rFonts w:eastAsia="MS Mincho"/>
          <w:kern w:val="2"/>
          <w:lang w:eastAsia="ja-JP"/>
        </w:rPr>
        <w:t>cigarette smoking. These items are not generally</w:t>
      </w:r>
      <w:r w:rsidR="00BE6987" w:rsidRPr="0091469F">
        <w:rPr>
          <w:rFonts w:eastAsia="MS Mincho"/>
          <w:kern w:val="2"/>
          <w:lang w:eastAsia="ja-JP"/>
        </w:rPr>
        <w:t xml:space="preserve"> considered highly sensitive. </w:t>
      </w:r>
      <w:r w:rsidRPr="0091469F">
        <w:rPr>
          <w:rFonts w:eastAsia="MS Mincho"/>
          <w:kern w:val="2"/>
          <w:lang w:eastAsia="ja-JP"/>
        </w:rPr>
        <w:t>Respondents will be informed of the applicable privacy safeguards. Sensitive information will only be requested when necessary among specif</w:t>
      </w:r>
      <w:r w:rsidR="001B25BB" w:rsidRPr="0091469F">
        <w:rPr>
          <w:rFonts w:eastAsia="MS Mincho"/>
          <w:kern w:val="2"/>
          <w:lang w:eastAsia="ja-JP"/>
        </w:rPr>
        <w:t>ic subpopulations of interest</w:t>
      </w:r>
      <w:r w:rsidR="00BD2B33">
        <w:rPr>
          <w:rFonts w:eastAsia="MS Mincho"/>
          <w:kern w:val="2"/>
          <w:lang w:eastAsia="ja-JP"/>
        </w:rPr>
        <w:t>, and is not identifiable</w:t>
      </w:r>
      <w:r w:rsidR="001B25BB" w:rsidRPr="0091469F">
        <w:rPr>
          <w:rFonts w:eastAsia="MS Mincho"/>
          <w:kern w:val="2"/>
          <w:lang w:eastAsia="ja-JP"/>
        </w:rPr>
        <w:t xml:space="preserve">. </w:t>
      </w:r>
      <w:r w:rsidR="00A05480">
        <w:rPr>
          <w:rFonts w:eastAsia="MS Mincho"/>
          <w:kern w:val="2"/>
          <w:lang w:eastAsia="ja-JP"/>
        </w:rPr>
        <w:t>Smoking rates vary by subpopulations</w:t>
      </w:r>
      <w:r w:rsidR="00291108">
        <w:rPr>
          <w:rFonts w:eastAsia="MS Mincho"/>
          <w:kern w:val="2"/>
          <w:lang w:eastAsia="ja-JP"/>
        </w:rPr>
        <w:t xml:space="preserve">, and </w:t>
      </w:r>
      <w:r w:rsidR="00A05480">
        <w:rPr>
          <w:rFonts w:eastAsia="MS Mincho"/>
          <w:kern w:val="2"/>
          <w:lang w:eastAsia="ja-JP"/>
        </w:rPr>
        <w:t>subpopulation</w:t>
      </w:r>
      <w:r w:rsidR="00291108">
        <w:rPr>
          <w:rFonts w:eastAsia="MS Mincho"/>
          <w:kern w:val="2"/>
          <w:lang w:eastAsia="ja-JP"/>
        </w:rPr>
        <w:t>s</w:t>
      </w:r>
      <w:r w:rsidR="00A05480">
        <w:rPr>
          <w:rFonts w:eastAsia="MS Mincho"/>
          <w:kern w:val="2"/>
          <w:lang w:eastAsia="ja-JP"/>
        </w:rPr>
        <w:t xml:space="preserve"> of disproportional burden </w:t>
      </w:r>
      <w:r w:rsidR="00291108">
        <w:rPr>
          <w:rFonts w:eastAsia="MS Mincho"/>
          <w:kern w:val="2"/>
          <w:lang w:eastAsia="ja-JP"/>
        </w:rPr>
        <w:t>are racial and ethnic minorities and</w:t>
      </w:r>
      <w:r w:rsidR="00A05480">
        <w:rPr>
          <w:rFonts w:eastAsia="MS Mincho"/>
          <w:kern w:val="2"/>
          <w:lang w:eastAsia="ja-JP"/>
        </w:rPr>
        <w:t xml:space="preserve"> </w:t>
      </w:r>
      <w:r w:rsidR="00A05480" w:rsidRPr="00A05480">
        <w:rPr>
          <w:rFonts w:eastAsia="MS Mincho"/>
          <w:kern w:val="2"/>
          <w:lang w:eastAsia="ja-JP"/>
        </w:rPr>
        <w:t xml:space="preserve">lesbian, gay, bisexual, and transgender (LGBT) individuals. </w:t>
      </w:r>
      <w:r w:rsidR="00291108">
        <w:rPr>
          <w:rFonts w:eastAsia="MS Mincho"/>
          <w:kern w:val="2"/>
          <w:lang w:eastAsia="ja-JP"/>
        </w:rPr>
        <w:t>Therefore, the survey includes</w:t>
      </w:r>
      <w:r w:rsidR="00A05480">
        <w:rPr>
          <w:rFonts w:eastAsia="MS Mincho"/>
          <w:kern w:val="2"/>
          <w:lang w:eastAsia="ja-JP"/>
        </w:rPr>
        <w:t xml:space="preserve"> question</w:t>
      </w:r>
      <w:r w:rsidR="00291108">
        <w:rPr>
          <w:rFonts w:eastAsia="MS Mincho"/>
          <w:kern w:val="2"/>
          <w:lang w:eastAsia="ja-JP"/>
        </w:rPr>
        <w:t>s</w:t>
      </w:r>
      <w:r w:rsidR="00A05480">
        <w:rPr>
          <w:rFonts w:eastAsia="MS Mincho"/>
          <w:kern w:val="2"/>
          <w:lang w:eastAsia="ja-JP"/>
        </w:rPr>
        <w:t xml:space="preserve"> about </w:t>
      </w:r>
      <w:r w:rsidR="00291108">
        <w:rPr>
          <w:rFonts w:eastAsia="MS Mincho"/>
          <w:kern w:val="2"/>
          <w:lang w:eastAsia="ja-JP"/>
        </w:rPr>
        <w:t xml:space="preserve">race, ethnicity, and </w:t>
      </w:r>
      <w:r w:rsidR="00A05480">
        <w:rPr>
          <w:rFonts w:eastAsia="MS Mincho"/>
          <w:kern w:val="2"/>
          <w:lang w:eastAsia="ja-JP"/>
        </w:rPr>
        <w:t>sexual orienta</w:t>
      </w:r>
      <w:r w:rsidR="00A05480">
        <w:rPr>
          <w:rFonts w:eastAsia="MS Mincho"/>
          <w:kern w:val="2"/>
          <w:lang w:eastAsia="ja-JP"/>
        </w:rPr>
        <w:lastRenderedPageBreak/>
        <w:t xml:space="preserve">tion, so that results of the current research can </w:t>
      </w:r>
      <w:r w:rsidR="00A05480" w:rsidRPr="00A05480">
        <w:rPr>
          <w:rFonts w:eastAsia="MS Mincho"/>
          <w:kern w:val="2"/>
          <w:lang w:eastAsia="ja-JP"/>
        </w:rPr>
        <w:t xml:space="preserve">suggest whether </w:t>
      </w:r>
      <w:r w:rsidR="00A05480">
        <w:rPr>
          <w:rFonts w:eastAsia="MS Mincho"/>
          <w:kern w:val="2"/>
          <w:lang w:eastAsia="ja-JP"/>
        </w:rPr>
        <w:t>message platforms</w:t>
      </w:r>
      <w:r w:rsidR="00A05480" w:rsidRPr="00A05480">
        <w:rPr>
          <w:rFonts w:eastAsia="MS Mincho"/>
          <w:kern w:val="2"/>
          <w:lang w:eastAsia="ja-JP"/>
        </w:rPr>
        <w:t xml:space="preserve"> may be more or less effective for </w:t>
      </w:r>
      <w:r w:rsidR="00291108">
        <w:rPr>
          <w:rFonts w:eastAsia="MS Mincho"/>
          <w:kern w:val="2"/>
          <w:lang w:eastAsia="ja-JP"/>
        </w:rPr>
        <w:t xml:space="preserve">individuals of racial and ethnic minorities and </w:t>
      </w:r>
      <w:r w:rsidR="00A05480" w:rsidRPr="00A05480">
        <w:rPr>
          <w:rFonts w:eastAsia="MS Mincho"/>
          <w:kern w:val="2"/>
          <w:lang w:eastAsia="ja-JP"/>
        </w:rPr>
        <w:t xml:space="preserve">LGBT versus non-LGBT individuals. </w:t>
      </w:r>
      <w:r w:rsidRPr="0091469F">
        <w:rPr>
          <w:rFonts w:eastAsia="MS Mincho"/>
          <w:kern w:val="2"/>
          <w:lang w:eastAsia="ja-JP"/>
        </w:rPr>
        <w:t xml:space="preserve">For questions requesting </w:t>
      </w:r>
      <w:r w:rsidR="00A05480">
        <w:rPr>
          <w:rFonts w:eastAsia="MS Mincho"/>
          <w:kern w:val="2"/>
          <w:lang w:eastAsia="ja-JP"/>
        </w:rPr>
        <w:t>sensitive</w:t>
      </w:r>
      <w:r w:rsidR="00A05480" w:rsidRPr="0091469F">
        <w:rPr>
          <w:rFonts w:eastAsia="MS Mincho"/>
          <w:kern w:val="2"/>
          <w:lang w:eastAsia="ja-JP"/>
        </w:rPr>
        <w:t xml:space="preserve"> </w:t>
      </w:r>
      <w:r w:rsidRPr="0091469F">
        <w:rPr>
          <w:rFonts w:eastAsia="MS Mincho"/>
          <w:kern w:val="2"/>
          <w:lang w:eastAsia="ja-JP"/>
        </w:rPr>
        <w:t xml:space="preserve">information, the question will include a “decline to answer” option. </w:t>
      </w:r>
      <w:r w:rsidR="00C232CB" w:rsidRPr="0091469F">
        <w:rPr>
          <w:rFonts w:eastAsia="MS Mincho"/>
          <w:kern w:val="2"/>
          <w:lang w:eastAsia="ja-JP"/>
        </w:rPr>
        <w:t xml:space="preserve">Respondents </w:t>
      </w:r>
      <w:r w:rsidR="00C232CB" w:rsidRPr="0091469F">
        <w:t>can refuse to answer questions or leave the interview</w:t>
      </w:r>
      <w:r w:rsidR="00583B0D" w:rsidRPr="0091469F">
        <w:t xml:space="preserve"> at any time</w:t>
      </w:r>
      <w:r w:rsidR="00C232CB" w:rsidRPr="0091469F">
        <w:t xml:space="preserve"> if they feel uncomfortable</w:t>
      </w:r>
      <w:r w:rsidR="00583B0D" w:rsidRPr="0091469F">
        <w:t>.</w:t>
      </w:r>
    </w:p>
    <w:p w14:paraId="21656086" w14:textId="77777777" w:rsidR="00892761" w:rsidRPr="0091469F" w:rsidRDefault="00892761" w:rsidP="00612E59">
      <w:pPr>
        <w:pStyle w:val="ListParagraph"/>
        <w:ind w:left="1440"/>
        <w:jc w:val="both"/>
        <w:rPr>
          <w:b/>
        </w:rPr>
      </w:pPr>
    </w:p>
    <w:p w14:paraId="4934AA67" w14:textId="77777777" w:rsidR="00044A5F" w:rsidRPr="0091469F" w:rsidRDefault="00044A5F">
      <w:pPr>
        <w:jc w:val="both"/>
        <w:rPr>
          <w:b/>
        </w:rPr>
      </w:pPr>
      <w:r w:rsidRPr="0091469F">
        <w:rPr>
          <w:b/>
        </w:rPr>
        <w:t>A.12</w:t>
      </w:r>
      <w:r w:rsidRPr="0091469F">
        <w:rPr>
          <w:b/>
        </w:rPr>
        <w:tab/>
      </w:r>
      <w:r w:rsidRPr="002F351C">
        <w:rPr>
          <w:b/>
        </w:rPr>
        <w:t>Estimates of Annualized Burden Hours and Costs</w:t>
      </w:r>
    </w:p>
    <w:p w14:paraId="739C2925" w14:textId="204ED8F1" w:rsidR="00B0369D" w:rsidRDefault="00993311">
      <w:pPr>
        <w:rPr>
          <w:rFonts w:eastAsia="MS Mincho"/>
          <w:kern w:val="2"/>
          <w:lang w:eastAsia="ja-JP"/>
        </w:rPr>
      </w:pPr>
      <w:r w:rsidRPr="00993311">
        <w:rPr>
          <w:rFonts w:eastAsia="MS Mincho"/>
          <w:kern w:val="2"/>
          <w:lang w:eastAsia="ja-JP"/>
        </w:rPr>
        <w:t xml:space="preserve">This </w:t>
      </w:r>
      <w:r>
        <w:rPr>
          <w:rFonts w:eastAsia="MS Mincho"/>
          <w:kern w:val="2"/>
          <w:lang w:eastAsia="ja-JP"/>
        </w:rPr>
        <w:t xml:space="preserve">message testing Gen IC reflects a </w:t>
      </w:r>
      <w:r w:rsidRPr="00993311">
        <w:rPr>
          <w:rFonts w:eastAsia="MS Mincho"/>
          <w:kern w:val="2"/>
          <w:lang w:eastAsia="ja-JP"/>
        </w:rPr>
        <w:t xml:space="preserve">stepwise screening, survey and CATI like </w:t>
      </w:r>
      <w:r>
        <w:rPr>
          <w:rFonts w:eastAsia="MS Mincho"/>
          <w:kern w:val="2"/>
          <w:lang w:eastAsia="ja-JP"/>
        </w:rPr>
        <w:t>IDI</w:t>
      </w:r>
      <w:r w:rsidRPr="00993311">
        <w:rPr>
          <w:rFonts w:eastAsia="MS Mincho"/>
          <w:kern w:val="2"/>
          <w:lang w:eastAsia="ja-JP"/>
        </w:rPr>
        <w:t>. The screening</w:t>
      </w:r>
      <w:r w:rsidR="00F2077F">
        <w:rPr>
          <w:rFonts w:eastAsia="MS Mincho"/>
          <w:kern w:val="2"/>
          <w:lang w:eastAsia="ja-JP"/>
        </w:rPr>
        <w:t xml:space="preserve">, </w:t>
      </w:r>
      <w:r w:rsidR="002F2520">
        <w:rPr>
          <w:rFonts w:eastAsia="MS Mincho"/>
          <w:kern w:val="2"/>
          <w:lang w:eastAsia="ja-JP"/>
        </w:rPr>
        <w:t>main</w:t>
      </w:r>
      <w:r w:rsidR="002F2520" w:rsidRPr="00993311">
        <w:rPr>
          <w:rFonts w:eastAsia="MS Mincho"/>
          <w:kern w:val="2"/>
          <w:lang w:eastAsia="ja-JP"/>
        </w:rPr>
        <w:t xml:space="preserve"> questionnaire</w:t>
      </w:r>
      <w:r w:rsidR="00F2077F">
        <w:rPr>
          <w:rFonts w:eastAsia="MS Mincho"/>
          <w:kern w:val="2"/>
          <w:lang w:eastAsia="ja-JP"/>
        </w:rPr>
        <w:t>, and invitation to participate in the IDI</w:t>
      </w:r>
      <w:r w:rsidRPr="00993311">
        <w:rPr>
          <w:rFonts w:eastAsia="MS Mincho"/>
          <w:kern w:val="2"/>
          <w:lang w:eastAsia="ja-JP"/>
        </w:rPr>
        <w:t xml:space="preserve"> </w:t>
      </w:r>
      <w:r>
        <w:rPr>
          <w:rFonts w:eastAsia="MS Mincho"/>
          <w:kern w:val="2"/>
          <w:lang w:eastAsia="ja-JP"/>
        </w:rPr>
        <w:t>are</w:t>
      </w:r>
      <w:r w:rsidRPr="00993311">
        <w:rPr>
          <w:rFonts w:eastAsia="MS Mincho"/>
          <w:kern w:val="2"/>
          <w:lang w:eastAsia="ja-JP"/>
        </w:rPr>
        <w:t xml:space="preserve"> </w:t>
      </w:r>
      <w:r>
        <w:rPr>
          <w:rFonts w:eastAsia="MS Mincho"/>
          <w:kern w:val="2"/>
          <w:lang w:eastAsia="ja-JP"/>
        </w:rPr>
        <w:t>conducted</w:t>
      </w:r>
      <w:r w:rsidRPr="00993311">
        <w:rPr>
          <w:rFonts w:eastAsia="MS Mincho"/>
          <w:kern w:val="2"/>
          <w:lang w:eastAsia="ja-JP"/>
        </w:rPr>
        <w:t xml:space="preserve"> in a continuous process. </w:t>
      </w:r>
      <w:r w:rsidR="00333601" w:rsidRPr="005554BF">
        <w:rPr>
          <w:rFonts w:eastAsia="MS Mincho"/>
          <w:kern w:val="2"/>
          <w:lang w:eastAsia="ja-JP"/>
        </w:rPr>
        <w:t>The goal is to test 2</w:t>
      </w:r>
      <w:r w:rsidR="00DE2E8B">
        <w:rPr>
          <w:rFonts w:eastAsia="MS Mincho"/>
          <w:kern w:val="2"/>
          <w:lang w:eastAsia="ja-JP"/>
        </w:rPr>
        <w:t>3</w:t>
      </w:r>
      <w:r w:rsidR="00333601" w:rsidRPr="005554BF">
        <w:rPr>
          <w:rFonts w:eastAsia="MS Mincho"/>
          <w:kern w:val="2"/>
          <w:lang w:eastAsia="ja-JP"/>
        </w:rPr>
        <w:t xml:space="preserve"> message platforms with approximately </w:t>
      </w:r>
      <w:r w:rsidR="005D7E4A">
        <w:rPr>
          <w:rFonts w:eastAsia="MS Mincho"/>
          <w:kern w:val="2"/>
          <w:lang w:eastAsia="ja-JP"/>
        </w:rPr>
        <w:t>420</w:t>
      </w:r>
      <w:r w:rsidR="002F351C">
        <w:rPr>
          <w:rFonts w:eastAsia="MS Mincho"/>
          <w:kern w:val="2"/>
          <w:lang w:eastAsia="ja-JP"/>
        </w:rPr>
        <w:t>-</w:t>
      </w:r>
      <w:r w:rsidR="005D7E4A">
        <w:rPr>
          <w:rFonts w:eastAsia="MS Mincho"/>
          <w:kern w:val="2"/>
          <w:lang w:eastAsia="ja-JP"/>
        </w:rPr>
        <w:t>800</w:t>
      </w:r>
      <w:r w:rsidR="00333601" w:rsidRPr="005554BF">
        <w:rPr>
          <w:rFonts w:eastAsia="MS Mincho"/>
          <w:kern w:val="2"/>
          <w:lang w:eastAsia="ja-JP"/>
        </w:rPr>
        <w:t xml:space="preserve"> respondents for each platform. </w:t>
      </w:r>
      <w:r w:rsidR="00F2077F">
        <w:rPr>
          <w:rFonts w:eastAsia="MS Mincho"/>
          <w:kern w:val="2"/>
          <w:lang w:eastAsia="ja-JP"/>
        </w:rPr>
        <w:t>P</w:t>
      </w:r>
      <w:r w:rsidR="00F2077F" w:rsidRPr="00F2077F">
        <w:rPr>
          <w:rFonts w:eastAsia="MS Mincho"/>
          <w:kern w:val="2"/>
          <w:lang w:eastAsia="ja-JP"/>
        </w:rPr>
        <w:t xml:space="preserve">articipants </w:t>
      </w:r>
      <w:r w:rsidR="00F2077F">
        <w:rPr>
          <w:rFonts w:eastAsia="MS Mincho"/>
          <w:kern w:val="2"/>
          <w:lang w:eastAsia="ja-JP"/>
        </w:rPr>
        <w:t xml:space="preserve">for the IDI </w:t>
      </w:r>
      <w:r w:rsidR="00F2077F" w:rsidRPr="00F2077F">
        <w:rPr>
          <w:rFonts w:eastAsia="MS Mincho"/>
          <w:kern w:val="2"/>
          <w:lang w:eastAsia="ja-JP"/>
        </w:rPr>
        <w:t xml:space="preserve">will be selected based on their behavioral criteria and exposure to message platforms that are resonating well with their specific target audience in the quantitative portion of the </w:t>
      </w:r>
      <w:r w:rsidR="00F2077F">
        <w:rPr>
          <w:rFonts w:eastAsia="MS Mincho"/>
          <w:kern w:val="2"/>
          <w:lang w:eastAsia="ja-JP"/>
        </w:rPr>
        <w:t>current project. Through the online Web-based system, they will be informed that they qualify to participate in the IDI. Respondents who decline the IDI will see a screen that thanks them for participating in the survey. Respondents who agree to participate in the IDI will see a different screen that helps them schedule the IDI for</w:t>
      </w:r>
      <w:r w:rsidRPr="00993311">
        <w:rPr>
          <w:rFonts w:eastAsia="MS Mincho"/>
          <w:kern w:val="2"/>
          <w:lang w:eastAsia="ja-JP"/>
        </w:rPr>
        <w:t xml:space="preserve"> a later time at the respondent’s convenience</w:t>
      </w:r>
      <w:r>
        <w:rPr>
          <w:rFonts w:eastAsia="MS Mincho"/>
          <w:kern w:val="2"/>
          <w:lang w:eastAsia="ja-JP"/>
        </w:rPr>
        <w:t>. The</w:t>
      </w:r>
      <w:r w:rsidRPr="00993311">
        <w:rPr>
          <w:rFonts w:eastAsia="MS Mincho"/>
          <w:kern w:val="2"/>
          <w:lang w:eastAsia="ja-JP"/>
        </w:rPr>
        <w:t xml:space="preserve"> flowchart for this process </w:t>
      </w:r>
      <w:r>
        <w:rPr>
          <w:rFonts w:eastAsia="MS Mincho"/>
          <w:kern w:val="2"/>
          <w:lang w:eastAsia="ja-JP"/>
        </w:rPr>
        <w:t>is illustrated in Figure 1</w:t>
      </w:r>
      <w:r w:rsidR="006D0A60">
        <w:rPr>
          <w:rFonts w:eastAsia="MS Mincho"/>
          <w:kern w:val="2"/>
          <w:lang w:eastAsia="ja-JP"/>
        </w:rPr>
        <w:t xml:space="preserve">. </w:t>
      </w:r>
      <w:r w:rsidR="00C96B7B">
        <w:rPr>
          <w:rFonts w:eastAsia="MS Mincho"/>
          <w:kern w:val="2"/>
          <w:lang w:eastAsia="ja-JP"/>
        </w:rPr>
        <w:t>D</w:t>
      </w:r>
      <w:r w:rsidR="006A0B47">
        <w:rPr>
          <w:rFonts w:eastAsia="MS Mincho"/>
          <w:kern w:val="2"/>
          <w:lang w:eastAsia="ja-JP"/>
        </w:rPr>
        <w:t xml:space="preserve">etails of the invitation for the IDI are in B.1 and Screen Shots. </w:t>
      </w:r>
    </w:p>
    <w:p w14:paraId="54436B47" w14:textId="77777777" w:rsidR="00B0369D" w:rsidRDefault="00B0369D">
      <w:pPr>
        <w:rPr>
          <w:rFonts w:eastAsia="MS Mincho"/>
          <w:kern w:val="2"/>
          <w:lang w:eastAsia="ja-JP"/>
        </w:rPr>
      </w:pPr>
    </w:p>
    <w:p w14:paraId="37E93B22" w14:textId="70EEF16A" w:rsidR="00B0369D" w:rsidRDefault="00DB6C05" w:rsidP="00B0369D">
      <w:pPr>
        <w:rPr>
          <w:rFonts w:eastAsia="MS Mincho"/>
          <w:kern w:val="2"/>
          <w:lang w:eastAsia="ja-JP"/>
        </w:rPr>
      </w:pPr>
      <w:r w:rsidRPr="005554BF">
        <w:rPr>
          <w:rFonts w:eastAsia="MS Mincho"/>
          <w:kern w:val="2"/>
          <w:lang w:eastAsia="ja-JP"/>
        </w:rPr>
        <w:t>Approximately 16,0</w:t>
      </w:r>
      <w:r w:rsidR="0032550E" w:rsidRPr="005554BF">
        <w:rPr>
          <w:rFonts w:eastAsia="MS Mincho"/>
          <w:kern w:val="2"/>
          <w:lang w:eastAsia="ja-JP"/>
        </w:rPr>
        <w:t>00 respondents</w:t>
      </w:r>
      <w:r w:rsidRPr="005554BF">
        <w:rPr>
          <w:rFonts w:eastAsia="MS Mincho"/>
          <w:kern w:val="2"/>
          <w:lang w:eastAsia="ja-JP"/>
        </w:rPr>
        <w:t xml:space="preserve"> are anticipated to complete the screener (Attachment 1</w:t>
      </w:r>
      <w:r w:rsidR="00271343">
        <w:rPr>
          <w:rFonts w:eastAsia="MS Mincho"/>
          <w:kern w:val="2"/>
          <w:lang w:eastAsia="ja-JP"/>
        </w:rPr>
        <w:t>A</w:t>
      </w:r>
      <w:r w:rsidRPr="005554BF">
        <w:rPr>
          <w:rFonts w:eastAsia="MS Mincho"/>
          <w:kern w:val="2"/>
          <w:lang w:eastAsia="ja-JP"/>
        </w:rPr>
        <w:t>).</w:t>
      </w:r>
      <w:r w:rsidR="00E1033E" w:rsidRPr="00E1033E">
        <w:rPr>
          <w:rFonts w:eastAsia="MS Mincho"/>
          <w:kern w:val="2"/>
          <w:lang w:eastAsia="ja-JP"/>
        </w:rPr>
        <w:t xml:space="preserve"> </w:t>
      </w:r>
      <w:r w:rsidR="00E1033E" w:rsidRPr="009D717B">
        <w:rPr>
          <w:rFonts w:eastAsia="MS Mincho"/>
          <w:kern w:val="2"/>
          <w:lang w:eastAsia="ja-JP"/>
        </w:rPr>
        <w:t>The burden per respondent for completing the screener is 4 minutes</w:t>
      </w:r>
      <w:r w:rsidR="00E1033E">
        <w:rPr>
          <w:rFonts w:eastAsia="MS Mincho"/>
          <w:kern w:val="2"/>
          <w:lang w:eastAsia="ja-JP"/>
        </w:rPr>
        <w:t>.</w:t>
      </w:r>
      <w:r w:rsidRPr="005554BF">
        <w:rPr>
          <w:rFonts w:eastAsia="MS Mincho"/>
          <w:kern w:val="2"/>
          <w:lang w:eastAsia="ja-JP"/>
        </w:rPr>
        <w:t xml:space="preserve"> </w:t>
      </w:r>
      <w:r w:rsidR="00B0369D">
        <w:rPr>
          <w:rFonts w:eastAsia="MS Mincho"/>
          <w:kern w:val="2"/>
          <w:lang w:eastAsia="ja-JP"/>
        </w:rPr>
        <w:t>The total estimated burden for completing the screener is 1,067 hours (16,000 respondents * 4/60</w:t>
      </w:r>
      <w:r w:rsidR="0033077A">
        <w:rPr>
          <w:rFonts w:eastAsia="MS Mincho"/>
          <w:kern w:val="2"/>
          <w:lang w:eastAsia="ja-JP"/>
        </w:rPr>
        <w:t xml:space="preserve"> hours</w:t>
      </w:r>
      <w:r w:rsidR="00B0369D">
        <w:rPr>
          <w:rFonts w:eastAsia="MS Mincho"/>
          <w:kern w:val="2"/>
          <w:lang w:eastAsia="ja-JP"/>
        </w:rPr>
        <w:t xml:space="preserve"> = 1,067</w:t>
      </w:r>
      <w:r w:rsidR="00CB51E7">
        <w:rPr>
          <w:rFonts w:eastAsia="MS Mincho"/>
          <w:kern w:val="2"/>
          <w:lang w:eastAsia="ja-JP"/>
        </w:rPr>
        <w:t xml:space="preserve"> hours</w:t>
      </w:r>
      <w:r w:rsidR="00B0369D">
        <w:rPr>
          <w:rFonts w:eastAsia="MS Mincho"/>
          <w:kern w:val="2"/>
          <w:lang w:eastAsia="ja-JP"/>
        </w:rPr>
        <w:t>).</w:t>
      </w:r>
    </w:p>
    <w:p w14:paraId="098E508F" w14:textId="77777777" w:rsidR="00B0369D" w:rsidRDefault="00B0369D">
      <w:pPr>
        <w:rPr>
          <w:rFonts w:eastAsia="MS Mincho"/>
          <w:kern w:val="2"/>
          <w:lang w:eastAsia="ja-JP"/>
        </w:rPr>
      </w:pPr>
    </w:p>
    <w:p w14:paraId="39777788" w14:textId="1562915B" w:rsidR="00B0369D" w:rsidRDefault="00E1033E">
      <w:pPr>
        <w:rPr>
          <w:rFonts w:eastAsia="MS Mincho"/>
          <w:kern w:val="2"/>
          <w:lang w:eastAsia="ja-JP"/>
        </w:rPr>
      </w:pPr>
      <w:r>
        <w:rPr>
          <w:rFonts w:eastAsia="MS Mincho"/>
          <w:kern w:val="2"/>
          <w:lang w:eastAsia="ja-JP"/>
        </w:rPr>
        <w:t>Based on projections from previous surveys, an estimated</w:t>
      </w:r>
      <w:r w:rsidRPr="009D717B">
        <w:rPr>
          <w:rFonts w:eastAsia="MS Mincho"/>
          <w:kern w:val="2"/>
          <w:lang w:eastAsia="ja-JP"/>
        </w:rPr>
        <w:t xml:space="preserve"> 4,800 respondents </w:t>
      </w:r>
      <w:r>
        <w:rPr>
          <w:rFonts w:eastAsia="MS Mincho"/>
          <w:kern w:val="2"/>
          <w:lang w:eastAsia="ja-JP"/>
        </w:rPr>
        <w:t>who complete the screener will be deemed ineligible for the study because of not meeting inclusion criteria by age (18-54</w:t>
      </w:r>
      <w:r w:rsidR="00D6791E">
        <w:rPr>
          <w:rFonts w:eastAsia="MS Mincho"/>
          <w:kern w:val="2"/>
          <w:lang w:eastAsia="ja-JP"/>
        </w:rPr>
        <w:t xml:space="preserve"> years</w:t>
      </w:r>
      <w:r>
        <w:rPr>
          <w:rFonts w:eastAsia="MS Mincho"/>
          <w:kern w:val="2"/>
          <w:lang w:eastAsia="ja-JP"/>
        </w:rPr>
        <w:t>), and tobacco us</w:t>
      </w:r>
      <w:r w:rsidR="00D6791E">
        <w:rPr>
          <w:rFonts w:eastAsia="MS Mincho"/>
          <w:kern w:val="2"/>
          <w:lang w:eastAsia="ja-JP"/>
        </w:rPr>
        <w:t>e status.</w:t>
      </w:r>
      <w:r>
        <w:rPr>
          <w:rFonts w:eastAsia="MS Mincho"/>
          <w:kern w:val="2"/>
          <w:lang w:eastAsia="ja-JP"/>
        </w:rPr>
        <w:t xml:space="preserve"> </w:t>
      </w:r>
    </w:p>
    <w:p w14:paraId="7F8C60D0" w14:textId="77777777" w:rsidR="00B0369D" w:rsidRDefault="00B0369D">
      <w:pPr>
        <w:rPr>
          <w:rFonts w:eastAsia="MS Mincho"/>
          <w:kern w:val="2"/>
          <w:lang w:eastAsia="ja-JP"/>
        </w:rPr>
      </w:pPr>
    </w:p>
    <w:p w14:paraId="25C8F7EE" w14:textId="19B0745C" w:rsidR="00D6791E" w:rsidRDefault="00D6791E">
      <w:pPr>
        <w:rPr>
          <w:rFonts w:eastAsia="MS Mincho"/>
          <w:kern w:val="2"/>
          <w:lang w:eastAsia="ja-JP"/>
        </w:rPr>
      </w:pPr>
      <w:r>
        <w:rPr>
          <w:rFonts w:eastAsia="MS Mincho"/>
          <w:kern w:val="2"/>
          <w:lang w:eastAsia="ja-JP"/>
        </w:rPr>
        <w:t>T</w:t>
      </w:r>
      <w:r w:rsidR="00E1033E">
        <w:rPr>
          <w:rFonts w:eastAsia="MS Mincho"/>
          <w:kern w:val="2"/>
          <w:lang w:eastAsia="ja-JP"/>
        </w:rPr>
        <w:t xml:space="preserve">he remaining 11,200 who meet the inclusion criteria will be administered the </w:t>
      </w:r>
      <w:r w:rsidR="00E1033E" w:rsidRPr="009D717B">
        <w:rPr>
          <w:rFonts w:eastAsia="MS Mincho"/>
          <w:kern w:val="2"/>
          <w:lang w:eastAsia="ja-JP"/>
        </w:rPr>
        <w:t xml:space="preserve">main questionnaire (Attachment </w:t>
      </w:r>
      <w:r w:rsidR="00126907">
        <w:rPr>
          <w:rFonts w:eastAsia="MS Mincho"/>
          <w:kern w:val="2"/>
          <w:lang w:eastAsia="ja-JP"/>
        </w:rPr>
        <w:t>1</w:t>
      </w:r>
      <w:r w:rsidR="00271343">
        <w:rPr>
          <w:rFonts w:eastAsia="MS Mincho"/>
          <w:kern w:val="2"/>
          <w:lang w:eastAsia="ja-JP"/>
        </w:rPr>
        <w:t>B</w:t>
      </w:r>
      <w:r w:rsidR="00E1033E" w:rsidRPr="009D717B">
        <w:rPr>
          <w:rFonts w:eastAsia="MS Mincho"/>
          <w:kern w:val="2"/>
          <w:lang w:eastAsia="ja-JP"/>
        </w:rPr>
        <w:t>).</w:t>
      </w:r>
      <w:r w:rsidR="00E1033E">
        <w:rPr>
          <w:rFonts w:eastAsia="MS Mincho"/>
          <w:kern w:val="2"/>
          <w:lang w:eastAsia="ja-JP"/>
        </w:rPr>
        <w:t xml:space="preserve"> T</w:t>
      </w:r>
      <w:r w:rsidR="00E1033E" w:rsidRPr="009D717B">
        <w:rPr>
          <w:rFonts w:eastAsia="MS Mincho"/>
          <w:kern w:val="2"/>
          <w:lang w:eastAsia="ja-JP"/>
        </w:rPr>
        <w:t xml:space="preserve">he burden per respondent for completing the main questionnaire is 11 minutes. </w:t>
      </w:r>
      <w:r w:rsidR="00B0369D">
        <w:rPr>
          <w:rFonts w:eastAsia="MS Mincho"/>
          <w:kern w:val="2"/>
          <w:lang w:eastAsia="ja-JP"/>
        </w:rPr>
        <w:t xml:space="preserve">The total estimated burden for completing </w:t>
      </w:r>
      <w:r w:rsidR="00B0369D">
        <w:rPr>
          <w:rFonts w:eastAsia="MS Mincho"/>
          <w:kern w:val="2"/>
          <w:lang w:eastAsia="ja-JP"/>
        </w:rPr>
        <w:lastRenderedPageBreak/>
        <w:t xml:space="preserve">the main questionnaire is 2,053 </w:t>
      </w:r>
      <w:r w:rsidR="0033077A">
        <w:rPr>
          <w:rFonts w:eastAsia="MS Mincho"/>
          <w:kern w:val="2"/>
          <w:lang w:eastAsia="ja-JP"/>
        </w:rPr>
        <w:t xml:space="preserve">hours </w:t>
      </w:r>
      <w:r w:rsidR="00B0369D">
        <w:rPr>
          <w:rFonts w:eastAsia="MS Mincho"/>
          <w:kern w:val="2"/>
          <w:lang w:eastAsia="ja-JP"/>
        </w:rPr>
        <w:t xml:space="preserve">(11,200 respondents * 11/60 </w:t>
      </w:r>
      <w:r w:rsidR="0033077A">
        <w:rPr>
          <w:rFonts w:eastAsia="MS Mincho"/>
          <w:kern w:val="2"/>
          <w:lang w:eastAsia="ja-JP"/>
        </w:rPr>
        <w:t xml:space="preserve">hours </w:t>
      </w:r>
      <w:r w:rsidR="00B0369D">
        <w:rPr>
          <w:rFonts w:eastAsia="MS Mincho"/>
          <w:kern w:val="2"/>
          <w:lang w:eastAsia="ja-JP"/>
        </w:rPr>
        <w:t>= 2,053</w:t>
      </w:r>
      <w:r w:rsidR="00CB51E7">
        <w:rPr>
          <w:rFonts w:eastAsia="MS Mincho"/>
          <w:kern w:val="2"/>
          <w:lang w:eastAsia="ja-JP"/>
        </w:rPr>
        <w:t xml:space="preserve"> hours</w:t>
      </w:r>
      <w:r w:rsidR="00B0369D">
        <w:rPr>
          <w:rFonts w:eastAsia="MS Mincho"/>
          <w:kern w:val="2"/>
          <w:lang w:eastAsia="ja-JP"/>
        </w:rPr>
        <w:t xml:space="preserve">). </w:t>
      </w:r>
    </w:p>
    <w:p w14:paraId="7DB249F7" w14:textId="77777777" w:rsidR="00D6791E" w:rsidRDefault="00D6791E">
      <w:pPr>
        <w:rPr>
          <w:rFonts w:eastAsia="MS Mincho"/>
          <w:kern w:val="2"/>
          <w:lang w:eastAsia="ja-JP"/>
        </w:rPr>
      </w:pPr>
    </w:p>
    <w:p w14:paraId="23A029A9" w14:textId="512A9D26" w:rsidR="006457E5" w:rsidRPr="000E1D46" w:rsidRDefault="00E61E02">
      <w:pPr>
        <w:rPr>
          <w:rFonts w:eastAsia="MS Mincho"/>
          <w:kern w:val="2"/>
          <w:lang w:eastAsia="ja-JP"/>
        </w:rPr>
      </w:pPr>
      <w:r>
        <w:rPr>
          <w:rFonts w:eastAsia="MS Mincho"/>
          <w:kern w:val="2"/>
          <w:lang w:eastAsia="ja-JP"/>
        </w:rPr>
        <w:t xml:space="preserve">Approximately 50 persons who completed the main questionnaire will be selected to participate in an </w:t>
      </w:r>
      <w:r w:rsidR="00C528BE">
        <w:rPr>
          <w:rFonts w:eastAsia="MS Mincho"/>
          <w:kern w:val="2"/>
          <w:lang w:eastAsia="ja-JP"/>
        </w:rPr>
        <w:t xml:space="preserve">in-depth interview </w:t>
      </w:r>
      <w:r w:rsidR="001F0465" w:rsidRPr="00A50106">
        <w:t xml:space="preserve">done over video and audio software </w:t>
      </w:r>
      <w:r w:rsidR="00C528BE">
        <w:t xml:space="preserve">through the browser </w:t>
      </w:r>
      <w:r w:rsidR="001F0465" w:rsidRPr="00A50106">
        <w:t>on the respondent’s computer</w:t>
      </w:r>
      <w:r>
        <w:rPr>
          <w:rFonts w:eastAsia="MS Mincho"/>
          <w:kern w:val="2"/>
          <w:lang w:eastAsia="ja-JP"/>
        </w:rPr>
        <w:t xml:space="preserve"> (</w:t>
      </w:r>
      <w:r w:rsidR="00BF33B6" w:rsidRPr="009D717B">
        <w:t>~</w:t>
      </w:r>
      <w:r w:rsidR="00BF33B6">
        <w:t xml:space="preserve">25 </w:t>
      </w:r>
      <w:r w:rsidR="00BF33B6" w:rsidRPr="009D717B">
        <w:t xml:space="preserve">low SES exclusive </w:t>
      </w:r>
      <w:r w:rsidR="00BF33B6">
        <w:t xml:space="preserve">regular </w:t>
      </w:r>
      <w:r w:rsidR="00BF33B6" w:rsidRPr="009D717B">
        <w:t>cigarette smokers</w:t>
      </w:r>
      <w:r w:rsidR="00BF33B6">
        <w:t xml:space="preserve"> [Attachment </w:t>
      </w:r>
      <w:r w:rsidR="00504725">
        <w:t>3</w:t>
      </w:r>
      <w:r w:rsidR="00A34B41">
        <w:t>A</w:t>
      </w:r>
      <w:r w:rsidR="00504725">
        <w:t xml:space="preserve"> and 3</w:t>
      </w:r>
      <w:r w:rsidR="00636321">
        <w:t>B</w:t>
      </w:r>
      <w:r w:rsidR="00BF33B6">
        <w:t>] and ~</w:t>
      </w:r>
      <w:r>
        <w:t xml:space="preserve">25 </w:t>
      </w:r>
      <w:r w:rsidRPr="009D717B">
        <w:t>non-low SES adult dual users</w:t>
      </w:r>
      <w:r>
        <w:t xml:space="preserve"> [Attachment </w:t>
      </w:r>
      <w:r w:rsidR="00271343">
        <w:t>2</w:t>
      </w:r>
      <w:r w:rsidR="00A34B41">
        <w:t>A</w:t>
      </w:r>
      <w:r w:rsidR="00271343">
        <w:t xml:space="preserve"> and 2</w:t>
      </w:r>
      <w:r w:rsidR="00636321">
        <w:t>B</w:t>
      </w:r>
      <w:r>
        <w:t xml:space="preserve">]). </w:t>
      </w:r>
      <w:r>
        <w:rPr>
          <w:rFonts w:eastAsia="MS Mincho"/>
          <w:kern w:val="2"/>
          <w:lang w:eastAsia="ja-JP"/>
        </w:rPr>
        <w:t>T</w:t>
      </w:r>
      <w:r w:rsidRPr="009D717B">
        <w:rPr>
          <w:rFonts w:eastAsia="MS Mincho"/>
          <w:kern w:val="2"/>
          <w:lang w:eastAsia="ja-JP"/>
        </w:rPr>
        <w:t xml:space="preserve">he burden per respondent for completing the </w:t>
      </w:r>
      <w:r>
        <w:rPr>
          <w:rFonts w:eastAsia="MS Mincho"/>
          <w:kern w:val="2"/>
          <w:lang w:eastAsia="ja-JP"/>
        </w:rPr>
        <w:t>IDI is 30</w:t>
      </w:r>
      <w:r w:rsidRPr="009D717B">
        <w:rPr>
          <w:rFonts w:eastAsia="MS Mincho"/>
          <w:kern w:val="2"/>
          <w:lang w:eastAsia="ja-JP"/>
        </w:rPr>
        <w:t xml:space="preserve"> minutes.</w:t>
      </w:r>
      <w:r w:rsidR="00B0369D">
        <w:rPr>
          <w:rFonts w:eastAsia="MS Mincho"/>
          <w:kern w:val="2"/>
          <w:lang w:eastAsia="ja-JP"/>
        </w:rPr>
        <w:t xml:space="preserve"> The total estimated burden for completing an IDI is </w:t>
      </w:r>
      <w:r w:rsidR="0033077A">
        <w:rPr>
          <w:rFonts w:eastAsia="MS Mincho"/>
          <w:kern w:val="2"/>
          <w:lang w:eastAsia="ja-JP"/>
        </w:rPr>
        <w:t>26 hours [(25 non-low SES adult dual user respondents * 30/60 hours) + (25 low SES exclusive regular cigarette smoker respondents * 30/60 hours</w:t>
      </w:r>
      <w:r w:rsidR="00CB51E7">
        <w:rPr>
          <w:rFonts w:eastAsia="MS Mincho"/>
          <w:kern w:val="2"/>
          <w:lang w:eastAsia="ja-JP"/>
        </w:rPr>
        <w:t>)</w:t>
      </w:r>
      <w:r w:rsidR="0033077A">
        <w:rPr>
          <w:rFonts w:eastAsia="MS Mincho"/>
          <w:kern w:val="2"/>
          <w:lang w:eastAsia="ja-JP"/>
        </w:rPr>
        <w:t xml:space="preserve"> = </w:t>
      </w:r>
      <w:r w:rsidR="00CB51E7">
        <w:rPr>
          <w:rFonts w:eastAsia="MS Mincho"/>
          <w:kern w:val="2"/>
          <w:lang w:eastAsia="ja-JP"/>
        </w:rPr>
        <w:t>26 hours].</w:t>
      </w:r>
      <w:r w:rsidR="0033077A">
        <w:rPr>
          <w:rFonts w:eastAsia="MS Mincho"/>
          <w:kern w:val="2"/>
          <w:lang w:eastAsia="ja-JP"/>
        </w:rPr>
        <w:t xml:space="preserve"> </w:t>
      </w:r>
    </w:p>
    <w:p w14:paraId="6F3A49E4" w14:textId="77777777" w:rsidR="006457E5" w:rsidRDefault="006457E5"/>
    <w:p w14:paraId="25472DAE" w14:textId="016F0D81" w:rsidR="00603915" w:rsidRDefault="00365941" w:rsidP="000704D6">
      <w:r w:rsidRPr="005554BF">
        <w:rPr>
          <w:rFonts w:eastAsia="MS Mincho"/>
          <w:kern w:val="2"/>
          <w:lang w:eastAsia="ja-JP"/>
        </w:rPr>
        <w:t xml:space="preserve">The estimated burden per </w:t>
      </w:r>
      <w:r w:rsidR="0004410E" w:rsidRPr="005554BF">
        <w:rPr>
          <w:rFonts w:eastAsia="MS Mincho"/>
          <w:kern w:val="2"/>
          <w:lang w:eastAsia="ja-JP"/>
        </w:rPr>
        <w:t xml:space="preserve">respondent will vary </w:t>
      </w:r>
      <w:r w:rsidRPr="005554BF">
        <w:rPr>
          <w:rFonts w:eastAsia="MS Mincho"/>
          <w:kern w:val="2"/>
          <w:lang w:eastAsia="ja-JP"/>
        </w:rPr>
        <w:t>from 4</w:t>
      </w:r>
      <w:r w:rsidR="0004410E" w:rsidRPr="005554BF">
        <w:rPr>
          <w:rFonts w:eastAsia="MS Mincho"/>
          <w:kern w:val="2"/>
          <w:lang w:eastAsia="ja-JP"/>
        </w:rPr>
        <w:t xml:space="preserve"> minutes </w:t>
      </w:r>
      <w:r w:rsidR="00A7023B" w:rsidRPr="005554BF">
        <w:rPr>
          <w:rFonts w:eastAsia="MS Mincho"/>
          <w:kern w:val="2"/>
          <w:lang w:eastAsia="ja-JP"/>
        </w:rPr>
        <w:t>for those who complete</w:t>
      </w:r>
      <w:r w:rsidR="00B7258F">
        <w:rPr>
          <w:rFonts w:eastAsia="MS Mincho"/>
          <w:kern w:val="2"/>
          <w:lang w:eastAsia="ja-JP"/>
        </w:rPr>
        <w:t xml:space="preserve"> only</w:t>
      </w:r>
      <w:r w:rsidR="00A7023B" w:rsidRPr="005554BF">
        <w:rPr>
          <w:rFonts w:eastAsia="MS Mincho"/>
          <w:kern w:val="2"/>
          <w:lang w:eastAsia="ja-JP"/>
        </w:rPr>
        <w:t xml:space="preserve"> the screener to 15 minutes for those who complete both the screener and the main questionnaire</w:t>
      </w:r>
      <w:r w:rsidR="009474F1" w:rsidRPr="005554BF">
        <w:rPr>
          <w:rFonts w:eastAsia="MS Mincho"/>
          <w:kern w:val="2"/>
          <w:lang w:eastAsia="ja-JP"/>
        </w:rPr>
        <w:t xml:space="preserve"> (4 minutes for screener + 11 minutes for main questionnaire)</w:t>
      </w:r>
      <w:r w:rsidR="00A7023B" w:rsidRPr="005554BF">
        <w:rPr>
          <w:rFonts w:eastAsia="MS Mincho"/>
          <w:kern w:val="2"/>
          <w:lang w:eastAsia="ja-JP"/>
        </w:rPr>
        <w:t xml:space="preserve"> </w:t>
      </w:r>
      <w:r w:rsidR="0004410E" w:rsidRPr="005554BF">
        <w:rPr>
          <w:rFonts w:eastAsia="MS Mincho"/>
          <w:kern w:val="2"/>
          <w:lang w:eastAsia="ja-JP"/>
        </w:rPr>
        <w:t xml:space="preserve">to </w:t>
      </w:r>
      <w:r w:rsidR="00A7023B" w:rsidRPr="005554BF">
        <w:rPr>
          <w:rFonts w:eastAsia="MS Mincho"/>
          <w:kern w:val="2"/>
          <w:lang w:eastAsia="ja-JP"/>
        </w:rPr>
        <w:t>45 minutes for those who complete the screener, main questionnaire, and IDI</w:t>
      </w:r>
      <w:r w:rsidR="009474F1" w:rsidRPr="005554BF">
        <w:rPr>
          <w:rFonts w:eastAsia="MS Mincho"/>
          <w:kern w:val="2"/>
          <w:lang w:eastAsia="ja-JP"/>
        </w:rPr>
        <w:t xml:space="preserve"> (4 minutes for screener + 11 minutes for main questionnaire + 30 minutes for Moderator’s Guide for IDI)</w:t>
      </w:r>
      <w:r w:rsidR="00A7023B" w:rsidRPr="005554BF">
        <w:rPr>
          <w:rFonts w:eastAsia="MS Mincho"/>
          <w:kern w:val="2"/>
          <w:lang w:eastAsia="ja-JP"/>
        </w:rPr>
        <w:t xml:space="preserve">. </w:t>
      </w:r>
      <w:r w:rsidRPr="005554BF">
        <w:rPr>
          <w:rFonts w:eastAsia="MS Mincho"/>
          <w:kern w:val="2"/>
          <w:lang w:eastAsia="ja-JP"/>
        </w:rPr>
        <w:t>The adjusted average burden per respon</w:t>
      </w:r>
      <w:r w:rsidR="00260E35">
        <w:rPr>
          <w:rFonts w:eastAsia="MS Mincho"/>
          <w:kern w:val="2"/>
          <w:lang w:eastAsia="ja-JP"/>
        </w:rPr>
        <w:t>dent</w:t>
      </w:r>
      <w:r w:rsidRPr="005554BF">
        <w:rPr>
          <w:rFonts w:eastAsia="MS Mincho"/>
          <w:kern w:val="2"/>
          <w:lang w:eastAsia="ja-JP"/>
        </w:rPr>
        <w:t xml:space="preserve"> is </w:t>
      </w:r>
      <w:r w:rsidR="006810A7" w:rsidRPr="005554BF">
        <w:rPr>
          <w:rFonts w:eastAsia="MS Mincho"/>
          <w:kern w:val="2"/>
          <w:lang w:eastAsia="ja-JP"/>
        </w:rPr>
        <w:t xml:space="preserve">approximately </w:t>
      </w:r>
      <w:r w:rsidR="00C91597" w:rsidRPr="005554BF">
        <w:rPr>
          <w:rFonts w:eastAsia="MS Mincho"/>
          <w:kern w:val="2"/>
          <w:lang w:eastAsia="ja-JP"/>
        </w:rPr>
        <w:t>1</w:t>
      </w:r>
      <w:r w:rsidR="00260E35">
        <w:rPr>
          <w:rFonts w:eastAsia="MS Mincho"/>
          <w:kern w:val="2"/>
          <w:lang w:eastAsia="ja-JP"/>
        </w:rPr>
        <w:t>1.8</w:t>
      </w:r>
      <w:r w:rsidRPr="005554BF">
        <w:rPr>
          <w:rFonts w:eastAsia="MS Mincho"/>
          <w:kern w:val="2"/>
          <w:lang w:eastAsia="ja-JP"/>
        </w:rPr>
        <w:t xml:space="preserve"> minutes.</w:t>
      </w:r>
      <w:r w:rsidR="0019227D">
        <w:rPr>
          <w:rFonts w:eastAsia="MS Mincho"/>
          <w:kern w:val="2"/>
          <w:lang w:eastAsia="ja-JP"/>
        </w:rPr>
        <w:t xml:space="preserve"> </w:t>
      </w:r>
      <w:r w:rsidR="0019227D">
        <w:t xml:space="preserve">The total estimated burden for the entire project is 3,146 hours [(16,000 respondents *4/60 hours) + (11,200 respondents *11/60 hours) + </w:t>
      </w:r>
      <w:r w:rsidR="0019227D">
        <w:rPr>
          <w:rFonts w:eastAsia="MS Mincho"/>
          <w:kern w:val="2"/>
          <w:lang w:eastAsia="ja-JP"/>
        </w:rPr>
        <w:t>(25 non-low SES adult dual user respondents * 30/60 hours) + (25 low SES exclusive regular cigarette smoker respondents * 30/60 hours)</w:t>
      </w:r>
      <w:r w:rsidR="0019227D">
        <w:t xml:space="preserve"> (pre-screening participants, post-screening participants taking the main questionnaire, and IDI participants respectively) = </w:t>
      </w:r>
      <w:r w:rsidR="0019227D" w:rsidRPr="009D717B">
        <w:rPr>
          <w:rFonts w:eastAsia="MS Mincho"/>
          <w:kern w:val="2"/>
          <w:lang w:eastAsia="ja-JP"/>
        </w:rPr>
        <w:t>3,</w:t>
      </w:r>
      <w:r w:rsidR="0019227D">
        <w:rPr>
          <w:rFonts w:eastAsia="MS Mincho"/>
          <w:kern w:val="2"/>
          <w:lang w:eastAsia="ja-JP"/>
        </w:rPr>
        <w:t>146</w:t>
      </w:r>
      <w:r w:rsidR="0019227D" w:rsidRPr="009D717B">
        <w:rPr>
          <w:rFonts w:eastAsia="MS Mincho"/>
          <w:kern w:val="2"/>
          <w:lang w:eastAsia="ja-JP"/>
        </w:rPr>
        <w:t xml:space="preserve"> hours</w:t>
      </w:r>
      <w:r w:rsidR="0019227D">
        <w:rPr>
          <w:rFonts w:eastAsia="MS Mincho"/>
          <w:kern w:val="2"/>
          <w:lang w:eastAsia="ja-JP"/>
        </w:rPr>
        <w:t>]</w:t>
      </w:r>
      <w:r w:rsidR="0019227D" w:rsidRPr="009D717B">
        <w:rPr>
          <w:rFonts w:eastAsia="MS Mincho"/>
          <w:kern w:val="2"/>
          <w:lang w:eastAsia="ja-JP"/>
        </w:rPr>
        <w:t>.</w:t>
      </w:r>
      <w:r w:rsidR="0019227D" w:rsidRPr="009D717B">
        <w:t xml:space="preserve"> </w:t>
      </w:r>
    </w:p>
    <w:p w14:paraId="2ADDCD1B" w14:textId="77777777" w:rsidR="001B3208" w:rsidRDefault="001B3208" w:rsidP="000704D6">
      <w:pPr>
        <w:rPr>
          <w:b/>
        </w:rPr>
      </w:pPr>
    </w:p>
    <w:p w14:paraId="423C132A" w14:textId="77777777" w:rsidR="00B83F4D" w:rsidRDefault="00B83F4D" w:rsidP="000704D6">
      <w:pPr>
        <w:rPr>
          <w:b/>
        </w:rPr>
      </w:pPr>
      <w:r>
        <w:rPr>
          <w:b/>
        </w:rPr>
        <w:br w:type="page"/>
      </w:r>
    </w:p>
    <w:p w14:paraId="1E4544BA" w14:textId="0CEB8438" w:rsidR="000704D6" w:rsidRPr="00390B41" w:rsidRDefault="000704D6" w:rsidP="000704D6">
      <w:pPr>
        <w:rPr>
          <w:rFonts w:eastAsia="MS Mincho"/>
          <w:b/>
          <w:kern w:val="2"/>
          <w:lang w:eastAsia="ja-JP"/>
        </w:rPr>
      </w:pPr>
      <w:r w:rsidRPr="00390B41">
        <w:rPr>
          <w:b/>
        </w:rPr>
        <w:lastRenderedPageBreak/>
        <w:t>Table A.12.A. Estimated Annualized Burden to Respondents</w:t>
      </w:r>
    </w:p>
    <w:tbl>
      <w:tblPr>
        <w:tblW w:w="9468" w:type="dxa"/>
        <w:jc w:val="center"/>
        <w:tblLook w:val="0000" w:firstRow="0" w:lastRow="0" w:firstColumn="0" w:lastColumn="0" w:noHBand="0" w:noVBand="0"/>
      </w:tblPr>
      <w:tblGrid>
        <w:gridCol w:w="1795"/>
        <w:gridCol w:w="1710"/>
        <w:gridCol w:w="1710"/>
        <w:gridCol w:w="1800"/>
        <w:gridCol w:w="1413"/>
        <w:gridCol w:w="1040"/>
      </w:tblGrid>
      <w:tr w:rsidR="000704D6" w:rsidRPr="0091469F" w14:paraId="06922386" w14:textId="77777777" w:rsidTr="000704D6">
        <w:trPr>
          <w:trHeight w:val="94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626A68E9" w14:textId="77777777" w:rsidR="000704D6" w:rsidRPr="008C3E18" w:rsidRDefault="000704D6" w:rsidP="00B80964">
            <w:pPr>
              <w:pStyle w:val="Default"/>
              <w:jc w:val="center"/>
              <w:rPr>
                <w:rFonts w:ascii="Times New Roman" w:hAnsi="Times New Roman" w:cs="Times New Roman"/>
                <w:color w:val="auto"/>
              </w:rPr>
            </w:pPr>
            <w:r w:rsidRPr="00E1033E">
              <w:rPr>
                <w:rFonts w:ascii="Times New Roman" w:hAnsi="Times New Roman" w:cs="Times New Roman"/>
                <w:b/>
                <w:bCs/>
                <w:color w:val="auto"/>
              </w:rPr>
              <w:t>Type of Respondent</w:t>
            </w:r>
          </w:p>
        </w:tc>
        <w:tc>
          <w:tcPr>
            <w:tcW w:w="1710" w:type="dxa"/>
            <w:tcBorders>
              <w:top w:val="single" w:sz="4" w:space="0" w:color="000000"/>
              <w:left w:val="single" w:sz="4" w:space="0" w:color="000000"/>
              <w:bottom w:val="single" w:sz="4" w:space="0" w:color="000000"/>
              <w:right w:val="single" w:sz="4" w:space="0" w:color="000000"/>
            </w:tcBorders>
            <w:vAlign w:val="center"/>
          </w:tcPr>
          <w:p w14:paraId="2747AE94" w14:textId="77777777" w:rsidR="000704D6" w:rsidRPr="008C3E18" w:rsidRDefault="000704D6" w:rsidP="00B80964">
            <w:pPr>
              <w:pStyle w:val="Default"/>
              <w:jc w:val="center"/>
              <w:rPr>
                <w:rFonts w:ascii="Times New Roman" w:hAnsi="Times New Roman" w:cs="Times New Roman"/>
                <w:color w:val="auto"/>
              </w:rPr>
            </w:pPr>
            <w:r w:rsidRPr="008C3E18">
              <w:rPr>
                <w:rFonts w:ascii="Times New Roman" w:hAnsi="Times New Roman" w:cs="Times New Roman"/>
                <w:b/>
                <w:bCs/>
                <w:color w:val="auto"/>
              </w:rPr>
              <w:t>Form Name</w:t>
            </w:r>
          </w:p>
        </w:tc>
        <w:tc>
          <w:tcPr>
            <w:tcW w:w="1710" w:type="dxa"/>
            <w:tcBorders>
              <w:top w:val="single" w:sz="4" w:space="0" w:color="000000"/>
              <w:left w:val="single" w:sz="4" w:space="0" w:color="000000"/>
              <w:bottom w:val="single" w:sz="4" w:space="0" w:color="000000"/>
              <w:right w:val="single" w:sz="4" w:space="0" w:color="000000"/>
            </w:tcBorders>
            <w:vAlign w:val="center"/>
          </w:tcPr>
          <w:p w14:paraId="040127E1" w14:textId="77777777" w:rsidR="000704D6" w:rsidRPr="0091469F" w:rsidRDefault="000704D6" w:rsidP="00B80964">
            <w:pPr>
              <w:pStyle w:val="Default"/>
              <w:jc w:val="center"/>
              <w:rPr>
                <w:rFonts w:ascii="Times New Roman" w:hAnsi="Times New Roman" w:cs="Times New Roman"/>
                <w:color w:val="auto"/>
              </w:rPr>
            </w:pPr>
            <w:r w:rsidRPr="0091469F">
              <w:rPr>
                <w:rFonts w:ascii="Times New Roman" w:hAnsi="Times New Roman" w:cs="Times New Roman"/>
                <w:b/>
                <w:bCs/>
                <w:color w:val="auto"/>
              </w:rPr>
              <w:t>Number of Respondents</w:t>
            </w:r>
          </w:p>
        </w:tc>
        <w:tc>
          <w:tcPr>
            <w:tcW w:w="1800" w:type="dxa"/>
            <w:tcBorders>
              <w:top w:val="single" w:sz="4" w:space="0" w:color="000000"/>
              <w:left w:val="single" w:sz="4" w:space="0" w:color="000000"/>
              <w:bottom w:val="single" w:sz="4" w:space="0" w:color="000000"/>
              <w:right w:val="single" w:sz="4" w:space="0" w:color="000000"/>
            </w:tcBorders>
            <w:vAlign w:val="center"/>
          </w:tcPr>
          <w:p w14:paraId="3B639A7C" w14:textId="77777777" w:rsidR="000704D6" w:rsidRPr="0091469F" w:rsidRDefault="000704D6" w:rsidP="00B80964">
            <w:pPr>
              <w:pStyle w:val="Default"/>
              <w:jc w:val="center"/>
              <w:rPr>
                <w:rFonts w:ascii="Times New Roman" w:hAnsi="Times New Roman" w:cs="Times New Roman"/>
                <w:color w:val="auto"/>
              </w:rPr>
            </w:pPr>
            <w:r w:rsidRPr="0091469F">
              <w:rPr>
                <w:rFonts w:ascii="Times New Roman" w:hAnsi="Times New Roman" w:cs="Times New Roman"/>
                <w:b/>
                <w:bCs/>
                <w:color w:val="auto"/>
              </w:rPr>
              <w:t>Number of Responses per Respondent</w:t>
            </w:r>
          </w:p>
        </w:tc>
        <w:tc>
          <w:tcPr>
            <w:tcW w:w="1413" w:type="dxa"/>
            <w:tcBorders>
              <w:top w:val="single" w:sz="4" w:space="0" w:color="000000"/>
              <w:left w:val="single" w:sz="4" w:space="0" w:color="000000"/>
              <w:bottom w:val="single" w:sz="4" w:space="0" w:color="000000"/>
              <w:right w:val="single" w:sz="4" w:space="0" w:color="000000"/>
            </w:tcBorders>
            <w:vAlign w:val="center"/>
          </w:tcPr>
          <w:p w14:paraId="772A6647" w14:textId="77777777" w:rsidR="000704D6" w:rsidRPr="0091469F" w:rsidRDefault="000704D6" w:rsidP="00B80964">
            <w:pPr>
              <w:pStyle w:val="Default"/>
              <w:jc w:val="center"/>
              <w:rPr>
                <w:rFonts w:ascii="Times New Roman" w:hAnsi="Times New Roman" w:cs="Times New Roman"/>
                <w:b/>
                <w:bCs/>
                <w:color w:val="auto"/>
              </w:rPr>
            </w:pPr>
            <w:r w:rsidRPr="0091469F">
              <w:rPr>
                <w:rFonts w:ascii="Times New Roman" w:hAnsi="Times New Roman" w:cs="Times New Roman"/>
                <w:b/>
                <w:bCs/>
                <w:color w:val="auto"/>
              </w:rPr>
              <w:t>Average Burden per Response</w:t>
            </w:r>
          </w:p>
          <w:p w14:paraId="30A2ACD4" w14:textId="77777777" w:rsidR="000704D6" w:rsidRPr="0091469F" w:rsidRDefault="000704D6" w:rsidP="00B80964">
            <w:pPr>
              <w:pStyle w:val="Default"/>
              <w:jc w:val="center"/>
              <w:rPr>
                <w:rFonts w:ascii="Times New Roman" w:hAnsi="Times New Roman" w:cs="Times New Roman"/>
                <w:color w:val="auto"/>
              </w:rPr>
            </w:pPr>
            <w:r w:rsidRPr="0091469F">
              <w:rPr>
                <w:rFonts w:ascii="Times New Roman" w:hAnsi="Times New Roman" w:cs="Times New Roman"/>
                <w:b/>
                <w:bCs/>
                <w:color w:val="auto"/>
              </w:rPr>
              <w:t>(in hours)</w:t>
            </w:r>
          </w:p>
        </w:tc>
        <w:tc>
          <w:tcPr>
            <w:tcW w:w="1040" w:type="dxa"/>
            <w:tcBorders>
              <w:top w:val="single" w:sz="4" w:space="0" w:color="000000"/>
              <w:left w:val="single" w:sz="4" w:space="0" w:color="000000"/>
              <w:bottom w:val="single" w:sz="4" w:space="0" w:color="000000"/>
              <w:right w:val="single" w:sz="4" w:space="0" w:color="000000"/>
            </w:tcBorders>
            <w:vAlign w:val="center"/>
          </w:tcPr>
          <w:p w14:paraId="6BCCFE61" w14:textId="77777777" w:rsidR="000704D6" w:rsidRPr="0091469F" w:rsidRDefault="000704D6" w:rsidP="00B80964">
            <w:pPr>
              <w:pStyle w:val="Default"/>
              <w:jc w:val="center"/>
              <w:rPr>
                <w:rFonts w:ascii="Times New Roman" w:hAnsi="Times New Roman" w:cs="Times New Roman"/>
                <w:b/>
                <w:bCs/>
                <w:color w:val="auto"/>
              </w:rPr>
            </w:pPr>
            <w:r w:rsidRPr="0091469F">
              <w:rPr>
                <w:rFonts w:ascii="Times New Roman" w:hAnsi="Times New Roman" w:cs="Times New Roman"/>
                <w:b/>
                <w:bCs/>
                <w:color w:val="auto"/>
              </w:rPr>
              <w:t>Total Burden</w:t>
            </w:r>
          </w:p>
          <w:p w14:paraId="3247C660" w14:textId="77777777" w:rsidR="000704D6" w:rsidRPr="0091469F" w:rsidRDefault="000704D6" w:rsidP="00B80964">
            <w:pPr>
              <w:pStyle w:val="Default"/>
              <w:jc w:val="center"/>
              <w:rPr>
                <w:rFonts w:ascii="Times New Roman" w:hAnsi="Times New Roman" w:cs="Times New Roman"/>
                <w:color w:val="auto"/>
              </w:rPr>
            </w:pPr>
            <w:r w:rsidRPr="0091469F">
              <w:rPr>
                <w:rFonts w:ascii="Times New Roman" w:hAnsi="Times New Roman" w:cs="Times New Roman"/>
                <w:b/>
                <w:bCs/>
                <w:color w:val="auto"/>
              </w:rPr>
              <w:t>(in hours)</w:t>
            </w:r>
          </w:p>
        </w:tc>
      </w:tr>
      <w:tr w:rsidR="000704D6" w:rsidRPr="0091469F" w14:paraId="03BB4ECE" w14:textId="77777777" w:rsidTr="000704D6">
        <w:trPr>
          <w:trHeight w:val="940"/>
          <w:jc w:val="center"/>
        </w:trPr>
        <w:tc>
          <w:tcPr>
            <w:tcW w:w="1795" w:type="dxa"/>
            <w:vMerge w:val="restart"/>
            <w:tcBorders>
              <w:top w:val="single" w:sz="4" w:space="0" w:color="000000"/>
              <w:left w:val="single" w:sz="4" w:space="0" w:color="000000"/>
              <w:right w:val="single" w:sz="4" w:space="0" w:color="000000"/>
            </w:tcBorders>
            <w:vAlign w:val="center"/>
          </w:tcPr>
          <w:p w14:paraId="2F698C92" w14:textId="77777777" w:rsidR="000704D6" w:rsidRPr="0091469F" w:rsidRDefault="000704D6" w:rsidP="00B80964">
            <w:pPr>
              <w:pStyle w:val="Default"/>
              <w:rPr>
                <w:rFonts w:ascii="Times New Roman" w:hAnsi="Times New Roman" w:cs="Times New Roman"/>
                <w:bCs/>
                <w:color w:val="auto"/>
              </w:rPr>
            </w:pPr>
            <w:r w:rsidRPr="0091469F">
              <w:rPr>
                <w:rFonts w:ascii="Times New Roman" w:hAnsi="Times New Roman" w:cs="Times New Roman"/>
                <w:bCs/>
                <w:color w:val="auto"/>
              </w:rPr>
              <w:t>Adult smokers who are 18-54 years old  (low SES exclusive smokers of regular cigarettes; non-low SES dual users)</w:t>
            </w:r>
          </w:p>
        </w:tc>
        <w:tc>
          <w:tcPr>
            <w:tcW w:w="1710" w:type="dxa"/>
            <w:tcBorders>
              <w:top w:val="single" w:sz="4" w:space="0" w:color="000000"/>
              <w:left w:val="single" w:sz="4" w:space="0" w:color="000000"/>
              <w:bottom w:val="single" w:sz="4" w:space="0" w:color="000000"/>
              <w:right w:val="single" w:sz="4" w:space="0" w:color="000000"/>
            </w:tcBorders>
            <w:vAlign w:val="center"/>
          </w:tcPr>
          <w:p w14:paraId="7F427C0D" w14:textId="5E835BD1" w:rsidR="000704D6" w:rsidRPr="0091469F" w:rsidRDefault="000704D6" w:rsidP="00B80964">
            <w:pPr>
              <w:pStyle w:val="Default"/>
              <w:jc w:val="center"/>
              <w:rPr>
                <w:rFonts w:ascii="Times New Roman" w:hAnsi="Times New Roman" w:cs="Times New Roman"/>
                <w:bCs/>
                <w:color w:val="auto"/>
              </w:rPr>
            </w:pPr>
            <w:r w:rsidRPr="00D9520B">
              <w:rPr>
                <w:rFonts w:ascii="Times New Roman" w:hAnsi="Times New Roman" w:cs="Times New Roman"/>
                <w:bCs/>
                <w:color w:val="auto"/>
              </w:rPr>
              <w:t>Recruitment Screener for Regular Cigarette Sm</w:t>
            </w:r>
            <w:r w:rsidR="00271343">
              <w:rPr>
                <w:rFonts w:ascii="Times New Roman" w:hAnsi="Times New Roman" w:cs="Times New Roman"/>
                <w:bCs/>
                <w:color w:val="auto"/>
              </w:rPr>
              <w:t>okers and Dual Users (Att.</w:t>
            </w:r>
            <w:r w:rsidRPr="00D9520B">
              <w:rPr>
                <w:rFonts w:ascii="Times New Roman" w:hAnsi="Times New Roman" w:cs="Times New Roman"/>
                <w:bCs/>
                <w:color w:val="auto"/>
              </w:rPr>
              <w:t xml:space="preserve"> 1</w:t>
            </w:r>
            <w:r w:rsidR="00271343">
              <w:rPr>
                <w:rFonts w:ascii="Times New Roman" w:hAnsi="Times New Roman" w:cs="Times New Roman"/>
                <w:bCs/>
                <w:color w:val="auto"/>
              </w:rPr>
              <w:t>A</w:t>
            </w:r>
            <w:r w:rsidRPr="00D9520B">
              <w:rPr>
                <w:rFonts w:ascii="Times New Roman" w:hAnsi="Times New Roman" w:cs="Times New Roman"/>
                <w:bCs/>
                <w:color w:val="auto"/>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349DF5B6" w14:textId="77777777" w:rsidR="000704D6" w:rsidRPr="00390B41" w:rsidRDefault="000704D6" w:rsidP="00B80964">
            <w:pPr>
              <w:pStyle w:val="Default"/>
              <w:jc w:val="center"/>
              <w:rPr>
                <w:rFonts w:ascii="Times New Roman" w:hAnsi="Times New Roman" w:cs="Times New Roman"/>
                <w:color w:val="auto"/>
              </w:rPr>
            </w:pPr>
            <w:r w:rsidRPr="00390B41">
              <w:rPr>
                <w:rFonts w:ascii="Times New Roman" w:hAnsi="Times New Roman" w:cs="Times New Roman"/>
                <w:color w:val="auto"/>
              </w:rPr>
              <w:t>16,000</w:t>
            </w:r>
          </w:p>
        </w:tc>
        <w:tc>
          <w:tcPr>
            <w:tcW w:w="1800" w:type="dxa"/>
            <w:tcBorders>
              <w:top w:val="single" w:sz="4" w:space="0" w:color="000000"/>
              <w:left w:val="single" w:sz="4" w:space="0" w:color="000000"/>
              <w:bottom w:val="single" w:sz="4" w:space="0" w:color="000000"/>
              <w:right w:val="single" w:sz="4" w:space="0" w:color="000000"/>
            </w:tcBorders>
            <w:vAlign w:val="center"/>
          </w:tcPr>
          <w:p w14:paraId="2AE80BAE" w14:textId="77777777" w:rsidR="000704D6" w:rsidRPr="00E1033E" w:rsidRDefault="000704D6" w:rsidP="00B80964">
            <w:pPr>
              <w:pStyle w:val="Default"/>
              <w:jc w:val="center"/>
              <w:rPr>
                <w:rFonts w:ascii="Times New Roman" w:hAnsi="Times New Roman" w:cs="Times New Roman"/>
                <w:color w:val="auto"/>
              </w:rPr>
            </w:pPr>
            <w:r w:rsidRPr="00E1033E">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2314CD68" w14:textId="77777777" w:rsidR="000704D6" w:rsidRPr="008C3E18" w:rsidRDefault="000704D6" w:rsidP="00B80964">
            <w:pPr>
              <w:pStyle w:val="Default"/>
              <w:jc w:val="center"/>
              <w:rPr>
                <w:rFonts w:ascii="Times New Roman" w:hAnsi="Times New Roman" w:cs="Times New Roman"/>
                <w:color w:val="auto"/>
              </w:rPr>
            </w:pPr>
            <w:r w:rsidRPr="008C3E18">
              <w:rPr>
                <w:rFonts w:ascii="Times New Roman" w:hAnsi="Times New Roman" w:cs="Times New Roman"/>
                <w:color w:val="auto"/>
              </w:rPr>
              <w:t>4/60</w:t>
            </w:r>
          </w:p>
        </w:tc>
        <w:tc>
          <w:tcPr>
            <w:tcW w:w="1040" w:type="dxa"/>
            <w:tcBorders>
              <w:top w:val="single" w:sz="4" w:space="0" w:color="000000"/>
              <w:left w:val="single" w:sz="4" w:space="0" w:color="000000"/>
              <w:bottom w:val="single" w:sz="4" w:space="0" w:color="000000"/>
              <w:right w:val="single" w:sz="4" w:space="0" w:color="000000"/>
            </w:tcBorders>
            <w:vAlign w:val="center"/>
          </w:tcPr>
          <w:p w14:paraId="7018D549" w14:textId="77777777" w:rsidR="000704D6" w:rsidRPr="008C3E18" w:rsidRDefault="000704D6" w:rsidP="00B80964">
            <w:pPr>
              <w:pStyle w:val="Default"/>
              <w:jc w:val="center"/>
              <w:rPr>
                <w:rFonts w:ascii="Times New Roman" w:hAnsi="Times New Roman" w:cs="Times New Roman"/>
                <w:color w:val="auto"/>
              </w:rPr>
            </w:pPr>
            <w:r w:rsidRPr="008C3E18">
              <w:rPr>
                <w:rFonts w:ascii="Times New Roman" w:hAnsi="Times New Roman" w:cs="Times New Roman"/>
                <w:color w:val="auto"/>
              </w:rPr>
              <w:t>1,067</w:t>
            </w:r>
          </w:p>
        </w:tc>
      </w:tr>
      <w:tr w:rsidR="000704D6" w:rsidRPr="0091469F" w14:paraId="04A58075" w14:textId="77777777" w:rsidTr="000704D6">
        <w:trPr>
          <w:trHeight w:val="940"/>
          <w:jc w:val="center"/>
        </w:trPr>
        <w:tc>
          <w:tcPr>
            <w:tcW w:w="1795" w:type="dxa"/>
            <w:vMerge/>
            <w:tcBorders>
              <w:left w:val="single" w:sz="4" w:space="0" w:color="000000"/>
              <w:bottom w:val="single" w:sz="4" w:space="0" w:color="000000"/>
              <w:right w:val="single" w:sz="4" w:space="0" w:color="000000"/>
            </w:tcBorders>
            <w:vAlign w:val="center"/>
          </w:tcPr>
          <w:p w14:paraId="43CADCEC" w14:textId="77777777" w:rsidR="000704D6" w:rsidRPr="0091469F" w:rsidRDefault="000704D6" w:rsidP="000A4585">
            <w:pPr>
              <w:pStyle w:val="Default"/>
              <w:jc w:val="center"/>
              <w:rPr>
                <w:rFonts w:ascii="Times New Roman" w:hAnsi="Times New Roman" w:cs="Times New Roman"/>
                <w:bCs/>
                <w:color w:val="auto"/>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88A2A64" w14:textId="1CB2A556" w:rsidR="000704D6" w:rsidRPr="0091469F" w:rsidRDefault="000704D6" w:rsidP="00126907">
            <w:pPr>
              <w:pStyle w:val="Default"/>
              <w:jc w:val="center"/>
              <w:rPr>
                <w:rFonts w:ascii="Times New Roman" w:hAnsi="Times New Roman" w:cs="Times New Roman"/>
                <w:bCs/>
                <w:color w:val="auto"/>
              </w:rPr>
            </w:pPr>
            <w:r w:rsidRPr="00D9520B">
              <w:rPr>
                <w:rFonts w:ascii="Times New Roman" w:hAnsi="Times New Roman" w:cs="Times New Roman"/>
                <w:bCs/>
                <w:color w:val="auto"/>
              </w:rPr>
              <w:t>Main Questionnaire for Regular Cigarette Sm</w:t>
            </w:r>
            <w:r w:rsidR="00271343">
              <w:rPr>
                <w:rFonts w:ascii="Times New Roman" w:hAnsi="Times New Roman" w:cs="Times New Roman"/>
                <w:bCs/>
                <w:color w:val="auto"/>
              </w:rPr>
              <w:t>okers and Dual Users (Att.</w:t>
            </w:r>
            <w:r w:rsidRPr="00D9520B">
              <w:rPr>
                <w:rFonts w:ascii="Times New Roman" w:hAnsi="Times New Roman" w:cs="Times New Roman"/>
                <w:bCs/>
                <w:color w:val="auto"/>
              </w:rPr>
              <w:t xml:space="preserve"> </w:t>
            </w:r>
            <w:r w:rsidR="00126907">
              <w:rPr>
                <w:rFonts w:ascii="Times New Roman" w:hAnsi="Times New Roman" w:cs="Times New Roman"/>
                <w:bCs/>
                <w:color w:val="auto"/>
              </w:rPr>
              <w:t>1</w:t>
            </w:r>
            <w:r w:rsidR="00271343">
              <w:rPr>
                <w:rFonts w:ascii="Times New Roman" w:hAnsi="Times New Roman" w:cs="Times New Roman"/>
                <w:bCs/>
                <w:color w:val="auto"/>
              </w:rPr>
              <w:t>B</w:t>
            </w:r>
            <w:r w:rsidRPr="00D9520B">
              <w:rPr>
                <w:rFonts w:ascii="Times New Roman" w:hAnsi="Times New Roman" w:cs="Times New Roman"/>
                <w:bCs/>
                <w:color w:val="auto"/>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4789244E" w14:textId="77777777" w:rsidR="000704D6" w:rsidRPr="00390B41" w:rsidRDefault="000704D6" w:rsidP="000A4585">
            <w:pPr>
              <w:pStyle w:val="Default"/>
              <w:jc w:val="center"/>
              <w:rPr>
                <w:rFonts w:ascii="Times New Roman" w:hAnsi="Times New Roman" w:cs="Times New Roman"/>
                <w:color w:val="auto"/>
              </w:rPr>
            </w:pPr>
            <w:r w:rsidRPr="00390B41">
              <w:rPr>
                <w:rFonts w:ascii="Times New Roman" w:hAnsi="Times New Roman" w:cs="Times New Roman"/>
                <w:color w:val="auto"/>
              </w:rPr>
              <w:t>11,200</w:t>
            </w:r>
          </w:p>
        </w:tc>
        <w:tc>
          <w:tcPr>
            <w:tcW w:w="1800" w:type="dxa"/>
            <w:tcBorders>
              <w:top w:val="single" w:sz="4" w:space="0" w:color="000000"/>
              <w:left w:val="single" w:sz="4" w:space="0" w:color="000000"/>
              <w:bottom w:val="single" w:sz="4" w:space="0" w:color="000000"/>
              <w:right w:val="single" w:sz="4" w:space="0" w:color="000000"/>
            </w:tcBorders>
            <w:vAlign w:val="center"/>
          </w:tcPr>
          <w:p w14:paraId="7342A657" w14:textId="77777777" w:rsidR="000704D6" w:rsidRPr="00E1033E" w:rsidRDefault="000704D6" w:rsidP="000A4585">
            <w:pPr>
              <w:pStyle w:val="Default"/>
              <w:jc w:val="center"/>
              <w:rPr>
                <w:rFonts w:ascii="Times New Roman" w:hAnsi="Times New Roman" w:cs="Times New Roman"/>
                <w:color w:val="auto"/>
              </w:rPr>
            </w:pPr>
            <w:r w:rsidRPr="00E1033E">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5EF447EC" w14:textId="77777777" w:rsidR="000704D6" w:rsidRPr="008C3E18" w:rsidRDefault="000704D6" w:rsidP="000A4585">
            <w:pPr>
              <w:pStyle w:val="Default"/>
              <w:jc w:val="center"/>
              <w:rPr>
                <w:rFonts w:ascii="Times New Roman" w:hAnsi="Times New Roman" w:cs="Times New Roman"/>
                <w:color w:val="auto"/>
              </w:rPr>
            </w:pPr>
            <w:r w:rsidRPr="008C3E18">
              <w:rPr>
                <w:rFonts w:ascii="Times New Roman" w:hAnsi="Times New Roman" w:cs="Times New Roman"/>
                <w:color w:val="auto"/>
              </w:rPr>
              <w:t>11/60</w:t>
            </w:r>
          </w:p>
        </w:tc>
        <w:tc>
          <w:tcPr>
            <w:tcW w:w="1040" w:type="dxa"/>
            <w:tcBorders>
              <w:top w:val="single" w:sz="4" w:space="0" w:color="000000"/>
              <w:left w:val="single" w:sz="4" w:space="0" w:color="000000"/>
              <w:bottom w:val="single" w:sz="4" w:space="0" w:color="000000"/>
              <w:right w:val="single" w:sz="4" w:space="0" w:color="000000"/>
            </w:tcBorders>
            <w:vAlign w:val="center"/>
          </w:tcPr>
          <w:p w14:paraId="5C780D5D" w14:textId="77777777" w:rsidR="000704D6" w:rsidRPr="008C3E18" w:rsidRDefault="000704D6" w:rsidP="000A4585">
            <w:pPr>
              <w:pStyle w:val="Default"/>
              <w:jc w:val="center"/>
              <w:rPr>
                <w:rFonts w:ascii="Times New Roman" w:hAnsi="Times New Roman" w:cs="Times New Roman"/>
                <w:color w:val="auto"/>
              </w:rPr>
            </w:pPr>
            <w:r w:rsidRPr="008C3E18">
              <w:rPr>
                <w:rFonts w:ascii="Times New Roman" w:hAnsi="Times New Roman" w:cs="Times New Roman"/>
                <w:color w:val="auto"/>
              </w:rPr>
              <w:t>2,053</w:t>
            </w:r>
          </w:p>
        </w:tc>
      </w:tr>
      <w:tr w:rsidR="000704D6" w:rsidRPr="0091469F" w14:paraId="0772E2EB" w14:textId="77777777" w:rsidTr="000704D6">
        <w:trPr>
          <w:trHeight w:val="940"/>
          <w:jc w:val="center"/>
        </w:trPr>
        <w:tc>
          <w:tcPr>
            <w:tcW w:w="1795" w:type="dxa"/>
            <w:tcBorders>
              <w:left w:val="single" w:sz="4" w:space="0" w:color="000000"/>
              <w:bottom w:val="single" w:sz="4" w:space="0" w:color="000000"/>
              <w:right w:val="single" w:sz="4" w:space="0" w:color="000000"/>
            </w:tcBorders>
            <w:vAlign w:val="center"/>
          </w:tcPr>
          <w:p w14:paraId="5C3DA98C" w14:textId="77777777" w:rsidR="000704D6" w:rsidRPr="0091469F" w:rsidRDefault="000704D6" w:rsidP="00B80964">
            <w:pPr>
              <w:pStyle w:val="Default"/>
              <w:jc w:val="center"/>
              <w:rPr>
                <w:rFonts w:ascii="Times New Roman" w:hAnsi="Times New Roman" w:cs="Times New Roman"/>
                <w:bCs/>
                <w:color w:val="auto"/>
              </w:rPr>
            </w:pPr>
            <w:r w:rsidRPr="0091469F">
              <w:rPr>
                <w:rFonts w:ascii="Times New Roman" w:hAnsi="Times New Roman" w:cs="Times New Roman"/>
                <w:bCs/>
                <w:color w:val="auto"/>
              </w:rPr>
              <w:t>Adult smokers who are 18-54 years old  (non-low SES dual users)</w:t>
            </w:r>
          </w:p>
        </w:tc>
        <w:tc>
          <w:tcPr>
            <w:tcW w:w="1710" w:type="dxa"/>
            <w:tcBorders>
              <w:top w:val="single" w:sz="4" w:space="0" w:color="000000"/>
              <w:left w:val="single" w:sz="4" w:space="0" w:color="000000"/>
              <w:bottom w:val="single" w:sz="4" w:space="0" w:color="000000"/>
              <w:right w:val="single" w:sz="4" w:space="0" w:color="000000"/>
            </w:tcBorders>
            <w:vAlign w:val="center"/>
          </w:tcPr>
          <w:p w14:paraId="449E3DAB" w14:textId="7D723FE9" w:rsidR="000704D6" w:rsidRPr="00D9520B" w:rsidRDefault="000704D6" w:rsidP="00B80964">
            <w:pPr>
              <w:pStyle w:val="Default"/>
              <w:jc w:val="center"/>
              <w:rPr>
                <w:rFonts w:ascii="Times New Roman" w:hAnsi="Times New Roman" w:cs="Times New Roman"/>
                <w:bCs/>
                <w:color w:val="auto"/>
              </w:rPr>
            </w:pPr>
            <w:r w:rsidRPr="00D9520B">
              <w:rPr>
                <w:rFonts w:ascii="Times New Roman" w:hAnsi="Times New Roman" w:cs="Times New Roman"/>
                <w:bCs/>
                <w:color w:val="auto"/>
              </w:rPr>
              <w:t>Moderator’s Guide</w:t>
            </w:r>
            <w:r w:rsidR="000C3778" w:rsidRPr="00D9520B">
              <w:rPr>
                <w:rFonts w:ascii="Times New Roman" w:hAnsi="Times New Roman" w:cs="Times New Roman"/>
                <w:bCs/>
                <w:color w:val="auto"/>
              </w:rPr>
              <w:t xml:space="preserve"> for IDI</w:t>
            </w:r>
            <w:r w:rsidRPr="00D9520B">
              <w:rPr>
                <w:rFonts w:ascii="Times New Roman" w:hAnsi="Times New Roman" w:cs="Times New Roman"/>
                <w:bCs/>
                <w:color w:val="auto"/>
              </w:rPr>
              <w:t xml:space="preserve">:  </w:t>
            </w:r>
          </w:p>
          <w:p w14:paraId="05B0B2D9" w14:textId="46FA6D72" w:rsidR="000704D6" w:rsidRPr="0091469F" w:rsidRDefault="00271343" w:rsidP="00126907">
            <w:pPr>
              <w:pStyle w:val="Default"/>
              <w:jc w:val="center"/>
              <w:rPr>
                <w:rFonts w:ascii="Times New Roman" w:hAnsi="Times New Roman" w:cs="Times New Roman"/>
                <w:bCs/>
                <w:color w:val="auto"/>
              </w:rPr>
            </w:pPr>
            <w:r>
              <w:rPr>
                <w:rFonts w:ascii="Times New Roman" w:hAnsi="Times New Roman" w:cs="Times New Roman"/>
                <w:bCs/>
                <w:color w:val="auto"/>
              </w:rPr>
              <w:t>Dual Use (Att.</w:t>
            </w:r>
            <w:r w:rsidR="000704D6" w:rsidRPr="00D9520B">
              <w:rPr>
                <w:rFonts w:ascii="Times New Roman" w:hAnsi="Times New Roman" w:cs="Times New Roman"/>
                <w:bCs/>
                <w:color w:val="auto"/>
              </w:rPr>
              <w:t xml:space="preserve"> </w:t>
            </w:r>
            <w:r w:rsidR="00126907">
              <w:rPr>
                <w:rFonts w:ascii="Times New Roman" w:hAnsi="Times New Roman" w:cs="Times New Roman"/>
                <w:bCs/>
                <w:color w:val="auto"/>
              </w:rPr>
              <w:t>2</w:t>
            </w:r>
            <w:r w:rsidR="00366E43">
              <w:rPr>
                <w:rFonts w:ascii="Times New Roman" w:hAnsi="Times New Roman" w:cs="Times New Roman"/>
                <w:bCs/>
                <w:color w:val="auto"/>
              </w:rPr>
              <w:t>A</w:t>
            </w:r>
            <w:r w:rsidR="000704D6" w:rsidRPr="00D9520B">
              <w:rPr>
                <w:rFonts w:ascii="Times New Roman" w:hAnsi="Times New Roman" w:cs="Times New Roman"/>
                <w:bCs/>
                <w:color w:val="auto"/>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66C9ED9F" w14:textId="77777777" w:rsidR="000704D6" w:rsidRPr="0091469F" w:rsidRDefault="000704D6" w:rsidP="00B80964">
            <w:pPr>
              <w:pStyle w:val="Default"/>
              <w:jc w:val="center"/>
              <w:rPr>
                <w:rFonts w:ascii="Times New Roman" w:hAnsi="Times New Roman" w:cs="Times New Roman"/>
                <w:color w:val="auto"/>
              </w:rPr>
            </w:pPr>
            <w:r w:rsidRPr="00D9520B">
              <w:rPr>
                <w:rFonts w:ascii="Times New Roman" w:hAnsi="Times New Roman" w:cs="Times New Roman"/>
                <w:color w:val="auto"/>
              </w:rPr>
              <w:t>25</w:t>
            </w:r>
          </w:p>
        </w:tc>
        <w:tc>
          <w:tcPr>
            <w:tcW w:w="1800" w:type="dxa"/>
            <w:tcBorders>
              <w:top w:val="single" w:sz="4" w:space="0" w:color="000000"/>
              <w:left w:val="single" w:sz="4" w:space="0" w:color="000000"/>
              <w:bottom w:val="single" w:sz="4" w:space="0" w:color="000000"/>
              <w:right w:val="single" w:sz="4" w:space="0" w:color="000000"/>
            </w:tcBorders>
            <w:vAlign w:val="center"/>
          </w:tcPr>
          <w:p w14:paraId="6BADCED7" w14:textId="77777777" w:rsidR="000704D6" w:rsidRPr="00390B41" w:rsidRDefault="000704D6" w:rsidP="00B80964">
            <w:pPr>
              <w:pStyle w:val="Default"/>
              <w:jc w:val="center"/>
              <w:rPr>
                <w:rFonts w:ascii="Times New Roman" w:hAnsi="Times New Roman" w:cs="Times New Roman"/>
                <w:color w:val="auto"/>
              </w:rPr>
            </w:pPr>
            <w:r w:rsidRPr="00803A81">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05E50565" w14:textId="77777777" w:rsidR="000704D6" w:rsidRPr="00E1033E" w:rsidRDefault="000704D6" w:rsidP="00B80964">
            <w:pPr>
              <w:pStyle w:val="Default"/>
              <w:jc w:val="center"/>
              <w:rPr>
                <w:rFonts w:ascii="Times New Roman" w:hAnsi="Times New Roman" w:cs="Times New Roman"/>
                <w:color w:val="auto"/>
              </w:rPr>
            </w:pPr>
            <w:r w:rsidRPr="00E1033E">
              <w:rPr>
                <w:rFonts w:ascii="Times New Roman" w:hAnsi="Times New Roman" w:cs="Times New Roman"/>
                <w:color w:val="auto"/>
              </w:rPr>
              <w:t>30/60</w:t>
            </w:r>
          </w:p>
        </w:tc>
        <w:tc>
          <w:tcPr>
            <w:tcW w:w="1040" w:type="dxa"/>
            <w:tcBorders>
              <w:top w:val="single" w:sz="4" w:space="0" w:color="000000"/>
              <w:left w:val="single" w:sz="4" w:space="0" w:color="000000"/>
              <w:bottom w:val="single" w:sz="4" w:space="0" w:color="000000"/>
              <w:right w:val="single" w:sz="4" w:space="0" w:color="000000"/>
            </w:tcBorders>
            <w:vAlign w:val="center"/>
          </w:tcPr>
          <w:p w14:paraId="3E0CADC3" w14:textId="6C4C0F61" w:rsidR="000704D6" w:rsidRPr="008C3E18" w:rsidRDefault="000704D6" w:rsidP="00B80964">
            <w:pPr>
              <w:pStyle w:val="Default"/>
              <w:jc w:val="center"/>
              <w:rPr>
                <w:rFonts w:ascii="Times New Roman" w:hAnsi="Times New Roman" w:cs="Times New Roman"/>
                <w:color w:val="auto"/>
              </w:rPr>
            </w:pPr>
            <w:r w:rsidRPr="008C3E18">
              <w:rPr>
                <w:rFonts w:ascii="Times New Roman" w:hAnsi="Times New Roman" w:cs="Times New Roman"/>
                <w:color w:val="auto"/>
              </w:rPr>
              <w:t>1</w:t>
            </w:r>
            <w:r w:rsidR="00362969">
              <w:rPr>
                <w:rFonts w:ascii="Times New Roman" w:hAnsi="Times New Roman" w:cs="Times New Roman"/>
                <w:color w:val="auto"/>
              </w:rPr>
              <w:t>3</w:t>
            </w:r>
          </w:p>
        </w:tc>
      </w:tr>
      <w:tr w:rsidR="000704D6" w:rsidRPr="0091469F" w14:paraId="7334C681" w14:textId="77777777" w:rsidTr="000704D6">
        <w:trPr>
          <w:trHeight w:val="940"/>
          <w:jc w:val="center"/>
        </w:trPr>
        <w:tc>
          <w:tcPr>
            <w:tcW w:w="1795" w:type="dxa"/>
            <w:tcBorders>
              <w:left w:val="single" w:sz="4" w:space="0" w:color="000000"/>
              <w:bottom w:val="single" w:sz="4" w:space="0" w:color="000000"/>
              <w:right w:val="single" w:sz="4" w:space="0" w:color="000000"/>
            </w:tcBorders>
            <w:vAlign w:val="center"/>
          </w:tcPr>
          <w:p w14:paraId="5D77F303" w14:textId="77777777" w:rsidR="000704D6" w:rsidRPr="0091469F" w:rsidRDefault="000704D6" w:rsidP="00B80964">
            <w:pPr>
              <w:pStyle w:val="Default"/>
              <w:jc w:val="center"/>
              <w:rPr>
                <w:rFonts w:ascii="Times New Roman" w:hAnsi="Times New Roman" w:cs="Times New Roman"/>
                <w:bCs/>
                <w:color w:val="auto"/>
              </w:rPr>
            </w:pPr>
            <w:r w:rsidRPr="0091469F">
              <w:rPr>
                <w:rFonts w:ascii="Times New Roman" w:hAnsi="Times New Roman" w:cs="Times New Roman"/>
                <w:bCs/>
                <w:color w:val="auto"/>
              </w:rPr>
              <w:t>Adult smokers who are 18-54 years old  (low SES exclusive smokers of regular cigarettes</w:t>
            </w:r>
          </w:p>
        </w:tc>
        <w:tc>
          <w:tcPr>
            <w:tcW w:w="1710" w:type="dxa"/>
            <w:tcBorders>
              <w:top w:val="single" w:sz="4" w:space="0" w:color="000000"/>
              <w:left w:val="single" w:sz="4" w:space="0" w:color="000000"/>
              <w:bottom w:val="single" w:sz="4" w:space="0" w:color="000000"/>
              <w:right w:val="single" w:sz="4" w:space="0" w:color="000000"/>
            </w:tcBorders>
            <w:vAlign w:val="center"/>
          </w:tcPr>
          <w:p w14:paraId="5DB2A948" w14:textId="5575BB44" w:rsidR="000704D6" w:rsidRPr="00D9520B" w:rsidRDefault="000704D6" w:rsidP="00B80964">
            <w:pPr>
              <w:pStyle w:val="Default"/>
              <w:jc w:val="center"/>
              <w:rPr>
                <w:rFonts w:ascii="Times New Roman" w:hAnsi="Times New Roman" w:cs="Times New Roman"/>
                <w:bCs/>
                <w:color w:val="auto"/>
              </w:rPr>
            </w:pPr>
            <w:r w:rsidRPr="00D9520B">
              <w:rPr>
                <w:rFonts w:ascii="Times New Roman" w:hAnsi="Times New Roman" w:cs="Times New Roman"/>
                <w:bCs/>
                <w:color w:val="auto"/>
              </w:rPr>
              <w:t>Moderator’s Guide</w:t>
            </w:r>
            <w:r w:rsidR="00C87F38" w:rsidRPr="00D9520B">
              <w:rPr>
                <w:rFonts w:ascii="Times New Roman" w:hAnsi="Times New Roman" w:cs="Times New Roman"/>
                <w:bCs/>
                <w:color w:val="auto"/>
              </w:rPr>
              <w:t xml:space="preserve"> for IDI</w:t>
            </w:r>
            <w:r w:rsidRPr="00D9520B">
              <w:rPr>
                <w:rFonts w:ascii="Times New Roman" w:hAnsi="Times New Roman" w:cs="Times New Roman"/>
                <w:bCs/>
                <w:color w:val="auto"/>
              </w:rPr>
              <w:t xml:space="preserve">: </w:t>
            </w:r>
          </w:p>
          <w:p w14:paraId="791C3025" w14:textId="77777777" w:rsidR="009D6A26" w:rsidRPr="00D9520B" w:rsidRDefault="009D6A26" w:rsidP="00B80964">
            <w:pPr>
              <w:pStyle w:val="Default"/>
              <w:jc w:val="center"/>
              <w:rPr>
                <w:rFonts w:ascii="Times New Roman" w:hAnsi="Times New Roman" w:cs="Times New Roman"/>
                <w:bCs/>
                <w:color w:val="auto"/>
              </w:rPr>
            </w:pPr>
            <w:r w:rsidRPr="00D9520B">
              <w:rPr>
                <w:rFonts w:ascii="Times New Roman" w:hAnsi="Times New Roman" w:cs="Times New Roman"/>
                <w:bCs/>
                <w:color w:val="auto"/>
              </w:rPr>
              <w:t>Regular Cigarette Smokers</w:t>
            </w:r>
          </w:p>
          <w:p w14:paraId="2A151E47" w14:textId="517899D2" w:rsidR="000704D6" w:rsidRPr="00D9520B" w:rsidRDefault="00271343" w:rsidP="00126907">
            <w:pPr>
              <w:pStyle w:val="Default"/>
              <w:jc w:val="center"/>
              <w:rPr>
                <w:rFonts w:ascii="Times New Roman" w:hAnsi="Times New Roman" w:cs="Times New Roman"/>
                <w:bCs/>
                <w:color w:val="auto"/>
              </w:rPr>
            </w:pPr>
            <w:r>
              <w:rPr>
                <w:rFonts w:ascii="Times New Roman" w:hAnsi="Times New Roman" w:cs="Times New Roman"/>
                <w:bCs/>
                <w:color w:val="auto"/>
              </w:rPr>
              <w:t>(Att.</w:t>
            </w:r>
            <w:r w:rsidR="000704D6" w:rsidRPr="00D9520B">
              <w:rPr>
                <w:rFonts w:ascii="Times New Roman" w:hAnsi="Times New Roman" w:cs="Times New Roman"/>
                <w:bCs/>
                <w:color w:val="auto"/>
              </w:rPr>
              <w:t xml:space="preserve"> </w:t>
            </w:r>
            <w:r w:rsidR="00126907">
              <w:rPr>
                <w:rFonts w:ascii="Times New Roman" w:hAnsi="Times New Roman" w:cs="Times New Roman"/>
                <w:bCs/>
                <w:color w:val="auto"/>
              </w:rPr>
              <w:t>3</w:t>
            </w:r>
            <w:r w:rsidR="00366E43">
              <w:rPr>
                <w:rFonts w:ascii="Times New Roman" w:hAnsi="Times New Roman" w:cs="Times New Roman"/>
                <w:bCs/>
                <w:color w:val="auto"/>
              </w:rPr>
              <w:t>A</w:t>
            </w:r>
            <w:r w:rsidR="000704D6" w:rsidRPr="00D9520B">
              <w:rPr>
                <w:rFonts w:ascii="Times New Roman" w:hAnsi="Times New Roman" w:cs="Times New Roman"/>
                <w:bCs/>
                <w:color w:val="auto"/>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07374B95" w14:textId="77777777" w:rsidR="000704D6" w:rsidRPr="00D9520B" w:rsidRDefault="000704D6" w:rsidP="00B80964">
            <w:pPr>
              <w:pStyle w:val="Default"/>
              <w:jc w:val="center"/>
              <w:rPr>
                <w:rFonts w:ascii="Times New Roman" w:hAnsi="Times New Roman" w:cs="Times New Roman"/>
                <w:color w:val="auto"/>
              </w:rPr>
            </w:pPr>
            <w:r w:rsidRPr="00D9520B">
              <w:rPr>
                <w:rFonts w:ascii="Times New Roman" w:hAnsi="Times New Roman" w:cs="Times New Roman"/>
                <w:color w:val="auto"/>
              </w:rPr>
              <w:t>25</w:t>
            </w:r>
          </w:p>
        </w:tc>
        <w:tc>
          <w:tcPr>
            <w:tcW w:w="1800" w:type="dxa"/>
            <w:tcBorders>
              <w:top w:val="single" w:sz="4" w:space="0" w:color="000000"/>
              <w:left w:val="single" w:sz="4" w:space="0" w:color="000000"/>
              <w:bottom w:val="single" w:sz="4" w:space="0" w:color="000000"/>
              <w:right w:val="single" w:sz="4" w:space="0" w:color="000000"/>
            </w:tcBorders>
            <w:vAlign w:val="center"/>
          </w:tcPr>
          <w:p w14:paraId="6F5B5909" w14:textId="77777777" w:rsidR="000704D6" w:rsidRPr="0091469F" w:rsidRDefault="000704D6" w:rsidP="00B80964">
            <w:pPr>
              <w:pStyle w:val="Default"/>
              <w:jc w:val="center"/>
              <w:rPr>
                <w:rFonts w:ascii="Times New Roman" w:hAnsi="Times New Roman" w:cs="Times New Roman"/>
                <w:color w:val="auto"/>
              </w:rPr>
            </w:pPr>
            <w:r w:rsidRPr="0091469F">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1E739A2B" w14:textId="77777777" w:rsidR="000704D6" w:rsidRPr="00390B41" w:rsidRDefault="000704D6" w:rsidP="00B80964">
            <w:pPr>
              <w:pStyle w:val="Default"/>
              <w:jc w:val="center"/>
              <w:rPr>
                <w:rFonts w:ascii="Times New Roman" w:hAnsi="Times New Roman" w:cs="Times New Roman"/>
                <w:color w:val="auto"/>
              </w:rPr>
            </w:pPr>
            <w:r w:rsidRPr="00803A81">
              <w:rPr>
                <w:rFonts w:ascii="Times New Roman" w:hAnsi="Times New Roman" w:cs="Times New Roman"/>
                <w:color w:val="auto"/>
              </w:rPr>
              <w:t>30/60</w:t>
            </w:r>
          </w:p>
        </w:tc>
        <w:tc>
          <w:tcPr>
            <w:tcW w:w="1040" w:type="dxa"/>
            <w:tcBorders>
              <w:top w:val="single" w:sz="4" w:space="0" w:color="000000"/>
              <w:left w:val="single" w:sz="4" w:space="0" w:color="000000"/>
              <w:bottom w:val="single" w:sz="4" w:space="0" w:color="000000"/>
              <w:right w:val="single" w:sz="4" w:space="0" w:color="000000"/>
            </w:tcBorders>
            <w:vAlign w:val="center"/>
          </w:tcPr>
          <w:p w14:paraId="53EE2CAD" w14:textId="3CF6F40D" w:rsidR="000704D6" w:rsidRPr="00E1033E" w:rsidRDefault="000704D6" w:rsidP="00B80964">
            <w:pPr>
              <w:pStyle w:val="Default"/>
              <w:jc w:val="center"/>
              <w:rPr>
                <w:rFonts w:ascii="Times New Roman" w:hAnsi="Times New Roman" w:cs="Times New Roman"/>
                <w:color w:val="auto"/>
              </w:rPr>
            </w:pPr>
            <w:r w:rsidRPr="00E1033E">
              <w:rPr>
                <w:rFonts w:ascii="Times New Roman" w:hAnsi="Times New Roman" w:cs="Times New Roman"/>
                <w:color w:val="auto"/>
              </w:rPr>
              <w:t>1</w:t>
            </w:r>
            <w:r w:rsidR="00362969">
              <w:rPr>
                <w:rFonts w:ascii="Times New Roman" w:hAnsi="Times New Roman" w:cs="Times New Roman"/>
                <w:color w:val="auto"/>
              </w:rPr>
              <w:t>3</w:t>
            </w:r>
          </w:p>
        </w:tc>
      </w:tr>
      <w:tr w:rsidR="000704D6" w:rsidRPr="0091469F" w14:paraId="2D956340" w14:textId="77777777" w:rsidTr="000704D6">
        <w:trPr>
          <w:trHeight w:val="240"/>
          <w:jc w:val="center"/>
        </w:trPr>
        <w:tc>
          <w:tcPr>
            <w:tcW w:w="8428" w:type="dxa"/>
            <w:gridSpan w:val="5"/>
            <w:tcBorders>
              <w:top w:val="single" w:sz="4" w:space="0" w:color="000000"/>
              <w:left w:val="single" w:sz="4" w:space="0" w:color="000000"/>
              <w:bottom w:val="single" w:sz="4" w:space="0" w:color="000000"/>
              <w:right w:val="single" w:sz="4" w:space="0" w:color="000000"/>
            </w:tcBorders>
            <w:vAlign w:val="center"/>
          </w:tcPr>
          <w:p w14:paraId="4AB04503" w14:textId="4970022A" w:rsidR="000704D6" w:rsidRPr="0091469F" w:rsidRDefault="000704D6" w:rsidP="00B80964">
            <w:pPr>
              <w:pStyle w:val="Default"/>
              <w:rPr>
                <w:rFonts w:ascii="Times New Roman" w:hAnsi="Times New Roman" w:cs="Times New Roman"/>
                <w:color w:val="auto"/>
              </w:rPr>
            </w:pPr>
            <w:r w:rsidRPr="0091469F">
              <w:rPr>
                <w:rFonts w:ascii="Times New Roman" w:hAnsi="Times New Roman" w:cs="Times New Roman"/>
                <w:b/>
                <w:color w:val="auto"/>
              </w:rPr>
              <w:t>Total</w:t>
            </w:r>
          </w:p>
        </w:tc>
        <w:tc>
          <w:tcPr>
            <w:tcW w:w="1040" w:type="dxa"/>
            <w:tcBorders>
              <w:top w:val="single" w:sz="4" w:space="0" w:color="000000"/>
              <w:left w:val="single" w:sz="4" w:space="0" w:color="000000"/>
              <w:bottom w:val="single" w:sz="4" w:space="0" w:color="000000"/>
              <w:right w:val="single" w:sz="4" w:space="0" w:color="000000"/>
            </w:tcBorders>
            <w:vAlign w:val="center"/>
          </w:tcPr>
          <w:p w14:paraId="6754718F" w14:textId="68FD5B48" w:rsidR="000704D6" w:rsidRPr="0091469F" w:rsidRDefault="000704D6" w:rsidP="00B80964">
            <w:pPr>
              <w:pStyle w:val="Default"/>
              <w:jc w:val="center"/>
              <w:rPr>
                <w:rFonts w:ascii="Times New Roman" w:hAnsi="Times New Roman" w:cs="Times New Roman"/>
                <w:b/>
                <w:color w:val="auto"/>
              </w:rPr>
            </w:pPr>
            <w:r w:rsidRPr="0091469F">
              <w:rPr>
                <w:rFonts w:ascii="Times New Roman" w:hAnsi="Times New Roman" w:cs="Times New Roman"/>
                <w:b/>
                <w:color w:val="auto"/>
              </w:rPr>
              <w:t>3,14</w:t>
            </w:r>
            <w:r w:rsidR="00362969">
              <w:rPr>
                <w:rFonts w:ascii="Times New Roman" w:hAnsi="Times New Roman" w:cs="Times New Roman"/>
                <w:b/>
                <w:color w:val="auto"/>
              </w:rPr>
              <w:t>6</w:t>
            </w:r>
          </w:p>
        </w:tc>
      </w:tr>
    </w:tbl>
    <w:p w14:paraId="36B0333E" w14:textId="77777777" w:rsidR="00603915" w:rsidRDefault="00603915" w:rsidP="00233F31">
      <w:pPr>
        <w:jc w:val="both"/>
      </w:pPr>
    </w:p>
    <w:p w14:paraId="47AF8E6D" w14:textId="07E63335" w:rsidR="00793E1C" w:rsidRPr="0091469F" w:rsidRDefault="00F632B2" w:rsidP="00233F31">
      <w:pPr>
        <w:jc w:val="both"/>
      </w:pPr>
      <w:r w:rsidRPr="0091469F">
        <w:t>The esti</w:t>
      </w:r>
      <w:r w:rsidR="007B7926" w:rsidRPr="0091469F">
        <w:t>mated cost of the time devoted to this information collection by respondents is $</w:t>
      </w:r>
      <w:r w:rsidR="00745DED" w:rsidRPr="0091469F">
        <w:t>72,3</w:t>
      </w:r>
      <w:r w:rsidR="00362969">
        <w:t>58</w:t>
      </w:r>
      <w:r w:rsidR="001C510B" w:rsidRPr="0091469F">
        <w:t xml:space="preserve"> as summarized in Table A.12.B</w:t>
      </w:r>
      <w:r w:rsidR="00014D1E" w:rsidRPr="0091469F">
        <w:t xml:space="preserve">. </w:t>
      </w:r>
      <w:r w:rsidRPr="0091469F">
        <w:t xml:space="preserve">To calculate this cost, we used the </w:t>
      </w:r>
      <w:r w:rsidR="001C510B" w:rsidRPr="0091469F">
        <w:t xml:space="preserve">mean hourly wage </w:t>
      </w:r>
      <w:r w:rsidR="005D64F1" w:rsidRPr="0091469F">
        <w:t>of $23, which represents the Department of Labor</w:t>
      </w:r>
      <w:r w:rsidR="001C510B" w:rsidRPr="0091469F">
        <w:t xml:space="preserve"> estimated mean for state, local, and private industry </w:t>
      </w:r>
      <w:r w:rsidR="007915D6" w:rsidRPr="0091469F">
        <w:t xml:space="preserve">earnings (U.S. Bureau of Labor </w:t>
      </w:r>
      <w:r w:rsidR="006E6C27" w:rsidRPr="0091469F">
        <w:t xml:space="preserve">Statistics, </w:t>
      </w:r>
      <w:r w:rsidR="002B47BA" w:rsidRPr="0091469F">
        <w:t>2015</w:t>
      </w:r>
      <w:r w:rsidR="00711A07" w:rsidRPr="0091469F">
        <w:t>).</w:t>
      </w:r>
      <w:r w:rsidR="007915D6" w:rsidRPr="0091469F">
        <w:t xml:space="preserve"> </w:t>
      </w:r>
      <w:r w:rsidR="001C510B" w:rsidRPr="0091469F">
        <w:t>There are no direct costs to respondents associated with participation in this information collection</w:t>
      </w:r>
      <w:r w:rsidR="00014D1E" w:rsidRPr="0091469F">
        <w:t xml:space="preserve">. </w:t>
      </w:r>
    </w:p>
    <w:p w14:paraId="7DB785E0" w14:textId="77777777" w:rsidR="00BC1C54" w:rsidRPr="0091469F" w:rsidRDefault="00BC1C54" w:rsidP="00233F31">
      <w:pPr>
        <w:jc w:val="both"/>
      </w:pPr>
    </w:p>
    <w:p w14:paraId="082B6C02" w14:textId="77777777" w:rsidR="003667F4" w:rsidRDefault="003667F4" w:rsidP="005C4D73">
      <w:pPr>
        <w:jc w:val="both"/>
        <w:rPr>
          <w:b/>
        </w:rPr>
      </w:pPr>
    </w:p>
    <w:p w14:paraId="031948DC" w14:textId="77777777" w:rsidR="00B83F4D" w:rsidRDefault="00B83F4D" w:rsidP="005C4D73">
      <w:pPr>
        <w:jc w:val="both"/>
        <w:rPr>
          <w:b/>
        </w:rPr>
      </w:pPr>
      <w:r>
        <w:rPr>
          <w:b/>
        </w:rPr>
        <w:br w:type="page"/>
      </w:r>
    </w:p>
    <w:p w14:paraId="0DF9DF49" w14:textId="500FA427" w:rsidR="005C4D73" w:rsidRPr="0091469F" w:rsidRDefault="005C4D73" w:rsidP="005C4D73">
      <w:pPr>
        <w:jc w:val="both"/>
        <w:rPr>
          <w:b/>
        </w:rPr>
      </w:pPr>
      <w:r w:rsidRPr="0091469F">
        <w:rPr>
          <w:b/>
        </w:rPr>
        <w:lastRenderedPageBreak/>
        <w:t>Table A.12.B Estimated Annualized Cost to Respondents</w:t>
      </w:r>
    </w:p>
    <w:tbl>
      <w:tblPr>
        <w:tblW w:w="9576" w:type="dxa"/>
        <w:jc w:val="center"/>
        <w:tblLook w:val="0000" w:firstRow="0" w:lastRow="0" w:firstColumn="0" w:lastColumn="0" w:noHBand="0" w:noVBand="0"/>
      </w:tblPr>
      <w:tblGrid>
        <w:gridCol w:w="1670"/>
        <w:gridCol w:w="1569"/>
        <w:gridCol w:w="1527"/>
        <w:gridCol w:w="1583"/>
        <w:gridCol w:w="1233"/>
        <w:gridCol w:w="988"/>
        <w:gridCol w:w="1006"/>
      </w:tblGrid>
      <w:tr w:rsidR="005C4D73" w:rsidRPr="0091469F" w14:paraId="58A7D153" w14:textId="77777777" w:rsidTr="005C4D73">
        <w:trPr>
          <w:trHeight w:val="940"/>
          <w:jc w:val="center"/>
        </w:trPr>
        <w:tc>
          <w:tcPr>
            <w:tcW w:w="1670" w:type="dxa"/>
            <w:tcBorders>
              <w:top w:val="single" w:sz="4" w:space="0" w:color="000000"/>
              <w:left w:val="single" w:sz="4" w:space="0" w:color="000000"/>
              <w:bottom w:val="single" w:sz="4" w:space="0" w:color="000000"/>
              <w:right w:val="single" w:sz="4" w:space="0" w:color="000000"/>
            </w:tcBorders>
            <w:vAlign w:val="center"/>
          </w:tcPr>
          <w:p w14:paraId="45F7AECA"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Type of Respondents</w:t>
            </w:r>
          </w:p>
        </w:tc>
        <w:tc>
          <w:tcPr>
            <w:tcW w:w="1569" w:type="dxa"/>
            <w:tcBorders>
              <w:top w:val="single" w:sz="4" w:space="0" w:color="000000"/>
              <w:left w:val="single" w:sz="4" w:space="0" w:color="000000"/>
              <w:bottom w:val="single" w:sz="4" w:space="0" w:color="000000"/>
              <w:right w:val="single" w:sz="4" w:space="0" w:color="000000"/>
            </w:tcBorders>
            <w:vAlign w:val="center"/>
          </w:tcPr>
          <w:p w14:paraId="49F948DC"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Form Name</w:t>
            </w:r>
          </w:p>
        </w:tc>
        <w:tc>
          <w:tcPr>
            <w:tcW w:w="1527" w:type="dxa"/>
            <w:tcBorders>
              <w:top w:val="single" w:sz="4" w:space="0" w:color="000000"/>
              <w:left w:val="single" w:sz="4" w:space="0" w:color="000000"/>
              <w:bottom w:val="single" w:sz="4" w:space="0" w:color="000000"/>
              <w:right w:val="single" w:sz="4" w:space="0" w:color="000000"/>
            </w:tcBorders>
            <w:vAlign w:val="center"/>
          </w:tcPr>
          <w:p w14:paraId="7B6CF2B7"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Number of Respondents</w:t>
            </w:r>
          </w:p>
        </w:tc>
        <w:tc>
          <w:tcPr>
            <w:tcW w:w="1583" w:type="dxa"/>
            <w:tcBorders>
              <w:top w:val="single" w:sz="4" w:space="0" w:color="000000"/>
              <w:left w:val="single" w:sz="4" w:space="0" w:color="000000"/>
              <w:bottom w:val="single" w:sz="4" w:space="0" w:color="000000"/>
              <w:right w:val="single" w:sz="4" w:space="0" w:color="000000"/>
            </w:tcBorders>
            <w:vAlign w:val="center"/>
          </w:tcPr>
          <w:p w14:paraId="1DA84BAC"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Number of Responses per Respondent</w:t>
            </w:r>
          </w:p>
        </w:tc>
        <w:tc>
          <w:tcPr>
            <w:tcW w:w="1233" w:type="dxa"/>
            <w:tcBorders>
              <w:top w:val="single" w:sz="4" w:space="0" w:color="000000"/>
              <w:left w:val="single" w:sz="4" w:space="0" w:color="000000"/>
              <w:bottom w:val="single" w:sz="4" w:space="0" w:color="000000"/>
              <w:right w:val="single" w:sz="4" w:space="0" w:color="000000"/>
            </w:tcBorders>
            <w:vAlign w:val="center"/>
          </w:tcPr>
          <w:p w14:paraId="5C6BBC41"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Total Burden (in hours)</w:t>
            </w:r>
          </w:p>
        </w:tc>
        <w:tc>
          <w:tcPr>
            <w:tcW w:w="988" w:type="dxa"/>
            <w:tcBorders>
              <w:top w:val="single" w:sz="4" w:space="0" w:color="000000"/>
              <w:left w:val="single" w:sz="4" w:space="0" w:color="000000"/>
              <w:bottom w:val="single" w:sz="4" w:space="0" w:color="000000"/>
              <w:right w:val="single" w:sz="4" w:space="0" w:color="000000"/>
            </w:tcBorders>
            <w:vAlign w:val="center"/>
          </w:tcPr>
          <w:p w14:paraId="2C22015A"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b/>
                <w:bCs/>
                <w:color w:val="auto"/>
              </w:rPr>
              <w:t>Hour Wage Rate</w:t>
            </w:r>
          </w:p>
        </w:tc>
        <w:tc>
          <w:tcPr>
            <w:tcW w:w="1006" w:type="dxa"/>
            <w:tcBorders>
              <w:top w:val="single" w:sz="4" w:space="0" w:color="000000"/>
              <w:left w:val="single" w:sz="4" w:space="0" w:color="000000"/>
              <w:bottom w:val="single" w:sz="4" w:space="0" w:color="000000"/>
              <w:right w:val="single" w:sz="4" w:space="0" w:color="000000"/>
            </w:tcBorders>
            <w:vAlign w:val="center"/>
          </w:tcPr>
          <w:p w14:paraId="2F9A9736" w14:textId="77777777" w:rsidR="005C4D73" w:rsidRPr="0091469F" w:rsidRDefault="005C4D73" w:rsidP="00603915">
            <w:pPr>
              <w:pStyle w:val="Default"/>
              <w:jc w:val="center"/>
              <w:rPr>
                <w:rFonts w:ascii="Times New Roman" w:hAnsi="Times New Roman" w:cs="Times New Roman"/>
                <w:b/>
                <w:bCs/>
                <w:color w:val="auto"/>
              </w:rPr>
            </w:pPr>
            <w:r w:rsidRPr="0091469F">
              <w:rPr>
                <w:rFonts w:ascii="Times New Roman" w:hAnsi="Times New Roman" w:cs="Times New Roman"/>
                <w:b/>
                <w:bCs/>
                <w:color w:val="auto"/>
              </w:rPr>
              <w:t>Total Cost</w:t>
            </w:r>
          </w:p>
        </w:tc>
      </w:tr>
      <w:tr w:rsidR="005C4D73" w:rsidRPr="0091469F" w14:paraId="6554DCFB" w14:textId="77777777" w:rsidTr="005C4D73">
        <w:trPr>
          <w:trHeight w:val="940"/>
          <w:jc w:val="center"/>
        </w:trPr>
        <w:tc>
          <w:tcPr>
            <w:tcW w:w="1670" w:type="dxa"/>
            <w:vMerge w:val="restart"/>
            <w:tcBorders>
              <w:top w:val="single" w:sz="4" w:space="0" w:color="000000"/>
              <w:left w:val="single" w:sz="4" w:space="0" w:color="000000"/>
              <w:right w:val="single" w:sz="4" w:space="0" w:color="000000"/>
            </w:tcBorders>
            <w:vAlign w:val="center"/>
          </w:tcPr>
          <w:p w14:paraId="39164DC5" w14:textId="77777777" w:rsidR="005C4D73" w:rsidRPr="0091469F" w:rsidRDefault="005C4D73" w:rsidP="00603915">
            <w:pPr>
              <w:pStyle w:val="Default"/>
              <w:jc w:val="center"/>
              <w:rPr>
                <w:rFonts w:ascii="Times New Roman" w:hAnsi="Times New Roman" w:cs="Times New Roman"/>
                <w:bCs/>
                <w:color w:val="auto"/>
              </w:rPr>
            </w:pPr>
          </w:p>
          <w:p w14:paraId="27B258A2" w14:textId="77777777" w:rsidR="005C4D73" w:rsidRPr="0091469F" w:rsidRDefault="005C4D73" w:rsidP="00603915">
            <w:pPr>
              <w:pStyle w:val="Default"/>
              <w:jc w:val="center"/>
              <w:rPr>
                <w:rFonts w:ascii="Times New Roman" w:hAnsi="Times New Roman" w:cs="Times New Roman"/>
                <w:bCs/>
                <w:color w:val="auto"/>
              </w:rPr>
            </w:pPr>
            <w:r w:rsidRPr="0091469F">
              <w:rPr>
                <w:rFonts w:ascii="Times New Roman" w:hAnsi="Times New Roman" w:cs="Times New Roman"/>
                <w:bCs/>
                <w:color w:val="auto"/>
              </w:rPr>
              <w:t>Adult smokers who are 18-54 years old  (low SES exclusive smokers of regular cigarettes; non-low SES dual users)</w:t>
            </w:r>
          </w:p>
        </w:tc>
        <w:tc>
          <w:tcPr>
            <w:tcW w:w="1569" w:type="dxa"/>
            <w:tcBorders>
              <w:top w:val="single" w:sz="4" w:space="0" w:color="000000"/>
              <w:left w:val="single" w:sz="4" w:space="0" w:color="000000"/>
              <w:bottom w:val="single" w:sz="4" w:space="0" w:color="000000"/>
              <w:right w:val="single" w:sz="4" w:space="0" w:color="000000"/>
            </w:tcBorders>
            <w:vAlign w:val="center"/>
          </w:tcPr>
          <w:p w14:paraId="7FFEFF10" w14:textId="2218E645" w:rsidR="005C4D73" w:rsidRPr="00102ED1" w:rsidRDefault="005C4D73" w:rsidP="00603915">
            <w:pPr>
              <w:pStyle w:val="Default"/>
              <w:jc w:val="center"/>
              <w:rPr>
                <w:rFonts w:ascii="Times New Roman" w:hAnsi="Times New Roman" w:cs="Times New Roman"/>
                <w:bCs/>
                <w:color w:val="auto"/>
              </w:rPr>
            </w:pPr>
            <w:r w:rsidRPr="00102ED1">
              <w:rPr>
                <w:rFonts w:ascii="Times New Roman" w:hAnsi="Times New Roman" w:cs="Times New Roman"/>
                <w:bCs/>
                <w:color w:val="auto"/>
              </w:rPr>
              <w:t>Recruitment Screener for Regular Cigarette Sm</w:t>
            </w:r>
            <w:r w:rsidR="00271343">
              <w:rPr>
                <w:rFonts w:ascii="Times New Roman" w:hAnsi="Times New Roman" w:cs="Times New Roman"/>
                <w:bCs/>
                <w:color w:val="auto"/>
              </w:rPr>
              <w:t>okers and Dual Users (Att.</w:t>
            </w:r>
            <w:r w:rsidRPr="00102ED1">
              <w:rPr>
                <w:rFonts w:ascii="Times New Roman" w:hAnsi="Times New Roman" w:cs="Times New Roman"/>
                <w:bCs/>
                <w:color w:val="auto"/>
              </w:rPr>
              <w:t xml:space="preserve"> 1</w:t>
            </w:r>
            <w:r w:rsidR="00271343">
              <w:rPr>
                <w:rFonts w:ascii="Times New Roman" w:hAnsi="Times New Roman" w:cs="Times New Roman"/>
                <w:bCs/>
                <w:color w:val="auto"/>
              </w:rPr>
              <w:t>A</w:t>
            </w:r>
            <w:r w:rsidRPr="00102ED1">
              <w:rPr>
                <w:rFonts w:ascii="Times New Roman" w:hAnsi="Times New Roman" w:cs="Times New Roman"/>
                <w:bCs/>
                <w:color w:val="auto"/>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748BFC33"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color w:val="auto"/>
              </w:rPr>
              <w:t>16,000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3957263E" w14:textId="77777777" w:rsidR="005C4D73" w:rsidRPr="00390B41" w:rsidRDefault="005C4D73" w:rsidP="00603915">
            <w:pPr>
              <w:pStyle w:val="Default"/>
              <w:jc w:val="center"/>
              <w:rPr>
                <w:rFonts w:ascii="Times New Roman" w:hAnsi="Times New Roman" w:cs="Times New Roman"/>
                <w:color w:val="auto"/>
              </w:rPr>
            </w:pPr>
            <w:r w:rsidRPr="00803A81">
              <w:rPr>
                <w:rFonts w:ascii="Times New Roman" w:hAnsi="Times New Roman" w:cs="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5F62D9C9" w14:textId="77777777" w:rsidR="005C4D73" w:rsidRPr="00E1033E" w:rsidRDefault="005C4D73" w:rsidP="00603915">
            <w:pPr>
              <w:pStyle w:val="Default"/>
              <w:jc w:val="center"/>
              <w:rPr>
                <w:rFonts w:ascii="Times New Roman" w:hAnsi="Times New Roman" w:cs="Times New Roman"/>
                <w:color w:val="auto"/>
              </w:rPr>
            </w:pPr>
            <w:r w:rsidRPr="00E1033E">
              <w:rPr>
                <w:rFonts w:ascii="Times New Roman" w:hAnsi="Times New Roman" w:cs="Times New Roman"/>
                <w:color w:val="auto"/>
              </w:rPr>
              <w:t>1,067</w:t>
            </w:r>
          </w:p>
        </w:tc>
        <w:tc>
          <w:tcPr>
            <w:tcW w:w="988" w:type="dxa"/>
            <w:tcBorders>
              <w:top w:val="single" w:sz="4" w:space="0" w:color="000000"/>
              <w:left w:val="single" w:sz="4" w:space="0" w:color="000000"/>
              <w:bottom w:val="single" w:sz="4" w:space="0" w:color="000000"/>
              <w:right w:val="single" w:sz="4" w:space="0" w:color="000000"/>
            </w:tcBorders>
            <w:vAlign w:val="center"/>
          </w:tcPr>
          <w:p w14:paraId="6E49D5E0" w14:textId="77777777" w:rsidR="005C4D73" w:rsidRPr="008C3E18" w:rsidRDefault="005C4D73" w:rsidP="00603915">
            <w:pPr>
              <w:pStyle w:val="Default"/>
              <w:jc w:val="center"/>
              <w:rPr>
                <w:rFonts w:ascii="Times New Roman" w:hAnsi="Times New Roman" w:cs="Times New Roman"/>
                <w:color w:val="auto"/>
              </w:rPr>
            </w:pPr>
            <w:r w:rsidRPr="008C3E18">
              <w:rPr>
                <w:rFonts w:ascii="Times New Roman" w:hAnsi="Times New Roman" w:cs="Times New Roman"/>
                <w:color w:val="auto"/>
              </w:rPr>
              <w:t>$23</w:t>
            </w:r>
          </w:p>
        </w:tc>
        <w:tc>
          <w:tcPr>
            <w:tcW w:w="1006" w:type="dxa"/>
            <w:tcBorders>
              <w:top w:val="single" w:sz="4" w:space="0" w:color="000000"/>
              <w:left w:val="single" w:sz="4" w:space="0" w:color="000000"/>
              <w:bottom w:val="single" w:sz="4" w:space="0" w:color="000000"/>
              <w:right w:val="single" w:sz="4" w:space="0" w:color="000000"/>
            </w:tcBorders>
            <w:vAlign w:val="center"/>
          </w:tcPr>
          <w:p w14:paraId="219ED4C2" w14:textId="77777777" w:rsidR="005C4D73" w:rsidRPr="008C3E18" w:rsidRDefault="005C4D73" w:rsidP="00362969">
            <w:pPr>
              <w:jc w:val="center"/>
              <w:rPr>
                <w:rFonts w:eastAsia="Times New Roman"/>
              </w:rPr>
            </w:pPr>
            <w:r w:rsidRPr="008C3E18">
              <w:rPr>
                <w:rFonts w:eastAsia="Times New Roman"/>
              </w:rPr>
              <w:t>$24,541</w:t>
            </w:r>
          </w:p>
        </w:tc>
      </w:tr>
      <w:tr w:rsidR="005C4D73" w:rsidRPr="0091469F" w14:paraId="7B47FB54" w14:textId="77777777" w:rsidTr="005C4D73">
        <w:trPr>
          <w:trHeight w:val="940"/>
          <w:jc w:val="center"/>
        </w:trPr>
        <w:tc>
          <w:tcPr>
            <w:tcW w:w="1670" w:type="dxa"/>
            <w:vMerge/>
            <w:tcBorders>
              <w:left w:val="single" w:sz="4" w:space="0" w:color="000000"/>
              <w:bottom w:val="single" w:sz="4" w:space="0" w:color="000000"/>
              <w:right w:val="single" w:sz="4" w:space="0" w:color="000000"/>
            </w:tcBorders>
            <w:vAlign w:val="center"/>
          </w:tcPr>
          <w:p w14:paraId="03AE8678" w14:textId="77777777" w:rsidR="005C4D73" w:rsidRPr="0091469F" w:rsidRDefault="005C4D73" w:rsidP="000A4585">
            <w:pPr>
              <w:pStyle w:val="Default"/>
              <w:jc w:val="center"/>
              <w:rPr>
                <w:rFonts w:ascii="Times New Roman" w:hAnsi="Times New Roman" w:cs="Times New Roman"/>
                <w:bCs/>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596951AE" w14:textId="34692D68" w:rsidR="005C4D73" w:rsidRPr="00102ED1" w:rsidRDefault="005C4D73" w:rsidP="00F52483">
            <w:pPr>
              <w:pStyle w:val="Default"/>
              <w:jc w:val="center"/>
              <w:rPr>
                <w:rFonts w:ascii="Times New Roman" w:hAnsi="Times New Roman" w:cs="Times New Roman"/>
                <w:bCs/>
                <w:color w:val="auto"/>
              </w:rPr>
            </w:pPr>
            <w:r w:rsidRPr="00102ED1">
              <w:rPr>
                <w:rFonts w:ascii="Times New Roman" w:hAnsi="Times New Roman" w:cs="Times New Roman"/>
                <w:bCs/>
                <w:color w:val="auto"/>
              </w:rPr>
              <w:t>Main Questionnaire for Regular Cigarette Smo</w:t>
            </w:r>
            <w:r w:rsidR="00271343">
              <w:rPr>
                <w:rFonts w:ascii="Times New Roman" w:hAnsi="Times New Roman" w:cs="Times New Roman"/>
                <w:bCs/>
                <w:color w:val="auto"/>
              </w:rPr>
              <w:t xml:space="preserve">kers and Dual Users (Att. </w:t>
            </w:r>
            <w:r w:rsidR="00F52483">
              <w:rPr>
                <w:rFonts w:ascii="Times New Roman" w:hAnsi="Times New Roman" w:cs="Times New Roman"/>
                <w:bCs/>
                <w:color w:val="auto"/>
              </w:rPr>
              <w:t>1</w:t>
            </w:r>
            <w:r w:rsidR="00271343">
              <w:rPr>
                <w:rFonts w:ascii="Times New Roman" w:hAnsi="Times New Roman" w:cs="Times New Roman"/>
                <w:bCs/>
                <w:color w:val="auto"/>
              </w:rPr>
              <w:t>B</w:t>
            </w:r>
            <w:r w:rsidRPr="00102ED1">
              <w:rPr>
                <w:rFonts w:ascii="Times New Roman" w:hAnsi="Times New Roman" w:cs="Times New Roman"/>
                <w:bCs/>
                <w:color w:val="auto"/>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386F60DF" w14:textId="77777777" w:rsidR="005C4D73" w:rsidRPr="0091469F" w:rsidRDefault="005C4D73" w:rsidP="000A4585">
            <w:pPr>
              <w:pStyle w:val="Default"/>
              <w:jc w:val="center"/>
              <w:rPr>
                <w:rFonts w:ascii="Times New Roman" w:hAnsi="Times New Roman" w:cs="Times New Roman"/>
                <w:color w:val="auto"/>
              </w:rPr>
            </w:pPr>
            <w:r w:rsidRPr="0091469F">
              <w:rPr>
                <w:rFonts w:ascii="Times New Roman" w:hAnsi="Times New Roman" w:cs="Times New Roman"/>
                <w:color w:val="auto"/>
              </w:rPr>
              <w:t>11,200</w:t>
            </w:r>
          </w:p>
        </w:tc>
        <w:tc>
          <w:tcPr>
            <w:tcW w:w="1583" w:type="dxa"/>
            <w:tcBorders>
              <w:top w:val="single" w:sz="4" w:space="0" w:color="000000"/>
              <w:left w:val="single" w:sz="4" w:space="0" w:color="000000"/>
              <w:bottom w:val="single" w:sz="4" w:space="0" w:color="000000"/>
              <w:right w:val="single" w:sz="4" w:space="0" w:color="000000"/>
            </w:tcBorders>
            <w:vAlign w:val="center"/>
          </w:tcPr>
          <w:p w14:paraId="23E40AA1" w14:textId="77777777" w:rsidR="005C4D73" w:rsidRPr="00390B41" w:rsidRDefault="005C4D73" w:rsidP="000A4585">
            <w:pPr>
              <w:pStyle w:val="Default"/>
              <w:jc w:val="center"/>
              <w:rPr>
                <w:rFonts w:ascii="Times New Roman" w:hAnsi="Times New Roman" w:cs="Times New Roman"/>
                <w:color w:val="auto"/>
              </w:rPr>
            </w:pPr>
            <w:r w:rsidRPr="00803A81">
              <w:rPr>
                <w:rFonts w:ascii="Times New Roman" w:hAnsi="Times New Roman" w:cs="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7E787E21" w14:textId="0D697645" w:rsidR="005C4D73" w:rsidRPr="00E1033E" w:rsidRDefault="005C4D73" w:rsidP="000A4585">
            <w:pPr>
              <w:pStyle w:val="Default"/>
              <w:jc w:val="center"/>
              <w:rPr>
                <w:rFonts w:ascii="Times New Roman" w:hAnsi="Times New Roman" w:cs="Times New Roman"/>
                <w:color w:val="auto"/>
              </w:rPr>
            </w:pPr>
            <w:r w:rsidRPr="00E1033E">
              <w:rPr>
                <w:rFonts w:ascii="Times New Roman" w:hAnsi="Times New Roman" w:cs="Times New Roman"/>
                <w:color w:val="auto"/>
              </w:rPr>
              <w:t>2</w:t>
            </w:r>
            <w:r w:rsidR="00362969">
              <w:rPr>
                <w:rFonts w:ascii="Times New Roman" w:hAnsi="Times New Roman" w:cs="Times New Roman"/>
                <w:color w:val="auto"/>
              </w:rPr>
              <w:t>,</w:t>
            </w:r>
            <w:r w:rsidRPr="00E1033E">
              <w:rPr>
                <w:rFonts w:ascii="Times New Roman" w:hAnsi="Times New Roman" w:cs="Times New Roman"/>
                <w:color w:val="auto"/>
              </w:rPr>
              <w:t>053</w:t>
            </w:r>
          </w:p>
        </w:tc>
        <w:tc>
          <w:tcPr>
            <w:tcW w:w="988" w:type="dxa"/>
            <w:tcBorders>
              <w:top w:val="single" w:sz="4" w:space="0" w:color="000000"/>
              <w:left w:val="single" w:sz="4" w:space="0" w:color="000000"/>
              <w:bottom w:val="single" w:sz="4" w:space="0" w:color="000000"/>
              <w:right w:val="single" w:sz="4" w:space="0" w:color="000000"/>
            </w:tcBorders>
            <w:vAlign w:val="center"/>
          </w:tcPr>
          <w:p w14:paraId="6F8BA84E" w14:textId="77777777" w:rsidR="005C4D73" w:rsidRPr="008C3E18" w:rsidRDefault="005C4D73" w:rsidP="000A4585">
            <w:pPr>
              <w:pStyle w:val="Default"/>
              <w:jc w:val="center"/>
              <w:rPr>
                <w:rFonts w:ascii="Times New Roman" w:hAnsi="Times New Roman" w:cs="Times New Roman"/>
                <w:color w:val="auto"/>
              </w:rPr>
            </w:pPr>
            <w:r w:rsidRPr="008C3E18">
              <w:rPr>
                <w:rFonts w:ascii="Times New Roman" w:hAnsi="Times New Roman" w:cs="Times New Roman"/>
                <w:color w:val="auto"/>
              </w:rPr>
              <w:t>$23</w:t>
            </w:r>
          </w:p>
        </w:tc>
        <w:tc>
          <w:tcPr>
            <w:tcW w:w="1006" w:type="dxa"/>
            <w:tcBorders>
              <w:top w:val="single" w:sz="4" w:space="0" w:color="000000"/>
              <w:left w:val="single" w:sz="4" w:space="0" w:color="000000"/>
              <w:bottom w:val="single" w:sz="4" w:space="0" w:color="000000"/>
              <w:right w:val="single" w:sz="4" w:space="0" w:color="000000"/>
            </w:tcBorders>
            <w:vAlign w:val="center"/>
          </w:tcPr>
          <w:p w14:paraId="20C68779" w14:textId="3A8EE907" w:rsidR="005C4D73" w:rsidRPr="0091469F" w:rsidRDefault="005C4D73" w:rsidP="00603915">
            <w:pPr>
              <w:jc w:val="center"/>
            </w:pPr>
            <w:r w:rsidRPr="008C3E18">
              <w:rPr>
                <w:rFonts w:eastAsia="Times New Roman"/>
              </w:rPr>
              <w:t>$47,219</w:t>
            </w:r>
          </w:p>
        </w:tc>
      </w:tr>
      <w:tr w:rsidR="005C4D73" w:rsidRPr="0091469F" w14:paraId="50C93E78" w14:textId="77777777" w:rsidTr="005C4D73">
        <w:trPr>
          <w:trHeight w:val="940"/>
          <w:jc w:val="center"/>
        </w:trPr>
        <w:tc>
          <w:tcPr>
            <w:tcW w:w="1670" w:type="dxa"/>
            <w:tcBorders>
              <w:left w:val="single" w:sz="4" w:space="0" w:color="000000"/>
              <w:bottom w:val="single" w:sz="4" w:space="0" w:color="000000"/>
              <w:right w:val="single" w:sz="4" w:space="0" w:color="000000"/>
            </w:tcBorders>
            <w:vAlign w:val="center"/>
          </w:tcPr>
          <w:p w14:paraId="1381C592" w14:textId="77777777" w:rsidR="005C4D73" w:rsidRPr="0091469F" w:rsidRDefault="005C4D73" w:rsidP="00603915">
            <w:pPr>
              <w:pStyle w:val="Default"/>
              <w:jc w:val="center"/>
              <w:rPr>
                <w:rFonts w:ascii="Times New Roman" w:hAnsi="Times New Roman" w:cs="Times New Roman"/>
                <w:bCs/>
                <w:color w:val="auto"/>
              </w:rPr>
            </w:pPr>
            <w:r w:rsidRPr="0091469F">
              <w:rPr>
                <w:rFonts w:ascii="Times New Roman" w:hAnsi="Times New Roman" w:cs="Times New Roman"/>
                <w:bCs/>
                <w:color w:val="auto"/>
              </w:rPr>
              <w:t>Adult smokers who are 18-54 years old  (non-low SES dual users)</w:t>
            </w:r>
          </w:p>
        </w:tc>
        <w:tc>
          <w:tcPr>
            <w:tcW w:w="1569" w:type="dxa"/>
            <w:tcBorders>
              <w:top w:val="single" w:sz="4" w:space="0" w:color="000000"/>
              <w:left w:val="single" w:sz="4" w:space="0" w:color="000000"/>
              <w:bottom w:val="single" w:sz="4" w:space="0" w:color="000000"/>
              <w:right w:val="single" w:sz="4" w:space="0" w:color="000000"/>
            </w:tcBorders>
            <w:vAlign w:val="center"/>
          </w:tcPr>
          <w:p w14:paraId="748535D9" w14:textId="297AE2D5" w:rsidR="005C4D73" w:rsidRPr="00102ED1" w:rsidRDefault="005C4D73" w:rsidP="00603915">
            <w:pPr>
              <w:pStyle w:val="Default"/>
              <w:jc w:val="center"/>
              <w:rPr>
                <w:rFonts w:ascii="Times New Roman" w:hAnsi="Times New Roman" w:cs="Times New Roman"/>
                <w:bCs/>
                <w:color w:val="auto"/>
              </w:rPr>
            </w:pPr>
            <w:r w:rsidRPr="00102ED1">
              <w:rPr>
                <w:rFonts w:ascii="Times New Roman" w:hAnsi="Times New Roman" w:cs="Times New Roman"/>
                <w:bCs/>
                <w:color w:val="auto"/>
              </w:rPr>
              <w:t>Moderator’s Guide</w:t>
            </w:r>
            <w:r w:rsidR="00C9022F" w:rsidRPr="00102ED1">
              <w:rPr>
                <w:rFonts w:ascii="Times New Roman" w:hAnsi="Times New Roman" w:cs="Times New Roman"/>
                <w:bCs/>
                <w:color w:val="auto"/>
              </w:rPr>
              <w:t xml:space="preserve"> for IDI</w:t>
            </w:r>
            <w:r w:rsidRPr="00102ED1">
              <w:rPr>
                <w:rFonts w:ascii="Times New Roman" w:hAnsi="Times New Roman" w:cs="Times New Roman"/>
                <w:bCs/>
                <w:color w:val="auto"/>
              </w:rPr>
              <w:t xml:space="preserve">: </w:t>
            </w:r>
          </w:p>
          <w:p w14:paraId="356FAE6F" w14:textId="5CC29D87" w:rsidR="005C4D73" w:rsidRPr="00102ED1" w:rsidRDefault="00271343" w:rsidP="00F52483">
            <w:pPr>
              <w:pStyle w:val="Default"/>
              <w:jc w:val="center"/>
              <w:rPr>
                <w:rFonts w:ascii="Times New Roman" w:hAnsi="Times New Roman" w:cs="Times New Roman"/>
                <w:bCs/>
                <w:color w:val="auto"/>
              </w:rPr>
            </w:pPr>
            <w:r>
              <w:rPr>
                <w:rFonts w:ascii="Times New Roman" w:hAnsi="Times New Roman" w:cs="Times New Roman"/>
                <w:bCs/>
                <w:color w:val="auto"/>
              </w:rPr>
              <w:t>Dual Use (Att.</w:t>
            </w:r>
            <w:r w:rsidR="005C4D73" w:rsidRPr="00102ED1">
              <w:rPr>
                <w:rFonts w:ascii="Times New Roman" w:hAnsi="Times New Roman" w:cs="Times New Roman"/>
                <w:bCs/>
                <w:color w:val="auto"/>
              </w:rPr>
              <w:t xml:space="preserve"> </w:t>
            </w:r>
            <w:r w:rsidR="00F52483">
              <w:rPr>
                <w:rFonts w:ascii="Times New Roman" w:hAnsi="Times New Roman" w:cs="Times New Roman"/>
                <w:bCs/>
                <w:color w:val="auto"/>
              </w:rPr>
              <w:t>2</w:t>
            </w:r>
            <w:r w:rsidR="00366E43">
              <w:rPr>
                <w:rFonts w:ascii="Times New Roman" w:hAnsi="Times New Roman" w:cs="Times New Roman"/>
                <w:bCs/>
                <w:color w:val="auto"/>
              </w:rPr>
              <w:t>A</w:t>
            </w:r>
            <w:r w:rsidR="005C4D73" w:rsidRPr="00102ED1">
              <w:rPr>
                <w:rFonts w:ascii="Times New Roman" w:hAnsi="Times New Roman" w:cs="Times New Roman"/>
                <w:bCs/>
                <w:color w:val="auto"/>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1883A1AF" w14:textId="77777777" w:rsidR="005C4D73" w:rsidRPr="00102ED1" w:rsidRDefault="005C4D73" w:rsidP="00603915">
            <w:pPr>
              <w:pStyle w:val="Default"/>
              <w:jc w:val="center"/>
              <w:rPr>
                <w:rFonts w:ascii="Times New Roman" w:hAnsi="Times New Roman" w:cs="Times New Roman"/>
                <w:color w:val="auto"/>
              </w:rPr>
            </w:pPr>
            <w:r w:rsidRPr="00102ED1">
              <w:rPr>
                <w:rFonts w:ascii="Times New Roman" w:hAnsi="Times New Roman" w:cs="Times New Roman"/>
                <w:color w:val="auto"/>
              </w:rPr>
              <w:t>25</w:t>
            </w:r>
          </w:p>
        </w:tc>
        <w:tc>
          <w:tcPr>
            <w:tcW w:w="1583" w:type="dxa"/>
            <w:tcBorders>
              <w:top w:val="single" w:sz="4" w:space="0" w:color="000000"/>
              <w:left w:val="single" w:sz="4" w:space="0" w:color="000000"/>
              <w:bottom w:val="single" w:sz="4" w:space="0" w:color="000000"/>
              <w:right w:val="single" w:sz="4" w:space="0" w:color="000000"/>
            </w:tcBorders>
            <w:vAlign w:val="center"/>
          </w:tcPr>
          <w:p w14:paraId="0CDE6363"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4A9771E7" w14:textId="2BE55981" w:rsidR="005C4D73" w:rsidRPr="00390B41" w:rsidRDefault="005C4D73" w:rsidP="00603915">
            <w:pPr>
              <w:pStyle w:val="Default"/>
              <w:jc w:val="center"/>
              <w:rPr>
                <w:rFonts w:ascii="Times New Roman" w:hAnsi="Times New Roman" w:cs="Times New Roman"/>
                <w:color w:val="auto"/>
              </w:rPr>
            </w:pPr>
            <w:r w:rsidRPr="00803A81">
              <w:rPr>
                <w:rFonts w:ascii="Times New Roman" w:hAnsi="Times New Roman" w:cs="Times New Roman"/>
                <w:color w:val="auto"/>
              </w:rPr>
              <w:t>1</w:t>
            </w:r>
            <w:r w:rsidR="00362969">
              <w:rPr>
                <w:rFonts w:ascii="Times New Roman" w:hAnsi="Times New Roman" w:cs="Times New Roman"/>
                <w:color w:val="auto"/>
              </w:rPr>
              <w:t>3</w:t>
            </w:r>
          </w:p>
        </w:tc>
        <w:tc>
          <w:tcPr>
            <w:tcW w:w="988" w:type="dxa"/>
            <w:tcBorders>
              <w:top w:val="single" w:sz="4" w:space="0" w:color="000000"/>
              <w:left w:val="single" w:sz="4" w:space="0" w:color="000000"/>
              <w:bottom w:val="single" w:sz="4" w:space="0" w:color="000000"/>
              <w:right w:val="single" w:sz="4" w:space="0" w:color="000000"/>
            </w:tcBorders>
            <w:vAlign w:val="center"/>
          </w:tcPr>
          <w:p w14:paraId="2EF999D0" w14:textId="77777777" w:rsidR="005C4D73" w:rsidRPr="00E1033E" w:rsidRDefault="005C4D73" w:rsidP="00603915">
            <w:pPr>
              <w:pStyle w:val="Default"/>
              <w:jc w:val="center"/>
              <w:rPr>
                <w:rFonts w:ascii="Times New Roman" w:hAnsi="Times New Roman" w:cs="Times New Roman"/>
                <w:color w:val="auto"/>
              </w:rPr>
            </w:pPr>
            <w:r w:rsidRPr="00E1033E">
              <w:rPr>
                <w:rFonts w:ascii="Times New Roman" w:hAnsi="Times New Roman" w:cs="Times New Roman"/>
                <w:color w:val="auto"/>
              </w:rPr>
              <w:t>$23</w:t>
            </w:r>
          </w:p>
        </w:tc>
        <w:tc>
          <w:tcPr>
            <w:tcW w:w="1006" w:type="dxa"/>
            <w:tcBorders>
              <w:top w:val="single" w:sz="4" w:space="0" w:color="000000"/>
              <w:left w:val="single" w:sz="4" w:space="0" w:color="000000"/>
              <w:bottom w:val="single" w:sz="4" w:space="0" w:color="000000"/>
              <w:right w:val="single" w:sz="4" w:space="0" w:color="000000"/>
            </w:tcBorders>
            <w:vAlign w:val="center"/>
          </w:tcPr>
          <w:p w14:paraId="388E93CF" w14:textId="18A76BA7" w:rsidR="005C4D73" w:rsidRPr="008C3E18" w:rsidRDefault="005C4D73" w:rsidP="00362969">
            <w:pPr>
              <w:jc w:val="center"/>
              <w:rPr>
                <w:rFonts w:eastAsia="Times New Roman"/>
              </w:rPr>
            </w:pPr>
            <w:r w:rsidRPr="008C3E18">
              <w:rPr>
                <w:rFonts w:eastAsia="Times New Roman"/>
              </w:rPr>
              <w:t>$</w:t>
            </w:r>
            <w:r w:rsidR="00362969">
              <w:rPr>
                <w:rFonts w:eastAsia="Times New Roman"/>
              </w:rPr>
              <w:t>299</w:t>
            </w:r>
          </w:p>
        </w:tc>
      </w:tr>
      <w:tr w:rsidR="005C4D73" w:rsidRPr="0091469F" w14:paraId="4031CB8B" w14:textId="77777777" w:rsidTr="005C4D73">
        <w:trPr>
          <w:trHeight w:val="940"/>
          <w:jc w:val="center"/>
        </w:trPr>
        <w:tc>
          <w:tcPr>
            <w:tcW w:w="1670" w:type="dxa"/>
            <w:tcBorders>
              <w:left w:val="single" w:sz="4" w:space="0" w:color="000000"/>
              <w:bottom w:val="single" w:sz="4" w:space="0" w:color="000000"/>
              <w:right w:val="single" w:sz="4" w:space="0" w:color="000000"/>
            </w:tcBorders>
            <w:vAlign w:val="center"/>
          </w:tcPr>
          <w:p w14:paraId="536E6C5E" w14:textId="77777777" w:rsidR="005C4D73" w:rsidRPr="0091469F" w:rsidRDefault="005C4D73" w:rsidP="00603915">
            <w:pPr>
              <w:pStyle w:val="Default"/>
              <w:jc w:val="center"/>
              <w:rPr>
                <w:rFonts w:ascii="Times New Roman" w:hAnsi="Times New Roman" w:cs="Times New Roman"/>
                <w:bCs/>
                <w:color w:val="auto"/>
              </w:rPr>
            </w:pPr>
            <w:r w:rsidRPr="0091469F">
              <w:rPr>
                <w:rFonts w:ascii="Times New Roman" w:hAnsi="Times New Roman" w:cs="Times New Roman"/>
                <w:bCs/>
                <w:color w:val="auto"/>
              </w:rPr>
              <w:t>Adult smokers who are 18-54 years old  (low SES exclusive smokers of regular cigarettes)</w:t>
            </w:r>
          </w:p>
        </w:tc>
        <w:tc>
          <w:tcPr>
            <w:tcW w:w="1569" w:type="dxa"/>
            <w:tcBorders>
              <w:top w:val="single" w:sz="4" w:space="0" w:color="000000"/>
              <w:left w:val="single" w:sz="4" w:space="0" w:color="000000"/>
              <w:bottom w:val="single" w:sz="4" w:space="0" w:color="000000"/>
              <w:right w:val="single" w:sz="4" w:space="0" w:color="000000"/>
            </w:tcBorders>
            <w:vAlign w:val="center"/>
          </w:tcPr>
          <w:p w14:paraId="4E4025C5" w14:textId="3F7AE900" w:rsidR="005C4D73" w:rsidRPr="00102ED1" w:rsidRDefault="005C4D73" w:rsidP="00603915">
            <w:pPr>
              <w:pStyle w:val="Default"/>
              <w:jc w:val="center"/>
              <w:rPr>
                <w:rFonts w:ascii="Times New Roman" w:hAnsi="Times New Roman" w:cs="Times New Roman"/>
                <w:bCs/>
                <w:color w:val="auto"/>
              </w:rPr>
            </w:pPr>
            <w:r w:rsidRPr="00102ED1">
              <w:rPr>
                <w:rFonts w:ascii="Times New Roman" w:hAnsi="Times New Roman" w:cs="Times New Roman"/>
                <w:bCs/>
                <w:color w:val="auto"/>
              </w:rPr>
              <w:t>Moderator’s Guide</w:t>
            </w:r>
            <w:r w:rsidR="00C9022F" w:rsidRPr="00102ED1">
              <w:rPr>
                <w:rFonts w:ascii="Times New Roman" w:hAnsi="Times New Roman" w:cs="Times New Roman"/>
                <w:bCs/>
                <w:color w:val="auto"/>
              </w:rPr>
              <w:t xml:space="preserve"> for IDI</w:t>
            </w:r>
            <w:r w:rsidRPr="00102ED1">
              <w:rPr>
                <w:rFonts w:ascii="Times New Roman" w:hAnsi="Times New Roman" w:cs="Times New Roman"/>
                <w:bCs/>
                <w:color w:val="auto"/>
              </w:rPr>
              <w:t xml:space="preserve">: </w:t>
            </w:r>
          </w:p>
          <w:p w14:paraId="0DF5C552" w14:textId="23C0AC6B" w:rsidR="005C4D73" w:rsidRPr="00102ED1" w:rsidRDefault="00C9022F" w:rsidP="00F52483">
            <w:pPr>
              <w:pStyle w:val="Default"/>
              <w:jc w:val="center"/>
              <w:rPr>
                <w:rFonts w:ascii="Times New Roman" w:hAnsi="Times New Roman" w:cs="Times New Roman"/>
                <w:bCs/>
                <w:color w:val="auto"/>
              </w:rPr>
            </w:pPr>
            <w:r w:rsidRPr="00102ED1">
              <w:rPr>
                <w:rFonts w:ascii="Times New Roman" w:hAnsi="Times New Roman" w:cs="Times New Roman"/>
                <w:bCs/>
                <w:color w:val="auto"/>
              </w:rPr>
              <w:t>Regular Cigarette Smokers</w:t>
            </w:r>
            <w:r w:rsidR="00271343">
              <w:rPr>
                <w:rFonts w:ascii="Times New Roman" w:hAnsi="Times New Roman" w:cs="Times New Roman"/>
                <w:bCs/>
                <w:color w:val="auto"/>
              </w:rPr>
              <w:t xml:space="preserve"> (Att.</w:t>
            </w:r>
            <w:r w:rsidR="005C4D73" w:rsidRPr="00102ED1">
              <w:rPr>
                <w:rFonts w:ascii="Times New Roman" w:hAnsi="Times New Roman" w:cs="Times New Roman"/>
                <w:bCs/>
                <w:color w:val="auto"/>
              </w:rPr>
              <w:t xml:space="preserve"> </w:t>
            </w:r>
            <w:r w:rsidR="00F52483">
              <w:rPr>
                <w:rFonts w:ascii="Times New Roman" w:hAnsi="Times New Roman" w:cs="Times New Roman"/>
                <w:bCs/>
                <w:color w:val="auto"/>
              </w:rPr>
              <w:t>3</w:t>
            </w:r>
            <w:r w:rsidR="00366E43">
              <w:rPr>
                <w:rFonts w:ascii="Times New Roman" w:hAnsi="Times New Roman" w:cs="Times New Roman"/>
                <w:bCs/>
                <w:color w:val="auto"/>
              </w:rPr>
              <w:t>A</w:t>
            </w:r>
            <w:r w:rsidR="005C4D73" w:rsidRPr="00102ED1">
              <w:rPr>
                <w:rFonts w:ascii="Times New Roman" w:hAnsi="Times New Roman" w:cs="Times New Roman"/>
                <w:bCs/>
                <w:color w:val="auto"/>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289F8A98" w14:textId="77777777" w:rsidR="005C4D73" w:rsidRPr="00102ED1" w:rsidRDefault="005C4D73" w:rsidP="00603915">
            <w:pPr>
              <w:pStyle w:val="Default"/>
              <w:jc w:val="center"/>
              <w:rPr>
                <w:rFonts w:ascii="Times New Roman" w:hAnsi="Times New Roman" w:cs="Times New Roman"/>
                <w:color w:val="auto"/>
              </w:rPr>
            </w:pPr>
            <w:r w:rsidRPr="00102ED1">
              <w:rPr>
                <w:rFonts w:ascii="Times New Roman" w:hAnsi="Times New Roman" w:cs="Times New Roman"/>
                <w:color w:val="auto"/>
              </w:rPr>
              <w:t>25</w:t>
            </w:r>
          </w:p>
        </w:tc>
        <w:tc>
          <w:tcPr>
            <w:tcW w:w="1583" w:type="dxa"/>
            <w:tcBorders>
              <w:top w:val="single" w:sz="4" w:space="0" w:color="000000"/>
              <w:left w:val="single" w:sz="4" w:space="0" w:color="000000"/>
              <w:bottom w:val="single" w:sz="4" w:space="0" w:color="000000"/>
              <w:right w:val="single" w:sz="4" w:space="0" w:color="000000"/>
            </w:tcBorders>
            <w:vAlign w:val="center"/>
          </w:tcPr>
          <w:p w14:paraId="0B94BEB7" w14:textId="77777777" w:rsidR="005C4D73" w:rsidRPr="0091469F" w:rsidRDefault="005C4D73" w:rsidP="00603915">
            <w:pPr>
              <w:pStyle w:val="Default"/>
              <w:jc w:val="center"/>
              <w:rPr>
                <w:rFonts w:ascii="Times New Roman" w:hAnsi="Times New Roman" w:cs="Times New Roman"/>
                <w:color w:val="auto"/>
              </w:rPr>
            </w:pPr>
            <w:r w:rsidRPr="0091469F">
              <w:rPr>
                <w:rFonts w:ascii="Times New Roman" w:hAnsi="Times New Roman" w:cs="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64652F9F" w14:textId="69D9AB93" w:rsidR="005C4D73" w:rsidRPr="00390B41" w:rsidRDefault="005C4D73" w:rsidP="00603915">
            <w:pPr>
              <w:pStyle w:val="Default"/>
              <w:jc w:val="center"/>
              <w:rPr>
                <w:rFonts w:ascii="Times New Roman" w:hAnsi="Times New Roman" w:cs="Times New Roman"/>
                <w:color w:val="auto"/>
              </w:rPr>
            </w:pPr>
            <w:r w:rsidRPr="00803A81">
              <w:rPr>
                <w:rFonts w:ascii="Times New Roman" w:hAnsi="Times New Roman" w:cs="Times New Roman"/>
                <w:color w:val="auto"/>
              </w:rPr>
              <w:t>1</w:t>
            </w:r>
            <w:r w:rsidR="00362969">
              <w:rPr>
                <w:rFonts w:ascii="Times New Roman" w:hAnsi="Times New Roman" w:cs="Times New Roman"/>
                <w:color w:val="auto"/>
              </w:rPr>
              <w:t>3</w:t>
            </w:r>
          </w:p>
        </w:tc>
        <w:tc>
          <w:tcPr>
            <w:tcW w:w="988" w:type="dxa"/>
            <w:tcBorders>
              <w:top w:val="single" w:sz="4" w:space="0" w:color="000000"/>
              <w:left w:val="single" w:sz="4" w:space="0" w:color="000000"/>
              <w:bottom w:val="single" w:sz="4" w:space="0" w:color="000000"/>
              <w:right w:val="single" w:sz="4" w:space="0" w:color="000000"/>
            </w:tcBorders>
            <w:vAlign w:val="center"/>
          </w:tcPr>
          <w:p w14:paraId="18E0C8FF" w14:textId="77777777" w:rsidR="005C4D73" w:rsidRPr="00E1033E" w:rsidRDefault="005C4D73" w:rsidP="00603915">
            <w:pPr>
              <w:pStyle w:val="Default"/>
              <w:jc w:val="center"/>
              <w:rPr>
                <w:rFonts w:ascii="Times New Roman" w:hAnsi="Times New Roman" w:cs="Times New Roman"/>
                <w:color w:val="auto"/>
              </w:rPr>
            </w:pPr>
            <w:r w:rsidRPr="00E1033E">
              <w:rPr>
                <w:rFonts w:ascii="Times New Roman" w:hAnsi="Times New Roman" w:cs="Times New Roman"/>
                <w:color w:val="auto"/>
              </w:rPr>
              <w:t>$23</w:t>
            </w:r>
          </w:p>
        </w:tc>
        <w:tc>
          <w:tcPr>
            <w:tcW w:w="1006" w:type="dxa"/>
            <w:tcBorders>
              <w:top w:val="single" w:sz="4" w:space="0" w:color="000000"/>
              <w:left w:val="single" w:sz="4" w:space="0" w:color="000000"/>
              <w:bottom w:val="single" w:sz="4" w:space="0" w:color="000000"/>
              <w:right w:val="single" w:sz="4" w:space="0" w:color="000000"/>
            </w:tcBorders>
            <w:vAlign w:val="center"/>
          </w:tcPr>
          <w:p w14:paraId="028B9723" w14:textId="5E98124C" w:rsidR="005C4D73" w:rsidRPr="008C3E18" w:rsidRDefault="005C4D73" w:rsidP="00362969">
            <w:pPr>
              <w:jc w:val="center"/>
              <w:rPr>
                <w:rFonts w:eastAsia="Times New Roman"/>
              </w:rPr>
            </w:pPr>
            <w:r w:rsidRPr="008C3E18">
              <w:rPr>
                <w:rFonts w:eastAsia="Times New Roman"/>
              </w:rPr>
              <w:t>$</w:t>
            </w:r>
            <w:r w:rsidR="00362969">
              <w:rPr>
                <w:rFonts w:eastAsia="Times New Roman"/>
              </w:rPr>
              <w:t>299</w:t>
            </w:r>
          </w:p>
        </w:tc>
      </w:tr>
      <w:tr w:rsidR="005C4D73" w:rsidRPr="0091469F" w14:paraId="25BB1965" w14:textId="77777777" w:rsidTr="005C4D73">
        <w:trPr>
          <w:trHeight w:val="240"/>
          <w:jc w:val="center"/>
        </w:trPr>
        <w:tc>
          <w:tcPr>
            <w:tcW w:w="8570" w:type="dxa"/>
            <w:gridSpan w:val="6"/>
            <w:tcBorders>
              <w:left w:val="single" w:sz="4" w:space="0" w:color="000000"/>
              <w:bottom w:val="single" w:sz="4" w:space="0" w:color="000000"/>
              <w:right w:val="single" w:sz="4" w:space="0" w:color="000000"/>
            </w:tcBorders>
            <w:vAlign w:val="center"/>
          </w:tcPr>
          <w:p w14:paraId="515A6552" w14:textId="77777777" w:rsidR="005C4D73" w:rsidRPr="0091469F" w:rsidRDefault="005C4D73" w:rsidP="00603915">
            <w:pPr>
              <w:pStyle w:val="Default"/>
              <w:jc w:val="both"/>
              <w:rPr>
                <w:rFonts w:ascii="Times New Roman" w:hAnsi="Times New Roman" w:cs="Times New Roman"/>
                <w:b/>
                <w:color w:val="auto"/>
              </w:rPr>
            </w:pPr>
            <w:r w:rsidRPr="0091469F">
              <w:rPr>
                <w:rFonts w:ascii="Times New Roman" w:hAnsi="Times New Roman" w:cs="Times New Roman"/>
                <w:b/>
                <w:color w:val="auto"/>
              </w:rPr>
              <w:t>Total</w:t>
            </w:r>
          </w:p>
        </w:tc>
        <w:tc>
          <w:tcPr>
            <w:tcW w:w="1006" w:type="dxa"/>
            <w:tcBorders>
              <w:top w:val="single" w:sz="4" w:space="0" w:color="000000"/>
              <w:left w:val="single" w:sz="4" w:space="0" w:color="000000"/>
              <w:bottom w:val="single" w:sz="4" w:space="0" w:color="000000"/>
              <w:right w:val="single" w:sz="4" w:space="0" w:color="000000"/>
            </w:tcBorders>
            <w:vAlign w:val="center"/>
          </w:tcPr>
          <w:p w14:paraId="13EDD2C2" w14:textId="0B02DD08" w:rsidR="005C4D73" w:rsidRPr="0091469F" w:rsidRDefault="005C4D73" w:rsidP="00603915">
            <w:pPr>
              <w:pStyle w:val="Default"/>
              <w:jc w:val="center"/>
              <w:rPr>
                <w:rFonts w:ascii="Times New Roman" w:hAnsi="Times New Roman" w:cs="Times New Roman"/>
                <w:b/>
                <w:color w:val="auto"/>
              </w:rPr>
            </w:pPr>
            <w:r w:rsidRPr="0091469F">
              <w:rPr>
                <w:rFonts w:ascii="Times New Roman" w:hAnsi="Times New Roman" w:cs="Times New Roman"/>
                <w:b/>
                <w:color w:val="auto"/>
              </w:rPr>
              <w:t>$72,3</w:t>
            </w:r>
            <w:r w:rsidR="00362969">
              <w:rPr>
                <w:rFonts w:ascii="Times New Roman" w:hAnsi="Times New Roman" w:cs="Times New Roman"/>
                <w:b/>
                <w:color w:val="auto"/>
              </w:rPr>
              <w:t>58</w:t>
            </w:r>
          </w:p>
        </w:tc>
      </w:tr>
    </w:tbl>
    <w:p w14:paraId="0FC88739" w14:textId="77777777" w:rsidR="00D6791E" w:rsidRDefault="00D6791E" w:rsidP="001478D3">
      <w:pPr>
        <w:jc w:val="both"/>
        <w:rPr>
          <w:b/>
        </w:rPr>
      </w:pPr>
    </w:p>
    <w:p w14:paraId="36205DB3" w14:textId="77777777" w:rsidR="00044A5F" w:rsidRPr="0091469F" w:rsidRDefault="00044A5F" w:rsidP="001478D3">
      <w:pPr>
        <w:jc w:val="both"/>
        <w:rPr>
          <w:b/>
        </w:rPr>
      </w:pPr>
      <w:r w:rsidRPr="0091469F">
        <w:rPr>
          <w:b/>
        </w:rPr>
        <w:t>A.13</w:t>
      </w:r>
      <w:r w:rsidRPr="0091469F">
        <w:rPr>
          <w:b/>
        </w:rPr>
        <w:tab/>
        <w:t>Estimates of Other Annual Cost Burden to Respondents and Record Keepers</w:t>
      </w:r>
    </w:p>
    <w:p w14:paraId="206B9744" w14:textId="77777777" w:rsidR="00044A5F" w:rsidRPr="0091469F" w:rsidRDefault="00BF4FB0" w:rsidP="001478D3">
      <w:pPr>
        <w:jc w:val="both"/>
      </w:pPr>
      <w:r w:rsidRPr="0091469F">
        <w:t>There will be no respondent capital and maintenance costs</w:t>
      </w:r>
      <w:r w:rsidR="00D42A48" w:rsidRPr="0091469F">
        <w:t>.</w:t>
      </w:r>
    </w:p>
    <w:p w14:paraId="5A96D32F" w14:textId="77777777" w:rsidR="007F1ACE" w:rsidRPr="0091469F" w:rsidRDefault="007F1ACE" w:rsidP="001478D3">
      <w:pPr>
        <w:jc w:val="both"/>
        <w:rPr>
          <w:b/>
        </w:rPr>
      </w:pPr>
    </w:p>
    <w:p w14:paraId="673096DA" w14:textId="77777777" w:rsidR="00044A5F" w:rsidRPr="0091469F" w:rsidRDefault="00044A5F" w:rsidP="001478D3">
      <w:pPr>
        <w:jc w:val="both"/>
        <w:rPr>
          <w:b/>
        </w:rPr>
      </w:pPr>
      <w:r w:rsidRPr="0091469F">
        <w:rPr>
          <w:b/>
        </w:rPr>
        <w:t>A.14</w:t>
      </w:r>
      <w:r w:rsidRPr="0091469F">
        <w:rPr>
          <w:b/>
        </w:rPr>
        <w:tab/>
        <w:t>Annualized Cost to the Government</w:t>
      </w:r>
    </w:p>
    <w:p w14:paraId="431F7FB8" w14:textId="47329151" w:rsidR="00631213" w:rsidRPr="0091469F" w:rsidRDefault="00631213" w:rsidP="00631213">
      <w:r w:rsidRPr="0091469F">
        <w:t>Approximately 5% of one full-time equivalent</w:t>
      </w:r>
      <w:r w:rsidR="00257966" w:rsidRPr="0091469F">
        <w:t xml:space="preserve"> (FTE)</w:t>
      </w:r>
      <w:r w:rsidRPr="0091469F">
        <w:t xml:space="preserve"> and 1% of one senior manager will be required to oversee the information collection activities for one month. Responsibilities will include internal coordination and review of materials </w:t>
      </w:r>
      <w:r w:rsidRPr="0091469F">
        <w:lastRenderedPageBreak/>
        <w:t>and reports and maintaining proper accounting of burden hours. The agency estimates that it will take a GS-1</w:t>
      </w:r>
      <w:r w:rsidR="0001567A" w:rsidRPr="0091469F">
        <w:t>3</w:t>
      </w:r>
      <w:r w:rsidRPr="0091469F">
        <w:t>, at a wage rate of $</w:t>
      </w:r>
      <w:r w:rsidR="00592D33" w:rsidRPr="0091469F">
        <w:t>5</w:t>
      </w:r>
      <w:r w:rsidR="00924E8B" w:rsidRPr="0091469F">
        <w:t>4</w:t>
      </w:r>
      <w:r w:rsidR="00592D33" w:rsidRPr="0091469F">
        <w:t>.</w:t>
      </w:r>
      <w:r w:rsidR="00924E8B" w:rsidRPr="0091469F">
        <w:t>33</w:t>
      </w:r>
      <w:r w:rsidR="00592D33" w:rsidRPr="0091469F">
        <w:t>/</w:t>
      </w:r>
      <w:r w:rsidRPr="0091469F">
        <w:t>hour, approximately 10 hours to manage the project, totaling about $</w:t>
      </w:r>
      <w:r w:rsidR="00924E8B" w:rsidRPr="0091469F">
        <w:t>543</w:t>
      </w:r>
      <w:r w:rsidRPr="0091469F">
        <w:t xml:space="preserve">.00. It is estimated to take a GS-15, at a wage rate of $64.54 </w:t>
      </w:r>
      <w:r w:rsidR="00257966" w:rsidRPr="0091469F">
        <w:t>/</w:t>
      </w:r>
      <w:r w:rsidRPr="0091469F">
        <w:t>hour, approximately three hours to oversee the total project, totaling $194.00. The total average annualized cost to the government for CDC oversight is $</w:t>
      </w:r>
      <w:r w:rsidR="000715D0" w:rsidRPr="0091469F">
        <w:t>737</w:t>
      </w:r>
      <w:r w:rsidRPr="0091469F">
        <w:t>.</w:t>
      </w:r>
    </w:p>
    <w:p w14:paraId="2A737F20" w14:textId="77777777" w:rsidR="00631213" w:rsidRPr="0091469F" w:rsidRDefault="00631213" w:rsidP="00631213"/>
    <w:tbl>
      <w:tblPr>
        <w:tblStyle w:val="TableGrid"/>
        <w:tblW w:w="8838" w:type="dxa"/>
        <w:tblLayout w:type="fixed"/>
        <w:tblLook w:val="04A0" w:firstRow="1" w:lastRow="0" w:firstColumn="1" w:lastColumn="0" w:noHBand="0" w:noVBand="1"/>
      </w:tblPr>
      <w:tblGrid>
        <w:gridCol w:w="2356"/>
        <w:gridCol w:w="1932"/>
        <w:gridCol w:w="2458"/>
        <w:gridCol w:w="2092"/>
      </w:tblGrid>
      <w:tr w:rsidR="00631213" w:rsidRPr="0091469F" w14:paraId="1F86BBB2" w14:textId="77777777" w:rsidTr="007C75E0">
        <w:tc>
          <w:tcPr>
            <w:tcW w:w="2356" w:type="dxa"/>
          </w:tcPr>
          <w:p w14:paraId="2BE0BAD4" w14:textId="77777777" w:rsidR="00631213" w:rsidRPr="0091469F" w:rsidRDefault="00631213" w:rsidP="007C75E0">
            <w:pPr>
              <w:spacing w:line="276" w:lineRule="auto"/>
              <w:rPr>
                <w:b/>
              </w:rPr>
            </w:pPr>
            <w:r w:rsidRPr="0091469F">
              <w:br w:type="page"/>
            </w:r>
            <w:r w:rsidRPr="0091469F">
              <w:rPr>
                <w:b/>
              </w:rPr>
              <w:t>Government Personnel</w:t>
            </w:r>
          </w:p>
        </w:tc>
        <w:tc>
          <w:tcPr>
            <w:tcW w:w="1932" w:type="dxa"/>
          </w:tcPr>
          <w:p w14:paraId="676C2670" w14:textId="77777777" w:rsidR="00631213" w:rsidRPr="0091469F" w:rsidRDefault="00631213" w:rsidP="007C75E0">
            <w:pPr>
              <w:spacing w:line="276" w:lineRule="auto"/>
              <w:rPr>
                <w:b/>
              </w:rPr>
            </w:pPr>
            <w:r w:rsidRPr="0091469F">
              <w:rPr>
                <w:b/>
              </w:rPr>
              <w:t>Time Commitment</w:t>
            </w:r>
          </w:p>
        </w:tc>
        <w:tc>
          <w:tcPr>
            <w:tcW w:w="2458" w:type="dxa"/>
          </w:tcPr>
          <w:p w14:paraId="3B0B8535" w14:textId="77777777" w:rsidR="00631213" w:rsidRPr="0091469F" w:rsidRDefault="00631213" w:rsidP="007C75E0">
            <w:pPr>
              <w:spacing w:line="276" w:lineRule="auto"/>
              <w:rPr>
                <w:b/>
              </w:rPr>
            </w:pPr>
            <w:r w:rsidRPr="0091469F">
              <w:rPr>
                <w:b/>
              </w:rPr>
              <w:t>Hourly Basic Rate</w:t>
            </w:r>
          </w:p>
        </w:tc>
        <w:tc>
          <w:tcPr>
            <w:tcW w:w="2092" w:type="dxa"/>
          </w:tcPr>
          <w:p w14:paraId="44021905" w14:textId="77777777" w:rsidR="00631213" w:rsidRPr="0091469F" w:rsidRDefault="00631213" w:rsidP="007C75E0">
            <w:pPr>
              <w:spacing w:line="276" w:lineRule="auto"/>
              <w:rPr>
                <w:b/>
              </w:rPr>
            </w:pPr>
            <w:r w:rsidRPr="0091469F">
              <w:rPr>
                <w:b/>
              </w:rPr>
              <w:t>Total</w:t>
            </w:r>
          </w:p>
        </w:tc>
      </w:tr>
      <w:tr w:rsidR="00631213" w:rsidRPr="0091469F" w14:paraId="09008043" w14:textId="77777777" w:rsidTr="007C75E0">
        <w:tc>
          <w:tcPr>
            <w:tcW w:w="2356" w:type="dxa"/>
          </w:tcPr>
          <w:p w14:paraId="0EDB5E34" w14:textId="6EF578DC" w:rsidR="00631213" w:rsidRPr="0091469F" w:rsidRDefault="00631213" w:rsidP="002B41BD">
            <w:pPr>
              <w:spacing w:line="276" w:lineRule="auto"/>
            </w:pPr>
            <w:r w:rsidRPr="0091469F">
              <w:t>GS-1</w:t>
            </w:r>
            <w:r w:rsidR="002B41BD" w:rsidRPr="0091469F">
              <w:t>3</w:t>
            </w:r>
          </w:p>
        </w:tc>
        <w:tc>
          <w:tcPr>
            <w:tcW w:w="1932" w:type="dxa"/>
          </w:tcPr>
          <w:p w14:paraId="10B9AFC2" w14:textId="77777777" w:rsidR="00631213" w:rsidRPr="0091469F" w:rsidRDefault="00631213" w:rsidP="007C75E0">
            <w:pPr>
              <w:spacing w:line="276" w:lineRule="auto"/>
              <w:jc w:val="right"/>
            </w:pPr>
            <w:r w:rsidRPr="0091469F">
              <w:t>5%</w:t>
            </w:r>
          </w:p>
        </w:tc>
        <w:tc>
          <w:tcPr>
            <w:tcW w:w="2458" w:type="dxa"/>
          </w:tcPr>
          <w:p w14:paraId="3E98682A" w14:textId="667C87B9" w:rsidR="00631213" w:rsidRPr="0091469F" w:rsidRDefault="00631213" w:rsidP="00924E8B">
            <w:pPr>
              <w:spacing w:line="276" w:lineRule="auto"/>
              <w:jc w:val="right"/>
            </w:pPr>
            <w:r w:rsidRPr="0091469F">
              <w:t>$</w:t>
            </w:r>
            <w:r w:rsidR="002B41BD" w:rsidRPr="0091469F">
              <w:t>5</w:t>
            </w:r>
            <w:r w:rsidR="00924E8B" w:rsidRPr="0091469F">
              <w:t>4</w:t>
            </w:r>
            <w:r w:rsidRPr="0091469F">
              <w:t>.</w:t>
            </w:r>
            <w:r w:rsidR="00924E8B" w:rsidRPr="0091469F">
              <w:t>33</w:t>
            </w:r>
          </w:p>
        </w:tc>
        <w:tc>
          <w:tcPr>
            <w:tcW w:w="2092" w:type="dxa"/>
          </w:tcPr>
          <w:p w14:paraId="77E0E00E" w14:textId="1FF7D98F" w:rsidR="00631213" w:rsidRPr="0091469F" w:rsidRDefault="00631213" w:rsidP="00924E8B">
            <w:pPr>
              <w:spacing w:line="276" w:lineRule="auto"/>
              <w:jc w:val="right"/>
            </w:pPr>
            <w:r w:rsidRPr="0091469F">
              <w:t>$</w:t>
            </w:r>
            <w:r w:rsidR="00924E8B" w:rsidRPr="0091469F">
              <w:t>543</w:t>
            </w:r>
          </w:p>
        </w:tc>
      </w:tr>
      <w:tr w:rsidR="00631213" w:rsidRPr="0091469F" w14:paraId="6FDDB897" w14:textId="77777777" w:rsidTr="007C75E0">
        <w:tc>
          <w:tcPr>
            <w:tcW w:w="2356" w:type="dxa"/>
          </w:tcPr>
          <w:p w14:paraId="73453186" w14:textId="77777777" w:rsidR="00631213" w:rsidRPr="0091469F" w:rsidRDefault="00631213" w:rsidP="007C75E0">
            <w:pPr>
              <w:spacing w:line="276" w:lineRule="auto"/>
            </w:pPr>
            <w:r w:rsidRPr="0091469F">
              <w:t>GS-15</w:t>
            </w:r>
          </w:p>
        </w:tc>
        <w:tc>
          <w:tcPr>
            <w:tcW w:w="1932" w:type="dxa"/>
          </w:tcPr>
          <w:p w14:paraId="4089E1CF" w14:textId="77777777" w:rsidR="00631213" w:rsidRPr="0091469F" w:rsidRDefault="00631213" w:rsidP="007C75E0">
            <w:pPr>
              <w:spacing w:line="276" w:lineRule="auto"/>
              <w:jc w:val="right"/>
            </w:pPr>
            <w:r w:rsidRPr="0091469F">
              <w:t>1%</w:t>
            </w:r>
          </w:p>
        </w:tc>
        <w:tc>
          <w:tcPr>
            <w:tcW w:w="2458" w:type="dxa"/>
          </w:tcPr>
          <w:p w14:paraId="04A88D0E" w14:textId="77777777" w:rsidR="00631213" w:rsidRPr="0091469F" w:rsidRDefault="00631213" w:rsidP="007C75E0">
            <w:pPr>
              <w:spacing w:line="276" w:lineRule="auto"/>
              <w:jc w:val="right"/>
            </w:pPr>
            <w:r w:rsidRPr="0091469F">
              <w:t>$64.54</w:t>
            </w:r>
          </w:p>
        </w:tc>
        <w:tc>
          <w:tcPr>
            <w:tcW w:w="2092" w:type="dxa"/>
          </w:tcPr>
          <w:p w14:paraId="5138172B" w14:textId="77777777" w:rsidR="00631213" w:rsidRPr="0091469F" w:rsidRDefault="00631213" w:rsidP="007C75E0">
            <w:pPr>
              <w:spacing w:line="276" w:lineRule="auto"/>
              <w:jc w:val="right"/>
            </w:pPr>
            <w:r w:rsidRPr="0091469F">
              <w:t>$194</w:t>
            </w:r>
          </w:p>
        </w:tc>
      </w:tr>
      <w:tr w:rsidR="00631213" w:rsidRPr="0091469F" w14:paraId="08F37CFA" w14:textId="77777777" w:rsidTr="007C75E0">
        <w:tc>
          <w:tcPr>
            <w:tcW w:w="6746" w:type="dxa"/>
            <w:gridSpan w:val="3"/>
          </w:tcPr>
          <w:p w14:paraId="27FF6F3E" w14:textId="77777777" w:rsidR="00631213" w:rsidRPr="0091469F" w:rsidRDefault="00631213" w:rsidP="007C75E0">
            <w:pPr>
              <w:spacing w:line="276" w:lineRule="auto"/>
              <w:rPr>
                <w:b/>
              </w:rPr>
            </w:pPr>
            <w:r w:rsidRPr="0091469F">
              <w:rPr>
                <w:b/>
              </w:rPr>
              <w:t>Subtotal, Government Personnel</w:t>
            </w:r>
          </w:p>
        </w:tc>
        <w:tc>
          <w:tcPr>
            <w:tcW w:w="2092" w:type="dxa"/>
          </w:tcPr>
          <w:p w14:paraId="0D5B7711" w14:textId="07455888" w:rsidR="00631213" w:rsidRPr="0091469F" w:rsidRDefault="00631213" w:rsidP="00924E8B">
            <w:pPr>
              <w:spacing w:line="276" w:lineRule="auto"/>
              <w:jc w:val="right"/>
            </w:pPr>
            <w:r w:rsidRPr="0091469F">
              <w:t>$</w:t>
            </w:r>
            <w:r w:rsidR="00924E8B" w:rsidRPr="0091469F">
              <w:t>737</w:t>
            </w:r>
          </w:p>
        </w:tc>
      </w:tr>
      <w:tr w:rsidR="00631213" w:rsidRPr="0091469F" w14:paraId="0CA3CF27" w14:textId="77777777" w:rsidTr="007C75E0">
        <w:tc>
          <w:tcPr>
            <w:tcW w:w="6746" w:type="dxa"/>
            <w:gridSpan w:val="3"/>
          </w:tcPr>
          <w:p w14:paraId="000E4656" w14:textId="77777777" w:rsidR="00631213" w:rsidRPr="0091469F" w:rsidRDefault="00631213" w:rsidP="007C75E0">
            <w:pPr>
              <w:rPr>
                <w:b/>
              </w:rPr>
            </w:pPr>
            <w:r w:rsidRPr="0091469F">
              <w:rPr>
                <w:b/>
              </w:rPr>
              <w:t>Contract Costs</w:t>
            </w:r>
          </w:p>
        </w:tc>
        <w:tc>
          <w:tcPr>
            <w:tcW w:w="2092" w:type="dxa"/>
          </w:tcPr>
          <w:p w14:paraId="3EACF79B" w14:textId="77777777" w:rsidR="00631213" w:rsidRPr="0091469F" w:rsidRDefault="00631213" w:rsidP="007C75E0">
            <w:pPr>
              <w:jc w:val="right"/>
            </w:pPr>
            <w:r w:rsidRPr="0091469F">
              <w:t>$97,000</w:t>
            </w:r>
          </w:p>
        </w:tc>
      </w:tr>
      <w:tr w:rsidR="00631213" w:rsidRPr="0091469F" w14:paraId="79973F71" w14:textId="77777777" w:rsidTr="007C75E0">
        <w:tc>
          <w:tcPr>
            <w:tcW w:w="6746" w:type="dxa"/>
            <w:gridSpan w:val="3"/>
          </w:tcPr>
          <w:p w14:paraId="034EC41E" w14:textId="77777777" w:rsidR="00631213" w:rsidRPr="0091469F" w:rsidRDefault="00631213" w:rsidP="007C75E0">
            <w:pPr>
              <w:rPr>
                <w:b/>
              </w:rPr>
            </w:pPr>
            <w:r w:rsidRPr="0091469F">
              <w:rPr>
                <w:b/>
              </w:rPr>
              <w:t>Total Costs</w:t>
            </w:r>
          </w:p>
        </w:tc>
        <w:tc>
          <w:tcPr>
            <w:tcW w:w="2092" w:type="dxa"/>
          </w:tcPr>
          <w:p w14:paraId="7FC6682B" w14:textId="75D39B68" w:rsidR="00631213" w:rsidRPr="0091469F" w:rsidRDefault="00631213" w:rsidP="00025440">
            <w:pPr>
              <w:jc w:val="right"/>
            </w:pPr>
            <w:r w:rsidRPr="0091469F">
              <w:t>$</w:t>
            </w:r>
            <w:r w:rsidR="00A70A81" w:rsidRPr="0091469F">
              <w:t>97,73</w:t>
            </w:r>
            <w:r w:rsidR="00025440" w:rsidRPr="0091469F">
              <w:t>7</w:t>
            </w:r>
          </w:p>
        </w:tc>
      </w:tr>
    </w:tbl>
    <w:p w14:paraId="3A69D2B4" w14:textId="77777777" w:rsidR="00631213" w:rsidRPr="0091469F" w:rsidRDefault="00631213" w:rsidP="00631213"/>
    <w:p w14:paraId="0AC8AE87" w14:textId="7CE0E481" w:rsidR="001667F9" w:rsidRPr="0091469F" w:rsidRDefault="00631213" w:rsidP="00631213">
      <w:r w:rsidRPr="0091469F">
        <w:t xml:space="preserve">Contractors will conduct the majority of information collection and management activities on </w:t>
      </w:r>
      <w:r w:rsidR="00257966" w:rsidRPr="0091469F">
        <w:t>CDC’s</w:t>
      </w:r>
      <w:r w:rsidRPr="0091469F">
        <w:t xml:space="preserve"> behalf. The total cost of the data collection contractors is $97,000 which includes consultation, instrument design and development, respondent incentive, data collection, and top line analyses. This cost does not include the actual cost of the recruitment of the respondents to answer the survey. Qualtrics will collect the information from the respondents. Activities are coordinated through a contract with the Plow</w:t>
      </w:r>
      <w:r w:rsidR="00A16692" w:rsidRPr="0091469F">
        <w:t>S</w:t>
      </w:r>
      <w:r w:rsidRPr="0091469F">
        <w:t>hare Group, a specialist in media campaigns. The grand total cost for the project, including government and contractor cost, is $97,</w:t>
      </w:r>
      <w:r w:rsidR="009937D2" w:rsidRPr="0091469F">
        <w:t>737</w:t>
      </w:r>
      <w:r w:rsidRPr="0091469F">
        <w:t xml:space="preserve">. </w:t>
      </w:r>
    </w:p>
    <w:p w14:paraId="002469FB" w14:textId="77777777" w:rsidR="00631213" w:rsidRPr="0091469F" w:rsidRDefault="00631213" w:rsidP="00631213"/>
    <w:p w14:paraId="4FDC21BF" w14:textId="77777777" w:rsidR="00044A5F" w:rsidRPr="0091469F" w:rsidRDefault="00044A5F" w:rsidP="009505A2">
      <w:pPr>
        <w:jc w:val="both"/>
        <w:rPr>
          <w:b/>
        </w:rPr>
      </w:pPr>
      <w:r w:rsidRPr="0091469F">
        <w:rPr>
          <w:b/>
        </w:rPr>
        <w:t>A.15</w:t>
      </w:r>
      <w:r w:rsidRPr="0091469F">
        <w:rPr>
          <w:b/>
        </w:rPr>
        <w:tab/>
        <w:t>Explanation for Program Changes or Adjustments</w:t>
      </w:r>
    </w:p>
    <w:p w14:paraId="78B11C58" w14:textId="77777777" w:rsidR="00044A5F" w:rsidRPr="0091469F" w:rsidRDefault="002351F6" w:rsidP="001478D3">
      <w:pPr>
        <w:jc w:val="both"/>
      </w:pPr>
      <w:r w:rsidRPr="0091469F">
        <w:t>This is a new</w:t>
      </w:r>
      <w:r w:rsidR="00045A81" w:rsidRPr="0091469F">
        <w:t xml:space="preserve"> </w:t>
      </w:r>
      <w:r w:rsidR="005D2A18" w:rsidRPr="0091469F">
        <w:t>data collection.</w:t>
      </w:r>
    </w:p>
    <w:p w14:paraId="3D9942B2" w14:textId="77777777" w:rsidR="00A37892" w:rsidRPr="0091469F" w:rsidRDefault="00A37892" w:rsidP="001478D3">
      <w:pPr>
        <w:jc w:val="both"/>
        <w:rPr>
          <w:b/>
        </w:rPr>
      </w:pPr>
    </w:p>
    <w:p w14:paraId="3BA081B4" w14:textId="77777777" w:rsidR="00044A5F" w:rsidRPr="0091469F" w:rsidRDefault="00044A5F" w:rsidP="001478D3">
      <w:pPr>
        <w:jc w:val="both"/>
        <w:rPr>
          <w:b/>
        </w:rPr>
      </w:pPr>
      <w:r w:rsidRPr="0091469F">
        <w:rPr>
          <w:b/>
        </w:rPr>
        <w:t>A.16</w:t>
      </w:r>
      <w:r w:rsidRPr="0091469F">
        <w:rPr>
          <w:b/>
        </w:rPr>
        <w:tab/>
        <w:t>Plans for Tabulation and Publication and Project Time Schedule</w:t>
      </w:r>
    </w:p>
    <w:p w14:paraId="203BACEA" w14:textId="77777777" w:rsidR="00793E1C" w:rsidRPr="0091469F" w:rsidRDefault="00793E1C" w:rsidP="001478D3">
      <w:pPr>
        <w:jc w:val="both"/>
      </w:pPr>
    </w:p>
    <w:p w14:paraId="6F5E4D68" w14:textId="77777777" w:rsidR="00E1096A" w:rsidRPr="0091469F" w:rsidRDefault="00E1096A" w:rsidP="001478D3">
      <w:pPr>
        <w:jc w:val="both"/>
        <w:rPr>
          <w:b/>
        </w:rPr>
      </w:pPr>
      <w:r w:rsidRPr="0091469F">
        <w:rPr>
          <w:b/>
        </w:rPr>
        <w:t>Data Tabulation Plans</w:t>
      </w:r>
    </w:p>
    <w:p w14:paraId="0FCC895E" w14:textId="0BE56A00" w:rsidR="001337C8" w:rsidRPr="00E1033E" w:rsidRDefault="005D2A18" w:rsidP="00337969">
      <w:r w:rsidRPr="0091469F">
        <w:t xml:space="preserve">The information will be used to inform </w:t>
      </w:r>
      <w:r w:rsidR="000264B1" w:rsidRPr="0091469F">
        <w:t>the development of a</w:t>
      </w:r>
      <w:r w:rsidR="002F3192" w:rsidRPr="0091469F">
        <w:t xml:space="preserve"> new</w:t>
      </w:r>
      <w:r w:rsidR="000264B1" w:rsidRPr="0091469F">
        <w:t xml:space="preserve"> </w:t>
      </w:r>
      <w:r w:rsidR="00740775" w:rsidRPr="0091469F">
        <w:t xml:space="preserve">National Tobacco Education Campaign. </w:t>
      </w:r>
      <w:r w:rsidR="000D249B" w:rsidRPr="0091469F">
        <w:t xml:space="preserve">The estimated OMB approval date </w:t>
      </w:r>
      <w:r w:rsidR="00C5279E" w:rsidRPr="0091469F">
        <w:t xml:space="preserve">of </w:t>
      </w:r>
      <w:r w:rsidR="00D37C44">
        <w:t>June 2</w:t>
      </w:r>
      <w:r w:rsidR="00A71924">
        <w:t>8</w:t>
      </w:r>
      <w:r w:rsidR="00C5279E" w:rsidRPr="0091469F">
        <w:t>, 2016</w:t>
      </w:r>
      <w:r w:rsidR="000D249B" w:rsidRPr="0091469F">
        <w:t>, with an anticipated information collection to be</w:t>
      </w:r>
      <w:r w:rsidR="00C61E2E" w:rsidRPr="0091469F">
        <w:t xml:space="preserve">gin on </w:t>
      </w:r>
      <w:r w:rsidR="00D37C44">
        <w:t xml:space="preserve">June </w:t>
      </w:r>
      <w:r w:rsidR="00A71924">
        <w:t>29</w:t>
      </w:r>
      <w:r w:rsidR="00C5279E" w:rsidRPr="0091469F">
        <w:t>, 2016</w:t>
      </w:r>
      <w:r w:rsidR="00C61E2E" w:rsidRPr="0091469F">
        <w:t xml:space="preserve">. </w:t>
      </w:r>
      <w:r w:rsidR="00184307" w:rsidRPr="0091469F">
        <w:t xml:space="preserve">The resulting quantitative data will be analyzed using conventional tabulation techniques </w:t>
      </w:r>
      <w:r w:rsidR="00184307" w:rsidRPr="0091469F">
        <w:lastRenderedPageBreak/>
        <w:t>and the</w:t>
      </w:r>
      <w:r w:rsidR="005B2B4E" w:rsidRPr="00803A81">
        <w:t xml:space="preserve"> </w:t>
      </w:r>
      <w:r w:rsidR="001825CC" w:rsidRPr="00390B41">
        <w:t>resulting qualitative data will be analyzed using thematic analysis. The data will be read thoroughly and initial codes</w:t>
      </w:r>
      <w:r w:rsidR="001825CC" w:rsidRPr="00E1033E">
        <w:t xml:space="preserve"> will be created manually, identifying themes and patterns of responses.</w:t>
      </w:r>
      <w:r w:rsidR="00C528BE">
        <w:t xml:space="preserve">  These dates may adjust depending on the approval process of this package. </w:t>
      </w:r>
    </w:p>
    <w:p w14:paraId="34BE94EB" w14:textId="77777777" w:rsidR="00AE296E" w:rsidRPr="008C3E18" w:rsidRDefault="00AE296E" w:rsidP="00337969"/>
    <w:p w14:paraId="0E63D6F0" w14:textId="77777777" w:rsidR="00001ACA" w:rsidRPr="008C3E18" w:rsidRDefault="0035412A" w:rsidP="00BB1AAA">
      <w:pPr>
        <w:jc w:val="both"/>
        <w:rPr>
          <w:b/>
        </w:rPr>
      </w:pPr>
      <w:r w:rsidRPr="008C3E18">
        <w:rPr>
          <w:b/>
        </w:rPr>
        <w:t>Publication and Dissemination Plans</w:t>
      </w:r>
    </w:p>
    <w:p w14:paraId="5D7DCE90" w14:textId="4BC16338" w:rsidR="005470E9" w:rsidRPr="0091469F" w:rsidRDefault="001C7230" w:rsidP="005470E9">
      <w:pPr>
        <w:pStyle w:val="Tbodytext"/>
      </w:pPr>
      <w:r w:rsidRPr="0091469F">
        <w:t xml:space="preserve">This information will be used to inform the development </w:t>
      </w:r>
      <w:r w:rsidR="005470E9" w:rsidRPr="0091469F">
        <w:t>of creative briefs</w:t>
      </w:r>
      <w:r w:rsidR="002F3192" w:rsidRPr="0091469F">
        <w:t>, resulting in new messages and advertisements,</w:t>
      </w:r>
      <w:r w:rsidR="005470E9" w:rsidRPr="0091469F">
        <w:t xml:space="preserve"> for </w:t>
      </w:r>
      <w:r w:rsidR="00457EED" w:rsidRPr="0091469F">
        <w:t xml:space="preserve">adult </w:t>
      </w:r>
      <w:r w:rsidR="003D06B7" w:rsidRPr="0091469F">
        <w:t xml:space="preserve">low SES </w:t>
      </w:r>
      <w:r w:rsidR="005470E9" w:rsidRPr="0091469F">
        <w:t xml:space="preserve">smokers of </w:t>
      </w:r>
      <w:r w:rsidR="006B7EF7" w:rsidRPr="0091469F">
        <w:t>regular</w:t>
      </w:r>
      <w:r w:rsidR="005470E9" w:rsidRPr="0091469F">
        <w:t xml:space="preserve"> cigarettes</w:t>
      </w:r>
      <w:r w:rsidR="004B5423" w:rsidRPr="0091469F">
        <w:t xml:space="preserve"> </w:t>
      </w:r>
      <w:r w:rsidR="005470E9" w:rsidRPr="0091469F">
        <w:t xml:space="preserve">and </w:t>
      </w:r>
      <w:r w:rsidR="00457EED" w:rsidRPr="0091469F">
        <w:t xml:space="preserve">adult </w:t>
      </w:r>
      <w:r w:rsidR="005470E9" w:rsidRPr="0091469F">
        <w:t>dual users. Creative briefs are used to guide the creation of concepts for advertisements that will be used in future National Tobacco Education Campaigns and other communication strategies.</w:t>
      </w:r>
    </w:p>
    <w:p w14:paraId="1DDB7D6A" w14:textId="77777777" w:rsidR="003667F4" w:rsidRDefault="003667F4" w:rsidP="00BE6307">
      <w:pPr>
        <w:jc w:val="both"/>
        <w:rPr>
          <w:b/>
        </w:rPr>
      </w:pPr>
    </w:p>
    <w:p w14:paraId="0866FD0A" w14:textId="77777777" w:rsidR="003667F4" w:rsidRDefault="003667F4" w:rsidP="00BE6307">
      <w:pPr>
        <w:jc w:val="both"/>
        <w:rPr>
          <w:b/>
        </w:rPr>
      </w:pPr>
    </w:p>
    <w:p w14:paraId="37A31DA1" w14:textId="77777777" w:rsidR="00D2391F" w:rsidRDefault="00D2391F" w:rsidP="00BE6307">
      <w:pPr>
        <w:jc w:val="both"/>
        <w:rPr>
          <w:b/>
        </w:rPr>
      </w:pPr>
      <w:r>
        <w:rPr>
          <w:b/>
        </w:rPr>
        <w:br w:type="page"/>
      </w:r>
    </w:p>
    <w:p w14:paraId="74D17345" w14:textId="74107D48" w:rsidR="002A2302" w:rsidRPr="0091469F" w:rsidRDefault="00076B17" w:rsidP="00BE6307">
      <w:pPr>
        <w:jc w:val="both"/>
        <w:rPr>
          <w:b/>
        </w:rPr>
      </w:pPr>
      <w:r w:rsidRPr="0091469F">
        <w:rPr>
          <w:b/>
        </w:rPr>
        <w:lastRenderedPageBreak/>
        <w:t>Project Time Schedule</w:t>
      </w:r>
    </w:p>
    <w:p w14:paraId="66D07F27" w14:textId="77777777" w:rsidR="00210768" w:rsidRPr="0091469F" w:rsidRDefault="00210768" w:rsidP="00BE6307">
      <w:pPr>
        <w:jc w:val="both"/>
        <w:rPr>
          <w:b/>
        </w:rPr>
      </w:pP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9"/>
        <w:gridCol w:w="1681"/>
      </w:tblGrid>
      <w:tr w:rsidR="00210768" w:rsidRPr="0091469F" w14:paraId="239BB652" w14:textId="77777777" w:rsidTr="007C75E0">
        <w:trPr>
          <w:trHeight w:val="560"/>
          <w:tblCellSpacing w:w="15" w:type="dxa"/>
        </w:trPr>
        <w:tc>
          <w:tcPr>
            <w:tcW w:w="0" w:type="auto"/>
            <w:shd w:val="clear" w:color="auto" w:fill="BFBFBF"/>
            <w:tcMar>
              <w:top w:w="15" w:type="dxa"/>
              <w:left w:w="15" w:type="dxa"/>
              <w:bottom w:w="15" w:type="dxa"/>
              <w:right w:w="15" w:type="dxa"/>
            </w:tcMar>
            <w:vAlign w:val="center"/>
            <w:hideMark/>
          </w:tcPr>
          <w:p w14:paraId="227ABFB7" w14:textId="77777777" w:rsidR="00210768" w:rsidRPr="0091469F" w:rsidRDefault="00210768" w:rsidP="007C75E0">
            <w:pPr>
              <w:jc w:val="center"/>
              <w:rPr>
                <w:rFonts w:eastAsia="Times New Roman"/>
              </w:rPr>
            </w:pPr>
            <w:r w:rsidRPr="0091469F">
              <w:rPr>
                <w:rFonts w:eastAsia="Times New Roman"/>
                <w:b/>
                <w:bCs/>
                <w:i/>
                <w:iCs/>
                <w:shd w:val="clear" w:color="auto" w:fill="BFBFBF"/>
              </w:rPr>
              <w:t>Task</w:t>
            </w:r>
          </w:p>
        </w:tc>
        <w:tc>
          <w:tcPr>
            <w:tcW w:w="0" w:type="auto"/>
            <w:shd w:val="clear" w:color="auto" w:fill="BFBFBF"/>
            <w:tcMar>
              <w:top w:w="15" w:type="dxa"/>
              <w:left w:w="15" w:type="dxa"/>
              <w:bottom w:w="15" w:type="dxa"/>
              <w:right w:w="15" w:type="dxa"/>
            </w:tcMar>
            <w:vAlign w:val="center"/>
            <w:hideMark/>
          </w:tcPr>
          <w:p w14:paraId="5A199CA8" w14:textId="77777777" w:rsidR="00210768" w:rsidRPr="0091469F" w:rsidRDefault="00210768" w:rsidP="007C75E0">
            <w:pPr>
              <w:jc w:val="center"/>
              <w:rPr>
                <w:rFonts w:eastAsia="Times New Roman"/>
              </w:rPr>
            </w:pPr>
            <w:r w:rsidRPr="0091469F">
              <w:rPr>
                <w:rFonts w:eastAsia="Times New Roman"/>
                <w:b/>
                <w:bCs/>
                <w:i/>
                <w:iCs/>
                <w:shd w:val="clear" w:color="auto" w:fill="BFBFBF"/>
              </w:rPr>
              <w:t>Approximate</w:t>
            </w:r>
            <w:r w:rsidRPr="0091469F">
              <w:rPr>
                <w:rFonts w:eastAsia="Times New Roman"/>
                <w:b/>
                <w:bCs/>
                <w:i/>
                <w:iCs/>
                <w:shd w:val="clear" w:color="auto" w:fill="BFBFBF"/>
              </w:rPr>
              <w:br/>
              <w:t> Due Date</w:t>
            </w:r>
          </w:p>
        </w:tc>
      </w:tr>
      <w:tr w:rsidR="00210768" w:rsidRPr="0091469F" w14:paraId="25795B49" w14:textId="77777777" w:rsidTr="007C75E0">
        <w:trPr>
          <w:trHeight w:val="185"/>
          <w:tblCellSpacing w:w="15" w:type="dxa"/>
        </w:trPr>
        <w:tc>
          <w:tcPr>
            <w:tcW w:w="0" w:type="auto"/>
            <w:tcMar>
              <w:top w:w="15" w:type="dxa"/>
              <w:left w:w="15" w:type="dxa"/>
              <w:bottom w:w="15" w:type="dxa"/>
              <w:right w:w="15" w:type="dxa"/>
            </w:tcMar>
            <w:vAlign w:val="center"/>
            <w:hideMark/>
          </w:tcPr>
          <w:p w14:paraId="27AE20BD" w14:textId="77777777" w:rsidR="00210768" w:rsidRPr="0091469F" w:rsidRDefault="00210768" w:rsidP="007C75E0">
            <w:pPr>
              <w:rPr>
                <w:rFonts w:eastAsia="Times New Roman"/>
              </w:rPr>
            </w:pPr>
            <w:r w:rsidRPr="0091469F">
              <w:rPr>
                <w:rFonts w:eastAsia="Times New Roman"/>
              </w:rPr>
              <w:t>CDC submits OMB Package to OMB for approval</w:t>
            </w:r>
          </w:p>
        </w:tc>
        <w:tc>
          <w:tcPr>
            <w:tcW w:w="0" w:type="auto"/>
            <w:tcMar>
              <w:top w:w="15" w:type="dxa"/>
              <w:left w:w="15" w:type="dxa"/>
              <w:bottom w:w="15" w:type="dxa"/>
              <w:right w:w="15" w:type="dxa"/>
            </w:tcMar>
            <w:vAlign w:val="center"/>
            <w:hideMark/>
          </w:tcPr>
          <w:p w14:paraId="5E2AA7EF" w14:textId="1C040E44" w:rsidR="00210768" w:rsidRPr="00812D2F" w:rsidRDefault="00AF5E24" w:rsidP="00AF5E24">
            <w:pPr>
              <w:jc w:val="center"/>
              <w:rPr>
                <w:rFonts w:eastAsia="Times New Roman"/>
                <w:b/>
              </w:rPr>
            </w:pPr>
            <w:r>
              <w:rPr>
                <w:rFonts w:eastAsia="Times New Roman"/>
                <w:b/>
              </w:rPr>
              <w:t>6</w:t>
            </w:r>
            <w:r w:rsidR="00C15114" w:rsidRPr="00812D2F">
              <w:rPr>
                <w:rFonts w:eastAsia="Times New Roman"/>
                <w:b/>
              </w:rPr>
              <w:t>/</w:t>
            </w:r>
            <w:r>
              <w:rPr>
                <w:rFonts w:eastAsia="Times New Roman"/>
                <w:b/>
              </w:rPr>
              <w:t>21</w:t>
            </w:r>
            <w:r w:rsidR="00210768" w:rsidRPr="00812D2F">
              <w:rPr>
                <w:rFonts w:eastAsia="Times New Roman"/>
                <w:b/>
              </w:rPr>
              <w:t>/201</w:t>
            </w:r>
            <w:r w:rsidR="00C15114" w:rsidRPr="00812D2F">
              <w:rPr>
                <w:rFonts w:eastAsia="Times New Roman"/>
                <w:b/>
              </w:rPr>
              <w:t>6</w:t>
            </w:r>
          </w:p>
        </w:tc>
      </w:tr>
      <w:tr w:rsidR="00210768" w:rsidRPr="0091469F" w14:paraId="66F23720" w14:textId="77777777" w:rsidTr="007C75E0">
        <w:trPr>
          <w:trHeight w:val="221"/>
          <w:tblCellSpacing w:w="15" w:type="dxa"/>
        </w:trPr>
        <w:tc>
          <w:tcPr>
            <w:tcW w:w="0" w:type="auto"/>
            <w:tcMar>
              <w:top w:w="15" w:type="dxa"/>
              <w:left w:w="15" w:type="dxa"/>
              <w:bottom w:w="15" w:type="dxa"/>
              <w:right w:w="15" w:type="dxa"/>
            </w:tcMar>
            <w:vAlign w:val="center"/>
            <w:hideMark/>
          </w:tcPr>
          <w:p w14:paraId="3BAFC2BB" w14:textId="77777777" w:rsidR="00210768" w:rsidRPr="0091469F" w:rsidRDefault="00210768" w:rsidP="007C75E0">
            <w:pPr>
              <w:rPr>
                <w:rFonts w:eastAsia="Times New Roman"/>
              </w:rPr>
            </w:pPr>
            <w:r w:rsidRPr="0091469F">
              <w:rPr>
                <w:rFonts w:eastAsia="Times New Roman"/>
                <w:b/>
                <w:bCs/>
              </w:rPr>
              <w:t>Milestone: OMB approves Request</w:t>
            </w:r>
          </w:p>
        </w:tc>
        <w:tc>
          <w:tcPr>
            <w:tcW w:w="0" w:type="auto"/>
            <w:tcMar>
              <w:top w:w="15" w:type="dxa"/>
              <w:left w:w="15" w:type="dxa"/>
              <w:bottom w:w="15" w:type="dxa"/>
              <w:right w:w="15" w:type="dxa"/>
            </w:tcMar>
            <w:vAlign w:val="center"/>
            <w:hideMark/>
          </w:tcPr>
          <w:p w14:paraId="60CE5726" w14:textId="3FDD5DB5" w:rsidR="00210768" w:rsidRPr="00812D2F" w:rsidRDefault="00A83A1C" w:rsidP="001B3208">
            <w:pPr>
              <w:jc w:val="center"/>
              <w:rPr>
                <w:rFonts w:eastAsia="Times New Roman"/>
                <w:b/>
              </w:rPr>
            </w:pPr>
            <w:r>
              <w:rPr>
                <w:rFonts w:eastAsia="Times New Roman"/>
                <w:b/>
                <w:bCs/>
              </w:rPr>
              <w:t>6</w:t>
            </w:r>
            <w:r w:rsidR="00C15114" w:rsidRPr="00812D2F">
              <w:rPr>
                <w:rFonts w:eastAsia="Times New Roman"/>
                <w:b/>
                <w:bCs/>
              </w:rPr>
              <w:t>/</w:t>
            </w:r>
            <w:r w:rsidR="001B3208">
              <w:rPr>
                <w:rFonts w:eastAsia="Times New Roman"/>
                <w:b/>
                <w:bCs/>
              </w:rPr>
              <w:t>2</w:t>
            </w:r>
            <w:r w:rsidR="00AF5E24">
              <w:rPr>
                <w:rFonts w:eastAsia="Times New Roman"/>
                <w:b/>
                <w:bCs/>
              </w:rPr>
              <w:t>8</w:t>
            </w:r>
            <w:r w:rsidR="00210768" w:rsidRPr="00812D2F">
              <w:rPr>
                <w:rFonts w:eastAsia="Times New Roman"/>
                <w:b/>
                <w:bCs/>
              </w:rPr>
              <w:t>/201</w:t>
            </w:r>
            <w:r w:rsidR="00C15114" w:rsidRPr="00812D2F">
              <w:rPr>
                <w:rFonts w:eastAsia="Times New Roman"/>
                <w:b/>
                <w:bCs/>
              </w:rPr>
              <w:t>6</w:t>
            </w:r>
          </w:p>
        </w:tc>
      </w:tr>
      <w:tr w:rsidR="00210768" w:rsidRPr="0091469F" w14:paraId="72ACD181" w14:textId="77777777" w:rsidTr="007C75E0">
        <w:trPr>
          <w:trHeight w:val="350"/>
          <w:tblCellSpacing w:w="15" w:type="dxa"/>
        </w:trPr>
        <w:tc>
          <w:tcPr>
            <w:tcW w:w="0" w:type="auto"/>
            <w:tcMar>
              <w:top w:w="15" w:type="dxa"/>
              <w:left w:w="15" w:type="dxa"/>
              <w:bottom w:w="15" w:type="dxa"/>
              <w:right w:w="15" w:type="dxa"/>
            </w:tcMar>
            <w:vAlign w:val="center"/>
            <w:hideMark/>
          </w:tcPr>
          <w:p w14:paraId="7539BD29" w14:textId="60A3B951" w:rsidR="00210768" w:rsidRPr="0091469F" w:rsidRDefault="00C15114" w:rsidP="007C75E0">
            <w:pPr>
              <w:rPr>
                <w:rFonts w:eastAsia="Times New Roman"/>
              </w:rPr>
            </w:pPr>
            <w:r w:rsidRPr="0091469F">
              <w:rPr>
                <w:rFonts w:eastAsia="Times New Roman"/>
              </w:rPr>
              <w:t>Message Platform</w:t>
            </w:r>
            <w:r w:rsidR="00210768" w:rsidRPr="0091469F">
              <w:rPr>
                <w:rFonts w:eastAsia="Times New Roman"/>
              </w:rPr>
              <w:t xml:space="preserve"> Testing Field Period begins</w:t>
            </w:r>
          </w:p>
        </w:tc>
        <w:tc>
          <w:tcPr>
            <w:tcW w:w="0" w:type="auto"/>
            <w:tcMar>
              <w:top w:w="15" w:type="dxa"/>
              <w:left w:w="15" w:type="dxa"/>
              <w:bottom w:w="15" w:type="dxa"/>
              <w:right w:w="15" w:type="dxa"/>
            </w:tcMar>
            <w:vAlign w:val="center"/>
            <w:hideMark/>
          </w:tcPr>
          <w:p w14:paraId="431AB55F" w14:textId="62A3FA07" w:rsidR="00210768" w:rsidRPr="00812D2F" w:rsidRDefault="00A83A1C" w:rsidP="00DD2CCB">
            <w:pPr>
              <w:jc w:val="center"/>
              <w:rPr>
                <w:rFonts w:eastAsia="Times New Roman"/>
                <w:b/>
              </w:rPr>
            </w:pPr>
            <w:r>
              <w:rPr>
                <w:rFonts w:eastAsia="Times New Roman"/>
                <w:b/>
                <w:bCs/>
              </w:rPr>
              <w:t>6</w:t>
            </w:r>
            <w:r w:rsidR="00C15114" w:rsidRPr="00812D2F">
              <w:rPr>
                <w:rFonts w:eastAsia="Times New Roman"/>
                <w:b/>
                <w:bCs/>
              </w:rPr>
              <w:t>/</w:t>
            </w:r>
            <w:r w:rsidR="00AF5E24">
              <w:rPr>
                <w:rFonts w:eastAsia="Times New Roman"/>
                <w:b/>
                <w:bCs/>
              </w:rPr>
              <w:t>29</w:t>
            </w:r>
            <w:r w:rsidR="00210768" w:rsidRPr="00812D2F">
              <w:rPr>
                <w:rFonts w:eastAsia="Times New Roman"/>
                <w:b/>
                <w:bCs/>
              </w:rPr>
              <w:t>/201</w:t>
            </w:r>
            <w:r w:rsidR="00C15114" w:rsidRPr="00812D2F">
              <w:rPr>
                <w:rFonts w:eastAsia="Times New Roman"/>
                <w:b/>
                <w:bCs/>
              </w:rPr>
              <w:t>6</w:t>
            </w:r>
          </w:p>
        </w:tc>
      </w:tr>
      <w:tr w:rsidR="00210768" w:rsidRPr="0091469F" w14:paraId="51B9509E" w14:textId="77777777" w:rsidTr="007C75E0">
        <w:trPr>
          <w:trHeight w:val="275"/>
          <w:tblCellSpacing w:w="15" w:type="dxa"/>
        </w:trPr>
        <w:tc>
          <w:tcPr>
            <w:tcW w:w="0" w:type="auto"/>
            <w:tcMar>
              <w:top w:w="15" w:type="dxa"/>
              <w:left w:w="15" w:type="dxa"/>
              <w:bottom w:w="15" w:type="dxa"/>
              <w:right w:w="15" w:type="dxa"/>
            </w:tcMar>
            <w:vAlign w:val="center"/>
            <w:hideMark/>
          </w:tcPr>
          <w:p w14:paraId="6AEE3374" w14:textId="49F20E0A" w:rsidR="00210768" w:rsidRPr="0091469F" w:rsidRDefault="00C15114" w:rsidP="007C75E0">
            <w:pPr>
              <w:rPr>
                <w:rFonts w:eastAsia="Times New Roman"/>
              </w:rPr>
            </w:pPr>
            <w:r w:rsidRPr="0091469F">
              <w:rPr>
                <w:rFonts w:eastAsia="Times New Roman"/>
              </w:rPr>
              <w:t xml:space="preserve">Message Platform </w:t>
            </w:r>
            <w:r w:rsidR="00210768" w:rsidRPr="0091469F">
              <w:rPr>
                <w:rFonts w:eastAsia="Times New Roman"/>
              </w:rPr>
              <w:t>Testing Field Period complete</w:t>
            </w:r>
          </w:p>
        </w:tc>
        <w:tc>
          <w:tcPr>
            <w:tcW w:w="0" w:type="auto"/>
            <w:tcMar>
              <w:top w:w="15" w:type="dxa"/>
              <w:left w:w="15" w:type="dxa"/>
              <w:bottom w:w="15" w:type="dxa"/>
              <w:right w:w="15" w:type="dxa"/>
            </w:tcMar>
            <w:vAlign w:val="center"/>
            <w:hideMark/>
          </w:tcPr>
          <w:p w14:paraId="4F38D111" w14:textId="0A0D1D37" w:rsidR="00210768" w:rsidRPr="00812D2F" w:rsidRDefault="00AF5E24" w:rsidP="00A83A1C">
            <w:pPr>
              <w:jc w:val="center"/>
              <w:rPr>
                <w:rFonts w:eastAsia="Times New Roman"/>
                <w:b/>
              </w:rPr>
            </w:pPr>
            <w:r>
              <w:rPr>
                <w:rFonts w:eastAsia="Times New Roman"/>
                <w:b/>
                <w:bCs/>
              </w:rPr>
              <w:t>7</w:t>
            </w:r>
            <w:r w:rsidR="00BD0B86" w:rsidRPr="00812D2F">
              <w:rPr>
                <w:rFonts w:eastAsia="Times New Roman"/>
                <w:b/>
                <w:bCs/>
              </w:rPr>
              <w:t>/</w:t>
            </w:r>
            <w:r>
              <w:rPr>
                <w:rFonts w:eastAsia="Times New Roman"/>
                <w:b/>
                <w:bCs/>
              </w:rPr>
              <w:t>28</w:t>
            </w:r>
            <w:r w:rsidR="00C15114" w:rsidRPr="00812D2F">
              <w:rPr>
                <w:rFonts w:eastAsia="Times New Roman"/>
                <w:b/>
                <w:bCs/>
              </w:rPr>
              <w:t>/2016</w:t>
            </w:r>
          </w:p>
        </w:tc>
      </w:tr>
    </w:tbl>
    <w:p w14:paraId="5495C5B2" w14:textId="77777777" w:rsidR="00241871" w:rsidRDefault="00241871" w:rsidP="009505A2">
      <w:pPr>
        <w:jc w:val="both"/>
        <w:rPr>
          <w:b/>
        </w:rPr>
      </w:pPr>
    </w:p>
    <w:p w14:paraId="776EAC3F" w14:textId="77777777" w:rsidR="00044A5F" w:rsidRPr="0091469F" w:rsidRDefault="00044A5F" w:rsidP="009505A2">
      <w:pPr>
        <w:jc w:val="both"/>
        <w:rPr>
          <w:b/>
        </w:rPr>
      </w:pPr>
      <w:r w:rsidRPr="0091469F">
        <w:rPr>
          <w:b/>
        </w:rPr>
        <w:t>A.17</w:t>
      </w:r>
      <w:r w:rsidRPr="0091469F">
        <w:rPr>
          <w:b/>
        </w:rPr>
        <w:tab/>
        <w:t>Reason(s) Display of OMB Expiration is Inappropriate</w:t>
      </w:r>
    </w:p>
    <w:p w14:paraId="12942313" w14:textId="77777777" w:rsidR="00044A5F" w:rsidRPr="0091469F" w:rsidRDefault="002351F6" w:rsidP="0061740F">
      <w:pPr>
        <w:rPr>
          <w:rFonts w:eastAsia="Times New Roman"/>
        </w:rPr>
      </w:pPr>
      <w:r w:rsidRPr="0091469F">
        <w:rPr>
          <w:rFonts w:eastAsia="Times New Roman"/>
        </w:rPr>
        <w:t>The expiration date of OMB approval will be displayed on all information collection instruments.</w:t>
      </w:r>
    </w:p>
    <w:p w14:paraId="58123CC9" w14:textId="77777777" w:rsidR="007F1ACE" w:rsidRPr="0091469F" w:rsidRDefault="007F1ACE" w:rsidP="009505A2">
      <w:pPr>
        <w:jc w:val="both"/>
        <w:rPr>
          <w:b/>
        </w:rPr>
      </w:pPr>
    </w:p>
    <w:p w14:paraId="4EB2BD4A" w14:textId="77777777" w:rsidR="00044A5F" w:rsidRPr="0091469F" w:rsidRDefault="00044A5F" w:rsidP="009505A2">
      <w:pPr>
        <w:jc w:val="both"/>
        <w:rPr>
          <w:b/>
        </w:rPr>
      </w:pPr>
      <w:r w:rsidRPr="0091469F">
        <w:rPr>
          <w:b/>
        </w:rPr>
        <w:t>A.18</w:t>
      </w:r>
      <w:r w:rsidRPr="0091469F">
        <w:rPr>
          <w:b/>
        </w:rPr>
        <w:tab/>
        <w:t>Exceptions to Certification for Paperwork Reduction Act Submissions</w:t>
      </w:r>
    </w:p>
    <w:p w14:paraId="45E3C2A7" w14:textId="77777777" w:rsidR="00624A0D" w:rsidRPr="0091469F" w:rsidRDefault="004A557A" w:rsidP="00B63EFD">
      <w:pPr>
        <w:jc w:val="both"/>
        <w:rPr>
          <w:b/>
        </w:rPr>
      </w:pPr>
      <w:r w:rsidRPr="0091469F">
        <w:t>There are no exceptions to the certification</w:t>
      </w:r>
      <w:r w:rsidR="002351F6" w:rsidRPr="0091469F">
        <w:t>.</w:t>
      </w:r>
    </w:p>
    <w:p w14:paraId="4DAF4F6B" w14:textId="77777777" w:rsidR="00A420EC" w:rsidRPr="0091469F" w:rsidRDefault="00A420EC" w:rsidP="009505A2">
      <w:pPr>
        <w:jc w:val="both"/>
        <w:rPr>
          <w:b/>
        </w:rPr>
      </w:pPr>
    </w:p>
    <w:p w14:paraId="5986920A" w14:textId="77777777" w:rsidR="00F435E7" w:rsidRPr="0091469F" w:rsidRDefault="00F435E7">
      <w:pPr>
        <w:rPr>
          <w:b/>
        </w:rPr>
      </w:pPr>
      <w:r w:rsidRPr="0091469F">
        <w:rPr>
          <w:b/>
        </w:rPr>
        <w:br w:type="page"/>
      </w:r>
    </w:p>
    <w:p w14:paraId="32E8A8D5" w14:textId="77777777" w:rsidR="006776B0" w:rsidRPr="0091469F" w:rsidRDefault="006776B0" w:rsidP="006776B0">
      <w:pPr>
        <w:jc w:val="both"/>
        <w:rPr>
          <w:b/>
        </w:rPr>
      </w:pPr>
      <w:r w:rsidRPr="0091469F">
        <w:rPr>
          <w:b/>
        </w:rPr>
        <w:lastRenderedPageBreak/>
        <w:t>References</w:t>
      </w:r>
    </w:p>
    <w:p w14:paraId="0ABFCD1A" w14:textId="64722420" w:rsidR="00034D37" w:rsidRPr="0091469F" w:rsidRDefault="00034D37" w:rsidP="004D42E4">
      <w:pPr>
        <w:pStyle w:val="BodyText0"/>
        <w:ind w:firstLine="0"/>
        <w:rPr>
          <w:color w:val="000000"/>
        </w:rPr>
      </w:pPr>
      <w:r w:rsidRPr="0091469F">
        <w:rPr>
          <w:color w:val="000000"/>
        </w:rPr>
        <w:t xml:space="preserve">Agaku </w:t>
      </w:r>
      <w:r w:rsidR="00DC741B" w:rsidRPr="0091469F">
        <w:rPr>
          <w:color w:val="000000"/>
        </w:rPr>
        <w:t xml:space="preserve">IT, </w:t>
      </w:r>
      <w:r w:rsidRPr="0091469F">
        <w:rPr>
          <w:color w:val="000000"/>
        </w:rPr>
        <w:t xml:space="preserve">King, </w:t>
      </w:r>
      <w:r w:rsidR="00DC741B" w:rsidRPr="0091469F">
        <w:rPr>
          <w:color w:val="000000"/>
        </w:rPr>
        <w:t xml:space="preserve">BA, </w:t>
      </w:r>
      <w:r w:rsidRPr="0091469F">
        <w:rPr>
          <w:color w:val="000000"/>
        </w:rPr>
        <w:t xml:space="preserve">Husten </w:t>
      </w:r>
      <w:r w:rsidR="00DC741B" w:rsidRPr="0091469F">
        <w:rPr>
          <w:color w:val="000000"/>
        </w:rPr>
        <w:t xml:space="preserve">CG, </w:t>
      </w:r>
      <w:r w:rsidRPr="0091469F">
        <w:rPr>
          <w:color w:val="000000"/>
        </w:rPr>
        <w:t xml:space="preserve">Bunnell </w:t>
      </w:r>
      <w:r w:rsidR="00DC741B" w:rsidRPr="0091469F">
        <w:rPr>
          <w:color w:val="000000"/>
        </w:rPr>
        <w:t xml:space="preserve">R, </w:t>
      </w:r>
      <w:r w:rsidRPr="0091469F">
        <w:rPr>
          <w:color w:val="000000"/>
        </w:rPr>
        <w:t xml:space="preserve">Ambrose </w:t>
      </w:r>
      <w:r w:rsidR="00DC741B" w:rsidRPr="0091469F">
        <w:rPr>
          <w:color w:val="000000"/>
        </w:rPr>
        <w:t xml:space="preserve">BK, </w:t>
      </w:r>
      <w:r w:rsidRPr="0091469F">
        <w:rPr>
          <w:color w:val="000000"/>
        </w:rPr>
        <w:t xml:space="preserve">Hu </w:t>
      </w:r>
      <w:r w:rsidR="00DC741B" w:rsidRPr="0091469F">
        <w:rPr>
          <w:color w:val="000000"/>
        </w:rPr>
        <w:t xml:space="preserve">SS, </w:t>
      </w:r>
      <w:r w:rsidRPr="0091469F">
        <w:rPr>
          <w:color w:val="000000"/>
        </w:rPr>
        <w:t>Holder-Hayes</w:t>
      </w:r>
      <w:r w:rsidR="00DC741B" w:rsidRPr="0091469F">
        <w:rPr>
          <w:color w:val="000000"/>
        </w:rPr>
        <w:t xml:space="preserve"> E, </w:t>
      </w:r>
      <w:r w:rsidRPr="0091469F">
        <w:rPr>
          <w:color w:val="000000"/>
        </w:rPr>
        <w:t>Day</w:t>
      </w:r>
      <w:r w:rsidR="00DC741B" w:rsidRPr="0091469F">
        <w:rPr>
          <w:color w:val="000000"/>
        </w:rPr>
        <w:t xml:space="preserve"> HR; Centers for Disease Control and Prevention (CDC)</w:t>
      </w:r>
      <w:r w:rsidRPr="0091469F">
        <w:rPr>
          <w:color w:val="000000"/>
        </w:rPr>
        <w:t xml:space="preserve">. Tobacco Product Use Among Adults— United States, 2012–2013. </w:t>
      </w:r>
      <w:r w:rsidRPr="0091469F">
        <w:rPr>
          <w:i/>
          <w:color w:val="000000"/>
        </w:rPr>
        <w:t>MMWR</w:t>
      </w:r>
      <w:r w:rsidRPr="0091469F">
        <w:rPr>
          <w:color w:val="000000"/>
        </w:rPr>
        <w:t xml:space="preserve"> 63(25); 542-547.</w:t>
      </w:r>
    </w:p>
    <w:p w14:paraId="4B175DFB" w14:textId="24F8E4EB" w:rsidR="00BD0B86" w:rsidRDefault="00BD0B86" w:rsidP="004D42E4">
      <w:pPr>
        <w:pStyle w:val="BodyText0"/>
        <w:ind w:firstLine="0"/>
        <w:rPr>
          <w:iCs/>
        </w:rPr>
      </w:pPr>
      <w:r w:rsidRPr="0091469F">
        <w:t xml:space="preserve">King </w:t>
      </w:r>
      <w:r w:rsidR="00DC741B" w:rsidRPr="0091469F">
        <w:t xml:space="preserve">BA, </w:t>
      </w:r>
      <w:r w:rsidRPr="0091469F">
        <w:t xml:space="preserve">Patel </w:t>
      </w:r>
      <w:r w:rsidR="00DC741B" w:rsidRPr="0091469F">
        <w:t xml:space="preserve">R, </w:t>
      </w:r>
      <w:r w:rsidRPr="0091469F">
        <w:t xml:space="preserve">Nguyen </w:t>
      </w:r>
      <w:r w:rsidR="00DC741B" w:rsidRPr="0091469F">
        <w:t xml:space="preserve">KH, </w:t>
      </w:r>
      <w:r w:rsidRPr="0091469F">
        <w:t>Dube</w:t>
      </w:r>
      <w:r w:rsidR="00DC741B" w:rsidRPr="0091469F">
        <w:t xml:space="preserve"> SR</w:t>
      </w:r>
      <w:r w:rsidRPr="0091469F">
        <w:t xml:space="preserve">. Trends in Awareness and Use of Electronic Cigarettes among U.S. Adults, 2010 -2013 </w:t>
      </w:r>
      <w:r w:rsidRPr="0091469F">
        <w:rPr>
          <w:iCs/>
        </w:rPr>
        <w:t>Nicotine Tob Res, 2015</w:t>
      </w:r>
      <w:r w:rsidR="00DC741B" w:rsidRPr="0091469F">
        <w:rPr>
          <w:iCs/>
        </w:rPr>
        <w:t>;</w:t>
      </w:r>
      <w:r w:rsidRPr="0091469F">
        <w:rPr>
          <w:iCs/>
        </w:rPr>
        <w:t>17(2):219-227.</w:t>
      </w:r>
    </w:p>
    <w:p w14:paraId="0015AD91" w14:textId="511EA79D" w:rsidR="00BF2226" w:rsidRPr="00BF2226" w:rsidRDefault="00BF2226" w:rsidP="004D42E4">
      <w:pPr>
        <w:pStyle w:val="BodyText0"/>
        <w:ind w:firstLine="0"/>
        <w:rPr>
          <w:iCs/>
        </w:rPr>
      </w:pPr>
      <w:r w:rsidRPr="00BF2226">
        <w:rPr>
          <w:color w:val="333333"/>
          <w:lang w:val="en"/>
        </w:rPr>
        <w:t>Deeming Tobacco Products To Be Subject to the Federal Food, Drug, and Cosmetic Act, as Amended by the Family Smoking Prevention and Tobacco Control Act; Restrictions on the Sale and Distribution of Tobacco Products and Required Warning Statements for Tobacco Products</w:t>
      </w:r>
      <w:r w:rsidRPr="00BF2226">
        <w:rPr>
          <w:rStyle w:val="Strong"/>
          <w:rFonts w:eastAsia="Calibri"/>
          <w:color w:val="333333"/>
          <w:lang w:val="en"/>
        </w:rPr>
        <w:t>,</w:t>
      </w:r>
      <w:r w:rsidRPr="00BF2226">
        <w:rPr>
          <w:color w:val="333333"/>
          <w:lang w:val="en"/>
        </w:rPr>
        <w:t xml:space="preserve"> 81 FR. </w:t>
      </w:r>
      <w:r w:rsidRPr="00BF2226">
        <w:rPr>
          <w:rStyle w:val="page"/>
        </w:rPr>
        <w:t>28973</w:t>
      </w:r>
      <w:r w:rsidRPr="00BF2226">
        <w:rPr>
          <w:color w:val="333333"/>
          <w:lang w:val="en"/>
        </w:rPr>
        <w:t xml:space="preserve"> (May 10, 2016). </w:t>
      </w:r>
      <w:r w:rsidRPr="00BF2226">
        <w:rPr>
          <w:rStyle w:val="Emphasis"/>
          <w:color w:val="333333"/>
          <w:lang w:val="en"/>
        </w:rPr>
        <w:t>Federal Register: The Daily Journal of the United States</w:t>
      </w:r>
      <w:r w:rsidRPr="00BF2226">
        <w:rPr>
          <w:color w:val="333333"/>
          <w:lang w:val="en"/>
        </w:rPr>
        <w:t>. Web. 10 May 2016.</w:t>
      </w:r>
    </w:p>
    <w:p w14:paraId="153F8F43" w14:textId="34266E18" w:rsidR="003349F3" w:rsidRPr="00A817BF" w:rsidRDefault="003349F3" w:rsidP="003349F3">
      <w:pPr>
        <w:pStyle w:val="BodyText0"/>
        <w:ind w:firstLine="0"/>
      </w:pPr>
      <w:r w:rsidRPr="0091469F">
        <w:rPr>
          <w:color w:val="333333"/>
        </w:rPr>
        <w:t xml:space="preserve">U.S. Department of Health and Human Services. </w:t>
      </w:r>
      <w:hyperlink r:id="rId12" w:history="1">
        <w:r w:rsidR="008D1DA2" w:rsidRPr="00066316">
          <w:rPr>
            <w:rStyle w:val="Hyperlink"/>
          </w:rPr>
          <w:t>The Health Consequences of Smoking—50 Years of Progress: A Report of the Surgeon General.(http://www.cdc.gov/tobacco/data_statistics/sgr/50th-anniversary/index.htm)</w:t>
        </w:r>
      </w:hyperlink>
      <w:r w:rsidRPr="0091469F">
        <w:rPr>
          <w:color w:val="333333"/>
        </w:rPr>
        <w:t xml:space="preserve"> </w:t>
      </w:r>
      <w:r w:rsidRPr="0091469F">
        <w:rPr>
          <w:rStyle w:val="refpub"/>
          <w:color w:val="333333"/>
        </w:rPr>
        <w:t>Atlanta: U.S. Department of Health and Human Services, Centers for Disease Control and Prevention, National Center for Chronic Disease Prevention and Health Promotion, Office on Smoking and Health, 2014</w:t>
      </w:r>
      <w:r w:rsidRPr="0091469F">
        <w:rPr>
          <w:color w:val="333333"/>
        </w:rPr>
        <w:t xml:space="preserve"> [accessed 2015 Dec 11].</w:t>
      </w:r>
    </w:p>
    <w:p w14:paraId="6284A1C9" w14:textId="5CC96D8A" w:rsidR="003349F3" w:rsidRPr="000750B8" w:rsidRDefault="000C48DD" w:rsidP="004D42E4">
      <w:pPr>
        <w:pStyle w:val="BodyText0"/>
        <w:ind w:firstLine="0"/>
        <w:rPr>
          <w:color w:val="333333"/>
        </w:rPr>
      </w:pPr>
      <w:r w:rsidRPr="008E5E2D">
        <w:rPr>
          <w:rStyle w:val="Emphasis"/>
          <w:rFonts w:eastAsia="Calibri"/>
          <w:lang w:val="en"/>
        </w:rPr>
        <w:t xml:space="preserve">U.S. Preventive Services Task Force. Tobacco Smoking Cessation in Adults and Pregnant Women: Behavioral and Pharmacotherapy Interventions. Available at </w:t>
      </w:r>
      <w:hyperlink r:id="rId13" w:history="1">
        <w:r w:rsidRPr="008E5E2D">
          <w:rPr>
            <w:rStyle w:val="Hyperlink"/>
            <w:rFonts w:eastAsia="Calibri"/>
            <w:lang w:val="en"/>
          </w:rPr>
          <w:t>http://www.uspreventiveservicestaskforce.org/Page/Document/draft-recommendation-statement147/tobacco-use-in-adults-and-pregnant-women-counseling-and-interventions1</w:t>
        </w:r>
      </w:hyperlink>
      <w:r w:rsidRPr="008E5E2D">
        <w:rPr>
          <w:rStyle w:val="Emphasis"/>
          <w:rFonts w:eastAsia="Calibri"/>
          <w:lang w:val="en"/>
        </w:rPr>
        <w:t xml:space="preserve">. </w:t>
      </w:r>
      <w:r w:rsidRPr="0062508D">
        <w:rPr>
          <w:rStyle w:val="Emphasis"/>
          <w:rFonts w:eastAsia="Calibri"/>
          <w:lang w:val="en"/>
        </w:rPr>
        <w:t>Accessed 05/01/2016.</w:t>
      </w:r>
    </w:p>
    <w:p w14:paraId="17A88367" w14:textId="71864195" w:rsidR="00F52E3A" w:rsidRPr="000750B8" w:rsidRDefault="00F52E3A" w:rsidP="006A7494">
      <w:pPr>
        <w:ind w:left="720" w:hanging="720"/>
      </w:pPr>
    </w:p>
    <w:sectPr w:rsidR="00F52E3A" w:rsidRPr="000750B8" w:rsidSect="00675FC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E2817" w14:textId="77777777" w:rsidR="00E308D0" w:rsidRDefault="00E308D0" w:rsidP="00856192">
      <w:r>
        <w:separator/>
      </w:r>
    </w:p>
    <w:p w14:paraId="6214F9A8" w14:textId="77777777" w:rsidR="00E308D0" w:rsidRDefault="00E308D0"/>
  </w:endnote>
  <w:endnote w:type="continuationSeparator" w:id="0">
    <w:p w14:paraId="65ACE376" w14:textId="77777777" w:rsidR="00E308D0" w:rsidRDefault="00E308D0" w:rsidP="00856192">
      <w:r>
        <w:continuationSeparator/>
      </w:r>
    </w:p>
    <w:p w14:paraId="349F15F6" w14:textId="77777777" w:rsidR="00E308D0" w:rsidRDefault="00E3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5EA51DDF" w14:textId="77777777" w:rsidR="00A70E2F" w:rsidRDefault="00A70E2F">
        <w:pPr>
          <w:pStyle w:val="Footer"/>
          <w:jc w:val="center"/>
        </w:pPr>
        <w:r>
          <w:fldChar w:fldCharType="begin"/>
        </w:r>
        <w:r>
          <w:instrText xml:space="preserve"> PAGE   \* MERGEFORMAT </w:instrText>
        </w:r>
        <w:r>
          <w:fldChar w:fldCharType="separate"/>
        </w:r>
        <w:r w:rsidR="002B4465">
          <w:rPr>
            <w:noProof/>
          </w:rPr>
          <w:t>2</w:t>
        </w:r>
        <w:r>
          <w:rPr>
            <w:noProof/>
          </w:rPr>
          <w:fldChar w:fldCharType="end"/>
        </w:r>
      </w:p>
    </w:sdtContent>
  </w:sdt>
  <w:p w14:paraId="7F77D890" w14:textId="77777777" w:rsidR="00A70E2F" w:rsidRDefault="00A70E2F">
    <w:pPr>
      <w:pStyle w:val="Footer"/>
    </w:pPr>
  </w:p>
  <w:p w14:paraId="2FAD644A" w14:textId="77777777" w:rsidR="00A70E2F" w:rsidRDefault="00A70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AFF21" w14:textId="77777777" w:rsidR="00E308D0" w:rsidRDefault="00E308D0" w:rsidP="00856192">
      <w:r>
        <w:separator/>
      </w:r>
    </w:p>
    <w:p w14:paraId="433A6E3A" w14:textId="77777777" w:rsidR="00E308D0" w:rsidRDefault="00E308D0"/>
  </w:footnote>
  <w:footnote w:type="continuationSeparator" w:id="0">
    <w:p w14:paraId="2480C634" w14:textId="77777777" w:rsidR="00E308D0" w:rsidRDefault="00E308D0" w:rsidP="00856192">
      <w:r>
        <w:continuationSeparator/>
      </w:r>
    </w:p>
    <w:p w14:paraId="7B40841E" w14:textId="77777777" w:rsidR="00E308D0" w:rsidRDefault="00E308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07D3583C"/>
    <w:multiLevelType w:val="hybridMultilevel"/>
    <w:tmpl w:val="58D8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4DB6"/>
    <w:multiLevelType w:val="hybridMultilevel"/>
    <w:tmpl w:val="4DA8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42DE4"/>
    <w:multiLevelType w:val="hybridMultilevel"/>
    <w:tmpl w:val="768EC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0A370D70"/>
    <w:multiLevelType w:val="hybridMultilevel"/>
    <w:tmpl w:val="7110F0B0"/>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A026B"/>
    <w:multiLevelType w:val="hybridMultilevel"/>
    <w:tmpl w:val="D6E2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0D652107"/>
    <w:multiLevelType w:val="hybridMultilevel"/>
    <w:tmpl w:val="8B72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DA29DA"/>
    <w:multiLevelType w:val="hybridMultilevel"/>
    <w:tmpl w:val="61E4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D54BA"/>
    <w:multiLevelType w:val="hybridMultilevel"/>
    <w:tmpl w:val="B4B2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D27EB"/>
    <w:multiLevelType w:val="hybridMultilevel"/>
    <w:tmpl w:val="4DD65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03716"/>
    <w:multiLevelType w:val="hybridMultilevel"/>
    <w:tmpl w:val="F64C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3D297B"/>
    <w:multiLevelType w:val="hybridMultilevel"/>
    <w:tmpl w:val="56DA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20" w15:restartNumberingAfterBreak="0">
    <w:nsid w:val="2C934813"/>
    <w:multiLevelType w:val="hybridMultilevel"/>
    <w:tmpl w:val="98A45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D47AF"/>
    <w:multiLevelType w:val="hybridMultilevel"/>
    <w:tmpl w:val="6BD06F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0381DB8"/>
    <w:multiLevelType w:val="hybridMultilevel"/>
    <w:tmpl w:val="C9124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15:restartNumberingAfterBreak="0">
    <w:nsid w:val="45D6569A"/>
    <w:multiLevelType w:val="hybridMultilevel"/>
    <w:tmpl w:val="F508F6B0"/>
    <w:lvl w:ilvl="0" w:tplc="6C7AE330">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991870"/>
    <w:multiLevelType w:val="hybridMultilevel"/>
    <w:tmpl w:val="6D748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3152CD"/>
    <w:multiLevelType w:val="hybridMultilevel"/>
    <w:tmpl w:val="72E4FD2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4446BA2"/>
    <w:multiLevelType w:val="hybridMultilevel"/>
    <w:tmpl w:val="9B6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D1C7D"/>
    <w:multiLevelType w:val="hybridMultilevel"/>
    <w:tmpl w:val="D6DE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A5D39"/>
    <w:multiLevelType w:val="hybridMultilevel"/>
    <w:tmpl w:val="5754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A81833"/>
    <w:multiLevelType w:val="hybridMultilevel"/>
    <w:tmpl w:val="FB6E757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F7C5B"/>
    <w:multiLevelType w:val="hybridMultilevel"/>
    <w:tmpl w:val="D6840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9A7462"/>
    <w:multiLevelType w:val="hybridMultilevel"/>
    <w:tmpl w:val="5EBC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F50683"/>
    <w:multiLevelType w:val="hybridMultilevel"/>
    <w:tmpl w:val="E952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3B056D"/>
    <w:multiLevelType w:val="hybridMultilevel"/>
    <w:tmpl w:val="D03A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15:restartNumberingAfterBreak="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E41826"/>
    <w:multiLevelType w:val="hybridMultilevel"/>
    <w:tmpl w:val="5594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E71B68"/>
    <w:multiLevelType w:val="hybridMultilevel"/>
    <w:tmpl w:val="114CE238"/>
    <w:lvl w:ilvl="0" w:tplc="07E651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D5369B"/>
    <w:multiLevelType w:val="hybridMultilevel"/>
    <w:tmpl w:val="F39E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F90BFE"/>
    <w:multiLevelType w:val="hybridMultilevel"/>
    <w:tmpl w:val="B4B2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
    <w:lvlOverride w:ilvl="0">
      <w:startOverride w:val="1"/>
    </w:lvlOverride>
  </w:num>
  <w:num w:numId="3">
    <w:abstractNumId w:val="28"/>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45"/>
  </w:num>
  <w:num w:numId="8">
    <w:abstractNumId w:val="17"/>
  </w:num>
  <w:num w:numId="9">
    <w:abstractNumId w:val="4"/>
  </w:num>
  <w:num w:numId="10">
    <w:abstractNumId w:val="19"/>
  </w:num>
  <w:num w:numId="11">
    <w:abstractNumId w:val="26"/>
  </w:num>
  <w:num w:numId="12">
    <w:abstractNumId w:val="16"/>
  </w:num>
  <w:num w:numId="13">
    <w:abstractNumId w:val="46"/>
  </w:num>
  <w:num w:numId="14">
    <w:abstractNumId w:val="25"/>
  </w:num>
  <w:num w:numId="15">
    <w:abstractNumId w:val="22"/>
  </w:num>
  <w:num w:numId="16">
    <w:abstractNumId w:val="27"/>
  </w:num>
  <w:num w:numId="17">
    <w:abstractNumId w:val="10"/>
  </w:num>
  <w:num w:numId="18">
    <w:abstractNumId w:val="5"/>
  </w:num>
  <w:num w:numId="19">
    <w:abstractNumId w:val="34"/>
  </w:num>
  <w:num w:numId="20">
    <w:abstractNumId w:val="18"/>
  </w:num>
  <w:num w:numId="21">
    <w:abstractNumId w:val="23"/>
  </w:num>
  <w:num w:numId="22">
    <w:abstractNumId w:val="30"/>
  </w:num>
  <w:num w:numId="23">
    <w:abstractNumId w:val="21"/>
  </w:num>
  <w:num w:numId="24">
    <w:abstractNumId w:val="15"/>
  </w:num>
  <w:num w:numId="25">
    <w:abstractNumId w:val="40"/>
  </w:num>
  <w:num w:numId="26">
    <w:abstractNumId w:val="20"/>
  </w:num>
  <w:num w:numId="27">
    <w:abstractNumId w:val="31"/>
  </w:num>
  <w:num w:numId="28">
    <w:abstractNumId w:val="51"/>
  </w:num>
  <w:num w:numId="29">
    <w:abstractNumId w:val="37"/>
  </w:num>
  <w:num w:numId="30">
    <w:abstractNumId w:val="24"/>
  </w:num>
  <w:num w:numId="31">
    <w:abstractNumId w:val="33"/>
  </w:num>
  <w:num w:numId="32">
    <w:abstractNumId w:val="0"/>
  </w:num>
  <w:num w:numId="33">
    <w:abstractNumId w:val="11"/>
  </w:num>
  <w:num w:numId="34">
    <w:abstractNumId w:val="38"/>
  </w:num>
  <w:num w:numId="35">
    <w:abstractNumId w:val="7"/>
  </w:num>
  <w:num w:numId="36">
    <w:abstractNumId w:val="36"/>
  </w:num>
  <w:num w:numId="37">
    <w:abstractNumId w:val="41"/>
  </w:num>
  <w:num w:numId="38">
    <w:abstractNumId w:val="42"/>
  </w:num>
  <w:num w:numId="39">
    <w:abstractNumId w:val="47"/>
  </w:num>
  <w:num w:numId="40">
    <w:abstractNumId w:val="50"/>
  </w:num>
  <w:num w:numId="41">
    <w:abstractNumId w:val="12"/>
  </w:num>
  <w:num w:numId="42">
    <w:abstractNumId w:val="2"/>
  </w:num>
  <w:num w:numId="43">
    <w:abstractNumId w:val="39"/>
  </w:num>
  <w:num w:numId="44">
    <w:abstractNumId w:val="6"/>
  </w:num>
  <w:num w:numId="45">
    <w:abstractNumId w:val="48"/>
  </w:num>
  <w:num w:numId="46">
    <w:abstractNumId w:val="29"/>
  </w:num>
  <w:num w:numId="47">
    <w:abstractNumId w:val="43"/>
  </w:num>
  <w:num w:numId="48">
    <w:abstractNumId w:val="44"/>
  </w:num>
  <w:num w:numId="49">
    <w:abstractNumId w:val="9"/>
  </w:num>
  <w:num w:numId="50">
    <w:abstractNumId w:val="14"/>
  </w:num>
  <w:num w:numId="51">
    <w:abstractNumId w:val="3"/>
  </w:num>
  <w:num w:numId="52">
    <w:abstractNumId w:val="32"/>
  </w:num>
  <w:num w:numId="53">
    <w:abstractNumId w:val="13"/>
  </w:num>
  <w:num w:numId="5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ACA"/>
    <w:rsid w:val="00001E45"/>
    <w:rsid w:val="000061A3"/>
    <w:rsid w:val="00007E36"/>
    <w:rsid w:val="00011677"/>
    <w:rsid w:val="000123C6"/>
    <w:rsid w:val="00012CAD"/>
    <w:rsid w:val="00012EB2"/>
    <w:rsid w:val="0001363B"/>
    <w:rsid w:val="00013803"/>
    <w:rsid w:val="000138B7"/>
    <w:rsid w:val="00014D1E"/>
    <w:rsid w:val="0001567A"/>
    <w:rsid w:val="000159C8"/>
    <w:rsid w:val="00017245"/>
    <w:rsid w:val="000206B4"/>
    <w:rsid w:val="0002077E"/>
    <w:rsid w:val="00020ABC"/>
    <w:rsid w:val="00020CD5"/>
    <w:rsid w:val="00021D2D"/>
    <w:rsid w:val="000225A9"/>
    <w:rsid w:val="00022FB0"/>
    <w:rsid w:val="000232F2"/>
    <w:rsid w:val="0002391D"/>
    <w:rsid w:val="000246C7"/>
    <w:rsid w:val="00024F21"/>
    <w:rsid w:val="00025440"/>
    <w:rsid w:val="000264B1"/>
    <w:rsid w:val="00027327"/>
    <w:rsid w:val="00027858"/>
    <w:rsid w:val="0003165F"/>
    <w:rsid w:val="00032625"/>
    <w:rsid w:val="0003342D"/>
    <w:rsid w:val="0003465A"/>
    <w:rsid w:val="0003487B"/>
    <w:rsid w:val="00034A56"/>
    <w:rsid w:val="00034D37"/>
    <w:rsid w:val="00037B49"/>
    <w:rsid w:val="0004096E"/>
    <w:rsid w:val="00040F49"/>
    <w:rsid w:val="000429F1"/>
    <w:rsid w:val="000438C0"/>
    <w:rsid w:val="00043FB5"/>
    <w:rsid w:val="0004410E"/>
    <w:rsid w:val="00044A09"/>
    <w:rsid w:val="00044A5F"/>
    <w:rsid w:val="00044A63"/>
    <w:rsid w:val="00045A81"/>
    <w:rsid w:val="00045FAD"/>
    <w:rsid w:val="00047579"/>
    <w:rsid w:val="00047D5E"/>
    <w:rsid w:val="000502E6"/>
    <w:rsid w:val="000504E7"/>
    <w:rsid w:val="0005140E"/>
    <w:rsid w:val="00052B42"/>
    <w:rsid w:val="0005351F"/>
    <w:rsid w:val="00053E24"/>
    <w:rsid w:val="00053E95"/>
    <w:rsid w:val="000545B3"/>
    <w:rsid w:val="00054BD1"/>
    <w:rsid w:val="000552EC"/>
    <w:rsid w:val="0005694C"/>
    <w:rsid w:val="000570F7"/>
    <w:rsid w:val="00060360"/>
    <w:rsid w:val="0006073B"/>
    <w:rsid w:val="0006113A"/>
    <w:rsid w:val="0006168F"/>
    <w:rsid w:val="00062AB7"/>
    <w:rsid w:val="00063CED"/>
    <w:rsid w:val="00065BB6"/>
    <w:rsid w:val="0006614C"/>
    <w:rsid w:val="000704D6"/>
    <w:rsid w:val="00070AEA"/>
    <w:rsid w:val="000715D0"/>
    <w:rsid w:val="00072804"/>
    <w:rsid w:val="00074142"/>
    <w:rsid w:val="000750B8"/>
    <w:rsid w:val="000759A7"/>
    <w:rsid w:val="00075AD0"/>
    <w:rsid w:val="00076B17"/>
    <w:rsid w:val="00076E16"/>
    <w:rsid w:val="00077E04"/>
    <w:rsid w:val="00080DCB"/>
    <w:rsid w:val="00082D2A"/>
    <w:rsid w:val="00082EE3"/>
    <w:rsid w:val="000850FB"/>
    <w:rsid w:val="0008653A"/>
    <w:rsid w:val="00086FA9"/>
    <w:rsid w:val="0008751E"/>
    <w:rsid w:val="000879F7"/>
    <w:rsid w:val="00090692"/>
    <w:rsid w:val="00090AB6"/>
    <w:rsid w:val="00090D99"/>
    <w:rsid w:val="00091580"/>
    <w:rsid w:val="00091E6A"/>
    <w:rsid w:val="00092F4E"/>
    <w:rsid w:val="000936DD"/>
    <w:rsid w:val="000937B2"/>
    <w:rsid w:val="00093928"/>
    <w:rsid w:val="00093B84"/>
    <w:rsid w:val="00095669"/>
    <w:rsid w:val="00095EF0"/>
    <w:rsid w:val="00096ABC"/>
    <w:rsid w:val="000A0176"/>
    <w:rsid w:val="000A0480"/>
    <w:rsid w:val="000A0E3A"/>
    <w:rsid w:val="000A2131"/>
    <w:rsid w:val="000A2ADD"/>
    <w:rsid w:val="000A3488"/>
    <w:rsid w:val="000A4585"/>
    <w:rsid w:val="000A4C26"/>
    <w:rsid w:val="000A4EDC"/>
    <w:rsid w:val="000A6C0D"/>
    <w:rsid w:val="000A7061"/>
    <w:rsid w:val="000A7836"/>
    <w:rsid w:val="000A7BE2"/>
    <w:rsid w:val="000A7CF9"/>
    <w:rsid w:val="000B0905"/>
    <w:rsid w:val="000B0EBE"/>
    <w:rsid w:val="000B190E"/>
    <w:rsid w:val="000B3434"/>
    <w:rsid w:val="000B3EBD"/>
    <w:rsid w:val="000B4008"/>
    <w:rsid w:val="000B48A8"/>
    <w:rsid w:val="000B4D2B"/>
    <w:rsid w:val="000B7B76"/>
    <w:rsid w:val="000C3778"/>
    <w:rsid w:val="000C3A0D"/>
    <w:rsid w:val="000C48DD"/>
    <w:rsid w:val="000C4B95"/>
    <w:rsid w:val="000C5981"/>
    <w:rsid w:val="000C623D"/>
    <w:rsid w:val="000C669B"/>
    <w:rsid w:val="000C76E7"/>
    <w:rsid w:val="000D0849"/>
    <w:rsid w:val="000D0999"/>
    <w:rsid w:val="000D0CBC"/>
    <w:rsid w:val="000D11C9"/>
    <w:rsid w:val="000D1A2F"/>
    <w:rsid w:val="000D249B"/>
    <w:rsid w:val="000D35DE"/>
    <w:rsid w:val="000D4332"/>
    <w:rsid w:val="000D4F4F"/>
    <w:rsid w:val="000D7689"/>
    <w:rsid w:val="000D7DE2"/>
    <w:rsid w:val="000D7F36"/>
    <w:rsid w:val="000E1888"/>
    <w:rsid w:val="000E1D46"/>
    <w:rsid w:val="000E30D0"/>
    <w:rsid w:val="000E407E"/>
    <w:rsid w:val="000E49FA"/>
    <w:rsid w:val="000E4FFA"/>
    <w:rsid w:val="000E5414"/>
    <w:rsid w:val="000E5551"/>
    <w:rsid w:val="000E6D08"/>
    <w:rsid w:val="000E76E5"/>
    <w:rsid w:val="000E7EEE"/>
    <w:rsid w:val="000F16E5"/>
    <w:rsid w:val="000F225C"/>
    <w:rsid w:val="000F238A"/>
    <w:rsid w:val="000F2F4D"/>
    <w:rsid w:val="000F350D"/>
    <w:rsid w:val="000F3EE3"/>
    <w:rsid w:val="000F431B"/>
    <w:rsid w:val="000F471F"/>
    <w:rsid w:val="000F4D6B"/>
    <w:rsid w:val="000F510C"/>
    <w:rsid w:val="000F6542"/>
    <w:rsid w:val="000F6636"/>
    <w:rsid w:val="001002AE"/>
    <w:rsid w:val="001014E0"/>
    <w:rsid w:val="001016F8"/>
    <w:rsid w:val="00101B1F"/>
    <w:rsid w:val="00102D91"/>
    <w:rsid w:val="00102ED1"/>
    <w:rsid w:val="001043D1"/>
    <w:rsid w:val="0010524F"/>
    <w:rsid w:val="00105F53"/>
    <w:rsid w:val="00106D7A"/>
    <w:rsid w:val="001118B9"/>
    <w:rsid w:val="00112321"/>
    <w:rsid w:val="0011350E"/>
    <w:rsid w:val="001154F0"/>
    <w:rsid w:val="0011583B"/>
    <w:rsid w:val="00116539"/>
    <w:rsid w:val="0011772D"/>
    <w:rsid w:val="00120056"/>
    <w:rsid w:val="00122CCA"/>
    <w:rsid w:val="001233D9"/>
    <w:rsid w:val="00123433"/>
    <w:rsid w:val="001236EE"/>
    <w:rsid w:val="001258BB"/>
    <w:rsid w:val="001258BF"/>
    <w:rsid w:val="00125B45"/>
    <w:rsid w:val="00125F0F"/>
    <w:rsid w:val="00126907"/>
    <w:rsid w:val="00126C51"/>
    <w:rsid w:val="00127EBD"/>
    <w:rsid w:val="00130730"/>
    <w:rsid w:val="001316E3"/>
    <w:rsid w:val="0013170A"/>
    <w:rsid w:val="001331D2"/>
    <w:rsid w:val="001337C8"/>
    <w:rsid w:val="001348FB"/>
    <w:rsid w:val="00134F78"/>
    <w:rsid w:val="00135638"/>
    <w:rsid w:val="00136D37"/>
    <w:rsid w:val="00136DEA"/>
    <w:rsid w:val="00137519"/>
    <w:rsid w:val="001379D1"/>
    <w:rsid w:val="00137E67"/>
    <w:rsid w:val="00137FDA"/>
    <w:rsid w:val="001402F6"/>
    <w:rsid w:val="00141E26"/>
    <w:rsid w:val="00141E79"/>
    <w:rsid w:val="00142AB8"/>
    <w:rsid w:val="0014536F"/>
    <w:rsid w:val="00145D20"/>
    <w:rsid w:val="001468A9"/>
    <w:rsid w:val="00147227"/>
    <w:rsid w:val="0014772F"/>
    <w:rsid w:val="001478D3"/>
    <w:rsid w:val="00147A28"/>
    <w:rsid w:val="00147EEC"/>
    <w:rsid w:val="00150E92"/>
    <w:rsid w:val="0015273B"/>
    <w:rsid w:val="00152E38"/>
    <w:rsid w:val="00153984"/>
    <w:rsid w:val="00154D3C"/>
    <w:rsid w:val="00154EF3"/>
    <w:rsid w:val="00157F3B"/>
    <w:rsid w:val="001622B6"/>
    <w:rsid w:val="0016263B"/>
    <w:rsid w:val="00162C0F"/>
    <w:rsid w:val="00163D5F"/>
    <w:rsid w:val="001644C4"/>
    <w:rsid w:val="0016541C"/>
    <w:rsid w:val="001659CB"/>
    <w:rsid w:val="0016614A"/>
    <w:rsid w:val="001667F9"/>
    <w:rsid w:val="00166A9C"/>
    <w:rsid w:val="00167FA4"/>
    <w:rsid w:val="001703B4"/>
    <w:rsid w:val="001712A8"/>
    <w:rsid w:val="00171784"/>
    <w:rsid w:val="001723BD"/>
    <w:rsid w:val="00173934"/>
    <w:rsid w:val="00177986"/>
    <w:rsid w:val="00180C23"/>
    <w:rsid w:val="0018254F"/>
    <w:rsid w:val="001825CC"/>
    <w:rsid w:val="00184307"/>
    <w:rsid w:val="00184C97"/>
    <w:rsid w:val="00184EF6"/>
    <w:rsid w:val="00185869"/>
    <w:rsid w:val="001859A7"/>
    <w:rsid w:val="00186D40"/>
    <w:rsid w:val="00187317"/>
    <w:rsid w:val="00190AF3"/>
    <w:rsid w:val="00190F21"/>
    <w:rsid w:val="0019227D"/>
    <w:rsid w:val="0019300D"/>
    <w:rsid w:val="001931D8"/>
    <w:rsid w:val="001932FD"/>
    <w:rsid w:val="00193B05"/>
    <w:rsid w:val="00194C30"/>
    <w:rsid w:val="00196B3B"/>
    <w:rsid w:val="00196F52"/>
    <w:rsid w:val="001971DB"/>
    <w:rsid w:val="00197358"/>
    <w:rsid w:val="001978B8"/>
    <w:rsid w:val="001A06E5"/>
    <w:rsid w:val="001A0B7A"/>
    <w:rsid w:val="001A1E76"/>
    <w:rsid w:val="001A5EFB"/>
    <w:rsid w:val="001A606D"/>
    <w:rsid w:val="001A6AA4"/>
    <w:rsid w:val="001A706F"/>
    <w:rsid w:val="001A7542"/>
    <w:rsid w:val="001A7D6C"/>
    <w:rsid w:val="001B0429"/>
    <w:rsid w:val="001B07AB"/>
    <w:rsid w:val="001B100D"/>
    <w:rsid w:val="001B24E0"/>
    <w:rsid w:val="001B25BB"/>
    <w:rsid w:val="001B26DC"/>
    <w:rsid w:val="001B3208"/>
    <w:rsid w:val="001B33E2"/>
    <w:rsid w:val="001B3C7E"/>
    <w:rsid w:val="001B45D7"/>
    <w:rsid w:val="001B48A7"/>
    <w:rsid w:val="001B48E6"/>
    <w:rsid w:val="001B4DFA"/>
    <w:rsid w:val="001B5737"/>
    <w:rsid w:val="001B6359"/>
    <w:rsid w:val="001B655A"/>
    <w:rsid w:val="001B6ECD"/>
    <w:rsid w:val="001B7FF4"/>
    <w:rsid w:val="001C0417"/>
    <w:rsid w:val="001C094B"/>
    <w:rsid w:val="001C2771"/>
    <w:rsid w:val="001C381E"/>
    <w:rsid w:val="001C383B"/>
    <w:rsid w:val="001C38DC"/>
    <w:rsid w:val="001C3DE3"/>
    <w:rsid w:val="001C4848"/>
    <w:rsid w:val="001C510B"/>
    <w:rsid w:val="001C57AE"/>
    <w:rsid w:val="001C5CE9"/>
    <w:rsid w:val="001C6210"/>
    <w:rsid w:val="001C7230"/>
    <w:rsid w:val="001C7826"/>
    <w:rsid w:val="001C7A47"/>
    <w:rsid w:val="001D09ED"/>
    <w:rsid w:val="001D12F0"/>
    <w:rsid w:val="001D1B87"/>
    <w:rsid w:val="001D2242"/>
    <w:rsid w:val="001D2759"/>
    <w:rsid w:val="001D3639"/>
    <w:rsid w:val="001D589A"/>
    <w:rsid w:val="001D69B8"/>
    <w:rsid w:val="001E064C"/>
    <w:rsid w:val="001E1215"/>
    <w:rsid w:val="001E1F06"/>
    <w:rsid w:val="001E2A3D"/>
    <w:rsid w:val="001E2A51"/>
    <w:rsid w:val="001E40DE"/>
    <w:rsid w:val="001E43D8"/>
    <w:rsid w:val="001E6974"/>
    <w:rsid w:val="001F0465"/>
    <w:rsid w:val="001F0B2A"/>
    <w:rsid w:val="001F2451"/>
    <w:rsid w:val="001F2B7C"/>
    <w:rsid w:val="001F3728"/>
    <w:rsid w:val="001F4B05"/>
    <w:rsid w:val="001F50F5"/>
    <w:rsid w:val="001F632A"/>
    <w:rsid w:val="001F6A0C"/>
    <w:rsid w:val="00200ABB"/>
    <w:rsid w:val="00200ABD"/>
    <w:rsid w:val="00200CB7"/>
    <w:rsid w:val="00201E7F"/>
    <w:rsid w:val="00204155"/>
    <w:rsid w:val="00210382"/>
    <w:rsid w:val="00210768"/>
    <w:rsid w:val="00210E42"/>
    <w:rsid w:val="00211668"/>
    <w:rsid w:val="00211777"/>
    <w:rsid w:val="00211E3C"/>
    <w:rsid w:val="002123BC"/>
    <w:rsid w:val="00212A61"/>
    <w:rsid w:val="002131B5"/>
    <w:rsid w:val="00213706"/>
    <w:rsid w:val="00213C8F"/>
    <w:rsid w:val="00214538"/>
    <w:rsid w:val="00214F19"/>
    <w:rsid w:val="00215224"/>
    <w:rsid w:val="002164B1"/>
    <w:rsid w:val="00216CD1"/>
    <w:rsid w:val="002174C7"/>
    <w:rsid w:val="00217AFD"/>
    <w:rsid w:val="00220B3C"/>
    <w:rsid w:val="0022154F"/>
    <w:rsid w:val="00221597"/>
    <w:rsid w:val="00222A5C"/>
    <w:rsid w:val="00223F5E"/>
    <w:rsid w:val="00224756"/>
    <w:rsid w:val="00224E12"/>
    <w:rsid w:val="00225E1E"/>
    <w:rsid w:val="00226B4C"/>
    <w:rsid w:val="00226CE1"/>
    <w:rsid w:val="00226F5E"/>
    <w:rsid w:val="00227077"/>
    <w:rsid w:val="00227854"/>
    <w:rsid w:val="002310BB"/>
    <w:rsid w:val="002338E1"/>
    <w:rsid w:val="00233F31"/>
    <w:rsid w:val="002340FC"/>
    <w:rsid w:val="00234869"/>
    <w:rsid w:val="002351F6"/>
    <w:rsid w:val="00235A56"/>
    <w:rsid w:val="00235B5F"/>
    <w:rsid w:val="00236401"/>
    <w:rsid w:val="00236EAC"/>
    <w:rsid w:val="00240343"/>
    <w:rsid w:val="00240CA4"/>
    <w:rsid w:val="00241575"/>
    <w:rsid w:val="00241871"/>
    <w:rsid w:val="002448B8"/>
    <w:rsid w:val="0024534E"/>
    <w:rsid w:val="00245359"/>
    <w:rsid w:val="002458AE"/>
    <w:rsid w:val="00245DA6"/>
    <w:rsid w:val="002463DE"/>
    <w:rsid w:val="00250F05"/>
    <w:rsid w:val="00250F08"/>
    <w:rsid w:val="00251FF3"/>
    <w:rsid w:val="0025235D"/>
    <w:rsid w:val="00254AC2"/>
    <w:rsid w:val="00254FAD"/>
    <w:rsid w:val="00255141"/>
    <w:rsid w:val="00255D0C"/>
    <w:rsid w:val="00257486"/>
    <w:rsid w:val="00257966"/>
    <w:rsid w:val="00260C79"/>
    <w:rsid w:val="00260E35"/>
    <w:rsid w:val="00261208"/>
    <w:rsid w:val="0026126F"/>
    <w:rsid w:val="002634A8"/>
    <w:rsid w:val="00263973"/>
    <w:rsid w:val="00264194"/>
    <w:rsid w:val="002651DE"/>
    <w:rsid w:val="00265D70"/>
    <w:rsid w:val="00266133"/>
    <w:rsid w:val="002667C3"/>
    <w:rsid w:val="00267C44"/>
    <w:rsid w:val="00267F34"/>
    <w:rsid w:val="00270085"/>
    <w:rsid w:val="00271343"/>
    <w:rsid w:val="00271B27"/>
    <w:rsid w:val="00271EFB"/>
    <w:rsid w:val="00274558"/>
    <w:rsid w:val="0027490F"/>
    <w:rsid w:val="0027497A"/>
    <w:rsid w:val="002764F7"/>
    <w:rsid w:val="00277A67"/>
    <w:rsid w:val="00281FAA"/>
    <w:rsid w:val="00282259"/>
    <w:rsid w:val="00282958"/>
    <w:rsid w:val="00282C41"/>
    <w:rsid w:val="002834E5"/>
    <w:rsid w:val="002843A3"/>
    <w:rsid w:val="00284C7E"/>
    <w:rsid w:val="00284F08"/>
    <w:rsid w:val="00286A9B"/>
    <w:rsid w:val="002875E8"/>
    <w:rsid w:val="00287B23"/>
    <w:rsid w:val="00291108"/>
    <w:rsid w:val="002912F9"/>
    <w:rsid w:val="00293B81"/>
    <w:rsid w:val="00295250"/>
    <w:rsid w:val="00295B41"/>
    <w:rsid w:val="002972E4"/>
    <w:rsid w:val="002A165E"/>
    <w:rsid w:val="002A18F5"/>
    <w:rsid w:val="002A2302"/>
    <w:rsid w:val="002A2F8D"/>
    <w:rsid w:val="002A436A"/>
    <w:rsid w:val="002A4595"/>
    <w:rsid w:val="002A4F55"/>
    <w:rsid w:val="002A5BE2"/>
    <w:rsid w:val="002B1087"/>
    <w:rsid w:val="002B2EE2"/>
    <w:rsid w:val="002B30C2"/>
    <w:rsid w:val="002B389D"/>
    <w:rsid w:val="002B41BD"/>
    <w:rsid w:val="002B4465"/>
    <w:rsid w:val="002B47BA"/>
    <w:rsid w:val="002B4C70"/>
    <w:rsid w:val="002B68C5"/>
    <w:rsid w:val="002B7577"/>
    <w:rsid w:val="002B7B59"/>
    <w:rsid w:val="002B7C3B"/>
    <w:rsid w:val="002C26AF"/>
    <w:rsid w:val="002C2EDB"/>
    <w:rsid w:val="002C4D39"/>
    <w:rsid w:val="002C77F8"/>
    <w:rsid w:val="002D03DD"/>
    <w:rsid w:val="002D14D5"/>
    <w:rsid w:val="002D1C5E"/>
    <w:rsid w:val="002D285B"/>
    <w:rsid w:val="002D38D2"/>
    <w:rsid w:val="002D40D6"/>
    <w:rsid w:val="002D45C7"/>
    <w:rsid w:val="002D4E01"/>
    <w:rsid w:val="002D4F96"/>
    <w:rsid w:val="002D5E05"/>
    <w:rsid w:val="002D6079"/>
    <w:rsid w:val="002D7FEF"/>
    <w:rsid w:val="002E026C"/>
    <w:rsid w:val="002E0A38"/>
    <w:rsid w:val="002E3977"/>
    <w:rsid w:val="002E423D"/>
    <w:rsid w:val="002E48E5"/>
    <w:rsid w:val="002E495D"/>
    <w:rsid w:val="002E4AB9"/>
    <w:rsid w:val="002E55F2"/>
    <w:rsid w:val="002E5F43"/>
    <w:rsid w:val="002E699D"/>
    <w:rsid w:val="002E79BB"/>
    <w:rsid w:val="002F075D"/>
    <w:rsid w:val="002F14D3"/>
    <w:rsid w:val="002F2520"/>
    <w:rsid w:val="002F2AE6"/>
    <w:rsid w:val="002F3192"/>
    <w:rsid w:val="002F351C"/>
    <w:rsid w:val="002F39E0"/>
    <w:rsid w:val="002F3FAB"/>
    <w:rsid w:val="002F5DF0"/>
    <w:rsid w:val="002F6686"/>
    <w:rsid w:val="002F689D"/>
    <w:rsid w:val="002F6C10"/>
    <w:rsid w:val="002F7C82"/>
    <w:rsid w:val="0030018E"/>
    <w:rsid w:val="00301867"/>
    <w:rsid w:val="003019E0"/>
    <w:rsid w:val="00301B4B"/>
    <w:rsid w:val="00301CFC"/>
    <w:rsid w:val="003024E7"/>
    <w:rsid w:val="003028BD"/>
    <w:rsid w:val="00303049"/>
    <w:rsid w:val="0030397A"/>
    <w:rsid w:val="003111D9"/>
    <w:rsid w:val="003114D9"/>
    <w:rsid w:val="00311596"/>
    <w:rsid w:val="003116F1"/>
    <w:rsid w:val="00312798"/>
    <w:rsid w:val="00312BAF"/>
    <w:rsid w:val="00315502"/>
    <w:rsid w:val="00316D57"/>
    <w:rsid w:val="00317D1A"/>
    <w:rsid w:val="003208FD"/>
    <w:rsid w:val="00321291"/>
    <w:rsid w:val="003212FF"/>
    <w:rsid w:val="0032162E"/>
    <w:rsid w:val="00321B96"/>
    <w:rsid w:val="00322010"/>
    <w:rsid w:val="003222E9"/>
    <w:rsid w:val="003243B8"/>
    <w:rsid w:val="0032500C"/>
    <w:rsid w:val="0032550E"/>
    <w:rsid w:val="003258B9"/>
    <w:rsid w:val="00325BC4"/>
    <w:rsid w:val="00325CEF"/>
    <w:rsid w:val="0033077A"/>
    <w:rsid w:val="0033188D"/>
    <w:rsid w:val="00331CD9"/>
    <w:rsid w:val="00333601"/>
    <w:rsid w:val="00334196"/>
    <w:rsid w:val="0033436C"/>
    <w:rsid w:val="003349F3"/>
    <w:rsid w:val="00334F58"/>
    <w:rsid w:val="00335005"/>
    <w:rsid w:val="0033501B"/>
    <w:rsid w:val="0033570C"/>
    <w:rsid w:val="00337969"/>
    <w:rsid w:val="00340569"/>
    <w:rsid w:val="00340621"/>
    <w:rsid w:val="0034186F"/>
    <w:rsid w:val="003430AA"/>
    <w:rsid w:val="003442BF"/>
    <w:rsid w:val="00344B53"/>
    <w:rsid w:val="00345E8D"/>
    <w:rsid w:val="003472FF"/>
    <w:rsid w:val="00347390"/>
    <w:rsid w:val="00347F07"/>
    <w:rsid w:val="00350360"/>
    <w:rsid w:val="003520B4"/>
    <w:rsid w:val="00352D38"/>
    <w:rsid w:val="003533DC"/>
    <w:rsid w:val="0035341B"/>
    <w:rsid w:val="00353916"/>
    <w:rsid w:val="0035412A"/>
    <w:rsid w:val="00356A68"/>
    <w:rsid w:val="00356F22"/>
    <w:rsid w:val="003571EE"/>
    <w:rsid w:val="00360785"/>
    <w:rsid w:val="00360AFA"/>
    <w:rsid w:val="00361AED"/>
    <w:rsid w:val="00362416"/>
    <w:rsid w:val="0036275E"/>
    <w:rsid w:val="00362969"/>
    <w:rsid w:val="00363FE8"/>
    <w:rsid w:val="00365886"/>
    <w:rsid w:val="003658D6"/>
    <w:rsid w:val="00365941"/>
    <w:rsid w:val="003659F5"/>
    <w:rsid w:val="003667F4"/>
    <w:rsid w:val="0036680E"/>
    <w:rsid w:val="00366E43"/>
    <w:rsid w:val="00370390"/>
    <w:rsid w:val="0037210E"/>
    <w:rsid w:val="00373FFC"/>
    <w:rsid w:val="00374566"/>
    <w:rsid w:val="00376362"/>
    <w:rsid w:val="00376ADF"/>
    <w:rsid w:val="00380288"/>
    <w:rsid w:val="003808F5"/>
    <w:rsid w:val="00381ADA"/>
    <w:rsid w:val="00382898"/>
    <w:rsid w:val="00382D5C"/>
    <w:rsid w:val="00382D86"/>
    <w:rsid w:val="0038482A"/>
    <w:rsid w:val="00390736"/>
    <w:rsid w:val="00390B41"/>
    <w:rsid w:val="0039196D"/>
    <w:rsid w:val="003922E0"/>
    <w:rsid w:val="00392DAD"/>
    <w:rsid w:val="00393B62"/>
    <w:rsid w:val="0039547C"/>
    <w:rsid w:val="0039583F"/>
    <w:rsid w:val="003A0C40"/>
    <w:rsid w:val="003A117B"/>
    <w:rsid w:val="003A3791"/>
    <w:rsid w:val="003A38D4"/>
    <w:rsid w:val="003A43EF"/>
    <w:rsid w:val="003A450A"/>
    <w:rsid w:val="003A49B0"/>
    <w:rsid w:val="003A4CCC"/>
    <w:rsid w:val="003A53F5"/>
    <w:rsid w:val="003A5D0C"/>
    <w:rsid w:val="003A70E7"/>
    <w:rsid w:val="003A7273"/>
    <w:rsid w:val="003A78BD"/>
    <w:rsid w:val="003A7B66"/>
    <w:rsid w:val="003B0E7C"/>
    <w:rsid w:val="003B26DE"/>
    <w:rsid w:val="003B3A66"/>
    <w:rsid w:val="003B3BA5"/>
    <w:rsid w:val="003B3C45"/>
    <w:rsid w:val="003B3F8C"/>
    <w:rsid w:val="003B431B"/>
    <w:rsid w:val="003B471A"/>
    <w:rsid w:val="003B5247"/>
    <w:rsid w:val="003B6C8B"/>
    <w:rsid w:val="003B78CA"/>
    <w:rsid w:val="003C01A5"/>
    <w:rsid w:val="003C0688"/>
    <w:rsid w:val="003C154C"/>
    <w:rsid w:val="003C18D9"/>
    <w:rsid w:val="003C3068"/>
    <w:rsid w:val="003C3398"/>
    <w:rsid w:val="003C360F"/>
    <w:rsid w:val="003C5FAA"/>
    <w:rsid w:val="003C62B2"/>
    <w:rsid w:val="003C74E1"/>
    <w:rsid w:val="003C7BDD"/>
    <w:rsid w:val="003D066D"/>
    <w:rsid w:val="003D06B7"/>
    <w:rsid w:val="003D1F71"/>
    <w:rsid w:val="003D314E"/>
    <w:rsid w:val="003D387F"/>
    <w:rsid w:val="003D456E"/>
    <w:rsid w:val="003D5AA2"/>
    <w:rsid w:val="003D5FE0"/>
    <w:rsid w:val="003D6C88"/>
    <w:rsid w:val="003D7546"/>
    <w:rsid w:val="003E09EA"/>
    <w:rsid w:val="003E0A86"/>
    <w:rsid w:val="003E0C69"/>
    <w:rsid w:val="003E0FB3"/>
    <w:rsid w:val="003E21EE"/>
    <w:rsid w:val="003E4883"/>
    <w:rsid w:val="003E7131"/>
    <w:rsid w:val="003E75A4"/>
    <w:rsid w:val="003E7C56"/>
    <w:rsid w:val="003F07CB"/>
    <w:rsid w:val="003F0EEF"/>
    <w:rsid w:val="003F14FB"/>
    <w:rsid w:val="003F196B"/>
    <w:rsid w:val="003F2DAF"/>
    <w:rsid w:val="003F3718"/>
    <w:rsid w:val="003F43DF"/>
    <w:rsid w:val="003F4790"/>
    <w:rsid w:val="003F52E2"/>
    <w:rsid w:val="003F5D06"/>
    <w:rsid w:val="003F6065"/>
    <w:rsid w:val="003F68DE"/>
    <w:rsid w:val="003F7108"/>
    <w:rsid w:val="003F7C0D"/>
    <w:rsid w:val="003F7C3F"/>
    <w:rsid w:val="00401497"/>
    <w:rsid w:val="00402865"/>
    <w:rsid w:val="00402B60"/>
    <w:rsid w:val="004035CA"/>
    <w:rsid w:val="00404993"/>
    <w:rsid w:val="00404BBA"/>
    <w:rsid w:val="0040549F"/>
    <w:rsid w:val="00406056"/>
    <w:rsid w:val="00406E9C"/>
    <w:rsid w:val="004102BA"/>
    <w:rsid w:val="0041190F"/>
    <w:rsid w:val="0041197E"/>
    <w:rsid w:val="00412424"/>
    <w:rsid w:val="00412E9D"/>
    <w:rsid w:val="004139AD"/>
    <w:rsid w:val="00413C28"/>
    <w:rsid w:val="0041464B"/>
    <w:rsid w:val="0041499D"/>
    <w:rsid w:val="004156BF"/>
    <w:rsid w:val="00415EB7"/>
    <w:rsid w:val="0041637C"/>
    <w:rsid w:val="00416492"/>
    <w:rsid w:val="004201C4"/>
    <w:rsid w:val="00421468"/>
    <w:rsid w:val="004214F4"/>
    <w:rsid w:val="004218E6"/>
    <w:rsid w:val="004234D0"/>
    <w:rsid w:val="00423535"/>
    <w:rsid w:val="00423D31"/>
    <w:rsid w:val="004248A2"/>
    <w:rsid w:val="004249D8"/>
    <w:rsid w:val="00425242"/>
    <w:rsid w:val="004254CA"/>
    <w:rsid w:val="004260A4"/>
    <w:rsid w:val="00426789"/>
    <w:rsid w:val="00427749"/>
    <w:rsid w:val="00427BE5"/>
    <w:rsid w:val="00430995"/>
    <w:rsid w:val="00431256"/>
    <w:rsid w:val="004315A2"/>
    <w:rsid w:val="00431B69"/>
    <w:rsid w:val="00432773"/>
    <w:rsid w:val="004329BC"/>
    <w:rsid w:val="00432D5F"/>
    <w:rsid w:val="00432D9F"/>
    <w:rsid w:val="00433B72"/>
    <w:rsid w:val="00433EDB"/>
    <w:rsid w:val="00435CE6"/>
    <w:rsid w:val="00436C95"/>
    <w:rsid w:val="004376F1"/>
    <w:rsid w:val="00437CE9"/>
    <w:rsid w:val="004401D3"/>
    <w:rsid w:val="00441C44"/>
    <w:rsid w:val="00441F64"/>
    <w:rsid w:val="0044365F"/>
    <w:rsid w:val="004439E2"/>
    <w:rsid w:val="00444714"/>
    <w:rsid w:val="00445E7E"/>
    <w:rsid w:val="0044605A"/>
    <w:rsid w:val="0044625F"/>
    <w:rsid w:val="00447AFB"/>
    <w:rsid w:val="00451A65"/>
    <w:rsid w:val="00452001"/>
    <w:rsid w:val="004523AD"/>
    <w:rsid w:val="00452654"/>
    <w:rsid w:val="00457EED"/>
    <w:rsid w:val="004600BD"/>
    <w:rsid w:val="00460892"/>
    <w:rsid w:val="00460B72"/>
    <w:rsid w:val="0046273A"/>
    <w:rsid w:val="00462FAA"/>
    <w:rsid w:val="00464C75"/>
    <w:rsid w:val="00465F84"/>
    <w:rsid w:val="00471CF9"/>
    <w:rsid w:val="00472910"/>
    <w:rsid w:val="00472A2E"/>
    <w:rsid w:val="0047356C"/>
    <w:rsid w:val="00473C42"/>
    <w:rsid w:val="00475172"/>
    <w:rsid w:val="00477273"/>
    <w:rsid w:val="00477317"/>
    <w:rsid w:val="00477F35"/>
    <w:rsid w:val="004820A4"/>
    <w:rsid w:val="0048406E"/>
    <w:rsid w:val="004843F6"/>
    <w:rsid w:val="004853D7"/>
    <w:rsid w:val="0048575C"/>
    <w:rsid w:val="00486F23"/>
    <w:rsid w:val="004874A3"/>
    <w:rsid w:val="00487BCA"/>
    <w:rsid w:val="00491CE1"/>
    <w:rsid w:val="00492689"/>
    <w:rsid w:val="00492818"/>
    <w:rsid w:val="00492DC5"/>
    <w:rsid w:val="00493AA7"/>
    <w:rsid w:val="0049565D"/>
    <w:rsid w:val="00497268"/>
    <w:rsid w:val="004A097E"/>
    <w:rsid w:val="004A1132"/>
    <w:rsid w:val="004A1885"/>
    <w:rsid w:val="004A1F14"/>
    <w:rsid w:val="004A2336"/>
    <w:rsid w:val="004A2B3B"/>
    <w:rsid w:val="004A2DA3"/>
    <w:rsid w:val="004A512E"/>
    <w:rsid w:val="004A557A"/>
    <w:rsid w:val="004A62B9"/>
    <w:rsid w:val="004A71A2"/>
    <w:rsid w:val="004A72D3"/>
    <w:rsid w:val="004A7541"/>
    <w:rsid w:val="004B1366"/>
    <w:rsid w:val="004B3491"/>
    <w:rsid w:val="004B3E40"/>
    <w:rsid w:val="004B40AF"/>
    <w:rsid w:val="004B42CC"/>
    <w:rsid w:val="004B5423"/>
    <w:rsid w:val="004B5FC5"/>
    <w:rsid w:val="004B6B7B"/>
    <w:rsid w:val="004B75CC"/>
    <w:rsid w:val="004C18B8"/>
    <w:rsid w:val="004C2047"/>
    <w:rsid w:val="004C28E2"/>
    <w:rsid w:val="004C352B"/>
    <w:rsid w:val="004C354C"/>
    <w:rsid w:val="004C41F2"/>
    <w:rsid w:val="004C4CBE"/>
    <w:rsid w:val="004C5191"/>
    <w:rsid w:val="004C671C"/>
    <w:rsid w:val="004C74CF"/>
    <w:rsid w:val="004D01A0"/>
    <w:rsid w:val="004D2097"/>
    <w:rsid w:val="004D2ED2"/>
    <w:rsid w:val="004D306E"/>
    <w:rsid w:val="004D42E4"/>
    <w:rsid w:val="004D458B"/>
    <w:rsid w:val="004D47E7"/>
    <w:rsid w:val="004D4D4D"/>
    <w:rsid w:val="004D55A5"/>
    <w:rsid w:val="004D5DF8"/>
    <w:rsid w:val="004E316B"/>
    <w:rsid w:val="004E3826"/>
    <w:rsid w:val="004E3D39"/>
    <w:rsid w:val="004E3EEB"/>
    <w:rsid w:val="004E42B7"/>
    <w:rsid w:val="004E5B5D"/>
    <w:rsid w:val="004E73FB"/>
    <w:rsid w:val="004E756F"/>
    <w:rsid w:val="004E7F02"/>
    <w:rsid w:val="004F0E12"/>
    <w:rsid w:val="004F147E"/>
    <w:rsid w:val="004F14A1"/>
    <w:rsid w:val="004F156B"/>
    <w:rsid w:val="004F27FF"/>
    <w:rsid w:val="004F29A7"/>
    <w:rsid w:val="004F73FC"/>
    <w:rsid w:val="004F7B1E"/>
    <w:rsid w:val="005003D0"/>
    <w:rsid w:val="00501D3C"/>
    <w:rsid w:val="00502423"/>
    <w:rsid w:val="00502595"/>
    <w:rsid w:val="005026D1"/>
    <w:rsid w:val="0050331B"/>
    <w:rsid w:val="00504725"/>
    <w:rsid w:val="00505C4E"/>
    <w:rsid w:val="005073A1"/>
    <w:rsid w:val="00507435"/>
    <w:rsid w:val="005101B0"/>
    <w:rsid w:val="00510294"/>
    <w:rsid w:val="0051083A"/>
    <w:rsid w:val="005112F9"/>
    <w:rsid w:val="005117F0"/>
    <w:rsid w:val="0051336B"/>
    <w:rsid w:val="0051380F"/>
    <w:rsid w:val="005139BF"/>
    <w:rsid w:val="005145EB"/>
    <w:rsid w:val="00514AB1"/>
    <w:rsid w:val="00514FFC"/>
    <w:rsid w:val="0051568F"/>
    <w:rsid w:val="00515933"/>
    <w:rsid w:val="00516009"/>
    <w:rsid w:val="00516F64"/>
    <w:rsid w:val="00517344"/>
    <w:rsid w:val="00517738"/>
    <w:rsid w:val="00517A19"/>
    <w:rsid w:val="0052171D"/>
    <w:rsid w:val="00524485"/>
    <w:rsid w:val="00525049"/>
    <w:rsid w:val="00526CE3"/>
    <w:rsid w:val="00526CE9"/>
    <w:rsid w:val="005302BB"/>
    <w:rsid w:val="005314A6"/>
    <w:rsid w:val="00533D09"/>
    <w:rsid w:val="005350BE"/>
    <w:rsid w:val="00535560"/>
    <w:rsid w:val="00535AD1"/>
    <w:rsid w:val="00535E0E"/>
    <w:rsid w:val="00536B9B"/>
    <w:rsid w:val="00537A94"/>
    <w:rsid w:val="005418ED"/>
    <w:rsid w:val="005440E8"/>
    <w:rsid w:val="00544D1B"/>
    <w:rsid w:val="00546FCC"/>
    <w:rsid w:val="005470E9"/>
    <w:rsid w:val="0054712A"/>
    <w:rsid w:val="005473A4"/>
    <w:rsid w:val="0055022C"/>
    <w:rsid w:val="00550753"/>
    <w:rsid w:val="00550AB6"/>
    <w:rsid w:val="005515F4"/>
    <w:rsid w:val="005516F6"/>
    <w:rsid w:val="005527EE"/>
    <w:rsid w:val="005536D6"/>
    <w:rsid w:val="00554149"/>
    <w:rsid w:val="005541DF"/>
    <w:rsid w:val="005554BF"/>
    <w:rsid w:val="00555CC8"/>
    <w:rsid w:val="005564B1"/>
    <w:rsid w:val="00556E9A"/>
    <w:rsid w:val="005604B7"/>
    <w:rsid w:val="005606BE"/>
    <w:rsid w:val="00563AD0"/>
    <w:rsid w:val="00565075"/>
    <w:rsid w:val="005655CB"/>
    <w:rsid w:val="005656EE"/>
    <w:rsid w:val="00566C5A"/>
    <w:rsid w:val="00566DDA"/>
    <w:rsid w:val="005711FF"/>
    <w:rsid w:val="00571BF2"/>
    <w:rsid w:val="00572B3D"/>
    <w:rsid w:val="005743E2"/>
    <w:rsid w:val="005763E6"/>
    <w:rsid w:val="0057640F"/>
    <w:rsid w:val="005775D7"/>
    <w:rsid w:val="00580587"/>
    <w:rsid w:val="005806F0"/>
    <w:rsid w:val="005814EF"/>
    <w:rsid w:val="00581912"/>
    <w:rsid w:val="00581A9B"/>
    <w:rsid w:val="00583B0D"/>
    <w:rsid w:val="0058456E"/>
    <w:rsid w:val="005855E6"/>
    <w:rsid w:val="0058567E"/>
    <w:rsid w:val="00585A32"/>
    <w:rsid w:val="00585C70"/>
    <w:rsid w:val="0058689B"/>
    <w:rsid w:val="00586F70"/>
    <w:rsid w:val="00590652"/>
    <w:rsid w:val="005907D1"/>
    <w:rsid w:val="00591F86"/>
    <w:rsid w:val="005925BB"/>
    <w:rsid w:val="00592D33"/>
    <w:rsid w:val="00595794"/>
    <w:rsid w:val="0059727C"/>
    <w:rsid w:val="005977D1"/>
    <w:rsid w:val="005A0440"/>
    <w:rsid w:val="005A0639"/>
    <w:rsid w:val="005A1917"/>
    <w:rsid w:val="005A552C"/>
    <w:rsid w:val="005A7BC8"/>
    <w:rsid w:val="005A7CFA"/>
    <w:rsid w:val="005A7EC1"/>
    <w:rsid w:val="005B1713"/>
    <w:rsid w:val="005B1CEF"/>
    <w:rsid w:val="005B1D67"/>
    <w:rsid w:val="005B2759"/>
    <w:rsid w:val="005B2B4E"/>
    <w:rsid w:val="005B38BC"/>
    <w:rsid w:val="005B4272"/>
    <w:rsid w:val="005B4541"/>
    <w:rsid w:val="005B693D"/>
    <w:rsid w:val="005B7203"/>
    <w:rsid w:val="005C0096"/>
    <w:rsid w:val="005C178D"/>
    <w:rsid w:val="005C22B4"/>
    <w:rsid w:val="005C3318"/>
    <w:rsid w:val="005C3319"/>
    <w:rsid w:val="005C408F"/>
    <w:rsid w:val="005C4D73"/>
    <w:rsid w:val="005C4DDA"/>
    <w:rsid w:val="005C68F8"/>
    <w:rsid w:val="005C6DAE"/>
    <w:rsid w:val="005D26E0"/>
    <w:rsid w:val="005D2A18"/>
    <w:rsid w:val="005D2AE9"/>
    <w:rsid w:val="005D4225"/>
    <w:rsid w:val="005D46A1"/>
    <w:rsid w:val="005D4B56"/>
    <w:rsid w:val="005D4DD1"/>
    <w:rsid w:val="005D4F0D"/>
    <w:rsid w:val="005D64F1"/>
    <w:rsid w:val="005D7E4A"/>
    <w:rsid w:val="005E0230"/>
    <w:rsid w:val="005E0294"/>
    <w:rsid w:val="005E0706"/>
    <w:rsid w:val="005E0724"/>
    <w:rsid w:val="005E1BC9"/>
    <w:rsid w:val="005E1D7A"/>
    <w:rsid w:val="005E2514"/>
    <w:rsid w:val="005E36B4"/>
    <w:rsid w:val="005E3A3D"/>
    <w:rsid w:val="005E59F4"/>
    <w:rsid w:val="005E5C35"/>
    <w:rsid w:val="005E60EA"/>
    <w:rsid w:val="005E7073"/>
    <w:rsid w:val="005F12AE"/>
    <w:rsid w:val="005F2200"/>
    <w:rsid w:val="005F2620"/>
    <w:rsid w:val="005F4209"/>
    <w:rsid w:val="005F533C"/>
    <w:rsid w:val="005F71FD"/>
    <w:rsid w:val="005F73F6"/>
    <w:rsid w:val="005F7D61"/>
    <w:rsid w:val="00600576"/>
    <w:rsid w:val="006006D9"/>
    <w:rsid w:val="00601178"/>
    <w:rsid w:val="00601E5F"/>
    <w:rsid w:val="00602137"/>
    <w:rsid w:val="0060218F"/>
    <w:rsid w:val="00602665"/>
    <w:rsid w:val="00602E0B"/>
    <w:rsid w:val="00602EB7"/>
    <w:rsid w:val="00603915"/>
    <w:rsid w:val="00604186"/>
    <w:rsid w:val="0060526F"/>
    <w:rsid w:val="00606C66"/>
    <w:rsid w:val="00607C07"/>
    <w:rsid w:val="00610C88"/>
    <w:rsid w:val="0061147E"/>
    <w:rsid w:val="00611C69"/>
    <w:rsid w:val="00612438"/>
    <w:rsid w:val="006127A4"/>
    <w:rsid w:val="006127E9"/>
    <w:rsid w:val="00612E59"/>
    <w:rsid w:val="006132A6"/>
    <w:rsid w:val="006137D2"/>
    <w:rsid w:val="00613851"/>
    <w:rsid w:val="0061393F"/>
    <w:rsid w:val="00614353"/>
    <w:rsid w:val="00614BC4"/>
    <w:rsid w:val="0061740F"/>
    <w:rsid w:val="0061762E"/>
    <w:rsid w:val="006176E5"/>
    <w:rsid w:val="006216DA"/>
    <w:rsid w:val="00622CD9"/>
    <w:rsid w:val="00622E0F"/>
    <w:rsid w:val="006232D6"/>
    <w:rsid w:val="006245BA"/>
    <w:rsid w:val="00624A0D"/>
    <w:rsid w:val="00624F1D"/>
    <w:rsid w:val="00625910"/>
    <w:rsid w:val="00625EBB"/>
    <w:rsid w:val="006305DE"/>
    <w:rsid w:val="00630EFF"/>
    <w:rsid w:val="00631213"/>
    <w:rsid w:val="00631255"/>
    <w:rsid w:val="006313ED"/>
    <w:rsid w:val="006325ED"/>
    <w:rsid w:val="006343C3"/>
    <w:rsid w:val="00636321"/>
    <w:rsid w:val="0063706B"/>
    <w:rsid w:val="0063760F"/>
    <w:rsid w:val="006411B8"/>
    <w:rsid w:val="00644D0D"/>
    <w:rsid w:val="006457E5"/>
    <w:rsid w:val="00646FA4"/>
    <w:rsid w:val="006506B0"/>
    <w:rsid w:val="00650D7D"/>
    <w:rsid w:val="00651B57"/>
    <w:rsid w:val="00652C0E"/>
    <w:rsid w:val="00652C4C"/>
    <w:rsid w:val="006530E8"/>
    <w:rsid w:val="0065362B"/>
    <w:rsid w:val="006539FD"/>
    <w:rsid w:val="00655090"/>
    <w:rsid w:val="00663558"/>
    <w:rsid w:val="00663583"/>
    <w:rsid w:val="006640BF"/>
    <w:rsid w:val="006645A6"/>
    <w:rsid w:val="0066585A"/>
    <w:rsid w:val="00666315"/>
    <w:rsid w:val="006726DC"/>
    <w:rsid w:val="00672707"/>
    <w:rsid w:val="0067368A"/>
    <w:rsid w:val="00673756"/>
    <w:rsid w:val="00675336"/>
    <w:rsid w:val="00675FC5"/>
    <w:rsid w:val="00676202"/>
    <w:rsid w:val="00676B04"/>
    <w:rsid w:val="00676CFB"/>
    <w:rsid w:val="00676EDC"/>
    <w:rsid w:val="006776B0"/>
    <w:rsid w:val="00680ACF"/>
    <w:rsid w:val="00680EC7"/>
    <w:rsid w:val="006810A7"/>
    <w:rsid w:val="0068126C"/>
    <w:rsid w:val="006819C1"/>
    <w:rsid w:val="00682A92"/>
    <w:rsid w:val="00682FE5"/>
    <w:rsid w:val="00684907"/>
    <w:rsid w:val="00685346"/>
    <w:rsid w:val="00686592"/>
    <w:rsid w:val="006918CF"/>
    <w:rsid w:val="0069243E"/>
    <w:rsid w:val="006925AC"/>
    <w:rsid w:val="00692B9E"/>
    <w:rsid w:val="00693414"/>
    <w:rsid w:val="0069355A"/>
    <w:rsid w:val="00693A54"/>
    <w:rsid w:val="00693B45"/>
    <w:rsid w:val="0069476B"/>
    <w:rsid w:val="006947DA"/>
    <w:rsid w:val="00694B39"/>
    <w:rsid w:val="00696175"/>
    <w:rsid w:val="00696381"/>
    <w:rsid w:val="00696E35"/>
    <w:rsid w:val="00697604"/>
    <w:rsid w:val="00697828"/>
    <w:rsid w:val="00697D97"/>
    <w:rsid w:val="006A07DB"/>
    <w:rsid w:val="006A0B47"/>
    <w:rsid w:val="006A0EA4"/>
    <w:rsid w:val="006A1380"/>
    <w:rsid w:val="006A29BB"/>
    <w:rsid w:val="006A2B40"/>
    <w:rsid w:val="006A2F10"/>
    <w:rsid w:val="006A45E9"/>
    <w:rsid w:val="006A4920"/>
    <w:rsid w:val="006A5055"/>
    <w:rsid w:val="006A6947"/>
    <w:rsid w:val="006A73D0"/>
    <w:rsid w:val="006A7494"/>
    <w:rsid w:val="006A792E"/>
    <w:rsid w:val="006A7B74"/>
    <w:rsid w:val="006B0142"/>
    <w:rsid w:val="006B0D97"/>
    <w:rsid w:val="006B23AA"/>
    <w:rsid w:val="006B253A"/>
    <w:rsid w:val="006B34E8"/>
    <w:rsid w:val="006B51D5"/>
    <w:rsid w:val="006B559A"/>
    <w:rsid w:val="006B5F5F"/>
    <w:rsid w:val="006B72DF"/>
    <w:rsid w:val="006B793D"/>
    <w:rsid w:val="006B7EF7"/>
    <w:rsid w:val="006C0248"/>
    <w:rsid w:val="006C0892"/>
    <w:rsid w:val="006C138A"/>
    <w:rsid w:val="006C35E2"/>
    <w:rsid w:val="006C39A5"/>
    <w:rsid w:val="006C451B"/>
    <w:rsid w:val="006C580D"/>
    <w:rsid w:val="006C7456"/>
    <w:rsid w:val="006C7911"/>
    <w:rsid w:val="006C7D13"/>
    <w:rsid w:val="006D0A60"/>
    <w:rsid w:val="006D1B63"/>
    <w:rsid w:val="006D258E"/>
    <w:rsid w:val="006D2B27"/>
    <w:rsid w:val="006D3B1D"/>
    <w:rsid w:val="006D3E32"/>
    <w:rsid w:val="006D5538"/>
    <w:rsid w:val="006D5EC5"/>
    <w:rsid w:val="006D66BE"/>
    <w:rsid w:val="006D6816"/>
    <w:rsid w:val="006D6C93"/>
    <w:rsid w:val="006E025F"/>
    <w:rsid w:val="006E035B"/>
    <w:rsid w:val="006E076E"/>
    <w:rsid w:val="006E085A"/>
    <w:rsid w:val="006E0C36"/>
    <w:rsid w:val="006E397F"/>
    <w:rsid w:val="006E3A81"/>
    <w:rsid w:val="006E6C27"/>
    <w:rsid w:val="006E7F63"/>
    <w:rsid w:val="006F0F0D"/>
    <w:rsid w:val="006F22BD"/>
    <w:rsid w:val="006F24E4"/>
    <w:rsid w:val="006F63B3"/>
    <w:rsid w:val="006F6FE0"/>
    <w:rsid w:val="006F7AC0"/>
    <w:rsid w:val="00700709"/>
    <w:rsid w:val="0070100F"/>
    <w:rsid w:val="007012B4"/>
    <w:rsid w:val="007012C0"/>
    <w:rsid w:val="00701A09"/>
    <w:rsid w:val="00702991"/>
    <w:rsid w:val="00703B38"/>
    <w:rsid w:val="00704092"/>
    <w:rsid w:val="007040EC"/>
    <w:rsid w:val="00707160"/>
    <w:rsid w:val="007079AE"/>
    <w:rsid w:val="00710444"/>
    <w:rsid w:val="00711318"/>
    <w:rsid w:val="00711A07"/>
    <w:rsid w:val="00711CA7"/>
    <w:rsid w:val="0071310A"/>
    <w:rsid w:val="00713471"/>
    <w:rsid w:val="00713923"/>
    <w:rsid w:val="0071460C"/>
    <w:rsid w:val="007156BC"/>
    <w:rsid w:val="0071740D"/>
    <w:rsid w:val="007200AC"/>
    <w:rsid w:val="007200F2"/>
    <w:rsid w:val="00720CCE"/>
    <w:rsid w:val="007210AD"/>
    <w:rsid w:val="0072177D"/>
    <w:rsid w:val="007219CE"/>
    <w:rsid w:val="00722531"/>
    <w:rsid w:val="00722DB5"/>
    <w:rsid w:val="007240BC"/>
    <w:rsid w:val="007248AA"/>
    <w:rsid w:val="00725F84"/>
    <w:rsid w:val="007279C0"/>
    <w:rsid w:val="00731D6C"/>
    <w:rsid w:val="00732375"/>
    <w:rsid w:val="0073287C"/>
    <w:rsid w:val="007328DC"/>
    <w:rsid w:val="00736791"/>
    <w:rsid w:val="00736C6F"/>
    <w:rsid w:val="00736D08"/>
    <w:rsid w:val="00740205"/>
    <w:rsid w:val="00740226"/>
    <w:rsid w:val="00740775"/>
    <w:rsid w:val="007408E8"/>
    <w:rsid w:val="00740A0D"/>
    <w:rsid w:val="007412FF"/>
    <w:rsid w:val="00742D38"/>
    <w:rsid w:val="00742F70"/>
    <w:rsid w:val="007431C4"/>
    <w:rsid w:val="007440BF"/>
    <w:rsid w:val="00744A13"/>
    <w:rsid w:val="00745DED"/>
    <w:rsid w:val="0074678B"/>
    <w:rsid w:val="00746D4F"/>
    <w:rsid w:val="0074735E"/>
    <w:rsid w:val="00747B84"/>
    <w:rsid w:val="0075112B"/>
    <w:rsid w:val="0075158F"/>
    <w:rsid w:val="007527F1"/>
    <w:rsid w:val="00753049"/>
    <w:rsid w:val="0075344F"/>
    <w:rsid w:val="00753FB2"/>
    <w:rsid w:val="00754406"/>
    <w:rsid w:val="00754F7F"/>
    <w:rsid w:val="0075590B"/>
    <w:rsid w:val="00756E4C"/>
    <w:rsid w:val="00761514"/>
    <w:rsid w:val="00762711"/>
    <w:rsid w:val="00762C6F"/>
    <w:rsid w:val="00764F25"/>
    <w:rsid w:val="00765274"/>
    <w:rsid w:val="0077037F"/>
    <w:rsid w:val="0077062E"/>
    <w:rsid w:val="007707EE"/>
    <w:rsid w:val="00770EE7"/>
    <w:rsid w:val="0077481E"/>
    <w:rsid w:val="00775601"/>
    <w:rsid w:val="00775671"/>
    <w:rsid w:val="00777272"/>
    <w:rsid w:val="007772BF"/>
    <w:rsid w:val="00777F38"/>
    <w:rsid w:val="00781218"/>
    <w:rsid w:val="0078253C"/>
    <w:rsid w:val="007826A2"/>
    <w:rsid w:val="00783C3E"/>
    <w:rsid w:val="00784075"/>
    <w:rsid w:val="00784AEC"/>
    <w:rsid w:val="00784C6E"/>
    <w:rsid w:val="007864D7"/>
    <w:rsid w:val="00786838"/>
    <w:rsid w:val="0078693A"/>
    <w:rsid w:val="00786A03"/>
    <w:rsid w:val="00787890"/>
    <w:rsid w:val="007900EE"/>
    <w:rsid w:val="00790BEA"/>
    <w:rsid w:val="00791573"/>
    <w:rsid w:val="007915D6"/>
    <w:rsid w:val="00792249"/>
    <w:rsid w:val="0079238F"/>
    <w:rsid w:val="00793D02"/>
    <w:rsid w:val="00793E1C"/>
    <w:rsid w:val="00794718"/>
    <w:rsid w:val="007949B5"/>
    <w:rsid w:val="00794F8F"/>
    <w:rsid w:val="007959DB"/>
    <w:rsid w:val="00797E75"/>
    <w:rsid w:val="00797F71"/>
    <w:rsid w:val="007A0692"/>
    <w:rsid w:val="007A1300"/>
    <w:rsid w:val="007A16A8"/>
    <w:rsid w:val="007A1B55"/>
    <w:rsid w:val="007A1FF4"/>
    <w:rsid w:val="007A3A39"/>
    <w:rsid w:val="007A3BFF"/>
    <w:rsid w:val="007A4210"/>
    <w:rsid w:val="007A4669"/>
    <w:rsid w:val="007A6180"/>
    <w:rsid w:val="007A7795"/>
    <w:rsid w:val="007A794E"/>
    <w:rsid w:val="007A79EB"/>
    <w:rsid w:val="007B10FD"/>
    <w:rsid w:val="007B126F"/>
    <w:rsid w:val="007B289C"/>
    <w:rsid w:val="007B3852"/>
    <w:rsid w:val="007B48A8"/>
    <w:rsid w:val="007B5127"/>
    <w:rsid w:val="007B5D26"/>
    <w:rsid w:val="007B5EE1"/>
    <w:rsid w:val="007B5F87"/>
    <w:rsid w:val="007B63C1"/>
    <w:rsid w:val="007B6428"/>
    <w:rsid w:val="007B66EF"/>
    <w:rsid w:val="007B7926"/>
    <w:rsid w:val="007C0940"/>
    <w:rsid w:val="007C1BA3"/>
    <w:rsid w:val="007C38B0"/>
    <w:rsid w:val="007C4320"/>
    <w:rsid w:val="007C4B4C"/>
    <w:rsid w:val="007C75E0"/>
    <w:rsid w:val="007D0341"/>
    <w:rsid w:val="007D03C0"/>
    <w:rsid w:val="007D0731"/>
    <w:rsid w:val="007D145F"/>
    <w:rsid w:val="007D3297"/>
    <w:rsid w:val="007D5AEA"/>
    <w:rsid w:val="007D5C7A"/>
    <w:rsid w:val="007D5DB2"/>
    <w:rsid w:val="007D67C1"/>
    <w:rsid w:val="007D7688"/>
    <w:rsid w:val="007E0797"/>
    <w:rsid w:val="007E0EAD"/>
    <w:rsid w:val="007E1D97"/>
    <w:rsid w:val="007E31E9"/>
    <w:rsid w:val="007E325A"/>
    <w:rsid w:val="007E343C"/>
    <w:rsid w:val="007E37B8"/>
    <w:rsid w:val="007E5E2C"/>
    <w:rsid w:val="007E7392"/>
    <w:rsid w:val="007E75CF"/>
    <w:rsid w:val="007E75DF"/>
    <w:rsid w:val="007F02B0"/>
    <w:rsid w:val="007F08D9"/>
    <w:rsid w:val="007F1912"/>
    <w:rsid w:val="007F1ACE"/>
    <w:rsid w:val="007F344C"/>
    <w:rsid w:val="007F3CB7"/>
    <w:rsid w:val="007F4313"/>
    <w:rsid w:val="007F498C"/>
    <w:rsid w:val="007F64C8"/>
    <w:rsid w:val="007F7705"/>
    <w:rsid w:val="007F7A15"/>
    <w:rsid w:val="007F7ACA"/>
    <w:rsid w:val="00803A81"/>
    <w:rsid w:val="00804C70"/>
    <w:rsid w:val="00806407"/>
    <w:rsid w:val="00807385"/>
    <w:rsid w:val="008075A5"/>
    <w:rsid w:val="00810005"/>
    <w:rsid w:val="00812D2F"/>
    <w:rsid w:val="00817540"/>
    <w:rsid w:val="00820225"/>
    <w:rsid w:val="00821F05"/>
    <w:rsid w:val="008224CA"/>
    <w:rsid w:val="00823D6A"/>
    <w:rsid w:val="00823F53"/>
    <w:rsid w:val="00824A2B"/>
    <w:rsid w:val="00825C3C"/>
    <w:rsid w:val="00826118"/>
    <w:rsid w:val="008265C8"/>
    <w:rsid w:val="00826BAD"/>
    <w:rsid w:val="00826BC7"/>
    <w:rsid w:val="008270E1"/>
    <w:rsid w:val="0082712D"/>
    <w:rsid w:val="00827D34"/>
    <w:rsid w:val="00830A3C"/>
    <w:rsid w:val="00831D8A"/>
    <w:rsid w:val="008346E3"/>
    <w:rsid w:val="00834EA7"/>
    <w:rsid w:val="00836AB1"/>
    <w:rsid w:val="00837218"/>
    <w:rsid w:val="0083723F"/>
    <w:rsid w:val="00840EC9"/>
    <w:rsid w:val="008420A0"/>
    <w:rsid w:val="00842A5C"/>
    <w:rsid w:val="00843C0F"/>
    <w:rsid w:val="008446A5"/>
    <w:rsid w:val="0084479D"/>
    <w:rsid w:val="00847628"/>
    <w:rsid w:val="00847FEE"/>
    <w:rsid w:val="00850175"/>
    <w:rsid w:val="00850192"/>
    <w:rsid w:val="00850650"/>
    <w:rsid w:val="00850770"/>
    <w:rsid w:val="00850E09"/>
    <w:rsid w:val="008527CD"/>
    <w:rsid w:val="00852E28"/>
    <w:rsid w:val="00852ED8"/>
    <w:rsid w:val="00852FAE"/>
    <w:rsid w:val="00853242"/>
    <w:rsid w:val="008535EE"/>
    <w:rsid w:val="00853884"/>
    <w:rsid w:val="00854576"/>
    <w:rsid w:val="00854A2D"/>
    <w:rsid w:val="008558CB"/>
    <w:rsid w:val="00856192"/>
    <w:rsid w:val="00856B73"/>
    <w:rsid w:val="0085708D"/>
    <w:rsid w:val="00857364"/>
    <w:rsid w:val="008608A3"/>
    <w:rsid w:val="00860DDE"/>
    <w:rsid w:val="00860DF5"/>
    <w:rsid w:val="00860F61"/>
    <w:rsid w:val="0086169A"/>
    <w:rsid w:val="00861E1B"/>
    <w:rsid w:val="00862F33"/>
    <w:rsid w:val="00864768"/>
    <w:rsid w:val="00867538"/>
    <w:rsid w:val="00867599"/>
    <w:rsid w:val="00870CAE"/>
    <w:rsid w:val="00872376"/>
    <w:rsid w:val="00872B84"/>
    <w:rsid w:val="00873190"/>
    <w:rsid w:val="00873C24"/>
    <w:rsid w:val="00873E4B"/>
    <w:rsid w:val="00875D93"/>
    <w:rsid w:val="00876637"/>
    <w:rsid w:val="00877495"/>
    <w:rsid w:val="008774B0"/>
    <w:rsid w:val="008778FD"/>
    <w:rsid w:val="008811A3"/>
    <w:rsid w:val="008811AB"/>
    <w:rsid w:val="00883278"/>
    <w:rsid w:val="008834AE"/>
    <w:rsid w:val="00885683"/>
    <w:rsid w:val="00885885"/>
    <w:rsid w:val="00887CBD"/>
    <w:rsid w:val="0089008B"/>
    <w:rsid w:val="00891BE7"/>
    <w:rsid w:val="00892238"/>
    <w:rsid w:val="00892761"/>
    <w:rsid w:val="008927CD"/>
    <w:rsid w:val="00892BE4"/>
    <w:rsid w:val="008A0A33"/>
    <w:rsid w:val="008A1660"/>
    <w:rsid w:val="008A1954"/>
    <w:rsid w:val="008A2D72"/>
    <w:rsid w:val="008A32ED"/>
    <w:rsid w:val="008A3C03"/>
    <w:rsid w:val="008A44FC"/>
    <w:rsid w:val="008A4A7F"/>
    <w:rsid w:val="008A4AF9"/>
    <w:rsid w:val="008A5E08"/>
    <w:rsid w:val="008A6706"/>
    <w:rsid w:val="008A72AE"/>
    <w:rsid w:val="008B3933"/>
    <w:rsid w:val="008B3D81"/>
    <w:rsid w:val="008B5214"/>
    <w:rsid w:val="008B5418"/>
    <w:rsid w:val="008B5AD0"/>
    <w:rsid w:val="008B5D35"/>
    <w:rsid w:val="008B7E36"/>
    <w:rsid w:val="008C0116"/>
    <w:rsid w:val="008C03EE"/>
    <w:rsid w:val="008C0DEE"/>
    <w:rsid w:val="008C1259"/>
    <w:rsid w:val="008C140D"/>
    <w:rsid w:val="008C1788"/>
    <w:rsid w:val="008C2586"/>
    <w:rsid w:val="008C2AFB"/>
    <w:rsid w:val="008C345B"/>
    <w:rsid w:val="008C3E18"/>
    <w:rsid w:val="008C4187"/>
    <w:rsid w:val="008C4347"/>
    <w:rsid w:val="008C47DC"/>
    <w:rsid w:val="008C5950"/>
    <w:rsid w:val="008C747D"/>
    <w:rsid w:val="008D1DA2"/>
    <w:rsid w:val="008D2BA5"/>
    <w:rsid w:val="008D2BE0"/>
    <w:rsid w:val="008D2F23"/>
    <w:rsid w:val="008D3DCA"/>
    <w:rsid w:val="008D3E42"/>
    <w:rsid w:val="008D46F1"/>
    <w:rsid w:val="008D523F"/>
    <w:rsid w:val="008D53A0"/>
    <w:rsid w:val="008D6D8D"/>
    <w:rsid w:val="008D6FE9"/>
    <w:rsid w:val="008E0747"/>
    <w:rsid w:val="008E09F6"/>
    <w:rsid w:val="008E0F15"/>
    <w:rsid w:val="008E1146"/>
    <w:rsid w:val="008E2649"/>
    <w:rsid w:val="008E2E2A"/>
    <w:rsid w:val="008E2F7B"/>
    <w:rsid w:val="008E648B"/>
    <w:rsid w:val="008E7BBA"/>
    <w:rsid w:val="008F05FF"/>
    <w:rsid w:val="008F1A59"/>
    <w:rsid w:val="008F20EC"/>
    <w:rsid w:val="008F2EB0"/>
    <w:rsid w:val="008F3B4A"/>
    <w:rsid w:val="008F479A"/>
    <w:rsid w:val="008F5656"/>
    <w:rsid w:val="008F5DF9"/>
    <w:rsid w:val="008F6566"/>
    <w:rsid w:val="008F6B71"/>
    <w:rsid w:val="009007AA"/>
    <w:rsid w:val="00900EF5"/>
    <w:rsid w:val="00901326"/>
    <w:rsid w:val="00901449"/>
    <w:rsid w:val="00901F73"/>
    <w:rsid w:val="00902280"/>
    <w:rsid w:val="00903545"/>
    <w:rsid w:val="00903F21"/>
    <w:rsid w:val="0090494C"/>
    <w:rsid w:val="00905CF5"/>
    <w:rsid w:val="00905D77"/>
    <w:rsid w:val="00906387"/>
    <w:rsid w:val="00906511"/>
    <w:rsid w:val="00906F4D"/>
    <w:rsid w:val="00907EE3"/>
    <w:rsid w:val="00910C0C"/>
    <w:rsid w:val="00911E5B"/>
    <w:rsid w:val="00911E62"/>
    <w:rsid w:val="00911EC8"/>
    <w:rsid w:val="0091265C"/>
    <w:rsid w:val="00912FE6"/>
    <w:rsid w:val="0091358E"/>
    <w:rsid w:val="0091469F"/>
    <w:rsid w:val="009146AA"/>
    <w:rsid w:val="009146BD"/>
    <w:rsid w:val="00916D38"/>
    <w:rsid w:val="00921334"/>
    <w:rsid w:val="009218C1"/>
    <w:rsid w:val="00922B62"/>
    <w:rsid w:val="00923931"/>
    <w:rsid w:val="00924E8B"/>
    <w:rsid w:val="0092523B"/>
    <w:rsid w:val="00925BAF"/>
    <w:rsid w:val="00926DB3"/>
    <w:rsid w:val="0092740D"/>
    <w:rsid w:val="00930FFB"/>
    <w:rsid w:val="00931015"/>
    <w:rsid w:val="00931AC6"/>
    <w:rsid w:val="00931E48"/>
    <w:rsid w:val="009325A0"/>
    <w:rsid w:val="00932A47"/>
    <w:rsid w:val="00932DA0"/>
    <w:rsid w:val="00933BAB"/>
    <w:rsid w:val="00933E69"/>
    <w:rsid w:val="00933FD6"/>
    <w:rsid w:val="00935D7B"/>
    <w:rsid w:val="0093601E"/>
    <w:rsid w:val="009362CC"/>
    <w:rsid w:val="009403CB"/>
    <w:rsid w:val="009403D6"/>
    <w:rsid w:val="0094087F"/>
    <w:rsid w:val="00941020"/>
    <w:rsid w:val="00941A29"/>
    <w:rsid w:val="00941F22"/>
    <w:rsid w:val="00942FC5"/>
    <w:rsid w:val="009431D0"/>
    <w:rsid w:val="00943F4A"/>
    <w:rsid w:val="00944C68"/>
    <w:rsid w:val="00945479"/>
    <w:rsid w:val="00946DC6"/>
    <w:rsid w:val="00947225"/>
    <w:rsid w:val="009474F1"/>
    <w:rsid w:val="00947549"/>
    <w:rsid w:val="009505A2"/>
    <w:rsid w:val="009520A4"/>
    <w:rsid w:val="00952890"/>
    <w:rsid w:val="009537B9"/>
    <w:rsid w:val="0095432A"/>
    <w:rsid w:val="00954683"/>
    <w:rsid w:val="00954922"/>
    <w:rsid w:val="00955A64"/>
    <w:rsid w:val="00955FED"/>
    <w:rsid w:val="00957C46"/>
    <w:rsid w:val="00957D09"/>
    <w:rsid w:val="0096157E"/>
    <w:rsid w:val="00963A10"/>
    <w:rsid w:val="00963B5C"/>
    <w:rsid w:val="00963F0B"/>
    <w:rsid w:val="009645B4"/>
    <w:rsid w:val="00965174"/>
    <w:rsid w:val="00966B26"/>
    <w:rsid w:val="009671EB"/>
    <w:rsid w:val="009671F1"/>
    <w:rsid w:val="009703CE"/>
    <w:rsid w:val="0097041F"/>
    <w:rsid w:val="00970EE6"/>
    <w:rsid w:val="00971EFD"/>
    <w:rsid w:val="009729A3"/>
    <w:rsid w:val="00972D88"/>
    <w:rsid w:val="00973D03"/>
    <w:rsid w:val="009745A2"/>
    <w:rsid w:val="0097508B"/>
    <w:rsid w:val="009757A6"/>
    <w:rsid w:val="00975D4F"/>
    <w:rsid w:val="009768EB"/>
    <w:rsid w:val="00976FCC"/>
    <w:rsid w:val="00977F00"/>
    <w:rsid w:val="00980199"/>
    <w:rsid w:val="00980447"/>
    <w:rsid w:val="00980862"/>
    <w:rsid w:val="00980C22"/>
    <w:rsid w:val="009814AE"/>
    <w:rsid w:val="009826EC"/>
    <w:rsid w:val="009848E7"/>
    <w:rsid w:val="00984B39"/>
    <w:rsid w:val="00985462"/>
    <w:rsid w:val="00985B28"/>
    <w:rsid w:val="00985DE2"/>
    <w:rsid w:val="00987082"/>
    <w:rsid w:val="00990008"/>
    <w:rsid w:val="0099008C"/>
    <w:rsid w:val="009906EE"/>
    <w:rsid w:val="009907FF"/>
    <w:rsid w:val="00991739"/>
    <w:rsid w:val="009930F5"/>
    <w:rsid w:val="00993311"/>
    <w:rsid w:val="009937D2"/>
    <w:rsid w:val="00994736"/>
    <w:rsid w:val="00994A4B"/>
    <w:rsid w:val="00996341"/>
    <w:rsid w:val="00996785"/>
    <w:rsid w:val="00996B26"/>
    <w:rsid w:val="009973F4"/>
    <w:rsid w:val="009A149A"/>
    <w:rsid w:val="009A4477"/>
    <w:rsid w:val="009A5BF1"/>
    <w:rsid w:val="009A5E90"/>
    <w:rsid w:val="009A5F46"/>
    <w:rsid w:val="009A6DDF"/>
    <w:rsid w:val="009A6E18"/>
    <w:rsid w:val="009A77CF"/>
    <w:rsid w:val="009A7B2F"/>
    <w:rsid w:val="009A7F95"/>
    <w:rsid w:val="009B1EF8"/>
    <w:rsid w:val="009B29E0"/>
    <w:rsid w:val="009B2E36"/>
    <w:rsid w:val="009B39D6"/>
    <w:rsid w:val="009B3F58"/>
    <w:rsid w:val="009B4AB7"/>
    <w:rsid w:val="009B507F"/>
    <w:rsid w:val="009B6288"/>
    <w:rsid w:val="009B706D"/>
    <w:rsid w:val="009C02C8"/>
    <w:rsid w:val="009C0CAF"/>
    <w:rsid w:val="009C1808"/>
    <w:rsid w:val="009C1A28"/>
    <w:rsid w:val="009C1AB9"/>
    <w:rsid w:val="009C2D8A"/>
    <w:rsid w:val="009C31FA"/>
    <w:rsid w:val="009C3F56"/>
    <w:rsid w:val="009C56C7"/>
    <w:rsid w:val="009C5755"/>
    <w:rsid w:val="009C62F2"/>
    <w:rsid w:val="009C6576"/>
    <w:rsid w:val="009C6FA2"/>
    <w:rsid w:val="009D201F"/>
    <w:rsid w:val="009D24C9"/>
    <w:rsid w:val="009D28EB"/>
    <w:rsid w:val="009D2A55"/>
    <w:rsid w:val="009D3051"/>
    <w:rsid w:val="009D3858"/>
    <w:rsid w:val="009D3B1E"/>
    <w:rsid w:val="009D45C1"/>
    <w:rsid w:val="009D470B"/>
    <w:rsid w:val="009D6A26"/>
    <w:rsid w:val="009D6B85"/>
    <w:rsid w:val="009D6F5D"/>
    <w:rsid w:val="009D738D"/>
    <w:rsid w:val="009D7F2F"/>
    <w:rsid w:val="009E06DE"/>
    <w:rsid w:val="009E1055"/>
    <w:rsid w:val="009E3790"/>
    <w:rsid w:val="009E45FF"/>
    <w:rsid w:val="009E548D"/>
    <w:rsid w:val="009E57D4"/>
    <w:rsid w:val="009E58AD"/>
    <w:rsid w:val="009E5FB0"/>
    <w:rsid w:val="009E6443"/>
    <w:rsid w:val="009F141D"/>
    <w:rsid w:val="009F2558"/>
    <w:rsid w:val="009F32EA"/>
    <w:rsid w:val="009F3B7F"/>
    <w:rsid w:val="009F5359"/>
    <w:rsid w:val="009F5A1D"/>
    <w:rsid w:val="009F76CF"/>
    <w:rsid w:val="00A00A3E"/>
    <w:rsid w:val="00A01682"/>
    <w:rsid w:val="00A01DBC"/>
    <w:rsid w:val="00A04653"/>
    <w:rsid w:val="00A04EC4"/>
    <w:rsid w:val="00A05480"/>
    <w:rsid w:val="00A06DEE"/>
    <w:rsid w:val="00A10FBF"/>
    <w:rsid w:val="00A13503"/>
    <w:rsid w:val="00A14860"/>
    <w:rsid w:val="00A14AF2"/>
    <w:rsid w:val="00A16692"/>
    <w:rsid w:val="00A2256E"/>
    <w:rsid w:val="00A22747"/>
    <w:rsid w:val="00A22E77"/>
    <w:rsid w:val="00A23D82"/>
    <w:rsid w:val="00A24439"/>
    <w:rsid w:val="00A248B9"/>
    <w:rsid w:val="00A24C19"/>
    <w:rsid w:val="00A25BE5"/>
    <w:rsid w:val="00A25C91"/>
    <w:rsid w:val="00A26A8A"/>
    <w:rsid w:val="00A26BB3"/>
    <w:rsid w:val="00A26D87"/>
    <w:rsid w:val="00A270CD"/>
    <w:rsid w:val="00A27217"/>
    <w:rsid w:val="00A33023"/>
    <w:rsid w:val="00A333E8"/>
    <w:rsid w:val="00A339B0"/>
    <w:rsid w:val="00A33C8C"/>
    <w:rsid w:val="00A3406F"/>
    <w:rsid w:val="00A34B41"/>
    <w:rsid w:val="00A358FB"/>
    <w:rsid w:val="00A36DB1"/>
    <w:rsid w:val="00A37892"/>
    <w:rsid w:val="00A4010C"/>
    <w:rsid w:val="00A41445"/>
    <w:rsid w:val="00A420EC"/>
    <w:rsid w:val="00A42292"/>
    <w:rsid w:val="00A427E8"/>
    <w:rsid w:val="00A42FA1"/>
    <w:rsid w:val="00A459FD"/>
    <w:rsid w:val="00A46428"/>
    <w:rsid w:val="00A46F42"/>
    <w:rsid w:val="00A46FAF"/>
    <w:rsid w:val="00A4778C"/>
    <w:rsid w:val="00A50A07"/>
    <w:rsid w:val="00A5176D"/>
    <w:rsid w:val="00A519F4"/>
    <w:rsid w:val="00A52AF2"/>
    <w:rsid w:val="00A54332"/>
    <w:rsid w:val="00A54792"/>
    <w:rsid w:val="00A564BA"/>
    <w:rsid w:val="00A571B8"/>
    <w:rsid w:val="00A5753F"/>
    <w:rsid w:val="00A5756C"/>
    <w:rsid w:val="00A57C88"/>
    <w:rsid w:val="00A57DD5"/>
    <w:rsid w:val="00A60321"/>
    <w:rsid w:val="00A60798"/>
    <w:rsid w:val="00A60907"/>
    <w:rsid w:val="00A620A3"/>
    <w:rsid w:val="00A62558"/>
    <w:rsid w:val="00A62602"/>
    <w:rsid w:val="00A62834"/>
    <w:rsid w:val="00A628E6"/>
    <w:rsid w:val="00A62BF5"/>
    <w:rsid w:val="00A6372B"/>
    <w:rsid w:val="00A64BAF"/>
    <w:rsid w:val="00A671E1"/>
    <w:rsid w:val="00A679E8"/>
    <w:rsid w:val="00A67AA6"/>
    <w:rsid w:val="00A7023B"/>
    <w:rsid w:val="00A70A81"/>
    <w:rsid w:val="00A70E2F"/>
    <w:rsid w:val="00A712B3"/>
    <w:rsid w:val="00A712CF"/>
    <w:rsid w:val="00A71924"/>
    <w:rsid w:val="00A73F2D"/>
    <w:rsid w:val="00A75611"/>
    <w:rsid w:val="00A75750"/>
    <w:rsid w:val="00A75765"/>
    <w:rsid w:val="00A75CBC"/>
    <w:rsid w:val="00A77A31"/>
    <w:rsid w:val="00A77A77"/>
    <w:rsid w:val="00A77DEF"/>
    <w:rsid w:val="00A8085E"/>
    <w:rsid w:val="00A80C94"/>
    <w:rsid w:val="00A815C4"/>
    <w:rsid w:val="00A817BF"/>
    <w:rsid w:val="00A83A1C"/>
    <w:rsid w:val="00A84985"/>
    <w:rsid w:val="00A84DB8"/>
    <w:rsid w:val="00A8515B"/>
    <w:rsid w:val="00A855AE"/>
    <w:rsid w:val="00A855E6"/>
    <w:rsid w:val="00A86AB3"/>
    <w:rsid w:val="00A86C34"/>
    <w:rsid w:val="00A874C2"/>
    <w:rsid w:val="00A876A0"/>
    <w:rsid w:val="00A91128"/>
    <w:rsid w:val="00A91BE9"/>
    <w:rsid w:val="00A92261"/>
    <w:rsid w:val="00A9305A"/>
    <w:rsid w:val="00A93DF0"/>
    <w:rsid w:val="00A948A7"/>
    <w:rsid w:val="00A948FA"/>
    <w:rsid w:val="00A94FF4"/>
    <w:rsid w:val="00AA31C4"/>
    <w:rsid w:val="00AA5048"/>
    <w:rsid w:val="00AA571C"/>
    <w:rsid w:val="00AA5C39"/>
    <w:rsid w:val="00AB0DF7"/>
    <w:rsid w:val="00AB192B"/>
    <w:rsid w:val="00AB45DA"/>
    <w:rsid w:val="00AB460B"/>
    <w:rsid w:val="00AB5BBD"/>
    <w:rsid w:val="00AC0CE9"/>
    <w:rsid w:val="00AC0CEC"/>
    <w:rsid w:val="00AC11E8"/>
    <w:rsid w:val="00AC1CD2"/>
    <w:rsid w:val="00AC4FC4"/>
    <w:rsid w:val="00AC5E7E"/>
    <w:rsid w:val="00AC6AED"/>
    <w:rsid w:val="00AC75C0"/>
    <w:rsid w:val="00AC77FC"/>
    <w:rsid w:val="00AD1978"/>
    <w:rsid w:val="00AD3181"/>
    <w:rsid w:val="00AD32C5"/>
    <w:rsid w:val="00AD5271"/>
    <w:rsid w:val="00AD622D"/>
    <w:rsid w:val="00AD7C88"/>
    <w:rsid w:val="00AE0DED"/>
    <w:rsid w:val="00AE296E"/>
    <w:rsid w:val="00AE2CB7"/>
    <w:rsid w:val="00AE54AB"/>
    <w:rsid w:val="00AE6551"/>
    <w:rsid w:val="00AE7DB9"/>
    <w:rsid w:val="00AE7F18"/>
    <w:rsid w:val="00AE7FD4"/>
    <w:rsid w:val="00AF05D8"/>
    <w:rsid w:val="00AF100A"/>
    <w:rsid w:val="00AF29BA"/>
    <w:rsid w:val="00AF39ED"/>
    <w:rsid w:val="00AF4715"/>
    <w:rsid w:val="00AF492A"/>
    <w:rsid w:val="00AF5E24"/>
    <w:rsid w:val="00AF5FD5"/>
    <w:rsid w:val="00AF7632"/>
    <w:rsid w:val="00AF76FB"/>
    <w:rsid w:val="00AF797F"/>
    <w:rsid w:val="00B000AA"/>
    <w:rsid w:val="00B009F8"/>
    <w:rsid w:val="00B00C67"/>
    <w:rsid w:val="00B01167"/>
    <w:rsid w:val="00B01689"/>
    <w:rsid w:val="00B017A9"/>
    <w:rsid w:val="00B025E7"/>
    <w:rsid w:val="00B02A5C"/>
    <w:rsid w:val="00B02CC1"/>
    <w:rsid w:val="00B0369D"/>
    <w:rsid w:val="00B05962"/>
    <w:rsid w:val="00B06DC0"/>
    <w:rsid w:val="00B0775E"/>
    <w:rsid w:val="00B07987"/>
    <w:rsid w:val="00B10E4E"/>
    <w:rsid w:val="00B11A4C"/>
    <w:rsid w:val="00B11D4E"/>
    <w:rsid w:val="00B135C0"/>
    <w:rsid w:val="00B136E3"/>
    <w:rsid w:val="00B15F5F"/>
    <w:rsid w:val="00B175C6"/>
    <w:rsid w:val="00B215EF"/>
    <w:rsid w:val="00B21D8D"/>
    <w:rsid w:val="00B22DB1"/>
    <w:rsid w:val="00B22EEC"/>
    <w:rsid w:val="00B23C09"/>
    <w:rsid w:val="00B25B9C"/>
    <w:rsid w:val="00B26062"/>
    <w:rsid w:val="00B27E19"/>
    <w:rsid w:val="00B316F5"/>
    <w:rsid w:val="00B31A45"/>
    <w:rsid w:val="00B320A4"/>
    <w:rsid w:val="00B3359F"/>
    <w:rsid w:val="00B33AC3"/>
    <w:rsid w:val="00B34238"/>
    <w:rsid w:val="00B344E7"/>
    <w:rsid w:val="00B34AB0"/>
    <w:rsid w:val="00B34FD9"/>
    <w:rsid w:val="00B357D7"/>
    <w:rsid w:val="00B35F86"/>
    <w:rsid w:val="00B36188"/>
    <w:rsid w:val="00B40515"/>
    <w:rsid w:val="00B40560"/>
    <w:rsid w:val="00B41658"/>
    <w:rsid w:val="00B42FC8"/>
    <w:rsid w:val="00B43067"/>
    <w:rsid w:val="00B43D90"/>
    <w:rsid w:val="00B44183"/>
    <w:rsid w:val="00B44CB6"/>
    <w:rsid w:val="00B44E35"/>
    <w:rsid w:val="00B45CEF"/>
    <w:rsid w:val="00B45EA5"/>
    <w:rsid w:val="00B461F9"/>
    <w:rsid w:val="00B47175"/>
    <w:rsid w:val="00B500F7"/>
    <w:rsid w:val="00B51AFB"/>
    <w:rsid w:val="00B51C75"/>
    <w:rsid w:val="00B51D5F"/>
    <w:rsid w:val="00B51E16"/>
    <w:rsid w:val="00B52C7E"/>
    <w:rsid w:val="00B530DB"/>
    <w:rsid w:val="00B549CB"/>
    <w:rsid w:val="00B54BA8"/>
    <w:rsid w:val="00B5558B"/>
    <w:rsid w:val="00B55EAB"/>
    <w:rsid w:val="00B577C1"/>
    <w:rsid w:val="00B57B02"/>
    <w:rsid w:val="00B57CB0"/>
    <w:rsid w:val="00B6328A"/>
    <w:rsid w:val="00B63D0E"/>
    <w:rsid w:val="00B63EFD"/>
    <w:rsid w:val="00B64A3C"/>
    <w:rsid w:val="00B652D6"/>
    <w:rsid w:val="00B70524"/>
    <w:rsid w:val="00B7140A"/>
    <w:rsid w:val="00B71D06"/>
    <w:rsid w:val="00B7258F"/>
    <w:rsid w:val="00B735DC"/>
    <w:rsid w:val="00B73E5A"/>
    <w:rsid w:val="00B74CC9"/>
    <w:rsid w:val="00B75266"/>
    <w:rsid w:val="00B761E3"/>
    <w:rsid w:val="00B767C6"/>
    <w:rsid w:val="00B779FA"/>
    <w:rsid w:val="00B77AD4"/>
    <w:rsid w:val="00B80964"/>
    <w:rsid w:val="00B8136C"/>
    <w:rsid w:val="00B815E5"/>
    <w:rsid w:val="00B81959"/>
    <w:rsid w:val="00B81CD5"/>
    <w:rsid w:val="00B82985"/>
    <w:rsid w:val="00B82CE3"/>
    <w:rsid w:val="00B8347C"/>
    <w:rsid w:val="00B83F4D"/>
    <w:rsid w:val="00B846E6"/>
    <w:rsid w:val="00B85664"/>
    <w:rsid w:val="00B85E1B"/>
    <w:rsid w:val="00B86EC3"/>
    <w:rsid w:val="00B87D6A"/>
    <w:rsid w:val="00B900A7"/>
    <w:rsid w:val="00B92A70"/>
    <w:rsid w:val="00B93C6D"/>
    <w:rsid w:val="00B9487C"/>
    <w:rsid w:val="00B952D6"/>
    <w:rsid w:val="00B96B97"/>
    <w:rsid w:val="00B97A03"/>
    <w:rsid w:val="00B97C43"/>
    <w:rsid w:val="00BA083B"/>
    <w:rsid w:val="00BA14A1"/>
    <w:rsid w:val="00BA314D"/>
    <w:rsid w:val="00BA3B88"/>
    <w:rsid w:val="00BA486F"/>
    <w:rsid w:val="00BA606B"/>
    <w:rsid w:val="00BB0B64"/>
    <w:rsid w:val="00BB0CC5"/>
    <w:rsid w:val="00BB0D72"/>
    <w:rsid w:val="00BB121C"/>
    <w:rsid w:val="00BB1AAA"/>
    <w:rsid w:val="00BB2069"/>
    <w:rsid w:val="00BB2562"/>
    <w:rsid w:val="00BB306D"/>
    <w:rsid w:val="00BB310F"/>
    <w:rsid w:val="00BB314F"/>
    <w:rsid w:val="00BB5F0E"/>
    <w:rsid w:val="00BB6E9A"/>
    <w:rsid w:val="00BC0884"/>
    <w:rsid w:val="00BC15A4"/>
    <w:rsid w:val="00BC1B89"/>
    <w:rsid w:val="00BC1C54"/>
    <w:rsid w:val="00BC280A"/>
    <w:rsid w:val="00BC282B"/>
    <w:rsid w:val="00BC2AD3"/>
    <w:rsid w:val="00BC2D2E"/>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2B33"/>
    <w:rsid w:val="00BD3643"/>
    <w:rsid w:val="00BD3DCB"/>
    <w:rsid w:val="00BD5626"/>
    <w:rsid w:val="00BD69B8"/>
    <w:rsid w:val="00BD7062"/>
    <w:rsid w:val="00BD79FC"/>
    <w:rsid w:val="00BD7F39"/>
    <w:rsid w:val="00BE0290"/>
    <w:rsid w:val="00BE11AB"/>
    <w:rsid w:val="00BE15BC"/>
    <w:rsid w:val="00BE1FD5"/>
    <w:rsid w:val="00BE31E6"/>
    <w:rsid w:val="00BE56ED"/>
    <w:rsid w:val="00BE5E41"/>
    <w:rsid w:val="00BE6307"/>
    <w:rsid w:val="00BE6987"/>
    <w:rsid w:val="00BE7B41"/>
    <w:rsid w:val="00BF0A00"/>
    <w:rsid w:val="00BF1A80"/>
    <w:rsid w:val="00BF2226"/>
    <w:rsid w:val="00BF23FA"/>
    <w:rsid w:val="00BF33B6"/>
    <w:rsid w:val="00BF40F4"/>
    <w:rsid w:val="00BF4BA0"/>
    <w:rsid w:val="00BF4FB0"/>
    <w:rsid w:val="00BF5737"/>
    <w:rsid w:val="00BF6156"/>
    <w:rsid w:val="00BF6406"/>
    <w:rsid w:val="00BF6D95"/>
    <w:rsid w:val="00BF76BB"/>
    <w:rsid w:val="00C0087E"/>
    <w:rsid w:val="00C0121A"/>
    <w:rsid w:val="00C01A34"/>
    <w:rsid w:val="00C03858"/>
    <w:rsid w:val="00C0408F"/>
    <w:rsid w:val="00C04342"/>
    <w:rsid w:val="00C045D6"/>
    <w:rsid w:val="00C05730"/>
    <w:rsid w:val="00C07F07"/>
    <w:rsid w:val="00C10C2D"/>
    <w:rsid w:val="00C126EC"/>
    <w:rsid w:val="00C12F67"/>
    <w:rsid w:val="00C13634"/>
    <w:rsid w:val="00C14B90"/>
    <w:rsid w:val="00C15114"/>
    <w:rsid w:val="00C158E9"/>
    <w:rsid w:val="00C1598E"/>
    <w:rsid w:val="00C15AD3"/>
    <w:rsid w:val="00C15B43"/>
    <w:rsid w:val="00C15B4A"/>
    <w:rsid w:val="00C16877"/>
    <w:rsid w:val="00C16917"/>
    <w:rsid w:val="00C20C77"/>
    <w:rsid w:val="00C216AA"/>
    <w:rsid w:val="00C22193"/>
    <w:rsid w:val="00C22A4F"/>
    <w:rsid w:val="00C232CB"/>
    <w:rsid w:val="00C232CD"/>
    <w:rsid w:val="00C240CC"/>
    <w:rsid w:val="00C24B2D"/>
    <w:rsid w:val="00C24B60"/>
    <w:rsid w:val="00C25270"/>
    <w:rsid w:val="00C2578F"/>
    <w:rsid w:val="00C30086"/>
    <w:rsid w:val="00C308B1"/>
    <w:rsid w:val="00C30CB5"/>
    <w:rsid w:val="00C32716"/>
    <w:rsid w:val="00C36132"/>
    <w:rsid w:val="00C375BE"/>
    <w:rsid w:val="00C37716"/>
    <w:rsid w:val="00C37756"/>
    <w:rsid w:val="00C402BE"/>
    <w:rsid w:val="00C40308"/>
    <w:rsid w:val="00C422C3"/>
    <w:rsid w:val="00C42CD0"/>
    <w:rsid w:val="00C439F8"/>
    <w:rsid w:val="00C4425C"/>
    <w:rsid w:val="00C45275"/>
    <w:rsid w:val="00C459E0"/>
    <w:rsid w:val="00C45D70"/>
    <w:rsid w:val="00C45F4E"/>
    <w:rsid w:val="00C46FA8"/>
    <w:rsid w:val="00C474EC"/>
    <w:rsid w:val="00C4780B"/>
    <w:rsid w:val="00C50091"/>
    <w:rsid w:val="00C5044C"/>
    <w:rsid w:val="00C5067B"/>
    <w:rsid w:val="00C51AA1"/>
    <w:rsid w:val="00C51EBD"/>
    <w:rsid w:val="00C5279E"/>
    <w:rsid w:val="00C528BE"/>
    <w:rsid w:val="00C52C98"/>
    <w:rsid w:val="00C53463"/>
    <w:rsid w:val="00C53680"/>
    <w:rsid w:val="00C5538A"/>
    <w:rsid w:val="00C55643"/>
    <w:rsid w:val="00C55CE0"/>
    <w:rsid w:val="00C562AB"/>
    <w:rsid w:val="00C56AC8"/>
    <w:rsid w:val="00C613EC"/>
    <w:rsid w:val="00C6166E"/>
    <w:rsid w:val="00C61AE5"/>
    <w:rsid w:val="00C61E2E"/>
    <w:rsid w:val="00C6529A"/>
    <w:rsid w:val="00C654C8"/>
    <w:rsid w:val="00C65EF2"/>
    <w:rsid w:val="00C671E2"/>
    <w:rsid w:val="00C703A1"/>
    <w:rsid w:val="00C70B1F"/>
    <w:rsid w:val="00C73272"/>
    <w:rsid w:val="00C7470E"/>
    <w:rsid w:val="00C749B7"/>
    <w:rsid w:val="00C75178"/>
    <w:rsid w:val="00C756E2"/>
    <w:rsid w:val="00C757EB"/>
    <w:rsid w:val="00C75EB3"/>
    <w:rsid w:val="00C77ADA"/>
    <w:rsid w:val="00C83AA6"/>
    <w:rsid w:val="00C83AFE"/>
    <w:rsid w:val="00C84FB7"/>
    <w:rsid w:val="00C86C35"/>
    <w:rsid w:val="00C87C75"/>
    <w:rsid w:val="00C87F38"/>
    <w:rsid w:val="00C900A9"/>
    <w:rsid w:val="00C9022F"/>
    <w:rsid w:val="00C90D3D"/>
    <w:rsid w:val="00C91597"/>
    <w:rsid w:val="00C92255"/>
    <w:rsid w:val="00C924B9"/>
    <w:rsid w:val="00C92931"/>
    <w:rsid w:val="00C94E83"/>
    <w:rsid w:val="00C951E5"/>
    <w:rsid w:val="00C955D0"/>
    <w:rsid w:val="00C96B7B"/>
    <w:rsid w:val="00C97167"/>
    <w:rsid w:val="00C979B7"/>
    <w:rsid w:val="00CA012F"/>
    <w:rsid w:val="00CA1D3D"/>
    <w:rsid w:val="00CA343E"/>
    <w:rsid w:val="00CA3607"/>
    <w:rsid w:val="00CA3645"/>
    <w:rsid w:val="00CA3E6C"/>
    <w:rsid w:val="00CA48B3"/>
    <w:rsid w:val="00CA49B1"/>
    <w:rsid w:val="00CA5454"/>
    <w:rsid w:val="00CB0635"/>
    <w:rsid w:val="00CB06B9"/>
    <w:rsid w:val="00CB0B97"/>
    <w:rsid w:val="00CB0E9E"/>
    <w:rsid w:val="00CB1119"/>
    <w:rsid w:val="00CB33D2"/>
    <w:rsid w:val="00CB3E97"/>
    <w:rsid w:val="00CB4981"/>
    <w:rsid w:val="00CB4A1F"/>
    <w:rsid w:val="00CB51E7"/>
    <w:rsid w:val="00CB55AF"/>
    <w:rsid w:val="00CB636B"/>
    <w:rsid w:val="00CB69B8"/>
    <w:rsid w:val="00CB7907"/>
    <w:rsid w:val="00CB7F6E"/>
    <w:rsid w:val="00CC12E7"/>
    <w:rsid w:val="00CC3098"/>
    <w:rsid w:val="00CC4236"/>
    <w:rsid w:val="00CC4938"/>
    <w:rsid w:val="00CC6BDB"/>
    <w:rsid w:val="00CC7FD8"/>
    <w:rsid w:val="00CD01C8"/>
    <w:rsid w:val="00CD1003"/>
    <w:rsid w:val="00CD12AD"/>
    <w:rsid w:val="00CD3CA9"/>
    <w:rsid w:val="00CD4A2E"/>
    <w:rsid w:val="00CD4F84"/>
    <w:rsid w:val="00CD62FC"/>
    <w:rsid w:val="00CD69F8"/>
    <w:rsid w:val="00CE03CA"/>
    <w:rsid w:val="00CE15C2"/>
    <w:rsid w:val="00CE1F93"/>
    <w:rsid w:val="00CE2015"/>
    <w:rsid w:val="00CE4B34"/>
    <w:rsid w:val="00CE529B"/>
    <w:rsid w:val="00CE5910"/>
    <w:rsid w:val="00CE5E40"/>
    <w:rsid w:val="00CE6B3E"/>
    <w:rsid w:val="00CE7FF9"/>
    <w:rsid w:val="00CF0253"/>
    <w:rsid w:val="00CF032E"/>
    <w:rsid w:val="00CF1766"/>
    <w:rsid w:val="00CF1ACD"/>
    <w:rsid w:val="00CF47EF"/>
    <w:rsid w:val="00CF5661"/>
    <w:rsid w:val="00CF6A79"/>
    <w:rsid w:val="00CF7001"/>
    <w:rsid w:val="00CF771D"/>
    <w:rsid w:val="00D00F61"/>
    <w:rsid w:val="00D01CC1"/>
    <w:rsid w:val="00D039B6"/>
    <w:rsid w:val="00D04D15"/>
    <w:rsid w:val="00D05818"/>
    <w:rsid w:val="00D06AFC"/>
    <w:rsid w:val="00D06B11"/>
    <w:rsid w:val="00D06F51"/>
    <w:rsid w:val="00D1045D"/>
    <w:rsid w:val="00D1062E"/>
    <w:rsid w:val="00D106C5"/>
    <w:rsid w:val="00D11451"/>
    <w:rsid w:val="00D1237C"/>
    <w:rsid w:val="00D14401"/>
    <w:rsid w:val="00D14D10"/>
    <w:rsid w:val="00D15443"/>
    <w:rsid w:val="00D1621C"/>
    <w:rsid w:val="00D1623C"/>
    <w:rsid w:val="00D16E04"/>
    <w:rsid w:val="00D20355"/>
    <w:rsid w:val="00D21071"/>
    <w:rsid w:val="00D23171"/>
    <w:rsid w:val="00D23307"/>
    <w:rsid w:val="00D23317"/>
    <w:rsid w:val="00D2391F"/>
    <w:rsid w:val="00D256B3"/>
    <w:rsid w:val="00D25B63"/>
    <w:rsid w:val="00D3055B"/>
    <w:rsid w:val="00D30B16"/>
    <w:rsid w:val="00D30D01"/>
    <w:rsid w:val="00D32107"/>
    <w:rsid w:val="00D32E0F"/>
    <w:rsid w:val="00D3328F"/>
    <w:rsid w:val="00D342BA"/>
    <w:rsid w:val="00D34532"/>
    <w:rsid w:val="00D37620"/>
    <w:rsid w:val="00D37962"/>
    <w:rsid w:val="00D37C44"/>
    <w:rsid w:val="00D41028"/>
    <w:rsid w:val="00D415ED"/>
    <w:rsid w:val="00D41F7E"/>
    <w:rsid w:val="00D427C8"/>
    <w:rsid w:val="00D42A48"/>
    <w:rsid w:val="00D434AE"/>
    <w:rsid w:val="00D43DE1"/>
    <w:rsid w:val="00D46CD0"/>
    <w:rsid w:val="00D4793C"/>
    <w:rsid w:val="00D504D5"/>
    <w:rsid w:val="00D50A6C"/>
    <w:rsid w:val="00D50D26"/>
    <w:rsid w:val="00D51FCC"/>
    <w:rsid w:val="00D545F4"/>
    <w:rsid w:val="00D54BE3"/>
    <w:rsid w:val="00D5642B"/>
    <w:rsid w:val="00D567CF"/>
    <w:rsid w:val="00D600A2"/>
    <w:rsid w:val="00D602A0"/>
    <w:rsid w:val="00D603EB"/>
    <w:rsid w:val="00D60A7D"/>
    <w:rsid w:val="00D60D87"/>
    <w:rsid w:val="00D62FF5"/>
    <w:rsid w:val="00D63258"/>
    <w:rsid w:val="00D6367B"/>
    <w:rsid w:val="00D6438C"/>
    <w:rsid w:val="00D65CF2"/>
    <w:rsid w:val="00D65D9F"/>
    <w:rsid w:val="00D667F6"/>
    <w:rsid w:val="00D667FC"/>
    <w:rsid w:val="00D6791E"/>
    <w:rsid w:val="00D71B2C"/>
    <w:rsid w:val="00D71DAC"/>
    <w:rsid w:val="00D72139"/>
    <w:rsid w:val="00D72427"/>
    <w:rsid w:val="00D73300"/>
    <w:rsid w:val="00D752E7"/>
    <w:rsid w:val="00D76F47"/>
    <w:rsid w:val="00D771DB"/>
    <w:rsid w:val="00D80075"/>
    <w:rsid w:val="00D80688"/>
    <w:rsid w:val="00D806F8"/>
    <w:rsid w:val="00D8236F"/>
    <w:rsid w:val="00D82C5C"/>
    <w:rsid w:val="00D82E21"/>
    <w:rsid w:val="00D83317"/>
    <w:rsid w:val="00D83CF3"/>
    <w:rsid w:val="00D85707"/>
    <w:rsid w:val="00D86352"/>
    <w:rsid w:val="00D87001"/>
    <w:rsid w:val="00D877D9"/>
    <w:rsid w:val="00D942DD"/>
    <w:rsid w:val="00D9496B"/>
    <w:rsid w:val="00D9520B"/>
    <w:rsid w:val="00D963D0"/>
    <w:rsid w:val="00D96549"/>
    <w:rsid w:val="00D96929"/>
    <w:rsid w:val="00DA15FB"/>
    <w:rsid w:val="00DA37BB"/>
    <w:rsid w:val="00DA48D3"/>
    <w:rsid w:val="00DA5577"/>
    <w:rsid w:val="00DA5996"/>
    <w:rsid w:val="00DA6742"/>
    <w:rsid w:val="00DA7030"/>
    <w:rsid w:val="00DA7BBE"/>
    <w:rsid w:val="00DB09AA"/>
    <w:rsid w:val="00DB0FE4"/>
    <w:rsid w:val="00DB4AB9"/>
    <w:rsid w:val="00DB4BB6"/>
    <w:rsid w:val="00DB4E72"/>
    <w:rsid w:val="00DB4F83"/>
    <w:rsid w:val="00DB5120"/>
    <w:rsid w:val="00DB52BA"/>
    <w:rsid w:val="00DB592D"/>
    <w:rsid w:val="00DB5CC8"/>
    <w:rsid w:val="00DB6C05"/>
    <w:rsid w:val="00DB6C85"/>
    <w:rsid w:val="00DB75C5"/>
    <w:rsid w:val="00DC1070"/>
    <w:rsid w:val="00DC178F"/>
    <w:rsid w:val="00DC249B"/>
    <w:rsid w:val="00DC3B3C"/>
    <w:rsid w:val="00DC5359"/>
    <w:rsid w:val="00DC6F4D"/>
    <w:rsid w:val="00DC741B"/>
    <w:rsid w:val="00DC74E5"/>
    <w:rsid w:val="00DC7A20"/>
    <w:rsid w:val="00DD075F"/>
    <w:rsid w:val="00DD0EB5"/>
    <w:rsid w:val="00DD1425"/>
    <w:rsid w:val="00DD1FC7"/>
    <w:rsid w:val="00DD2A23"/>
    <w:rsid w:val="00DD2BEA"/>
    <w:rsid w:val="00DD2C8B"/>
    <w:rsid w:val="00DD2CCB"/>
    <w:rsid w:val="00DD34AD"/>
    <w:rsid w:val="00DD53EE"/>
    <w:rsid w:val="00DD5714"/>
    <w:rsid w:val="00DD5B94"/>
    <w:rsid w:val="00DD5DFF"/>
    <w:rsid w:val="00DD61E0"/>
    <w:rsid w:val="00DD6330"/>
    <w:rsid w:val="00DD7134"/>
    <w:rsid w:val="00DE004F"/>
    <w:rsid w:val="00DE120B"/>
    <w:rsid w:val="00DE2E8B"/>
    <w:rsid w:val="00DE3030"/>
    <w:rsid w:val="00DE3E6B"/>
    <w:rsid w:val="00DE429D"/>
    <w:rsid w:val="00DE4395"/>
    <w:rsid w:val="00DE6153"/>
    <w:rsid w:val="00DE67C3"/>
    <w:rsid w:val="00DE7030"/>
    <w:rsid w:val="00DE7E1C"/>
    <w:rsid w:val="00DF0384"/>
    <w:rsid w:val="00DF268E"/>
    <w:rsid w:val="00DF2D9F"/>
    <w:rsid w:val="00DF34BF"/>
    <w:rsid w:val="00DF499C"/>
    <w:rsid w:val="00E003E5"/>
    <w:rsid w:val="00E0144F"/>
    <w:rsid w:val="00E03B9A"/>
    <w:rsid w:val="00E04B94"/>
    <w:rsid w:val="00E05143"/>
    <w:rsid w:val="00E0578F"/>
    <w:rsid w:val="00E0723C"/>
    <w:rsid w:val="00E10243"/>
    <w:rsid w:val="00E1033E"/>
    <w:rsid w:val="00E1096A"/>
    <w:rsid w:val="00E11DAD"/>
    <w:rsid w:val="00E13311"/>
    <w:rsid w:val="00E13ABF"/>
    <w:rsid w:val="00E1527C"/>
    <w:rsid w:val="00E15956"/>
    <w:rsid w:val="00E163E1"/>
    <w:rsid w:val="00E16909"/>
    <w:rsid w:val="00E178A5"/>
    <w:rsid w:val="00E20065"/>
    <w:rsid w:val="00E23B91"/>
    <w:rsid w:val="00E23D56"/>
    <w:rsid w:val="00E24B6D"/>
    <w:rsid w:val="00E261B9"/>
    <w:rsid w:val="00E275C3"/>
    <w:rsid w:val="00E27859"/>
    <w:rsid w:val="00E308D0"/>
    <w:rsid w:val="00E30EF9"/>
    <w:rsid w:val="00E31E2D"/>
    <w:rsid w:val="00E320EF"/>
    <w:rsid w:val="00E34DCD"/>
    <w:rsid w:val="00E361A0"/>
    <w:rsid w:val="00E37B20"/>
    <w:rsid w:val="00E405DF"/>
    <w:rsid w:val="00E4096E"/>
    <w:rsid w:val="00E409D4"/>
    <w:rsid w:val="00E415D4"/>
    <w:rsid w:val="00E4332D"/>
    <w:rsid w:val="00E43618"/>
    <w:rsid w:val="00E45EB4"/>
    <w:rsid w:val="00E47C66"/>
    <w:rsid w:val="00E50974"/>
    <w:rsid w:val="00E52ADD"/>
    <w:rsid w:val="00E53272"/>
    <w:rsid w:val="00E5368B"/>
    <w:rsid w:val="00E54FE5"/>
    <w:rsid w:val="00E55758"/>
    <w:rsid w:val="00E558A0"/>
    <w:rsid w:val="00E55EDD"/>
    <w:rsid w:val="00E55F21"/>
    <w:rsid w:val="00E61310"/>
    <w:rsid w:val="00E61E02"/>
    <w:rsid w:val="00E62957"/>
    <w:rsid w:val="00E63E24"/>
    <w:rsid w:val="00E64C10"/>
    <w:rsid w:val="00E65830"/>
    <w:rsid w:val="00E702AF"/>
    <w:rsid w:val="00E712A3"/>
    <w:rsid w:val="00E716C3"/>
    <w:rsid w:val="00E71DC6"/>
    <w:rsid w:val="00E72269"/>
    <w:rsid w:val="00E72784"/>
    <w:rsid w:val="00E735E5"/>
    <w:rsid w:val="00E7480D"/>
    <w:rsid w:val="00E754CE"/>
    <w:rsid w:val="00E76C9D"/>
    <w:rsid w:val="00E76EC7"/>
    <w:rsid w:val="00E776CA"/>
    <w:rsid w:val="00E81239"/>
    <w:rsid w:val="00E81995"/>
    <w:rsid w:val="00E8311B"/>
    <w:rsid w:val="00E8583D"/>
    <w:rsid w:val="00E86247"/>
    <w:rsid w:val="00E867CB"/>
    <w:rsid w:val="00E87076"/>
    <w:rsid w:val="00E87413"/>
    <w:rsid w:val="00E87525"/>
    <w:rsid w:val="00E87698"/>
    <w:rsid w:val="00E920F7"/>
    <w:rsid w:val="00E97101"/>
    <w:rsid w:val="00E977AB"/>
    <w:rsid w:val="00E977AF"/>
    <w:rsid w:val="00E9787F"/>
    <w:rsid w:val="00E97A80"/>
    <w:rsid w:val="00EA0C36"/>
    <w:rsid w:val="00EA1DED"/>
    <w:rsid w:val="00EA26C1"/>
    <w:rsid w:val="00EA2998"/>
    <w:rsid w:val="00EA4C78"/>
    <w:rsid w:val="00EA6069"/>
    <w:rsid w:val="00EA7C3C"/>
    <w:rsid w:val="00EA7FE4"/>
    <w:rsid w:val="00EB0590"/>
    <w:rsid w:val="00EB0D27"/>
    <w:rsid w:val="00EB16DD"/>
    <w:rsid w:val="00EB5321"/>
    <w:rsid w:val="00EB5567"/>
    <w:rsid w:val="00EB70AE"/>
    <w:rsid w:val="00EB71A2"/>
    <w:rsid w:val="00EB77DF"/>
    <w:rsid w:val="00EB7C02"/>
    <w:rsid w:val="00EB7DEA"/>
    <w:rsid w:val="00EC08B5"/>
    <w:rsid w:val="00EC1290"/>
    <w:rsid w:val="00EC1613"/>
    <w:rsid w:val="00EC2198"/>
    <w:rsid w:val="00EC33AA"/>
    <w:rsid w:val="00EC4759"/>
    <w:rsid w:val="00EC4D1F"/>
    <w:rsid w:val="00EC5654"/>
    <w:rsid w:val="00EC56C5"/>
    <w:rsid w:val="00EC57B7"/>
    <w:rsid w:val="00EC588B"/>
    <w:rsid w:val="00EC5D7B"/>
    <w:rsid w:val="00EC64F5"/>
    <w:rsid w:val="00EC6FBB"/>
    <w:rsid w:val="00EC73ED"/>
    <w:rsid w:val="00ED0003"/>
    <w:rsid w:val="00ED0B7C"/>
    <w:rsid w:val="00ED12A0"/>
    <w:rsid w:val="00ED14E4"/>
    <w:rsid w:val="00ED2BCC"/>
    <w:rsid w:val="00ED3E63"/>
    <w:rsid w:val="00ED683C"/>
    <w:rsid w:val="00EE0245"/>
    <w:rsid w:val="00EE05F5"/>
    <w:rsid w:val="00EE0FBF"/>
    <w:rsid w:val="00EE1EBE"/>
    <w:rsid w:val="00EE2CCB"/>
    <w:rsid w:val="00EE3308"/>
    <w:rsid w:val="00EE3966"/>
    <w:rsid w:val="00EE3B99"/>
    <w:rsid w:val="00EE3C7D"/>
    <w:rsid w:val="00EE409D"/>
    <w:rsid w:val="00EE5055"/>
    <w:rsid w:val="00EE6AF2"/>
    <w:rsid w:val="00EE7514"/>
    <w:rsid w:val="00EE7C6C"/>
    <w:rsid w:val="00EE7E66"/>
    <w:rsid w:val="00EE7EE6"/>
    <w:rsid w:val="00EF077B"/>
    <w:rsid w:val="00EF1BFC"/>
    <w:rsid w:val="00EF2781"/>
    <w:rsid w:val="00EF49ED"/>
    <w:rsid w:val="00EF7021"/>
    <w:rsid w:val="00EF78E5"/>
    <w:rsid w:val="00EF7B66"/>
    <w:rsid w:val="00F0077E"/>
    <w:rsid w:val="00F00CA0"/>
    <w:rsid w:val="00F021EB"/>
    <w:rsid w:val="00F02C97"/>
    <w:rsid w:val="00F0654E"/>
    <w:rsid w:val="00F06C14"/>
    <w:rsid w:val="00F071E5"/>
    <w:rsid w:val="00F1206C"/>
    <w:rsid w:val="00F12EFA"/>
    <w:rsid w:val="00F164DE"/>
    <w:rsid w:val="00F17C3D"/>
    <w:rsid w:val="00F2077F"/>
    <w:rsid w:val="00F21686"/>
    <w:rsid w:val="00F22FA9"/>
    <w:rsid w:val="00F2500E"/>
    <w:rsid w:val="00F25775"/>
    <w:rsid w:val="00F271BD"/>
    <w:rsid w:val="00F2782C"/>
    <w:rsid w:val="00F27C58"/>
    <w:rsid w:val="00F30A09"/>
    <w:rsid w:val="00F3332F"/>
    <w:rsid w:val="00F353DB"/>
    <w:rsid w:val="00F3589F"/>
    <w:rsid w:val="00F36484"/>
    <w:rsid w:val="00F3648F"/>
    <w:rsid w:val="00F374CA"/>
    <w:rsid w:val="00F37710"/>
    <w:rsid w:val="00F37A6E"/>
    <w:rsid w:val="00F37C81"/>
    <w:rsid w:val="00F40E0B"/>
    <w:rsid w:val="00F423D1"/>
    <w:rsid w:val="00F42607"/>
    <w:rsid w:val="00F42C4B"/>
    <w:rsid w:val="00F42F51"/>
    <w:rsid w:val="00F43059"/>
    <w:rsid w:val="00F435E7"/>
    <w:rsid w:val="00F43E5D"/>
    <w:rsid w:val="00F44D4D"/>
    <w:rsid w:val="00F44E6E"/>
    <w:rsid w:val="00F45AFF"/>
    <w:rsid w:val="00F45CE9"/>
    <w:rsid w:val="00F46DF1"/>
    <w:rsid w:val="00F5055F"/>
    <w:rsid w:val="00F517F4"/>
    <w:rsid w:val="00F51E73"/>
    <w:rsid w:val="00F52483"/>
    <w:rsid w:val="00F52E3A"/>
    <w:rsid w:val="00F53820"/>
    <w:rsid w:val="00F54E06"/>
    <w:rsid w:val="00F54EC4"/>
    <w:rsid w:val="00F55CBF"/>
    <w:rsid w:val="00F56AFA"/>
    <w:rsid w:val="00F56C0A"/>
    <w:rsid w:val="00F56C1F"/>
    <w:rsid w:val="00F56D6F"/>
    <w:rsid w:val="00F6090C"/>
    <w:rsid w:val="00F62475"/>
    <w:rsid w:val="00F632B2"/>
    <w:rsid w:val="00F63569"/>
    <w:rsid w:val="00F667A6"/>
    <w:rsid w:val="00F67826"/>
    <w:rsid w:val="00F679D6"/>
    <w:rsid w:val="00F706BC"/>
    <w:rsid w:val="00F70E94"/>
    <w:rsid w:val="00F71443"/>
    <w:rsid w:val="00F71E59"/>
    <w:rsid w:val="00F72910"/>
    <w:rsid w:val="00F74A38"/>
    <w:rsid w:val="00F74C0A"/>
    <w:rsid w:val="00F7546C"/>
    <w:rsid w:val="00F76338"/>
    <w:rsid w:val="00F76786"/>
    <w:rsid w:val="00F80A42"/>
    <w:rsid w:val="00F8102F"/>
    <w:rsid w:val="00F817A7"/>
    <w:rsid w:val="00F81D95"/>
    <w:rsid w:val="00F82948"/>
    <w:rsid w:val="00F83215"/>
    <w:rsid w:val="00F838C3"/>
    <w:rsid w:val="00F83AEB"/>
    <w:rsid w:val="00F83BFE"/>
    <w:rsid w:val="00F84938"/>
    <w:rsid w:val="00F84AE9"/>
    <w:rsid w:val="00F86240"/>
    <w:rsid w:val="00F900D5"/>
    <w:rsid w:val="00F90E22"/>
    <w:rsid w:val="00F9455A"/>
    <w:rsid w:val="00F94CEA"/>
    <w:rsid w:val="00F95B87"/>
    <w:rsid w:val="00F95DC4"/>
    <w:rsid w:val="00F964EC"/>
    <w:rsid w:val="00F969E9"/>
    <w:rsid w:val="00FA0679"/>
    <w:rsid w:val="00FA2549"/>
    <w:rsid w:val="00FA426B"/>
    <w:rsid w:val="00FA473B"/>
    <w:rsid w:val="00FA4B8F"/>
    <w:rsid w:val="00FA57BC"/>
    <w:rsid w:val="00FA6D83"/>
    <w:rsid w:val="00FA6E37"/>
    <w:rsid w:val="00FA73C4"/>
    <w:rsid w:val="00FB09AF"/>
    <w:rsid w:val="00FB1828"/>
    <w:rsid w:val="00FB20FE"/>
    <w:rsid w:val="00FB4F82"/>
    <w:rsid w:val="00FB5451"/>
    <w:rsid w:val="00FB61D5"/>
    <w:rsid w:val="00FB6594"/>
    <w:rsid w:val="00FB67A9"/>
    <w:rsid w:val="00FB68CC"/>
    <w:rsid w:val="00FC003E"/>
    <w:rsid w:val="00FC21EC"/>
    <w:rsid w:val="00FC3D45"/>
    <w:rsid w:val="00FC4782"/>
    <w:rsid w:val="00FC4DDA"/>
    <w:rsid w:val="00FC50C2"/>
    <w:rsid w:val="00FC5D29"/>
    <w:rsid w:val="00FC5F6B"/>
    <w:rsid w:val="00FC6045"/>
    <w:rsid w:val="00FC6309"/>
    <w:rsid w:val="00FC6D53"/>
    <w:rsid w:val="00FC6F55"/>
    <w:rsid w:val="00FC77ED"/>
    <w:rsid w:val="00FC7D35"/>
    <w:rsid w:val="00FD0411"/>
    <w:rsid w:val="00FD075D"/>
    <w:rsid w:val="00FD2269"/>
    <w:rsid w:val="00FD3260"/>
    <w:rsid w:val="00FD3546"/>
    <w:rsid w:val="00FD385B"/>
    <w:rsid w:val="00FD40AE"/>
    <w:rsid w:val="00FD4212"/>
    <w:rsid w:val="00FD478F"/>
    <w:rsid w:val="00FE3B63"/>
    <w:rsid w:val="00FE4B78"/>
    <w:rsid w:val="00FE64DD"/>
    <w:rsid w:val="00FE6556"/>
    <w:rsid w:val="00FE66EF"/>
    <w:rsid w:val="00FE771D"/>
    <w:rsid w:val="00FE7A59"/>
    <w:rsid w:val="00FF2785"/>
    <w:rsid w:val="00FF2A23"/>
    <w:rsid w:val="00FF36B5"/>
    <w:rsid w:val="00FF3C24"/>
    <w:rsid w:val="00FF3ED4"/>
    <w:rsid w:val="00FF534C"/>
    <w:rsid w:val="00FF5B21"/>
    <w:rsid w:val="00FF6020"/>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5F1D0"/>
  <w15:docId w15:val="{EC024D51-FCBB-44B1-B4E1-EDB601AF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16">
      <w:bodyDiv w:val="1"/>
      <w:marLeft w:val="0"/>
      <w:marRight w:val="0"/>
      <w:marTop w:val="0"/>
      <w:marBottom w:val="0"/>
      <w:divBdr>
        <w:top w:val="none" w:sz="0" w:space="0" w:color="auto"/>
        <w:left w:val="none" w:sz="0" w:space="0" w:color="auto"/>
        <w:bottom w:val="none" w:sz="0" w:space="0" w:color="auto"/>
        <w:right w:val="none" w:sz="0" w:space="0" w:color="auto"/>
      </w:divBdr>
    </w:div>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202595996">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1897279182">
          <w:marLeft w:val="0"/>
          <w:marRight w:val="0"/>
          <w:marTop w:val="0"/>
          <w:marBottom w:val="0"/>
          <w:divBdr>
            <w:top w:val="none" w:sz="0" w:space="0" w:color="auto"/>
            <w:left w:val="none" w:sz="0" w:space="0" w:color="auto"/>
            <w:bottom w:val="none" w:sz="0" w:space="0" w:color="auto"/>
            <w:right w:val="none" w:sz="0" w:space="0" w:color="auto"/>
          </w:divBdr>
        </w:div>
        <w:div w:id="463083033">
          <w:marLeft w:val="0"/>
          <w:marRight w:val="0"/>
          <w:marTop w:val="0"/>
          <w:marBottom w:val="0"/>
          <w:divBdr>
            <w:top w:val="none" w:sz="0" w:space="0" w:color="auto"/>
            <w:left w:val="none" w:sz="0" w:space="0" w:color="auto"/>
            <w:bottom w:val="none" w:sz="0" w:space="0" w:color="auto"/>
            <w:right w:val="none" w:sz="0" w:space="0" w:color="auto"/>
          </w:divBdr>
        </w:div>
        <w:div w:id="1074620381">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 w:id="1022827198">
          <w:marLeft w:val="0"/>
          <w:marRight w:val="0"/>
          <w:marTop w:val="0"/>
          <w:marBottom w:val="0"/>
          <w:divBdr>
            <w:top w:val="none" w:sz="0" w:space="0" w:color="auto"/>
            <w:left w:val="none" w:sz="0" w:space="0" w:color="auto"/>
            <w:bottom w:val="none" w:sz="0" w:space="0" w:color="auto"/>
            <w:right w:val="none" w:sz="0" w:space="0" w:color="auto"/>
          </w:divBdr>
        </w:div>
        <w:div w:id="1984768865">
          <w:marLeft w:val="0"/>
          <w:marRight w:val="0"/>
          <w:marTop w:val="0"/>
          <w:marBottom w:val="0"/>
          <w:divBdr>
            <w:top w:val="none" w:sz="0" w:space="0" w:color="auto"/>
            <w:left w:val="none" w:sz="0" w:space="0" w:color="auto"/>
            <w:bottom w:val="none" w:sz="0" w:space="0" w:color="auto"/>
            <w:right w:val="none" w:sz="0" w:space="0" w:color="auto"/>
          </w:divBdr>
        </w:div>
        <w:div w:id="801575651">
          <w:marLeft w:val="0"/>
          <w:marRight w:val="0"/>
          <w:marTop w:val="0"/>
          <w:marBottom w:val="0"/>
          <w:divBdr>
            <w:top w:val="none" w:sz="0" w:space="0" w:color="auto"/>
            <w:left w:val="none" w:sz="0" w:space="0" w:color="auto"/>
            <w:bottom w:val="none" w:sz="0" w:space="0" w:color="auto"/>
            <w:right w:val="none" w:sz="0" w:space="0" w:color="auto"/>
          </w:divBdr>
        </w:div>
      </w:divsChild>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4334920">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16398724">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hyperlink" Target="http://www.uspreventiveservicestaskforce.org/Page/Document/draft-recommendation-statement147/tobacco-use-in-adults-and-pregnant-women-counseling-and-intervention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finan\AppData\Local\Microsoft\Windows\Temporary%20Internet%20Files\Content.Outlook\WFUEE59F\The%20Health%20Consequences%20of%20Smoking&#8212;50%20Years%20of%20Progress:%20A%20Report%20of%20the%20Surgeon%20General.(http:\www.cdc.gov\tobacco\data_statistics\sgr\50th-anniversary\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ruce2@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gv1@cdc.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A84E-161B-4163-BC74-33AF7CB2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5862</Words>
  <Characters>33415</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McCarter, Lindsey (CDC/ONDIEH/NCCDPHP)</cp:lastModifiedBy>
  <cp:revision>2</cp:revision>
  <cp:lastPrinted>2016-05-11T19:17:00Z</cp:lastPrinted>
  <dcterms:created xsi:type="dcterms:W3CDTF">2016-07-11T18:06:00Z</dcterms:created>
  <dcterms:modified xsi:type="dcterms:W3CDTF">2016-07-11T18:06:00Z</dcterms:modified>
</cp:coreProperties>
</file>