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0C" w:rsidRPr="00C45431" w:rsidRDefault="009B3794" w:rsidP="00316B4A">
      <w:pPr>
        <w:widowControl/>
        <w:autoSpaceDE/>
        <w:autoSpaceDN/>
        <w:adjustRightInd/>
        <w:jc w:val="center"/>
        <w:rPr>
          <w:rFonts w:ascii="Arial" w:hAnsi="Arial" w:cs="Arial"/>
          <w:b/>
          <w:bCs/>
          <w:sz w:val="32"/>
          <w:szCs w:val="32"/>
        </w:rPr>
      </w:pPr>
      <w:bookmarkStart w:id="0" w:name="_GoBack"/>
      <w:bookmarkEnd w:id="0"/>
      <w:r w:rsidRPr="00C45431">
        <w:rPr>
          <w:rFonts w:ascii="Arial" w:hAnsi="Arial" w:cs="Arial"/>
          <w:b/>
          <w:bCs/>
          <w:sz w:val="32"/>
          <w:szCs w:val="32"/>
        </w:rPr>
        <w:t xml:space="preserve">Supporting Statement </w:t>
      </w:r>
      <w:r w:rsidR="00BA1A0C" w:rsidRPr="00C45431">
        <w:rPr>
          <w:rFonts w:ascii="Arial" w:hAnsi="Arial" w:cs="Arial"/>
          <w:b/>
          <w:bCs/>
          <w:sz w:val="32"/>
          <w:szCs w:val="32"/>
        </w:rPr>
        <w:t>A</w:t>
      </w:r>
    </w:p>
    <w:p w:rsidR="00BA1A0C" w:rsidRPr="00C45431" w:rsidRDefault="00BA1A0C" w:rsidP="00CE5AA9">
      <w:pPr>
        <w:tabs>
          <w:tab w:val="center" w:pos="4680"/>
        </w:tabs>
        <w:spacing w:before="120"/>
        <w:jc w:val="center"/>
        <w:rPr>
          <w:rFonts w:ascii="Arial" w:hAnsi="Arial" w:cs="Arial"/>
          <w:b/>
          <w:bCs/>
          <w:sz w:val="32"/>
          <w:szCs w:val="32"/>
        </w:rPr>
      </w:pPr>
    </w:p>
    <w:p w:rsidR="00634AA7" w:rsidRPr="00316B4A" w:rsidRDefault="00634AA7" w:rsidP="00316B4A">
      <w:pPr>
        <w:pStyle w:val="ListParagraph"/>
        <w:widowControl/>
        <w:shd w:val="clear" w:color="auto" w:fill="FFFFFF" w:themeFill="background1"/>
        <w:autoSpaceDE/>
        <w:autoSpaceDN/>
        <w:adjustRightInd/>
        <w:spacing w:before="120" w:after="120"/>
        <w:ind w:left="360"/>
        <w:rPr>
          <w:rFonts w:ascii="Arial" w:hAnsi="Arial" w:cs="Arial"/>
          <w:b/>
          <w:sz w:val="32"/>
          <w:szCs w:val="32"/>
        </w:rPr>
      </w:pPr>
      <w:r w:rsidRPr="00316B4A">
        <w:rPr>
          <w:rFonts w:ascii="Arial" w:hAnsi="Arial" w:cs="Arial"/>
          <w:b/>
          <w:sz w:val="32"/>
          <w:szCs w:val="32"/>
        </w:rPr>
        <w:t>Maternal, Infant, and Early Childhood Home Visiting (MIECHV) Program Competitive Grant Final Report</w:t>
      </w:r>
    </w:p>
    <w:p w:rsidR="00BA1A0C" w:rsidRPr="00C45431" w:rsidRDefault="00BA1A0C" w:rsidP="00CE5AA9">
      <w:pPr>
        <w:tabs>
          <w:tab w:val="center" w:pos="4680"/>
        </w:tabs>
        <w:spacing w:before="120"/>
        <w:jc w:val="center"/>
        <w:rPr>
          <w:rFonts w:ascii="Arial" w:hAnsi="Arial" w:cs="Arial"/>
          <w:b/>
          <w:bCs/>
          <w:sz w:val="32"/>
          <w:szCs w:val="32"/>
        </w:rPr>
      </w:pPr>
    </w:p>
    <w:p w:rsidR="00BA1A0C" w:rsidRPr="00C45431" w:rsidRDefault="00BA1A0C" w:rsidP="00CE5AA9">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 09</w:t>
      </w:r>
      <w:r w:rsidR="00FD0C02">
        <w:rPr>
          <w:rFonts w:ascii="Arial" w:hAnsi="Arial" w:cs="Arial"/>
          <w:b/>
          <w:bCs/>
          <w:sz w:val="32"/>
          <w:szCs w:val="32"/>
        </w:rPr>
        <w:t>06</w:t>
      </w:r>
      <w:r w:rsidRPr="00C45431">
        <w:rPr>
          <w:rFonts w:ascii="Arial" w:hAnsi="Arial" w:cs="Arial"/>
          <w:b/>
          <w:bCs/>
          <w:sz w:val="32"/>
          <w:szCs w:val="32"/>
        </w:rPr>
        <w:t>-</w:t>
      </w:r>
      <w:r w:rsidR="00FD0C02">
        <w:rPr>
          <w:rFonts w:ascii="Arial" w:hAnsi="Arial" w:cs="Arial"/>
          <w:b/>
          <w:bCs/>
          <w:sz w:val="32"/>
          <w:szCs w:val="32"/>
        </w:rPr>
        <w:t>xxxx</w:t>
      </w:r>
    </w:p>
    <w:p w:rsidR="00BA1A0C" w:rsidRPr="00C45431" w:rsidRDefault="00BA1A0C" w:rsidP="00CE5AA9">
      <w:pPr>
        <w:tabs>
          <w:tab w:val="center" w:pos="4680"/>
        </w:tabs>
        <w:spacing w:before="120"/>
        <w:jc w:val="center"/>
        <w:rPr>
          <w:rFonts w:ascii="Arial" w:hAnsi="Arial" w:cs="Arial"/>
          <w:b/>
          <w:bCs/>
          <w:sz w:val="32"/>
          <w:szCs w:val="32"/>
        </w:rPr>
      </w:pPr>
    </w:p>
    <w:p w:rsidR="009B3794" w:rsidRPr="00C45431" w:rsidRDefault="00DE3A45" w:rsidP="00CE5AA9">
      <w:pPr>
        <w:spacing w:before="120"/>
        <w:rPr>
          <w:rFonts w:ascii="Arial" w:hAnsi="Arial" w:cs="Arial"/>
          <w:b/>
          <w:sz w:val="24"/>
        </w:rPr>
      </w:pPr>
      <w:r w:rsidRPr="00C45431">
        <w:rPr>
          <w:rFonts w:ascii="Arial" w:hAnsi="Arial" w:cs="Arial"/>
          <w:b/>
          <w:sz w:val="24"/>
        </w:rPr>
        <w:t>Terms of Clearance</w:t>
      </w:r>
      <w:r w:rsidR="00BA1A0C" w:rsidRPr="00C45431">
        <w:rPr>
          <w:rFonts w:ascii="Arial" w:hAnsi="Arial" w:cs="Arial"/>
          <w:b/>
          <w:sz w:val="24"/>
        </w:rPr>
        <w:t>:</w:t>
      </w:r>
      <w:r w:rsidR="00BA1A0C" w:rsidRPr="00C45431">
        <w:rPr>
          <w:rFonts w:ascii="Arial" w:hAnsi="Arial" w:cs="Arial"/>
          <w:sz w:val="24"/>
        </w:rPr>
        <w:t xml:space="preserve">  </w:t>
      </w:r>
      <w:r w:rsidRPr="009B6D3C">
        <w:rPr>
          <w:rFonts w:ascii="Arial" w:hAnsi="Arial" w:cs="Arial"/>
          <w:sz w:val="24"/>
        </w:rPr>
        <w:t>None</w:t>
      </w:r>
      <w:r w:rsidR="00BA1A0C" w:rsidRPr="009B6D3C">
        <w:rPr>
          <w:rFonts w:ascii="Arial" w:hAnsi="Arial" w:cs="Arial"/>
          <w:sz w:val="24"/>
        </w:rPr>
        <w:t xml:space="preserve"> </w:t>
      </w:r>
    </w:p>
    <w:p w:rsidR="009B3794" w:rsidRPr="00C45431" w:rsidRDefault="009B3794" w:rsidP="00CA3DA6">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567A64" w:rsidRDefault="008763F0" w:rsidP="00FA27A4">
      <w:pPr>
        <w:spacing w:before="240"/>
        <w:ind w:left="360"/>
        <w:rPr>
          <w:rFonts w:ascii="Arial" w:hAnsi="Arial" w:cs="Arial"/>
          <w:sz w:val="24"/>
        </w:rPr>
      </w:pPr>
      <w:r w:rsidRPr="008763F0">
        <w:rPr>
          <w:rFonts w:ascii="Arial" w:hAnsi="Arial" w:cs="Arial"/>
          <w:sz w:val="24"/>
        </w:rPr>
        <w:t xml:space="preserve">On March 23, 2010, the President signed into law the Patient Protection and Affordable Care Act (the Act), Section 2951 of the Act amended Title V of the Social Security Act by adding a new section, 511, which authorized the creation of the Maternal, Infant and Early Childhood Home Visiting Program (MIECHV) The legislative authority of this Act was extended by the Protecting Access to Medicare Act of 2014 (Pub. </w:t>
      </w:r>
      <w:proofErr w:type="gramStart"/>
      <w:r w:rsidRPr="008763F0">
        <w:rPr>
          <w:rFonts w:ascii="Arial" w:hAnsi="Arial" w:cs="Arial"/>
          <w:sz w:val="24"/>
        </w:rPr>
        <w:t>L.113–93).</w:t>
      </w:r>
      <w:proofErr w:type="gramEnd"/>
      <w:r w:rsidRPr="008763F0">
        <w:rPr>
          <w:rFonts w:ascii="Arial" w:hAnsi="Arial" w:cs="Arial"/>
          <w:sz w:val="24"/>
        </w:rPr>
        <w:t xml:space="preserve"> The Act responds to the diverse needs of children and families in communities at risk and provides an unprecedented opportunity for collaboration and partnership at the federal, state, and community levels to improve health and development outcomes for at risk children through evidence-based home visiting programs. </w:t>
      </w:r>
      <w:r w:rsidR="00567A64">
        <w:rPr>
          <w:rFonts w:ascii="Arial" w:hAnsi="Arial" w:cs="Arial"/>
          <w:sz w:val="24"/>
        </w:rPr>
        <w:t xml:space="preserve"> </w:t>
      </w:r>
    </w:p>
    <w:p w:rsidR="00567A64" w:rsidRDefault="008763F0" w:rsidP="00FA27A4">
      <w:pPr>
        <w:spacing w:before="240"/>
        <w:ind w:left="360"/>
        <w:rPr>
          <w:rFonts w:ascii="Arial" w:hAnsi="Arial" w:cs="Arial"/>
          <w:sz w:val="24"/>
        </w:rPr>
      </w:pPr>
      <w:r w:rsidRPr="008763F0">
        <w:rPr>
          <w:rFonts w:ascii="Arial" w:hAnsi="Arial" w:cs="Arial"/>
          <w:sz w:val="24"/>
        </w:rPr>
        <w:t xml:space="preserve">Under this program, competitive </w:t>
      </w:r>
      <w:r w:rsidR="00567A64">
        <w:rPr>
          <w:rFonts w:ascii="Arial" w:hAnsi="Arial" w:cs="Arial"/>
          <w:sz w:val="24"/>
        </w:rPr>
        <w:t xml:space="preserve">grant </w:t>
      </w:r>
      <w:r w:rsidRPr="008763F0">
        <w:rPr>
          <w:rFonts w:ascii="Arial" w:hAnsi="Arial" w:cs="Arial"/>
          <w:sz w:val="24"/>
        </w:rPr>
        <w:t xml:space="preserve">funding has been awarded since June 2011 for Competitive Development Grants and Competitive Expansion Grants. Competitive Development Grants were intended to support the efforts of states and jurisdictions with modest evidence-based home visiting programs to expand the depth and scope of these efforts, with the intent to develop the infrastructure and capacity needed to seek a Competitive Expansion Grant in the future. Competitive Expansion Grants were intended to support the efforts of states and jurisdictions that had already made significant progress towards a high quality home visiting program or embedding their home visiting program into a comprehensive, high-quality early childhood system. </w:t>
      </w:r>
    </w:p>
    <w:p w:rsidR="008763F0" w:rsidRDefault="008763F0" w:rsidP="00FA27A4">
      <w:pPr>
        <w:spacing w:before="240"/>
        <w:ind w:left="360"/>
        <w:rPr>
          <w:rFonts w:ascii="Arial" w:hAnsi="Arial" w:cs="Arial"/>
          <w:sz w:val="24"/>
        </w:rPr>
      </w:pPr>
      <w:r w:rsidRPr="008763F0">
        <w:rPr>
          <w:rFonts w:ascii="Arial" w:hAnsi="Arial" w:cs="Arial"/>
          <w:sz w:val="24"/>
        </w:rPr>
        <w:t xml:space="preserve">Since federal fiscal year 2011, 19 states have been awarded Competitive Development Grants, and </w:t>
      </w:r>
      <w:r w:rsidR="00D52A69">
        <w:rPr>
          <w:rFonts w:ascii="Arial" w:hAnsi="Arial" w:cs="Arial"/>
          <w:sz w:val="24"/>
        </w:rPr>
        <w:t>3</w:t>
      </w:r>
      <w:r w:rsidR="00630308">
        <w:rPr>
          <w:rFonts w:ascii="Arial" w:hAnsi="Arial" w:cs="Arial"/>
          <w:sz w:val="24"/>
        </w:rPr>
        <w:t>7</w:t>
      </w:r>
      <w:r w:rsidR="00D52A69" w:rsidRPr="008763F0">
        <w:rPr>
          <w:rFonts w:ascii="Arial" w:hAnsi="Arial" w:cs="Arial"/>
          <w:sz w:val="24"/>
        </w:rPr>
        <w:t xml:space="preserve"> </w:t>
      </w:r>
      <w:r w:rsidRPr="008763F0">
        <w:rPr>
          <w:rFonts w:ascii="Arial" w:hAnsi="Arial" w:cs="Arial"/>
          <w:sz w:val="24"/>
        </w:rPr>
        <w:t xml:space="preserve">states have been awarded Competitive Expansion Grants. These competitive grants are for 2 years </w:t>
      </w:r>
      <w:r w:rsidR="00D243D0">
        <w:rPr>
          <w:rFonts w:ascii="Arial" w:hAnsi="Arial" w:cs="Arial"/>
          <w:sz w:val="24"/>
        </w:rPr>
        <w:t xml:space="preserve">of funding </w:t>
      </w:r>
      <w:r w:rsidRPr="008763F0">
        <w:rPr>
          <w:rFonts w:ascii="Arial" w:hAnsi="Arial" w:cs="Arial"/>
          <w:sz w:val="24"/>
        </w:rPr>
        <w:t xml:space="preserve">(Development Grants) and </w:t>
      </w:r>
      <w:r w:rsidR="00D52A69">
        <w:rPr>
          <w:rFonts w:ascii="Arial" w:hAnsi="Arial" w:cs="Arial"/>
          <w:sz w:val="24"/>
        </w:rPr>
        <w:t>2</w:t>
      </w:r>
      <w:r w:rsidR="00D243D0">
        <w:rPr>
          <w:rFonts w:ascii="Arial" w:hAnsi="Arial" w:cs="Arial"/>
          <w:sz w:val="24"/>
        </w:rPr>
        <w:t>-4</w:t>
      </w:r>
      <w:r w:rsidRPr="008763F0">
        <w:rPr>
          <w:rFonts w:ascii="Arial" w:hAnsi="Arial" w:cs="Arial"/>
          <w:sz w:val="24"/>
        </w:rPr>
        <w:t xml:space="preserve"> years </w:t>
      </w:r>
      <w:r w:rsidR="00D243D0">
        <w:rPr>
          <w:rFonts w:ascii="Arial" w:hAnsi="Arial" w:cs="Arial"/>
          <w:sz w:val="24"/>
        </w:rPr>
        <w:t>of funding</w:t>
      </w:r>
      <w:r w:rsidR="00634AA7">
        <w:rPr>
          <w:rFonts w:ascii="Arial" w:hAnsi="Arial" w:cs="Arial"/>
          <w:sz w:val="24"/>
        </w:rPr>
        <w:t xml:space="preserve"> </w:t>
      </w:r>
      <w:r w:rsidRPr="008763F0">
        <w:rPr>
          <w:rFonts w:ascii="Arial" w:hAnsi="Arial" w:cs="Arial"/>
          <w:sz w:val="24"/>
        </w:rPr>
        <w:t xml:space="preserve">(Expansion Grants), respectively. Grantees of the competitive grant program will need to complete final reports in order to comply with HRSA reporting requirements. Grantees that were awarded Competitive </w:t>
      </w:r>
      <w:r w:rsidRPr="008763F0">
        <w:rPr>
          <w:rFonts w:ascii="Arial" w:hAnsi="Arial" w:cs="Arial"/>
          <w:sz w:val="24"/>
        </w:rPr>
        <w:lastRenderedPageBreak/>
        <w:t xml:space="preserve">Development Grants during federal fiscal year 2011 were eligible for Competitive Expansion Grants in federal fiscal year 2013. For this reason, some grantees have been awarded up to two Competitive Grants to date. Ten grantees have both a Competitive Development Grant and a Competitive Expansion Grant. Additional funds are being made available for Competitive Grants in federal fiscal year 2015. Up to 35 grants are anticipated to be awarded on March 1, 2015, with a project period equal to 2 years and 7 months. Grantees are expected to use 2015 competitive grant funds to provide ongoing support to high-quality evidence-based home visiting programs and for the development and expansion of evidence-based home visiting programs funded, in whole or in part, by the MIECHV program through increased enrollment and retention of families served. After Competitive Grant issuance in 2015, some MIECHV grantees may have up to three competitive grants for which final reports need to be submitted. HRSA is collecting information from MIECHV grantees that have received competitive grant funds as part of the agency’s final reporting requirements. The final report will be completed by grantees funded under the Competitive Grant Program and submitted to HRSA within 90 days of the project period end date. </w:t>
      </w:r>
    </w:p>
    <w:p w:rsidR="008763F0" w:rsidRDefault="008763F0" w:rsidP="008763F0">
      <w:pPr>
        <w:rPr>
          <w:rFonts w:ascii="Arial" w:hAnsi="Arial" w:cs="Arial"/>
          <w:sz w:val="24"/>
        </w:rPr>
      </w:pPr>
    </w:p>
    <w:p w:rsidR="009B3794" w:rsidRPr="00C45431" w:rsidRDefault="009B3794" w:rsidP="00E179B8">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Purpose and Use of Information Collection</w:t>
      </w:r>
    </w:p>
    <w:p w:rsidR="00536F5C" w:rsidRPr="0092336E" w:rsidRDefault="00536F5C" w:rsidP="00536F5C">
      <w:pPr>
        <w:spacing w:before="240"/>
        <w:ind w:left="360"/>
        <w:rPr>
          <w:rFonts w:ascii="Arial" w:hAnsi="Arial" w:cs="Arial"/>
          <w:sz w:val="24"/>
        </w:rPr>
      </w:pPr>
      <w:r w:rsidRPr="0092336E">
        <w:rPr>
          <w:rFonts w:ascii="Arial" w:hAnsi="Arial" w:cs="Arial"/>
          <w:sz w:val="24"/>
        </w:rPr>
        <w:t xml:space="preserve">Submission of a final report is a reporting requirement under the grant award. The final report </w:t>
      </w:r>
      <w:r w:rsidR="007C6FEA">
        <w:rPr>
          <w:rFonts w:ascii="Arial" w:hAnsi="Arial" w:cs="Arial"/>
          <w:sz w:val="24"/>
        </w:rPr>
        <w:t>will provide</w:t>
      </w:r>
      <w:r w:rsidR="007C6FEA" w:rsidRPr="007C6FEA">
        <w:rPr>
          <w:rFonts w:ascii="Arial" w:hAnsi="Arial" w:cs="Arial"/>
          <w:sz w:val="24"/>
        </w:rPr>
        <w:t xml:space="preserve"> a snapshot of the program’s implementation that can be used to gauge </w:t>
      </w:r>
      <w:r w:rsidRPr="0092336E">
        <w:rPr>
          <w:rFonts w:ascii="Arial" w:hAnsi="Arial" w:cs="Arial"/>
          <w:sz w:val="24"/>
        </w:rPr>
        <w:t>impact on the health and development of service recipients. Each final report will be assessed to measure and quantify the degree to which each grantee was successful in implementing the grant and ensuring yearly program improvement. Data will be extracted from final reports and aggregated, using suitable analytic approaches, to compare, contrast, and identify successes, areas for improvement, and promising practices across the program. These findings will be used to identify the accomplishments of the MIECHV program, support program or grantee improvement, and craft or inform dissemination strategies.</w:t>
      </w:r>
    </w:p>
    <w:p w:rsidR="009B3794" w:rsidRPr="00C45431" w:rsidRDefault="009B3794" w:rsidP="00CA3DA6">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861F22" w:rsidRPr="00C45431" w:rsidRDefault="00FA27A4" w:rsidP="00861F22">
      <w:pPr>
        <w:widowControl/>
        <w:spacing w:before="120"/>
        <w:ind w:left="360"/>
        <w:rPr>
          <w:rFonts w:ascii="Arial" w:hAnsi="Arial" w:cs="Arial"/>
          <w:sz w:val="24"/>
        </w:rPr>
      </w:pPr>
      <w:r>
        <w:rPr>
          <w:rFonts w:ascii="Arial" w:hAnsi="Arial" w:cs="Arial"/>
          <w:sz w:val="24"/>
        </w:rPr>
        <w:t>Final reports</w:t>
      </w:r>
      <w:r w:rsidRPr="00FA27A4">
        <w:rPr>
          <w:rFonts w:ascii="Arial" w:hAnsi="Arial" w:cs="Arial"/>
          <w:sz w:val="24"/>
        </w:rPr>
        <w:t xml:space="preserve"> will be submitted electronically through HRSA’s </w:t>
      </w:r>
      <w:r w:rsidR="00861F22">
        <w:rPr>
          <w:rFonts w:ascii="Arial" w:hAnsi="Arial" w:cs="Arial"/>
          <w:sz w:val="24"/>
        </w:rPr>
        <w:t xml:space="preserve">Electronic </w:t>
      </w:r>
      <w:proofErr w:type="spellStart"/>
      <w:r w:rsidR="00861F22">
        <w:rPr>
          <w:rFonts w:ascii="Arial" w:hAnsi="Arial" w:cs="Arial"/>
          <w:sz w:val="24"/>
        </w:rPr>
        <w:t>HandBooks</w:t>
      </w:r>
      <w:proofErr w:type="spellEnd"/>
      <w:r w:rsidR="00861F22">
        <w:rPr>
          <w:rFonts w:ascii="Arial" w:hAnsi="Arial" w:cs="Arial"/>
          <w:sz w:val="24"/>
        </w:rPr>
        <w:t xml:space="preserve"> System (EHB)</w:t>
      </w:r>
      <w:r w:rsidRPr="00FA27A4">
        <w:rPr>
          <w:rFonts w:ascii="Arial" w:hAnsi="Arial" w:cs="Arial"/>
          <w:sz w:val="24"/>
        </w:rPr>
        <w:t xml:space="preserve">. </w:t>
      </w:r>
      <w:r w:rsidR="00861F22">
        <w:rPr>
          <w:rFonts w:ascii="Arial" w:hAnsi="Arial" w:cs="Arial"/>
          <w:sz w:val="24"/>
        </w:rPr>
        <w:t>EHB is the system adopted by HRSA to collect information electronically from grantees.</w:t>
      </w: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rsidR="00FA27A4" w:rsidRPr="00FA27A4" w:rsidRDefault="00FA27A4" w:rsidP="00FA27A4">
      <w:pPr>
        <w:spacing w:before="240"/>
        <w:ind w:left="360"/>
        <w:rPr>
          <w:rFonts w:ascii="Arial" w:hAnsi="Arial" w:cs="Arial"/>
          <w:color w:val="000000"/>
          <w:sz w:val="24"/>
        </w:rPr>
      </w:pPr>
      <w:r w:rsidRPr="00FA27A4">
        <w:rPr>
          <w:rFonts w:ascii="Arial" w:hAnsi="Arial" w:cs="Arial"/>
          <w:sz w:val="24"/>
        </w:rPr>
        <w:t>This program is unique and prescribed by law as noted above. Similar information will not be collected through other means.</w:t>
      </w:r>
    </w:p>
    <w:p w:rsidR="009B3794" w:rsidRPr="00C45431" w:rsidRDefault="009B3794" w:rsidP="00CA3DA6">
      <w:pPr>
        <w:numPr>
          <w:ilvl w:val="0"/>
          <w:numId w:val="2"/>
        </w:numPr>
        <w:tabs>
          <w:tab w:val="clear" w:pos="1080"/>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AD7D1A" w:rsidRPr="00F84A6D" w:rsidRDefault="009B3794" w:rsidP="00AD7D1A">
      <w:pPr>
        <w:spacing w:before="240"/>
        <w:ind w:left="360"/>
        <w:rPr>
          <w:rFonts w:ascii="Arial" w:hAnsi="Arial" w:cs="Arial"/>
          <w:color w:val="000000"/>
          <w:sz w:val="24"/>
        </w:rPr>
      </w:pPr>
      <w:r w:rsidRPr="00AD7D1A">
        <w:rPr>
          <w:rFonts w:ascii="Arial" w:hAnsi="Arial" w:cs="Arial"/>
          <w:color w:val="000000"/>
          <w:sz w:val="24"/>
        </w:rPr>
        <w:t xml:space="preserve">No small businesses will be involved in </w:t>
      </w:r>
      <w:r w:rsidR="00AD7D1A">
        <w:rPr>
          <w:rFonts w:ascii="Arial" w:hAnsi="Arial" w:cs="Arial"/>
          <w:color w:val="000000"/>
          <w:sz w:val="24"/>
        </w:rPr>
        <w:t>reporting</w:t>
      </w:r>
      <w:r w:rsidRPr="00F84A6D">
        <w:rPr>
          <w:rFonts w:ascii="Arial" w:hAnsi="Arial" w:cs="Arial"/>
          <w:color w:val="000000"/>
          <w:sz w:val="24"/>
        </w:rPr>
        <w:t>.</w:t>
      </w:r>
      <w:r w:rsidR="00AD7D1A" w:rsidRPr="00F84A6D">
        <w:rPr>
          <w:rFonts w:ascii="Arial" w:hAnsi="Arial" w:cs="Arial"/>
          <w:b/>
          <w:color w:val="000000"/>
          <w:sz w:val="24"/>
        </w:rPr>
        <w:t xml:space="preserve">  </w:t>
      </w:r>
      <w:r w:rsidR="00F84A6D">
        <w:rPr>
          <w:rFonts w:ascii="Arial" w:hAnsi="Arial" w:cs="Arial"/>
          <w:color w:val="000000"/>
          <w:sz w:val="24"/>
        </w:rPr>
        <w:t>Report</w:t>
      </w:r>
      <w:r w:rsidR="004D0BAC">
        <w:rPr>
          <w:rFonts w:ascii="Arial" w:hAnsi="Arial" w:cs="Arial"/>
          <w:color w:val="000000"/>
          <w:sz w:val="24"/>
        </w:rPr>
        <w:t>s</w:t>
      </w:r>
      <w:r w:rsidR="00F84A6D">
        <w:rPr>
          <w:rFonts w:ascii="Arial" w:hAnsi="Arial" w:cs="Arial"/>
          <w:color w:val="000000"/>
          <w:sz w:val="24"/>
        </w:rPr>
        <w:t xml:space="preserve"> will be completed by </w:t>
      </w:r>
      <w:r w:rsidR="00F84A6D">
        <w:rPr>
          <w:rFonts w:ascii="Arial" w:hAnsi="Arial" w:cs="Arial"/>
          <w:color w:val="000000"/>
          <w:sz w:val="24"/>
        </w:rPr>
        <w:lastRenderedPageBreak/>
        <w:t>state, jurisdiction, and non-profit grantees.</w:t>
      </w:r>
      <w:r w:rsidR="00AD7D1A" w:rsidRPr="00F84A6D">
        <w:rPr>
          <w:rFonts w:ascii="Arial" w:hAnsi="Arial" w:cs="Arial"/>
          <w:color w:val="000000"/>
          <w:sz w:val="24"/>
        </w:rPr>
        <w:t xml:space="preserve"> </w:t>
      </w: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001325B2" w:rsidRPr="00C45431">
        <w:rPr>
          <w:rFonts w:ascii="Arial" w:hAnsi="Arial" w:cs="Arial"/>
          <w:b/>
          <w:sz w:val="24"/>
          <w:u w:val="single"/>
        </w:rPr>
        <w:t>ly</w:t>
      </w:r>
    </w:p>
    <w:p w:rsidR="00FE195C" w:rsidRDefault="00477C23" w:rsidP="00FE195C">
      <w:pPr>
        <w:widowControl/>
        <w:autoSpaceDE/>
        <w:autoSpaceDN/>
        <w:adjustRightInd/>
        <w:spacing w:before="120"/>
        <w:ind w:left="360"/>
        <w:rPr>
          <w:rFonts w:ascii="Arial" w:hAnsi="Arial" w:cs="Arial"/>
          <w:b/>
          <w:color w:val="000000"/>
          <w:sz w:val="24"/>
        </w:rPr>
      </w:pPr>
      <w:r>
        <w:rPr>
          <w:rFonts w:ascii="Arial" w:hAnsi="Arial" w:cs="Arial"/>
          <w:color w:val="000000"/>
          <w:sz w:val="24"/>
        </w:rPr>
        <w:t xml:space="preserve">Competitive development grants awarded in 2011 and 2012 have a </w:t>
      </w:r>
      <w:r w:rsidR="00D52A69">
        <w:rPr>
          <w:rFonts w:ascii="Arial" w:hAnsi="Arial" w:cs="Arial"/>
          <w:color w:val="000000"/>
          <w:sz w:val="24"/>
        </w:rPr>
        <w:t xml:space="preserve">three </w:t>
      </w:r>
      <w:r>
        <w:rPr>
          <w:rFonts w:ascii="Arial" w:hAnsi="Arial" w:cs="Arial"/>
          <w:color w:val="000000"/>
          <w:sz w:val="24"/>
        </w:rPr>
        <w:t xml:space="preserve">year project period.  Competitive expansion grants awarded in 2012 </w:t>
      </w:r>
      <w:r w:rsidR="003177DC">
        <w:rPr>
          <w:rFonts w:ascii="Arial" w:hAnsi="Arial" w:cs="Arial"/>
          <w:color w:val="000000"/>
          <w:sz w:val="24"/>
        </w:rPr>
        <w:t>have a four year and 6 month project period</w:t>
      </w:r>
      <w:r w:rsidR="000879FE">
        <w:rPr>
          <w:rFonts w:ascii="Arial" w:hAnsi="Arial" w:cs="Arial"/>
          <w:color w:val="000000"/>
          <w:sz w:val="24"/>
        </w:rPr>
        <w:t xml:space="preserve">.  Competitive expansion grants awarded in </w:t>
      </w:r>
      <w:r>
        <w:rPr>
          <w:rFonts w:ascii="Arial" w:hAnsi="Arial" w:cs="Arial"/>
          <w:color w:val="000000"/>
          <w:sz w:val="24"/>
        </w:rPr>
        <w:t xml:space="preserve">2013 have a </w:t>
      </w:r>
      <w:r w:rsidR="000D30D9">
        <w:rPr>
          <w:rFonts w:ascii="Arial" w:hAnsi="Arial" w:cs="Arial"/>
          <w:color w:val="000000"/>
          <w:sz w:val="24"/>
        </w:rPr>
        <w:t>3 year project period.  Competitive expansion grants awarded in 2014 and 2015 have a 2 year and 2 year and 7 month project period, respectively.  The program requires g</w:t>
      </w:r>
      <w:r>
        <w:rPr>
          <w:rFonts w:ascii="Arial" w:hAnsi="Arial" w:cs="Arial"/>
          <w:color w:val="000000"/>
          <w:sz w:val="24"/>
        </w:rPr>
        <w:t xml:space="preserve">rantees </w:t>
      </w:r>
      <w:r w:rsidR="000D30D9">
        <w:rPr>
          <w:rFonts w:ascii="Arial" w:hAnsi="Arial" w:cs="Arial"/>
          <w:color w:val="000000"/>
          <w:sz w:val="24"/>
        </w:rPr>
        <w:t>to</w:t>
      </w:r>
      <w:r>
        <w:rPr>
          <w:rFonts w:ascii="Arial" w:hAnsi="Arial" w:cs="Arial"/>
          <w:color w:val="000000"/>
          <w:sz w:val="24"/>
        </w:rPr>
        <w:t xml:space="preserve"> submit final reports 90 days after the end of the project period.</w:t>
      </w:r>
      <w:r w:rsidR="000D30D9">
        <w:rPr>
          <w:rFonts w:ascii="Arial" w:hAnsi="Arial" w:cs="Arial"/>
          <w:color w:val="000000"/>
          <w:sz w:val="24"/>
        </w:rPr>
        <w:t xml:space="preserve">  Less frequent reporting will affect the ability of the agency to assess</w:t>
      </w:r>
      <w:r w:rsidR="00FE195C">
        <w:rPr>
          <w:rFonts w:ascii="Arial" w:hAnsi="Arial" w:cs="Arial"/>
          <w:color w:val="000000"/>
          <w:sz w:val="24"/>
        </w:rPr>
        <w:t xml:space="preserve"> </w:t>
      </w:r>
      <w:r w:rsidR="00FE195C" w:rsidRPr="0092336E">
        <w:rPr>
          <w:rFonts w:ascii="Arial" w:hAnsi="Arial" w:cs="Arial"/>
          <w:sz w:val="24"/>
        </w:rPr>
        <w:t>program</w:t>
      </w:r>
      <w:r w:rsidR="00FE195C">
        <w:rPr>
          <w:rFonts w:ascii="Arial" w:hAnsi="Arial" w:cs="Arial"/>
          <w:sz w:val="24"/>
        </w:rPr>
        <w:t xml:space="preserve"> implementation,</w:t>
      </w:r>
      <w:r w:rsidR="00FE195C" w:rsidRPr="0092336E">
        <w:rPr>
          <w:rFonts w:ascii="Arial" w:hAnsi="Arial" w:cs="Arial"/>
          <w:sz w:val="24"/>
        </w:rPr>
        <w:t xml:space="preserve"> effectiveness</w:t>
      </w:r>
      <w:r w:rsidR="00FE195C">
        <w:rPr>
          <w:rFonts w:ascii="Arial" w:hAnsi="Arial" w:cs="Arial"/>
          <w:sz w:val="24"/>
        </w:rPr>
        <w:t>,</w:t>
      </w:r>
      <w:r w:rsidR="00FE195C" w:rsidRPr="0092336E">
        <w:rPr>
          <w:rFonts w:ascii="Arial" w:hAnsi="Arial" w:cs="Arial"/>
          <w:sz w:val="24"/>
        </w:rPr>
        <w:t xml:space="preserve"> and impact on the health and development of service recipients.</w:t>
      </w:r>
      <w:r w:rsidR="00FE195C">
        <w:rPr>
          <w:rFonts w:ascii="Arial" w:hAnsi="Arial" w:cs="Arial"/>
          <w:sz w:val="24"/>
        </w:rPr>
        <w:t xml:space="preserve"> </w:t>
      </w:r>
      <w:r w:rsidR="009B3794" w:rsidRPr="005D2D96">
        <w:rPr>
          <w:rFonts w:ascii="Arial" w:hAnsi="Arial" w:cs="Arial"/>
          <w:color w:val="000000"/>
          <w:sz w:val="24"/>
        </w:rPr>
        <w:t xml:space="preserve">There are no legal </w:t>
      </w:r>
      <w:r w:rsidR="00FE195C" w:rsidRPr="005D2D96">
        <w:rPr>
          <w:rFonts w:ascii="Arial" w:hAnsi="Arial" w:cs="Arial"/>
          <w:color w:val="000000"/>
          <w:sz w:val="24"/>
        </w:rPr>
        <w:t>obstacles to reduce the burden.</w:t>
      </w:r>
      <w:r w:rsidR="009B3794" w:rsidRPr="00C45431">
        <w:rPr>
          <w:rFonts w:ascii="Arial" w:hAnsi="Arial" w:cs="Arial"/>
          <w:b/>
          <w:color w:val="000000"/>
          <w:sz w:val="24"/>
        </w:rPr>
        <w:t xml:space="preserve">  </w:t>
      </w:r>
    </w:p>
    <w:p w:rsidR="009B3794" w:rsidRPr="00C45431" w:rsidRDefault="009B3794" w:rsidP="005D2D9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9B3794" w:rsidRPr="00082E2E" w:rsidRDefault="00627FFD" w:rsidP="00082E2E">
      <w:pPr>
        <w:widowControl/>
        <w:spacing w:before="120"/>
        <w:ind w:left="360"/>
        <w:rPr>
          <w:rFonts w:ascii="Arial" w:hAnsi="Arial" w:cs="Arial"/>
          <w:sz w:val="24"/>
        </w:rPr>
      </w:pPr>
      <w:r w:rsidRPr="00082E2E">
        <w:rPr>
          <w:rFonts w:ascii="Arial" w:hAnsi="Arial" w:cs="Arial"/>
          <w:sz w:val="24"/>
        </w:rPr>
        <w:t>T</w:t>
      </w:r>
      <w:r w:rsidR="009B3794" w:rsidRPr="00082E2E">
        <w:rPr>
          <w:rFonts w:ascii="Arial" w:hAnsi="Arial" w:cs="Arial"/>
          <w:sz w:val="24"/>
        </w:rPr>
        <w:t>he request fully complies with the regulation.</w:t>
      </w: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DE3A45" w:rsidRPr="00C45431" w:rsidRDefault="00DE3A45" w:rsidP="00CA3DA6">
      <w:pPr>
        <w:spacing w:before="120"/>
        <w:rPr>
          <w:rFonts w:ascii="Arial" w:hAnsi="Arial" w:cs="Arial"/>
          <w:b/>
          <w:sz w:val="28"/>
          <w:szCs w:val="28"/>
        </w:rPr>
      </w:pPr>
      <w:r w:rsidRPr="00C45431">
        <w:rPr>
          <w:rFonts w:ascii="Arial" w:hAnsi="Arial" w:cs="Arial"/>
          <w:b/>
          <w:sz w:val="28"/>
          <w:szCs w:val="28"/>
        </w:rPr>
        <w:t>Section 8A:</w:t>
      </w:r>
    </w:p>
    <w:p w:rsidR="009B3794" w:rsidRPr="00082E2E" w:rsidRDefault="009B3794" w:rsidP="00082E2E">
      <w:pPr>
        <w:spacing w:before="120"/>
        <w:ind w:left="360"/>
        <w:rPr>
          <w:rFonts w:ascii="Arial" w:hAnsi="Arial" w:cs="Arial"/>
          <w:sz w:val="24"/>
        </w:rPr>
      </w:pPr>
      <w:r w:rsidRPr="00082E2E">
        <w:rPr>
          <w:rFonts w:ascii="Arial" w:hAnsi="Arial" w:cs="Arial"/>
          <w:sz w:val="24"/>
        </w:rPr>
        <w:t xml:space="preserve">A 60-day Federal Register Notice was published in the </w:t>
      </w:r>
      <w:r w:rsidRPr="00082E2E">
        <w:rPr>
          <w:rFonts w:ascii="Arial" w:hAnsi="Arial" w:cs="Arial"/>
          <w:i/>
          <w:iCs/>
          <w:sz w:val="24"/>
        </w:rPr>
        <w:t xml:space="preserve">Federal Register </w:t>
      </w:r>
      <w:r w:rsidRPr="00082E2E">
        <w:rPr>
          <w:rFonts w:ascii="Arial" w:hAnsi="Arial" w:cs="Arial"/>
          <w:sz w:val="24"/>
        </w:rPr>
        <w:t xml:space="preserve">on </w:t>
      </w:r>
      <w:r w:rsidR="000E464B">
        <w:rPr>
          <w:rFonts w:ascii="Arial" w:hAnsi="Arial" w:cs="Arial"/>
          <w:sz w:val="24"/>
        </w:rPr>
        <w:t>September 30, 2014 V</w:t>
      </w:r>
      <w:r w:rsidRPr="00082E2E">
        <w:rPr>
          <w:rFonts w:ascii="Arial" w:hAnsi="Arial" w:cs="Arial"/>
          <w:sz w:val="24"/>
        </w:rPr>
        <w:t xml:space="preserve">ol. </w:t>
      </w:r>
      <w:r w:rsidR="000E464B">
        <w:rPr>
          <w:rFonts w:ascii="Arial" w:hAnsi="Arial" w:cs="Arial"/>
          <w:sz w:val="24"/>
        </w:rPr>
        <w:t>79</w:t>
      </w:r>
      <w:r w:rsidRPr="00082E2E">
        <w:rPr>
          <w:rFonts w:ascii="Arial" w:hAnsi="Arial" w:cs="Arial"/>
          <w:sz w:val="24"/>
        </w:rPr>
        <w:t>, No.</w:t>
      </w:r>
      <w:r w:rsidR="000E464B">
        <w:rPr>
          <w:rFonts w:ascii="Arial" w:hAnsi="Arial" w:cs="Arial"/>
          <w:sz w:val="24"/>
        </w:rPr>
        <w:t>189</w:t>
      </w:r>
      <w:r w:rsidRPr="00082E2E">
        <w:rPr>
          <w:rFonts w:ascii="Arial" w:hAnsi="Arial" w:cs="Arial"/>
          <w:sz w:val="24"/>
        </w:rPr>
        <w:t xml:space="preserve">; pp. </w:t>
      </w:r>
      <w:r w:rsidR="000E464B" w:rsidRPr="000E464B">
        <w:rPr>
          <w:rFonts w:ascii="Arial" w:hAnsi="Arial" w:cs="Arial"/>
          <w:bCs/>
          <w:sz w:val="24"/>
        </w:rPr>
        <w:t>58786</w:t>
      </w:r>
      <w:r w:rsidR="000E464B">
        <w:rPr>
          <w:rFonts w:ascii="Arial" w:hAnsi="Arial" w:cs="Arial"/>
          <w:sz w:val="24"/>
        </w:rPr>
        <w:t xml:space="preserve">. There </w:t>
      </w:r>
      <w:r w:rsidRPr="00082E2E">
        <w:rPr>
          <w:rFonts w:ascii="Arial" w:hAnsi="Arial" w:cs="Arial"/>
          <w:sz w:val="24"/>
        </w:rPr>
        <w:t>were no public comments.</w:t>
      </w:r>
    </w:p>
    <w:p w:rsidR="00DE3A45" w:rsidRPr="00C45431" w:rsidRDefault="00DE3A45" w:rsidP="00CA3DA6">
      <w:pPr>
        <w:spacing w:before="120"/>
        <w:rPr>
          <w:rFonts w:ascii="Arial" w:hAnsi="Arial" w:cs="Arial"/>
          <w:b/>
          <w:sz w:val="28"/>
          <w:szCs w:val="28"/>
        </w:rPr>
      </w:pPr>
      <w:r w:rsidRPr="00C45431">
        <w:rPr>
          <w:rFonts w:ascii="Arial" w:hAnsi="Arial" w:cs="Arial"/>
          <w:b/>
          <w:sz w:val="28"/>
          <w:szCs w:val="28"/>
        </w:rPr>
        <w:t>Section 8B:</w:t>
      </w:r>
    </w:p>
    <w:p w:rsidR="00945637" w:rsidRPr="00945637" w:rsidRDefault="00945637" w:rsidP="00945637">
      <w:pPr>
        <w:numPr>
          <w:ilvl w:val="0"/>
          <w:numId w:val="25"/>
        </w:numPr>
        <w:tabs>
          <w:tab w:val="clear" w:pos="2160"/>
          <w:tab w:val="num" w:pos="360"/>
        </w:tabs>
        <w:spacing w:before="120"/>
        <w:ind w:left="360"/>
        <w:rPr>
          <w:rFonts w:ascii="Arial" w:hAnsi="Arial" w:cs="Arial"/>
          <w:sz w:val="24"/>
        </w:rPr>
      </w:pPr>
      <w:r>
        <w:rPr>
          <w:rFonts w:ascii="Arial" w:hAnsi="Arial" w:cs="Arial"/>
          <w:sz w:val="24"/>
        </w:rPr>
        <w:t>In FY 2014 t</w:t>
      </w:r>
      <w:r w:rsidR="006578C5">
        <w:rPr>
          <w:rFonts w:ascii="Arial" w:hAnsi="Arial" w:cs="Arial"/>
          <w:sz w:val="24"/>
        </w:rPr>
        <w:t>he agency consulted with current competit</w:t>
      </w:r>
      <w:r w:rsidR="00C82A30">
        <w:rPr>
          <w:rFonts w:ascii="Arial" w:hAnsi="Arial" w:cs="Arial"/>
          <w:sz w:val="24"/>
        </w:rPr>
        <w:t>ive develop</w:t>
      </w:r>
      <w:r w:rsidR="00D243D0">
        <w:rPr>
          <w:rFonts w:ascii="Arial" w:hAnsi="Arial" w:cs="Arial"/>
          <w:sz w:val="24"/>
        </w:rPr>
        <w:t>ment</w:t>
      </w:r>
      <w:r w:rsidR="00C82A30">
        <w:rPr>
          <w:rFonts w:ascii="Arial" w:hAnsi="Arial" w:cs="Arial"/>
          <w:sz w:val="24"/>
        </w:rPr>
        <w:t xml:space="preserve"> and expansion grantee</w:t>
      </w:r>
      <w:r w:rsidR="00567A64">
        <w:rPr>
          <w:rFonts w:ascii="Arial" w:hAnsi="Arial" w:cs="Arial"/>
          <w:sz w:val="24"/>
        </w:rPr>
        <w:t>s</w:t>
      </w:r>
      <w:r w:rsidR="00C82A30">
        <w:rPr>
          <w:rFonts w:ascii="Arial" w:hAnsi="Arial" w:cs="Arial"/>
          <w:sz w:val="24"/>
        </w:rPr>
        <w:t xml:space="preserve"> on </w:t>
      </w:r>
      <w:r w:rsidRPr="00C45431">
        <w:rPr>
          <w:rFonts w:ascii="Arial" w:hAnsi="Arial" w:cs="Arial"/>
          <w:sz w:val="24"/>
        </w:rPr>
        <w:t xml:space="preserve">the availability of data, frequency of collection, the clarity of instructions and record keeping, disclosure, </w:t>
      </w:r>
      <w:r>
        <w:rPr>
          <w:rFonts w:ascii="Arial" w:hAnsi="Arial" w:cs="Arial"/>
          <w:sz w:val="24"/>
        </w:rPr>
        <w:t>and reporting format</w:t>
      </w:r>
      <w:r w:rsidRPr="00C45431">
        <w:rPr>
          <w:rFonts w:ascii="Arial" w:hAnsi="Arial" w:cs="Arial"/>
          <w:sz w:val="24"/>
        </w:rPr>
        <w:t>, and on the data elements to be recorded, disclosed, or reported.</w:t>
      </w:r>
      <w:r>
        <w:rPr>
          <w:rFonts w:ascii="Arial" w:hAnsi="Arial" w:cs="Arial"/>
          <w:sz w:val="24"/>
        </w:rPr>
        <w:t xml:space="preserve">  </w:t>
      </w:r>
      <w:r w:rsidRPr="00945637">
        <w:rPr>
          <w:rFonts w:ascii="Arial" w:hAnsi="Arial" w:cs="Arial"/>
          <w:sz w:val="24"/>
        </w:rPr>
        <w:t>The names, title, telephone numbers, and e-mail addresses of those consulted is attached. There were no problems that could not be resolved during the consultation.</w:t>
      </w:r>
    </w:p>
    <w:p w:rsidR="006578C5" w:rsidRDefault="006578C5" w:rsidP="005D2D96">
      <w:pPr>
        <w:spacing w:before="120"/>
        <w:ind w:left="360"/>
        <w:rPr>
          <w:rFonts w:ascii="Arial" w:hAnsi="Arial" w:cs="Arial"/>
          <w:sz w:val="24"/>
        </w:rPr>
      </w:pPr>
    </w:p>
    <w:p w:rsidR="005D2D96" w:rsidRPr="005D2D96" w:rsidRDefault="005D2D96" w:rsidP="005D2D96">
      <w:pPr>
        <w:spacing w:before="120"/>
        <w:ind w:left="360"/>
        <w:rPr>
          <w:rFonts w:ascii="Arial" w:hAnsi="Arial" w:cs="Arial"/>
          <w:sz w:val="24"/>
        </w:rPr>
      </w:pPr>
      <w:r w:rsidRPr="005D2D96">
        <w:rPr>
          <w:rFonts w:ascii="Arial" w:hAnsi="Arial" w:cs="Arial"/>
          <w:sz w:val="24"/>
        </w:rPr>
        <w:t>HRSA collaborates with the Administration for Children and Families (ACF) as is required under the legislation and also with a number of other federal agencies with</w:t>
      </w:r>
      <w:r>
        <w:rPr>
          <w:rFonts w:ascii="Arial" w:hAnsi="Arial" w:cs="Arial"/>
          <w:sz w:val="24"/>
        </w:rPr>
        <w:t>in</w:t>
      </w:r>
      <w:r w:rsidRPr="005D2D96">
        <w:rPr>
          <w:rFonts w:ascii="Arial" w:hAnsi="Arial" w:cs="Arial"/>
          <w:sz w:val="24"/>
        </w:rPr>
        <w:t xml:space="preserve"> HHS (including the CDC, SAMHSA, and CMS), as well as the Departments of Education and Justice. </w:t>
      </w:r>
    </w:p>
    <w:p w:rsidR="005D2D96" w:rsidRDefault="005D2D96" w:rsidP="005D2D96">
      <w:pPr>
        <w:spacing w:before="120"/>
        <w:ind w:left="360"/>
        <w:rPr>
          <w:rFonts w:ascii="Arial" w:hAnsi="Arial" w:cs="Arial"/>
          <w:sz w:val="24"/>
        </w:rPr>
      </w:pPr>
    </w:p>
    <w:p w:rsidR="003B1CE6" w:rsidRPr="00C45431" w:rsidRDefault="003B1CE6" w:rsidP="00630308">
      <w:pPr>
        <w:spacing w:before="120"/>
        <w:ind w:left="1080"/>
        <w:rPr>
          <w:rFonts w:ascii="Arial" w:hAnsi="Arial" w:cs="Arial"/>
          <w:b/>
          <w:sz w:val="24"/>
        </w:rPr>
      </w:pPr>
      <w:r>
        <w:rPr>
          <w:rFonts w:ascii="Arial" w:hAnsi="Arial" w:cs="Arial"/>
          <w:sz w:val="24"/>
        </w:rPr>
        <w:t xml:space="preserve">Consultations </w:t>
      </w:r>
      <w:r w:rsidR="008907C5">
        <w:rPr>
          <w:rFonts w:ascii="Arial" w:hAnsi="Arial" w:cs="Arial"/>
          <w:sz w:val="24"/>
        </w:rPr>
        <w:t xml:space="preserve">that </w:t>
      </w:r>
      <w:r>
        <w:rPr>
          <w:rFonts w:ascii="Arial" w:hAnsi="Arial" w:cs="Arial"/>
          <w:sz w:val="24"/>
        </w:rPr>
        <w:t>took place in 2014</w:t>
      </w:r>
      <w:r w:rsidR="007C6FEA">
        <w:rPr>
          <w:rFonts w:ascii="Arial" w:hAnsi="Arial" w:cs="Arial"/>
          <w:sz w:val="24"/>
        </w:rPr>
        <w:t>:</w:t>
      </w:r>
    </w:p>
    <w:p w:rsidR="003B1CE6" w:rsidRDefault="00120184" w:rsidP="00630308">
      <w:pPr>
        <w:spacing w:before="120"/>
        <w:ind w:left="1080"/>
        <w:rPr>
          <w:rFonts w:ascii="Arial" w:hAnsi="Arial" w:cs="Arial"/>
          <w:color w:val="1F497D"/>
          <w:sz w:val="24"/>
        </w:rPr>
      </w:pPr>
      <w:r>
        <w:rPr>
          <w:rFonts w:ascii="Arial" w:hAnsi="Arial" w:cs="Arial"/>
          <w:sz w:val="24"/>
        </w:rPr>
        <w:t>Carole Steele, State Lead, Georgia Department of Human Resources</w:t>
      </w:r>
      <w:r w:rsidR="003B1CE6">
        <w:rPr>
          <w:rFonts w:ascii="Arial" w:hAnsi="Arial" w:cs="Arial"/>
          <w:sz w:val="24"/>
        </w:rPr>
        <w:t xml:space="preserve"> -</w:t>
      </w:r>
      <w:r w:rsidR="003B1CE6" w:rsidRPr="003B1CE6">
        <w:rPr>
          <w:rFonts w:ascii="Arial" w:hAnsi="Arial" w:cs="Arial"/>
          <w:sz w:val="24"/>
        </w:rPr>
        <w:t xml:space="preserve"> </w:t>
      </w:r>
      <w:r w:rsidR="003B1CE6" w:rsidRPr="00630308">
        <w:rPr>
          <w:rFonts w:ascii="Arial" w:hAnsi="Arial" w:cs="Arial"/>
          <w:sz w:val="24"/>
        </w:rPr>
        <w:t>(404) 656-2631</w:t>
      </w:r>
      <w:r w:rsidR="003B1CE6">
        <w:rPr>
          <w:rFonts w:ascii="Arial" w:hAnsi="Arial" w:cs="Arial"/>
          <w:sz w:val="24"/>
        </w:rPr>
        <w:t>,</w:t>
      </w:r>
      <w:r w:rsidR="003B1CE6" w:rsidRPr="00630308">
        <w:rPr>
          <w:rFonts w:ascii="Arial" w:hAnsi="Arial" w:cs="Arial"/>
          <w:sz w:val="24"/>
        </w:rPr>
        <w:t xml:space="preserve"> </w:t>
      </w:r>
      <w:hyperlink r:id="rId9" w:history="1">
        <w:r w:rsidR="003B1CE6" w:rsidRPr="00630308">
          <w:rPr>
            <w:rStyle w:val="Hyperlink"/>
            <w:rFonts w:ascii="Arial" w:hAnsi="Arial" w:cs="Arial"/>
            <w:sz w:val="24"/>
          </w:rPr>
          <w:t>casteele@dhr.state.ga.us</w:t>
        </w:r>
      </w:hyperlink>
    </w:p>
    <w:p w:rsidR="003B1CE6" w:rsidRDefault="003B1CE6" w:rsidP="00630308">
      <w:pPr>
        <w:spacing w:before="120"/>
        <w:ind w:left="1080"/>
        <w:rPr>
          <w:color w:val="1F497D"/>
        </w:rPr>
      </w:pPr>
      <w:r w:rsidRPr="00630308">
        <w:rPr>
          <w:rFonts w:ascii="Arial" w:hAnsi="Arial" w:cs="Arial"/>
          <w:sz w:val="24"/>
        </w:rPr>
        <w:t xml:space="preserve">Susan </w:t>
      </w:r>
      <w:proofErr w:type="spellStart"/>
      <w:r w:rsidRPr="00630308">
        <w:rPr>
          <w:rFonts w:ascii="Arial" w:hAnsi="Arial" w:cs="Arial"/>
          <w:sz w:val="24"/>
        </w:rPr>
        <w:t>McKim</w:t>
      </w:r>
      <w:proofErr w:type="spellEnd"/>
      <w:r w:rsidRPr="00630308">
        <w:rPr>
          <w:rFonts w:ascii="Arial" w:hAnsi="Arial" w:cs="Arial"/>
          <w:sz w:val="24"/>
        </w:rPr>
        <w:t xml:space="preserve">, State Lead, Alabama Department of Children’s Affairs, (334) 353-2709, </w:t>
      </w:r>
      <w:hyperlink r:id="rId10" w:history="1">
        <w:r w:rsidRPr="00B778D4">
          <w:rPr>
            <w:rStyle w:val="Hyperlink"/>
            <w:rFonts w:ascii="Arial" w:hAnsi="Arial" w:cs="Arial"/>
            <w:sz w:val="24"/>
          </w:rPr>
          <w:t>susan.mckim@dca.alabama.gov</w:t>
        </w:r>
      </w:hyperlink>
      <w:r>
        <w:rPr>
          <w:rFonts w:ascii="Arial" w:hAnsi="Arial" w:cs="Arial"/>
          <w:color w:val="1F497D"/>
          <w:sz w:val="24"/>
        </w:rPr>
        <w:t xml:space="preserve"> </w:t>
      </w:r>
    </w:p>
    <w:p w:rsidR="00120184" w:rsidRPr="00630308" w:rsidRDefault="00C65FAB" w:rsidP="00630308">
      <w:pPr>
        <w:spacing w:before="120"/>
        <w:ind w:left="1080"/>
        <w:rPr>
          <w:rFonts w:ascii="Arial" w:hAnsi="Arial" w:cs="Arial"/>
          <w:sz w:val="24"/>
        </w:rPr>
      </w:pPr>
      <w:r w:rsidRPr="00630308">
        <w:rPr>
          <w:rFonts w:ascii="Arial" w:hAnsi="Arial" w:cs="Arial"/>
          <w:color w:val="000000"/>
          <w:sz w:val="24"/>
          <w:shd w:val="clear" w:color="auto" w:fill="FFFFFF"/>
        </w:rPr>
        <w:t xml:space="preserve">Danette Wong </w:t>
      </w:r>
      <w:proofErr w:type="spellStart"/>
      <w:r w:rsidRPr="00630308">
        <w:rPr>
          <w:rFonts w:ascii="Arial" w:hAnsi="Arial" w:cs="Arial"/>
          <w:color w:val="000000"/>
          <w:sz w:val="24"/>
          <w:shd w:val="clear" w:color="auto" w:fill="FFFFFF"/>
        </w:rPr>
        <w:t>Tomiyasu</w:t>
      </w:r>
      <w:proofErr w:type="spellEnd"/>
      <w:r>
        <w:rPr>
          <w:rFonts w:ascii="Arial" w:hAnsi="Arial" w:cs="Arial"/>
          <w:color w:val="000000"/>
          <w:sz w:val="24"/>
          <w:shd w:val="clear" w:color="auto" w:fill="FFFFFF"/>
        </w:rPr>
        <w:t>, State Lead, Hawaii Department of Health</w:t>
      </w:r>
      <w:proofErr w:type="gramStart"/>
      <w:r>
        <w:rPr>
          <w:rFonts w:ascii="Arial" w:hAnsi="Arial" w:cs="Arial"/>
          <w:color w:val="000000"/>
          <w:sz w:val="24"/>
          <w:shd w:val="clear" w:color="auto" w:fill="FFFFFF"/>
        </w:rPr>
        <w:t>,</w:t>
      </w:r>
      <w:proofErr w:type="gramEnd"/>
      <w:r w:rsidRPr="00630308">
        <w:rPr>
          <w:rFonts w:ascii="Arial" w:hAnsi="Arial" w:cs="Arial"/>
          <w:color w:val="000000"/>
          <w:sz w:val="24"/>
        </w:rPr>
        <w:br/>
      </w:r>
      <w:r>
        <w:rPr>
          <w:rFonts w:ascii="Arial" w:hAnsi="Arial" w:cs="Arial"/>
          <w:color w:val="000000"/>
          <w:sz w:val="24"/>
          <w:shd w:val="clear" w:color="auto" w:fill="FFFFFF"/>
        </w:rPr>
        <w:lastRenderedPageBreak/>
        <w:t>(</w:t>
      </w:r>
      <w:r w:rsidRPr="00630308">
        <w:rPr>
          <w:rFonts w:ascii="Arial" w:hAnsi="Arial" w:cs="Arial"/>
          <w:color w:val="000000"/>
          <w:sz w:val="24"/>
          <w:shd w:val="clear" w:color="auto" w:fill="FFFFFF"/>
        </w:rPr>
        <w:t>808</w:t>
      </w:r>
      <w:r>
        <w:rPr>
          <w:rFonts w:ascii="Arial" w:hAnsi="Arial" w:cs="Arial"/>
          <w:color w:val="000000"/>
          <w:sz w:val="24"/>
          <w:shd w:val="clear" w:color="auto" w:fill="FFFFFF"/>
        </w:rPr>
        <w:t xml:space="preserve">) </w:t>
      </w:r>
      <w:r w:rsidRPr="00630308">
        <w:rPr>
          <w:rFonts w:ascii="Arial" w:hAnsi="Arial" w:cs="Arial"/>
          <w:color w:val="000000"/>
          <w:sz w:val="24"/>
          <w:shd w:val="clear" w:color="auto" w:fill="FFFFFF"/>
        </w:rPr>
        <w:t>586-4122</w:t>
      </w:r>
      <w:r>
        <w:rPr>
          <w:rFonts w:ascii="Arial" w:hAnsi="Arial" w:cs="Arial"/>
          <w:color w:val="000000"/>
          <w:sz w:val="24"/>
          <w:shd w:val="clear" w:color="auto" w:fill="FFFFFF"/>
        </w:rPr>
        <w:t xml:space="preserve">, </w:t>
      </w:r>
      <w:hyperlink r:id="rId11" w:history="1">
        <w:r w:rsidRPr="00B778D4">
          <w:rPr>
            <w:rStyle w:val="Hyperlink"/>
            <w:rFonts w:ascii="Arial" w:hAnsi="Arial" w:cs="Arial"/>
            <w:sz w:val="24"/>
            <w:shd w:val="clear" w:color="auto" w:fill="FFFFFF"/>
          </w:rPr>
          <w:t>danette.tomiyasu@doh.hawaii.gov</w:t>
        </w:r>
      </w:hyperlink>
      <w:r>
        <w:rPr>
          <w:rFonts w:ascii="Arial" w:hAnsi="Arial" w:cs="Arial"/>
          <w:color w:val="000000"/>
          <w:sz w:val="24"/>
          <w:shd w:val="clear" w:color="auto" w:fill="FFFFFF"/>
        </w:rPr>
        <w:t xml:space="preserve"> </w:t>
      </w:r>
      <w:r w:rsidR="003B1CE6" w:rsidRPr="00C65FAB">
        <w:rPr>
          <w:rFonts w:ascii="Arial" w:hAnsi="Arial" w:cs="Arial"/>
          <w:sz w:val="24"/>
        </w:rPr>
        <w:t xml:space="preserve"> </w:t>
      </w: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rsidR="00935E77" w:rsidRPr="00BC1FC3" w:rsidRDefault="00935E77" w:rsidP="00BC1FC3">
      <w:pPr>
        <w:spacing w:before="120"/>
        <w:ind w:left="360"/>
        <w:rPr>
          <w:rFonts w:ascii="Arial" w:hAnsi="Arial" w:cs="Arial"/>
          <w:sz w:val="24"/>
        </w:rPr>
      </w:pPr>
      <w:r w:rsidRPr="00BC1FC3">
        <w:rPr>
          <w:rFonts w:ascii="Arial" w:hAnsi="Arial" w:cs="Arial"/>
          <w:sz w:val="24"/>
        </w:rPr>
        <w:t xml:space="preserve">Respondents will not receive </w:t>
      </w:r>
      <w:r w:rsidR="008B04CA" w:rsidRPr="00BC1FC3">
        <w:rPr>
          <w:rFonts w:ascii="Arial" w:hAnsi="Arial" w:cs="Arial"/>
          <w:sz w:val="24"/>
        </w:rPr>
        <w:t xml:space="preserve">any </w:t>
      </w:r>
      <w:r w:rsidRPr="00BC1FC3">
        <w:rPr>
          <w:rFonts w:ascii="Arial" w:hAnsi="Arial" w:cs="Arial"/>
          <w:sz w:val="24"/>
        </w:rPr>
        <w:t>payment</w:t>
      </w:r>
      <w:r w:rsidR="008B04CA" w:rsidRPr="00BC1FC3">
        <w:rPr>
          <w:rFonts w:ascii="Arial" w:hAnsi="Arial" w:cs="Arial"/>
          <w:sz w:val="24"/>
        </w:rPr>
        <w:t>s</w:t>
      </w:r>
      <w:r w:rsidR="00BC1FC3" w:rsidRPr="00BC1FC3">
        <w:rPr>
          <w:rFonts w:ascii="Arial" w:hAnsi="Arial" w:cs="Arial"/>
          <w:sz w:val="24"/>
        </w:rPr>
        <w:t xml:space="preserve"> or gifts.</w:t>
      </w:r>
      <w:r w:rsidR="00067D76" w:rsidRPr="00BC1FC3">
        <w:rPr>
          <w:rFonts w:ascii="Arial" w:hAnsi="Arial" w:cs="Arial"/>
          <w:sz w:val="24"/>
        </w:rPr>
        <w:t xml:space="preserve"> </w:t>
      </w: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D32BC7" w:rsidRPr="00D32BC7" w:rsidRDefault="00D32BC7" w:rsidP="00D32BC7">
      <w:pPr>
        <w:spacing w:before="120"/>
        <w:ind w:left="360"/>
        <w:rPr>
          <w:rFonts w:ascii="Arial" w:hAnsi="Arial" w:cs="Arial"/>
          <w:sz w:val="24"/>
        </w:rPr>
      </w:pPr>
      <w:r w:rsidRPr="00D32BC7">
        <w:rPr>
          <w:rFonts w:ascii="Arial" w:hAnsi="Arial" w:cs="Arial"/>
          <w:bCs/>
          <w:sz w:val="24"/>
        </w:rPr>
        <w:t>The</w:t>
      </w:r>
      <w:r w:rsidRPr="00D32BC7">
        <w:rPr>
          <w:rFonts w:ascii="Arial" w:hAnsi="Arial" w:cs="Arial"/>
          <w:sz w:val="24"/>
        </w:rPr>
        <w:t xml:space="preserve"> Privacy </w:t>
      </w:r>
      <w:r>
        <w:rPr>
          <w:rFonts w:ascii="Arial" w:hAnsi="Arial" w:cs="Arial"/>
          <w:sz w:val="24"/>
        </w:rPr>
        <w:t xml:space="preserve">Act does not apply because </w:t>
      </w:r>
      <w:r w:rsidRPr="00D32BC7">
        <w:rPr>
          <w:rFonts w:ascii="Arial" w:hAnsi="Arial" w:cs="Arial"/>
          <w:sz w:val="24"/>
        </w:rPr>
        <w:t xml:space="preserve">information collection requirements do not include collection of information on individuals; all information is reported in aggregate form. </w:t>
      </w: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Justification for Sensitive Questions</w:t>
      </w:r>
    </w:p>
    <w:p w:rsidR="00D32BC7" w:rsidRPr="00D32BC7" w:rsidRDefault="00D32BC7" w:rsidP="00D32BC7">
      <w:pPr>
        <w:spacing w:before="120"/>
        <w:ind w:left="360"/>
        <w:rPr>
          <w:rFonts w:ascii="Arial" w:hAnsi="Arial" w:cs="Arial"/>
          <w:sz w:val="24"/>
        </w:rPr>
      </w:pPr>
      <w:r w:rsidRPr="00D32BC7">
        <w:rPr>
          <w:rFonts w:ascii="Arial" w:hAnsi="Arial" w:cs="Arial"/>
          <w:bCs/>
          <w:sz w:val="24"/>
        </w:rPr>
        <w:t>There</w:t>
      </w:r>
      <w:r w:rsidRPr="00D32BC7">
        <w:rPr>
          <w:rFonts w:ascii="Arial" w:hAnsi="Arial" w:cs="Arial"/>
          <w:sz w:val="24"/>
        </w:rPr>
        <w:t xml:space="preserve"> </w:t>
      </w:r>
      <w:r>
        <w:rPr>
          <w:rFonts w:ascii="Arial" w:hAnsi="Arial" w:cs="Arial"/>
          <w:sz w:val="24"/>
        </w:rPr>
        <w:t>are no</w:t>
      </w:r>
      <w:r w:rsidRPr="00D32BC7">
        <w:rPr>
          <w:rFonts w:ascii="Arial" w:hAnsi="Arial" w:cs="Arial"/>
          <w:sz w:val="24"/>
        </w:rPr>
        <w:t xml:space="preserve"> questions of a sensitive nature relating to race/ethnicity, sexual behavior and attitudes, religious beliefs</w:t>
      </w:r>
      <w:r w:rsidR="00EE2897">
        <w:rPr>
          <w:rFonts w:ascii="Arial" w:hAnsi="Arial" w:cs="Arial"/>
          <w:sz w:val="24"/>
        </w:rPr>
        <w:t xml:space="preserve"> of respondents</w:t>
      </w:r>
      <w:r w:rsidRPr="00D32BC7">
        <w:rPr>
          <w:rFonts w:ascii="Arial" w:hAnsi="Arial" w:cs="Arial"/>
          <w:sz w:val="24"/>
        </w:rPr>
        <w:t xml:space="preserve">, and other matters that are commonly considered private. </w:t>
      </w:r>
    </w:p>
    <w:p w:rsidR="009B3794" w:rsidRPr="00C45431" w:rsidRDefault="009B3794" w:rsidP="00CA3DA6">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rsidR="009B3794" w:rsidRPr="001577C6" w:rsidRDefault="00C50AE3" w:rsidP="001577C6">
      <w:pPr>
        <w:spacing w:before="240"/>
        <w:rPr>
          <w:rFonts w:ascii="Arial" w:hAnsi="Arial" w:cs="Arial"/>
          <w:b/>
          <w:sz w:val="24"/>
          <w:u w:val="single"/>
        </w:rPr>
      </w:pPr>
      <w:r w:rsidRPr="00C50AE3">
        <w:rPr>
          <w:rFonts w:ascii="Arial" w:hAnsi="Arial" w:cs="Arial"/>
          <w:b/>
          <w:sz w:val="24"/>
        </w:rPr>
        <w:t>12A.</w:t>
      </w:r>
      <w:r w:rsidR="009B3794" w:rsidRPr="001577C6">
        <w:rPr>
          <w:rFonts w:ascii="Arial" w:hAnsi="Arial" w:cs="Arial"/>
          <w:b/>
          <w:sz w:val="24"/>
          <w:u w:val="single"/>
        </w:rPr>
        <w:t>Estimated Annualized Burden Hours</w:t>
      </w:r>
    </w:p>
    <w:p w:rsidR="00945637" w:rsidRPr="00945637" w:rsidRDefault="00945637" w:rsidP="00945637">
      <w:pPr>
        <w:widowControl/>
        <w:spacing w:before="120"/>
        <w:ind w:left="360"/>
        <w:rPr>
          <w:rFonts w:ascii="Arial" w:hAnsi="Arial" w:cs="Arial"/>
          <w:sz w:val="24"/>
        </w:rPr>
      </w:pPr>
      <w:r w:rsidRPr="00945637">
        <w:rPr>
          <w:rFonts w:ascii="Arial" w:hAnsi="Arial" w:cs="Arial"/>
          <w:sz w:val="24"/>
        </w:rPr>
        <w:t xml:space="preserve">The annual estimate of burden is as follows: </w:t>
      </w:r>
    </w:p>
    <w:p w:rsidR="00945637" w:rsidRDefault="00945637" w:rsidP="00CA3DA6">
      <w:pPr>
        <w:widowControl/>
        <w:tabs>
          <w:tab w:val="num" w:pos="720"/>
        </w:tabs>
        <w:spacing w:before="120"/>
        <w:rPr>
          <w:rFonts w:ascii="Arial" w:hAnsi="Arial" w:cs="Arial"/>
          <w:b/>
          <w:sz w:val="24"/>
        </w:rPr>
      </w:pPr>
    </w:p>
    <w:tbl>
      <w:tblPr>
        <w:tblW w:w="9270" w:type="dxa"/>
        <w:tblInd w:w="97" w:type="dxa"/>
        <w:tblLayout w:type="fixed"/>
        <w:tblCellMar>
          <w:left w:w="97" w:type="dxa"/>
          <w:right w:w="97" w:type="dxa"/>
        </w:tblCellMar>
        <w:tblLook w:val="0000" w:firstRow="0" w:lastRow="0" w:firstColumn="0" w:lastColumn="0" w:noHBand="0" w:noVBand="0"/>
      </w:tblPr>
      <w:tblGrid>
        <w:gridCol w:w="1800"/>
        <w:gridCol w:w="1440"/>
        <w:gridCol w:w="1800"/>
        <w:gridCol w:w="1440"/>
        <w:gridCol w:w="1350"/>
        <w:gridCol w:w="1440"/>
      </w:tblGrid>
      <w:tr w:rsidR="00D33E6F" w:rsidRPr="001925DB" w:rsidTr="000703B9">
        <w:tc>
          <w:tcPr>
            <w:tcW w:w="1800" w:type="dxa"/>
            <w:tcBorders>
              <w:top w:val="single" w:sz="2" w:space="0" w:color="auto"/>
              <w:left w:val="single" w:sz="2" w:space="0" w:color="auto"/>
              <w:bottom w:val="single" w:sz="2" w:space="0" w:color="auto"/>
              <w:right w:val="single" w:sz="2" w:space="0" w:color="auto"/>
            </w:tcBorders>
            <w:vAlign w:val="bottom"/>
          </w:tcPr>
          <w:p w:rsidR="00D33E6F" w:rsidRPr="00CF47B7" w:rsidRDefault="00D33E6F" w:rsidP="000703B9">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p>
          <w:p w:rsidR="00D33E6F" w:rsidRPr="00CF47B7" w:rsidRDefault="00D33E6F" w:rsidP="000703B9">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CF47B7">
              <w:rPr>
                <w:rFonts w:ascii="Arial" w:hAnsi="Arial" w:cs="Arial"/>
              </w:rPr>
              <w:t>Form Name</w:t>
            </w:r>
          </w:p>
        </w:tc>
        <w:tc>
          <w:tcPr>
            <w:tcW w:w="1440" w:type="dxa"/>
            <w:tcBorders>
              <w:top w:val="single" w:sz="2" w:space="0" w:color="auto"/>
              <w:left w:val="single" w:sz="2" w:space="0" w:color="auto"/>
              <w:bottom w:val="single" w:sz="2" w:space="0" w:color="auto"/>
              <w:right w:val="single" w:sz="2" w:space="0" w:color="auto"/>
            </w:tcBorders>
            <w:vAlign w:val="bottom"/>
          </w:tcPr>
          <w:p w:rsidR="00D33E6F" w:rsidRPr="00CF47B7" w:rsidRDefault="00D33E6F" w:rsidP="000703B9">
            <w:pPr>
              <w:pStyle w:val="BodyText"/>
              <w:widowControl/>
              <w:jc w:val="center"/>
              <w:rPr>
                <w:rFonts w:ascii="Arial" w:hAnsi="Arial" w:cs="Arial"/>
              </w:rPr>
            </w:pPr>
            <w:r w:rsidRPr="00CF47B7">
              <w:rPr>
                <w:rFonts w:ascii="Arial" w:hAnsi="Arial" w:cs="Arial"/>
              </w:rP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D33E6F" w:rsidRPr="00CF47B7" w:rsidRDefault="00D33E6F" w:rsidP="000703B9">
            <w:pPr>
              <w:pStyle w:val="BodyText"/>
              <w:widowControl/>
              <w:jc w:val="center"/>
              <w:rPr>
                <w:rFonts w:ascii="Arial" w:hAnsi="Arial" w:cs="Arial"/>
              </w:rPr>
            </w:pPr>
          </w:p>
          <w:p w:rsidR="00D33E6F" w:rsidRPr="00CF47B7" w:rsidRDefault="00D33E6F" w:rsidP="000703B9">
            <w:pPr>
              <w:pStyle w:val="BodyText"/>
              <w:widowControl/>
              <w:jc w:val="center"/>
              <w:rPr>
                <w:rFonts w:ascii="Arial" w:hAnsi="Arial" w:cs="Arial"/>
              </w:rPr>
            </w:pPr>
            <w:r w:rsidRPr="00CF47B7">
              <w:rPr>
                <w:rFonts w:ascii="Arial" w:hAnsi="Arial" w:cs="Arial"/>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D33E6F" w:rsidRPr="00CF47B7" w:rsidRDefault="00D33E6F" w:rsidP="000703B9">
            <w:pPr>
              <w:pStyle w:val="BodyText"/>
              <w:widowControl/>
              <w:jc w:val="center"/>
              <w:rPr>
                <w:rFonts w:ascii="Arial" w:hAnsi="Arial" w:cs="Arial"/>
              </w:rPr>
            </w:pPr>
          </w:p>
          <w:p w:rsidR="00D33E6F" w:rsidRPr="00CF47B7" w:rsidRDefault="00D33E6F" w:rsidP="000703B9">
            <w:pPr>
              <w:pStyle w:val="BodyText"/>
              <w:widowControl/>
              <w:jc w:val="center"/>
              <w:rPr>
                <w:rFonts w:ascii="Arial" w:hAnsi="Arial" w:cs="Arial"/>
              </w:rPr>
            </w:pPr>
            <w:r w:rsidRPr="00CF47B7">
              <w:rPr>
                <w:rFonts w:ascii="Arial" w:hAnsi="Arial" w:cs="Arial"/>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D33E6F" w:rsidRPr="00CF47B7" w:rsidRDefault="00D33E6F" w:rsidP="000703B9">
            <w:pPr>
              <w:pStyle w:val="BodyText"/>
              <w:widowControl/>
              <w:jc w:val="center"/>
              <w:rPr>
                <w:rFonts w:ascii="Arial" w:hAnsi="Arial" w:cs="Arial"/>
              </w:rPr>
            </w:pPr>
          </w:p>
          <w:p w:rsidR="00D33E6F" w:rsidRPr="00CF47B7" w:rsidRDefault="00D33E6F" w:rsidP="000703B9">
            <w:pPr>
              <w:pStyle w:val="BodyText"/>
              <w:widowControl/>
              <w:jc w:val="center"/>
              <w:rPr>
                <w:rFonts w:ascii="Arial" w:hAnsi="Arial" w:cs="Arial"/>
              </w:rPr>
            </w:pPr>
            <w:r w:rsidRPr="00CF47B7">
              <w:rPr>
                <w:rFonts w:ascii="Arial" w:hAnsi="Arial" w:cs="Arial"/>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D33E6F" w:rsidRPr="00CF47B7" w:rsidRDefault="00D33E6F" w:rsidP="000703B9">
            <w:pPr>
              <w:pStyle w:val="BodyText"/>
              <w:widowControl/>
              <w:jc w:val="center"/>
              <w:rPr>
                <w:rFonts w:ascii="Arial" w:hAnsi="Arial" w:cs="Arial"/>
              </w:rPr>
            </w:pPr>
            <w:r w:rsidRPr="00CF47B7">
              <w:rPr>
                <w:rFonts w:ascii="Arial" w:hAnsi="Arial" w:cs="Arial"/>
              </w:rPr>
              <w:t>Total Burden Hours</w:t>
            </w:r>
          </w:p>
        </w:tc>
      </w:tr>
      <w:tr w:rsidR="00D33E6F" w:rsidRPr="001925DB" w:rsidTr="000703B9">
        <w:tc>
          <w:tcPr>
            <w:tcW w:w="1800" w:type="dxa"/>
            <w:tcBorders>
              <w:top w:val="single" w:sz="2" w:space="0" w:color="auto"/>
              <w:left w:val="single" w:sz="2" w:space="0" w:color="auto"/>
              <w:bottom w:val="single" w:sz="2" w:space="0" w:color="auto"/>
              <w:right w:val="single" w:sz="2" w:space="0" w:color="auto"/>
            </w:tcBorders>
          </w:tcPr>
          <w:p w:rsidR="00D33E6F" w:rsidRPr="00CF47B7" w:rsidRDefault="00D33E6F" w:rsidP="000703B9">
            <w:pPr>
              <w:rPr>
                <w:rFonts w:ascii="Arial" w:hAnsi="Arial" w:cs="Arial"/>
              </w:rPr>
            </w:pPr>
            <w:r w:rsidRPr="00CF47B7">
              <w:rPr>
                <w:rFonts w:ascii="Arial" w:hAnsi="Arial" w:cs="Arial"/>
              </w:rPr>
              <w:t>MIECHV Competitive Grant Final Report—Fiscal Year</w:t>
            </w: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CF47B7">
              <w:rPr>
                <w:rFonts w:ascii="Arial" w:hAnsi="Arial" w:cs="Arial"/>
              </w:rPr>
              <w:t>2011 and 2012 Development Grantees</w:t>
            </w:r>
          </w:p>
        </w:tc>
        <w:tc>
          <w:tcPr>
            <w:tcW w:w="1440" w:type="dxa"/>
            <w:tcBorders>
              <w:top w:val="single" w:sz="2" w:space="0" w:color="auto"/>
              <w:left w:val="single" w:sz="2" w:space="0" w:color="auto"/>
              <w:bottom w:val="single" w:sz="2" w:space="0" w:color="auto"/>
              <w:right w:val="single" w:sz="2" w:space="0" w:color="auto"/>
            </w:tcBorders>
            <w:vAlign w:val="center"/>
          </w:tcPr>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r w:rsidRPr="00CF47B7">
              <w:rPr>
                <w:rFonts w:ascii="Arial" w:hAnsi="Arial" w:cs="Arial"/>
                <w:lang w:val="fr-FR"/>
              </w:rPr>
              <w:t>19</w:t>
            </w:r>
          </w:p>
        </w:tc>
        <w:tc>
          <w:tcPr>
            <w:tcW w:w="1800" w:type="dxa"/>
            <w:tcBorders>
              <w:top w:val="single" w:sz="2" w:space="0" w:color="auto"/>
              <w:left w:val="single" w:sz="2" w:space="0" w:color="auto"/>
              <w:bottom w:val="single" w:sz="2" w:space="0" w:color="auto"/>
              <w:right w:val="single" w:sz="2" w:space="0" w:color="auto"/>
            </w:tcBorders>
            <w:vAlign w:val="center"/>
          </w:tcPr>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r w:rsidRPr="00CF47B7">
              <w:rPr>
                <w:rFonts w:ascii="Arial" w:hAnsi="Arial" w:cs="Arial"/>
                <w:lang w:val="fr-FR"/>
              </w:rPr>
              <w:t>1</w:t>
            </w:r>
          </w:p>
        </w:tc>
        <w:tc>
          <w:tcPr>
            <w:tcW w:w="1440" w:type="dxa"/>
            <w:tcBorders>
              <w:top w:val="single" w:sz="2" w:space="0" w:color="auto"/>
              <w:left w:val="single" w:sz="2" w:space="0" w:color="auto"/>
              <w:bottom w:val="single" w:sz="2" w:space="0" w:color="auto"/>
              <w:right w:val="single" w:sz="2" w:space="0" w:color="auto"/>
            </w:tcBorders>
            <w:vAlign w:val="center"/>
          </w:tcPr>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r w:rsidRPr="00CF47B7">
              <w:rPr>
                <w:rFonts w:ascii="Arial" w:hAnsi="Arial" w:cs="Arial"/>
                <w:lang w:val="fr-FR"/>
              </w:rPr>
              <w:t>19</w:t>
            </w:r>
          </w:p>
        </w:tc>
        <w:tc>
          <w:tcPr>
            <w:tcW w:w="1350" w:type="dxa"/>
            <w:tcBorders>
              <w:top w:val="single" w:sz="2" w:space="0" w:color="auto"/>
              <w:left w:val="single" w:sz="2" w:space="0" w:color="auto"/>
              <w:bottom w:val="single" w:sz="2" w:space="0" w:color="auto"/>
              <w:right w:val="single" w:sz="2" w:space="0" w:color="auto"/>
            </w:tcBorders>
            <w:vAlign w:val="center"/>
          </w:tcPr>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r w:rsidRPr="00CF47B7">
              <w:rPr>
                <w:rFonts w:ascii="Arial" w:hAnsi="Arial" w:cs="Arial"/>
                <w:lang w:val="fr-FR"/>
              </w:rPr>
              <w:t>25</w:t>
            </w:r>
          </w:p>
        </w:tc>
        <w:tc>
          <w:tcPr>
            <w:tcW w:w="1440" w:type="dxa"/>
            <w:tcBorders>
              <w:top w:val="single" w:sz="2" w:space="0" w:color="auto"/>
              <w:left w:val="single" w:sz="2" w:space="0" w:color="auto"/>
              <w:bottom w:val="single" w:sz="2" w:space="0" w:color="auto"/>
              <w:right w:val="single" w:sz="2" w:space="0" w:color="auto"/>
            </w:tcBorders>
            <w:vAlign w:val="center"/>
          </w:tcPr>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r w:rsidRPr="00CF47B7">
              <w:rPr>
                <w:rFonts w:ascii="Arial" w:hAnsi="Arial" w:cs="Arial"/>
                <w:lang w:val="fr-FR"/>
              </w:rPr>
              <w:t>475</w:t>
            </w:r>
          </w:p>
        </w:tc>
      </w:tr>
      <w:tr w:rsidR="00D33E6F" w:rsidRPr="001925DB" w:rsidTr="000703B9">
        <w:tc>
          <w:tcPr>
            <w:tcW w:w="1800" w:type="dxa"/>
            <w:tcBorders>
              <w:top w:val="single" w:sz="2" w:space="0" w:color="auto"/>
              <w:left w:val="single" w:sz="2" w:space="0" w:color="auto"/>
              <w:bottom w:val="single" w:sz="2" w:space="0" w:color="auto"/>
              <w:right w:val="single" w:sz="2" w:space="0" w:color="auto"/>
            </w:tcBorders>
          </w:tcPr>
          <w:p w:rsidR="00D33E6F" w:rsidRPr="00CF47B7" w:rsidRDefault="00D33E6F" w:rsidP="000703B9">
            <w:pPr>
              <w:rPr>
                <w:rFonts w:ascii="Arial" w:hAnsi="Arial" w:cs="Arial"/>
              </w:rPr>
            </w:pPr>
            <w:r w:rsidRPr="00CF47B7">
              <w:rPr>
                <w:rFonts w:ascii="Arial" w:hAnsi="Arial" w:cs="Arial"/>
              </w:rPr>
              <w:t>MIECHV Competitive Grant Final Report—Fiscal Year</w:t>
            </w:r>
          </w:p>
          <w:p w:rsidR="00D33E6F" w:rsidRPr="00CF47B7" w:rsidRDefault="00D33E6F" w:rsidP="000703B9">
            <w:pPr>
              <w:rPr>
                <w:rFonts w:ascii="Arial" w:hAnsi="Arial" w:cs="Arial"/>
              </w:rPr>
            </w:pPr>
            <w:r w:rsidRPr="00CF47B7">
              <w:rPr>
                <w:rFonts w:ascii="Arial" w:hAnsi="Arial" w:cs="Arial"/>
              </w:rPr>
              <w:t xml:space="preserve">2011, 2012, 2013, and 2014 Expansion Grantees </w:t>
            </w:r>
          </w:p>
          <w:p w:rsidR="00D33E6F" w:rsidRPr="00CF47B7" w:rsidRDefault="00D33E6F" w:rsidP="000703B9">
            <w:pPr>
              <w:rPr>
                <w:rFonts w:ascii="Arial" w:hAnsi="Arial" w:cs="Arial"/>
              </w:rPr>
            </w:pPr>
          </w:p>
          <w:p w:rsidR="00D33E6F" w:rsidRPr="00CF47B7" w:rsidRDefault="00D33E6F" w:rsidP="000703B9">
            <w:pPr>
              <w:rPr>
                <w:rFonts w:ascii="Arial" w:hAnsi="Arial" w:cs="Arial"/>
              </w:rPr>
            </w:pPr>
            <w:r w:rsidRPr="00CF47B7">
              <w:rPr>
                <w:rFonts w:ascii="Arial" w:hAnsi="Arial" w:cs="Arial"/>
              </w:rPr>
              <w:t xml:space="preserve">MIECHV Competitive Grant Final Report—Fiscal </w:t>
            </w:r>
            <w:r w:rsidRPr="00CF47B7">
              <w:rPr>
                <w:rFonts w:ascii="Arial" w:hAnsi="Arial" w:cs="Arial"/>
              </w:rPr>
              <w:lastRenderedPageBreak/>
              <w:t>Year</w:t>
            </w: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fr-FR"/>
              </w:rPr>
            </w:pPr>
            <w:r w:rsidRPr="00CF47B7">
              <w:rPr>
                <w:rFonts w:ascii="Arial" w:hAnsi="Arial" w:cs="Arial"/>
              </w:rPr>
              <w:t>2015 Expansion Grantees</w:t>
            </w:r>
          </w:p>
        </w:tc>
        <w:tc>
          <w:tcPr>
            <w:tcW w:w="1440" w:type="dxa"/>
            <w:tcBorders>
              <w:top w:val="single" w:sz="2" w:space="0" w:color="auto"/>
              <w:left w:val="single" w:sz="2" w:space="0" w:color="auto"/>
              <w:bottom w:val="single" w:sz="2" w:space="0" w:color="auto"/>
              <w:right w:val="single" w:sz="2" w:space="0" w:color="auto"/>
            </w:tcBorders>
          </w:tcPr>
          <w:p w:rsidR="00D33E6F" w:rsidRPr="00CF47B7" w:rsidRDefault="001577C6"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r w:rsidRPr="00CF47B7">
              <w:rPr>
                <w:rFonts w:ascii="Arial" w:hAnsi="Arial" w:cs="Arial"/>
                <w:lang w:val="fr-FR"/>
              </w:rPr>
              <w:lastRenderedPageBreak/>
              <w:t>3</w:t>
            </w:r>
            <w:r>
              <w:rPr>
                <w:rFonts w:ascii="Arial" w:hAnsi="Arial" w:cs="Arial"/>
                <w:lang w:val="fr-FR"/>
              </w:rPr>
              <w:t>7</w:t>
            </w: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r w:rsidRPr="00CF47B7">
              <w:rPr>
                <w:rFonts w:ascii="Arial" w:hAnsi="Arial" w:cs="Arial"/>
                <w:lang w:val="fr-FR"/>
              </w:rPr>
              <w:t>35</w:t>
            </w:r>
          </w:p>
        </w:tc>
        <w:tc>
          <w:tcPr>
            <w:tcW w:w="1800" w:type="dxa"/>
            <w:tcBorders>
              <w:top w:val="single" w:sz="2" w:space="0" w:color="auto"/>
              <w:left w:val="single" w:sz="2" w:space="0" w:color="auto"/>
              <w:bottom w:val="single" w:sz="2" w:space="0" w:color="auto"/>
              <w:right w:val="single" w:sz="2" w:space="0" w:color="auto"/>
            </w:tcBorders>
          </w:tcPr>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r w:rsidRPr="00CF47B7">
              <w:rPr>
                <w:rFonts w:ascii="Arial" w:hAnsi="Arial" w:cs="Arial"/>
                <w:lang w:val="fr-FR"/>
              </w:rPr>
              <w:t>1</w:t>
            </w: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r w:rsidRPr="00CF47B7">
              <w:rPr>
                <w:rFonts w:ascii="Arial" w:hAnsi="Arial" w:cs="Arial"/>
                <w:lang w:val="fr-FR"/>
              </w:rPr>
              <w:t>1</w:t>
            </w:r>
          </w:p>
        </w:tc>
        <w:tc>
          <w:tcPr>
            <w:tcW w:w="1440" w:type="dxa"/>
            <w:tcBorders>
              <w:top w:val="single" w:sz="2" w:space="0" w:color="auto"/>
              <w:left w:val="single" w:sz="2" w:space="0" w:color="auto"/>
              <w:bottom w:val="single" w:sz="2" w:space="0" w:color="auto"/>
              <w:right w:val="single" w:sz="2" w:space="0" w:color="auto"/>
            </w:tcBorders>
          </w:tcPr>
          <w:p w:rsidR="00D33E6F" w:rsidRPr="00CF47B7" w:rsidRDefault="001577C6"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r w:rsidRPr="00CF47B7">
              <w:rPr>
                <w:rFonts w:ascii="Arial" w:hAnsi="Arial" w:cs="Arial"/>
                <w:lang w:val="fr-FR"/>
              </w:rPr>
              <w:t>3</w:t>
            </w:r>
            <w:r>
              <w:rPr>
                <w:rFonts w:ascii="Arial" w:hAnsi="Arial" w:cs="Arial"/>
                <w:lang w:val="fr-FR"/>
              </w:rPr>
              <w:t xml:space="preserve">7 </w:t>
            </w: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r w:rsidRPr="00CF47B7">
              <w:rPr>
                <w:rFonts w:ascii="Arial" w:hAnsi="Arial" w:cs="Arial"/>
                <w:lang w:val="fr-FR"/>
              </w:rPr>
              <w:t>35</w:t>
            </w:r>
          </w:p>
        </w:tc>
        <w:tc>
          <w:tcPr>
            <w:tcW w:w="1350" w:type="dxa"/>
            <w:tcBorders>
              <w:top w:val="single" w:sz="2" w:space="0" w:color="auto"/>
              <w:left w:val="single" w:sz="2" w:space="0" w:color="auto"/>
              <w:bottom w:val="single" w:sz="2" w:space="0" w:color="auto"/>
              <w:right w:val="single" w:sz="2" w:space="0" w:color="auto"/>
            </w:tcBorders>
          </w:tcPr>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r w:rsidRPr="00CF47B7">
              <w:rPr>
                <w:rFonts w:ascii="Arial" w:hAnsi="Arial" w:cs="Arial"/>
                <w:lang w:val="fr-FR"/>
              </w:rPr>
              <w:t>25</w:t>
            </w: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lang w:val="fr-FR"/>
              </w:rPr>
            </w:pPr>
            <w:r w:rsidRPr="00CF47B7">
              <w:rPr>
                <w:rFonts w:ascii="Arial" w:hAnsi="Arial" w:cs="Arial"/>
                <w:lang w:val="fr-FR"/>
              </w:rPr>
              <w:t>25</w:t>
            </w:r>
          </w:p>
        </w:tc>
        <w:tc>
          <w:tcPr>
            <w:tcW w:w="1440" w:type="dxa"/>
            <w:tcBorders>
              <w:top w:val="single" w:sz="2" w:space="0" w:color="auto"/>
              <w:left w:val="single" w:sz="2" w:space="0" w:color="auto"/>
              <w:bottom w:val="single" w:sz="2" w:space="0" w:color="auto"/>
              <w:right w:val="single" w:sz="2" w:space="0" w:color="auto"/>
            </w:tcBorders>
          </w:tcPr>
          <w:p w:rsidR="00D33E6F" w:rsidRPr="00CF47B7" w:rsidRDefault="001577C6"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92</w:t>
            </w:r>
            <w:r w:rsidR="00D33E6F" w:rsidRPr="00CF47B7">
              <w:rPr>
                <w:rFonts w:ascii="Arial" w:hAnsi="Arial" w:cs="Arial"/>
              </w:rPr>
              <w:t>5</w:t>
            </w: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CF47B7">
              <w:rPr>
                <w:rFonts w:ascii="Arial" w:hAnsi="Arial" w:cs="Arial"/>
              </w:rPr>
              <w:t>875</w:t>
            </w: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00D33E6F" w:rsidRPr="001925DB" w:rsidTr="000703B9">
        <w:tc>
          <w:tcPr>
            <w:tcW w:w="1800" w:type="dxa"/>
            <w:tcBorders>
              <w:top w:val="single" w:sz="2" w:space="0" w:color="auto"/>
              <w:left w:val="single" w:sz="2" w:space="0" w:color="auto"/>
              <w:bottom w:val="single" w:sz="2" w:space="0" w:color="auto"/>
              <w:right w:val="single" w:sz="2" w:space="0" w:color="auto"/>
            </w:tcBorders>
          </w:tcPr>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highlight w:val="yellow"/>
                <w:lang w:val="fr-FR"/>
              </w:rPr>
            </w:pPr>
            <w:r w:rsidRPr="00CF47B7">
              <w:rPr>
                <w:rFonts w:ascii="Arial" w:hAnsi="Arial" w:cs="Arial"/>
                <w:lang w:val="fr-FR"/>
              </w:rPr>
              <w:lastRenderedPageBreak/>
              <w:t>Total</w:t>
            </w:r>
          </w:p>
        </w:tc>
        <w:tc>
          <w:tcPr>
            <w:tcW w:w="1440" w:type="dxa"/>
            <w:tcBorders>
              <w:top w:val="single" w:sz="2" w:space="0" w:color="auto"/>
              <w:left w:val="single" w:sz="2" w:space="0" w:color="auto"/>
              <w:bottom w:val="single" w:sz="2" w:space="0" w:color="auto"/>
              <w:right w:val="single" w:sz="2" w:space="0" w:color="auto"/>
            </w:tcBorders>
          </w:tcPr>
          <w:p w:rsidR="00D33E6F" w:rsidRPr="00CF47B7" w:rsidRDefault="005C555A"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fr-FR"/>
              </w:rPr>
            </w:pPr>
            <w:r>
              <w:rPr>
                <w:rFonts w:ascii="Arial" w:hAnsi="Arial" w:cs="Arial"/>
                <w:lang w:val="fr-FR"/>
              </w:rPr>
              <w:t xml:space="preserve"> 44</w:t>
            </w:r>
            <w:r w:rsidR="00B72093">
              <w:rPr>
                <w:rFonts w:ascii="Arial" w:hAnsi="Arial" w:cs="Arial"/>
                <w:lang w:val="fr-FR"/>
              </w:rPr>
              <w:t>*</w:t>
            </w:r>
          </w:p>
        </w:tc>
        <w:tc>
          <w:tcPr>
            <w:tcW w:w="1800" w:type="dxa"/>
            <w:tcBorders>
              <w:top w:val="single" w:sz="2" w:space="0" w:color="auto"/>
              <w:left w:val="single" w:sz="2" w:space="0" w:color="auto"/>
              <w:bottom w:val="single" w:sz="2" w:space="0" w:color="auto"/>
              <w:right w:val="single" w:sz="2" w:space="0" w:color="auto"/>
            </w:tcBorders>
          </w:tcPr>
          <w:p w:rsidR="00D33E6F" w:rsidRPr="00CF47B7" w:rsidRDefault="005C555A"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fr-FR"/>
              </w:rPr>
            </w:pPr>
            <w:r>
              <w:rPr>
                <w:rFonts w:ascii="Arial" w:hAnsi="Arial" w:cs="Arial"/>
                <w:lang w:val="fr-FR"/>
              </w:rPr>
              <w:t xml:space="preserve"> </w:t>
            </w:r>
          </w:p>
        </w:tc>
        <w:tc>
          <w:tcPr>
            <w:tcW w:w="1440" w:type="dxa"/>
            <w:tcBorders>
              <w:top w:val="single" w:sz="2" w:space="0" w:color="auto"/>
              <w:left w:val="single" w:sz="2" w:space="0" w:color="auto"/>
              <w:bottom w:val="single" w:sz="2" w:space="0" w:color="auto"/>
              <w:right w:val="single" w:sz="2" w:space="0" w:color="auto"/>
            </w:tcBorders>
          </w:tcPr>
          <w:p w:rsidR="00D33E6F" w:rsidRPr="00CF47B7" w:rsidRDefault="005C555A"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fr-FR"/>
              </w:rPr>
            </w:pPr>
            <w:r>
              <w:rPr>
                <w:rFonts w:ascii="Arial" w:hAnsi="Arial" w:cs="Arial"/>
                <w:lang w:val="fr-FR"/>
              </w:rPr>
              <w:t xml:space="preserve"> </w:t>
            </w:r>
          </w:p>
        </w:tc>
        <w:tc>
          <w:tcPr>
            <w:tcW w:w="1350" w:type="dxa"/>
            <w:tcBorders>
              <w:top w:val="single" w:sz="2" w:space="0" w:color="auto"/>
              <w:left w:val="single" w:sz="2" w:space="0" w:color="auto"/>
              <w:bottom w:val="single" w:sz="2" w:space="0" w:color="auto"/>
              <w:right w:val="single" w:sz="2" w:space="0" w:color="auto"/>
            </w:tcBorders>
          </w:tcPr>
          <w:p w:rsidR="00D33E6F" w:rsidRPr="00CF47B7" w:rsidRDefault="005C555A"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fr-FR"/>
              </w:rPr>
            </w:pPr>
            <w:r>
              <w:rPr>
                <w:rFonts w:ascii="Arial" w:hAnsi="Arial" w:cs="Arial"/>
                <w:lang w:val="fr-FR"/>
              </w:rPr>
              <w:t xml:space="preserve"> </w:t>
            </w:r>
          </w:p>
        </w:tc>
        <w:tc>
          <w:tcPr>
            <w:tcW w:w="1440" w:type="dxa"/>
            <w:tcBorders>
              <w:top w:val="single" w:sz="2" w:space="0" w:color="auto"/>
              <w:left w:val="single" w:sz="2" w:space="0" w:color="auto"/>
              <w:bottom w:val="single" w:sz="2" w:space="0" w:color="auto"/>
              <w:right w:val="single" w:sz="2" w:space="0" w:color="auto"/>
            </w:tcBorders>
          </w:tcPr>
          <w:p w:rsidR="00D33E6F" w:rsidRPr="00CF47B7" w:rsidRDefault="00D33E6F" w:rsidP="00070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CF47B7">
              <w:rPr>
                <w:rFonts w:ascii="Arial" w:hAnsi="Arial" w:cs="Arial"/>
              </w:rPr>
              <w:t>2</w:t>
            </w:r>
            <w:r w:rsidR="001577C6">
              <w:rPr>
                <w:rFonts w:ascii="Arial" w:hAnsi="Arial" w:cs="Arial"/>
              </w:rPr>
              <w:t>27</w:t>
            </w:r>
            <w:r w:rsidRPr="00CF47B7">
              <w:rPr>
                <w:rFonts w:ascii="Arial" w:hAnsi="Arial" w:cs="Arial"/>
              </w:rPr>
              <w:t>5</w:t>
            </w:r>
          </w:p>
        </w:tc>
      </w:tr>
    </w:tbl>
    <w:p w:rsidR="00D33E6F" w:rsidRPr="00B72093" w:rsidRDefault="00B72093" w:rsidP="00CA3DA6">
      <w:pPr>
        <w:widowControl/>
        <w:tabs>
          <w:tab w:val="num" w:pos="720"/>
        </w:tabs>
        <w:spacing w:before="120"/>
        <w:rPr>
          <w:rFonts w:ascii="Arial" w:hAnsi="Arial" w:cs="Arial"/>
          <w:sz w:val="24"/>
        </w:rPr>
      </w:pPr>
      <w:r w:rsidRPr="00B72093">
        <w:rPr>
          <w:rFonts w:ascii="Arial" w:hAnsi="Arial" w:cs="Arial"/>
          <w:sz w:val="24"/>
        </w:rPr>
        <w:t>*</w:t>
      </w:r>
      <w:r>
        <w:rPr>
          <w:rFonts w:ascii="Arial" w:hAnsi="Arial" w:cs="Arial"/>
          <w:sz w:val="24"/>
        </w:rPr>
        <w:t xml:space="preserve"> The total number of respondents is based on the number of grantees that currently have a Competitive grant award.  Some grantees have multiple Competitive grant awards and will have to prepare a Competitive Grant Final Report for each award. </w:t>
      </w:r>
      <w:r w:rsidRPr="008763F0">
        <w:rPr>
          <w:rFonts w:ascii="Arial" w:hAnsi="Arial" w:cs="Arial"/>
          <w:sz w:val="24"/>
        </w:rPr>
        <w:t>Grantees that were awarded Competitive Development Grants during federal fiscal year 2011 were eligible for Competitive Expansion Grants in federal fiscal year 2013. For this reason, some grantees have been awarded up to two Competitive Grants to date. Ten grantees have both a Competitive Development Grant and a Competitive Expansion Grant. Additional funds are being made available for Competitive Grants in federal fiscal year 2015. Up to 35 grants are anticipated to be awarded on March 1, 2015, with a project period equal to 2 years and 7 months.</w:t>
      </w:r>
    </w:p>
    <w:p w:rsidR="009B3794" w:rsidRDefault="009B3794" w:rsidP="00C50AE3">
      <w:pPr>
        <w:spacing w:before="240"/>
        <w:rPr>
          <w:rFonts w:ascii="Arial" w:hAnsi="Arial" w:cs="Arial"/>
          <w:b/>
          <w:sz w:val="24"/>
        </w:rPr>
      </w:pPr>
      <w:r w:rsidRPr="00C50AE3">
        <w:rPr>
          <w:rFonts w:ascii="Arial" w:hAnsi="Arial" w:cs="Arial"/>
          <w:b/>
          <w:sz w:val="24"/>
        </w:rPr>
        <w:t>12B</w:t>
      </w:r>
      <w:proofErr w:type="gramStart"/>
      <w:r w:rsidRPr="00C50AE3">
        <w:rPr>
          <w:rFonts w:ascii="Arial" w:hAnsi="Arial" w:cs="Arial"/>
          <w:b/>
          <w:sz w:val="24"/>
        </w:rPr>
        <w:t xml:space="preserve">.  </w:t>
      </w:r>
      <w:r w:rsidRPr="00C50AE3">
        <w:rPr>
          <w:rFonts w:ascii="Arial" w:hAnsi="Arial" w:cs="Arial"/>
          <w:b/>
          <w:sz w:val="24"/>
          <w:u w:val="single"/>
        </w:rPr>
        <w:t>Estimated</w:t>
      </w:r>
      <w:proofErr w:type="gramEnd"/>
      <w:r w:rsidRPr="00C50AE3">
        <w:rPr>
          <w:rFonts w:ascii="Arial" w:hAnsi="Arial" w:cs="Arial"/>
          <w:b/>
          <w:sz w:val="24"/>
          <w:u w:val="single"/>
        </w:rPr>
        <w:t xml:space="preserve"> Annualized Burden Costs</w:t>
      </w:r>
    </w:p>
    <w:p w:rsidR="00FA3B4E" w:rsidRDefault="00FA3B4E" w:rsidP="00CA3DA6">
      <w:pPr>
        <w:widowControl/>
        <w:spacing w:before="120"/>
        <w:ind w:left="270"/>
        <w:rPr>
          <w:rFonts w:ascii="Arial" w:hAnsi="Arial" w:cs="Arial"/>
          <w:b/>
          <w:sz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080"/>
        <w:gridCol w:w="990"/>
        <w:gridCol w:w="1620"/>
        <w:gridCol w:w="3780"/>
      </w:tblGrid>
      <w:tr w:rsidR="00D23429" w:rsidRPr="00015505" w:rsidTr="006548FD">
        <w:tc>
          <w:tcPr>
            <w:tcW w:w="1800" w:type="dxa"/>
          </w:tcPr>
          <w:p w:rsidR="00D23429" w:rsidRPr="00FA3B4E" w:rsidRDefault="00D23429" w:rsidP="00103492">
            <w:pPr>
              <w:widowControl/>
              <w:spacing w:before="120"/>
              <w:rPr>
                <w:rFonts w:ascii="Arial" w:hAnsi="Arial" w:cs="Arial"/>
                <w:b/>
                <w:bCs/>
                <w:sz w:val="24"/>
              </w:rPr>
            </w:pPr>
            <w:r w:rsidRPr="00FA3B4E">
              <w:rPr>
                <w:rFonts w:ascii="Arial" w:hAnsi="Arial" w:cs="Arial"/>
                <w:b/>
                <w:bCs/>
                <w:sz w:val="24"/>
              </w:rPr>
              <w:t>Type of</w:t>
            </w:r>
          </w:p>
          <w:p w:rsidR="00D23429" w:rsidRPr="00FA3B4E" w:rsidRDefault="00D23429" w:rsidP="00103492">
            <w:pPr>
              <w:widowControl/>
              <w:spacing w:before="120"/>
              <w:rPr>
                <w:rFonts w:ascii="Arial" w:hAnsi="Arial" w:cs="Arial"/>
                <w:sz w:val="24"/>
              </w:rPr>
            </w:pPr>
            <w:r w:rsidRPr="00FA3B4E">
              <w:rPr>
                <w:rFonts w:ascii="Arial" w:hAnsi="Arial" w:cs="Arial"/>
                <w:b/>
                <w:bCs/>
                <w:sz w:val="24"/>
              </w:rPr>
              <w:t>Respondent</w:t>
            </w:r>
          </w:p>
          <w:p w:rsidR="00D23429" w:rsidRPr="00FA3B4E" w:rsidRDefault="00D23429" w:rsidP="00103492">
            <w:pPr>
              <w:widowControl/>
              <w:spacing w:before="120"/>
              <w:rPr>
                <w:rFonts w:ascii="Arial" w:hAnsi="Arial" w:cs="Arial"/>
                <w:b/>
                <w:bCs/>
                <w:sz w:val="24"/>
              </w:rPr>
            </w:pPr>
          </w:p>
        </w:tc>
        <w:tc>
          <w:tcPr>
            <w:tcW w:w="1080" w:type="dxa"/>
          </w:tcPr>
          <w:p w:rsidR="00D23429" w:rsidRPr="00FA3B4E" w:rsidRDefault="00D23429" w:rsidP="00103492">
            <w:pPr>
              <w:widowControl/>
              <w:spacing w:before="120"/>
              <w:rPr>
                <w:rFonts w:ascii="Arial" w:hAnsi="Arial" w:cs="Arial"/>
                <w:b/>
                <w:bCs/>
                <w:sz w:val="24"/>
              </w:rPr>
            </w:pPr>
            <w:r w:rsidRPr="00FA3B4E">
              <w:rPr>
                <w:rFonts w:ascii="Arial" w:hAnsi="Arial" w:cs="Arial"/>
                <w:b/>
                <w:bCs/>
                <w:sz w:val="24"/>
              </w:rPr>
              <w:t>Total Burden</w:t>
            </w:r>
          </w:p>
          <w:p w:rsidR="00D23429" w:rsidRPr="00FA3B4E" w:rsidRDefault="00D23429" w:rsidP="00103492">
            <w:pPr>
              <w:widowControl/>
              <w:spacing w:before="120"/>
              <w:rPr>
                <w:rFonts w:ascii="Arial" w:hAnsi="Arial" w:cs="Arial"/>
                <w:sz w:val="24"/>
              </w:rPr>
            </w:pPr>
            <w:r w:rsidRPr="00FA3B4E">
              <w:rPr>
                <w:rFonts w:ascii="Arial" w:hAnsi="Arial" w:cs="Arial"/>
                <w:b/>
                <w:bCs/>
                <w:sz w:val="24"/>
              </w:rPr>
              <w:t>Hours</w:t>
            </w:r>
          </w:p>
          <w:p w:rsidR="00D23429" w:rsidRPr="00FA3B4E" w:rsidRDefault="00D23429" w:rsidP="00103492">
            <w:pPr>
              <w:widowControl/>
              <w:spacing w:before="120"/>
              <w:rPr>
                <w:rFonts w:ascii="Arial" w:hAnsi="Arial" w:cs="Arial"/>
                <w:b/>
                <w:bCs/>
                <w:sz w:val="24"/>
              </w:rPr>
            </w:pPr>
          </w:p>
        </w:tc>
        <w:tc>
          <w:tcPr>
            <w:tcW w:w="990" w:type="dxa"/>
          </w:tcPr>
          <w:p w:rsidR="00D23429" w:rsidRPr="00FA3B4E" w:rsidRDefault="00D23429" w:rsidP="00103492">
            <w:pPr>
              <w:widowControl/>
              <w:spacing w:before="120"/>
              <w:rPr>
                <w:rFonts w:ascii="Arial" w:hAnsi="Arial" w:cs="Arial"/>
                <w:b/>
                <w:bCs/>
                <w:sz w:val="24"/>
              </w:rPr>
            </w:pPr>
            <w:r w:rsidRPr="00FA3B4E">
              <w:rPr>
                <w:rFonts w:ascii="Arial" w:hAnsi="Arial" w:cs="Arial"/>
                <w:b/>
                <w:bCs/>
                <w:sz w:val="24"/>
              </w:rPr>
              <w:t>Hourly</w:t>
            </w:r>
          </w:p>
          <w:p w:rsidR="00D23429" w:rsidRPr="00FA3B4E" w:rsidRDefault="00D23429" w:rsidP="00103492">
            <w:pPr>
              <w:widowControl/>
              <w:spacing w:before="120"/>
              <w:rPr>
                <w:rFonts w:ascii="Arial" w:hAnsi="Arial" w:cs="Arial"/>
                <w:sz w:val="24"/>
              </w:rPr>
            </w:pPr>
            <w:r w:rsidRPr="00FA3B4E">
              <w:rPr>
                <w:rFonts w:ascii="Arial" w:hAnsi="Arial" w:cs="Arial"/>
                <w:b/>
                <w:bCs/>
                <w:sz w:val="24"/>
              </w:rPr>
              <w:t>Wage Rate</w:t>
            </w:r>
          </w:p>
          <w:p w:rsidR="00D23429" w:rsidRPr="00FA3B4E" w:rsidRDefault="00D23429" w:rsidP="00103492">
            <w:pPr>
              <w:widowControl/>
              <w:spacing w:before="120"/>
              <w:rPr>
                <w:rFonts w:ascii="Arial" w:hAnsi="Arial" w:cs="Arial"/>
                <w:b/>
                <w:bCs/>
                <w:sz w:val="24"/>
              </w:rPr>
            </w:pPr>
          </w:p>
        </w:tc>
        <w:tc>
          <w:tcPr>
            <w:tcW w:w="1620" w:type="dxa"/>
          </w:tcPr>
          <w:p w:rsidR="00D23429" w:rsidRPr="00FA3B4E" w:rsidRDefault="00D23429" w:rsidP="00103492">
            <w:pPr>
              <w:widowControl/>
              <w:spacing w:before="120"/>
              <w:rPr>
                <w:rFonts w:ascii="Arial" w:hAnsi="Arial" w:cs="Arial"/>
                <w:sz w:val="24"/>
              </w:rPr>
            </w:pPr>
            <w:r w:rsidRPr="00FA3B4E">
              <w:rPr>
                <w:rFonts w:ascii="Arial" w:hAnsi="Arial" w:cs="Arial"/>
                <w:b/>
                <w:bCs/>
                <w:sz w:val="24"/>
              </w:rPr>
              <w:t>Total Respondent Costs</w:t>
            </w:r>
          </w:p>
          <w:p w:rsidR="00D23429" w:rsidRPr="00FA3B4E" w:rsidRDefault="00D23429" w:rsidP="00103492">
            <w:pPr>
              <w:widowControl/>
              <w:spacing w:before="120"/>
              <w:rPr>
                <w:rFonts w:ascii="Arial" w:hAnsi="Arial" w:cs="Arial"/>
                <w:b/>
                <w:bCs/>
                <w:sz w:val="24"/>
              </w:rPr>
            </w:pPr>
          </w:p>
        </w:tc>
        <w:tc>
          <w:tcPr>
            <w:tcW w:w="3780" w:type="dxa"/>
          </w:tcPr>
          <w:p w:rsidR="00D23429" w:rsidRPr="00D23429" w:rsidRDefault="00D23429" w:rsidP="00103492">
            <w:pPr>
              <w:widowControl/>
              <w:spacing w:before="120"/>
              <w:rPr>
                <w:rFonts w:ascii="Arial" w:hAnsi="Arial" w:cs="Arial"/>
                <w:b/>
                <w:bCs/>
                <w:sz w:val="24"/>
              </w:rPr>
            </w:pPr>
            <w:r>
              <w:rPr>
                <w:rFonts w:ascii="Arial" w:hAnsi="Arial" w:cs="Arial"/>
                <w:b/>
                <w:bCs/>
                <w:sz w:val="24"/>
              </w:rPr>
              <w:t>Source</w:t>
            </w:r>
          </w:p>
        </w:tc>
      </w:tr>
      <w:tr w:rsidR="00D23429" w:rsidRPr="00015505" w:rsidTr="006548FD">
        <w:tc>
          <w:tcPr>
            <w:tcW w:w="1800" w:type="dxa"/>
          </w:tcPr>
          <w:p w:rsidR="00D23429" w:rsidRPr="00FA3B4E" w:rsidRDefault="00D23429" w:rsidP="006548FD">
            <w:pPr>
              <w:spacing w:before="120"/>
              <w:rPr>
                <w:rFonts w:ascii="Arial" w:hAnsi="Arial" w:cs="Arial"/>
                <w:sz w:val="24"/>
              </w:rPr>
            </w:pPr>
            <w:r w:rsidRPr="00FA3B4E">
              <w:rPr>
                <w:rFonts w:ascii="Arial" w:hAnsi="Arial" w:cs="Arial"/>
                <w:sz w:val="24"/>
              </w:rPr>
              <w:t xml:space="preserve">State Home Visiting </w:t>
            </w:r>
            <w:r w:rsidR="006548FD">
              <w:rPr>
                <w:rFonts w:ascii="Arial" w:hAnsi="Arial" w:cs="Arial"/>
                <w:sz w:val="24"/>
              </w:rPr>
              <w:t>Managers</w:t>
            </w:r>
          </w:p>
        </w:tc>
        <w:tc>
          <w:tcPr>
            <w:tcW w:w="1080" w:type="dxa"/>
          </w:tcPr>
          <w:p w:rsidR="00D23429" w:rsidRPr="00FA3B4E" w:rsidRDefault="00D23429" w:rsidP="0063157B">
            <w:pPr>
              <w:spacing w:before="120"/>
              <w:rPr>
                <w:rFonts w:ascii="Arial" w:hAnsi="Arial" w:cs="Arial"/>
                <w:sz w:val="24"/>
              </w:rPr>
            </w:pPr>
            <w:r w:rsidRPr="00FA3B4E">
              <w:rPr>
                <w:rFonts w:ascii="Arial" w:hAnsi="Arial" w:cs="Arial"/>
                <w:sz w:val="24"/>
              </w:rPr>
              <w:t xml:space="preserve"> </w:t>
            </w:r>
            <w:r>
              <w:rPr>
                <w:rFonts w:ascii="Arial" w:hAnsi="Arial" w:cs="Arial"/>
                <w:sz w:val="24"/>
              </w:rPr>
              <w:t>1025</w:t>
            </w:r>
          </w:p>
        </w:tc>
        <w:tc>
          <w:tcPr>
            <w:tcW w:w="990" w:type="dxa"/>
          </w:tcPr>
          <w:p w:rsidR="00D23429" w:rsidRPr="00FA3B4E" w:rsidRDefault="00D23429" w:rsidP="006548FD">
            <w:pPr>
              <w:spacing w:before="120"/>
              <w:jc w:val="right"/>
              <w:rPr>
                <w:rFonts w:ascii="Arial" w:hAnsi="Arial" w:cs="Arial"/>
                <w:sz w:val="24"/>
              </w:rPr>
            </w:pPr>
            <w:r w:rsidRPr="00FA3B4E">
              <w:rPr>
                <w:rFonts w:ascii="Arial" w:hAnsi="Arial" w:cs="Arial"/>
                <w:sz w:val="24"/>
              </w:rPr>
              <w:t>$</w:t>
            </w:r>
            <w:r w:rsidR="006548FD">
              <w:rPr>
                <w:rFonts w:ascii="Arial" w:hAnsi="Arial" w:cs="Arial"/>
                <w:sz w:val="24"/>
              </w:rPr>
              <w:t>28.83</w:t>
            </w:r>
            <w:r w:rsidRPr="00FA3B4E">
              <w:rPr>
                <w:rFonts w:ascii="Arial" w:hAnsi="Arial" w:cs="Arial"/>
                <w:sz w:val="24"/>
              </w:rPr>
              <w:t xml:space="preserve"> </w:t>
            </w:r>
          </w:p>
        </w:tc>
        <w:tc>
          <w:tcPr>
            <w:tcW w:w="1620" w:type="dxa"/>
          </w:tcPr>
          <w:p w:rsidR="00D23429" w:rsidRPr="00FA3B4E" w:rsidRDefault="00D23429" w:rsidP="00710C33">
            <w:pPr>
              <w:spacing w:before="120"/>
              <w:jc w:val="right"/>
              <w:rPr>
                <w:rFonts w:ascii="Arial" w:hAnsi="Arial" w:cs="Arial"/>
                <w:sz w:val="24"/>
              </w:rPr>
            </w:pPr>
            <w:r w:rsidRPr="00FA3B4E">
              <w:rPr>
                <w:rFonts w:ascii="Arial" w:hAnsi="Arial" w:cs="Arial"/>
                <w:sz w:val="24"/>
              </w:rPr>
              <w:t>$</w:t>
            </w:r>
            <w:r w:rsidR="00710C33">
              <w:rPr>
                <w:rFonts w:ascii="Arial" w:hAnsi="Arial" w:cs="Arial"/>
                <w:sz w:val="24"/>
              </w:rPr>
              <w:t>29,551</w:t>
            </w:r>
          </w:p>
        </w:tc>
        <w:tc>
          <w:tcPr>
            <w:tcW w:w="3780" w:type="dxa"/>
          </w:tcPr>
          <w:p w:rsidR="00D23429" w:rsidRPr="00125DC0" w:rsidRDefault="00D23429" w:rsidP="0063157B">
            <w:pPr>
              <w:spacing w:before="120"/>
              <w:jc w:val="right"/>
              <w:rPr>
                <w:rFonts w:ascii="Arial" w:hAnsi="Arial" w:cs="Arial"/>
                <w:i/>
                <w:szCs w:val="20"/>
              </w:rPr>
            </w:pPr>
            <w:r w:rsidRPr="00125DC0">
              <w:rPr>
                <w:rFonts w:ascii="Arial" w:hAnsi="Arial" w:cs="Arial"/>
                <w:i/>
                <w:szCs w:val="20"/>
              </w:rPr>
              <w:t>http://www.bls.gov/ooh/management/social-and-community-service-managers.htm</w:t>
            </w:r>
          </w:p>
        </w:tc>
      </w:tr>
      <w:tr w:rsidR="00D23429" w:rsidRPr="00015505" w:rsidTr="006548FD">
        <w:tc>
          <w:tcPr>
            <w:tcW w:w="1800" w:type="dxa"/>
          </w:tcPr>
          <w:p w:rsidR="00D23429" w:rsidRPr="00FA3B4E" w:rsidRDefault="006548FD" w:rsidP="00103492">
            <w:pPr>
              <w:spacing w:before="120"/>
              <w:rPr>
                <w:rFonts w:ascii="Arial" w:hAnsi="Arial" w:cs="Arial"/>
                <w:sz w:val="24"/>
              </w:rPr>
            </w:pPr>
            <w:r>
              <w:rPr>
                <w:rFonts w:ascii="Arial" w:hAnsi="Arial" w:cs="Arial"/>
                <w:sz w:val="24"/>
              </w:rPr>
              <w:t xml:space="preserve">Scientific </w:t>
            </w:r>
            <w:r w:rsidR="00D23429">
              <w:rPr>
                <w:rFonts w:ascii="Arial" w:hAnsi="Arial" w:cs="Arial"/>
                <w:sz w:val="24"/>
              </w:rPr>
              <w:t>Evaluators</w:t>
            </w:r>
          </w:p>
        </w:tc>
        <w:tc>
          <w:tcPr>
            <w:tcW w:w="1080" w:type="dxa"/>
          </w:tcPr>
          <w:p w:rsidR="00D23429" w:rsidRPr="00FA3B4E" w:rsidRDefault="00D23429" w:rsidP="00103492">
            <w:pPr>
              <w:spacing w:before="120"/>
              <w:rPr>
                <w:rFonts w:ascii="Arial" w:hAnsi="Arial" w:cs="Arial"/>
                <w:sz w:val="24"/>
              </w:rPr>
            </w:pPr>
            <w:r>
              <w:rPr>
                <w:rFonts w:ascii="Arial" w:hAnsi="Arial" w:cs="Arial"/>
                <w:sz w:val="24"/>
              </w:rPr>
              <w:t>1200</w:t>
            </w:r>
            <w:r w:rsidRPr="00FA3B4E">
              <w:rPr>
                <w:rFonts w:ascii="Arial" w:hAnsi="Arial" w:cs="Arial"/>
                <w:sz w:val="24"/>
              </w:rPr>
              <w:t xml:space="preserve"> </w:t>
            </w:r>
          </w:p>
        </w:tc>
        <w:tc>
          <w:tcPr>
            <w:tcW w:w="990" w:type="dxa"/>
          </w:tcPr>
          <w:p w:rsidR="00D23429" w:rsidRPr="00FA3B4E" w:rsidRDefault="00D23429" w:rsidP="006548FD">
            <w:pPr>
              <w:spacing w:before="120"/>
              <w:jc w:val="right"/>
              <w:rPr>
                <w:rFonts w:ascii="Arial" w:hAnsi="Arial" w:cs="Arial"/>
                <w:sz w:val="24"/>
              </w:rPr>
            </w:pPr>
            <w:r w:rsidRPr="00FA3B4E">
              <w:rPr>
                <w:rFonts w:ascii="Arial" w:hAnsi="Arial" w:cs="Arial"/>
                <w:sz w:val="24"/>
              </w:rPr>
              <w:t>$</w:t>
            </w:r>
            <w:r w:rsidR="006548FD">
              <w:rPr>
                <w:rFonts w:ascii="Arial" w:hAnsi="Arial" w:cs="Arial"/>
                <w:sz w:val="24"/>
              </w:rPr>
              <w:t>37.01</w:t>
            </w:r>
            <w:r w:rsidRPr="00FA3B4E">
              <w:rPr>
                <w:rFonts w:ascii="Arial" w:hAnsi="Arial" w:cs="Arial"/>
                <w:sz w:val="24"/>
              </w:rPr>
              <w:t xml:space="preserve"> </w:t>
            </w:r>
          </w:p>
        </w:tc>
        <w:tc>
          <w:tcPr>
            <w:tcW w:w="1620" w:type="dxa"/>
          </w:tcPr>
          <w:p w:rsidR="00D23429" w:rsidRPr="00FA3B4E" w:rsidRDefault="00D23429" w:rsidP="00710C33">
            <w:pPr>
              <w:spacing w:before="120"/>
              <w:jc w:val="right"/>
              <w:rPr>
                <w:rFonts w:ascii="Arial" w:hAnsi="Arial" w:cs="Arial"/>
                <w:sz w:val="24"/>
              </w:rPr>
            </w:pPr>
            <w:r w:rsidRPr="00FA3B4E">
              <w:rPr>
                <w:rFonts w:ascii="Arial" w:hAnsi="Arial" w:cs="Arial"/>
                <w:sz w:val="24"/>
              </w:rPr>
              <w:t xml:space="preserve"> $</w:t>
            </w:r>
            <w:r w:rsidR="00710C33">
              <w:rPr>
                <w:rFonts w:ascii="Arial" w:hAnsi="Arial" w:cs="Arial"/>
                <w:sz w:val="24"/>
              </w:rPr>
              <w:t>44,412</w:t>
            </w:r>
          </w:p>
        </w:tc>
        <w:tc>
          <w:tcPr>
            <w:tcW w:w="3780" w:type="dxa"/>
          </w:tcPr>
          <w:p w:rsidR="00D23429" w:rsidRPr="00125DC0" w:rsidRDefault="006548FD" w:rsidP="004E77AE">
            <w:pPr>
              <w:spacing w:before="120"/>
              <w:jc w:val="right"/>
              <w:rPr>
                <w:rFonts w:ascii="Arial" w:hAnsi="Arial" w:cs="Arial"/>
                <w:i/>
                <w:szCs w:val="20"/>
              </w:rPr>
            </w:pPr>
            <w:r w:rsidRPr="00125DC0">
              <w:rPr>
                <w:rFonts w:ascii="Arial" w:hAnsi="Arial" w:cs="Arial"/>
                <w:i/>
                <w:szCs w:val="20"/>
              </w:rPr>
              <w:t>http://www.bls.gov/ooh/life-physical-and-social-science/medical-scientists.htm</w:t>
            </w:r>
          </w:p>
        </w:tc>
      </w:tr>
      <w:tr w:rsidR="00D23429" w:rsidRPr="00015505" w:rsidTr="006548FD">
        <w:trPr>
          <w:trHeight w:val="440"/>
        </w:trPr>
        <w:tc>
          <w:tcPr>
            <w:tcW w:w="1800" w:type="dxa"/>
          </w:tcPr>
          <w:p w:rsidR="00D23429" w:rsidRPr="00FA3B4E" w:rsidRDefault="00D23429" w:rsidP="00103492">
            <w:pPr>
              <w:widowControl/>
              <w:spacing w:before="120"/>
              <w:rPr>
                <w:rFonts w:ascii="Arial" w:hAnsi="Arial" w:cs="Arial"/>
                <w:sz w:val="24"/>
              </w:rPr>
            </w:pPr>
            <w:r w:rsidRPr="00FA3B4E">
              <w:rPr>
                <w:rFonts w:ascii="Arial" w:hAnsi="Arial" w:cs="Arial"/>
                <w:sz w:val="24"/>
              </w:rPr>
              <w:t>Total</w:t>
            </w:r>
          </w:p>
        </w:tc>
        <w:tc>
          <w:tcPr>
            <w:tcW w:w="1080" w:type="dxa"/>
          </w:tcPr>
          <w:p w:rsidR="00D23429" w:rsidRPr="00FA3B4E" w:rsidRDefault="00D23429" w:rsidP="00103492">
            <w:pPr>
              <w:widowControl/>
              <w:spacing w:before="120"/>
              <w:rPr>
                <w:rFonts w:ascii="Arial" w:hAnsi="Arial" w:cs="Arial"/>
                <w:sz w:val="24"/>
              </w:rPr>
            </w:pPr>
          </w:p>
        </w:tc>
        <w:tc>
          <w:tcPr>
            <w:tcW w:w="990" w:type="dxa"/>
          </w:tcPr>
          <w:p w:rsidR="00D23429" w:rsidRPr="00FA3B4E" w:rsidRDefault="00D23429" w:rsidP="00103492">
            <w:pPr>
              <w:widowControl/>
              <w:spacing w:before="120"/>
              <w:jc w:val="right"/>
              <w:rPr>
                <w:rFonts w:ascii="Arial" w:hAnsi="Arial" w:cs="Arial"/>
                <w:sz w:val="24"/>
              </w:rPr>
            </w:pPr>
          </w:p>
        </w:tc>
        <w:tc>
          <w:tcPr>
            <w:tcW w:w="1620" w:type="dxa"/>
          </w:tcPr>
          <w:p w:rsidR="00D23429" w:rsidRPr="00FA3B4E" w:rsidRDefault="00D23429" w:rsidP="00710C33">
            <w:pPr>
              <w:widowControl/>
              <w:spacing w:before="120"/>
              <w:jc w:val="right"/>
              <w:rPr>
                <w:rFonts w:ascii="Arial" w:hAnsi="Arial" w:cs="Arial"/>
                <w:sz w:val="24"/>
              </w:rPr>
            </w:pPr>
            <w:r w:rsidRPr="00FA3B4E">
              <w:rPr>
                <w:rFonts w:ascii="Arial" w:hAnsi="Arial" w:cs="Arial"/>
                <w:sz w:val="24"/>
              </w:rPr>
              <w:t>$</w:t>
            </w:r>
            <w:r w:rsidR="00710C33">
              <w:rPr>
                <w:rFonts w:ascii="Arial" w:hAnsi="Arial" w:cs="Arial"/>
                <w:sz w:val="24"/>
              </w:rPr>
              <w:t>73,963</w:t>
            </w:r>
          </w:p>
        </w:tc>
        <w:tc>
          <w:tcPr>
            <w:tcW w:w="3780" w:type="dxa"/>
          </w:tcPr>
          <w:p w:rsidR="00D23429" w:rsidRPr="00D23429" w:rsidRDefault="00D23429" w:rsidP="0063157B">
            <w:pPr>
              <w:widowControl/>
              <w:spacing w:before="120"/>
              <w:jc w:val="right"/>
              <w:rPr>
                <w:rFonts w:ascii="Arial" w:hAnsi="Arial" w:cs="Arial"/>
                <w:i/>
                <w:sz w:val="24"/>
              </w:rPr>
            </w:pPr>
          </w:p>
        </w:tc>
      </w:tr>
    </w:tbl>
    <w:p w:rsidR="00FA3B4E" w:rsidRDefault="00FA3B4E" w:rsidP="00CA3DA6">
      <w:pPr>
        <w:widowControl/>
        <w:spacing w:before="120"/>
        <w:ind w:left="270"/>
        <w:rPr>
          <w:rFonts w:ascii="Arial" w:hAnsi="Arial" w:cs="Arial"/>
          <w:b/>
          <w:sz w:val="24"/>
        </w:rPr>
      </w:pP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 xml:space="preserve">Estimates of other Total Annual Cost Burden to Respondents or </w:t>
      </w:r>
      <w:proofErr w:type="spellStart"/>
      <w:r w:rsidRPr="00C45431">
        <w:rPr>
          <w:rFonts w:ascii="Arial" w:hAnsi="Arial" w:cs="Arial"/>
          <w:b/>
          <w:sz w:val="24"/>
          <w:u w:val="single"/>
        </w:rPr>
        <w:t>Recordkeepers</w:t>
      </w:r>
      <w:proofErr w:type="spellEnd"/>
      <w:r w:rsidRPr="00C45431">
        <w:rPr>
          <w:rFonts w:ascii="Arial" w:hAnsi="Arial" w:cs="Arial"/>
          <w:b/>
          <w:sz w:val="24"/>
          <w:u w:val="single"/>
        </w:rPr>
        <w:t>/Capital Costs</w:t>
      </w:r>
    </w:p>
    <w:p w:rsidR="00D11CA3" w:rsidRPr="00EE2897" w:rsidRDefault="00D11CA3" w:rsidP="00EE2897">
      <w:pPr>
        <w:pStyle w:val="BodyTextIndent"/>
        <w:spacing w:before="120"/>
        <w:ind w:left="360"/>
        <w:rPr>
          <w:rFonts w:ascii="Arial" w:hAnsi="Arial" w:cs="Arial"/>
        </w:rPr>
      </w:pPr>
      <w:r w:rsidRPr="00EE2897">
        <w:rPr>
          <w:rFonts w:ascii="Arial" w:hAnsi="Arial" w:cs="Arial"/>
        </w:rPr>
        <w:t>Other than their time, t</w:t>
      </w:r>
      <w:r w:rsidR="00EE2897" w:rsidRPr="00EE2897">
        <w:rPr>
          <w:rFonts w:ascii="Arial" w:hAnsi="Arial" w:cs="Arial"/>
        </w:rPr>
        <w:t>here is no cost to respondents.</w:t>
      </w: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Annualized Cost to Federal Government</w:t>
      </w:r>
    </w:p>
    <w:p w:rsidR="004E77AE" w:rsidRPr="004E77AE" w:rsidRDefault="004E77AE" w:rsidP="004E77AE">
      <w:pPr>
        <w:spacing w:before="240"/>
        <w:ind w:left="360"/>
        <w:rPr>
          <w:rFonts w:ascii="Arial" w:hAnsi="Arial" w:cs="Arial"/>
          <w:sz w:val="24"/>
        </w:rPr>
      </w:pPr>
      <w:r w:rsidRPr="004E77AE">
        <w:rPr>
          <w:rFonts w:ascii="Arial" w:hAnsi="Arial" w:cs="Arial"/>
          <w:sz w:val="24"/>
        </w:rPr>
        <w:t>The agency estimate</w:t>
      </w:r>
      <w:r>
        <w:rPr>
          <w:rFonts w:ascii="Arial" w:hAnsi="Arial" w:cs="Arial"/>
          <w:sz w:val="24"/>
        </w:rPr>
        <w:t>s</w:t>
      </w:r>
      <w:r w:rsidRPr="004E77AE">
        <w:rPr>
          <w:rFonts w:ascii="Arial" w:hAnsi="Arial" w:cs="Arial"/>
          <w:sz w:val="24"/>
        </w:rPr>
        <w:t xml:space="preserve"> the </w:t>
      </w:r>
      <w:r w:rsidR="00EA086D">
        <w:rPr>
          <w:rFonts w:ascii="Arial" w:hAnsi="Arial" w:cs="Arial"/>
          <w:sz w:val="24"/>
        </w:rPr>
        <w:t xml:space="preserve">average annual </w:t>
      </w:r>
      <w:r w:rsidRPr="004E77AE">
        <w:rPr>
          <w:rFonts w:ascii="Arial" w:hAnsi="Arial" w:cs="Arial"/>
          <w:sz w:val="24"/>
        </w:rPr>
        <w:t xml:space="preserve">cost to the Federal Government </w:t>
      </w:r>
      <w:r w:rsidR="00CC280D">
        <w:rPr>
          <w:rFonts w:ascii="Arial" w:hAnsi="Arial" w:cs="Arial"/>
          <w:sz w:val="24"/>
        </w:rPr>
        <w:t>for a</w:t>
      </w:r>
      <w:r w:rsidRPr="004E77AE">
        <w:rPr>
          <w:rFonts w:ascii="Arial" w:hAnsi="Arial" w:cs="Arial"/>
          <w:sz w:val="24"/>
        </w:rPr>
        <w:t xml:space="preserve"> total </w:t>
      </w:r>
      <w:r w:rsidR="00CC280D">
        <w:rPr>
          <w:rFonts w:ascii="Arial" w:hAnsi="Arial" w:cs="Arial"/>
          <w:sz w:val="24"/>
        </w:rPr>
        <w:t xml:space="preserve">of </w:t>
      </w:r>
      <w:r w:rsidR="00627FBA">
        <w:rPr>
          <w:rFonts w:ascii="Arial" w:hAnsi="Arial" w:cs="Arial"/>
          <w:sz w:val="24"/>
        </w:rPr>
        <w:t>10</w:t>
      </w:r>
      <w:r w:rsidRPr="004E77AE">
        <w:rPr>
          <w:rFonts w:ascii="Arial" w:hAnsi="Arial" w:cs="Arial"/>
          <w:sz w:val="24"/>
        </w:rPr>
        <w:t xml:space="preserve"> Federal staff at </w:t>
      </w:r>
      <w:r w:rsidR="005F05DD">
        <w:rPr>
          <w:rFonts w:ascii="Arial" w:hAnsi="Arial" w:cs="Arial"/>
          <w:sz w:val="24"/>
        </w:rPr>
        <w:t>Grade</w:t>
      </w:r>
      <w:r w:rsidRPr="004E77AE">
        <w:rPr>
          <w:rFonts w:ascii="Arial" w:hAnsi="Arial" w:cs="Arial"/>
          <w:sz w:val="24"/>
        </w:rPr>
        <w:t xml:space="preserve"> 1</w:t>
      </w:r>
      <w:r w:rsidR="00CC280D">
        <w:rPr>
          <w:rFonts w:ascii="Arial" w:hAnsi="Arial" w:cs="Arial"/>
          <w:sz w:val="24"/>
        </w:rPr>
        <w:t>3</w:t>
      </w:r>
      <w:r w:rsidRPr="004E77AE">
        <w:rPr>
          <w:rFonts w:ascii="Arial" w:hAnsi="Arial" w:cs="Arial"/>
          <w:sz w:val="24"/>
        </w:rPr>
        <w:t xml:space="preserve"> </w:t>
      </w:r>
      <w:r w:rsidR="005F05DD">
        <w:rPr>
          <w:rFonts w:ascii="Arial" w:hAnsi="Arial" w:cs="Arial"/>
          <w:sz w:val="24"/>
        </w:rPr>
        <w:t xml:space="preserve">Step 5 </w:t>
      </w:r>
      <w:r w:rsidR="005A227C">
        <w:rPr>
          <w:rFonts w:ascii="Arial" w:hAnsi="Arial" w:cs="Arial"/>
          <w:sz w:val="24"/>
        </w:rPr>
        <w:t xml:space="preserve">($39.31 hourly rate) </w:t>
      </w:r>
      <w:r w:rsidRPr="004E77AE">
        <w:rPr>
          <w:rFonts w:ascii="Arial" w:hAnsi="Arial" w:cs="Arial"/>
          <w:sz w:val="24"/>
        </w:rPr>
        <w:t xml:space="preserve">for </w:t>
      </w:r>
      <w:r w:rsidR="00FD3305">
        <w:rPr>
          <w:rFonts w:ascii="Arial" w:hAnsi="Arial" w:cs="Arial"/>
          <w:sz w:val="24"/>
        </w:rPr>
        <w:t>4</w:t>
      </w:r>
      <w:r w:rsidR="00EA086D">
        <w:rPr>
          <w:rFonts w:ascii="Arial" w:hAnsi="Arial" w:cs="Arial"/>
          <w:sz w:val="24"/>
        </w:rPr>
        <w:t>0</w:t>
      </w:r>
      <w:r w:rsidRPr="004E77AE">
        <w:rPr>
          <w:rFonts w:ascii="Arial" w:hAnsi="Arial" w:cs="Arial"/>
          <w:sz w:val="24"/>
        </w:rPr>
        <w:t xml:space="preserve"> hours, and </w:t>
      </w:r>
      <w:r w:rsidR="005F05DD">
        <w:rPr>
          <w:rFonts w:ascii="Arial" w:hAnsi="Arial" w:cs="Arial"/>
          <w:sz w:val="24"/>
        </w:rPr>
        <w:t>2</w:t>
      </w:r>
      <w:r w:rsidR="005A227C">
        <w:rPr>
          <w:rFonts w:ascii="Arial" w:hAnsi="Arial" w:cs="Arial"/>
          <w:sz w:val="24"/>
        </w:rPr>
        <w:t xml:space="preserve"> </w:t>
      </w:r>
      <w:r w:rsidRPr="004E77AE">
        <w:rPr>
          <w:rFonts w:ascii="Arial" w:hAnsi="Arial" w:cs="Arial"/>
          <w:sz w:val="24"/>
        </w:rPr>
        <w:t xml:space="preserve">Federal staff at grade 14 </w:t>
      </w:r>
      <w:r w:rsidR="005F05DD">
        <w:rPr>
          <w:rFonts w:ascii="Arial" w:hAnsi="Arial" w:cs="Arial"/>
          <w:sz w:val="24"/>
        </w:rPr>
        <w:t>Step 1</w:t>
      </w:r>
      <w:r w:rsidR="005A227C">
        <w:rPr>
          <w:rFonts w:ascii="Arial" w:hAnsi="Arial" w:cs="Arial"/>
          <w:sz w:val="24"/>
        </w:rPr>
        <w:t xml:space="preserve"> ($40.99 hourly rate)</w:t>
      </w:r>
      <w:r w:rsidR="005F05DD">
        <w:rPr>
          <w:rFonts w:ascii="Arial" w:hAnsi="Arial" w:cs="Arial"/>
          <w:sz w:val="24"/>
        </w:rPr>
        <w:t xml:space="preserve"> </w:t>
      </w:r>
      <w:r w:rsidRPr="004E77AE">
        <w:rPr>
          <w:rFonts w:ascii="Arial" w:hAnsi="Arial" w:cs="Arial"/>
          <w:sz w:val="24"/>
        </w:rPr>
        <w:t xml:space="preserve">for </w:t>
      </w:r>
      <w:r w:rsidR="00FD3305">
        <w:rPr>
          <w:rFonts w:ascii="Arial" w:hAnsi="Arial" w:cs="Arial"/>
          <w:sz w:val="24"/>
        </w:rPr>
        <w:t>8</w:t>
      </w:r>
      <w:r w:rsidRPr="004E77AE">
        <w:rPr>
          <w:rFonts w:ascii="Arial" w:hAnsi="Arial" w:cs="Arial"/>
          <w:sz w:val="24"/>
        </w:rPr>
        <w:t xml:space="preserve"> hours.</w:t>
      </w:r>
      <w:r w:rsidR="00EA086D">
        <w:rPr>
          <w:rFonts w:ascii="Arial" w:hAnsi="Arial" w:cs="Arial"/>
          <w:sz w:val="24"/>
        </w:rPr>
        <w:t xml:space="preserve">  The estimated </w:t>
      </w:r>
      <w:r w:rsidR="00345E19">
        <w:rPr>
          <w:rFonts w:ascii="Arial" w:hAnsi="Arial" w:cs="Arial"/>
          <w:sz w:val="24"/>
        </w:rPr>
        <w:t xml:space="preserve">annual </w:t>
      </w:r>
      <w:r w:rsidR="00EA086D">
        <w:rPr>
          <w:rFonts w:ascii="Arial" w:hAnsi="Arial" w:cs="Arial"/>
          <w:sz w:val="24"/>
        </w:rPr>
        <w:t xml:space="preserve">total Federal cost </w:t>
      </w:r>
      <w:r w:rsidR="00E37C06">
        <w:rPr>
          <w:rFonts w:ascii="Arial" w:hAnsi="Arial" w:cs="Arial"/>
          <w:sz w:val="24"/>
        </w:rPr>
        <w:t>is</w:t>
      </w:r>
      <w:r w:rsidR="00EA086D">
        <w:rPr>
          <w:rFonts w:ascii="Arial" w:hAnsi="Arial" w:cs="Arial"/>
          <w:sz w:val="24"/>
        </w:rPr>
        <w:t xml:space="preserve"> </w:t>
      </w:r>
      <w:r w:rsidR="00E37C06">
        <w:rPr>
          <w:rFonts w:ascii="Arial" w:hAnsi="Arial" w:cs="Arial"/>
          <w:sz w:val="24"/>
        </w:rPr>
        <w:t>48</w:t>
      </w:r>
      <w:r w:rsidR="00EA086D">
        <w:rPr>
          <w:rFonts w:ascii="Arial" w:hAnsi="Arial" w:cs="Arial"/>
          <w:sz w:val="24"/>
        </w:rPr>
        <w:t xml:space="preserve"> hours</w:t>
      </w:r>
      <w:r w:rsidR="00345E19">
        <w:rPr>
          <w:rFonts w:ascii="Arial" w:hAnsi="Arial" w:cs="Arial"/>
          <w:sz w:val="24"/>
        </w:rPr>
        <w:t xml:space="preserve"> and $</w:t>
      </w:r>
      <w:r w:rsidR="00E37C06">
        <w:rPr>
          <w:rFonts w:ascii="Arial" w:hAnsi="Arial" w:cs="Arial"/>
          <w:sz w:val="24"/>
        </w:rPr>
        <w:t>16,052</w:t>
      </w:r>
      <w:r w:rsidR="00316B4A">
        <w:rPr>
          <w:rFonts w:ascii="Arial" w:hAnsi="Arial" w:cs="Arial"/>
          <w:sz w:val="24"/>
        </w:rPr>
        <w:t>.</w:t>
      </w: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for Program Changes or Adjustments</w:t>
      </w:r>
    </w:p>
    <w:p w:rsidR="009B3794" w:rsidRPr="00C45431" w:rsidRDefault="009B3794" w:rsidP="00CA3DA6">
      <w:pPr>
        <w:pStyle w:val="BodyTextIndent"/>
        <w:spacing w:before="120"/>
        <w:ind w:left="360"/>
        <w:rPr>
          <w:rFonts w:ascii="Arial" w:hAnsi="Arial" w:cs="Arial"/>
          <w:b/>
        </w:rPr>
      </w:pPr>
      <w:r w:rsidRPr="00C45431">
        <w:rPr>
          <w:rFonts w:ascii="Arial" w:hAnsi="Arial" w:cs="Arial"/>
        </w:rPr>
        <w:lastRenderedPageBreak/>
        <w:t xml:space="preserve">This is a new </w:t>
      </w:r>
      <w:r w:rsidR="00FE6C30" w:rsidRPr="00C45431">
        <w:rPr>
          <w:rFonts w:ascii="Arial" w:hAnsi="Arial" w:cs="Arial"/>
        </w:rPr>
        <w:t>information</w:t>
      </w:r>
      <w:r w:rsidRPr="00C45431">
        <w:rPr>
          <w:rFonts w:ascii="Arial" w:hAnsi="Arial" w:cs="Arial"/>
        </w:rPr>
        <w:t xml:space="preserve"> collection.</w:t>
      </w: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Plans for Tabulation</w:t>
      </w:r>
      <w:r w:rsidR="002118B4" w:rsidRPr="00C45431">
        <w:rPr>
          <w:rFonts w:ascii="Arial" w:hAnsi="Arial" w:cs="Arial"/>
          <w:b/>
          <w:sz w:val="24"/>
          <w:u w:val="single"/>
        </w:rPr>
        <w:t xml:space="preserve">, </w:t>
      </w:r>
      <w:r w:rsidRPr="00C45431">
        <w:rPr>
          <w:rFonts w:ascii="Arial" w:hAnsi="Arial" w:cs="Arial"/>
          <w:b/>
          <w:sz w:val="24"/>
          <w:u w:val="single"/>
        </w:rPr>
        <w:t>Publication</w:t>
      </w:r>
      <w:r w:rsidR="002118B4" w:rsidRPr="00C45431">
        <w:rPr>
          <w:rFonts w:ascii="Arial" w:hAnsi="Arial" w:cs="Arial"/>
          <w:b/>
          <w:sz w:val="24"/>
          <w:u w:val="single"/>
        </w:rPr>
        <w:t>,</w:t>
      </w:r>
      <w:r w:rsidRPr="00C45431">
        <w:rPr>
          <w:rFonts w:ascii="Arial" w:hAnsi="Arial" w:cs="Arial"/>
          <w:b/>
          <w:sz w:val="24"/>
          <w:u w:val="single"/>
        </w:rPr>
        <w:t xml:space="preserve"> and Project Time Schedule</w:t>
      </w:r>
    </w:p>
    <w:p w:rsidR="00DD0858" w:rsidRPr="00DD0858" w:rsidRDefault="00DD0858" w:rsidP="00DD0858">
      <w:pPr>
        <w:spacing w:before="120"/>
        <w:ind w:left="360"/>
        <w:rPr>
          <w:rFonts w:ascii="Arial" w:hAnsi="Arial" w:cs="Arial"/>
          <w:sz w:val="24"/>
        </w:rPr>
      </w:pPr>
      <w:r w:rsidRPr="00DD0858">
        <w:rPr>
          <w:rFonts w:ascii="Arial" w:hAnsi="Arial" w:cs="Arial"/>
          <w:sz w:val="24"/>
        </w:rPr>
        <w:t>Data will</w:t>
      </w:r>
      <w:r>
        <w:rPr>
          <w:rFonts w:ascii="Arial" w:hAnsi="Arial" w:cs="Arial"/>
          <w:sz w:val="24"/>
        </w:rPr>
        <w:t xml:space="preserve"> </w:t>
      </w:r>
      <w:r w:rsidRPr="00DD0858">
        <w:rPr>
          <w:rFonts w:ascii="Arial" w:hAnsi="Arial" w:cs="Arial"/>
          <w:sz w:val="24"/>
        </w:rPr>
        <w:t>be extracted from final reports and</w:t>
      </w:r>
      <w:r>
        <w:rPr>
          <w:rFonts w:ascii="Arial" w:hAnsi="Arial" w:cs="Arial"/>
          <w:sz w:val="24"/>
        </w:rPr>
        <w:t xml:space="preserve"> </w:t>
      </w:r>
      <w:r w:rsidRPr="00DD0858">
        <w:rPr>
          <w:rFonts w:ascii="Arial" w:hAnsi="Arial" w:cs="Arial"/>
          <w:sz w:val="24"/>
        </w:rPr>
        <w:t xml:space="preserve">aggregated, using suitable </w:t>
      </w:r>
      <w:r>
        <w:rPr>
          <w:rFonts w:ascii="Arial" w:hAnsi="Arial" w:cs="Arial"/>
          <w:sz w:val="24"/>
        </w:rPr>
        <w:t>a</w:t>
      </w:r>
      <w:r w:rsidRPr="00DD0858">
        <w:rPr>
          <w:rFonts w:ascii="Arial" w:hAnsi="Arial" w:cs="Arial"/>
          <w:sz w:val="24"/>
        </w:rPr>
        <w:t>nalytic</w:t>
      </w:r>
      <w:r>
        <w:rPr>
          <w:rFonts w:ascii="Arial" w:hAnsi="Arial" w:cs="Arial"/>
          <w:sz w:val="24"/>
        </w:rPr>
        <w:t xml:space="preserve"> </w:t>
      </w:r>
      <w:r w:rsidRPr="00DD0858">
        <w:rPr>
          <w:rFonts w:ascii="Arial" w:hAnsi="Arial" w:cs="Arial"/>
          <w:sz w:val="24"/>
        </w:rPr>
        <w:t>approaches, to compare, contrast, and</w:t>
      </w:r>
      <w:r>
        <w:rPr>
          <w:rFonts w:ascii="Arial" w:hAnsi="Arial" w:cs="Arial"/>
          <w:sz w:val="24"/>
        </w:rPr>
        <w:t xml:space="preserve"> </w:t>
      </w:r>
      <w:r w:rsidRPr="00DD0858">
        <w:rPr>
          <w:rFonts w:ascii="Arial" w:hAnsi="Arial" w:cs="Arial"/>
          <w:sz w:val="24"/>
        </w:rPr>
        <w:t>identify successes, areas for</w:t>
      </w:r>
      <w:r>
        <w:rPr>
          <w:rFonts w:ascii="Arial" w:hAnsi="Arial" w:cs="Arial"/>
          <w:sz w:val="24"/>
        </w:rPr>
        <w:t xml:space="preserve"> </w:t>
      </w:r>
      <w:r w:rsidRPr="00DD0858">
        <w:rPr>
          <w:rFonts w:ascii="Arial" w:hAnsi="Arial" w:cs="Arial"/>
          <w:sz w:val="24"/>
        </w:rPr>
        <w:t>improvement, and promising practices</w:t>
      </w:r>
      <w:r>
        <w:rPr>
          <w:rFonts w:ascii="Arial" w:hAnsi="Arial" w:cs="Arial"/>
          <w:sz w:val="24"/>
        </w:rPr>
        <w:t xml:space="preserve"> </w:t>
      </w:r>
      <w:r w:rsidRPr="00DD0858">
        <w:rPr>
          <w:rFonts w:ascii="Arial" w:hAnsi="Arial" w:cs="Arial"/>
          <w:sz w:val="24"/>
        </w:rPr>
        <w:t>across the program. These findings will</w:t>
      </w:r>
      <w:r>
        <w:rPr>
          <w:rFonts w:ascii="Arial" w:hAnsi="Arial" w:cs="Arial"/>
          <w:sz w:val="24"/>
        </w:rPr>
        <w:t xml:space="preserve"> </w:t>
      </w:r>
      <w:r w:rsidRPr="00DD0858">
        <w:rPr>
          <w:rFonts w:ascii="Arial" w:hAnsi="Arial" w:cs="Arial"/>
          <w:sz w:val="24"/>
        </w:rPr>
        <w:t xml:space="preserve">be used to </w:t>
      </w:r>
      <w:r w:rsidR="00E37C06" w:rsidRPr="00E37C06">
        <w:rPr>
          <w:rFonts w:ascii="Arial" w:hAnsi="Arial" w:cs="Arial"/>
          <w:sz w:val="24"/>
        </w:rPr>
        <w:t xml:space="preserve">assess the implementation </w:t>
      </w:r>
      <w:r w:rsidRPr="00DD0858">
        <w:rPr>
          <w:rFonts w:ascii="Arial" w:hAnsi="Arial" w:cs="Arial"/>
          <w:sz w:val="24"/>
        </w:rPr>
        <w:t>of the MIECHV program, support</w:t>
      </w:r>
      <w:r>
        <w:rPr>
          <w:rFonts w:ascii="Arial" w:hAnsi="Arial" w:cs="Arial"/>
          <w:sz w:val="24"/>
        </w:rPr>
        <w:t xml:space="preserve"> </w:t>
      </w:r>
      <w:r w:rsidRPr="00DD0858">
        <w:rPr>
          <w:rFonts w:ascii="Arial" w:hAnsi="Arial" w:cs="Arial"/>
          <w:sz w:val="24"/>
        </w:rPr>
        <w:t xml:space="preserve">program or grantee </w:t>
      </w:r>
      <w:r>
        <w:rPr>
          <w:rFonts w:ascii="Arial" w:hAnsi="Arial" w:cs="Arial"/>
          <w:sz w:val="24"/>
        </w:rPr>
        <w:t>I</w:t>
      </w:r>
      <w:r w:rsidRPr="00DD0858">
        <w:rPr>
          <w:rFonts w:ascii="Arial" w:hAnsi="Arial" w:cs="Arial"/>
          <w:sz w:val="24"/>
        </w:rPr>
        <w:t>mprovement, and</w:t>
      </w:r>
      <w:r>
        <w:rPr>
          <w:rFonts w:ascii="Arial" w:hAnsi="Arial" w:cs="Arial"/>
          <w:sz w:val="24"/>
        </w:rPr>
        <w:t xml:space="preserve"> </w:t>
      </w:r>
      <w:r w:rsidRPr="00DD0858">
        <w:rPr>
          <w:rFonts w:ascii="Arial" w:hAnsi="Arial" w:cs="Arial"/>
          <w:sz w:val="24"/>
        </w:rPr>
        <w:t>craft or inform dissemination strategies.</w:t>
      </w:r>
    </w:p>
    <w:p w:rsidR="00DD0858" w:rsidRDefault="00DD0858" w:rsidP="00CA3DA6">
      <w:pPr>
        <w:spacing w:before="120"/>
        <w:ind w:left="360"/>
        <w:rPr>
          <w:rFonts w:ascii="Arial" w:hAnsi="Arial" w:cs="Arial"/>
          <w:sz w:val="24"/>
        </w:rPr>
      </w:pP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rsidR="009B3794" w:rsidRPr="00732734" w:rsidRDefault="00D11CA3" w:rsidP="00CA3DA6">
      <w:pPr>
        <w:pStyle w:val="BodyTextIndent"/>
        <w:spacing w:before="120"/>
        <w:ind w:left="360"/>
        <w:rPr>
          <w:rFonts w:ascii="Arial" w:hAnsi="Arial" w:cs="Arial"/>
        </w:rPr>
      </w:pPr>
      <w:r w:rsidRPr="00732734">
        <w:rPr>
          <w:rFonts w:ascii="Arial" w:hAnsi="Arial" w:cs="Arial"/>
        </w:rPr>
        <w:t>The OMB number and Expiration date will be displayed on every</w:t>
      </w:r>
      <w:r w:rsidR="00732734" w:rsidRPr="00732734">
        <w:rPr>
          <w:rFonts w:ascii="Arial" w:hAnsi="Arial" w:cs="Arial"/>
        </w:rPr>
        <w:t xml:space="preserve"> page of every form/instrument.</w:t>
      </w:r>
    </w:p>
    <w:p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rsidR="009B3794" w:rsidRPr="00732734" w:rsidRDefault="009B3794" w:rsidP="00CA3DA6">
      <w:pPr>
        <w:pStyle w:val="BodyTextIndent"/>
        <w:spacing w:before="120"/>
        <w:ind w:left="360"/>
        <w:rPr>
          <w:rFonts w:ascii="Arial" w:hAnsi="Arial" w:cs="Arial"/>
        </w:rPr>
      </w:pPr>
      <w:r w:rsidRPr="00732734">
        <w:rPr>
          <w:rFonts w:ascii="Arial" w:hAnsi="Arial" w:cs="Arial"/>
        </w:rPr>
        <w:t>There are no e</w:t>
      </w:r>
      <w:r w:rsidR="00732734" w:rsidRPr="00732734">
        <w:rPr>
          <w:rFonts w:ascii="Arial" w:hAnsi="Arial" w:cs="Arial"/>
        </w:rPr>
        <w:t>xceptions to the certification.</w:t>
      </w:r>
    </w:p>
    <w:p w:rsidR="00067D76" w:rsidRDefault="00067D76" w:rsidP="00CA3DA6">
      <w:pPr>
        <w:pStyle w:val="BodyTextIndent"/>
        <w:spacing w:before="120"/>
        <w:ind w:left="360"/>
        <w:rPr>
          <w:rFonts w:ascii="Arial" w:hAnsi="Arial" w:cs="Arial"/>
          <w:b/>
        </w:rPr>
      </w:pPr>
    </w:p>
    <w:p w:rsidR="00067D76" w:rsidRDefault="00067D76" w:rsidP="00CA3DA6">
      <w:pPr>
        <w:pStyle w:val="BodyTextIndent"/>
        <w:spacing w:before="120"/>
        <w:ind w:left="360"/>
        <w:rPr>
          <w:rFonts w:ascii="Arial" w:hAnsi="Arial" w:cs="Arial"/>
          <w:b/>
        </w:rPr>
      </w:pPr>
    </w:p>
    <w:p w:rsidR="00067D76" w:rsidRDefault="00067D76" w:rsidP="00CA3DA6">
      <w:pPr>
        <w:pStyle w:val="BodyTextIndent"/>
        <w:spacing w:before="120"/>
        <w:ind w:left="360"/>
        <w:rPr>
          <w:rFonts w:ascii="Arial" w:hAnsi="Arial" w:cs="Arial"/>
          <w:b/>
        </w:rPr>
      </w:pPr>
    </w:p>
    <w:p w:rsidR="00067D76" w:rsidRPr="00C45431" w:rsidRDefault="00067D76" w:rsidP="00CA3DA6">
      <w:pPr>
        <w:pStyle w:val="BodyTextIndent"/>
        <w:spacing w:before="120"/>
        <w:ind w:left="360"/>
        <w:rPr>
          <w:rFonts w:ascii="Arial" w:hAnsi="Arial" w:cs="Arial"/>
        </w:rPr>
      </w:pPr>
    </w:p>
    <w:sectPr w:rsidR="00067D76" w:rsidRPr="00C45431" w:rsidSect="001D4856">
      <w:footerReference w:type="default" r:id="rId12"/>
      <w:endnotePr>
        <w:numFmt w:val="decimal"/>
      </w:endnotePr>
      <w:type w:val="continuous"/>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12B900" w15:done="0"/>
  <w15:commentEx w15:paraId="694FD4FE" w15:paraIdParent="0012B900" w15:done="0"/>
  <w15:commentEx w15:paraId="36AB039F" w15:done="0"/>
  <w15:commentEx w15:paraId="59B6A8BA" w15:paraIdParent="36AB039F" w15:done="0"/>
  <w15:commentEx w15:paraId="4F73C9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5DC" w:rsidRDefault="000465DC">
      <w:r>
        <w:separator/>
      </w:r>
    </w:p>
  </w:endnote>
  <w:endnote w:type="continuationSeparator" w:id="0">
    <w:p w:rsidR="000465DC" w:rsidRDefault="0004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E1D" w:rsidRDefault="00D92E1D">
    <w:pPr>
      <w:spacing w:line="240" w:lineRule="exact"/>
    </w:pPr>
  </w:p>
  <w:p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F11AEF">
      <w:rPr>
        <w:noProof/>
        <w:sz w:val="24"/>
      </w:rPr>
      <w:t>5</w:t>
    </w:r>
    <w:r>
      <w:rPr>
        <w:sz w:val="24"/>
      </w:rPr>
      <w:fldChar w:fldCharType="end"/>
    </w:r>
  </w:p>
  <w:p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5DC" w:rsidRDefault="000465DC">
      <w:r>
        <w:separator/>
      </w:r>
    </w:p>
  </w:footnote>
  <w:footnote w:type="continuationSeparator" w:id="0">
    <w:p w:rsidR="000465DC" w:rsidRDefault="00046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6">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6">
    <w:nsid w:val="58823AFD"/>
    <w:multiLevelType w:val="hybridMultilevel"/>
    <w:tmpl w:val="1D442C00"/>
    <w:lvl w:ilvl="0" w:tplc="6D688A12">
      <w:start w:val="1"/>
      <w:numFmt w:val="decimal"/>
      <w:lvlText w:val="%1."/>
      <w:lvlJc w:val="left"/>
      <w:pPr>
        <w:ind w:left="360" w:hanging="360"/>
      </w:pPr>
      <w:rPr>
        <w:b/>
      </w:rPr>
    </w:lvl>
    <w:lvl w:ilvl="1" w:tplc="C9987174">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6">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3">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3"/>
  </w:num>
  <w:num w:numId="2">
    <w:abstractNumId w:val="21"/>
  </w:num>
  <w:num w:numId="3">
    <w:abstractNumId w:val="14"/>
  </w:num>
  <w:num w:numId="4">
    <w:abstractNumId w:val="39"/>
  </w:num>
  <w:num w:numId="5">
    <w:abstractNumId w:val="42"/>
  </w:num>
  <w:num w:numId="6">
    <w:abstractNumId w:val="9"/>
  </w:num>
  <w:num w:numId="7">
    <w:abstractNumId w:val="35"/>
  </w:num>
  <w:num w:numId="8">
    <w:abstractNumId w:val="17"/>
  </w:num>
  <w:num w:numId="9">
    <w:abstractNumId w:val="25"/>
  </w:num>
  <w:num w:numId="10">
    <w:abstractNumId w:val="19"/>
  </w:num>
  <w:num w:numId="11">
    <w:abstractNumId w:val="8"/>
  </w:num>
  <w:num w:numId="12">
    <w:abstractNumId w:val="24"/>
  </w:num>
  <w:num w:numId="13">
    <w:abstractNumId w:val="20"/>
  </w:num>
  <w:num w:numId="14">
    <w:abstractNumId w:val="22"/>
  </w:num>
  <w:num w:numId="15">
    <w:abstractNumId w:val="7"/>
  </w:num>
  <w:num w:numId="16">
    <w:abstractNumId w:val="0"/>
  </w:num>
  <w:num w:numId="17">
    <w:abstractNumId w:val="1"/>
  </w:num>
  <w:num w:numId="18">
    <w:abstractNumId w:val="15"/>
  </w:num>
  <w:num w:numId="19">
    <w:abstractNumId w:val="34"/>
  </w:num>
  <w:num w:numId="20">
    <w:abstractNumId w:val="32"/>
  </w:num>
  <w:num w:numId="21">
    <w:abstractNumId w:val="18"/>
  </w:num>
  <w:num w:numId="22">
    <w:abstractNumId w:val="38"/>
  </w:num>
  <w:num w:numId="23">
    <w:abstractNumId w:val="30"/>
  </w:num>
  <w:num w:numId="24">
    <w:abstractNumId w:val="31"/>
  </w:num>
  <w:num w:numId="25">
    <w:abstractNumId w:val="41"/>
  </w:num>
  <w:num w:numId="26">
    <w:abstractNumId w:val="37"/>
  </w:num>
  <w:num w:numId="27">
    <w:abstractNumId w:val="3"/>
  </w:num>
  <w:num w:numId="28">
    <w:abstractNumId w:val="16"/>
  </w:num>
  <w:num w:numId="29">
    <w:abstractNumId w:val="40"/>
  </w:num>
  <w:num w:numId="30">
    <w:abstractNumId w:val="36"/>
  </w:num>
  <w:num w:numId="31">
    <w:abstractNumId w:val="33"/>
  </w:num>
  <w:num w:numId="32">
    <w:abstractNumId w:val="10"/>
  </w:num>
  <w:num w:numId="33">
    <w:abstractNumId w:val="2"/>
  </w:num>
  <w:num w:numId="34">
    <w:abstractNumId w:val="27"/>
  </w:num>
  <w:num w:numId="35">
    <w:abstractNumId w:val="12"/>
  </w:num>
  <w:num w:numId="36">
    <w:abstractNumId w:val="11"/>
  </w:num>
  <w:num w:numId="37">
    <w:abstractNumId w:val="13"/>
  </w:num>
  <w:num w:numId="38">
    <w:abstractNumId w:val="4"/>
  </w:num>
  <w:num w:numId="39">
    <w:abstractNumId w:val="29"/>
  </w:num>
  <w:num w:numId="40">
    <w:abstractNumId w:val="6"/>
  </w:num>
  <w:num w:numId="41">
    <w:abstractNumId w:val="28"/>
  </w:num>
  <w:num w:numId="42">
    <w:abstractNumId w:val="23"/>
  </w:num>
  <w:num w:numId="43">
    <w:abstractNumId w:val="5"/>
  </w:num>
  <w:num w:numId="44">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lyn Stephenson">
    <w15:presenceInfo w15:providerId="Windows Live" w15:userId="55bceeb15c4aa3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1605E"/>
    <w:rsid w:val="000465DC"/>
    <w:rsid w:val="00067D76"/>
    <w:rsid w:val="00082E2E"/>
    <w:rsid w:val="000879FE"/>
    <w:rsid w:val="000D30D9"/>
    <w:rsid w:val="000E464B"/>
    <w:rsid w:val="00120184"/>
    <w:rsid w:val="00125DC0"/>
    <w:rsid w:val="001325B2"/>
    <w:rsid w:val="001577C6"/>
    <w:rsid w:val="001920C3"/>
    <w:rsid w:val="001D4856"/>
    <w:rsid w:val="001D4999"/>
    <w:rsid w:val="002118B4"/>
    <w:rsid w:val="002640E7"/>
    <w:rsid w:val="00316B4A"/>
    <w:rsid w:val="003177DC"/>
    <w:rsid w:val="00322313"/>
    <w:rsid w:val="00345E19"/>
    <w:rsid w:val="00391E16"/>
    <w:rsid w:val="00394B2E"/>
    <w:rsid w:val="003A1EE6"/>
    <w:rsid w:val="003B1CE6"/>
    <w:rsid w:val="003D23B1"/>
    <w:rsid w:val="00403B12"/>
    <w:rsid w:val="0044660D"/>
    <w:rsid w:val="00472847"/>
    <w:rsid w:val="004746CA"/>
    <w:rsid w:val="00477C23"/>
    <w:rsid w:val="00490720"/>
    <w:rsid w:val="004A17FE"/>
    <w:rsid w:val="004D0BAC"/>
    <w:rsid w:val="004E687D"/>
    <w:rsid w:val="004E77AE"/>
    <w:rsid w:val="00503BAB"/>
    <w:rsid w:val="005103E4"/>
    <w:rsid w:val="00536F5C"/>
    <w:rsid w:val="00560412"/>
    <w:rsid w:val="00567A64"/>
    <w:rsid w:val="005A227C"/>
    <w:rsid w:val="005C555A"/>
    <w:rsid w:val="005D2D96"/>
    <w:rsid w:val="005D7625"/>
    <w:rsid w:val="005E1765"/>
    <w:rsid w:val="005F05DD"/>
    <w:rsid w:val="00624019"/>
    <w:rsid w:val="00627FBA"/>
    <w:rsid w:val="00627FFD"/>
    <w:rsid w:val="00630308"/>
    <w:rsid w:val="0063157B"/>
    <w:rsid w:val="00634AA7"/>
    <w:rsid w:val="006548FD"/>
    <w:rsid w:val="006578C5"/>
    <w:rsid w:val="00680D76"/>
    <w:rsid w:val="00710C33"/>
    <w:rsid w:val="0073114C"/>
    <w:rsid w:val="00732734"/>
    <w:rsid w:val="007C6FEA"/>
    <w:rsid w:val="007F047A"/>
    <w:rsid w:val="008002AB"/>
    <w:rsid w:val="00861F22"/>
    <w:rsid w:val="008763F0"/>
    <w:rsid w:val="008907C5"/>
    <w:rsid w:val="008B04CA"/>
    <w:rsid w:val="008C7D69"/>
    <w:rsid w:val="008D2D67"/>
    <w:rsid w:val="0092336E"/>
    <w:rsid w:val="00935E77"/>
    <w:rsid w:val="00945637"/>
    <w:rsid w:val="00971C04"/>
    <w:rsid w:val="009B3794"/>
    <w:rsid w:val="009B6D3C"/>
    <w:rsid w:val="009B7E4D"/>
    <w:rsid w:val="00A1688A"/>
    <w:rsid w:val="00A17768"/>
    <w:rsid w:val="00A52338"/>
    <w:rsid w:val="00A92CAB"/>
    <w:rsid w:val="00AD7D1A"/>
    <w:rsid w:val="00AE7154"/>
    <w:rsid w:val="00B655C6"/>
    <w:rsid w:val="00B67355"/>
    <w:rsid w:val="00B72093"/>
    <w:rsid w:val="00BA1A0C"/>
    <w:rsid w:val="00BC1FC3"/>
    <w:rsid w:val="00C2516C"/>
    <w:rsid w:val="00C45431"/>
    <w:rsid w:val="00C47DD3"/>
    <w:rsid w:val="00C50AE3"/>
    <w:rsid w:val="00C65FAB"/>
    <w:rsid w:val="00C74B86"/>
    <w:rsid w:val="00C82A30"/>
    <w:rsid w:val="00CA3DA6"/>
    <w:rsid w:val="00CB632E"/>
    <w:rsid w:val="00CC280D"/>
    <w:rsid w:val="00CD36E7"/>
    <w:rsid w:val="00CE5AA9"/>
    <w:rsid w:val="00CF47B7"/>
    <w:rsid w:val="00D11CA3"/>
    <w:rsid w:val="00D23429"/>
    <w:rsid w:val="00D243D0"/>
    <w:rsid w:val="00D27D46"/>
    <w:rsid w:val="00D32BC7"/>
    <w:rsid w:val="00D33E6F"/>
    <w:rsid w:val="00D46313"/>
    <w:rsid w:val="00D52A69"/>
    <w:rsid w:val="00D56CC2"/>
    <w:rsid w:val="00D74B86"/>
    <w:rsid w:val="00D92E1D"/>
    <w:rsid w:val="00DD0858"/>
    <w:rsid w:val="00DE3A45"/>
    <w:rsid w:val="00E00CEE"/>
    <w:rsid w:val="00E179B8"/>
    <w:rsid w:val="00E203FA"/>
    <w:rsid w:val="00E34A1F"/>
    <w:rsid w:val="00E37C06"/>
    <w:rsid w:val="00E87554"/>
    <w:rsid w:val="00E962DB"/>
    <w:rsid w:val="00EA086D"/>
    <w:rsid w:val="00EC38CD"/>
    <w:rsid w:val="00ED18EA"/>
    <w:rsid w:val="00EE2897"/>
    <w:rsid w:val="00EE529C"/>
    <w:rsid w:val="00F11AEF"/>
    <w:rsid w:val="00F4221E"/>
    <w:rsid w:val="00F84A6D"/>
    <w:rsid w:val="00F9143C"/>
    <w:rsid w:val="00FA27A4"/>
    <w:rsid w:val="00FA3B4E"/>
    <w:rsid w:val="00FD0C02"/>
    <w:rsid w:val="00FD3305"/>
    <w:rsid w:val="00FD4F91"/>
    <w:rsid w:val="00FE195C"/>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FootnoteText">
    <w:name w:val="footnote text"/>
    <w:basedOn w:val="Normal"/>
    <w:link w:val="FootnoteTextChar"/>
    <w:uiPriority w:val="99"/>
    <w:rsid w:val="009B6D3C"/>
    <w:rPr>
      <w:szCs w:val="20"/>
    </w:rPr>
  </w:style>
  <w:style w:type="character" w:customStyle="1" w:styleId="FootnoteTextChar">
    <w:name w:val="Footnote Text Char"/>
    <w:basedOn w:val="DefaultParagraphFont"/>
    <w:link w:val="FootnoteText"/>
    <w:uiPriority w:val="99"/>
    <w:rsid w:val="009B6D3C"/>
  </w:style>
  <w:style w:type="paragraph" w:styleId="BodyText">
    <w:name w:val="Body Text"/>
    <w:basedOn w:val="Normal"/>
    <w:link w:val="BodyTextChar"/>
    <w:semiHidden/>
    <w:unhideWhenUsed/>
    <w:rsid w:val="00D33E6F"/>
    <w:pPr>
      <w:spacing w:after="120"/>
    </w:pPr>
  </w:style>
  <w:style w:type="character" w:customStyle="1" w:styleId="BodyTextChar">
    <w:name w:val="Body Text Char"/>
    <w:basedOn w:val="DefaultParagraphFont"/>
    <w:link w:val="BodyText"/>
    <w:semiHidden/>
    <w:rsid w:val="00D33E6F"/>
    <w:rPr>
      <w:szCs w:val="24"/>
    </w:rPr>
  </w:style>
  <w:style w:type="character" w:styleId="CommentReference">
    <w:name w:val="annotation reference"/>
    <w:basedOn w:val="DefaultParagraphFont"/>
    <w:rsid w:val="00D33E6F"/>
    <w:rPr>
      <w:sz w:val="16"/>
      <w:szCs w:val="16"/>
    </w:rPr>
  </w:style>
  <w:style w:type="paragraph" w:styleId="CommentText">
    <w:name w:val="annotation text"/>
    <w:basedOn w:val="Normal"/>
    <w:link w:val="CommentTextChar"/>
    <w:rsid w:val="00D33E6F"/>
    <w:pPr>
      <w:widowControl/>
      <w:autoSpaceDE/>
      <w:autoSpaceDN/>
      <w:adjustRightInd/>
    </w:pPr>
    <w:rPr>
      <w:szCs w:val="20"/>
    </w:rPr>
  </w:style>
  <w:style w:type="character" w:customStyle="1" w:styleId="CommentTextChar">
    <w:name w:val="Comment Text Char"/>
    <w:basedOn w:val="DefaultParagraphFont"/>
    <w:link w:val="CommentText"/>
    <w:rsid w:val="00D33E6F"/>
  </w:style>
  <w:style w:type="paragraph" w:styleId="CommentSubject">
    <w:name w:val="annotation subject"/>
    <w:basedOn w:val="CommentText"/>
    <w:next w:val="CommentText"/>
    <w:link w:val="CommentSubjectChar"/>
    <w:semiHidden/>
    <w:unhideWhenUsed/>
    <w:rsid w:val="00D33E6F"/>
    <w:pPr>
      <w:widowControl w:val="0"/>
      <w:autoSpaceDE w:val="0"/>
      <w:autoSpaceDN w:val="0"/>
      <w:adjustRightInd w:val="0"/>
    </w:pPr>
    <w:rPr>
      <w:b/>
      <w:bCs/>
    </w:rPr>
  </w:style>
  <w:style w:type="character" w:customStyle="1" w:styleId="CommentSubjectChar">
    <w:name w:val="Comment Subject Char"/>
    <w:basedOn w:val="CommentTextChar"/>
    <w:link w:val="CommentSubject"/>
    <w:semiHidden/>
    <w:rsid w:val="00D33E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FootnoteText">
    <w:name w:val="footnote text"/>
    <w:basedOn w:val="Normal"/>
    <w:link w:val="FootnoteTextChar"/>
    <w:uiPriority w:val="99"/>
    <w:rsid w:val="009B6D3C"/>
    <w:rPr>
      <w:szCs w:val="20"/>
    </w:rPr>
  </w:style>
  <w:style w:type="character" w:customStyle="1" w:styleId="FootnoteTextChar">
    <w:name w:val="Footnote Text Char"/>
    <w:basedOn w:val="DefaultParagraphFont"/>
    <w:link w:val="FootnoteText"/>
    <w:uiPriority w:val="99"/>
    <w:rsid w:val="009B6D3C"/>
  </w:style>
  <w:style w:type="paragraph" w:styleId="BodyText">
    <w:name w:val="Body Text"/>
    <w:basedOn w:val="Normal"/>
    <w:link w:val="BodyTextChar"/>
    <w:semiHidden/>
    <w:unhideWhenUsed/>
    <w:rsid w:val="00D33E6F"/>
    <w:pPr>
      <w:spacing w:after="120"/>
    </w:pPr>
  </w:style>
  <w:style w:type="character" w:customStyle="1" w:styleId="BodyTextChar">
    <w:name w:val="Body Text Char"/>
    <w:basedOn w:val="DefaultParagraphFont"/>
    <w:link w:val="BodyText"/>
    <w:semiHidden/>
    <w:rsid w:val="00D33E6F"/>
    <w:rPr>
      <w:szCs w:val="24"/>
    </w:rPr>
  </w:style>
  <w:style w:type="character" w:styleId="CommentReference">
    <w:name w:val="annotation reference"/>
    <w:basedOn w:val="DefaultParagraphFont"/>
    <w:rsid w:val="00D33E6F"/>
    <w:rPr>
      <w:sz w:val="16"/>
      <w:szCs w:val="16"/>
    </w:rPr>
  </w:style>
  <w:style w:type="paragraph" w:styleId="CommentText">
    <w:name w:val="annotation text"/>
    <w:basedOn w:val="Normal"/>
    <w:link w:val="CommentTextChar"/>
    <w:rsid w:val="00D33E6F"/>
    <w:pPr>
      <w:widowControl/>
      <w:autoSpaceDE/>
      <w:autoSpaceDN/>
      <w:adjustRightInd/>
    </w:pPr>
    <w:rPr>
      <w:szCs w:val="20"/>
    </w:rPr>
  </w:style>
  <w:style w:type="character" w:customStyle="1" w:styleId="CommentTextChar">
    <w:name w:val="Comment Text Char"/>
    <w:basedOn w:val="DefaultParagraphFont"/>
    <w:link w:val="CommentText"/>
    <w:rsid w:val="00D33E6F"/>
  </w:style>
  <w:style w:type="paragraph" w:styleId="CommentSubject">
    <w:name w:val="annotation subject"/>
    <w:basedOn w:val="CommentText"/>
    <w:next w:val="CommentText"/>
    <w:link w:val="CommentSubjectChar"/>
    <w:semiHidden/>
    <w:unhideWhenUsed/>
    <w:rsid w:val="00D33E6F"/>
    <w:pPr>
      <w:widowControl w:val="0"/>
      <w:autoSpaceDE w:val="0"/>
      <w:autoSpaceDN w:val="0"/>
      <w:adjustRightInd w:val="0"/>
    </w:pPr>
    <w:rPr>
      <w:b/>
      <w:bCs/>
    </w:rPr>
  </w:style>
  <w:style w:type="character" w:customStyle="1" w:styleId="CommentSubjectChar">
    <w:name w:val="Comment Subject Char"/>
    <w:basedOn w:val="CommentTextChar"/>
    <w:link w:val="CommentSubject"/>
    <w:semiHidden/>
    <w:rsid w:val="00D33E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ette.tomiyasu@doh.hawaii.gov" TargetMode="External"/><Relationship Id="rId5" Type="http://schemas.openxmlformats.org/officeDocument/2006/relationships/settings" Target="settings.xml"/><Relationship Id="rId10" Type="http://schemas.openxmlformats.org/officeDocument/2006/relationships/hyperlink" Target="mailto:susan.mckim@dca.alabama.gov" TargetMode="External"/><Relationship Id="rId4" Type="http://schemas.microsoft.com/office/2007/relationships/stylesWithEffects" Target="stylesWithEffects.xml"/><Relationship Id="rId9" Type="http://schemas.openxmlformats.org/officeDocument/2006/relationships/hyperlink" Target="mailto:casteele@dhr.state.ga.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7E075-710A-4266-8481-C58F74783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1610</Words>
  <Characters>9411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11000</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Jodi Duckhorn</cp:lastModifiedBy>
  <cp:revision>3</cp:revision>
  <cp:lastPrinted>2010-10-14T13:41:00Z</cp:lastPrinted>
  <dcterms:created xsi:type="dcterms:W3CDTF">2014-12-18T15:03:00Z</dcterms:created>
  <dcterms:modified xsi:type="dcterms:W3CDTF">2014-12-18T15:03:00Z</dcterms:modified>
</cp:coreProperties>
</file>