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E04456" w14:textId="77777777" w:rsidR="00D85B49" w:rsidRPr="00D85B49" w:rsidRDefault="00D85B49" w:rsidP="00D85B49">
      <w:pPr>
        <w:jc w:val="center"/>
        <w:rPr>
          <w:rFonts w:ascii="Times New Roman" w:eastAsia="Calibri" w:hAnsi="Times New Roman" w:cs="Times New Roman"/>
          <w:b/>
          <w:sz w:val="24"/>
          <w:szCs w:val="24"/>
        </w:rPr>
      </w:pPr>
      <w:bookmarkStart w:id="0" w:name="cs31c"/>
      <w:r w:rsidRPr="00D85B49">
        <w:rPr>
          <w:rFonts w:ascii="Times New Roman" w:eastAsia="Calibri" w:hAnsi="Times New Roman" w:cs="Times New Roman"/>
          <w:b/>
          <w:sz w:val="24"/>
          <w:szCs w:val="24"/>
        </w:rPr>
        <w:t>Military Health Service (MHS) Patient Centered Medical Home (PCMH) Staff Satisfaction Survey</w:t>
      </w:r>
    </w:p>
    <w:p w14:paraId="52AA72E1" w14:textId="77777777" w:rsidR="00D85B49" w:rsidRPr="00D85B49" w:rsidRDefault="00D85B49" w:rsidP="00D85B49">
      <w:pPr>
        <w:spacing w:before="100" w:beforeAutospacing="1" w:after="100" w:afterAutospacing="1" w:line="288" w:lineRule="atLeast"/>
        <w:ind w:firstLine="480"/>
        <w:jc w:val="center"/>
        <w:rPr>
          <w:rFonts w:ascii="Times New Roman" w:eastAsia="Times New Roman" w:hAnsi="Times New Roman" w:cs="Times New Roman"/>
          <w:sz w:val="24"/>
          <w:szCs w:val="24"/>
          <w:u w:val="single"/>
        </w:rPr>
      </w:pPr>
      <w:bookmarkStart w:id="1" w:name="cs31d"/>
      <w:bookmarkEnd w:id="0"/>
      <w:r w:rsidRPr="00D85B49">
        <w:rPr>
          <w:rFonts w:ascii="Times New Roman" w:eastAsia="Times New Roman" w:hAnsi="Times New Roman" w:cs="Times New Roman"/>
          <w:sz w:val="24"/>
          <w:szCs w:val="24"/>
          <w:u w:val="single"/>
        </w:rPr>
        <w:t>SUPPORTING STATEMENT – PART A</w:t>
      </w:r>
    </w:p>
    <w:p w14:paraId="70060132" w14:textId="77777777" w:rsidR="00D85B49" w:rsidRPr="00D85B49" w:rsidRDefault="00D85B49" w:rsidP="00D85B49">
      <w:pPr>
        <w:spacing w:before="100" w:beforeAutospacing="1" w:after="100" w:afterAutospacing="1" w:line="288" w:lineRule="atLeast"/>
        <w:ind w:firstLine="480"/>
        <w:rPr>
          <w:rFonts w:ascii="Times New Roman" w:eastAsia="Times New Roman" w:hAnsi="Times New Roman" w:cs="Times New Roman"/>
          <w:sz w:val="24"/>
          <w:szCs w:val="24"/>
        </w:rPr>
      </w:pPr>
      <w:r w:rsidRPr="00D85B49">
        <w:rPr>
          <w:rFonts w:ascii="Times New Roman" w:eastAsia="Times New Roman" w:hAnsi="Times New Roman" w:cs="Times New Roman"/>
          <w:sz w:val="24"/>
          <w:szCs w:val="24"/>
        </w:rPr>
        <w:t xml:space="preserve">A.  </w:t>
      </w:r>
      <w:r w:rsidRPr="00D85B49">
        <w:rPr>
          <w:rFonts w:ascii="Times New Roman" w:eastAsia="Times New Roman" w:hAnsi="Times New Roman" w:cs="Times New Roman"/>
          <w:sz w:val="24"/>
          <w:szCs w:val="24"/>
          <w:u w:val="single"/>
        </w:rPr>
        <w:t>JUSTIFICATION</w:t>
      </w:r>
    </w:p>
    <w:p w14:paraId="3168C4BD" w14:textId="77777777" w:rsidR="00D85B49" w:rsidRPr="00D85B49" w:rsidRDefault="00D85B49" w:rsidP="00D85B49">
      <w:pPr>
        <w:spacing w:before="100" w:beforeAutospacing="1" w:after="100" w:afterAutospacing="1" w:line="288" w:lineRule="atLeast"/>
        <w:ind w:firstLine="900"/>
        <w:rPr>
          <w:rFonts w:ascii="Times New Roman" w:eastAsia="Times New Roman" w:hAnsi="Times New Roman" w:cs="Times New Roman"/>
          <w:sz w:val="24"/>
          <w:szCs w:val="24"/>
        </w:rPr>
      </w:pPr>
      <w:bookmarkStart w:id="2" w:name="cp432"/>
      <w:bookmarkEnd w:id="1"/>
      <w:r w:rsidRPr="00D85B49">
        <w:rPr>
          <w:rFonts w:ascii="Times New Roman" w:eastAsia="Times New Roman" w:hAnsi="Times New Roman" w:cs="Times New Roman"/>
          <w:sz w:val="24"/>
          <w:szCs w:val="24"/>
        </w:rPr>
        <w:t xml:space="preserve">1.  </w:t>
      </w:r>
      <w:r w:rsidRPr="00D85B49">
        <w:rPr>
          <w:rFonts w:ascii="Times New Roman" w:eastAsia="Times New Roman" w:hAnsi="Times New Roman" w:cs="Times New Roman"/>
          <w:sz w:val="24"/>
          <w:szCs w:val="24"/>
          <w:u w:val="single"/>
        </w:rPr>
        <w:t>Need for the Information Collection</w:t>
      </w:r>
      <w:bookmarkEnd w:id="2"/>
    </w:p>
    <w:p w14:paraId="1B505DF4" w14:textId="77777777" w:rsidR="00D85B49" w:rsidRPr="00D85B49" w:rsidRDefault="00D85B49" w:rsidP="00D85B49">
      <w:pPr>
        <w:spacing w:before="100" w:beforeAutospacing="1" w:after="100" w:afterAutospacing="1" w:line="288" w:lineRule="atLeast"/>
        <w:rPr>
          <w:rFonts w:ascii="Times New Roman" w:eastAsia="Times New Roman" w:hAnsi="Times New Roman" w:cs="Times New Roman"/>
          <w:sz w:val="24"/>
          <w:szCs w:val="24"/>
        </w:rPr>
      </w:pPr>
      <w:r w:rsidRPr="00D85B49">
        <w:rPr>
          <w:rFonts w:ascii="Times New Roman" w:eastAsia="Times New Roman" w:hAnsi="Times New Roman" w:cs="Times New Roman"/>
          <w:sz w:val="24"/>
          <w:szCs w:val="24"/>
        </w:rPr>
        <w:t xml:space="preserve">The TRICARE Management Activity (TMA) is continually working to improve the access to and quality of health care provided to its beneficiaries. One way to achieve these objectives is through the concept of a Patient Centered Medical Home (PCMH). A Medical Home model of care designates a team of care providers with a primary care provider as the manager of the overall health care received by the patient, fosters access to and continuity of care for the patient, and improves quality of care by actively managing patient care. </w:t>
      </w:r>
    </w:p>
    <w:p w14:paraId="75312491" w14:textId="77777777" w:rsidR="00D85B49" w:rsidRPr="00D85B49" w:rsidRDefault="00D85B49" w:rsidP="00D85B49">
      <w:pPr>
        <w:spacing w:before="100" w:beforeAutospacing="1" w:after="100" w:afterAutospacing="1" w:line="288" w:lineRule="atLeast"/>
        <w:rPr>
          <w:rFonts w:ascii="Times New Roman" w:eastAsia="Times New Roman" w:hAnsi="Times New Roman" w:cs="Times New Roman"/>
          <w:bCs/>
          <w:sz w:val="24"/>
          <w:szCs w:val="24"/>
        </w:rPr>
      </w:pPr>
      <w:r w:rsidRPr="00D85B49">
        <w:rPr>
          <w:rFonts w:ascii="Times New Roman" w:eastAsia="Times New Roman" w:hAnsi="Times New Roman" w:cs="Times New Roman"/>
          <w:bCs/>
          <w:sz w:val="24"/>
          <w:szCs w:val="24"/>
        </w:rPr>
        <w:t xml:space="preserve">The MHS views the Patient Centered Medical Home as a transformative effort within our system, with the potential to positively affect all aspects of our strategic focus—readiness, population health, patient experience and per member cost. With 655,000 patients enrolled to date, the results have been very promising – improved preventive service compliance, reduced use of the emergency room, and more timely care. </w:t>
      </w:r>
    </w:p>
    <w:p w14:paraId="7954C117" w14:textId="77777777" w:rsidR="00D85B49" w:rsidRPr="00D85B49" w:rsidRDefault="00D85B49" w:rsidP="00D85B49">
      <w:pPr>
        <w:spacing w:after="0" w:line="240" w:lineRule="auto"/>
        <w:ind w:right="-180"/>
        <w:rPr>
          <w:rFonts w:ascii="Times New Roman" w:eastAsia="Times New Roman" w:hAnsi="Times New Roman" w:cs="Times New Roman"/>
          <w:bCs/>
          <w:color w:val="000000"/>
          <w:sz w:val="24"/>
          <w:szCs w:val="26"/>
        </w:rPr>
      </w:pPr>
      <w:r w:rsidRPr="00D85B49">
        <w:rPr>
          <w:rFonts w:ascii="Times New Roman" w:eastAsia="Times New Roman" w:hAnsi="Times New Roman" w:cs="Times New Roman"/>
          <w:bCs/>
          <w:color w:val="000000"/>
          <w:sz w:val="24"/>
          <w:szCs w:val="26"/>
        </w:rPr>
        <w:t xml:space="preserve">As the MHS significantly invests in this primary care transformation, there is mixed evidence as to the impact on primary care staff. Some critics say it has a positive effect and others view the change as potentially negative due to risks of staff burnout. In 2010, MHS leadership requested that a trend measure of Primary Care Staff Satisfaction be added as a Performance Measure. The PCMH Advisory Board representatives agreed that a biannual census study allows tracking at individual clinic level to monitor change over time. The study is currently limited to only Active duty military and federally employed GS staff impacted by MHS’ transition to Patient-Centered Medical Home </w:t>
      </w:r>
      <w:r w:rsidRPr="00D85B49">
        <w:rPr>
          <w:rFonts w:ascii="Times New Roman" w:eastAsia="Times New Roman" w:hAnsi="Times New Roman" w:cs="Times New Roman"/>
          <w:bCs/>
          <w:sz w:val="24"/>
          <w:szCs w:val="24"/>
        </w:rPr>
        <w:t>to identify strengths and areas for improvement.</w:t>
      </w:r>
      <w:r w:rsidRPr="00D85B49">
        <w:rPr>
          <w:rFonts w:ascii="Times New Roman" w:eastAsia="Times New Roman" w:hAnsi="Times New Roman" w:cs="Times New Roman"/>
          <w:bCs/>
          <w:color w:val="000000"/>
          <w:sz w:val="24"/>
          <w:szCs w:val="26"/>
        </w:rPr>
        <w:t xml:space="preserve"> However, MHS currently does not have a mechanism in place to understand the impact of this change and how it affects the contractor personnel assigned to a PCMH Military Treatment Facility (MTF). </w:t>
      </w:r>
    </w:p>
    <w:p w14:paraId="43807748" w14:textId="77777777" w:rsidR="00D85B49" w:rsidRPr="00D85B49" w:rsidRDefault="00D85B49" w:rsidP="00D85B49">
      <w:pPr>
        <w:spacing w:before="100" w:beforeAutospacing="1" w:after="100" w:afterAutospacing="1" w:line="288" w:lineRule="atLeast"/>
        <w:rPr>
          <w:rFonts w:ascii="Times New Roman" w:eastAsia="Times New Roman" w:hAnsi="Times New Roman" w:cs="Times New Roman"/>
          <w:bCs/>
          <w:sz w:val="24"/>
          <w:szCs w:val="24"/>
        </w:rPr>
      </w:pPr>
      <w:r w:rsidRPr="00D85B49">
        <w:rPr>
          <w:rFonts w:ascii="Times New Roman" w:eastAsia="Times New Roman" w:hAnsi="Times New Roman" w:cs="Times New Roman"/>
          <w:sz w:val="24"/>
          <w:szCs w:val="24"/>
        </w:rPr>
        <w:t>With the addition of surveying contract personnel, the perceived impacts and effectiveness of the PCMH model on the quality of health of service members will be examined from all staff perspectives.  Furthermore, the similarities and differences between perceptions of active duty Military, Federally employed GS staff, and contractor personnel on PCMH effectiveness can finally be evaluated.  Understanding the impact of PCMH model from all stakeholders’ perspectives is a critical step in developing an effective treatment model that will maintain and improve the well-being of service members and their families.</w:t>
      </w:r>
      <w:r w:rsidRPr="00D85B49">
        <w:rPr>
          <w:rFonts w:ascii="Times New Roman" w:eastAsia="Times New Roman" w:hAnsi="Times New Roman" w:cs="Times New Roman"/>
          <w:bCs/>
          <w:sz w:val="24"/>
          <w:szCs w:val="24"/>
        </w:rPr>
        <w:t xml:space="preserve"> By fielding a survey including the PCMH contractor personnel, the MHS will be able to monitor our investment in PCMH and study how it affects all relevant staff.</w:t>
      </w:r>
    </w:p>
    <w:p w14:paraId="326CDC99" w14:textId="77777777" w:rsidR="00D85B49" w:rsidRPr="00D85B49" w:rsidRDefault="00D85B49" w:rsidP="00D85B49">
      <w:pPr>
        <w:spacing w:before="100" w:beforeAutospacing="1" w:after="100" w:afterAutospacing="1" w:line="288" w:lineRule="atLeast"/>
        <w:ind w:firstLine="900"/>
        <w:rPr>
          <w:rFonts w:ascii="Times New Roman" w:eastAsia="Times New Roman" w:hAnsi="Times New Roman" w:cs="Times New Roman"/>
          <w:sz w:val="24"/>
          <w:szCs w:val="24"/>
        </w:rPr>
      </w:pPr>
      <w:r w:rsidRPr="00D85B49">
        <w:rPr>
          <w:rFonts w:ascii="Times New Roman" w:eastAsia="Times New Roman" w:hAnsi="Times New Roman" w:cs="Times New Roman"/>
          <w:sz w:val="24"/>
          <w:szCs w:val="24"/>
        </w:rPr>
        <w:t xml:space="preserve">2.  </w:t>
      </w:r>
      <w:r w:rsidRPr="00D85B49">
        <w:rPr>
          <w:rFonts w:ascii="Times New Roman" w:eastAsia="Times New Roman" w:hAnsi="Times New Roman" w:cs="Times New Roman"/>
          <w:sz w:val="24"/>
          <w:szCs w:val="24"/>
          <w:u w:val="single"/>
        </w:rPr>
        <w:t>Use of the Information</w:t>
      </w:r>
    </w:p>
    <w:p w14:paraId="1557B273" w14:textId="77777777" w:rsidR="00D85B49" w:rsidRPr="00D85B49" w:rsidRDefault="00D85B49" w:rsidP="00D85B49">
      <w:pPr>
        <w:spacing w:before="100" w:beforeAutospacing="1" w:after="100" w:afterAutospacing="1" w:line="288" w:lineRule="atLeast"/>
        <w:rPr>
          <w:rFonts w:ascii="Times New Roman" w:eastAsia="Times New Roman" w:hAnsi="Times New Roman" w:cs="Times New Roman"/>
          <w:sz w:val="24"/>
          <w:szCs w:val="24"/>
        </w:rPr>
      </w:pPr>
      <w:r w:rsidRPr="00D85B49">
        <w:rPr>
          <w:rFonts w:ascii="Times New Roman" w:eastAsia="Times New Roman" w:hAnsi="Times New Roman" w:cs="Times New Roman"/>
          <w:sz w:val="24"/>
          <w:szCs w:val="24"/>
        </w:rPr>
        <w:lastRenderedPageBreak/>
        <w:t>This data collection will help to meet the objectives of the MHS-mandated study, and additional Patient Centered Medical Home management goals, by using information collected from PCMH staff satisfaction survey to:</w:t>
      </w:r>
    </w:p>
    <w:p w14:paraId="6065A996" w14:textId="77777777" w:rsidR="00D85B49" w:rsidRPr="00D85B49" w:rsidRDefault="00D85B49" w:rsidP="00D85B49">
      <w:pPr>
        <w:spacing w:before="100" w:beforeAutospacing="1" w:after="100" w:afterAutospacing="1" w:line="288" w:lineRule="atLeast"/>
        <w:ind w:firstLine="1260"/>
        <w:rPr>
          <w:rFonts w:ascii="Times New Roman" w:eastAsia="Times New Roman" w:hAnsi="Times New Roman" w:cs="Times New Roman"/>
          <w:sz w:val="24"/>
          <w:szCs w:val="24"/>
        </w:rPr>
      </w:pPr>
      <w:r w:rsidRPr="00D85B49">
        <w:rPr>
          <w:rFonts w:ascii="Times New Roman" w:eastAsia="Times New Roman" w:hAnsi="Times New Roman" w:cs="Times New Roman"/>
          <w:sz w:val="24"/>
          <w:szCs w:val="24"/>
        </w:rPr>
        <w:t>1.</w:t>
      </w:r>
      <w:r w:rsidRPr="00D85B49">
        <w:rPr>
          <w:rFonts w:ascii="Times New Roman" w:eastAsia="Times New Roman" w:hAnsi="Times New Roman" w:cs="Times New Roman"/>
          <w:sz w:val="24"/>
          <w:szCs w:val="24"/>
        </w:rPr>
        <w:tab/>
        <w:t>Study the Patient Centered Medical Home model to develop metrics for properly evaluating the effectiveness of a Medical Home with respect to satisfaction, access, quality, utilization, and clinical practices.</w:t>
      </w:r>
    </w:p>
    <w:p w14:paraId="3727C818" w14:textId="77777777" w:rsidR="00D85B49" w:rsidRPr="00D85B49" w:rsidRDefault="00D85B49" w:rsidP="00D85B49">
      <w:pPr>
        <w:spacing w:before="100" w:beforeAutospacing="1" w:after="100" w:afterAutospacing="1" w:line="288" w:lineRule="atLeast"/>
        <w:ind w:firstLine="1260"/>
        <w:rPr>
          <w:rFonts w:ascii="Times New Roman" w:eastAsia="Times New Roman" w:hAnsi="Times New Roman" w:cs="Times New Roman"/>
          <w:sz w:val="24"/>
          <w:szCs w:val="24"/>
        </w:rPr>
      </w:pPr>
      <w:r w:rsidRPr="00D85B49">
        <w:rPr>
          <w:rFonts w:ascii="Times New Roman" w:eastAsia="Times New Roman" w:hAnsi="Times New Roman" w:cs="Times New Roman"/>
          <w:sz w:val="24"/>
          <w:szCs w:val="24"/>
        </w:rPr>
        <w:t>2.</w:t>
      </w:r>
      <w:r w:rsidRPr="00D85B49">
        <w:rPr>
          <w:rFonts w:ascii="Times New Roman" w:eastAsia="Times New Roman" w:hAnsi="Times New Roman" w:cs="Times New Roman"/>
          <w:sz w:val="24"/>
          <w:szCs w:val="24"/>
        </w:rPr>
        <w:tab/>
        <w:t xml:space="preserve">Measure satisfaction among staff at direct care military treatment facilities (MTFs) that have been identified as current or potential future PCMHs. </w:t>
      </w:r>
    </w:p>
    <w:p w14:paraId="0C340A14" w14:textId="77777777" w:rsidR="00D85B49" w:rsidRPr="00D85B49" w:rsidRDefault="00D85B49" w:rsidP="00D85B49">
      <w:pPr>
        <w:spacing w:before="100" w:beforeAutospacing="1" w:after="100" w:afterAutospacing="1" w:line="288" w:lineRule="atLeast"/>
        <w:ind w:firstLine="1260"/>
        <w:rPr>
          <w:rFonts w:ascii="Times New Roman" w:eastAsia="Times New Roman" w:hAnsi="Times New Roman" w:cs="Times New Roman"/>
          <w:sz w:val="24"/>
          <w:szCs w:val="24"/>
        </w:rPr>
      </w:pPr>
      <w:r w:rsidRPr="00D85B49">
        <w:rPr>
          <w:rFonts w:ascii="Times New Roman" w:eastAsia="Times New Roman" w:hAnsi="Times New Roman" w:cs="Times New Roman"/>
          <w:sz w:val="24"/>
          <w:szCs w:val="24"/>
        </w:rPr>
        <w:t>3.</w:t>
      </w:r>
      <w:r w:rsidRPr="00D85B49">
        <w:rPr>
          <w:rFonts w:ascii="Times New Roman" w:eastAsia="Times New Roman" w:hAnsi="Times New Roman" w:cs="Times New Roman"/>
          <w:sz w:val="24"/>
          <w:szCs w:val="24"/>
        </w:rPr>
        <w:tab/>
        <w:t>Determine staff members’ perceptions of what PCMH processes are or are not working well at the clinic. It will also evaluate perceptions of teamwork among staff at the clinic, the overall clinic environment, and what available resources are assisting them in their provision of quality patient centered care.</w:t>
      </w:r>
    </w:p>
    <w:p w14:paraId="43734E13" w14:textId="77777777" w:rsidR="00D85B49" w:rsidRPr="00D85B49" w:rsidRDefault="00D85B49" w:rsidP="00D85B49">
      <w:pPr>
        <w:spacing w:after="0" w:line="240" w:lineRule="auto"/>
        <w:rPr>
          <w:rFonts w:ascii="Times New Roman" w:eastAsia="Times New Roman" w:hAnsi="Times New Roman" w:cs="Times New Roman"/>
          <w:sz w:val="24"/>
          <w:szCs w:val="24"/>
        </w:rPr>
      </w:pPr>
      <w:r w:rsidRPr="00D85B49">
        <w:rPr>
          <w:rFonts w:ascii="Times New Roman" w:eastAsia="Times New Roman" w:hAnsi="Times New Roman" w:cs="Times New Roman"/>
          <w:sz w:val="24"/>
          <w:szCs w:val="24"/>
        </w:rPr>
        <w:t xml:space="preserve">As noted in the response to item A1, the information collected by the PCMH Staff Satisfaction survey will be used by MHS Leadership and the PCMH Advisory Board to understanding the factors that may be associated with the </w:t>
      </w:r>
      <w:r w:rsidRPr="00D85B49">
        <w:rPr>
          <w:rFonts w:ascii="Times New Roman" w:eastAsia="Times New Roman" w:hAnsi="Times New Roman" w:cs="Times New Roman"/>
          <w:color w:val="000000"/>
          <w:sz w:val="24"/>
          <w:szCs w:val="24"/>
        </w:rPr>
        <w:t xml:space="preserve">effectiveness of a Medical Home with respect to satisfaction, access, quality, utilization, and clinical practices. </w:t>
      </w:r>
      <w:r w:rsidRPr="00D85B49">
        <w:rPr>
          <w:rFonts w:ascii="Times New Roman" w:eastAsia="Times New Roman" w:hAnsi="Times New Roman" w:cs="Times New Roman"/>
          <w:sz w:val="24"/>
          <w:szCs w:val="24"/>
        </w:rPr>
        <w:t xml:space="preserve">Specifically the information will be used by the Assistant Secretary of Defense for Health Affairs, MHS Office of the Chief Medical Officer (OCMH), the PCMH Advisory Board, the Military Health Service Branches (Army, Navy, Air Force, JTF CAPMED), as well as Clinical Directors of MHS Military Treatment Facilities (MTFs). </w:t>
      </w:r>
    </w:p>
    <w:p w14:paraId="3986FA35" w14:textId="77777777" w:rsidR="00D85B49" w:rsidRPr="00D85B49" w:rsidRDefault="00D85B49" w:rsidP="00D85B49">
      <w:pPr>
        <w:spacing w:before="100" w:beforeAutospacing="1" w:after="100" w:afterAutospacing="1" w:line="288" w:lineRule="atLeast"/>
        <w:ind w:firstLine="900"/>
        <w:rPr>
          <w:rFonts w:ascii="Times New Roman" w:eastAsia="Times New Roman" w:hAnsi="Times New Roman" w:cs="Times New Roman"/>
          <w:sz w:val="24"/>
          <w:szCs w:val="24"/>
        </w:rPr>
      </w:pPr>
      <w:r w:rsidRPr="00D85B49">
        <w:rPr>
          <w:rFonts w:ascii="Times New Roman" w:eastAsia="Times New Roman" w:hAnsi="Times New Roman" w:cs="Times New Roman"/>
          <w:sz w:val="24"/>
          <w:szCs w:val="24"/>
        </w:rPr>
        <w:t xml:space="preserve">3.  </w:t>
      </w:r>
      <w:r w:rsidRPr="00D85B49">
        <w:rPr>
          <w:rFonts w:ascii="Times New Roman" w:eastAsia="Times New Roman" w:hAnsi="Times New Roman" w:cs="Times New Roman"/>
          <w:sz w:val="24"/>
          <w:szCs w:val="24"/>
          <w:u w:val="single"/>
        </w:rPr>
        <w:t>Use of Information Technology</w:t>
      </w:r>
    </w:p>
    <w:p w14:paraId="0A398BCA" w14:textId="693EE75B" w:rsidR="00D85B49" w:rsidRPr="00D85B49" w:rsidRDefault="00D85B49" w:rsidP="00D85B49">
      <w:pPr>
        <w:spacing w:before="100" w:beforeAutospacing="1" w:after="100" w:afterAutospacing="1" w:line="288" w:lineRule="atLeast"/>
        <w:ind w:firstLine="1260"/>
        <w:rPr>
          <w:rFonts w:ascii="Times New Roman" w:eastAsia="Times New Roman" w:hAnsi="Times New Roman" w:cs="Times New Roman"/>
          <w:iCs/>
          <w:sz w:val="24"/>
          <w:szCs w:val="24"/>
        </w:rPr>
      </w:pPr>
      <w:r w:rsidRPr="00D85B49">
        <w:rPr>
          <w:rFonts w:ascii="Times New Roman" w:eastAsia="Times New Roman" w:hAnsi="Times New Roman" w:cs="Times New Roman"/>
          <w:iCs/>
          <w:sz w:val="24"/>
          <w:szCs w:val="24"/>
        </w:rPr>
        <w:t xml:space="preserve">The survey will be administered as a web-based survey and the PCMH investigators will use a contractor, Deloitte Consulting, LLC to manage the online data collection and development of the Staff Satisfaction survey web interface. Deloitte has extensive experience conducting surveys with comparable military populations (e.g., the TRICARE Patient Safety Survey, TRICARE Ambulatory Surgical Care survey). Utilizing the MHS Military Service Branch PCMH points of contacts at each MTF, Deloitte will provide an anonymous survey </w:t>
      </w:r>
      <w:proofErr w:type="spellStart"/>
      <w:proofErr w:type="gramStart"/>
      <w:r w:rsidRPr="00D85B49">
        <w:rPr>
          <w:rFonts w:ascii="Times New Roman" w:eastAsia="Times New Roman" w:hAnsi="Times New Roman" w:cs="Times New Roman"/>
          <w:iCs/>
          <w:sz w:val="24"/>
          <w:szCs w:val="24"/>
        </w:rPr>
        <w:t>url</w:t>
      </w:r>
      <w:proofErr w:type="spellEnd"/>
      <w:proofErr w:type="gramEnd"/>
      <w:r w:rsidRPr="00D85B49">
        <w:rPr>
          <w:rFonts w:ascii="Times New Roman" w:eastAsia="Times New Roman" w:hAnsi="Times New Roman" w:cs="Times New Roman"/>
          <w:iCs/>
          <w:sz w:val="24"/>
          <w:szCs w:val="24"/>
        </w:rPr>
        <w:t xml:space="preserve"> which the points of contact will distribute via email to all active duty military, federally employed GS Staff and contractor personnel at the MTFs.  Each email will be digitally signed and include a </w:t>
      </w:r>
      <w:proofErr w:type="spellStart"/>
      <w:proofErr w:type="gramStart"/>
      <w:r w:rsidRPr="00D85B49">
        <w:rPr>
          <w:rFonts w:ascii="Times New Roman" w:eastAsia="Times New Roman" w:hAnsi="Times New Roman" w:cs="Times New Roman"/>
          <w:iCs/>
          <w:sz w:val="24"/>
          <w:szCs w:val="24"/>
        </w:rPr>
        <w:t>url</w:t>
      </w:r>
      <w:proofErr w:type="spellEnd"/>
      <w:proofErr w:type="gramEnd"/>
      <w:r w:rsidRPr="00D85B49">
        <w:rPr>
          <w:rFonts w:ascii="Times New Roman" w:eastAsia="Times New Roman" w:hAnsi="Times New Roman" w:cs="Times New Roman"/>
          <w:iCs/>
          <w:sz w:val="24"/>
          <w:szCs w:val="24"/>
        </w:rPr>
        <w:t xml:space="preserve"> to the web-based survey and provide a text explanation of the study to help encourage staff to participate. The respondents will be able to complete the survey </w:t>
      </w:r>
      <w:r w:rsidR="001622D9">
        <w:rPr>
          <w:rFonts w:ascii="Times New Roman" w:eastAsia="Times New Roman" w:hAnsi="Times New Roman" w:cs="Times New Roman"/>
          <w:iCs/>
          <w:sz w:val="24"/>
          <w:szCs w:val="24"/>
        </w:rPr>
        <w:t xml:space="preserve">during working hours </w:t>
      </w:r>
      <w:r w:rsidRPr="00D85B49">
        <w:rPr>
          <w:rFonts w:ascii="Times New Roman" w:eastAsia="Times New Roman" w:hAnsi="Times New Roman" w:cs="Times New Roman"/>
          <w:iCs/>
          <w:sz w:val="24"/>
          <w:szCs w:val="24"/>
        </w:rPr>
        <w:t>using their government-issued computer at their MTF workplace</w:t>
      </w:r>
      <w:r w:rsidR="007B50DD">
        <w:rPr>
          <w:rFonts w:ascii="Times New Roman" w:eastAsia="Times New Roman" w:hAnsi="Times New Roman" w:cs="Times New Roman"/>
          <w:iCs/>
          <w:sz w:val="24"/>
          <w:szCs w:val="24"/>
        </w:rPr>
        <w:t xml:space="preserve">, </w:t>
      </w:r>
      <w:r w:rsidR="001622D9">
        <w:rPr>
          <w:rFonts w:ascii="Times New Roman" w:eastAsia="Times New Roman" w:hAnsi="Times New Roman" w:cs="Times New Roman"/>
          <w:iCs/>
          <w:sz w:val="24"/>
          <w:szCs w:val="24"/>
        </w:rPr>
        <w:t xml:space="preserve">or </w:t>
      </w:r>
      <w:r w:rsidR="007B50DD">
        <w:rPr>
          <w:rFonts w:ascii="Times New Roman" w:eastAsia="Times New Roman" w:hAnsi="Times New Roman" w:cs="Times New Roman"/>
          <w:iCs/>
          <w:sz w:val="24"/>
          <w:szCs w:val="24"/>
        </w:rPr>
        <w:t>outside of their work</w:t>
      </w:r>
      <w:r w:rsidR="001622D9">
        <w:rPr>
          <w:rFonts w:ascii="Times New Roman" w:eastAsia="Times New Roman" w:hAnsi="Times New Roman" w:cs="Times New Roman"/>
          <w:iCs/>
          <w:sz w:val="24"/>
          <w:szCs w:val="24"/>
        </w:rPr>
        <w:t>ing hours</w:t>
      </w:r>
      <w:r w:rsidR="007B50DD">
        <w:rPr>
          <w:rFonts w:ascii="Times New Roman" w:eastAsia="Times New Roman" w:hAnsi="Times New Roman" w:cs="Times New Roman"/>
          <w:iCs/>
          <w:sz w:val="24"/>
          <w:szCs w:val="24"/>
        </w:rPr>
        <w:t xml:space="preserve"> on a personal computer</w:t>
      </w:r>
      <w:r w:rsidRPr="00D85B49">
        <w:rPr>
          <w:rFonts w:ascii="Times New Roman" w:eastAsia="Times New Roman" w:hAnsi="Times New Roman" w:cs="Times New Roman"/>
          <w:iCs/>
          <w:sz w:val="24"/>
          <w:szCs w:val="24"/>
        </w:rPr>
        <w:t>. All responses will be kept</w:t>
      </w:r>
      <w:r w:rsidR="007B50DD">
        <w:rPr>
          <w:rFonts w:ascii="Times New Roman" w:eastAsia="Times New Roman" w:hAnsi="Times New Roman" w:cs="Times New Roman"/>
          <w:iCs/>
          <w:sz w:val="24"/>
          <w:szCs w:val="24"/>
        </w:rPr>
        <w:t xml:space="preserve"> private to the extent permitted by law.</w:t>
      </w:r>
      <w:r w:rsidRPr="00D85B49">
        <w:rPr>
          <w:rFonts w:ascii="Times New Roman" w:eastAsia="Times New Roman" w:hAnsi="Times New Roman" w:cs="Times New Roman"/>
          <w:iCs/>
          <w:sz w:val="24"/>
          <w:szCs w:val="24"/>
        </w:rPr>
        <w:t xml:space="preserve"> </w:t>
      </w:r>
      <w:r w:rsidRPr="00D85B49">
        <w:rPr>
          <w:rFonts w:ascii="Times New Roman" w:eastAsia="Times New Roman" w:hAnsi="Times New Roman" w:cs="Times New Roman"/>
          <w:sz w:val="24"/>
          <w:szCs w:val="24"/>
        </w:rPr>
        <w:t xml:space="preserve">The survey will be conducted in the United States using a web-based survey. All responses will be stored on computer servers with software and hardware solutions that have a high degree of resistance </w:t>
      </w:r>
      <w:r w:rsidRPr="00D85B49">
        <w:rPr>
          <w:rFonts w:ascii="Times New Roman" w:eastAsia="Times New Roman" w:hAnsi="Times New Roman" w:cs="Times New Roman"/>
          <w:iCs/>
          <w:sz w:val="24"/>
          <w:szCs w:val="24"/>
        </w:rPr>
        <w:t>to tampering and circumvention, including both hardware and software firewalls.</w:t>
      </w:r>
    </w:p>
    <w:p w14:paraId="5CB47143" w14:textId="1433A2B4" w:rsidR="00D85B49" w:rsidRPr="00D85B49" w:rsidRDefault="00D85B49" w:rsidP="00D85B49">
      <w:pPr>
        <w:spacing w:before="100" w:beforeAutospacing="1" w:after="100" w:afterAutospacing="1" w:line="288" w:lineRule="atLeast"/>
        <w:rPr>
          <w:rFonts w:ascii="Times New Roman" w:eastAsia="Times New Roman" w:hAnsi="Times New Roman" w:cs="Times New Roman"/>
          <w:iCs/>
          <w:sz w:val="24"/>
          <w:szCs w:val="24"/>
        </w:rPr>
      </w:pPr>
      <w:r w:rsidRPr="00D85B49">
        <w:rPr>
          <w:rFonts w:ascii="Times New Roman" w:eastAsia="Times New Roman" w:hAnsi="Times New Roman" w:cs="Times New Roman"/>
          <w:iCs/>
          <w:sz w:val="24"/>
          <w:szCs w:val="24"/>
        </w:rPr>
        <w:lastRenderedPageBreak/>
        <w:t xml:space="preserve">The web-based survey application used to collect the survey data and all IT networks used to collect, store, and transmit and otherwise maintain data has been reviewed by DHA. As part of this review process, the vendor has obtained the DHA System Security Verification (SSV) from DHA for the networks that will store, transmit, process, and otherwise maintain Military Health System (MHS) data for DHA which certifies the information system has meets the requirements of DoD 8580.02-R, “DoD Health Information Security Regulation,” which implements the Health Insurance Portability and Accountability Act Security Rule and sets forth administrative, technical, and physical safeguards. Additionally, this SSV verifies that the web-based survey application and all IT networks used for this survey confirm to the safeguards outlined in DoD Directive Type Memo (DTM) 08-027, “Security of </w:t>
      </w:r>
      <w:proofErr w:type="gramStart"/>
      <w:r w:rsidRPr="00D85B49">
        <w:rPr>
          <w:rFonts w:ascii="Times New Roman" w:eastAsia="Times New Roman" w:hAnsi="Times New Roman" w:cs="Times New Roman"/>
          <w:iCs/>
          <w:sz w:val="24"/>
          <w:szCs w:val="24"/>
        </w:rPr>
        <w:t>DoD</w:t>
      </w:r>
      <w:proofErr w:type="gramEnd"/>
      <w:r w:rsidRPr="00D85B49">
        <w:rPr>
          <w:rFonts w:ascii="Times New Roman" w:eastAsia="Times New Roman" w:hAnsi="Times New Roman" w:cs="Times New Roman"/>
          <w:iCs/>
          <w:sz w:val="24"/>
          <w:szCs w:val="24"/>
        </w:rPr>
        <w:t xml:space="preserve"> Information on Non-DoD Owned or Controlled Information Systems”. The DTM establishes the policy for managing the security of DoD controlled unclassified information (CUI) processed on information systems that are not owned by or operated on behalf of DoD, and applies to the web-based survey application and all IT networks used to collect, store, and transmit and otherwise maintain data for this study.</w:t>
      </w:r>
    </w:p>
    <w:p w14:paraId="116A0FFA" w14:textId="77777777" w:rsidR="00D85B49" w:rsidRPr="00D85B49" w:rsidRDefault="00D85B49" w:rsidP="00D85B49">
      <w:pPr>
        <w:spacing w:before="100" w:beforeAutospacing="1" w:after="100" w:afterAutospacing="1" w:line="288" w:lineRule="atLeast"/>
        <w:ind w:firstLine="900"/>
        <w:rPr>
          <w:rFonts w:ascii="Times New Roman" w:eastAsia="Times New Roman" w:hAnsi="Times New Roman" w:cs="Times New Roman"/>
          <w:sz w:val="24"/>
          <w:szCs w:val="24"/>
        </w:rPr>
      </w:pPr>
      <w:r w:rsidRPr="00D85B49">
        <w:rPr>
          <w:rFonts w:ascii="Times New Roman" w:eastAsia="Times New Roman" w:hAnsi="Times New Roman" w:cs="Times New Roman"/>
          <w:sz w:val="24"/>
          <w:szCs w:val="24"/>
        </w:rPr>
        <w:t xml:space="preserve">4.  </w:t>
      </w:r>
      <w:r w:rsidRPr="00D85B49">
        <w:rPr>
          <w:rFonts w:ascii="Times New Roman" w:eastAsia="Times New Roman" w:hAnsi="Times New Roman" w:cs="Times New Roman"/>
          <w:sz w:val="24"/>
          <w:szCs w:val="24"/>
          <w:u w:val="single"/>
        </w:rPr>
        <w:t>Non-duplication</w:t>
      </w:r>
    </w:p>
    <w:p w14:paraId="2CF3AE3B" w14:textId="77777777" w:rsidR="00D85B49" w:rsidRPr="00D85B49" w:rsidRDefault="00D85B49" w:rsidP="00D85B49">
      <w:pPr>
        <w:spacing w:before="100" w:beforeAutospacing="1" w:after="100" w:afterAutospacing="1" w:line="288" w:lineRule="atLeast"/>
        <w:ind w:firstLine="1260"/>
        <w:rPr>
          <w:rFonts w:ascii="Times New Roman" w:eastAsia="Times New Roman" w:hAnsi="Times New Roman" w:cs="Times New Roman"/>
          <w:sz w:val="24"/>
          <w:szCs w:val="24"/>
        </w:rPr>
      </w:pPr>
      <w:r w:rsidRPr="00D85B49">
        <w:rPr>
          <w:rFonts w:ascii="Times New Roman" w:eastAsia="Times New Roman" w:hAnsi="Times New Roman" w:cs="Times New Roman"/>
          <w:sz w:val="24"/>
          <w:szCs w:val="24"/>
        </w:rPr>
        <w:t xml:space="preserve">In designing the survey, available information on each subject was carefully reviewed to ensure that the survey gathers information not available from existing sources.  </w:t>
      </w:r>
    </w:p>
    <w:p w14:paraId="1B6FE10E" w14:textId="77777777" w:rsidR="00D85B49" w:rsidRPr="00D85B49" w:rsidRDefault="00D85B49" w:rsidP="00D85B49">
      <w:pPr>
        <w:spacing w:before="100" w:beforeAutospacing="1" w:after="100" w:afterAutospacing="1" w:line="288" w:lineRule="atLeast"/>
        <w:ind w:firstLine="900"/>
        <w:rPr>
          <w:rFonts w:ascii="Times New Roman" w:eastAsia="Times New Roman" w:hAnsi="Times New Roman" w:cs="Times New Roman"/>
          <w:sz w:val="24"/>
          <w:szCs w:val="24"/>
        </w:rPr>
      </w:pPr>
      <w:bookmarkStart w:id="3" w:name="cp440"/>
      <w:r w:rsidRPr="00D85B49">
        <w:rPr>
          <w:rFonts w:ascii="Times New Roman" w:eastAsia="Times New Roman" w:hAnsi="Times New Roman" w:cs="Times New Roman"/>
          <w:sz w:val="24"/>
          <w:szCs w:val="24"/>
        </w:rPr>
        <w:t xml:space="preserve">5.  </w:t>
      </w:r>
      <w:r w:rsidRPr="00D85B49">
        <w:rPr>
          <w:rFonts w:ascii="Times New Roman" w:eastAsia="Times New Roman" w:hAnsi="Times New Roman" w:cs="Times New Roman"/>
          <w:sz w:val="24"/>
          <w:szCs w:val="24"/>
          <w:u w:val="single"/>
        </w:rPr>
        <w:t>Burden on Small Business</w:t>
      </w:r>
    </w:p>
    <w:p w14:paraId="2E19A4D6" w14:textId="77777777" w:rsidR="00D85B49" w:rsidRPr="00D85B49" w:rsidRDefault="00D85B49" w:rsidP="00D85B49">
      <w:pPr>
        <w:spacing w:before="100" w:beforeAutospacing="1" w:after="100" w:afterAutospacing="1" w:line="288" w:lineRule="atLeast"/>
        <w:ind w:firstLine="1260"/>
        <w:rPr>
          <w:rFonts w:ascii="Times New Roman" w:eastAsia="Times New Roman" w:hAnsi="Times New Roman" w:cs="Times New Roman"/>
          <w:sz w:val="24"/>
          <w:szCs w:val="24"/>
        </w:rPr>
      </w:pPr>
      <w:bookmarkStart w:id="4" w:name="cp441"/>
      <w:bookmarkEnd w:id="3"/>
      <w:r w:rsidRPr="00D85B49">
        <w:rPr>
          <w:rFonts w:ascii="Times New Roman" w:eastAsia="Times New Roman" w:hAnsi="Times New Roman" w:cs="Times New Roman"/>
          <w:sz w:val="24"/>
          <w:szCs w:val="24"/>
        </w:rPr>
        <w:t xml:space="preserve">No small businesses or other small entities are involved as respondents in the proposed data collection effort.  Respondents to this data collection are active duty military, federally employed GS staff or contractor personnel assigned to a MTF.  Efforts have been made to minimize response burden on respondents through careful design of the data collection strategy and efficient construction of the data collection instrument. </w:t>
      </w:r>
    </w:p>
    <w:bookmarkEnd w:id="4"/>
    <w:p w14:paraId="28D57BE9" w14:textId="77777777" w:rsidR="00D85B49" w:rsidRPr="00D85B49" w:rsidRDefault="00D85B49" w:rsidP="00D85B49">
      <w:pPr>
        <w:spacing w:before="100" w:beforeAutospacing="1" w:after="100" w:afterAutospacing="1" w:line="288" w:lineRule="atLeast"/>
        <w:ind w:firstLine="900"/>
        <w:rPr>
          <w:rFonts w:ascii="Times New Roman" w:eastAsia="Times New Roman" w:hAnsi="Times New Roman" w:cs="Times New Roman"/>
          <w:sz w:val="24"/>
          <w:szCs w:val="24"/>
        </w:rPr>
      </w:pPr>
      <w:r w:rsidRPr="00D85B49">
        <w:rPr>
          <w:rFonts w:ascii="Times New Roman" w:eastAsia="Times New Roman" w:hAnsi="Times New Roman" w:cs="Times New Roman"/>
          <w:sz w:val="24"/>
          <w:szCs w:val="24"/>
        </w:rPr>
        <w:t xml:space="preserve">6.  </w:t>
      </w:r>
      <w:r w:rsidRPr="00D85B49">
        <w:rPr>
          <w:rFonts w:ascii="Times New Roman" w:eastAsia="Times New Roman" w:hAnsi="Times New Roman" w:cs="Times New Roman"/>
          <w:sz w:val="24"/>
          <w:szCs w:val="24"/>
          <w:u w:val="single"/>
        </w:rPr>
        <w:t>Less Frequent Collection</w:t>
      </w:r>
    </w:p>
    <w:p w14:paraId="20FF6F24" w14:textId="6AD70267" w:rsidR="00D85B49" w:rsidRPr="00D85B49" w:rsidRDefault="00D85B49" w:rsidP="00D85B49">
      <w:pPr>
        <w:spacing w:before="100" w:beforeAutospacing="1" w:after="100" w:afterAutospacing="1" w:line="288" w:lineRule="atLeast"/>
        <w:rPr>
          <w:rFonts w:ascii="Times New Roman" w:eastAsia="Times New Roman" w:hAnsi="Times New Roman" w:cs="Times New Roman"/>
          <w:sz w:val="24"/>
          <w:szCs w:val="24"/>
        </w:rPr>
      </w:pPr>
      <w:r w:rsidRPr="00D85B49">
        <w:rPr>
          <w:rFonts w:ascii="Times New Roman" w:eastAsia="Times New Roman" w:hAnsi="Times New Roman" w:cs="Times New Roman"/>
          <w:sz w:val="24"/>
          <w:szCs w:val="24"/>
        </w:rPr>
        <w:t xml:space="preserve">The questionnaire has been previously administered to active duty military and federal employed GS staff at each MTF, for the purposes of tracking effects of the PCMH model over the twelve month period of study.  Having this information gathered less frequently from the contractor personnel at the same MTFs would result in less informative data and would prohibit the same trending analysis that has enabled MHS to evaluate the PCMH effectiveness. Also, conducting the tracking survey </w:t>
      </w:r>
      <w:r w:rsidRPr="001622D9">
        <w:rPr>
          <w:rFonts w:ascii="Times New Roman" w:eastAsia="Times New Roman" w:hAnsi="Times New Roman" w:cs="Times New Roman"/>
          <w:sz w:val="24"/>
          <w:szCs w:val="24"/>
        </w:rPr>
        <w:t xml:space="preserve">less frequently </w:t>
      </w:r>
      <w:r w:rsidRPr="00D85B49">
        <w:rPr>
          <w:rFonts w:ascii="Times New Roman" w:eastAsia="Times New Roman" w:hAnsi="Times New Roman" w:cs="Times New Roman"/>
          <w:sz w:val="24"/>
          <w:szCs w:val="24"/>
        </w:rPr>
        <w:t xml:space="preserve">would increase the chance that for some active duty military staff on military rotation or contractors on short contracts may not be included in the survey population and TMA would not be able to obtain a complete record of the personnel affected by the PCMH model.  </w:t>
      </w:r>
    </w:p>
    <w:p w14:paraId="02577539" w14:textId="77777777" w:rsidR="00D85B49" w:rsidRPr="00D85B49" w:rsidRDefault="00D85B49" w:rsidP="00D85B49">
      <w:pPr>
        <w:spacing w:before="100" w:beforeAutospacing="1" w:after="100" w:afterAutospacing="1" w:line="288" w:lineRule="atLeast"/>
        <w:ind w:firstLine="900"/>
        <w:rPr>
          <w:rFonts w:ascii="Times New Roman" w:eastAsia="Times New Roman" w:hAnsi="Times New Roman" w:cs="Times New Roman"/>
          <w:sz w:val="24"/>
          <w:szCs w:val="24"/>
        </w:rPr>
      </w:pPr>
      <w:bookmarkStart w:id="5" w:name="cp444"/>
      <w:r w:rsidRPr="00D85B49">
        <w:rPr>
          <w:rFonts w:ascii="Times New Roman" w:eastAsia="Times New Roman" w:hAnsi="Times New Roman" w:cs="Times New Roman"/>
          <w:sz w:val="24"/>
          <w:szCs w:val="24"/>
        </w:rPr>
        <w:t xml:space="preserve">7.  </w:t>
      </w:r>
      <w:r w:rsidRPr="00D85B49">
        <w:rPr>
          <w:rFonts w:ascii="Times New Roman" w:eastAsia="Times New Roman" w:hAnsi="Times New Roman" w:cs="Times New Roman"/>
          <w:sz w:val="24"/>
          <w:szCs w:val="24"/>
          <w:u w:val="single"/>
        </w:rPr>
        <w:t>Paperwork Reduction Act Guidelines</w:t>
      </w:r>
    </w:p>
    <w:p w14:paraId="7038C792" w14:textId="77777777" w:rsidR="00D85B49" w:rsidRPr="00D85B49" w:rsidRDefault="00D85B49" w:rsidP="00D85B49">
      <w:pPr>
        <w:spacing w:before="100" w:beforeAutospacing="1" w:after="100" w:afterAutospacing="1" w:line="288" w:lineRule="atLeast"/>
        <w:ind w:firstLine="1260"/>
        <w:rPr>
          <w:rFonts w:ascii="Times New Roman" w:eastAsia="Times New Roman" w:hAnsi="Times New Roman" w:cs="Times New Roman"/>
          <w:sz w:val="24"/>
          <w:szCs w:val="24"/>
        </w:rPr>
      </w:pPr>
      <w:bookmarkStart w:id="6" w:name="cp445"/>
      <w:bookmarkEnd w:id="5"/>
      <w:r w:rsidRPr="00D85B49">
        <w:rPr>
          <w:rFonts w:ascii="Times New Roman" w:eastAsia="Times New Roman" w:hAnsi="Times New Roman" w:cs="Times New Roman"/>
          <w:sz w:val="24"/>
          <w:szCs w:val="24"/>
        </w:rPr>
        <w:t>No special circumstances apply which would require the data collection to be conducted in a manner inconsistent with Paperwork Reduction Act guidelines.</w:t>
      </w:r>
    </w:p>
    <w:p w14:paraId="4D4D3143" w14:textId="77777777" w:rsidR="00D85B49" w:rsidRPr="00D85B49" w:rsidRDefault="00D85B49" w:rsidP="00D85B49">
      <w:pPr>
        <w:spacing w:before="100" w:beforeAutospacing="1" w:after="100" w:afterAutospacing="1" w:line="288" w:lineRule="atLeast"/>
        <w:ind w:firstLine="900"/>
        <w:rPr>
          <w:rFonts w:ascii="Times New Roman" w:eastAsia="Times New Roman" w:hAnsi="Times New Roman" w:cs="Times New Roman"/>
          <w:sz w:val="24"/>
          <w:szCs w:val="24"/>
        </w:rPr>
      </w:pPr>
      <w:bookmarkStart w:id="7" w:name="cp446"/>
      <w:bookmarkEnd w:id="6"/>
      <w:r w:rsidRPr="00D85B49">
        <w:rPr>
          <w:rFonts w:ascii="Times New Roman" w:eastAsia="Times New Roman" w:hAnsi="Times New Roman" w:cs="Times New Roman"/>
          <w:sz w:val="24"/>
          <w:szCs w:val="24"/>
        </w:rPr>
        <w:lastRenderedPageBreak/>
        <w:t xml:space="preserve">8.  </w:t>
      </w:r>
      <w:r w:rsidRPr="00D85B49">
        <w:rPr>
          <w:rFonts w:ascii="Times New Roman" w:eastAsia="Times New Roman" w:hAnsi="Times New Roman" w:cs="Times New Roman"/>
          <w:sz w:val="24"/>
          <w:szCs w:val="24"/>
          <w:u w:val="single"/>
        </w:rPr>
        <w:t>Consultation and Public Comments</w:t>
      </w:r>
    </w:p>
    <w:p w14:paraId="2567C69C" w14:textId="77777777" w:rsidR="00D85B49" w:rsidRPr="00D85B49" w:rsidRDefault="00D85B49" w:rsidP="00D85B49">
      <w:pPr>
        <w:spacing w:before="100" w:beforeAutospacing="1" w:after="100" w:afterAutospacing="1" w:line="288" w:lineRule="atLeast"/>
        <w:ind w:firstLine="1260"/>
        <w:rPr>
          <w:rFonts w:ascii="Times New Roman" w:eastAsia="Times New Roman" w:hAnsi="Times New Roman" w:cs="Times New Roman"/>
          <w:color w:val="0070C0"/>
          <w:sz w:val="24"/>
          <w:szCs w:val="24"/>
        </w:rPr>
      </w:pPr>
      <w:bookmarkStart w:id="8" w:name="cp447"/>
      <w:bookmarkEnd w:id="7"/>
      <w:r w:rsidRPr="00D85B49">
        <w:rPr>
          <w:rFonts w:ascii="Times New Roman" w:eastAsia="Times New Roman" w:hAnsi="Times New Roman" w:cs="Times New Roman"/>
          <w:sz w:val="24"/>
          <w:szCs w:val="24"/>
        </w:rPr>
        <w:t xml:space="preserve">In accordance with 5 CFR 1320.8(d), this information collection soliciting public comments was announced via a 60-day Federal Register Notice (FRN) in the </w:t>
      </w:r>
      <w:r w:rsidRPr="00D85B49">
        <w:rPr>
          <w:rFonts w:ascii="Times New Roman" w:eastAsia="Times New Roman" w:hAnsi="Times New Roman" w:cs="Times New Roman"/>
          <w:i/>
          <w:iCs/>
          <w:sz w:val="24"/>
          <w:szCs w:val="24"/>
        </w:rPr>
        <w:t>Federal Register</w:t>
      </w:r>
      <w:r w:rsidRPr="00D85B49">
        <w:rPr>
          <w:rFonts w:ascii="Times New Roman" w:eastAsia="Times New Roman" w:hAnsi="Times New Roman" w:cs="Times New Roman"/>
          <w:sz w:val="24"/>
          <w:szCs w:val="24"/>
        </w:rPr>
        <w:t xml:space="preserve"> on 05/15/2013 (Volume 78 Number 94, Pages 28578 -28579).  No comments were received. </w:t>
      </w:r>
    </w:p>
    <w:p w14:paraId="193B1E66" w14:textId="425EC8A7" w:rsidR="00D85B49" w:rsidRPr="00D85B49" w:rsidRDefault="00D85B49" w:rsidP="00C939CA">
      <w:pPr>
        <w:spacing w:before="100" w:beforeAutospacing="1" w:after="100" w:afterAutospacing="1" w:line="288" w:lineRule="atLeast"/>
        <w:ind w:firstLine="1260"/>
        <w:rPr>
          <w:rFonts w:ascii="Times New Roman" w:eastAsia="Times New Roman" w:hAnsi="Times New Roman" w:cs="Times New Roman"/>
          <w:sz w:val="24"/>
          <w:szCs w:val="24"/>
        </w:rPr>
      </w:pPr>
      <w:r w:rsidRPr="00C939CA">
        <w:rPr>
          <w:rFonts w:ascii="Times New Roman" w:eastAsia="Times New Roman" w:hAnsi="Times New Roman" w:cs="Times New Roman"/>
          <w:sz w:val="24"/>
          <w:szCs w:val="24"/>
        </w:rPr>
        <w:t>A 30-day FRN was publish</w:t>
      </w:r>
      <w:r w:rsidR="00C939CA" w:rsidRPr="00C939CA">
        <w:rPr>
          <w:rFonts w:ascii="Times New Roman" w:eastAsia="Times New Roman" w:hAnsi="Times New Roman" w:cs="Times New Roman"/>
          <w:sz w:val="24"/>
          <w:szCs w:val="24"/>
        </w:rPr>
        <w:t>ed in the Federal Register on 12/30</w:t>
      </w:r>
      <w:r w:rsidRPr="00C939CA">
        <w:rPr>
          <w:rFonts w:ascii="Times New Roman" w:eastAsia="Times New Roman" w:hAnsi="Times New Roman" w:cs="Times New Roman"/>
          <w:sz w:val="24"/>
          <w:szCs w:val="24"/>
        </w:rPr>
        <w:t>/2014 (Volume</w:t>
      </w:r>
      <w:r w:rsidR="00C939CA" w:rsidRPr="00C939CA">
        <w:rPr>
          <w:rFonts w:ascii="Times New Roman" w:eastAsia="Times New Roman" w:hAnsi="Times New Roman" w:cs="Times New Roman"/>
          <w:sz w:val="24"/>
          <w:szCs w:val="24"/>
        </w:rPr>
        <w:t xml:space="preserve"> 79, No. 249, page 78410</w:t>
      </w:r>
      <w:r w:rsidRPr="00C939CA">
        <w:rPr>
          <w:rFonts w:ascii="Times New Roman" w:eastAsia="Times New Roman" w:hAnsi="Times New Roman" w:cs="Times New Roman"/>
          <w:sz w:val="24"/>
          <w:szCs w:val="24"/>
        </w:rPr>
        <w:t>).</w:t>
      </w:r>
      <w:r w:rsidRPr="00D85B49">
        <w:rPr>
          <w:rFonts w:ascii="Times New Roman" w:eastAsia="Times New Roman" w:hAnsi="Times New Roman" w:cs="Times New Roman"/>
          <w:sz w:val="24"/>
          <w:szCs w:val="24"/>
        </w:rPr>
        <w:t xml:space="preserve"> </w:t>
      </w:r>
      <w:r w:rsidR="00624E16">
        <w:rPr>
          <w:rFonts w:ascii="Times New Roman" w:eastAsia="Times New Roman" w:hAnsi="Times New Roman" w:cs="Times New Roman"/>
          <w:sz w:val="24"/>
          <w:szCs w:val="24"/>
        </w:rPr>
        <w:t>No comments were received.</w:t>
      </w:r>
    </w:p>
    <w:p w14:paraId="0C09ECB9" w14:textId="77777777" w:rsidR="00D85B49" w:rsidRPr="00D85B49" w:rsidRDefault="00D85B49" w:rsidP="00D85B49">
      <w:pPr>
        <w:spacing w:before="100" w:beforeAutospacing="1" w:after="100" w:afterAutospacing="1" w:line="288" w:lineRule="atLeast"/>
        <w:ind w:firstLine="1260"/>
        <w:rPr>
          <w:rFonts w:ascii="Times New Roman" w:eastAsia="Times New Roman" w:hAnsi="Times New Roman" w:cs="Times New Roman"/>
          <w:sz w:val="24"/>
          <w:szCs w:val="24"/>
        </w:rPr>
      </w:pPr>
      <w:bookmarkStart w:id="9" w:name="cp448"/>
      <w:bookmarkEnd w:id="8"/>
      <w:r w:rsidRPr="00D85B49">
        <w:rPr>
          <w:rFonts w:ascii="Times New Roman" w:eastAsia="Times New Roman" w:hAnsi="Times New Roman" w:cs="Times New Roman"/>
          <w:sz w:val="24"/>
          <w:szCs w:val="24"/>
        </w:rPr>
        <w:t xml:space="preserve">MHS’s contractor, Deloitte Consulting, </w:t>
      </w:r>
      <w:proofErr w:type="gramStart"/>
      <w:r w:rsidRPr="00D85B49">
        <w:rPr>
          <w:rFonts w:ascii="Times New Roman" w:eastAsia="Times New Roman" w:hAnsi="Times New Roman" w:cs="Times New Roman"/>
          <w:sz w:val="24"/>
          <w:szCs w:val="24"/>
        </w:rPr>
        <w:t>LLP.,</w:t>
      </w:r>
      <w:proofErr w:type="gramEnd"/>
      <w:r w:rsidRPr="00D85B49">
        <w:rPr>
          <w:rFonts w:ascii="Times New Roman" w:eastAsia="Times New Roman" w:hAnsi="Times New Roman" w:cs="Times New Roman"/>
          <w:sz w:val="24"/>
          <w:szCs w:val="24"/>
        </w:rPr>
        <w:t xml:space="preserve"> developed the data collection instrument and data collection methodology in consultation with staff from MHS and PCMH Advisory Board members.  </w:t>
      </w:r>
    </w:p>
    <w:p w14:paraId="73CB3B7D" w14:textId="77777777" w:rsidR="00D85B49" w:rsidRPr="00D85B49" w:rsidRDefault="00D85B49" w:rsidP="00D85B49">
      <w:pPr>
        <w:spacing w:before="100" w:beforeAutospacing="1" w:after="100" w:afterAutospacing="1" w:line="288" w:lineRule="atLeast"/>
        <w:ind w:firstLine="900"/>
        <w:rPr>
          <w:rFonts w:ascii="Times New Roman" w:eastAsia="Times New Roman" w:hAnsi="Times New Roman" w:cs="Times New Roman"/>
          <w:sz w:val="24"/>
          <w:szCs w:val="24"/>
        </w:rPr>
      </w:pPr>
      <w:bookmarkStart w:id="10" w:name="cp449"/>
      <w:bookmarkEnd w:id="9"/>
      <w:r w:rsidRPr="00D85B49">
        <w:rPr>
          <w:rFonts w:ascii="Times New Roman" w:eastAsia="Times New Roman" w:hAnsi="Times New Roman" w:cs="Times New Roman"/>
          <w:sz w:val="24"/>
          <w:szCs w:val="24"/>
        </w:rPr>
        <w:t xml:space="preserve">9.  </w:t>
      </w:r>
      <w:r w:rsidRPr="00D85B49">
        <w:rPr>
          <w:rFonts w:ascii="Times New Roman" w:eastAsia="Times New Roman" w:hAnsi="Times New Roman" w:cs="Times New Roman"/>
          <w:sz w:val="24"/>
          <w:szCs w:val="24"/>
          <w:u w:val="single"/>
        </w:rPr>
        <w:t>Gifts or Payment</w:t>
      </w:r>
    </w:p>
    <w:p w14:paraId="56B612C9" w14:textId="77777777" w:rsidR="00D85B49" w:rsidRPr="00D85B49" w:rsidRDefault="00D85B49" w:rsidP="00D85B49">
      <w:pPr>
        <w:spacing w:before="100" w:beforeAutospacing="1" w:after="100" w:afterAutospacing="1" w:line="288" w:lineRule="atLeast"/>
        <w:ind w:firstLine="1260"/>
        <w:rPr>
          <w:rFonts w:ascii="Times New Roman" w:eastAsia="Times New Roman" w:hAnsi="Times New Roman" w:cs="Times New Roman"/>
          <w:sz w:val="24"/>
          <w:szCs w:val="24"/>
        </w:rPr>
      </w:pPr>
      <w:bookmarkStart w:id="11" w:name="cp450"/>
      <w:bookmarkEnd w:id="10"/>
      <w:r w:rsidRPr="00D85B49">
        <w:rPr>
          <w:rFonts w:ascii="Times New Roman" w:eastAsia="Times New Roman" w:hAnsi="Times New Roman" w:cs="Times New Roman"/>
          <w:sz w:val="24"/>
          <w:szCs w:val="24"/>
        </w:rPr>
        <w:t>All respondents are being asked to complete the survey voluntarily. No payments will be provided for participation.</w:t>
      </w:r>
    </w:p>
    <w:bookmarkEnd w:id="11"/>
    <w:p w14:paraId="21FB83E9" w14:textId="77777777" w:rsidR="00D85B49" w:rsidRPr="00D85B49" w:rsidRDefault="00D85B49" w:rsidP="00D85B49">
      <w:pPr>
        <w:spacing w:before="100" w:beforeAutospacing="1" w:after="100" w:afterAutospacing="1" w:line="288" w:lineRule="atLeast"/>
        <w:ind w:firstLine="900"/>
        <w:rPr>
          <w:rFonts w:ascii="Times New Roman" w:eastAsia="Times New Roman" w:hAnsi="Times New Roman" w:cs="Times New Roman"/>
          <w:sz w:val="24"/>
          <w:szCs w:val="24"/>
        </w:rPr>
      </w:pPr>
      <w:r w:rsidRPr="00D85B49">
        <w:rPr>
          <w:rFonts w:ascii="Times New Roman" w:eastAsia="Times New Roman" w:hAnsi="Times New Roman" w:cs="Times New Roman"/>
          <w:sz w:val="24"/>
          <w:szCs w:val="24"/>
        </w:rPr>
        <w:t xml:space="preserve">10.  </w:t>
      </w:r>
      <w:r w:rsidRPr="00D85B49">
        <w:rPr>
          <w:rFonts w:ascii="Times New Roman" w:eastAsia="Times New Roman" w:hAnsi="Times New Roman" w:cs="Times New Roman"/>
          <w:sz w:val="24"/>
          <w:szCs w:val="24"/>
          <w:u w:val="single"/>
        </w:rPr>
        <w:t>Confidentiality</w:t>
      </w:r>
    </w:p>
    <w:p w14:paraId="490041C8" w14:textId="34D701BF" w:rsidR="00D85B49" w:rsidRPr="00D85B49" w:rsidRDefault="00D85B49" w:rsidP="00D85B49">
      <w:pPr>
        <w:spacing w:before="100" w:beforeAutospacing="1" w:after="100" w:afterAutospacing="1" w:line="288" w:lineRule="atLeast"/>
        <w:rPr>
          <w:rFonts w:ascii="Times New Roman" w:eastAsia="Times New Roman" w:hAnsi="Times New Roman" w:cs="Times New Roman"/>
          <w:sz w:val="24"/>
          <w:szCs w:val="24"/>
        </w:rPr>
      </w:pPr>
      <w:r w:rsidRPr="00D85B49">
        <w:rPr>
          <w:rFonts w:ascii="Times New Roman" w:eastAsia="Times New Roman" w:hAnsi="Times New Roman" w:cs="Times New Roman"/>
          <w:sz w:val="24"/>
          <w:szCs w:val="24"/>
        </w:rPr>
        <w:t xml:space="preserve">The surveys will also include the OMB control number, expiration date, and the Public Burden Statement.  This document specifies the Authority supporting the request for information, the purpose for its collection, the routine uses to which it will be put, the scope of anonymity in the use of personal identifiers and the voluntary nature of participation. </w:t>
      </w:r>
    </w:p>
    <w:p w14:paraId="29E88214" w14:textId="77777777" w:rsidR="00D85B49" w:rsidRPr="00D85B49" w:rsidRDefault="00D85B49" w:rsidP="00D85B49">
      <w:pPr>
        <w:spacing w:before="100" w:beforeAutospacing="1" w:after="100" w:afterAutospacing="1" w:line="288" w:lineRule="atLeast"/>
        <w:rPr>
          <w:rFonts w:ascii="Times New Roman" w:eastAsia="Times New Roman" w:hAnsi="Times New Roman" w:cs="Times New Roman"/>
          <w:sz w:val="24"/>
          <w:szCs w:val="24"/>
        </w:rPr>
      </w:pPr>
      <w:r w:rsidRPr="00D85B49">
        <w:rPr>
          <w:rFonts w:ascii="Times New Roman" w:eastAsia="Times New Roman" w:hAnsi="Times New Roman" w:cs="Times New Roman"/>
          <w:sz w:val="24"/>
          <w:szCs w:val="24"/>
        </w:rPr>
        <w:t>There are firmly established procedures for providing an on-line consent statement consistent with the requirements on the protection of human subjects research as this survey was granted a valid RCS number when it was initially developed and administered to the active duty military and federally employed GS staff; and these same procedures will apply to the contract personnel  that will ask participants to acknowledge that they have read the Consent statement and that they voluntarily agree to participate in this survey. All respondents who do not acknowledge the consent statement will be exited from the survey.</w:t>
      </w:r>
    </w:p>
    <w:p w14:paraId="57D30CBC" w14:textId="77777777" w:rsidR="00D85B49" w:rsidRPr="00D85B49" w:rsidRDefault="00D85B49" w:rsidP="00D85B49">
      <w:pPr>
        <w:spacing w:before="100" w:beforeAutospacing="1" w:after="100" w:afterAutospacing="1" w:line="288" w:lineRule="atLeast"/>
        <w:rPr>
          <w:rFonts w:ascii="Times New Roman" w:eastAsia="Times New Roman" w:hAnsi="Times New Roman" w:cs="Times New Roman"/>
          <w:sz w:val="24"/>
          <w:szCs w:val="24"/>
        </w:rPr>
      </w:pPr>
      <w:r w:rsidRPr="00D85B49">
        <w:rPr>
          <w:rFonts w:ascii="Times New Roman" w:eastAsia="Times New Roman" w:hAnsi="Times New Roman" w:cs="Times New Roman"/>
          <w:sz w:val="24"/>
          <w:szCs w:val="24"/>
        </w:rPr>
        <w:t xml:space="preserve">MHS email addresses will be used to contact Active duty military, federally employed GS staff and contractor personnel for the survey described in this supporting statement.  The contractor, Deloitte Consulting, LLC, involved in this survey has signed a confidentiality agreement, assuring that any contact information and information provided by respondents will be used solely for the purposes of this survey.  Deloitte is bound to keep this type of information confidential by its contract with MHS and our contract contains a data use agreement, which establishes MHS as the “owner” of this data. </w:t>
      </w:r>
    </w:p>
    <w:p w14:paraId="569C6F79" w14:textId="7D5C2893" w:rsidR="00D85B49" w:rsidRPr="00D85B49" w:rsidRDefault="00D85B49" w:rsidP="00D85B49">
      <w:pPr>
        <w:spacing w:before="100" w:beforeAutospacing="1" w:after="100" w:afterAutospacing="1" w:line="288" w:lineRule="atLeast"/>
        <w:rPr>
          <w:rFonts w:ascii="Times New Roman" w:eastAsia="Times New Roman" w:hAnsi="Times New Roman" w:cs="Times New Roman"/>
          <w:sz w:val="24"/>
          <w:szCs w:val="24"/>
        </w:rPr>
      </w:pPr>
      <w:r w:rsidRPr="00D85B49">
        <w:rPr>
          <w:rFonts w:ascii="Times New Roman" w:eastAsia="Times New Roman" w:hAnsi="Times New Roman" w:cs="Times New Roman"/>
          <w:sz w:val="24"/>
          <w:szCs w:val="24"/>
        </w:rPr>
        <w:t xml:space="preserve">Survey participants will be notified in a </w:t>
      </w:r>
      <w:r w:rsidRPr="00D85B49">
        <w:rPr>
          <w:rFonts w:ascii="Times New Roman" w:eastAsia="Calibri" w:hAnsi="Times New Roman" w:cs="Times New Roman"/>
          <w:sz w:val="24"/>
          <w:szCs w:val="24"/>
        </w:rPr>
        <w:t>digitally signed email that their information will be kept</w:t>
      </w:r>
      <w:r w:rsidR="00293DC0">
        <w:rPr>
          <w:rFonts w:ascii="Times New Roman" w:eastAsia="Calibri" w:hAnsi="Times New Roman" w:cs="Times New Roman"/>
          <w:sz w:val="24"/>
          <w:szCs w:val="24"/>
        </w:rPr>
        <w:t xml:space="preserve"> private to the extent permitted by law</w:t>
      </w:r>
      <w:r w:rsidRPr="00D85B49">
        <w:rPr>
          <w:rFonts w:ascii="Times New Roman" w:eastAsia="Calibri" w:hAnsi="Times New Roman" w:cs="Times New Roman"/>
          <w:sz w:val="24"/>
          <w:szCs w:val="24"/>
        </w:rPr>
        <w:t xml:space="preserve">; </w:t>
      </w:r>
      <w:r w:rsidRPr="00D85B49">
        <w:rPr>
          <w:rFonts w:ascii="Times New Roman" w:eastAsia="Times New Roman" w:hAnsi="Times New Roman" w:cs="Times New Roman"/>
          <w:sz w:val="24"/>
          <w:szCs w:val="24"/>
        </w:rPr>
        <w:t xml:space="preserve">will not be released to third parties other than MHS; and will not be reported except in an aggregated manner. </w:t>
      </w:r>
    </w:p>
    <w:p w14:paraId="4A6D535E" w14:textId="77777777" w:rsidR="00D85B49" w:rsidRPr="00D85B49" w:rsidRDefault="00D85B49" w:rsidP="00D85B49">
      <w:pPr>
        <w:spacing w:before="100" w:beforeAutospacing="1" w:after="100" w:afterAutospacing="1" w:line="288" w:lineRule="atLeast"/>
        <w:rPr>
          <w:rFonts w:ascii="Times New Roman" w:eastAsia="Times New Roman" w:hAnsi="Times New Roman" w:cs="Times New Roman"/>
          <w:sz w:val="24"/>
          <w:szCs w:val="24"/>
        </w:rPr>
      </w:pPr>
      <w:r w:rsidRPr="00D85B49">
        <w:rPr>
          <w:rFonts w:ascii="Times New Roman" w:eastAsia="Times New Roman" w:hAnsi="Times New Roman" w:cs="Times New Roman"/>
          <w:sz w:val="24"/>
          <w:szCs w:val="24"/>
        </w:rPr>
        <w:lastRenderedPageBreak/>
        <w:t>We will handle the information collected using procedures designed to keep sensitive personal information secure.  We will password protect electronic data files and we will encrypt and password protect any files transferred.  Upon completion of the fieldwork, data is extracted and processed using SPSS software. The finished SPSS (Statistical Package for Social Sciences) data file does not contain any identifiable information.</w:t>
      </w:r>
    </w:p>
    <w:p w14:paraId="5F2411E4" w14:textId="77777777" w:rsidR="00D85B49" w:rsidRPr="00D85B49" w:rsidRDefault="00D85B49" w:rsidP="00D85B49">
      <w:pPr>
        <w:spacing w:before="100" w:beforeAutospacing="1" w:after="100" w:afterAutospacing="1" w:line="288" w:lineRule="atLeast"/>
        <w:rPr>
          <w:rFonts w:ascii="Times New Roman" w:eastAsia="Times New Roman" w:hAnsi="Times New Roman" w:cs="Times New Roman"/>
          <w:sz w:val="24"/>
          <w:szCs w:val="24"/>
        </w:rPr>
      </w:pPr>
      <w:r w:rsidRPr="00D85B49">
        <w:rPr>
          <w:rFonts w:ascii="Times New Roman" w:eastAsia="Times New Roman" w:hAnsi="Times New Roman" w:cs="Times New Roman"/>
          <w:sz w:val="24"/>
          <w:szCs w:val="24"/>
        </w:rPr>
        <w:t>Since we are not collecting individual identifiers and no responses will be retrieved by an identifier, no Privacy Act System of Records Notice (SORN) ID is required for this application.</w:t>
      </w:r>
    </w:p>
    <w:p w14:paraId="05CF4261" w14:textId="77777777" w:rsidR="00D85B49" w:rsidRPr="00D85B49" w:rsidRDefault="00D85B49" w:rsidP="00D85B49">
      <w:pPr>
        <w:spacing w:before="100" w:beforeAutospacing="1" w:after="100" w:afterAutospacing="1" w:line="288" w:lineRule="atLeast"/>
        <w:ind w:firstLine="900"/>
        <w:rPr>
          <w:rFonts w:ascii="Times New Roman" w:eastAsia="Times New Roman" w:hAnsi="Times New Roman" w:cs="Times New Roman"/>
          <w:sz w:val="24"/>
          <w:szCs w:val="24"/>
        </w:rPr>
      </w:pPr>
      <w:r w:rsidRPr="00D85B49">
        <w:rPr>
          <w:rFonts w:ascii="Times New Roman" w:eastAsia="Times New Roman" w:hAnsi="Times New Roman" w:cs="Times New Roman"/>
          <w:sz w:val="24"/>
          <w:szCs w:val="24"/>
        </w:rPr>
        <w:t xml:space="preserve">11.  </w:t>
      </w:r>
      <w:r w:rsidRPr="00D85B49">
        <w:rPr>
          <w:rFonts w:ascii="Times New Roman" w:eastAsia="Times New Roman" w:hAnsi="Times New Roman" w:cs="Times New Roman"/>
          <w:sz w:val="24"/>
          <w:szCs w:val="24"/>
          <w:u w:val="single"/>
        </w:rPr>
        <w:t>Sensitive Questions</w:t>
      </w:r>
    </w:p>
    <w:p w14:paraId="7B3241F3" w14:textId="77777777" w:rsidR="00D85B49" w:rsidRPr="00D85B49" w:rsidRDefault="00D85B49" w:rsidP="00D85B49">
      <w:pPr>
        <w:spacing w:before="100" w:beforeAutospacing="1" w:after="100" w:afterAutospacing="1" w:line="288" w:lineRule="atLeast"/>
        <w:ind w:firstLine="1350"/>
        <w:rPr>
          <w:rFonts w:ascii="Times New Roman" w:eastAsia="Times New Roman" w:hAnsi="Times New Roman" w:cs="Times New Roman"/>
          <w:sz w:val="24"/>
          <w:szCs w:val="24"/>
        </w:rPr>
      </w:pPr>
      <w:r w:rsidRPr="00D85B49">
        <w:rPr>
          <w:rFonts w:ascii="Times New Roman" w:eastAsia="Times New Roman" w:hAnsi="Times New Roman" w:cs="Times New Roman"/>
          <w:sz w:val="24"/>
          <w:szCs w:val="24"/>
        </w:rPr>
        <w:t>The survey does not contain questions that are considered sensitive in nature.</w:t>
      </w:r>
    </w:p>
    <w:p w14:paraId="521908C1" w14:textId="77777777" w:rsidR="00D85B49" w:rsidRPr="00D85B49" w:rsidRDefault="00D85B49" w:rsidP="00D85B49">
      <w:pPr>
        <w:spacing w:before="100" w:beforeAutospacing="1" w:after="100" w:afterAutospacing="1" w:line="288" w:lineRule="atLeast"/>
        <w:ind w:firstLine="900"/>
        <w:rPr>
          <w:rFonts w:ascii="Times New Roman" w:eastAsia="Times New Roman" w:hAnsi="Times New Roman" w:cs="Times New Roman"/>
          <w:sz w:val="24"/>
          <w:szCs w:val="24"/>
        </w:rPr>
      </w:pPr>
      <w:bookmarkStart w:id="12" w:name="cp456"/>
      <w:r w:rsidRPr="00D85B49">
        <w:rPr>
          <w:rFonts w:ascii="Times New Roman" w:eastAsia="Times New Roman" w:hAnsi="Times New Roman" w:cs="Times New Roman"/>
          <w:sz w:val="24"/>
          <w:szCs w:val="24"/>
        </w:rPr>
        <w:t xml:space="preserve">12.  </w:t>
      </w:r>
      <w:r w:rsidRPr="00D85B49">
        <w:rPr>
          <w:rFonts w:ascii="Times New Roman" w:eastAsia="Times New Roman" w:hAnsi="Times New Roman" w:cs="Times New Roman"/>
          <w:sz w:val="24"/>
          <w:szCs w:val="24"/>
          <w:u w:val="single"/>
        </w:rPr>
        <w:t>Respondent Burden, and its Labor Costs</w:t>
      </w:r>
    </w:p>
    <w:p w14:paraId="2571A929" w14:textId="77777777" w:rsidR="00D85B49" w:rsidRPr="00D85B49" w:rsidRDefault="00D85B49" w:rsidP="00D85B49">
      <w:pPr>
        <w:keepNext/>
        <w:tabs>
          <w:tab w:val="left" w:pos="240"/>
        </w:tabs>
        <w:overflowPunct w:val="0"/>
        <w:autoSpaceDE w:val="0"/>
        <w:autoSpaceDN w:val="0"/>
        <w:adjustRightInd w:val="0"/>
        <w:spacing w:after="40" w:line="240" w:lineRule="auto"/>
        <w:ind w:left="120" w:right="-120" w:firstLine="1140"/>
        <w:textAlignment w:val="baseline"/>
        <w:outlineLvl w:val="1"/>
        <w:rPr>
          <w:rFonts w:ascii="Times New Roman" w:eastAsia="Times New Roman" w:hAnsi="Times New Roman" w:cs="Times New Roman"/>
          <w:b/>
          <w:iCs/>
          <w:sz w:val="24"/>
          <w:szCs w:val="24"/>
        </w:rPr>
      </w:pPr>
      <w:bookmarkStart w:id="13" w:name="cp457"/>
      <w:bookmarkEnd w:id="12"/>
      <w:r w:rsidRPr="00D85B49">
        <w:rPr>
          <w:rFonts w:ascii="Times New Roman" w:eastAsia="Times New Roman" w:hAnsi="Times New Roman" w:cs="Times New Roman"/>
          <w:sz w:val="24"/>
          <w:szCs w:val="24"/>
        </w:rPr>
        <w:t>a.</w:t>
      </w:r>
      <w:proofErr w:type="gramStart"/>
      <w:r w:rsidRPr="00D85B49">
        <w:rPr>
          <w:rFonts w:ascii="Times New Roman" w:eastAsia="Times New Roman" w:hAnsi="Times New Roman" w:cs="Times New Roman"/>
          <w:sz w:val="24"/>
          <w:szCs w:val="24"/>
        </w:rPr>
        <w:t xml:space="preserve">  </w:t>
      </w:r>
      <w:r w:rsidRPr="00D85B49">
        <w:rPr>
          <w:rFonts w:ascii="Times New Roman" w:eastAsia="Times New Roman" w:hAnsi="Times New Roman" w:cs="Times New Roman"/>
          <w:iCs/>
          <w:sz w:val="24"/>
          <w:szCs w:val="24"/>
          <w:u w:val="single"/>
        </w:rPr>
        <w:t>Estimate</w:t>
      </w:r>
      <w:proofErr w:type="gramEnd"/>
      <w:r w:rsidRPr="00D85B49">
        <w:rPr>
          <w:rFonts w:ascii="Times New Roman" w:eastAsia="Times New Roman" w:hAnsi="Times New Roman" w:cs="Times New Roman"/>
          <w:iCs/>
          <w:sz w:val="24"/>
          <w:szCs w:val="24"/>
          <w:u w:val="single"/>
        </w:rPr>
        <w:t xml:space="preserve"> of Hour Burden</w:t>
      </w:r>
      <w:r w:rsidRPr="00D85B49">
        <w:rPr>
          <w:rFonts w:ascii="Times New Roman" w:eastAsia="Times New Roman" w:hAnsi="Times New Roman" w:cs="Times New Roman"/>
          <w:b/>
          <w:iCs/>
          <w:sz w:val="24"/>
          <w:szCs w:val="24"/>
        </w:rPr>
        <w:t xml:space="preserve"> </w:t>
      </w:r>
    </w:p>
    <w:p w14:paraId="14734398" w14:textId="77777777" w:rsidR="00D85B49" w:rsidRPr="00D85B49" w:rsidRDefault="00D85B49" w:rsidP="00D85B49">
      <w:pPr>
        <w:spacing w:before="100" w:beforeAutospacing="1" w:after="100" w:afterAutospacing="1" w:line="288" w:lineRule="atLeast"/>
        <w:ind w:firstLine="1710"/>
        <w:rPr>
          <w:rFonts w:ascii="Times New Roman" w:eastAsia="Times New Roman" w:hAnsi="Times New Roman" w:cs="Times New Roman"/>
          <w:sz w:val="24"/>
          <w:szCs w:val="24"/>
        </w:rPr>
      </w:pPr>
      <w:bookmarkStart w:id="14" w:name="cp458"/>
      <w:bookmarkEnd w:id="13"/>
      <w:r w:rsidRPr="00D85B49">
        <w:rPr>
          <w:rFonts w:ascii="Times New Roman" w:eastAsia="Times New Roman" w:hAnsi="Times New Roman" w:cs="Times New Roman"/>
          <w:sz w:val="24"/>
          <w:szCs w:val="24"/>
        </w:rPr>
        <w:t>The burden estimate was determined based on the average response burden from previous administrations of the same survey to federal and military personnel.</w:t>
      </w:r>
    </w:p>
    <w:p w14:paraId="24F4CC74" w14:textId="7EF37093" w:rsidR="00D85B49" w:rsidRPr="00D85B49" w:rsidRDefault="00D85B49" w:rsidP="00D85B49">
      <w:pPr>
        <w:spacing w:before="100" w:beforeAutospacing="1" w:after="100" w:afterAutospacing="1" w:line="288" w:lineRule="atLeast"/>
        <w:ind w:firstLine="1710"/>
        <w:rPr>
          <w:rFonts w:ascii="Times New Roman" w:eastAsia="Times New Roman" w:hAnsi="Times New Roman" w:cs="Times New Roman"/>
          <w:sz w:val="24"/>
          <w:szCs w:val="24"/>
        </w:rPr>
      </w:pPr>
      <w:bookmarkStart w:id="15" w:name="cp459"/>
      <w:bookmarkEnd w:id="14"/>
      <w:r w:rsidRPr="00D85B49">
        <w:rPr>
          <w:rFonts w:ascii="Times New Roman" w:eastAsia="Times New Roman" w:hAnsi="Times New Roman" w:cs="Times New Roman"/>
          <w:b/>
          <w:sz w:val="24"/>
          <w:szCs w:val="24"/>
        </w:rPr>
        <w:t>Exhibit 1 – Annual Respondent Burden</w:t>
      </w:r>
      <w:r w:rsidRPr="00D85B49">
        <w:rPr>
          <w:rFonts w:ascii="Times New Roman" w:eastAsia="Times New Roman" w:hAnsi="Times New Roman" w:cs="Times New Roman"/>
          <w:sz w:val="24"/>
          <w:szCs w:val="24"/>
        </w:rPr>
        <w:t xml:space="preserve"> Exhibit 1 provides information on the estimated time to complete the data collection survey.  We will su</w:t>
      </w:r>
      <w:bookmarkStart w:id="16" w:name="_GoBack"/>
      <w:bookmarkEnd w:id="16"/>
      <w:r w:rsidRPr="00D85B49">
        <w:rPr>
          <w:rFonts w:ascii="Times New Roman" w:eastAsia="Times New Roman" w:hAnsi="Times New Roman" w:cs="Times New Roman"/>
          <w:sz w:val="24"/>
          <w:szCs w:val="24"/>
        </w:rPr>
        <w:t>rvey a total of approximately 3,105 PCMH contractors</w:t>
      </w:r>
      <w:r w:rsidR="00841CBC">
        <w:rPr>
          <w:rFonts w:ascii="Times New Roman" w:eastAsia="Times New Roman" w:hAnsi="Times New Roman" w:cs="Times New Roman"/>
          <w:sz w:val="24"/>
          <w:szCs w:val="24"/>
        </w:rPr>
        <w:t xml:space="preserve"> on a</w:t>
      </w:r>
      <w:r w:rsidR="001622D9">
        <w:rPr>
          <w:rFonts w:ascii="Times New Roman" w:eastAsia="Times New Roman" w:hAnsi="Times New Roman" w:cs="Times New Roman"/>
          <w:sz w:val="24"/>
          <w:szCs w:val="24"/>
        </w:rPr>
        <w:t>n</w:t>
      </w:r>
      <w:r w:rsidR="00841CBC">
        <w:rPr>
          <w:rFonts w:ascii="Times New Roman" w:eastAsia="Times New Roman" w:hAnsi="Times New Roman" w:cs="Times New Roman"/>
          <w:sz w:val="24"/>
          <w:szCs w:val="24"/>
        </w:rPr>
        <w:t xml:space="preserve"> </w:t>
      </w:r>
      <w:r w:rsidR="00841CBC" w:rsidRPr="001622D9">
        <w:rPr>
          <w:rFonts w:ascii="Times New Roman" w:eastAsia="Times New Roman" w:hAnsi="Times New Roman" w:cs="Times New Roman"/>
          <w:sz w:val="24"/>
          <w:szCs w:val="24"/>
        </w:rPr>
        <w:t>annual basis</w:t>
      </w:r>
      <w:r w:rsidRPr="001622D9">
        <w:rPr>
          <w:rFonts w:ascii="Times New Roman" w:eastAsia="Times New Roman" w:hAnsi="Times New Roman" w:cs="Times New Roman"/>
          <w:sz w:val="24"/>
          <w:szCs w:val="24"/>
        </w:rPr>
        <w:t>.</w:t>
      </w:r>
      <w:r w:rsidRPr="00D85B49">
        <w:rPr>
          <w:rFonts w:ascii="Times New Roman" w:eastAsia="Times New Roman" w:hAnsi="Times New Roman" w:cs="Times New Roman"/>
          <w:sz w:val="24"/>
          <w:szCs w:val="24"/>
        </w:rPr>
        <w:t xml:space="preserve"> Since respondents will on average spend 10 minutes completing the survey, the total burden for data collection fo</w:t>
      </w:r>
      <w:r w:rsidR="00841CBC">
        <w:rPr>
          <w:rFonts w:ascii="Times New Roman" w:eastAsia="Times New Roman" w:hAnsi="Times New Roman" w:cs="Times New Roman"/>
          <w:sz w:val="24"/>
          <w:szCs w:val="24"/>
        </w:rPr>
        <w:t xml:space="preserve">r the survey is estimated at </w:t>
      </w:r>
      <w:r w:rsidR="009A6E9D">
        <w:rPr>
          <w:rFonts w:ascii="Times New Roman" w:eastAsia="Times New Roman" w:hAnsi="Times New Roman" w:cs="Times New Roman"/>
          <w:sz w:val="24"/>
          <w:szCs w:val="24"/>
        </w:rPr>
        <w:t>517.5</w:t>
      </w:r>
      <w:r w:rsidRPr="00D85B49">
        <w:rPr>
          <w:rFonts w:ascii="Times New Roman" w:eastAsia="Times New Roman" w:hAnsi="Times New Roman" w:cs="Times New Roman"/>
          <w:sz w:val="24"/>
          <w:szCs w:val="24"/>
        </w:rPr>
        <w:t xml:space="preserve"> hours.</w:t>
      </w:r>
    </w:p>
    <w:p w14:paraId="5E543463" w14:textId="77777777" w:rsidR="00D85B49" w:rsidRPr="00D85B49" w:rsidRDefault="00D85B49" w:rsidP="00D85B49">
      <w:pPr>
        <w:spacing w:before="100" w:beforeAutospacing="1" w:after="100" w:afterAutospacing="1" w:line="288" w:lineRule="atLeast"/>
        <w:rPr>
          <w:rFonts w:ascii="Times New Roman" w:eastAsia="Times New Roman" w:hAnsi="Times New Roman" w:cs="Times New Roman"/>
          <w:b/>
          <w:sz w:val="24"/>
          <w:szCs w:val="24"/>
        </w:rPr>
      </w:pPr>
    </w:p>
    <w:tbl>
      <w:tblPr>
        <w:tblW w:w="9176" w:type="dxa"/>
        <w:tblInd w:w="87" w:type="dxa"/>
        <w:tblBorders>
          <w:top w:val="single" w:sz="8" w:space="0" w:color="000000"/>
          <w:left w:val="single" w:sz="8" w:space="0" w:color="000000"/>
          <w:bottom w:val="single" w:sz="8" w:space="0" w:color="000000"/>
          <w:right w:val="single" w:sz="8" w:space="0" w:color="000000"/>
          <w:insideH w:val="single" w:sz="2" w:space="0" w:color="000000"/>
          <w:insideV w:val="single" w:sz="2" w:space="0" w:color="000000"/>
        </w:tblBorders>
        <w:tblLayout w:type="fixed"/>
        <w:tblCellMar>
          <w:left w:w="87" w:type="dxa"/>
          <w:right w:w="87" w:type="dxa"/>
        </w:tblCellMar>
        <w:tblLook w:val="0000" w:firstRow="0" w:lastRow="0" w:firstColumn="0" w:lastColumn="0" w:noHBand="0" w:noVBand="0"/>
      </w:tblPr>
      <w:tblGrid>
        <w:gridCol w:w="1310"/>
        <w:gridCol w:w="1311"/>
        <w:gridCol w:w="1311"/>
        <w:gridCol w:w="1311"/>
        <w:gridCol w:w="1311"/>
        <w:gridCol w:w="1311"/>
        <w:gridCol w:w="1311"/>
      </w:tblGrid>
      <w:tr w:rsidR="00D85B49" w:rsidRPr="00D85B49" w14:paraId="08BF8686" w14:textId="77777777" w:rsidTr="00277B5D">
        <w:tc>
          <w:tcPr>
            <w:tcW w:w="1310" w:type="dxa"/>
            <w:tcBorders>
              <w:top w:val="single" w:sz="8" w:space="0" w:color="000000"/>
              <w:bottom w:val="single" w:sz="2" w:space="0" w:color="000000"/>
            </w:tcBorders>
            <w:shd w:val="clear" w:color="C0C0C0" w:fill="E6E6E6"/>
          </w:tcPr>
          <w:p w14:paraId="5F6AA749" w14:textId="77777777" w:rsidR="00D85B49" w:rsidRPr="00D85B49" w:rsidRDefault="00D85B49" w:rsidP="00D85B49">
            <w:pPr>
              <w:tabs>
                <w:tab w:val="left" w:pos="720"/>
                <w:tab w:val="left" w:pos="1080"/>
                <w:tab w:val="left" w:pos="1440"/>
                <w:tab w:val="left" w:pos="1800"/>
              </w:tabs>
              <w:spacing w:after="0" w:line="264" w:lineRule="auto"/>
              <w:rPr>
                <w:rFonts w:ascii="Arial" w:eastAsia="Times New Roman" w:hAnsi="Arial" w:cs="Times New Roman"/>
                <w:sz w:val="20"/>
                <w:szCs w:val="20"/>
              </w:rPr>
            </w:pPr>
          </w:p>
          <w:p w14:paraId="19A075E3" w14:textId="77777777" w:rsidR="00D85B49" w:rsidRPr="00D85B49" w:rsidRDefault="00D85B49" w:rsidP="00D85B49">
            <w:pPr>
              <w:tabs>
                <w:tab w:val="left" w:pos="720"/>
                <w:tab w:val="left" w:pos="1080"/>
                <w:tab w:val="left" w:pos="1440"/>
                <w:tab w:val="left" w:pos="1800"/>
              </w:tabs>
              <w:spacing w:after="0" w:line="264" w:lineRule="auto"/>
              <w:rPr>
                <w:rFonts w:ascii="Arial" w:eastAsia="Times New Roman" w:hAnsi="Arial" w:cs="Times New Roman"/>
                <w:b/>
                <w:sz w:val="20"/>
                <w:szCs w:val="20"/>
              </w:rPr>
            </w:pPr>
            <w:r w:rsidRPr="00D85B49">
              <w:rPr>
                <w:rFonts w:ascii="Arial" w:eastAsia="Times New Roman" w:hAnsi="Arial" w:cs="Times New Roman"/>
                <w:b/>
                <w:sz w:val="20"/>
                <w:szCs w:val="20"/>
              </w:rPr>
              <w:t>A</w:t>
            </w:r>
          </w:p>
        </w:tc>
        <w:tc>
          <w:tcPr>
            <w:tcW w:w="1311" w:type="dxa"/>
            <w:tcBorders>
              <w:top w:val="single" w:sz="8" w:space="0" w:color="000000"/>
              <w:bottom w:val="single" w:sz="2" w:space="0" w:color="000000"/>
            </w:tcBorders>
            <w:shd w:val="clear" w:color="C0C0C0" w:fill="E6E6E6"/>
          </w:tcPr>
          <w:p w14:paraId="3BD73B30" w14:textId="77777777" w:rsidR="00D85B49" w:rsidRPr="00D85B49" w:rsidRDefault="00D85B49" w:rsidP="00D85B49">
            <w:pPr>
              <w:tabs>
                <w:tab w:val="left" w:pos="720"/>
                <w:tab w:val="left" w:pos="1080"/>
                <w:tab w:val="left" w:pos="1440"/>
                <w:tab w:val="left" w:pos="1800"/>
              </w:tabs>
              <w:spacing w:after="0" w:line="264" w:lineRule="auto"/>
              <w:rPr>
                <w:rFonts w:ascii="Arial" w:eastAsia="Times New Roman" w:hAnsi="Arial" w:cs="Times New Roman"/>
                <w:b/>
                <w:sz w:val="20"/>
                <w:szCs w:val="20"/>
              </w:rPr>
            </w:pPr>
          </w:p>
          <w:p w14:paraId="4B068358" w14:textId="77777777" w:rsidR="00D85B49" w:rsidRPr="00D85B49" w:rsidRDefault="00D85B49" w:rsidP="00D85B49">
            <w:pPr>
              <w:tabs>
                <w:tab w:val="left" w:pos="720"/>
                <w:tab w:val="left" w:pos="1080"/>
                <w:tab w:val="left" w:pos="1440"/>
                <w:tab w:val="left" w:pos="1800"/>
              </w:tabs>
              <w:spacing w:after="0" w:line="264" w:lineRule="auto"/>
              <w:rPr>
                <w:rFonts w:ascii="Arial" w:eastAsia="Times New Roman" w:hAnsi="Arial" w:cs="Times New Roman"/>
                <w:b/>
                <w:sz w:val="20"/>
                <w:szCs w:val="20"/>
              </w:rPr>
            </w:pPr>
            <w:r w:rsidRPr="00D85B49">
              <w:rPr>
                <w:rFonts w:ascii="Arial" w:eastAsia="Times New Roman" w:hAnsi="Arial" w:cs="Times New Roman"/>
                <w:b/>
                <w:sz w:val="20"/>
                <w:szCs w:val="20"/>
              </w:rPr>
              <w:t>B</w:t>
            </w:r>
          </w:p>
        </w:tc>
        <w:tc>
          <w:tcPr>
            <w:tcW w:w="1311" w:type="dxa"/>
            <w:tcBorders>
              <w:top w:val="single" w:sz="8" w:space="0" w:color="000000"/>
              <w:bottom w:val="single" w:sz="2" w:space="0" w:color="000000"/>
            </w:tcBorders>
            <w:shd w:val="clear" w:color="C0C0C0" w:fill="E6E6E6"/>
          </w:tcPr>
          <w:p w14:paraId="53E997D1" w14:textId="77777777" w:rsidR="00D85B49" w:rsidRPr="00D85B49" w:rsidRDefault="00D85B49" w:rsidP="00D85B49">
            <w:pPr>
              <w:tabs>
                <w:tab w:val="left" w:pos="720"/>
                <w:tab w:val="left" w:pos="1080"/>
                <w:tab w:val="left" w:pos="1440"/>
                <w:tab w:val="left" w:pos="1800"/>
              </w:tabs>
              <w:spacing w:after="0" w:line="264" w:lineRule="auto"/>
              <w:rPr>
                <w:rFonts w:ascii="Arial" w:eastAsia="Times New Roman" w:hAnsi="Arial" w:cs="Times New Roman"/>
                <w:b/>
                <w:sz w:val="20"/>
                <w:szCs w:val="20"/>
              </w:rPr>
            </w:pPr>
          </w:p>
          <w:p w14:paraId="43720664" w14:textId="77777777" w:rsidR="00D85B49" w:rsidRPr="00D85B49" w:rsidRDefault="00D85B49" w:rsidP="00D85B49">
            <w:pPr>
              <w:tabs>
                <w:tab w:val="left" w:pos="720"/>
                <w:tab w:val="left" w:pos="1080"/>
                <w:tab w:val="left" w:pos="1440"/>
                <w:tab w:val="left" w:pos="1800"/>
              </w:tabs>
              <w:spacing w:after="0" w:line="264" w:lineRule="auto"/>
              <w:rPr>
                <w:rFonts w:ascii="Arial" w:eastAsia="Times New Roman" w:hAnsi="Arial" w:cs="Times New Roman"/>
                <w:b/>
                <w:sz w:val="20"/>
                <w:szCs w:val="20"/>
              </w:rPr>
            </w:pPr>
            <w:r w:rsidRPr="00D85B49">
              <w:rPr>
                <w:rFonts w:ascii="Arial" w:eastAsia="Times New Roman" w:hAnsi="Arial" w:cs="Times New Roman"/>
                <w:b/>
                <w:sz w:val="20"/>
                <w:szCs w:val="20"/>
              </w:rPr>
              <w:t>C</w:t>
            </w:r>
          </w:p>
        </w:tc>
        <w:tc>
          <w:tcPr>
            <w:tcW w:w="1311" w:type="dxa"/>
            <w:tcBorders>
              <w:top w:val="single" w:sz="8" w:space="0" w:color="000000"/>
              <w:bottom w:val="single" w:sz="2" w:space="0" w:color="000000"/>
            </w:tcBorders>
            <w:shd w:val="clear" w:color="C0C0C0" w:fill="E6E6E6"/>
          </w:tcPr>
          <w:p w14:paraId="086BFF86" w14:textId="77777777" w:rsidR="00D85B49" w:rsidRPr="00D85B49" w:rsidRDefault="00D85B49" w:rsidP="00D85B49">
            <w:pPr>
              <w:tabs>
                <w:tab w:val="left" w:pos="720"/>
                <w:tab w:val="left" w:pos="1080"/>
                <w:tab w:val="left" w:pos="1440"/>
                <w:tab w:val="left" w:pos="1800"/>
              </w:tabs>
              <w:spacing w:after="0" w:line="264" w:lineRule="auto"/>
              <w:rPr>
                <w:rFonts w:ascii="Arial" w:eastAsia="Times New Roman" w:hAnsi="Arial" w:cs="Times New Roman"/>
                <w:b/>
                <w:sz w:val="20"/>
                <w:szCs w:val="20"/>
              </w:rPr>
            </w:pPr>
          </w:p>
          <w:p w14:paraId="32367F50" w14:textId="77777777" w:rsidR="00D85B49" w:rsidRPr="00D85B49" w:rsidRDefault="00D85B49" w:rsidP="00D85B49">
            <w:pPr>
              <w:tabs>
                <w:tab w:val="left" w:pos="720"/>
                <w:tab w:val="left" w:pos="1080"/>
                <w:tab w:val="left" w:pos="1440"/>
                <w:tab w:val="left" w:pos="1800"/>
              </w:tabs>
              <w:spacing w:after="0" w:line="264" w:lineRule="auto"/>
              <w:rPr>
                <w:rFonts w:ascii="Arial" w:eastAsia="Times New Roman" w:hAnsi="Arial" w:cs="Times New Roman"/>
                <w:b/>
                <w:sz w:val="20"/>
                <w:szCs w:val="20"/>
              </w:rPr>
            </w:pPr>
            <w:r w:rsidRPr="00D85B49">
              <w:rPr>
                <w:rFonts w:ascii="Arial" w:eastAsia="Times New Roman" w:hAnsi="Arial" w:cs="Times New Roman"/>
                <w:b/>
                <w:sz w:val="20"/>
                <w:szCs w:val="20"/>
              </w:rPr>
              <w:t>D</w:t>
            </w:r>
          </w:p>
        </w:tc>
        <w:tc>
          <w:tcPr>
            <w:tcW w:w="1311" w:type="dxa"/>
            <w:tcBorders>
              <w:top w:val="single" w:sz="8" w:space="0" w:color="000000"/>
              <w:bottom w:val="single" w:sz="2" w:space="0" w:color="000000"/>
            </w:tcBorders>
            <w:shd w:val="clear" w:color="C0C0C0" w:fill="E6E6E6"/>
          </w:tcPr>
          <w:p w14:paraId="6FBEEC69" w14:textId="77777777" w:rsidR="00D85B49" w:rsidRPr="00D85B49" w:rsidRDefault="00D85B49" w:rsidP="00D85B49">
            <w:pPr>
              <w:tabs>
                <w:tab w:val="left" w:pos="720"/>
                <w:tab w:val="left" w:pos="1080"/>
                <w:tab w:val="left" w:pos="1440"/>
                <w:tab w:val="left" w:pos="1800"/>
              </w:tabs>
              <w:spacing w:after="0" w:line="264" w:lineRule="auto"/>
              <w:rPr>
                <w:rFonts w:ascii="Arial" w:eastAsia="Times New Roman" w:hAnsi="Arial" w:cs="Times New Roman"/>
                <w:b/>
                <w:sz w:val="20"/>
                <w:szCs w:val="20"/>
              </w:rPr>
            </w:pPr>
          </w:p>
          <w:p w14:paraId="0A807BDF" w14:textId="77777777" w:rsidR="00D85B49" w:rsidRPr="00D85B49" w:rsidRDefault="00D85B49" w:rsidP="00D85B49">
            <w:pPr>
              <w:tabs>
                <w:tab w:val="left" w:pos="720"/>
                <w:tab w:val="left" w:pos="1080"/>
                <w:tab w:val="left" w:pos="1440"/>
                <w:tab w:val="left" w:pos="1800"/>
              </w:tabs>
              <w:spacing w:after="0" w:line="264" w:lineRule="auto"/>
              <w:rPr>
                <w:rFonts w:ascii="Arial" w:eastAsia="Times New Roman" w:hAnsi="Arial" w:cs="Times New Roman"/>
                <w:b/>
                <w:sz w:val="20"/>
                <w:szCs w:val="20"/>
              </w:rPr>
            </w:pPr>
            <w:r w:rsidRPr="00D85B49">
              <w:rPr>
                <w:rFonts w:ascii="Arial" w:eastAsia="Times New Roman" w:hAnsi="Arial" w:cs="Times New Roman"/>
                <w:b/>
                <w:sz w:val="20"/>
                <w:szCs w:val="20"/>
              </w:rPr>
              <w:t>E</w:t>
            </w:r>
          </w:p>
        </w:tc>
        <w:tc>
          <w:tcPr>
            <w:tcW w:w="1311" w:type="dxa"/>
            <w:tcBorders>
              <w:top w:val="single" w:sz="8" w:space="0" w:color="000000"/>
              <w:bottom w:val="single" w:sz="2" w:space="0" w:color="000000"/>
              <w:right w:val="single" w:sz="12" w:space="0" w:color="000000"/>
            </w:tcBorders>
            <w:shd w:val="clear" w:color="C0C0C0" w:fill="E6E6E6"/>
          </w:tcPr>
          <w:p w14:paraId="7E1CDA12" w14:textId="77777777" w:rsidR="00D85B49" w:rsidRPr="00D85B49" w:rsidRDefault="00D85B49" w:rsidP="00D85B49">
            <w:pPr>
              <w:tabs>
                <w:tab w:val="left" w:pos="720"/>
                <w:tab w:val="left" w:pos="1080"/>
                <w:tab w:val="left" w:pos="1440"/>
                <w:tab w:val="left" w:pos="1800"/>
              </w:tabs>
              <w:spacing w:after="0" w:line="264" w:lineRule="auto"/>
              <w:rPr>
                <w:rFonts w:ascii="Arial" w:eastAsia="Times New Roman" w:hAnsi="Arial" w:cs="Times New Roman"/>
                <w:b/>
                <w:sz w:val="20"/>
                <w:szCs w:val="20"/>
              </w:rPr>
            </w:pPr>
          </w:p>
          <w:p w14:paraId="33E6F05B" w14:textId="77777777" w:rsidR="00D85B49" w:rsidRPr="00D85B49" w:rsidRDefault="00D85B49" w:rsidP="00D85B49">
            <w:pPr>
              <w:tabs>
                <w:tab w:val="left" w:pos="720"/>
                <w:tab w:val="left" w:pos="1080"/>
                <w:tab w:val="left" w:pos="1440"/>
                <w:tab w:val="left" w:pos="1800"/>
              </w:tabs>
              <w:spacing w:after="0" w:line="264" w:lineRule="auto"/>
              <w:rPr>
                <w:rFonts w:ascii="Arial" w:eastAsia="Times New Roman" w:hAnsi="Arial" w:cs="Times New Roman"/>
                <w:b/>
                <w:sz w:val="20"/>
                <w:szCs w:val="20"/>
              </w:rPr>
            </w:pPr>
            <w:r w:rsidRPr="00D85B49">
              <w:rPr>
                <w:rFonts w:ascii="Arial" w:eastAsia="Times New Roman" w:hAnsi="Arial" w:cs="Times New Roman"/>
                <w:b/>
                <w:sz w:val="20"/>
                <w:szCs w:val="20"/>
              </w:rPr>
              <w:t>F</w:t>
            </w:r>
          </w:p>
        </w:tc>
        <w:tc>
          <w:tcPr>
            <w:tcW w:w="1311" w:type="dxa"/>
            <w:tcBorders>
              <w:top w:val="single" w:sz="12" w:space="0" w:color="000000"/>
              <w:left w:val="single" w:sz="12" w:space="0" w:color="000000"/>
              <w:bottom w:val="single" w:sz="2" w:space="0" w:color="000000"/>
              <w:right w:val="single" w:sz="12" w:space="0" w:color="000000"/>
            </w:tcBorders>
            <w:shd w:val="clear" w:color="C0C0C0" w:fill="E6E6E6"/>
          </w:tcPr>
          <w:p w14:paraId="3D9FAACD" w14:textId="77777777" w:rsidR="00D85B49" w:rsidRPr="00D85B49" w:rsidRDefault="00D85B49" w:rsidP="00D85B49">
            <w:pPr>
              <w:tabs>
                <w:tab w:val="left" w:pos="720"/>
                <w:tab w:val="left" w:pos="1080"/>
                <w:tab w:val="left" w:pos="1440"/>
                <w:tab w:val="left" w:pos="1800"/>
              </w:tabs>
              <w:spacing w:after="0" w:line="264" w:lineRule="auto"/>
              <w:rPr>
                <w:rFonts w:ascii="Arial" w:eastAsia="Times New Roman" w:hAnsi="Arial" w:cs="Times New Roman"/>
                <w:b/>
                <w:sz w:val="20"/>
                <w:szCs w:val="20"/>
              </w:rPr>
            </w:pPr>
          </w:p>
          <w:p w14:paraId="316848D9" w14:textId="77777777" w:rsidR="00D85B49" w:rsidRPr="00D85B49" w:rsidRDefault="00D85B49" w:rsidP="00D85B49">
            <w:pPr>
              <w:tabs>
                <w:tab w:val="left" w:pos="720"/>
                <w:tab w:val="left" w:pos="1080"/>
                <w:tab w:val="left" w:pos="1440"/>
                <w:tab w:val="left" w:pos="1800"/>
              </w:tabs>
              <w:spacing w:after="0" w:line="264" w:lineRule="auto"/>
              <w:rPr>
                <w:rFonts w:ascii="Arial" w:eastAsia="Times New Roman" w:hAnsi="Arial" w:cs="Times New Roman"/>
                <w:b/>
                <w:sz w:val="20"/>
                <w:szCs w:val="20"/>
              </w:rPr>
            </w:pPr>
            <w:r w:rsidRPr="00D85B49">
              <w:rPr>
                <w:rFonts w:ascii="Arial" w:eastAsia="Times New Roman" w:hAnsi="Arial" w:cs="Times New Roman"/>
                <w:b/>
                <w:sz w:val="20"/>
                <w:szCs w:val="20"/>
              </w:rPr>
              <w:t>G</w:t>
            </w:r>
          </w:p>
        </w:tc>
      </w:tr>
      <w:tr w:rsidR="00D85B49" w:rsidRPr="00D85B49" w14:paraId="120D6180" w14:textId="77777777" w:rsidTr="00277B5D">
        <w:tc>
          <w:tcPr>
            <w:tcW w:w="1310" w:type="dxa"/>
            <w:tcBorders>
              <w:top w:val="single" w:sz="2" w:space="0" w:color="000000"/>
            </w:tcBorders>
            <w:vAlign w:val="bottom"/>
          </w:tcPr>
          <w:p w14:paraId="3698866A" w14:textId="77777777" w:rsidR="00D85B49" w:rsidRPr="00D85B49" w:rsidRDefault="00D85B49" w:rsidP="00D85B49">
            <w:pPr>
              <w:tabs>
                <w:tab w:val="left" w:pos="720"/>
                <w:tab w:val="left" w:pos="1080"/>
                <w:tab w:val="left" w:pos="1440"/>
                <w:tab w:val="left" w:pos="1800"/>
              </w:tabs>
              <w:spacing w:after="0" w:line="264" w:lineRule="auto"/>
              <w:rPr>
                <w:rFonts w:ascii="Arial" w:eastAsia="Times New Roman" w:hAnsi="Arial" w:cs="Times New Roman"/>
                <w:sz w:val="18"/>
                <w:szCs w:val="20"/>
              </w:rPr>
            </w:pPr>
          </w:p>
          <w:p w14:paraId="14697224" w14:textId="77777777" w:rsidR="00D85B49" w:rsidRPr="00D85B49" w:rsidRDefault="00D85B49" w:rsidP="00D85B49">
            <w:pPr>
              <w:tabs>
                <w:tab w:val="left" w:pos="720"/>
                <w:tab w:val="left" w:pos="1080"/>
                <w:tab w:val="left" w:pos="1440"/>
                <w:tab w:val="left" w:pos="1800"/>
              </w:tabs>
              <w:spacing w:after="0" w:line="264" w:lineRule="auto"/>
              <w:rPr>
                <w:rFonts w:ascii="Arial" w:eastAsia="Times New Roman" w:hAnsi="Arial" w:cs="Times New Roman"/>
                <w:sz w:val="18"/>
                <w:szCs w:val="20"/>
              </w:rPr>
            </w:pPr>
            <w:r w:rsidRPr="00D85B49">
              <w:rPr>
                <w:rFonts w:ascii="Arial" w:eastAsia="Times New Roman" w:hAnsi="Arial" w:cs="Times New Roman"/>
                <w:sz w:val="18"/>
                <w:szCs w:val="20"/>
              </w:rPr>
              <w:t>Estimated Number of Respondents</w:t>
            </w:r>
          </w:p>
        </w:tc>
        <w:tc>
          <w:tcPr>
            <w:tcW w:w="1311" w:type="dxa"/>
            <w:tcBorders>
              <w:top w:val="single" w:sz="2" w:space="0" w:color="000000"/>
            </w:tcBorders>
            <w:vAlign w:val="bottom"/>
          </w:tcPr>
          <w:p w14:paraId="2C4C9C8E" w14:textId="77777777" w:rsidR="00D85B49" w:rsidRPr="00D85B49" w:rsidRDefault="00D85B49" w:rsidP="00D85B49">
            <w:pPr>
              <w:tabs>
                <w:tab w:val="left" w:pos="720"/>
                <w:tab w:val="left" w:pos="1080"/>
                <w:tab w:val="left" w:pos="1440"/>
                <w:tab w:val="left" w:pos="1800"/>
              </w:tabs>
              <w:spacing w:after="0" w:line="264" w:lineRule="auto"/>
              <w:rPr>
                <w:rFonts w:ascii="Arial" w:eastAsia="Times New Roman" w:hAnsi="Arial" w:cs="Times New Roman"/>
                <w:sz w:val="18"/>
                <w:szCs w:val="20"/>
              </w:rPr>
            </w:pPr>
          </w:p>
          <w:p w14:paraId="121EC663" w14:textId="77777777" w:rsidR="00D85B49" w:rsidRPr="00D85B49" w:rsidRDefault="00D85B49" w:rsidP="00D85B49">
            <w:pPr>
              <w:tabs>
                <w:tab w:val="left" w:pos="720"/>
                <w:tab w:val="left" w:pos="1080"/>
                <w:tab w:val="left" w:pos="1440"/>
                <w:tab w:val="left" w:pos="1800"/>
              </w:tabs>
              <w:spacing w:after="0" w:line="264" w:lineRule="auto"/>
              <w:rPr>
                <w:rFonts w:ascii="Arial" w:eastAsia="Times New Roman" w:hAnsi="Arial" w:cs="Times New Roman"/>
                <w:sz w:val="18"/>
                <w:szCs w:val="20"/>
              </w:rPr>
            </w:pPr>
            <w:r w:rsidRPr="00D85B49">
              <w:rPr>
                <w:rFonts w:ascii="Arial" w:eastAsia="Times New Roman" w:hAnsi="Arial" w:cs="Times New Roman"/>
                <w:sz w:val="18"/>
                <w:szCs w:val="20"/>
              </w:rPr>
              <w:t>Average Burden per Respondent</w:t>
            </w:r>
          </w:p>
          <w:p w14:paraId="41AD6C6D" w14:textId="77777777" w:rsidR="00D85B49" w:rsidRPr="00D85B49" w:rsidRDefault="00D85B49" w:rsidP="00D85B49">
            <w:pPr>
              <w:tabs>
                <w:tab w:val="left" w:pos="720"/>
                <w:tab w:val="left" w:pos="1080"/>
                <w:tab w:val="left" w:pos="1440"/>
                <w:tab w:val="left" w:pos="1800"/>
              </w:tabs>
              <w:spacing w:after="0" w:line="264" w:lineRule="auto"/>
              <w:rPr>
                <w:rFonts w:ascii="Arial" w:eastAsia="Times New Roman" w:hAnsi="Arial" w:cs="Times New Roman"/>
                <w:sz w:val="18"/>
                <w:szCs w:val="20"/>
              </w:rPr>
            </w:pPr>
            <w:r w:rsidRPr="00D85B49">
              <w:rPr>
                <w:rFonts w:ascii="Arial" w:eastAsia="Times New Roman" w:hAnsi="Arial" w:cs="Times New Roman"/>
                <w:sz w:val="18"/>
                <w:szCs w:val="20"/>
              </w:rPr>
              <w:t>(Minutes)</w:t>
            </w:r>
          </w:p>
        </w:tc>
        <w:tc>
          <w:tcPr>
            <w:tcW w:w="1311" w:type="dxa"/>
            <w:tcBorders>
              <w:top w:val="single" w:sz="2" w:space="0" w:color="000000"/>
            </w:tcBorders>
            <w:vAlign w:val="bottom"/>
          </w:tcPr>
          <w:p w14:paraId="35256EBC" w14:textId="77777777" w:rsidR="00D85B49" w:rsidRPr="00D85B49" w:rsidRDefault="00D85B49" w:rsidP="00D85B49">
            <w:pPr>
              <w:tabs>
                <w:tab w:val="left" w:pos="720"/>
                <w:tab w:val="left" w:pos="1080"/>
                <w:tab w:val="left" w:pos="1440"/>
                <w:tab w:val="left" w:pos="1800"/>
              </w:tabs>
              <w:spacing w:after="0" w:line="264" w:lineRule="auto"/>
              <w:rPr>
                <w:rFonts w:ascii="Arial" w:eastAsia="Times New Roman" w:hAnsi="Arial" w:cs="Times New Roman"/>
                <w:sz w:val="18"/>
                <w:szCs w:val="20"/>
              </w:rPr>
            </w:pPr>
          </w:p>
          <w:p w14:paraId="7815F3AA" w14:textId="77777777" w:rsidR="00D85B49" w:rsidRPr="00D85B49" w:rsidRDefault="00D85B49" w:rsidP="00D85B49">
            <w:pPr>
              <w:tabs>
                <w:tab w:val="left" w:pos="720"/>
                <w:tab w:val="left" w:pos="1080"/>
                <w:tab w:val="left" w:pos="1440"/>
                <w:tab w:val="left" w:pos="1800"/>
              </w:tabs>
              <w:spacing w:after="0" w:line="264" w:lineRule="auto"/>
              <w:rPr>
                <w:rFonts w:ascii="Arial" w:eastAsia="Times New Roman" w:hAnsi="Arial" w:cs="Times New Roman"/>
                <w:sz w:val="18"/>
                <w:szCs w:val="20"/>
              </w:rPr>
            </w:pPr>
            <w:r w:rsidRPr="00D85B49">
              <w:rPr>
                <w:rFonts w:ascii="Arial" w:eastAsia="Times New Roman" w:hAnsi="Arial" w:cs="Times New Roman"/>
                <w:sz w:val="18"/>
                <w:szCs w:val="20"/>
              </w:rPr>
              <w:t>Total Annual Burden</w:t>
            </w:r>
          </w:p>
          <w:p w14:paraId="7D31CAFF" w14:textId="77777777" w:rsidR="00D85B49" w:rsidRPr="00D85B49" w:rsidRDefault="00D85B49" w:rsidP="00D85B49">
            <w:pPr>
              <w:tabs>
                <w:tab w:val="left" w:pos="720"/>
                <w:tab w:val="left" w:pos="1080"/>
                <w:tab w:val="left" w:pos="1440"/>
                <w:tab w:val="left" w:pos="1800"/>
              </w:tabs>
              <w:spacing w:after="0" w:line="264" w:lineRule="auto"/>
              <w:rPr>
                <w:rFonts w:ascii="Arial" w:eastAsia="Times New Roman" w:hAnsi="Arial" w:cs="Times New Roman"/>
                <w:sz w:val="18"/>
                <w:szCs w:val="20"/>
              </w:rPr>
            </w:pPr>
            <w:r w:rsidRPr="00D85B49">
              <w:rPr>
                <w:rFonts w:ascii="Arial" w:eastAsia="Times New Roman" w:hAnsi="Arial" w:cs="Times New Roman"/>
                <w:sz w:val="18"/>
                <w:szCs w:val="20"/>
              </w:rPr>
              <w:t>(Minutes)</w:t>
            </w:r>
          </w:p>
        </w:tc>
        <w:tc>
          <w:tcPr>
            <w:tcW w:w="1311" w:type="dxa"/>
            <w:tcBorders>
              <w:top w:val="single" w:sz="2" w:space="0" w:color="000000"/>
            </w:tcBorders>
            <w:vAlign w:val="bottom"/>
          </w:tcPr>
          <w:p w14:paraId="7A459DC8" w14:textId="77777777" w:rsidR="00D85B49" w:rsidRPr="00D85B49" w:rsidRDefault="00D85B49" w:rsidP="00D85B49">
            <w:pPr>
              <w:tabs>
                <w:tab w:val="left" w:pos="720"/>
                <w:tab w:val="left" w:pos="1080"/>
                <w:tab w:val="left" w:pos="1440"/>
                <w:tab w:val="left" w:pos="1800"/>
              </w:tabs>
              <w:spacing w:after="0" w:line="264" w:lineRule="auto"/>
              <w:rPr>
                <w:rFonts w:ascii="Arial" w:eastAsia="Times New Roman" w:hAnsi="Arial" w:cs="Times New Roman"/>
                <w:sz w:val="18"/>
                <w:szCs w:val="20"/>
              </w:rPr>
            </w:pPr>
          </w:p>
          <w:p w14:paraId="5BC2F951" w14:textId="77777777" w:rsidR="00D85B49" w:rsidRPr="00D85B49" w:rsidRDefault="00D85B49" w:rsidP="00D85B49">
            <w:pPr>
              <w:tabs>
                <w:tab w:val="left" w:pos="720"/>
                <w:tab w:val="left" w:pos="1080"/>
                <w:tab w:val="left" w:pos="1440"/>
                <w:tab w:val="left" w:pos="1800"/>
              </w:tabs>
              <w:spacing w:after="0" w:line="264" w:lineRule="auto"/>
              <w:rPr>
                <w:rFonts w:ascii="Arial" w:eastAsia="Times New Roman" w:hAnsi="Arial" w:cs="Times New Roman"/>
                <w:sz w:val="18"/>
                <w:szCs w:val="20"/>
              </w:rPr>
            </w:pPr>
            <w:r w:rsidRPr="00D85B49">
              <w:rPr>
                <w:rFonts w:ascii="Arial" w:eastAsia="Times New Roman" w:hAnsi="Arial" w:cs="Times New Roman"/>
                <w:sz w:val="18"/>
                <w:szCs w:val="20"/>
              </w:rPr>
              <w:t>Number of Responses per Respondent</w:t>
            </w:r>
          </w:p>
        </w:tc>
        <w:tc>
          <w:tcPr>
            <w:tcW w:w="1311" w:type="dxa"/>
            <w:tcBorders>
              <w:top w:val="single" w:sz="2" w:space="0" w:color="000000"/>
            </w:tcBorders>
            <w:vAlign w:val="bottom"/>
          </w:tcPr>
          <w:p w14:paraId="61E37569" w14:textId="77777777" w:rsidR="00D85B49" w:rsidRPr="00D85B49" w:rsidRDefault="00D85B49" w:rsidP="00D85B49">
            <w:pPr>
              <w:tabs>
                <w:tab w:val="left" w:pos="720"/>
                <w:tab w:val="left" w:pos="1080"/>
                <w:tab w:val="left" w:pos="1440"/>
                <w:tab w:val="left" w:pos="1800"/>
              </w:tabs>
              <w:spacing w:after="0" w:line="264" w:lineRule="auto"/>
              <w:rPr>
                <w:rFonts w:ascii="Arial" w:eastAsia="Times New Roman" w:hAnsi="Arial" w:cs="Times New Roman"/>
                <w:sz w:val="18"/>
                <w:szCs w:val="20"/>
              </w:rPr>
            </w:pPr>
            <w:r w:rsidRPr="00D85B49">
              <w:rPr>
                <w:rFonts w:ascii="Arial" w:eastAsia="Times New Roman" w:hAnsi="Arial" w:cs="Times New Roman"/>
                <w:sz w:val="18"/>
                <w:szCs w:val="20"/>
              </w:rPr>
              <w:t>Total Respondent Burden</w:t>
            </w:r>
          </w:p>
          <w:p w14:paraId="6E1C26F1" w14:textId="77777777" w:rsidR="00D85B49" w:rsidRPr="00D85B49" w:rsidRDefault="00D85B49" w:rsidP="00D85B49">
            <w:pPr>
              <w:tabs>
                <w:tab w:val="left" w:pos="720"/>
                <w:tab w:val="left" w:pos="1080"/>
                <w:tab w:val="left" w:pos="1440"/>
                <w:tab w:val="left" w:pos="1800"/>
              </w:tabs>
              <w:spacing w:after="0" w:line="264" w:lineRule="auto"/>
              <w:rPr>
                <w:rFonts w:ascii="Arial" w:eastAsia="Times New Roman" w:hAnsi="Arial" w:cs="Times New Roman"/>
                <w:sz w:val="18"/>
                <w:szCs w:val="20"/>
              </w:rPr>
            </w:pPr>
            <w:r w:rsidRPr="00D85B49">
              <w:rPr>
                <w:rFonts w:ascii="Arial" w:eastAsia="Times New Roman" w:hAnsi="Arial" w:cs="Times New Roman"/>
                <w:sz w:val="18"/>
                <w:szCs w:val="20"/>
              </w:rPr>
              <w:t>(Minutes)</w:t>
            </w:r>
          </w:p>
        </w:tc>
        <w:tc>
          <w:tcPr>
            <w:tcW w:w="1311" w:type="dxa"/>
            <w:tcBorders>
              <w:top w:val="single" w:sz="2" w:space="0" w:color="000000"/>
              <w:right w:val="single" w:sz="12" w:space="0" w:color="000000"/>
            </w:tcBorders>
            <w:vAlign w:val="bottom"/>
          </w:tcPr>
          <w:p w14:paraId="490ED7AC" w14:textId="77777777" w:rsidR="00D85B49" w:rsidRPr="00D85B49" w:rsidRDefault="00D85B49" w:rsidP="00D85B49">
            <w:pPr>
              <w:tabs>
                <w:tab w:val="left" w:pos="720"/>
                <w:tab w:val="left" w:pos="1080"/>
                <w:tab w:val="left" w:pos="1440"/>
                <w:tab w:val="left" w:pos="1800"/>
              </w:tabs>
              <w:spacing w:after="0" w:line="264" w:lineRule="auto"/>
              <w:rPr>
                <w:rFonts w:ascii="Arial" w:eastAsia="Times New Roman" w:hAnsi="Arial" w:cs="Times New Roman"/>
                <w:sz w:val="18"/>
                <w:szCs w:val="20"/>
              </w:rPr>
            </w:pPr>
            <w:r w:rsidRPr="00D85B49">
              <w:rPr>
                <w:rFonts w:ascii="Arial" w:eastAsia="Times New Roman" w:hAnsi="Arial" w:cs="Times New Roman"/>
                <w:sz w:val="18"/>
                <w:szCs w:val="20"/>
              </w:rPr>
              <w:t>Total Burden per Respondent</w:t>
            </w:r>
          </w:p>
          <w:p w14:paraId="5974BF85" w14:textId="77777777" w:rsidR="00D85B49" w:rsidRPr="00D85B49" w:rsidRDefault="00D85B49" w:rsidP="00D85B49">
            <w:pPr>
              <w:tabs>
                <w:tab w:val="left" w:pos="720"/>
                <w:tab w:val="left" w:pos="1080"/>
                <w:tab w:val="left" w:pos="1440"/>
                <w:tab w:val="left" w:pos="1800"/>
              </w:tabs>
              <w:spacing w:after="0" w:line="264" w:lineRule="auto"/>
              <w:rPr>
                <w:rFonts w:ascii="Arial" w:eastAsia="Times New Roman" w:hAnsi="Arial" w:cs="Times New Roman"/>
                <w:sz w:val="18"/>
                <w:szCs w:val="20"/>
              </w:rPr>
            </w:pPr>
            <w:r w:rsidRPr="00D85B49">
              <w:rPr>
                <w:rFonts w:ascii="Arial" w:eastAsia="Times New Roman" w:hAnsi="Arial" w:cs="Times New Roman"/>
                <w:sz w:val="18"/>
                <w:szCs w:val="20"/>
              </w:rPr>
              <w:t>(Minutes)</w:t>
            </w:r>
          </w:p>
        </w:tc>
        <w:tc>
          <w:tcPr>
            <w:tcW w:w="1311" w:type="dxa"/>
            <w:tcBorders>
              <w:top w:val="single" w:sz="2" w:space="0" w:color="000000"/>
              <w:left w:val="single" w:sz="12" w:space="0" w:color="000000"/>
              <w:bottom w:val="single" w:sz="2" w:space="0" w:color="000000"/>
              <w:right w:val="single" w:sz="12" w:space="0" w:color="000000"/>
            </w:tcBorders>
            <w:vAlign w:val="bottom"/>
          </w:tcPr>
          <w:p w14:paraId="6EE42994" w14:textId="77777777" w:rsidR="00D85B49" w:rsidRPr="00D85B49" w:rsidRDefault="00D85B49" w:rsidP="00D85B49">
            <w:pPr>
              <w:tabs>
                <w:tab w:val="left" w:pos="720"/>
                <w:tab w:val="left" w:pos="1080"/>
                <w:tab w:val="left" w:pos="1440"/>
                <w:tab w:val="left" w:pos="1800"/>
              </w:tabs>
              <w:spacing w:after="0" w:line="264" w:lineRule="auto"/>
              <w:rPr>
                <w:rFonts w:ascii="Arial" w:eastAsia="Times New Roman" w:hAnsi="Arial" w:cs="Times New Roman"/>
                <w:sz w:val="18"/>
                <w:szCs w:val="20"/>
              </w:rPr>
            </w:pPr>
          </w:p>
          <w:p w14:paraId="421C11EB" w14:textId="77777777" w:rsidR="00D85B49" w:rsidRPr="00D85B49" w:rsidRDefault="00D85B49" w:rsidP="00D85B49">
            <w:pPr>
              <w:tabs>
                <w:tab w:val="left" w:pos="720"/>
                <w:tab w:val="left" w:pos="1080"/>
                <w:tab w:val="left" w:pos="1440"/>
                <w:tab w:val="left" w:pos="1800"/>
              </w:tabs>
              <w:spacing w:after="0" w:line="264" w:lineRule="auto"/>
              <w:rPr>
                <w:rFonts w:ascii="Arial" w:eastAsia="Times New Roman" w:hAnsi="Arial" w:cs="Times New Roman"/>
                <w:sz w:val="18"/>
                <w:szCs w:val="20"/>
              </w:rPr>
            </w:pPr>
            <w:r w:rsidRPr="00D85B49">
              <w:rPr>
                <w:rFonts w:ascii="Arial" w:eastAsia="Times New Roman" w:hAnsi="Arial" w:cs="Times New Roman"/>
                <w:sz w:val="18"/>
                <w:szCs w:val="20"/>
              </w:rPr>
              <w:t xml:space="preserve">Total </w:t>
            </w:r>
          </w:p>
          <w:p w14:paraId="49E847A7" w14:textId="77777777" w:rsidR="00D85B49" w:rsidRPr="00D85B49" w:rsidRDefault="00D85B49" w:rsidP="00D85B49">
            <w:pPr>
              <w:tabs>
                <w:tab w:val="left" w:pos="720"/>
                <w:tab w:val="left" w:pos="1080"/>
                <w:tab w:val="left" w:pos="1440"/>
                <w:tab w:val="left" w:pos="1800"/>
              </w:tabs>
              <w:spacing w:after="0" w:line="264" w:lineRule="auto"/>
              <w:rPr>
                <w:rFonts w:ascii="Arial" w:eastAsia="Times New Roman" w:hAnsi="Arial" w:cs="Times New Roman"/>
                <w:sz w:val="18"/>
                <w:szCs w:val="20"/>
              </w:rPr>
            </w:pPr>
            <w:r w:rsidRPr="00D85B49">
              <w:rPr>
                <w:rFonts w:ascii="Arial" w:eastAsia="Times New Roman" w:hAnsi="Arial" w:cs="Times New Roman"/>
                <w:sz w:val="18"/>
                <w:szCs w:val="20"/>
              </w:rPr>
              <w:t>Respondent Burden</w:t>
            </w:r>
          </w:p>
          <w:p w14:paraId="6F119EFE" w14:textId="77777777" w:rsidR="00D85B49" w:rsidRPr="00D85B49" w:rsidRDefault="00D85B49" w:rsidP="00D85B49">
            <w:pPr>
              <w:tabs>
                <w:tab w:val="left" w:pos="720"/>
                <w:tab w:val="left" w:pos="1080"/>
                <w:tab w:val="left" w:pos="1440"/>
                <w:tab w:val="left" w:pos="1800"/>
              </w:tabs>
              <w:spacing w:after="0" w:line="264" w:lineRule="auto"/>
              <w:rPr>
                <w:rFonts w:ascii="Arial" w:eastAsia="Times New Roman" w:hAnsi="Arial" w:cs="Times New Roman"/>
                <w:sz w:val="18"/>
                <w:szCs w:val="20"/>
              </w:rPr>
            </w:pPr>
            <w:r w:rsidRPr="00D85B49">
              <w:rPr>
                <w:rFonts w:ascii="Arial" w:eastAsia="Times New Roman" w:hAnsi="Arial" w:cs="Times New Roman"/>
                <w:sz w:val="18"/>
                <w:szCs w:val="20"/>
              </w:rPr>
              <w:t>(Hours)</w:t>
            </w:r>
          </w:p>
        </w:tc>
      </w:tr>
      <w:tr w:rsidR="00D85B49" w:rsidRPr="00D85B49" w14:paraId="334B165B" w14:textId="77777777" w:rsidTr="00277B5D">
        <w:tc>
          <w:tcPr>
            <w:tcW w:w="1310" w:type="dxa"/>
          </w:tcPr>
          <w:p w14:paraId="26621C48" w14:textId="77777777" w:rsidR="00D85B49" w:rsidRPr="00D85B49" w:rsidRDefault="00D85B49" w:rsidP="00D85B49">
            <w:pPr>
              <w:tabs>
                <w:tab w:val="left" w:pos="720"/>
                <w:tab w:val="left" w:pos="1080"/>
                <w:tab w:val="left" w:pos="1440"/>
                <w:tab w:val="left" w:pos="1800"/>
              </w:tabs>
              <w:spacing w:after="0" w:line="264" w:lineRule="auto"/>
              <w:rPr>
                <w:rFonts w:ascii="Arial" w:eastAsia="Times New Roman" w:hAnsi="Arial" w:cs="Times New Roman"/>
                <w:sz w:val="18"/>
                <w:szCs w:val="20"/>
              </w:rPr>
            </w:pPr>
          </w:p>
          <w:p w14:paraId="1CE3B326" w14:textId="77777777" w:rsidR="00D85B49" w:rsidRPr="00D85B49" w:rsidRDefault="00D85B49" w:rsidP="00D85B49">
            <w:pPr>
              <w:tabs>
                <w:tab w:val="left" w:pos="720"/>
                <w:tab w:val="left" w:pos="1080"/>
                <w:tab w:val="left" w:pos="1440"/>
                <w:tab w:val="left" w:pos="1800"/>
              </w:tabs>
              <w:spacing w:after="0" w:line="264" w:lineRule="auto"/>
              <w:rPr>
                <w:rFonts w:ascii="Arial" w:eastAsia="Times New Roman" w:hAnsi="Arial" w:cs="Times New Roman"/>
                <w:sz w:val="18"/>
                <w:szCs w:val="20"/>
              </w:rPr>
            </w:pPr>
          </w:p>
        </w:tc>
        <w:tc>
          <w:tcPr>
            <w:tcW w:w="1311" w:type="dxa"/>
          </w:tcPr>
          <w:p w14:paraId="665C8D19" w14:textId="77777777" w:rsidR="00D85B49" w:rsidRPr="00D85B49" w:rsidRDefault="00D85B49" w:rsidP="00D85B49">
            <w:pPr>
              <w:tabs>
                <w:tab w:val="left" w:pos="720"/>
                <w:tab w:val="left" w:pos="1080"/>
                <w:tab w:val="left" w:pos="1440"/>
                <w:tab w:val="left" w:pos="1800"/>
              </w:tabs>
              <w:spacing w:after="0" w:line="264" w:lineRule="auto"/>
              <w:rPr>
                <w:rFonts w:ascii="Arial" w:eastAsia="Times New Roman" w:hAnsi="Arial" w:cs="Times New Roman"/>
                <w:sz w:val="18"/>
                <w:szCs w:val="20"/>
              </w:rPr>
            </w:pPr>
          </w:p>
          <w:p w14:paraId="079DDF30" w14:textId="77777777" w:rsidR="00D85B49" w:rsidRPr="00D85B49" w:rsidRDefault="00D85B49" w:rsidP="00D85B49">
            <w:pPr>
              <w:tabs>
                <w:tab w:val="left" w:pos="720"/>
                <w:tab w:val="left" w:pos="1080"/>
                <w:tab w:val="left" w:pos="1440"/>
                <w:tab w:val="left" w:pos="1800"/>
              </w:tabs>
              <w:spacing w:after="0" w:line="264" w:lineRule="auto"/>
              <w:rPr>
                <w:rFonts w:ascii="Arial" w:eastAsia="Times New Roman" w:hAnsi="Arial" w:cs="Times New Roman"/>
                <w:sz w:val="18"/>
                <w:szCs w:val="20"/>
              </w:rPr>
            </w:pPr>
          </w:p>
        </w:tc>
        <w:tc>
          <w:tcPr>
            <w:tcW w:w="1311" w:type="dxa"/>
          </w:tcPr>
          <w:p w14:paraId="4E87E584" w14:textId="77777777" w:rsidR="00D85B49" w:rsidRPr="00D85B49" w:rsidRDefault="00D85B49" w:rsidP="00D85B49">
            <w:pPr>
              <w:tabs>
                <w:tab w:val="left" w:pos="720"/>
                <w:tab w:val="left" w:pos="1080"/>
                <w:tab w:val="left" w:pos="1440"/>
                <w:tab w:val="left" w:pos="1800"/>
              </w:tabs>
              <w:spacing w:after="0" w:line="264" w:lineRule="auto"/>
              <w:rPr>
                <w:rFonts w:ascii="Arial" w:eastAsia="Times New Roman" w:hAnsi="Arial" w:cs="Times New Roman"/>
                <w:sz w:val="18"/>
                <w:szCs w:val="20"/>
              </w:rPr>
            </w:pPr>
          </w:p>
          <w:p w14:paraId="4E7CD1D1" w14:textId="77777777" w:rsidR="00D85B49" w:rsidRPr="00D85B49" w:rsidRDefault="00D85B49" w:rsidP="00D85B49">
            <w:pPr>
              <w:tabs>
                <w:tab w:val="left" w:pos="720"/>
                <w:tab w:val="left" w:pos="1080"/>
                <w:tab w:val="left" w:pos="1440"/>
                <w:tab w:val="left" w:pos="1800"/>
              </w:tabs>
              <w:spacing w:after="0" w:line="264" w:lineRule="auto"/>
              <w:rPr>
                <w:rFonts w:ascii="Arial" w:eastAsia="Times New Roman" w:hAnsi="Arial" w:cs="Times New Roman"/>
                <w:sz w:val="18"/>
                <w:szCs w:val="20"/>
              </w:rPr>
            </w:pPr>
            <w:r w:rsidRPr="00D85B49">
              <w:rPr>
                <w:rFonts w:ascii="Arial" w:eastAsia="Times New Roman" w:hAnsi="Arial" w:cs="Times New Roman"/>
                <w:sz w:val="18"/>
                <w:szCs w:val="20"/>
              </w:rPr>
              <w:t>(A*B)</w:t>
            </w:r>
          </w:p>
        </w:tc>
        <w:tc>
          <w:tcPr>
            <w:tcW w:w="1311" w:type="dxa"/>
          </w:tcPr>
          <w:p w14:paraId="258A291A" w14:textId="77777777" w:rsidR="00D85B49" w:rsidRPr="00D85B49" w:rsidRDefault="00D85B49" w:rsidP="00D85B49">
            <w:pPr>
              <w:tabs>
                <w:tab w:val="left" w:pos="720"/>
                <w:tab w:val="left" w:pos="1080"/>
                <w:tab w:val="left" w:pos="1440"/>
                <w:tab w:val="left" w:pos="1800"/>
              </w:tabs>
              <w:spacing w:after="0" w:line="264" w:lineRule="auto"/>
              <w:rPr>
                <w:rFonts w:ascii="Arial" w:eastAsia="Times New Roman" w:hAnsi="Arial" w:cs="Times New Roman"/>
                <w:sz w:val="18"/>
                <w:szCs w:val="20"/>
              </w:rPr>
            </w:pPr>
          </w:p>
          <w:p w14:paraId="40578CAF" w14:textId="77777777" w:rsidR="00D85B49" w:rsidRPr="00D85B49" w:rsidRDefault="00D85B49" w:rsidP="00D85B49">
            <w:pPr>
              <w:tabs>
                <w:tab w:val="left" w:pos="720"/>
                <w:tab w:val="left" w:pos="1080"/>
                <w:tab w:val="left" w:pos="1440"/>
                <w:tab w:val="left" w:pos="1800"/>
              </w:tabs>
              <w:spacing w:after="0" w:line="264" w:lineRule="auto"/>
              <w:rPr>
                <w:rFonts w:ascii="Arial" w:eastAsia="Times New Roman" w:hAnsi="Arial" w:cs="Times New Roman"/>
                <w:sz w:val="18"/>
                <w:szCs w:val="20"/>
              </w:rPr>
            </w:pPr>
          </w:p>
        </w:tc>
        <w:tc>
          <w:tcPr>
            <w:tcW w:w="1311" w:type="dxa"/>
          </w:tcPr>
          <w:p w14:paraId="79BCDEED" w14:textId="77777777" w:rsidR="00D85B49" w:rsidRPr="00D85B49" w:rsidRDefault="00D85B49" w:rsidP="00D85B49">
            <w:pPr>
              <w:tabs>
                <w:tab w:val="left" w:pos="720"/>
                <w:tab w:val="left" w:pos="1080"/>
                <w:tab w:val="left" w:pos="1440"/>
                <w:tab w:val="left" w:pos="1800"/>
              </w:tabs>
              <w:spacing w:after="0" w:line="264" w:lineRule="auto"/>
              <w:rPr>
                <w:rFonts w:ascii="Arial" w:eastAsia="Times New Roman" w:hAnsi="Arial" w:cs="Times New Roman"/>
                <w:sz w:val="18"/>
                <w:szCs w:val="20"/>
              </w:rPr>
            </w:pPr>
          </w:p>
          <w:p w14:paraId="5DC123A1" w14:textId="77777777" w:rsidR="00D85B49" w:rsidRPr="00D85B49" w:rsidRDefault="00D85B49" w:rsidP="00D85B49">
            <w:pPr>
              <w:tabs>
                <w:tab w:val="left" w:pos="720"/>
                <w:tab w:val="left" w:pos="1080"/>
                <w:tab w:val="left" w:pos="1440"/>
                <w:tab w:val="left" w:pos="1800"/>
              </w:tabs>
              <w:spacing w:after="0" w:line="264" w:lineRule="auto"/>
              <w:rPr>
                <w:rFonts w:ascii="Arial" w:eastAsia="Times New Roman" w:hAnsi="Arial" w:cs="Times New Roman"/>
                <w:sz w:val="18"/>
                <w:szCs w:val="20"/>
              </w:rPr>
            </w:pPr>
            <w:r w:rsidRPr="00D85B49">
              <w:rPr>
                <w:rFonts w:ascii="Arial" w:eastAsia="Times New Roman" w:hAnsi="Arial" w:cs="Times New Roman"/>
                <w:sz w:val="18"/>
                <w:szCs w:val="20"/>
              </w:rPr>
              <w:t>(C*D)</w:t>
            </w:r>
          </w:p>
        </w:tc>
        <w:tc>
          <w:tcPr>
            <w:tcW w:w="1311" w:type="dxa"/>
            <w:tcBorders>
              <w:right w:val="single" w:sz="12" w:space="0" w:color="000000"/>
            </w:tcBorders>
          </w:tcPr>
          <w:p w14:paraId="5580C94E" w14:textId="77777777" w:rsidR="00D85B49" w:rsidRPr="00D85B49" w:rsidRDefault="00D85B49" w:rsidP="00D85B49">
            <w:pPr>
              <w:tabs>
                <w:tab w:val="left" w:pos="720"/>
                <w:tab w:val="left" w:pos="1080"/>
                <w:tab w:val="left" w:pos="1440"/>
                <w:tab w:val="left" w:pos="1800"/>
              </w:tabs>
              <w:spacing w:after="0" w:line="264" w:lineRule="auto"/>
              <w:rPr>
                <w:rFonts w:ascii="Arial" w:eastAsia="Times New Roman" w:hAnsi="Arial" w:cs="Times New Roman"/>
                <w:sz w:val="18"/>
                <w:szCs w:val="20"/>
              </w:rPr>
            </w:pPr>
          </w:p>
          <w:p w14:paraId="48B78BCE" w14:textId="77777777" w:rsidR="00D85B49" w:rsidRPr="00D85B49" w:rsidRDefault="00D85B49" w:rsidP="00D85B49">
            <w:pPr>
              <w:tabs>
                <w:tab w:val="left" w:pos="720"/>
                <w:tab w:val="left" w:pos="1080"/>
                <w:tab w:val="left" w:pos="1440"/>
                <w:tab w:val="left" w:pos="1800"/>
              </w:tabs>
              <w:spacing w:after="0" w:line="264" w:lineRule="auto"/>
              <w:rPr>
                <w:rFonts w:ascii="Arial" w:eastAsia="Times New Roman" w:hAnsi="Arial" w:cs="Times New Roman"/>
                <w:sz w:val="18"/>
                <w:szCs w:val="20"/>
              </w:rPr>
            </w:pPr>
            <w:r w:rsidRPr="00D85B49">
              <w:rPr>
                <w:rFonts w:ascii="Arial" w:eastAsia="Times New Roman" w:hAnsi="Arial" w:cs="Times New Roman"/>
                <w:sz w:val="18"/>
                <w:szCs w:val="20"/>
              </w:rPr>
              <w:t>(B*D)</w:t>
            </w:r>
          </w:p>
        </w:tc>
        <w:tc>
          <w:tcPr>
            <w:tcW w:w="1311" w:type="dxa"/>
            <w:tcBorders>
              <w:top w:val="single" w:sz="2" w:space="0" w:color="000000"/>
              <w:left w:val="single" w:sz="12" w:space="0" w:color="000000"/>
              <w:bottom w:val="single" w:sz="2" w:space="0" w:color="000000"/>
              <w:right w:val="single" w:sz="12" w:space="0" w:color="000000"/>
            </w:tcBorders>
          </w:tcPr>
          <w:p w14:paraId="447B28D7" w14:textId="77777777" w:rsidR="00D85B49" w:rsidRPr="00D85B49" w:rsidRDefault="00D85B49" w:rsidP="00D85B49">
            <w:pPr>
              <w:tabs>
                <w:tab w:val="left" w:pos="720"/>
                <w:tab w:val="left" w:pos="1080"/>
                <w:tab w:val="left" w:pos="1440"/>
                <w:tab w:val="left" w:pos="1800"/>
              </w:tabs>
              <w:spacing w:after="0" w:line="264" w:lineRule="auto"/>
              <w:rPr>
                <w:rFonts w:ascii="Arial" w:eastAsia="Times New Roman" w:hAnsi="Arial" w:cs="Times New Roman"/>
                <w:sz w:val="18"/>
                <w:szCs w:val="20"/>
              </w:rPr>
            </w:pPr>
          </w:p>
          <w:p w14:paraId="43DA9320" w14:textId="77777777" w:rsidR="00D85B49" w:rsidRPr="00D85B49" w:rsidRDefault="00D85B49" w:rsidP="00D85B49">
            <w:pPr>
              <w:tabs>
                <w:tab w:val="left" w:pos="720"/>
                <w:tab w:val="left" w:pos="1080"/>
                <w:tab w:val="left" w:pos="1440"/>
                <w:tab w:val="left" w:pos="1800"/>
              </w:tabs>
              <w:spacing w:after="0" w:line="264" w:lineRule="auto"/>
              <w:rPr>
                <w:rFonts w:ascii="Arial" w:eastAsia="Times New Roman" w:hAnsi="Arial" w:cs="Times New Roman"/>
                <w:sz w:val="18"/>
                <w:szCs w:val="20"/>
              </w:rPr>
            </w:pPr>
            <w:r w:rsidRPr="00D85B49">
              <w:rPr>
                <w:rFonts w:ascii="Arial" w:eastAsia="Times New Roman" w:hAnsi="Arial" w:cs="Times New Roman"/>
                <w:sz w:val="18"/>
                <w:szCs w:val="20"/>
              </w:rPr>
              <w:t>(E/60)</w:t>
            </w:r>
          </w:p>
        </w:tc>
      </w:tr>
      <w:tr w:rsidR="00D85B49" w:rsidRPr="00D85B49" w14:paraId="4A1DC182" w14:textId="77777777" w:rsidTr="00277B5D">
        <w:trPr>
          <w:trHeight w:val="485"/>
        </w:trPr>
        <w:tc>
          <w:tcPr>
            <w:tcW w:w="1310" w:type="dxa"/>
            <w:vAlign w:val="center"/>
          </w:tcPr>
          <w:p w14:paraId="62A571D4" w14:textId="77777777" w:rsidR="00D85B49" w:rsidRPr="00D85B49" w:rsidRDefault="00D85B49" w:rsidP="00D85B49">
            <w:pPr>
              <w:tabs>
                <w:tab w:val="left" w:pos="720"/>
                <w:tab w:val="left" w:pos="1080"/>
                <w:tab w:val="left" w:pos="1440"/>
                <w:tab w:val="left" w:pos="1800"/>
              </w:tabs>
              <w:spacing w:after="0" w:line="264" w:lineRule="auto"/>
              <w:jc w:val="center"/>
              <w:rPr>
                <w:rFonts w:ascii="Arial" w:eastAsia="Times New Roman" w:hAnsi="Arial" w:cs="Times New Roman"/>
                <w:sz w:val="20"/>
                <w:szCs w:val="20"/>
              </w:rPr>
            </w:pPr>
            <w:r w:rsidRPr="00D85B49">
              <w:rPr>
                <w:rFonts w:ascii="Calibri" w:eastAsia="Times New Roman" w:hAnsi="Calibri" w:cs="Calibri"/>
                <w:color w:val="000000"/>
              </w:rPr>
              <w:t>3,105</w:t>
            </w:r>
          </w:p>
        </w:tc>
        <w:tc>
          <w:tcPr>
            <w:tcW w:w="1311" w:type="dxa"/>
            <w:vAlign w:val="center"/>
          </w:tcPr>
          <w:p w14:paraId="000CCAE1" w14:textId="77777777" w:rsidR="00D85B49" w:rsidRPr="00D85B49" w:rsidRDefault="00D85B49" w:rsidP="00D85B49">
            <w:pPr>
              <w:tabs>
                <w:tab w:val="left" w:pos="720"/>
                <w:tab w:val="left" w:pos="1080"/>
                <w:tab w:val="left" w:pos="1440"/>
                <w:tab w:val="left" w:pos="1800"/>
              </w:tabs>
              <w:spacing w:after="0" w:line="264" w:lineRule="auto"/>
              <w:jc w:val="center"/>
              <w:rPr>
                <w:rFonts w:ascii="Arial" w:eastAsia="Times New Roman" w:hAnsi="Arial" w:cs="Times New Roman"/>
                <w:sz w:val="20"/>
                <w:szCs w:val="20"/>
              </w:rPr>
            </w:pPr>
            <w:r w:rsidRPr="00D85B49">
              <w:rPr>
                <w:rFonts w:ascii="Arial" w:eastAsia="Times New Roman" w:hAnsi="Arial" w:cs="Times New Roman"/>
                <w:sz w:val="20"/>
                <w:szCs w:val="20"/>
              </w:rPr>
              <w:t>10</w:t>
            </w:r>
          </w:p>
        </w:tc>
        <w:tc>
          <w:tcPr>
            <w:tcW w:w="1311" w:type="dxa"/>
            <w:vAlign w:val="center"/>
          </w:tcPr>
          <w:p w14:paraId="05CFCCB2" w14:textId="77777777" w:rsidR="00D85B49" w:rsidRPr="00D85B49" w:rsidRDefault="00D85B49" w:rsidP="00D85B49">
            <w:pPr>
              <w:spacing w:after="0" w:line="240" w:lineRule="auto"/>
              <w:jc w:val="center"/>
              <w:rPr>
                <w:rFonts w:ascii="Arial" w:eastAsia="Times New Roman" w:hAnsi="Arial" w:cs="Arial"/>
                <w:sz w:val="20"/>
                <w:szCs w:val="20"/>
              </w:rPr>
            </w:pPr>
            <w:r w:rsidRPr="00D85B49">
              <w:rPr>
                <w:rFonts w:ascii="Arial" w:eastAsia="Times New Roman" w:hAnsi="Arial" w:cs="Arial"/>
                <w:sz w:val="20"/>
                <w:szCs w:val="20"/>
              </w:rPr>
              <w:t>31,050</w:t>
            </w:r>
          </w:p>
        </w:tc>
        <w:tc>
          <w:tcPr>
            <w:tcW w:w="1311" w:type="dxa"/>
            <w:vAlign w:val="center"/>
          </w:tcPr>
          <w:p w14:paraId="0FEC6990" w14:textId="75BDFE3F" w:rsidR="00D85B49" w:rsidRPr="00D85B49" w:rsidRDefault="001622D9" w:rsidP="00D85B49">
            <w:pPr>
              <w:tabs>
                <w:tab w:val="left" w:pos="720"/>
                <w:tab w:val="left" w:pos="1080"/>
                <w:tab w:val="left" w:pos="1440"/>
                <w:tab w:val="left" w:pos="1800"/>
              </w:tabs>
              <w:spacing w:after="0" w:line="264" w:lineRule="auto"/>
              <w:jc w:val="center"/>
              <w:rPr>
                <w:rFonts w:ascii="Arial" w:eastAsia="Times New Roman" w:hAnsi="Arial" w:cs="Times New Roman"/>
                <w:sz w:val="20"/>
                <w:szCs w:val="20"/>
              </w:rPr>
            </w:pPr>
            <w:r>
              <w:rPr>
                <w:rFonts w:ascii="Arial" w:eastAsia="Times New Roman" w:hAnsi="Arial" w:cs="Times New Roman"/>
                <w:sz w:val="20"/>
                <w:szCs w:val="20"/>
              </w:rPr>
              <w:t>1</w:t>
            </w:r>
          </w:p>
        </w:tc>
        <w:tc>
          <w:tcPr>
            <w:tcW w:w="1311" w:type="dxa"/>
            <w:vAlign w:val="center"/>
          </w:tcPr>
          <w:p w14:paraId="7B9A707A" w14:textId="14CF9BAB" w:rsidR="00D85B49" w:rsidRPr="00D85B49" w:rsidRDefault="001622D9" w:rsidP="00D85B49">
            <w:pPr>
              <w:tabs>
                <w:tab w:val="left" w:pos="720"/>
                <w:tab w:val="left" w:pos="1080"/>
                <w:tab w:val="left" w:pos="1440"/>
                <w:tab w:val="left" w:pos="1800"/>
              </w:tabs>
              <w:spacing w:after="0" w:line="264" w:lineRule="auto"/>
              <w:jc w:val="center"/>
              <w:rPr>
                <w:rFonts w:ascii="Arial" w:eastAsia="Times New Roman" w:hAnsi="Arial" w:cs="Times New Roman"/>
                <w:sz w:val="20"/>
                <w:szCs w:val="20"/>
              </w:rPr>
            </w:pPr>
            <w:r>
              <w:rPr>
                <w:rFonts w:ascii="Arial" w:eastAsia="Times New Roman" w:hAnsi="Arial" w:cs="Times New Roman"/>
                <w:sz w:val="20"/>
                <w:szCs w:val="20"/>
              </w:rPr>
              <w:t>31,050</w:t>
            </w:r>
          </w:p>
        </w:tc>
        <w:tc>
          <w:tcPr>
            <w:tcW w:w="1311" w:type="dxa"/>
            <w:tcBorders>
              <w:right w:val="single" w:sz="12" w:space="0" w:color="000000"/>
            </w:tcBorders>
            <w:vAlign w:val="center"/>
          </w:tcPr>
          <w:p w14:paraId="6ED9E4AF" w14:textId="7B93AE6F" w:rsidR="00D85B49" w:rsidRPr="00D85B49" w:rsidRDefault="001622D9" w:rsidP="00D85B49">
            <w:pPr>
              <w:tabs>
                <w:tab w:val="left" w:pos="720"/>
                <w:tab w:val="left" w:pos="1080"/>
                <w:tab w:val="left" w:pos="1440"/>
                <w:tab w:val="left" w:pos="1800"/>
              </w:tabs>
              <w:spacing w:after="0" w:line="264" w:lineRule="auto"/>
              <w:jc w:val="center"/>
              <w:rPr>
                <w:rFonts w:ascii="Arial" w:eastAsia="Times New Roman" w:hAnsi="Arial" w:cs="Times New Roman"/>
                <w:sz w:val="20"/>
                <w:szCs w:val="20"/>
              </w:rPr>
            </w:pPr>
            <w:r>
              <w:rPr>
                <w:rFonts w:ascii="Arial" w:eastAsia="Times New Roman" w:hAnsi="Arial" w:cs="Times New Roman"/>
                <w:sz w:val="20"/>
                <w:szCs w:val="20"/>
              </w:rPr>
              <w:t>31,050</w:t>
            </w:r>
          </w:p>
        </w:tc>
        <w:tc>
          <w:tcPr>
            <w:tcW w:w="1311" w:type="dxa"/>
            <w:tcBorders>
              <w:top w:val="single" w:sz="2" w:space="0" w:color="000000"/>
              <w:left w:val="single" w:sz="12" w:space="0" w:color="000000"/>
              <w:bottom w:val="single" w:sz="12" w:space="0" w:color="000000"/>
              <w:right w:val="single" w:sz="12" w:space="0" w:color="000000"/>
            </w:tcBorders>
            <w:vAlign w:val="center"/>
          </w:tcPr>
          <w:p w14:paraId="3826F8A6" w14:textId="6B97C4D1" w:rsidR="00D85B49" w:rsidRPr="00D85B49" w:rsidRDefault="001622D9" w:rsidP="00D85B49">
            <w:pPr>
              <w:spacing w:after="0" w:line="240" w:lineRule="auto"/>
              <w:jc w:val="center"/>
              <w:rPr>
                <w:rFonts w:ascii="Arial" w:eastAsia="Times New Roman" w:hAnsi="Arial" w:cs="Arial"/>
                <w:sz w:val="20"/>
                <w:szCs w:val="20"/>
              </w:rPr>
            </w:pPr>
            <w:r>
              <w:rPr>
                <w:rFonts w:ascii="Arial" w:eastAsia="Times New Roman" w:hAnsi="Arial" w:cs="Arial"/>
                <w:sz w:val="20"/>
                <w:szCs w:val="20"/>
              </w:rPr>
              <w:t>517.5</w:t>
            </w:r>
          </w:p>
        </w:tc>
      </w:tr>
    </w:tbl>
    <w:p w14:paraId="729583D2" w14:textId="77777777" w:rsidR="00D85B49" w:rsidRPr="00D85B49" w:rsidRDefault="00D85B49" w:rsidP="00D85B49">
      <w:pPr>
        <w:spacing w:before="100" w:beforeAutospacing="1" w:after="100" w:afterAutospacing="1" w:line="288" w:lineRule="atLeast"/>
        <w:ind w:firstLine="1710"/>
        <w:rPr>
          <w:rFonts w:ascii="Times New Roman" w:eastAsia="Times New Roman" w:hAnsi="Times New Roman" w:cs="Times New Roman"/>
          <w:color w:val="FF0000"/>
          <w:sz w:val="24"/>
          <w:szCs w:val="24"/>
        </w:rPr>
      </w:pPr>
    </w:p>
    <w:p w14:paraId="6CEF0932" w14:textId="77777777" w:rsidR="00D85B49" w:rsidRPr="00D85B49" w:rsidRDefault="00D85B49" w:rsidP="00D85B49">
      <w:pPr>
        <w:spacing w:before="100" w:beforeAutospacing="1" w:after="100" w:afterAutospacing="1" w:line="288" w:lineRule="atLeast"/>
        <w:ind w:firstLine="1350"/>
        <w:rPr>
          <w:rFonts w:ascii="Times New Roman" w:eastAsia="Times New Roman" w:hAnsi="Times New Roman" w:cs="Times New Roman"/>
          <w:sz w:val="24"/>
          <w:szCs w:val="24"/>
        </w:rPr>
      </w:pPr>
      <w:bookmarkStart w:id="17" w:name="cp460"/>
      <w:bookmarkEnd w:id="15"/>
      <w:r w:rsidRPr="00D85B49">
        <w:rPr>
          <w:rFonts w:ascii="Times New Roman" w:eastAsia="Times New Roman" w:hAnsi="Times New Roman" w:cs="Times New Roman"/>
          <w:sz w:val="24"/>
          <w:szCs w:val="24"/>
        </w:rPr>
        <w:t>b.</w:t>
      </w:r>
      <w:proofErr w:type="gramStart"/>
      <w:r w:rsidRPr="00D85B49">
        <w:rPr>
          <w:rFonts w:ascii="Times New Roman" w:eastAsia="Times New Roman" w:hAnsi="Times New Roman" w:cs="Times New Roman"/>
          <w:sz w:val="24"/>
          <w:szCs w:val="24"/>
        </w:rPr>
        <w:t xml:space="preserve">  </w:t>
      </w:r>
      <w:r w:rsidRPr="00D85B49">
        <w:rPr>
          <w:rFonts w:ascii="Times New Roman" w:eastAsia="Times New Roman" w:hAnsi="Times New Roman" w:cs="Times New Roman"/>
          <w:sz w:val="24"/>
          <w:szCs w:val="24"/>
          <w:u w:val="single"/>
        </w:rPr>
        <w:t>Labor</w:t>
      </w:r>
      <w:proofErr w:type="gramEnd"/>
      <w:r w:rsidRPr="00D85B49">
        <w:rPr>
          <w:rFonts w:ascii="Times New Roman" w:eastAsia="Times New Roman" w:hAnsi="Times New Roman" w:cs="Times New Roman"/>
          <w:sz w:val="24"/>
          <w:szCs w:val="24"/>
          <w:u w:val="single"/>
        </w:rPr>
        <w:t xml:space="preserve"> Cost of Respondent Burden</w:t>
      </w:r>
    </w:p>
    <w:p w14:paraId="2940B163" w14:textId="351024D6" w:rsidR="00D85B49" w:rsidRPr="00D85B49" w:rsidRDefault="00D85B49" w:rsidP="00D85B49">
      <w:pPr>
        <w:spacing w:before="100" w:beforeAutospacing="1" w:after="100" w:afterAutospacing="1" w:line="288" w:lineRule="atLeast"/>
        <w:ind w:firstLine="720"/>
        <w:rPr>
          <w:rFonts w:ascii="Times New Roman" w:eastAsia="Times New Roman" w:hAnsi="Times New Roman" w:cs="Times New Roman"/>
          <w:sz w:val="24"/>
          <w:szCs w:val="24"/>
        </w:rPr>
      </w:pPr>
      <w:bookmarkStart w:id="18" w:name="cp461"/>
      <w:bookmarkEnd w:id="17"/>
      <w:r w:rsidRPr="00D85B49">
        <w:rPr>
          <w:rFonts w:ascii="Times New Roman" w:eastAsia="Times New Roman" w:hAnsi="Times New Roman" w:cs="Times New Roman"/>
          <w:sz w:val="24"/>
          <w:szCs w:val="24"/>
        </w:rPr>
        <w:t>Exhibit 2 provides information on the estimated cost to complete the data collection survey.  We will survey a total of approximately 3,105 PCMH contractors</w:t>
      </w:r>
      <w:r w:rsidR="00841CBC">
        <w:rPr>
          <w:rFonts w:ascii="Times New Roman" w:eastAsia="Times New Roman" w:hAnsi="Times New Roman" w:cs="Times New Roman"/>
          <w:sz w:val="24"/>
          <w:szCs w:val="24"/>
        </w:rPr>
        <w:t xml:space="preserve"> on</w:t>
      </w:r>
      <w:r w:rsidR="001622D9">
        <w:rPr>
          <w:rFonts w:ascii="Times New Roman" w:eastAsia="Times New Roman" w:hAnsi="Times New Roman" w:cs="Times New Roman"/>
          <w:sz w:val="24"/>
          <w:szCs w:val="24"/>
        </w:rPr>
        <w:t xml:space="preserve"> an </w:t>
      </w:r>
      <w:r w:rsidR="00841CBC">
        <w:rPr>
          <w:rFonts w:ascii="Times New Roman" w:eastAsia="Times New Roman" w:hAnsi="Times New Roman" w:cs="Times New Roman"/>
          <w:sz w:val="24"/>
          <w:szCs w:val="24"/>
        </w:rPr>
        <w:t>annual basis</w:t>
      </w:r>
      <w:r w:rsidRPr="00D85B49">
        <w:rPr>
          <w:rFonts w:ascii="Times New Roman" w:eastAsia="Times New Roman" w:hAnsi="Times New Roman" w:cs="Times New Roman"/>
          <w:sz w:val="24"/>
          <w:szCs w:val="24"/>
        </w:rPr>
        <w:t xml:space="preserve">. </w:t>
      </w:r>
      <w:r w:rsidRPr="00D85B49">
        <w:rPr>
          <w:rFonts w:ascii="Times New Roman" w:eastAsia="Times New Roman" w:hAnsi="Times New Roman" w:cs="Times New Roman"/>
          <w:sz w:val="24"/>
          <w:szCs w:val="24"/>
        </w:rPr>
        <w:lastRenderedPageBreak/>
        <w:t xml:space="preserve">Based on an estimated hourly rate of $30.00 per hour of respondent time, the average cost of the data collection is estimated at $5.00 per respondent </w:t>
      </w:r>
      <w:r w:rsidR="00841CBC">
        <w:rPr>
          <w:rFonts w:ascii="Times New Roman" w:eastAsia="Times New Roman" w:hAnsi="Times New Roman" w:cs="Times New Roman"/>
          <w:sz w:val="24"/>
          <w:szCs w:val="24"/>
        </w:rPr>
        <w:t>an annualized cost of $1</w:t>
      </w:r>
      <w:r w:rsidR="00A95AD5">
        <w:rPr>
          <w:rFonts w:ascii="Times New Roman" w:eastAsia="Times New Roman" w:hAnsi="Times New Roman" w:cs="Times New Roman"/>
          <w:sz w:val="24"/>
          <w:szCs w:val="24"/>
        </w:rPr>
        <w:t>5</w:t>
      </w:r>
      <w:r w:rsidR="00841CBC">
        <w:rPr>
          <w:rFonts w:ascii="Times New Roman" w:eastAsia="Times New Roman" w:hAnsi="Times New Roman" w:cs="Times New Roman"/>
          <w:sz w:val="24"/>
          <w:szCs w:val="24"/>
        </w:rPr>
        <w:t>,</w:t>
      </w:r>
      <w:r w:rsidR="00A95AD5">
        <w:rPr>
          <w:rFonts w:ascii="Times New Roman" w:eastAsia="Times New Roman" w:hAnsi="Times New Roman" w:cs="Times New Roman"/>
          <w:sz w:val="24"/>
          <w:szCs w:val="24"/>
        </w:rPr>
        <w:t>525</w:t>
      </w:r>
      <w:r w:rsidRPr="00D85B49">
        <w:rPr>
          <w:rFonts w:ascii="Times New Roman" w:eastAsia="Times New Roman" w:hAnsi="Times New Roman" w:cs="Times New Roman"/>
          <w:sz w:val="24"/>
          <w:szCs w:val="24"/>
        </w:rPr>
        <w:t>.</w:t>
      </w:r>
    </w:p>
    <w:p w14:paraId="31E1DDEF" w14:textId="77777777" w:rsidR="00D85B49" w:rsidRPr="00D85B49" w:rsidRDefault="00D85B49" w:rsidP="00D85B49">
      <w:pPr>
        <w:spacing w:before="100" w:beforeAutospacing="1" w:after="100" w:afterAutospacing="1" w:line="288" w:lineRule="atLeast"/>
        <w:rPr>
          <w:rFonts w:ascii="Times New Roman" w:eastAsia="Times New Roman" w:hAnsi="Times New Roman" w:cs="Times New Roman"/>
          <w:b/>
          <w:sz w:val="24"/>
          <w:szCs w:val="24"/>
        </w:rPr>
      </w:pPr>
      <w:r w:rsidRPr="00D85B49">
        <w:rPr>
          <w:rFonts w:ascii="Times New Roman" w:eastAsia="Times New Roman" w:hAnsi="Times New Roman" w:cs="Times New Roman"/>
          <w:b/>
          <w:sz w:val="24"/>
          <w:szCs w:val="24"/>
        </w:rPr>
        <w:t>Exhibit 2 – Annual Respondent Cost</w:t>
      </w:r>
    </w:p>
    <w:tbl>
      <w:tblPr>
        <w:tblW w:w="7865" w:type="dxa"/>
        <w:tblInd w:w="87" w:type="dxa"/>
        <w:tblBorders>
          <w:top w:val="single" w:sz="8" w:space="0" w:color="000000"/>
          <w:left w:val="single" w:sz="8" w:space="0" w:color="000000"/>
          <w:bottom w:val="single" w:sz="8" w:space="0" w:color="000000"/>
          <w:right w:val="single" w:sz="8" w:space="0" w:color="000000"/>
          <w:insideH w:val="single" w:sz="2" w:space="0" w:color="000000"/>
          <w:insideV w:val="single" w:sz="2" w:space="0" w:color="000000"/>
        </w:tblBorders>
        <w:tblLayout w:type="fixed"/>
        <w:tblCellMar>
          <w:left w:w="87" w:type="dxa"/>
          <w:right w:w="87" w:type="dxa"/>
        </w:tblCellMar>
        <w:tblLook w:val="0000" w:firstRow="0" w:lastRow="0" w:firstColumn="0" w:lastColumn="0" w:noHBand="0" w:noVBand="0"/>
      </w:tblPr>
      <w:tblGrid>
        <w:gridCol w:w="1310"/>
        <w:gridCol w:w="1311"/>
        <w:gridCol w:w="1311"/>
        <w:gridCol w:w="1311"/>
        <w:gridCol w:w="1311"/>
        <w:gridCol w:w="1311"/>
      </w:tblGrid>
      <w:tr w:rsidR="00841CBC" w:rsidRPr="00D85B49" w14:paraId="7C0ECB77" w14:textId="77777777" w:rsidTr="00841CBC">
        <w:tc>
          <w:tcPr>
            <w:tcW w:w="1310" w:type="dxa"/>
            <w:tcBorders>
              <w:top w:val="single" w:sz="8" w:space="0" w:color="000000"/>
              <w:bottom w:val="single" w:sz="2" w:space="0" w:color="000000"/>
            </w:tcBorders>
            <w:shd w:val="clear" w:color="C0C0C0" w:fill="E6E6E6"/>
            <w:vAlign w:val="bottom"/>
          </w:tcPr>
          <w:p w14:paraId="410BF1CA" w14:textId="77777777" w:rsidR="00841CBC" w:rsidRPr="00D85B49" w:rsidRDefault="00841CBC" w:rsidP="00841CBC">
            <w:pPr>
              <w:tabs>
                <w:tab w:val="left" w:pos="720"/>
                <w:tab w:val="left" w:pos="1080"/>
                <w:tab w:val="left" w:pos="1440"/>
                <w:tab w:val="left" w:pos="1800"/>
              </w:tabs>
              <w:spacing w:after="0" w:line="264" w:lineRule="auto"/>
              <w:jc w:val="center"/>
              <w:rPr>
                <w:rFonts w:ascii="Arial" w:eastAsia="Times New Roman" w:hAnsi="Arial" w:cs="Times New Roman"/>
                <w:sz w:val="20"/>
                <w:szCs w:val="20"/>
              </w:rPr>
            </w:pPr>
          </w:p>
          <w:p w14:paraId="0247B5AB" w14:textId="77777777" w:rsidR="00841CBC" w:rsidRPr="00D85B49" w:rsidRDefault="00841CBC" w:rsidP="00841CBC">
            <w:pPr>
              <w:tabs>
                <w:tab w:val="left" w:pos="720"/>
                <w:tab w:val="left" w:pos="1080"/>
                <w:tab w:val="left" w:pos="1440"/>
                <w:tab w:val="left" w:pos="1800"/>
              </w:tabs>
              <w:spacing w:after="0" w:line="264" w:lineRule="auto"/>
              <w:jc w:val="center"/>
              <w:rPr>
                <w:rFonts w:ascii="Arial" w:eastAsia="Times New Roman" w:hAnsi="Arial" w:cs="Times New Roman"/>
                <w:b/>
                <w:sz w:val="20"/>
                <w:szCs w:val="20"/>
              </w:rPr>
            </w:pPr>
            <w:r w:rsidRPr="00D85B49">
              <w:rPr>
                <w:rFonts w:ascii="Arial" w:eastAsia="Times New Roman" w:hAnsi="Arial" w:cs="Times New Roman"/>
                <w:b/>
                <w:sz w:val="20"/>
                <w:szCs w:val="20"/>
              </w:rPr>
              <w:t>A</w:t>
            </w:r>
          </w:p>
        </w:tc>
        <w:tc>
          <w:tcPr>
            <w:tcW w:w="1311" w:type="dxa"/>
            <w:tcBorders>
              <w:top w:val="single" w:sz="8" w:space="0" w:color="000000"/>
              <w:bottom w:val="single" w:sz="2" w:space="0" w:color="000000"/>
            </w:tcBorders>
            <w:shd w:val="clear" w:color="C0C0C0" w:fill="E6E6E6"/>
            <w:vAlign w:val="bottom"/>
          </w:tcPr>
          <w:p w14:paraId="14110816" w14:textId="77777777" w:rsidR="00841CBC" w:rsidRPr="00D85B49" w:rsidRDefault="00841CBC" w:rsidP="00841CBC">
            <w:pPr>
              <w:tabs>
                <w:tab w:val="left" w:pos="720"/>
                <w:tab w:val="left" w:pos="1080"/>
                <w:tab w:val="left" w:pos="1440"/>
                <w:tab w:val="left" w:pos="1800"/>
              </w:tabs>
              <w:spacing w:after="0" w:line="264" w:lineRule="auto"/>
              <w:jc w:val="center"/>
              <w:rPr>
                <w:rFonts w:ascii="Arial" w:eastAsia="Times New Roman" w:hAnsi="Arial" w:cs="Times New Roman"/>
                <w:b/>
                <w:sz w:val="20"/>
                <w:szCs w:val="20"/>
              </w:rPr>
            </w:pPr>
          </w:p>
          <w:p w14:paraId="6C6FF8DA" w14:textId="77777777" w:rsidR="00841CBC" w:rsidRPr="00D85B49" w:rsidRDefault="00841CBC" w:rsidP="00841CBC">
            <w:pPr>
              <w:tabs>
                <w:tab w:val="left" w:pos="720"/>
                <w:tab w:val="left" w:pos="1080"/>
                <w:tab w:val="left" w:pos="1440"/>
                <w:tab w:val="left" w:pos="1800"/>
              </w:tabs>
              <w:spacing w:after="0" w:line="264" w:lineRule="auto"/>
              <w:jc w:val="center"/>
              <w:rPr>
                <w:rFonts w:ascii="Arial" w:eastAsia="Times New Roman" w:hAnsi="Arial" w:cs="Times New Roman"/>
                <w:b/>
                <w:sz w:val="20"/>
                <w:szCs w:val="20"/>
              </w:rPr>
            </w:pPr>
            <w:r w:rsidRPr="00D85B49">
              <w:rPr>
                <w:rFonts w:ascii="Arial" w:eastAsia="Times New Roman" w:hAnsi="Arial" w:cs="Times New Roman"/>
                <w:b/>
                <w:sz w:val="20"/>
                <w:szCs w:val="20"/>
              </w:rPr>
              <w:t>B</w:t>
            </w:r>
          </w:p>
        </w:tc>
        <w:tc>
          <w:tcPr>
            <w:tcW w:w="1311" w:type="dxa"/>
            <w:tcBorders>
              <w:top w:val="single" w:sz="8" w:space="0" w:color="000000"/>
              <w:bottom w:val="single" w:sz="2" w:space="0" w:color="000000"/>
            </w:tcBorders>
            <w:shd w:val="clear" w:color="C0C0C0" w:fill="E6E6E6"/>
            <w:vAlign w:val="bottom"/>
          </w:tcPr>
          <w:p w14:paraId="1EAAB144" w14:textId="77777777" w:rsidR="00841CBC" w:rsidRPr="00D85B49" w:rsidRDefault="00841CBC" w:rsidP="00841CBC">
            <w:pPr>
              <w:tabs>
                <w:tab w:val="left" w:pos="720"/>
                <w:tab w:val="left" w:pos="1080"/>
                <w:tab w:val="left" w:pos="1440"/>
                <w:tab w:val="left" w:pos="1800"/>
              </w:tabs>
              <w:spacing w:after="0" w:line="264" w:lineRule="auto"/>
              <w:jc w:val="center"/>
              <w:rPr>
                <w:rFonts w:ascii="Arial" w:eastAsia="Times New Roman" w:hAnsi="Arial" w:cs="Times New Roman"/>
                <w:b/>
                <w:sz w:val="20"/>
                <w:szCs w:val="20"/>
              </w:rPr>
            </w:pPr>
          </w:p>
          <w:p w14:paraId="155F511A" w14:textId="77777777" w:rsidR="00841CBC" w:rsidRPr="00D85B49" w:rsidRDefault="00841CBC" w:rsidP="00841CBC">
            <w:pPr>
              <w:tabs>
                <w:tab w:val="left" w:pos="720"/>
                <w:tab w:val="left" w:pos="1080"/>
                <w:tab w:val="left" w:pos="1440"/>
                <w:tab w:val="left" w:pos="1800"/>
              </w:tabs>
              <w:spacing w:after="0" w:line="264" w:lineRule="auto"/>
              <w:jc w:val="center"/>
              <w:rPr>
                <w:rFonts w:ascii="Arial" w:eastAsia="Times New Roman" w:hAnsi="Arial" w:cs="Times New Roman"/>
                <w:b/>
                <w:sz w:val="20"/>
                <w:szCs w:val="20"/>
              </w:rPr>
            </w:pPr>
            <w:r w:rsidRPr="00D85B49">
              <w:rPr>
                <w:rFonts w:ascii="Arial" w:eastAsia="Times New Roman" w:hAnsi="Arial" w:cs="Times New Roman"/>
                <w:b/>
                <w:sz w:val="20"/>
                <w:szCs w:val="20"/>
              </w:rPr>
              <w:t>C</w:t>
            </w:r>
          </w:p>
        </w:tc>
        <w:tc>
          <w:tcPr>
            <w:tcW w:w="1311" w:type="dxa"/>
            <w:tcBorders>
              <w:top w:val="single" w:sz="8" w:space="0" w:color="000000"/>
              <w:bottom w:val="single" w:sz="2" w:space="0" w:color="000000"/>
            </w:tcBorders>
            <w:shd w:val="clear" w:color="C0C0C0" w:fill="E6E6E6"/>
            <w:vAlign w:val="bottom"/>
          </w:tcPr>
          <w:p w14:paraId="04B70C4B" w14:textId="77777777" w:rsidR="00841CBC" w:rsidRPr="00D85B49" w:rsidRDefault="00841CBC" w:rsidP="00841CBC">
            <w:pPr>
              <w:tabs>
                <w:tab w:val="left" w:pos="720"/>
                <w:tab w:val="left" w:pos="1080"/>
                <w:tab w:val="left" w:pos="1440"/>
                <w:tab w:val="left" w:pos="1800"/>
              </w:tabs>
              <w:spacing w:after="0" w:line="264" w:lineRule="auto"/>
              <w:jc w:val="center"/>
              <w:rPr>
                <w:rFonts w:ascii="Arial" w:eastAsia="Times New Roman" w:hAnsi="Arial" w:cs="Times New Roman"/>
                <w:b/>
                <w:sz w:val="20"/>
                <w:szCs w:val="20"/>
              </w:rPr>
            </w:pPr>
          </w:p>
          <w:p w14:paraId="7D5F5569" w14:textId="77777777" w:rsidR="00841CBC" w:rsidRPr="00D85B49" w:rsidRDefault="00841CBC" w:rsidP="00841CBC">
            <w:pPr>
              <w:tabs>
                <w:tab w:val="left" w:pos="720"/>
                <w:tab w:val="left" w:pos="1080"/>
                <w:tab w:val="left" w:pos="1440"/>
                <w:tab w:val="left" w:pos="1800"/>
              </w:tabs>
              <w:spacing w:after="0" w:line="264" w:lineRule="auto"/>
              <w:jc w:val="center"/>
              <w:rPr>
                <w:rFonts w:ascii="Arial" w:eastAsia="Times New Roman" w:hAnsi="Arial" w:cs="Times New Roman"/>
                <w:b/>
                <w:sz w:val="20"/>
                <w:szCs w:val="20"/>
              </w:rPr>
            </w:pPr>
            <w:r w:rsidRPr="00D85B49">
              <w:rPr>
                <w:rFonts w:ascii="Arial" w:eastAsia="Times New Roman" w:hAnsi="Arial" w:cs="Times New Roman"/>
                <w:b/>
                <w:sz w:val="20"/>
                <w:szCs w:val="20"/>
              </w:rPr>
              <w:t>D</w:t>
            </w:r>
          </w:p>
        </w:tc>
        <w:tc>
          <w:tcPr>
            <w:tcW w:w="1311" w:type="dxa"/>
            <w:tcBorders>
              <w:top w:val="single" w:sz="8" w:space="0" w:color="000000"/>
              <w:bottom w:val="single" w:sz="2" w:space="0" w:color="000000"/>
            </w:tcBorders>
            <w:shd w:val="clear" w:color="C0C0C0" w:fill="E6E6E6"/>
            <w:vAlign w:val="bottom"/>
          </w:tcPr>
          <w:p w14:paraId="4D5C97E0" w14:textId="77777777" w:rsidR="00841CBC" w:rsidRPr="00D85B49" w:rsidRDefault="00841CBC" w:rsidP="00841CBC">
            <w:pPr>
              <w:tabs>
                <w:tab w:val="left" w:pos="720"/>
                <w:tab w:val="left" w:pos="1080"/>
                <w:tab w:val="left" w:pos="1440"/>
                <w:tab w:val="left" w:pos="1800"/>
              </w:tabs>
              <w:spacing w:after="0" w:line="264" w:lineRule="auto"/>
              <w:jc w:val="center"/>
              <w:rPr>
                <w:rFonts w:ascii="Arial" w:eastAsia="Times New Roman" w:hAnsi="Arial" w:cs="Times New Roman"/>
                <w:b/>
                <w:sz w:val="20"/>
                <w:szCs w:val="20"/>
              </w:rPr>
            </w:pPr>
            <w:r w:rsidRPr="00D85B49">
              <w:rPr>
                <w:rFonts w:ascii="Arial" w:eastAsia="Times New Roman" w:hAnsi="Arial" w:cs="Times New Roman"/>
                <w:b/>
                <w:sz w:val="20"/>
                <w:szCs w:val="20"/>
              </w:rPr>
              <w:t>E</w:t>
            </w:r>
          </w:p>
        </w:tc>
        <w:tc>
          <w:tcPr>
            <w:tcW w:w="1311" w:type="dxa"/>
            <w:tcBorders>
              <w:top w:val="single" w:sz="8" w:space="0" w:color="000000"/>
              <w:bottom w:val="single" w:sz="2" w:space="0" w:color="000000"/>
              <w:right w:val="single" w:sz="12" w:space="0" w:color="000000"/>
            </w:tcBorders>
            <w:shd w:val="clear" w:color="C0C0C0" w:fill="E6E6E6"/>
            <w:vAlign w:val="bottom"/>
          </w:tcPr>
          <w:p w14:paraId="743B5A97" w14:textId="77777777" w:rsidR="00841CBC" w:rsidRPr="00D85B49" w:rsidRDefault="00841CBC" w:rsidP="00841CBC">
            <w:pPr>
              <w:tabs>
                <w:tab w:val="left" w:pos="720"/>
                <w:tab w:val="left" w:pos="1080"/>
                <w:tab w:val="left" w:pos="1440"/>
                <w:tab w:val="left" w:pos="1800"/>
              </w:tabs>
              <w:spacing w:after="0" w:line="264" w:lineRule="auto"/>
              <w:jc w:val="center"/>
              <w:rPr>
                <w:rFonts w:ascii="Arial" w:eastAsia="Times New Roman" w:hAnsi="Arial" w:cs="Times New Roman"/>
                <w:b/>
                <w:sz w:val="20"/>
                <w:szCs w:val="20"/>
              </w:rPr>
            </w:pPr>
          </w:p>
          <w:p w14:paraId="240F5A7A" w14:textId="77777777" w:rsidR="00841CBC" w:rsidRPr="00D85B49" w:rsidRDefault="00841CBC" w:rsidP="00841CBC">
            <w:pPr>
              <w:tabs>
                <w:tab w:val="left" w:pos="720"/>
                <w:tab w:val="left" w:pos="1080"/>
                <w:tab w:val="left" w:pos="1440"/>
                <w:tab w:val="left" w:pos="1800"/>
              </w:tabs>
              <w:spacing w:after="0" w:line="264" w:lineRule="auto"/>
              <w:jc w:val="center"/>
              <w:rPr>
                <w:rFonts w:ascii="Arial" w:eastAsia="Times New Roman" w:hAnsi="Arial" w:cs="Times New Roman"/>
                <w:b/>
                <w:sz w:val="20"/>
                <w:szCs w:val="20"/>
              </w:rPr>
            </w:pPr>
            <w:r>
              <w:rPr>
                <w:rFonts w:ascii="Arial" w:eastAsia="Times New Roman" w:hAnsi="Arial" w:cs="Times New Roman"/>
                <w:b/>
                <w:sz w:val="20"/>
                <w:szCs w:val="20"/>
              </w:rPr>
              <w:t>F</w:t>
            </w:r>
          </w:p>
        </w:tc>
      </w:tr>
      <w:tr w:rsidR="00841CBC" w:rsidRPr="00D85B49" w14:paraId="5351078C" w14:textId="77777777" w:rsidTr="00841CBC">
        <w:tc>
          <w:tcPr>
            <w:tcW w:w="1310" w:type="dxa"/>
            <w:tcBorders>
              <w:top w:val="single" w:sz="2" w:space="0" w:color="000000"/>
            </w:tcBorders>
            <w:vAlign w:val="bottom"/>
          </w:tcPr>
          <w:p w14:paraId="5EA08991" w14:textId="77777777" w:rsidR="00841CBC" w:rsidRPr="00D85B49" w:rsidRDefault="00841CBC" w:rsidP="00D85B49">
            <w:pPr>
              <w:tabs>
                <w:tab w:val="left" w:pos="720"/>
                <w:tab w:val="left" w:pos="1080"/>
                <w:tab w:val="left" w:pos="1440"/>
                <w:tab w:val="left" w:pos="1800"/>
              </w:tabs>
              <w:spacing w:after="0" w:line="264" w:lineRule="auto"/>
              <w:rPr>
                <w:rFonts w:ascii="Arial" w:eastAsia="Times New Roman" w:hAnsi="Arial" w:cs="Times New Roman"/>
                <w:sz w:val="18"/>
                <w:szCs w:val="20"/>
              </w:rPr>
            </w:pPr>
          </w:p>
          <w:p w14:paraId="4FCA6AE6" w14:textId="77777777" w:rsidR="00841CBC" w:rsidRPr="00D85B49" w:rsidRDefault="00841CBC" w:rsidP="00D85B49">
            <w:pPr>
              <w:tabs>
                <w:tab w:val="left" w:pos="720"/>
                <w:tab w:val="left" w:pos="1080"/>
                <w:tab w:val="left" w:pos="1440"/>
                <w:tab w:val="left" w:pos="1800"/>
              </w:tabs>
              <w:spacing w:after="0" w:line="264" w:lineRule="auto"/>
              <w:rPr>
                <w:rFonts w:ascii="Arial" w:eastAsia="Times New Roman" w:hAnsi="Arial" w:cs="Times New Roman"/>
                <w:sz w:val="18"/>
                <w:szCs w:val="20"/>
              </w:rPr>
            </w:pPr>
            <w:r w:rsidRPr="00D85B49">
              <w:rPr>
                <w:rFonts w:ascii="Arial" w:eastAsia="Times New Roman" w:hAnsi="Arial" w:cs="Times New Roman"/>
                <w:sz w:val="18"/>
                <w:szCs w:val="20"/>
              </w:rPr>
              <w:t>Estimated Number of Respondents</w:t>
            </w:r>
          </w:p>
        </w:tc>
        <w:tc>
          <w:tcPr>
            <w:tcW w:w="1311" w:type="dxa"/>
            <w:tcBorders>
              <w:top w:val="single" w:sz="2" w:space="0" w:color="000000"/>
            </w:tcBorders>
            <w:vAlign w:val="bottom"/>
          </w:tcPr>
          <w:p w14:paraId="2373D0A0" w14:textId="77777777" w:rsidR="00841CBC" w:rsidRPr="00D85B49" w:rsidRDefault="00841CBC" w:rsidP="00D85B49">
            <w:pPr>
              <w:tabs>
                <w:tab w:val="left" w:pos="720"/>
                <w:tab w:val="left" w:pos="1080"/>
                <w:tab w:val="left" w:pos="1440"/>
                <w:tab w:val="left" w:pos="1800"/>
              </w:tabs>
              <w:spacing w:after="0" w:line="264" w:lineRule="auto"/>
              <w:rPr>
                <w:rFonts w:ascii="Arial" w:eastAsia="Times New Roman" w:hAnsi="Arial" w:cs="Times New Roman"/>
                <w:sz w:val="18"/>
                <w:szCs w:val="20"/>
              </w:rPr>
            </w:pPr>
          </w:p>
          <w:p w14:paraId="2D174026" w14:textId="77777777" w:rsidR="00841CBC" w:rsidRPr="00D85B49" w:rsidRDefault="00841CBC" w:rsidP="00D85B49">
            <w:pPr>
              <w:tabs>
                <w:tab w:val="left" w:pos="720"/>
                <w:tab w:val="left" w:pos="1080"/>
                <w:tab w:val="left" w:pos="1440"/>
                <w:tab w:val="left" w:pos="1800"/>
              </w:tabs>
              <w:spacing w:after="0" w:line="264" w:lineRule="auto"/>
              <w:rPr>
                <w:rFonts w:ascii="Arial" w:eastAsia="Times New Roman" w:hAnsi="Arial" w:cs="Times New Roman"/>
                <w:sz w:val="18"/>
                <w:szCs w:val="20"/>
              </w:rPr>
            </w:pPr>
            <w:r w:rsidRPr="00D85B49">
              <w:rPr>
                <w:rFonts w:ascii="Arial" w:eastAsia="Times New Roman" w:hAnsi="Arial" w:cs="Times New Roman"/>
                <w:sz w:val="18"/>
                <w:szCs w:val="20"/>
              </w:rPr>
              <w:t>Average Burden per Respondent</w:t>
            </w:r>
          </w:p>
          <w:p w14:paraId="7004CA38" w14:textId="77777777" w:rsidR="00841CBC" w:rsidRPr="00D85B49" w:rsidRDefault="00841CBC" w:rsidP="00D85B49">
            <w:pPr>
              <w:tabs>
                <w:tab w:val="left" w:pos="720"/>
                <w:tab w:val="left" w:pos="1080"/>
                <w:tab w:val="left" w:pos="1440"/>
                <w:tab w:val="left" w:pos="1800"/>
              </w:tabs>
              <w:spacing w:after="0" w:line="264" w:lineRule="auto"/>
              <w:rPr>
                <w:rFonts w:ascii="Arial" w:eastAsia="Times New Roman" w:hAnsi="Arial" w:cs="Times New Roman"/>
                <w:sz w:val="18"/>
                <w:szCs w:val="20"/>
              </w:rPr>
            </w:pPr>
            <w:r w:rsidRPr="00D85B49">
              <w:rPr>
                <w:rFonts w:ascii="Arial" w:eastAsia="Times New Roman" w:hAnsi="Arial" w:cs="Times New Roman"/>
                <w:sz w:val="18"/>
                <w:szCs w:val="20"/>
              </w:rPr>
              <w:t>(Minutes)</w:t>
            </w:r>
          </w:p>
        </w:tc>
        <w:tc>
          <w:tcPr>
            <w:tcW w:w="1311" w:type="dxa"/>
            <w:tcBorders>
              <w:top w:val="single" w:sz="2" w:space="0" w:color="000000"/>
            </w:tcBorders>
            <w:vAlign w:val="bottom"/>
          </w:tcPr>
          <w:p w14:paraId="02CEAD13" w14:textId="77777777" w:rsidR="00841CBC" w:rsidRPr="00D85B49" w:rsidRDefault="00841CBC" w:rsidP="00D85B49">
            <w:pPr>
              <w:tabs>
                <w:tab w:val="left" w:pos="720"/>
                <w:tab w:val="left" w:pos="1080"/>
                <w:tab w:val="left" w:pos="1440"/>
                <w:tab w:val="left" w:pos="1800"/>
              </w:tabs>
              <w:spacing w:after="0" w:line="264" w:lineRule="auto"/>
              <w:rPr>
                <w:rFonts w:ascii="Arial" w:eastAsia="Times New Roman" w:hAnsi="Arial" w:cs="Times New Roman"/>
                <w:sz w:val="18"/>
                <w:szCs w:val="20"/>
              </w:rPr>
            </w:pPr>
          </w:p>
          <w:p w14:paraId="4DD26694" w14:textId="77777777" w:rsidR="00841CBC" w:rsidRPr="00D85B49" w:rsidRDefault="00841CBC" w:rsidP="00D85B49">
            <w:pPr>
              <w:tabs>
                <w:tab w:val="left" w:pos="720"/>
                <w:tab w:val="left" w:pos="1080"/>
                <w:tab w:val="left" w:pos="1440"/>
                <w:tab w:val="left" w:pos="1800"/>
              </w:tabs>
              <w:spacing w:after="0" w:line="264" w:lineRule="auto"/>
              <w:rPr>
                <w:rFonts w:ascii="Arial" w:eastAsia="Times New Roman" w:hAnsi="Arial" w:cs="Times New Roman"/>
                <w:sz w:val="18"/>
                <w:szCs w:val="20"/>
              </w:rPr>
            </w:pPr>
            <w:r w:rsidRPr="00D85B49">
              <w:rPr>
                <w:rFonts w:ascii="Arial" w:eastAsia="Times New Roman" w:hAnsi="Arial" w:cs="Times New Roman"/>
                <w:sz w:val="18"/>
                <w:szCs w:val="20"/>
              </w:rPr>
              <w:t xml:space="preserve">Average Respondent Hourly Rate </w:t>
            </w:r>
          </w:p>
          <w:p w14:paraId="1BB609D9" w14:textId="77777777" w:rsidR="00841CBC" w:rsidRPr="00D85B49" w:rsidRDefault="00841CBC" w:rsidP="00D85B49">
            <w:pPr>
              <w:tabs>
                <w:tab w:val="left" w:pos="720"/>
                <w:tab w:val="left" w:pos="1080"/>
                <w:tab w:val="left" w:pos="1440"/>
                <w:tab w:val="left" w:pos="1800"/>
              </w:tabs>
              <w:spacing w:after="0" w:line="264" w:lineRule="auto"/>
              <w:rPr>
                <w:rFonts w:ascii="Arial" w:eastAsia="Times New Roman" w:hAnsi="Arial" w:cs="Times New Roman"/>
                <w:sz w:val="18"/>
                <w:szCs w:val="20"/>
              </w:rPr>
            </w:pPr>
          </w:p>
        </w:tc>
        <w:tc>
          <w:tcPr>
            <w:tcW w:w="1311" w:type="dxa"/>
            <w:tcBorders>
              <w:top w:val="single" w:sz="2" w:space="0" w:color="000000"/>
            </w:tcBorders>
            <w:vAlign w:val="bottom"/>
          </w:tcPr>
          <w:p w14:paraId="31A4784A" w14:textId="77777777" w:rsidR="00841CBC" w:rsidRPr="00D85B49" w:rsidRDefault="00841CBC" w:rsidP="00D85B49">
            <w:pPr>
              <w:tabs>
                <w:tab w:val="left" w:pos="720"/>
                <w:tab w:val="left" w:pos="1080"/>
                <w:tab w:val="left" w:pos="1440"/>
                <w:tab w:val="left" w:pos="1800"/>
              </w:tabs>
              <w:spacing w:after="0" w:line="264" w:lineRule="auto"/>
              <w:rPr>
                <w:rFonts w:ascii="Arial" w:eastAsia="Times New Roman" w:hAnsi="Arial" w:cs="Times New Roman"/>
                <w:sz w:val="18"/>
                <w:szCs w:val="20"/>
              </w:rPr>
            </w:pPr>
          </w:p>
          <w:p w14:paraId="0DA77A0A" w14:textId="77777777" w:rsidR="00841CBC" w:rsidRPr="00D85B49" w:rsidRDefault="00841CBC" w:rsidP="00D85B49">
            <w:pPr>
              <w:tabs>
                <w:tab w:val="left" w:pos="720"/>
                <w:tab w:val="left" w:pos="1080"/>
                <w:tab w:val="left" w:pos="1440"/>
                <w:tab w:val="left" w:pos="1800"/>
              </w:tabs>
              <w:spacing w:after="0" w:line="264" w:lineRule="auto"/>
              <w:rPr>
                <w:rFonts w:ascii="Arial" w:eastAsia="Times New Roman" w:hAnsi="Arial" w:cs="Times New Roman"/>
                <w:sz w:val="18"/>
                <w:szCs w:val="20"/>
              </w:rPr>
            </w:pPr>
            <w:r w:rsidRPr="00D85B49">
              <w:rPr>
                <w:rFonts w:ascii="Arial" w:eastAsia="Times New Roman" w:hAnsi="Arial" w:cs="Times New Roman"/>
                <w:sz w:val="18"/>
                <w:szCs w:val="20"/>
              </w:rPr>
              <w:t>Respondent Cost Burden*Rate</w:t>
            </w:r>
          </w:p>
        </w:tc>
        <w:tc>
          <w:tcPr>
            <w:tcW w:w="1311" w:type="dxa"/>
            <w:tcBorders>
              <w:top w:val="single" w:sz="2" w:space="0" w:color="000000"/>
            </w:tcBorders>
            <w:vAlign w:val="bottom"/>
          </w:tcPr>
          <w:p w14:paraId="6D018C39" w14:textId="77777777" w:rsidR="00841CBC" w:rsidRPr="00D85B49" w:rsidRDefault="00841CBC" w:rsidP="00841CBC">
            <w:pPr>
              <w:tabs>
                <w:tab w:val="left" w:pos="720"/>
                <w:tab w:val="left" w:pos="1080"/>
                <w:tab w:val="left" w:pos="1440"/>
                <w:tab w:val="left" w:pos="1800"/>
              </w:tabs>
              <w:spacing w:after="0" w:line="264" w:lineRule="auto"/>
              <w:jc w:val="center"/>
              <w:rPr>
                <w:rFonts w:ascii="Arial" w:eastAsia="Times New Roman" w:hAnsi="Arial" w:cs="Times New Roman"/>
                <w:sz w:val="18"/>
                <w:szCs w:val="20"/>
              </w:rPr>
            </w:pPr>
            <w:r w:rsidRPr="00841CBC">
              <w:rPr>
                <w:rFonts w:ascii="Arial" w:eastAsia="Times New Roman" w:hAnsi="Arial" w:cs="Times New Roman"/>
                <w:sz w:val="18"/>
                <w:szCs w:val="20"/>
              </w:rPr>
              <w:t>Number of Responses per Respondent</w:t>
            </w:r>
          </w:p>
        </w:tc>
        <w:tc>
          <w:tcPr>
            <w:tcW w:w="1311" w:type="dxa"/>
            <w:tcBorders>
              <w:top w:val="single" w:sz="2" w:space="0" w:color="000000"/>
              <w:right w:val="single" w:sz="12" w:space="0" w:color="000000"/>
            </w:tcBorders>
            <w:vAlign w:val="bottom"/>
          </w:tcPr>
          <w:p w14:paraId="6F6D688E" w14:textId="77777777" w:rsidR="00841CBC" w:rsidRPr="00D85B49" w:rsidRDefault="00841CBC" w:rsidP="00D85B49">
            <w:pPr>
              <w:tabs>
                <w:tab w:val="left" w:pos="720"/>
                <w:tab w:val="left" w:pos="1080"/>
                <w:tab w:val="left" w:pos="1440"/>
                <w:tab w:val="left" w:pos="1800"/>
              </w:tabs>
              <w:spacing w:after="0" w:line="264" w:lineRule="auto"/>
              <w:rPr>
                <w:rFonts w:ascii="Arial" w:eastAsia="Times New Roman" w:hAnsi="Arial" w:cs="Times New Roman"/>
                <w:sz w:val="18"/>
                <w:szCs w:val="20"/>
              </w:rPr>
            </w:pPr>
            <w:r w:rsidRPr="00D85B49">
              <w:rPr>
                <w:rFonts w:ascii="Arial" w:eastAsia="Times New Roman" w:hAnsi="Arial" w:cs="Times New Roman"/>
                <w:sz w:val="18"/>
                <w:szCs w:val="20"/>
              </w:rPr>
              <w:t>Total Annual Respondent Cost</w:t>
            </w:r>
          </w:p>
        </w:tc>
      </w:tr>
      <w:tr w:rsidR="00841CBC" w:rsidRPr="00D85B49" w14:paraId="301A91DE" w14:textId="77777777" w:rsidTr="00841CBC">
        <w:trPr>
          <w:trHeight w:val="485"/>
        </w:trPr>
        <w:tc>
          <w:tcPr>
            <w:tcW w:w="1310" w:type="dxa"/>
            <w:vAlign w:val="center"/>
          </w:tcPr>
          <w:p w14:paraId="669B585A" w14:textId="77777777" w:rsidR="00841CBC" w:rsidRPr="00D85B49" w:rsidRDefault="00841CBC" w:rsidP="00D85B49">
            <w:pPr>
              <w:tabs>
                <w:tab w:val="left" w:pos="720"/>
                <w:tab w:val="left" w:pos="1080"/>
                <w:tab w:val="left" w:pos="1440"/>
                <w:tab w:val="left" w:pos="1800"/>
              </w:tabs>
              <w:spacing w:after="0" w:line="264" w:lineRule="auto"/>
              <w:jc w:val="center"/>
              <w:rPr>
                <w:rFonts w:ascii="Arial" w:eastAsia="Times New Roman" w:hAnsi="Arial" w:cs="Times New Roman"/>
                <w:sz w:val="20"/>
                <w:szCs w:val="20"/>
              </w:rPr>
            </w:pPr>
            <w:r w:rsidRPr="00D85B49">
              <w:rPr>
                <w:rFonts w:ascii="Calibri" w:eastAsia="Times New Roman" w:hAnsi="Calibri" w:cs="Calibri"/>
                <w:color w:val="000000"/>
              </w:rPr>
              <w:t>3,105</w:t>
            </w:r>
          </w:p>
        </w:tc>
        <w:tc>
          <w:tcPr>
            <w:tcW w:w="1311" w:type="dxa"/>
            <w:vAlign w:val="center"/>
          </w:tcPr>
          <w:p w14:paraId="7099745F" w14:textId="77777777" w:rsidR="00841CBC" w:rsidRPr="00D85B49" w:rsidRDefault="00841CBC" w:rsidP="00D85B49">
            <w:pPr>
              <w:tabs>
                <w:tab w:val="left" w:pos="720"/>
                <w:tab w:val="left" w:pos="1080"/>
                <w:tab w:val="left" w:pos="1440"/>
                <w:tab w:val="left" w:pos="1800"/>
              </w:tabs>
              <w:spacing w:after="0" w:line="264" w:lineRule="auto"/>
              <w:jc w:val="center"/>
              <w:rPr>
                <w:rFonts w:ascii="Arial" w:eastAsia="Times New Roman" w:hAnsi="Arial" w:cs="Times New Roman"/>
                <w:sz w:val="20"/>
                <w:szCs w:val="20"/>
              </w:rPr>
            </w:pPr>
            <w:r w:rsidRPr="00D85B49">
              <w:rPr>
                <w:rFonts w:ascii="Arial" w:eastAsia="Times New Roman" w:hAnsi="Arial" w:cs="Times New Roman"/>
                <w:sz w:val="20"/>
                <w:szCs w:val="20"/>
              </w:rPr>
              <w:t>10</w:t>
            </w:r>
          </w:p>
        </w:tc>
        <w:tc>
          <w:tcPr>
            <w:tcW w:w="1311" w:type="dxa"/>
            <w:vAlign w:val="center"/>
          </w:tcPr>
          <w:p w14:paraId="4A124E22" w14:textId="77777777" w:rsidR="00841CBC" w:rsidRPr="00D85B49" w:rsidRDefault="00841CBC" w:rsidP="00D85B49">
            <w:pPr>
              <w:spacing w:after="0" w:line="240" w:lineRule="auto"/>
              <w:jc w:val="center"/>
              <w:rPr>
                <w:rFonts w:ascii="Arial" w:eastAsia="Times New Roman" w:hAnsi="Arial" w:cs="Arial"/>
                <w:sz w:val="20"/>
                <w:szCs w:val="20"/>
              </w:rPr>
            </w:pPr>
            <w:r w:rsidRPr="00D85B49">
              <w:rPr>
                <w:rFonts w:ascii="Arial" w:eastAsia="Times New Roman" w:hAnsi="Arial" w:cs="Arial"/>
                <w:sz w:val="20"/>
                <w:szCs w:val="20"/>
              </w:rPr>
              <w:t>$30.00</w:t>
            </w:r>
          </w:p>
        </w:tc>
        <w:tc>
          <w:tcPr>
            <w:tcW w:w="1311" w:type="dxa"/>
            <w:vAlign w:val="center"/>
          </w:tcPr>
          <w:p w14:paraId="3B4C3E4D" w14:textId="77777777" w:rsidR="00841CBC" w:rsidRPr="00D85B49" w:rsidRDefault="00841CBC" w:rsidP="00D85B49">
            <w:pPr>
              <w:tabs>
                <w:tab w:val="left" w:pos="720"/>
                <w:tab w:val="left" w:pos="1080"/>
                <w:tab w:val="left" w:pos="1440"/>
                <w:tab w:val="left" w:pos="1800"/>
              </w:tabs>
              <w:spacing w:after="0" w:line="264" w:lineRule="auto"/>
              <w:jc w:val="center"/>
              <w:rPr>
                <w:rFonts w:ascii="Arial" w:eastAsia="Times New Roman" w:hAnsi="Arial" w:cs="Times New Roman"/>
                <w:sz w:val="20"/>
                <w:szCs w:val="20"/>
              </w:rPr>
            </w:pPr>
            <w:r w:rsidRPr="00D85B49">
              <w:rPr>
                <w:rFonts w:ascii="Arial" w:eastAsia="Times New Roman" w:hAnsi="Arial" w:cs="Times New Roman"/>
                <w:sz w:val="20"/>
                <w:szCs w:val="20"/>
              </w:rPr>
              <w:t>$5.00</w:t>
            </w:r>
          </w:p>
        </w:tc>
        <w:tc>
          <w:tcPr>
            <w:tcW w:w="1311" w:type="dxa"/>
            <w:vAlign w:val="center"/>
          </w:tcPr>
          <w:p w14:paraId="76FEE28A" w14:textId="10F221DF" w:rsidR="00841CBC" w:rsidRPr="00D85B49" w:rsidRDefault="001622D9" w:rsidP="00841CBC">
            <w:pPr>
              <w:tabs>
                <w:tab w:val="left" w:pos="720"/>
                <w:tab w:val="left" w:pos="1080"/>
                <w:tab w:val="left" w:pos="1440"/>
                <w:tab w:val="left" w:pos="1800"/>
              </w:tabs>
              <w:spacing w:after="0" w:line="264" w:lineRule="auto"/>
              <w:jc w:val="center"/>
              <w:rPr>
                <w:rFonts w:ascii="Arial" w:eastAsia="Times New Roman" w:hAnsi="Arial" w:cs="Times New Roman"/>
                <w:sz w:val="20"/>
                <w:szCs w:val="20"/>
              </w:rPr>
            </w:pPr>
            <w:r>
              <w:rPr>
                <w:rFonts w:ascii="Arial" w:eastAsia="Times New Roman" w:hAnsi="Arial" w:cs="Times New Roman"/>
                <w:sz w:val="20"/>
                <w:szCs w:val="20"/>
              </w:rPr>
              <w:t>1</w:t>
            </w:r>
          </w:p>
        </w:tc>
        <w:tc>
          <w:tcPr>
            <w:tcW w:w="1311" w:type="dxa"/>
            <w:tcBorders>
              <w:right w:val="single" w:sz="12" w:space="0" w:color="000000"/>
            </w:tcBorders>
            <w:vAlign w:val="center"/>
          </w:tcPr>
          <w:p w14:paraId="2B45CEC8" w14:textId="340A2C0C" w:rsidR="00841CBC" w:rsidRPr="00D85B49" w:rsidRDefault="00841CBC" w:rsidP="006B240D">
            <w:pPr>
              <w:tabs>
                <w:tab w:val="left" w:pos="720"/>
                <w:tab w:val="left" w:pos="1080"/>
                <w:tab w:val="left" w:pos="1440"/>
                <w:tab w:val="left" w:pos="1800"/>
              </w:tabs>
              <w:spacing w:after="0" w:line="264" w:lineRule="auto"/>
              <w:jc w:val="center"/>
              <w:rPr>
                <w:rFonts w:ascii="Arial" w:eastAsia="Times New Roman" w:hAnsi="Arial" w:cs="Times New Roman"/>
                <w:sz w:val="20"/>
                <w:szCs w:val="20"/>
              </w:rPr>
            </w:pPr>
            <w:r w:rsidRPr="00D85B49">
              <w:rPr>
                <w:rFonts w:ascii="Arial" w:eastAsia="Times New Roman" w:hAnsi="Arial" w:cs="Times New Roman"/>
                <w:sz w:val="20"/>
                <w:szCs w:val="20"/>
              </w:rPr>
              <w:t>$</w:t>
            </w:r>
            <w:r w:rsidR="006B240D">
              <w:rPr>
                <w:rFonts w:ascii="Arial" w:eastAsia="Times New Roman" w:hAnsi="Arial" w:cs="Times New Roman"/>
                <w:sz w:val="20"/>
                <w:szCs w:val="20"/>
              </w:rPr>
              <w:t>15525</w:t>
            </w:r>
          </w:p>
        </w:tc>
      </w:tr>
    </w:tbl>
    <w:p w14:paraId="065AC8DE" w14:textId="77777777" w:rsidR="00D85B49" w:rsidRPr="00D85B49" w:rsidRDefault="00D85B49" w:rsidP="00D85B49">
      <w:pPr>
        <w:spacing w:before="100" w:beforeAutospacing="1" w:after="100" w:afterAutospacing="1" w:line="288" w:lineRule="atLeast"/>
        <w:rPr>
          <w:rFonts w:ascii="Times New Roman" w:eastAsia="Times New Roman" w:hAnsi="Times New Roman" w:cs="Times New Roman"/>
          <w:color w:val="FF0000"/>
          <w:sz w:val="24"/>
          <w:szCs w:val="24"/>
        </w:rPr>
      </w:pPr>
    </w:p>
    <w:p w14:paraId="63D8B09B" w14:textId="77777777" w:rsidR="00D85B49" w:rsidRPr="00D85B49" w:rsidRDefault="00D85B49" w:rsidP="00D85B49">
      <w:pPr>
        <w:spacing w:before="100" w:beforeAutospacing="1" w:after="100" w:afterAutospacing="1" w:line="288" w:lineRule="atLeast"/>
        <w:ind w:firstLine="900"/>
        <w:rPr>
          <w:rFonts w:ascii="Times New Roman" w:eastAsia="Times New Roman" w:hAnsi="Times New Roman" w:cs="Times New Roman"/>
          <w:sz w:val="24"/>
          <w:szCs w:val="24"/>
        </w:rPr>
      </w:pPr>
      <w:bookmarkStart w:id="19" w:name="cp462"/>
      <w:bookmarkEnd w:id="18"/>
      <w:r w:rsidRPr="00D85B49">
        <w:rPr>
          <w:rFonts w:ascii="Times New Roman" w:eastAsia="Times New Roman" w:hAnsi="Times New Roman" w:cs="Times New Roman"/>
          <w:sz w:val="24"/>
          <w:szCs w:val="24"/>
        </w:rPr>
        <w:t xml:space="preserve">13.  </w:t>
      </w:r>
      <w:r w:rsidRPr="00D85B49">
        <w:rPr>
          <w:rFonts w:ascii="Times New Roman" w:eastAsia="Times New Roman" w:hAnsi="Times New Roman" w:cs="Times New Roman"/>
          <w:sz w:val="24"/>
          <w:szCs w:val="24"/>
          <w:u w:val="single"/>
        </w:rPr>
        <w:t xml:space="preserve">Respondent Costs Other </w:t>
      </w:r>
      <w:proofErr w:type="gramStart"/>
      <w:r w:rsidRPr="00D85B49">
        <w:rPr>
          <w:rFonts w:ascii="Times New Roman" w:eastAsia="Times New Roman" w:hAnsi="Times New Roman" w:cs="Times New Roman"/>
          <w:sz w:val="24"/>
          <w:szCs w:val="24"/>
          <w:u w:val="single"/>
        </w:rPr>
        <w:t>Than</w:t>
      </w:r>
      <w:proofErr w:type="gramEnd"/>
      <w:r w:rsidRPr="00D85B49">
        <w:rPr>
          <w:rFonts w:ascii="Times New Roman" w:eastAsia="Times New Roman" w:hAnsi="Times New Roman" w:cs="Times New Roman"/>
          <w:sz w:val="24"/>
          <w:szCs w:val="24"/>
          <w:u w:val="single"/>
        </w:rPr>
        <w:t xml:space="preserve"> Burden Hour Costs</w:t>
      </w:r>
    </w:p>
    <w:p w14:paraId="0AFC20D9" w14:textId="77777777" w:rsidR="00D85B49" w:rsidRPr="00D85B49" w:rsidRDefault="00D85B49" w:rsidP="00D85B49">
      <w:pPr>
        <w:spacing w:before="100" w:beforeAutospacing="1" w:after="100" w:afterAutospacing="1" w:line="288" w:lineRule="atLeast"/>
        <w:ind w:firstLine="1350"/>
        <w:rPr>
          <w:rFonts w:ascii="Times New Roman" w:eastAsia="Times New Roman" w:hAnsi="Times New Roman" w:cs="Times New Roman"/>
          <w:sz w:val="24"/>
          <w:szCs w:val="24"/>
        </w:rPr>
      </w:pPr>
      <w:bookmarkStart w:id="20" w:name="cp465"/>
      <w:bookmarkEnd w:id="19"/>
      <w:r w:rsidRPr="00D85B49">
        <w:rPr>
          <w:rFonts w:ascii="Times New Roman" w:eastAsia="Times New Roman" w:hAnsi="Times New Roman" w:cs="Times New Roman"/>
          <w:sz w:val="24"/>
          <w:szCs w:val="24"/>
        </w:rPr>
        <w:t>There is no cost to respondents, other than the labor time required to respond to the survey as described in Section 12b above.</w:t>
      </w:r>
    </w:p>
    <w:p w14:paraId="0584E5F3" w14:textId="77777777" w:rsidR="00D85B49" w:rsidRPr="00D85B49" w:rsidRDefault="00D85B49" w:rsidP="00D85B49">
      <w:pPr>
        <w:spacing w:before="100" w:beforeAutospacing="1" w:after="100" w:afterAutospacing="1" w:line="288" w:lineRule="atLeast"/>
        <w:ind w:firstLine="1350"/>
        <w:rPr>
          <w:rFonts w:ascii="Times New Roman" w:eastAsia="Times New Roman" w:hAnsi="Times New Roman" w:cs="Times New Roman"/>
          <w:sz w:val="24"/>
          <w:szCs w:val="24"/>
        </w:rPr>
      </w:pPr>
      <w:bookmarkStart w:id="21" w:name="cp466"/>
      <w:bookmarkEnd w:id="20"/>
      <w:proofErr w:type="gramStart"/>
      <w:r w:rsidRPr="00D85B49">
        <w:rPr>
          <w:rFonts w:ascii="Times New Roman" w:eastAsia="Times New Roman" w:hAnsi="Times New Roman" w:cs="Times New Roman"/>
          <w:sz w:val="24"/>
          <w:szCs w:val="24"/>
        </w:rPr>
        <w:t>survey</w:t>
      </w:r>
      <w:proofErr w:type="gramEnd"/>
      <w:r w:rsidRPr="00D85B49">
        <w:rPr>
          <w:rFonts w:ascii="Times New Roman" w:eastAsia="Times New Roman" w:hAnsi="Times New Roman" w:cs="Times New Roman"/>
          <w:sz w:val="24"/>
          <w:szCs w:val="24"/>
        </w:rPr>
        <w:t>.</w:t>
      </w:r>
    </w:p>
    <w:p w14:paraId="567648D5" w14:textId="77777777" w:rsidR="00D85B49" w:rsidRPr="00D85B49" w:rsidRDefault="00D85B49" w:rsidP="00D85B49">
      <w:pPr>
        <w:keepNext/>
        <w:tabs>
          <w:tab w:val="left" w:pos="240"/>
        </w:tabs>
        <w:overflowPunct w:val="0"/>
        <w:autoSpaceDE w:val="0"/>
        <w:autoSpaceDN w:val="0"/>
        <w:adjustRightInd w:val="0"/>
        <w:spacing w:after="40" w:line="240" w:lineRule="auto"/>
        <w:ind w:left="120" w:right="-120"/>
        <w:textAlignment w:val="baseline"/>
        <w:outlineLvl w:val="1"/>
        <w:rPr>
          <w:rFonts w:ascii="Times New Roman" w:eastAsia="Times New Roman" w:hAnsi="Times New Roman" w:cs="Times New Roman"/>
          <w:b/>
          <w:iCs/>
          <w:sz w:val="24"/>
          <w:szCs w:val="24"/>
        </w:rPr>
      </w:pPr>
      <w:r w:rsidRPr="00D85B49">
        <w:rPr>
          <w:rFonts w:ascii="Times New Roman" w:eastAsia="Times New Roman" w:hAnsi="Times New Roman" w:cs="Times New Roman"/>
          <w:sz w:val="24"/>
          <w:szCs w:val="24"/>
        </w:rPr>
        <w:tab/>
      </w:r>
      <w:r w:rsidRPr="00D85B49">
        <w:rPr>
          <w:rFonts w:ascii="Times New Roman" w:eastAsia="Times New Roman" w:hAnsi="Times New Roman" w:cs="Times New Roman"/>
          <w:sz w:val="24"/>
          <w:szCs w:val="24"/>
        </w:rPr>
        <w:tab/>
        <w:t xml:space="preserve">14.  </w:t>
      </w:r>
      <w:r w:rsidRPr="00D85B49">
        <w:rPr>
          <w:rFonts w:ascii="Times New Roman" w:eastAsia="Times New Roman" w:hAnsi="Times New Roman" w:cs="Times New Roman"/>
          <w:iCs/>
          <w:sz w:val="24"/>
          <w:szCs w:val="24"/>
          <w:u w:val="single"/>
        </w:rPr>
        <w:t>Cost to the Federal Government</w:t>
      </w:r>
      <w:bookmarkStart w:id="22" w:name="cp467"/>
      <w:bookmarkEnd w:id="21"/>
    </w:p>
    <w:p w14:paraId="12D4FE01" w14:textId="63EE0F1B" w:rsidR="00D85B49" w:rsidRPr="00D85B49" w:rsidRDefault="00D85B49" w:rsidP="00D85B49">
      <w:pPr>
        <w:spacing w:before="100" w:beforeAutospacing="1" w:after="100" w:afterAutospacing="1" w:line="288" w:lineRule="atLeast"/>
        <w:ind w:firstLine="1350"/>
        <w:rPr>
          <w:rFonts w:ascii="Times New Roman" w:eastAsia="Times New Roman" w:hAnsi="Times New Roman" w:cs="Times New Roman"/>
          <w:sz w:val="24"/>
          <w:szCs w:val="24"/>
        </w:rPr>
      </w:pPr>
      <w:r w:rsidRPr="00D85B49">
        <w:rPr>
          <w:rFonts w:ascii="Times New Roman" w:eastAsia="Times New Roman" w:hAnsi="Times New Roman" w:cs="Times New Roman"/>
          <w:sz w:val="24"/>
          <w:szCs w:val="24"/>
        </w:rPr>
        <w:t>The total contracted cost to the federal government for the PCMH Staff Satisfaction survey is $39,562.48. This includes the total contracted costs to program and pre-test the survey, administer the survey, provide survey responses and costs to analyze survey responses and develop and produce a report.</w:t>
      </w:r>
      <w:r w:rsidR="00624E16">
        <w:rPr>
          <w:rFonts w:ascii="Times New Roman" w:eastAsia="Times New Roman" w:hAnsi="Times New Roman" w:cs="Times New Roman"/>
          <w:sz w:val="24"/>
          <w:szCs w:val="24"/>
        </w:rPr>
        <w:t xml:space="preserve"> The survey has not yet been pre-tested.</w:t>
      </w:r>
    </w:p>
    <w:p w14:paraId="1021320D" w14:textId="77777777" w:rsidR="00D85B49" w:rsidRPr="00D85B49" w:rsidRDefault="00D85B49" w:rsidP="00D85B49">
      <w:pPr>
        <w:spacing w:before="100" w:beforeAutospacing="1" w:after="100" w:afterAutospacing="1" w:line="288" w:lineRule="atLeast"/>
        <w:ind w:firstLine="900"/>
        <w:rPr>
          <w:rFonts w:ascii="Times New Roman" w:eastAsia="Times New Roman" w:hAnsi="Times New Roman" w:cs="Times New Roman"/>
          <w:sz w:val="24"/>
          <w:szCs w:val="24"/>
        </w:rPr>
      </w:pPr>
      <w:bookmarkStart w:id="23" w:name="cp468"/>
      <w:bookmarkEnd w:id="22"/>
      <w:r w:rsidRPr="00D85B49">
        <w:rPr>
          <w:rFonts w:ascii="Times New Roman" w:eastAsia="Times New Roman" w:hAnsi="Times New Roman" w:cs="Times New Roman"/>
          <w:sz w:val="24"/>
          <w:szCs w:val="24"/>
        </w:rPr>
        <w:t xml:space="preserve">15.  </w:t>
      </w:r>
      <w:r w:rsidRPr="00D85B49">
        <w:rPr>
          <w:rFonts w:ascii="Times New Roman" w:eastAsia="Times New Roman" w:hAnsi="Times New Roman" w:cs="Times New Roman"/>
          <w:sz w:val="24"/>
          <w:szCs w:val="24"/>
          <w:u w:val="single"/>
        </w:rPr>
        <w:t>Reasons for Change in Burden</w:t>
      </w:r>
    </w:p>
    <w:p w14:paraId="6489CD59" w14:textId="77777777" w:rsidR="00D85B49" w:rsidRPr="00D85B49" w:rsidRDefault="00D85B49" w:rsidP="00D85B49">
      <w:pPr>
        <w:spacing w:before="100" w:beforeAutospacing="1" w:after="100" w:afterAutospacing="1" w:line="288" w:lineRule="atLeast"/>
        <w:rPr>
          <w:rFonts w:ascii="Times New Roman" w:eastAsia="Times New Roman" w:hAnsi="Times New Roman" w:cs="Times New Roman"/>
          <w:sz w:val="24"/>
          <w:szCs w:val="24"/>
        </w:rPr>
      </w:pPr>
      <w:bookmarkStart w:id="24" w:name="cp468a"/>
      <w:bookmarkEnd w:id="23"/>
      <w:r w:rsidRPr="00D85B49">
        <w:rPr>
          <w:rFonts w:ascii="Times New Roman" w:eastAsia="Times New Roman" w:hAnsi="Times New Roman" w:cs="Times New Roman"/>
          <w:sz w:val="24"/>
          <w:szCs w:val="24"/>
        </w:rPr>
        <w:t>This submission to OMB is a new request for approval; there is no change in burden.</w:t>
      </w:r>
    </w:p>
    <w:bookmarkEnd w:id="24"/>
    <w:p w14:paraId="1597CB1E" w14:textId="77777777" w:rsidR="00D85B49" w:rsidRPr="00D85B49" w:rsidRDefault="00D85B49" w:rsidP="00D85B49">
      <w:pPr>
        <w:spacing w:before="100" w:beforeAutospacing="1" w:after="100" w:afterAutospacing="1" w:line="288" w:lineRule="atLeast"/>
        <w:ind w:firstLine="900"/>
        <w:rPr>
          <w:rFonts w:ascii="Times New Roman" w:eastAsia="Times New Roman" w:hAnsi="Times New Roman" w:cs="Times New Roman"/>
          <w:sz w:val="24"/>
          <w:szCs w:val="24"/>
        </w:rPr>
      </w:pPr>
      <w:r w:rsidRPr="00D85B49">
        <w:rPr>
          <w:rFonts w:ascii="Times New Roman" w:eastAsia="Times New Roman" w:hAnsi="Times New Roman" w:cs="Times New Roman"/>
          <w:sz w:val="24"/>
          <w:szCs w:val="24"/>
        </w:rPr>
        <w:t xml:space="preserve">16.  </w:t>
      </w:r>
      <w:r w:rsidRPr="00D85B49">
        <w:rPr>
          <w:rFonts w:ascii="Times New Roman" w:eastAsia="Times New Roman" w:hAnsi="Times New Roman" w:cs="Times New Roman"/>
          <w:sz w:val="24"/>
          <w:szCs w:val="24"/>
          <w:u w:val="single"/>
        </w:rPr>
        <w:t>Publication of Results</w:t>
      </w:r>
    </w:p>
    <w:p w14:paraId="7B57F411" w14:textId="77777777" w:rsidR="00D85B49" w:rsidRPr="00D85B49" w:rsidRDefault="00D85B49" w:rsidP="00D85B49">
      <w:pPr>
        <w:spacing w:before="100" w:beforeAutospacing="1" w:after="100" w:afterAutospacing="1" w:line="288" w:lineRule="atLeast"/>
        <w:ind w:firstLine="720"/>
        <w:rPr>
          <w:rFonts w:ascii="Times New Roman" w:eastAsia="Times New Roman" w:hAnsi="Times New Roman" w:cs="Times New Roman"/>
          <w:sz w:val="24"/>
          <w:szCs w:val="24"/>
        </w:rPr>
      </w:pPr>
      <w:r w:rsidRPr="00D85B49">
        <w:rPr>
          <w:rFonts w:ascii="Times New Roman" w:eastAsia="Times New Roman" w:hAnsi="Times New Roman" w:cs="Times New Roman"/>
          <w:sz w:val="24"/>
          <w:szCs w:val="24"/>
        </w:rPr>
        <w:t>Contingent upon OMB approval, this survey is scheduled to be administered in</w:t>
      </w:r>
      <w:r w:rsidR="00E465EC">
        <w:rPr>
          <w:rFonts w:ascii="Times New Roman" w:eastAsia="Times New Roman" w:hAnsi="Times New Roman" w:cs="Times New Roman"/>
          <w:sz w:val="24"/>
          <w:szCs w:val="24"/>
        </w:rPr>
        <w:t xml:space="preserve"> March</w:t>
      </w:r>
      <w:r w:rsidRPr="00D85B49">
        <w:rPr>
          <w:rFonts w:ascii="Times New Roman" w:eastAsia="Times New Roman" w:hAnsi="Times New Roman" w:cs="Times New Roman"/>
          <w:sz w:val="24"/>
          <w:szCs w:val="24"/>
        </w:rPr>
        <w:t xml:space="preserve"> </w:t>
      </w:r>
      <w:r w:rsidR="00E465EC">
        <w:rPr>
          <w:rFonts w:ascii="Times New Roman" w:eastAsia="Times New Roman" w:hAnsi="Times New Roman" w:cs="Times New Roman"/>
          <w:sz w:val="24"/>
          <w:szCs w:val="24"/>
        </w:rPr>
        <w:t>2015</w:t>
      </w:r>
      <w:r w:rsidRPr="00D85B49">
        <w:rPr>
          <w:rFonts w:ascii="Times New Roman" w:eastAsia="Times New Roman" w:hAnsi="Times New Roman" w:cs="Times New Roman"/>
          <w:sz w:val="24"/>
          <w:szCs w:val="24"/>
        </w:rPr>
        <w:t>.  The survey administration, including pre-survey communications materials is estimated to take a total of 20 business days. The primary objective of the analysis of the data collected will be to evaluate the effectiveness of the PCMH model with respect to satisfaction, access, quality, utilization, and clinical practices. Tabulations will be conducted for multiple questions via a frequency analysis to measure satisfaction among staff at direct care military treatment facilities (MTFs) that have been identified as current or potential future PCMHs. The statistical analysis will also include a frequency analysis of responses to all survey instrument questions and cross-</w:t>
      </w:r>
      <w:r w:rsidRPr="00D85B49">
        <w:rPr>
          <w:rFonts w:ascii="Times New Roman" w:eastAsia="Times New Roman" w:hAnsi="Times New Roman" w:cs="Times New Roman"/>
          <w:sz w:val="24"/>
          <w:szCs w:val="24"/>
        </w:rPr>
        <w:lastRenderedPageBreak/>
        <w:t xml:space="preserve">tabulations for select questions by Military Service branch, personnel category, medical practice specialty, Military Treatment Facility, and select demographic characteristics.  </w:t>
      </w:r>
    </w:p>
    <w:p w14:paraId="783B3CE3" w14:textId="77777777" w:rsidR="00D85B49" w:rsidRPr="00D85B49" w:rsidRDefault="00D85B49" w:rsidP="00D85B49">
      <w:pPr>
        <w:spacing w:before="100" w:beforeAutospacing="1" w:after="100" w:afterAutospacing="1" w:line="288" w:lineRule="atLeast"/>
        <w:ind w:firstLine="900"/>
        <w:rPr>
          <w:rFonts w:ascii="Times New Roman" w:eastAsia="Times New Roman" w:hAnsi="Times New Roman" w:cs="Times New Roman"/>
          <w:sz w:val="24"/>
          <w:szCs w:val="24"/>
        </w:rPr>
      </w:pPr>
      <w:bookmarkStart w:id="25" w:name="cp471"/>
      <w:r w:rsidRPr="00D85B49">
        <w:rPr>
          <w:rFonts w:ascii="Times New Roman" w:eastAsia="Times New Roman" w:hAnsi="Times New Roman" w:cs="Times New Roman"/>
          <w:sz w:val="24"/>
          <w:szCs w:val="24"/>
        </w:rPr>
        <w:t xml:space="preserve">17.  </w:t>
      </w:r>
      <w:r w:rsidRPr="00D85B49">
        <w:rPr>
          <w:rFonts w:ascii="Times New Roman" w:eastAsia="Times New Roman" w:hAnsi="Times New Roman" w:cs="Times New Roman"/>
          <w:sz w:val="24"/>
          <w:szCs w:val="24"/>
          <w:u w:val="single"/>
        </w:rPr>
        <w:t>Non-Display of OMB Expiration Date</w:t>
      </w:r>
    </w:p>
    <w:p w14:paraId="139BD577" w14:textId="77777777" w:rsidR="00D85B49" w:rsidRPr="00D85B49" w:rsidRDefault="00D85B49" w:rsidP="00D85B49">
      <w:pPr>
        <w:spacing w:before="100" w:beforeAutospacing="1" w:after="100" w:afterAutospacing="1" w:line="288" w:lineRule="atLeast"/>
        <w:ind w:firstLine="1350"/>
        <w:rPr>
          <w:rFonts w:ascii="Times New Roman" w:eastAsia="Times New Roman" w:hAnsi="Times New Roman" w:cs="Times New Roman"/>
          <w:sz w:val="24"/>
          <w:szCs w:val="24"/>
        </w:rPr>
      </w:pPr>
      <w:bookmarkStart w:id="26" w:name="cp472"/>
      <w:bookmarkEnd w:id="25"/>
      <w:r w:rsidRPr="00D85B49">
        <w:rPr>
          <w:rFonts w:ascii="Times New Roman" w:eastAsia="Times New Roman" w:hAnsi="Times New Roman" w:cs="Times New Roman"/>
          <w:sz w:val="24"/>
          <w:szCs w:val="24"/>
        </w:rPr>
        <w:t>All data collection instruments delivered to the respondents will prominently display the expiration date for OMB approval.</w:t>
      </w:r>
    </w:p>
    <w:p w14:paraId="5C58F997" w14:textId="77777777" w:rsidR="00D85B49" w:rsidRPr="00D85B49" w:rsidRDefault="00D85B49" w:rsidP="00D85B49">
      <w:pPr>
        <w:spacing w:before="100" w:beforeAutospacing="1" w:after="100" w:afterAutospacing="1" w:line="288" w:lineRule="atLeast"/>
        <w:ind w:firstLine="900"/>
        <w:rPr>
          <w:rFonts w:ascii="Times New Roman" w:eastAsia="Times New Roman" w:hAnsi="Times New Roman" w:cs="Times New Roman"/>
          <w:sz w:val="24"/>
          <w:szCs w:val="24"/>
        </w:rPr>
      </w:pPr>
      <w:bookmarkStart w:id="27" w:name="cp473"/>
      <w:bookmarkEnd w:id="26"/>
      <w:r w:rsidRPr="00D85B49">
        <w:rPr>
          <w:rFonts w:ascii="Times New Roman" w:eastAsia="Times New Roman" w:hAnsi="Times New Roman" w:cs="Times New Roman"/>
          <w:sz w:val="24"/>
          <w:szCs w:val="24"/>
        </w:rPr>
        <w:t xml:space="preserve">18.  </w:t>
      </w:r>
      <w:r w:rsidRPr="00D85B49">
        <w:rPr>
          <w:rFonts w:ascii="Times New Roman" w:eastAsia="Times New Roman" w:hAnsi="Times New Roman" w:cs="Times New Roman"/>
          <w:sz w:val="24"/>
          <w:szCs w:val="24"/>
          <w:u w:val="single"/>
        </w:rPr>
        <w:t>Exceptions to "Certification for Paperwork Reduction Submissions"</w:t>
      </w:r>
    </w:p>
    <w:p w14:paraId="5C6BFB02" w14:textId="77777777" w:rsidR="00D85B49" w:rsidRPr="00D85B49" w:rsidRDefault="00D85B49" w:rsidP="00D85B49">
      <w:pPr>
        <w:spacing w:before="100" w:beforeAutospacing="1" w:after="100" w:afterAutospacing="1" w:line="288" w:lineRule="atLeast"/>
        <w:ind w:firstLine="1350"/>
        <w:rPr>
          <w:rFonts w:ascii="Times New Roman" w:eastAsia="Times New Roman" w:hAnsi="Times New Roman" w:cs="Times New Roman"/>
          <w:sz w:val="24"/>
          <w:szCs w:val="24"/>
        </w:rPr>
      </w:pPr>
      <w:bookmarkStart w:id="28" w:name="cp474"/>
      <w:bookmarkEnd w:id="27"/>
      <w:r w:rsidRPr="00D85B49">
        <w:rPr>
          <w:rFonts w:ascii="Times New Roman" w:eastAsia="Times New Roman" w:hAnsi="Times New Roman" w:cs="Times New Roman"/>
          <w:sz w:val="24"/>
          <w:szCs w:val="24"/>
        </w:rPr>
        <w:t>This submission describing data collection requests no exceptions to the Certificate for Paperwork Reduction Act (5 CFR 1320.9)</w:t>
      </w:r>
    </w:p>
    <w:bookmarkEnd w:id="28"/>
    <w:p w14:paraId="35895DCF" w14:textId="77777777" w:rsidR="00D85B49" w:rsidRPr="00D85B49" w:rsidRDefault="00D85B49" w:rsidP="00D85B49">
      <w:pPr>
        <w:spacing w:before="100" w:beforeAutospacing="1" w:after="100" w:afterAutospacing="1" w:line="288" w:lineRule="atLeast"/>
        <w:ind w:firstLine="1350"/>
        <w:rPr>
          <w:rFonts w:ascii="Times New Roman" w:eastAsia="Times New Roman" w:hAnsi="Times New Roman" w:cs="Times New Roman"/>
          <w:sz w:val="24"/>
          <w:szCs w:val="24"/>
        </w:rPr>
      </w:pPr>
    </w:p>
    <w:p w14:paraId="71E09F1E" w14:textId="77777777" w:rsidR="003F1964" w:rsidRDefault="005B6A70"/>
    <w:sectPr w:rsidR="003F1964" w:rsidSect="00F1447C">
      <w:footerReference w:type="default" r:id="rId7"/>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A02A5CF" w15:done="0"/>
  <w15:commentEx w15:paraId="2A51BBB3" w15:paraIdParent="6A02A5CF" w15:done="0"/>
  <w15:commentEx w15:paraId="029FEB8A" w15:done="0"/>
  <w15:commentEx w15:paraId="6980B0F3" w15:paraIdParent="029FEB8A" w15:done="0"/>
  <w15:commentEx w15:paraId="4C1BD1D7" w15:done="0"/>
  <w15:commentEx w15:paraId="059D640F" w15:done="0"/>
  <w15:commentEx w15:paraId="624E1499" w15:done="0"/>
  <w15:commentEx w15:paraId="68792D36" w15:done="0"/>
  <w15:commentEx w15:paraId="2BD643D9" w15:done="0"/>
  <w15:commentEx w15:paraId="0BC86595" w15:done="0"/>
  <w15:commentEx w15:paraId="4EC4ED20" w15:paraIdParent="0BC8659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FE781F" w14:textId="77777777" w:rsidR="005B6A70" w:rsidRDefault="005B6A70">
      <w:pPr>
        <w:spacing w:after="0" w:line="240" w:lineRule="auto"/>
      </w:pPr>
      <w:r>
        <w:separator/>
      </w:r>
    </w:p>
  </w:endnote>
  <w:endnote w:type="continuationSeparator" w:id="0">
    <w:p w14:paraId="0C568A5C" w14:textId="77777777" w:rsidR="005B6A70" w:rsidRDefault="005B6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8AC00D" w14:textId="77777777" w:rsidR="00D74D55" w:rsidRDefault="00D85B49">
    <w:pPr>
      <w:pStyle w:val="Footer"/>
      <w:jc w:val="center"/>
    </w:pPr>
    <w:r>
      <w:fldChar w:fldCharType="begin"/>
    </w:r>
    <w:r>
      <w:instrText xml:space="preserve"> PAGE   \* MERGEFORMAT </w:instrText>
    </w:r>
    <w:r>
      <w:fldChar w:fldCharType="separate"/>
    </w:r>
    <w:r w:rsidR="009A6E9D">
      <w:rPr>
        <w:noProof/>
      </w:rPr>
      <w:t>5</w:t>
    </w:r>
    <w:r>
      <w:fldChar w:fldCharType="end"/>
    </w:r>
  </w:p>
  <w:p w14:paraId="40F6721D" w14:textId="77777777" w:rsidR="00D74D55" w:rsidRDefault="005B6A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6CAE5E" w14:textId="77777777" w:rsidR="005B6A70" w:rsidRDefault="005B6A70">
      <w:pPr>
        <w:spacing w:after="0" w:line="240" w:lineRule="auto"/>
      </w:pPr>
      <w:r>
        <w:separator/>
      </w:r>
    </w:p>
  </w:footnote>
  <w:footnote w:type="continuationSeparator" w:id="0">
    <w:p w14:paraId="604C859D" w14:textId="77777777" w:rsidR="005B6A70" w:rsidRDefault="005B6A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B49"/>
    <w:rsid w:val="00033D0C"/>
    <w:rsid w:val="000E452F"/>
    <w:rsid w:val="001622D9"/>
    <w:rsid w:val="00293DC0"/>
    <w:rsid w:val="002D199F"/>
    <w:rsid w:val="00343F55"/>
    <w:rsid w:val="003E571D"/>
    <w:rsid w:val="00493DF9"/>
    <w:rsid w:val="005B6A70"/>
    <w:rsid w:val="00623BE4"/>
    <w:rsid w:val="00624E16"/>
    <w:rsid w:val="006A2096"/>
    <w:rsid w:val="006B240D"/>
    <w:rsid w:val="007A7758"/>
    <w:rsid w:val="007B50DD"/>
    <w:rsid w:val="00841CBC"/>
    <w:rsid w:val="009A6E9D"/>
    <w:rsid w:val="009B14F0"/>
    <w:rsid w:val="009E0ED7"/>
    <w:rsid w:val="00A95AD5"/>
    <w:rsid w:val="00B150CB"/>
    <w:rsid w:val="00B209CD"/>
    <w:rsid w:val="00C939CA"/>
    <w:rsid w:val="00CB1A9B"/>
    <w:rsid w:val="00CC48CE"/>
    <w:rsid w:val="00D7381A"/>
    <w:rsid w:val="00D85B49"/>
    <w:rsid w:val="00DF535E"/>
    <w:rsid w:val="00E465EC"/>
    <w:rsid w:val="00EC3873"/>
    <w:rsid w:val="00ED5977"/>
    <w:rsid w:val="00EE1E8F"/>
    <w:rsid w:val="00F348B1"/>
    <w:rsid w:val="00F6594C"/>
    <w:rsid w:val="00F96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53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85B49"/>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85B49"/>
    <w:rPr>
      <w:rFonts w:ascii="Times New Roman" w:eastAsia="Times New Roman" w:hAnsi="Times New Roman" w:cs="Times New Roman"/>
      <w:sz w:val="24"/>
      <w:szCs w:val="24"/>
    </w:rPr>
  </w:style>
  <w:style w:type="character" w:styleId="CommentReference">
    <w:name w:val="annotation reference"/>
    <w:semiHidden/>
    <w:rsid w:val="00D85B49"/>
    <w:rPr>
      <w:sz w:val="16"/>
      <w:szCs w:val="16"/>
    </w:rPr>
  </w:style>
  <w:style w:type="paragraph" w:styleId="CommentText">
    <w:name w:val="annotation text"/>
    <w:basedOn w:val="Normal"/>
    <w:link w:val="CommentTextChar"/>
    <w:semiHidden/>
    <w:rsid w:val="00D85B4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D85B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85B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5B4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E1E8F"/>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E1E8F"/>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B150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0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85B49"/>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85B49"/>
    <w:rPr>
      <w:rFonts w:ascii="Times New Roman" w:eastAsia="Times New Roman" w:hAnsi="Times New Roman" w:cs="Times New Roman"/>
      <w:sz w:val="24"/>
      <w:szCs w:val="24"/>
    </w:rPr>
  </w:style>
  <w:style w:type="character" w:styleId="CommentReference">
    <w:name w:val="annotation reference"/>
    <w:semiHidden/>
    <w:rsid w:val="00D85B49"/>
    <w:rPr>
      <w:sz w:val="16"/>
      <w:szCs w:val="16"/>
    </w:rPr>
  </w:style>
  <w:style w:type="paragraph" w:styleId="CommentText">
    <w:name w:val="annotation text"/>
    <w:basedOn w:val="Normal"/>
    <w:link w:val="CommentTextChar"/>
    <w:semiHidden/>
    <w:rsid w:val="00D85B4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D85B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85B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5B4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E1E8F"/>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E1E8F"/>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B150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0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2350</Words>
  <Characters>13395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2015-05-14T13:01:00Z</dcterms:created>
  <dcterms:modified xsi:type="dcterms:W3CDTF">2015-05-14T13:01:00Z</dcterms:modified>
</cp:coreProperties>
</file>