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9B6" w:rsidRDefault="005A295B">
      <w:pPr>
        <w:pStyle w:val="Heading2"/>
      </w:pPr>
      <w:r>
        <w:t>SUPPORTING STATEMENT</w:t>
      </w:r>
    </w:p>
    <w:p w:rsidR="000319B6" w:rsidRDefault="000319B6">
      <w:pPr>
        <w:rPr>
          <w:rFonts w:ascii="Times New Roman Bold" w:eastAsia="Times New Roman Bold" w:hAnsi="Times New Roman Bold" w:cs="Times New Roman Bold"/>
          <w:sz w:val="24"/>
          <w:szCs w:val="24"/>
        </w:rPr>
      </w:pPr>
    </w:p>
    <w:p w:rsidR="000319B6" w:rsidRDefault="000319B6">
      <w:pPr>
        <w:rPr>
          <w:rFonts w:ascii="Times New Roman Bold" w:eastAsia="Times New Roman Bold" w:hAnsi="Times New Roman Bold" w:cs="Times New Roman Bold"/>
          <w:sz w:val="24"/>
          <w:szCs w:val="24"/>
        </w:rPr>
      </w:pPr>
      <w:bookmarkStart w:id="0" w:name="_GoBack"/>
      <w:bookmarkEnd w:id="0"/>
    </w:p>
    <w:p w:rsidR="000319B6" w:rsidRDefault="005A295B">
      <w:pPr>
        <w:pStyle w:val="Heading1"/>
      </w:pPr>
      <w:r>
        <w:t>A.  Justification</w:t>
      </w:r>
    </w:p>
    <w:p w:rsidR="000319B6" w:rsidRDefault="000319B6">
      <w:pPr>
        <w:suppressAutoHyphens/>
        <w:rPr>
          <w:sz w:val="24"/>
          <w:szCs w:val="24"/>
        </w:rPr>
      </w:pPr>
    </w:p>
    <w:p w:rsidR="000319B6" w:rsidRDefault="005A295B">
      <w:pPr>
        <w:pStyle w:val="Numberedparagraphs"/>
        <w:tabs>
          <w:tab w:val="clear" w:pos="360"/>
        </w:tabs>
      </w:pPr>
      <w:r>
        <w:t xml:space="preserve">1.  On October 5, 2012, we released a Report and Order, </w:t>
      </w:r>
      <w:r>
        <w:rPr>
          <w:i/>
          <w:iCs/>
        </w:rPr>
        <w:t>Revision of the Commission</w:t>
      </w:r>
      <w:r>
        <w:rPr>
          <w:rFonts w:hAnsi="Times New Roman"/>
          <w:i/>
          <w:iCs/>
        </w:rPr>
        <w:t>’</w:t>
      </w:r>
      <w:r>
        <w:rPr>
          <w:i/>
          <w:iCs/>
        </w:rPr>
        <w:t>s Program Access Rules et al.</w:t>
      </w:r>
      <w:r>
        <w:t>, MB Docket No. 12-68 et al.,  FCC 12-123 (Oct. 5, 2012) (</w:t>
      </w:r>
      <w:r>
        <w:rPr>
          <w:rFonts w:hAnsi="Times New Roman"/>
        </w:rPr>
        <w:t>“</w:t>
      </w:r>
      <w:r>
        <w:rPr>
          <w:i/>
          <w:iCs/>
        </w:rPr>
        <w:t>R&amp;O</w:t>
      </w:r>
      <w:r>
        <w:rPr>
          <w:rFonts w:hAnsi="Times New Roman"/>
        </w:rPr>
        <w:t>”</w:t>
      </w:r>
      <w:r>
        <w:t xml:space="preserve">).  In the </w:t>
      </w:r>
      <w:r>
        <w:rPr>
          <w:i/>
          <w:iCs/>
        </w:rPr>
        <w:t>R&amp;O</w:t>
      </w:r>
      <w:r>
        <w:t xml:space="preserve">, we declined to extend the preemptive prohibition on exclusive contracts for satellite-delivered programming between any cable operator and any cable-affiliated programming vendor in served areas beyond its October 5, 2012 expiration date (the </w:t>
      </w:r>
      <w:r>
        <w:rPr>
          <w:rFonts w:hAnsi="Times New Roman"/>
        </w:rPr>
        <w:t>“</w:t>
      </w:r>
      <w:r>
        <w:t>exclusive contract prohibition</w:t>
      </w:r>
      <w:r>
        <w:rPr>
          <w:rFonts w:hAnsi="Times New Roman"/>
        </w:rPr>
        <w:t>”</w:t>
      </w:r>
      <w:r>
        <w:t xml:space="preserve">).  The expiration of the exclusive contract prohibition in served areas eliminates the filing of complaints alleging the existence of an impermissible exclusive contract in a served area.  Although exclusive contracts in served areas are no longer preemptively prohibited as a result of the </w:t>
      </w:r>
      <w:r>
        <w:rPr>
          <w:i/>
          <w:iCs/>
        </w:rPr>
        <w:t>R&amp;O</w:t>
      </w:r>
      <w:r>
        <w:t>, a multichannel video programming distributor (</w:t>
      </w:r>
      <w:r>
        <w:rPr>
          <w:rFonts w:hAnsi="Times New Roman"/>
        </w:rPr>
        <w:t>“</w:t>
      </w:r>
      <w:r>
        <w:t>MVPD</w:t>
      </w:r>
      <w:r>
        <w:rPr>
          <w:rFonts w:hAnsi="Times New Roman"/>
        </w:rPr>
        <w:t>”</w:t>
      </w:r>
      <w:r>
        <w:t xml:space="preserve">) may file a program access complaint with the Commission alleging that a particular exclusive contract violates Section 628(b) of the Communications Act of 1934, as amended (the </w:t>
      </w:r>
      <w:r>
        <w:rPr>
          <w:rFonts w:hAnsi="Times New Roman"/>
        </w:rPr>
        <w:t>“</w:t>
      </w:r>
      <w:r>
        <w:t>Act</w:t>
      </w:r>
      <w:r>
        <w:rPr>
          <w:rFonts w:hAnsi="Times New Roman"/>
        </w:rPr>
        <w:t>”</w:t>
      </w:r>
      <w:r>
        <w:t>), and Section 76.1001(a) of the Commission</w:t>
      </w:r>
      <w:r>
        <w:rPr>
          <w:rFonts w:hAnsi="Times New Roman"/>
        </w:rPr>
        <w:t>’</w:t>
      </w:r>
      <w:r>
        <w:t xml:space="preserve">s Rules.  47 U.S.C. </w:t>
      </w:r>
      <w:r>
        <w:rPr>
          <w:rFonts w:hAnsi="Times New Roman"/>
        </w:rPr>
        <w:t xml:space="preserve">§ </w:t>
      </w:r>
      <w:r>
        <w:t xml:space="preserve">548(b) (prohibiting </w:t>
      </w:r>
      <w:r>
        <w:rPr>
          <w:rFonts w:hAnsi="Times New Roman"/>
        </w:rPr>
        <w:t>“</w:t>
      </w:r>
      <w:r>
        <w:t>unfair acts</w:t>
      </w:r>
      <w:r>
        <w:rPr>
          <w:rFonts w:hAnsi="Times New Roman"/>
        </w:rPr>
        <w:t xml:space="preserve">” </w:t>
      </w:r>
      <w:r>
        <w:t xml:space="preserve">that have the </w:t>
      </w:r>
      <w:r>
        <w:rPr>
          <w:rFonts w:hAnsi="Times New Roman"/>
        </w:rPr>
        <w:t>“</w:t>
      </w:r>
      <w:r>
        <w:t>purpose or effect</w:t>
      </w:r>
      <w:r>
        <w:rPr>
          <w:rFonts w:hAnsi="Times New Roman"/>
        </w:rPr>
        <w:t xml:space="preserve">” </w:t>
      </w:r>
      <w:r>
        <w:t xml:space="preserve">of </w:t>
      </w:r>
      <w:r>
        <w:rPr>
          <w:rFonts w:hAnsi="Times New Roman"/>
        </w:rPr>
        <w:t>“</w:t>
      </w:r>
      <w:r>
        <w:t>significantly hindering or preventing</w:t>
      </w:r>
      <w:r>
        <w:rPr>
          <w:rFonts w:hAnsi="Times New Roman"/>
        </w:rPr>
        <w:t xml:space="preserve">” </w:t>
      </w:r>
      <w:r>
        <w:t xml:space="preserve">the complainant from providing satellite cable programming or satellite broadcast programming); 47 CFR 76.1001(a).  </w:t>
      </w:r>
    </w:p>
    <w:p w:rsidR="000319B6" w:rsidRDefault="005A295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r>
        <w:rPr>
          <w:sz w:val="24"/>
          <w:szCs w:val="24"/>
        </w:rPr>
        <w:t xml:space="preserve"> </w:t>
      </w:r>
    </w:p>
    <w:p w:rsidR="000319B6" w:rsidRDefault="005A295B">
      <w:pPr>
        <w:rPr>
          <w:rFonts w:ascii="Times New Roman Bold" w:eastAsia="Times New Roman Bold" w:hAnsi="Times New Roman Bold" w:cs="Times New Roman Bold"/>
          <w:sz w:val="24"/>
          <w:szCs w:val="24"/>
        </w:rPr>
      </w:pPr>
      <w:r>
        <w:rPr>
          <w:rFonts w:ascii="Times New Roman Bold"/>
          <w:sz w:val="24"/>
          <w:szCs w:val="24"/>
        </w:rPr>
        <w:t xml:space="preserve">47 CFR Section 1.221(h) </w:t>
      </w:r>
      <w:r>
        <w:rPr>
          <w:sz w:val="24"/>
          <w:szCs w:val="24"/>
        </w:rPr>
        <w:t xml:space="preserve">requires that, in a program carriage complaint proceeding filed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76.1302 that the Chief, Media Bureau refers to an administrative law judge for an initial decision, each party, in person or by attorney, shall file a written appearance within five calendar days after the party informs the Chief Administrative Law Judge that it elects not to pursue alternative dispute resolution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76.7(g)(2) or, if the parties have mutually elected to pursue alternative dispute resolution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76.7(g)(2), within five calendar days after the parties inform the Chief Administrative Law Judge that they have failed to resolve their dispute through alternative dispute resolution.  The written appearance shall state that the party will appear on the date fixed for hearing and present evidence on the issues specified in the hearing designation order.  </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1.229(b)(3) </w:t>
      </w:r>
      <w:r>
        <w:rPr>
          <w:sz w:val="24"/>
          <w:szCs w:val="24"/>
        </w:rPr>
        <w:t xml:space="preserve">requires that, in a program carriage complaint proceeding filed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76.1302 that the Chief, Media Bureau refers to an administrative law judge for an initial decision, a motion to enlarge, change, or delete issues shall be filed within 15 calendar days after the deadline for submitting written appearances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1.221(h), except that persons not named as parties to the proceeding in the designation order may file such motions </w:t>
      </w:r>
      <w:r>
        <w:rPr>
          <w:sz w:val="24"/>
          <w:szCs w:val="24"/>
        </w:rPr>
        <w:lastRenderedPageBreak/>
        <w:t>with their petitions to intervene up to 30 days after publication of the full text or a summary of the designation order in the Federal Register.</w:t>
      </w:r>
      <w:r>
        <w:rPr>
          <w:rFonts w:ascii="Times New Roman Bold"/>
          <w:sz w:val="24"/>
          <w:szCs w:val="24"/>
        </w:rPr>
        <w:t xml:space="preserve">  </w:t>
      </w:r>
    </w:p>
    <w:p w:rsidR="000319B6" w:rsidRDefault="000319B6">
      <w:pPr>
        <w:rPr>
          <w:sz w:val="24"/>
          <w:szCs w:val="24"/>
        </w:rPr>
      </w:pPr>
    </w:p>
    <w:p w:rsidR="000319B6" w:rsidRDefault="005A295B">
      <w:pPr>
        <w:rPr>
          <w:rFonts w:ascii="Times New Roman Bold" w:eastAsia="Times New Roman Bold" w:hAnsi="Times New Roman Bold" w:cs="Times New Roman Bold"/>
          <w:sz w:val="24"/>
          <w:szCs w:val="24"/>
        </w:rPr>
      </w:pPr>
      <w:r>
        <w:rPr>
          <w:rFonts w:ascii="Times New Roman Bold"/>
          <w:sz w:val="24"/>
          <w:szCs w:val="24"/>
        </w:rPr>
        <w:t>47 CFR Section 1.229(b)(4)</w:t>
      </w:r>
      <w:r>
        <w:rPr>
          <w:sz w:val="24"/>
          <w:szCs w:val="24"/>
        </w:rPr>
        <w:t xml:space="preserve"> provides that any person desiring to file a motion to modify the issues after the expiration of periods specified in paragraphs (a), (b)(1), (b)(2), and (b)(3) of 47 CFR </w:t>
      </w:r>
      <w:r>
        <w:rPr>
          <w:rFonts w:ascii="Arial Unicode MS" w:hAnsi="Times New Roman"/>
          <w:sz w:val="24"/>
          <w:szCs w:val="24"/>
        </w:rPr>
        <w:t>§</w:t>
      </w:r>
      <w:r>
        <w:rPr>
          <w:rFonts w:ascii="Arial Unicode MS" w:hAnsi="Times New Roman"/>
          <w:sz w:val="24"/>
          <w:szCs w:val="24"/>
        </w:rPr>
        <w:t xml:space="preserve"> </w:t>
      </w:r>
      <w:r>
        <w:rPr>
          <w:sz w:val="24"/>
          <w:szCs w:val="24"/>
        </w:rPr>
        <w:t>1.229, shall set forth the reason why it was not possible to file the motion within the prescribed period.</w:t>
      </w:r>
      <w:r>
        <w:rPr>
          <w:rFonts w:ascii="Times New Roman Bold"/>
          <w:sz w:val="24"/>
          <w:szCs w:val="24"/>
        </w:rPr>
        <w:t xml:space="preserve">  </w:t>
      </w:r>
    </w:p>
    <w:p w:rsidR="000319B6" w:rsidRDefault="000319B6">
      <w:pPr>
        <w:rPr>
          <w:sz w:val="24"/>
          <w:szCs w:val="24"/>
        </w:rPr>
      </w:pPr>
    </w:p>
    <w:p w:rsidR="000319B6" w:rsidRDefault="005A295B">
      <w:pPr>
        <w:rPr>
          <w:sz w:val="24"/>
          <w:szCs w:val="24"/>
        </w:rPr>
      </w:pPr>
      <w:r>
        <w:rPr>
          <w:rFonts w:ascii="Times New Roman Bold"/>
          <w:sz w:val="24"/>
          <w:szCs w:val="24"/>
        </w:rPr>
        <w:t>47 CFR Section 1.248(a)</w:t>
      </w:r>
      <w:r>
        <w:rPr>
          <w:sz w:val="24"/>
          <w:szCs w:val="24"/>
        </w:rPr>
        <w:t xml:space="preserve"> provides that the initial prehearing conference as directed by the Commission shall be scheduled 30 days after the effective date of the order designating a case for hearing, unless good cause is shown for scheduling such conference at a later date, except that for program carriage complaints filed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Pr>
          <w:rFonts w:ascii="Arial Unicode MS" w:hAnsi="Times New Roman"/>
          <w:sz w:val="24"/>
          <w:szCs w:val="24"/>
        </w:rPr>
        <w:t>§</w:t>
      </w:r>
      <w:r>
        <w:rPr>
          <w:rFonts w:ascii="Arial Unicode MS" w:hAnsi="Times New Roman"/>
          <w:sz w:val="24"/>
          <w:szCs w:val="24"/>
        </w:rPr>
        <w:t xml:space="preserve"> </w:t>
      </w:r>
      <w:r>
        <w:rPr>
          <w:sz w:val="24"/>
          <w:szCs w:val="24"/>
        </w:rPr>
        <w:t>1.221(h) or within such shorter or longer period as the Commission may allow on motion or notice consistent with the public interest.</w:t>
      </w:r>
      <w:r>
        <w:rPr>
          <w:rFonts w:ascii="Times New Roman Bold"/>
          <w:sz w:val="24"/>
          <w:szCs w:val="24"/>
        </w:rPr>
        <w:t xml:space="preserve">  </w:t>
      </w:r>
    </w:p>
    <w:p w:rsidR="000319B6" w:rsidRDefault="000319B6">
      <w:pPr>
        <w:rPr>
          <w:sz w:val="24"/>
          <w:szCs w:val="24"/>
        </w:rPr>
      </w:pPr>
    </w:p>
    <w:p w:rsidR="000319B6" w:rsidRDefault="005A295B">
      <w:pPr>
        <w:rPr>
          <w:rFonts w:ascii="Times New Roman Bold" w:eastAsia="Times New Roman Bold" w:hAnsi="Times New Roman Bold" w:cs="Times New Roman Bold"/>
          <w:sz w:val="24"/>
          <w:szCs w:val="24"/>
        </w:rPr>
      </w:pPr>
      <w:r>
        <w:rPr>
          <w:rFonts w:ascii="Times New Roman Bold"/>
          <w:sz w:val="24"/>
          <w:szCs w:val="24"/>
        </w:rPr>
        <w:t>47 CFR Section 1.248(b)</w:t>
      </w:r>
      <w:r>
        <w:rPr>
          <w:sz w:val="24"/>
          <w:szCs w:val="24"/>
        </w:rPr>
        <w:t xml:space="preserve"> provides that the initial prehearing conference as directed by the presiding officer shall be scheduled 30 days after the effective date of the order designating a case for hearing, unless good cause is shown for scheduling such conference at a later date, except that for program carriage complaints filed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Pr>
          <w:rFonts w:ascii="Arial Unicode MS" w:hAnsi="Times New Roman"/>
          <w:sz w:val="24"/>
          <w:szCs w:val="24"/>
        </w:rPr>
        <w:t>§</w:t>
      </w:r>
      <w:r>
        <w:rPr>
          <w:rFonts w:ascii="Arial Unicode MS" w:hAnsi="Times New Roman"/>
          <w:sz w:val="24"/>
          <w:szCs w:val="24"/>
        </w:rPr>
        <w:t xml:space="preserve"> </w:t>
      </w:r>
      <w:r>
        <w:rPr>
          <w:sz w:val="24"/>
          <w:szCs w:val="24"/>
        </w:rPr>
        <w:t>1.221(h) or within such shorter or longer period as the presiding officer may allow on motion or notice consistent with the public interest.</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76.7.</w:t>
      </w:r>
      <w:r>
        <w:rPr>
          <w:sz w:val="24"/>
          <w:szCs w:val="24"/>
        </w:rPr>
        <w:t xml:space="preserve">  Pleadings</w:t>
      </w:r>
      <w:r>
        <w:rPr>
          <w:rFonts w:eastAsia="Times New Roman" w:hAnsi="Times New Roman" w:cs="Times New Roman"/>
          <w:sz w:val="24"/>
          <w:szCs w:val="24"/>
          <w:vertAlign w:val="superscript"/>
        </w:rPr>
        <w:footnoteReference w:id="2"/>
      </w:r>
      <w:r>
        <w:rPr>
          <w:sz w:val="24"/>
          <w:szCs w:val="24"/>
        </w:rPr>
        <w:t xml:space="preserve"> seeking to initiate FCC action must adhere to the requirements of Section 76.6 (general pleading requirements) and Section 76.7 (initiating pleading requirements).  Section 76.7 is used for numerous types of petitions and special relief petitions, including general petitions seeking special relief, waivers, enforcement, show cause, forfeiture </w:t>
      </w:r>
    </w:p>
    <w:p w:rsidR="000319B6" w:rsidRDefault="005A295B">
      <w:pPr>
        <w:rPr>
          <w:sz w:val="24"/>
          <w:szCs w:val="24"/>
        </w:rPr>
      </w:pPr>
      <w:r>
        <w:rPr>
          <w:sz w:val="24"/>
          <w:szCs w:val="24"/>
        </w:rPr>
        <w:t xml:space="preserve">and declaratory ruling procedures.  </w:t>
      </w:r>
    </w:p>
    <w:p w:rsidR="000319B6" w:rsidRDefault="000319B6">
      <w:pPr>
        <w:rPr>
          <w:rFonts w:ascii="Times New Roman Bold" w:eastAsia="Times New Roman Bold" w:hAnsi="Times New Roman Bold" w:cs="Times New Roman Bold"/>
          <w:sz w:val="24"/>
          <w:szCs w:val="24"/>
        </w:rPr>
      </w:pPr>
    </w:p>
    <w:p w:rsidR="000319B6" w:rsidRDefault="005A295B">
      <w:pPr>
        <w:rPr>
          <w:rFonts w:ascii="Times New Roman Bold" w:eastAsia="Times New Roman Bold" w:hAnsi="Times New Roman Bold" w:cs="Times New Roman Bold"/>
          <w:sz w:val="24"/>
          <w:szCs w:val="24"/>
        </w:rPr>
      </w:pPr>
      <w:r>
        <w:rPr>
          <w:rFonts w:ascii="Times New Roman Bold"/>
          <w:sz w:val="24"/>
          <w:szCs w:val="24"/>
        </w:rPr>
        <w:t>47 CFR Section 76.7(g)(2)</w:t>
      </w:r>
      <w:r>
        <w:rPr>
          <w:sz w:val="24"/>
          <w:szCs w:val="24"/>
        </w:rPr>
        <w:t xml:space="preserve"> provides that, in a proceeding initiated pursuant to </w:t>
      </w:r>
      <w:r>
        <w:rPr>
          <w:rFonts w:ascii="Arial Unicode MS" w:hAnsi="Times New Roman"/>
          <w:sz w:val="24"/>
          <w:szCs w:val="24"/>
        </w:rPr>
        <w:t>§</w:t>
      </w:r>
      <w:r>
        <w:rPr>
          <w:rFonts w:ascii="Arial Unicode MS" w:hAnsi="Times New Roman"/>
          <w:sz w:val="24"/>
          <w:szCs w:val="24"/>
        </w:rPr>
        <w:t xml:space="preserve"> </w:t>
      </w:r>
      <w:r>
        <w:rPr>
          <w:sz w:val="24"/>
          <w:szCs w:val="24"/>
        </w:rPr>
        <w:t xml:space="preserve">76.7 that is referred to an administrative law judge, the parties may elect to resolve the dispute through alternative dispute resolution procedures, or may proceed with an adjudicatory hearing, provided </w:t>
      </w:r>
      <w:r>
        <w:rPr>
          <w:sz w:val="24"/>
          <w:szCs w:val="24"/>
        </w:rPr>
        <w:lastRenderedPageBreak/>
        <w:t xml:space="preserve">that the election shall be submitted in writing to the Commission and the Chief Administrative Law Judge.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76.9.</w:t>
      </w:r>
      <w:r>
        <w:rPr>
          <w:sz w:val="24"/>
          <w:szCs w:val="24"/>
        </w:rPr>
        <w:t xml:space="preserve">  A party that wishes to have confidentiality for proprietary information with respect to a submission it is making to the FCC must file a petition pursuant to the pleading requirements in Section 76.7 and use the method described in Sections 0.459 and 76.9 to demonstrate that confidentiality is warranted.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76.61(a)</w:t>
      </w:r>
      <w:r>
        <w:rPr>
          <w:rFonts w:eastAsia="Times New Roman" w:hAnsi="Times New Roman" w:cs="Times New Roman"/>
          <w:sz w:val="24"/>
          <w:szCs w:val="24"/>
          <w:vertAlign w:val="superscript"/>
        </w:rPr>
        <w:footnoteReference w:id="3"/>
      </w:r>
      <w:r>
        <w:rPr>
          <w:sz w:val="24"/>
          <w:szCs w:val="24"/>
        </w:rPr>
        <w:t xml:space="preserve"> permits a local commercial television station or qualified low power television station that is denied carriage or channel positioning or repositioning in accordance with the must-carry rules by a cable operator to file a complaint with the FCC in accordance with the procedures set forth in Section 76.7.  Section 76.61(b)</w:t>
      </w:r>
      <w:r>
        <w:rPr>
          <w:rFonts w:eastAsia="Times New Roman" w:hAnsi="Times New Roman" w:cs="Times New Roman"/>
          <w:sz w:val="24"/>
          <w:szCs w:val="24"/>
          <w:vertAlign w:val="superscript"/>
        </w:rPr>
        <w:footnoteReference w:id="4"/>
      </w:r>
      <w:r>
        <w:rPr>
          <w:sz w:val="24"/>
          <w:szCs w:val="24"/>
        </w:rPr>
        <w:t xml:space="preserve"> permits a qualified local noncommercial educational television station that believes a cable operator has failed to comply with the FCC</w:t>
      </w:r>
      <w:r>
        <w:rPr>
          <w:rFonts w:ascii="Arial Unicode MS" w:hAnsi="Times New Roman"/>
          <w:sz w:val="24"/>
          <w:szCs w:val="24"/>
        </w:rPr>
        <w:t>’</w:t>
      </w:r>
      <w:r>
        <w:rPr>
          <w:sz w:val="24"/>
          <w:szCs w:val="24"/>
        </w:rPr>
        <w:t xml:space="preserve">s signal carriage or channel positioning requirements (Sections 76.56 through 76.57) to file a complaint with the FCC in accordance with the procedures set forth in Section 76.7.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76.61(a)(1)</w:t>
      </w:r>
      <w:r>
        <w:rPr>
          <w:sz w:val="24"/>
          <w:szCs w:val="24"/>
        </w:rPr>
        <w:t xml:space="preserve"> states that whenever a local commercial television station or a qualified low power television station believes that a cable operator has failed to meet its carriage or channel positioning obligations, pursuant to Sections </w:t>
      </w:r>
      <w:hyperlink r:id="rId7" w:history="1">
        <w:r>
          <w:rPr>
            <w:rStyle w:val="Hyperlink0"/>
          </w:rPr>
          <w:t>76.56</w:t>
        </w:r>
      </w:hyperlink>
      <w:r>
        <w:rPr>
          <w:sz w:val="24"/>
          <w:szCs w:val="24"/>
        </w:rPr>
        <w:t xml:space="preserve"> and </w:t>
      </w:r>
      <w:hyperlink r:id="rId8" w:history="1">
        <w:r>
          <w:rPr>
            <w:rStyle w:val="Hyperlink0"/>
          </w:rPr>
          <w:t>76.57</w:t>
        </w:r>
      </w:hyperlink>
      <w:r>
        <w:rPr>
          <w:sz w:val="24"/>
          <w:szCs w:val="24"/>
        </w:rPr>
        <w:t xml:space="preserve">, such station shall notify the operator, in writing, of the alleged failure and identify its reasons for believing that the cable operator is obligated to carry the signal of such station or position such signal on a particular channel. </w:t>
      </w:r>
    </w:p>
    <w:p w:rsidR="000319B6" w:rsidRDefault="000319B6">
      <w:pPr>
        <w:rPr>
          <w:sz w:val="24"/>
          <w:szCs w:val="24"/>
        </w:rPr>
      </w:pPr>
    </w:p>
    <w:p w:rsidR="000319B6" w:rsidRDefault="005A295B">
      <w:pPr>
        <w:rPr>
          <w:rFonts w:ascii="Times New Roman Bold" w:eastAsia="Times New Roman Bold" w:hAnsi="Times New Roman Bold" w:cs="Times New Roman Bold"/>
          <w:sz w:val="24"/>
          <w:szCs w:val="24"/>
        </w:rPr>
      </w:pPr>
      <w:r>
        <w:rPr>
          <w:rFonts w:ascii="Times New Roman Bold"/>
          <w:sz w:val="24"/>
          <w:szCs w:val="24"/>
        </w:rPr>
        <w:t>47 CFR Section 76.61(a)(2)</w:t>
      </w:r>
      <w:r>
        <w:rPr>
          <w:sz w:val="24"/>
          <w:szCs w:val="24"/>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w:t>
      </w:r>
      <w:r>
        <w:rPr>
          <w:sz w:val="24"/>
          <w:szCs w:val="24"/>
        </w:rPr>
        <w:lastRenderedPageBreak/>
        <w:t xml:space="preserve">processing equipment used, including sketches such as block diagrams and a description of the methodology used for processing the signal at issue, in its response.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sz w:val="24"/>
          <w:szCs w:val="24"/>
        </w:rPr>
        <w:t xml:space="preserve"> </w:t>
      </w:r>
      <w:r>
        <w:rPr>
          <w:rFonts w:ascii="Times New Roman Bold"/>
          <w:sz w:val="24"/>
          <w:szCs w:val="24"/>
        </w:rPr>
        <w:t xml:space="preserve">47 CFR Section 76.914(c) </w:t>
      </w:r>
      <w:r>
        <w:rPr>
          <w:sz w:val="24"/>
          <w:szCs w:val="24"/>
        </w:rPr>
        <w:t>permits a cable operator seeking revocation of a franchising authority</w:t>
      </w:r>
      <w:r>
        <w:rPr>
          <w:rFonts w:ascii="Arial Unicode MS" w:hAnsi="Times New Roman"/>
          <w:sz w:val="24"/>
          <w:szCs w:val="24"/>
        </w:rPr>
        <w:t>’</w:t>
      </w:r>
      <w:r>
        <w:rPr>
          <w:sz w:val="24"/>
          <w:szCs w:val="24"/>
        </w:rPr>
        <w:t xml:space="preserve">s certification to file a petition with the FCC in accordance with the procedures set forth in Section 76.7.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sz w:val="24"/>
          <w:szCs w:val="24"/>
        </w:rPr>
        <w:t xml:space="preserve"> </w:t>
      </w:r>
      <w:r>
        <w:rPr>
          <w:rFonts w:ascii="Times New Roman Bold"/>
          <w:sz w:val="24"/>
          <w:szCs w:val="24"/>
        </w:rPr>
        <w:t>47 CFR Section 76.1003(a)</w:t>
      </w:r>
      <w:r>
        <w:rPr>
          <w:sz w:val="24"/>
          <w:szCs w:val="24"/>
        </w:rPr>
        <w:t xml:space="preserve"> permits any multichannel video programming distributor (MVPD) aggrieved by conduct that it believes constitute a violation of the FCC</w:t>
      </w:r>
      <w:r>
        <w:rPr>
          <w:rFonts w:ascii="Arial Unicode MS" w:hAnsi="Times New Roman"/>
          <w:sz w:val="24"/>
          <w:szCs w:val="24"/>
        </w:rPr>
        <w:t>’</w:t>
      </w:r>
      <w:r>
        <w:rPr>
          <w:sz w:val="24"/>
          <w:szCs w:val="24"/>
        </w:rPr>
        <w:t xml:space="preserve">s competitive access to cable programming rules to commence an adjudicatory proceeding at the FCC to obtain enforcement of the rules through the filing of a complaint, which must be filed and responded to in accordance with the procedures specified in Section 76.7, except to the extent such procedures are modified by Section 76.1003.  </w:t>
      </w:r>
    </w:p>
    <w:p w:rsidR="000319B6" w:rsidRDefault="000319B6">
      <w:pPr>
        <w:rPr>
          <w:sz w:val="24"/>
          <w:szCs w:val="24"/>
        </w:rPr>
      </w:pPr>
    </w:p>
    <w:p w:rsidR="000319B6" w:rsidRDefault="005A295B">
      <w:pPr>
        <w:rPr>
          <w:sz w:val="24"/>
          <w:szCs w:val="24"/>
        </w:rPr>
      </w:pPr>
      <w:r>
        <w:rPr>
          <w:rFonts w:ascii="Times New Roman Bold"/>
          <w:sz w:val="24"/>
          <w:szCs w:val="24"/>
        </w:rPr>
        <w:t>47 CFR Section 76.1001(b)(2)</w:t>
      </w:r>
      <w:r>
        <w:rPr>
          <w:sz w:val="24"/>
          <w:szCs w:val="24"/>
        </w:rPr>
        <w:t xml:space="preserve"> permits any multichannel video programming distributor to commence an adjudicatory proceeding by filing a complaint with the Commission alleging that a cable operator, a satellite cable programming vendor in which a cable operator has an attributable interest, or a satellite broadcast programming vendor, has engaged in an unfair act involving terrestrially delivered, cable-affiliated programming, which must be filed and responded to in accordance with the procedures specified in </w:t>
      </w:r>
      <w:r>
        <w:rPr>
          <w:rFonts w:ascii="Arial Unicode MS" w:hAnsi="Times New Roman"/>
          <w:sz w:val="24"/>
          <w:szCs w:val="24"/>
        </w:rPr>
        <w:t>§</w:t>
      </w:r>
      <w:r>
        <w:rPr>
          <w:rFonts w:ascii="Arial Unicode MS" w:hAnsi="Times New Roman"/>
          <w:sz w:val="24"/>
          <w:szCs w:val="24"/>
        </w:rPr>
        <w:t xml:space="preserve"> </w:t>
      </w:r>
      <w:r>
        <w:rPr>
          <w:sz w:val="24"/>
          <w:szCs w:val="24"/>
        </w:rPr>
        <w:t xml:space="preserve">76.7, except to the extent such procedures are modified by </w:t>
      </w:r>
      <w:r>
        <w:rPr>
          <w:rFonts w:ascii="Arial Unicode MS" w:hAnsi="Times New Roman"/>
          <w:sz w:val="24"/>
          <w:szCs w:val="24"/>
        </w:rPr>
        <w:t>§§</w:t>
      </w:r>
      <w:r>
        <w:rPr>
          <w:rFonts w:ascii="Arial Unicode MS" w:hAnsi="Times New Roman"/>
          <w:sz w:val="24"/>
          <w:szCs w:val="24"/>
        </w:rPr>
        <w:t xml:space="preserve"> </w:t>
      </w:r>
      <w:r>
        <w:rPr>
          <w:sz w:val="24"/>
          <w:szCs w:val="24"/>
        </w:rPr>
        <w:t>76.1001(b)(2) and 76.1003.  In program access cases involving terrestrially delivered, cable-affiliated programming, the defendant has 45 days from the date of service of the complaint to file an answer, unless otherwise directed by the Commission.  A complainant shall have the burden of proof that the defendant</w:t>
      </w:r>
      <w:r>
        <w:rPr>
          <w:rFonts w:ascii="Arial Unicode MS" w:hAnsi="Times New Roman"/>
          <w:sz w:val="24"/>
          <w:szCs w:val="24"/>
        </w:rPr>
        <w:t>’</w:t>
      </w:r>
      <w:r>
        <w:rPr>
          <w:sz w:val="24"/>
          <w:szCs w:val="24"/>
        </w:rPr>
        <w:t>s alleged conduct has the purpose or effect of hindering significantly or preventing the complainant from providing satellite cable programming or satellite broadcast programming to subscribers or consumers; an answer to such a complaint shall set forth the defendant</w:t>
      </w:r>
      <w:r>
        <w:rPr>
          <w:rFonts w:ascii="Arial Unicode MS" w:hAnsi="Times New Roman"/>
          <w:sz w:val="24"/>
          <w:szCs w:val="24"/>
        </w:rPr>
        <w:t>’</w:t>
      </w:r>
      <w:r>
        <w:rPr>
          <w:sz w:val="24"/>
          <w:szCs w:val="24"/>
        </w:rPr>
        <w:t>s reasons to support a finding that the complainant has not carried this burden.  In addition, a complainant alleging that a terrestrial cable programming vendor has engaged in discrimination shall have the burden of proof that the terrestrial cable programming vendor is wholly owned by, controlled by, or under common control with a cable operator or cable operators, satellite cable programming vendor or vendors in which a cable operator has an attributable interest, or satellite broadcast programming vendor or vendors; an answer to such a complaint shall set forth the defendant</w:t>
      </w:r>
      <w:r>
        <w:rPr>
          <w:rFonts w:ascii="Arial Unicode MS" w:hAnsi="Times New Roman"/>
          <w:sz w:val="24"/>
          <w:szCs w:val="24"/>
        </w:rPr>
        <w:t>’</w:t>
      </w:r>
      <w:r>
        <w:rPr>
          <w:sz w:val="24"/>
          <w:szCs w:val="24"/>
        </w:rPr>
        <w:t>s reasons to support a finding that the complainant has not carried this burden.  In addition, a complainant that wants</w:t>
      </w:r>
      <w:r>
        <w:rPr>
          <w:rFonts w:ascii="Arial Unicode MS" w:hAnsi="Times New Roman"/>
          <w:sz w:val="24"/>
          <w:szCs w:val="24"/>
        </w:rPr>
        <w:t> </w:t>
      </w:r>
      <w:r>
        <w:rPr>
          <w:sz w:val="24"/>
          <w:szCs w:val="24"/>
        </w:rPr>
        <w:t>a currently pending</w:t>
      </w:r>
      <w:r>
        <w:rPr>
          <w:rFonts w:ascii="Arial Unicode MS" w:hAnsi="Times New Roman"/>
          <w:sz w:val="24"/>
          <w:szCs w:val="24"/>
        </w:rPr>
        <w:t> </w:t>
      </w:r>
      <w:r>
        <w:rPr>
          <w:sz w:val="24"/>
          <w:szCs w:val="24"/>
        </w:rPr>
        <w:t>complaint involving terrestrially delivered, cable-affiliated programming considered under the rules must submit a supplemental filing alleging that the defendant has engaged in an unfair act after the effective date of the rules.</w:t>
      </w:r>
      <w:r>
        <w:rPr>
          <w:rFonts w:ascii="Arial Unicode MS" w:hAnsi="Times New Roman"/>
          <w:sz w:val="24"/>
          <w:szCs w:val="24"/>
        </w:rPr>
        <w:t> </w:t>
      </w:r>
      <w:r>
        <w:rPr>
          <w:rFonts w:ascii="Arial Unicode MS" w:hAnsi="Times New Roman"/>
          <w:sz w:val="24"/>
          <w:szCs w:val="24"/>
        </w:rPr>
        <w:t xml:space="preserve"> </w:t>
      </w:r>
      <w:r>
        <w:rPr>
          <w:sz w:val="24"/>
          <w:szCs w:val="24"/>
        </w:rPr>
        <w:t xml:space="preserve">In such case, the complaint and supplement will be </w:t>
      </w:r>
      <w:r>
        <w:rPr>
          <w:sz w:val="24"/>
          <w:szCs w:val="24"/>
        </w:rPr>
        <w:lastRenderedPageBreak/>
        <w:t xml:space="preserve">considered pursuant to the rules and the defendant will have an opportunity to answer the supplemental filing, as set forth in the rules.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76.1003(b)</w:t>
      </w:r>
      <w:r>
        <w:rPr>
          <w:sz w:val="24"/>
          <w:szCs w:val="24"/>
        </w:rPr>
        <w:t xml:space="preserve"> requires any aggrieved MVPD intending to file a complaint under this section to first notify the potential defendant cable operator, and/or the potential defendant satellite cable programming vendor or satellite broadcast programming vendor, that it intends to file a complaint with the Commission based on actions alleged to violate one or more of the provisions contained in Sections 76.1001 or 76.1002 of this part.  The notice must be sufficiently detailed so that its recipient(s) can determine the nature of the potential complaint.  The potential complainant must allow a minimum of ten (10) days for the potential defendant(s) to respond before filing a complaint with the Commission.  </w:t>
      </w:r>
    </w:p>
    <w:p w:rsidR="000319B6" w:rsidRDefault="000319B6">
      <w:pPr>
        <w:rPr>
          <w:sz w:val="24"/>
          <w:szCs w:val="24"/>
        </w:rPr>
      </w:pPr>
    </w:p>
    <w:p w:rsidR="000319B6" w:rsidRDefault="005A295B">
      <w:pPr>
        <w:rPr>
          <w:sz w:val="24"/>
          <w:szCs w:val="24"/>
        </w:rPr>
      </w:pPr>
      <w:r>
        <w:rPr>
          <w:rFonts w:ascii="Times New Roman Bold"/>
          <w:sz w:val="24"/>
          <w:szCs w:val="24"/>
        </w:rPr>
        <w:t>47 CFR Section 76.1003(c</w:t>
      </w:r>
      <w:r>
        <w:rPr>
          <w:sz w:val="24"/>
          <w:szCs w:val="24"/>
        </w:rPr>
        <w:t>) describes the required contents of a program access complaint, in addition to the requirements of Section 76.7 of this part.</w:t>
      </w:r>
      <w:r>
        <w:rPr>
          <w:rFonts w:eastAsia="Times New Roman" w:hAnsi="Times New Roman" w:cs="Times New Roman"/>
          <w:sz w:val="24"/>
          <w:szCs w:val="24"/>
          <w:vertAlign w:val="superscript"/>
        </w:rPr>
        <w:footnoteReference w:id="5"/>
      </w:r>
      <w:r>
        <w:rPr>
          <w:sz w:val="24"/>
          <w:szCs w:val="24"/>
        </w:rPr>
        <w:t xml:space="preserve">  </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76.1003(c)(3) </w:t>
      </w:r>
      <w:r>
        <w:rPr>
          <w:sz w:val="24"/>
          <w:szCs w:val="24"/>
        </w:rPr>
        <w:t xml:space="preserve">requires a program access complaint to contain evidence that the complainant competes with the defendant cable operator, or with a multichannel video programming distributor that is a customer of the defendant satellite cable programming or satellite broadcast programming vendor or a terrestrial cable programming vendor alleged to have engaged in conduct described in </w:t>
      </w:r>
      <w:r>
        <w:rPr>
          <w:rFonts w:ascii="Arial Unicode MS" w:hAnsi="Times New Roman"/>
          <w:sz w:val="24"/>
          <w:szCs w:val="24"/>
        </w:rPr>
        <w:t>§</w:t>
      </w:r>
      <w:r>
        <w:rPr>
          <w:rFonts w:ascii="Arial Unicode MS" w:hAnsi="Times New Roman"/>
          <w:sz w:val="24"/>
          <w:szCs w:val="24"/>
        </w:rPr>
        <w:t xml:space="preserve"> </w:t>
      </w:r>
      <w:r>
        <w:rPr>
          <w:sz w:val="24"/>
          <w:szCs w:val="24"/>
        </w:rPr>
        <w:t>76.1001(b)(1).</w:t>
      </w:r>
    </w:p>
    <w:p w:rsidR="000319B6" w:rsidRDefault="000319B6">
      <w:pPr>
        <w:rPr>
          <w:sz w:val="24"/>
          <w:szCs w:val="24"/>
        </w:rPr>
      </w:pPr>
    </w:p>
    <w:p w:rsidR="000319B6" w:rsidRDefault="005A295B">
      <w:pPr>
        <w:rPr>
          <w:sz w:val="24"/>
          <w:szCs w:val="24"/>
        </w:rPr>
      </w:pPr>
      <w:r>
        <w:rPr>
          <w:rFonts w:ascii="Times New Roman Bold"/>
          <w:sz w:val="24"/>
          <w:szCs w:val="24"/>
        </w:rPr>
        <w:t>47 CFR Section 76.1003(d)</w:t>
      </w:r>
      <w:r>
        <w:rPr>
          <w:rFonts w:eastAsia="Times New Roman" w:hAnsi="Times New Roman" w:cs="Times New Roman"/>
          <w:sz w:val="24"/>
          <w:szCs w:val="24"/>
          <w:vertAlign w:val="superscript"/>
        </w:rPr>
        <w:footnoteReference w:id="6"/>
      </w:r>
      <w:r>
        <w:rPr>
          <w:sz w:val="24"/>
          <w:szCs w:val="24"/>
        </w:rPr>
        <w:t xml:space="preserve"> states that, in a case where recovery of damages is sought, the complaint shall contain a clear and unequivocal request for damages and appropriate allegations in support of such claim.  </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76.1003(e)(1) </w:t>
      </w:r>
      <w:r>
        <w:rPr>
          <w:sz w:val="24"/>
          <w:szCs w:val="24"/>
        </w:rPr>
        <w:t xml:space="preserve">requires cable operators, satellite cable programming vendors, or satellite broadcast programming vendors whom expressly reference and rely upon a document in asserting a defense to a program access complaint filed or in responding to a material allegation in a program access complaint filed pursuant to Section 76.1003, to include such document or documents, such as contracts for carriage of programming referenced and relied on, as part of the answer. </w:t>
      </w:r>
      <w:r>
        <w:rPr>
          <w:rFonts w:ascii="Times New Roman Bold"/>
          <w:sz w:val="24"/>
          <w:szCs w:val="24"/>
        </w:rPr>
        <w:t xml:space="preserve"> </w:t>
      </w:r>
      <w:r>
        <w:rPr>
          <w:sz w:val="24"/>
          <w:szCs w:val="24"/>
        </w:rPr>
        <w:t xml:space="preserve">Except as otherwise provided or directed by the Commission, any cable operator, satellite cable programming vendor or satellite broadcast programming vendor upon which a program access complaint is served under this section shall answer within forty-five (45) days of service of the complaint.  </w:t>
      </w:r>
    </w:p>
    <w:p w:rsidR="000319B6" w:rsidRDefault="000319B6">
      <w:pPr>
        <w:rPr>
          <w:sz w:val="24"/>
          <w:szCs w:val="24"/>
        </w:rPr>
      </w:pPr>
    </w:p>
    <w:p w:rsidR="000319B6" w:rsidRDefault="005A295B">
      <w:pPr>
        <w:rPr>
          <w:sz w:val="24"/>
          <w:szCs w:val="24"/>
        </w:rPr>
      </w:pPr>
      <w:r>
        <w:rPr>
          <w:rFonts w:ascii="Times New Roman Bold"/>
          <w:sz w:val="24"/>
          <w:szCs w:val="24"/>
        </w:rPr>
        <w:lastRenderedPageBreak/>
        <w:t>47 CFR Section 76.1003(e)(2</w:t>
      </w:r>
      <w:r>
        <w:rPr>
          <w:sz w:val="24"/>
          <w:szCs w:val="24"/>
        </w:rPr>
        <w:t>) requires an answer to an exclusivity complaint to provide the defendant</w:t>
      </w:r>
      <w:r>
        <w:rPr>
          <w:rFonts w:ascii="Arial Unicode MS" w:hAnsi="Times New Roman"/>
          <w:sz w:val="24"/>
          <w:szCs w:val="24"/>
        </w:rPr>
        <w:t>’</w:t>
      </w:r>
      <w:r>
        <w:rPr>
          <w:sz w:val="24"/>
          <w:szCs w:val="24"/>
        </w:rPr>
        <w:t xml:space="preserve">s reasons for refusing to sell the subject programming to the complainant.  In addition, the defendant may submit its programming contracts covering the area specified in the complaint with its answer to refute allegations concerning the existence of an impermissible exclusive contract.  If there are no contracts governing the specified area, the defendant shall so certify in its answer.  Any contracts submitted pursuant to this provision may be protected as proprietary pursuant to Section 76.9 of this part. </w:t>
      </w:r>
    </w:p>
    <w:p w:rsidR="000319B6" w:rsidRDefault="005A295B">
      <w:pPr>
        <w:rPr>
          <w:sz w:val="24"/>
          <w:szCs w:val="24"/>
        </w:rPr>
      </w:pPr>
      <w:r>
        <w:rPr>
          <w:sz w:val="24"/>
          <w:szCs w:val="24"/>
        </w:rPr>
        <w:t xml:space="preserve"> </w:t>
      </w:r>
    </w:p>
    <w:p w:rsidR="000319B6" w:rsidRDefault="005A295B">
      <w:pPr>
        <w:rPr>
          <w:sz w:val="24"/>
          <w:szCs w:val="24"/>
        </w:rPr>
      </w:pPr>
      <w:r>
        <w:rPr>
          <w:rFonts w:ascii="Times New Roman Bold"/>
          <w:sz w:val="24"/>
          <w:szCs w:val="24"/>
        </w:rPr>
        <w:t>47 CFR Section 76.1003(e)(3)</w:t>
      </w:r>
      <w:r>
        <w:rPr>
          <w:rFonts w:eastAsia="Times New Roman" w:hAnsi="Times New Roman" w:cs="Times New Roman"/>
          <w:sz w:val="24"/>
          <w:szCs w:val="24"/>
          <w:vertAlign w:val="superscript"/>
        </w:rPr>
        <w:footnoteReference w:id="7"/>
      </w:r>
      <w:r>
        <w:rPr>
          <w:sz w:val="24"/>
          <w:szCs w:val="24"/>
        </w:rPr>
        <w:t xml:space="preserve"> requires an answer to a discrimination complaint to state the reasons for any differential in prices, terms or conditions between the complainant and its competitor, and to specify the particular justification set forth in Section 76.1002(b) of this part relied upon in support of the differential.  </w:t>
      </w:r>
    </w:p>
    <w:p w:rsidR="000319B6" w:rsidRDefault="000319B6">
      <w:pPr>
        <w:rPr>
          <w:sz w:val="24"/>
          <w:szCs w:val="24"/>
        </w:rPr>
      </w:pPr>
    </w:p>
    <w:p w:rsidR="000319B6" w:rsidRDefault="005A295B">
      <w:pPr>
        <w:rPr>
          <w:sz w:val="24"/>
          <w:szCs w:val="24"/>
        </w:rPr>
      </w:pPr>
      <w:r>
        <w:rPr>
          <w:rFonts w:ascii="Times New Roman Bold"/>
          <w:sz w:val="24"/>
          <w:szCs w:val="24"/>
        </w:rPr>
        <w:t>47 CFR Section 76.1003(e)(4)</w:t>
      </w:r>
      <w:r>
        <w:rPr>
          <w:sz w:val="24"/>
          <w:szCs w:val="24"/>
        </w:rPr>
        <w:t xml:space="preserve"> requires an answer to a complaint alleging an unreasonable refusal to sell programming to state the defendant</w:t>
      </w:r>
      <w:r>
        <w:rPr>
          <w:rFonts w:ascii="Arial Unicode MS" w:hAnsi="Times New Roman"/>
          <w:sz w:val="24"/>
          <w:szCs w:val="24"/>
        </w:rPr>
        <w:t>’</w:t>
      </w:r>
      <w:r>
        <w:rPr>
          <w:sz w:val="24"/>
          <w:szCs w:val="24"/>
        </w:rPr>
        <w:t>s reasons for refusing to sell to the complainant, or for refusing to sell to the complainant on the same terms and conditions as complainant</w:t>
      </w:r>
      <w:r>
        <w:rPr>
          <w:rFonts w:ascii="Arial Unicode MS" w:hAnsi="Times New Roman"/>
          <w:sz w:val="24"/>
          <w:szCs w:val="24"/>
        </w:rPr>
        <w:t>’</w:t>
      </w:r>
      <w:r>
        <w:rPr>
          <w:sz w:val="24"/>
          <w:szCs w:val="24"/>
        </w:rPr>
        <w:t>s competitor, and to specify why the defendant</w:t>
      </w:r>
      <w:r>
        <w:rPr>
          <w:rFonts w:ascii="Arial Unicode MS" w:hAnsi="Times New Roman"/>
          <w:sz w:val="24"/>
          <w:szCs w:val="24"/>
        </w:rPr>
        <w:t>’</w:t>
      </w:r>
      <w:r>
        <w:rPr>
          <w:sz w:val="24"/>
          <w:szCs w:val="24"/>
        </w:rPr>
        <w:t xml:space="preserve">s actions are not discriminatory.  </w:t>
      </w:r>
    </w:p>
    <w:p w:rsidR="000319B6" w:rsidRDefault="000319B6">
      <w:pPr>
        <w:rPr>
          <w:sz w:val="24"/>
          <w:szCs w:val="24"/>
        </w:rPr>
      </w:pPr>
    </w:p>
    <w:p w:rsidR="000319B6" w:rsidRDefault="005A295B">
      <w:pPr>
        <w:rPr>
          <w:sz w:val="24"/>
          <w:szCs w:val="24"/>
        </w:rPr>
      </w:pPr>
      <w:r>
        <w:rPr>
          <w:rFonts w:ascii="Times New Roman Bold"/>
          <w:sz w:val="24"/>
          <w:szCs w:val="24"/>
        </w:rPr>
        <w:t>47 CFR Section 76.1003(f</w:t>
      </w:r>
      <w:r>
        <w:rPr>
          <w:sz w:val="24"/>
          <w:szCs w:val="24"/>
        </w:rPr>
        <w:t xml:space="preserve">) provides that, within fifteen (15) days after service of an answer, unless otherwise directed by the Commission, the complainant may file and serve a reply which shall be responsive to matters contained in the answer and shall not contain new matters. </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76.1003(g) </w:t>
      </w:r>
      <w:r>
        <w:rPr>
          <w:sz w:val="24"/>
          <w:szCs w:val="24"/>
        </w:rPr>
        <w:t>states that any complaint filed pursuant to this subsection must be filed within one year</w:t>
      </w:r>
      <w:r>
        <w:rPr>
          <w:rFonts w:eastAsia="Times New Roman" w:hAnsi="Times New Roman" w:cs="Times New Roman"/>
          <w:sz w:val="24"/>
          <w:szCs w:val="24"/>
          <w:vertAlign w:val="superscript"/>
        </w:rPr>
        <w:footnoteReference w:id="8"/>
      </w:r>
      <w:r>
        <w:rPr>
          <w:sz w:val="24"/>
          <w:szCs w:val="24"/>
        </w:rPr>
        <w:t xml:space="preserve"> of the date on which one of three specified events occurs. </w:t>
      </w:r>
    </w:p>
    <w:p w:rsidR="000319B6" w:rsidRDefault="000319B6">
      <w:pPr>
        <w:rPr>
          <w:sz w:val="24"/>
          <w:szCs w:val="24"/>
        </w:rPr>
      </w:pPr>
    </w:p>
    <w:p w:rsidR="000319B6" w:rsidRDefault="005A295B">
      <w:pPr>
        <w:rPr>
          <w:sz w:val="24"/>
          <w:szCs w:val="24"/>
        </w:rPr>
      </w:pPr>
      <w:r>
        <w:rPr>
          <w:rFonts w:ascii="Times New Roman Bold"/>
          <w:sz w:val="24"/>
          <w:szCs w:val="24"/>
        </w:rPr>
        <w:t>47 CFR Section 76.1003(h)</w:t>
      </w:r>
      <w:r>
        <w:rPr>
          <w:rFonts w:eastAsia="Times New Roman" w:hAnsi="Times New Roman" w:cs="Times New Roman"/>
          <w:sz w:val="24"/>
          <w:szCs w:val="24"/>
          <w:vertAlign w:val="superscript"/>
        </w:rPr>
        <w:footnoteReference w:id="9"/>
      </w:r>
      <w:r>
        <w:rPr>
          <w:sz w:val="24"/>
          <w:szCs w:val="24"/>
        </w:rPr>
        <w:t xml:space="preserve"> sets forth the remedies that are available for violations of the program access rules, which include the imposition of damages, and/or the establishment of prices, terms, and conditions for the sale of programming to the aggrieved multichannel video programming distributor, as well as sanctions available under title V or any other provision of the Communications Act.  </w:t>
      </w:r>
    </w:p>
    <w:p w:rsidR="000319B6" w:rsidRDefault="000319B6">
      <w:pPr>
        <w:rPr>
          <w:sz w:val="24"/>
          <w:szCs w:val="24"/>
        </w:rPr>
      </w:pPr>
    </w:p>
    <w:p w:rsidR="000319B6" w:rsidRDefault="005A295B">
      <w:pPr>
        <w:rPr>
          <w:sz w:val="24"/>
          <w:szCs w:val="24"/>
        </w:rPr>
      </w:pPr>
      <w:r>
        <w:rPr>
          <w:rFonts w:ascii="Times New Roman Bold"/>
          <w:sz w:val="24"/>
          <w:szCs w:val="24"/>
        </w:rPr>
        <w:lastRenderedPageBreak/>
        <w:t>47 CFR Section 76.1003(j</w:t>
      </w:r>
      <w:r>
        <w:rPr>
          <w:sz w:val="24"/>
          <w:szCs w:val="24"/>
        </w:rPr>
        <w:t xml:space="preserve">) states in addition to the general pleading and discovery rules contained in </w:t>
      </w:r>
      <w:r>
        <w:rPr>
          <w:rFonts w:ascii="Arial Unicode MS" w:hAnsi="Times New Roman"/>
          <w:sz w:val="24"/>
          <w:szCs w:val="24"/>
        </w:rPr>
        <w:t>§</w:t>
      </w:r>
      <w:r>
        <w:rPr>
          <w:rFonts w:ascii="Arial Unicode MS" w:hAnsi="Times New Roman"/>
          <w:sz w:val="24"/>
          <w:szCs w:val="24"/>
        </w:rPr>
        <w:t xml:space="preserve"> </w:t>
      </w:r>
      <w:r>
        <w:rPr>
          <w:sz w:val="24"/>
          <w:szCs w:val="24"/>
        </w:rPr>
        <w:t xml:space="preserve">76.7 of this part, parties to a program access complaint may serve requests for discovery directly on opposing parties, and file a copy of the request with the Commission.  The respondent shall have the opportunity to object to any request for documents that are not in its control or relevant to the dispute.  Such request shall be heard, and determination made, by the Commission.  Until the objection is ruled upon, the obligation to produce the disputed material is suspended.  Any party who fails to timely provide discovery requested by the opposing party to which it has not raised an objection as described above, or who fails to respond to a Commission order for discovery material, may be deemed in default and an order may be entered in accordance with the allegations contained in the complaint, or the complaint may be dismissed with prejudice. </w:t>
      </w:r>
    </w:p>
    <w:p w:rsidR="000319B6" w:rsidRDefault="000319B6">
      <w:pPr>
        <w:rPr>
          <w:sz w:val="24"/>
          <w:szCs w:val="24"/>
        </w:rPr>
      </w:pPr>
    </w:p>
    <w:p w:rsidR="000319B6" w:rsidRDefault="005A295B">
      <w:pPr>
        <w:rPr>
          <w:sz w:val="24"/>
          <w:szCs w:val="24"/>
        </w:rPr>
      </w:pPr>
      <w:r>
        <w:rPr>
          <w:rFonts w:ascii="Times New Roman Bold"/>
          <w:sz w:val="24"/>
          <w:szCs w:val="24"/>
        </w:rPr>
        <w:t>47 CFR Section 76.1003(l)</w:t>
      </w:r>
      <w:r>
        <w:rPr>
          <w:sz w:val="24"/>
          <w:szCs w:val="24"/>
        </w:rPr>
        <w:t xml:space="preserve"> permits a program access complainant seeking renewal of an existing programming contract to file a petition</w:t>
      </w:r>
      <w:r>
        <w:rPr>
          <w:rFonts w:eastAsia="Times New Roman" w:hAnsi="Times New Roman" w:cs="Times New Roman"/>
          <w:sz w:val="24"/>
          <w:szCs w:val="24"/>
          <w:vertAlign w:val="superscript"/>
        </w:rPr>
        <w:footnoteReference w:id="10"/>
      </w:r>
      <w:r>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76.1302(a) </w:t>
      </w:r>
      <w:r>
        <w:rPr>
          <w:sz w:val="24"/>
          <w:szCs w:val="24"/>
        </w:rPr>
        <w:t xml:space="preserve">states that any video programming vendor or multichannel video programming distributor aggrieved by conduct that it believes constitute a violation of the regulations set forth in this subpart may commence an adjudicatory proceeding at the Commission to obtain enforcement of the rules through the filing of a complaint. </w:t>
      </w:r>
    </w:p>
    <w:p w:rsidR="000319B6" w:rsidRDefault="000319B6">
      <w:pPr>
        <w:rPr>
          <w:sz w:val="24"/>
          <w:szCs w:val="24"/>
        </w:rPr>
      </w:pPr>
    </w:p>
    <w:p w:rsidR="000319B6" w:rsidRDefault="005A295B">
      <w:pPr>
        <w:rPr>
          <w:sz w:val="24"/>
          <w:szCs w:val="24"/>
        </w:rPr>
      </w:pPr>
      <w:r>
        <w:rPr>
          <w:rFonts w:ascii="Times New Roman Bold"/>
          <w:sz w:val="24"/>
          <w:szCs w:val="24"/>
        </w:rPr>
        <w:t xml:space="preserve">47 CFR Section 76.1302(b) </w:t>
      </w:r>
      <w:r>
        <w:rPr>
          <w:sz w:val="24"/>
          <w:szCs w:val="24"/>
        </w:rPr>
        <w:t xml:space="preserve">states that any aggrieved video programming vendor or multichannel video programming distributor intending to file a complaint under this section must first notify the potential defendant multichannel video programming distributor that it intends to file a complaint with the Commission based on actions alleged to violate one or more of the provisions contained in Section </w:t>
      </w:r>
      <w:hyperlink r:id="rId9" w:history="1">
        <w:r>
          <w:rPr>
            <w:rStyle w:val="Hyperlink0"/>
          </w:rPr>
          <w:t>76.1301</w:t>
        </w:r>
      </w:hyperlink>
      <w:r>
        <w:rPr>
          <w:sz w:val="24"/>
          <w:szCs w:val="24"/>
        </w:rPr>
        <w:t xml:space="preserve"> of this part.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rsidR="000319B6" w:rsidRDefault="000319B6">
      <w:pPr>
        <w:rPr>
          <w:sz w:val="24"/>
          <w:szCs w:val="24"/>
        </w:rPr>
      </w:pPr>
    </w:p>
    <w:p w:rsidR="000319B6" w:rsidRDefault="005A295B">
      <w:pPr>
        <w:rPr>
          <w:sz w:val="24"/>
          <w:szCs w:val="24"/>
        </w:rPr>
      </w:pPr>
      <w:r>
        <w:rPr>
          <w:rFonts w:ascii="Times New Roman Bold"/>
          <w:sz w:val="24"/>
          <w:szCs w:val="24"/>
        </w:rPr>
        <w:t>47 CFR Section 76.1302(c)</w:t>
      </w:r>
      <w:r>
        <w:rPr>
          <w:sz w:val="24"/>
          <w:szCs w:val="24"/>
        </w:rPr>
        <w:t xml:space="preserve"> specifies the content of carriage agreement complaints.</w:t>
      </w:r>
      <w:r>
        <w:rPr>
          <w:rFonts w:eastAsia="Times New Roman" w:hAnsi="Times New Roman" w:cs="Times New Roman"/>
          <w:sz w:val="24"/>
          <w:szCs w:val="24"/>
          <w:vertAlign w:val="superscript"/>
        </w:rPr>
        <w:footnoteReference w:id="11"/>
      </w:r>
      <w:r>
        <w:rPr>
          <w:sz w:val="24"/>
          <w:szCs w:val="24"/>
        </w:rPr>
        <w:t xml:space="preserve">  </w:t>
      </w:r>
    </w:p>
    <w:p w:rsidR="000319B6" w:rsidRDefault="000319B6">
      <w:pPr>
        <w:rPr>
          <w:sz w:val="24"/>
          <w:szCs w:val="24"/>
        </w:rPr>
      </w:pPr>
    </w:p>
    <w:p w:rsidR="000319B6" w:rsidRDefault="005A295B">
      <w:pPr>
        <w:rPr>
          <w:rFonts w:ascii="Times New Roman Bold" w:eastAsia="Times New Roman Bold" w:hAnsi="Times New Roman Bold" w:cs="Times New Roman Bold"/>
          <w:spacing w:val="-2"/>
          <w:sz w:val="24"/>
          <w:szCs w:val="24"/>
        </w:rPr>
      </w:pPr>
      <w:r>
        <w:rPr>
          <w:rFonts w:ascii="Times New Roman Bold"/>
          <w:sz w:val="24"/>
          <w:szCs w:val="24"/>
        </w:rPr>
        <w:lastRenderedPageBreak/>
        <w:t>47 CFR Section 76.1302</w:t>
      </w:r>
      <w:r>
        <w:rPr>
          <w:rFonts w:ascii="Times New Roman Bold"/>
          <w:spacing w:val="-2"/>
          <w:sz w:val="24"/>
          <w:szCs w:val="24"/>
        </w:rPr>
        <w:t xml:space="preserve">(c)(1) </w:t>
      </w:r>
      <w:r>
        <w:rPr>
          <w:spacing w:val="-2"/>
          <w:sz w:val="24"/>
          <w:szCs w:val="24"/>
        </w:rPr>
        <w:t xml:space="preserve">provides that a program carriage complaint filed pursuant to </w:t>
      </w:r>
      <w:r>
        <w:rPr>
          <w:rFonts w:ascii="Arial Unicode MS" w:hAnsi="Times New Roman"/>
          <w:spacing w:val="-2"/>
          <w:sz w:val="24"/>
          <w:szCs w:val="24"/>
        </w:rPr>
        <w:t>§</w:t>
      </w:r>
      <w:r>
        <w:rPr>
          <w:rFonts w:ascii="Arial Unicode MS" w:hAnsi="Times New Roman"/>
          <w:spacing w:val="-2"/>
          <w:sz w:val="24"/>
          <w:szCs w:val="24"/>
        </w:rPr>
        <w:t xml:space="preserve"> </w:t>
      </w:r>
      <w:r>
        <w:rPr>
          <w:spacing w:val="-2"/>
          <w:sz w:val="24"/>
          <w:szCs w:val="24"/>
        </w:rPr>
        <w:t>76.1302 must contain the following:  w</w:t>
      </w:r>
      <w:r>
        <w:rPr>
          <w:sz w:val="24"/>
          <w:szCs w:val="24"/>
        </w:rPr>
        <w:t>hether the complainant is a multichannel video programming distributor or video programming vendor</w:t>
      </w:r>
      <w:r>
        <w:rPr>
          <w:i/>
          <w:iCs/>
          <w:sz w:val="24"/>
          <w:szCs w:val="24"/>
        </w:rPr>
        <w:t xml:space="preserve">, </w:t>
      </w:r>
      <w:r>
        <w:rPr>
          <w:sz w:val="24"/>
          <w:szCs w:val="24"/>
        </w:rPr>
        <w:t>and, in the case of a multichannel video programming distributor, identify the type of multichannel video programming distributor, the address and telephone number of the complainant, what type of multichannel video programming distributor the defendant is, and the address and telephone number of each defendant.</w:t>
      </w:r>
      <w:r>
        <w:rPr>
          <w:rFonts w:ascii="Times New Roman Bold"/>
          <w:sz w:val="24"/>
          <w:szCs w:val="24"/>
        </w:rPr>
        <w:t xml:space="preserve">  </w:t>
      </w:r>
    </w:p>
    <w:p w:rsidR="000319B6" w:rsidRDefault="000319B6">
      <w:pPr>
        <w:rPr>
          <w:spacing w:val="-2"/>
          <w:sz w:val="24"/>
          <w:szCs w:val="24"/>
        </w:rPr>
      </w:pPr>
    </w:p>
    <w:p w:rsidR="000319B6" w:rsidRDefault="005A295B">
      <w:pPr>
        <w:rPr>
          <w:rFonts w:ascii="Times New Roman Bold" w:eastAsia="Times New Roman Bold" w:hAnsi="Times New Roman Bold" w:cs="Times New Roman Bold"/>
          <w:sz w:val="24"/>
          <w:szCs w:val="24"/>
          <w:u w:val="single"/>
        </w:rPr>
      </w:pPr>
      <w:r>
        <w:rPr>
          <w:rFonts w:ascii="Times New Roman Bold"/>
          <w:sz w:val="24"/>
          <w:szCs w:val="24"/>
        </w:rPr>
        <w:t>47 CFR Section 76.1302</w:t>
      </w:r>
      <w:r>
        <w:rPr>
          <w:rFonts w:ascii="Times New Roman Bold"/>
          <w:spacing w:val="-2"/>
          <w:sz w:val="24"/>
          <w:szCs w:val="24"/>
        </w:rPr>
        <w:t>(d)</w:t>
      </w:r>
      <w:r>
        <w:rPr>
          <w:rFonts w:ascii="Times New Roman Bold"/>
          <w:sz w:val="24"/>
          <w:szCs w:val="24"/>
        </w:rPr>
        <w:t xml:space="preserve"> </w:t>
      </w:r>
      <w:r>
        <w:rPr>
          <w:sz w:val="24"/>
          <w:szCs w:val="24"/>
        </w:rPr>
        <w:t>sets forth the evidence that</w:t>
      </w:r>
      <w:r>
        <w:rPr>
          <w:spacing w:val="-2"/>
          <w:sz w:val="24"/>
          <w:szCs w:val="24"/>
        </w:rPr>
        <w:t xml:space="preserve"> a program carriage complaint filed pursuant to </w:t>
      </w:r>
      <w:r>
        <w:rPr>
          <w:rFonts w:ascii="Arial Unicode MS" w:hAnsi="Times New Roman"/>
          <w:spacing w:val="-2"/>
          <w:sz w:val="24"/>
          <w:szCs w:val="24"/>
        </w:rPr>
        <w:t>§</w:t>
      </w:r>
      <w:r>
        <w:rPr>
          <w:rFonts w:ascii="Arial Unicode MS" w:hAnsi="Times New Roman"/>
          <w:spacing w:val="-2"/>
          <w:sz w:val="24"/>
          <w:szCs w:val="24"/>
        </w:rPr>
        <w:t xml:space="preserve"> </w:t>
      </w:r>
      <w:r>
        <w:rPr>
          <w:spacing w:val="-2"/>
          <w:sz w:val="24"/>
          <w:szCs w:val="24"/>
        </w:rPr>
        <w:t>76.1302 must contain i</w:t>
      </w:r>
      <w:r>
        <w:rPr>
          <w:sz w:val="24"/>
          <w:szCs w:val="24"/>
        </w:rPr>
        <w:t xml:space="preserve">n order to establish a </w:t>
      </w:r>
      <w:r>
        <w:rPr>
          <w:i/>
          <w:iCs/>
          <w:sz w:val="24"/>
          <w:szCs w:val="24"/>
        </w:rPr>
        <w:t xml:space="preserve">prima facie </w:t>
      </w:r>
      <w:r>
        <w:rPr>
          <w:sz w:val="24"/>
          <w:szCs w:val="24"/>
        </w:rPr>
        <w:t xml:space="preserve">case of a violation of </w:t>
      </w:r>
      <w:r>
        <w:rPr>
          <w:rFonts w:ascii="Arial Unicode MS" w:hAnsi="Times New Roman"/>
          <w:sz w:val="24"/>
          <w:szCs w:val="24"/>
        </w:rPr>
        <w:t>§</w:t>
      </w:r>
      <w:r>
        <w:rPr>
          <w:rFonts w:ascii="Arial Unicode MS" w:hAnsi="Times New Roman"/>
          <w:sz w:val="24"/>
          <w:szCs w:val="24"/>
        </w:rPr>
        <w:t xml:space="preserve"> </w:t>
      </w:r>
      <w:r>
        <w:rPr>
          <w:sz w:val="24"/>
          <w:szCs w:val="24"/>
        </w:rPr>
        <w:t>76.1301.</w:t>
      </w:r>
      <w:r>
        <w:rPr>
          <w:rFonts w:ascii="Times New Roman Bold"/>
          <w:sz w:val="24"/>
          <w:szCs w:val="24"/>
        </w:rPr>
        <w:t xml:space="preserve">  </w:t>
      </w:r>
    </w:p>
    <w:p w:rsidR="000319B6" w:rsidRDefault="000319B6">
      <w:pPr>
        <w:rPr>
          <w:sz w:val="24"/>
          <w:szCs w:val="24"/>
        </w:rPr>
      </w:pPr>
    </w:p>
    <w:p w:rsidR="000319B6" w:rsidRDefault="005A295B">
      <w:pPr>
        <w:rPr>
          <w:rFonts w:ascii="Times New Roman Bold" w:eastAsia="Times New Roman Bold" w:hAnsi="Times New Roman Bold" w:cs="Times New Roman Bold"/>
          <w:spacing w:val="-2"/>
          <w:sz w:val="24"/>
          <w:szCs w:val="24"/>
        </w:rPr>
      </w:pPr>
      <w:r>
        <w:rPr>
          <w:rFonts w:ascii="Times New Roman Bold"/>
          <w:sz w:val="24"/>
          <w:szCs w:val="24"/>
        </w:rPr>
        <w:t>47 CFR Section 76.1302</w:t>
      </w:r>
      <w:r>
        <w:rPr>
          <w:rFonts w:ascii="Times New Roman Bold"/>
          <w:spacing w:val="-2"/>
          <w:sz w:val="24"/>
          <w:szCs w:val="24"/>
        </w:rPr>
        <w:t xml:space="preserve">(e)(1) </w:t>
      </w:r>
      <w:r>
        <w:rPr>
          <w:spacing w:val="-2"/>
          <w:sz w:val="24"/>
          <w:szCs w:val="24"/>
        </w:rPr>
        <w:t xml:space="preserve">provides that a multichannel video programming distributor upon whom a program carriage complaint filed pursuant to </w:t>
      </w:r>
      <w:r>
        <w:rPr>
          <w:rFonts w:ascii="Arial Unicode MS" w:hAnsi="Times New Roman"/>
          <w:spacing w:val="-2"/>
          <w:sz w:val="24"/>
          <w:szCs w:val="24"/>
        </w:rPr>
        <w:t>§</w:t>
      </w:r>
      <w:r>
        <w:rPr>
          <w:rFonts w:ascii="Arial Unicode MS" w:hAnsi="Times New Roman"/>
          <w:spacing w:val="-2"/>
          <w:sz w:val="24"/>
          <w:szCs w:val="24"/>
        </w:rPr>
        <w:t xml:space="preserve"> </w:t>
      </w:r>
      <w:r>
        <w:rPr>
          <w:spacing w:val="-2"/>
          <w:sz w:val="24"/>
          <w:szCs w:val="24"/>
        </w:rPr>
        <w:t xml:space="preserve">76.1302 is served </w:t>
      </w:r>
      <w:r>
        <w:rPr>
          <w:sz w:val="24"/>
          <w:szCs w:val="24"/>
        </w:rPr>
        <w:t>shall answer within sixty (60) days of service of the complaint, unless otherwise directed by the Commission.</w:t>
      </w:r>
      <w:r>
        <w:rPr>
          <w:rFonts w:ascii="Times New Roman Bold"/>
          <w:sz w:val="24"/>
          <w:szCs w:val="24"/>
        </w:rPr>
        <w:t xml:space="preserve"> </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47 CFR Section 76.1302(e)(2)</w:t>
      </w:r>
      <w:r>
        <w:rPr>
          <w:sz w:val="24"/>
          <w:szCs w:val="24"/>
        </w:rPr>
        <w:t xml:space="preserve"> states that an answer to a program carriage complaint shall address the relief requested in the complaint, including legal and documentary support, for such response, and may include an alternative relief proposal without any prejudice to any denials or defenses raised. </w:t>
      </w:r>
    </w:p>
    <w:p w:rsidR="000319B6" w:rsidRDefault="000319B6">
      <w:pPr>
        <w:rPr>
          <w:sz w:val="24"/>
          <w:szCs w:val="24"/>
        </w:rPr>
      </w:pPr>
    </w:p>
    <w:p w:rsidR="000319B6" w:rsidRDefault="005A295B">
      <w:pPr>
        <w:rPr>
          <w:sz w:val="24"/>
          <w:szCs w:val="24"/>
        </w:rPr>
      </w:pPr>
      <w:r>
        <w:rPr>
          <w:rFonts w:ascii="Times New Roman Bold"/>
          <w:sz w:val="24"/>
          <w:szCs w:val="24"/>
        </w:rPr>
        <w:t>47 CFR Section 76.1302(f)</w:t>
      </w:r>
      <w:r>
        <w:rPr>
          <w:sz w:val="24"/>
          <w:szCs w:val="24"/>
        </w:rPr>
        <w:t xml:space="preserve"> states that within twenty (20) days after service of an answer, unless otherwise directed by the Commission, the complainant may file and serve a reply which shall be responsive to matters contained in the answer and shall not contain new matters.</w:t>
      </w:r>
    </w:p>
    <w:p w:rsidR="000319B6" w:rsidRDefault="000319B6">
      <w:pPr>
        <w:rPr>
          <w:sz w:val="24"/>
          <w:szCs w:val="24"/>
        </w:rPr>
      </w:pPr>
    </w:p>
    <w:p w:rsidR="000319B6" w:rsidRDefault="005A295B">
      <w:pPr>
        <w:rPr>
          <w:sz w:val="24"/>
          <w:szCs w:val="24"/>
        </w:rPr>
      </w:pPr>
      <w:r>
        <w:rPr>
          <w:rFonts w:ascii="Times New Roman Bold"/>
          <w:sz w:val="24"/>
          <w:szCs w:val="24"/>
        </w:rPr>
        <w:t>47 CFR Section 76.1302(h)</w:t>
      </w:r>
      <w:r>
        <w:rPr>
          <w:sz w:val="24"/>
          <w:szCs w:val="24"/>
        </w:rPr>
        <w:t xml:space="preserve"> states that any complaint filed pursuant to this subsection must be filed within one year of the date on which one of three events occurs.</w:t>
      </w:r>
      <w:r>
        <w:rPr>
          <w:rFonts w:eastAsia="Times New Roman" w:hAnsi="Times New Roman" w:cs="Times New Roman"/>
          <w:sz w:val="24"/>
          <w:szCs w:val="24"/>
          <w:vertAlign w:val="superscript"/>
        </w:rPr>
        <w:footnoteReference w:id="12"/>
      </w:r>
    </w:p>
    <w:p w:rsidR="000319B6" w:rsidRDefault="000319B6">
      <w:pPr>
        <w:rPr>
          <w:sz w:val="24"/>
          <w:szCs w:val="24"/>
        </w:rPr>
      </w:pPr>
    </w:p>
    <w:p w:rsidR="000319B6" w:rsidRDefault="005A295B">
      <w:pPr>
        <w:spacing w:before="100" w:after="240"/>
        <w:rPr>
          <w:sz w:val="24"/>
          <w:szCs w:val="24"/>
        </w:rPr>
      </w:pPr>
      <w:r>
        <w:rPr>
          <w:rFonts w:ascii="Times New Roman Bold"/>
          <w:sz w:val="24"/>
          <w:szCs w:val="24"/>
        </w:rPr>
        <w:t>47 CFR Section 76.1302(j)(1)</w:t>
      </w:r>
      <w:r>
        <w:rPr>
          <w:sz w:val="24"/>
          <w:szCs w:val="24"/>
        </w:rPr>
        <w:t xml:space="preserve">  states that upon completion of such adjudicatory proceeding, the Commission shall order appropriate remedies, including, if necessary, mandatory carriage of a video programming vendor's programming on defendant's video distribution system, or the establishment of prices, terms, and conditions for the carriage of a video programming vendor's programming. </w:t>
      </w:r>
    </w:p>
    <w:p w:rsidR="000319B6" w:rsidRDefault="005A295B">
      <w:pPr>
        <w:rPr>
          <w:sz w:val="24"/>
          <w:szCs w:val="24"/>
        </w:rPr>
      </w:pPr>
      <w:r>
        <w:rPr>
          <w:rFonts w:ascii="Times New Roman Bold"/>
          <w:sz w:val="24"/>
          <w:szCs w:val="24"/>
        </w:rPr>
        <w:lastRenderedPageBreak/>
        <w:t>47 CFR Section 76.1302</w:t>
      </w:r>
      <w:r>
        <w:rPr>
          <w:rFonts w:ascii="Times New Roman Bold"/>
          <w:spacing w:val="-2"/>
          <w:sz w:val="24"/>
          <w:szCs w:val="24"/>
        </w:rPr>
        <w:t>(k)</w:t>
      </w:r>
      <w:r>
        <w:rPr>
          <w:sz w:val="24"/>
          <w:szCs w:val="24"/>
        </w:rPr>
        <w:t xml:space="preserve"> permits a program carriage complainant seeking renewal of an existing programming contract to file a petition</w:t>
      </w:r>
      <w:r>
        <w:rPr>
          <w:rFonts w:eastAsia="Times New Roman" w:hAnsi="Times New Roman" w:cs="Times New Roman"/>
          <w:sz w:val="24"/>
          <w:szCs w:val="24"/>
          <w:vertAlign w:val="superscript"/>
        </w:rPr>
        <w:footnoteReference w:id="13"/>
      </w:r>
      <w:r>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  To allow for sufficient time to consider the petition for temporary standstill prior to the expiration of the existing programming contract, the petition for temporary standstill and complaint shall be filed no later than thirty (30) days prior to the expiration of the existing programming contract.  </w:t>
      </w:r>
    </w:p>
    <w:p w:rsidR="000319B6" w:rsidRDefault="000319B6">
      <w:pPr>
        <w:rPr>
          <w:sz w:val="24"/>
          <w:szCs w:val="24"/>
        </w:rPr>
      </w:pPr>
    </w:p>
    <w:p w:rsidR="000319B6" w:rsidRDefault="005A295B">
      <w:pPr>
        <w:rPr>
          <w:sz w:val="24"/>
          <w:szCs w:val="24"/>
        </w:rPr>
      </w:pPr>
      <w:r>
        <w:rPr>
          <w:rFonts w:ascii="Times New Roman Bold"/>
          <w:sz w:val="24"/>
          <w:szCs w:val="24"/>
        </w:rPr>
        <w:t>47 CFR Section 76.1513(a)</w:t>
      </w:r>
      <w:r>
        <w:rPr>
          <w:sz w:val="24"/>
          <w:szCs w:val="24"/>
        </w:rPr>
        <w:t xml:space="preserve"> permits any party aggrieved by conduct that it believes constitute a violation of the FCC</w:t>
      </w:r>
      <w:r>
        <w:rPr>
          <w:rFonts w:ascii="Arial Unicode MS" w:hAnsi="Times New Roman"/>
          <w:sz w:val="24"/>
          <w:szCs w:val="24"/>
        </w:rPr>
        <w:t>’</w:t>
      </w:r>
      <w:r>
        <w:rPr>
          <w:sz w:val="24"/>
          <w:szCs w:val="24"/>
        </w:rPr>
        <w:t xml:space="preserve">s regulations or in section 653 of the Communications Act (47 U.S.C. </w:t>
      </w:r>
      <w:r>
        <w:rPr>
          <w:rFonts w:ascii="Arial Unicode MS" w:hAnsi="Times New Roman"/>
          <w:sz w:val="24"/>
          <w:szCs w:val="24"/>
        </w:rPr>
        <w:t>§</w:t>
      </w:r>
      <w:r>
        <w:rPr>
          <w:rFonts w:ascii="Arial Unicode MS" w:hAnsi="Times New Roman"/>
          <w:sz w:val="24"/>
          <w:szCs w:val="24"/>
        </w:rPr>
        <w:t xml:space="preserve"> </w:t>
      </w:r>
      <w:r>
        <w:rPr>
          <w:sz w:val="24"/>
          <w:szCs w:val="24"/>
        </w:rPr>
        <w:t xml:space="preserve">573) to commence an adjudicatory proceeding at the Commission to obtain enforcement of the rules through the filing of a complaint, which must be filed and responded to in accordance with the procedures specified in Section 76.7, except to the extent such procedures are modified by Section 76.1513.  </w:t>
      </w:r>
    </w:p>
    <w:p w:rsidR="000319B6" w:rsidRDefault="000319B6">
      <w:pPr>
        <w:rPr>
          <w:sz w:val="24"/>
          <w:szCs w:val="24"/>
        </w:rPr>
      </w:pPr>
    </w:p>
    <w:p w:rsidR="000319B6" w:rsidRDefault="005A295B">
      <w:pPr>
        <w:rPr>
          <w:sz w:val="24"/>
          <w:szCs w:val="24"/>
        </w:rPr>
      </w:pPr>
      <w:r>
        <w:rPr>
          <w:rFonts w:ascii="Times New Roman Bold"/>
          <w:sz w:val="24"/>
          <w:szCs w:val="24"/>
        </w:rPr>
        <w:t>47 CFR Section 76.1513(b)</w:t>
      </w:r>
      <w:r>
        <w:rPr>
          <w:sz w:val="24"/>
          <w:szCs w:val="24"/>
        </w:rPr>
        <w:t xml:space="preserve"> provides that an open video system operator may not provide in its carriage contracts with programming providers that any dispute must be submitted to arbitration, mediation, or any other alternative method for dispute resolution prior to submission of a complaint to the Commission.</w:t>
      </w:r>
    </w:p>
    <w:p w:rsidR="000319B6" w:rsidRDefault="000319B6">
      <w:pPr>
        <w:rPr>
          <w:sz w:val="24"/>
          <w:szCs w:val="24"/>
        </w:rPr>
      </w:pPr>
    </w:p>
    <w:p w:rsidR="000319B6" w:rsidRDefault="005A295B">
      <w:pPr>
        <w:rPr>
          <w:sz w:val="24"/>
          <w:szCs w:val="24"/>
        </w:rPr>
      </w:pPr>
      <w:r>
        <w:rPr>
          <w:rFonts w:ascii="Times New Roman Bold"/>
          <w:sz w:val="24"/>
          <w:szCs w:val="24"/>
        </w:rPr>
        <w:t>47 CFR Section 76.1513(c)</w:t>
      </w:r>
      <w:r>
        <w:rPr>
          <w:sz w:val="24"/>
          <w:szCs w:val="24"/>
        </w:rPr>
        <w:t xml:space="preserve"> requires that any aggrieved party intending to file a complaint under this section must first notify the potential defendant open video system operator that it intends to file a complaint with the Commission based on actions alleged to violate one or more of the 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p>
    <w:p w:rsidR="000319B6" w:rsidRDefault="000319B6">
      <w:pPr>
        <w:rPr>
          <w:sz w:val="24"/>
          <w:szCs w:val="24"/>
        </w:rPr>
      </w:pPr>
    </w:p>
    <w:p w:rsidR="000319B6" w:rsidRDefault="005A295B">
      <w:pPr>
        <w:rPr>
          <w:sz w:val="24"/>
          <w:szCs w:val="24"/>
        </w:rPr>
      </w:pPr>
      <w:r>
        <w:rPr>
          <w:rFonts w:ascii="Times New Roman Bold"/>
          <w:sz w:val="24"/>
          <w:szCs w:val="24"/>
        </w:rPr>
        <w:t>47 CFR Section 76.1513(d)</w:t>
      </w:r>
      <w:r>
        <w:rPr>
          <w:sz w:val="24"/>
          <w:szCs w:val="24"/>
        </w:rPr>
        <w:t xml:space="preserve"> describes the contents of an open video system complaint.</w:t>
      </w:r>
      <w:r>
        <w:rPr>
          <w:rFonts w:eastAsia="Times New Roman" w:hAnsi="Times New Roman" w:cs="Times New Roman"/>
          <w:sz w:val="24"/>
          <w:szCs w:val="24"/>
          <w:vertAlign w:val="superscript"/>
        </w:rPr>
        <w:footnoteReference w:id="14"/>
      </w:r>
    </w:p>
    <w:p w:rsidR="000319B6" w:rsidRDefault="000319B6">
      <w:pPr>
        <w:rPr>
          <w:sz w:val="24"/>
          <w:szCs w:val="24"/>
        </w:rPr>
      </w:pPr>
    </w:p>
    <w:p w:rsidR="000319B6" w:rsidRDefault="005A295B">
      <w:pPr>
        <w:rPr>
          <w:sz w:val="24"/>
          <w:szCs w:val="24"/>
        </w:rPr>
      </w:pPr>
      <w:r>
        <w:rPr>
          <w:rFonts w:ascii="Times New Roman Bold"/>
          <w:sz w:val="24"/>
          <w:szCs w:val="24"/>
        </w:rPr>
        <w:t>47 CFR Section 76.1513(e)</w:t>
      </w:r>
      <w:r>
        <w:rPr>
          <w:sz w:val="24"/>
          <w:szCs w:val="24"/>
        </w:rPr>
        <w:t xml:space="preserve"> addresses answers to open video system complaints.</w:t>
      </w:r>
      <w:r>
        <w:rPr>
          <w:rFonts w:eastAsia="Times New Roman" w:hAnsi="Times New Roman" w:cs="Times New Roman"/>
          <w:sz w:val="24"/>
          <w:szCs w:val="24"/>
          <w:vertAlign w:val="superscript"/>
        </w:rPr>
        <w:footnoteReference w:id="15"/>
      </w:r>
    </w:p>
    <w:p w:rsidR="000319B6" w:rsidRDefault="000319B6">
      <w:pPr>
        <w:rPr>
          <w:sz w:val="24"/>
          <w:szCs w:val="24"/>
        </w:rPr>
      </w:pPr>
    </w:p>
    <w:p w:rsidR="000319B6" w:rsidRDefault="005A295B">
      <w:pPr>
        <w:rPr>
          <w:sz w:val="24"/>
          <w:szCs w:val="24"/>
        </w:rPr>
      </w:pPr>
      <w:r>
        <w:rPr>
          <w:rFonts w:ascii="Times New Roman Bold"/>
          <w:sz w:val="24"/>
          <w:szCs w:val="24"/>
        </w:rPr>
        <w:t>47 CFR Section 76.1513(f)</w:t>
      </w:r>
      <w:r>
        <w:rPr>
          <w:sz w:val="24"/>
          <w:szCs w:val="24"/>
        </w:rPr>
        <w:t xml:space="preserve"> states within twenty (20) days after service of an answer, the complainant may file and serve a reply which shall be responsive to matters contained in the answer and shall not contain new matters.</w:t>
      </w:r>
    </w:p>
    <w:p w:rsidR="000319B6" w:rsidRDefault="000319B6">
      <w:pPr>
        <w:rPr>
          <w:sz w:val="24"/>
          <w:szCs w:val="24"/>
        </w:rPr>
      </w:pPr>
    </w:p>
    <w:p w:rsidR="000319B6" w:rsidRDefault="005A295B">
      <w:pPr>
        <w:rPr>
          <w:sz w:val="24"/>
          <w:szCs w:val="24"/>
        </w:rPr>
      </w:pPr>
      <w:r>
        <w:rPr>
          <w:rFonts w:ascii="Times New Roman Bold"/>
          <w:sz w:val="24"/>
          <w:szCs w:val="24"/>
        </w:rPr>
        <w:t>47 CFR Section 76.1513(g)</w:t>
      </w:r>
      <w:r>
        <w:rPr>
          <w:sz w:val="24"/>
          <w:szCs w:val="24"/>
        </w:rPr>
        <w:t xml:space="preserve"> requires that any complaint filed pursuant to this subsection must be filed within one year of the date on which one of three events occurs.</w:t>
      </w:r>
      <w:r>
        <w:rPr>
          <w:rFonts w:eastAsia="Times New Roman" w:hAnsi="Times New Roman" w:cs="Times New Roman"/>
          <w:sz w:val="24"/>
          <w:szCs w:val="24"/>
          <w:vertAlign w:val="superscript"/>
        </w:rPr>
        <w:footnoteReference w:id="16"/>
      </w:r>
    </w:p>
    <w:p w:rsidR="000319B6" w:rsidRDefault="000319B6">
      <w:pPr>
        <w:rPr>
          <w:sz w:val="24"/>
          <w:szCs w:val="24"/>
        </w:rPr>
      </w:pPr>
    </w:p>
    <w:p w:rsidR="000319B6" w:rsidRDefault="005A295B">
      <w:pPr>
        <w:spacing w:before="100" w:after="100"/>
        <w:rPr>
          <w:sz w:val="24"/>
          <w:szCs w:val="24"/>
        </w:rPr>
      </w:pPr>
      <w:r>
        <w:rPr>
          <w:rFonts w:ascii="Times New Roman Bold"/>
          <w:sz w:val="24"/>
          <w:szCs w:val="24"/>
        </w:rPr>
        <w:t>47 CFR Section 76.1513(h)</w:t>
      </w:r>
      <w:r>
        <w:rPr>
          <w:sz w:val="24"/>
          <w:szCs w:val="24"/>
        </w:rPr>
        <w:t xml:space="preserve"> states that upon completion of the adjudicatory proceeding, the Commission shall order appropriate remedies, including, if necessary, the requiring carriage, awarding damages to any person denied carriage, or any combination of such sanctions. Such order shall set forth a timetable for compliance, and shall become effective upon release.</w:t>
      </w:r>
    </w:p>
    <w:p w:rsidR="000319B6" w:rsidRDefault="000319B6">
      <w:pPr>
        <w:rPr>
          <w:rFonts w:ascii="Verdana" w:eastAsia="Verdana" w:hAnsi="Verdana" w:cs="Verdana"/>
          <w:sz w:val="19"/>
          <w:szCs w:val="19"/>
        </w:rPr>
      </w:pPr>
    </w:p>
    <w:p w:rsidR="000319B6" w:rsidRDefault="005A295B">
      <w:pPr>
        <w:suppressAutoHyphens/>
        <w:rPr>
          <w:sz w:val="24"/>
          <w:szCs w:val="24"/>
        </w:rPr>
      </w:pPr>
      <w:r>
        <w:rPr>
          <w:rFonts w:ascii="Times New Roman Bold"/>
          <w:sz w:val="24"/>
          <w:szCs w:val="24"/>
        </w:rPr>
        <w:t>History:</w:t>
      </w:r>
    </w:p>
    <w:p w:rsidR="000319B6" w:rsidRDefault="000319B6">
      <w:pPr>
        <w:suppressAutoHyphens/>
        <w:rPr>
          <w:sz w:val="24"/>
          <w:szCs w:val="24"/>
        </w:rPr>
      </w:pPr>
    </w:p>
    <w:p w:rsidR="000319B6" w:rsidRDefault="005A295B">
      <w:pPr>
        <w:suppressAutoHyphens/>
        <w:rPr>
          <w:sz w:val="24"/>
          <w:szCs w:val="24"/>
        </w:rPr>
      </w:pPr>
      <w:r>
        <w:rPr>
          <w:sz w:val="24"/>
          <w:szCs w:val="24"/>
        </w:rPr>
        <w:t xml:space="preserve">On January 20, 2010, we adopted a First Report and Order, </w:t>
      </w:r>
      <w:r>
        <w:rPr>
          <w:i/>
          <w:iCs/>
          <w:sz w:val="24"/>
          <w:szCs w:val="24"/>
        </w:rPr>
        <w:t>In</w:t>
      </w:r>
      <w:r>
        <w:rPr>
          <w:sz w:val="24"/>
          <w:szCs w:val="24"/>
        </w:rPr>
        <w:t xml:space="preserve"> </w:t>
      </w:r>
      <w:r>
        <w:rPr>
          <w:i/>
          <w:iCs/>
          <w:sz w:val="24"/>
          <w:szCs w:val="24"/>
        </w:rPr>
        <w:t>the Matter of Review of the Commission</w:t>
      </w:r>
      <w:r>
        <w:rPr>
          <w:rFonts w:hAnsi="Times New Roman"/>
          <w:i/>
          <w:iCs/>
          <w:sz w:val="24"/>
          <w:szCs w:val="24"/>
        </w:rPr>
        <w:t>’</w:t>
      </w:r>
      <w:r>
        <w:rPr>
          <w:i/>
          <w:iCs/>
          <w:sz w:val="24"/>
          <w:szCs w:val="24"/>
        </w:rPr>
        <w:t>s Program Access Rules and Examination of Programming Tying Arrangements</w:t>
      </w:r>
      <w:r>
        <w:rPr>
          <w:sz w:val="24"/>
          <w:szCs w:val="24"/>
        </w:rPr>
        <w:t xml:space="preserve">, MB Docket No. 07-198, FCC 10-17.  In this document, we established rules, policies, and procedures for the consideration of complaints alleging unfair acts involving terrestrially delivered, cable-affiliated programming in violation of Section 628(b) of the Communications Act.  We also established procedures for the consideration of requests for a temporary standstill of the price, terms, and other conditions of an existing programming contract by a program access complainant seeking renewal of such a contract.  </w:t>
      </w:r>
    </w:p>
    <w:p w:rsidR="000319B6" w:rsidRDefault="000319B6">
      <w:pPr>
        <w:suppressAutoHyphens/>
        <w:rPr>
          <w:sz w:val="24"/>
          <w:szCs w:val="24"/>
        </w:rPr>
      </w:pPr>
    </w:p>
    <w:p w:rsidR="000319B6" w:rsidRDefault="005A295B">
      <w:pPr>
        <w:suppressAutoHyphens/>
        <w:rPr>
          <w:sz w:val="24"/>
          <w:szCs w:val="24"/>
        </w:rPr>
      </w:pPr>
      <w:r>
        <w:rPr>
          <w:sz w:val="24"/>
          <w:szCs w:val="24"/>
        </w:rPr>
        <w:t xml:space="preserve">On February 7, 2005, we adopted a </w:t>
      </w:r>
      <w:r>
        <w:rPr>
          <w:i/>
          <w:iCs/>
          <w:sz w:val="24"/>
          <w:szCs w:val="24"/>
        </w:rPr>
        <w:t>Notice of Proposed Rulemaking (NPRM), In the Matter of Implementation of the Satellite Home Viewer Extension and Reauthorization Act of 2004, Implementation of Section 340 of the Communications Act</w:t>
      </w:r>
      <w:r>
        <w:rPr>
          <w:sz w:val="24"/>
          <w:szCs w:val="24"/>
        </w:rPr>
        <w:t xml:space="preserve">, MB Docket No. 05-49, FCC 05-24.  The </w:t>
      </w:r>
      <w:r>
        <w:rPr>
          <w:i/>
          <w:iCs/>
          <w:sz w:val="24"/>
          <w:szCs w:val="24"/>
        </w:rPr>
        <w:t>NPRM</w:t>
      </w:r>
      <w:r>
        <w:rPr>
          <w:sz w:val="24"/>
          <w:szCs w:val="24"/>
        </w:rPr>
        <w:t xml:space="preserve"> proposed rules to implement Section 202 of the Satellite Home Viewer Extension and Reauthorization Act of 2004 (SHVERA), which created Section 340 of the </w:t>
      </w:r>
    </w:p>
    <w:p w:rsidR="000319B6" w:rsidRDefault="005A295B">
      <w:pPr>
        <w:suppressAutoHyphens/>
        <w:rPr>
          <w:sz w:val="24"/>
          <w:szCs w:val="24"/>
        </w:rPr>
      </w:pPr>
      <w:r>
        <w:rPr>
          <w:sz w:val="24"/>
          <w:szCs w:val="24"/>
        </w:rPr>
        <w:t xml:space="preserve">Communications Act of 1934, as amended (the Act), and amended the copyright laws to provide satellite carriers with the authority to offer FCC-determined </w:t>
      </w:r>
      <w:r>
        <w:rPr>
          <w:rFonts w:hAnsi="Times New Roman"/>
          <w:sz w:val="24"/>
          <w:szCs w:val="24"/>
        </w:rPr>
        <w:t>“</w:t>
      </w:r>
      <w:r>
        <w:rPr>
          <w:sz w:val="24"/>
          <w:szCs w:val="24"/>
        </w:rPr>
        <w:t>significantly-viewed</w:t>
      </w:r>
      <w:r>
        <w:rPr>
          <w:rFonts w:hAnsi="Times New Roman"/>
          <w:sz w:val="24"/>
          <w:szCs w:val="24"/>
        </w:rPr>
        <w:t xml:space="preserve">” </w:t>
      </w:r>
      <w:r>
        <w:rPr>
          <w:sz w:val="24"/>
          <w:szCs w:val="24"/>
        </w:rPr>
        <w:t>signals</w:t>
      </w:r>
      <w:r>
        <w:rPr>
          <w:sz w:val="24"/>
          <w:szCs w:val="24"/>
          <w:vertAlign w:val="superscript"/>
        </w:rPr>
        <w:footnoteReference w:id="17"/>
      </w:r>
      <w:r>
        <w:rPr>
          <w:sz w:val="24"/>
          <w:szCs w:val="24"/>
        </w:rPr>
        <w:t xml:space="preserve"> of out-of-market broadcast stations to subscribers. </w:t>
      </w:r>
    </w:p>
    <w:p w:rsidR="000319B6" w:rsidRDefault="000319B6">
      <w:pPr>
        <w:suppressAutoHyphens/>
        <w:rPr>
          <w:sz w:val="24"/>
          <w:szCs w:val="24"/>
        </w:rPr>
      </w:pPr>
    </w:p>
    <w:p w:rsidR="000319B6" w:rsidRDefault="005A295B">
      <w:pPr>
        <w:suppressAutoHyphens/>
        <w:rPr>
          <w:sz w:val="24"/>
          <w:szCs w:val="24"/>
        </w:rPr>
      </w:pPr>
      <w:r>
        <w:rPr>
          <w:sz w:val="24"/>
          <w:szCs w:val="24"/>
        </w:rPr>
        <w:t>On January 8, 1999, we streamlined the current procedural rules for petitions or complaints filed under part 76 of our rules.</w:t>
      </w:r>
      <w:r>
        <w:rPr>
          <w:sz w:val="24"/>
          <w:szCs w:val="24"/>
          <w:vertAlign w:val="superscript"/>
        </w:rPr>
        <w:footnoteReference w:id="18"/>
      </w:r>
      <w:r>
        <w:rPr>
          <w:sz w:val="24"/>
          <w:szCs w:val="24"/>
        </w:rPr>
        <w:t xml:space="preserve">  The general procedural requirements were consolidated in 47 CFR 76.6 through 76.10.   We eliminated redundant requirements, expanded the use of Petitions for Special Relief and standardized the filing procedure for all petitions seeking a finding of effective competition.  We also established a standard provision for Part 76 pleadings to provide a uniform filing format, deadlines, and other procedural requirements. </w:t>
      </w:r>
    </w:p>
    <w:p w:rsidR="000319B6" w:rsidRDefault="000319B6">
      <w:pPr>
        <w:suppressAutoHyphens/>
        <w:rPr>
          <w:sz w:val="24"/>
          <w:szCs w:val="24"/>
        </w:rPr>
      </w:pPr>
    </w:p>
    <w:p w:rsidR="000319B6" w:rsidRDefault="005A295B">
      <w:pPr>
        <w:rPr>
          <w:sz w:val="24"/>
          <w:szCs w:val="24"/>
        </w:rPr>
      </w:pPr>
      <w:r>
        <w:rPr>
          <w:sz w:val="24"/>
          <w:szCs w:val="24"/>
        </w:rPr>
        <w:t>This information collection does not affect individuals or households; thus, there are no impacts under the Privacy Act.</w:t>
      </w:r>
    </w:p>
    <w:p w:rsidR="000319B6" w:rsidRDefault="000319B6">
      <w:pPr>
        <w:rPr>
          <w:sz w:val="24"/>
          <w:szCs w:val="24"/>
        </w:rPr>
      </w:pPr>
    </w:p>
    <w:p w:rsidR="000319B6" w:rsidRDefault="005A295B">
      <w:pPr>
        <w:rPr>
          <w:sz w:val="24"/>
          <w:szCs w:val="24"/>
        </w:rPr>
      </w:pPr>
      <w:r>
        <w:rPr>
          <w:sz w:val="24"/>
          <w:szCs w:val="24"/>
        </w:rPr>
        <w:t>Statutory authority for this collection of information is contained in contained in Sections 4(i), 303(r), and 628 of the Communications Act of 1934, as amended.</w:t>
      </w:r>
    </w:p>
    <w:p w:rsidR="000319B6" w:rsidRDefault="000319B6">
      <w:pPr>
        <w:rPr>
          <w:sz w:val="24"/>
          <w:szCs w:val="24"/>
        </w:rPr>
      </w:pPr>
    </w:p>
    <w:p w:rsidR="000319B6" w:rsidRDefault="005A295B">
      <w:pPr>
        <w:pStyle w:val="Heading3"/>
      </w:pPr>
      <w:r>
        <w:t xml:space="preserve">2. </w:t>
      </w:r>
      <w:r>
        <w:rPr>
          <w:rFonts w:ascii="Times New Roman Bold"/>
        </w:rPr>
        <w:t xml:space="preserve"> </w:t>
      </w:r>
      <w:r w:rsidR="004723C7">
        <w:t>I</w:t>
      </w:r>
      <w:r>
        <w:t>nformation</w:t>
      </w:r>
      <w:r w:rsidR="004723C7">
        <w:t xml:space="preserve"> </w:t>
      </w:r>
      <w:r>
        <w:t xml:space="preserve">filed </w:t>
      </w:r>
      <w:r w:rsidR="004723C7">
        <w:t xml:space="preserve">is used </w:t>
      </w:r>
      <w:r>
        <w:t>to make determinations on petitions and complaints</w:t>
      </w:r>
      <w:r w:rsidR="004723C7">
        <w:t xml:space="preserve"> filed with the Commission</w:t>
      </w:r>
      <w:r>
        <w:t xml:space="preserve">.   </w:t>
      </w:r>
    </w:p>
    <w:p w:rsidR="000319B6" w:rsidRDefault="000319B6">
      <w:pPr>
        <w:rPr>
          <w:sz w:val="24"/>
          <w:szCs w:val="24"/>
        </w:rPr>
      </w:pPr>
    </w:p>
    <w:p w:rsidR="000319B6" w:rsidRDefault="005A295B">
      <w:pPr>
        <w:pStyle w:val="BodyText2"/>
      </w:pPr>
      <w:r>
        <w:t xml:space="preserve">3.  This collection of information does not involve data that can be completed electronically; however, it does require various pleadings to be filed with us. Due to the unique nature of the pleadings, some containing confidential and highly proprietary documents, it is not feasible to file them electronically.  As previously noted, parties may voluntarily submit electronic copies of their pleadings to staff via e-mail in order to expedite review.    </w:t>
      </w:r>
    </w:p>
    <w:p w:rsidR="000319B6" w:rsidRDefault="000319B6">
      <w:pPr>
        <w:suppressAutoHyphens/>
        <w:rPr>
          <w:sz w:val="24"/>
          <w:szCs w:val="24"/>
        </w:rPr>
      </w:pPr>
    </w:p>
    <w:p w:rsidR="000319B6" w:rsidRDefault="005A295B">
      <w:pPr>
        <w:pStyle w:val="BodyText"/>
        <w:rPr>
          <w:rFonts w:ascii="Times New Roman" w:eastAsia="Times New Roman" w:hAnsi="Times New Roman" w:cs="Times New Roman"/>
        </w:rPr>
      </w:pPr>
      <w:r>
        <w:rPr>
          <w:rFonts w:ascii="Times New Roman"/>
        </w:rPr>
        <w:t xml:space="preserve">4.  This agency does not impose similar information collection requirements on the respondents.  There are no similar data available.  </w:t>
      </w:r>
    </w:p>
    <w:p w:rsidR="000319B6" w:rsidRDefault="000319B6">
      <w:pPr>
        <w:pStyle w:val="BodyText"/>
        <w:rPr>
          <w:rFonts w:ascii="Times New Roman" w:eastAsia="Times New Roman" w:hAnsi="Times New Roman" w:cs="Times New Roman"/>
        </w:rPr>
      </w:pPr>
    </w:p>
    <w:p w:rsidR="000319B6" w:rsidRDefault="005A295B">
      <w:pPr>
        <w:suppressAutoHyphens/>
        <w:rPr>
          <w:sz w:val="24"/>
          <w:szCs w:val="24"/>
        </w:rPr>
      </w:pPr>
      <w:r>
        <w:rPr>
          <w:sz w:val="24"/>
          <w:szCs w:val="24"/>
        </w:rPr>
        <w:t>5.  This information collection will facilitate competition in the video distribution and video programming markets, therefore conferring benefits upon various MVPDs, including those that are smaller entities.</w:t>
      </w:r>
    </w:p>
    <w:p w:rsidR="000319B6" w:rsidRDefault="000319B6">
      <w:pPr>
        <w:suppressAutoHyphens/>
        <w:rPr>
          <w:sz w:val="24"/>
          <w:szCs w:val="24"/>
        </w:rPr>
      </w:pPr>
    </w:p>
    <w:p w:rsidR="000319B6" w:rsidRDefault="005A295B">
      <w:pPr>
        <w:suppressAutoHyphens/>
        <w:rPr>
          <w:sz w:val="24"/>
          <w:szCs w:val="24"/>
        </w:rPr>
      </w:pPr>
      <w:r>
        <w:rPr>
          <w:sz w:val="24"/>
          <w:szCs w:val="24"/>
        </w:rPr>
        <w:lastRenderedPageBreak/>
        <w:t xml:space="preserve">6.  If this information were not to be collected, the Commission would be limited in its ability to consider program access complaints.  </w:t>
      </w:r>
    </w:p>
    <w:p w:rsidR="000319B6" w:rsidRDefault="000319B6">
      <w:pPr>
        <w:suppressAutoHyphens/>
        <w:rPr>
          <w:sz w:val="24"/>
          <w:szCs w:val="24"/>
        </w:rPr>
      </w:pPr>
    </w:p>
    <w:p w:rsidR="000319B6" w:rsidRDefault="005A295B">
      <w:pPr>
        <w:suppressAutoHyphens/>
        <w:rPr>
          <w:sz w:val="24"/>
          <w:szCs w:val="24"/>
        </w:rPr>
      </w:pPr>
      <w:r>
        <w:rPr>
          <w:sz w:val="24"/>
          <w:szCs w:val="24"/>
        </w:rPr>
        <w:t xml:space="preserve">7.  These requirements state that in program access complaint proceedings alleging a violation of Section 628(b) of the Act and Section 76.1001(a) of our Rules, the defendant has 45 days from the date of service of the complaint to file an answer.  This information collection requires respondents to submit information considered confidential, such as programming contracts.  Our rules contain procedures for the protection of confidential information.  </w:t>
      </w:r>
      <w:r>
        <w:rPr>
          <w:i/>
          <w:iCs/>
          <w:sz w:val="24"/>
          <w:szCs w:val="24"/>
        </w:rPr>
        <w:t>See</w:t>
      </w:r>
      <w:r>
        <w:rPr>
          <w:sz w:val="24"/>
          <w:szCs w:val="24"/>
        </w:rPr>
        <w:t xml:space="preserve"> 47 CFR 0.459. </w:t>
      </w:r>
    </w:p>
    <w:p w:rsidR="000319B6" w:rsidRDefault="000319B6">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ind w:left="360"/>
        <w:rPr>
          <w:sz w:val="24"/>
          <w:szCs w:val="24"/>
        </w:rPr>
      </w:pPr>
    </w:p>
    <w:p w:rsidR="000319B6" w:rsidRDefault="005A295B">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r>
        <w:rPr>
          <w:spacing w:val="-3"/>
          <w:sz w:val="24"/>
          <w:szCs w:val="24"/>
        </w:rPr>
        <w:t xml:space="preserve">8.   The Commission published a </w:t>
      </w:r>
      <w:r w:rsidR="004723C7">
        <w:rPr>
          <w:spacing w:val="-3"/>
          <w:sz w:val="24"/>
          <w:szCs w:val="24"/>
        </w:rPr>
        <w:t>notice in the Federal Register seeking comments from the public on the information collection requirements contained in this collection (79 FR</w:t>
      </w:r>
      <w:r w:rsidR="0039732C">
        <w:rPr>
          <w:spacing w:val="-3"/>
          <w:sz w:val="24"/>
          <w:szCs w:val="24"/>
        </w:rPr>
        <w:t xml:space="preserve"> 55481)</w:t>
      </w:r>
      <w:r w:rsidR="004723C7">
        <w:rPr>
          <w:spacing w:val="-3"/>
          <w:sz w:val="24"/>
          <w:szCs w:val="24"/>
        </w:rPr>
        <w:t xml:space="preserve"> </w:t>
      </w:r>
      <w:r>
        <w:rPr>
          <w:spacing w:val="-3"/>
          <w:sz w:val="24"/>
          <w:szCs w:val="24"/>
        </w:rPr>
        <w:t xml:space="preserve">on September </w:t>
      </w:r>
      <w:r w:rsidR="0039732C">
        <w:rPr>
          <w:spacing w:val="-3"/>
          <w:sz w:val="24"/>
          <w:szCs w:val="24"/>
        </w:rPr>
        <w:t>16</w:t>
      </w:r>
      <w:r>
        <w:rPr>
          <w:spacing w:val="-3"/>
          <w:sz w:val="24"/>
          <w:szCs w:val="24"/>
        </w:rPr>
        <w:t>, 2014.  No comments were received</w:t>
      </w:r>
      <w:r w:rsidR="004723C7">
        <w:rPr>
          <w:spacing w:val="-3"/>
          <w:sz w:val="24"/>
          <w:szCs w:val="24"/>
        </w:rPr>
        <w:t xml:space="preserve"> from the public on the information collection requirements</w:t>
      </w:r>
      <w:r>
        <w:rPr>
          <w:spacing w:val="-3"/>
          <w:sz w:val="24"/>
          <w:szCs w:val="24"/>
        </w:rPr>
        <w:t xml:space="preserve">.  </w:t>
      </w:r>
    </w:p>
    <w:p w:rsidR="000319B6" w:rsidRDefault="000319B6">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p>
    <w:p w:rsidR="000319B6" w:rsidRDefault="005A295B">
      <w:pPr>
        <w:suppressAutoHyphens/>
        <w:rPr>
          <w:sz w:val="24"/>
          <w:szCs w:val="24"/>
        </w:rPr>
      </w:pPr>
      <w:r>
        <w:rPr>
          <w:sz w:val="24"/>
          <w:szCs w:val="24"/>
        </w:rPr>
        <w:t>9.  There will be no payment or gifts given to respondents</w:t>
      </w:r>
      <w:r w:rsidR="004723C7">
        <w:rPr>
          <w:sz w:val="24"/>
          <w:szCs w:val="24"/>
        </w:rPr>
        <w:t xml:space="preserve"> associated with the information collection requirements</w:t>
      </w:r>
      <w:r>
        <w:rPr>
          <w:sz w:val="24"/>
          <w:szCs w:val="24"/>
        </w:rPr>
        <w:t>.</w:t>
      </w:r>
    </w:p>
    <w:p w:rsidR="000319B6" w:rsidRDefault="000319B6">
      <w:pPr>
        <w:pStyle w:val="BodyText2"/>
      </w:pPr>
    </w:p>
    <w:p w:rsidR="000319B6" w:rsidRDefault="005A295B">
      <w:pPr>
        <w:pStyle w:val="BodyText2"/>
      </w:pPr>
      <w:r>
        <w:t>10.  Any information submitted by parties as part of their petition, complaint, answer or reply may be submitted pursuant to a request for confidentiality under Section 0.459 of the Commission</w:t>
      </w:r>
      <w:r>
        <w:rPr>
          <w:rFonts w:ascii="Arial Unicode MS" w:hAnsi="Times New Roman"/>
        </w:rPr>
        <w:t>’</w:t>
      </w:r>
      <w:r>
        <w:t xml:space="preserve">s rules.  </w:t>
      </w:r>
      <w:r>
        <w:rPr>
          <w:i/>
          <w:iCs/>
        </w:rPr>
        <w:t>See</w:t>
      </w:r>
      <w:r>
        <w:t xml:space="preserve"> 47 CFR </w:t>
      </w:r>
      <w:r>
        <w:rPr>
          <w:rFonts w:ascii="Arial Unicode MS" w:hAnsi="Times New Roman"/>
        </w:rPr>
        <w:t>§</w:t>
      </w:r>
      <w:r>
        <w:rPr>
          <w:rFonts w:ascii="Arial Unicode MS" w:hAnsi="Times New Roman"/>
        </w:rPr>
        <w:t xml:space="preserve"> </w:t>
      </w:r>
      <w:r>
        <w:t>0.459.</w:t>
      </w:r>
    </w:p>
    <w:p w:rsidR="000319B6" w:rsidRDefault="000319B6">
      <w:pPr>
        <w:suppressAutoHyphens/>
        <w:rPr>
          <w:sz w:val="24"/>
          <w:szCs w:val="24"/>
        </w:rPr>
      </w:pPr>
    </w:p>
    <w:p w:rsidR="000319B6" w:rsidRDefault="005A295B">
      <w:pPr>
        <w:pStyle w:val="BodyText2"/>
      </w:pPr>
      <w:r>
        <w:t xml:space="preserve">11.  This collection of information does not address matters of a sensitive nature.  </w:t>
      </w:r>
    </w:p>
    <w:p w:rsidR="000319B6" w:rsidRDefault="000319B6">
      <w:pPr>
        <w:pStyle w:val="BodyText2"/>
      </w:pPr>
    </w:p>
    <w:p w:rsidR="000319B6" w:rsidRDefault="005A295B">
      <w:pPr>
        <w:suppressAutoHyphens/>
        <w:rPr>
          <w:sz w:val="24"/>
          <w:szCs w:val="24"/>
        </w:rPr>
      </w:pPr>
      <w:r>
        <w:rPr>
          <w:sz w:val="24"/>
          <w:szCs w:val="24"/>
        </w:rPr>
        <w:t xml:space="preserve">12.  This collection accounts for general petitions filed pursuant to Section 76.7 and Part 76 filings filed pursuant to specific rule sections.  Two filing parties are generally involved.  </w:t>
      </w:r>
    </w:p>
    <w:p w:rsidR="000319B6" w:rsidRDefault="005A295B">
      <w:pPr>
        <w:suppressAutoHyphens/>
        <w:rPr>
          <w:sz w:val="24"/>
          <w:szCs w:val="24"/>
        </w:rPr>
      </w:pPr>
      <w:r>
        <w:rPr>
          <w:sz w:val="24"/>
          <w:szCs w:val="24"/>
        </w:rPr>
        <w:t xml:space="preserve">We estimate parties initiating their own filings will require 95.4 hours and parties using outside counsel will require 6.4 hours.  We estimate approximately 342 filings annually in accordance with Sections 1.221(h), 1.229(b)(3)-(4), 1.248(a)-(b), 76.7, 76.9, 76.61, 76.914, 76.1001, 76.1003, 76.1302, and 76.1513. </w:t>
      </w:r>
      <w:r>
        <w:rPr>
          <w:rFonts w:ascii="Times New Roman Bold"/>
          <w:sz w:val="24"/>
          <w:szCs w:val="24"/>
        </w:rPr>
        <w:t xml:space="preserve"> </w:t>
      </w:r>
      <w:r>
        <w:rPr>
          <w:sz w:val="24"/>
          <w:szCs w:val="24"/>
        </w:rPr>
        <w:t xml:space="preserve">  </w:t>
      </w:r>
    </w:p>
    <w:p w:rsidR="000319B6" w:rsidRDefault="000319B6">
      <w:pPr>
        <w:suppressAutoHyphens/>
        <w:rPr>
          <w:rFonts w:ascii="Times New Roman Bold" w:eastAsia="Times New Roman Bold" w:hAnsi="Times New Roman Bold" w:cs="Times New Roman Bold"/>
          <w:sz w:val="24"/>
          <w:szCs w:val="24"/>
        </w:rPr>
      </w:pPr>
    </w:p>
    <w:p w:rsidR="000319B6" w:rsidRDefault="005A295B">
      <w:pPr>
        <w:ind w:left="4050" w:hanging="4050"/>
        <w:rPr>
          <w:rFonts w:ascii="Times New Roman Bold" w:eastAsia="Times New Roman Bold" w:hAnsi="Times New Roman Bold" w:cs="Times New Roman Bold"/>
          <w:sz w:val="24"/>
          <w:szCs w:val="24"/>
        </w:rPr>
      </w:pPr>
      <w:r>
        <w:rPr>
          <w:rFonts w:ascii="Times New Roman Bold"/>
          <w:sz w:val="24"/>
          <w:szCs w:val="24"/>
        </w:rPr>
        <w:t xml:space="preserve">Total Number of Annual Respondents: 684 Broadcast Stations, Cable Operators, Satellite Carriers, MVPDs and Programming Vendors </w:t>
      </w:r>
    </w:p>
    <w:p w:rsidR="000319B6" w:rsidRDefault="005A295B">
      <w:pPr>
        <w:tabs>
          <w:tab w:val="left" w:pos="4140"/>
        </w:tabs>
        <w:ind w:left="4320" w:hanging="4320"/>
        <w:rPr>
          <w:sz w:val="24"/>
          <w:szCs w:val="24"/>
        </w:rPr>
      </w:pPr>
      <w:r>
        <w:rPr>
          <w:sz w:val="24"/>
          <w:szCs w:val="24"/>
        </w:rPr>
        <w:tab/>
      </w:r>
    </w:p>
    <w:p w:rsidR="000319B6" w:rsidRDefault="005A295B">
      <w:pPr>
        <w:rPr>
          <w:sz w:val="24"/>
          <w:szCs w:val="24"/>
        </w:rPr>
      </w:pPr>
      <w:r>
        <w:rPr>
          <w:rFonts w:ascii="Times New Roman Bold"/>
          <w:sz w:val="24"/>
          <w:szCs w:val="24"/>
        </w:rPr>
        <w:t>Total Number of Annual Responses</w:t>
      </w:r>
      <w:r>
        <w:rPr>
          <w:sz w:val="24"/>
          <w:szCs w:val="24"/>
        </w:rPr>
        <w:t xml:space="preserve"> = 342 filings x 2 parties/filing = </w:t>
      </w:r>
      <w:r>
        <w:rPr>
          <w:rFonts w:ascii="Times New Roman Bold"/>
          <w:sz w:val="24"/>
          <w:szCs w:val="24"/>
        </w:rPr>
        <w:t>684 responses/filings</w:t>
      </w:r>
      <w:r>
        <w:rPr>
          <w:sz w:val="24"/>
          <w:szCs w:val="24"/>
        </w:rPr>
        <w:t xml:space="preserve"> </w:t>
      </w:r>
    </w:p>
    <w:p w:rsidR="000319B6" w:rsidRDefault="005A295B">
      <w:pPr>
        <w:rPr>
          <w:sz w:val="24"/>
          <w:szCs w:val="24"/>
        </w:rPr>
      </w:pPr>
      <w:r>
        <w:rPr>
          <w:sz w:val="24"/>
          <w:szCs w:val="24"/>
        </w:rPr>
        <w:t xml:space="preserve">  </w:t>
      </w:r>
    </w:p>
    <w:p w:rsidR="004723C7" w:rsidRDefault="004723C7">
      <w:pPr>
        <w:rPr>
          <w:sz w:val="24"/>
          <w:szCs w:val="24"/>
        </w:rPr>
      </w:pPr>
    </w:p>
    <w:p w:rsidR="004723C7" w:rsidRDefault="004723C7">
      <w:pPr>
        <w:rPr>
          <w:sz w:val="24"/>
          <w:szCs w:val="24"/>
        </w:rPr>
      </w:pPr>
    </w:p>
    <w:p w:rsidR="000319B6" w:rsidRDefault="005A295B">
      <w:pPr>
        <w:rPr>
          <w:sz w:val="24"/>
          <w:szCs w:val="24"/>
        </w:rPr>
      </w:pPr>
      <w:r>
        <w:rPr>
          <w:rFonts w:ascii="Times New Roman Bold"/>
          <w:sz w:val="24"/>
          <w:szCs w:val="24"/>
        </w:rPr>
        <w:t xml:space="preserve">Annual Burden Hours: Parties Initiating Their Own Filings:  </w:t>
      </w:r>
      <w:r>
        <w:rPr>
          <w:sz w:val="24"/>
          <w:szCs w:val="24"/>
        </w:rPr>
        <w:t xml:space="preserve">We estimate 50% of the parties will file their pleadings at an average of 95.4 hours per filing.  </w:t>
      </w:r>
    </w:p>
    <w:p w:rsidR="000319B6" w:rsidRDefault="000319B6">
      <w:pPr>
        <w:rPr>
          <w:sz w:val="24"/>
          <w:szCs w:val="24"/>
        </w:rPr>
      </w:pPr>
    </w:p>
    <w:p w:rsidR="000319B6" w:rsidRDefault="005A295B">
      <w:pPr>
        <w:rPr>
          <w:sz w:val="24"/>
          <w:szCs w:val="24"/>
        </w:rPr>
      </w:pPr>
      <w:r>
        <w:rPr>
          <w:sz w:val="24"/>
          <w:szCs w:val="24"/>
        </w:rPr>
        <w:t xml:space="preserve"> </w:t>
      </w:r>
      <w:r>
        <w:rPr>
          <w:sz w:val="24"/>
          <w:szCs w:val="24"/>
        </w:rPr>
        <w:tab/>
      </w:r>
      <w:r>
        <w:rPr>
          <w:sz w:val="24"/>
          <w:szCs w:val="24"/>
        </w:rPr>
        <w:tab/>
        <w:t>342 filings (50% of 684 filings) x 95.4 hours/filing = 32,627 hours</w:t>
      </w:r>
    </w:p>
    <w:p w:rsidR="000319B6" w:rsidRDefault="000319B6">
      <w:pPr>
        <w:rPr>
          <w:sz w:val="24"/>
          <w:szCs w:val="24"/>
        </w:rPr>
      </w:pPr>
    </w:p>
    <w:p w:rsidR="000319B6" w:rsidRDefault="005A295B">
      <w:pPr>
        <w:rPr>
          <w:sz w:val="24"/>
          <w:szCs w:val="24"/>
        </w:rPr>
      </w:pPr>
      <w:r>
        <w:rPr>
          <w:rFonts w:ascii="Times New Roman Bold"/>
          <w:sz w:val="24"/>
          <w:szCs w:val="24"/>
        </w:rPr>
        <w:t xml:space="preserve">Parties Using Outside Counsel:  </w:t>
      </w:r>
      <w:r>
        <w:rPr>
          <w:sz w:val="24"/>
          <w:szCs w:val="24"/>
        </w:rPr>
        <w:t xml:space="preserve">We estimate 50% of the parties will use outside legal counsel file their pleadings and will undergo an average burden of 6.4 hours. </w:t>
      </w:r>
    </w:p>
    <w:p w:rsidR="000319B6" w:rsidRDefault="000319B6">
      <w:pPr>
        <w:rPr>
          <w:sz w:val="24"/>
          <w:szCs w:val="24"/>
        </w:rPr>
      </w:pPr>
    </w:p>
    <w:p w:rsidR="000319B6" w:rsidRDefault="005A295B">
      <w:pPr>
        <w:rPr>
          <w:sz w:val="24"/>
          <w:szCs w:val="24"/>
        </w:rPr>
      </w:pPr>
      <w:r>
        <w:rPr>
          <w:sz w:val="24"/>
          <w:szCs w:val="24"/>
        </w:rPr>
        <w:t xml:space="preserve"> </w:t>
      </w:r>
      <w:r>
        <w:rPr>
          <w:sz w:val="24"/>
          <w:szCs w:val="24"/>
        </w:rPr>
        <w:tab/>
      </w:r>
      <w:r>
        <w:rPr>
          <w:sz w:val="24"/>
          <w:szCs w:val="24"/>
        </w:rPr>
        <w:tab/>
        <w:t xml:space="preserve">342 filings (50% of 684 filings) x 6.4 hours/filing = 2,189 hours  </w:t>
      </w:r>
    </w:p>
    <w:p w:rsidR="000319B6" w:rsidRDefault="000319B6">
      <w:pPr>
        <w:rPr>
          <w:rFonts w:ascii="Times New Roman Bold" w:eastAsia="Times New Roman Bold" w:hAnsi="Times New Roman Bold" w:cs="Times New Roman Bold"/>
          <w:sz w:val="24"/>
          <w:szCs w:val="24"/>
        </w:rPr>
      </w:pPr>
    </w:p>
    <w:p w:rsidR="000319B6" w:rsidRDefault="005A295B">
      <w:pPr>
        <w:ind w:left="720" w:firstLine="720"/>
        <w:rPr>
          <w:rFonts w:ascii="Times New Roman Bold" w:eastAsia="Times New Roman Bold" w:hAnsi="Times New Roman Bold" w:cs="Times New Roman Bold"/>
          <w:sz w:val="24"/>
          <w:szCs w:val="24"/>
        </w:rPr>
      </w:pPr>
      <w:r>
        <w:rPr>
          <w:rFonts w:ascii="Times New Roman Bold"/>
          <w:sz w:val="24"/>
          <w:szCs w:val="24"/>
        </w:rPr>
        <w:t xml:space="preserve">Total Annual Burden Hours </w:t>
      </w:r>
      <w:r>
        <w:rPr>
          <w:sz w:val="24"/>
          <w:szCs w:val="24"/>
        </w:rPr>
        <w:t xml:space="preserve">32,627 hours + 2,189 hours = </w:t>
      </w:r>
      <w:r>
        <w:rPr>
          <w:rFonts w:ascii="Times New Roman Bold"/>
          <w:sz w:val="24"/>
          <w:szCs w:val="24"/>
        </w:rPr>
        <w:t>34,816 hours</w:t>
      </w:r>
    </w:p>
    <w:p w:rsidR="000319B6" w:rsidRDefault="000319B6">
      <w:pPr>
        <w:ind w:left="720" w:firstLine="720"/>
        <w:rPr>
          <w:rFonts w:ascii="Times New Roman Bold" w:eastAsia="Times New Roman Bold" w:hAnsi="Times New Roman Bold" w:cs="Times New Roman Bold"/>
          <w:sz w:val="24"/>
          <w:szCs w:val="24"/>
        </w:rPr>
      </w:pPr>
    </w:p>
    <w:p w:rsidR="000319B6" w:rsidRDefault="005A295B">
      <w:pPr>
        <w:rPr>
          <w:sz w:val="24"/>
          <w:szCs w:val="24"/>
        </w:rPr>
      </w:pPr>
      <w:r>
        <w:rPr>
          <w:rFonts w:ascii="Times New Roman Bold"/>
          <w:sz w:val="24"/>
          <w:szCs w:val="24"/>
        </w:rPr>
        <w:t xml:space="preserve">Annual </w:t>
      </w:r>
      <w:r>
        <w:rPr>
          <w:rFonts w:hAnsi="Times New Roman Bold"/>
          <w:sz w:val="24"/>
          <w:szCs w:val="24"/>
        </w:rPr>
        <w:t>“</w:t>
      </w:r>
      <w:r>
        <w:rPr>
          <w:rFonts w:ascii="Times New Roman Bold"/>
          <w:sz w:val="24"/>
          <w:szCs w:val="24"/>
        </w:rPr>
        <w:t>In-house</w:t>
      </w:r>
      <w:r>
        <w:rPr>
          <w:rFonts w:hAnsi="Times New Roman Bold"/>
          <w:sz w:val="24"/>
          <w:szCs w:val="24"/>
        </w:rPr>
        <w:t>”</w:t>
      </w:r>
      <w:r>
        <w:rPr>
          <w:rFonts w:hAnsi="Times New Roman Bold"/>
          <w:sz w:val="24"/>
          <w:szCs w:val="24"/>
        </w:rPr>
        <w:t xml:space="preserve"> </w:t>
      </w:r>
      <w:r>
        <w:rPr>
          <w:rFonts w:ascii="Times New Roman Bold"/>
          <w:sz w:val="24"/>
          <w:szCs w:val="24"/>
        </w:rPr>
        <w:t>Cost:</w:t>
      </w:r>
      <w:r>
        <w:rPr>
          <w:sz w:val="24"/>
          <w:szCs w:val="24"/>
        </w:rPr>
        <w:t xml:space="preserve">   We estimate that an in-house attorney and paralegal will initiate 50% of the filings and will also coordinate information with outside legal counsel for the remaining 50% of the filings.  We estimate the hourly wage for paralegal staff at $30.00 per hour and the legal staff at $50.00 per hour.  These estimates are based on Commission</w:t>
      </w:r>
      <w:r>
        <w:rPr>
          <w:rFonts w:ascii="Arial Unicode MS" w:hAnsi="Times New Roman"/>
          <w:sz w:val="24"/>
          <w:szCs w:val="24"/>
        </w:rPr>
        <w:t>’</w:t>
      </w:r>
      <w:r>
        <w:rPr>
          <w:sz w:val="24"/>
          <w:szCs w:val="24"/>
        </w:rPr>
        <w:t xml:space="preserve">s staff knowledge and familiarity with the availability of the data required. </w:t>
      </w:r>
    </w:p>
    <w:p w:rsidR="000319B6" w:rsidRDefault="000319B6">
      <w:pPr>
        <w:rPr>
          <w:sz w:val="24"/>
          <w:szCs w:val="24"/>
        </w:rPr>
      </w:pPr>
    </w:p>
    <w:p w:rsidR="000319B6" w:rsidRDefault="005A295B">
      <w:pPr>
        <w:tabs>
          <w:tab w:val="left" w:pos="1032"/>
        </w:tabs>
        <w:rPr>
          <w:sz w:val="24"/>
          <w:szCs w:val="24"/>
        </w:rPr>
      </w:pPr>
      <w:r>
        <w:rPr>
          <w:sz w:val="24"/>
          <w:szCs w:val="24"/>
        </w:rPr>
        <w:tab/>
      </w:r>
      <w:r>
        <w:rPr>
          <w:sz w:val="24"/>
          <w:szCs w:val="24"/>
        </w:rPr>
        <w:tab/>
      </w:r>
      <w:r>
        <w:rPr>
          <w:sz w:val="24"/>
          <w:szCs w:val="24"/>
        </w:rPr>
        <w:tab/>
        <w:t xml:space="preserve">Paralegal: 17,408 hours x $30/hour =  $522,240  </w:t>
      </w:r>
    </w:p>
    <w:p w:rsidR="000319B6" w:rsidRDefault="005A295B">
      <w:pPr>
        <w:rPr>
          <w:sz w:val="24"/>
          <w:szCs w:val="24"/>
          <w:u w:val="single"/>
        </w:rPr>
      </w:pPr>
      <w:r>
        <w:rPr>
          <w:sz w:val="24"/>
          <w:szCs w:val="24"/>
        </w:rPr>
        <w:tab/>
      </w:r>
      <w:r>
        <w:rPr>
          <w:sz w:val="24"/>
          <w:szCs w:val="24"/>
        </w:rPr>
        <w:tab/>
        <w:t xml:space="preserve">            Attorney:  17,408 hours x $50/hour =  $</w:t>
      </w:r>
      <w:r>
        <w:rPr>
          <w:sz w:val="24"/>
          <w:szCs w:val="24"/>
          <w:u w:val="single"/>
        </w:rPr>
        <w:t xml:space="preserve">870,400   </w:t>
      </w:r>
    </w:p>
    <w:p w:rsidR="000319B6" w:rsidRDefault="005A295B">
      <w:pPr>
        <w:rPr>
          <w:rFonts w:ascii="Times New Roman Bold" w:eastAsia="Times New Roman Bold" w:hAnsi="Times New Roman Bold" w:cs="Times New Roman Bold"/>
          <w:sz w:val="24"/>
          <w:szCs w:val="24"/>
        </w:rPr>
      </w:pPr>
      <w:r>
        <w:rPr>
          <w:sz w:val="24"/>
          <w:szCs w:val="24"/>
        </w:rPr>
        <w:tab/>
      </w:r>
      <w:r>
        <w:rPr>
          <w:sz w:val="24"/>
          <w:szCs w:val="24"/>
        </w:rPr>
        <w:tab/>
        <w:t xml:space="preserve">                 </w:t>
      </w:r>
      <w:r>
        <w:rPr>
          <w:rFonts w:ascii="Times New Roman Bold"/>
          <w:sz w:val="24"/>
          <w:szCs w:val="24"/>
        </w:rPr>
        <w:t xml:space="preserve">Total Annual </w:t>
      </w:r>
      <w:r>
        <w:rPr>
          <w:rFonts w:hAnsi="Times New Roman Bold"/>
          <w:sz w:val="24"/>
          <w:szCs w:val="24"/>
        </w:rPr>
        <w:t>“</w:t>
      </w:r>
      <w:r>
        <w:rPr>
          <w:rFonts w:ascii="Times New Roman Bold"/>
          <w:sz w:val="24"/>
          <w:szCs w:val="24"/>
        </w:rPr>
        <w:t>In-House</w:t>
      </w:r>
      <w:r>
        <w:rPr>
          <w:rFonts w:hAnsi="Times New Roman Bold"/>
          <w:sz w:val="24"/>
          <w:szCs w:val="24"/>
        </w:rPr>
        <w:t>”</w:t>
      </w:r>
      <w:r>
        <w:rPr>
          <w:rFonts w:hAnsi="Times New Roman Bold"/>
          <w:sz w:val="24"/>
          <w:szCs w:val="24"/>
        </w:rPr>
        <w:t xml:space="preserve"> </w:t>
      </w:r>
      <w:r>
        <w:rPr>
          <w:rFonts w:ascii="Times New Roman Bold"/>
          <w:sz w:val="24"/>
          <w:szCs w:val="24"/>
        </w:rPr>
        <w:t>Cost: $1,392,640</w:t>
      </w:r>
    </w:p>
    <w:p w:rsidR="000319B6" w:rsidRDefault="000319B6">
      <w:pPr>
        <w:rPr>
          <w:rFonts w:ascii="Times New Roman Bold" w:eastAsia="Times New Roman Bold" w:hAnsi="Times New Roman Bold" w:cs="Times New Roman Bold"/>
          <w:sz w:val="24"/>
          <w:szCs w:val="24"/>
        </w:rPr>
      </w:pPr>
    </w:p>
    <w:p w:rsidR="000319B6" w:rsidRDefault="005A295B">
      <w:pPr>
        <w:rPr>
          <w:sz w:val="24"/>
          <w:szCs w:val="24"/>
        </w:rPr>
      </w:pPr>
      <w:r>
        <w:rPr>
          <w:sz w:val="24"/>
          <w:szCs w:val="24"/>
        </w:rPr>
        <w:t>13.  Annual Cost Burden:</w:t>
      </w:r>
    </w:p>
    <w:p w:rsidR="004723C7" w:rsidRDefault="004723C7">
      <w:pPr>
        <w:ind w:left="720"/>
        <w:rPr>
          <w:sz w:val="24"/>
          <w:szCs w:val="24"/>
        </w:rPr>
      </w:pPr>
    </w:p>
    <w:p w:rsidR="000319B6" w:rsidRDefault="004723C7">
      <w:pPr>
        <w:ind w:left="720"/>
        <w:rPr>
          <w:sz w:val="24"/>
          <w:szCs w:val="24"/>
        </w:rPr>
      </w:pPr>
      <w:r>
        <w:rPr>
          <w:sz w:val="24"/>
          <w:szCs w:val="24"/>
        </w:rPr>
        <w:tab/>
      </w:r>
      <w:r w:rsidR="005A295B">
        <w:rPr>
          <w:sz w:val="24"/>
          <w:szCs w:val="24"/>
        </w:rPr>
        <w:t>a. Total capital and start-up costs:  $0</w:t>
      </w:r>
      <w:r w:rsidR="005A524A">
        <w:rPr>
          <w:sz w:val="24"/>
          <w:szCs w:val="24"/>
        </w:rPr>
        <w:t>.</w:t>
      </w:r>
      <w:r w:rsidR="005A295B">
        <w:rPr>
          <w:sz w:val="24"/>
          <w:szCs w:val="24"/>
        </w:rPr>
        <w:t xml:space="preserve"> </w:t>
      </w:r>
    </w:p>
    <w:p w:rsidR="000319B6" w:rsidRDefault="000319B6">
      <w:pPr>
        <w:ind w:left="720"/>
        <w:rPr>
          <w:sz w:val="24"/>
          <w:szCs w:val="24"/>
        </w:rPr>
      </w:pPr>
    </w:p>
    <w:p w:rsidR="000319B6" w:rsidRDefault="004723C7">
      <w:pPr>
        <w:ind w:left="810" w:hanging="30"/>
        <w:rPr>
          <w:sz w:val="24"/>
          <w:szCs w:val="24"/>
        </w:rPr>
      </w:pPr>
      <w:r>
        <w:rPr>
          <w:sz w:val="24"/>
          <w:szCs w:val="24"/>
        </w:rPr>
        <w:tab/>
      </w:r>
      <w:r>
        <w:rPr>
          <w:sz w:val="24"/>
          <w:szCs w:val="24"/>
        </w:rPr>
        <w:tab/>
      </w:r>
      <w:r w:rsidR="005A295B">
        <w:rPr>
          <w:sz w:val="24"/>
          <w:szCs w:val="24"/>
        </w:rPr>
        <w:t>b</w:t>
      </w:r>
      <w:r w:rsidR="005A295B">
        <w:rPr>
          <w:color w:val="993300"/>
          <w:sz w:val="24"/>
          <w:szCs w:val="24"/>
          <w:u w:color="993300"/>
        </w:rPr>
        <w:t>.</w:t>
      </w:r>
      <w:r w:rsidR="005A295B">
        <w:rPr>
          <w:sz w:val="24"/>
          <w:szCs w:val="24"/>
        </w:rPr>
        <w:t xml:space="preserve"> Half of the respondents </w:t>
      </w:r>
      <w:r w:rsidR="005A524A">
        <w:rPr>
          <w:sz w:val="24"/>
          <w:szCs w:val="24"/>
        </w:rPr>
        <w:t xml:space="preserve">are expected to receive assistance from </w:t>
      </w:r>
      <w:r w:rsidR="005A295B">
        <w:rPr>
          <w:sz w:val="24"/>
          <w:szCs w:val="24"/>
        </w:rPr>
        <w:t xml:space="preserve">consulting </w:t>
      </w:r>
      <w:r w:rsidR="005A524A">
        <w:rPr>
          <w:sz w:val="24"/>
          <w:szCs w:val="24"/>
        </w:rPr>
        <w:tab/>
      </w:r>
      <w:r w:rsidR="005A295B">
        <w:rPr>
          <w:sz w:val="24"/>
          <w:szCs w:val="24"/>
        </w:rPr>
        <w:t xml:space="preserve">attorneys at </w:t>
      </w:r>
      <w:r>
        <w:rPr>
          <w:sz w:val="24"/>
          <w:szCs w:val="24"/>
        </w:rPr>
        <w:t xml:space="preserve">a cost of </w:t>
      </w:r>
      <w:r>
        <w:rPr>
          <w:sz w:val="24"/>
          <w:szCs w:val="24"/>
        </w:rPr>
        <w:tab/>
      </w:r>
      <w:r w:rsidR="005A295B">
        <w:rPr>
          <w:sz w:val="24"/>
          <w:szCs w:val="24"/>
        </w:rPr>
        <w:t>$300/hour</w:t>
      </w:r>
      <w:r w:rsidR="005A295B">
        <w:rPr>
          <w:sz w:val="24"/>
          <w:szCs w:val="24"/>
          <w:vertAlign w:val="superscript"/>
        </w:rPr>
        <w:footnoteReference w:id="19"/>
      </w:r>
      <w:r w:rsidR="005A295B">
        <w:rPr>
          <w:sz w:val="24"/>
          <w:szCs w:val="24"/>
        </w:rPr>
        <w:t xml:space="preserve"> </w:t>
      </w:r>
      <w:r>
        <w:rPr>
          <w:sz w:val="24"/>
          <w:szCs w:val="24"/>
        </w:rPr>
        <w:t xml:space="preserve">when initiating </w:t>
      </w:r>
      <w:r w:rsidR="005A295B">
        <w:rPr>
          <w:sz w:val="24"/>
          <w:szCs w:val="24"/>
        </w:rPr>
        <w:t>their filings</w:t>
      </w:r>
      <w:r>
        <w:rPr>
          <w:sz w:val="24"/>
          <w:szCs w:val="24"/>
        </w:rPr>
        <w:t xml:space="preserve">  (50% of 684 = </w:t>
      </w:r>
      <w:r w:rsidR="005A524A">
        <w:rPr>
          <w:sz w:val="24"/>
          <w:szCs w:val="24"/>
        </w:rPr>
        <w:tab/>
      </w:r>
      <w:r>
        <w:rPr>
          <w:sz w:val="24"/>
          <w:szCs w:val="24"/>
        </w:rPr>
        <w:t>342 filings)</w:t>
      </w:r>
      <w:r w:rsidR="005A295B">
        <w:rPr>
          <w:sz w:val="24"/>
          <w:szCs w:val="24"/>
        </w:rPr>
        <w:t xml:space="preserve">. </w:t>
      </w:r>
      <w:r>
        <w:rPr>
          <w:sz w:val="24"/>
          <w:szCs w:val="24"/>
        </w:rPr>
        <w:t xml:space="preserve">  Therefore,</w:t>
      </w:r>
      <w:r w:rsidR="005A524A">
        <w:rPr>
          <w:sz w:val="24"/>
          <w:szCs w:val="24"/>
        </w:rPr>
        <w:t xml:space="preserve"> </w:t>
      </w:r>
      <w:r>
        <w:rPr>
          <w:sz w:val="24"/>
          <w:szCs w:val="24"/>
        </w:rPr>
        <w:t>the t</w:t>
      </w:r>
      <w:r w:rsidR="005A295B">
        <w:rPr>
          <w:sz w:val="24"/>
          <w:szCs w:val="24"/>
        </w:rPr>
        <w:t>otal operation and maintenance costs = 342 filings x</w:t>
      </w:r>
      <w:r>
        <w:rPr>
          <w:sz w:val="24"/>
          <w:szCs w:val="24"/>
        </w:rPr>
        <w:t xml:space="preserve"> </w:t>
      </w:r>
      <w:r w:rsidR="005A524A">
        <w:rPr>
          <w:sz w:val="24"/>
          <w:szCs w:val="24"/>
        </w:rPr>
        <w:tab/>
      </w:r>
      <w:r w:rsidR="005A295B">
        <w:rPr>
          <w:sz w:val="24"/>
          <w:szCs w:val="24"/>
        </w:rPr>
        <w:t>30.8 hours x</w:t>
      </w:r>
      <w:r>
        <w:rPr>
          <w:sz w:val="24"/>
          <w:szCs w:val="24"/>
        </w:rPr>
        <w:t xml:space="preserve"> </w:t>
      </w:r>
      <w:r w:rsidR="005A295B">
        <w:rPr>
          <w:sz w:val="24"/>
          <w:szCs w:val="24"/>
        </w:rPr>
        <w:t>$300/hr.</w:t>
      </w:r>
      <w:r>
        <w:rPr>
          <w:sz w:val="24"/>
          <w:szCs w:val="24"/>
        </w:rPr>
        <w:t xml:space="preserve"> = </w:t>
      </w:r>
      <w:r w:rsidRPr="0039732C">
        <w:rPr>
          <w:b/>
          <w:sz w:val="24"/>
          <w:szCs w:val="24"/>
        </w:rPr>
        <w:t>$3,160,080</w:t>
      </w:r>
      <w:r>
        <w:rPr>
          <w:sz w:val="24"/>
          <w:szCs w:val="24"/>
        </w:rPr>
        <w:t>.</w:t>
      </w:r>
      <w:r w:rsidR="005A295B">
        <w:rPr>
          <w:sz w:val="24"/>
          <w:szCs w:val="24"/>
        </w:rPr>
        <w:t xml:space="preserve"> </w:t>
      </w:r>
    </w:p>
    <w:p w:rsidR="000319B6" w:rsidRDefault="000319B6">
      <w:pPr>
        <w:ind w:left="720"/>
        <w:rPr>
          <w:sz w:val="24"/>
          <w:szCs w:val="24"/>
        </w:rPr>
      </w:pPr>
    </w:p>
    <w:p w:rsidR="000319B6" w:rsidRDefault="004723C7">
      <w:pPr>
        <w:rPr>
          <w:rFonts w:ascii="Times New Roman Bold"/>
          <w:sz w:val="24"/>
          <w:szCs w:val="24"/>
        </w:rPr>
      </w:pPr>
      <w:r>
        <w:rPr>
          <w:sz w:val="24"/>
          <w:szCs w:val="24"/>
        </w:rPr>
        <w:tab/>
        <w:t xml:space="preserve"> </w:t>
      </w:r>
      <w:r>
        <w:rPr>
          <w:sz w:val="24"/>
          <w:szCs w:val="24"/>
        </w:rPr>
        <w:tab/>
      </w:r>
      <w:r w:rsidR="005A295B">
        <w:rPr>
          <w:sz w:val="24"/>
          <w:szCs w:val="24"/>
        </w:rPr>
        <w:t xml:space="preserve">c. Total Annualized Cost:  </w:t>
      </w:r>
      <w:r w:rsidR="005A295B">
        <w:rPr>
          <w:rFonts w:ascii="Times New Roman Bold"/>
          <w:sz w:val="24"/>
          <w:szCs w:val="24"/>
        </w:rPr>
        <w:t>$3,160,080</w:t>
      </w:r>
      <w:r w:rsidR="005A524A" w:rsidRPr="0039732C">
        <w:rPr>
          <w:rFonts w:ascii="Times New Roman Bold"/>
          <w:b/>
          <w:sz w:val="24"/>
          <w:szCs w:val="24"/>
        </w:rPr>
        <w:t>.</w:t>
      </w:r>
    </w:p>
    <w:p w:rsidR="004723C7" w:rsidRDefault="004723C7">
      <w:pPr>
        <w:rPr>
          <w:rFonts w:ascii="Times New Roman Bold" w:eastAsia="Times New Roman Bold" w:hAnsi="Times New Roman Bold" w:cs="Times New Roman Bold"/>
          <w:sz w:val="24"/>
          <w:szCs w:val="24"/>
        </w:rPr>
      </w:pPr>
    </w:p>
    <w:p w:rsidR="000319B6" w:rsidRDefault="000319B6">
      <w:pPr>
        <w:rPr>
          <w:rFonts w:ascii="Times New Roman Bold" w:eastAsia="Times New Roman Bold" w:hAnsi="Times New Roman Bold" w:cs="Times New Roman Bold"/>
          <w:sz w:val="24"/>
          <w:szCs w:val="24"/>
        </w:rPr>
      </w:pPr>
    </w:p>
    <w:p w:rsidR="000319B6" w:rsidRDefault="005A295B">
      <w:pPr>
        <w:suppressAutoHyphens/>
        <w:rPr>
          <w:sz w:val="24"/>
          <w:szCs w:val="24"/>
        </w:rPr>
      </w:pPr>
      <w:r>
        <w:rPr>
          <w:sz w:val="24"/>
          <w:szCs w:val="24"/>
        </w:rPr>
        <w:t xml:space="preserve">14.  </w:t>
      </w:r>
      <w:r>
        <w:rPr>
          <w:rFonts w:ascii="Times New Roman Bold"/>
          <w:sz w:val="24"/>
          <w:szCs w:val="24"/>
        </w:rPr>
        <w:t>Cost to the Government</w:t>
      </w:r>
      <w:r>
        <w:rPr>
          <w:sz w:val="24"/>
          <w:szCs w:val="24"/>
        </w:rPr>
        <w:t xml:space="preserve">: The FCC staff that reviews these filings are attorneys at the GS-15, step 5 level ($67.88/hour), paralegals at the GS-12, step 5 level ($41.07/hour) and administrative personnel at the GS-5, step 5 level ($18.69/hour).  </w:t>
      </w:r>
    </w:p>
    <w:p w:rsidR="000319B6" w:rsidRDefault="000319B6">
      <w:pPr>
        <w:suppressAutoHyphens/>
        <w:ind w:left="720"/>
        <w:rPr>
          <w:sz w:val="24"/>
          <w:szCs w:val="24"/>
        </w:rPr>
      </w:pPr>
    </w:p>
    <w:p w:rsidR="000319B6" w:rsidRDefault="005A295B">
      <w:pPr>
        <w:suppressAutoHyphens/>
        <w:ind w:left="720"/>
        <w:rPr>
          <w:sz w:val="24"/>
          <w:szCs w:val="24"/>
        </w:rPr>
      </w:pPr>
      <w:r>
        <w:rPr>
          <w:sz w:val="24"/>
          <w:szCs w:val="24"/>
        </w:rPr>
        <w:lastRenderedPageBreak/>
        <w:t xml:space="preserve">Legal review:  684 filings x 14 hours/filing x $67.88/hour     =       $650,018.88 </w:t>
      </w:r>
    </w:p>
    <w:p w:rsidR="000319B6" w:rsidRDefault="005A295B">
      <w:pPr>
        <w:ind w:firstLine="720"/>
        <w:rPr>
          <w:sz w:val="24"/>
          <w:szCs w:val="24"/>
        </w:rPr>
      </w:pPr>
      <w:r>
        <w:rPr>
          <w:sz w:val="24"/>
          <w:szCs w:val="24"/>
        </w:rPr>
        <w:t xml:space="preserve">Paralegal review:  684 filings x 4.3 hours/filing x $41.07/hour =    $120,795.08 </w:t>
      </w:r>
    </w:p>
    <w:p w:rsidR="000319B6" w:rsidRDefault="005A295B">
      <w:pPr>
        <w:suppressAutoHyphens/>
        <w:ind w:left="720"/>
        <w:rPr>
          <w:sz w:val="24"/>
          <w:szCs w:val="24"/>
          <w:u w:val="single"/>
        </w:rPr>
      </w:pPr>
      <w:r>
        <w:rPr>
          <w:sz w:val="24"/>
          <w:szCs w:val="24"/>
        </w:rPr>
        <w:t xml:space="preserve">Admin. review:  684 filings x 2 hours/filing x $18.69/hour    =    </w:t>
      </w:r>
      <w:r>
        <w:rPr>
          <w:sz w:val="24"/>
          <w:szCs w:val="24"/>
          <w:u w:val="single"/>
        </w:rPr>
        <w:t xml:space="preserve">   $  25,567.92 </w:t>
      </w:r>
    </w:p>
    <w:p w:rsidR="000319B6" w:rsidRDefault="005A295B">
      <w:pPr>
        <w:suppressAutoHyphens/>
        <w:ind w:left="720"/>
        <w:rPr>
          <w:sz w:val="24"/>
          <w:szCs w:val="24"/>
        </w:rPr>
      </w:pPr>
      <w:r>
        <w:rPr>
          <w:sz w:val="24"/>
          <w:szCs w:val="24"/>
        </w:rPr>
        <w:t xml:space="preserve">                           </w:t>
      </w:r>
      <w:r>
        <w:rPr>
          <w:rFonts w:ascii="Times New Roman Bold"/>
          <w:sz w:val="24"/>
          <w:szCs w:val="24"/>
        </w:rPr>
        <w:t xml:space="preserve">Total Cost to the Federal Government:             $796,381.88 </w:t>
      </w:r>
    </w:p>
    <w:p w:rsidR="000319B6" w:rsidRDefault="005A295B">
      <w:pPr>
        <w:rPr>
          <w:rFonts w:ascii="Times New Roman Bold" w:eastAsia="Times New Roman Bold" w:hAnsi="Times New Roman Bold" w:cs="Times New Roman Bold"/>
          <w:sz w:val="24"/>
          <w:szCs w:val="24"/>
        </w:rPr>
      </w:pPr>
      <w:r>
        <w:rPr>
          <w:rFonts w:ascii="Times New Roman Bold"/>
          <w:sz w:val="24"/>
          <w:szCs w:val="24"/>
        </w:rPr>
        <w:t xml:space="preserve">                         </w:t>
      </w:r>
    </w:p>
    <w:p w:rsidR="000319B6" w:rsidRDefault="005A295B">
      <w:pPr>
        <w:pStyle w:val="Numberedparagraphs"/>
        <w:tabs>
          <w:tab w:val="clear" w:pos="360"/>
        </w:tabs>
      </w:pPr>
      <w:r>
        <w:t>15.  There are no program changes or adjustments</w:t>
      </w:r>
      <w:r w:rsidR="005A524A">
        <w:t xml:space="preserve"> to this information collection</w:t>
      </w:r>
      <w:r>
        <w:t>.</w:t>
      </w:r>
    </w:p>
    <w:p w:rsidR="000319B6" w:rsidRDefault="005A295B">
      <w:pPr>
        <w:pStyle w:val="BodyText2"/>
      </w:pPr>
      <w:r>
        <w:t>16.  The data will not be published for statistical use.</w:t>
      </w:r>
    </w:p>
    <w:p w:rsidR="000319B6" w:rsidRDefault="000319B6">
      <w:pPr>
        <w:pStyle w:val="BodyText2"/>
      </w:pPr>
    </w:p>
    <w:p w:rsidR="000319B6" w:rsidRDefault="005A295B">
      <w:pPr>
        <w:pStyle w:val="BodyText2"/>
      </w:pPr>
      <w:r>
        <w:t>17.  The Commission does not seek approval to not display the expiration date for this collection of information.</w:t>
      </w:r>
    </w:p>
    <w:p w:rsidR="000319B6" w:rsidRDefault="000319B6">
      <w:pPr>
        <w:suppressAutoHyphens/>
        <w:rPr>
          <w:sz w:val="24"/>
          <w:szCs w:val="24"/>
        </w:rPr>
      </w:pPr>
    </w:p>
    <w:p w:rsidR="000319B6" w:rsidRDefault="005A295B">
      <w:pPr>
        <w:suppressAutoHyphens/>
        <w:rPr>
          <w:sz w:val="24"/>
          <w:szCs w:val="24"/>
          <w:shd w:val="clear" w:color="auto" w:fill="FFFFFF"/>
        </w:rPr>
      </w:pPr>
      <w:r>
        <w:rPr>
          <w:sz w:val="24"/>
          <w:szCs w:val="24"/>
        </w:rPr>
        <w:t xml:space="preserve">18. </w:t>
      </w:r>
      <w:r>
        <w:rPr>
          <w:sz w:val="24"/>
          <w:szCs w:val="24"/>
          <w:shd w:val="clear" w:color="auto" w:fill="FFFFFF"/>
        </w:rPr>
        <w:t>There are no exceptions to the Certification Statement.</w:t>
      </w:r>
    </w:p>
    <w:p w:rsidR="000319B6" w:rsidRDefault="000319B6">
      <w:pPr>
        <w:suppressAutoHyphens/>
        <w:ind w:left="360" w:hanging="360"/>
        <w:rPr>
          <w:sz w:val="22"/>
          <w:szCs w:val="22"/>
          <w:shd w:val="clear" w:color="auto" w:fill="FFFFFF"/>
        </w:rPr>
      </w:pPr>
    </w:p>
    <w:p w:rsidR="000319B6" w:rsidRDefault="005A295B">
      <w:pPr>
        <w:suppressAutoHyphens/>
        <w:rPr>
          <w:rFonts w:ascii="Times New Roman Bold" w:eastAsia="Times New Roman Bold" w:hAnsi="Times New Roman Bold" w:cs="Times New Roman Bold"/>
          <w:sz w:val="24"/>
          <w:szCs w:val="24"/>
        </w:rPr>
      </w:pPr>
      <w:r>
        <w:rPr>
          <w:rFonts w:ascii="Times New Roman Bold"/>
          <w:sz w:val="24"/>
          <w:szCs w:val="24"/>
        </w:rPr>
        <w:t>B.  Collections of Information Employing Statistical Methods:</w:t>
      </w:r>
    </w:p>
    <w:p w:rsidR="000319B6" w:rsidRDefault="000319B6">
      <w:pPr>
        <w:suppressAutoHyphens/>
        <w:rPr>
          <w:rFonts w:ascii="Times New Roman Bold" w:eastAsia="Times New Roman Bold" w:hAnsi="Times New Roman Bold" w:cs="Times New Roman Bold"/>
          <w:sz w:val="24"/>
          <w:szCs w:val="24"/>
        </w:rPr>
      </w:pPr>
    </w:p>
    <w:p w:rsidR="000319B6" w:rsidRDefault="005A295B">
      <w:pPr>
        <w:pStyle w:val="BodyText2"/>
      </w:pPr>
      <w:r>
        <w:t>No statistical methods are employed.</w:t>
      </w:r>
    </w:p>
    <w:sectPr w:rsidR="000319B6">
      <w:headerReference w:type="default" r:id="rId10"/>
      <w:footerReference w:type="default" r:id="rId11"/>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7B" w:rsidRDefault="00751B7B">
      <w:r>
        <w:separator/>
      </w:r>
    </w:p>
  </w:endnote>
  <w:endnote w:type="continuationSeparator" w:id="0">
    <w:p w:rsidR="00751B7B" w:rsidRDefault="0075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9B6" w:rsidRDefault="005A295B">
    <w:pPr>
      <w:pStyle w:val="Footer"/>
      <w:jc w:val="center"/>
    </w:pPr>
    <w:r>
      <w:fldChar w:fldCharType="begin"/>
    </w:r>
    <w:r>
      <w:instrText xml:space="preserve"> PAGE </w:instrText>
    </w:r>
    <w:r>
      <w:fldChar w:fldCharType="separate"/>
    </w:r>
    <w:r w:rsidR="007A117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7B" w:rsidRDefault="00751B7B">
      <w:r>
        <w:separator/>
      </w:r>
    </w:p>
  </w:footnote>
  <w:footnote w:type="continuationSeparator" w:id="0">
    <w:p w:rsidR="00751B7B" w:rsidRDefault="00751B7B">
      <w:r>
        <w:continuationSeparator/>
      </w:r>
    </w:p>
  </w:footnote>
  <w:footnote w:type="continuationNotice" w:id="1">
    <w:p w:rsidR="00751B7B" w:rsidRDefault="00751B7B"/>
  </w:footnote>
  <w:footnote w:id="2">
    <w:p w:rsidR="000319B6" w:rsidRDefault="005A295B">
      <w:pPr>
        <w:pStyle w:val="FootnoteText"/>
      </w:pPr>
      <w:r>
        <w:rPr>
          <w:sz w:val="24"/>
          <w:szCs w:val="24"/>
          <w:vertAlign w:val="superscript"/>
        </w:rPr>
        <w:footnoteRef/>
      </w:r>
      <w:r>
        <w:rPr>
          <w:rFonts w:eastAsia="Arial Unicode MS" w:hAnsi="Arial Unicode MS" w:cs="Arial Unicode MS"/>
        </w:rPr>
        <w:t xml:space="preserve"> A pleading is a formal written document that contains the factual and legal allegations of a party.</w:t>
      </w:r>
    </w:p>
  </w:footnote>
  <w:footnote w:id="3">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76.61(a)(3)(i)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the specific items that should be contained in the complaint.</w:t>
      </w:r>
    </w:p>
  </w:footnote>
  <w:footnote w:id="4">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76.61(b)(1)(i)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 for the specific items that should be contained in the complaint.</w:t>
      </w:r>
    </w:p>
  </w:footnote>
  <w:footnote w:id="5">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(8) for the specific complaint content requirements. </w:t>
      </w:r>
    </w:p>
  </w:footnote>
  <w:footnote w:id="6">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76.1003(d)(2)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specific items to be filed with the complaint for recovery of damages. </w:t>
      </w:r>
    </w:p>
  </w:footnote>
  <w:footnote w:id="7">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76.1003(e)(3)(i)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specific requirements pertaining to answering a discrimination complaint.</w:t>
      </w:r>
    </w:p>
  </w:footnote>
  <w:footnote w:id="8">
    <w:p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specify the events that trigger the one-year period for filing the complaint.</w:t>
      </w:r>
    </w:p>
  </w:footnote>
  <w:footnote w:id="9">
    <w:p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76.1003(h)(3)(ii) states that the complainant must demonstrate with specificity the damages arising from the program access violation.  Also, 47 CFR Section 76.1003(h)(3)(iii)(B)(1)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specifies what should be submitted to the Commission within thirty days from the issuance of the damage methodology order.</w:t>
      </w:r>
    </w:p>
  </w:footnote>
  <w:footnote w:id="10">
    <w:p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requirements in its petition as outlined in 47 CFR Section 76.1003(l)(1)(i)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1">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specific content requirements for carriage agreement complaints.</w:t>
      </w:r>
    </w:p>
  </w:footnote>
  <w:footnote w:id="12">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76.1302(h)(1)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the three events.  </w:t>
      </w:r>
    </w:p>
  </w:footnote>
  <w:footnote w:id="13">
    <w:p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in its petition the requirements as outlined in 47 CFR Section 76.1302(k)(1)(i)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4">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76.1513(d)(1)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 for specific requirements pertaining to the complaints.</w:t>
      </w:r>
    </w:p>
  </w:footnote>
  <w:footnote w:id="15">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76.1513(e)(1)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(2) for specific requirements pertaining to the open video system complaints.</w:t>
      </w:r>
    </w:p>
  </w:footnote>
  <w:footnote w:id="16">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three events.</w:t>
      </w:r>
    </w:p>
  </w:footnote>
  <w:footnote w:id="17">
    <w:p w:rsidR="000319B6" w:rsidRDefault="005A295B">
      <w:pPr>
        <w:pStyle w:val="FootnoteText"/>
      </w:pPr>
      <w:r>
        <w:rPr>
          <w:sz w:val="24"/>
          <w:szCs w:val="24"/>
          <w:vertAlign w:val="superscript"/>
        </w:rPr>
        <w:footnoteRef/>
      </w:r>
      <w:r>
        <w:rPr>
          <w:rFonts w:eastAsia="Arial Unicode MS" w:hAnsi="Arial Unicode MS" w:cs="Arial Unicode MS"/>
        </w:rPr>
        <w:t xml:space="preserve"> The </w:t>
      </w:r>
      <w:r>
        <w:rPr>
          <w:rFonts w:eastAsia="Arial Unicode MS" w:hAnsi="Arial Unicode MS" w:cs="Arial Unicode MS"/>
          <w:i/>
          <w:iCs/>
        </w:rPr>
        <w:t>NPRM</w:t>
      </w:r>
      <w:r>
        <w:rPr>
          <w:rFonts w:eastAsia="Arial Unicode MS" w:hAnsi="Arial Unicode MS" w:cs="Arial Unicode MS"/>
        </w:rPr>
        <w:t xml:space="preserve"> implemented the Satellite Home Viewer Extension and Reauthorization Act (SHVERA), which establishes for satellite carriers and subscribers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which has applied in the cable context for more than 30 years.  The concept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signals is used to differentiate between out-of-market television broadcast stations that have significant over-the-air non-cable viewing and those that do not.   The designation of </w:t>
      </w:r>
      <w:r>
        <w:rPr>
          <w:rFonts w:ascii="Arial Unicode MS" w:eastAsia="Arial Unicode MS" w:cs="Arial Unicode MS"/>
        </w:rPr>
        <w:t>“</w:t>
      </w:r>
      <w:r>
        <w:rPr>
          <w:rFonts w:eastAsia="Arial Unicode MS" w:hAnsi="Arial Unicode MS" w:cs="Arial Unicode MS"/>
        </w:rPr>
        <w:t>significantly viewed</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status is important because it will enable a broadcast station assigned to one market to be treated as a </w:t>
      </w:r>
      <w:r>
        <w:rPr>
          <w:rFonts w:ascii="Arial Unicode MS" w:eastAsia="Arial Unicode MS" w:cs="Arial Unicode MS"/>
        </w:rPr>
        <w:t>“</w:t>
      </w:r>
      <w:r>
        <w:rPr>
          <w:rFonts w:eastAsia="Arial Unicode MS" w:hAnsi="Arial Unicode MS" w:cs="Arial Unicode MS"/>
        </w:rPr>
        <w:t>local</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station with respect to a particular cable or satellite community in another market, and thus enable its cable or satellite carriage into that market.</w:t>
      </w:r>
    </w:p>
  </w:footnote>
  <w:footnote w:id="18">
    <w:p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w:t>
      </w:r>
      <w:r>
        <w:rPr>
          <w:rFonts w:eastAsia="Arial Unicode MS" w:hAnsi="Arial Unicode MS" w:cs="Arial Unicode MS"/>
          <w:i/>
          <w:iCs/>
        </w:rPr>
        <w:t>1998 Biennial Regulatory Review: Part 76 - Cable Television Service Pleading and Complaint Rules</w:t>
      </w:r>
      <w:r>
        <w:rPr>
          <w:rFonts w:eastAsia="Arial Unicode MS" w:hAnsi="Arial Unicode MS" w:cs="Arial Unicode MS"/>
        </w:rPr>
        <w:t>, 14 FCC Rcd 418 (1999).</w:t>
      </w:r>
    </w:p>
  </w:footnote>
  <w:footnote w:id="19">
    <w:p w:rsidR="000319B6" w:rsidRDefault="005A295B">
      <w:pPr>
        <w:pStyle w:val="FootnoteText"/>
      </w:pPr>
      <w:r>
        <w:rPr>
          <w:sz w:val="24"/>
          <w:szCs w:val="24"/>
          <w:vertAlign w:val="superscript"/>
        </w:rPr>
        <w:footnoteRef/>
      </w:r>
      <w:r>
        <w:rPr>
          <w:rFonts w:eastAsia="Arial Unicode MS" w:hAnsi="Arial Unicode MS" w:cs="Arial Unicode MS"/>
        </w:rPr>
        <w:t xml:space="preserve"> Attorneys are expected to take 30.8 hours to complete tasks.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DB" w:rsidRDefault="005A295B" w:rsidP="003B59DB">
    <w:pPr>
      <w:pStyle w:val="Heading1"/>
      <w:rPr>
        <w:sz w:val="22"/>
        <w:szCs w:val="22"/>
      </w:rPr>
    </w:pPr>
    <w:r>
      <w:rPr>
        <w:sz w:val="22"/>
        <w:szCs w:val="22"/>
      </w:rPr>
      <w:t>OMB 3060-0888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B59DB">
      <w:rPr>
        <w:sz w:val="22"/>
        <w:szCs w:val="22"/>
      </w:rPr>
      <w:t>November 2014</w:t>
    </w:r>
  </w:p>
  <w:p w:rsidR="000319B6" w:rsidRDefault="005A295B" w:rsidP="003B59DB">
    <w:pPr>
      <w:pStyle w:val="Heading1"/>
      <w:rPr>
        <w:rFonts w:eastAsia="Times New Roman Bold" w:hAnsi="Times New Roman Bold" w:cs="Times New Roman Bold"/>
        <w:sz w:val="22"/>
        <w:szCs w:val="22"/>
      </w:rPr>
    </w:pPr>
    <w:r>
      <w:rPr>
        <w:sz w:val="22"/>
        <w:szCs w:val="22"/>
      </w:rPr>
      <w:t>Title: Section 1.221, Notice of hearing; appearances; Section 1.229 Motions to enlarge, change, or delete issues; Section 1.248 Prehearing conferences; hearing conferences; Section 76.7, Petition Procedures; Section 76.9, Confidentiality of Proprietary Information; Section 76.61, Dispute Concerning Carriage; Section 76.914, Revocation of Certification; Section 76.1001, Unfair Practices; Section 76.1003, Program Access Proceedings; Section 76.1302, Carriage Agreement Proceedings; Section 76.1513, Open Video Dispute Resolution</w:t>
    </w:r>
  </w:p>
  <w:p w:rsidR="000319B6" w:rsidRDefault="005A295B">
    <w:pPr>
      <w:pStyle w:val="Heading1"/>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0319B6"/>
    <w:rsid w:val="000319B6"/>
    <w:rsid w:val="0039732C"/>
    <w:rsid w:val="003B59DB"/>
    <w:rsid w:val="004723C7"/>
    <w:rsid w:val="005A295B"/>
    <w:rsid w:val="005A524A"/>
    <w:rsid w:val="00751B7B"/>
    <w:rsid w:val="007A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u w:color="000000"/>
    </w:rPr>
  </w:style>
  <w:style w:type="paragraph" w:styleId="Heading1">
    <w:name w:val="heading 1"/>
    <w:next w:val="Normal"/>
    <w:pPr>
      <w:keepNext/>
      <w:suppressAutoHyphens/>
      <w:outlineLvl w:val="0"/>
    </w:pPr>
    <w:rPr>
      <w:rFonts w:ascii="Times New Roman Bold" w:hAnsi="Arial Unicode MS" w:cs="Arial Unicode MS"/>
      <w:color w:val="000000"/>
      <w:sz w:val="24"/>
      <w:szCs w:val="24"/>
      <w:u w:color="000000"/>
    </w:rPr>
  </w:style>
  <w:style w:type="paragraph" w:styleId="Heading2">
    <w:name w:val="heading 2"/>
    <w:next w:val="Normal"/>
    <w:pPr>
      <w:keepNext/>
      <w:jc w:val="center"/>
      <w:outlineLvl w:val="1"/>
    </w:pPr>
    <w:rPr>
      <w:rFonts w:ascii="Times New Roman Bold" w:hAnsi="Arial Unicode MS" w:cs="Arial Unicode MS"/>
      <w:color w:val="000000"/>
      <w:sz w:val="24"/>
      <w:szCs w:val="24"/>
      <w:u w:color="000000"/>
    </w:rPr>
  </w:style>
  <w:style w:type="paragraph" w:styleId="Heading3">
    <w:name w:val="heading 3"/>
    <w:next w:val="Normal"/>
    <w:pPr>
      <w:keepNext/>
      <w:suppressAutoHyphens/>
      <w:outlineLvl w:val="2"/>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eastAsia="Times New Roman"/>
      <w:color w:val="000000"/>
      <w:u w:color="000000"/>
    </w:r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rPr>
      <w:rFonts w:eastAsia="Times New Roman"/>
      <w:color w:val="000000"/>
      <w:u w:color="000000"/>
    </w:rPr>
  </w:style>
  <w:style w:type="character" w:styleId="PageNumber">
    <w:name w:val="page number"/>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uiPriority w:val="99"/>
    <w:unhideWhenUsed/>
    <w:rsid w:val="003B59DB"/>
    <w:pPr>
      <w:tabs>
        <w:tab w:val="center" w:pos="4680"/>
        <w:tab w:val="right" w:pos="9360"/>
      </w:tabs>
    </w:pPr>
  </w:style>
  <w:style w:type="character" w:customStyle="1" w:styleId="HeaderChar">
    <w:name w:val="Header Char"/>
    <w:basedOn w:val="DefaultParagraphFont"/>
    <w:link w:val="Header"/>
    <w:uiPriority w:val="99"/>
    <w:rsid w:val="003B59DB"/>
    <w:rPr>
      <w:rFonts w:hAnsi="Arial Unicode MS" w:cs="Arial Unicode MS"/>
      <w:color w:val="000000"/>
      <w:u w:color="000000"/>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u w:color="000000"/>
    </w:rPr>
  </w:style>
  <w:style w:type="paragraph" w:styleId="Heading1">
    <w:name w:val="heading 1"/>
    <w:next w:val="Normal"/>
    <w:pPr>
      <w:keepNext/>
      <w:suppressAutoHyphens/>
      <w:outlineLvl w:val="0"/>
    </w:pPr>
    <w:rPr>
      <w:rFonts w:ascii="Times New Roman Bold" w:hAnsi="Arial Unicode MS" w:cs="Arial Unicode MS"/>
      <w:color w:val="000000"/>
      <w:sz w:val="24"/>
      <w:szCs w:val="24"/>
      <w:u w:color="000000"/>
    </w:rPr>
  </w:style>
  <w:style w:type="paragraph" w:styleId="Heading2">
    <w:name w:val="heading 2"/>
    <w:next w:val="Normal"/>
    <w:pPr>
      <w:keepNext/>
      <w:jc w:val="center"/>
      <w:outlineLvl w:val="1"/>
    </w:pPr>
    <w:rPr>
      <w:rFonts w:ascii="Times New Roman Bold" w:hAnsi="Arial Unicode MS" w:cs="Arial Unicode MS"/>
      <w:color w:val="000000"/>
      <w:sz w:val="24"/>
      <w:szCs w:val="24"/>
      <w:u w:color="000000"/>
    </w:rPr>
  </w:style>
  <w:style w:type="paragraph" w:styleId="Heading3">
    <w:name w:val="heading 3"/>
    <w:next w:val="Normal"/>
    <w:pPr>
      <w:keepNext/>
      <w:suppressAutoHyphens/>
      <w:outlineLvl w:val="2"/>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eastAsia="Times New Roman"/>
      <w:color w:val="000000"/>
      <w:u w:color="000000"/>
    </w:r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rPr>
      <w:rFonts w:eastAsia="Times New Roman"/>
      <w:color w:val="000000"/>
      <w:u w:color="000000"/>
    </w:rPr>
  </w:style>
  <w:style w:type="character" w:styleId="PageNumber">
    <w:name w:val="page number"/>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uiPriority w:val="99"/>
    <w:unhideWhenUsed/>
    <w:rsid w:val="003B59DB"/>
    <w:pPr>
      <w:tabs>
        <w:tab w:val="center" w:pos="4680"/>
        <w:tab w:val="right" w:pos="9360"/>
      </w:tabs>
    </w:pPr>
  </w:style>
  <w:style w:type="character" w:customStyle="1" w:styleId="HeaderChar">
    <w:name w:val="Header Char"/>
    <w:basedOn w:val="DefaultParagraphFont"/>
    <w:link w:val="Header"/>
    <w:uiPriority w:val="99"/>
    <w:rsid w:val="003B59DB"/>
    <w:rPr>
      <w:rFonts w:hAnsi="Arial Unicode MS" w:cs="Arial Unicode MS"/>
      <w:color w:val="000000"/>
      <w:u w:color="000000"/>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2.westlaw.com/find/default.wl?tf=-1&amp;rs=wlw10.02&amp;fn=_top&amp;sv=split&amp;docname=47cfrs76.1301&amp;tc=-1&amp;pbc=323a1224&amp;ordoc=7083998&amp;findtype=vp&amp;db=1000547&amp;vr=2.0&amp;rp=%252ffind%252fdefault.wl&amp;mt=westlaw"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4</cp:revision>
  <dcterms:created xsi:type="dcterms:W3CDTF">2014-09-09T15:53:00Z</dcterms:created>
  <dcterms:modified xsi:type="dcterms:W3CDTF">2014-09-16T12:06:00Z</dcterms:modified>
</cp:coreProperties>
</file>