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A0" w:rsidRDefault="00C952A0">
      <w:pPr>
        <w:pStyle w:val="Title"/>
        <w:rPr>
          <w:rFonts w:ascii="Times New Roman" w:hAnsi="Times New Roman"/>
          <w:sz w:val="24"/>
          <w:szCs w:val="24"/>
        </w:rPr>
      </w:pPr>
    </w:p>
    <w:p w:rsidR="00C952A0" w:rsidRDefault="00BD05D7">
      <w:pPr>
        <w:pStyle w:val="Title"/>
        <w:rPr>
          <w:rFonts w:ascii="Times New Roman" w:hAnsi="Times New Roman"/>
          <w:sz w:val="24"/>
          <w:szCs w:val="24"/>
        </w:rPr>
      </w:pPr>
      <w:r>
        <w:rPr>
          <w:rFonts w:ascii="Times New Roman" w:hAnsi="Times New Roman"/>
          <w:sz w:val="24"/>
          <w:szCs w:val="24"/>
        </w:rPr>
        <w:tab/>
        <w:t>SUPPORTING STATEMENT</w:t>
      </w:r>
    </w:p>
    <w:p w:rsidR="00C952A0" w:rsidRDefault="00BD05D7">
      <w:pPr>
        <w:pStyle w:val="Title"/>
        <w:rPr>
          <w:rFonts w:ascii="Times New Roman" w:hAnsi="Times New Roman"/>
          <w:sz w:val="24"/>
          <w:szCs w:val="24"/>
        </w:rPr>
      </w:pPr>
      <w:r>
        <w:rPr>
          <w:rFonts w:ascii="Times New Roman" w:hAnsi="Times New Roman"/>
          <w:sz w:val="24"/>
          <w:szCs w:val="24"/>
        </w:rPr>
        <w:tab/>
        <w:t>FOR PAPERWORK REDUCTION ACT SUBMISSION</w:t>
      </w:r>
    </w:p>
    <w:bookmarkStart w:id="0" w:name="Text1"/>
    <w:p w:rsidR="00C952A0" w:rsidRDefault="00BD05D7">
      <w:pPr>
        <w:suppressAutoHyphens/>
        <w:jc w:val="center"/>
        <w:rPr>
          <w:rFonts w:ascii="Times New Roman" w:hAnsi="Times New Roman"/>
          <w:b/>
          <w:szCs w:val="24"/>
        </w:rPr>
      </w:pPr>
      <w:r>
        <w:rPr>
          <w:rFonts w:ascii="Times New Roman" w:hAnsi="Times New Roman"/>
          <w:b/>
          <w:szCs w:val="24"/>
        </w:rPr>
        <w:fldChar w:fldCharType="begin">
          <w:ffData>
            <w:name w:val="Text1"/>
            <w:enabled/>
            <w:calcOnExit w:val="0"/>
            <w:helpText w:type="text" w:val="Enter Title"/>
            <w:statusText w:type="text" w:val="Enter Title"/>
            <w:textInput/>
          </w:ffData>
        </w:fldChar>
      </w:r>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0"/>
    </w:p>
    <w:p w:rsidR="00C952A0" w:rsidRDefault="00C952A0">
      <w:pPr>
        <w:tabs>
          <w:tab w:val="left" w:pos="0"/>
        </w:tabs>
        <w:suppressAutoHyphens/>
        <w:rPr>
          <w:rFonts w:ascii="Times New Roman" w:hAnsi="Times New Roman"/>
          <w:b/>
          <w:szCs w:val="24"/>
        </w:rPr>
      </w:pPr>
    </w:p>
    <w:p w:rsidR="00C952A0" w:rsidRDefault="00BD05D7">
      <w:pPr>
        <w:tabs>
          <w:tab w:val="left" w:pos="0"/>
        </w:tabs>
        <w:suppressAutoHyphens/>
        <w:rPr>
          <w:rFonts w:ascii="Times New Roman" w:hAnsi="Times New Roman"/>
          <w:szCs w:val="24"/>
        </w:rPr>
      </w:pPr>
      <w:r>
        <w:rPr>
          <w:rFonts w:ascii="Times New Roman" w:hAnsi="Times New Roman"/>
          <w:b/>
          <w:szCs w:val="24"/>
        </w:rPr>
        <w:t xml:space="preserve">A. Justification </w:t>
      </w:r>
    </w:p>
    <w:p w:rsidR="00C952A0" w:rsidRDefault="00C952A0">
      <w:pPr>
        <w:tabs>
          <w:tab w:val="left" w:pos="0"/>
        </w:tabs>
        <w:suppressAutoHyphens/>
        <w:rPr>
          <w:rFonts w:ascii="Times New Roman" w:hAnsi="Times New Roman"/>
          <w:szCs w:val="24"/>
        </w:rPr>
      </w:pPr>
    </w:p>
    <w:p w:rsidR="00C952A0" w:rsidRDefault="00BD05D7">
      <w:pPr>
        <w:tabs>
          <w:tab w:val="left" w:pos="0"/>
        </w:tabs>
        <w:suppressAutoHyphens/>
        <w:rPr>
          <w:rFonts w:ascii="Times New Roman" w:hAnsi="Times New Roman"/>
          <w:szCs w:val="24"/>
        </w:rPr>
      </w:pPr>
      <w:r>
        <w:rPr>
          <w:rFonts w:ascii="Times New Roman" w:hAnsi="Times New Roman"/>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Pr>
          <w:rStyle w:val="FootnoteReference"/>
          <w:szCs w:val="24"/>
        </w:rPr>
        <w:footnoteReference w:id="1"/>
      </w:r>
      <w:r>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C952A0" w:rsidRDefault="00C952A0">
      <w:pPr>
        <w:tabs>
          <w:tab w:val="left" w:pos="0"/>
        </w:tabs>
        <w:suppressAutoHyphens/>
        <w:rPr>
          <w:rFonts w:ascii="Times New Roman" w:hAnsi="Times New Roman"/>
          <w:szCs w:val="24"/>
        </w:rPr>
      </w:pPr>
    </w:p>
    <w:p w:rsidR="00C952A0" w:rsidRDefault="00BD05D7">
      <w:pPr>
        <w:tabs>
          <w:tab w:val="left" w:pos="0"/>
        </w:tabs>
        <w:suppressAutoHyphens/>
        <w:ind w:left="720"/>
        <w:rPr>
          <w:rFonts w:ascii="Times New Roman" w:hAnsi="Times New Roman"/>
          <w:color w:val="000000"/>
          <w:szCs w:val="24"/>
        </w:rPr>
      </w:pPr>
      <w:r>
        <w:rPr>
          <w:rFonts w:ascii="Times New Roman" w:hAnsi="Times New Roman"/>
          <w:color w:val="000000"/>
          <w:szCs w:val="24"/>
        </w:rPr>
        <w:t xml:space="preserve">The Office of Postsecondary Education (OPE) is seeking a new Office of Management and Budget (OMB) control number for the Campus Safety and Security Survey.  The collection of information through the Campus Safety and Security Survey is necessary pursuant to §485 of the Higher Education Act of 1965, as amended (HEA), with the goal of increasing transparency of college safety and security information for consumers.  This collection is prompted by the changes made by the Violence </w:t>
      </w:r>
      <w:proofErr w:type="gramStart"/>
      <w:r>
        <w:rPr>
          <w:rFonts w:ascii="Times New Roman" w:hAnsi="Times New Roman"/>
          <w:color w:val="000000"/>
          <w:szCs w:val="24"/>
        </w:rPr>
        <w:t>Against</w:t>
      </w:r>
      <w:proofErr w:type="gramEnd"/>
      <w:r>
        <w:rPr>
          <w:rFonts w:ascii="Times New Roman" w:hAnsi="Times New Roman"/>
          <w:color w:val="000000"/>
          <w:szCs w:val="24"/>
        </w:rPr>
        <w:t xml:space="preserve"> Women Reauthorization Act of 2013 (VAWA) (Pub. L. 113.4) , that, among other provisions, amended §485(f) of the HEA also known as the Jeanne Clery Disclosure  of Campus Security Policy and Campus Crime Statistics Act (Clery Act).  Changes to the regulations in 34 CFR 668.46 were a result of negotiated rulemaking.  This submission is for the 2015-16, 2016-17, and 2017-18 collection years.</w:t>
      </w:r>
    </w:p>
    <w:p w:rsidR="00C952A0" w:rsidRDefault="00C952A0">
      <w:pPr>
        <w:tabs>
          <w:tab w:val="left" w:pos="0"/>
        </w:tabs>
        <w:suppressAutoHyphens/>
        <w:rPr>
          <w:rFonts w:ascii="Times New Roman" w:hAnsi="Times New Roman"/>
          <w:color w:val="000000"/>
          <w:szCs w:val="24"/>
        </w:rPr>
      </w:pPr>
    </w:p>
    <w:p w:rsidR="00C952A0" w:rsidRDefault="00BD05D7">
      <w:pPr>
        <w:ind w:left="720"/>
        <w:rPr>
          <w:rFonts w:ascii="Times New Roman" w:hAnsi="Times New Roman"/>
          <w:szCs w:val="24"/>
        </w:rPr>
      </w:pPr>
      <w:r>
        <w:rPr>
          <w:rFonts w:ascii="Times New Roman" w:hAnsi="Times New Roman"/>
          <w:color w:val="000000"/>
          <w:szCs w:val="24"/>
        </w:rPr>
        <w:t>Section 485 of the HEA</w:t>
      </w:r>
      <w:r>
        <w:rPr>
          <w:rFonts w:ascii="Times New Roman" w:hAnsi="Times New Roman"/>
          <w:szCs w:val="24"/>
        </w:rPr>
        <w:t xml:space="preserve"> includes provisions designed to improve transparency in campus safety and security data for consumers.  In response to these provisions, the Department of Education (ED) created the Web-based Campus Safety and Security Survey (</w:t>
      </w:r>
      <w:hyperlink r:id="rId12" w:history="1">
        <w:r>
          <w:rPr>
            <w:rStyle w:val="Hyperlink"/>
            <w:rFonts w:ascii="Times New Roman" w:hAnsi="Times New Roman"/>
            <w:szCs w:val="24"/>
          </w:rPr>
          <w:t>https://surveys.ope.ed.gov/security/</w:t>
        </w:r>
      </w:hyperlink>
      <w:r>
        <w:rPr>
          <w:rFonts w:ascii="Times New Roman" w:hAnsi="Times New Roman"/>
          <w:szCs w:val="24"/>
        </w:rPr>
        <w:t>) to collect data regarding campus safety and security and fire safety statistics by October 15th of each year.  The data is then made available to the public on the Campus Safety and Security Data Analysis and Cutting Tool (</w:t>
      </w:r>
      <w:hyperlink r:id="rId13" w:history="1">
        <w:r>
          <w:rPr>
            <w:rStyle w:val="Hyperlink"/>
            <w:rFonts w:ascii="Times New Roman" w:hAnsi="Times New Roman"/>
            <w:szCs w:val="24"/>
          </w:rPr>
          <w:t>http://ope.ed.gov/security/</w:t>
        </w:r>
      </w:hyperlink>
      <w:r>
        <w:rPr>
          <w:rFonts w:ascii="Times New Roman" w:hAnsi="Times New Roman"/>
          <w:szCs w:val="24"/>
        </w:rPr>
        <w:t xml:space="preserve">) and on College Navigator.  This request is to collect campus crime data from institutions using the </w:t>
      </w:r>
      <w:r>
        <w:rPr>
          <w:rFonts w:ascii="Times New Roman" w:hAnsi="Times New Roman"/>
          <w:color w:val="000000"/>
          <w:szCs w:val="24"/>
        </w:rPr>
        <w:t>Campus Safety and Security Survey</w:t>
      </w:r>
      <w:r>
        <w:rPr>
          <w:rFonts w:ascii="Times New Roman" w:hAnsi="Times New Roman"/>
          <w:szCs w:val="24"/>
        </w:rPr>
        <w:t xml:space="preserve">. </w:t>
      </w:r>
    </w:p>
    <w:p w:rsidR="00C952A0" w:rsidRDefault="00C952A0">
      <w:pPr>
        <w:rPr>
          <w:rFonts w:ascii="Times New Roman" w:hAnsi="Times New Roman"/>
          <w:szCs w:val="24"/>
        </w:rPr>
      </w:pPr>
    </w:p>
    <w:p w:rsidR="00C952A0" w:rsidRDefault="00BD05D7">
      <w:pPr>
        <w:ind w:left="720"/>
        <w:rPr>
          <w:rFonts w:ascii="Times New Roman" w:hAnsi="Times New Roman"/>
          <w:szCs w:val="24"/>
        </w:rPr>
      </w:pPr>
      <w:r>
        <w:rPr>
          <w:rFonts w:ascii="Times New Roman" w:hAnsi="Times New Roman"/>
          <w:szCs w:val="24"/>
        </w:rPr>
        <w:t xml:space="preserve">The survey is a collection tool to compile annual data on campus crime and fire safety information.  Because institutions are already required by Section </w:t>
      </w:r>
      <w:r>
        <w:rPr>
          <w:rFonts w:ascii="Times New Roman" w:hAnsi="Times New Roman"/>
          <w:color w:val="000000"/>
          <w:szCs w:val="24"/>
        </w:rPr>
        <w:t>§</w:t>
      </w:r>
      <w:r>
        <w:rPr>
          <w:rFonts w:ascii="Times New Roman" w:hAnsi="Times New Roman"/>
          <w:szCs w:val="24"/>
        </w:rPr>
        <w:t>485 of the HEA to disclose most of this to ED in their annual security and fire safety reports, we estimate a minimal burden attached to the completion of the survey instrument.</w:t>
      </w:r>
    </w:p>
    <w:p w:rsidR="00C952A0" w:rsidRDefault="00BD05D7">
      <w:pPr>
        <w:pStyle w:val="NormalWeb"/>
        <w:ind w:left="720"/>
        <w:rPr>
          <w:rFonts w:ascii="Calibri" w:hAnsi="Calibri" w:cs="Calibri"/>
          <w:color w:val="000000"/>
        </w:rPr>
      </w:pPr>
      <w:r>
        <w:rPr>
          <w:color w:val="000000"/>
        </w:rPr>
        <w:lastRenderedPageBreak/>
        <w:t xml:space="preserve">There are several sections to the Web-based Campus Safety and Security Survey.  The first screen asks for general information of the individual who is completing the form on behalf of the institution.   The following screen asks for general information about the Chief Administrative Officer, Campus Safety Officer, Campus Fire Safety Officer, and Title IX Coordinator.   After the user completes these screens in the first collection year, the information will be prefilled for subsequent collections.  Next, the user completes the Screening Questions.   Based on the responses to the screening questions, the system will determine which data entry screens are relevant for the institution.   The user will only be prompted to complete the relevant screens, thereby reducing burden.  Next, the user will enter crime, arrest, and disciplinary action statistics that their institutions have collected through the year.   The final section of the survey asks institutions to provide information about each fire reported to have occurred within an on-campus student housing facility. </w:t>
      </w:r>
    </w:p>
    <w:p w:rsidR="00C952A0" w:rsidRDefault="00BD05D7">
      <w:pPr>
        <w:tabs>
          <w:tab w:val="left" w:pos="0"/>
        </w:tabs>
        <w:suppressAutoHyphens/>
        <w:ind w:left="720"/>
        <w:rPr>
          <w:rFonts w:ascii="Times New Roman" w:hAnsi="Times New Roman"/>
          <w:color w:val="000000"/>
          <w:szCs w:val="24"/>
        </w:rPr>
      </w:pPr>
      <w:r>
        <w:rPr>
          <w:rFonts w:ascii="Times New Roman" w:hAnsi="Times New Roman"/>
          <w:color w:val="000000"/>
          <w:szCs w:val="24"/>
        </w:rPr>
        <w:t xml:space="preserve">Section 485(f) of the HEA, which mandates the collection of campus safety and security information, requires ED to collect safety and security statistics from institutions participating in the federal student financial programs authorized by title IV of the HEA and to make  the statistics  available to the public.  Foreign institutions of higher education are exempt from this requirement.  Section 485(i) of the HEA requires ED to collect fire safety statistics from eligible institutions and make them available to the public. </w:t>
      </w:r>
    </w:p>
    <w:p w:rsidR="00C952A0" w:rsidRDefault="00C952A0">
      <w:pPr>
        <w:tabs>
          <w:tab w:val="left" w:pos="0"/>
        </w:tabs>
        <w:suppressAutoHyphens/>
        <w:rPr>
          <w:rFonts w:ascii="Times New Roman" w:hAnsi="Times New Roman"/>
          <w:szCs w:val="24"/>
        </w:rPr>
      </w:pPr>
    </w:p>
    <w:p w:rsidR="00C952A0" w:rsidRDefault="00C952A0">
      <w:pPr>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2.  Indicate how, by whom, and for what purpose the information is to be used.  Except for a new collection, indicate the actual use the agency has made of the information received from the current collection. </w:t>
      </w:r>
    </w:p>
    <w:p w:rsidR="00C952A0" w:rsidRDefault="00C952A0">
      <w:pPr>
        <w:tabs>
          <w:tab w:val="left" w:pos="-720"/>
        </w:tabs>
        <w:suppressAutoHyphens/>
        <w:rPr>
          <w:rFonts w:ascii="Times New Roman" w:hAnsi="Times New Roman"/>
          <w:szCs w:val="24"/>
        </w:rPr>
      </w:pPr>
    </w:p>
    <w:p w:rsidR="00C952A0" w:rsidRDefault="00BD05D7">
      <w:pPr>
        <w:autoSpaceDE w:val="0"/>
        <w:autoSpaceDN w:val="0"/>
        <w:adjustRightInd w:val="0"/>
        <w:rPr>
          <w:rFonts w:ascii="Times New Roman" w:eastAsia="Calibri" w:hAnsi="Times New Roman"/>
          <w:szCs w:val="24"/>
        </w:rPr>
      </w:pPr>
      <w:r>
        <w:rPr>
          <w:rFonts w:ascii="Times New Roman" w:eastAsia="Calibri" w:hAnsi="Times New Roman"/>
          <w:szCs w:val="24"/>
        </w:rPr>
        <w:t xml:space="preserve">  </w:t>
      </w:r>
    </w:p>
    <w:p w:rsidR="00C952A0" w:rsidRDefault="00BD05D7">
      <w:pPr>
        <w:pStyle w:val="CommentText"/>
        <w:ind w:left="720"/>
        <w:rPr>
          <w:rFonts w:ascii="Times New Roman" w:hAnsi="Times New Roman"/>
          <w:sz w:val="24"/>
          <w:szCs w:val="24"/>
        </w:rPr>
      </w:pPr>
      <w:r>
        <w:rPr>
          <w:rFonts w:ascii="Times New Roman" w:eastAsia="Calibri" w:hAnsi="Times New Roman"/>
          <w:sz w:val="24"/>
          <w:szCs w:val="24"/>
        </w:rPr>
        <w:t xml:space="preserve">The required information is collected using the Annual Security Report and reported to ED using the Campus Safety and Security Survey that is then posted to ED’s web page.  </w:t>
      </w:r>
      <w:hyperlink r:id="rId14" w:history="1">
        <w:r>
          <w:rPr>
            <w:rStyle w:val="Hyperlink"/>
            <w:rFonts w:ascii="Times New Roman" w:eastAsia="Calibri" w:hAnsi="Times New Roman"/>
            <w:sz w:val="24"/>
            <w:szCs w:val="24"/>
          </w:rPr>
          <w:t>The Campus Safety and Security Data Analysis Cutting Tool</w:t>
        </w:r>
      </w:hyperlink>
      <w:r>
        <w:rPr>
          <w:rFonts w:ascii="Times New Roman" w:eastAsia="Calibri" w:hAnsi="Times New Roman"/>
          <w:sz w:val="24"/>
          <w:szCs w:val="24"/>
        </w:rPr>
        <w:t xml:space="preserve">  </w:t>
      </w:r>
      <w:proofErr w:type="gramStart"/>
      <w:r>
        <w:rPr>
          <w:rFonts w:ascii="Times New Roman" w:eastAsia="Calibri" w:hAnsi="Times New Roman"/>
          <w:sz w:val="24"/>
          <w:szCs w:val="24"/>
        </w:rPr>
        <w:t>allows</w:t>
      </w:r>
      <w:proofErr w:type="gramEnd"/>
      <w:r>
        <w:rPr>
          <w:rFonts w:ascii="Times New Roman" w:eastAsia="Calibri" w:hAnsi="Times New Roman"/>
          <w:sz w:val="24"/>
          <w:szCs w:val="24"/>
        </w:rPr>
        <w:t xml:space="preserve"> interested parties access to data regarding one or more institutions or data that has been aggregated.  This provides interested parties information to raise awareness of campus security issues at a given institution.  ED also makes the data available on College Navigator.  T</w:t>
      </w:r>
      <w:r>
        <w:rPr>
          <w:rFonts w:ascii="Times New Roman" w:hAnsi="Times New Roman"/>
          <w:sz w:val="24"/>
          <w:szCs w:val="24"/>
        </w:rPr>
        <w:t>his information is also used in program compliance efforts and institutional reviews.</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 xml:space="preserve">On an annual basis institutions electronically report their campus crime and fire safety statistics via ED’s Campus Safety and Security Survey website.  Institutions use the information they have already collected for their annual security and fire safety reports to </w:t>
      </w:r>
      <w:r>
        <w:rPr>
          <w:rFonts w:ascii="Times New Roman" w:hAnsi="Times New Roman"/>
          <w:szCs w:val="24"/>
        </w:rPr>
        <w:lastRenderedPageBreak/>
        <w:t>report information to ED.  The use of this electronic method of transmission allows for accuracy in the reporting of the information to ED by institutions, minimizing transcription error by multiple parties.  The use of the electronic method also employs skip logic, reducing burden for institutions.</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C952A0" w:rsidRDefault="00C952A0">
      <w:pPr>
        <w:tabs>
          <w:tab w:val="left" w:pos="-720"/>
        </w:tabs>
        <w:suppressAutoHyphens/>
        <w:rPr>
          <w:rFonts w:ascii="Times New Roman" w:hAnsi="Times New Roman"/>
          <w:szCs w:val="24"/>
        </w:rPr>
      </w:pPr>
    </w:p>
    <w:p w:rsidR="00C952A0" w:rsidRDefault="00BD05D7">
      <w:pPr>
        <w:ind w:left="720"/>
        <w:rPr>
          <w:color w:val="1F497D"/>
        </w:rPr>
      </w:pPr>
      <w:r>
        <w:rPr>
          <w:rFonts w:ascii="Times New Roman" w:hAnsi="Times New Roman"/>
          <w:szCs w:val="24"/>
        </w:rPr>
        <w:t xml:space="preserve">OPE has contacted the National Center for Education Statistics to determine if any overlap exists between the Campus Safety and Security Survey and their School Survey on Crime and Safety (SSOCS) in cases where postsecondary and secondary statuses may overlap. During that consultation, ED determined that SSOCS is a sample survey that provides industry estimates and does not list individual institutional data. The Campus Safety and Security Survey is a compliance collection and </w:t>
      </w:r>
      <w:proofErr w:type="gramStart"/>
      <w:r>
        <w:rPr>
          <w:rFonts w:ascii="Times New Roman" w:hAnsi="Times New Roman"/>
          <w:szCs w:val="24"/>
        </w:rPr>
        <w:t>does</w:t>
      </w:r>
      <w:proofErr w:type="gramEnd"/>
      <w:r>
        <w:rPr>
          <w:rFonts w:ascii="Times New Roman" w:hAnsi="Times New Roman"/>
          <w:szCs w:val="24"/>
        </w:rPr>
        <w:t xml:space="preserve"> show statistics at the institutional level. No duplication exists between these collections within ED. </w:t>
      </w:r>
      <w:r>
        <w:rPr>
          <w:color w:val="1F497D"/>
        </w:rPr>
        <w:t xml:space="preserve"> </w:t>
      </w:r>
    </w:p>
    <w:p w:rsidR="00C952A0" w:rsidRDefault="00C952A0">
      <w:pPr>
        <w:rPr>
          <w:rFonts w:ascii="Times New Roman" w:hAnsi="Times New Roman"/>
          <w:szCs w:val="24"/>
        </w:rPr>
      </w:pPr>
    </w:p>
    <w:p w:rsidR="00C952A0" w:rsidRDefault="00BD05D7">
      <w:pPr>
        <w:ind w:left="720"/>
        <w:rPr>
          <w:rFonts w:ascii="Times New Roman" w:hAnsi="Times New Roman"/>
          <w:szCs w:val="24"/>
        </w:rPr>
      </w:pPr>
      <w:r>
        <w:rPr>
          <w:rFonts w:ascii="Times New Roman" w:hAnsi="Times New Roman"/>
          <w:szCs w:val="24"/>
        </w:rPr>
        <w:t>ED has also reached out to the Department of Justice (DOJ) to confirm that no overlap exists with any of their data collections. While the DOJ is working to develop a climate survey on rape/sexual assault on college campuses, their climate survey is a small pilot study focused exclusively on rape, and DOJ may not elect to move to a national sample. As a result, we have determined that there is very little, if any, overlap with DOJ collections.</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rPr>
          <w:rFonts w:ascii="Times New Roman" w:hAnsi="Times New Roman"/>
          <w:szCs w:val="24"/>
        </w:rPr>
      </w:pPr>
      <w:r>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collection.</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C952A0">
      <w:pPr>
        <w:pStyle w:val="EndnoteText"/>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 xml:space="preserve">Annual campus safety and security data collection is required by the HEA. Without </w:t>
      </w:r>
      <w:r>
        <w:rPr>
          <w:rFonts w:ascii="Times New Roman" w:hAnsi="Times New Roman"/>
          <w:color w:val="000000"/>
          <w:szCs w:val="24"/>
        </w:rPr>
        <w:t xml:space="preserve">the Campus Safety and Security Survey, </w:t>
      </w:r>
      <w:r>
        <w:rPr>
          <w:rFonts w:ascii="Times New Roman" w:hAnsi="Times New Roman"/>
          <w:szCs w:val="24"/>
        </w:rPr>
        <w:t>ED would not meet its legal obligation to make this data available to the public.</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lastRenderedPageBreak/>
        <w:t>7. Explain any special circumstances that would cause an information collection to be conducted in a manner:</w:t>
      </w:r>
    </w:p>
    <w:p w:rsidR="00C952A0" w:rsidRDefault="00C952A0">
      <w:pPr>
        <w:tabs>
          <w:tab w:val="left" w:pos="-720"/>
        </w:tabs>
        <w:suppressAutoHyphens/>
        <w:rPr>
          <w:rFonts w:ascii="Times New Roman" w:hAnsi="Times New Roman"/>
          <w:b/>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requiring respondents to report information to the agency more often than quarterly;</w:t>
      </w:r>
    </w:p>
    <w:p w:rsidR="00C952A0" w:rsidRDefault="00C952A0">
      <w:pPr>
        <w:numPr>
          <w:ilvl w:val="12"/>
          <w:numId w:val="0"/>
        </w:numPr>
        <w:tabs>
          <w:tab w:val="left" w:pos="-720"/>
        </w:tabs>
        <w:suppressAutoHyphens/>
        <w:ind w:left="340"/>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requiring respondents to prepare a written response to a collection of information in fewer than 30 days after receipt of it;</w:t>
      </w:r>
    </w:p>
    <w:p w:rsidR="00C952A0" w:rsidRDefault="00C952A0">
      <w:pPr>
        <w:numPr>
          <w:ilvl w:val="12"/>
          <w:numId w:val="0"/>
        </w:numPr>
        <w:tabs>
          <w:tab w:val="left" w:pos="-720"/>
        </w:tabs>
        <w:suppressAutoHyphens/>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requiring respondents to submit more than an original and two copies of any document;</w:t>
      </w:r>
    </w:p>
    <w:p w:rsidR="00C952A0" w:rsidRDefault="00C952A0">
      <w:pPr>
        <w:numPr>
          <w:ilvl w:val="12"/>
          <w:numId w:val="0"/>
        </w:numPr>
        <w:tabs>
          <w:tab w:val="left" w:pos="-720"/>
        </w:tabs>
        <w:suppressAutoHyphens/>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requiring respondents to retain records, other than health, medical, government contract, grant-in-aid, or tax records for more than three years;</w:t>
      </w:r>
    </w:p>
    <w:p w:rsidR="00C952A0" w:rsidRDefault="00C952A0">
      <w:pPr>
        <w:numPr>
          <w:ilvl w:val="12"/>
          <w:numId w:val="0"/>
        </w:numPr>
        <w:tabs>
          <w:tab w:val="left" w:pos="-720"/>
        </w:tabs>
        <w:suppressAutoHyphens/>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in connection with a statistical survey, that is not designed to produce valid and reliable results than can be generalized to the universe of study;</w:t>
      </w:r>
    </w:p>
    <w:p w:rsidR="00C952A0" w:rsidRDefault="00C952A0">
      <w:pPr>
        <w:numPr>
          <w:ilvl w:val="12"/>
          <w:numId w:val="0"/>
        </w:numPr>
        <w:tabs>
          <w:tab w:val="left" w:pos="-720"/>
        </w:tabs>
        <w:suppressAutoHyphens/>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requiring the use of a statistical data classification that has not been reviewed and approved by OMB;</w:t>
      </w:r>
    </w:p>
    <w:p w:rsidR="00C952A0" w:rsidRDefault="00C952A0">
      <w:pPr>
        <w:numPr>
          <w:ilvl w:val="12"/>
          <w:numId w:val="0"/>
        </w:numPr>
        <w:tabs>
          <w:tab w:val="left" w:pos="-720"/>
        </w:tabs>
        <w:suppressAutoHyphens/>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952A0" w:rsidRDefault="00C952A0">
      <w:pPr>
        <w:numPr>
          <w:ilvl w:val="12"/>
          <w:numId w:val="0"/>
        </w:numPr>
        <w:tabs>
          <w:tab w:val="left" w:pos="-720"/>
        </w:tabs>
        <w:suppressAutoHyphens/>
        <w:rPr>
          <w:rFonts w:ascii="Times New Roman" w:hAnsi="Times New Roman"/>
          <w:szCs w:val="24"/>
        </w:rPr>
      </w:pPr>
    </w:p>
    <w:p w:rsidR="00C952A0" w:rsidRDefault="00BD05D7">
      <w:pPr>
        <w:numPr>
          <w:ilvl w:val="0"/>
          <w:numId w:val="8"/>
        </w:numPr>
        <w:tabs>
          <w:tab w:val="left" w:pos="-720"/>
          <w:tab w:val="left" w:pos="1247"/>
        </w:tabs>
        <w:suppressAutoHyphens/>
        <w:rPr>
          <w:rFonts w:ascii="Times New Roman" w:hAnsi="Times New Roman"/>
          <w:szCs w:val="24"/>
        </w:rPr>
      </w:pPr>
      <w:proofErr w:type="gramStart"/>
      <w:r>
        <w:rPr>
          <w:rFonts w:ascii="Times New Roman" w:hAnsi="Times New Roman"/>
          <w:szCs w:val="24"/>
        </w:rPr>
        <w:t>requiring</w:t>
      </w:r>
      <w:proofErr w:type="gramEnd"/>
      <w:r>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C952A0" w:rsidRDefault="00C952A0">
      <w:pPr>
        <w:tabs>
          <w:tab w:val="left" w:pos="-720"/>
        </w:tabs>
        <w:suppressAutoHyphens/>
        <w:rPr>
          <w:rFonts w:ascii="Times New Roman" w:hAnsi="Times New Roman"/>
          <w:szCs w:val="24"/>
        </w:rPr>
      </w:pPr>
    </w:p>
    <w:p w:rsidR="00C952A0" w:rsidRDefault="00BD05D7">
      <w:pPr>
        <w:tabs>
          <w:tab w:val="left" w:pos="-720"/>
          <w:tab w:val="left" w:pos="1247"/>
        </w:tabs>
        <w:suppressAutoHyphens/>
        <w:ind w:left="360"/>
        <w:rPr>
          <w:rFonts w:ascii="Times New Roman" w:hAnsi="Times New Roman"/>
          <w:szCs w:val="24"/>
        </w:rPr>
      </w:pPr>
      <w:r>
        <w:rPr>
          <w:rFonts w:ascii="Times New Roman" w:hAnsi="Times New Roman"/>
          <w:szCs w:val="24"/>
        </w:rPr>
        <w:t>The collection of this information will continue to be conducted in a manner that is consistent with the guidelines in 5 CFR 1320.5(d</w:t>
      </w:r>
      <w:proofErr w:type="gramStart"/>
      <w:r>
        <w:rPr>
          <w:rFonts w:ascii="Times New Roman" w:hAnsi="Times New Roman"/>
          <w:szCs w:val="24"/>
        </w:rPr>
        <w:t>)(</w:t>
      </w:r>
      <w:proofErr w:type="gramEnd"/>
      <w:r>
        <w:rPr>
          <w:rFonts w:ascii="Times New Roman" w:hAnsi="Times New Roman"/>
          <w:szCs w:val="24"/>
        </w:rPr>
        <w:t>2).</w:t>
      </w:r>
      <w:r>
        <w:rPr>
          <w:rFonts w:ascii="Times New Roman" w:hAnsi="Times New Roman"/>
          <w:szCs w:val="24"/>
          <w:highlight w:val="yellow"/>
        </w:rPr>
        <w:t xml:space="preserve">  </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952A0" w:rsidRDefault="00C952A0">
      <w:pPr>
        <w:tabs>
          <w:tab w:val="left" w:pos="-720"/>
        </w:tabs>
        <w:suppressAutoHyphens/>
        <w:rPr>
          <w:rStyle w:val="a"/>
          <w:rFonts w:ascii="Times New Roman" w:hAnsi="Times New Roman"/>
          <w:b/>
          <w:szCs w:val="24"/>
        </w:rPr>
      </w:pPr>
    </w:p>
    <w:p w:rsidR="00C952A0" w:rsidRDefault="00BD05D7">
      <w:pPr>
        <w:tabs>
          <w:tab w:val="left" w:pos="-720"/>
        </w:tabs>
        <w:suppressAutoHyphens/>
        <w:ind w:left="360"/>
        <w:rPr>
          <w:rStyle w:val="a"/>
          <w:rFonts w:ascii="Times New Roman" w:hAnsi="Times New Roman"/>
          <w:szCs w:val="24"/>
        </w:rPr>
      </w:pPr>
      <w:r>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C952A0" w:rsidRDefault="00C952A0">
      <w:pPr>
        <w:tabs>
          <w:tab w:val="left" w:pos="-720"/>
        </w:tabs>
        <w:suppressAutoHyphens/>
        <w:rPr>
          <w:rStyle w:val="a"/>
          <w:rFonts w:ascii="Times New Roman" w:hAnsi="Times New Roman"/>
          <w:szCs w:val="24"/>
        </w:rPr>
      </w:pPr>
    </w:p>
    <w:p w:rsidR="00C952A0" w:rsidRDefault="00BD05D7">
      <w:pPr>
        <w:tabs>
          <w:tab w:val="left" w:pos="-720"/>
        </w:tabs>
        <w:suppressAutoHyphens/>
        <w:ind w:left="360"/>
        <w:rPr>
          <w:rStyle w:val="a"/>
          <w:rFonts w:ascii="Times New Roman" w:hAnsi="Times New Roman"/>
          <w:szCs w:val="24"/>
        </w:rPr>
      </w:pPr>
      <w:r>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collection of </w:t>
      </w:r>
      <w:r>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C952A0" w:rsidRDefault="00C952A0">
      <w:pPr>
        <w:spacing w:after="120"/>
        <w:contextualSpacing/>
        <w:rPr>
          <w:rFonts w:ascii="Times New Roman" w:hAnsi="Times New Roman"/>
          <w:szCs w:val="24"/>
        </w:rPr>
      </w:pPr>
    </w:p>
    <w:p w:rsidR="00C952A0" w:rsidRPr="00BF321E" w:rsidRDefault="00BD05D7">
      <w:pPr>
        <w:spacing w:after="120"/>
        <w:ind w:left="720"/>
        <w:contextualSpacing/>
      </w:pPr>
      <w:r>
        <w:rPr>
          <w:rFonts w:ascii="Times New Roman" w:hAnsi="Times New Roman"/>
          <w:szCs w:val="24"/>
        </w:rPr>
        <w:t xml:space="preserve">ED </w:t>
      </w:r>
      <w:r w:rsidR="00BF321E">
        <w:rPr>
          <w:rFonts w:ascii="Times New Roman" w:hAnsi="Times New Roman"/>
          <w:szCs w:val="24"/>
        </w:rPr>
        <w:t>has</w:t>
      </w:r>
      <w:r>
        <w:rPr>
          <w:rFonts w:ascii="Times New Roman" w:hAnsi="Times New Roman"/>
          <w:szCs w:val="24"/>
        </w:rPr>
        <w:t xml:space="preserve"> publish</w:t>
      </w:r>
      <w:r w:rsidR="00BF321E">
        <w:rPr>
          <w:rFonts w:ascii="Times New Roman" w:hAnsi="Times New Roman"/>
          <w:szCs w:val="24"/>
        </w:rPr>
        <w:t>ed</w:t>
      </w:r>
      <w:r>
        <w:rPr>
          <w:rFonts w:ascii="Times New Roman" w:hAnsi="Times New Roman"/>
          <w:szCs w:val="24"/>
        </w:rPr>
        <w:t xml:space="preserve"> the applicable 60 and 30 day notices in the Federal Register inviting public comment on the form and the burden assessment.  This is the </w:t>
      </w:r>
      <w:r w:rsidR="00BF321E">
        <w:rPr>
          <w:rFonts w:ascii="Times New Roman" w:hAnsi="Times New Roman"/>
          <w:szCs w:val="24"/>
        </w:rPr>
        <w:t>30</w:t>
      </w:r>
      <w:r>
        <w:rPr>
          <w:rFonts w:ascii="Times New Roman" w:hAnsi="Times New Roman"/>
          <w:szCs w:val="24"/>
        </w:rPr>
        <w:t xml:space="preserve"> day notice.</w:t>
      </w:r>
      <w:r w:rsidRPr="00BF321E">
        <w:rPr>
          <w:rFonts w:ascii="Times New Roman" w:hAnsi="Times New Roman"/>
          <w:szCs w:val="24"/>
        </w:rPr>
        <w:t xml:space="preserve"> </w:t>
      </w:r>
      <w:r w:rsidR="00870C02">
        <w:rPr>
          <w:rFonts w:ascii="Times New Roman" w:hAnsi="Times New Roman"/>
          <w:szCs w:val="24"/>
        </w:rPr>
        <w:t>ED received only one substantive comment on the survey during the 60 day period. This comment</w:t>
      </w:r>
      <w:r w:rsidR="00BF321E" w:rsidRPr="00BF321E">
        <w:rPr>
          <w:rFonts w:ascii="Times New Roman" w:hAnsi="Times New Roman"/>
          <w:szCs w:val="24"/>
        </w:rPr>
        <w:t xml:space="preserve"> </w:t>
      </w:r>
      <w:r w:rsidR="00870C02">
        <w:rPr>
          <w:rFonts w:ascii="Times New Roman" w:hAnsi="Times New Roman"/>
          <w:szCs w:val="24"/>
        </w:rPr>
        <w:t>pointed out a slight discrepancy between a table’s heading and the text within the table</w:t>
      </w:r>
      <w:r w:rsidR="00BF321E" w:rsidRPr="00BF321E">
        <w:rPr>
          <w:rFonts w:ascii="Times New Roman" w:hAnsi="Times New Roman"/>
          <w:szCs w:val="24"/>
        </w:rPr>
        <w:t xml:space="preserve">, </w:t>
      </w:r>
      <w:r w:rsidR="00870C02">
        <w:rPr>
          <w:rFonts w:ascii="Times New Roman" w:hAnsi="Times New Roman"/>
          <w:szCs w:val="24"/>
        </w:rPr>
        <w:t>and as a result,</w:t>
      </w:r>
      <w:r w:rsidR="00BF321E" w:rsidRPr="00BF321E">
        <w:rPr>
          <w:rFonts w:ascii="Times New Roman" w:hAnsi="Times New Roman"/>
          <w:szCs w:val="24"/>
        </w:rPr>
        <w:t xml:space="preserve"> ED changed</w:t>
      </w:r>
      <w:r w:rsidR="00870C02">
        <w:rPr>
          <w:rFonts w:ascii="Times New Roman" w:hAnsi="Times New Roman"/>
          <w:szCs w:val="24"/>
        </w:rPr>
        <w:t xml:space="preserve"> the</w:t>
      </w:r>
      <w:r w:rsidR="00FD6604">
        <w:rPr>
          <w:rFonts w:ascii="Times New Roman" w:hAnsi="Times New Roman"/>
          <w:szCs w:val="24"/>
        </w:rPr>
        <w:t xml:space="preserve"> text within the</w:t>
      </w:r>
      <w:r w:rsidR="00BF321E" w:rsidRPr="00BF321E">
        <w:rPr>
          <w:rFonts w:ascii="Times New Roman" w:hAnsi="Times New Roman"/>
          <w:szCs w:val="24"/>
        </w:rPr>
        <w:t xml:space="preserve"> table on page 30 of the survey to read “total occurrences reported by police” instead of “</w:t>
      </w:r>
      <w:r w:rsidR="00870C02">
        <w:rPr>
          <w:rFonts w:ascii="Times New Roman" w:hAnsi="Times New Roman"/>
          <w:szCs w:val="24"/>
        </w:rPr>
        <w:t xml:space="preserve">total occurrences </w:t>
      </w:r>
      <w:r w:rsidR="00BF321E" w:rsidRPr="00BF321E">
        <w:rPr>
          <w:rFonts w:ascii="Times New Roman" w:hAnsi="Times New Roman"/>
          <w:szCs w:val="24"/>
        </w:rPr>
        <w:t xml:space="preserve">reported to police.”  </w:t>
      </w:r>
      <w:r w:rsidR="00BF321E">
        <w:rPr>
          <w:rFonts w:ascii="Times New Roman" w:hAnsi="Times New Roman"/>
          <w:szCs w:val="24"/>
        </w:rPr>
        <w:t xml:space="preserve">There is no expected change in burden associated with this change. </w:t>
      </w:r>
      <w:r w:rsidRPr="00BF321E">
        <w:rPr>
          <w:rFonts w:ascii="Times New Roman" w:hAnsi="Times New Roman"/>
          <w:szCs w:val="24"/>
        </w:rPr>
        <w:t>The Office of the Vice President and the Department of Justice also</w:t>
      </w:r>
      <w:r>
        <w:rPr>
          <w:rFonts w:ascii="Times New Roman" w:hAnsi="Times New Roman"/>
          <w:szCs w:val="24"/>
        </w:rPr>
        <w:t xml:space="preserve"> gave feedback during the regulatory clearance process.</w:t>
      </w:r>
    </w:p>
    <w:p w:rsidR="00C952A0" w:rsidRDefault="00C952A0">
      <w:pPr>
        <w:tabs>
          <w:tab w:val="left" w:pos="-720"/>
        </w:tabs>
        <w:suppressAutoHyphens/>
        <w:rPr>
          <w:rFonts w:ascii="Times New Roman" w:hAnsi="Times New Roman"/>
          <w:szCs w:val="24"/>
        </w:rPr>
      </w:pPr>
      <w:bookmarkStart w:id="1" w:name="_GoBack"/>
      <w:bookmarkEnd w:id="1"/>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9. </w:t>
      </w:r>
      <w:r>
        <w:rPr>
          <w:rStyle w:val="a"/>
          <w:rFonts w:ascii="Times New Roman" w:hAnsi="Times New Roman"/>
          <w:szCs w:val="24"/>
        </w:rPr>
        <w:t>Explain any decision to provide any payment or gift to respondents, other than remuneration of contractors or grantees with meaningful justification.</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There are no payments or gifts offered to respondents.</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Pr>
          <w:rFonts w:ascii="Times New Roman" w:hAnsi="Times New Roman"/>
          <w:szCs w:val="24"/>
        </w:rPr>
        <w:t xml:space="preserve"> If the collection is subject to the Privacy Act, the Privacy Act statement is deemed sufficient with respect to confidentiality. </w:t>
      </w:r>
      <w:proofErr w:type="gramStart"/>
      <w:r>
        <w:rPr>
          <w:rFonts w:ascii="Times New Roman" w:hAnsi="Times New Roman"/>
          <w:szCs w:val="24"/>
        </w:rPr>
        <w:t>If there is no expectation of confidentiality, simply state that the Department makes no pledge about the confidentially of the data.</w:t>
      </w:r>
      <w:proofErr w:type="gramEnd"/>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ED makes no pledge about the confidentiality of the data.</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52A0" w:rsidRDefault="00C952A0">
      <w:pPr>
        <w:tabs>
          <w:tab w:val="left" w:pos="-720"/>
        </w:tabs>
        <w:suppressAutoHyphens/>
        <w:rPr>
          <w:rFonts w:ascii="Times New Roman" w:hAnsi="Times New Roman"/>
          <w:szCs w:val="24"/>
        </w:rPr>
      </w:pPr>
    </w:p>
    <w:p w:rsidR="00C952A0" w:rsidRDefault="00BD05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snapToGrid w:val="0"/>
          <w:szCs w:val="24"/>
        </w:rPr>
      </w:pPr>
      <w:r>
        <w:rPr>
          <w:rFonts w:ascii="Times New Roman" w:hAnsi="Times New Roman"/>
          <w:snapToGrid w:val="0"/>
          <w:szCs w:val="24"/>
        </w:rPr>
        <w:t>This collection contains no questions of a sensitive nature.</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Style w:val="a"/>
          <w:rFonts w:ascii="Times New Roman" w:hAnsi="Times New Roman"/>
          <w:szCs w:val="24"/>
        </w:rPr>
      </w:pPr>
      <w:r>
        <w:rPr>
          <w:rFonts w:ascii="Times New Roman" w:hAnsi="Times New Roman"/>
          <w:szCs w:val="24"/>
        </w:rPr>
        <w:t xml:space="preserve">12. </w:t>
      </w:r>
      <w:r>
        <w:rPr>
          <w:rStyle w:val="a"/>
          <w:rFonts w:ascii="Times New Roman" w:hAnsi="Times New Roman"/>
          <w:szCs w:val="24"/>
        </w:rPr>
        <w:t>Provide estimates of the hour burden of the collection of information.  The statement should:</w:t>
      </w:r>
    </w:p>
    <w:p w:rsidR="00C952A0" w:rsidRDefault="00C952A0">
      <w:pPr>
        <w:tabs>
          <w:tab w:val="left" w:pos="-720"/>
        </w:tabs>
        <w:suppressAutoHyphens/>
        <w:rPr>
          <w:rStyle w:val="a"/>
          <w:rFonts w:ascii="Times New Roman" w:hAnsi="Times New Roman"/>
          <w:szCs w:val="24"/>
        </w:rPr>
      </w:pPr>
    </w:p>
    <w:p w:rsidR="00C952A0" w:rsidRDefault="00BD05D7">
      <w:pPr>
        <w:numPr>
          <w:ilvl w:val="0"/>
          <w:numId w:val="7"/>
        </w:numPr>
        <w:tabs>
          <w:tab w:val="left" w:pos="-720"/>
          <w:tab w:val="left" w:pos="1247"/>
        </w:tabs>
        <w:suppressAutoHyphens/>
        <w:rPr>
          <w:rStyle w:val="a"/>
          <w:rFonts w:ascii="Times New Roman" w:hAnsi="Times New Roman"/>
          <w:szCs w:val="24"/>
        </w:rPr>
      </w:pPr>
      <w:r>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952A0" w:rsidRDefault="00C952A0">
      <w:pPr>
        <w:tabs>
          <w:tab w:val="left" w:pos="-720"/>
          <w:tab w:val="left" w:pos="1247"/>
        </w:tabs>
        <w:suppressAutoHyphens/>
        <w:ind w:left="700"/>
        <w:rPr>
          <w:rStyle w:val="a"/>
          <w:rFonts w:ascii="Times New Roman" w:hAnsi="Times New Roman"/>
          <w:szCs w:val="24"/>
        </w:rPr>
      </w:pPr>
    </w:p>
    <w:p w:rsidR="00C952A0" w:rsidRDefault="00BD05D7">
      <w:pPr>
        <w:numPr>
          <w:ilvl w:val="0"/>
          <w:numId w:val="7"/>
        </w:numPr>
        <w:tabs>
          <w:tab w:val="left" w:pos="-720"/>
          <w:tab w:val="left" w:pos="1247"/>
        </w:tabs>
        <w:suppressAutoHyphens/>
        <w:rPr>
          <w:rStyle w:val="a"/>
          <w:rFonts w:ascii="Times New Roman" w:hAnsi="Times New Roman"/>
          <w:szCs w:val="24"/>
        </w:rPr>
      </w:pPr>
      <w:r>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C952A0" w:rsidRDefault="00C952A0">
      <w:pPr>
        <w:tabs>
          <w:tab w:val="left" w:pos="-720"/>
          <w:tab w:val="left" w:pos="1247"/>
        </w:tabs>
        <w:suppressAutoHyphens/>
        <w:rPr>
          <w:rStyle w:val="a"/>
          <w:rFonts w:ascii="Times New Roman" w:hAnsi="Times New Roman"/>
          <w:szCs w:val="24"/>
        </w:rPr>
      </w:pPr>
    </w:p>
    <w:p w:rsidR="00C952A0" w:rsidRDefault="00C952A0">
      <w:pPr>
        <w:tabs>
          <w:tab w:val="left" w:pos="-720"/>
          <w:tab w:val="left" w:pos="1247"/>
        </w:tabs>
        <w:suppressAutoHyphens/>
        <w:ind w:left="700"/>
        <w:rPr>
          <w:rStyle w:val="a"/>
          <w:rFonts w:ascii="Times New Roman" w:hAnsi="Times New Roman"/>
          <w:szCs w:val="24"/>
        </w:rPr>
      </w:pPr>
    </w:p>
    <w:p w:rsidR="00C952A0" w:rsidRDefault="00BD05D7">
      <w:pPr>
        <w:numPr>
          <w:ilvl w:val="0"/>
          <w:numId w:val="7"/>
        </w:numPr>
        <w:tabs>
          <w:tab w:val="left" w:pos="-720"/>
          <w:tab w:val="left" w:pos="1247"/>
        </w:tabs>
        <w:suppressAutoHyphens/>
        <w:rPr>
          <w:rFonts w:ascii="Times New Roman" w:hAnsi="Times New Roman"/>
          <w:szCs w:val="24"/>
        </w:rPr>
      </w:pPr>
      <w:r>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952A0" w:rsidRDefault="00C952A0">
      <w:pPr>
        <w:suppressAutoHyphens/>
        <w:rPr>
          <w:rFonts w:ascii="Times New Roman" w:hAnsi="Times New Roman"/>
          <w:szCs w:val="24"/>
        </w:rPr>
      </w:pPr>
    </w:p>
    <w:p w:rsidR="00C952A0" w:rsidRDefault="00BD05D7">
      <w:pPr>
        <w:ind w:left="700"/>
        <w:rPr>
          <w:rFonts w:ascii="Times New Roman" w:eastAsia="Calibri" w:hAnsi="Times New Roman"/>
          <w:szCs w:val="24"/>
        </w:rPr>
      </w:pPr>
      <w:proofErr w:type="gramStart"/>
      <w:r>
        <w:rPr>
          <w:rFonts w:ascii="Times New Roman" w:eastAsia="Calibri" w:hAnsi="Times New Roman"/>
          <w:szCs w:val="24"/>
        </w:rPr>
        <w:t>Based on 2014 data there are 7,135 institutions that would be required to report to the Campus Safety and Security Survey system.</w:t>
      </w:r>
      <w:proofErr w:type="gramEnd"/>
      <w:r>
        <w:rPr>
          <w:rFonts w:ascii="Times New Roman" w:eastAsia="Calibri" w:hAnsi="Times New Roman"/>
          <w:szCs w:val="24"/>
        </w:rPr>
        <w:t xml:space="preserve">  This figure includes 1,990 Public, 1,851 Private Not-for-Profit, and 3,294 Private For-Profit institutions.  We estimate that it would take an institution approximately 25 minutes to complete the form, since institutions should have these numbers readily available after releasing their annual crime and fire safety reports.  </w:t>
      </w:r>
    </w:p>
    <w:p w:rsidR="00C952A0" w:rsidRDefault="00C952A0">
      <w:pPr>
        <w:rPr>
          <w:rFonts w:ascii="Times New Roman" w:hAnsi="Times New Roman"/>
          <w:snapToGrid w:val="0"/>
          <w:szCs w:val="24"/>
        </w:rPr>
      </w:pPr>
    </w:p>
    <w:p w:rsidR="00C952A0" w:rsidRDefault="00BD05D7">
      <w:pPr>
        <w:ind w:left="700"/>
        <w:rPr>
          <w:rFonts w:ascii="Times New Roman" w:hAnsi="Times New Roman"/>
          <w:snapToGrid w:val="0"/>
          <w:szCs w:val="24"/>
        </w:rPr>
      </w:pPr>
      <w:r>
        <w:rPr>
          <w:rFonts w:ascii="Times New Roman" w:hAnsi="Times New Roman"/>
          <w:snapToGrid w:val="0"/>
          <w:szCs w:val="24"/>
        </w:rPr>
        <w:t xml:space="preserve">Estimated annual burden to respondents </w:t>
      </w:r>
    </w:p>
    <w:p w:rsidR="00C952A0" w:rsidRDefault="00C952A0">
      <w:pPr>
        <w:rPr>
          <w:rFonts w:ascii="Times New Roman" w:hAnsi="Times New Roman"/>
          <w:snapToGrid w:val="0"/>
          <w:szCs w:val="24"/>
        </w:rPr>
      </w:pPr>
    </w:p>
    <w:tbl>
      <w:tblPr>
        <w:tblStyle w:val="TableGrid1"/>
        <w:tblpPr w:leftFromText="180" w:rightFromText="180" w:vertAnchor="text" w:horzAnchor="margin" w:tblpY="-2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240"/>
        <w:gridCol w:w="270"/>
        <w:gridCol w:w="1260"/>
        <w:gridCol w:w="360"/>
        <w:gridCol w:w="1890"/>
        <w:gridCol w:w="810"/>
        <w:gridCol w:w="1890"/>
      </w:tblGrid>
      <w:tr w:rsidR="00C952A0">
        <w:tc>
          <w:tcPr>
            <w:tcW w:w="3510" w:type="dxa"/>
            <w:gridSpan w:val="2"/>
          </w:tcPr>
          <w:p w:rsidR="00C952A0" w:rsidRDefault="00BD05D7">
            <w:pPr>
              <w:rPr>
                <w:rFonts w:ascii="Times New Roman" w:hAnsi="Times New Roman"/>
                <w:sz w:val="20"/>
              </w:rPr>
            </w:pPr>
            <w:r>
              <w:rPr>
                <w:rFonts w:ascii="Times New Roman" w:hAnsi="Times New Roman"/>
                <w:b/>
                <w:sz w:val="20"/>
              </w:rPr>
              <w:lastRenderedPageBreak/>
              <w:t xml:space="preserve">Current Burden: </w:t>
            </w:r>
          </w:p>
        </w:tc>
        <w:tc>
          <w:tcPr>
            <w:tcW w:w="270" w:type="dxa"/>
          </w:tcPr>
          <w:p w:rsidR="00C952A0" w:rsidRDefault="00C952A0">
            <w:pPr>
              <w:rPr>
                <w:rFonts w:ascii="Times New Roman" w:hAnsi="Times New Roman"/>
                <w:sz w:val="20"/>
              </w:rPr>
            </w:pPr>
          </w:p>
        </w:tc>
        <w:tc>
          <w:tcPr>
            <w:tcW w:w="1260" w:type="dxa"/>
          </w:tcPr>
          <w:p w:rsidR="00C952A0" w:rsidRDefault="00C952A0">
            <w:pPr>
              <w:rPr>
                <w:rFonts w:ascii="Times New Roman" w:hAnsi="Times New Roman"/>
                <w:sz w:val="20"/>
              </w:rPr>
            </w:pPr>
          </w:p>
        </w:tc>
        <w:tc>
          <w:tcPr>
            <w:tcW w:w="360" w:type="dxa"/>
          </w:tcPr>
          <w:p w:rsidR="00C952A0" w:rsidRDefault="00C952A0">
            <w:pPr>
              <w:rPr>
                <w:rFonts w:ascii="Times New Roman" w:hAnsi="Times New Roman"/>
                <w:sz w:val="20"/>
              </w:rPr>
            </w:pPr>
          </w:p>
        </w:tc>
        <w:tc>
          <w:tcPr>
            <w:tcW w:w="1890" w:type="dxa"/>
          </w:tcPr>
          <w:p w:rsidR="00C952A0" w:rsidRDefault="00C952A0">
            <w:pPr>
              <w:rPr>
                <w:rFonts w:ascii="Times New Roman" w:hAnsi="Times New Roman"/>
                <w:sz w:val="20"/>
              </w:rPr>
            </w:pPr>
          </w:p>
        </w:tc>
        <w:tc>
          <w:tcPr>
            <w:tcW w:w="810" w:type="dxa"/>
          </w:tcPr>
          <w:p w:rsidR="00C952A0" w:rsidRDefault="00C952A0">
            <w:pPr>
              <w:rPr>
                <w:rFonts w:ascii="Times New Roman" w:hAnsi="Times New Roman"/>
                <w:sz w:val="20"/>
              </w:rPr>
            </w:pPr>
          </w:p>
        </w:tc>
        <w:tc>
          <w:tcPr>
            <w:tcW w:w="1890" w:type="dxa"/>
          </w:tcPr>
          <w:p w:rsidR="00C952A0" w:rsidRDefault="00C952A0">
            <w:pPr>
              <w:rPr>
                <w:rFonts w:ascii="Times New Roman" w:hAnsi="Times New Roman"/>
                <w:sz w:val="20"/>
              </w:rPr>
            </w:pPr>
          </w:p>
        </w:tc>
      </w:tr>
      <w:tr w:rsidR="00C952A0">
        <w:tc>
          <w:tcPr>
            <w:tcW w:w="3510" w:type="dxa"/>
            <w:gridSpan w:val="2"/>
          </w:tcPr>
          <w:p w:rsidR="00C952A0" w:rsidRDefault="00C952A0">
            <w:pPr>
              <w:rPr>
                <w:rFonts w:ascii="Times New Roman" w:hAnsi="Times New Roman"/>
                <w:sz w:val="20"/>
              </w:rPr>
            </w:pPr>
          </w:p>
        </w:tc>
        <w:tc>
          <w:tcPr>
            <w:tcW w:w="270" w:type="dxa"/>
          </w:tcPr>
          <w:p w:rsidR="00C952A0" w:rsidRDefault="00C952A0">
            <w:pPr>
              <w:rPr>
                <w:rFonts w:ascii="Times New Roman" w:hAnsi="Times New Roman"/>
                <w:sz w:val="20"/>
              </w:rPr>
            </w:pPr>
          </w:p>
        </w:tc>
        <w:tc>
          <w:tcPr>
            <w:tcW w:w="1260" w:type="dxa"/>
          </w:tcPr>
          <w:p w:rsidR="00C952A0" w:rsidRDefault="00BD05D7">
            <w:pPr>
              <w:rPr>
                <w:rFonts w:ascii="Times New Roman" w:hAnsi="Times New Roman"/>
                <w:sz w:val="20"/>
              </w:rPr>
            </w:pPr>
            <w:r>
              <w:rPr>
                <w:rFonts w:ascii="Times New Roman" w:hAnsi="Times New Roman"/>
                <w:sz w:val="20"/>
              </w:rPr>
              <w:t>Respondent/Responses</w:t>
            </w:r>
          </w:p>
        </w:tc>
        <w:tc>
          <w:tcPr>
            <w:tcW w:w="360" w:type="dxa"/>
          </w:tcPr>
          <w:p w:rsidR="00C952A0" w:rsidRDefault="00C952A0">
            <w:pPr>
              <w:rPr>
                <w:rFonts w:ascii="Times New Roman" w:hAnsi="Times New Roman"/>
                <w:sz w:val="20"/>
              </w:rPr>
            </w:pPr>
          </w:p>
        </w:tc>
        <w:tc>
          <w:tcPr>
            <w:tcW w:w="1890" w:type="dxa"/>
          </w:tcPr>
          <w:p w:rsidR="00C952A0" w:rsidRDefault="00BD05D7">
            <w:pPr>
              <w:rPr>
                <w:rFonts w:ascii="Times New Roman" w:hAnsi="Times New Roman"/>
                <w:sz w:val="20"/>
              </w:rPr>
            </w:pPr>
            <w:r>
              <w:rPr>
                <w:rFonts w:ascii="Times New Roman" w:hAnsi="Times New Roman"/>
                <w:sz w:val="20"/>
              </w:rPr>
              <w:t>Hours/Response</w:t>
            </w:r>
          </w:p>
        </w:tc>
        <w:tc>
          <w:tcPr>
            <w:tcW w:w="810" w:type="dxa"/>
          </w:tcPr>
          <w:p w:rsidR="00C952A0" w:rsidRDefault="00C952A0">
            <w:pPr>
              <w:rPr>
                <w:rFonts w:ascii="Times New Roman" w:hAnsi="Times New Roman"/>
                <w:sz w:val="20"/>
              </w:rPr>
            </w:pPr>
          </w:p>
        </w:tc>
        <w:tc>
          <w:tcPr>
            <w:tcW w:w="1890" w:type="dxa"/>
          </w:tcPr>
          <w:p w:rsidR="00C952A0" w:rsidRDefault="00BD05D7">
            <w:pPr>
              <w:rPr>
                <w:rFonts w:ascii="Times New Roman" w:hAnsi="Times New Roman"/>
                <w:sz w:val="20"/>
              </w:rPr>
            </w:pPr>
            <w:r>
              <w:rPr>
                <w:rFonts w:ascii="Times New Roman" w:hAnsi="Times New Roman"/>
                <w:sz w:val="20"/>
              </w:rPr>
              <w:t>Hours of Burden</w:t>
            </w:r>
          </w:p>
        </w:tc>
      </w:tr>
      <w:tr w:rsidR="00C952A0">
        <w:tc>
          <w:tcPr>
            <w:tcW w:w="3510" w:type="dxa"/>
            <w:gridSpan w:val="2"/>
          </w:tcPr>
          <w:p w:rsidR="00C952A0" w:rsidRDefault="00C952A0">
            <w:pPr>
              <w:rPr>
                <w:rFonts w:ascii="Times New Roman" w:hAnsi="Times New Roman"/>
                <w:sz w:val="20"/>
              </w:rPr>
            </w:pPr>
          </w:p>
          <w:p w:rsidR="00C952A0" w:rsidRDefault="00C952A0">
            <w:pPr>
              <w:rPr>
                <w:rFonts w:ascii="Times New Roman" w:hAnsi="Times New Roman"/>
                <w:sz w:val="20"/>
              </w:rPr>
            </w:pPr>
          </w:p>
          <w:p w:rsidR="00C952A0" w:rsidRDefault="00BD05D7">
            <w:pPr>
              <w:rPr>
                <w:rFonts w:ascii="Times New Roman" w:hAnsi="Times New Roman"/>
                <w:sz w:val="20"/>
              </w:rPr>
            </w:pPr>
            <w:r>
              <w:rPr>
                <w:rFonts w:ascii="Times New Roman" w:hAnsi="Times New Roman"/>
                <w:sz w:val="20"/>
              </w:rPr>
              <w:t>Proposed Burden</w:t>
            </w:r>
          </w:p>
          <w:p w:rsidR="00C952A0" w:rsidRDefault="00C952A0">
            <w:pPr>
              <w:rPr>
                <w:rFonts w:ascii="Times New Roman" w:hAnsi="Times New Roman"/>
                <w:sz w:val="20"/>
              </w:rPr>
            </w:pPr>
          </w:p>
        </w:tc>
        <w:tc>
          <w:tcPr>
            <w:tcW w:w="270" w:type="dxa"/>
          </w:tcPr>
          <w:p w:rsidR="00C952A0" w:rsidRDefault="00C952A0">
            <w:pPr>
              <w:rPr>
                <w:rFonts w:ascii="Times New Roman" w:hAnsi="Times New Roman"/>
                <w:sz w:val="20"/>
              </w:rPr>
            </w:pPr>
          </w:p>
        </w:tc>
        <w:tc>
          <w:tcPr>
            <w:tcW w:w="1260" w:type="dxa"/>
          </w:tcPr>
          <w:p w:rsidR="00C952A0" w:rsidRDefault="00BD05D7">
            <w:pPr>
              <w:rPr>
                <w:rFonts w:ascii="Times New Roman" w:hAnsi="Times New Roman"/>
                <w:sz w:val="20"/>
              </w:rPr>
            </w:pPr>
            <w:r>
              <w:rPr>
                <w:rFonts w:ascii="Times New Roman" w:hAnsi="Times New Roman"/>
                <w:sz w:val="20"/>
              </w:rPr>
              <w:t xml:space="preserve">        0</w:t>
            </w:r>
          </w:p>
        </w:tc>
        <w:tc>
          <w:tcPr>
            <w:tcW w:w="360" w:type="dxa"/>
          </w:tcPr>
          <w:p w:rsidR="00C952A0" w:rsidRDefault="00C952A0">
            <w:pPr>
              <w:rPr>
                <w:rFonts w:ascii="Times New Roman" w:hAnsi="Times New Roman"/>
                <w:sz w:val="20"/>
              </w:rPr>
            </w:pPr>
          </w:p>
        </w:tc>
        <w:tc>
          <w:tcPr>
            <w:tcW w:w="1890" w:type="dxa"/>
          </w:tcPr>
          <w:p w:rsidR="00C952A0" w:rsidRDefault="00C952A0">
            <w:pPr>
              <w:rPr>
                <w:rFonts w:ascii="Times New Roman" w:hAnsi="Times New Roman"/>
                <w:sz w:val="20"/>
              </w:rPr>
            </w:pPr>
          </w:p>
        </w:tc>
        <w:tc>
          <w:tcPr>
            <w:tcW w:w="810" w:type="dxa"/>
          </w:tcPr>
          <w:p w:rsidR="00C952A0" w:rsidRDefault="00C952A0">
            <w:pPr>
              <w:rPr>
                <w:rFonts w:ascii="Times New Roman" w:hAnsi="Times New Roman"/>
                <w:sz w:val="20"/>
              </w:rPr>
            </w:pPr>
          </w:p>
        </w:tc>
        <w:tc>
          <w:tcPr>
            <w:tcW w:w="1890" w:type="dxa"/>
          </w:tcPr>
          <w:p w:rsidR="00C952A0" w:rsidRDefault="00BD05D7">
            <w:pPr>
              <w:rPr>
                <w:rFonts w:ascii="Times New Roman" w:hAnsi="Times New Roman"/>
                <w:sz w:val="20"/>
              </w:rPr>
            </w:pPr>
            <w:r>
              <w:rPr>
                <w:rFonts w:ascii="Times New Roman" w:hAnsi="Times New Roman"/>
                <w:sz w:val="20"/>
              </w:rPr>
              <w:t xml:space="preserve">                   0</w:t>
            </w:r>
          </w:p>
        </w:tc>
      </w:tr>
      <w:tr w:rsidR="00C952A0">
        <w:tc>
          <w:tcPr>
            <w:tcW w:w="3510" w:type="dxa"/>
            <w:gridSpan w:val="2"/>
          </w:tcPr>
          <w:p w:rsidR="00C952A0" w:rsidRDefault="00BD05D7">
            <w:pPr>
              <w:rPr>
                <w:rFonts w:ascii="Times New Roman" w:hAnsi="Times New Roman"/>
                <w:b/>
                <w:sz w:val="20"/>
              </w:rPr>
            </w:pPr>
            <w:r>
              <w:rPr>
                <w:rFonts w:ascii="Times New Roman" w:hAnsi="Times New Roman"/>
                <w:b/>
                <w:sz w:val="20"/>
              </w:rPr>
              <w:t>For-Profit Institutions</w:t>
            </w:r>
          </w:p>
        </w:tc>
        <w:tc>
          <w:tcPr>
            <w:tcW w:w="270" w:type="dxa"/>
          </w:tcPr>
          <w:p w:rsidR="00C952A0" w:rsidRDefault="00C952A0">
            <w:pPr>
              <w:rPr>
                <w:rFonts w:ascii="Times New Roman" w:hAnsi="Times New Roman"/>
                <w:sz w:val="20"/>
              </w:rPr>
            </w:pPr>
          </w:p>
        </w:tc>
        <w:tc>
          <w:tcPr>
            <w:tcW w:w="1260" w:type="dxa"/>
          </w:tcPr>
          <w:p w:rsidR="00C952A0" w:rsidRDefault="00C952A0">
            <w:pPr>
              <w:jc w:val="center"/>
              <w:rPr>
                <w:rFonts w:ascii="Times New Roman" w:hAnsi="Times New Roman"/>
                <w:sz w:val="20"/>
              </w:rPr>
            </w:pPr>
          </w:p>
        </w:tc>
        <w:tc>
          <w:tcPr>
            <w:tcW w:w="360" w:type="dxa"/>
          </w:tcPr>
          <w:p w:rsidR="00C952A0" w:rsidRDefault="00C952A0">
            <w:pPr>
              <w:jc w:val="center"/>
              <w:rPr>
                <w:rFonts w:ascii="Times New Roman" w:hAnsi="Times New Roman"/>
                <w:sz w:val="20"/>
              </w:rPr>
            </w:pPr>
          </w:p>
        </w:tc>
        <w:tc>
          <w:tcPr>
            <w:tcW w:w="1890" w:type="dxa"/>
          </w:tcPr>
          <w:p w:rsidR="00C952A0" w:rsidRDefault="00C952A0">
            <w:pPr>
              <w:jc w:val="center"/>
              <w:rPr>
                <w:rFonts w:ascii="Times New Roman" w:hAnsi="Times New Roman"/>
                <w:sz w:val="20"/>
              </w:rPr>
            </w:pPr>
          </w:p>
        </w:tc>
        <w:tc>
          <w:tcPr>
            <w:tcW w:w="810" w:type="dxa"/>
          </w:tcPr>
          <w:p w:rsidR="00C952A0" w:rsidRDefault="00C952A0">
            <w:pPr>
              <w:jc w:val="center"/>
              <w:rPr>
                <w:rFonts w:ascii="Times New Roman" w:hAnsi="Times New Roman"/>
                <w:sz w:val="20"/>
              </w:rPr>
            </w:pPr>
          </w:p>
        </w:tc>
        <w:tc>
          <w:tcPr>
            <w:tcW w:w="1890" w:type="dxa"/>
          </w:tcPr>
          <w:p w:rsidR="00C952A0" w:rsidRDefault="00C952A0">
            <w:pPr>
              <w:jc w:val="center"/>
              <w:rPr>
                <w:rFonts w:ascii="Times New Roman" w:hAnsi="Times New Roman"/>
                <w:sz w:val="20"/>
              </w:rPr>
            </w:pPr>
          </w:p>
        </w:tc>
      </w:tr>
      <w:tr w:rsidR="00C952A0">
        <w:tc>
          <w:tcPr>
            <w:tcW w:w="270" w:type="dxa"/>
          </w:tcPr>
          <w:p w:rsidR="00C952A0" w:rsidRDefault="00C952A0">
            <w:pPr>
              <w:rPr>
                <w:rFonts w:ascii="Times New Roman" w:hAnsi="Times New Roman"/>
                <w:sz w:val="20"/>
              </w:rPr>
            </w:pPr>
          </w:p>
        </w:tc>
        <w:tc>
          <w:tcPr>
            <w:tcW w:w="3240" w:type="dxa"/>
          </w:tcPr>
          <w:p w:rsidR="00C952A0" w:rsidRDefault="00BD05D7">
            <w:pPr>
              <w:rPr>
                <w:rFonts w:ascii="Times New Roman" w:hAnsi="Times New Roman"/>
                <w:sz w:val="20"/>
              </w:rPr>
            </w:pPr>
            <w:r>
              <w:rPr>
                <w:rFonts w:ascii="Times New Roman" w:hAnsi="Times New Roman"/>
                <w:sz w:val="20"/>
              </w:rPr>
              <w:t>Web-based Campus Safety and Security Survey</w:t>
            </w:r>
          </w:p>
        </w:tc>
        <w:tc>
          <w:tcPr>
            <w:tcW w:w="270" w:type="dxa"/>
          </w:tcPr>
          <w:p w:rsidR="00C952A0" w:rsidRDefault="00C952A0">
            <w:pPr>
              <w:rPr>
                <w:rFonts w:ascii="Times New Roman" w:hAnsi="Times New Roman"/>
                <w:sz w:val="20"/>
              </w:rPr>
            </w:pPr>
          </w:p>
        </w:tc>
        <w:tc>
          <w:tcPr>
            <w:tcW w:w="1260" w:type="dxa"/>
          </w:tcPr>
          <w:p w:rsidR="00C952A0" w:rsidRDefault="00BD05D7">
            <w:pPr>
              <w:rPr>
                <w:rFonts w:ascii="Times New Roman" w:hAnsi="Times New Roman"/>
                <w:sz w:val="20"/>
              </w:rPr>
            </w:pPr>
            <w:r>
              <w:rPr>
                <w:rFonts w:ascii="Times New Roman" w:hAnsi="Times New Roman"/>
                <w:sz w:val="20"/>
              </w:rPr>
              <w:t>3,294</w:t>
            </w:r>
          </w:p>
        </w:tc>
        <w:tc>
          <w:tcPr>
            <w:tcW w:w="360" w:type="dxa"/>
          </w:tcPr>
          <w:p w:rsidR="00C952A0" w:rsidRDefault="00BD05D7">
            <w:pPr>
              <w:jc w:val="center"/>
              <w:rPr>
                <w:rFonts w:ascii="Times New Roman" w:hAnsi="Times New Roman"/>
                <w:sz w:val="20"/>
              </w:rPr>
            </w:pPr>
            <w:r>
              <w:rPr>
                <w:rFonts w:ascii="Times New Roman" w:hAnsi="Times New Roman"/>
                <w:sz w:val="20"/>
              </w:rPr>
              <w:t>x</w:t>
            </w:r>
          </w:p>
        </w:tc>
        <w:tc>
          <w:tcPr>
            <w:tcW w:w="1890" w:type="dxa"/>
          </w:tcPr>
          <w:p w:rsidR="00C952A0" w:rsidRDefault="00BD05D7">
            <w:pPr>
              <w:jc w:val="center"/>
              <w:rPr>
                <w:rFonts w:ascii="Times New Roman" w:hAnsi="Times New Roman"/>
                <w:sz w:val="20"/>
              </w:rPr>
            </w:pPr>
            <w:r>
              <w:rPr>
                <w:rFonts w:ascii="Times New Roman" w:hAnsi="Times New Roman"/>
                <w:sz w:val="20"/>
              </w:rPr>
              <w:t>.42</w:t>
            </w:r>
          </w:p>
        </w:tc>
        <w:tc>
          <w:tcPr>
            <w:tcW w:w="810" w:type="dxa"/>
          </w:tcPr>
          <w:p w:rsidR="00C952A0" w:rsidRDefault="00BD05D7">
            <w:pPr>
              <w:jc w:val="center"/>
              <w:rPr>
                <w:rFonts w:ascii="Times New Roman" w:hAnsi="Times New Roman"/>
                <w:sz w:val="20"/>
              </w:rPr>
            </w:pPr>
            <w:r>
              <w:rPr>
                <w:rFonts w:ascii="Times New Roman" w:hAnsi="Times New Roman"/>
                <w:sz w:val="20"/>
              </w:rPr>
              <w:t>=</w:t>
            </w:r>
          </w:p>
        </w:tc>
        <w:tc>
          <w:tcPr>
            <w:tcW w:w="1890" w:type="dxa"/>
          </w:tcPr>
          <w:p w:rsidR="00C952A0" w:rsidRDefault="00BD05D7">
            <w:pPr>
              <w:tabs>
                <w:tab w:val="center" w:pos="837"/>
                <w:tab w:val="left" w:pos="1475"/>
              </w:tabs>
              <w:rPr>
                <w:rFonts w:ascii="Times New Roman" w:hAnsi="Times New Roman"/>
                <w:sz w:val="20"/>
              </w:rPr>
            </w:pPr>
            <w:r>
              <w:rPr>
                <w:rFonts w:ascii="Times New Roman" w:hAnsi="Times New Roman"/>
                <w:sz w:val="20"/>
              </w:rPr>
              <w:tab/>
              <w:t>1,383</w:t>
            </w:r>
            <w:r>
              <w:rPr>
                <w:rFonts w:ascii="Times New Roman" w:hAnsi="Times New Roman"/>
                <w:sz w:val="20"/>
              </w:rPr>
              <w:tab/>
            </w:r>
          </w:p>
        </w:tc>
      </w:tr>
      <w:tr w:rsidR="00C952A0">
        <w:tc>
          <w:tcPr>
            <w:tcW w:w="3510" w:type="dxa"/>
            <w:gridSpan w:val="2"/>
          </w:tcPr>
          <w:p w:rsidR="00C952A0" w:rsidRDefault="00BD05D7">
            <w:pPr>
              <w:rPr>
                <w:rFonts w:ascii="Times New Roman" w:hAnsi="Times New Roman"/>
                <w:b/>
                <w:sz w:val="20"/>
              </w:rPr>
            </w:pPr>
            <w:r>
              <w:rPr>
                <w:rFonts w:ascii="Times New Roman" w:hAnsi="Times New Roman"/>
                <w:b/>
                <w:sz w:val="20"/>
              </w:rPr>
              <w:t>Not-For-Profit Institutions</w:t>
            </w:r>
          </w:p>
        </w:tc>
        <w:tc>
          <w:tcPr>
            <w:tcW w:w="270" w:type="dxa"/>
          </w:tcPr>
          <w:p w:rsidR="00C952A0" w:rsidRDefault="00C952A0">
            <w:pPr>
              <w:rPr>
                <w:rFonts w:ascii="Times New Roman" w:hAnsi="Times New Roman"/>
                <w:sz w:val="20"/>
              </w:rPr>
            </w:pPr>
          </w:p>
        </w:tc>
        <w:tc>
          <w:tcPr>
            <w:tcW w:w="1260" w:type="dxa"/>
          </w:tcPr>
          <w:p w:rsidR="00C952A0" w:rsidRDefault="00C952A0">
            <w:pPr>
              <w:jc w:val="center"/>
              <w:rPr>
                <w:rFonts w:ascii="Times New Roman" w:hAnsi="Times New Roman"/>
                <w:sz w:val="20"/>
              </w:rPr>
            </w:pPr>
          </w:p>
        </w:tc>
        <w:tc>
          <w:tcPr>
            <w:tcW w:w="360" w:type="dxa"/>
          </w:tcPr>
          <w:p w:rsidR="00C952A0" w:rsidRDefault="00C952A0">
            <w:pPr>
              <w:jc w:val="center"/>
              <w:rPr>
                <w:rFonts w:ascii="Times New Roman" w:hAnsi="Times New Roman"/>
                <w:sz w:val="20"/>
              </w:rPr>
            </w:pPr>
          </w:p>
        </w:tc>
        <w:tc>
          <w:tcPr>
            <w:tcW w:w="1890" w:type="dxa"/>
          </w:tcPr>
          <w:p w:rsidR="00C952A0" w:rsidRDefault="00C952A0">
            <w:pPr>
              <w:jc w:val="center"/>
              <w:rPr>
                <w:rFonts w:ascii="Times New Roman" w:hAnsi="Times New Roman"/>
                <w:sz w:val="20"/>
              </w:rPr>
            </w:pPr>
          </w:p>
        </w:tc>
        <w:tc>
          <w:tcPr>
            <w:tcW w:w="810" w:type="dxa"/>
          </w:tcPr>
          <w:p w:rsidR="00C952A0" w:rsidRDefault="00C952A0">
            <w:pPr>
              <w:rPr>
                <w:rFonts w:ascii="Times New Roman" w:hAnsi="Times New Roman"/>
                <w:sz w:val="20"/>
              </w:rPr>
            </w:pPr>
          </w:p>
        </w:tc>
        <w:tc>
          <w:tcPr>
            <w:tcW w:w="1890" w:type="dxa"/>
          </w:tcPr>
          <w:p w:rsidR="00C952A0" w:rsidRDefault="00C952A0">
            <w:pPr>
              <w:jc w:val="center"/>
              <w:rPr>
                <w:rFonts w:ascii="Times New Roman" w:hAnsi="Times New Roman"/>
                <w:sz w:val="20"/>
              </w:rPr>
            </w:pPr>
          </w:p>
        </w:tc>
      </w:tr>
      <w:tr w:rsidR="00C952A0">
        <w:tc>
          <w:tcPr>
            <w:tcW w:w="270" w:type="dxa"/>
          </w:tcPr>
          <w:p w:rsidR="00C952A0" w:rsidRDefault="00C952A0">
            <w:pPr>
              <w:rPr>
                <w:rFonts w:ascii="Times New Roman" w:hAnsi="Times New Roman"/>
                <w:sz w:val="20"/>
              </w:rPr>
            </w:pPr>
          </w:p>
        </w:tc>
        <w:tc>
          <w:tcPr>
            <w:tcW w:w="3240" w:type="dxa"/>
          </w:tcPr>
          <w:p w:rsidR="00C952A0" w:rsidRDefault="00BD05D7">
            <w:pPr>
              <w:rPr>
                <w:rFonts w:ascii="Times New Roman" w:hAnsi="Times New Roman"/>
                <w:sz w:val="20"/>
              </w:rPr>
            </w:pPr>
            <w:r>
              <w:rPr>
                <w:rFonts w:ascii="Times New Roman" w:hAnsi="Times New Roman"/>
                <w:sz w:val="20"/>
              </w:rPr>
              <w:t>Web-based Campus Safety and Security Survey</w:t>
            </w:r>
          </w:p>
        </w:tc>
        <w:tc>
          <w:tcPr>
            <w:tcW w:w="270" w:type="dxa"/>
          </w:tcPr>
          <w:p w:rsidR="00C952A0" w:rsidRDefault="00C952A0">
            <w:pPr>
              <w:rPr>
                <w:rFonts w:ascii="Times New Roman" w:hAnsi="Times New Roman"/>
                <w:sz w:val="20"/>
              </w:rPr>
            </w:pPr>
          </w:p>
        </w:tc>
        <w:tc>
          <w:tcPr>
            <w:tcW w:w="1260" w:type="dxa"/>
          </w:tcPr>
          <w:p w:rsidR="00C952A0" w:rsidRDefault="00BD05D7">
            <w:pPr>
              <w:rPr>
                <w:rFonts w:ascii="Times New Roman" w:hAnsi="Times New Roman"/>
                <w:sz w:val="20"/>
              </w:rPr>
            </w:pPr>
            <w:r>
              <w:rPr>
                <w:rFonts w:ascii="Times New Roman" w:hAnsi="Times New Roman"/>
                <w:sz w:val="20"/>
              </w:rPr>
              <w:t>1,851</w:t>
            </w:r>
          </w:p>
        </w:tc>
        <w:tc>
          <w:tcPr>
            <w:tcW w:w="360" w:type="dxa"/>
          </w:tcPr>
          <w:p w:rsidR="00C952A0" w:rsidRDefault="00BD05D7">
            <w:pPr>
              <w:jc w:val="center"/>
              <w:rPr>
                <w:rFonts w:ascii="Times New Roman" w:hAnsi="Times New Roman"/>
                <w:sz w:val="20"/>
              </w:rPr>
            </w:pPr>
            <w:r>
              <w:rPr>
                <w:rFonts w:ascii="Times New Roman" w:hAnsi="Times New Roman"/>
                <w:sz w:val="20"/>
              </w:rPr>
              <w:t>x</w:t>
            </w:r>
          </w:p>
        </w:tc>
        <w:tc>
          <w:tcPr>
            <w:tcW w:w="1890" w:type="dxa"/>
          </w:tcPr>
          <w:p w:rsidR="00C952A0" w:rsidRDefault="00BD05D7">
            <w:pPr>
              <w:jc w:val="center"/>
              <w:rPr>
                <w:rFonts w:ascii="Times New Roman" w:hAnsi="Times New Roman"/>
                <w:sz w:val="20"/>
              </w:rPr>
            </w:pPr>
            <w:r>
              <w:rPr>
                <w:rFonts w:ascii="Times New Roman" w:hAnsi="Times New Roman"/>
                <w:sz w:val="20"/>
              </w:rPr>
              <w:t>.42</w:t>
            </w:r>
          </w:p>
        </w:tc>
        <w:tc>
          <w:tcPr>
            <w:tcW w:w="810" w:type="dxa"/>
          </w:tcPr>
          <w:p w:rsidR="00C952A0" w:rsidRDefault="00BD05D7">
            <w:pPr>
              <w:jc w:val="center"/>
              <w:rPr>
                <w:rFonts w:ascii="Times New Roman" w:hAnsi="Times New Roman"/>
                <w:sz w:val="20"/>
              </w:rPr>
            </w:pPr>
            <w:r>
              <w:rPr>
                <w:rFonts w:ascii="Times New Roman" w:hAnsi="Times New Roman"/>
                <w:sz w:val="20"/>
              </w:rPr>
              <w:t>=</w:t>
            </w:r>
          </w:p>
        </w:tc>
        <w:tc>
          <w:tcPr>
            <w:tcW w:w="1890" w:type="dxa"/>
          </w:tcPr>
          <w:p w:rsidR="00C952A0" w:rsidRDefault="00BD05D7">
            <w:pPr>
              <w:jc w:val="center"/>
              <w:rPr>
                <w:rFonts w:ascii="Times New Roman" w:hAnsi="Times New Roman"/>
                <w:sz w:val="20"/>
              </w:rPr>
            </w:pPr>
            <w:r>
              <w:rPr>
                <w:rFonts w:ascii="Times New Roman" w:hAnsi="Times New Roman"/>
                <w:sz w:val="20"/>
              </w:rPr>
              <w:t>777</w:t>
            </w:r>
          </w:p>
        </w:tc>
      </w:tr>
      <w:tr w:rsidR="00C952A0">
        <w:tc>
          <w:tcPr>
            <w:tcW w:w="3510" w:type="dxa"/>
            <w:gridSpan w:val="2"/>
          </w:tcPr>
          <w:p w:rsidR="00C952A0" w:rsidRDefault="00BD05D7">
            <w:pPr>
              <w:rPr>
                <w:rFonts w:ascii="Times New Roman" w:hAnsi="Times New Roman"/>
                <w:b/>
                <w:sz w:val="20"/>
              </w:rPr>
            </w:pPr>
            <w:r>
              <w:rPr>
                <w:rFonts w:ascii="Times New Roman" w:hAnsi="Times New Roman"/>
                <w:b/>
                <w:sz w:val="20"/>
              </w:rPr>
              <w:t>Public Institutions</w:t>
            </w:r>
          </w:p>
        </w:tc>
        <w:tc>
          <w:tcPr>
            <w:tcW w:w="270" w:type="dxa"/>
          </w:tcPr>
          <w:p w:rsidR="00C952A0" w:rsidRDefault="00C952A0">
            <w:pPr>
              <w:rPr>
                <w:rFonts w:ascii="Times New Roman" w:hAnsi="Times New Roman"/>
                <w:sz w:val="20"/>
              </w:rPr>
            </w:pPr>
          </w:p>
        </w:tc>
        <w:tc>
          <w:tcPr>
            <w:tcW w:w="1260" w:type="dxa"/>
          </w:tcPr>
          <w:p w:rsidR="00C952A0" w:rsidRDefault="00C952A0">
            <w:pPr>
              <w:jc w:val="center"/>
              <w:rPr>
                <w:rFonts w:ascii="Times New Roman" w:hAnsi="Times New Roman"/>
                <w:sz w:val="20"/>
              </w:rPr>
            </w:pPr>
          </w:p>
        </w:tc>
        <w:tc>
          <w:tcPr>
            <w:tcW w:w="360" w:type="dxa"/>
          </w:tcPr>
          <w:p w:rsidR="00C952A0" w:rsidRDefault="00C952A0">
            <w:pPr>
              <w:jc w:val="center"/>
              <w:rPr>
                <w:rFonts w:ascii="Times New Roman" w:hAnsi="Times New Roman"/>
                <w:sz w:val="20"/>
              </w:rPr>
            </w:pPr>
          </w:p>
        </w:tc>
        <w:tc>
          <w:tcPr>
            <w:tcW w:w="1890" w:type="dxa"/>
          </w:tcPr>
          <w:p w:rsidR="00C952A0" w:rsidRDefault="00C952A0">
            <w:pPr>
              <w:jc w:val="center"/>
              <w:rPr>
                <w:rFonts w:ascii="Times New Roman" w:hAnsi="Times New Roman"/>
                <w:sz w:val="20"/>
              </w:rPr>
            </w:pPr>
          </w:p>
        </w:tc>
        <w:tc>
          <w:tcPr>
            <w:tcW w:w="810" w:type="dxa"/>
          </w:tcPr>
          <w:p w:rsidR="00C952A0" w:rsidRDefault="00C952A0">
            <w:pPr>
              <w:rPr>
                <w:rFonts w:ascii="Times New Roman" w:hAnsi="Times New Roman"/>
                <w:sz w:val="20"/>
              </w:rPr>
            </w:pPr>
          </w:p>
        </w:tc>
        <w:tc>
          <w:tcPr>
            <w:tcW w:w="1890" w:type="dxa"/>
          </w:tcPr>
          <w:p w:rsidR="00C952A0" w:rsidRDefault="00C952A0">
            <w:pPr>
              <w:jc w:val="center"/>
              <w:rPr>
                <w:rFonts w:ascii="Times New Roman" w:hAnsi="Times New Roman"/>
                <w:sz w:val="20"/>
              </w:rPr>
            </w:pPr>
          </w:p>
        </w:tc>
      </w:tr>
      <w:tr w:rsidR="00C952A0">
        <w:tc>
          <w:tcPr>
            <w:tcW w:w="270" w:type="dxa"/>
          </w:tcPr>
          <w:p w:rsidR="00C952A0" w:rsidRDefault="00C952A0">
            <w:pPr>
              <w:rPr>
                <w:rFonts w:ascii="Times New Roman" w:hAnsi="Times New Roman"/>
                <w:sz w:val="20"/>
              </w:rPr>
            </w:pPr>
          </w:p>
        </w:tc>
        <w:tc>
          <w:tcPr>
            <w:tcW w:w="3240" w:type="dxa"/>
          </w:tcPr>
          <w:p w:rsidR="00C952A0" w:rsidRDefault="00BD05D7">
            <w:pPr>
              <w:rPr>
                <w:rFonts w:ascii="Times New Roman" w:hAnsi="Times New Roman"/>
                <w:sz w:val="20"/>
              </w:rPr>
            </w:pPr>
            <w:r>
              <w:rPr>
                <w:rFonts w:ascii="Times New Roman" w:hAnsi="Times New Roman"/>
                <w:sz w:val="20"/>
              </w:rPr>
              <w:t>Web-based Campus Safety and Security Survey</w:t>
            </w:r>
          </w:p>
        </w:tc>
        <w:tc>
          <w:tcPr>
            <w:tcW w:w="270" w:type="dxa"/>
          </w:tcPr>
          <w:p w:rsidR="00C952A0" w:rsidRDefault="00C952A0">
            <w:pPr>
              <w:rPr>
                <w:rFonts w:ascii="Times New Roman" w:hAnsi="Times New Roman"/>
                <w:sz w:val="20"/>
              </w:rPr>
            </w:pPr>
          </w:p>
        </w:tc>
        <w:tc>
          <w:tcPr>
            <w:tcW w:w="1260" w:type="dxa"/>
          </w:tcPr>
          <w:p w:rsidR="00C952A0" w:rsidRDefault="00BD05D7">
            <w:pPr>
              <w:rPr>
                <w:rFonts w:ascii="Times New Roman" w:hAnsi="Times New Roman"/>
                <w:sz w:val="20"/>
              </w:rPr>
            </w:pPr>
            <w:r>
              <w:rPr>
                <w:rFonts w:ascii="Times New Roman" w:hAnsi="Times New Roman"/>
                <w:sz w:val="20"/>
              </w:rPr>
              <w:t>1,990</w:t>
            </w:r>
          </w:p>
        </w:tc>
        <w:tc>
          <w:tcPr>
            <w:tcW w:w="360" w:type="dxa"/>
          </w:tcPr>
          <w:p w:rsidR="00C952A0" w:rsidRDefault="00BD05D7">
            <w:pPr>
              <w:jc w:val="center"/>
              <w:rPr>
                <w:rFonts w:ascii="Times New Roman" w:hAnsi="Times New Roman"/>
                <w:sz w:val="20"/>
              </w:rPr>
            </w:pPr>
            <w:r>
              <w:rPr>
                <w:rFonts w:ascii="Times New Roman" w:hAnsi="Times New Roman"/>
                <w:sz w:val="20"/>
              </w:rPr>
              <w:t>x</w:t>
            </w:r>
          </w:p>
        </w:tc>
        <w:tc>
          <w:tcPr>
            <w:tcW w:w="1890" w:type="dxa"/>
          </w:tcPr>
          <w:p w:rsidR="00C952A0" w:rsidRDefault="00BD05D7">
            <w:pPr>
              <w:jc w:val="center"/>
              <w:rPr>
                <w:rFonts w:ascii="Times New Roman" w:hAnsi="Times New Roman"/>
                <w:sz w:val="20"/>
              </w:rPr>
            </w:pPr>
            <w:r>
              <w:rPr>
                <w:rFonts w:ascii="Times New Roman" w:hAnsi="Times New Roman"/>
                <w:sz w:val="20"/>
              </w:rPr>
              <w:t>.42</w:t>
            </w:r>
          </w:p>
        </w:tc>
        <w:tc>
          <w:tcPr>
            <w:tcW w:w="810" w:type="dxa"/>
          </w:tcPr>
          <w:p w:rsidR="00C952A0" w:rsidRDefault="00BD05D7">
            <w:pPr>
              <w:jc w:val="center"/>
              <w:rPr>
                <w:rFonts w:ascii="Times New Roman" w:hAnsi="Times New Roman"/>
                <w:sz w:val="20"/>
              </w:rPr>
            </w:pPr>
            <w:r>
              <w:rPr>
                <w:rFonts w:ascii="Times New Roman" w:hAnsi="Times New Roman"/>
                <w:sz w:val="20"/>
              </w:rPr>
              <w:t>=</w:t>
            </w:r>
          </w:p>
        </w:tc>
        <w:tc>
          <w:tcPr>
            <w:tcW w:w="1890" w:type="dxa"/>
          </w:tcPr>
          <w:p w:rsidR="00C952A0" w:rsidRDefault="00BD05D7">
            <w:pPr>
              <w:jc w:val="center"/>
              <w:rPr>
                <w:rFonts w:ascii="Times New Roman" w:hAnsi="Times New Roman"/>
                <w:sz w:val="20"/>
              </w:rPr>
            </w:pPr>
            <w:r>
              <w:rPr>
                <w:rFonts w:ascii="Times New Roman" w:hAnsi="Times New Roman"/>
                <w:sz w:val="20"/>
              </w:rPr>
              <w:t>836</w:t>
            </w:r>
          </w:p>
        </w:tc>
      </w:tr>
      <w:tr w:rsidR="00C952A0">
        <w:tc>
          <w:tcPr>
            <w:tcW w:w="3510" w:type="dxa"/>
            <w:gridSpan w:val="2"/>
          </w:tcPr>
          <w:p w:rsidR="00C952A0" w:rsidRDefault="00BD05D7">
            <w:pPr>
              <w:jc w:val="right"/>
              <w:rPr>
                <w:rFonts w:ascii="Times New Roman" w:hAnsi="Times New Roman"/>
                <w:b/>
                <w:sz w:val="20"/>
              </w:rPr>
            </w:pPr>
            <w:r>
              <w:rPr>
                <w:rFonts w:ascii="Times New Roman" w:hAnsi="Times New Roman"/>
                <w:b/>
                <w:sz w:val="20"/>
              </w:rPr>
              <w:t>Total Respondent/Responses</w:t>
            </w:r>
          </w:p>
        </w:tc>
        <w:tc>
          <w:tcPr>
            <w:tcW w:w="270" w:type="dxa"/>
          </w:tcPr>
          <w:p w:rsidR="00C952A0" w:rsidRDefault="00C952A0">
            <w:pPr>
              <w:rPr>
                <w:rFonts w:ascii="Times New Roman" w:hAnsi="Times New Roman"/>
                <w:sz w:val="20"/>
              </w:rPr>
            </w:pPr>
          </w:p>
        </w:tc>
        <w:tc>
          <w:tcPr>
            <w:tcW w:w="1260" w:type="dxa"/>
          </w:tcPr>
          <w:p w:rsidR="00C952A0" w:rsidRDefault="00BD05D7">
            <w:pPr>
              <w:rPr>
                <w:rFonts w:ascii="Times New Roman" w:hAnsi="Times New Roman"/>
                <w:b/>
                <w:sz w:val="20"/>
              </w:rPr>
            </w:pPr>
            <w:r>
              <w:rPr>
                <w:rFonts w:ascii="Times New Roman" w:hAnsi="Times New Roman"/>
                <w:b/>
                <w:sz w:val="20"/>
              </w:rPr>
              <w:t>7,135</w:t>
            </w:r>
          </w:p>
        </w:tc>
        <w:tc>
          <w:tcPr>
            <w:tcW w:w="360" w:type="dxa"/>
          </w:tcPr>
          <w:p w:rsidR="00C952A0" w:rsidRDefault="00C952A0">
            <w:pPr>
              <w:jc w:val="center"/>
              <w:rPr>
                <w:rFonts w:ascii="Times New Roman" w:hAnsi="Times New Roman"/>
                <w:sz w:val="20"/>
              </w:rPr>
            </w:pPr>
          </w:p>
        </w:tc>
        <w:tc>
          <w:tcPr>
            <w:tcW w:w="2700" w:type="dxa"/>
            <w:gridSpan w:val="2"/>
          </w:tcPr>
          <w:p w:rsidR="00C952A0" w:rsidRDefault="00BD05D7">
            <w:pPr>
              <w:rPr>
                <w:rFonts w:ascii="Times New Roman" w:hAnsi="Times New Roman"/>
                <w:sz w:val="20"/>
              </w:rPr>
            </w:pPr>
            <w:r>
              <w:rPr>
                <w:rFonts w:ascii="Times New Roman" w:hAnsi="Times New Roman"/>
                <w:b/>
                <w:sz w:val="20"/>
              </w:rPr>
              <w:t>Total Hours of Burden</w:t>
            </w:r>
          </w:p>
        </w:tc>
        <w:tc>
          <w:tcPr>
            <w:tcW w:w="1890" w:type="dxa"/>
          </w:tcPr>
          <w:p w:rsidR="00C952A0" w:rsidRDefault="00BD05D7">
            <w:pPr>
              <w:jc w:val="center"/>
              <w:rPr>
                <w:rFonts w:ascii="Times New Roman" w:hAnsi="Times New Roman"/>
                <w:b/>
                <w:sz w:val="20"/>
              </w:rPr>
            </w:pPr>
            <w:r>
              <w:rPr>
                <w:rFonts w:ascii="Times New Roman" w:hAnsi="Times New Roman"/>
                <w:b/>
                <w:sz w:val="20"/>
              </w:rPr>
              <w:t>2,996</w:t>
            </w:r>
          </w:p>
        </w:tc>
      </w:tr>
    </w:tbl>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13.  </w:t>
      </w:r>
      <w:r>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numPr>
          <w:ilvl w:val="0"/>
          <w:numId w:val="5"/>
        </w:numPr>
        <w:tabs>
          <w:tab w:val="left" w:pos="-720"/>
          <w:tab w:val="left" w:pos="1247"/>
        </w:tabs>
        <w:suppressAutoHyphens/>
        <w:rPr>
          <w:rFonts w:ascii="Times New Roman" w:hAnsi="Times New Roman"/>
          <w:szCs w:val="24"/>
        </w:rPr>
      </w:pPr>
      <w:r>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C952A0" w:rsidRDefault="00C952A0">
      <w:pPr>
        <w:numPr>
          <w:ilvl w:val="12"/>
          <w:numId w:val="0"/>
        </w:numPr>
        <w:tabs>
          <w:tab w:val="left" w:pos="-720"/>
        </w:tabs>
        <w:suppressAutoHyphens/>
        <w:ind w:left="340"/>
        <w:rPr>
          <w:rFonts w:ascii="Times New Roman" w:hAnsi="Times New Roman"/>
          <w:szCs w:val="24"/>
        </w:rPr>
      </w:pPr>
    </w:p>
    <w:p w:rsidR="00C952A0" w:rsidRDefault="00BD05D7">
      <w:pPr>
        <w:numPr>
          <w:ilvl w:val="0"/>
          <w:numId w:val="5"/>
        </w:numPr>
        <w:tabs>
          <w:tab w:val="left" w:pos="-720"/>
          <w:tab w:val="left" w:pos="1247"/>
        </w:tabs>
        <w:suppressAutoHyphens/>
        <w:rPr>
          <w:rFonts w:ascii="Times New Roman" w:hAnsi="Times New Roman"/>
          <w:szCs w:val="24"/>
        </w:rPr>
      </w:pPr>
      <w:r>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952A0" w:rsidRDefault="00C952A0">
      <w:pPr>
        <w:tabs>
          <w:tab w:val="left" w:pos="-720"/>
          <w:tab w:val="left" w:pos="1247"/>
        </w:tabs>
        <w:suppressAutoHyphens/>
        <w:rPr>
          <w:rFonts w:ascii="Times New Roman" w:hAnsi="Times New Roman"/>
          <w:szCs w:val="24"/>
        </w:rPr>
      </w:pPr>
    </w:p>
    <w:p w:rsidR="00C952A0" w:rsidRDefault="00C952A0">
      <w:pPr>
        <w:tabs>
          <w:tab w:val="left" w:pos="-720"/>
          <w:tab w:val="left" w:pos="1247"/>
        </w:tabs>
        <w:suppressAutoHyphens/>
        <w:ind w:left="340"/>
        <w:rPr>
          <w:rFonts w:ascii="Times New Roman" w:hAnsi="Times New Roman"/>
          <w:szCs w:val="24"/>
        </w:rPr>
      </w:pPr>
    </w:p>
    <w:p w:rsidR="00C952A0" w:rsidRDefault="00BD05D7">
      <w:pPr>
        <w:numPr>
          <w:ilvl w:val="0"/>
          <w:numId w:val="5"/>
        </w:numPr>
        <w:tabs>
          <w:tab w:val="left" w:pos="-720"/>
          <w:tab w:val="left" w:pos="1247"/>
        </w:tabs>
        <w:suppressAutoHyphens/>
        <w:rPr>
          <w:rFonts w:ascii="Times New Roman" w:hAnsi="Times New Roman"/>
          <w:szCs w:val="24"/>
        </w:rPr>
      </w:pPr>
      <w:r>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w:t>
      </w:r>
      <w:r>
        <w:rPr>
          <w:rFonts w:ascii="Times New Roman" w:hAnsi="Times New Roman"/>
          <w:szCs w:val="24"/>
        </w:rPr>
        <w:lastRenderedPageBreak/>
        <w:t>usual business or private practices. Also, these estimates should not include the hourly costs (i.e., the monetization of the hours) captured above in Item 12</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ab/>
        <w:t>Total Annualized Capital/Startup Cost</w:t>
      </w:r>
      <w:r>
        <w:rPr>
          <w:rFonts w:ascii="Times New Roman" w:hAnsi="Times New Roman"/>
          <w:szCs w:val="24"/>
        </w:rPr>
        <w:tab/>
        <w:t xml:space="preserve">: </w:t>
      </w:r>
      <w:bookmarkStart w:id="2" w:name="Startup"/>
      <w:r>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2"/>
    </w:p>
    <w:p w:rsidR="00C952A0" w:rsidRDefault="00BD05D7">
      <w:pPr>
        <w:tabs>
          <w:tab w:val="left" w:pos="-720"/>
        </w:tabs>
        <w:suppressAutoHyphens/>
        <w:rPr>
          <w:rFonts w:ascii="Times New Roman" w:hAnsi="Times New Roman"/>
          <w:szCs w:val="24"/>
        </w:rPr>
      </w:pPr>
      <w:r>
        <w:rPr>
          <w:rFonts w:ascii="Times New Roman" w:hAnsi="Times New Roman"/>
          <w:szCs w:val="24"/>
        </w:rPr>
        <w:tab/>
        <w:t>Total Annual Costs (O&amp;M)</w:t>
      </w:r>
      <w:r>
        <w:rPr>
          <w:rFonts w:ascii="Times New Roman" w:hAnsi="Times New Roman"/>
          <w:szCs w:val="24"/>
        </w:rPr>
        <w:tab/>
      </w:r>
      <w:r>
        <w:rPr>
          <w:rFonts w:ascii="Times New Roman" w:hAnsi="Times New Roman"/>
          <w:szCs w:val="24"/>
        </w:rPr>
        <w:tab/>
        <w:t xml:space="preserve">: </w:t>
      </w:r>
      <w:bookmarkStart w:id="3" w:name="OM"/>
      <w:r>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
    </w:p>
    <w:p w:rsidR="00C952A0" w:rsidRDefault="00BD05D7">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____________________</w:t>
      </w:r>
    </w:p>
    <w:p w:rsidR="00C952A0" w:rsidRDefault="00BD05D7">
      <w:pPr>
        <w:tabs>
          <w:tab w:val="left" w:pos="-720"/>
        </w:tabs>
        <w:suppressAutoHyphens/>
        <w:rPr>
          <w:rFonts w:ascii="Times New Roman" w:hAnsi="Times New Roman"/>
          <w:szCs w:val="24"/>
        </w:rPr>
      </w:pPr>
      <w:r>
        <w:rPr>
          <w:rFonts w:ascii="Times New Roman" w:hAnsi="Times New Roman"/>
          <w:szCs w:val="24"/>
        </w:rPr>
        <w:tab/>
        <w:t>Total Annualized Costs Requested</w:t>
      </w:r>
      <w:r>
        <w:rPr>
          <w:rFonts w:ascii="Times New Roman" w:hAnsi="Times New Roman"/>
          <w:szCs w:val="24"/>
        </w:rPr>
        <w:tab/>
        <w:t xml:space="preserve">: </w:t>
      </w:r>
      <w:bookmarkStart w:id="4" w:name="Total_Cost"/>
      <w:r>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4"/>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There are no capital/startup costs to respondents.</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14. </w:t>
      </w:r>
      <w:r>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52A0" w:rsidRDefault="00C952A0">
      <w:pPr>
        <w:tabs>
          <w:tab w:val="left" w:pos="-720"/>
        </w:tabs>
        <w:suppressAutoHyphens/>
        <w:rPr>
          <w:rFonts w:ascii="Times New Roman" w:hAnsi="Times New Roman"/>
          <w:szCs w:val="24"/>
        </w:rPr>
      </w:pPr>
    </w:p>
    <w:p w:rsidR="00C952A0" w:rsidRDefault="00BD05D7">
      <w:pPr>
        <w:pStyle w:val="NormalWeb"/>
        <w:ind w:left="720"/>
      </w:pPr>
      <w:r>
        <w:t xml:space="preserve">On an annual basis, over three collection years, ED’s contract costs will average about $1,600,000 a year.   This cost is associated with the contract awarded to conduct the data collection and includes the preparation and dissemination of “reminder” data collection memos to over 7,000 institutions of higher education.  Throughout the collection period, the contractor is responsible for oversight of the individual submissions, including daily reviews of the data submitted for errors or inconsistencies that could not be detected by the online application and the reviewer must also read the text to determine if the response is adequate and appropriate; follow up on any questions posed by institutions submitting, and data migration.   The contract also staff a help desk 8 am to 6 pm on business days.  </w:t>
      </w:r>
    </w:p>
    <w:p w:rsidR="00C952A0" w:rsidRDefault="00BD05D7">
      <w:pPr>
        <w:tabs>
          <w:tab w:val="left" w:pos="-720"/>
        </w:tabs>
        <w:suppressAutoHyphens/>
        <w:ind w:left="720"/>
        <w:rPr>
          <w:rFonts w:ascii="Times New Roman" w:hAnsi="Times New Roman"/>
          <w:szCs w:val="24"/>
        </w:rPr>
      </w:pPr>
      <w:r>
        <w:rPr>
          <w:rFonts w:ascii="Times New Roman" w:hAnsi="Times New Roman"/>
          <w:szCs w:val="24"/>
        </w:rPr>
        <w:t>The cost for ED staff to review the data collection is based on the hourly salary of a GS 12-5.   Staff will take approximately 40 hours to review the data at a yearly cost of $1,643.</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lastRenderedPageBreak/>
        <w:t xml:space="preserve">This is a request for a new OMB collection.  The increase in burden of 2,996 hours is based on the survey collection form designed to include information regarding the crimes that the Violence </w:t>
      </w:r>
      <w:proofErr w:type="gramStart"/>
      <w:r>
        <w:rPr>
          <w:rFonts w:ascii="Times New Roman" w:hAnsi="Times New Roman"/>
          <w:szCs w:val="24"/>
        </w:rPr>
        <w:t>Against</w:t>
      </w:r>
      <w:proofErr w:type="gramEnd"/>
      <w:r>
        <w:rPr>
          <w:rFonts w:ascii="Times New Roman" w:hAnsi="Times New Roman"/>
          <w:szCs w:val="24"/>
        </w:rPr>
        <w:t xml:space="preserve"> Women Reauthorization Act of 2013 added to the Clery data collection and dissemination requirements.  Furthermore, as a result of the public comment process and consultation with other Federal agencies, ED has elected to collect information regarding the number of crimes which are unfounded as well as the contact information of certain institutional administrators.</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u w:val="single"/>
        </w:rPr>
      </w:pPr>
      <w:r>
        <w:rPr>
          <w:rFonts w:ascii="Times New Roman" w:hAnsi="Times New Roman"/>
          <w:szCs w:val="24"/>
        </w:rPr>
        <w:t xml:space="preserve">ED estimates that it will take approximately 25 minutes for each of the institutions to provide the relevant information on the form.  This is based on administrators already having calculated and disclosed the crime statistics in their annual security and fire safety reports. </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16. </w:t>
      </w:r>
      <w:r>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ind w:left="720"/>
        <w:rPr>
          <w:rFonts w:ascii="Times New Roman" w:hAnsi="Times New Roman"/>
          <w:szCs w:val="24"/>
        </w:rPr>
      </w:pPr>
      <w:r>
        <w:rPr>
          <w:rFonts w:ascii="Times New Roman" w:hAnsi="Times New Roman"/>
          <w:szCs w:val="24"/>
        </w:rPr>
        <w:t xml:space="preserve">Both institutions and ED display the annual campus safety and security survey results on web sites to comply with regulation and statute, as well as to offer greater information sharing with the public. </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Fonts w:ascii="Times New Roman" w:hAnsi="Times New Roman"/>
          <w:szCs w:val="24"/>
        </w:rPr>
      </w:pPr>
      <w:r>
        <w:rPr>
          <w:rFonts w:ascii="Times New Roman" w:hAnsi="Times New Roman"/>
          <w:szCs w:val="24"/>
        </w:rPr>
        <w:t xml:space="preserve">17. </w:t>
      </w:r>
      <w:r>
        <w:rPr>
          <w:rStyle w:val="a"/>
          <w:rFonts w:ascii="Times New Roman" w:hAnsi="Times New Roman"/>
          <w:szCs w:val="24"/>
        </w:rPr>
        <w:t>If seeking approval to not display the expiration date for OMB approval of the information collection, explain the reasons that display would be inappropriate.</w:t>
      </w:r>
    </w:p>
    <w:p w:rsidR="00C952A0" w:rsidRDefault="00C952A0">
      <w:pPr>
        <w:tabs>
          <w:tab w:val="left" w:pos="-720"/>
        </w:tabs>
        <w:suppressAutoHyphens/>
        <w:rPr>
          <w:rFonts w:ascii="Times New Roman" w:hAnsi="Times New Roman"/>
          <w:szCs w:val="24"/>
        </w:rPr>
      </w:pPr>
    </w:p>
    <w:p w:rsidR="00C952A0" w:rsidRDefault="00BD05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Times New Roman" w:hAnsi="Times New Roman"/>
          <w:snapToGrid w:val="0"/>
          <w:szCs w:val="24"/>
        </w:rPr>
      </w:pPr>
      <w:r>
        <w:rPr>
          <w:rFonts w:ascii="Times New Roman" w:hAnsi="Times New Roman"/>
          <w:snapToGrid w:val="0"/>
          <w:szCs w:val="24"/>
        </w:rPr>
        <w:t>ED is not seeking approval to forego displaying the OMB approval expiration date.</w:t>
      </w:r>
    </w:p>
    <w:p w:rsidR="00C952A0" w:rsidRDefault="00C952A0">
      <w:pPr>
        <w:tabs>
          <w:tab w:val="left" w:pos="-720"/>
        </w:tabs>
        <w:suppressAutoHyphens/>
        <w:rPr>
          <w:rFonts w:ascii="Times New Roman" w:hAnsi="Times New Roman"/>
          <w:szCs w:val="24"/>
        </w:rPr>
      </w:pPr>
    </w:p>
    <w:p w:rsidR="00C952A0" w:rsidRDefault="00C952A0">
      <w:pPr>
        <w:tabs>
          <w:tab w:val="left" w:pos="-720"/>
        </w:tabs>
        <w:suppressAutoHyphens/>
        <w:rPr>
          <w:rFonts w:ascii="Times New Roman" w:hAnsi="Times New Roman"/>
          <w:szCs w:val="24"/>
        </w:rPr>
      </w:pPr>
    </w:p>
    <w:p w:rsidR="00C952A0" w:rsidRDefault="00BD05D7">
      <w:pPr>
        <w:tabs>
          <w:tab w:val="left" w:pos="-720"/>
        </w:tabs>
        <w:suppressAutoHyphens/>
        <w:rPr>
          <w:rStyle w:val="a"/>
          <w:rFonts w:ascii="Times New Roman" w:hAnsi="Times New Roman"/>
          <w:szCs w:val="24"/>
        </w:rPr>
      </w:pPr>
      <w:r>
        <w:rPr>
          <w:rFonts w:ascii="Times New Roman" w:hAnsi="Times New Roman"/>
          <w:szCs w:val="24"/>
        </w:rPr>
        <w:t xml:space="preserve">18. </w:t>
      </w:r>
      <w:r>
        <w:rPr>
          <w:rStyle w:val="a"/>
          <w:rFonts w:ascii="Times New Roman" w:hAnsi="Times New Roman"/>
          <w:szCs w:val="24"/>
        </w:rPr>
        <w:t>Explain each exception to the certification statement identified in the Certification of Paperwork Reduction Act.</w:t>
      </w:r>
    </w:p>
    <w:p w:rsidR="00C952A0" w:rsidRDefault="00C952A0">
      <w:pPr>
        <w:tabs>
          <w:tab w:val="left" w:pos="-720"/>
        </w:tabs>
        <w:suppressAutoHyphens/>
        <w:rPr>
          <w:rStyle w:val="a"/>
          <w:rFonts w:ascii="Times New Roman" w:hAnsi="Times New Roman"/>
          <w:szCs w:val="24"/>
        </w:rPr>
      </w:pPr>
    </w:p>
    <w:p w:rsidR="00C952A0" w:rsidRDefault="00BD05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Fonts w:ascii="Times New Roman" w:hAnsi="Times New Roman"/>
          <w:snapToGrid w:val="0"/>
          <w:szCs w:val="24"/>
        </w:rPr>
      </w:pPr>
      <w:r>
        <w:rPr>
          <w:rFonts w:ascii="Times New Roman" w:hAnsi="Times New Roman"/>
          <w:snapToGrid w:val="0"/>
          <w:szCs w:val="24"/>
        </w:rPr>
        <w:t>ED is not seeking exceptions to the certification statement.</w:t>
      </w:r>
    </w:p>
    <w:p w:rsidR="00C952A0" w:rsidRDefault="00C952A0">
      <w:pPr>
        <w:tabs>
          <w:tab w:val="left" w:pos="-720"/>
        </w:tabs>
        <w:suppressAutoHyphens/>
        <w:rPr>
          <w:rFonts w:ascii="Times New Roman" w:hAnsi="Times New Roman"/>
          <w:szCs w:val="24"/>
        </w:rPr>
      </w:pPr>
    </w:p>
    <w:sectPr w:rsidR="00C952A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A0" w:rsidRDefault="00C952A0">
      <w:pPr>
        <w:spacing w:line="20" w:lineRule="exact"/>
      </w:pPr>
    </w:p>
  </w:endnote>
  <w:endnote w:type="continuationSeparator" w:id="0">
    <w:p w:rsidR="00C952A0" w:rsidRDefault="00BD05D7">
      <w:r>
        <w:t xml:space="preserve"> </w:t>
      </w:r>
    </w:p>
  </w:endnote>
  <w:endnote w:type="continuationNotice" w:id="1">
    <w:p w:rsidR="00C952A0" w:rsidRDefault="00BD05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A0" w:rsidRDefault="00C952A0">
    <w:pPr>
      <w:spacing w:before="140" w:line="100" w:lineRule="exact"/>
      <w:rPr>
        <w:sz w:val="10"/>
      </w:rPr>
    </w:pPr>
  </w:p>
  <w:p w:rsidR="00C952A0" w:rsidRDefault="00C952A0">
    <w:pPr>
      <w:tabs>
        <w:tab w:val="left" w:pos="0"/>
      </w:tabs>
      <w:suppressAutoHyphens/>
    </w:pPr>
  </w:p>
  <w:p w:rsidR="00C952A0" w:rsidRDefault="00BD05D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952A0" w:rsidRDefault="00BD05D7">
                          <w:pPr>
                            <w:tabs>
                              <w:tab w:val="center" w:pos="4650"/>
                            </w:tabs>
                            <w:suppressAutoHyphens/>
                            <w:jc w:val="both"/>
                          </w:pPr>
                          <w:r>
                            <w:tab/>
                          </w:r>
                          <w:r>
                            <w:fldChar w:fldCharType="begin"/>
                          </w:r>
                          <w:r>
                            <w:instrText>page \* arabic</w:instrText>
                          </w:r>
                          <w:r>
                            <w:fldChar w:fldCharType="separate"/>
                          </w:r>
                          <w:r w:rsidR="00FD6604">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952A0" w:rsidRDefault="00BD05D7">
                    <w:pPr>
                      <w:tabs>
                        <w:tab w:val="center" w:pos="4650"/>
                      </w:tabs>
                      <w:suppressAutoHyphens/>
                      <w:jc w:val="both"/>
                    </w:pPr>
                    <w:r>
                      <w:tab/>
                    </w:r>
                    <w:r>
                      <w:fldChar w:fldCharType="begin"/>
                    </w:r>
                    <w:r>
                      <w:instrText>page \* arabic</w:instrText>
                    </w:r>
                    <w:r>
                      <w:fldChar w:fldCharType="separate"/>
                    </w:r>
                    <w:r w:rsidR="00FD6604">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A0" w:rsidRDefault="00BD05D7">
      <w:r>
        <w:separator/>
      </w:r>
    </w:p>
  </w:footnote>
  <w:footnote w:type="continuationSeparator" w:id="0">
    <w:p w:rsidR="00C952A0" w:rsidRDefault="00BD05D7">
      <w:r>
        <w:continuationSeparator/>
      </w:r>
    </w:p>
  </w:footnote>
  <w:footnote w:id="1">
    <w:p w:rsidR="00C952A0" w:rsidRDefault="00BD05D7">
      <w:pPr>
        <w:pStyle w:val="FootnoteText"/>
      </w:pPr>
      <w:r>
        <w:rPr>
          <w:rStyle w:val="FootnoteReference"/>
        </w:rPr>
        <w:footnoteRef/>
      </w:r>
      <w:r>
        <w:t xml:space="preserve"> </w:t>
      </w:r>
      <w:r>
        <w:rPr>
          <w:rFonts w:ascii="Times New Roman" w:hAnsi="Times New Roman"/>
          <w:sz w:val="20"/>
        </w:rPr>
        <w:t>Please limit pasted text to no longer than 3 paragraphs.</w:t>
      </w:r>
    </w:p>
  </w:footnote>
  <w:footnote w:id="2">
    <w:p w:rsidR="00C952A0" w:rsidRDefault="00BD05D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A0" w:rsidRDefault="00BD05D7">
    <w:pPr>
      <w:pStyle w:val="Header"/>
      <w:rPr>
        <w:rFonts w:ascii="Times New Roman" w:hAnsi="Times New Roman"/>
        <w:sz w:val="20"/>
      </w:rPr>
    </w:pPr>
    <w:r>
      <w:rPr>
        <w:rFonts w:ascii="Times New Roman" w:hAnsi="Times New Roman"/>
        <w:sz w:val="20"/>
      </w:rPr>
      <w:t>OMB Number: 1840-NEW                                         Revised: 11/18/2014</w:t>
    </w:r>
  </w:p>
  <w:p w:rsidR="00C952A0" w:rsidRDefault="00BD05D7">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A0"/>
    <w:rsid w:val="005F2C90"/>
    <w:rsid w:val="00870C02"/>
    <w:rsid w:val="00BD05D7"/>
    <w:rsid w:val="00BF321E"/>
    <w:rsid w:val="00C952A0"/>
    <w:rsid w:val="00FD6604"/>
    <w:rsid w:val="00FE33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pPr>
      <w:tabs>
        <w:tab w:val="left" w:pos="-720"/>
      </w:tabs>
      <w:suppressAutoHyphens/>
    </w:p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Pr>
      <w:rFonts w:ascii="Courier" w:hAnsi="Courier" w:cs="Times New Roman"/>
      <w:sz w:val="24"/>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Pr>
      <w:rFonts w:ascii="Courier" w:hAnsi="Courier" w:cs="Times New Roman"/>
      <w:sz w:val="24"/>
      <w:vertAlign w:val="superscript"/>
      <w:lang w:val="en-US"/>
    </w:rPr>
  </w:style>
  <w:style w:type="character" w:customStyle="1" w:styleId="DefaultParagraphFo">
    <w:name w:val="Default Paragraph Fo"/>
    <w:basedOn w:val="DefaultParagraphFont"/>
    <w:uiPriority w:val="99"/>
    <w:rPr>
      <w:rFonts w:cs="Times New Roman"/>
    </w:rPr>
  </w:style>
  <w:style w:type="character" w:customStyle="1" w:styleId="EquationCaption">
    <w:name w:val="_Equation Caption"/>
    <w:basedOn w:val="DefaultParagraphFont"/>
    <w:uiPriority w:val="99"/>
    <w:rPr>
      <w:rFonts w:cs="Times New Roman"/>
    </w:rPr>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Pr>
      <w:rFonts w:ascii="Courier" w:hAnsi="Courier" w:cs="Times New Roman"/>
      <w:sz w:val="20"/>
      <w:szCs w:val="20"/>
    </w:rPr>
  </w:style>
  <w:style w:type="paragraph" w:styleId="Header">
    <w:name w:val="header"/>
    <w:basedOn w:val="Normal"/>
    <w:link w:val="HeaderChar"/>
    <w:uiPriority w:val="99"/>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Pr>
      <w:rFonts w:ascii="Courier" w:hAnsi="Courier" w:cs="Times New Roman"/>
      <w:sz w:val="20"/>
      <w:szCs w:val="20"/>
    </w:rPr>
  </w:style>
  <w:style w:type="character" w:styleId="PageNumber">
    <w:name w:val="page number"/>
    <w:basedOn w:val="DefaultParagraphFont"/>
    <w:uiPriority w:val="99"/>
    <w:rPr>
      <w:rFonts w:cs="Times New Roman"/>
    </w:rPr>
  </w:style>
  <w:style w:type="character" w:customStyle="1" w:styleId="EquationCaption1">
    <w:name w:val="_Equation Caption1"/>
    <w:basedOn w:val="DefaultParagraphFont"/>
    <w:uiPriority w:val="99"/>
    <w:rPr>
      <w:rFonts w:cs="Times New Roman"/>
    </w:rPr>
  </w:style>
  <w:style w:type="paragraph" w:styleId="TOC1">
    <w:name w:val="toc 1"/>
    <w:basedOn w:val="Normal"/>
    <w:next w:val="Normal"/>
    <w:uiPriority w:val="99"/>
    <w:semiHidden/>
    <w:pPr>
      <w:tabs>
        <w:tab w:val="right" w:leader="dot" w:pos="9360"/>
      </w:tabs>
      <w:suppressAutoHyphens/>
      <w:spacing w:before="480"/>
      <w:ind w:left="720" w:right="720" w:hanging="720"/>
    </w:pPr>
  </w:style>
  <w:style w:type="paragraph" w:styleId="TOC2">
    <w:name w:val="toc 2"/>
    <w:basedOn w:val="Normal"/>
    <w:next w:val="Normal"/>
    <w:uiPriority w:val="99"/>
    <w:semiHidden/>
    <w:pPr>
      <w:tabs>
        <w:tab w:val="right" w:leader="dot" w:pos="9360"/>
      </w:tabs>
      <w:suppressAutoHyphens/>
      <w:ind w:left="1440" w:right="720" w:hanging="720"/>
    </w:pPr>
  </w:style>
  <w:style w:type="paragraph" w:styleId="TOC3">
    <w:name w:val="toc 3"/>
    <w:basedOn w:val="Normal"/>
    <w:next w:val="Normal"/>
    <w:uiPriority w:val="99"/>
    <w:semiHidden/>
    <w:pPr>
      <w:tabs>
        <w:tab w:val="right" w:leader="dot" w:pos="9360"/>
      </w:tabs>
      <w:suppressAutoHyphens/>
      <w:ind w:left="2160" w:right="720" w:hanging="720"/>
    </w:pPr>
  </w:style>
  <w:style w:type="paragraph" w:styleId="TOC4">
    <w:name w:val="toc 4"/>
    <w:basedOn w:val="Normal"/>
    <w:next w:val="Normal"/>
    <w:uiPriority w:val="99"/>
    <w:semiHidden/>
    <w:pPr>
      <w:tabs>
        <w:tab w:val="right" w:leader="dot" w:pos="9360"/>
      </w:tabs>
      <w:suppressAutoHyphens/>
      <w:ind w:left="2880" w:right="720" w:hanging="720"/>
    </w:pPr>
  </w:style>
  <w:style w:type="paragraph" w:styleId="TOC5">
    <w:name w:val="toc 5"/>
    <w:basedOn w:val="Normal"/>
    <w:next w:val="Normal"/>
    <w:uiPriority w:val="99"/>
    <w:semiHidden/>
    <w:pPr>
      <w:tabs>
        <w:tab w:val="right" w:leader="dot" w:pos="9360"/>
      </w:tabs>
      <w:suppressAutoHyphens/>
      <w:ind w:left="3600" w:right="720" w:hanging="720"/>
    </w:pPr>
  </w:style>
  <w:style w:type="paragraph" w:styleId="TOC6">
    <w:name w:val="toc 6"/>
    <w:basedOn w:val="Normal"/>
    <w:next w:val="Normal"/>
    <w:uiPriority w:val="99"/>
    <w:semiHidden/>
    <w:pPr>
      <w:tabs>
        <w:tab w:val="right" w:pos="9360"/>
      </w:tabs>
      <w:suppressAutoHyphens/>
      <w:ind w:left="720" w:hanging="720"/>
    </w:pPr>
  </w:style>
  <w:style w:type="paragraph" w:styleId="TOC7">
    <w:name w:val="toc 7"/>
    <w:basedOn w:val="Normal"/>
    <w:next w:val="Normal"/>
    <w:uiPriority w:val="99"/>
    <w:semiHidden/>
    <w:pPr>
      <w:suppressAutoHyphens/>
      <w:ind w:left="720" w:hanging="720"/>
    </w:pPr>
  </w:style>
  <w:style w:type="paragraph" w:styleId="TOC8">
    <w:name w:val="toc 8"/>
    <w:basedOn w:val="Normal"/>
    <w:next w:val="Normal"/>
    <w:uiPriority w:val="99"/>
    <w:semiHidden/>
    <w:pPr>
      <w:tabs>
        <w:tab w:val="right" w:pos="9360"/>
      </w:tabs>
      <w:suppressAutoHyphens/>
      <w:ind w:left="720" w:hanging="720"/>
    </w:pPr>
  </w:style>
  <w:style w:type="paragraph" w:styleId="TOC9">
    <w:name w:val="toc 9"/>
    <w:basedOn w:val="Normal"/>
    <w:next w:val="Normal"/>
    <w:uiPriority w:val="99"/>
    <w:semiHidden/>
    <w:pPr>
      <w:tabs>
        <w:tab w:val="right" w:leader="dot" w:pos="9360"/>
      </w:tabs>
      <w:suppressAutoHyphens/>
      <w:ind w:left="720" w:hanging="720"/>
    </w:pPr>
  </w:style>
  <w:style w:type="paragraph" w:styleId="Index1">
    <w:name w:val="index 1"/>
    <w:basedOn w:val="Normal"/>
    <w:next w:val="Normal"/>
    <w:uiPriority w:val="99"/>
    <w:semiHidden/>
    <w:pPr>
      <w:tabs>
        <w:tab w:val="right" w:leader="dot" w:pos="9360"/>
      </w:tabs>
      <w:suppressAutoHyphens/>
      <w:ind w:left="1440" w:right="720" w:hanging="144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2">
    <w:name w:val="_Equation Caption2"/>
    <w:basedOn w:val="DefaultParagraphFont"/>
    <w:uiPriority w:val="99"/>
    <w:rPr>
      <w:rFonts w:cs="Times New Roman"/>
    </w:rPr>
  </w:style>
  <w:style w:type="character" w:customStyle="1" w:styleId="EquationCaption3">
    <w:name w:val="_Equation Caption3"/>
    <w:uiPriority w:val="99"/>
  </w:style>
  <w:style w:type="character" w:customStyle="1" w:styleId="a">
    <w:name w:val="À"/>
    <w:basedOn w:val="DefaultParagraphFont"/>
    <w:rPr>
      <w:rFonts w:cs="Times New Roman"/>
    </w:rPr>
  </w:style>
  <w:style w:type="paragraph" w:styleId="Title">
    <w:name w:val="Title"/>
    <w:basedOn w:val="Normal"/>
    <w:link w:val="TitleChar"/>
    <w:uiPriority w:val="99"/>
    <w:qFormat/>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locked/>
    <w:rPr>
      <w:rFonts w:ascii="Courier" w:hAnsi="Courier"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Courier" w:hAnsi="Courier" w:cs="Times New Roman"/>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table" w:customStyle="1" w:styleId="TableGrid1">
    <w:name w:val="Table Grid1"/>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pPr>
      <w:tabs>
        <w:tab w:val="left" w:pos="-720"/>
      </w:tabs>
      <w:suppressAutoHyphens/>
    </w:p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Pr>
      <w:rFonts w:ascii="Courier" w:hAnsi="Courier" w:cs="Times New Roman"/>
      <w:sz w:val="24"/>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Pr>
      <w:rFonts w:ascii="Courier" w:hAnsi="Courier" w:cs="Times New Roman"/>
      <w:sz w:val="24"/>
      <w:vertAlign w:val="superscript"/>
      <w:lang w:val="en-US"/>
    </w:rPr>
  </w:style>
  <w:style w:type="character" w:customStyle="1" w:styleId="DefaultParagraphFo">
    <w:name w:val="Default Paragraph Fo"/>
    <w:basedOn w:val="DefaultParagraphFont"/>
    <w:uiPriority w:val="99"/>
    <w:rPr>
      <w:rFonts w:cs="Times New Roman"/>
    </w:rPr>
  </w:style>
  <w:style w:type="character" w:customStyle="1" w:styleId="EquationCaption">
    <w:name w:val="_Equation Caption"/>
    <w:basedOn w:val="DefaultParagraphFont"/>
    <w:uiPriority w:val="99"/>
    <w:rPr>
      <w:rFonts w:cs="Times New Roman"/>
    </w:rPr>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Pr>
      <w:rFonts w:ascii="Courier" w:hAnsi="Courier" w:cs="Times New Roman"/>
      <w:sz w:val="20"/>
      <w:szCs w:val="20"/>
    </w:rPr>
  </w:style>
  <w:style w:type="paragraph" w:styleId="Header">
    <w:name w:val="header"/>
    <w:basedOn w:val="Normal"/>
    <w:link w:val="HeaderChar"/>
    <w:uiPriority w:val="99"/>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Pr>
      <w:rFonts w:ascii="Courier" w:hAnsi="Courier" w:cs="Times New Roman"/>
      <w:sz w:val="20"/>
      <w:szCs w:val="20"/>
    </w:rPr>
  </w:style>
  <w:style w:type="character" w:styleId="PageNumber">
    <w:name w:val="page number"/>
    <w:basedOn w:val="DefaultParagraphFont"/>
    <w:uiPriority w:val="99"/>
    <w:rPr>
      <w:rFonts w:cs="Times New Roman"/>
    </w:rPr>
  </w:style>
  <w:style w:type="character" w:customStyle="1" w:styleId="EquationCaption1">
    <w:name w:val="_Equation Caption1"/>
    <w:basedOn w:val="DefaultParagraphFont"/>
    <w:uiPriority w:val="99"/>
    <w:rPr>
      <w:rFonts w:cs="Times New Roman"/>
    </w:rPr>
  </w:style>
  <w:style w:type="paragraph" w:styleId="TOC1">
    <w:name w:val="toc 1"/>
    <w:basedOn w:val="Normal"/>
    <w:next w:val="Normal"/>
    <w:uiPriority w:val="99"/>
    <w:semiHidden/>
    <w:pPr>
      <w:tabs>
        <w:tab w:val="right" w:leader="dot" w:pos="9360"/>
      </w:tabs>
      <w:suppressAutoHyphens/>
      <w:spacing w:before="480"/>
      <w:ind w:left="720" w:right="720" w:hanging="720"/>
    </w:pPr>
  </w:style>
  <w:style w:type="paragraph" w:styleId="TOC2">
    <w:name w:val="toc 2"/>
    <w:basedOn w:val="Normal"/>
    <w:next w:val="Normal"/>
    <w:uiPriority w:val="99"/>
    <w:semiHidden/>
    <w:pPr>
      <w:tabs>
        <w:tab w:val="right" w:leader="dot" w:pos="9360"/>
      </w:tabs>
      <w:suppressAutoHyphens/>
      <w:ind w:left="1440" w:right="720" w:hanging="720"/>
    </w:pPr>
  </w:style>
  <w:style w:type="paragraph" w:styleId="TOC3">
    <w:name w:val="toc 3"/>
    <w:basedOn w:val="Normal"/>
    <w:next w:val="Normal"/>
    <w:uiPriority w:val="99"/>
    <w:semiHidden/>
    <w:pPr>
      <w:tabs>
        <w:tab w:val="right" w:leader="dot" w:pos="9360"/>
      </w:tabs>
      <w:suppressAutoHyphens/>
      <w:ind w:left="2160" w:right="720" w:hanging="720"/>
    </w:pPr>
  </w:style>
  <w:style w:type="paragraph" w:styleId="TOC4">
    <w:name w:val="toc 4"/>
    <w:basedOn w:val="Normal"/>
    <w:next w:val="Normal"/>
    <w:uiPriority w:val="99"/>
    <w:semiHidden/>
    <w:pPr>
      <w:tabs>
        <w:tab w:val="right" w:leader="dot" w:pos="9360"/>
      </w:tabs>
      <w:suppressAutoHyphens/>
      <w:ind w:left="2880" w:right="720" w:hanging="720"/>
    </w:pPr>
  </w:style>
  <w:style w:type="paragraph" w:styleId="TOC5">
    <w:name w:val="toc 5"/>
    <w:basedOn w:val="Normal"/>
    <w:next w:val="Normal"/>
    <w:uiPriority w:val="99"/>
    <w:semiHidden/>
    <w:pPr>
      <w:tabs>
        <w:tab w:val="right" w:leader="dot" w:pos="9360"/>
      </w:tabs>
      <w:suppressAutoHyphens/>
      <w:ind w:left="3600" w:right="720" w:hanging="720"/>
    </w:pPr>
  </w:style>
  <w:style w:type="paragraph" w:styleId="TOC6">
    <w:name w:val="toc 6"/>
    <w:basedOn w:val="Normal"/>
    <w:next w:val="Normal"/>
    <w:uiPriority w:val="99"/>
    <w:semiHidden/>
    <w:pPr>
      <w:tabs>
        <w:tab w:val="right" w:pos="9360"/>
      </w:tabs>
      <w:suppressAutoHyphens/>
      <w:ind w:left="720" w:hanging="720"/>
    </w:pPr>
  </w:style>
  <w:style w:type="paragraph" w:styleId="TOC7">
    <w:name w:val="toc 7"/>
    <w:basedOn w:val="Normal"/>
    <w:next w:val="Normal"/>
    <w:uiPriority w:val="99"/>
    <w:semiHidden/>
    <w:pPr>
      <w:suppressAutoHyphens/>
      <w:ind w:left="720" w:hanging="720"/>
    </w:pPr>
  </w:style>
  <w:style w:type="paragraph" w:styleId="TOC8">
    <w:name w:val="toc 8"/>
    <w:basedOn w:val="Normal"/>
    <w:next w:val="Normal"/>
    <w:uiPriority w:val="99"/>
    <w:semiHidden/>
    <w:pPr>
      <w:tabs>
        <w:tab w:val="right" w:pos="9360"/>
      </w:tabs>
      <w:suppressAutoHyphens/>
      <w:ind w:left="720" w:hanging="720"/>
    </w:pPr>
  </w:style>
  <w:style w:type="paragraph" w:styleId="TOC9">
    <w:name w:val="toc 9"/>
    <w:basedOn w:val="Normal"/>
    <w:next w:val="Normal"/>
    <w:uiPriority w:val="99"/>
    <w:semiHidden/>
    <w:pPr>
      <w:tabs>
        <w:tab w:val="right" w:leader="dot" w:pos="9360"/>
      </w:tabs>
      <w:suppressAutoHyphens/>
      <w:ind w:left="720" w:hanging="720"/>
    </w:pPr>
  </w:style>
  <w:style w:type="paragraph" w:styleId="Index1">
    <w:name w:val="index 1"/>
    <w:basedOn w:val="Normal"/>
    <w:next w:val="Normal"/>
    <w:uiPriority w:val="99"/>
    <w:semiHidden/>
    <w:pPr>
      <w:tabs>
        <w:tab w:val="right" w:leader="dot" w:pos="9360"/>
      </w:tabs>
      <w:suppressAutoHyphens/>
      <w:ind w:left="1440" w:right="720" w:hanging="144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2">
    <w:name w:val="_Equation Caption2"/>
    <w:basedOn w:val="DefaultParagraphFont"/>
    <w:uiPriority w:val="99"/>
    <w:rPr>
      <w:rFonts w:cs="Times New Roman"/>
    </w:rPr>
  </w:style>
  <w:style w:type="character" w:customStyle="1" w:styleId="EquationCaption3">
    <w:name w:val="_Equation Caption3"/>
    <w:uiPriority w:val="99"/>
  </w:style>
  <w:style w:type="character" w:customStyle="1" w:styleId="a">
    <w:name w:val="À"/>
    <w:basedOn w:val="DefaultParagraphFont"/>
    <w:rPr>
      <w:rFonts w:cs="Times New Roman"/>
    </w:rPr>
  </w:style>
  <w:style w:type="paragraph" w:styleId="Title">
    <w:name w:val="Title"/>
    <w:basedOn w:val="Normal"/>
    <w:link w:val="TitleChar"/>
    <w:uiPriority w:val="99"/>
    <w:qFormat/>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locked/>
    <w:rPr>
      <w:rFonts w:ascii="Courier" w:hAnsi="Courier"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Courier" w:hAnsi="Courier" w:cs="Times New Roman"/>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table" w:customStyle="1" w:styleId="TableGrid1">
    <w:name w:val="Table Grid1"/>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pe.ed.gov/secu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ope.ed.gov/secur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pe.ed.gov/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F6899EFF2F743B403DC014934DFF5" ma:contentTypeVersion="0" ma:contentTypeDescription="Create a new document." ma:contentTypeScope="" ma:versionID="f4cbc6dabb15220548b05e0c5b65ae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857D-9E94-43F6-8BD4-1A67FA248D91}">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A40F3B8-8820-46C5-9838-320C1349F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F68D1E-1204-4280-8F98-A618AF4985A1}">
  <ds:schemaRefs>
    <ds:schemaRef ds:uri="http://schemas.microsoft.com/sharepoint/v3/contenttype/forms"/>
  </ds:schemaRefs>
</ds:datastoreItem>
</file>

<file path=customXml/itemProps4.xml><?xml version="1.0" encoding="utf-8"?>
<ds:datastoreItem xmlns:ds="http://schemas.openxmlformats.org/officeDocument/2006/customXml" ds:itemID="{A5E24A50-A68C-40EE-880C-A5549B84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3407</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Ashley Higgins</cp:lastModifiedBy>
  <cp:revision>6</cp:revision>
  <cp:lastPrinted>2014-11-18T15:44:00Z</cp:lastPrinted>
  <dcterms:created xsi:type="dcterms:W3CDTF">2015-01-30T21:21:00Z</dcterms:created>
  <dcterms:modified xsi:type="dcterms:W3CDTF">2015-02-02T14:46:00Z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0x01010018BF6899EFF2F743B403DC014934DFF5</vt:lpwstr>
  </property>
</Properties>
</file>