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F70" w:rsidRDefault="00557F55">
      <w:pPr>
        <w:pStyle w:val="NormalWeb"/>
        <w:spacing w:before="0" w:beforeAutospacing="0" w:after="0" w:afterAutospacing="0"/>
        <w:jc w:val="center"/>
        <w:rPr>
          <w:b/>
        </w:rPr>
      </w:pPr>
      <w:r>
        <w:rPr>
          <w:b/>
        </w:rPr>
        <w:t>Annual Stress Test Rule and</w:t>
      </w:r>
    </w:p>
    <w:p w:rsidR="00E72F70" w:rsidRDefault="00557F55">
      <w:pPr>
        <w:pStyle w:val="NormalWeb"/>
        <w:spacing w:before="0" w:beforeAutospacing="0" w:after="0" w:afterAutospacing="0"/>
        <w:jc w:val="center"/>
        <w:rPr>
          <w:rStyle w:val="trigger"/>
          <w:b/>
        </w:rPr>
      </w:pPr>
      <w:r>
        <w:rPr>
          <w:b/>
        </w:rPr>
        <w:t>Company-Run Annual Stress Test Reporting Template and Documentation for Covered Institutions with Total Consolidated Assets of $10 Billion to $50 Billion under the Dodd-Frank Wall Street Reform and Consumer Protection Act</w:t>
      </w:r>
    </w:p>
    <w:p w:rsidR="00E72F70" w:rsidRDefault="00E72F70">
      <w:pPr>
        <w:pStyle w:val="NormalWeb"/>
        <w:spacing w:before="0" w:beforeAutospacing="0" w:after="0" w:afterAutospacing="0"/>
        <w:jc w:val="center"/>
        <w:rPr>
          <w:rStyle w:val="trigger"/>
        </w:rPr>
      </w:pPr>
    </w:p>
    <w:p w:rsidR="00E72F70" w:rsidRDefault="00557F55">
      <w:pPr>
        <w:pStyle w:val="NormalWeb"/>
        <w:spacing w:before="0" w:beforeAutospacing="0" w:after="0" w:afterAutospacing="0"/>
        <w:jc w:val="center"/>
        <w:rPr>
          <w:rStyle w:val="trigger"/>
        </w:rPr>
      </w:pPr>
      <w:r>
        <w:rPr>
          <w:bCs/>
        </w:rPr>
        <w:t>Supporting Statement A</w:t>
      </w:r>
      <w:r>
        <w:rPr>
          <w:rStyle w:val="trigger"/>
        </w:rPr>
        <w:t xml:space="preserve"> </w:t>
      </w:r>
    </w:p>
    <w:p w:rsidR="00E72F70" w:rsidRDefault="00557F55">
      <w:pPr>
        <w:pStyle w:val="NormalWeb"/>
        <w:spacing w:before="0" w:beforeAutospacing="0" w:after="0" w:afterAutospacing="0"/>
        <w:jc w:val="center"/>
        <w:rPr>
          <w:rStyle w:val="trigger"/>
        </w:rPr>
      </w:pPr>
      <w:r>
        <w:rPr>
          <w:rStyle w:val="trigger"/>
        </w:rPr>
        <w:t>1557-0311</w:t>
      </w:r>
    </w:p>
    <w:p w:rsidR="00E72F70" w:rsidRDefault="00557F55">
      <w:pPr>
        <w:pStyle w:val="NormalWeb"/>
        <w:spacing w:before="0" w:beforeAutospacing="0" w:after="0" w:afterAutospacing="0"/>
        <w:jc w:val="center"/>
        <w:rPr>
          <w:bCs/>
        </w:rPr>
      </w:pPr>
      <w:r>
        <w:rPr>
          <w:bCs/>
        </w:rPr>
        <w:t xml:space="preserve"> </w:t>
      </w:r>
    </w:p>
    <w:p w:rsidR="00E72F70" w:rsidRDefault="00557F55">
      <w:pPr>
        <w:pStyle w:val="NormalWeb"/>
        <w:spacing w:before="0" w:beforeAutospacing="0" w:after="0" w:afterAutospacing="0" w:line="480" w:lineRule="auto"/>
      </w:pPr>
      <w:r>
        <w:rPr>
          <w:b/>
          <w:bCs/>
        </w:rPr>
        <w:t>A. Justification</w:t>
      </w:r>
    </w:p>
    <w:p w:rsidR="00E72F70" w:rsidRPr="00B64203" w:rsidRDefault="00557F55" w:rsidP="00080D59">
      <w:pPr>
        <w:numPr>
          <w:ilvl w:val="0"/>
          <w:numId w:val="1"/>
        </w:numPr>
        <w:spacing w:line="480" w:lineRule="auto"/>
        <w:rPr>
          <w:u w:val="single"/>
        </w:rPr>
      </w:pPr>
      <w:r>
        <w:rPr>
          <w:u w:val="single"/>
        </w:rPr>
        <w:t xml:space="preserve">Circumstances Making the Collection of Information Necessary </w:t>
      </w:r>
    </w:p>
    <w:p w:rsidR="0001675F" w:rsidRDefault="0001675F" w:rsidP="00080D59">
      <w:pPr>
        <w:pStyle w:val="Header"/>
        <w:tabs>
          <w:tab w:val="left" w:pos="0"/>
          <w:tab w:val="left" w:pos="720"/>
          <w:tab w:val="left" w:pos="1440"/>
          <w:tab w:val="left" w:pos="2430"/>
        </w:tabs>
        <w:ind w:left="720"/>
        <w:rPr>
          <w:rFonts w:ascii="Times New Roman" w:hAnsi="Times New Roman"/>
        </w:rPr>
      </w:pPr>
      <w:r w:rsidRPr="0001675F">
        <w:rPr>
          <w:rFonts w:ascii="Times New Roman" w:hAnsi="Times New Roman"/>
        </w:rPr>
        <w:t>Section 165(</w:t>
      </w:r>
      <w:proofErr w:type="spellStart"/>
      <w:r w:rsidRPr="0001675F">
        <w:rPr>
          <w:rFonts w:ascii="Times New Roman" w:hAnsi="Times New Roman"/>
        </w:rPr>
        <w:t>i</w:t>
      </w:r>
      <w:proofErr w:type="spellEnd"/>
      <w:proofErr w:type="gramStart"/>
      <w:r w:rsidRPr="0001675F">
        <w:rPr>
          <w:rFonts w:ascii="Times New Roman" w:hAnsi="Times New Roman"/>
        </w:rPr>
        <w:t>)(</w:t>
      </w:r>
      <w:proofErr w:type="gramEnd"/>
      <w:r w:rsidRPr="0001675F">
        <w:rPr>
          <w:rFonts w:ascii="Times New Roman" w:hAnsi="Times New Roman"/>
        </w:rPr>
        <w:t>2) of the Dodd-Frank Wall Street Reform and Consumer Protection Act</w:t>
      </w:r>
      <w:r>
        <w:rPr>
          <w:rStyle w:val="FootnoteReference"/>
          <w:rFonts w:ascii="Times New Roman" w:hAnsi="Times New Roman"/>
        </w:rPr>
        <w:footnoteReference w:id="1"/>
      </w:r>
      <w:r w:rsidRPr="0001675F">
        <w:rPr>
          <w:rFonts w:ascii="Times New Roman" w:hAnsi="Times New Roman"/>
        </w:rPr>
        <w:t xml:space="preserve"> (Dodd-Frank Act) requires certain financial companies, including national banks and Federal savings associations, t</w:t>
      </w:r>
      <w:r w:rsidR="00577B47">
        <w:rPr>
          <w:rFonts w:ascii="Times New Roman" w:hAnsi="Times New Roman"/>
        </w:rPr>
        <w:t xml:space="preserve">o conduct annual stress tests </w:t>
      </w:r>
      <w:r w:rsidRPr="0001675F">
        <w:rPr>
          <w:rFonts w:ascii="Times New Roman" w:hAnsi="Times New Roman"/>
        </w:rPr>
        <w:t>and requires the prima</w:t>
      </w:r>
      <w:r w:rsidR="00577B47">
        <w:rPr>
          <w:rFonts w:ascii="Times New Roman" w:hAnsi="Times New Roman"/>
        </w:rPr>
        <w:t xml:space="preserve">ry financial regulatory agency </w:t>
      </w:r>
      <w:r w:rsidRPr="0001675F">
        <w:rPr>
          <w:rFonts w:ascii="Times New Roman" w:hAnsi="Times New Roman"/>
        </w:rPr>
        <w:t xml:space="preserve">of those financial companies to issue regulations implementing </w:t>
      </w:r>
      <w:r w:rsidR="00733FE6">
        <w:rPr>
          <w:rFonts w:ascii="Times New Roman" w:hAnsi="Times New Roman"/>
        </w:rPr>
        <w:t xml:space="preserve">the stress test requirements.  </w:t>
      </w:r>
      <w:r w:rsidRPr="0001675F">
        <w:rPr>
          <w:rFonts w:ascii="Times New Roman" w:hAnsi="Times New Roman"/>
        </w:rPr>
        <w:t xml:space="preserve">A national bank or Federal savings association is a “covered institution” and therefore subject to the stress test requirements </w:t>
      </w:r>
      <w:r w:rsidR="008E1045">
        <w:rPr>
          <w:rFonts w:ascii="Times New Roman" w:hAnsi="Times New Roman"/>
        </w:rPr>
        <w:t xml:space="preserve">if </w:t>
      </w:r>
      <w:proofErr w:type="gramStart"/>
      <w:r w:rsidR="008E1045">
        <w:rPr>
          <w:rFonts w:ascii="Times New Roman" w:hAnsi="Times New Roman"/>
        </w:rPr>
        <w:t>its</w:t>
      </w:r>
      <w:proofErr w:type="gramEnd"/>
      <w:r w:rsidRPr="00733FE6">
        <w:rPr>
          <w:rFonts w:ascii="Times New Roman" w:hAnsi="Times New Roman"/>
        </w:rPr>
        <w:t xml:space="preserve"> total consolidated assets are more than $10 billion.</w:t>
      </w:r>
      <w:r w:rsidR="008E1045">
        <w:rPr>
          <w:rFonts w:ascii="Times New Roman" w:hAnsi="Times New Roman"/>
        </w:rPr>
        <w:t xml:space="preserve">  </w:t>
      </w:r>
      <w:r w:rsidR="00733FE6" w:rsidRPr="00733FE6">
        <w:rPr>
          <w:rFonts w:ascii="Times New Roman" w:hAnsi="Times New Roman"/>
        </w:rPr>
        <w:t>Under section 165(</w:t>
      </w:r>
      <w:proofErr w:type="spellStart"/>
      <w:r w:rsidR="00733FE6" w:rsidRPr="00733FE6">
        <w:rPr>
          <w:rFonts w:ascii="Times New Roman" w:hAnsi="Times New Roman"/>
        </w:rPr>
        <w:t>i</w:t>
      </w:r>
      <w:proofErr w:type="spellEnd"/>
      <w:proofErr w:type="gramStart"/>
      <w:r w:rsidR="00733FE6" w:rsidRPr="00733FE6">
        <w:rPr>
          <w:rFonts w:ascii="Times New Roman" w:hAnsi="Times New Roman"/>
        </w:rPr>
        <w:t>)(</w:t>
      </w:r>
      <w:proofErr w:type="gramEnd"/>
      <w:r w:rsidR="00733FE6" w:rsidRPr="00733FE6">
        <w:rPr>
          <w:rFonts w:ascii="Times New Roman" w:hAnsi="Times New Roman"/>
        </w:rPr>
        <w:t>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sidR="00733FE6" w:rsidRPr="00733FE6">
        <w:rPr>
          <w:rStyle w:val="FootnoteReference"/>
          <w:rFonts w:ascii="Times New Roman" w:hAnsi="Times New Roman"/>
        </w:rPr>
        <w:footnoteReference w:id="2"/>
      </w:r>
      <w:r w:rsidR="00733FE6">
        <w:t xml:space="preserve">  </w:t>
      </w:r>
      <w:r w:rsidRPr="0001675F">
        <w:rPr>
          <w:rFonts w:ascii="Times New Roman" w:hAnsi="Times New Roman"/>
        </w:rPr>
        <w:t xml:space="preserve"> </w:t>
      </w:r>
    </w:p>
    <w:p w:rsidR="0001675F" w:rsidRDefault="0001675F" w:rsidP="00080D59">
      <w:pPr>
        <w:pStyle w:val="Header"/>
        <w:tabs>
          <w:tab w:val="left" w:pos="0"/>
          <w:tab w:val="left" w:pos="720"/>
          <w:tab w:val="left" w:pos="1440"/>
          <w:tab w:val="left" w:pos="2430"/>
        </w:tabs>
        <w:ind w:left="720"/>
        <w:rPr>
          <w:rFonts w:ascii="Times New Roman" w:hAnsi="Times New Roman"/>
        </w:rPr>
      </w:pPr>
    </w:p>
    <w:p w:rsidR="00E72F70" w:rsidRDefault="00733FE6" w:rsidP="00733FE6">
      <w:pPr>
        <w:ind w:left="720"/>
      </w:pPr>
      <w:r>
        <w:t xml:space="preserve">The OCC implemented these requirements by issuing a rule and reporting templates.  </w:t>
      </w:r>
      <w:r w:rsidR="00577B47">
        <w:t>The annual stress test rule</w:t>
      </w:r>
      <w:r>
        <w:t xml:space="preserve"> </w:t>
      </w:r>
      <w:proofErr w:type="gramStart"/>
      <w:r>
        <w:t>was issued</w:t>
      </w:r>
      <w:proofErr w:type="gramEnd"/>
      <w:r>
        <w:t xml:space="preserve"> in 2012</w:t>
      </w:r>
      <w:r w:rsidR="00577B47">
        <w:t>.</w:t>
      </w:r>
      <w:r w:rsidR="00577B47">
        <w:rPr>
          <w:rStyle w:val="FootnoteReference"/>
        </w:rPr>
        <w:footnoteReference w:id="3"/>
      </w:r>
      <w:r w:rsidR="00557F55">
        <w:t xml:space="preserve">  The reporting </w:t>
      </w:r>
      <w:r w:rsidR="00577B47">
        <w:t xml:space="preserve">and disclosure </w:t>
      </w:r>
      <w:r w:rsidR="00557F55">
        <w:t xml:space="preserve">templates for institutions with total consolidated assets of over $50 billion </w:t>
      </w:r>
      <w:proofErr w:type="gramStart"/>
      <w:r w:rsidR="0001675F">
        <w:t>were finalized</w:t>
      </w:r>
      <w:proofErr w:type="gramEnd"/>
      <w:r w:rsidR="0001675F">
        <w:t xml:space="preserve"> in 2012</w:t>
      </w:r>
      <w:r w:rsidR="00557F55">
        <w:rPr>
          <w:rStyle w:val="FootnoteReference"/>
        </w:rPr>
        <w:footnoteReference w:id="4"/>
      </w:r>
      <w:r w:rsidR="0001675F">
        <w:t xml:space="preserve"> and the templates for institutions with total consolidated assets of $10-50 billion were finalized in 2013.</w:t>
      </w:r>
      <w:r w:rsidR="0001675F">
        <w:rPr>
          <w:rStyle w:val="FootnoteReference"/>
        </w:rPr>
        <w:footnoteReference w:id="5"/>
      </w:r>
    </w:p>
    <w:p w:rsidR="00733FE6" w:rsidRDefault="00733FE6" w:rsidP="0097181E">
      <w:pPr>
        <w:ind w:left="720"/>
      </w:pPr>
    </w:p>
    <w:p w:rsidR="00080D59" w:rsidRDefault="00080D59" w:rsidP="0097181E">
      <w:pPr>
        <w:ind w:left="720"/>
      </w:pPr>
      <w:r>
        <w:t xml:space="preserve">The reporting templates for institutions with $10 to $50 billion in assets </w:t>
      </w:r>
      <w:proofErr w:type="gramStart"/>
      <w:r w:rsidR="00542ACE">
        <w:t>are being revised</w:t>
      </w:r>
      <w:proofErr w:type="gramEnd"/>
      <w:r w:rsidR="00542ACE">
        <w:t xml:space="preserve"> </w:t>
      </w:r>
      <w:r>
        <w:t xml:space="preserve">to reflect the changes to the revised regulatory capital rule.  Specifically, a common equity tier 1 capital data item </w:t>
      </w:r>
      <w:proofErr w:type="gramStart"/>
      <w:r w:rsidR="00542ACE">
        <w:t>is being added</w:t>
      </w:r>
      <w:proofErr w:type="gramEnd"/>
      <w:r w:rsidR="00542ACE">
        <w:t xml:space="preserve"> </w:t>
      </w:r>
      <w:r>
        <w:t xml:space="preserve">to the Balance Sheet and a common equity tier 1 risk-based capital ratio data item to the Summary Schedule and </w:t>
      </w:r>
      <w:r>
        <w:rPr>
          <w:rFonts w:eastAsiaTheme="minorHAnsi"/>
        </w:rPr>
        <w:t xml:space="preserve">Balance Sheet Schedules (baseline, adverse, and severely adverse scenarios) </w:t>
      </w:r>
      <w:r>
        <w:t>in order to reflect the requirements of the revised regulatory capital rule.</w:t>
      </w:r>
      <w:r>
        <w:rPr>
          <w:rFonts w:eastAsiaTheme="minorHAnsi"/>
        </w:rPr>
        <w:t xml:space="preserve">  These revisions </w:t>
      </w:r>
      <w:r w:rsidR="00542ACE">
        <w:rPr>
          <w:rFonts w:eastAsiaTheme="minorHAnsi"/>
        </w:rPr>
        <w:t>will</w:t>
      </w:r>
      <w:r>
        <w:rPr>
          <w:rFonts w:eastAsiaTheme="minorHAnsi"/>
        </w:rPr>
        <w:t xml:space="preserve"> be effective </w:t>
      </w:r>
      <w:r>
        <w:t>for the 2015 stress test cycle (using September 2014 data and November 2014 scenarios with submission of results in March 2015).</w:t>
      </w:r>
      <w:r>
        <w:rPr>
          <w:rStyle w:val="FootnoteReference"/>
        </w:rPr>
        <w:footnoteReference w:id="6"/>
      </w:r>
      <w:r>
        <w:t xml:space="preserve">  In addition, the OCC </w:t>
      </w:r>
      <w:r w:rsidR="00542ACE">
        <w:t>is clarifying</w:t>
      </w:r>
      <w:r>
        <w:t xml:space="preserve"> the accompanying instructions to emphasize that institutions should transition to the revised </w:t>
      </w:r>
      <w:r>
        <w:lastRenderedPageBreak/>
        <w:t xml:space="preserve">regulatory capital rule requirements in its company-run stress test projections in the quarter in which the requirements become effective.  </w:t>
      </w:r>
      <w:r w:rsidR="00542ACE">
        <w:t>Specifically, institutions will</w:t>
      </w:r>
      <w:r>
        <w:t xml:space="preserve"> be required to transition to the revised regulatory capital rule and begin including the common equity tier 1 capital data item and common equity tier 1 risk-based capital ratio data item in projected quarters two (1</w:t>
      </w:r>
      <w:r>
        <w:rPr>
          <w:vertAlign w:val="superscript"/>
        </w:rPr>
        <w:t>st</w:t>
      </w:r>
      <w:r>
        <w:t xml:space="preserve"> quarter 2015) through  nine (4</w:t>
      </w:r>
      <w:r>
        <w:rPr>
          <w:vertAlign w:val="superscript"/>
        </w:rPr>
        <w:t>th</w:t>
      </w:r>
      <w:r>
        <w:t xml:space="preserve"> quarter 2016) for each scenario for the 2015 stress test cycle.</w:t>
      </w:r>
    </w:p>
    <w:p w:rsidR="0097181E" w:rsidRDefault="0097181E" w:rsidP="0097181E">
      <w:pPr>
        <w:ind w:left="720"/>
      </w:pPr>
    </w:p>
    <w:p w:rsidR="00080D59" w:rsidRDefault="00080D59" w:rsidP="0097181E">
      <w:pPr>
        <w:autoSpaceDE w:val="0"/>
        <w:autoSpaceDN w:val="0"/>
        <w:adjustRightInd w:val="0"/>
        <w:ind w:left="720"/>
      </w:pPr>
      <w:r>
        <w:t xml:space="preserve">The OCC </w:t>
      </w:r>
      <w:r w:rsidR="00542ACE">
        <w:t xml:space="preserve">is </w:t>
      </w:r>
      <w:r>
        <w:t xml:space="preserve">also </w:t>
      </w:r>
      <w:r w:rsidR="00542ACE">
        <w:t>making</w:t>
      </w:r>
      <w:r>
        <w:t xml:space="preserve"> several clarifications to the reporting instructions including: indicating that the Scenario Variables Schedule would be collected as a reporting form in Reporting Central (instead of as a file submitted in Adobe Acrobat PDF format) and clarifying how the supporting qualitative information </w:t>
      </w:r>
      <w:proofErr w:type="gramStart"/>
      <w:r>
        <w:t>should be organized</w:t>
      </w:r>
      <w:proofErr w:type="gramEnd"/>
      <w:r>
        <w:t>.</w:t>
      </w:r>
    </w:p>
    <w:p w:rsidR="00E72F70" w:rsidRDefault="00E72F70">
      <w:pPr>
        <w:ind w:firstLine="720"/>
      </w:pPr>
    </w:p>
    <w:p w:rsidR="00E72F70" w:rsidRDefault="00557F55">
      <w:pPr>
        <w:numPr>
          <w:ilvl w:val="0"/>
          <w:numId w:val="1"/>
        </w:numPr>
        <w:rPr>
          <w:u w:val="single"/>
        </w:rPr>
      </w:pPr>
      <w:r>
        <w:rPr>
          <w:u w:val="single"/>
        </w:rPr>
        <w:t xml:space="preserve">Purpose and Use of the Information Collection </w:t>
      </w:r>
    </w:p>
    <w:p w:rsidR="00E72F70" w:rsidRDefault="00E72F70">
      <w:pPr>
        <w:ind w:left="720"/>
      </w:pPr>
    </w:p>
    <w:p w:rsidR="00E72F70" w:rsidRDefault="00557F55">
      <w:pPr>
        <w:autoSpaceDE w:val="0"/>
        <w:autoSpaceDN w:val="0"/>
        <w:adjustRightInd w:val="0"/>
        <w:ind w:left="720" w:right="-14"/>
      </w:pPr>
      <w:r>
        <w:rPr>
          <w:rFonts w:ascii="Times" w:hAnsi="Times" w:cs="Times"/>
          <w:color w:val="000000"/>
        </w:rPr>
        <w:t xml:space="preserve">The OCC </w:t>
      </w:r>
      <w:r w:rsidR="00B64203">
        <w:rPr>
          <w:rFonts w:ascii="Times" w:hAnsi="Times" w:cs="Times"/>
          <w:color w:val="000000"/>
        </w:rPr>
        <w:t>uses</w:t>
      </w:r>
      <w:r>
        <w:rPr>
          <w:rFonts w:ascii="Times" w:hAnsi="Times" w:cs="Times"/>
          <w:color w:val="000000"/>
        </w:rPr>
        <w:t xml:space="preserve"> the data collected through these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 xml:space="preserve">OCC also may use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with respect to its internal assessments of capital adequacy and overall capital planning.  </w:t>
      </w:r>
    </w:p>
    <w:p w:rsidR="00E72F70" w:rsidRDefault="00E72F70">
      <w:pPr>
        <w:rPr>
          <w:u w:val="single"/>
        </w:rPr>
      </w:pPr>
    </w:p>
    <w:p w:rsidR="00E72F70" w:rsidRDefault="00557F55">
      <w:pPr>
        <w:numPr>
          <w:ilvl w:val="0"/>
          <w:numId w:val="1"/>
        </w:numPr>
        <w:ind w:right="-1440"/>
        <w:rPr>
          <w:u w:val="single"/>
        </w:rPr>
      </w:pPr>
      <w:r>
        <w:rPr>
          <w:u w:val="single"/>
        </w:rPr>
        <w:t xml:space="preserve">Use of Improved Information Technology and Burden Reduction </w:t>
      </w:r>
    </w:p>
    <w:p w:rsidR="00E72F70" w:rsidRDefault="00E72F70">
      <w:pPr>
        <w:pStyle w:val="ListParagraph"/>
      </w:pPr>
    </w:p>
    <w:p w:rsidR="00E72F70" w:rsidRDefault="00557F55">
      <w:pPr>
        <w:ind w:left="720"/>
        <w:rPr>
          <w:u w:val="single"/>
        </w:rPr>
      </w:pPr>
      <w:r>
        <w:t>Respondents may use any method of improved technology that meets the requirements of the collection.</w:t>
      </w:r>
    </w:p>
    <w:p w:rsidR="00E72F70" w:rsidRDefault="00557F55">
      <w:pPr>
        <w:pStyle w:val="HTMLPreformatted"/>
        <w:rPr>
          <w:rFonts w:ascii="Times New Roman" w:hAnsi="Times New Roman" w:cs="Times New Roman"/>
          <w:sz w:val="24"/>
          <w:szCs w:val="24"/>
        </w:rPr>
      </w:pPr>
      <w:r>
        <w:rPr>
          <w:rFonts w:ascii="Times New Roman" w:hAnsi="Times New Roman" w:cs="Times New Roman"/>
          <w:sz w:val="24"/>
          <w:szCs w:val="24"/>
        </w:rPr>
        <w:tab/>
      </w:r>
    </w:p>
    <w:p w:rsidR="00E72F70" w:rsidRDefault="00557F55">
      <w:pPr>
        <w:numPr>
          <w:ilvl w:val="0"/>
          <w:numId w:val="1"/>
        </w:numPr>
        <w:rPr>
          <w:u w:val="single"/>
        </w:rPr>
      </w:pPr>
      <w:r>
        <w:rPr>
          <w:u w:val="single"/>
        </w:rPr>
        <w:t xml:space="preserve">Efforts to Identify Duplication and Use of Similar Information </w:t>
      </w:r>
    </w:p>
    <w:p w:rsidR="00E72F70" w:rsidRDefault="00E72F70">
      <w:pPr>
        <w:ind w:left="720" w:right="893"/>
      </w:pPr>
    </w:p>
    <w:p w:rsidR="00E72F70" w:rsidRDefault="00557F55">
      <w:pPr>
        <w:ind w:left="720" w:right="893"/>
      </w:pPr>
      <w:r>
        <w:t>The required information is unique and is not duplicative of any other information already collected.</w:t>
      </w:r>
    </w:p>
    <w:p w:rsidR="00E72F70" w:rsidRDefault="00E72F70"/>
    <w:p w:rsidR="00E72F70" w:rsidRDefault="00557F55">
      <w:pPr>
        <w:numPr>
          <w:ilvl w:val="0"/>
          <w:numId w:val="1"/>
        </w:numPr>
        <w:rPr>
          <w:u w:val="single"/>
        </w:rPr>
      </w:pPr>
      <w:r>
        <w:rPr>
          <w:u w:val="single"/>
        </w:rPr>
        <w:t>Methods used to Minimize burden if the collection has a significant impact on Small Businesses or Other Small Entities</w:t>
      </w:r>
    </w:p>
    <w:p w:rsidR="00E72F70" w:rsidRDefault="00E72F70">
      <w:pPr>
        <w:ind w:left="720" w:right="893"/>
      </w:pPr>
    </w:p>
    <w:p w:rsidR="00E72F70" w:rsidRDefault="00557F55">
      <w:pPr>
        <w:ind w:left="720" w:right="893"/>
      </w:pPr>
      <w:r>
        <w:t>The information collection does not have a significant impact on a substantial number of small businesses or other small entities.</w:t>
      </w:r>
    </w:p>
    <w:p w:rsidR="00E72F70" w:rsidRDefault="00E72F70">
      <w:pPr>
        <w:ind w:firstLine="720"/>
      </w:pPr>
    </w:p>
    <w:p w:rsidR="00E72F70" w:rsidRDefault="00557F55">
      <w:pPr>
        <w:numPr>
          <w:ilvl w:val="0"/>
          <w:numId w:val="1"/>
        </w:numPr>
        <w:rPr>
          <w:u w:val="single"/>
        </w:rPr>
      </w:pPr>
      <w:r>
        <w:rPr>
          <w:u w:val="single"/>
        </w:rPr>
        <w:t>Consequences of Collecting the Information Less Frequently</w:t>
      </w:r>
    </w:p>
    <w:p w:rsidR="00E72F70" w:rsidRDefault="00E72F70">
      <w:pPr>
        <w:ind w:left="720"/>
      </w:pPr>
    </w:p>
    <w:p w:rsidR="00E72F70" w:rsidRDefault="00557F55">
      <w:pPr>
        <w:ind w:left="720"/>
      </w:pPr>
      <w:proofErr w:type="gramStart"/>
      <w:r>
        <w:t>The collection of information is required by Federal Statute</w:t>
      </w:r>
      <w:proofErr w:type="gramEnd"/>
      <w:r>
        <w:t>. The consequences of collecting the information less frequently would prevent OCC from implementing Section 165(</w:t>
      </w:r>
      <w:proofErr w:type="spellStart"/>
      <w:r>
        <w:t>i</w:t>
      </w:r>
      <w:proofErr w:type="spellEnd"/>
      <w:proofErr w:type="gramStart"/>
      <w:r>
        <w:t>)(</w:t>
      </w:r>
      <w:proofErr w:type="gramEnd"/>
      <w:r>
        <w:t>2) of the Dodd-Frank Act.</w:t>
      </w:r>
    </w:p>
    <w:p w:rsidR="00E72F70" w:rsidRDefault="00E72F70">
      <w:pPr>
        <w:ind w:firstLine="720"/>
      </w:pPr>
    </w:p>
    <w:p w:rsidR="006A6254" w:rsidRDefault="006A6254">
      <w:pPr>
        <w:ind w:firstLine="720"/>
      </w:pPr>
    </w:p>
    <w:p w:rsidR="00E72F70" w:rsidRDefault="00557F55">
      <w:pPr>
        <w:numPr>
          <w:ilvl w:val="0"/>
          <w:numId w:val="1"/>
        </w:numPr>
        <w:rPr>
          <w:u w:val="single"/>
        </w:rPr>
      </w:pPr>
      <w:r>
        <w:rPr>
          <w:u w:val="single"/>
        </w:rPr>
        <w:lastRenderedPageBreak/>
        <w:t>Special Circumstances Relating to the Guidelines of 5 CFR 1320.5</w:t>
      </w:r>
    </w:p>
    <w:p w:rsidR="00E72F70" w:rsidRDefault="00E72F70">
      <w:pPr>
        <w:ind w:left="720" w:right="893"/>
      </w:pPr>
    </w:p>
    <w:p w:rsidR="00E72F70" w:rsidRDefault="00557F55">
      <w:pPr>
        <w:ind w:left="720" w:right="893"/>
      </w:pPr>
      <w:r>
        <w:t xml:space="preserve">The information collection would be conducted in a manner consistent with </w:t>
      </w:r>
      <w:proofErr w:type="gramStart"/>
      <w:r>
        <w:t>5</w:t>
      </w:r>
      <w:proofErr w:type="gramEnd"/>
      <w:r>
        <w:t xml:space="preserve"> CFR Part 1320.5.</w:t>
      </w:r>
    </w:p>
    <w:p w:rsidR="00E72F70" w:rsidRDefault="00E72F70">
      <w:pPr>
        <w:ind w:firstLine="720"/>
      </w:pPr>
    </w:p>
    <w:p w:rsidR="00E72F70" w:rsidRDefault="00557F55">
      <w:pPr>
        <w:numPr>
          <w:ilvl w:val="0"/>
          <w:numId w:val="1"/>
        </w:numPr>
        <w:rPr>
          <w:u w:val="single"/>
        </w:rPr>
      </w:pPr>
      <w:r>
        <w:rPr>
          <w:u w:val="single"/>
        </w:rPr>
        <w:t>Comments in Response to the Federal Register Notice and Efforts to Consult Outside the Agency</w:t>
      </w:r>
    </w:p>
    <w:p w:rsidR="00E72F70" w:rsidRDefault="00E72F70">
      <w:pPr>
        <w:ind w:left="720"/>
      </w:pPr>
    </w:p>
    <w:p w:rsidR="00E72F70" w:rsidRDefault="00557F55">
      <w:pPr>
        <w:ind w:left="720"/>
      </w:pPr>
      <w:r>
        <w:t xml:space="preserve">In the </w:t>
      </w:r>
      <w:r>
        <w:rPr>
          <w:bCs/>
          <w:u w:val="single"/>
        </w:rPr>
        <w:t>Federal Register</w:t>
      </w:r>
      <w:r>
        <w:rPr>
          <w:b/>
          <w:bCs/>
        </w:rPr>
        <w:t xml:space="preserve"> </w:t>
      </w:r>
      <w:r>
        <w:t xml:space="preserve">of July 17, 2014 (79 FR 41742), OCC published a 60-day notice requesting public comment on the templates and the collection of information.  OCC received one comment from a financial services consulting firm.  </w:t>
      </w:r>
      <w:proofErr w:type="gramStart"/>
      <w:r>
        <w:t>The commenter questioned the introduction of the new regulatory capital, risk-weighted asset, and regulatory capital ratio items in the reporting templates, asserting that covered institutions with $10-$50 billion in assets will lack relevant data for the new capital items in advance of when these items are required to be reported in the Consolidated Report of Condition and Income (Call Report).</w:t>
      </w:r>
      <w:proofErr w:type="gramEnd"/>
      <w:r>
        <w:t xml:space="preserve">  However, the additional items in the reporting templates should not place undue burden on these institutions as they have already been given additional time to incorporate the revised capital framework into their company-run stress tests.  These institutions were not required to report these items in the 2013-2014 stress tests.  In addition, the reporting templates and instructions </w:t>
      </w:r>
      <w:proofErr w:type="gramStart"/>
      <w:r>
        <w:t>have been updated</w:t>
      </w:r>
      <w:proofErr w:type="gramEnd"/>
      <w:r>
        <w:t xml:space="preserve"> to reference the applicable Call Report items that should be reported over the planning horizon, including new items that were created to capture the revised capital framework.  Accordingly, the OCC is adopting the new items as proposed.</w:t>
      </w:r>
    </w:p>
    <w:p w:rsidR="00E72F70" w:rsidRDefault="00E72F70">
      <w:pPr>
        <w:ind w:left="720"/>
      </w:pPr>
    </w:p>
    <w:p w:rsidR="00E72F70" w:rsidRDefault="00557F55">
      <w:pPr>
        <w:ind w:left="720"/>
      </w:pPr>
      <w:r>
        <w:t xml:space="preserve">The commenter also expressed concerns about the requirement that covered institutions publicly disclose a summary of the results of the stress tests.  However, this requirement is contained in both the Dodd-Frank Act and the OCC’s stress test regulation.   </w:t>
      </w:r>
    </w:p>
    <w:p w:rsidR="00E72F70" w:rsidRDefault="00E72F70">
      <w:pPr>
        <w:ind w:left="720"/>
      </w:pPr>
    </w:p>
    <w:p w:rsidR="00E72F70" w:rsidRDefault="00557F55">
      <w:pPr>
        <w:ind w:left="720"/>
      </w:pPr>
      <w:r>
        <w:t xml:space="preserve">In response to a few technical comments, some minor changes </w:t>
      </w:r>
      <w:proofErr w:type="gramStart"/>
      <w:r>
        <w:t>will be made</w:t>
      </w:r>
      <w:proofErr w:type="gramEnd"/>
      <w:r>
        <w:t xml:space="preserve"> to the final reporting forms and instructions.  These changes include clarified reporting instructions for the disallowed deferred tax asset and unrealized gains (losses) on AFS securities line items and updated descriptions of the total capital and total risk-based capital line items.</w:t>
      </w:r>
    </w:p>
    <w:p w:rsidR="00542ACE" w:rsidRDefault="00542ACE">
      <w:pPr>
        <w:ind w:left="720"/>
      </w:pPr>
    </w:p>
    <w:p w:rsidR="00E72F70" w:rsidRDefault="00557F55">
      <w:pPr>
        <w:pStyle w:val="ListParagraph"/>
        <w:numPr>
          <w:ilvl w:val="0"/>
          <w:numId w:val="1"/>
        </w:numPr>
        <w:rPr>
          <w:u w:val="single"/>
        </w:rPr>
      </w:pPr>
      <w:r>
        <w:rPr>
          <w:u w:val="single"/>
        </w:rPr>
        <w:t>Explanation of Any Payment or Gift to Respondents</w:t>
      </w:r>
    </w:p>
    <w:p w:rsidR="00E72F70" w:rsidRDefault="00E72F70">
      <w:pPr>
        <w:ind w:left="720"/>
      </w:pPr>
    </w:p>
    <w:p w:rsidR="00E72F70" w:rsidRDefault="00557F55">
      <w:pPr>
        <w:ind w:left="720"/>
      </w:pPr>
      <w:r>
        <w:t>OCC has not provided and has no intention to provide any payment or gift to respondents under this information collection.</w:t>
      </w:r>
    </w:p>
    <w:p w:rsidR="00E72F70" w:rsidRDefault="00E72F70">
      <w:pPr>
        <w:ind w:firstLine="720"/>
      </w:pPr>
    </w:p>
    <w:p w:rsidR="00E72F70" w:rsidRDefault="00557F55">
      <w:pPr>
        <w:numPr>
          <w:ilvl w:val="0"/>
          <w:numId w:val="1"/>
        </w:numPr>
        <w:rPr>
          <w:u w:val="single"/>
        </w:rPr>
      </w:pPr>
      <w:r>
        <w:rPr>
          <w:u w:val="single"/>
        </w:rPr>
        <w:t>Assurance of Confidentiality Provided to Respondents</w:t>
      </w:r>
    </w:p>
    <w:p w:rsidR="00E72F70" w:rsidRDefault="00E72F70">
      <w:pPr>
        <w:numPr>
          <w:ilvl w:val="12"/>
          <w:numId w:val="0"/>
        </w:numPr>
        <w:tabs>
          <w:tab w:val="left" w:pos="720"/>
        </w:tabs>
        <w:ind w:left="720"/>
      </w:pPr>
    </w:p>
    <w:p w:rsidR="00E72F70" w:rsidRDefault="00557F55">
      <w:pPr>
        <w:ind w:left="720"/>
      </w:pPr>
      <w:r>
        <w:t xml:space="preserve">The information collection request </w:t>
      </w:r>
      <w:proofErr w:type="gramStart"/>
      <w:r>
        <w:t>will be kept</w:t>
      </w:r>
      <w:proofErr w:type="gramEnd"/>
      <w:r>
        <w:t xml:space="preserve"> confidential to the extent permissible by law.</w:t>
      </w:r>
    </w:p>
    <w:p w:rsidR="0066081F" w:rsidRDefault="0066081F" w:rsidP="0066081F">
      <w:pPr>
        <w:numPr>
          <w:ilvl w:val="12"/>
          <w:numId w:val="0"/>
        </w:numPr>
        <w:tabs>
          <w:tab w:val="left" w:pos="360"/>
          <w:tab w:val="left" w:pos="720"/>
        </w:tabs>
        <w:ind w:left="720"/>
      </w:pPr>
    </w:p>
    <w:p w:rsidR="006A6254" w:rsidRDefault="006A6254" w:rsidP="0066081F">
      <w:pPr>
        <w:numPr>
          <w:ilvl w:val="12"/>
          <w:numId w:val="0"/>
        </w:numPr>
        <w:tabs>
          <w:tab w:val="left" w:pos="360"/>
          <w:tab w:val="left" w:pos="720"/>
        </w:tabs>
        <w:ind w:left="720"/>
      </w:pPr>
    </w:p>
    <w:p w:rsidR="006A6254" w:rsidRDefault="006A6254" w:rsidP="0066081F">
      <w:pPr>
        <w:numPr>
          <w:ilvl w:val="12"/>
          <w:numId w:val="0"/>
        </w:numPr>
        <w:tabs>
          <w:tab w:val="left" w:pos="360"/>
          <w:tab w:val="left" w:pos="720"/>
        </w:tabs>
        <w:ind w:left="720"/>
      </w:pPr>
    </w:p>
    <w:p w:rsidR="006A6254" w:rsidRDefault="006A6254" w:rsidP="0066081F">
      <w:pPr>
        <w:numPr>
          <w:ilvl w:val="12"/>
          <w:numId w:val="0"/>
        </w:numPr>
        <w:tabs>
          <w:tab w:val="left" w:pos="360"/>
          <w:tab w:val="left" w:pos="720"/>
        </w:tabs>
        <w:ind w:left="720"/>
      </w:pPr>
      <w:bookmarkStart w:id="0" w:name="_GoBack"/>
      <w:bookmarkEnd w:id="0"/>
    </w:p>
    <w:p w:rsidR="00E72F70" w:rsidRDefault="00557F55">
      <w:pPr>
        <w:numPr>
          <w:ilvl w:val="0"/>
          <w:numId w:val="1"/>
        </w:numPr>
        <w:rPr>
          <w:u w:val="single"/>
        </w:rPr>
      </w:pPr>
      <w:r>
        <w:rPr>
          <w:u w:val="single"/>
        </w:rPr>
        <w:lastRenderedPageBreak/>
        <w:t>Justification for Sensitive Questions</w:t>
      </w:r>
    </w:p>
    <w:p w:rsidR="00E72F70" w:rsidRDefault="00E72F70">
      <w:pPr>
        <w:ind w:firstLine="720"/>
      </w:pPr>
    </w:p>
    <w:p w:rsidR="00E72F70" w:rsidRDefault="00557F55" w:rsidP="0066081F">
      <w:pPr>
        <w:ind w:left="720"/>
      </w:pPr>
      <w:r>
        <w:t>There are no questions of a sensitive nature.</w:t>
      </w:r>
      <w:r w:rsidR="006F0372">
        <w:t xml:space="preserve">  No personally identifiable information is collected.</w:t>
      </w:r>
    </w:p>
    <w:p w:rsidR="00E72F70" w:rsidRDefault="00E72F70">
      <w:pPr>
        <w:ind w:firstLine="720"/>
      </w:pPr>
    </w:p>
    <w:p w:rsidR="00E72F70" w:rsidRDefault="00557F55">
      <w:pPr>
        <w:numPr>
          <w:ilvl w:val="0"/>
          <w:numId w:val="1"/>
        </w:numPr>
        <w:rPr>
          <w:u w:val="single"/>
        </w:rPr>
      </w:pPr>
      <w:r>
        <w:rPr>
          <w:u w:val="single"/>
        </w:rPr>
        <w:t>Estimates of Annualized Burden Hours and Costs</w:t>
      </w:r>
    </w:p>
    <w:p w:rsidR="00E72F70" w:rsidRDefault="00E72F70">
      <w:pPr>
        <w:ind w:left="720"/>
        <w:rPr>
          <w:u w:val="single"/>
        </w:rPr>
      </w:pPr>
    </w:p>
    <w:p w:rsidR="00E72F70" w:rsidRDefault="00557F55" w:rsidP="0066081F">
      <w:pPr>
        <w:ind w:left="720"/>
      </w:pPr>
      <w:r>
        <w:t>OCC estimates the burden of this collection of information as follows.  This table includes estimates for (</w:t>
      </w:r>
      <w:proofErr w:type="spellStart"/>
      <w:r>
        <w:t>i</w:t>
      </w:r>
      <w:proofErr w:type="spellEnd"/>
      <w:r>
        <w:t xml:space="preserve">) reporting templates for institutions with between $10 and $50 billion in assets and (ii) information collection requirements pursuant to the annual stress test rule (previously approved).  </w:t>
      </w:r>
      <w:r>
        <w:rPr>
          <w:sz w:val="20"/>
          <w:szCs w:val="20"/>
        </w:rPr>
        <w:br/>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70"/>
        <w:gridCol w:w="1260"/>
        <w:gridCol w:w="1260"/>
        <w:gridCol w:w="1350"/>
        <w:gridCol w:w="1080"/>
        <w:gridCol w:w="1257"/>
      </w:tblGrid>
      <w:tr w:rsidR="00E72F70" w:rsidTr="0066081F">
        <w:tc>
          <w:tcPr>
            <w:tcW w:w="207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bookmarkStart w:id="1" w:name="OLE_LINK1"/>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No. of Respondents</w:t>
            </w:r>
          </w:p>
        </w:tc>
        <w:tc>
          <w:tcPr>
            <w:tcW w:w="126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No. of Responses per Respondent</w:t>
            </w:r>
          </w:p>
        </w:tc>
        <w:tc>
          <w:tcPr>
            <w:tcW w:w="135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Annual No. of Responses</w:t>
            </w:r>
          </w:p>
        </w:tc>
        <w:tc>
          <w:tcPr>
            <w:tcW w:w="108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Burden per Response</w:t>
            </w:r>
          </w:p>
          <w:p w:rsidR="00E72F70" w:rsidRDefault="00E72F70">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 xml:space="preserve">Total Hours </w:t>
            </w:r>
          </w:p>
        </w:tc>
      </w:tr>
      <w:tr w:rsidR="00E72F70" w:rsidTr="0066081F">
        <w:tc>
          <w:tcPr>
            <w:tcW w:w="207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b/>
                <w:sz w:val="20"/>
                <w:szCs w:val="20"/>
              </w:rPr>
            </w:pPr>
            <w:r>
              <w:rPr>
                <w:sz w:val="20"/>
                <w:szCs w:val="20"/>
              </w:rPr>
              <w:t>Reporting Templates for Institutions with $10-$50B in Assets</w:t>
            </w: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r>
      <w:tr w:rsidR="00E72F70" w:rsidTr="0066081F">
        <w:tc>
          <w:tcPr>
            <w:tcW w:w="207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DFAST 10-50B Results Template</w:t>
            </w:r>
          </w:p>
        </w:tc>
        <w:tc>
          <w:tcPr>
            <w:tcW w:w="126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29</w:t>
            </w:r>
          </w:p>
        </w:tc>
        <w:tc>
          <w:tcPr>
            <w:tcW w:w="126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148.33</w:t>
            </w:r>
          </w:p>
        </w:tc>
        <w:tc>
          <w:tcPr>
            <w:tcW w:w="1257"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129,905</w:t>
            </w:r>
          </w:p>
        </w:tc>
      </w:tr>
      <w:tr w:rsidR="00E72F70" w:rsidTr="0066081F">
        <w:tc>
          <w:tcPr>
            <w:tcW w:w="207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DFAST 10-50B Scenario Variables Template</w:t>
            </w:r>
          </w:p>
        </w:tc>
        <w:tc>
          <w:tcPr>
            <w:tcW w:w="126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29</w:t>
            </w:r>
          </w:p>
        </w:tc>
        <w:tc>
          <w:tcPr>
            <w:tcW w:w="126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24</w:t>
            </w:r>
          </w:p>
        </w:tc>
        <w:tc>
          <w:tcPr>
            <w:tcW w:w="1257"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sz w:val="20"/>
                <w:szCs w:val="20"/>
              </w:rPr>
            </w:pPr>
            <w:r>
              <w:rPr>
                <w:sz w:val="20"/>
                <w:szCs w:val="20"/>
              </w:rPr>
              <w:t>696</w:t>
            </w:r>
          </w:p>
        </w:tc>
      </w:tr>
      <w:tr w:rsidR="00E72F70" w:rsidTr="0066081F">
        <w:tc>
          <w:tcPr>
            <w:tcW w:w="207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b/>
                <w:sz w:val="20"/>
                <w:szCs w:val="20"/>
              </w:rPr>
            </w:pPr>
            <w:r>
              <w:rPr>
                <w:b/>
                <w:sz w:val="20"/>
                <w:szCs w:val="20"/>
              </w:rPr>
              <w:t>10B-50B Template Total</w:t>
            </w: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b/>
                <w:sz w:val="20"/>
                <w:szCs w:val="20"/>
              </w:rPr>
            </w:pPr>
            <w:r>
              <w:rPr>
                <w:b/>
                <w:sz w:val="20"/>
                <w:szCs w:val="20"/>
              </w:rPr>
              <w:t>13,601</w:t>
            </w:r>
          </w:p>
        </w:tc>
      </w:tr>
      <w:tr w:rsidR="00E72F70" w:rsidTr="0066081F">
        <w:tc>
          <w:tcPr>
            <w:tcW w:w="207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r>
      <w:tr w:rsidR="00E72F70" w:rsidTr="0066081F">
        <w:tc>
          <w:tcPr>
            <w:tcW w:w="207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b/>
                <w:sz w:val="20"/>
                <w:szCs w:val="20"/>
              </w:rPr>
            </w:pPr>
            <w:r>
              <w:rPr>
                <w:b/>
                <w:sz w:val="20"/>
                <w:szCs w:val="20"/>
              </w:rPr>
              <w:t>Annual Stress Test Final Rule Total</w:t>
            </w: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p w:rsidR="00E72F70" w:rsidRDefault="00557F55">
            <w:pPr>
              <w:widowControl w:val="0"/>
              <w:snapToGrid w:val="0"/>
              <w:jc w:val="center"/>
              <w:rPr>
                <w:b/>
                <w:sz w:val="20"/>
                <w:szCs w:val="20"/>
              </w:rPr>
            </w:pPr>
            <w:r>
              <w:rPr>
                <w:b/>
                <w:sz w:val="20"/>
                <w:szCs w:val="20"/>
              </w:rPr>
              <w:t>63,440</w:t>
            </w:r>
          </w:p>
        </w:tc>
      </w:tr>
      <w:tr w:rsidR="00E72F70" w:rsidTr="0066081F">
        <w:tc>
          <w:tcPr>
            <w:tcW w:w="2070"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b/>
                <w:sz w:val="20"/>
                <w:szCs w:val="20"/>
              </w:rPr>
            </w:pPr>
            <w:r>
              <w:rPr>
                <w:b/>
                <w:sz w:val="20"/>
                <w:szCs w:val="20"/>
              </w:rPr>
              <w:t>Total Burden for Collection</w:t>
            </w: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E72F70" w:rsidRDefault="00E72F70">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E72F70" w:rsidRDefault="00557F55">
            <w:pPr>
              <w:widowControl w:val="0"/>
              <w:snapToGrid w:val="0"/>
              <w:jc w:val="center"/>
              <w:rPr>
                <w:b/>
                <w:sz w:val="20"/>
                <w:szCs w:val="20"/>
              </w:rPr>
            </w:pPr>
            <w:r>
              <w:rPr>
                <w:b/>
                <w:sz w:val="20"/>
                <w:szCs w:val="20"/>
              </w:rPr>
              <w:t>77,041</w:t>
            </w:r>
          </w:p>
        </w:tc>
      </w:tr>
    </w:tbl>
    <w:p w:rsidR="00E72F70" w:rsidRDefault="00E72F70"/>
    <w:p w:rsidR="00E72F70" w:rsidRDefault="00E72F70">
      <w:pPr>
        <w:ind w:left="720"/>
      </w:pPr>
    </w:p>
    <w:bookmarkEnd w:id="1"/>
    <w:p w:rsidR="00E72F70" w:rsidRDefault="00557F55">
      <w:pPr>
        <w:numPr>
          <w:ilvl w:val="0"/>
          <w:numId w:val="1"/>
        </w:numPr>
      </w:pPr>
      <w:r>
        <w:rPr>
          <w:u w:val="single"/>
        </w:rPr>
        <w:t>Estimates of Annual Cost Burden to Respondents and Record Keepers</w:t>
      </w:r>
    </w:p>
    <w:p w:rsidR="00E72F70" w:rsidRDefault="00E72F70">
      <w:pPr>
        <w:ind w:left="720"/>
      </w:pPr>
    </w:p>
    <w:p w:rsidR="00E72F70" w:rsidRDefault="00557F5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rsidR="00E72F70" w:rsidRDefault="00E72F7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E72F70" w:rsidRDefault="00557F55">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 xml:space="preserve">Total annualized capital and start-up costs associated with the Templates </w:t>
      </w:r>
      <w:proofErr w:type="gramStart"/>
      <w:r>
        <w:t>are estimated</w:t>
      </w:r>
      <w:proofErr w:type="gramEnd"/>
      <w:r>
        <w:t xml:space="preserve"> to be $0 (zero dollars).  In general, reporting on the Templates requires neither specialized capital equipment, nor fixed or variable costs that are not already associated with the customary and usual business practices of respondents.</w:t>
      </w:r>
    </w:p>
    <w:p w:rsidR="00E72F70" w:rsidRDefault="00E72F7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E72F70" w:rsidRDefault="00557F55">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 xml:space="preserve">Total annualized operations, maintenance, and purchases of services costs </w:t>
      </w:r>
      <w:proofErr w:type="gramStart"/>
      <w:r>
        <w:t>are estimated</w:t>
      </w:r>
      <w:proofErr w:type="gramEnd"/>
      <w:r>
        <w:t xml:space="preserve"> to be $0 (zero dollars).  Reporting on the forms does not in general impose operations, maintenance, or specialized services costs that are not already associated with the customary and usual practices of respondents.</w:t>
      </w:r>
    </w:p>
    <w:p w:rsidR="00E72F70" w:rsidRDefault="00E72F7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E72F70" w:rsidRDefault="00557F5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The above cost estimates </w:t>
      </w:r>
      <w:proofErr w:type="gramStart"/>
      <w:r>
        <w:t>are not expected</w:t>
      </w:r>
      <w:proofErr w:type="gramEnd"/>
      <w:r>
        <w:t xml:space="preserve"> to vary widely among respondents.</w:t>
      </w:r>
    </w:p>
    <w:p w:rsidR="00E72F70" w:rsidRDefault="00E72F70">
      <w:pPr>
        <w:ind w:left="720"/>
      </w:pPr>
    </w:p>
    <w:p w:rsidR="00E72F70" w:rsidRDefault="00557F55">
      <w:pPr>
        <w:pStyle w:val="ListParagraph"/>
        <w:numPr>
          <w:ilvl w:val="0"/>
          <w:numId w:val="1"/>
        </w:numPr>
        <w:rPr>
          <w:u w:val="single"/>
        </w:rPr>
      </w:pPr>
      <w:r>
        <w:lastRenderedPageBreak/>
        <w:t xml:space="preserve"> </w:t>
      </w:r>
      <w:r>
        <w:rPr>
          <w:u w:val="single"/>
        </w:rPr>
        <w:t>Annualized Cost to the Federal Government</w:t>
      </w:r>
    </w:p>
    <w:p w:rsidR="00E72F70" w:rsidRDefault="00E72F70">
      <w:pPr>
        <w:autoSpaceDE w:val="0"/>
        <w:autoSpaceDN w:val="0"/>
        <w:adjustRightInd w:val="0"/>
        <w:ind w:firstLine="720"/>
      </w:pPr>
    </w:p>
    <w:p w:rsidR="00E72F70" w:rsidRDefault="00557F55">
      <w:pPr>
        <w:autoSpaceDE w:val="0"/>
        <w:autoSpaceDN w:val="0"/>
        <w:adjustRightInd w:val="0"/>
        <w:ind w:firstLine="720"/>
      </w:pPr>
      <w:r>
        <w:t>OCC estimates no annualized cost to the Federal government.</w:t>
      </w:r>
    </w:p>
    <w:p w:rsidR="00E72F70" w:rsidRDefault="00E72F70">
      <w:pPr>
        <w:autoSpaceDE w:val="0"/>
        <w:autoSpaceDN w:val="0"/>
        <w:adjustRightInd w:val="0"/>
        <w:ind w:firstLine="720"/>
      </w:pPr>
    </w:p>
    <w:p w:rsidR="00E72F70" w:rsidRDefault="00557F55">
      <w:pPr>
        <w:numPr>
          <w:ilvl w:val="0"/>
          <w:numId w:val="1"/>
        </w:numPr>
        <w:rPr>
          <w:u w:val="single"/>
        </w:rPr>
      </w:pPr>
      <w:r>
        <w:rPr>
          <w:u w:val="single"/>
        </w:rPr>
        <w:t>Explanation for Program Changes or Adjustments</w:t>
      </w:r>
    </w:p>
    <w:p w:rsidR="00E72F70" w:rsidRDefault="00E72F70">
      <w:pPr>
        <w:ind w:firstLine="720"/>
      </w:pPr>
    </w:p>
    <w:p w:rsidR="00E72F70" w:rsidRDefault="00557F55">
      <w:pPr>
        <w:ind w:firstLine="720"/>
      </w:pPr>
      <w:proofErr w:type="gramStart"/>
      <w:r>
        <w:t>Prior Burden:  89,188 hours.</w:t>
      </w:r>
      <w:proofErr w:type="gramEnd"/>
    </w:p>
    <w:p w:rsidR="00E72F70" w:rsidRDefault="00E72F70">
      <w:pPr>
        <w:ind w:firstLine="720"/>
      </w:pPr>
    </w:p>
    <w:p w:rsidR="00E72F70" w:rsidRDefault="00557F55">
      <w:pPr>
        <w:ind w:firstLine="720"/>
      </w:pPr>
      <w:proofErr w:type="gramStart"/>
      <w:r>
        <w:t>Proposed Burden:  77,041 hours.</w:t>
      </w:r>
      <w:proofErr w:type="gramEnd"/>
    </w:p>
    <w:p w:rsidR="00E72F70" w:rsidRDefault="00E72F70">
      <w:pPr>
        <w:ind w:firstLine="720"/>
      </w:pPr>
    </w:p>
    <w:p w:rsidR="00E72F70" w:rsidRDefault="00557F55">
      <w:pPr>
        <w:ind w:firstLine="720"/>
      </w:pPr>
      <w:proofErr w:type="gramStart"/>
      <w:r>
        <w:t>Difference:  -12,147 hours.</w:t>
      </w:r>
      <w:proofErr w:type="gramEnd"/>
    </w:p>
    <w:p w:rsidR="00E72F70" w:rsidRDefault="00E72F70">
      <w:pPr>
        <w:ind w:firstLine="720"/>
      </w:pPr>
    </w:p>
    <w:p w:rsidR="00E72F70" w:rsidRDefault="00C12159" w:rsidP="00C12159">
      <w:pPr>
        <w:ind w:left="720" w:right="450"/>
      </w:pPr>
      <w:r w:rsidRPr="00C12159">
        <w:t xml:space="preserve">The decrease in burden </w:t>
      </w:r>
      <w:proofErr w:type="gramStart"/>
      <w:r w:rsidRPr="00C12159">
        <w:t>is made up</w:t>
      </w:r>
      <w:proofErr w:type="gramEnd"/>
      <w:r w:rsidRPr="00C12159">
        <w:t xml:space="preserve"> of program changes reducing the number of respondents and increasing the burden per respondent for the $10-50 billion templates, resulting in an overall decrease; and an adjustment removing the burden for the templates for institutions with over $50 billion in consolidated assets.  The templates for institutions with over $50 billion in consolidated assets </w:t>
      </w:r>
      <w:proofErr w:type="gramStart"/>
      <w:r w:rsidRPr="00C12159">
        <w:t>are currently approved</w:t>
      </w:r>
      <w:proofErr w:type="gramEnd"/>
      <w:r w:rsidRPr="00C12159">
        <w:t xml:space="preserve"> under OMB Control No. 1557-0319.  They are undergoing revision and </w:t>
      </w:r>
      <w:proofErr w:type="gramStart"/>
      <w:r w:rsidRPr="00C12159">
        <w:t>will be consolidated</w:t>
      </w:r>
      <w:proofErr w:type="gramEnd"/>
      <w:r w:rsidRPr="00C12159">
        <w:t xml:space="preserve"> under this OMB Control No. 1557-0311 when both ICRs have been approved.</w:t>
      </w:r>
    </w:p>
    <w:p w:rsidR="00C12159" w:rsidRDefault="00C12159">
      <w:pPr>
        <w:ind w:firstLine="720"/>
      </w:pPr>
    </w:p>
    <w:p w:rsidR="00E72F70" w:rsidRDefault="00557F55">
      <w:pPr>
        <w:numPr>
          <w:ilvl w:val="0"/>
          <w:numId w:val="1"/>
        </w:numPr>
        <w:rPr>
          <w:u w:val="single"/>
        </w:rPr>
      </w:pPr>
      <w:r>
        <w:rPr>
          <w:u w:val="single"/>
        </w:rPr>
        <w:t>Plans for Tabulation and Publication and Project Time Schedule</w:t>
      </w:r>
    </w:p>
    <w:p w:rsidR="00E72F70" w:rsidRDefault="00E72F70">
      <w:pPr>
        <w:ind w:firstLine="720"/>
      </w:pPr>
    </w:p>
    <w:p w:rsidR="00E72F70" w:rsidRDefault="00557F55">
      <w:pPr>
        <w:ind w:firstLine="720"/>
      </w:pPr>
      <w:r>
        <w:t>There are no publications.</w:t>
      </w:r>
    </w:p>
    <w:p w:rsidR="00E72F70" w:rsidRDefault="00E72F70">
      <w:pPr>
        <w:ind w:firstLine="720"/>
      </w:pPr>
    </w:p>
    <w:p w:rsidR="00E72F70" w:rsidRDefault="00557F55">
      <w:pPr>
        <w:numPr>
          <w:ilvl w:val="0"/>
          <w:numId w:val="1"/>
        </w:numPr>
        <w:rPr>
          <w:u w:val="single"/>
        </w:rPr>
      </w:pPr>
      <w:r>
        <w:rPr>
          <w:u w:val="single"/>
        </w:rPr>
        <w:t>Reason(s) Display of OMB Expiration Date is Inappropriate</w:t>
      </w:r>
    </w:p>
    <w:p w:rsidR="00E72F70" w:rsidRDefault="00E72F70">
      <w:pPr>
        <w:ind w:left="720"/>
      </w:pPr>
    </w:p>
    <w:p w:rsidR="00E72F70" w:rsidRDefault="00557F55">
      <w:pPr>
        <w:ind w:left="720"/>
      </w:pPr>
      <w:r>
        <w:t>The agency is not seeking to display the expiration date of OMB approval of the information collection.</w:t>
      </w:r>
    </w:p>
    <w:p w:rsidR="00E72F70" w:rsidRDefault="00E72F70"/>
    <w:p w:rsidR="00E72F70" w:rsidRDefault="00557F55">
      <w:pPr>
        <w:ind w:left="720" w:hanging="360"/>
      </w:pPr>
      <w:r>
        <w:t xml:space="preserve">18. </w:t>
      </w:r>
      <w:r>
        <w:rPr>
          <w:u w:val="single"/>
        </w:rPr>
        <w:t>Exceptions to Certification for Paperwork Reduction Act Submissions</w:t>
      </w:r>
      <w:r>
        <w:t xml:space="preserve"> </w:t>
      </w:r>
    </w:p>
    <w:p w:rsidR="00E72F70" w:rsidRDefault="00E72F70">
      <w:pPr>
        <w:ind w:firstLine="720"/>
      </w:pPr>
    </w:p>
    <w:p w:rsidR="00E72F70" w:rsidRDefault="00557F55">
      <w:pPr>
        <w:ind w:firstLine="720"/>
      </w:pPr>
      <w:r>
        <w:t>There are no exceptions to the certification.</w:t>
      </w:r>
    </w:p>
    <w:p w:rsidR="00E72F70" w:rsidRDefault="00E72F7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72F70" w:rsidRDefault="00E72F7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72F70" w:rsidRDefault="00557F55" w:rsidP="0066081F">
      <w:pPr>
        <w:tabs>
          <w:tab w:val="left" w:pos="-1440"/>
          <w:tab w:val="left" w:pos="-72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
        <w:t xml:space="preserve">B.  </w:t>
      </w:r>
      <w:r>
        <w:rPr>
          <w:smallCaps/>
        </w:rPr>
        <w:t>Collections of Information Employing Statistical Methods</w:t>
      </w:r>
    </w:p>
    <w:p w:rsidR="00E72F70" w:rsidRDefault="00E72F70" w:rsidP="0066081F">
      <w:pPr>
        <w:tabs>
          <w:tab w:val="left" w:pos="-1440"/>
          <w:tab w:val="left" w:pos="-72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E72F70" w:rsidRDefault="00557F55" w:rsidP="0066081F">
      <w:pPr>
        <w:tabs>
          <w:tab w:val="left" w:pos="-1440"/>
          <w:tab w:val="left" w:pos="-72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collection of this information does not employ statistical methods.  Statistical methods are not appropriate for the type of information collected and would not reduce burden or improve accuracy of results.</w:t>
      </w:r>
    </w:p>
    <w:p w:rsidR="00E72F70" w:rsidRDefault="00E72F70"/>
    <w:sectPr w:rsidR="00E72F7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F70" w:rsidRDefault="00557F55">
      <w:r>
        <w:separator/>
      </w:r>
    </w:p>
  </w:endnote>
  <w:endnote w:type="continuationSeparator" w:id="0">
    <w:p w:rsidR="00E72F70" w:rsidRDefault="0055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70" w:rsidRDefault="00E72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E72F70" w:rsidRDefault="00557F55">
        <w:pPr>
          <w:pStyle w:val="Footer"/>
          <w:jc w:val="center"/>
        </w:pPr>
        <w:r>
          <w:fldChar w:fldCharType="begin"/>
        </w:r>
        <w:r>
          <w:instrText xml:space="preserve"> PAGE   \* MERGEFORMAT </w:instrText>
        </w:r>
        <w:r>
          <w:fldChar w:fldCharType="separate"/>
        </w:r>
        <w:r w:rsidR="006A6254">
          <w:rPr>
            <w:noProof/>
          </w:rPr>
          <w:t>5</w:t>
        </w:r>
        <w:r>
          <w:rPr>
            <w:noProof/>
          </w:rPr>
          <w:fldChar w:fldCharType="end"/>
        </w:r>
      </w:p>
    </w:sdtContent>
  </w:sdt>
  <w:p w:rsidR="00E72F70" w:rsidRDefault="00E72F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70" w:rsidRDefault="00E72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F70" w:rsidRDefault="00557F55">
      <w:r>
        <w:separator/>
      </w:r>
    </w:p>
  </w:footnote>
  <w:footnote w:type="continuationSeparator" w:id="0">
    <w:p w:rsidR="00E72F70" w:rsidRDefault="00557F55">
      <w:r>
        <w:continuationSeparator/>
      </w:r>
    </w:p>
  </w:footnote>
  <w:footnote w:id="1">
    <w:p w:rsidR="0001675F" w:rsidRDefault="0001675F" w:rsidP="008E1045">
      <w:pPr>
        <w:pStyle w:val="FootnoteText"/>
        <w:ind w:left="720"/>
      </w:pPr>
      <w:r>
        <w:rPr>
          <w:rStyle w:val="FootnoteReference"/>
        </w:rPr>
        <w:footnoteRef/>
      </w:r>
      <w:r>
        <w:t xml:space="preserve"> </w:t>
      </w:r>
      <w:proofErr w:type="gramStart"/>
      <w:r>
        <w:t>Pub.</w:t>
      </w:r>
      <w:proofErr w:type="gramEnd"/>
      <w:r>
        <w:t xml:space="preserve"> </w:t>
      </w:r>
      <w:proofErr w:type="gramStart"/>
      <w:r>
        <w:t>L. No. 111-203, 124 Stat. 1376 (2010).</w:t>
      </w:r>
      <w:proofErr w:type="gramEnd"/>
    </w:p>
  </w:footnote>
  <w:footnote w:id="2">
    <w:p w:rsidR="00733FE6" w:rsidRDefault="00733FE6" w:rsidP="008E1045">
      <w:pPr>
        <w:pStyle w:val="FootnoteText"/>
        <w:ind w:left="720"/>
      </w:pPr>
      <w:r>
        <w:rPr>
          <w:rStyle w:val="FootnoteReference"/>
        </w:rPr>
        <w:footnoteRef/>
      </w:r>
      <w:r>
        <w:t xml:space="preserve"> 12 U.S.C. 5365(</w:t>
      </w:r>
      <w:proofErr w:type="spellStart"/>
      <w:r>
        <w:t>i</w:t>
      </w:r>
      <w:proofErr w:type="spellEnd"/>
      <w:proofErr w:type="gramStart"/>
      <w:r>
        <w:t>)(</w:t>
      </w:r>
      <w:proofErr w:type="gramEnd"/>
      <w:r>
        <w:t>2)(B).</w:t>
      </w:r>
    </w:p>
  </w:footnote>
  <w:footnote w:id="3">
    <w:p w:rsidR="00577B47" w:rsidRDefault="00577B47" w:rsidP="008E1045">
      <w:pPr>
        <w:pStyle w:val="FootnoteText"/>
        <w:ind w:left="720"/>
      </w:pPr>
      <w:r>
        <w:rPr>
          <w:rStyle w:val="FootnoteReference"/>
        </w:rPr>
        <w:footnoteRef/>
      </w:r>
      <w:r>
        <w:t xml:space="preserve"> </w:t>
      </w:r>
      <w:proofErr w:type="gramStart"/>
      <w:r>
        <w:t>October 9, 2012 – Final Rule (77 FR 61238)</w:t>
      </w:r>
      <w:r w:rsidR="006A6254">
        <w:t>.</w:t>
      </w:r>
      <w:proofErr w:type="gramEnd"/>
    </w:p>
  </w:footnote>
  <w:footnote w:id="4">
    <w:p w:rsidR="00E72F70" w:rsidRDefault="00557F55" w:rsidP="008E1045">
      <w:pPr>
        <w:pStyle w:val="FootnoteText"/>
        <w:ind w:left="720"/>
      </w:pPr>
      <w:r>
        <w:rPr>
          <w:rStyle w:val="FootnoteReference"/>
        </w:rPr>
        <w:footnoteRef/>
      </w:r>
      <w:r>
        <w:t xml:space="preserve"> </w:t>
      </w:r>
      <w:proofErr w:type="gramStart"/>
      <w:r>
        <w:t>77</w:t>
      </w:r>
      <w:proofErr w:type="gramEnd"/>
      <w:r>
        <w:t xml:space="preserve"> FR 49485 (August 16, 2012); 77 FR 66663 (November 6, 2012).</w:t>
      </w:r>
      <w:r w:rsidR="0001675F">
        <w:t xml:space="preserve"> </w:t>
      </w:r>
      <w:r w:rsidR="006A6254">
        <w:t xml:space="preserve"> OMB Control No. 1557-0319.</w:t>
      </w:r>
      <w:r w:rsidR="0001675F">
        <w:t xml:space="preserve"> </w:t>
      </w:r>
    </w:p>
  </w:footnote>
  <w:footnote w:id="5">
    <w:p w:rsidR="0001675F" w:rsidRDefault="0001675F" w:rsidP="008E1045">
      <w:pPr>
        <w:pStyle w:val="FootnoteText"/>
        <w:ind w:left="720"/>
      </w:pPr>
      <w:r>
        <w:rPr>
          <w:rStyle w:val="FootnoteReference"/>
        </w:rPr>
        <w:footnoteRef/>
      </w:r>
      <w:r>
        <w:t xml:space="preserve"> </w:t>
      </w:r>
      <w:proofErr w:type="gramStart"/>
      <w:r>
        <w:t>78</w:t>
      </w:r>
      <w:proofErr w:type="gramEnd"/>
      <w:r>
        <w:t xml:space="preserve"> FR 15403 (March 11, 2013); 78 FR 62942 (October 22, 2013). </w:t>
      </w:r>
    </w:p>
  </w:footnote>
  <w:footnote w:id="6">
    <w:p w:rsidR="00080D59" w:rsidRDefault="00080D59" w:rsidP="008E1045">
      <w:pPr>
        <w:pStyle w:val="FootnoteText"/>
        <w:ind w:left="720"/>
      </w:pPr>
      <w:r>
        <w:rPr>
          <w:rStyle w:val="FootnoteReference"/>
        </w:rPr>
        <w:footnoteRef/>
      </w:r>
      <w:r>
        <w:t xml:space="preserve"> </w:t>
      </w:r>
      <w:r>
        <w:rPr>
          <w:iCs/>
          <w:color w:val="000000"/>
        </w:rPr>
        <w:t xml:space="preserve">The OCC, the Board, and the Federal Deposit Insurance Corporation recently proposed revisions to the schedule of the annual stress test.  </w:t>
      </w:r>
      <w:proofErr w:type="gramStart"/>
      <w:r>
        <w:rPr>
          <w:iCs/>
          <w:color w:val="000000"/>
        </w:rPr>
        <w:t>79</w:t>
      </w:r>
      <w:proofErr w:type="gramEnd"/>
      <w:r>
        <w:rPr>
          <w:iCs/>
          <w:color w:val="000000"/>
        </w:rPr>
        <w:t xml:space="preserve"> FR 37231 (July 1, 2014).  If the agencies adopt these revisions, the OCC expects to adjust its reporting instructions accordingly.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70" w:rsidRDefault="00E72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70" w:rsidRDefault="00E72F70">
    <w:pPr>
      <w:pStyle w:val="Header"/>
      <w:jc w:val="center"/>
      <w:rPr>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70" w:rsidRDefault="00E72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70"/>
    <w:rsid w:val="0001675F"/>
    <w:rsid w:val="00080D59"/>
    <w:rsid w:val="00542ACE"/>
    <w:rsid w:val="00557F55"/>
    <w:rsid w:val="00577B47"/>
    <w:rsid w:val="00631C58"/>
    <w:rsid w:val="0066081F"/>
    <w:rsid w:val="006A6254"/>
    <w:rsid w:val="006F0372"/>
    <w:rsid w:val="00733FE6"/>
    <w:rsid w:val="007C204F"/>
    <w:rsid w:val="008E1045"/>
    <w:rsid w:val="0097181E"/>
    <w:rsid w:val="00B64203"/>
    <w:rsid w:val="00C12159"/>
    <w:rsid w:val="00DB2D80"/>
    <w:rsid w:val="00E72F70"/>
    <w:rsid w:val="00E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
    <w:name w:val="Body Text"/>
    <w:basedOn w:val="Normal"/>
    <w:link w:val="BodyTextChar"/>
    <w:rsid w:val="00080D59"/>
    <w:pPr>
      <w:spacing w:line="480" w:lineRule="auto"/>
    </w:pPr>
    <w:rPr>
      <w:rFonts w:ascii="Times" w:hAnsi="Times" w:cs="Times"/>
      <w:color w:val="000000"/>
    </w:rPr>
  </w:style>
  <w:style w:type="character" w:customStyle="1" w:styleId="BodyTextChar">
    <w:name w:val="Body Text Char"/>
    <w:basedOn w:val="DefaultParagraphFont"/>
    <w:link w:val="BodyText"/>
    <w:rsid w:val="00080D59"/>
    <w:rPr>
      <w:rFonts w:ascii="Times"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
    <w:name w:val="Body Text"/>
    <w:basedOn w:val="Normal"/>
    <w:link w:val="BodyTextChar"/>
    <w:rsid w:val="00080D59"/>
    <w:pPr>
      <w:spacing w:line="480" w:lineRule="auto"/>
    </w:pPr>
    <w:rPr>
      <w:rFonts w:ascii="Times" w:hAnsi="Times" w:cs="Times"/>
      <w:color w:val="000000"/>
    </w:rPr>
  </w:style>
  <w:style w:type="character" w:customStyle="1" w:styleId="BodyTextChar">
    <w:name w:val="Body Text Char"/>
    <w:basedOn w:val="DefaultParagraphFont"/>
    <w:link w:val="BodyText"/>
    <w:rsid w:val="00080D59"/>
    <w:rPr>
      <w:rFonts w:ascii="Times"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ABC3-B518-4273-98D7-4346231C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1549</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mary.gottlieb</cp:lastModifiedBy>
  <cp:revision>16</cp:revision>
  <cp:lastPrinted>2014-11-14T18:22:00Z</cp:lastPrinted>
  <dcterms:created xsi:type="dcterms:W3CDTF">2014-11-13T19:50:00Z</dcterms:created>
  <dcterms:modified xsi:type="dcterms:W3CDTF">2014-11-17T16:54:00Z</dcterms:modified>
</cp:coreProperties>
</file>