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46432">
      <w:pPr>
        <w:rPr>
          <w:rFonts w:cs="Courier"/>
        </w:rPr>
        <w:sectPr w:rsidR="00000000">
          <w:headerReference w:type="default" r:id="rId8"/>
          <w:pgSz w:w="12240" w:h="15840"/>
          <w:pgMar w:top="1728" w:right="1296" w:bottom="1296" w:left="1296" w:header="720" w:footer="720" w:gutter="0"/>
          <w:pgNumType w:start="1"/>
          <w:cols w:space="720"/>
          <w:noEndnote/>
        </w:sectPr>
      </w:pPr>
      <w:bookmarkStart w:id="0" w:name="_GoBack"/>
      <w:bookmarkEnd w:id="0"/>
    </w:p>
    <w:p w:rsidR="00000000" w:rsidRDefault="00695710">
      <w:pPr>
        <w:widowControl/>
        <w:suppressAutoHyphens/>
        <w:rPr>
          <w:rFonts w:ascii="Times New Roman" w:hAnsi="Times New Roman" w:cs="Times New Roman"/>
        </w:rPr>
      </w:pPr>
      <w:r>
        <w:rPr>
          <w:rFonts w:ascii="Times New Roman" w:hAnsi="Times New Roman" w:cs="Times New Roman"/>
          <w:noProof/>
        </w:rPr>
        <w:lastRenderedPageBreak/>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000000" w:rsidRDefault="00C46432">
      <w:pPr>
        <w:widowControl/>
        <w:rPr>
          <w:rFonts w:ascii="Times New Roman" w:hAnsi="Times New Roman" w:cs="Times New Roman"/>
        </w:rPr>
      </w:pPr>
    </w:p>
    <w:p w:rsidR="00000000" w:rsidRDefault="00C46432">
      <w:pPr>
        <w:widowControl/>
        <w:suppressAutoHyphens/>
        <w:jc w:val="center"/>
        <w:rPr>
          <w:rFonts w:ascii="Times New Roman" w:hAnsi="Times New Roman" w:cs="Times New Roman"/>
        </w:rPr>
      </w:pPr>
      <w:r>
        <w:rPr>
          <w:rFonts w:ascii="Times New Roman" w:hAnsi="Times New Roman" w:cs="Times New Roman"/>
        </w:rPr>
        <w:t>1 of 8 DOCUMENTS</w:t>
      </w:r>
    </w:p>
    <w:p w:rsidR="00000000" w:rsidRDefault="00C46432">
      <w:pPr>
        <w:widowControl/>
        <w:rPr>
          <w:rFonts w:ascii="Times New Roman" w:hAnsi="Times New Roman" w:cs="Times New Roman"/>
        </w:rPr>
      </w:pPr>
    </w:p>
    <w:p w:rsidR="00000000" w:rsidRDefault="00C46432">
      <w:pPr>
        <w:widowControl/>
        <w:ind w:left="1200" w:right="1200"/>
        <w:jc w:val="center"/>
        <w:rPr>
          <w:rFonts w:ascii="Times New Roman" w:hAnsi="Times New Roman" w:cs="Times New Roman"/>
        </w:rPr>
      </w:pPr>
      <w:r>
        <w:rPr>
          <w:rFonts w:ascii="Times New Roman" w:hAnsi="Times New Roman" w:cs="Times New Roman"/>
        </w:rPr>
        <w:t>DEPARTMENT OF THE TREASURY</w:t>
      </w:r>
    </w:p>
    <w:p w:rsidR="00000000" w:rsidRDefault="00C46432">
      <w:pPr>
        <w:widowControl/>
        <w:rPr>
          <w:rFonts w:ascii="Times New Roman" w:hAnsi="Times New Roman" w:cs="Times New Roman"/>
        </w:rPr>
      </w:pPr>
    </w:p>
    <w:p w:rsidR="00000000" w:rsidRDefault="00C46432">
      <w:pPr>
        <w:widowControl/>
        <w:ind w:left="1200" w:right="1200"/>
        <w:jc w:val="center"/>
        <w:rPr>
          <w:rFonts w:ascii="Times New Roman" w:hAnsi="Times New Roman" w:cs="Times New Roman"/>
        </w:rPr>
      </w:pPr>
      <w:r>
        <w:rPr>
          <w:rFonts w:ascii="Times New Roman" w:hAnsi="Times New Roman" w:cs="Times New Roman"/>
        </w:rPr>
        <w:t>Treasury Decision 9084</w:t>
      </w:r>
    </w:p>
    <w:p w:rsidR="00000000" w:rsidRDefault="00C46432">
      <w:pPr>
        <w:widowControl/>
        <w:rPr>
          <w:rFonts w:ascii="Times New Roman" w:hAnsi="Times New Roman" w:cs="Times New Roman"/>
        </w:rPr>
      </w:pPr>
    </w:p>
    <w:p w:rsidR="00000000" w:rsidRDefault="00C46432">
      <w:pPr>
        <w:widowControl/>
        <w:ind w:left="1200" w:right="1200"/>
        <w:jc w:val="center"/>
        <w:rPr>
          <w:rFonts w:ascii="Times New Roman" w:hAnsi="Times New Roman" w:cs="Times New Roman"/>
        </w:rPr>
      </w:pPr>
      <w:r>
        <w:rPr>
          <w:rFonts w:ascii="Times New Roman" w:hAnsi="Times New Roman" w:cs="Times New Roman"/>
        </w:rPr>
        <w:t>Dual Consolidated Loss Recapture Events</w:t>
      </w:r>
    </w:p>
    <w:p w:rsidR="00000000" w:rsidRDefault="00C46432">
      <w:pPr>
        <w:widowControl/>
        <w:rPr>
          <w:rFonts w:ascii="Times New Roman" w:hAnsi="Times New Roman" w:cs="Times New Roman"/>
        </w:rPr>
      </w:pPr>
    </w:p>
    <w:p w:rsidR="00000000" w:rsidRDefault="00C46432">
      <w:pPr>
        <w:widowControl/>
        <w:ind w:left="1200" w:right="1200"/>
        <w:jc w:val="center"/>
        <w:rPr>
          <w:rFonts w:ascii="Times New Roman" w:hAnsi="Times New Roman" w:cs="Times New Roman"/>
        </w:rPr>
      </w:pPr>
      <w:r>
        <w:rPr>
          <w:rFonts w:ascii="Times New Roman" w:hAnsi="Times New Roman" w:cs="Times New Roman"/>
          <w:i/>
          <w:iCs/>
        </w:rPr>
        <w:t>2003-2 C.B. 742;</w:t>
      </w:r>
      <w:r>
        <w:rPr>
          <w:rFonts w:ascii="Times New Roman" w:hAnsi="Times New Roman" w:cs="Times New Roman"/>
        </w:rPr>
        <w:t xml:space="preserve"> </w:t>
      </w:r>
      <w:r>
        <w:rPr>
          <w:rFonts w:ascii="Times New Roman" w:hAnsi="Times New Roman" w:cs="Times New Roman"/>
          <w:i/>
          <w:iCs/>
        </w:rPr>
        <w:t>T.D. 9084;</w:t>
      </w:r>
      <w:r>
        <w:rPr>
          <w:rFonts w:ascii="Times New Roman" w:hAnsi="Times New Roman" w:cs="Times New Roman"/>
        </w:rPr>
        <w:t xml:space="preserve"> </w:t>
      </w:r>
      <w:r>
        <w:rPr>
          <w:rFonts w:ascii="Times New Roman" w:hAnsi="Times New Roman" w:cs="Times New Roman"/>
          <w:i/>
          <w:iCs/>
        </w:rPr>
        <w:t>2003 IRB LEXIS 1842;</w:t>
      </w:r>
      <w:r>
        <w:rPr>
          <w:rFonts w:ascii="Times New Roman" w:hAnsi="Times New Roman" w:cs="Times New Roman"/>
        </w:rPr>
        <w:t xml:space="preserve"> </w:t>
      </w:r>
      <w:r>
        <w:rPr>
          <w:rFonts w:ascii="Times New Roman" w:hAnsi="Times New Roman" w:cs="Times New Roman"/>
          <w:i/>
          <w:iCs/>
        </w:rPr>
        <w:t>2003-40 I.R.B. 742</w:t>
      </w:r>
      <w:r>
        <w:rPr>
          <w:rFonts w:ascii="Times New Roman" w:hAnsi="Times New Roman" w:cs="Times New Roman"/>
        </w:rPr>
        <w:t xml:space="preserve"> </w:t>
      </w:r>
    </w:p>
    <w:p w:rsidR="00000000" w:rsidRDefault="00C46432">
      <w:pPr>
        <w:widowControl/>
        <w:rPr>
          <w:rFonts w:ascii="Times New Roman" w:hAnsi="Times New Roman" w:cs="Times New Roman"/>
        </w:rPr>
      </w:pPr>
    </w:p>
    <w:p w:rsidR="00000000" w:rsidRDefault="00C46432">
      <w:pPr>
        <w:widowControl/>
        <w:ind w:left="1200" w:right="1200"/>
        <w:jc w:val="center"/>
        <w:rPr>
          <w:rFonts w:ascii="Times New Roman" w:hAnsi="Times New Roman" w:cs="Times New Roman"/>
        </w:rPr>
      </w:pPr>
      <w:r>
        <w:rPr>
          <w:rFonts w:ascii="Times New Roman" w:hAnsi="Times New Roman" w:cs="Times New Roman"/>
        </w:rPr>
        <w:t>October 6, 2003</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r>
        <w:rPr>
          <w:rFonts w:ascii="Times New Roman" w:hAnsi="Times New Roman" w:cs="Times New Roman"/>
        </w:rPr>
        <w:t xml:space="preserve">  [*1]  </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r>
        <w:rPr>
          <w:rFonts w:ascii="Times New Roman" w:hAnsi="Times New Roman" w:cs="Times New Roman"/>
          <w:b/>
          <w:bCs/>
        </w:rPr>
        <w:t xml:space="preserve">SUBJECT MATTER: </w:t>
      </w:r>
      <w:r>
        <w:rPr>
          <w:rFonts w:ascii="Times New Roman" w:hAnsi="Times New Roman" w:cs="Times New Roman"/>
        </w:rPr>
        <w:t>Section 1503.-Computation and Payment of Tax</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r>
        <w:rPr>
          <w:rFonts w:ascii="Times New Roman" w:hAnsi="Times New Roman" w:cs="Times New Roman"/>
          <w:b/>
          <w:bCs/>
        </w:rPr>
        <w:t xml:space="preserve">APPLICABLE SECTIONS: </w:t>
      </w:r>
    </w:p>
    <w:p w:rsidR="00000000" w:rsidRDefault="00C46432">
      <w:pPr>
        <w:widowControl/>
        <w:spacing w:before="120"/>
        <w:ind w:firstLine="360"/>
        <w:rPr>
          <w:rFonts w:ascii="Times New Roman" w:hAnsi="Times New Roman" w:cs="Times New Roman"/>
        </w:rPr>
      </w:pPr>
      <w:r>
        <w:rPr>
          <w:rFonts w:ascii="Times New Roman" w:hAnsi="Times New Roman" w:cs="Times New Roman"/>
        </w:rPr>
        <w:t>26 CFR 1503-2: Dual consolidated loss. Internal Revenue Service 26 CFR Parts 1 and 602</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r>
        <w:rPr>
          <w:rFonts w:ascii="Times New Roman" w:hAnsi="Times New Roman" w:cs="Times New Roman"/>
          <w:b/>
          <w:bCs/>
        </w:rPr>
        <w:t xml:space="preserve">TEXT: </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r>
        <w:rPr>
          <w:rFonts w:ascii="Times New Roman" w:hAnsi="Times New Roman" w:cs="Times New Roman"/>
        </w:rPr>
        <w:t xml:space="preserve">AGENCY: </w:t>
      </w:r>
    </w:p>
    <w:p w:rsidR="00000000" w:rsidRDefault="00C46432">
      <w:pPr>
        <w:widowControl/>
        <w:spacing w:before="120"/>
        <w:ind w:firstLine="360"/>
        <w:rPr>
          <w:rFonts w:ascii="Times New Roman" w:hAnsi="Times New Roman" w:cs="Times New Roman"/>
        </w:rPr>
      </w:pPr>
      <w:r>
        <w:rPr>
          <w:rFonts w:ascii="Times New Roman" w:hAnsi="Times New Roman" w:cs="Times New Roman"/>
        </w:rPr>
        <w:t>Internal Revenue Service (IRS), Treasury.</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r>
        <w:rPr>
          <w:rFonts w:ascii="Times New Roman" w:hAnsi="Times New Roman" w:cs="Times New Roman"/>
        </w:rPr>
        <w:t xml:space="preserve">ACTION: </w:t>
      </w:r>
    </w:p>
    <w:p w:rsidR="00000000" w:rsidRDefault="00C46432">
      <w:pPr>
        <w:widowControl/>
        <w:spacing w:before="120"/>
        <w:ind w:firstLine="360"/>
        <w:rPr>
          <w:rFonts w:ascii="Times New Roman" w:hAnsi="Times New Roman" w:cs="Times New Roman"/>
        </w:rPr>
      </w:pPr>
      <w:r>
        <w:rPr>
          <w:rFonts w:ascii="Times New Roman" w:hAnsi="Times New Roman" w:cs="Times New Roman"/>
        </w:rPr>
        <w:t>Final regulatio</w:t>
      </w:r>
      <w:r>
        <w:rPr>
          <w:rFonts w:ascii="Times New Roman" w:hAnsi="Times New Roman" w:cs="Times New Roman"/>
        </w:rPr>
        <w:t>ns.</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r>
        <w:rPr>
          <w:rFonts w:ascii="Times New Roman" w:hAnsi="Times New Roman" w:cs="Times New Roman"/>
        </w:rPr>
        <w:t xml:space="preserve">SUMMARY: </w:t>
      </w:r>
    </w:p>
    <w:p w:rsidR="00000000" w:rsidRDefault="00C46432">
      <w:pPr>
        <w:widowControl/>
        <w:spacing w:before="120"/>
        <w:ind w:firstLine="360"/>
        <w:rPr>
          <w:rFonts w:ascii="Times New Roman" w:hAnsi="Times New Roman" w:cs="Times New Roman"/>
        </w:rPr>
      </w:pPr>
      <w:r>
        <w:rPr>
          <w:rFonts w:ascii="Times New Roman" w:hAnsi="Times New Roman" w:cs="Times New Roman"/>
        </w:rPr>
        <w:t>This document contains final regulations under section 1503 (d) regarding the events that require the recapture of dual consolidated losses. These regulations are issued to facilitate compliance by taxpayers with the dual consolidated loss p</w:t>
      </w:r>
      <w:r>
        <w:rPr>
          <w:rFonts w:ascii="Times New Roman" w:hAnsi="Times New Roman" w:cs="Times New Roman"/>
        </w:rPr>
        <w:t xml:space="preserve">rovisions. The regulations generally provide that certain events will not trigger recapture of a dual consolidated loss or payment of the associated interest charge. The regulations provide for the filing of certain agreements in such cases. This document </w:t>
      </w:r>
      <w:r>
        <w:rPr>
          <w:rFonts w:ascii="Times New Roman" w:hAnsi="Times New Roman" w:cs="Times New Roman"/>
        </w:rPr>
        <w:t>also makes clarifying and conforming changes to the current regulations.</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r>
        <w:rPr>
          <w:rFonts w:ascii="Times New Roman" w:hAnsi="Times New Roman" w:cs="Times New Roman"/>
        </w:rPr>
        <w:t xml:space="preserve">DATES: </w:t>
      </w:r>
    </w:p>
    <w:p w:rsidR="00000000" w:rsidRDefault="00C46432">
      <w:pPr>
        <w:widowControl/>
        <w:spacing w:before="120"/>
        <w:ind w:firstLine="360"/>
        <w:rPr>
          <w:rFonts w:ascii="Times New Roman" w:hAnsi="Times New Roman" w:cs="Times New Roman"/>
        </w:rPr>
      </w:pPr>
      <w:r>
        <w:rPr>
          <w:rFonts w:ascii="Times New Roman" w:hAnsi="Times New Roman" w:cs="Times New Roman"/>
        </w:rPr>
        <w:t>Effective Dates: These regulations are effective January 1, 2002.</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r>
        <w:rPr>
          <w:rFonts w:ascii="Times New Roman" w:hAnsi="Times New Roman" w:cs="Times New Roman"/>
        </w:rPr>
        <w:t xml:space="preserve">FOR FURTHER INFORMATION CONTACT: </w:t>
      </w:r>
    </w:p>
    <w:p w:rsidR="00000000" w:rsidRDefault="00C46432">
      <w:pPr>
        <w:widowControl/>
        <w:spacing w:before="120"/>
        <w:ind w:firstLine="360"/>
        <w:rPr>
          <w:rFonts w:ascii="Times New Roman" w:hAnsi="Times New Roman" w:cs="Times New Roman"/>
        </w:rPr>
      </w:pPr>
      <w:r>
        <w:rPr>
          <w:rFonts w:ascii="Times New Roman" w:hAnsi="Times New Roman" w:cs="Times New Roman"/>
        </w:rPr>
        <w:t xml:space="preserve">Kenneth D. Allison or Kathryn T. Holman, (202) 622-3860 (not a toll-free </w:t>
      </w:r>
      <w:r>
        <w:rPr>
          <w:rFonts w:ascii="Times New Roman" w:hAnsi="Times New Roman" w:cs="Times New Roman"/>
        </w:rPr>
        <w:t>number).</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r>
        <w:rPr>
          <w:rFonts w:ascii="Times New Roman" w:hAnsi="Times New Roman" w:cs="Times New Roman"/>
        </w:rPr>
        <w:t xml:space="preserve">SUPPLEMENTARY INFORMATION: </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r>
        <w:rPr>
          <w:rFonts w:ascii="Times New Roman" w:hAnsi="Times New Roman" w:cs="Times New Roman"/>
        </w:rPr>
        <w:t xml:space="preserve">Paperwork Reduction Act </w:t>
      </w:r>
    </w:p>
    <w:p w:rsidR="00000000" w:rsidRDefault="00C46432">
      <w:pPr>
        <w:widowControl/>
        <w:spacing w:before="120"/>
        <w:ind w:firstLine="360"/>
        <w:rPr>
          <w:rFonts w:ascii="Times New Roman" w:hAnsi="Times New Roman" w:cs="Times New Roman"/>
        </w:rPr>
      </w:pPr>
      <w:r>
        <w:rPr>
          <w:rFonts w:ascii="Times New Roman" w:hAnsi="Times New Roman" w:cs="Times New Roman"/>
        </w:rPr>
        <w:t>The collection of information contained in these final regulations has been reviewed and approved by the Office of Management and Budget i</w:t>
      </w:r>
      <w:r>
        <w:rPr>
          <w:rFonts w:ascii="Times New Roman" w:hAnsi="Times New Roman" w:cs="Times New Roman"/>
        </w:rPr>
        <w:t>n accordance with the Paperwork Reduction Act of   [*2]  1995 (</w:t>
      </w:r>
      <w:r>
        <w:rPr>
          <w:rFonts w:ascii="Times New Roman" w:hAnsi="Times New Roman" w:cs="Times New Roman"/>
          <w:i/>
          <w:iCs/>
        </w:rPr>
        <w:t>44 U.S.C. 3507 (d)</w:t>
      </w:r>
      <w:r>
        <w:rPr>
          <w:rFonts w:ascii="Times New Roman" w:hAnsi="Times New Roman" w:cs="Times New Roman"/>
        </w:rPr>
        <w:t xml:space="preserve">) under </w:t>
      </w:r>
      <w:r>
        <w:rPr>
          <w:rFonts w:ascii="Times New Roman" w:hAnsi="Times New Roman" w:cs="Times New Roman"/>
        </w:rPr>
        <w:lastRenderedPageBreak/>
        <w:t>control number 1545-1583. Responses to this collection of information are required to obtain the benefit of avoiding entering into a closing agreement with the IRS.</w:t>
      </w:r>
    </w:p>
    <w:p w:rsidR="00000000" w:rsidRDefault="00C46432">
      <w:pPr>
        <w:widowControl/>
        <w:spacing w:before="120"/>
        <w:ind w:firstLine="360"/>
        <w:rPr>
          <w:rFonts w:ascii="Times New Roman" w:hAnsi="Times New Roman" w:cs="Times New Roman"/>
        </w:rPr>
      </w:pPr>
      <w:r>
        <w:rPr>
          <w:rFonts w:ascii="Times New Roman" w:hAnsi="Times New Roman" w:cs="Times New Roman"/>
        </w:rPr>
        <w:t>An</w:t>
      </w:r>
      <w:r>
        <w:rPr>
          <w:rFonts w:ascii="Times New Roman" w:hAnsi="Times New Roman" w:cs="Times New Roman"/>
        </w:rPr>
        <w:t xml:space="preserve"> agency may not conduct or sponsor, and a person is not required to respond to, a collection of information u</w:t>
      </w:r>
      <w:r>
        <w:rPr>
          <w:rFonts w:ascii="Times New Roman" w:hAnsi="Times New Roman" w:cs="Times New Roman"/>
        </w:rPr>
        <w:t>n</w:t>
      </w:r>
      <w:r>
        <w:rPr>
          <w:rFonts w:ascii="Times New Roman" w:hAnsi="Times New Roman" w:cs="Times New Roman"/>
        </w:rPr>
        <w:t>less it displays a valid control number assigned by the Office of Management and Budget.</w:t>
      </w:r>
    </w:p>
    <w:p w:rsidR="00000000" w:rsidRDefault="00C46432">
      <w:pPr>
        <w:widowControl/>
        <w:spacing w:before="120"/>
        <w:ind w:firstLine="360"/>
        <w:rPr>
          <w:rFonts w:ascii="Times New Roman" w:hAnsi="Times New Roman" w:cs="Times New Roman"/>
        </w:rPr>
      </w:pPr>
      <w:r>
        <w:rPr>
          <w:rFonts w:ascii="Times New Roman" w:hAnsi="Times New Roman" w:cs="Times New Roman"/>
        </w:rPr>
        <w:t xml:space="preserve">The estimated annual burden per recordkeeper varies from </w:t>
      </w:r>
      <w:r>
        <w:rPr>
          <w:rFonts w:ascii="Times New Roman" w:hAnsi="Times New Roman" w:cs="Times New Roman"/>
        </w:rPr>
        <w:t>1 to 3 hours, depending on individual circumstances, with an estimated average of 2 hours.</w:t>
      </w:r>
    </w:p>
    <w:p w:rsidR="00000000" w:rsidRDefault="00C46432">
      <w:pPr>
        <w:widowControl/>
        <w:spacing w:before="120"/>
        <w:ind w:firstLine="360"/>
        <w:rPr>
          <w:rFonts w:ascii="Times New Roman" w:hAnsi="Times New Roman" w:cs="Times New Roman"/>
        </w:rPr>
      </w:pPr>
      <w:r>
        <w:rPr>
          <w:rFonts w:ascii="Times New Roman" w:hAnsi="Times New Roman" w:cs="Times New Roman"/>
        </w:rPr>
        <w:t xml:space="preserve">Comments concerning the accuracy of this burden estimate and suggestions for reducing this burden should be sent to the </w:t>
      </w:r>
      <w:r>
        <w:rPr>
          <w:rFonts w:ascii="Times New Roman" w:hAnsi="Times New Roman" w:cs="Times New Roman"/>
          <w:b/>
          <w:bCs/>
        </w:rPr>
        <w:t>Internal Revenue Service,</w:t>
      </w:r>
      <w:r>
        <w:rPr>
          <w:rFonts w:ascii="Times New Roman" w:hAnsi="Times New Roman" w:cs="Times New Roman"/>
        </w:rPr>
        <w:t xml:space="preserve"> Attn: IRS Reports C</w:t>
      </w:r>
      <w:r>
        <w:rPr>
          <w:rFonts w:ascii="Times New Roman" w:hAnsi="Times New Roman" w:cs="Times New Roman"/>
        </w:rPr>
        <w:t xml:space="preserve">learance Officer, W:CAR:MP:T:T:SP, Washington, DC 20224, and to the </w:t>
      </w:r>
      <w:r>
        <w:rPr>
          <w:rFonts w:ascii="Times New Roman" w:hAnsi="Times New Roman" w:cs="Times New Roman"/>
          <w:b/>
          <w:bCs/>
        </w:rPr>
        <w:t>Office of Management and Budget,</w:t>
      </w:r>
      <w:r>
        <w:rPr>
          <w:rFonts w:ascii="Times New Roman" w:hAnsi="Times New Roman" w:cs="Times New Roman"/>
        </w:rPr>
        <w:t xml:space="preserve"> Attn: Desk Officer for the Department of the Treasury, Office of I</w:t>
      </w:r>
      <w:r>
        <w:rPr>
          <w:rFonts w:ascii="Times New Roman" w:hAnsi="Times New Roman" w:cs="Times New Roman"/>
        </w:rPr>
        <w:t>n</w:t>
      </w:r>
      <w:r>
        <w:rPr>
          <w:rFonts w:ascii="Times New Roman" w:hAnsi="Times New Roman" w:cs="Times New Roman"/>
        </w:rPr>
        <w:t>formation and Regulatory Affairs, Washington, DC 20503.</w:t>
      </w:r>
    </w:p>
    <w:p w:rsidR="00000000" w:rsidRDefault="00C46432">
      <w:pPr>
        <w:widowControl/>
        <w:spacing w:before="120"/>
        <w:ind w:firstLine="360"/>
        <w:rPr>
          <w:rFonts w:ascii="Times New Roman" w:hAnsi="Times New Roman" w:cs="Times New Roman"/>
        </w:rPr>
      </w:pPr>
      <w:r>
        <w:rPr>
          <w:rFonts w:ascii="Times New Roman" w:hAnsi="Times New Roman" w:cs="Times New Roman"/>
        </w:rPr>
        <w:t>Books or records relating to a c</w:t>
      </w:r>
      <w:r>
        <w:rPr>
          <w:rFonts w:ascii="Times New Roman" w:hAnsi="Times New Roman" w:cs="Times New Roman"/>
        </w:rPr>
        <w:t>ollection of information must be retained as long as their contents might become material in the administration of any internal revenue law. Generally, tax returns and tax return information are conf</w:t>
      </w:r>
      <w:r>
        <w:rPr>
          <w:rFonts w:ascii="Times New Roman" w:hAnsi="Times New Roman" w:cs="Times New Roman"/>
        </w:rPr>
        <w:t>i</w:t>
      </w:r>
      <w:r>
        <w:rPr>
          <w:rFonts w:ascii="Times New Roman" w:hAnsi="Times New Roman" w:cs="Times New Roman"/>
        </w:rPr>
        <w:t xml:space="preserve">dential, as required by </w:t>
      </w:r>
      <w:r>
        <w:rPr>
          <w:rFonts w:ascii="Times New Roman" w:hAnsi="Times New Roman" w:cs="Times New Roman"/>
          <w:i/>
          <w:iCs/>
        </w:rPr>
        <w:t>26 U.S.C. 6103</w:t>
      </w:r>
      <w:r>
        <w:rPr>
          <w:rFonts w:ascii="Times New Roman" w:hAnsi="Times New Roman" w:cs="Times New Roman"/>
        </w:rPr>
        <w:t>.</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r>
        <w:rPr>
          <w:rFonts w:ascii="Times New Roman" w:hAnsi="Times New Roman" w:cs="Times New Roman"/>
        </w:rPr>
        <w:t xml:space="preserve">Background </w:t>
      </w:r>
    </w:p>
    <w:p w:rsidR="00000000" w:rsidRDefault="00C46432">
      <w:pPr>
        <w:widowControl/>
        <w:spacing w:before="120"/>
        <w:ind w:firstLine="360"/>
        <w:rPr>
          <w:rFonts w:ascii="Times New Roman" w:hAnsi="Times New Roman" w:cs="Times New Roman"/>
        </w:rPr>
      </w:pPr>
      <w:r>
        <w:rPr>
          <w:rFonts w:ascii="Times New Roman" w:hAnsi="Times New Roman" w:cs="Times New Roman"/>
        </w:rPr>
        <w:t>Fin</w:t>
      </w:r>
      <w:r>
        <w:rPr>
          <w:rFonts w:ascii="Times New Roman" w:hAnsi="Times New Roman" w:cs="Times New Roman"/>
        </w:rPr>
        <w:t xml:space="preserve">al   [*3]  regulations implementing section 1503 (d) were adopted by </w:t>
      </w:r>
      <w:r>
        <w:rPr>
          <w:rFonts w:ascii="Times New Roman" w:hAnsi="Times New Roman" w:cs="Times New Roman"/>
          <w:i/>
          <w:iCs/>
        </w:rPr>
        <w:t>T.D. 8434, 1992-2</w:t>
      </w:r>
      <w:r>
        <w:rPr>
          <w:rFonts w:ascii="Times New Roman" w:hAnsi="Times New Roman" w:cs="Times New Roman"/>
        </w:rPr>
        <w:t>, C.B. 240 [</w:t>
      </w:r>
      <w:r>
        <w:rPr>
          <w:rFonts w:ascii="Times New Roman" w:hAnsi="Times New Roman" w:cs="Times New Roman"/>
          <w:i/>
          <w:iCs/>
        </w:rPr>
        <w:t>57 FR 41079]</w:t>
      </w:r>
      <w:r>
        <w:rPr>
          <w:rFonts w:ascii="Times New Roman" w:hAnsi="Times New Roman" w:cs="Times New Roman"/>
        </w:rPr>
        <w:t xml:space="preserve">, on September 9, 1992, and published in the </w:t>
      </w:r>
      <w:r>
        <w:rPr>
          <w:rFonts w:ascii="Times New Roman" w:hAnsi="Times New Roman" w:cs="Times New Roman"/>
          <w:b/>
          <w:bCs/>
        </w:rPr>
        <w:t>Federal Register.</w:t>
      </w:r>
      <w:r>
        <w:rPr>
          <w:rFonts w:ascii="Times New Roman" w:hAnsi="Times New Roman" w:cs="Times New Roman"/>
        </w:rPr>
        <w:t xml:space="preserve"> On August 1, 2002, proposed regulations (REG-106879-00, </w:t>
      </w:r>
      <w:r>
        <w:rPr>
          <w:rFonts w:ascii="Times New Roman" w:hAnsi="Times New Roman" w:cs="Times New Roman"/>
          <w:i/>
          <w:iCs/>
        </w:rPr>
        <w:t>2002-2 C.B. 402</w:t>
      </w:r>
      <w:r>
        <w:rPr>
          <w:rFonts w:ascii="Times New Roman" w:hAnsi="Times New Roman" w:cs="Times New Roman"/>
        </w:rPr>
        <w:t xml:space="preserve"> [</w:t>
      </w:r>
      <w:r>
        <w:rPr>
          <w:rFonts w:ascii="Times New Roman" w:hAnsi="Times New Roman" w:cs="Times New Roman"/>
          <w:i/>
          <w:iCs/>
        </w:rPr>
        <w:t>67 FR 4989</w:t>
      </w:r>
      <w:r>
        <w:rPr>
          <w:rFonts w:ascii="Times New Roman" w:hAnsi="Times New Roman" w:cs="Times New Roman"/>
          <w:i/>
          <w:iCs/>
        </w:rPr>
        <w:t>2]</w:t>
      </w:r>
      <w:r>
        <w:rPr>
          <w:rFonts w:ascii="Times New Roman" w:hAnsi="Times New Roman" w:cs="Times New Roman"/>
        </w:rPr>
        <w:t xml:space="preserve">), amending the final regulations, to reduce administrative burdens in certain cases, were published in the Federal Register. Three written comments were received. No public hearing was requested or held. After consideration of the comments, these final </w:t>
      </w:r>
      <w:r>
        <w:rPr>
          <w:rFonts w:ascii="Times New Roman" w:hAnsi="Times New Roman" w:cs="Times New Roman"/>
        </w:rPr>
        <w:t>regulations are adopted by this Treasury decision. The changes and clarifications made in the final regulations in response to the comments received are discussed below.</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r>
        <w:rPr>
          <w:rFonts w:ascii="Times New Roman" w:hAnsi="Times New Roman" w:cs="Times New Roman"/>
        </w:rPr>
        <w:t xml:space="preserve">Explanation of Provisions and Summary of Comments </w:t>
      </w:r>
    </w:p>
    <w:p w:rsidR="00000000" w:rsidRDefault="00C46432">
      <w:pPr>
        <w:widowControl/>
        <w:spacing w:before="120"/>
        <w:ind w:firstLine="360"/>
        <w:rPr>
          <w:rFonts w:ascii="Times New Roman" w:hAnsi="Times New Roman" w:cs="Times New Roman"/>
        </w:rPr>
      </w:pPr>
      <w:r>
        <w:rPr>
          <w:rFonts w:ascii="Times New Roman" w:hAnsi="Times New Roman" w:cs="Times New Roman"/>
        </w:rPr>
        <w:t>Section 1503 (d) generally provide</w:t>
      </w:r>
      <w:r>
        <w:rPr>
          <w:rFonts w:ascii="Times New Roman" w:hAnsi="Times New Roman" w:cs="Times New Roman"/>
        </w:rPr>
        <w:t>s that a "dual consolidated loss" of a domestic corporation cannot offset the ta</w:t>
      </w:r>
      <w:r>
        <w:rPr>
          <w:rFonts w:ascii="Times New Roman" w:hAnsi="Times New Roman" w:cs="Times New Roman"/>
        </w:rPr>
        <w:t>x</w:t>
      </w:r>
      <w:r>
        <w:rPr>
          <w:rFonts w:ascii="Times New Roman" w:hAnsi="Times New Roman" w:cs="Times New Roman"/>
        </w:rPr>
        <w:t>able income of any other member of the corporation's consolidated group. The statute, however, authorizes the issuance of regulations permitting the use of a dual consolidated</w:t>
      </w:r>
      <w:r>
        <w:rPr>
          <w:rFonts w:ascii="Times New Roman" w:hAnsi="Times New Roman" w:cs="Times New Roman"/>
        </w:rPr>
        <w:t xml:space="preserve"> loss to offset the income of a domestic affiliate if the loss does not offset the income of a foreign corporation under foreign law.</w:t>
      </w:r>
    </w:p>
    <w:p w:rsidR="00000000" w:rsidRDefault="00C46432">
      <w:pPr>
        <w:widowControl/>
        <w:spacing w:before="120"/>
        <w:ind w:firstLine="360"/>
        <w:rPr>
          <w:rFonts w:ascii="Times New Roman" w:hAnsi="Times New Roman" w:cs="Times New Roman"/>
        </w:rPr>
      </w:pPr>
      <w:r>
        <w:rPr>
          <w:rFonts w:ascii="Times New Roman" w:hAnsi="Times New Roman" w:cs="Times New Roman"/>
        </w:rPr>
        <w:t>Section 1.1503-2 (g) (2) (i) currently permits a taxpayer   [*4]  to elect to use a dual consolidated loss of a dual resid</w:t>
      </w:r>
      <w:r>
        <w:rPr>
          <w:rFonts w:ascii="Times New Roman" w:hAnsi="Times New Roman" w:cs="Times New Roman"/>
        </w:rPr>
        <w:t>ent corporation or separate unit to offset the income of a domestic affiliate by filing an agreement ((g) (2) (i) agreement) under which the taxpayer certifies that the dual consolidated loss has not been, and will not be, used to of</w:t>
      </w:r>
      <w:r>
        <w:rPr>
          <w:rFonts w:ascii="Times New Roman" w:hAnsi="Times New Roman" w:cs="Times New Roman"/>
        </w:rPr>
        <w:t>f</w:t>
      </w:r>
      <w:r>
        <w:rPr>
          <w:rFonts w:ascii="Times New Roman" w:hAnsi="Times New Roman" w:cs="Times New Roman"/>
        </w:rPr>
        <w:t>set the income of anot</w:t>
      </w:r>
      <w:r>
        <w:rPr>
          <w:rFonts w:ascii="Times New Roman" w:hAnsi="Times New Roman" w:cs="Times New Roman"/>
        </w:rPr>
        <w:t xml:space="preserve">her person under the laws of a foreign country. Section 1.1503-2 (g) (2) (iii) provides that, in the year of a "triggering event," the taxpayer must recapture and report as gross income the amount of a dual consolidated loss that is subject to the (g) (2) </w:t>
      </w:r>
      <w:r>
        <w:rPr>
          <w:rFonts w:ascii="Times New Roman" w:hAnsi="Times New Roman" w:cs="Times New Roman"/>
        </w:rPr>
        <w:t>(i) agreement and must pay the interest charge required by paragraph (g) (2) (vii). Se</w:t>
      </w:r>
      <w:r>
        <w:rPr>
          <w:rFonts w:ascii="Times New Roman" w:hAnsi="Times New Roman" w:cs="Times New Roman"/>
        </w:rPr>
        <w:t>c</w:t>
      </w:r>
      <w:r>
        <w:rPr>
          <w:rFonts w:ascii="Times New Roman" w:hAnsi="Times New Roman" w:cs="Times New Roman"/>
        </w:rPr>
        <w:t>tion 1.1503-2 (g) (2) (iv) (B), however, provides that specified acquisitions are not considered to be triggering events if certain cond</w:t>
      </w:r>
      <w:r>
        <w:rPr>
          <w:rFonts w:ascii="Times New Roman" w:hAnsi="Times New Roman" w:cs="Times New Roman"/>
        </w:rPr>
        <w:t>i</w:t>
      </w:r>
      <w:r>
        <w:rPr>
          <w:rFonts w:ascii="Times New Roman" w:hAnsi="Times New Roman" w:cs="Times New Roman"/>
        </w:rPr>
        <w:t>tions are satisfied. In particul</w:t>
      </w:r>
      <w:r>
        <w:rPr>
          <w:rFonts w:ascii="Times New Roman" w:hAnsi="Times New Roman" w:cs="Times New Roman"/>
        </w:rPr>
        <w:t>ar, the parties to the acquisition must enter into a closing agreement with the IRS under section 7121, and the acquiring corporation or consolidated group must file a new (g) (2) (i) agreement with respect to the loss.</w:t>
      </w:r>
    </w:p>
    <w:p w:rsidR="00000000" w:rsidRDefault="00C46432">
      <w:pPr>
        <w:widowControl/>
        <w:spacing w:before="120"/>
        <w:ind w:firstLine="360"/>
        <w:rPr>
          <w:rFonts w:ascii="Times New Roman" w:hAnsi="Times New Roman" w:cs="Times New Roman"/>
        </w:rPr>
      </w:pPr>
      <w:r>
        <w:rPr>
          <w:rFonts w:ascii="Times New Roman" w:hAnsi="Times New Roman" w:cs="Times New Roman"/>
        </w:rPr>
        <w:t>The proposed regulations provided th</w:t>
      </w:r>
      <w:r>
        <w:rPr>
          <w:rFonts w:ascii="Times New Roman" w:hAnsi="Times New Roman" w:cs="Times New Roman"/>
        </w:rPr>
        <w:t>at a triggering event generally does not occur in two types of acquisitions, without any requirement to enter into a closing   [*5]  agreement or file a new (g) (2) (i) agreement: (1) when an una</w:t>
      </w:r>
      <w:r>
        <w:rPr>
          <w:rFonts w:ascii="Times New Roman" w:hAnsi="Times New Roman" w:cs="Times New Roman"/>
        </w:rPr>
        <w:t>f</w:t>
      </w:r>
      <w:r>
        <w:rPr>
          <w:rFonts w:ascii="Times New Roman" w:hAnsi="Times New Roman" w:cs="Times New Roman"/>
        </w:rPr>
        <w:t xml:space="preserve">filiated dual resident corporation or unaffiliated domestic </w:t>
      </w:r>
      <w:r>
        <w:rPr>
          <w:rFonts w:ascii="Times New Roman" w:hAnsi="Times New Roman" w:cs="Times New Roman"/>
        </w:rPr>
        <w:t>owner that filed a (g) (2) (i) agreement becomes a member of a consolidated group; and (2) when a dual resident corporation, or domestic owner, that is a member of a consolidated group that filed a (g) (2) (i) agreement (the acquired group) becomes a membe</w:t>
      </w:r>
      <w:r>
        <w:rPr>
          <w:rFonts w:ascii="Times New Roman" w:hAnsi="Times New Roman" w:cs="Times New Roman"/>
        </w:rPr>
        <w:t>r of another consolidated group (the a</w:t>
      </w:r>
      <w:r>
        <w:rPr>
          <w:rFonts w:ascii="Times New Roman" w:hAnsi="Times New Roman" w:cs="Times New Roman"/>
        </w:rPr>
        <w:t>c</w:t>
      </w:r>
      <w:r>
        <w:rPr>
          <w:rFonts w:ascii="Times New Roman" w:hAnsi="Times New Roman" w:cs="Times New Roman"/>
        </w:rPr>
        <w:t>quiring group) in an acquisition, so long as each member of the acquired group that is an includible corporation under section 1504 (b) is included immediately after the acquisition in a consolidated U.S. income tax r</w:t>
      </w:r>
      <w:r>
        <w:rPr>
          <w:rFonts w:ascii="Times New Roman" w:hAnsi="Times New Roman" w:cs="Times New Roman"/>
        </w:rPr>
        <w:t>eturn filed by the a</w:t>
      </w:r>
      <w:r>
        <w:rPr>
          <w:rFonts w:ascii="Times New Roman" w:hAnsi="Times New Roman" w:cs="Times New Roman"/>
        </w:rPr>
        <w:t>c</w:t>
      </w:r>
      <w:r>
        <w:rPr>
          <w:rFonts w:ascii="Times New Roman" w:hAnsi="Times New Roman" w:cs="Times New Roman"/>
        </w:rPr>
        <w:t xml:space="preserve">quiring group. Instead, in such cases, the proposed regulations required the filing of an information statement, whereby taxpayers would provide the IRS with most of the information that otherwise would have been provided in a new (g) </w:t>
      </w:r>
      <w:r>
        <w:rPr>
          <w:rFonts w:ascii="Times New Roman" w:hAnsi="Times New Roman" w:cs="Times New Roman"/>
        </w:rPr>
        <w:t>(2) (i) agreement.</w:t>
      </w:r>
    </w:p>
    <w:p w:rsidR="00000000" w:rsidRDefault="00C46432">
      <w:pPr>
        <w:widowControl/>
        <w:spacing w:before="120"/>
        <w:ind w:firstLine="360"/>
        <w:rPr>
          <w:rFonts w:ascii="Times New Roman" w:hAnsi="Times New Roman" w:cs="Times New Roman"/>
        </w:rPr>
      </w:pPr>
      <w:r>
        <w:rPr>
          <w:rFonts w:ascii="Times New Roman" w:hAnsi="Times New Roman" w:cs="Times New Roman"/>
        </w:rPr>
        <w:t>The proposed regulations were intended to relieve the burden of entering into a closing agreement in circumstances where the several liability imposed by  1.1502-6, in combination with the original (g) (2) (i) agreement, would provide fo</w:t>
      </w:r>
      <w:r>
        <w:rPr>
          <w:rFonts w:ascii="Times New Roman" w:hAnsi="Times New Roman" w:cs="Times New Roman"/>
        </w:rPr>
        <w:t>r liability by the acquiring group sufficiently comparable   [*6]  to that provided by a closing agreement. A co</w:t>
      </w:r>
      <w:r>
        <w:rPr>
          <w:rFonts w:ascii="Times New Roman" w:hAnsi="Times New Roman" w:cs="Times New Roman"/>
        </w:rPr>
        <w:t>m</w:t>
      </w:r>
      <w:r>
        <w:rPr>
          <w:rFonts w:ascii="Times New Roman" w:hAnsi="Times New Roman" w:cs="Times New Roman"/>
        </w:rPr>
        <w:t xml:space="preserve">mentator, who raised questions regarding comparable liability under  1.1502-6 in such cases, in particular with respect to </w:t>
      </w:r>
      <w:r>
        <w:rPr>
          <w:rFonts w:ascii="Times New Roman" w:hAnsi="Times New Roman" w:cs="Times New Roman"/>
        </w:rPr>
        <w:lastRenderedPageBreak/>
        <w:t>the interest charge,</w:t>
      </w:r>
      <w:r>
        <w:rPr>
          <w:rFonts w:ascii="Times New Roman" w:hAnsi="Times New Roman" w:cs="Times New Roman"/>
        </w:rPr>
        <w:t xml:space="preserve"> recommended that the regulations should retain the existing requirement for the acquiring corp</w:t>
      </w:r>
      <w:r>
        <w:rPr>
          <w:rFonts w:ascii="Times New Roman" w:hAnsi="Times New Roman" w:cs="Times New Roman"/>
        </w:rPr>
        <w:t>o</w:t>
      </w:r>
      <w:r>
        <w:rPr>
          <w:rFonts w:ascii="Times New Roman" w:hAnsi="Times New Roman" w:cs="Times New Roman"/>
        </w:rPr>
        <w:t>ration or consolidated group to enter into a new (g) (2) (i) agreement with respect to the dual consolidated loss. Al</w:t>
      </w:r>
      <w:r>
        <w:rPr>
          <w:rFonts w:ascii="Times New Roman" w:hAnsi="Times New Roman" w:cs="Times New Roman"/>
        </w:rPr>
        <w:t>t</w:t>
      </w:r>
      <w:r>
        <w:rPr>
          <w:rFonts w:ascii="Times New Roman" w:hAnsi="Times New Roman" w:cs="Times New Roman"/>
        </w:rPr>
        <w:t>hough the IRS and Treasury believe that  1</w:t>
      </w:r>
      <w:r>
        <w:rPr>
          <w:rFonts w:ascii="Times New Roman" w:hAnsi="Times New Roman" w:cs="Times New Roman"/>
        </w:rPr>
        <w:t>.1502-6   [*7]  provides an independent assurance of several liability, the recommendation to retain the existing requirement for a new (g) (2) (i) agreement has been adopted in these final reg</w:t>
      </w:r>
      <w:r>
        <w:rPr>
          <w:rFonts w:ascii="Times New Roman" w:hAnsi="Times New Roman" w:cs="Times New Roman"/>
        </w:rPr>
        <w:t>u</w:t>
      </w:r>
      <w:r>
        <w:rPr>
          <w:rFonts w:ascii="Times New Roman" w:hAnsi="Times New Roman" w:cs="Times New Roman"/>
        </w:rPr>
        <w:t>lations. The IRS and Treasury have concluded that the intended</w:t>
      </w:r>
      <w:r>
        <w:rPr>
          <w:rFonts w:ascii="Times New Roman" w:hAnsi="Times New Roman" w:cs="Times New Roman"/>
        </w:rPr>
        <w:t xml:space="preserve"> reduction in administrative burden can be accomplished through the elimin</w:t>
      </w:r>
      <w:r>
        <w:rPr>
          <w:rFonts w:ascii="Times New Roman" w:hAnsi="Times New Roman" w:cs="Times New Roman"/>
        </w:rPr>
        <w:t>a</w:t>
      </w:r>
      <w:r>
        <w:rPr>
          <w:rFonts w:ascii="Times New Roman" w:hAnsi="Times New Roman" w:cs="Times New Roman"/>
        </w:rPr>
        <w:t>tion of the requirement to enter into a closing agreement in the cases specified in the proposed reg</w:t>
      </w:r>
      <w:r>
        <w:rPr>
          <w:rFonts w:ascii="Times New Roman" w:hAnsi="Times New Roman" w:cs="Times New Roman"/>
        </w:rPr>
        <w:t>u</w:t>
      </w:r>
      <w:r>
        <w:rPr>
          <w:rFonts w:ascii="Times New Roman" w:hAnsi="Times New Roman" w:cs="Times New Roman"/>
        </w:rPr>
        <w:t>lations. Moreover, with the retention of the requirement to file a new (g) (2) (</w:t>
      </w:r>
      <w:r>
        <w:rPr>
          <w:rFonts w:ascii="Times New Roman" w:hAnsi="Times New Roman" w:cs="Times New Roman"/>
        </w:rPr>
        <w:t>i) agreement, the requirement in the pr</w:t>
      </w:r>
      <w:r>
        <w:rPr>
          <w:rFonts w:ascii="Times New Roman" w:hAnsi="Times New Roman" w:cs="Times New Roman"/>
        </w:rPr>
        <w:t>o</w:t>
      </w:r>
      <w:r>
        <w:rPr>
          <w:rFonts w:ascii="Times New Roman" w:hAnsi="Times New Roman" w:cs="Times New Roman"/>
        </w:rPr>
        <w:t>posed regulations to file a separate information statement containing essentially the same information has been elim</w:t>
      </w:r>
      <w:r>
        <w:rPr>
          <w:rFonts w:ascii="Times New Roman" w:hAnsi="Times New Roman" w:cs="Times New Roman"/>
        </w:rPr>
        <w:t>i</w:t>
      </w:r>
      <w:r>
        <w:rPr>
          <w:rFonts w:ascii="Times New Roman" w:hAnsi="Times New Roman" w:cs="Times New Roman"/>
        </w:rPr>
        <w:t>nated. Additional changes have been made to clarify the nature of the new (g) (2) (i) agreement.</w:t>
      </w:r>
    </w:p>
    <w:p w:rsidR="00000000" w:rsidRDefault="00C46432">
      <w:pPr>
        <w:widowControl/>
        <w:spacing w:before="120"/>
        <w:ind w:firstLine="360"/>
        <w:rPr>
          <w:rFonts w:ascii="Times New Roman" w:hAnsi="Times New Roman" w:cs="Times New Roman"/>
        </w:rPr>
      </w:pPr>
      <w:r>
        <w:rPr>
          <w:rFonts w:ascii="Times New Roman" w:hAnsi="Times New Roman" w:cs="Times New Roman"/>
        </w:rPr>
        <w:t>Th</w:t>
      </w:r>
      <w:r>
        <w:rPr>
          <w:rFonts w:ascii="Times New Roman" w:hAnsi="Times New Roman" w:cs="Times New Roman"/>
        </w:rPr>
        <w:t>e commentators also suggested that any affiliated dual resident corporation or affiliated domestic owner should be permitted to join the acquiring group without causing a triggering event, regardless of whether all members of the co</w:t>
      </w:r>
      <w:r>
        <w:rPr>
          <w:rFonts w:ascii="Times New Roman" w:hAnsi="Times New Roman" w:cs="Times New Roman"/>
        </w:rPr>
        <w:t>n</w:t>
      </w:r>
      <w:r>
        <w:rPr>
          <w:rFonts w:ascii="Times New Roman" w:hAnsi="Times New Roman" w:cs="Times New Roman"/>
        </w:rPr>
        <w:t>solidated group that fi</w:t>
      </w:r>
      <w:r>
        <w:rPr>
          <w:rFonts w:ascii="Times New Roman" w:hAnsi="Times New Roman" w:cs="Times New Roman"/>
        </w:rPr>
        <w:t>led the original (g) (2) (i) agreement also join the acquiring group, provided that the acquiring group files a new (g) (2) (i) agreement. This suggestion has not been adopted in these final regulations.   [*8]  The final re</w:t>
      </w:r>
      <w:r>
        <w:rPr>
          <w:rFonts w:ascii="Times New Roman" w:hAnsi="Times New Roman" w:cs="Times New Roman"/>
        </w:rPr>
        <w:t>g</w:t>
      </w:r>
      <w:r>
        <w:rPr>
          <w:rFonts w:ascii="Times New Roman" w:hAnsi="Times New Roman" w:cs="Times New Roman"/>
        </w:rPr>
        <w:t>ulations contain a modified des</w:t>
      </w:r>
      <w:r>
        <w:rPr>
          <w:rFonts w:ascii="Times New Roman" w:hAnsi="Times New Roman" w:cs="Times New Roman"/>
        </w:rPr>
        <w:t>cription of the types of transactions for which a closing agreement no longer is required, to make clear that all members of an acquired group (or their successors-in-interest) must be members of the acquiring group immediately after the acquisition (</w:t>
      </w:r>
      <w:r>
        <w:rPr>
          <w:rFonts w:ascii="Times New Roman" w:hAnsi="Times New Roman" w:cs="Times New Roman"/>
          <w:i/>
          <w:iCs/>
        </w:rPr>
        <w:t>i.e.,</w:t>
      </w:r>
      <w:r>
        <w:rPr>
          <w:rFonts w:ascii="Times New Roman" w:hAnsi="Times New Roman" w:cs="Times New Roman"/>
        </w:rPr>
        <w:t xml:space="preserve"> that no member of the acquired group, or its succe</w:t>
      </w:r>
      <w:r>
        <w:rPr>
          <w:rFonts w:ascii="Times New Roman" w:hAnsi="Times New Roman" w:cs="Times New Roman"/>
        </w:rPr>
        <w:t>s</w:t>
      </w:r>
      <w:r>
        <w:rPr>
          <w:rFonts w:ascii="Times New Roman" w:hAnsi="Times New Roman" w:cs="Times New Roman"/>
        </w:rPr>
        <w:t>sor-in-interest, is excluded from the acquiring group due to any applicable restriction such as section 1504 (a) (3) or section 1504 (c)). However, the IRS and Treasury are continuing to consider this sug</w:t>
      </w:r>
      <w:r>
        <w:rPr>
          <w:rFonts w:ascii="Times New Roman" w:hAnsi="Times New Roman" w:cs="Times New Roman"/>
        </w:rPr>
        <w:t>gestion as well as other alternatives for further reducing the administrative and compliance burdens under the section 1503 (d) regulations, and invite add</w:t>
      </w:r>
      <w:r>
        <w:rPr>
          <w:rFonts w:ascii="Times New Roman" w:hAnsi="Times New Roman" w:cs="Times New Roman"/>
        </w:rPr>
        <w:t>i</w:t>
      </w:r>
      <w:r>
        <w:rPr>
          <w:rFonts w:ascii="Times New Roman" w:hAnsi="Times New Roman" w:cs="Times New Roman"/>
        </w:rPr>
        <w:t>tional comments in this regard.</w:t>
      </w:r>
    </w:p>
    <w:p w:rsidR="00000000" w:rsidRDefault="00C46432">
      <w:pPr>
        <w:widowControl/>
        <w:spacing w:before="120"/>
        <w:ind w:firstLine="360"/>
        <w:rPr>
          <w:rFonts w:ascii="Times New Roman" w:hAnsi="Times New Roman" w:cs="Times New Roman"/>
        </w:rPr>
      </w:pPr>
      <w:r>
        <w:rPr>
          <w:rFonts w:ascii="Times New Roman" w:hAnsi="Times New Roman" w:cs="Times New Roman"/>
        </w:rPr>
        <w:t>In order to accomplish the intended reduction in administrative burd</w:t>
      </w:r>
      <w:r>
        <w:rPr>
          <w:rFonts w:ascii="Times New Roman" w:hAnsi="Times New Roman" w:cs="Times New Roman"/>
        </w:rPr>
        <w:t>ens promptly, the final regulations are applic</w:t>
      </w:r>
      <w:r>
        <w:rPr>
          <w:rFonts w:ascii="Times New Roman" w:hAnsi="Times New Roman" w:cs="Times New Roman"/>
        </w:rPr>
        <w:t>a</w:t>
      </w:r>
      <w:r>
        <w:rPr>
          <w:rFonts w:ascii="Times New Roman" w:hAnsi="Times New Roman" w:cs="Times New Roman"/>
        </w:rPr>
        <w:t>ble with respect to transactions otherwise constituting triggering events occurring on or after January 1, 2002.</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r>
        <w:rPr>
          <w:rFonts w:ascii="Times New Roman" w:hAnsi="Times New Roman" w:cs="Times New Roman"/>
        </w:rPr>
        <w:t xml:space="preserve">Special Analyses </w:t>
      </w:r>
    </w:p>
    <w:p w:rsidR="00000000" w:rsidRDefault="00C46432">
      <w:pPr>
        <w:widowControl/>
        <w:spacing w:before="120"/>
        <w:ind w:firstLine="360"/>
        <w:rPr>
          <w:rFonts w:ascii="Times New Roman" w:hAnsi="Times New Roman" w:cs="Times New Roman"/>
        </w:rPr>
      </w:pPr>
      <w:r>
        <w:rPr>
          <w:rFonts w:ascii="Times New Roman" w:hAnsi="Times New Roman" w:cs="Times New Roman"/>
        </w:rPr>
        <w:t>It has been determined that this Treasury decision is not a significant regul</w:t>
      </w:r>
      <w:r>
        <w:rPr>
          <w:rFonts w:ascii="Times New Roman" w:hAnsi="Times New Roman" w:cs="Times New Roman"/>
        </w:rPr>
        <w:t>atory action as defined in Executive O</w:t>
      </w:r>
      <w:r>
        <w:rPr>
          <w:rFonts w:ascii="Times New Roman" w:hAnsi="Times New Roman" w:cs="Times New Roman"/>
        </w:rPr>
        <w:t>r</w:t>
      </w:r>
      <w:r>
        <w:rPr>
          <w:rFonts w:ascii="Times New Roman" w:hAnsi="Times New Roman" w:cs="Times New Roman"/>
        </w:rPr>
        <w:t xml:space="preserve">der 12866. Therefore, a regulatory assessment is not required. It also has been determined that </w:t>
      </w:r>
      <w:r>
        <w:rPr>
          <w:rFonts w:ascii="Times New Roman" w:hAnsi="Times New Roman" w:cs="Times New Roman"/>
          <w:i/>
          <w:iCs/>
        </w:rPr>
        <w:t>section 553 (b)</w:t>
      </w:r>
      <w:r>
        <w:rPr>
          <w:rFonts w:ascii="Times New Roman" w:hAnsi="Times New Roman" w:cs="Times New Roman"/>
        </w:rPr>
        <w:t xml:space="preserve">   [*9]  of the Administrative Procedure Act (5 U.S.C. chapter 5) does not apply to these regulations. It </w:t>
      </w:r>
      <w:r>
        <w:rPr>
          <w:rFonts w:ascii="Times New Roman" w:hAnsi="Times New Roman" w:cs="Times New Roman"/>
        </w:rPr>
        <w:t>is hereby certified that these regulations do not have a significant economic impact on a substantial number of small entities. This certification is based on the fact that these regulations will primarily affect affiliated groups of corporations that also</w:t>
      </w:r>
      <w:r>
        <w:rPr>
          <w:rFonts w:ascii="Times New Roman" w:hAnsi="Times New Roman" w:cs="Times New Roman"/>
        </w:rPr>
        <w:t xml:space="preserve"> have a foreign affiliate, which tend to be larger businesses. Moreover, the number of taxpayers affected and the average burden are minimal. Therefore, a Regulatory Flexibility Analysis is not required. Pursuant to </w:t>
      </w:r>
      <w:r>
        <w:rPr>
          <w:rFonts w:ascii="Times New Roman" w:hAnsi="Times New Roman" w:cs="Times New Roman"/>
          <w:i/>
          <w:iCs/>
        </w:rPr>
        <w:t>section 7805</w:t>
      </w:r>
      <w:r>
        <w:rPr>
          <w:rFonts w:ascii="Times New Roman" w:hAnsi="Times New Roman" w:cs="Times New Roman"/>
        </w:rPr>
        <w:t xml:space="preserve"> (0 of the Internal Rev</w:t>
      </w:r>
      <w:r>
        <w:rPr>
          <w:rFonts w:ascii="Times New Roman" w:hAnsi="Times New Roman" w:cs="Times New Roman"/>
        </w:rPr>
        <w:t>e</w:t>
      </w:r>
      <w:r>
        <w:rPr>
          <w:rFonts w:ascii="Times New Roman" w:hAnsi="Times New Roman" w:cs="Times New Roman"/>
        </w:rPr>
        <w:t xml:space="preserve">nue </w:t>
      </w:r>
      <w:r>
        <w:rPr>
          <w:rFonts w:ascii="Times New Roman" w:hAnsi="Times New Roman" w:cs="Times New Roman"/>
        </w:rPr>
        <w:t>Code, the proposed regulations preceding these regulations were submitted to the Chief Counsel for Advocacy of the Small Bus</w:t>
      </w:r>
      <w:r>
        <w:rPr>
          <w:rFonts w:ascii="Times New Roman" w:hAnsi="Times New Roman" w:cs="Times New Roman"/>
        </w:rPr>
        <w:t>i</w:t>
      </w:r>
      <w:r>
        <w:rPr>
          <w:rFonts w:ascii="Times New Roman" w:hAnsi="Times New Roman" w:cs="Times New Roman"/>
        </w:rPr>
        <w:t>ness Administration for comment on their impact on small business.</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r>
        <w:rPr>
          <w:rFonts w:ascii="Times New Roman" w:hAnsi="Times New Roman" w:cs="Times New Roman"/>
        </w:rPr>
        <w:t xml:space="preserve">Drafting Information </w:t>
      </w:r>
    </w:p>
    <w:p w:rsidR="00000000" w:rsidRDefault="00C46432">
      <w:pPr>
        <w:widowControl/>
        <w:spacing w:before="120"/>
        <w:ind w:firstLine="360"/>
        <w:rPr>
          <w:rFonts w:ascii="Times New Roman" w:hAnsi="Times New Roman" w:cs="Times New Roman"/>
        </w:rPr>
      </w:pPr>
      <w:r>
        <w:rPr>
          <w:rFonts w:ascii="Times New Roman" w:hAnsi="Times New Roman" w:cs="Times New Roman"/>
        </w:rPr>
        <w:t>The principal authors of these regulation</w:t>
      </w:r>
      <w:r>
        <w:rPr>
          <w:rFonts w:ascii="Times New Roman" w:hAnsi="Times New Roman" w:cs="Times New Roman"/>
        </w:rPr>
        <w:t>s are Kenneth D. Allison and Kathryn T. Holman of the Office of Assoc</w:t>
      </w:r>
      <w:r>
        <w:rPr>
          <w:rFonts w:ascii="Times New Roman" w:hAnsi="Times New Roman" w:cs="Times New Roman"/>
        </w:rPr>
        <w:t>i</w:t>
      </w:r>
      <w:r>
        <w:rPr>
          <w:rFonts w:ascii="Times New Roman" w:hAnsi="Times New Roman" w:cs="Times New Roman"/>
        </w:rPr>
        <w:t>ate Chief Counsel (International). However, other personnel from the IRS and Treasury Department participated in their development.</w:t>
      </w:r>
    </w:p>
    <w:p w:rsidR="00000000" w:rsidRDefault="00C46432">
      <w:pPr>
        <w:widowControl/>
        <w:spacing w:before="120"/>
        <w:ind w:firstLine="360"/>
        <w:rPr>
          <w:rFonts w:ascii="Times New Roman" w:hAnsi="Times New Roman" w:cs="Times New Roman"/>
        </w:rPr>
      </w:pPr>
      <w:r>
        <w:rPr>
          <w:rFonts w:ascii="Times New Roman" w:hAnsi="Times New Roman" w:cs="Times New Roman"/>
        </w:rPr>
        <w:t>* * *</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r>
        <w:rPr>
          <w:rFonts w:ascii="Times New Roman" w:hAnsi="Times New Roman" w:cs="Times New Roman"/>
        </w:rPr>
        <w:t xml:space="preserve">Adoption of Amendments to the Regulations </w:t>
      </w:r>
    </w:p>
    <w:p w:rsidR="00000000" w:rsidRDefault="00C46432">
      <w:pPr>
        <w:widowControl/>
        <w:spacing w:before="120"/>
        <w:ind w:firstLine="360"/>
        <w:rPr>
          <w:rFonts w:ascii="Times New Roman" w:hAnsi="Times New Roman" w:cs="Times New Roman"/>
        </w:rPr>
      </w:pPr>
      <w:r>
        <w:rPr>
          <w:rFonts w:ascii="Times New Roman" w:hAnsi="Times New Roman" w:cs="Times New Roman"/>
        </w:rPr>
        <w:t>Acco</w:t>
      </w:r>
      <w:r>
        <w:rPr>
          <w:rFonts w:ascii="Times New Roman" w:hAnsi="Times New Roman" w:cs="Times New Roman"/>
        </w:rPr>
        <w:t>rdingly, 26 CFR parts 1 and 602 are amended as follows:</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r>
        <w:rPr>
          <w:rFonts w:ascii="Times New Roman" w:hAnsi="Times New Roman" w:cs="Times New Roman"/>
        </w:rPr>
        <w:t xml:space="preserve"> </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p>
    <w:p w:rsidR="00000000" w:rsidRDefault="00C46432">
      <w:pPr>
        <w:widowControl/>
        <w:ind w:left="600" w:right="600"/>
        <w:rPr>
          <w:rFonts w:ascii="Times New Roman" w:hAnsi="Times New Roman" w:cs="Times New Roman"/>
        </w:rPr>
      </w:pPr>
      <w:r>
        <w:rPr>
          <w:rFonts w:ascii="Times New Roman" w:hAnsi="Times New Roman" w:cs="Times New Roman"/>
          <w:b/>
          <w:bCs/>
        </w:rPr>
        <w:t>PART 1-INCOME TAXES</w:t>
      </w:r>
      <w:r>
        <w:rPr>
          <w:rFonts w:ascii="Times New Roman" w:hAnsi="Times New Roman" w:cs="Times New Roman"/>
        </w:rPr>
        <w:t xml:space="preserve"> </w:t>
      </w:r>
    </w:p>
    <w:p w:rsidR="00000000" w:rsidRDefault="00C46432">
      <w:pPr>
        <w:widowControl/>
        <w:spacing w:before="120"/>
        <w:ind w:left="600" w:right="600" w:firstLine="360"/>
        <w:rPr>
          <w:rFonts w:ascii="Times New Roman" w:hAnsi="Times New Roman" w:cs="Times New Roman"/>
        </w:rPr>
      </w:pPr>
      <w:r>
        <w:rPr>
          <w:rFonts w:ascii="Times New Roman" w:hAnsi="Times New Roman" w:cs="Times New Roman"/>
        </w:rPr>
        <w:t>paragraph 1. The   [*10]  authority citation for part 1 is amended by adding an entry in numerical order to read in part as follows:</w:t>
      </w:r>
    </w:p>
    <w:p w:rsidR="00000000" w:rsidRDefault="00C46432">
      <w:pPr>
        <w:widowControl/>
        <w:rPr>
          <w:rFonts w:ascii="Times New Roman" w:hAnsi="Times New Roman" w:cs="Times New Roman"/>
        </w:rPr>
      </w:pPr>
    </w:p>
    <w:p w:rsidR="00000000" w:rsidRDefault="00C46432">
      <w:pPr>
        <w:widowControl/>
        <w:ind w:left="600" w:right="600"/>
        <w:rPr>
          <w:rFonts w:ascii="Times New Roman" w:hAnsi="Times New Roman" w:cs="Times New Roman"/>
        </w:rPr>
      </w:pPr>
      <w:r>
        <w:rPr>
          <w:rFonts w:ascii="Times New Roman" w:hAnsi="Times New Roman" w:cs="Times New Roman"/>
        </w:rPr>
        <w:t xml:space="preserve"> </w:t>
      </w:r>
    </w:p>
    <w:p w:rsidR="00000000" w:rsidRDefault="00C46432">
      <w:pPr>
        <w:widowControl/>
        <w:spacing w:before="120"/>
        <w:ind w:left="1200" w:right="1200" w:firstLine="360"/>
        <w:rPr>
          <w:rFonts w:ascii="Times New Roman" w:hAnsi="Times New Roman" w:cs="Times New Roman"/>
        </w:rPr>
      </w:pPr>
      <w:r>
        <w:rPr>
          <w:rFonts w:ascii="Times New Roman" w:hAnsi="Times New Roman" w:cs="Times New Roman"/>
        </w:rPr>
        <w:t xml:space="preserve">Authority: </w:t>
      </w:r>
      <w:r>
        <w:rPr>
          <w:rFonts w:ascii="Times New Roman" w:hAnsi="Times New Roman" w:cs="Times New Roman"/>
          <w:i/>
          <w:iCs/>
        </w:rPr>
        <w:t>26 U.S.C. 7805</w:t>
      </w:r>
      <w:r>
        <w:rPr>
          <w:rFonts w:ascii="Times New Roman" w:hAnsi="Times New Roman" w:cs="Times New Roman"/>
        </w:rPr>
        <w:t>* * *</w:t>
      </w:r>
    </w:p>
    <w:p w:rsidR="00000000" w:rsidRDefault="00C46432">
      <w:pPr>
        <w:widowControl/>
        <w:spacing w:before="120"/>
        <w:ind w:left="1200" w:right="1200" w:firstLine="360"/>
        <w:rPr>
          <w:rFonts w:ascii="Times New Roman" w:hAnsi="Times New Roman" w:cs="Times New Roman"/>
        </w:rPr>
      </w:pPr>
      <w:r>
        <w:rPr>
          <w:rFonts w:ascii="Times New Roman" w:hAnsi="Times New Roman" w:cs="Times New Roman"/>
        </w:rPr>
        <w:lastRenderedPageBreak/>
        <w:t xml:space="preserve">Section 1.1503-2 also issued under </w:t>
      </w:r>
      <w:r>
        <w:rPr>
          <w:rFonts w:ascii="Times New Roman" w:hAnsi="Times New Roman" w:cs="Times New Roman"/>
          <w:i/>
          <w:iCs/>
        </w:rPr>
        <w:t>26 U.S.C. 1502</w:t>
      </w:r>
      <w:r>
        <w:rPr>
          <w:rFonts w:ascii="Times New Roman" w:hAnsi="Times New Roman" w:cs="Times New Roman"/>
        </w:rPr>
        <w:t>* * *</w:t>
      </w:r>
    </w:p>
    <w:p w:rsidR="00000000" w:rsidRDefault="00C46432">
      <w:pPr>
        <w:widowControl/>
        <w:rPr>
          <w:rFonts w:ascii="Times New Roman" w:hAnsi="Times New Roman" w:cs="Times New Roman"/>
        </w:rPr>
      </w:pPr>
    </w:p>
    <w:p w:rsidR="00000000" w:rsidRDefault="00C46432">
      <w:pPr>
        <w:widowControl/>
        <w:ind w:left="600" w:right="600"/>
        <w:rPr>
          <w:rFonts w:ascii="Times New Roman" w:hAnsi="Times New Roman" w:cs="Times New Roman"/>
        </w:rPr>
      </w:pPr>
      <w:r>
        <w:rPr>
          <w:rFonts w:ascii="Times New Roman" w:hAnsi="Times New Roman" w:cs="Times New Roman"/>
        </w:rPr>
        <w:t xml:space="preserve"> </w:t>
      </w:r>
    </w:p>
    <w:p w:rsidR="00000000" w:rsidRDefault="00C46432">
      <w:pPr>
        <w:widowControl/>
        <w:spacing w:before="120"/>
        <w:ind w:left="600" w:right="600" w:firstLine="360"/>
        <w:rPr>
          <w:rFonts w:ascii="Times New Roman" w:hAnsi="Times New Roman" w:cs="Times New Roman"/>
        </w:rPr>
      </w:pPr>
      <w:r>
        <w:rPr>
          <w:rFonts w:ascii="Times New Roman" w:hAnsi="Times New Roman" w:cs="Times New Roman"/>
        </w:rPr>
        <w:t>Par. 2. In  1.1503-2 paragraphs (g) (2) and (h) (1) are amended as follows:</w:t>
      </w:r>
    </w:p>
    <w:p w:rsidR="00000000" w:rsidRDefault="00C46432">
      <w:pPr>
        <w:widowControl/>
        <w:rPr>
          <w:rFonts w:ascii="Times New Roman" w:hAnsi="Times New Roman" w:cs="Times New Roman"/>
        </w:rPr>
      </w:pPr>
    </w:p>
    <w:p w:rsidR="00000000" w:rsidRDefault="00C46432">
      <w:pPr>
        <w:widowControl/>
        <w:numPr>
          <w:ilvl w:val="0"/>
          <w:numId w:val="1"/>
        </w:numPr>
        <w:adjustRightInd/>
        <w:ind w:right="600"/>
        <w:rPr>
          <w:rFonts w:ascii="Times New Roman" w:hAnsi="Times New Roman" w:cs="Times New Roman"/>
        </w:rPr>
      </w:pPr>
    </w:p>
    <w:p w:rsidR="00000000" w:rsidRDefault="00C46432">
      <w:pPr>
        <w:widowControl/>
        <w:numPr>
          <w:ilvl w:val="0"/>
          <w:numId w:val="1"/>
        </w:numPr>
        <w:adjustRightInd/>
        <w:ind w:right="600"/>
        <w:rPr>
          <w:rFonts w:ascii="Times New Roman" w:hAnsi="Times New Roman" w:cs="Times New Roman"/>
        </w:rPr>
      </w:pPr>
    </w:p>
    <w:p w:rsidR="00000000" w:rsidRDefault="00C46432">
      <w:pPr>
        <w:widowControl/>
        <w:numPr>
          <w:ilvl w:val="0"/>
          <w:numId w:val="2"/>
        </w:numPr>
        <w:adjustRightInd/>
        <w:ind w:right="600"/>
        <w:rPr>
          <w:rFonts w:ascii="Times New Roman" w:hAnsi="Times New Roman" w:cs="Times New Roman"/>
        </w:rPr>
      </w:pPr>
      <w:r>
        <w:rPr>
          <w:rFonts w:ascii="Times New Roman" w:hAnsi="Times New Roman" w:cs="Times New Roman"/>
        </w:rPr>
        <w:t>Paragraphs (g) (2) (iv) (B) (1), introductory text, and (g) (2) (iv) (B) (1) (i) are revised.</w:t>
      </w:r>
    </w:p>
    <w:p w:rsidR="00000000" w:rsidRDefault="00C46432">
      <w:pPr>
        <w:widowControl/>
        <w:numPr>
          <w:ilvl w:val="0"/>
          <w:numId w:val="1"/>
        </w:numPr>
        <w:adjustRightInd/>
        <w:ind w:right="600"/>
        <w:rPr>
          <w:rFonts w:ascii="Times New Roman" w:hAnsi="Times New Roman" w:cs="Times New Roman"/>
        </w:rPr>
      </w:pPr>
    </w:p>
    <w:p w:rsidR="00000000" w:rsidRDefault="00C46432">
      <w:pPr>
        <w:widowControl/>
        <w:numPr>
          <w:ilvl w:val="0"/>
          <w:numId w:val="1"/>
        </w:numPr>
        <w:adjustRightInd/>
        <w:ind w:right="600"/>
        <w:rPr>
          <w:rFonts w:ascii="Times New Roman" w:hAnsi="Times New Roman" w:cs="Times New Roman"/>
        </w:rPr>
      </w:pPr>
    </w:p>
    <w:p w:rsidR="00000000" w:rsidRDefault="00C46432">
      <w:pPr>
        <w:widowControl/>
        <w:numPr>
          <w:ilvl w:val="0"/>
          <w:numId w:val="3"/>
        </w:numPr>
        <w:adjustRightInd/>
        <w:ind w:right="600"/>
        <w:rPr>
          <w:rFonts w:ascii="Times New Roman" w:hAnsi="Times New Roman" w:cs="Times New Roman"/>
        </w:rPr>
      </w:pPr>
      <w:r>
        <w:rPr>
          <w:rFonts w:ascii="Times New Roman" w:hAnsi="Times New Roman" w:cs="Times New Roman"/>
        </w:rPr>
        <w:t>Paragraph</w:t>
      </w:r>
      <w:r>
        <w:rPr>
          <w:rFonts w:ascii="Times New Roman" w:hAnsi="Times New Roman" w:cs="Times New Roman"/>
        </w:rPr>
        <w:t xml:space="preserve"> (g) (2) (iv) (B) (1) (ii) is removed.</w:t>
      </w:r>
    </w:p>
    <w:p w:rsidR="00000000" w:rsidRDefault="00C46432">
      <w:pPr>
        <w:widowControl/>
        <w:numPr>
          <w:ilvl w:val="0"/>
          <w:numId w:val="1"/>
        </w:numPr>
        <w:adjustRightInd/>
        <w:ind w:right="600"/>
        <w:rPr>
          <w:rFonts w:ascii="Times New Roman" w:hAnsi="Times New Roman" w:cs="Times New Roman"/>
        </w:rPr>
      </w:pPr>
    </w:p>
    <w:p w:rsidR="00000000" w:rsidRDefault="00C46432">
      <w:pPr>
        <w:widowControl/>
        <w:numPr>
          <w:ilvl w:val="0"/>
          <w:numId w:val="1"/>
        </w:numPr>
        <w:adjustRightInd/>
        <w:ind w:right="600"/>
        <w:rPr>
          <w:rFonts w:ascii="Times New Roman" w:hAnsi="Times New Roman" w:cs="Times New Roman"/>
        </w:rPr>
      </w:pPr>
    </w:p>
    <w:p w:rsidR="00000000" w:rsidRDefault="00C46432">
      <w:pPr>
        <w:widowControl/>
        <w:numPr>
          <w:ilvl w:val="0"/>
          <w:numId w:val="4"/>
        </w:numPr>
        <w:adjustRightInd/>
        <w:ind w:right="600"/>
        <w:rPr>
          <w:rFonts w:ascii="Times New Roman" w:hAnsi="Times New Roman" w:cs="Times New Roman"/>
        </w:rPr>
      </w:pPr>
      <w:r>
        <w:rPr>
          <w:rFonts w:ascii="Times New Roman" w:hAnsi="Times New Roman" w:cs="Times New Roman"/>
        </w:rPr>
        <w:t>Paragraphs (g) (2) (iv) (B) (1) (iii) and (iv) are redesignated as paragraphs (g) (2) (iv) (B) (1) (ii) and (iii), respectively.</w:t>
      </w:r>
    </w:p>
    <w:p w:rsidR="00000000" w:rsidRDefault="00C46432">
      <w:pPr>
        <w:widowControl/>
        <w:numPr>
          <w:ilvl w:val="0"/>
          <w:numId w:val="1"/>
        </w:numPr>
        <w:adjustRightInd/>
        <w:ind w:right="600"/>
        <w:rPr>
          <w:rFonts w:ascii="Times New Roman" w:hAnsi="Times New Roman" w:cs="Times New Roman"/>
        </w:rPr>
      </w:pPr>
    </w:p>
    <w:p w:rsidR="00000000" w:rsidRDefault="00C46432">
      <w:pPr>
        <w:widowControl/>
        <w:numPr>
          <w:ilvl w:val="0"/>
          <w:numId w:val="1"/>
        </w:numPr>
        <w:adjustRightInd/>
        <w:ind w:right="600"/>
        <w:rPr>
          <w:rFonts w:ascii="Times New Roman" w:hAnsi="Times New Roman" w:cs="Times New Roman"/>
        </w:rPr>
      </w:pPr>
    </w:p>
    <w:p w:rsidR="00000000" w:rsidRDefault="00C46432">
      <w:pPr>
        <w:widowControl/>
        <w:numPr>
          <w:ilvl w:val="0"/>
          <w:numId w:val="5"/>
        </w:numPr>
        <w:adjustRightInd/>
        <w:ind w:right="600"/>
        <w:rPr>
          <w:rFonts w:ascii="Times New Roman" w:hAnsi="Times New Roman" w:cs="Times New Roman"/>
        </w:rPr>
      </w:pPr>
      <w:r>
        <w:rPr>
          <w:rFonts w:ascii="Times New Roman" w:hAnsi="Times New Roman" w:cs="Times New Roman"/>
        </w:rPr>
        <w:t>Paragraph (g) (2) (iv) (B) (2) and (g) (2) (iv) (B) (2) (iii) are revised and redesignated as paragraph (g) (2) (iv) (B) (5) and (g) (2) (iv) (B) (3) (iii) respectively.</w:t>
      </w:r>
    </w:p>
    <w:p w:rsidR="00000000" w:rsidRDefault="00C46432">
      <w:pPr>
        <w:widowControl/>
        <w:numPr>
          <w:ilvl w:val="0"/>
          <w:numId w:val="1"/>
        </w:numPr>
        <w:adjustRightInd/>
        <w:ind w:right="600"/>
        <w:rPr>
          <w:rFonts w:ascii="Times New Roman" w:hAnsi="Times New Roman" w:cs="Times New Roman"/>
        </w:rPr>
      </w:pPr>
    </w:p>
    <w:p w:rsidR="00000000" w:rsidRDefault="00C46432">
      <w:pPr>
        <w:widowControl/>
        <w:numPr>
          <w:ilvl w:val="0"/>
          <w:numId w:val="1"/>
        </w:numPr>
        <w:adjustRightInd/>
        <w:ind w:right="600"/>
        <w:rPr>
          <w:rFonts w:ascii="Times New Roman" w:hAnsi="Times New Roman" w:cs="Times New Roman"/>
        </w:rPr>
      </w:pPr>
    </w:p>
    <w:p w:rsidR="00000000" w:rsidRDefault="00C46432">
      <w:pPr>
        <w:widowControl/>
        <w:numPr>
          <w:ilvl w:val="0"/>
          <w:numId w:val="6"/>
        </w:numPr>
        <w:adjustRightInd/>
        <w:ind w:right="600"/>
        <w:rPr>
          <w:rFonts w:ascii="Times New Roman" w:hAnsi="Times New Roman" w:cs="Times New Roman"/>
        </w:rPr>
      </w:pPr>
      <w:r>
        <w:rPr>
          <w:rFonts w:ascii="Times New Roman" w:hAnsi="Times New Roman" w:cs="Times New Roman"/>
        </w:rPr>
        <w:t>Newly designated paragraph (g) (2) (4) (B) (3) (iii) is revised.</w:t>
      </w:r>
    </w:p>
    <w:p w:rsidR="00000000" w:rsidRDefault="00C46432">
      <w:pPr>
        <w:widowControl/>
        <w:numPr>
          <w:ilvl w:val="0"/>
          <w:numId w:val="1"/>
        </w:numPr>
        <w:adjustRightInd/>
        <w:ind w:right="600"/>
        <w:rPr>
          <w:rFonts w:ascii="Times New Roman" w:hAnsi="Times New Roman" w:cs="Times New Roman"/>
        </w:rPr>
      </w:pPr>
    </w:p>
    <w:p w:rsidR="00000000" w:rsidRDefault="00C46432">
      <w:pPr>
        <w:widowControl/>
        <w:numPr>
          <w:ilvl w:val="0"/>
          <w:numId w:val="1"/>
        </w:numPr>
        <w:adjustRightInd/>
        <w:ind w:right="600"/>
        <w:rPr>
          <w:rFonts w:ascii="Times New Roman" w:hAnsi="Times New Roman" w:cs="Times New Roman"/>
        </w:rPr>
      </w:pPr>
    </w:p>
    <w:p w:rsidR="00000000" w:rsidRDefault="00C46432">
      <w:pPr>
        <w:widowControl/>
        <w:numPr>
          <w:ilvl w:val="0"/>
          <w:numId w:val="7"/>
        </w:numPr>
        <w:adjustRightInd/>
        <w:ind w:right="600"/>
        <w:rPr>
          <w:rFonts w:ascii="Times New Roman" w:hAnsi="Times New Roman" w:cs="Times New Roman"/>
        </w:rPr>
      </w:pPr>
      <w:r>
        <w:rPr>
          <w:rFonts w:ascii="Times New Roman" w:hAnsi="Times New Roman" w:cs="Times New Roman"/>
        </w:rPr>
        <w:t>New</w:t>
      </w:r>
      <w:r>
        <w:rPr>
          <w:rFonts w:ascii="Times New Roman" w:hAnsi="Times New Roman" w:cs="Times New Roman"/>
        </w:rPr>
        <w:t xml:space="preserve"> paragraph (g) (2) (iv) (B) (2) is added.</w:t>
      </w:r>
    </w:p>
    <w:p w:rsidR="00000000" w:rsidRDefault="00C46432">
      <w:pPr>
        <w:widowControl/>
        <w:numPr>
          <w:ilvl w:val="0"/>
          <w:numId w:val="1"/>
        </w:numPr>
        <w:adjustRightInd/>
        <w:ind w:right="600"/>
        <w:rPr>
          <w:rFonts w:ascii="Times New Roman" w:hAnsi="Times New Roman" w:cs="Times New Roman"/>
        </w:rPr>
      </w:pPr>
    </w:p>
    <w:p w:rsidR="00000000" w:rsidRDefault="00C46432">
      <w:pPr>
        <w:widowControl/>
        <w:numPr>
          <w:ilvl w:val="0"/>
          <w:numId w:val="1"/>
        </w:numPr>
        <w:adjustRightInd/>
        <w:ind w:right="600"/>
        <w:rPr>
          <w:rFonts w:ascii="Times New Roman" w:hAnsi="Times New Roman" w:cs="Times New Roman"/>
        </w:rPr>
      </w:pPr>
    </w:p>
    <w:p w:rsidR="00000000" w:rsidRDefault="00C46432">
      <w:pPr>
        <w:widowControl/>
        <w:numPr>
          <w:ilvl w:val="0"/>
          <w:numId w:val="8"/>
        </w:numPr>
        <w:adjustRightInd/>
        <w:ind w:right="600"/>
        <w:rPr>
          <w:rFonts w:ascii="Times New Roman" w:hAnsi="Times New Roman" w:cs="Times New Roman"/>
        </w:rPr>
      </w:pPr>
      <w:r>
        <w:rPr>
          <w:rFonts w:ascii="Times New Roman" w:hAnsi="Times New Roman" w:cs="Times New Roman"/>
        </w:rPr>
        <w:t>Paragraph (g) (2) (iv) (D) is added.</w:t>
      </w:r>
    </w:p>
    <w:p w:rsidR="00000000" w:rsidRDefault="00C46432">
      <w:pPr>
        <w:widowControl/>
        <w:numPr>
          <w:ilvl w:val="0"/>
          <w:numId w:val="1"/>
        </w:numPr>
        <w:adjustRightInd/>
        <w:ind w:right="600"/>
        <w:rPr>
          <w:rFonts w:ascii="Times New Roman" w:hAnsi="Times New Roman" w:cs="Times New Roman"/>
        </w:rPr>
      </w:pPr>
    </w:p>
    <w:p w:rsidR="00000000" w:rsidRDefault="00C46432">
      <w:pPr>
        <w:widowControl/>
        <w:numPr>
          <w:ilvl w:val="0"/>
          <w:numId w:val="1"/>
        </w:numPr>
        <w:adjustRightInd/>
        <w:ind w:right="600"/>
        <w:rPr>
          <w:rFonts w:ascii="Times New Roman" w:hAnsi="Times New Roman" w:cs="Times New Roman"/>
        </w:rPr>
      </w:pPr>
    </w:p>
    <w:p w:rsidR="00000000" w:rsidRDefault="00C46432">
      <w:pPr>
        <w:widowControl/>
        <w:numPr>
          <w:ilvl w:val="0"/>
          <w:numId w:val="9"/>
        </w:numPr>
        <w:adjustRightInd/>
        <w:ind w:right="600"/>
        <w:rPr>
          <w:rFonts w:ascii="Times New Roman" w:hAnsi="Times New Roman" w:cs="Times New Roman"/>
        </w:rPr>
      </w:pPr>
      <w:r>
        <w:rPr>
          <w:rFonts w:ascii="Times New Roman" w:hAnsi="Times New Roman" w:cs="Times New Roman"/>
        </w:rPr>
        <w:t>Paragraph (h) (1) is amended by adding a sentence at the end of the paragraph.</w:t>
      </w:r>
    </w:p>
    <w:p w:rsidR="00000000" w:rsidRDefault="00C46432">
      <w:pPr>
        <w:widowControl/>
        <w:spacing w:before="120"/>
        <w:ind w:left="600" w:right="600" w:firstLine="360"/>
        <w:rPr>
          <w:rFonts w:ascii="Times New Roman" w:hAnsi="Times New Roman" w:cs="Times New Roman"/>
        </w:rPr>
      </w:pPr>
      <w:r>
        <w:rPr>
          <w:rFonts w:ascii="Times New Roman" w:hAnsi="Times New Roman" w:cs="Times New Roman"/>
        </w:rPr>
        <w:t>The revisions and additions read as follows:</w:t>
      </w:r>
    </w:p>
    <w:p w:rsidR="00000000" w:rsidRDefault="00C46432">
      <w:pPr>
        <w:widowControl/>
        <w:rPr>
          <w:rFonts w:ascii="Times New Roman" w:hAnsi="Times New Roman" w:cs="Times New Roman"/>
        </w:rPr>
      </w:pPr>
    </w:p>
    <w:p w:rsidR="00000000" w:rsidRDefault="00C46432">
      <w:pPr>
        <w:widowControl/>
        <w:ind w:left="600" w:right="600"/>
        <w:rPr>
          <w:rFonts w:ascii="Times New Roman" w:hAnsi="Times New Roman" w:cs="Times New Roman"/>
        </w:rPr>
      </w:pPr>
      <w:r>
        <w:rPr>
          <w:rFonts w:ascii="Times New Roman" w:hAnsi="Times New Roman" w:cs="Times New Roman"/>
        </w:rPr>
        <w:t xml:space="preserve"> </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p>
    <w:p w:rsidR="00000000" w:rsidRDefault="00C46432">
      <w:pPr>
        <w:widowControl/>
        <w:ind w:left="1200" w:right="1200"/>
        <w:rPr>
          <w:rFonts w:ascii="Times New Roman" w:hAnsi="Times New Roman" w:cs="Times New Roman"/>
        </w:rPr>
      </w:pPr>
      <w:r>
        <w:rPr>
          <w:rFonts w:ascii="Times New Roman" w:hAnsi="Times New Roman" w:cs="Times New Roman"/>
          <w:b/>
          <w:bCs/>
        </w:rPr>
        <w:t xml:space="preserve"> 1.1503-2 Dual consolidated loss.</w:t>
      </w:r>
      <w:r>
        <w:rPr>
          <w:rFonts w:ascii="Times New Roman" w:hAnsi="Times New Roman" w:cs="Times New Roman"/>
        </w:rPr>
        <w:t xml:space="preserve"> </w:t>
      </w:r>
    </w:p>
    <w:p w:rsidR="00000000" w:rsidRDefault="00C46432">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C46432">
      <w:pPr>
        <w:widowControl/>
        <w:spacing w:before="120"/>
        <w:ind w:left="1200" w:right="1200" w:firstLine="360"/>
        <w:rPr>
          <w:rFonts w:ascii="Times New Roman" w:hAnsi="Times New Roman" w:cs="Times New Roman"/>
        </w:rPr>
      </w:pPr>
      <w:r>
        <w:rPr>
          <w:rFonts w:ascii="Times New Roman" w:hAnsi="Times New Roman" w:cs="Times New Roman"/>
        </w:rPr>
        <w:t>(g) * * *</w:t>
      </w:r>
    </w:p>
    <w:p w:rsidR="00000000" w:rsidRDefault="00C46432">
      <w:pPr>
        <w:widowControl/>
        <w:spacing w:before="120"/>
        <w:ind w:left="1200" w:right="1200" w:firstLine="360"/>
        <w:rPr>
          <w:rFonts w:ascii="Times New Roman" w:hAnsi="Times New Roman" w:cs="Times New Roman"/>
        </w:rPr>
      </w:pPr>
      <w:r>
        <w:rPr>
          <w:rFonts w:ascii="Times New Roman" w:hAnsi="Times New Roman" w:cs="Times New Roman"/>
        </w:rPr>
        <w:t>(2) * * *</w:t>
      </w:r>
    </w:p>
    <w:p w:rsidR="00000000" w:rsidRDefault="00C46432">
      <w:pPr>
        <w:widowControl/>
        <w:spacing w:before="120"/>
        <w:ind w:left="1200" w:right="1200" w:firstLine="360"/>
        <w:rPr>
          <w:rFonts w:ascii="Times New Roman" w:hAnsi="Times New Roman" w:cs="Times New Roman"/>
        </w:rPr>
      </w:pPr>
      <w:r>
        <w:rPr>
          <w:rFonts w:ascii="Times New Roman" w:hAnsi="Times New Roman" w:cs="Times New Roman"/>
        </w:rPr>
        <w:t>(iv) * * *</w:t>
      </w:r>
    </w:p>
    <w:p w:rsidR="00000000" w:rsidRDefault="00C46432">
      <w:pPr>
        <w:widowControl/>
        <w:spacing w:before="120"/>
        <w:ind w:left="1200" w:right="1200" w:firstLine="360"/>
        <w:rPr>
          <w:rFonts w:ascii="Times New Roman" w:hAnsi="Times New Roman" w:cs="Times New Roman"/>
        </w:rPr>
      </w:pPr>
      <w:r>
        <w:rPr>
          <w:rFonts w:ascii="Times New Roman" w:hAnsi="Times New Roman" w:cs="Times New Roman"/>
        </w:rPr>
        <w:t>(B) * * * (</w:t>
      </w:r>
      <w:r>
        <w:rPr>
          <w:rFonts w:ascii="Times New Roman" w:hAnsi="Times New Roman" w:cs="Times New Roman"/>
          <w:i/>
          <w:iCs/>
        </w:rPr>
        <w:t>1</w:t>
      </w:r>
      <w:r>
        <w:rPr>
          <w:rFonts w:ascii="Times New Roman" w:hAnsi="Times New Roman" w:cs="Times New Roman"/>
        </w:rPr>
        <w:t>) If all the requirements of paragraph,(g) (2) (iv) (B) (3) of this section are met, the following events shall not constitute triggering   [*11]  events requiring the r</w:t>
      </w:r>
      <w:r>
        <w:rPr>
          <w:rFonts w:ascii="Times New Roman" w:hAnsi="Times New Roman" w:cs="Times New Roman"/>
        </w:rPr>
        <w:t>e</w:t>
      </w:r>
      <w:r>
        <w:rPr>
          <w:rFonts w:ascii="Times New Roman" w:hAnsi="Times New Roman" w:cs="Times New Roman"/>
        </w:rPr>
        <w:t>ca</w:t>
      </w:r>
      <w:r>
        <w:rPr>
          <w:rFonts w:ascii="Times New Roman" w:hAnsi="Times New Roman" w:cs="Times New Roman"/>
        </w:rPr>
        <w:t>pture of the dual consolidated loss under paragraph (g) (2) (vii) of this section:</w:t>
      </w:r>
    </w:p>
    <w:p w:rsidR="00000000" w:rsidRDefault="00C46432">
      <w:pPr>
        <w:widowControl/>
        <w:rPr>
          <w:rFonts w:ascii="Times New Roman" w:hAnsi="Times New Roman" w:cs="Times New Roman"/>
        </w:rPr>
      </w:pPr>
    </w:p>
    <w:p w:rsidR="00000000" w:rsidRDefault="00C46432">
      <w:pPr>
        <w:widowControl/>
        <w:ind w:left="1200" w:right="1200"/>
        <w:rPr>
          <w:rFonts w:ascii="Times New Roman" w:hAnsi="Times New Roman" w:cs="Times New Roman"/>
        </w:rPr>
      </w:pPr>
      <w:r>
        <w:rPr>
          <w:rFonts w:ascii="Times New Roman" w:hAnsi="Times New Roman" w:cs="Times New Roman"/>
        </w:rPr>
        <w:t xml:space="preserve"> </w:t>
      </w:r>
    </w:p>
    <w:p w:rsidR="00000000" w:rsidRDefault="00C46432">
      <w:pPr>
        <w:widowControl/>
        <w:spacing w:before="120"/>
        <w:ind w:left="1800" w:right="1800" w:firstLine="360"/>
        <w:rPr>
          <w:rFonts w:ascii="Times New Roman" w:hAnsi="Times New Roman" w:cs="Times New Roman"/>
        </w:rPr>
      </w:pPr>
      <w:r>
        <w:rPr>
          <w:rFonts w:ascii="Times New Roman" w:hAnsi="Times New Roman" w:cs="Times New Roman"/>
        </w:rPr>
        <w:t>(i) An affiliated dual resident corporation or affiliated domestic owner becomes an unaffiliated domestic corporation or a member of a new co</w:t>
      </w:r>
      <w:r>
        <w:rPr>
          <w:rFonts w:ascii="Times New Roman" w:hAnsi="Times New Roman" w:cs="Times New Roman"/>
        </w:rPr>
        <w:t>n</w:t>
      </w:r>
      <w:r>
        <w:rPr>
          <w:rFonts w:ascii="Times New Roman" w:hAnsi="Times New Roman" w:cs="Times New Roman"/>
        </w:rPr>
        <w:t xml:space="preserve">solidated group (other than </w:t>
      </w:r>
      <w:r>
        <w:rPr>
          <w:rFonts w:ascii="Times New Roman" w:hAnsi="Times New Roman" w:cs="Times New Roman"/>
        </w:rPr>
        <w:t>in a transaction described in paragraph (g) (2) (iv) (B) (2) (ii) of this section);</w:t>
      </w:r>
    </w:p>
    <w:p w:rsidR="00000000" w:rsidRDefault="00C46432">
      <w:pPr>
        <w:widowControl/>
        <w:rPr>
          <w:rFonts w:ascii="Times New Roman" w:hAnsi="Times New Roman" w:cs="Times New Roman"/>
        </w:rPr>
      </w:pPr>
    </w:p>
    <w:p w:rsidR="00000000" w:rsidRDefault="00C46432">
      <w:pPr>
        <w:widowControl/>
        <w:ind w:left="1200" w:right="1200"/>
        <w:rPr>
          <w:rFonts w:ascii="Times New Roman" w:hAnsi="Times New Roman" w:cs="Times New Roman"/>
        </w:rPr>
      </w:pPr>
      <w:r>
        <w:rPr>
          <w:rFonts w:ascii="Times New Roman" w:hAnsi="Times New Roman" w:cs="Times New Roman"/>
        </w:rPr>
        <w:lastRenderedPageBreak/>
        <w:t xml:space="preserve"> </w:t>
      </w:r>
    </w:p>
    <w:p w:rsidR="00000000" w:rsidRDefault="00C46432">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C46432">
      <w:pPr>
        <w:widowControl/>
        <w:spacing w:before="120"/>
        <w:ind w:left="1200" w:right="1200" w:firstLine="360"/>
        <w:rPr>
          <w:rFonts w:ascii="Times New Roman" w:hAnsi="Times New Roman" w:cs="Times New Roman"/>
        </w:rPr>
      </w:pPr>
      <w:r>
        <w:rPr>
          <w:rFonts w:ascii="Times New Roman" w:hAnsi="Times New Roman" w:cs="Times New Roman"/>
        </w:rPr>
        <w:t xml:space="preserve">(2) If the requirements of paragraph (g) (2) (iv) (B) (3) (iii) of this section are met, the following events shall not constitute triggering events requiring the </w:t>
      </w:r>
      <w:r>
        <w:rPr>
          <w:rFonts w:ascii="Times New Roman" w:hAnsi="Times New Roman" w:cs="Times New Roman"/>
        </w:rPr>
        <w:t>recapture of the dual consolidated loss under paragraph (g) (2) (vii) of this section-</w:t>
      </w:r>
    </w:p>
    <w:p w:rsidR="00000000" w:rsidRDefault="00C46432">
      <w:pPr>
        <w:widowControl/>
        <w:rPr>
          <w:rFonts w:ascii="Times New Roman" w:hAnsi="Times New Roman" w:cs="Times New Roman"/>
        </w:rPr>
      </w:pPr>
    </w:p>
    <w:p w:rsidR="00000000" w:rsidRDefault="00C46432">
      <w:pPr>
        <w:widowControl/>
        <w:numPr>
          <w:ilvl w:val="0"/>
          <w:numId w:val="10"/>
        </w:numPr>
        <w:adjustRightInd/>
        <w:ind w:right="1200"/>
        <w:rPr>
          <w:rFonts w:ascii="Times New Roman" w:hAnsi="Times New Roman" w:cs="Times New Roman"/>
        </w:rPr>
      </w:pPr>
    </w:p>
    <w:p w:rsidR="00000000" w:rsidRDefault="00C46432">
      <w:pPr>
        <w:widowControl/>
        <w:numPr>
          <w:ilvl w:val="0"/>
          <w:numId w:val="10"/>
        </w:numPr>
        <w:adjustRightInd/>
        <w:ind w:right="1200"/>
        <w:rPr>
          <w:rFonts w:ascii="Times New Roman" w:hAnsi="Times New Roman" w:cs="Times New Roman"/>
        </w:rPr>
      </w:pPr>
    </w:p>
    <w:p w:rsidR="00000000" w:rsidRDefault="00C46432">
      <w:pPr>
        <w:widowControl/>
        <w:numPr>
          <w:ilvl w:val="0"/>
          <w:numId w:val="11"/>
        </w:numPr>
        <w:adjustRightInd/>
        <w:ind w:right="1200"/>
        <w:rPr>
          <w:rFonts w:ascii="Times New Roman" w:hAnsi="Times New Roman" w:cs="Times New Roman"/>
        </w:rPr>
      </w:pPr>
      <w:r>
        <w:rPr>
          <w:rFonts w:ascii="Times New Roman" w:hAnsi="Times New Roman" w:cs="Times New Roman"/>
        </w:rPr>
        <w:t>An unaffiliated dual resident corporation or unaffiliated domestic owner becomes a member of a consolidated group;</w:t>
      </w:r>
    </w:p>
    <w:p w:rsidR="00000000" w:rsidRDefault="00C46432">
      <w:pPr>
        <w:widowControl/>
        <w:numPr>
          <w:ilvl w:val="0"/>
          <w:numId w:val="10"/>
        </w:numPr>
        <w:adjustRightInd/>
        <w:ind w:right="1200"/>
        <w:rPr>
          <w:rFonts w:ascii="Times New Roman" w:hAnsi="Times New Roman" w:cs="Times New Roman"/>
        </w:rPr>
      </w:pPr>
    </w:p>
    <w:p w:rsidR="00000000" w:rsidRDefault="00C46432">
      <w:pPr>
        <w:widowControl/>
        <w:numPr>
          <w:ilvl w:val="0"/>
          <w:numId w:val="10"/>
        </w:numPr>
        <w:adjustRightInd/>
        <w:ind w:right="1200"/>
        <w:rPr>
          <w:rFonts w:ascii="Times New Roman" w:hAnsi="Times New Roman" w:cs="Times New Roman"/>
        </w:rPr>
      </w:pPr>
    </w:p>
    <w:p w:rsidR="00000000" w:rsidRDefault="00C46432">
      <w:pPr>
        <w:widowControl/>
        <w:numPr>
          <w:ilvl w:val="0"/>
          <w:numId w:val="12"/>
        </w:numPr>
        <w:adjustRightInd/>
        <w:ind w:right="1200"/>
        <w:rPr>
          <w:rFonts w:ascii="Times New Roman" w:hAnsi="Times New Roman" w:cs="Times New Roman"/>
        </w:rPr>
      </w:pPr>
      <w:r>
        <w:rPr>
          <w:rFonts w:ascii="Times New Roman" w:hAnsi="Times New Roman" w:cs="Times New Roman"/>
        </w:rPr>
        <w:t xml:space="preserve">A consolidated group that filed an agreement under this paragraph (g) (2) ceases to exist as a result of a transaction described in  1.1502-13 (j) (5) (i) (other than a transaction in which any member of the terminating group, or the successor-in-interest </w:t>
      </w:r>
      <w:r>
        <w:rPr>
          <w:rFonts w:ascii="Times New Roman" w:hAnsi="Times New Roman" w:cs="Times New Roman"/>
        </w:rPr>
        <w:t>of such member, is not a member of the surviving group immediately after the terminating group ceases to exist).</w:t>
      </w:r>
    </w:p>
    <w:p w:rsidR="00000000" w:rsidRDefault="00C46432">
      <w:pPr>
        <w:widowControl/>
        <w:spacing w:before="120"/>
        <w:ind w:left="1200" w:right="1200"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3</w:t>
      </w:r>
      <w:r>
        <w:rPr>
          <w:rFonts w:ascii="Times New Roman" w:hAnsi="Times New Roman" w:cs="Times New Roman"/>
        </w:rPr>
        <w:t xml:space="preserve">) If the following requirements (as applicable) are satisfied, the events listed in paragraphs   [*12]  (g) (2) (iv) (B) (1) and (2) of this </w:t>
      </w:r>
      <w:r>
        <w:rPr>
          <w:rFonts w:ascii="Times New Roman" w:hAnsi="Times New Roman" w:cs="Times New Roman"/>
        </w:rPr>
        <w:t>section shall not constitute trigge</w:t>
      </w:r>
      <w:r>
        <w:rPr>
          <w:rFonts w:ascii="Times New Roman" w:hAnsi="Times New Roman" w:cs="Times New Roman"/>
        </w:rPr>
        <w:t>r</w:t>
      </w:r>
      <w:r>
        <w:rPr>
          <w:rFonts w:ascii="Times New Roman" w:hAnsi="Times New Roman" w:cs="Times New Roman"/>
        </w:rPr>
        <w:t>ing events requiring recapture under paragraph (g) (2) (vii) of this section.</w:t>
      </w:r>
    </w:p>
    <w:p w:rsidR="00000000" w:rsidRDefault="00C46432">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C46432">
      <w:pPr>
        <w:widowControl/>
        <w:spacing w:before="120"/>
        <w:ind w:left="1200" w:right="1200" w:firstLine="360"/>
        <w:rPr>
          <w:rFonts w:ascii="Times New Roman" w:hAnsi="Times New Roman" w:cs="Times New Roman"/>
        </w:rPr>
      </w:pPr>
      <w:r>
        <w:rPr>
          <w:rFonts w:ascii="Times New Roman" w:hAnsi="Times New Roman" w:cs="Times New Roman"/>
        </w:rPr>
        <w:t>(iii) The unaffiliated domestic corporation or new consolidated group must file, with its timely filed income tax return for the taxable</w:t>
      </w:r>
      <w:r>
        <w:rPr>
          <w:rFonts w:ascii="Times New Roman" w:hAnsi="Times New Roman" w:cs="Times New Roman"/>
        </w:rPr>
        <w:t xml:space="preserve"> year in which the event described in pa</w:t>
      </w:r>
      <w:r>
        <w:rPr>
          <w:rFonts w:ascii="Times New Roman" w:hAnsi="Times New Roman" w:cs="Times New Roman"/>
        </w:rPr>
        <w:t>r</w:t>
      </w:r>
      <w:r>
        <w:rPr>
          <w:rFonts w:ascii="Times New Roman" w:hAnsi="Times New Roman" w:cs="Times New Roman"/>
        </w:rPr>
        <w:t>agraph (g) (2) (iv) (B) (1) or (2) of this section occurs, an agreement de-scribed in par</w:t>
      </w:r>
      <w:r>
        <w:rPr>
          <w:rFonts w:ascii="Times New Roman" w:hAnsi="Times New Roman" w:cs="Times New Roman"/>
        </w:rPr>
        <w:t>a</w:t>
      </w:r>
      <w:r>
        <w:rPr>
          <w:rFonts w:ascii="Times New Roman" w:hAnsi="Times New Roman" w:cs="Times New Roman"/>
        </w:rPr>
        <w:t>graph (g) (2) (i) of this section (new (g) (2) (i) agreement), whereby it assumes the same obligations with respect to the du</w:t>
      </w:r>
      <w:r>
        <w:rPr>
          <w:rFonts w:ascii="Times New Roman" w:hAnsi="Times New Roman" w:cs="Times New Roman"/>
        </w:rPr>
        <w:t>al consolidated loss as the corporation or consolidated group that filed the original (g) (2) (i) agreement with respect to that loss. The new (g) (2) (i) agreement must be signed under penalties of perjury by the person who signs the return and must inclu</w:t>
      </w:r>
      <w:r>
        <w:rPr>
          <w:rFonts w:ascii="Times New Roman" w:hAnsi="Times New Roman" w:cs="Times New Roman"/>
        </w:rPr>
        <w:t>de a reference to this paragraph (g) (2) (iv) (B) (5) (iii).* * *</w:t>
      </w:r>
    </w:p>
    <w:p w:rsidR="00000000" w:rsidRDefault="00C46432">
      <w:pPr>
        <w:widowControl/>
        <w:spacing w:before="120"/>
        <w:ind w:left="1200" w:right="1200" w:firstLine="360"/>
        <w:rPr>
          <w:rFonts w:ascii="Times New Roman" w:hAnsi="Times New Roman" w:cs="Times New Roman"/>
        </w:rPr>
      </w:pPr>
      <w:r>
        <w:rPr>
          <w:rFonts w:ascii="Times New Roman" w:hAnsi="Times New Roman" w:cs="Times New Roman"/>
        </w:rPr>
        <w:t>(D) Example. The following example illustrates the application of paragraph (g) (2) (iv) (B) (2) (ii) of this section:</w:t>
      </w:r>
    </w:p>
    <w:p w:rsidR="00000000" w:rsidRDefault="00C46432">
      <w:pPr>
        <w:widowControl/>
        <w:rPr>
          <w:rFonts w:ascii="Times New Roman" w:hAnsi="Times New Roman" w:cs="Times New Roman"/>
        </w:rPr>
      </w:pPr>
    </w:p>
    <w:p w:rsidR="00000000" w:rsidRDefault="00C46432">
      <w:pPr>
        <w:widowControl/>
        <w:ind w:left="1200" w:right="1200"/>
        <w:rPr>
          <w:rFonts w:ascii="Times New Roman" w:hAnsi="Times New Roman" w:cs="Times New Roman"/>
        </w:rPr>
      </w:pPr>
      <w:r>
        <w:rPr>
          <w:rFonts w:ascii="Times New Roman" w:hAnsi="Times New Roman" w:cs="Times New Roman"/>
        </w:rPr>
        <w:t xml:space="preserve"> </w:t>
      </w:r>
    </w:p>
    <w:p w:rsidR="00000000" w:rsidRDefault="00C46432">
      <w:pPr>
        <w:widowControl/>
        <w:spacing w:before="120"/>
        <w:ind w:left="1800" w:right="1800" w:firstLine="360"/>
        <w:rPr>
          <w:rFonts w:ascii="Times New Roman" w:hAnsi="Times New Roman" w:cs="Times New Roman"/>
        </w:rPr>
      </w:pPr>
      <w:r>
        <w:rPr>
          <w:rFonts w:ascii="Times New Roman" w:hAnsi="Times New Roman" w:cs="Times New Roman"/>
          <w:i/>
          <w:iCs/>
        </w:rPr>
        <w:t>Example.</w:t>
      </w:r>
      <w:r>
        <w:rPr>
          <w:rFonts w:ascii="Times New Roman" w:hAnsi="Times New Roman" w:cs="Times New Roman"/>
        </w:rPr>
        <w:t xml:space="preserve"> (i) Facts. C is the common parent of a consolidated group (</w:t>
      </w:r>
      <w:r>
        <w:rPr>
          <w:rFonts w:ascii="Times New Roman" w:hAnsi="Times New Roman" w:cs="Times New Roman"/>
        </w:rPr>
        <w:t>the C Group) that includes DRC, a domestic corporation. DRC is a dual resident corporation and incurs a dual consolidated loss in its taxable year   [*13]  ending December 31, Year 1. The C Group elects to be bound by the pr</w:t>
      </w:r>
      <w:r>
        <w:rPr>
          <w:rFonts w:ascii="Times New Roman" w:hAnsi="Times New Roman" w:cs="Times New Roman"/>
        </w:rPr>
        <w:t>o</w:t>
      </w:r>
      <w:r>
        <w:rPr>
          <w:rFonts w:ascii="Times New Roman" w:hAnsi="Times New Roman" w:cs="Times New Roman"/>
        </w:rPr>
        <w:t>visions of this paragraph (g) (</w:t>
      </w:r>
      <w:r>
        <w:rPr>
          <w:rFonts w:ascii="Times New Roman" w:hAnsi="Times New Roman" w:cs="Times New Roman"/>
        </w:rPr>
        <w:t>2) with respect to the Year 1 dual consolidated loss. No member of the C Group incurs a dual consolidated loss in Year 2. On December 31, Year 2, stock of C is acquired by D in a transaction d</w:t>
      </w:r>
      <w:r>
        <w:rPr>
          <w:rFonts w:ascii="Times New Roman" w:hAnsi="Times New Roman" w:cs="Times New Roman"/>
        </w:rPr>
        <w:t>e</w:t>
      </w:r>
      <w:r>
        <w:rPr>
          <w:rFonts w:ascii="Times New Roman" w:hAnsi="Times New Roman" w:cs="Times New Roman"/>
        </w:rPr>
        <w:t>scribed in  1.1502-13 (j) (5) (i). As a result of the acquis</w:t>
      </w:r>
      <w:r>
        <w:rPr>
          <w:rFonts w:ascii="Times New Roman" w:hAnsi="Times New Roman" w:cs="Times New Roman"/>
        </w:rPr>
        <w:t>i</w:t>
      </w:r>
      <w:r>
        <w:rPr>
          <w:rFonts w:ascii="Times New Roman" w:hAnsi="Times New Roman" w:cs="Times New Roman"/>
        </w:rPr>
        <w:t>ti</w:t>
      </w:r>
      <w:r>
        <w:rPr>
          <w:rFonts w:ascii="Times New Roman" w:hAnsi="Times New Roman" w:cs="Times New Roman"/>
        </w:rPr>
        <w:t>on, all the C Group members, including DRC, become members of a consolidated group of which D is the common parent (the D Group).</w:t>
      </w:r>
    </w:p>
    <w:p w:rsidR="00000000" w:rsidRDefault="00C46432">
      <w:pPr>
        <w:widowControl/>
        <w:spacing w:before="120"/>
        <w:ind w:left="1800" w:right="1800" w:firstLine="360"/>
        <w:rPr>
          <w:rFonts w:ascii="Times New Roman" w:hAnsi="Times New Roman" w:cs="Times New Roman"/>
        </w:rPr>
      </w:pPr>
      <w:r>
        <w:rPr>
          <w:rFonts w:ascii="Times New Roman" w:hAnsi="Times New Roman" w:cs="Times New Roman"/>
        </w:rPr>
        <w:t>(ii) Acquisition not a triggering event. Under paragraph (g) (2) (iv) (B) (2) (ii) of this section, the acquisition by D of th</w:t>
      </w:r>
      <w:r>
        <w:rPr>
          <w:rFonts w:ascii="Times New Roman" w:hAnsi="Times New Roman" w:cs="Times New Roman"/>
        </w:rPr>
        <w:t>e C Group is not an event requiring the recapture of the Year 1 dual consolidated loss of DRC, or the payment of an interest charge, as described in paragraph (g) (2) (vii) of this section, provided that the D Group files the new (g) (2) (i) agreement d</w:t>
      </w:r>
      <w:r>
        <w:rPr>
          <w:rFonts w:ascii="Times New Roman" w:hAnsi="Times New Roman" w:cs="Times New Roman"/>
        </w:rPr>
        <w:t>e</w:t>
      </w:r>
      <w:r>
        <w:rPr>
          <w:rFonts w:ascii="Times New Roman" w:hAnsi="Times New Roman" w:cs="Times New Roman"/>
        </w:rPr>
        <w:t>sc</w:t>
      </w:r>
      <w:r>
        <w:rPr>
          <w:rFonts w:ascii="Times New Roman" w:hAnsi="Times New Roman" w:cs="Times New Roman"/>
        </w:rPr>
        <w:t>ribed in paragraph (g) (2) (iv) (B) (3) (iii) of this section.</w:t>
      </w:r>
    </w:p>
    <w:p w:rsidR="00000000" w:rsidRDefault="00C46432">
      <w:pPr>
        <w:widowControl/>
        <w:spacing w:before="120"/>
        <w:ind w:left="1800" w:right="1800" w:firstLine="360"/>
        <w:rPr>
          <w:rFonts w:ascii="Times New Roman" w:hAnsi="Times New Roman" w:cs="Times New Roman"/>
        </w:rPr>
      </w:pPr>
      <w:r>
        <w:rPr>
          <w:rFonts w:ascii="Times New Roman" w:hAnsi="Times New Roman" w:cs="Times New Roman"/>
        </w:rPr>
        <w:t xml:space="preserve">(iii) Subsequent event. A triggering event occurs on December 31, Year 3, that requires recapture by the D Group of the dual consolidated loss that </w:t>
      </w:r>
      <w:r>
        <w:rPr>
          <w:rFonts w:ascii="Times New Roman" w:hAnsi="Times New Roman" w:cs="Times New Roman"/>
        </w:rPr>
        <w:lastRenderedPageBreak/>
        <w:t>DRC incurred in Year 1, as well as the paymen</w:t>
      </w:r>
      <w:r>
        <w:rPr>
          <w:rFonts w:ascii="Times New Roman" w:hAnsi="Times New Roman" w:cs="Times New Roman"/>
        </w:rPr>
        <w:t>t of an interest charge, as provided in paragraph (g) (2) (vii) of this section.   [*14]  Each member of the D Group, including DRC and the other former members of the C Group, is severally liable for the additional tax (and the interest charge) due upon t</w:t>
      </w:r>
      <w:r>
        <w:rPr>
          <w:rFonts w:ascii="Times New Roman" w:hAnsi="Times New Roman" w:cs="Times New Roman"/>
        </w:rPr>
        <w:t>he recapture of the dual consolidated loss of DRC.</w:t>
      </w:r>
    </w:p>
    <w:p w:rsidR="00000000" w:rsidRDefault="00C46432">
      <w:pPr>
        <w:widowControl/>
        <w:rPr>
          <w:rFonts w:ascii="Times New Roman" w:hAnsi="Times New Roman" w:cs="Times New Roman"/>
        </w:rPr>
      </w:pPr>
    </w:p>
    <w:p w:rsidR="00000000" w:rsidRDefault="00C46432">
      <w:pPr>
        <w:widowControl/>
        <w:ind w:left="1200" w:right="1200"/>
        <w:rPr>
          <w:rFonts w:ascii="Times New Roman" w:hAnsi="Times New Roman" w:cs="Times New Roman"/>
        </w:rPr>
      </w:pPr>
      <w:r>
        <w:rPr>
          <w:rFonts w:ascii="Times New Roman" w:hAnsi="Times New Roman" w:cs="Times New Roman"/>
        </w:rPr>
        <w:t xml:space="preserve"> </w:t>
      </w:r>
    </w:p>
    <w:p w:rsidR="00000000" w:rsidRDefault="00C46432">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C46432">
      <w:pPr>
        <w:widowControl/>
        <w:spacing w:before="120"/>
        <w:ind w:left="1200" w:right="1200" w:firstLine="360"/>
        <w:rPr>
          <w:rFonts w:ascii="Times New Roman" w:hAnsi="Times New Roman" w:cs="Times New Roman"/>
        </w:rPr>
      </w:pPr>
      <w:r>
        <w:rPr>
          <w:rFonts w:ascii="Times New Roman" w:hAnsi="Times New Roman" w:cs="Times New Roman"/>
        </w:rPr>
        <w:t>(h)* * *</w:t>
      </w:r>
    </w:p>
    <w:p w:rsidR="00000000" w:rsidRDefault="00C46432">
      <w:pPr>
        <w:widowControl/>
        <w:spacing w:before="120"/>
        <w:ind w:left="1200" w:right="1200" w:firstLine="360"/>
        <w:rPr>
          <w:rFonts w:ascii="Times New Roman" w:hAnsi="Times New Roman" w:cs="Times New Roman"/>
        </w:rPr>
      </w:pPr>
      <w:r>
        <w:rPr>
          <w:rFonts w:ascii="Times New Roman" w:hAnsi="Times New Roman" w:cs="Times New Roman"/>
        </w:rPr>
        <w:t>(1)* * * paragraph (g) (2) (iv) (B) (2) of this section shall apply with respect to tran</w:t>
      </w:r>
      <w:r>
        <w:rPr>
          <w:rFonts w:ascii="Times New Roman" w:hAnsi="Times New Roman" w:cs="Times New Roman"/>
        </w:rPr>
        <w:t>s</w:t>
      </w:r>
      <w:r>
        <w:rPr>
          <w:rFonts w:ascii="Times New Roman" w:hAnsi="Times New Roman" w:cs="Times New Roman"/>
        </w:rPr>
        <w:t>actions otherwise constituting triggering events occurring on or after January 1, 2002.* * *</w:t>
      </w:r>
    </w:p>
    <w:p w:rsidR="00000000" w:rsidRDefault="00C46432">
      <w:pPr>
        <w:widowControl/>
        <w:rPr>
          <w:rFonts w:ascii="Times New Roman" w:hAnsi="Times New Roman" w:cs="Times New Roman"/>
        </w:rPr>
      </w:pPr>
    </w:p>
    <w:p w:rsidR="00000000" w:rsidRDefault="00C46432">
      <w:pPr>
        <w:widowControl/>
        <w:ind w:left="600" w:right="600"/>
        <w:rPr>
          <w:rFonts w:ascii="Times New Roman" w:hAnsi="Times New Roman" w:cs="Times New Roman"/>
        </w:rPr>
      </w:pPr>
      <w:r>
        <w:rPr>
          <w:rFonts w:ascii="Times New Roman" w:hAnsi="Times New Roman" w:cs="Times New Roman"/>
        </w:rPr>
        <w:t xml:space="preserve"> </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p>
    <w:p w:rsidR="00000000" w:rsidRDefault="00C46432">
      <w:pPr>
        <w:widowControl/>
        <w:ind w:left="600" w:right="600"/>
        <w:rPr>
          <w:rFonts w:ascii="Times New Roman" w:hAnsi="Times New Roman" w:cs="Times New Roman"/>
        </w:rPr>
      </w:pPr>
      <w:r>
        <w:rPr>
          <w:rFonts w:ascii="Times New Roman" w:hAnsi="Times New Roman" w:cs="Times New Roman"/>
          <w:b/>
          <w:bCs/>
        </w:rPr>
        <w:t>PART 602-OMB CONTROL NUMBERS UNDER THE PAPERWORK REDUCTION ACT</w:t>
      </w:r>
      <w:r>
        <w:rPr>
          <w:rFonts w:ascii="Times New Roman" w:hAnsi="Times New Roman" w:cs="Times New Roman"/>
        </w:rPr>
        <w:t xml:space="preserve"> </w:t>
      </w:r>
    </w:p>
    <w:p w:rsidR="00000000" w:rsidRDefault="00C46432">
      <w:pPr>
        <w:widowControl/>
        <w:spacing w:before="120"/>
        <w:ind w:left="600" w:right="600" w:firstLine="360"/>
        <w:rPr>
          <w:rFonts w:ascii="Times New Roman" w:hAnsi="Times New Roman" w:cs="Times New Roman"/>
        </w:rPr>
      </w:pPr>
      <w:r>
        <w:rPr>
          <w:rFonts w:ascii="Times New Roman" w:hAnsi="Times New Roman" w:cs="Times New Roman"/>
        </w:rPr>
        <w:t>Par. 3. The authority citation for part 602 continues to read as follows:</w:t>
      </w:r>
    </w:p>
    <w:p w:rsidR="00000000" w:rsidRDefault="00C46432">
      <w:pPr>
        <w:widowControl/>
        <w:rPr>
          <w:rFonts w:ascii="Times New Roman" w:hAnsi="Times New Roman" w:cs="Times New Roman"/>
        </w:rPr>
      </w:pPr>
    </w:p>
    <w:p w:rsidR="00000000" w:rsidRDefault="00C46432">
      <w:pPr>
        <w:widowControl/>
        <w:ind w:left="600" w:right="600"/>
        <w:rPr>
          <w:rFonts w:ascii="Times New Roman" w:hAnsi="Times New Roman" w:cs="Times New Roman"/>
        </w:rPr>
      </w:pPr>
      <w:r>
        <w:rPr>
          <w:rFonts w:ascii="Times New Roman" w:hAnsi="Times New Roman" w:cs="Times New Roman"/>
        </w:rPr>
        <w:t xml:space="preserve"> </w:t>
      </w:r>
    </w:p>
    <w:p w:rsidR="00000000" w:rsidRDefault="00C46432">
      <w:pPr>
        <w:widowControl/>
        <w:spacing w:before="120"/>
        <w:ind w:left="1200" w:right="1200" w:firstLine="360"/>
        <w:rPr>
          <w:rFonts w:ascii="Times New Roman" w:hAnsi="Times New Roman" w:cs="Times New Roman"/>
        </w:rPr>
      </w:pPr>
      <w:r>
        <w:rPr>
          <w:rFonts w:ascii="Times New Roman" w:hAnsi="Times New Roman" w:cs="Times New Roman"/>
        </w:rPr>
        <w:t xml:space="preserve">Authority: </w:t>
      </w:r>
      <w:r>
        <w:rPr>
          <w:rFonts w:ascii="Times New Roman" w:hAnsi="Times New Roman" w:cs="Times New Roman"/>
          <w:i/>
          <w:iCs/>
        </w:rPr>
        <w:t>26 U.S.C. 7805</w:t>
      </w:r>
      <w:r>
        <w:rPr>
          <w:rFonts w:ascii="Times New Roman" w:hAnsi="Times New Roman" w:cs="Times New Roman"/>
        </w:rPr>
        <w:t>.</w:t>
      </w:r>
    </w:p>
    <w:p w:rsidR="00000000" w:rsidRDefault="00C46432">
      <w:pPr>
        <w:widowControl/>
        <w:rPr>
          <w:rFonts w:ascii="Times New Roman" w:hAnsi="Times New Roman" w:cs="Times New Roman"/>
        </w:rPr>
      </w:pPr>
    </w:p>
    <w:p w:rsidR="00000000" w:rsidRDefault="00C46432">
      <w:pPr>
        <w:widowControl/>
        <w:ind w:left="600" w:right="600"/>
        <w:rPr>
          <w:rFonts w:ascii="Times New Roman" w:hAnsi="Times New Roman" w:cs="Times New Roman"/>
        </w:rPr>
      </w:pPr>
      <w:r>
        <w:rPr>
          <w:rFonts w:ascii="Times New Roman" w:hAnsi="Times New Roman" w:cs="Times New Roman"/>
        </w:rPr>
        <w:t xml:space="preserve"> </w:t>
      </w:r>
    </w:p>
    <w:p w:rsidR="00000000" w:rsidRDefault="00C46432">
      <w:pPr>
        <w:widowControl/>
        <w:spacing w:before="120"/>
        <w:ind w:left="600" w:right="600" w:firstLine="360"/>
        <w:rPr>
          <w:rFonts w:ascii="Times New Roman" w:hAnsi="Times New Roman" w:cs="Times New Roman"/>
        </w:rPr>
      </w:pPr>
      <w:r>
        <w:rPr>
          <w:rFonts w:ascii="Times New Roman" w:hAnsi="Times New Roman" w:cs="Times New Roman"/>
        </w:rPr>
        <w:t>Par. 4. In  602.101, paragraph (b) is amended by adding an entry for 1.1503-2 to rea</w:t>
      </w:r>
      <w:r>
        <w:rPr>
          <w:rFonts w:ascii="Times New Roman" w:hAnsi="Times New Roman" w:cs="Times New Roman"/>
        </w:rPr>
        <w:t>d as follows:</w:t>
      </w:r>
    </w:p>
    <w:p w:rsidR="00000000" w:rsidRDefault="00C46432">
      <w:pPr>
        <w:widowControl/>
        <w:rPr>
          <w:rFonts w:ascii="Times New Roman" w:hAnsi="Times New Roman" w:cs="Times New Roman"/>
        </w:rPr>
      </w:pPr>
    </w:p>
    <w:p w:rsidR="00000000" w:rsidRDefault="00C46432">
      <w:pPr>
        <w:widowControl/>
        <w:ind w:left="600" w:right="600"/>
        <w:rPr>
          <w:rFonts w:ascii="Times New Roman" w:hAnsi="Times New Roman" w:cs="Times New Roman"/>
        </w:rPr>
      </w:pPr>
      <w:r>
        <w:rPr>
          <w:rFonts w:ascii="Times New Roman" w:hAnsi="Times New Roman" w:cs="Times New Roman"/>
        </w:rPr>
        <w:t xml:space="preserve"> </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p>
    <w:p w:rsidR="00000000" w:rsidRDefault="00C46432">
      <w:pPr>
        <w:widowControl/>
        <w:ind w:left="1200" w:right="1200"/>
        <w:rPr>
          <w:rFonts w:ascii="Times New Roman" w:hAnsi="Times New Roman" w:cs="Times New Roman"/>
        </w:rPr>
      </w:pPr>
      <w:r>
        <w:rPr>
          <w:rFonts w:ascii="Times New Roman" w:hAnsi="Times New Roman" w:cs="Times New Roman"/>
          <w:b/>
          <w:bCs/>
        </w:rPr>
        <w:t xml:space="preserve"> 602.601 OMB Control numbers.</w:t>
      </w:r>
      <w:r>
        <w:rPr>
          <w:rFonts w:ascii="Times New Roman" w:hAnsi="Times New Roman" w:cs="Times New Roman"/>
        </w:rPr>
        <w:t xml:space="preserve"> </w:t>
      </w:r>
    </w:p>
    <w:p w:rsidR="00000000" w:rsidRDefault="00C46432">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C46432">
      <w:pPr>
        <w:widowControl/>
        <w:spacing w:before="120"/>
        <w:ind w:left="1200" w:right="1200" w:firstLine="360"/>
        <w:rPr>
          <w:rFonts w:ascii="Times New Roman" w:hAnsi="Times New Roman" w:cs="Times New Roman"/>
        </w:rPr>
      </w:pPr>
      <w:r>
        <w:rPr>
          <w:rFonts w:ascii="Times New Roman" w:hAnsi="Times New Roman" w:cs="Times New Roman"/>
        </w:rPr>
        <w:t>(b)* * *</w:t>
      </w:r>
    </w:p>
    <w:tbl>
      <w:tblPr>
        <w:tblW w:w="0" w:type="auto"/>
        <w:tblInd w:w="1200" w:type="dxa"/>
        <w:tblLayout w:type="fixed"/>
        <w:tblCellMar>
          <w:left w:w="60" w:type="dxa"/>
          <w:right w:w="60" w:type="dxa"/>
        </w:tblCellMar>
        <w:tblLook w:val="0000" w:firstRow="0" w:lastRow="0" w:firstColumn="0" w:lastColumn="0" w:noHBand="0" w:noVBand="0"/>
      </w:tblPr>
      <w:tblGrid>
        <w:gridCol w:w="1500"/>
        <w:gridCol w:w="1500"/>
      </w:tblGrid>
      <w:tr w:rsidR="00000000">
        <w:tblPrEx>
          <w:tblCellMar>
            <w:top w:w="0" w:type="dxa"/>
            <w:bottom w:w="0" w:type="dxa"/>
          </w:tblCellMar>
        </w:tblPrEx>
        <w:trPr>
          <w:tblHeader/>
        </w:trPr>
        <w:tc>
          <w:tcPr>
            <w:tcW w:w="1500" w:type="dxa"/>
            <w:tcBorders>
              <w:top w:val="nil"/>
              <w:left w:val="nil"/>
              <w:bottom w:val="nil"/>
              <w:right w:val="nil"/>
            </w:tcBorders>
          </w:tcPr>
          <w:p w:rsidR="00000000" w:rsidRDefault="00C46432">
            <w:pPr>
              <w:widowControl/>
              <w:rPr>
                <w:rFonts w:ascii="Times New Roman" w:hAnsi="Times New Roman" w:cs="Times New Roman"/>
              </w:rPr>
            </w:pPr>
            <w:r>
              <w:rPr>
                <w:rFonts w:ascii="Times New Roman" w:hAnsi="Times New Roman" w:cs="Times New Roman"/>
              </w:rPr>
              <w:t>CFR part or se</w:t>
            </w:r>
            <w:r>
              <w:rPr>
                <w:rFonts w:ascii="Times New Roman" w:hAnsi="Times New Roman" w:cs="Times New Roman"/>
              </w:rPr>
              <w:t>c</w:t>
            </w:r>
            <w:r>
              <w:rPr>
                <w:rFonts w:ascii="Times New Roman" w:hAnsi="Times New Roman" w:cs="Times New Roman"/>
              </w:rPr>
              <w:t>tion where ide</w:t>
            </w:r>
            <w:r>
              <w:rPr>
                <w:rFonts w:ascii="Times New Roman" w:hAnsi="Times New Roman" w:cs="Times New Roman"/>
              </w:rPr>
              <w:t>n</w:t>
            </w:r>
            <w:r>
              <w:rPr>
                <w:rFonts w:ascii="Times New Roman" w:hAnsi="Times New Roman" w:cs="Times New Roman"/>
              </w:rPr>
              <w:t>tified and d</w:t>
            </w:r>
            <w:r>
              <w:rPr>
                <w:rFonts w:ascii="Times New Roman" w:hAnsi="Times New Roman" w:cs="Times New Roman"/>
              </w:rPr>
              <w:t>e</w:t>
            </w:r>
            <w:r>
              <w:rPr>
                <w:rFonts w:ascii="Times New Roman" w:hAnsi="Times New Roman" w:cs="Times New Roman"/>
              </w:rPr>
              <w:t>scribed</w:t>
            </w:r>
          </w:p>
        </w:tc>
        <w:tc>
          <w:tcPr>
            <w:tcW w:w="1500" w:type="dxa"/>
            <w:tcBorders>
              <w:top w:val="nil"/>
              <w:left w:val="nil"/>
              <w:bottom w:val="nil"/>
              <w:right w:val="nil"/>
            </w:tcBorders>
          </w:tcPr>
          <w:p w:rsidR="00000000" w:rsidRDefault="00C46432">
            <w:pPr>
              <w:widowControl/>
              <w:rPr>
                <w:rFonts w:ascii="Times New Roman" w:hAnsi="Times New Roman" w:cs="Times New Roman"/>
              </w:rPr>
            </w:pPr>
            <w:r>
              <w:rPr>
                <w:rFonts w:ascii="Times New Roman" w:hAnsi="Times New Roman" w:cs="Times New Roman"/>
              </w:rPr>
              <w:t>Current OMB control No.</w:t>
            </w:r>
          </w:p>
        </w:tc>
      </w:tr>
      <w:tr w:rsidR="00000000">
        <w:tblPrEx>
          <w:tblCellMar>
            <w:top w:w="0" w:type="dxa"/>
            <w:bottom w:w="0" w:type="dxa"/>
          </w:tblCellMar>
        </w:tblPrEx>
        <w:tc>
          <w:tcPr>
            <w:tcW w:w="1500" w:type="dxa"/>
            <w:tcBorders>
              <w:top w:val="nil"/>
              <w:left w:val="nil"/>
              <w:bottom w:val="nil"/>
              <w:right w:val="nil"/>
            </w:tcBorders>
          </w:tcPr>
          <w:p w:rsidR="00000000" w:rsidRDefault="00C46432">
            <w:pPr>
              <w:widowControl/>
              <w:rPr>
                <w:rFonts w:ascii="Times New Roman" w:hAnsi="Times New Roman" w:cs="Times New Roman"/>
              </w:rPr>
            </w:pPr>
            <w:r>
              <w:rPr>
                <w:rFonts w:ascii="Times New Roman" w:hAnsi="Times New Roman" w:cs="Times New Roman"/>
              </w:rPr>
              <w:t>* * *</w:t>
            </w:r>
          </w:p>
        </w:tc>
        <w:tc>
          <w:tcPr>
            <w:tcW w:w="1500" w:type="dxa"/>
            <w:tcBorders>
              <w:top w:val="nil"/>
              <w:left w:val="nil"/>
              <w:bottom w:val="nil"/>
              <w:right w:val="nil"/>
            </w:tcBorders>
          </w:tcPr>
          <w:p w:rsidR="00000000" w:rsidRDefault="00C46432">
            <w:pPr>
              <w:widowControl/>
              <w:rPr>
                <w:rFonts w:ascii="Times New Roman" w:hAnsi="Times New Roman" w:cs="Times New Roman"/>
              </w:rPr>
            </w:pPr>
          </w:p>
        </w:tc>
      </w:tr>
      <w:tr w:rsidR="00000000">
        <w:tblPrEx>
          <w:tblCellMar>
            <w:top w:w="0" w:type="dxa"/>
            <w:bottom w:w="0" w:type="dxa"/>
          </w:tblCellMar>
        </w:tblPrEx>
        <w:tc>
          <w:tcPr>
            <w:tcW w:w="1500" w:type="dxa"/>
            <w:tcBorders>
              <w:top w:val="nil"/>
              <w:left w:val="nil"/>
              <w:bottom w:val="nil"/>
              <w:right w:val="nil"/>
            </w:tcBorders>
          </w:tcPr>
          <w:p w:rsidR="00000000" w:rsidRDefault="00C46432">
            <w:pPr>
              <w:widowControl/>
              <w:rPr>
                <w:rFonts w:ascii="Times New Roman" w:hAnsi="Times New Roman" w:cs="Times New Roman"/>
              </w:rPr>
            </w:pPr>
            <w:r>
              <w:rPr>
                <w:rFonts w:ascii="Times New Roman" w:hAnsi="Times New Roman" w:cs="Times New Roman"/>
              </w:rPr>
              <w:t>1.1503-2</w:t>
            </w:r>
          </w:p>
        </w:tc>
        <w:tc>
          <w:tcPr>
            <w:tcW w:w="1500" w:type="dxa"/>
            <w:tcBorders>
              <w:top w:val="nil"/>
              <w:left w:val="nil"/>
              <w:bottom w:val="nil"/>
              <w:right w:val="nil"/>
            </w:tcBorders>
          </w:tcPr>
          <w:p w:rsidR="00000000" w:rsidRDefault="00C46432">
            <w:pPr>
              <w:widowControl/>
              <w:rPr>
                <w:rFonts w:ascii="Times New Roman" w:hAnsi="Times New Roman" w:cs="Times New Roman"/>
              </w:rPr>
            </w:pPr>
            <w:r>
              <w:rPr>
                <w:rFonts w:ascii="Times New Roman" w:hAnsi="Times New Roman" w:cs="Times New Roman"/>
              </w:rPr>
              <w:t>1545-1583</w:t>
            </w:r>
          </w:p>
        </w:tc>
      </w:tr>
      <w:tr w:rsidR="00000000">
        <w:tblPrEx>
          <w:tblCellMar>
            <w:top w:w="0" w:type="dxa"/>
            <w:bottom w:w="0" w:type="dxa"/>
          </w:tblCellMar>
        </w:tblPrEx>
        <w:tc>
          <w:tcPr>
            <w:tcW w:w="1500" w:type="dxa"/>
            <w:tcBorders>
              <w:top w:val="nil"/>
              <w:left w:val="nil"/>
              <w:bottom w:val="nil"/>
              <w:right w:val="nil"/>
            </w:tcBorders>
          </w:tcPr>
          <w:p w:rsidR="00000000" w:rsidRDefault="00C46432">
            <w:pPr>
              <w:widowControl/>
              <w:rPr>
                <w:rFonts w:ascii="Times New Roman" w:hAnsi="Times New Roman" w:cs="Times New Roman"/>
              </w:rPr>
            </w:pPr>
            <w:r>
              <w:rPr>
                <w:rFonts w:ascii="Times New Roman" w:hAnsi="Times New Roman" w:cs="Times New Roman"/>
              </w:rPr>
              <w:t>* * *</w:t>
            </w:r>
          </w:p>
        </w:tc>
        <w:tc>
          <w:tcPr>
            <w:tcW w:w="1500" w:type="dxa"/>
            <w:tcBorders>
              <w:top w:val="nil"/>
              <w:left w:val="nil"/>
              <w:bottom w:val="nil"/>
              <w:right w:val="nil"/>
            </w:tcBorders>
          </w:tcPr>
          <w:p w:rsidR="00000000" w:rsidRDefault="00C46432">
            <w:pPr>
              <w:widowControl/>
              <w:rPr>
                <w:rFonts w:ascii="Times New Roman" w:hAnsi="Times New Roman" w:cs="Times New Roman"/>
              </w:rPr>
            </w:pPr>
          </w:p>
        </w:tc>
      </w:tr>
    </w:tbl>
    <w:p w:rsidR="00000000" w:rsidRDefault="00C46432">
      <w:pPr>
        <w:widowControl/>
        <w:rPr>
          <w:rFonts w:ascii="Times New Roman" w:hAnsi="Times New Roman" w:cs="Times New Roman"/>
        </w:rPr>
      </w:pPr>
    </w:p>
    <w:p w:rsidR="00000000" w:rsidRDefault="00C46432">
      <w:pPr>
        <w:widowControl/>
        <w:ind w:left="600" w:right="600"/>
        <w:rPr>
          <w:rFonts w:ascii="Times New Roman" w:hAnsi="Times New Roman" w:cs="Times New Roman"/>
        </w:rPr>
      </w:pPr>
      <w:r>
        <w:rPr>
          <w:rFonts w:ascii="Times New Roman" w:hAnsi="Times New Roman" w:cs="Times New Roman"/>
        </w:rPr>
        <w:t xml:space="preserve"> </w:t>
      </w:r>
    </w:p>
    <w:p w:rsidR="00000000" w:rsidRDefault="00C46432">
      <w:pPr>
        <w:widowControl/>
        <w:rPr>
          <w:rFonts w:ascii="Times New Roman" w:hAnsi="Times New Roman" w:cs="Times New Roman"/>
        </w:rPr>
      </w:pPr>
    </w:p>
    <w:p w:rsidR="00000000" w:rsidRDefault="00C46432">
      <w:pPr>
        <w:widowControl/>
        <w:rPr>
          <w:rFonts w:ascii="Times New Roman" w:hAnsi="Times New Roman" w:cs="Times New Roman"/>
        </w:rPr>
      </w:pPr>
      <w:r>
        <w:rPr>
          <w:rFonts w:ascii="Times New Roman" w:hAnsi="Times New Roman" w:cs="Times New Roman"/>
        </w:rPr>
        <w:t xml:space="preserve"> </w:t>
      </w:r>
    </w:p>
    <w:p w:rsidR="00000000" w:rsidRDefault="00C46432">
      <w:pPr>
        <w:widowControl/>
        <w:spacing w:before="120"/>
        <w:ind w:firstLine="360"/>
        <w:rPr>
          <w:rFonts w:ascii="Times New Roman" w:hAnsi="Times New Roman" w:cs="Times New Roman"/>
        </w:rPr>
      </w:pPr>
      <w:r>
        <w:rPr>
          <w:rFonts w:ascii="Times New Roman" w:hAnsi="Times New Roman" w:cs="Times New Roman"/>
        </w:rPr>
        <w:t>Robert E. Wenzel,</w:t>
      </w:r>
    </w:p>
    <w:p w:rsidR="00000000" w:rsidRDefault="00C46432">
      <w:pPr>
        <w:widowControl/>
        <w:spacing w:before="120"/>
        <w:ind w:firstLine="360"/>
        <w:rPr>
          <w:rFonts w:ascii="Times New Roman" w:hAnsi="Times New Roman" w:cs="Times New Roman"/>
        </w:rPr>
      </w:pPr>
      <w:r>
        <w:rPr>
          <w:rFonts w:ascii="Times New Roman" w:hAnsi="Times New Roman" w:cs="Times New Roman"/>
          <w:i/>
          <w:iCs/>
        </w:rPr>
        <w:t>Deputy Commissioner for Services and Enforcement</w:t>
      </w:r>
    </w:p>
    <w:p w:rsidR="00000000" w:rsidRDefault="00C46432">
      <w:pPr>
        <w:widowControl/>
        <w:spacing w:before="120"/>
        <w:ind w:firstLine="360"/>
        <w:rPr>
          <w:rFonts w:ascii="Times New Roman" w:hAnsi="Times New Roman" w:cs="Times New Roman"/>
        </w:rPr>
      </w:pPr>
      <w:r>
        <w:rPr>
          <w:rFonts w:ascii="Times New Roman" w:hAnsi="Times New Roman" w:cs="Times New Roman"/>
        </w:rPr>
        <w:t>Approved July 17, 2003</w:t>
      </w:r>
    </w:p>
    <w:p w:rsidR="00000000" w:rsidRDefault="00C46432">
      <w:pPr>
        <w:widowControl/>
        <w:spacing w:before="120"/>
        <w:ind w:firstLine="360"/>
        <w:rPr>
          <w:rFonts w:ascii="Times New Roman" w:hAnsi="Times New Roman" w:cs="Times New Roman"/>
        </w:rPr>
      </w:pPr>
      <w:r>
        <w:rPr>
          <w:rFonts w:ascii="Times New Roman" w:hAnsi="Times New Roman" w:cs="Times New Roman"/>
        </w:rPr>
        <w:t>Pamela F. Olson,</w:t>
      </w:r>
    </w:p>
    <w:p w:rsidR="00000000" w:rsidRDefault="00C46432">
      <w:pPr>
        <w:widowControl/>
        <w:spacing w:before="120"/>
        <w:ind w:firstLine="360"/>
        <w:rPr>
          <w:rFonts w:ascii="Times New Roman" w:hAnsi="Times New Roman" w:cs="Times New Roman"/>
        </w:rPr>
      </w:pPr>
      <w:r>
        <w:rPr>
          <w:rFonts w:ascii="Times New Roman" w:hAnsi="Times New Roman" w:cs="Times New Roman"/>
          <w:i/>
          <w:iCs/>
        </w:rPr>
        <w:t>Assistant Secretary of the Treasury</w:t>
      </w:r>
    </w:p>
    <w:p w:rsidR="00000000" w:rsidRDefault="00C46432">
      <w:pPr>
        <w:widowControl/>
        <w:spacing w:before="120"/>
        <w:ind w:firstLine="360"/>
        <w:rPr>
          <w:rFonts w:ascii="Times New Roman" w:hAnsi="Times New Roman" w:cs="Times New Roman"/>
        </w:rPr>
        <w:sectPr w:rsidR="00000000">
          <w:headerReference w:type="default" r:id="rId10"/>
          <w:type w:val="continuous"/>
          <w:pgSz w:w="12240" w:h="15840"/>
          <w:pgMar w:top="1728" w:right="1296" w:bottom="1296" w:left="1296" w:header="720" w:footer="720" w:gutter="0"/>
          <w:cols w:space="720"/>
          <w:noEndnote/>
        </w:sectPr>
      </w:pPr>
    </w:p>
    <w:p w:rsidR="00000000" w:rsidRDefault="00C46432">
      <w:pPr>
        <w:widowControl/>
        <w:rPr>
          <w:rFonts w:ascii="Times New Roman" w:hAnsi="Times New Roman" w:cs="Times New Roman"/>
        </w:rPr>
      </w:pPr>
    </w:p>
    <w:sectPr w:rsidR="00000000">
      <w:headerReference w:type="default" r:id="rId11"/>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46432">
      <w:r>
        <w:separator/>
      </w:r>
    </w:p>
  </w:endnote>
  <w:endnote w:type="continuationSeparator" w:id="0">
    <w:p w:rsidR="00000000" w:rsidRDefault="00C4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46432">
      <w:r>
        <w:separator/>
      </w:r>
    </w:p>
  </w:footnote>
  <w:footnote w:type="continuationSeparator" w:id="0">
    <w:p w:rsidR="00000000" w:rsidRDefault="00C46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46432">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46432">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000000" w:rsidRDefault="00C46432">
    <w:pPr>
      <w:widowControl/>
      <w:suppressAutoHyphens/>
      <w:jc w:val="center"/>
      <w:rPr>
        <w:rFonts w:ascii="Times New Roman" w:hAnsi="Times New Roman" w:cs="Times New Roman"/>
      </w:rPr>
    </w:pPr>
    <w:r>
      <w:rPr>
        <w:rFonts w:ascii="Times New Roman" w:hAnsi="Times New Roman" w:cs="Times New Roman"/>
      </w:rPr>
      <w:t>2003-2 C.B. 742; T.D. 9084;</w:t>
    </w:r>
  </w:p>
  <w:p w:rsidR="00000000" w:rsidRDefault="00C46432">
    <w:pPr>
      <w:widowControl/>
      <w:suppressAutoHyphens/>
      <w:jc w:val="center"/>
      <w:rPr>
        <w:rFonts w:ascii="Times New Roman" w:hAnsi="Times New Roman" w:cs="Times New Roman"/>
      </w:rPr>
    </w:pPr>
    <w:r>
      <w:rPr>
        <w:rFonts w:ascii="Times New Roman" w:hAnsi="Times New Roman" w:cs="Times New Roman"/>
      </w:rPr>
      <w:t>2003 IRB LEXIS 1842, *; 2003-40 I.R.B. 742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46432">
    <w:pPr>
      <w:widowControl/>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D4"/>
    <w:multiLevelType w:val="singleLevel"/>
    <w:tmpl w:val="00000000"/>
    <w:lvl w:ilvl="0">
      <w:start w:val="1"/>
      <w:numFmt w:val="decimal"/>
      <w:lvlText w:val="(ii)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
    <w:nsid w:val="FFFFB1D5"/>
    <w:multiLevelType w:val="singleLevel"/>
    <w:tmpl w:val="00000000"/>
    <w:lvl w:ilvl="0">
      <w:start w:val="1"/>
      <w:numFmt w:val="decimal"/>
      <w:lvlText w:val="(i)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2">
    <w:nsid w:val="FFFFB1D6"/>
    <w:multiLevelType w:val="singleLevel"/>
    <w:tmpl w:val="00000000"/>
    <w:lvl w:ilvl="0">
      <w:start w:val="1"/>
      <w:numFmt w:val="decimal"/>
      <w:lvlText w:val=""/>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3">
    <w:nsid w:val="FFFFB1D7"/>
    <w:multiLevelType w:val="singleLevel"/>
    <w:tmpl w:val="00000000"/>
    <w:lvl w:ilvl="0">
      <w:start w:val="1"/>
      <w:numFmt w:val="decimal"/>
      <w:lvlText w:val="8.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
    <w:nsid w:val="FFFFB1D8"/>
    <w:multiLevelType w:val="singleLevel"/>
    <w:tmpl w:val="00000000"/>
    <w:lvl w:ilvl="0">
      <w:start w:val="1"/>
      <w:numFmt w:val="decimal"/>
      <w:lvlText w:val="7.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5">
    <w:nsid w:val="FFFFB1D9"/>
    <w:multiLevelType w:val="singleLevel"/>
    <w:tmpl w:val="00000000"/>
    <w:lvl w:ilvl="0">
      <w:start w:val="1"/>
      <w:numFmt w:val="decimal"/>
      <w:lvlText w:val="6.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6">
    <w:nsid w:val="FFFFB1DA"/>
    <w:multiLevelType w:val="singleLevel"/>
    <w:tmpl w:val="00000000"/>
    <w:lvl w:ilvl="0">
      <w:start w:val="1"/>
      <w:numFmt w:val="decimal"/>
      <w:lvlText w:val="5.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7">
    <w:nsid w:val="FFFFB1DB"/>
    <w:multiLevelType w:val="singleLevel"/>
    <w:tmpl w:val="00000000"/>
    <w:lvl w:ilvl="0">
      <w:start w:val="1"/>
      <w:numFmt w:val="decimal"/>
      <w:lvlText w:val="4.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8">
    <w:nsid w:val="FFFFB1DC"/>
    <w:multiLevelType w:val="singleLevel"/>
    <w:tmpl w:val="00000000"/>
    <w:lvl w:ilvl="0">
      <w:start w:val="1"/>
      <w:numFmt w:val="decimal"/>
      <w:lvlText w:val="3.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9">
    <w:nsid w:val="FFFFB1DD"/>
    <w:multiLevelType w:val="singleLevel"/>
    <w:tmpl w:val="00000000"/>
    <w:lvl w:ilvl="0">
      <w:start w:val="1"/>
      <w:numFmt w:val="decimal"/>
      <w:lvlText w:val="2.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0">
    <w:nsid w:val="FFFFB1DE"/>
    <w:multiLevelType w:val="singleLevel"/>
    <w:tmpl w:val="00000000"/>
    <w:lvl w:ilvl="0">
      <w:start w:val="1"/>
      <w:numFmt w:val="decimal"/>
      <w:lvlText w:val="1.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1">
    <w:nsid w:val="FFFFB1DF"/>
    <w:multiLevelType w:val="singleLevel"/>
    <w:tmpl w:val="00000000"/>
    <w:lvl w:ilvl="0">
      <w:start w:val="1"/>
      <w:numFmt w:val="decimal"/>
      <w:lvlText w:val=""/>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710"/>
    <w:rsid w:val="00695710"/>
    <w:rsid w:val="00C4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710"/>
    <w:rPr>
      <w:rFonts w:ascii="Tahoma" w:hAnsi="Tahoma" w:cs="Tahoma"/>
      <w:sz w:val="16"/>
      <w:szCs w:val="16"/>
    </w:rPr>
  </w:style>
  <w:style w:type="character" w:customStyle="1" w:styleId="BalloonTextChar">
    <w:name w:val="Balloon Text Char"/>
    <w:basedOn w:val="DefaultParagraphFont"/>
    <w:link w:val="BalloonText"/>
    <w:uiPriority w:val="99"/>
    <w:semiHidden/>
    <w:rsid w:val="006957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710"/>
    <w:rPr>
      <w:rFonts w:ascii="Tahoma" w:hAnsi="Tahoma" w:cs="Tahoma"/>
      <w:sz w:val="16"/>
      <w:szCs w:val="16"/>
    </w:rPr>
  </w:style>
  <w:style w:type="character" w:customStyle="1" w:styleId="BalloonTextChar">
    <w:name w:val="Balloon Text Char"/>
    <w:basedOn w:val="DefaultParagraphFont"/>
    <w:link w:val="BalloonText"/>
    <w:uiPriority w:val="99"/>
    <w:semiHidden/>
    <w:rsid w:val="006957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2644</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Elaine H</dc:creator>
  <cp:lastModifiedBy>Christophe Elaine H</cp:lastModifiedBy>
  <cp:revision>2</cp:revision>
  <dcterms:created xsi:type="dcterms:W3CDTF">2014-08-20T19:08:00Z</dcterms:created>
  <dcterms:modified xsi:type="dcterms:W3CDTF">2014-08-20T19:08:00Z</dcterms:modified>
</cp:coreProperties>
</file>