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70F" w:rsidRPr="00235B48" w:rsidRDefault="00F3670F" w:rsidP="006E2ADB">
      <w:pPr>
        <w:widowControl/>
        <w:outlineLvl w:val="0"/>
        <w:rPr>
          <w:rFonts w:ascii="Times New Roman" w:hAnsi="Times New Roman"/>
        </w:rPr>
      </w:pPr>
      <w:bookmarkStart w:id="0" w:name="_GoBack"/>
      <w:bookmarkEnd w:id="0"/>
      <w:r w:rsidRPr="00235B48">
        <w:rPr>
          <w:rFonts w:ascii="Times New Roman" w:hAnsi="Times New Roman"/>
        </w:rPr>
        <w:t>SUPPORTING STATEMENT FOR PAPERWORK REDUCTION ACT 1995 SUBMISSIONS</w:t>
      </w:r>
    </w:p>
    <w:p w:rsidR="00747797" w:rsidRPr="00235B48" w:rsidRDefault="00747797" w:rsidP="006E2ADB">
      <w:pPr>
        <w:widowControl/>
        <w:rPr>
          <w:rFonts w:ascii="Times New Roman" w:hAnsi="Times New Roman"/>
        </w:rPr>
      </w:pPr>
    </w:p>
    <w:p w:rsidR="00F3670F" w:rsidRPr="00235B48" w:rsidRDefault="00F3670F" w:rsidP="006E2ADB">
      <w:pPr>
        <w:widowControl/>
        <w:outlineLvl w:val="0"/>
        <w:rPr>
          <w:rFonts w:ascii="Times New Roman" w:hAnsi="Times New Roman"/>
        </w:rPr>
      </w:pPr>
      <w:r w:rsidRPr="00235B48">
        <w:rPr>
          <w:rFonts w:ascii="Times New Roman" w:hAnsi="Times New Roman"/>
          <w:b/>
          <w:bCs/>
        </w:rPr>
        <w:t>A.  Justification</w:t>
      </w:r>
    </w:p>
    <w:p w:rsidR="00F3670F" w:rsidRPr="00235B48" w:rsidRDefault="00F3670F" w:rsidP="006E2ADB">
      <w:pPr>
        <w:widowControl/>
        <w:rPr>
          <w:rFonts w:ascii="Times New Roman" w:hAnsi="Times New Roman"/>
        </w:rPr>
      </w:pPr>
    </w:p>
    <w:p w:rsidR="00F3670F" w:rsidRPr="00235B48" w:rsidRDefault="00F3670F" w:rsidP="006E2ADB">
      <w:pPr>
        <w:pStyle w:val="Quick1"/>
        <w:widowControl/>
        <w:numPr>
          <w:ilvl w:val="0"/>
          <w:numId w:val="1"/>
        </w:numPr>
        <w:tabs>
          <w:tab w:val="left" w:pos="-1440"/>
          <w:tab w:val="num" w:pos="720"/>
        </w:tabs>
        <w:rPr>
          <w:rFonts w:ascii="Times New Roman" w:hAnsi="Times New Roman"/>
        </w:rPr>
      </w:pPr>
      <w:r w:rsidRPr="00235B48">
        <w:rPr>
          <w:rFonts w:ascii="Times New Roman" w:hAnsi="Times New Roman"/>
          <w:i/>
          <w:i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50B19" w:rsidRPr="00F50B19" w:rsidRDefault="00F50B19" w:rsidP="006E2ADB">
      <w:pPr>
        <w:widowControl/>
        <w:ind w:left="720"/>
        <w:rPr>
          <w:rFonts w:ascii="Times New Roman" w:hAnsi="Times New Roman"/>
        </w:rPr>
      </w:pPr>
    </w:p>
    <w:p w:rsidR="00135D3F" w:rsidRPr="0034640D" w:rsidRDefault="00135D3F" w:rsidP="006E2ADB">
      <w:pPr>
        <w:widowControl/>
        <w:ind w:left="720"/>
        <w:rPr>
          <w:rFonts w:ascii="Times New Roman" w:hAnsi="Times New Roman"/>
        </w:rPr>
      </w:pPr>
      <w:r w:rsidRPr="0034640D">
        <w:rPr>
          <w:rFonts w:ascii="Times New Roman" w:hAnsi="Times New Roman"/>
        </w:rPr>
        <w:t xml:space="preserve">The Department is proposing </w:t>
      </w:r>
      <w:r w:rsidR="004C3FC5">
        <w:rPr>
          <w:rFonts w:ascii="Times New Roman" w:hAnsi="Times New Roman"/>
        </w:rPr>
        <w:t>a</w:t>
      </w:r>
      <w:r w:rsidRPr="0034640D">
        <w:rPr>
          <w:rFonts w:ascii="Times New Roman" w:hAnsi="Times New Roman"/>
        </w:rPr>
        <w:t xml:space="preserve"> regulation under </w:t>
      </w:r>
      <w:r w:rsidR="00FD388C">
        <w:rPr>
          <w:rFonts w:ascii="Times New Roman" w:hAnsi="Times New Roman"/>
        </w:rPr>
        <w:t>Employee Retirement Income Security Act (</w:t>
      </w:r>
      <w:r w:rsidRPr="0034640D">
        <w:rPr>
          <w:rFonts w:ascii="Times New Roman" w:hAnsi="Times New Roman"/>
        </w:rPr>
        <w:t>ERISA</w:t>
      </w:r>
      <w:r w:rsidR="00FD388C">
        <w:rPr>
          <w:rFonts w:ascii="Times New Roman" w:hAnsi="Times New Roman"/>
        </w:rPr>
        <w:t>)</w:t>
      </w:r>
      <w:r w:rsidRPr="0034640D">
        <w:rPr>
          <w:rFonts w:ascii="Times New Roman" w:hAnsi="Times New Roman"/>
        </w:rPr>
        <w:t xml:space="preserve"> section 3(21)(A)(ii) and </w:t>
      </w:r>
      <w:r w:rsidR="00FD388C">
        <w:rPr>
          <w:rFonts w:ascii="Times New Roman" w:hAnsi="Times New Roman"/>
        </w:rPr>
        <w:t>Internal Revenue Code (</w:t>
      </w:r>
      <w:r w:rsidRPr="0034640D">
        <w:rPr>
          <w:rFonts w:ascii="Times New Roman" w:hAnsi="Times New Roman"/>
        </w:rPr>
        <w:t>Code</w:t>
      </w:r>
      <w:r w:rsidR="00FD388C">
        <w:rPr>
          <w:rFonts w:ascii="Times New Roman" w:hAnsi="Times New Roman"/>
        </w:rPr>
        <w:t>)</w:t>
      </w:r>
      <w:r w:rsidRPr="0034640D">
        <w:rPr>
          <w:rFonts w:ascii="Times New Roman" w:hAnsi="Times New Roman"/>
        </w:rPr>
        <w:t xml:space="preserve"> section 4975(e)(3)(B)</w:t>
      </w:r>
      <w:r>
        <w:rPr>
          <w:rFonts w:ascii="Times New Roman" w:hAnsi="Times New Roman"/>
        </w:rPr>
        <w:t xml:space="preserve"> (</w:t>
      </w:r>
      <w:r w:rsidR="00580764">
        <w:rPr>
          <w:rFonts w:ascii="Times New Roman" w:hAnsi="Times New Roman"/>
        </w:rPr>
        <w:t>proposed r</w:t>
      </w:r>
      <w:r>
        <w:rPr>
          <w:rFonts w:ascii="Times New Roman" w:hAnsi="Times New Roman"/>
        </w:rPr>
        <w:t>egulation)</w:t>
      </w:r>
      <w:r w:rsidRPr="0034640D">
        <w:rPr>
          <w:rFonts w:ascii="Times New Roman" w:hAnsi="Times New Roman"/>
        </w:rPr>
        <w:t xml:space="preserve">.  The </w:t>
      </w:r>
      <w:r w:rsidR="00580764">
        <w:rPr>
          <w:rFonts w:ascii="Times New Roman" w:hAnsi="Times New Roman"/>
        </w:rPr>
        <w:t>p</w:t>
      </w:r>
      <w:r w:rsidRPr="0034640D">
        <w:rPr>
          <w:rFonts w:ascii="Times New Roman" w:hAnsi="Times New Roman"/>
        </w:rPr>
        <w:t xml:space="preserve">roposed </w:t>
      </w:r>
      <w:r w:rsidR="00580764">
        <w:rPr>
          <w:rFonts w:ascii="Times New Roman" w:hAnsi="Times New Roman"/>
        </w:rPr>
        <w:t>r</w:t>
      </w:r>
      <w:r w:rsidRPr="0034640D">
        <w:rPr>
          <w:rFonts w:ascii="Times New Roman" w:hAnsi="Times New Roman"/>
        </w:rPr>
        <w:t xml:space="preserve">egulation would amend </w:t>
      </w:r>
      <w:r w:rsidR="00FD388C">
        <w:rPr>
          <w:rFonts w:ascii="Times New Roman" w:hAnsi="Times New Roman"/>
        </w:rPr>
        <w:t xml:space="preserve">a rule dating back to 1975 that defines when a person is </w:t>
      </w:r>
      <w:r w:rsidRPr="0034640D">
        <w:rPr>
          <w:rFonts w:ascii="Times New Roman" w:hAnsi="Times New Roman"/>
        </w:rPr>
        <w:t>a “fiduciary” under ERISA and the Code</w:t>
      </w:r>
      <w:r>
        <w:rPr>
          <w:rFonts w:ascii="Times New Roman" w:hAnsi="Times New Roman"/>
        </w:rPr>
        <w:t xml:space="preserve"> </w:t>
      </w:r>
      <w:r w:rsidRPr="0034640D">
        <w:rPr>
          <w:rFonts w:ascii="Times New Roman" w:hAnsi="Times New Roman"/>
        </w:rPr>
        <w:t xml:space="preserve">by reason </w:t>
      </w:r>
      <w:proofErr w:type="gramStart"/>
      <w:r w:rsidRPr="0034640D">
        <w:rPr>
          <w:rFonts w:ascii="Times New Roman" w:hAnsi="Times New Roman"/>
        </w:rPr>
        <w:t>of  provi</w:t>
      </w:r>
      <w:r w:rsidR="00FD388C">
        <w:rPr>
          <w:rFonts w:ascii="Times New Roman" w:hAnsi="Times New Roman"/>
        </w:rPr>
        <w:t>ding</w:t>
      </w:r>
      <w:proofErr w:type="gramEnd"/>
      <w:r w:rsidRPr="0034640D">
        <w:rPr>
          <w:rFonts w:ascii="Times New Roman" w:hAnsi="Times New Roman"/>
        </w:rPr>
        <w:t xml:space="preserve"> investment advice for a fee or other compensation regarding assets of a plan</w:t>
      </w:r>
      <w:r>
        <w:rPr>
          <w:rFonts w:ascii="Times New Roman" w:hAnsi="Times New Roman"/>
        </w:rPr>
        <w:t xml:space="preserve"> or IRA </w:t>
      </w:r>
      <w:r w:rsidRPr="0034640D">
        <w:rPr>
          <w:rFonts w:ascii="Times New Roman" w:hAnsi="Times New Roman"/>
        </w:rPr>
        <w:t xml:space="preserve">(i.e., an investment advice fiduciary).  If adopted, the </w:t>
      </w:r>
      <w:r>
        <w:rPr>
          <w:rFonts w:ascii="Times New Roman" w:hAnsi="Times New Roman"/>
        </w:rPr>
        <w:t>P</w:t>
      </w:r>
      <w:r w:rsidRPr="0034640D">
        <w:rPr>
          <w:rFonts w:ascii="Times New Roman" w:hAnsi="Times New Roman"/>
        </w:rPr>
        <w:t xml:space="preserve">roposed </w:t>
      </w:r>
      <w:r>
        <w:rPr>
          <w:rFonts w:ascii="Times New Roman" w:hAnsi="Times New Roman"/>
        </w:rPr>
        <w:t>R</w:t>
      </w:r>
      <w:r w:rsidRPr="0034640D">
        <w:rPr>
          <w:rFonts w:ascii="Times New Roman" w:hAnsi="Times New Roman"/>
        </w:rPr>
        <w:t xml:space="preserve">egulation would </w:t>
      </w:r>
      <w:r w:rsidR="00FD388C">
        <w:rPr>
          <w:rFonts w:ascii="Times New Roman" w:hAnsi="Times New Roman"/>
        </w:rPr>
        <w:t xml:space="preserve">treat investment advisers as fiduciaries in a wider array of advice relationships than the </w:t>
      </w:r>
      <w:r w:rsidRPr="0034640D">
        <w:rPr>
          <w:rFonts w:ascii="Times New Roman" w:hAnsi="Times New Roman"/>
        </w:rPr>
        <w:t>existing regulation</w:t>
      </w:r>
      <w:r w:rsidR="00FD388C">
        <w:rPr>
          <w:rFonts w:ascii="Times New Roman" w:hAnsi="Times New Roman"/>
        </w:rPr>
        <w:t>.</w:t>
      </w:r>
      <w:r w:rsidRPr="0034640D">
        <w:rPr>
          <w:rFonts w:ascii="Times New Roman" w:hAnsi="Times New Roman"/>
        </w:rPr>
        <w:t xml:space="preserve">  </w:t>
      </w:r>
    </w:p>
    <w:p w:rsidR="00135D3F" w:rsidRDefault="00135D3F" w:rsidP="006E2ADB">
      <w:pPr>
        <w:widowControl/>
        <w:ind w:left="720"/>
        <w:rPr>
          <w:rFonts w:ascii="Times New Roman" w:hAnsi="Times New Roman"/>
        </w:rPr>
      </w:pPr>
    </w:p>
    <w:p w:rsidR="008E6610" w:rsidRDefault="00FD388C" w:rsidP="006E2ADB">
      <w:pPr>
        <w:widowControl/>
        <w:ind w:left="720"/>
        <w:rPr>
          <w:rFonts w:ascii="Times New Roman" w:hAnsi="Times New Roman"/>
        </w:rPr>
      </w:pPr>
      <w:bookmarkStart w:id="1" w:name="OLE_LINK1"/>
      <w:bookmarkStart w:id="2" w:name="OLE_LINK2"/>
      <w:r>
        <w:rPr>
          <w:rFonts w:ascii="Times New Roman" w:hAnsi="Times New Roman"/>
        </w:rPr>
        <w:t>The Department recognizes that in some instances, plan fiduciaries, participants, beneficiaries, and IRA owners may receive recommendations that should not be treated as fiduciary investment advice.  Accor</w:t>
      </w:r>
      <w:r w:rsidR="00015266">
        <w:rPr>
          <w:rFonts w:ascii="Times New Roman" w:hAnsi="Times New Roman"/>
        </w:rPr>
        <w:t xml:space="preserve">dingly, the proposed regulation </w:t>
      </w:r>
      <w:r>
        <w:rPr>
          <w:rFonts w:ascii="Times New Roman" w:hAnsi="Times New Roman"/>
        </w:rPr>
        <w:t xml:space="preserve">provides </w:t>
      </w:r>
      <w:r w:rsidR="00FA48D8">
        <w:rPr>
          <w:rFonts w:ascii="Times New Roman" w:hAnsi="Times New Roman"/>
        </w:rPr>
        <w:t>carve-outs</w:t>
      </w:r>
      <w:r>
        <w:rPr>
          <w:rFonts w:ascii="Times New Roman" w:hAnsi="Times New Roman"/>
        </w:rPr>
        <w:t xml:space="preserve"> to the general </w:t>
      </w:r>
      <w:r w:rsidR="00DC5C00">
        <w:rPr>
          <w:rFonts w:ascii="Times New Roman" w:hAnsi="Times New Roman"/>
        </w:rPr>
        <w:t xml:space="preserve">investment advice fiduciary </w:t>
      </w:r>
      <w:r>
        <w:rPr>
          <w:rFonts w:ascii="Times New Roman" w:hAnsi="Times New Roman"/>
        </w:rPr>
        <w:t xml:space="preserve">definition.  </w:t>
      </w:r>
      <w:r w:rsidR="008E6610">
        <w:rPr>
          <w:rFonts w:ascii="Times New Roman" w:hAnsi="Times New Roman"/>
        </w:rPr>
        <w:t>The</w:t>
      </w:r>
      <w:r w:rsidR="00015266">
        <w:rPr>
          <w:rFonts w:ascii="Times New Roman" w:hAnsi="Times New Roman"/>
        </w:rPr>
        <w:t>se</w:t>
      </w:r>
      <w:r w:rsidR="008E6610">
        <w:rPr>
          <w:rFonts w:ascii="Times New Roman" w:hAnsi="Times New Roman"/>
        </w:rPr>
        <w:t xml:space="preserve"> </w:t>
      </w:r>
      <w:r w:rsidR="00FA48D8">
        <w:rPr>
          <w:rFonts w:ascii="Times New Roman" w:hAnsi="Times New Roman"/>
        </w:rPr>
        <w:t>carve-outs</w:t>
      </w:r>
      <w:r w:rsidR="008E6610">
        <w:rPr>
          <w:rFonts w:ascii="Times New Roman" w:hAnsi="Times New Roman"/>
        </w:rPr>
        <w:t xml:space="preserve"> </w:t>
      </w:r>
      <w:r w:rsidR="005B346F">
        <w:rPr>
          <w:rFonts w:ascii="Times New Roman" w:hAnsi="Times New Roman"/>
        </w:rPr>
        <w:t xml:space="preserve">focus on </w:t>
      </w:r>
      <w:r w:rsidR="008E6610">
        <w:rPr>
          <w:rFonts w:ascii="Times New Roman" w:hAnsi="Times New Roman"/>
        </w:rPr>
        <w:t xml:space="preserve">communications </w:t>
      </w:r>
      <w:r w:rsidR="003E0C6E">
        <w:rPr>
          <w:rFonts w:ascii="Times New Roman" w:hAnsi="Times New Roman"/>
        </w:rPr>
        <w:t xml:space="preserve">that </w:t>
      </w:r>
      <w:r w:rsidR="008E6610">
        <w:rPr>
          <w:rFonts w:ascii="Times New Roman" w:hAnsi="Times New Roman"/>
        </w:rPr>
        <w:t>the Department believes Congress did not intend to cover as fiduciary “investment advice” and that parties wou</w:t>
      </w:r>
      <w:r w:rsidR="0074170C">
        <w:rPr>
          <w:rFonts w:ascii="Times New Roman" w:hAnsi="Times New Roman"/>
        </w:rPr>
        <w:t>ld not ordinarily view as communi</w:t>
      </w:r>
      <w:r w:rsidR="008E6610">
        <w:rPr>
          <w:rFonts w:ascii="Times New Roman" w:hAnsi="Times New Roman"/>
        </w:rPr>
        <w:t xml:space="preserve">cations characterized by a relationship of trust or impartiality. None of the </w:t>
      </w:r>
      <w:r w:rsidR="004A4CA8">
        <w:rPr>
          <w:rFonts w:ascii="Times New Roman" w:hAnsi="Times New Roman"/>
        </w:rPr>
        <w:t>carve-outs</w:t>
      </w:r>
      <w:r w:rsidR="008E6610">
        <w:rPr>
          <w:rFonts w:ascii="Times New Roman" w:hAnsi="Times New Roman"/>
        </w:rPr>
        <w:t xml:space="preserve"> apply where the adviser represents or acknowledges its action as fiduciary under ERISA with respect to the advice.</w:t>
      </w:r>
      <w:r w:rsidR="00015266">
        <w:rPr>
          <w:rFonts w:ascii="Times New Roman" w:hAnsi="Times New Roman"/>
        </w:rPr>
        <w:t xml:space="preserve"> Each </w:t>
      </w:r>
      <w:r w:rsidR="004A4CA8">
        <w:rPr>
          <w:rFonts w:ascii="Times New Roman" w:hAnsi="Times New Roman"/>
        </w:rPr>
        <w:t>carve-out</w:t>
      </w:r>
      <w:r w:rsidR="00015266">
        <w:rPr>
          <w:rFonts w:ascii="Times New Roman" w:hAnsi="Times New Roman"/>
        </w:rPr>
        <w:t xml:space="preserve"> is discussed below.</w:t>
      </w:r>
    </w:p>
    <w:p w:rsidR="008E6610" w:rsidRDefault="008E6610" w:rsidP="006E2ADB">
      <w:pPr>
        <w:widowControl/>
        <w:ind w:left="720"/>
        <w:rPr>
          <w:rFonts w:ascii="Times New Roman" w:hAnsi="Times New Roman"/>
        </w:rPr>
      </w:pPr>
    </w:p>
    <w:p w:rsidR="00015266" w:rsidRPr="00580764" w:rsidRDefault="004A4CA8" w:rsidP="006E2ADB">
      <w:pPr>
        <w:widowControl/>
        <w:ind w:left="720"/>
        <w:rPr>
          <w:rFonts w:ascii="Times New Roman" w:hAnsi="Times New Roman"/>
          <w:u w:val="single"/>
        </w:rPr>
      </w:pPr>
      <w:r>
        <w:rPr>
          <w:rFonts w:ascii="Times New Roman" w:hAnsi="Times New Roman"/>
          <w:u w:val="single"/>
        </w:rPr>
        <w:t>Seller’s Carve-Out</w:t>
      </w:r>
    </w:p>
    <w:p w:rsidR="00015266" w:rsidRDefault="00015266" w:rsidP="006E2ADB">
      <w:pPr>
        <w:widowControl/>
        <w:ind w:left="720"/>
        <w:rPr>
          <w:rFonts w:ascii="Times New Roman" w:hAnsi="Times New Roman"/>
        </w:rPr>
      </w:pPr>
    </w:p>
    <w:p w:rsidR="00942A15" w:rsidRDefault="00942A15" w:rsidP="006E2ADB">
      <w:pPr>
        <w:widowControl/>
        <w:ind w:left="720"/>
        <w:rPr>
          <w:rFonts w:ascii="Times New Roman" w:hAnsi="Times New Roman"/>
        </w:rPr>
      </w:pPr>
      <w:r w:rsidRPr="00942A15">
        <w:rPr>
          <w:rFonts w:ascii="Times New Roman" w:hAnsi="Times New Roman"/>
        </w:rPr>
        <w:t>Paragraph (b)(1)(</w:t>
      </w:r>
      <w:proofErr w:type="spellStart"/>
      <w:r w:rsidRPr="00942A15">
        <w:rPr>
          <w:rFonts w:ascii="Times New Roman" w:hAnsi="Times New Roman"/>
        </w:rPr>
        <w:t>i</w:t>
      </w:r>
      <w:proofErr w:type="spellEnd"/>
      <w:r w:rsidRPr="00942A15">
        <w:rPr>
          <w:rFonts w:ascii="Times New Roman" w:hAnsi="Times New Roman"/>
        </w:rPr>
        <w:t xml:space="preserve">) of the proposed regulation provides a </w:t>
      </w:r>
      <w:r w:rsidR="00AA77B5">
        <w:rPr>
          <w:rFonts w:ascii="Times New Roman" w:hAnsi="Times New Roman"/>
        </w:rPr>
        <w:t>carve-out</w:t>
      </w:r>
      <w:r w:rsidRPr="00942A15">
        <w:rPr>
          <w:rFonts w:ascii="Times New Roman" w:hAnsi="Times New Roman"/>
        </w:rPr>
        <w:t xml:space="preserve"> to the general </w:t>
      </w:r>
      <w:r w:rsidR="00015266">
        <w:rPr>
          <w:rFonts w:ascii="Times New Roman" w:hAnsi="Times New Roman"/>
        </w:rPr>
        <w:t xml:space="preserve">investment advice fiduciary </w:t>
      </w:r>
      <w:r w:rsidRPr="00942A15">
        <w:rPr>
          <w:rFonts w:ascii="Times New Roman" w:hAnsi="Times New Roman"/>
        </w:rPr>
        <w:t>definition for advice provided in connection with an arm’s length sale, purchase, loan, or bilateral contract between a sophisticated plan investor</w:t>
      </w:r>
      <w:r w:rsidR="00015266">
        <w:rPr>
          <w:rFonts w:ascii="Times New Roman" w:hAnsi="Times New Roman"/>
        </w:rPr>
        <w:t xml:space="preserve"> </w:t>
      </w:r>
      <w:proofErr w:type="gramStart"/>
      <w:r w:rsidR="00015266">
        <w:rPr>
          <w:rFonts w:ascii="Times New Roman" w:hAnsi="Times New Roman"/>
        </w:rPr>
        <w:t xml:space="preserve">that </w:t>
      </w:r>
      <w:r w:rsidRPr="00942A15">
        <w:rPr>
          <w:rFonts w:ascii="Times New Roman" w:hAnsi="Times New Roman"/>
        </w:rPr>
        <w:t xml:space="preserve"> has</w:t>
      </w:r>
      <w:proofErr w:type="gramEnd"/>
      <w:r w:rsidRPr="00942A15">
        <w:rPr>
          <w:rFonts w:ascii="Times New Roman" w:hAnsi="Times New Roman"/>
        </w:rPr>
        <w:t xml:space="preserve"> 100 or more plan participants and the adviser</w:t>
      </w:r>
      <w:r w:rsidR="00921DE7">
        <w:rPr>
          <w:rFonts w:ascii="Times New Roman" w:hAnsi="Times New Roman"/>
        </w:rPr>
        <w:t xml:space="preserve"> </w:t>
      </w:r>
      <w:r w:rsidR="00921DE7" w:rsidRPr="00942A15">
        <w:rPr>
          <w:rFonts w:ascii="Times New Roman" w:hAnsi="Times New Roman"/>
        </w:rPr>
        <w:t>(“</w:t>
      </w:r>
      <w:r w:rsidR="00921DE7">
        <w:rPr>
          <w:rFonts w:ascii="Times New Roman" w:hAnsi="Times New Roman"/>
        </w:rPr>
        <w:t>seller’s carve-out</w:t>
      </w:r>
      <w:r w:rsidR="00921DE7" w:rsidRPr="00942A15">
        <w:rPr>
          <w:rFonts w:ascii="Times New Roman" w:hAnsi="Times New Roman"/>
        </w:rPr>
        <w:t>”</w:t>
      </w:r>
      <w:r w:rsidR="00921DE7">
        <w:rPr>
          <w:rFonts w:ascii="Times New Roman" w:hAnsi="Times New Roman"/>
        </w:rPr>
        <w:t>)</w:t>
      </w:r>
      <w:r w:rsidRPr="00942A15">
        <w:rPr>
          <w:rFonts w:ascii="Times New Roman" w:hAnsi="Times New Roman"/>
        </w:rPr>
        <w:t xml:space="preserve">.  It also applies in connection with an offer to enter into such a transaction or when the person providing the advice is acting as </w:t>
      </w:r>
      <w:r w:rsidR="008E6610">
        <w:rPr>
          <w:rFonts w:ascii="Times New Roman" w:hAnsi="Times New Roman"/>
        </w:rPr>
        <w:t xml:space="preserve">representative, such as </w:t>
      </w:r>
      <w:r w:rsidRPr="00942A15">
        <w:rPr>
          <w:rFonts w:ascii="Times New Roman" w:hAnsi="Times New Roman"/>
        </w:rPr>
        <w:t xml:space="preserve">an agent for the plan's counterparty.  The person must provide advice to a plan fiduciary who is independent of </w:t>
      </w:r>
      <w:r w:rsidR="009066F6">
        <w:rPr>
          <w:rFonts w:ascii="Times New Roman" w:hAnsi="Times New Roman"/>
        </w:rPr>
        <w:t xml:space="preserve">the counterparty </w:t>
      </w:r>
      <w:r w:rsidRPr="00942A15">
        <w:rPr>
          <w:rFonts w:ascii="Times New Roman" w:hAnsi="Times New Roman"/>
        </w:rPr>
        <w:t xml:space="preserve">and </w:t>
      </w:r>
      <w:r w:rsidR="001D41B6">
        <w:rPr>
          <w:rFonts w:ascii="Times New Roman" w:hAnsi="Times New Roman"/>
        </w:rPr>
        <w:t xml:space="preserve">must </w:t>
      </w:r>
      <w:r w:rsidRPr="00942A15">
        <w:rPr>
          <w:rFonts w:ascii="Times New Roman" w:hAnsi="Times New Roman"/>
        </w:rPr>
        <w:t>exercise authority or control respecting the management or disposition of the plan’s assets, with respect to an arm’s length sale, purchase, loan or bilateral contract between the plan and the counterparty, or with respect to a proposal to enter into such a sale, purcha</w:t>
      </w:r>
      <w:r>
        <w:rPr>
          <w:rFonts w:ascii="Times New Roman" w:hAnsi="Times New Roman"/>
        </w:rPr>
        <w:t>se, loan or bilateral contract.</w:t>
      </w:r>
    </w:p>
    <w:p w:rsidR="00942A15" w:rsidRPr="00942A15" w:rsidRDefault="00942A15" w:rsidP="006E2ADB">
      <w:pPr>
        <w:widowControl/>
        <w:ind w:left="720"/>
        <w:rPr>
          <w:rFonts w:ascii="Times New Roman" w:hAnsi="Times New Roman"/>
        </w:rPr>
      </w:pPr>
    </w:p>
    <w:p w:rsidR="001F0F84" w:rsidRDefault="00942A15" w:rsidP="006E2ADB">
      <w:pPr>
        <w:widowControl/>
        <w:ind w:left="720"/>
        <w:rPr>
          <w:rFonts w:ascii="Times New Roman" w:hAnsi="Times New Roman"/>
        </w:rPr>
      </w:pPr>
      <w:r w:rsidRPr="00942A15">
        <w:rPr>
          <w:rFonts w:ascii="Times New Roman" w:hAnsi="Times New Roman"/>
        </w:rPr>
        <w:lastRenderedPageBreak/>
        <w:t xml:space="preserve">The </w:t>
      </w:r>
      <w:r w:rsidR="00921DE7">
        <w:rPr>
          <w:rFonts w:ascii="Times New Roman" w:hAnsi="Times New Roman"/>
        </w:rPr>
        <w:t>seller’s carve-out</w:t>
      </w:r>
      <w:r w:rsidRPr="00942A15">
        <w:rPr>
          <w:rFonts w:ascii="Times New Roman" w:hAnsi="Times New Roman"/>
        </w:rPr>
        <w:t xml:space="preserve"> applies if certain conditions are met.  Among these conditions are the following: </w:t>
      </w:r>
      <w:r w:rsidR="009A67B0">
        <w:rPr>
          <w:rFonts w:ascii="Times New Roman" w:hAnsi="Times New Roman"/>
        </w:rPr>
        <w:t xml:space="preserve"> </w:t>
      </w:r>
      <w:r w:rsidRPr="00942A15">
        <w:rPr>
          <w:rFonts w:ascii="Times New Roman" w:hAnsi="Times New Roman"/>
        </w:rPr>
        <w:t xml:space="preserve">the adviser must obtain a written representation from the plan fiduciary that (1) the plan fiduciary is a fiduciary who exercises authority or control respecting the management or disposition of the employee benefit plan’s assets (as described in </w:t>
      </w:r>
      <w:r w:rsidR="00015266">
        <w:rPr>
          <w:rFonts w:ascii="Times New Roman" w:hAnsi="Times New Roman"/>
        </w:rPr>
        <w:t xml:space="preserve">ERISA </w:t>
      </w:r>
      <w:r w:rsidRPr="00942A15">
        <w:rPr>
          <w:rFonts w:ascii="Times New Roman" w:hAnsi="Times New Roman"/>
        </w:rPr>
        <w:t>section 3(21)(A)(</w:t>
      </w:r>
      <w:proofErr w:type="spellStart"/>
      <w:r w:rsidRPr="00942A15">
        <w:rPr>
          <w:rFonts w:ascii="Times New Roman" w:hAnsi="Times New Roman"/>
        </w:rPr>
        <w:t>i</w:t>
      </w:r>
      <w:proofErr w:type="spellEnd"/>
      <w:r w:rsidRPr="00942A15">
        <w:rPr>
          <w:rFonts w:ascii="Times New Roman" w:hAnsi="Times New Roman"/>
        </w:rPr>
        <w:t>), (2) the employee benefit plan has 100 or more participants covered under the plan, and (3) the fiduciary will not rely on the person to act in the best interests of the plan, to provide impartial investment advice, or to give advice in a fiduciary capacity.</w:t>
      </w:r>
      <w:r w:rsidR="00DC5C00">
        <w:rPr>
          <w:rFonts w:ascii="Times New Roman" w:hAnsi="Times New Roman"/>
        </w:rPr>
        <w:t xml:space="preserve"> This is an information collection request (ICR) subject to the </w:t>
      </w:r>
      <w:r w:rsidR="003C23D4">
        <w:rPr>
          <w:rFonts w:ascii="Times New Roman" w:hAnsi="Times New Roman"/>
        </w:rPr>
        <w:t>Paperwork Reduction Act (</w:t>
      </w:r>
      <w:r w:rsidR="00DC5C00">
        <w:rPr>
          <w:rFonts w:ascii="Times New Roman" w:hAnsi="Times New Roman"/>
        </w:rPr>
        <w:t>PRA</w:t>
      </w:r>
      <w:r w:rsidR="003C23D4">
        <w:rPr>
          <w:rFonts w:ascii="Times New Roman" w:hAnsi="Times New Roman"/>
        </w:rPr>
        <w:t>)</w:t>
      </w:r>
      <w:r w:rsidR="00DC5C00">
        <w:rPr>
          <w:rFonts w:ascii="Times New Roman" w:hAnsi="Times New Roman"/>
        </w:rPr>
        <w:t>.</w:t>
      </w:r>
    </w:p>
    <w:p w:rsidR="00942A15" w:rsidRDefault="00942A15" w:rsidP="006E2ADB">
      <w:pPr>
        <w:widowControl/>
        <w:ind w:left="720"/>
        <w:rPr>
          <w:rFonts w:ascii="Times New Roman" w:hAnsi="Times New Roman"/>
        </w:rPr>
      </w:pPr>
    </w:p>
    <w:p w:rsidR="00015266" w:rsidRPr="00811927" w:rsidRDefault="00015266" w:rsidP="006E2ADB">
      <w:pPr>
        <w:widowControl/>
        <w:ind w:left="720"/>
        <w:rPr>
          <w:rFonts w:ascii="Times New Roman" w:hAnsi="Times New Roman"/>
          <w:u w:val="single"/>
        </w:rPr>
      </w:pPr>
      <w:r>
        <w:rPr>
          <w:rFonts w:ascii="Times New Roman" w:hAnsi="Times New Roman"/>
          <w:u w:val="single"/>
        </w:rPr>
        <w:t xml:space="preserve">Platform Provider </w:t>
      </w:r>
      <w:r w:rsidR="00921DE7">
        <w:rPr>
          <w:rFonts w:ascii="Times New Roman" w:hAnsi="Times New Roman"/>
          <w:u w:val="single"/>
        </w:rPr>
        <w:t>Carve-Out</w:t>
      </w:r>
    </w:p>
    <w:p w:rsidR="00015266" w:rsidRDefault="00015266" w:rsidP="006E2ADB">
      <w:pPr>
        <w:widowControl/>
        <w:ind w:left="720"/>
        <w:rPr>
          <w:rFonts w:ascii="Times New Roman" w:hAnsi="Times New Roman"/>
        </w:rPr>
      </w:pPr>
    </w:p>
    <w:p w:rsidR="001F0F84" w:rsidRDefault="00015266" w:rsidP="006E2ADB">
      <w:pPr>
        <w:widowControl/>
        <w:ind w:left="720"/>
        <w:rPr>
          <w:rFonts w:ascii="Times New Roman" w:hAnsi="Times New Roman"/>
        </w:rPr>
      </w:pPr>
      <w:r>
        <w:rPr>
          <w:rFonts w:ascii="Times New Roman" w:hAnsi="Times New Roman"/>
        </w:rPr>
        <w:t xml:space="preserve">Another </w:t>
      </w:r>
      <w:r w:rsidR="00921DE7">
        <w:rPr>
          <w:rFonts w:ascii="Times New Roman" w:hAnsi="Times New Roman"/>
        </w:rPr>
        <w:t>carve-out</w:t>
      </w:r>
      <w:r>
        <w:rPr>
          <w:rFonts w:ascii="Times New Roman" w:hAnsi="Times New Roman"/>
        </w:rPr>
        <w:t xml:space="preserve"> is directed to service providers, such as </w:t>
      </w:r>
      <w:proofErr w:type="spellStart"/>
      <w:r>
        <w:rPr>
          <w:rFonts w:ascii="Times New Roman" w:hAnsi="Times New Roman"/>
        </w:rPr>
        <w:t>recordkeepers</w:t>
      </w:r>
      <w:proofErr w:type="spellEnd"/>
      <w:r>
        <w:rPr>
          <w:rFonts w:ascii="Times New Roman" w:hAnsi="Times New Roman"/>
        </w:rPr>
        <w:t xml:space="preserve"> and third party administrators that offer a “platform”</w:t>
      </w:r>
      <w:r w:rsidR="0074170C">
        <w:rPr>
          <w:rFonts w:ascii="Times New Roman" w:hAnsi="Times New Roman"/>
        </w:rPr>
        <w:t xml:space="preserve"> or selection of investment vehi</w:t>
      </w:r>
      <w:r>
        <w:rPr>
          <w:rFonts w:ascii="Times New Roman" w:hAnsi="Times New Roman"/>
        </w:rPr>
        <w:t xml:space="preserve">cles to participant-directed individual account plans under ERISA. </w:t>
      </w:r>
      <w:r w:rsidR="009A67B0">
        <w:rPr>
          <w:rFonts w:ascii="Times New Roman" w:hAnsi="Times New Roman"/>
        </w:rPr>
        <w:t xml:space="preserve"> </w:t>
      </w:r>
      <w:r w:rsidR="0074170C">
        <w:rPr>
          <w:rFonts w:ascii="Times New Roman" w:hAnsi="Times New Roman"/>
        </w:rPr>
        <w:t>Specifically, p</w:t>
      </w:r>
      <w:r w:rsidR="001F0F84" w:rsidRPr="001F0F84">
        <w:rPr>
          <w:rFonts w:ascii="Times New Roman" w:hAnsi="Times New Roman"/>
        </w:rPr>
        <w:t>aragraph (b)(3) of the proposed regulation mak</w:t>
      </w:r>
      <w:r w:rsidR="0074170C">
        <w:rPr>
          <w:rFonts w:ascii="Times New Roman" w:hAnsi="Times New Roman"/>
        </w:rPr>
        <w:t>es</w:t>
      </w:r>
      <w:r w:rsidR="001F0F84" w:rsidRPr="001F0F84">
        <w:rPr>
          <w:rFonts w:ascii="Times New Roman" w:hAnsi="Times New Roman"/>
        </w:rPr>
        <w:t xml:space="preserve"> clear that persons who merely market and make available securities or other property through a platform or similar mechanism to an employee benefit plan without regard to the individualized needs of the plan</w:t>
      </w:r>
      <w:r w:rsidR="00DC5C00">
        <w:rPr>
          <w:rFonts w:ascii="Times New Roman" w:hAnsi="Times New Roman"/>
        </w:rPr>
        <w:t xml:space="preserve"> and </w:t>
      </w:r>
      <w:r w:rsidR="001F0F84" w:rsidRPr="001F0F84">
        <w:rPr>
          <w:rFonts w:ascii="Times New Roman" w:hAnsi="Times New Roman"/>
        </w:rPr>
        <w:t xml:space="preserve">its participants, or beneficiaries do not act as investment advice fiduciaries. </w:t>
      </w:r>
      <w:r w:rsidR="004523CC">
        <w:rPr>
          <w:rFonts w:ascii="Times New Roman" w:hAnsi="Times New Roman"/>
        </w:rPr>
        <w:t xml:space="preserve"> </w:t>
      </w:r>
      <w:r w:rsidR="0074170C">
        <w:rPr>
          <w:rFonts w:ascii="Times New Roman" w:hAnsi="Times New Roman"/>
        </w:rPr>
        <w:t>In order for t</w:t>
      </w:r>
      <w:r w:rsidR="001F0F84" w:rsidRPr="001F0F84">
        <w:rPr>
          <w:rFonts w:ascii="Times New Roman" w:hAnsi="Times New Roman"/>
        </w:rPr>
        <w:t xml:space="preserve">he platform provider </w:t>
      </w:r>
      <w:r w:rsidR="00D87BC0">
        <w:rPr>
          <w:rFonts w:ascii="Times New Roman" w:hAnsi="Times New Roman"/>
        </w:rPr>
        <w:t>carve-out</w:t>
      </w:r>
      <w:r w:rsidR="001F0F84" w:rsidRPr="001F0F84">
        <w:rPr>
          <w:rFonts w:ascii="Times New Roman" w:hAnsi="Times New Roman"/>
        </w:rPr>
        <w:t xml:space="preserve"> </w:t>
      </w:r>
      <w:r w:rsidR="0074170C">
        <w:rPr>
          <w:rFonts w:ascii="Times New Roman" w:hAnsi="Times New Roman"/>
        </w:rPr>
        <w:t xml:space="preserve">to </w:t>
      </w:r>
      <w:r w:rsidR="001F0F84" w:rsidRPr="001F0F84">
        <w:rPr>
          <w:rFonts w:ascii="Times New Roman" w:hAnsi="Times New Roman"/>
        </w:rPr>
        <w:t>appl</w:t>
      </w:r>
      <w:r w:rsidR="0074170C">
        <w:rPr>
          <w:rFonts w:ascii="Times New Roman" w:hAnsi="Times New Roman"/>
        </w:rPr>
        <w:t>y,</w:t>
      </w:r>
      <w:r w:rsidR="001F0F84" w:rsidRPr="001F0F84">
        <w:rPr>
          <w:rFonts w:ascii="Times New Roman" w:hAnsi="Times New Roman"/>
        </w:rPr>
        <w:t xml:space="preserve"> the person </w:t>
      </w:r>
      <w:r w:rsidR="0074170C">
        <w:rPr>
          <w:rFonts w:ascii="Times New Roman" w:hAnsi="Times New Roman"/>
        </w:rPr>
        <w:t xml:space="preserve">providing the platform must </w:t>
      </w:r>
      <w:r w:rsidR="001F0F84">
        <w:rPr>
          <w:rFonts w:ascii="Times New Roman" w:hAnsi="Times New Roman"/>
        </w:rPr>
        <w:t xml:space="preserve">provide a written </w:t>
      </w:r>
      <w:r w:rsidR="001F0F84" w:rsidRPr="001F0F84">
        <w:rPr>
          <w:rFonts w:ascii="Times New Roman" w:hAnsi="Times New Roman"/>
        </w:rPr>
        <w:t>disclos</w:t>
      </w:r>
      <w:r w:rsidR="001F0F84">
        <w:rPr>
          <w:rFonts w:ascii="Times New Roman" w:hAnsi="Times New Roman"/>
        </w:rPr>
        <w:t>ur</w:t>
      </w:r>
      <w:r w:rsidR="001F0F84" w:rsidRPr="001F0F84">
        <w:rPr>
          <w:rFonts w:ascii="Times New Roman" w:hAnsi="Times New Roman"/>
        </w:rPr>
        <w:t xml:space="preserve">e to the plan fiduciary </w:t>
      </w:r>
      <w:r w:rsidR="001F0F84">
        <w:rPr>
          <w:rFonts w:ascii="Times New Roman" w:hAnsi="Times New Roman"/>
        </w:rPr>
        <w:t xml:space="preserve">stating </w:t>
      </w:r>
      <w:r w:rsidR="001F0F84" w:rsidRPr="001F0F84">
        <w:rPr>
          <w:rFonts w:ascii="Times New Roman" w:hAnsi="Times New Roman"/>
        </w:rPr>
        <w:t>that the person is not undertaking to provide impartial investment advice or to give advice in a fiduciary capacity.</w:t>
      </w:r>
      <w:r w:rsidR="00DC5C00">
        <w:rPr>
          <w:rFonts w:ascii="Times New Roman" w:hAnsi="Times New Roman"/>
        </w:rPr>
        <w:t xml:space="preserve"> </w:t>
      </w:r>
      <w:r w:rsidR="004523CC">
        <w:rPr>
          <w:rFonts w:ascii="Times New Roman" w:hAnsi="Times New Roman"/>
        </w:rPr>
        <w:t xml:space="preserve"> </w:t>
      </w:r>
      <w:r w:rsidR="00DC5C00">
        <w:rPr>
          <w:rFonts w:ascii="Times New Roman" w:hAnsi="Times New Roman"/>
        </w:rPr>
        <w:t>This disclosure is an ICR subject to the PRA.</w:t>
      </w:r>
    </w:p>
    <w:p w:rsidR="00DC5C00" w:rsidRDefault="00DC5C00" w:rsidP="006E2ADB">
      <w:pPr>
        <w:widowControl/>
        <w:ind w:left="720"/>
        <w:rPr>
          <w:rFonts w:ascii="Times New Roman" w:hAnsi="Times New Roman"/>
          <w:u w:val="single"/>
        </w:rPr>
      </w:pPr>
    </w:p>
    <w:p w:rsidR="0074170C" w:rsidRDefault="0074170C" w:rsidP="006E2ADB">
      <w:pPr>
        <w:widowControl/>
        <w:ind w:left="720"/>
        <w:rPr>
          <w:rFonts w:ascii="Times New Roman" w:hAnsi="Times New Roman"/>
          <w:u w:val="single"/>
        </w:rPr>
      </w:pPr>
      <w:r>
        <w:rPr>
          <w:rFonts w:ascii="Times New Roman" w:hAnsi="Times New Roman"/>
          <w:u w:val="single"/>
        </w:rPr>
        <w:t>Investment Education</w:t>
      </w:r>
      <w:r w:rsidR="00D87BC0">
        <w:rPr>
          <w:rFonts w:ascii="Times New Roman" w:hAnsi="Times New Roman"/>
          <w:u w:val="single"/>
        </w:rPr>
        <w:t xml:space="preserve"> Carve-Out</w:t>
      </w:r>
    </w:p>
    <w:p w:rsidR="0074170C" w:rsidRPr="00811927" w:rsidRDefault="0074170C" w:rsidP="006E2ADB">
      <w:pPr>
        <w:widowControl/>
        <w:ind w:left="720"/>
        <w:rPr>
          <w:rFonts w:ascii="Times New Roman" w:hAnsi="Times New Roman"/>
          <w:u w:val="single"/>
        </w:rPr>
      </w:pPr>
    </w:p>
    <w:p w:rsidR="001F0F84" w:rsidRDefault="001F0F84" w:rsidP="006E2ADB">
      <w:pPr>
        <w:widowControl/>
        <w:ind w:left="720"/>
        <w:rPr>
          <w:rFonts w:ascii="Times New Roman" w:hAnsi="Times New Roman"/>
        </w:rPr>
      </w:pPr>
      <w:r w:rsidRPr="001F0F84">
        <w:rPr>
          <w:rFonts w:ascii="Times New Roman" w:hAnsi="Times New Roman"/>
        </w:rPr>
        <w:t xml:space="preserve">Paragraph (b)(6) of the proposal makes clear that furnishing and providing certain specified investment educational information and materials (including certain investment allocation models and interactive plan materials) to a plan, plan fiduciary, participant, beneficiary or IRA owner will not constitute the rendering of investment advice if certain conditions are met. </w:t>
      </w:r>
      <w:r w:rsidR="00E90E57">
        <w:rPr>
          <w:rFonts w:ascii="Times New Roman" w:hAnsi="Times New Roman"/>
        </w:rPr>
        <w:t xml:space="preserve"> </w:t>
      </w:r>
      <w:r w:rsidRPr="001F0F84">
        <w:rPr>
          <w:rFonts w:ascii="Times New Roman" w:hAnsi="Times New Roman"/>
        </w:rPr>
        <w:t>One of the conditions is that the asset allocation models or interactive materials must explain all material facts and assumptions on which the models and materials are based and include a statement indicating that, in applying particular asset allocation models to their individual situations, participants, beneficiaries, or IRA owners should consider their other assets, income, and investments in addition to their interests in the plan or IRA to the extent they are not taken into account in the model or estimate.</w:t>
      </w:r>
      <w:r w:rsidR="00DC5C00">
        <w:rPr>
          <w:rFonts w:ascii="Times New Roman" w:hAnsi="Times New Roman"/>
        </w:rPr>
        <w:t xml:space="preserve"> </w:t>
      </w:r>
      <w:r w:rsidR="00E90E57">
        <w:rPr>
          <w:rFonts w:ascii="Times New Roman" w:hAnsi="Times New Roman"/>
        </w:rPr>
        <w:t xml:space="preserve"> </w:t>
      </w:r>
      <w:r w:rsidR="00DC5C00">
        <w:rPr>
          <w:rFonts w:ascii="Times New Roman" w:hAnsi="Times New Roman"/>
        </w:rPr>
        <w:t>This is an ICR subject to the PRA.</w:t>
      </w:r>
    </w:p>
    <w:bookmarkEnd w:id="1"/>
    <w:bookmarkEnd w:id="2"/>
    <w:p w:rsidR="00B41FAA" w:rsidRDefault="00B41FAA" w:rsidP="006E2ADB">
      <w:pPr>
        <w:widowControl/>
        <w:ind w:left="720"/>
        <w:rPr>
          <w:rFonts w:ascii="Times New Roman" w:hAnsi="Times New Roman"/>
        </w:rPr>
      </w:pPr>
    </w:p>
    <w:p w:rsidR="006E2ADB" w:rsidRDefault="006E2ADB" w:rsidP="006E2ADB">
      <w:pPr>
        <w:widowControl/>
        <w:ind w:left="720"/>
        <w:rPr>
          <w:rFonts w:ascii="Times New Roman" w:hAnsi="Times New Roman"/>
        </w:rPr>
      </w:pPr>
    </w:p>
    <w:p w:rsidR="006E2ADB" w:rsidRDefault="006E2ADB" w:rsidP="006E2ADB">
      <w:pPr>
        <w:widowControl/>
        <w:ind w:left="720"/>
        <w:rPr>
          <w:rFonts w:ascii="Times New Roman" w:hAnsi="Times New Roman"/>
        </w:rPr>
      </w:pPr>
    </w:p>
    <w:p w:rsidR="006E2ADB" w:rsidRPr="00235B48" w:rsidRDefault="006E2ADB" w:rsidP="006E2ADB">
      <w:pPr>
        <w:widowControl/>
        <w:ind w:left="720"/>
        <w:rPr>
          <w:rFonts w:ascii="Times New Roman" w:hAnsi="Times New Roman"/>
        </w:rPr>
      </w:pPr>
    </w:p>
    <w:p w:rsidR="00F3670F" w:rsidRPr="00235B48" w:rsidRDefault="00F3670F" w:rsidP="006E2ADB">
      <w:pPr>
        <w:pStyle w:val="Quick1"/>
        <w:widowControl/>
        <w:numPr>
          <w:ilvl w:val="0"/>
          <w:numId w:val="1"/>
        </w:numPr>
        <w:tabs>
          <w:tab w:val="left" w:pos="-1440"/>
          <w:tab w:val="num" w:pos="720"/>
        </w:tabs>
        <w:rPr>
          <w:rFonts w:ascii="Times New Roman" w:hAnsi="Times New Roman"/>
        </w:rPr>
      </w:pPr>
      <w:r w:rsidRPr="00235B48">
        <w:rPr>
          <w:rFonts w:ascii="Times New Roman" w:hAnsi="Times New Roman"/>
          <w:sz w:val="20"/>
          <w:szCs w:val="20"/>
        </w:rPr>
        <w:lastRenderedPageBreak/>
        <w:t>Indicate how, by whom, and for what purpose the information is to be used.  Except for a new collection, indicate the actual use the agency has made of the information received from the current collection.</w:t>
      </w:r>
    </w:p>
    <w:p w:rsidR="00F3670F" w:rsidRPr="00235B48" w:rsidRDefault="00F3670F" w:rsidP="006E2ADB">
      <w:pPr>
        <w:widowControl/>
        <w:ind w:left="720"/>
        <w:rPr>
          <w:rFonts w:ascii="Times New Roman" w:hAnsi="Times New Roman"/>
        </w:rPr>
      </w:pPr>
    </w:p>
    <w:p w:rsidR="00B16F95" w:rsidRDefault="0074170C" w:rsidP="006E2ADB">
      <w:pPr>
        <w:widowControl/>
        <w:ind w:left="720"/>
        <w:rPr>
          <w:rFonts w:ascii="Times New Roman" w:hAnsi="Times New Roman"/>
        </w:rPr>
      </w:pPr>
      <w:r>
        <w:rPr>
          <w:rFonts w:ascii="Times New Roman" w:hAnsi="Times New Roman"/>
        </w:rPr>
        <w:t>As discussed above, the Departm</w:t>
      </w:r>
      <w:r w:rsidR="00DC5C00">
        <w:rPr>
          <w:rFonts w:ascii="Times New Roman" w:hAnsi="Times New Roman"/>
        </w:rPr>
        <w:t xml:space="preserve">ent has designed </w:t>
      </w:r>
      <w:r w:rsidR="00D87BC0">
        <w:rPr>
          <w:rFonts w:ascii="Times New Roman" w:hAnsi="Times New Roman"/>
        </w:rPr>
        <w:t>carve-outs</w:t>
      </w:r>
      <w:r w:rsidR="00DC5C00">
        <w:rPr>
          <w:rFonts w:ascii="Times New Roman" w:hAnsi="Times New Roman"/>
        </w:rPr>
        <w:t xml:space="preserve"> </w:t>
      </w:r>
      <w:r w:rsidR="003C23D4">
        <w:rPr>
          <w:rFonts w:ascii="Times New Roman" w:hAnsi="Times New Roman"/>
        </w:rPr>
        <w:t>that ex</w:t>
      </w:r>
      <w:r w:rsidR="00895351">
        <w:rPr>
          <w:rFonts w:ascii="Times New Roman" w:hAnsi="Times New Roman"/>
        </w:rPr>
        <w:t>clude</w:t>
      </w:r>
      <w:r w:rsidR="003C23D4">
        <w:rPr>
          <w:rFonts w:ascii="Times New Roman" w:hAnsi="Times New Roman"/>
        </w:rPr>
        <w:t xml:space="preserve"> from </w:t>
      </w:r>
      <w:r w:rsidR="00DC5C00">
        <w:rPr>
          <w:rFonts w:ascii="Times New Roman" w:hAnsi="Times New Roman"/>
        </w:rPr>
        <w:t xml:space="preserve">the investment advice fiduciary definition </w:t>
      </w:r>
      <w:r>
        <w:rPr>
          <w:rFonts w:ascii="Times New Roman" w:hAnsi="Times New Roman"/>
        </w:rPr>
        <w:t xml:space="preserve">communications that the Department believes Congress did not intend to cover as fiduciary investment advice. </w:t>
      </w:r>
      <w:r w:rsidR="00E90E57">
        <w:rPr>
          <w:rFonts w:ascii="Times New Roman" w:hAnsi="Times New Roman"/>
        </w:rPr>
        <w:t xml:space="preserve"> </w:t>
      </w:r>
      <w:r>
        <w:rPr>
          <w:rFonts w:ascii="Times New Roman" w:hAnsi="Times New Roman"/>
        </w:rPr>
        <w:t xml:space="preserve">However, the </w:t>
      </w:r>
      <w:r w:rsidR="00895351">
        <w:rPr>
          <w:rFonts w:ascii="Times New Roman" w:hAnsi="Times New Roman"/>
        </w:rPr>
        <w:t>carve-outs</w:t>
      </w:r>
      <w:r>
        <w:rPr>
          <w:rFonts w:ascii="Times New Roman" w:hAnsi="Times New Roman"/>
        </w:rPr>
        <w:t xml:space="preserve"> ar</w:t>
      </w:r>
      <w:r w:rsidR="00D33206">
        <w:rPr>
          <w:rFonts w:ascii="Times New Roman" w:hAnsi="Times New Roman"/>
        </w:rPr>
        <w:t xml:space="preserve">e subject to conditions that </w:t>
      </w:r>
      <w:r>
        <w:rPr>
          <w:rFonts w:ascii="Times New Roman" w:hAnsi="Times New Roman"/>
        </w:rPr>
        <w:t xml:space="preserve">ensure that </w:t>
      </w:r>
      <w:r w:rsidR="003C23D4">
        <w:rPr>
          <w:rFonts w:ascii="Times New Roman" w:hAnsi="Times New Roman"/>
        </w:rPr>
        <w:t>participants and beneficiaries and</w:t>
      </w:r>
      <w:r>
        <w:rPr>
          <w:rFonts w:ascii="Times New Roman" w:hAnsi="Times New Roman"/>
        </w:rPr>
        <w:t xml:space="preserve"> plan</w:t>
      </w:r>
      <w:r w:rsidR="003C23D4">
        <w:rPr>
          <w:rFonts w:ascii="Times New Roman" w:hAnsi="Times New Roman"/>
        </w:rPr>
        <w:t xml:space="preserve"> official</w:t>
      </w:r>
      <w:r>
        <w:rPr>
          <w:rFonts w:ascii="Times New Roman" w:hAnsi="Times New Roman"/>
        </w:rPr>
        <w:t xml:space="preserve">s clearly understand that the adviser is </w:t>
      </w:r>
      <w:r w:rsidR="00DC5C00">
        <w:rPr>
          <w:rFonts w:ascii="Times New Roman" w:hAnsi="Times New Roman"/>
        </w:rPr>
        <w:t xml:space="preserve">not </w:t>
      </w:r>
      <w:r>
        <w:rPr>
          <w:rFonts w:ascii="Times New Roman" w:hAnsi="Times New Roman"/>
        </w:rPr>
        <w:t xml:space="preserve">acting in a fiduciary capacity. </w:t>
      </w:r>
      <w:r w:rsidR="00CE12F8">
        <w:rPr>
          <w:rFonts w:ascii="Times New Roman" w:hAnsi="Times New Roman"/>
        </w:rPr>
        <w:t xml:space="preserve"> </w:t>
      </w:r>
      <w:r w:rsidR="00DC5C00">
        <w:rPr>
          <w:rFonts w:ascii="Times New Roman" w:hAnsi="Times New Roman"/>
        </w:rPr>
        <w:t>Service providers wi</w:t>
      </w:r>
      <w:r w:rsidR="00EB2188">
        <w:rPr>
          <w:rFonts w:ascii="Times New Roman" w:hAnsi="Times New Roman"/>
        </w:rPr>
        <w:t>ll</w:t>
      </w:r>
      <w:r w:rsidR="00DC5C00">
        <w:rPr>
          <w:rFonts w:ascii="Times New Roman" w:hAnsi="Times New Roman"/>
        </w:rPr>
        <w:t xml:space="preserve"> use this information to disclose their status to </w:t>
      </w:r>
      <w:r w:rsidR="003C23D4">
        <w:rPr>
          <w:rFonts w:ascii="Times New Roman" w:hAnsi="Times New Roman"/>
        </w:rPr>
        <w:t>their clients, and the</w:t>
      </w:r>
      <w:r w:rsidR="00EB2188">
        <w:rPr>
          <w:rFonts w:ascii="Times New Roman" w:hAnsi="Times New Roman"/>
        </w:rPr>
        <w:t>i</w:t>
      </w:r>
      <w:r w:rsidR="003C23D4">
        <w:rPr>
          <w:rFonts w:ascii="Times New Roman" w:hAnsi="Times New Roman"/>
        </w:rPr>
        <w:t xml:space="preserve">r clients will use the information to inform themselves about the status of their adviser. </w:t>
      </w:r>
      <w:r w:rsidR="00CE12F8">
        <w:rPr>
          <w:rFonts w:ascii="Times New Roman" w:hAnsi="Times New Roman"/>
        </w:rPr>
        <w:t xml:space="preserve"> </w:t>
      </w:r>
      <w:r w:rsidR="00D33206">
        <w:rPr>
          <w:rFonts w:ascii="Times New Roman" w:hAnsi="Times New Roman"/>
        </w:rPr>
        <w:t>W</w:t>
      </w:r>
      <w:r w:rsidR="00DC5C00">
        <w:rPr>
          <w:rFonts w:ascii="Times New Roman" w:hAnsi="Times New Roman"/>
        </w:rPr>
        <w:t>ithout these conditions, partici</w:t>
      </w:r>
      <w:r w:rsidR="00D33206">
        <w:rPr>
          <w:rFonts w:ascii="Times New Roman" w:hAnsi="Times New Roman"/>
        </w:rPr>
        <w:t>p</w:t>
      </w:r>
      <w:r w:rsidR="00DC5C00">
        <w:rPr>
          <w:rFonts w:ascii="Times New Roman" w:hAnsi="Times New Roman"/>
        </w:rPr>
        <w:t>a</w:t>
      </w:r>
      <w:r w:rsidR="00D33206">
        <w:rPr>
          <w:rFonts w:ascii="Times New Roman" w:hAnsi="Times New Roman"/>
        </w:rPr>
        <w:t>nts and beneficiaries, plans and IRA investor</w:t>
      </w:r>
      <w:r w:rsidR="00DC5C00">
        <w:rPr>
          <w:rFonts w:ascii="Times New Roman" w:hAnsi="Times New Roman"/>
        </w:rPr>
        <w:t>s</w:t>
      </w:r>
      <w:r w:rsidR="00D33206">
        <w:rPr>
          <w:rFonts w:ascii="Times New Roman" w:hAnsi="Times New Roman"/>
        </w:rPr>
        <w:t xml:space="preserve"> may be misled into thinking their advisers are acting in their best interests when they are not. </w:t>
      </w:r>
    </w:p>
    <w:p w:rsidR="00BE3D72" w:rsidRPr="00235B48" w:rsidRDefault="00BE3D72"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i/>
          <w:iCs/>
        </w:rPr>
      </w:pPr>
      <w:r w:rsidRPr="00235B48">
        <w:rPr>
          <w:rFonts w:ascii="Times New Roman" w:hAnsi="Times New Roman"/>
        </w:rPr>
        <w:t>3.</w:t>
      </w:r>
      <w:r w:rsidRPr="00235B48">
        <w:rPr>
          <w:rFonts w:ascii="Times New Roman" w:hAnsi="Times New Roman"/>
        </w:rPr>
        <w:tab/>
      </w:r>
      <w:r w:rsidRPr="00235B48">
        <w:rPr>
          <w:rFonts w:ascii="Times New Roman" w:hAnsi="Times New Roman"/>
          <w:i/>
          <w:iCs/>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3670F" w:rsidRPr="00235B48" w:rsidRDefault="00F3670F" w:rsidP="006E2ADB">
      <w:pPr>
        <w:widowControl/>
        <w:ind w:left="720"/>
        <w:rPr>
          <w:rFonts w:ascii="Times New Roman" w:hAnsi="Times New Roman"/>
        </w:rPr>
      </w:pPr>
    </w:p>
    <w:p w:rsidR="00747506" w:rsidRPr="00747506" w:rsidRDefault="00747506" w:rsidP="006E2ADB">
      <w:pPr>
        <w:widowControl/>
        <w:ind w:left="720"/>
        <w:rPr>
          <w:rFonts w:ascii="Times New Roman" w:hAnsi="Times New Roman"/>
        </w:rPr>
      </w:pPr>
      <w:r w:rsidRPr="00747506">
        <w:rPr>
          <w:rFonts w:ascii="Times New Roman" w:hAnsi="Times New Roman"/>
        </w:rPr>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00367BDB">
        <w:rPr>
          <w:rFonts w:ascii="Times New Roman" w:hAnsi="Times New Roman"/>
        </w:rPr>
        <w:t>ubject to specific safeguards.</w:t>
      </w:r>
    </w:p>
    <w:p w:rsidR="00747506" w:rsidRPr="00747506" w:rsidRDefault="00747506"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sz w:val="20"/>
          <w:szCs w:val="20"/>
        </w:rPr>
      </w:pPr>
      <w:r w:rsidRPr="00235B48">
        <w:rPr>
          <w:rFonts w:ascii="Times New Roman" w:hAnsi="Times New Roman"/>
        </w:rPr>
        <w:t>4.</w:t>
      </w:r>
      <w:r w:rsidRPr="00235B48">
        <w:rPr>
          <w:rFonts w:ascii="Times New Roman" w:hAnsi="Times New Roman"/>
          <w:i/>
          <w:iCs/>
        </w:rPr>
        <w:tab/>
      </w:r>
      <w:r w:rsidRPr="00235B48">
        <w:rPr>
          <w:rFonts w:ascii="Times New Roman" w:hAnsi="Times New Roman"/>
          <w:i/>
          <w:iCs/>
          <w:sz w:val="20"/>
          <w:szCs w:val="20"/>
        </w:rPr>
        <w:t xml:space="preserve">Describe efforts to identify duplication.  Show specifically why any similar information already available cannot be used or modified for use for the purposes described in Item 2 above.  </w:t>
      </w:r>
    </w:p>
    <w:p w:rsidR="00F3670F" w:rsidRPr="00235B48" w:rsidRDefault="00F3670F" w:rsidP="006E2ADB">
      <w:pPr>
        <w:widowControl/>
        <w:ind w:left="720"/>
        <w:rPr>
          <w:rFonts w:ascii="Times New Roman" w:hAnsi="Times New Roman"/>
        </w:rPr>
      </w:pPr>
    </w:p>
    <w:p w:rsidR="00BE3D72" w:rsidRDefault="004D1676" w:rsidP="006E2ADB">
      <w:pPr>
        <w:widowControl/>
        <w:ind w:left="720"/>
        <w:rPr>
          <w:rFonts w:ascii="Times New Roman" w:hAnsi="Times New Roman"/>
        </w:rPr>
      </w:pPr>
      <w:r w:rsidRPr="004D1676">
        <w:rPr>
          <w:rFonts w:ascii="Times New Roman" w:hAnsi="Times New Roman"/>
        </w:rPr>
        <w:t xml:space="preserve">The </w:t>
      </w:r>
      <w:r w:rsidR="00E84A6C">
        <w:rPr>
          <w:rFonts w:ascii="Times New Roman" w:hAnsi="Times New Roman"/>
        </w:rPr>
        <w:t>disclosure</w:t>
      </w:r>
      <w:r w:rsidR="005F4B8B">
        <w:rPr>
          <w:rFonts w:ascii="Times New Roman" w:hAnsi="Times New Roman"/>
        </w:rPr>
        <w:t>s</w:t>
      </w:r>
      <w:r w:rsidR="00E84A6C">
        <w:rPr>
          <w:rFonts w:ascii="Times New Roman" w:hAnsi="Times New Roman"/>
        </w:rPr>
        <w:t xml:space="preserve"> required by th</w:t>
      </w:r>
      <w:r w:rsidR="005F4B8B">
        <w:rPr>
          <w:rFonts w:ascii="Times New Roman" w:hAnsi="Times New Roman"/>
        </w:rPr>
        <w:t>ese</w:t>
      </w:r>
      <w:r w:rsidR="00E84A6C">
        <w:rPr>
          <w:rFonts w:ascii="Times New Roman" w:hAnsi="Times New Roman"/>
        </w:rPr>
        <w:t xml:space="preserve"> </w:t>
      </w:r>
      <w:r w:rsidR="00F24122">
        <w:rPr>
          <w:rFonts w:ascii="Times New Roman" w:hAnsi="Times New Roman"/>
        </w:rPr>
        <w:t>carve-outs</w:t>
      </w:r>
      <w:r w:rsidR="005F4B8B">
        <w:rPr>
          <w:rFonts w:ascii="Times New Roman" w:hAnsi="Times New Roman"/>
        </w:rPr>
        <w:t xml:space="preserve"> are</w:t>
      </w:r>
      <w:r w:rsidR="00E84A6C">
        <w:rPr>
          <w:rFonts w:ascii="Times New Roman" w:hAnsi="Times New Roman"/>
        </w:rPr>
        <w:t xml:space="preserve"> unique to this regulation</w:t>
      </w:r>
      <w:r w:rsidR="003C23D4">
        <w:rPr>
          <w:rFonts w:ascii="Times New Roman" w:hAnsi="Times New Roman"/>
        </w:rPr>
        <w:t>, and therefore, are not duplicative.</w:t>
      </w:r>
    </w:p>
    <w:p w:rsidR="004D1676" w:rsidRPr="00235B48" w:rsidRDefault="004D1676"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i/>
          <w:iCs/>
          <w:sz w:val="20"/>
          <w:szCs w:val="20"/>
        </w:rPr>
      </w:pPr>
      <w:r w:rsidRPr="00235B48">
        <w:rPr>
          <w:rFonts w:ascii="Times New Roman" w:hAnsi="Times New Roman"/>
        </w:rPr>
        <w:t>5.</w:t>
      </w:r>
      <w:r w:rsidRPr="00235B48">
        <w:rPr>
          <w:rFonts w:ascii="Times New Roman" w:hAnsi="Times New Roman"/>
        </w:rPr>
        <w:tab/>
      </w:r>
      <w:r w:rsidRPr="00235B48">
        <w:rPr>
          <w:rFonts w:ascii="Times New Roman" w:hAnsi="Times New Roman"/>
          <w:i/>
          <w:iCs/>
          <w:sz w:val="20"/>
          <w:szCs w:val="20"/>
        </w:rPr>
        <w:t>If the collection of information impacts small businesses or other small entities</w:t>
      </w:r>
      <w:r w:rsidR="00C21EBA" w:rsidRPr="00235B48">
        <w:rPr>
          <w:rFonts w:ascii="Times New Roman" w:hAnsi="Times New Roman"/>
          <w:i/>
          <w:iCs/>
          <w:sz w:val="20"/>
          <w:szCs w:val="20"/>
        </w:rPr>
        <w:t xml:space="preserve"> </w:t>
      </w:r>
      <w:r w:rsidRPr="00235B48">
        <w:rPr>
          <w:rFonts w:ascii="Times New Roman" w:hAnsi="Times New Roman"/>
          <w:i/>
          <w:iCs/>
          <w:sz w:val="20"/>
          <w:szCs w:val="20"/>
        </w:rPr>
        <w:t>describe any methods used to minimize burden.</w:t>
      </w:r>
    </w:p>
    <w:p w:rsidR="00F3670F" w:rsidRPr="00235B48" w:rsidRDefault="00F3670F" w:rsidP="006E2ADB">
      <w:pPr>
        <w:widowControl/>
        <w:ind w:left="720"/>
        <w:rPr>
          <w:rFonts w:ascii="Times New Roman" w:hAnsi="Times New Roman"/>
        </w:rPr>
      </w:pPr>
    </w:p>
    <w:p w:rsidR="0049266B" w:rsidRDefault="00B6305C" w:rsidP="006E2ADB">
      <w:pPr>
        <w:widowControl/>
        <w:ind w:left="720"/>
        <w:rPr>
          <w:rFonts w:ascii="Times New Roman" w:hAnsi="Times New Roman"/>
        </w:rPr>
      </w:pPr>
      <w:r>
        <w:rPr>
          <w:rFonts w:ascii="Times New Roman" w:hAnsi="Times New Roman"/>
        </w:rPr>
        <w:t>The</w:t>
      </w:r>
      <w:r w:rsidR="003C23D4">
        <w:rPr>
          <w:rFonts w:ascii="Times New Roman" w:hAnsi="Times New Roman"/>
        </w:rPr>
        <w:t>se</w:t>
      </w:r>
      <w:r>
        <w:rPr>
          <w:rFonts w:ascii="Times New Roman" w:hAnsi="Times New Roman"/>
        </w:rPr>
        <w:t xml:space="preserve"> information collection</w:t>
      </w:r>
      <w:r w:rsidR="003C23D4">
        <w:rPr>
          <w:rFonts w:ascii="Times New Roman" w:hAnsi="Times New Roman"/>
        </w:rPr>
        <w:t xml:space="preserve">s impose a </w:t>
      </w:r>
      <w:r>
        <w:rPr>
          <w:rFonts w:ascii="Times New Roman" w:hAnsi="Times New Roman"/>
        </w:rPr>
        <w:t xml:space="preserve">minimal burden </w:t>
      </w:r>
      <w:r w:rsidR="003C23D4">
        <w:rPr>
          <w:rFonts w:ascii="Times New Roman" w:hAnsi="Times New Roman"/>
        </w:rPr>
        <w:t>on service providers that is necessary to protect the interest of participants and be</w:t>
      </w:r>
      <w:r w:rsidR="007B525B">
        <w:rPr>
          <w:rFonts w:ascii="Times New Roman" w:hAnsi="Times New Roman"/>
        </w:rPr>
        <w:t>neficiaries and plan officials.</w:t>
      </w:r>
    </w:p>
    <w:p w:rsidR="007B525B" w:rsidRPr="00235B48" w:rsidRDefault="007B525B"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rPr>
      </w:pPr>
      <w:r w:rsidRPr="00235B48">
        <w:rPr>
          <w:rFonts w:ascii="Times New Roman" w:hAnsi="Times New Roman"/>
        </w:rPr>
        <w:lastRenderedPageBreak/>
        <w:t>6.</w:t>
      </w:r>
      <w:r w:rsidRPr="00235B48">
        <w:rPr>
          <w:rFonts w:ascii="Times New Roman" w:hAnsi="Times New Roman"/>
        </w:rPr>
        <w:tab/>
      </w:r>
      <w:r w:rsidRPr="00235B48">
        <w:rPr>
          <w:rFonts w:ascii="Times New Roman" w:hAnsi="Times New Roman"/>
          <w:i/>
          <w:iCs/>
          <w:sz w:val="20"/>
          <w:szCs w:val="20"/>
        </w:rPr>
        <w:t>Describe the consequence to Federal program or policy activities if the collection is not conducted or is conducted less frequently, as well as any technical or legal obstacles to reducing burden.</w:t>
      </w:r>
    </w:p>
    <w:p w:rsidR="00F3670F" w:rsidRPr="00235B48" w:rsidRDefault="00F3670F" w:rsidP="006E2ADB">
      <w:pPr>
        <w:widowControl/>
        <w:ind w:left="720"/>
        <w:rPr>
          <w:rFonts w:ascii="Times New Roman" w:hAnsi="Times New Roman"/>
        </w:rPr>
      </w:pPr>
    </w:p>
    <w:p w:rsidR="00F3670F" w:rsidRDefault="003C23D4" w:rsidP="006E2ADB">
      <w:pPr>
        <w:widowControl/>
        <w:ind w:left="720"/>
        <w:rPr>
          <w:rFonts w:ascii="Times New Roman" w:hAnsi="Times New Roman"/>
        </w:rPr>
      </w:pPr>
      <w:r>
        <w:rPr>
          <w:rFonts w:ascii="Times New Roman" w:hAnsi="Times New Roman"/>
        </w:rPr>
        <w:t>If this collection were not conducted, participants and beneficiaries could be misled into believing that their advisers are serv</w:t>
      </w:r>
      <w:r w:rsidR="007B525B">
        <w:rPr>
          <w:rFonts w:ascii="Times New Roman" w:hAnsi="Times New Roman"/>
        </w:rPr>
        <w:t xml:space="preserve">ing them </w:t>
      </w:r>
      <w:r w:rsidR="00F24122">
        <w:rPr>
          <w:rFonts w:ascii="Times New Roman" w:hAnsi="Times New Roman"/>
        </w:rPr>
        <w:t>in a fiduciary capacity</w:t>
      </w:r>
      <w:r w:rsidR="007B525B">
        <w:rPr>
          <w:rFonts w:ascii="Times New Roman" w:hAnsi="Times New Roman"/>
        </w:rPr>
        <w:t>.</w:t>
      </w:r>
    </w:p>
    <w:p w:rsidR="00360DC4" w:rsidRPr="00235B48" w:rsidRDefault="00360DC4" w:rsidP="006E2ADB">
      <w:pPr>
        <w:widowControl/>
        <w:ind w:left="720"/>
        <w:rPr>
          <w:rFonts w:ascii="Times New Roman" w:hAnsi="Times New Roman"/>
        </w:rPr>
      </w:pPr>
    </w:p>
    <w:p w:rsidR="00F3670F" w:rsidRPr="00235B48" w:rsidRDefault="00F3670F" w:rsidP="006E2ADB">
      <w:pPr>
        <w:pStyle w:val="Quick1"/>
        <w:widowControl/>
        <w:numPr>
          <w:ilvl w:val="0"/>
          <w:numId w:val="2"/>
        </w:numPr>
        <w:tabs>
          <w:tab w:val="left" w:pos="-1440"/>
          <w:tab w:val="num" w:pos="720"/>
        </w:tabs>
        <w:rPr>
          <w:rFonts w:ascii="Times New Roman" w:hAnsi="Times New Roman"/>
          <w:i/>
          <w:iCs/>
          <w:sz w:val="20"/>
          <w:szCs w:val="20"/>
        </w:rPr>
      </w:pPr>
      <w:r w:rsidRPr="00235B48">
        <w:rPr>
          <w:rFonts w:ascii="Times New Roman" w:hAnsi="Times New Roman"/>
          <w:i/>
          <w:iCs/>
          <w:sz w:val="20"/>
          <w:szCs w:val="20"/>
        </w:rPr>
        <w:t>Explain any special circumstances that would cause an information collection to be conducted in a manner:</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r>
      <w:proofErr w:type="gramStart"/>
      <w:r w:rsidRPr="00235B48">
        <w:rPr>
          <w:rFonts w:ascii="Times New Roman" w:hAnsi="Times New Roman"/>
          <w:i/>
          <w:iCs/>
          <w:sz w:val="20"/>
          <w:szCs w:val="20"/>
        </w:rPr>
        <w:t>requiring</w:t>
      </w:r>
      <w:proofErr w:type="gramEnd"/>
      <w:r w:rsidRPr="00235B48">
        <w:rPr>
          <w:rFonts w:ascii="Times New Roman" w:hAnsi="Times New Roman"/>
          <w:i/>
          <w:iCs/>
          <w:sz w:val="20"/>
          <w:szCs w:val="20"/>
        </w:rPr>
        <w:t xml:space="preserve"> respondents to report information to the agency more often than quarterly;</w:t>
      </w: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r>
      <w:proofErr w:type="gramStart"/>
      <w:r w:rsidRPr="00235B48">
        <w:rPr>
          <w:rFonts w:ascii="Times New Roman" w:hAnsi="Times New Roman"/>
          <w:i/>
          <w:iCs/>
          <w:sz w:val="20"/>
          <w:szCs w:val="20"/>
        </w:rPr>
        <w:t>requiring</w:t>
      </w:r>
      <w:proofErr w:type="gramEnd"/>
      <w:r w:rsidRPr="00235B48">
        <w:rPr>
          <w:rFonts w:ascii="Times New Roman" w:hAnsi="Times New Roman"/>
          <w:i/>
          <w:iCs/>
          <w:sz w:val="20"/>
          <w:szCs w:val="20"/>
        </w:rPr>
        <w:t xml:space="preserve"> respondents to prepare a written response to a collection of information in fewer than 30 days after receipt of it;</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r>
      <w:proofErr w:type="gramStart"/>
      <w:r w:rsidRPr="00235B48">
        <w:rPr>
          <w:rFonts w:ascii="Times New Roman" w:hAnsi="Times New Roman"/>
          <w:i/>
          <w:iCs/>
          <w:sz w:val="20"/>
          <w:szCs w:val="20"/>
        </w:rPr>
        <w:t>requiring</w:t>
      </w:r>
      <w:proofErr w:type="gramEnd"/>
      <w:r w:rsidRPr="00235B48">
        <w:rPr>
          <w:rFonts w:ascii="Times New Roman" w:hAnsi="Times New Roman"/>
          <w:i/>
          <w:iCs/>
          <w:sz w:val="20"/>
          <w:szCs w:val="20"/>
        </w:rPr>
        <w:t xml:space="preserve"> respondents to submit more than an original and two copies of any document;</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r>
      <w:proofErr w:type="gramStart"/>
      <w:r w:rsidRPr="00235B48">
        <w:rPr>
          <w:rFonts w:ascii="Times New Roman" w:hAnsi="Times New Roman"/>
          <w:i/>
          <w:iCs/>
          <w:sz w:val="20"/>
          <w:szCs w:val="20"/>
        </w:rPr>
        <w:t>requiring</w:t>
      </w:r>
      <w:proofErr w:type="gramEnd"/>
      <w:r w:rsidRPr="00235B48">
        <w:rPr>
          <w:rFonts w:ascii="Times New Roman" w:hAnsi="Times New Roman"/>
          <w:i/>
          <w:iCs/>
          <w:sz w:val="20"/>
          <w:szCs w:val="20"/>
        </w:rPr>
        <w:t xml:space="preserve"> respondents to retain records, other than health, medical, government contract, grant-in-aid, or tax records for more than three years;</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r>
      <w:proofErr w:type="gramStart"/>
      <w:r w:rsidRPr="00235B48">
        <w:rPr>
          <w:rFonts w:ascii="Times New Roman" w:hAnsi="Times New Roman"/>
          <w:i/>
          <w:iCs/>
          <w:sz w:val="20"/>
          <w:szCs w:val="20"/>
        </w:rPr>
        <w:t>in</w:t>
      </w:r>
      <w:proofErr w:type="gramEnd"/>
      <w:r w:rsidRPr="00235B48">
        <w:rPr>
          <w:rFonts w:ascii="Times New Roman" w:hAnsi="Times New Roman"/>
          <w:i/>
          <w:iCs/>
          <w:sz w:val="20"/>
          <w:szCs w:val="20"/>
        </w:rPr>
        <w:t xml:space="preserve"> connection with a statistical survey, that is not designed to produce valid and reliable results that can be generalized to the universe of study;</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r>
      <w:proofErr w:type="gramStart"/>
      <w:r w:rsidRPr="00235B48">
        <w:rPr>
          <w:rFonts w:ascii="Times New Roman" w:hAnsi="Times New Roman"/>
          <w:i/>
          <w:iCs/>
          <w:sz w:val="20"/>
          <w:szCs w:val="20"/>
        </w:rPr>
        <w:t>requiring</w:t>
      </w:r>
      <w:proofErr w:type="gramEnd"/>
      <w:r w:rsidRPr="00235B48">
        <w:rPr>
          <w:rFonts w:ascii="Times New Roman" w:hAnsi="Times New Roman"/>
          <w:i/>
          <w:iCs/>
          <w:sz w:val="20"/>
          <w:szCs w:val="20"/>
        </w:rPr>
        <w:t xml:space="preserve"> the use of a statistical data classification that has not been reviewed and approved by OMB;</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pStyle w:val="BodyTextIndent2"/>
        <w:widowControl/>
      </w:pPr>
      <w:r w:rsidRPr="00235B48">
        <w:t>•</w:t>
      </w:r>
      <w:r w:rsidRPr="00235B48">
        <w:tab/>
      </w:r>
      <w:proofErr w:type="gramStart"/>
      <w:r w:rsidRPr="00235B48">
        <w:t>that</w:t>
      </w:r>
      <w:proofErr w:type="gramEnd"/>
      <w:r w:rsidRPr="00235B48">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r>
      <w:proofErr w:type="gramStart"/>
      <w:r w:rsidRPr="00235B48">
        <w:rPr>
          <w:rFonts w:ascii="Times New Roman" w:hAnsi="Times New Roman"/>
          <w:i/>
          <w:iCs/>
          <w:sz w:val="20"/>
          <w:szCs w:val="20"/>
        </w:rPr>
        <w:t>requiring</w:t>
      </w:r>
      <w:proofErr w:type="gramEnd"/>
      <w:r w:rsidRPr="00235B48">
        <w:rPr>
          <w:rFonts w:ascii="Times New Roman" w:hAnsi="Times New Roman"/>
          <w:i/>
          <w:iCs/>
          <w:sz w:val="20"/>
          <w:szCs w:val="20"/>
        </w:rPr>
        <w:t xml:space="preserve"> respondents to submit proprietary trade secret, or other confidential information unless the agency can demonstrate that it has instituted procedures to protect the information's confidentiality to the extent permitted by law.</w:t>
      </w:r>
    </w:p>
    <w:p w:rsidR="00F3670F" w:rsidRPr="00235B48" w:rsidRDefault="00F3670F" w:rsidP="006E2ADB">
      <w:pPr>
        <w:widowControl/>
        <w:ind w:left="720"/>
        <w:rPr>
          <w:rFonts w:ascii="Times New Roman" w:hAnsi="Times New Roman"/>
        </w:rPr>
      </w:pPr>
    </w:p>
    <w:p w:rsidR="00BE3D72" w:rsidRPr="00235B48" w:rsidRDefault="00B06B58" w:rsidP="006E2ADB">
      <w:pPr>
        <w:widowControl/>
        <w:ind w:left="720"/>
        <w:rPr>
          <w:rFonts w:ascii="Times New Roman" w:hAnsi="Times New Roman"/>
        </w:rPr>
      </w:pPr>
      <w:r w:rsidRPr="00235B48">
        <w:rPr>
          <w:rFonts w:ascii="Times New Roman" w:hAnsi="Times New Roman"/>
        </w:rPr>
        <w:t>Not applicable.</w:t>
      </w:r>
    </w:p>
    <w:p w:rsidR="00F3670F" w:rsidRPr="00235B48" w:rsidRDefault="00F3670F"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i/>
          <w:iCs/>
          <w:sz w:val="20"/>
          <w:szCs w:val="20"/>
        </w:rPr>
      </w:pPr>
      <w:r w:rsidRPr="00235B48">
        <w:rPr>
          <w:rFonts w:ascii="Times New Roman" w:hAnsi="Times New Roman"/>
        </w:rPr>
        <w:t>8.</w:t>
      </w:r>
      <w:r w:rsidRPr="00235B48">
        <w:rPr>
          <w:rFonts w:ascii="Times New Roman" w:hAnsi="Times New Roman"/>
        </w:rPr>
        <w:tab/>
      </w:r>
      <w:r w:rsidRPr="00235B48">
        <w:rPr>
          <w:rFonts w:ascii="Times New Roman" w:hAnsi="Times New Roman"/>
          <w:i/>
          <w:iCs/>
          <w:sz w:val="2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ind w:left="720"/>
        <w:rPr>
          <w:rFonts w:ascii="Times New Roman" w:hAnsi="Times New Roman"/>
          <w:i/>
          <w:iCs/>
          <w:sz w:val="20"/>
          <w:szCs w:val="20"/>
        </w:rPr>
      </w:pPr>
      <w:r w:rsidRPr="00235B48">
        <w:rPr>
          <w:rFonts w:ascii="Times New Roman" w:hAnsi="Times New Roman"/>
          <w:i/>
          <w:i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ind w:left="720"/>
        <w:rPr>
          <w:rFonts w:ascii="Times New Roman" w:hAnsi="Times New Roman"/>
          <w:i/>
          <w:iCs/>
        </w:rPr>
      </w:pPr>
      <w:r w:rsidRPr="00235B48">
        <w:rPr>
          <w:rFonts w:ascii="Times New Roman" w:hAnsi="Times New Roman"/>
          <w:i/>
          <w:iCs/>
          <w:sz w:val="20"/>
          <w:szCs w:val="20"/>
        </w:rPr>
        <w:t xml:space="preserve">Consultation with representatives of those from whom information is to be obtained or those who must compile records should occur at least once every 3 years -- even if the collection of information activity is </w:t>
      </w:r>
      <w:r w:rsidRPr="00235B48">
        <w:rPr>
          <w:rFonts w:ascii="Times New Roman" w:hAnsi="Times New Roman"/>
          <w:i/>
          <w:iCs/>
          <w:sz w:val="20"/>
          <w:szCs w:val="20"/>
        </w:rPr>
        <w:lastRenderedPageBreak/>
        <w:t>the same as in prior periods.  There may be circumstances that may preclude consultation in a specific situation.  These circumstances should be explained.</w:t>
      </w:r>
    </w:p>
    <w:p w:rsidR="00F3670F" w:rsidRPr="00235B48" w:rsidRDefault="00F3670F" w:rsidP="006E2ADB">
      <w:pPr>
        <w:widowControl/>
        <w:ind w:left="720"/>
        <w:rPr>
          <w:rFonts w:ascii="Times New Roman" w:hAnsi="Times New Roman"/>
        </w:rPr>
      </w:pPr>
    </w:p>
    <w:p w:rsidR="003C23D4" w:rsidRDefault="003C23D4" w:rsidP="006E2ADB">
      <w:pPr>
        <w:widowControl/>
        <w:ind w:left="720"/>
        <w:rPr>
          <w:rFonts w:ascii="Times New Roman" w:hAnsi="Times New Roman"/>
        </w:rPr>
      </w:pPr>
      <w:r>
        <w:rPr>
          <w:rFonts w:ascii="Times New Roman" w:hAnsi="Times New Roman"/>
        </w:rPr>
        <w:t>I</w:t>
      </w:r>
      <w:r w:rsidRPr="004E2E93">
        <w:rPr>
          <w:rFonts w:ascii="Times New Roman" w:hAnsi="Times New Roman"/>
        </w:rPr>
        <w:t>n accordance with 5 CFR 1320.</w:t>
      </w:r>
      <w:r>
        <w:rPr>
          <w:rFonts w:ascii="Times New Roman" w:hAnsi="Times New Roman"/>
        </w:rPr>
        <w:t xml:space="preserve">11, the proposed rule provides the public with 60 days to </w:t>
      </w:r>
      <w:r w:rsidRPr="004E2E93">
        <w:rPr>
          <w:rFonts w:ascii="Times New Roman" w:hAnsi="Times New Roman"/>
        </w:rPr>
        <w:t xml:space="preserve">comment on the </w:t>
      </w:r>
      <w:r>
        <w:rPr>
          <w:rFonts w:ascii="Times New Roman" w:hAnsi="Times New Roman"/>
        </w:rPr>
        <w:t xml:space="preserve">information </w:t>
      </w:r>
      <w:r w:rsidRPr="004E2E93">
        <w:rPr>
          <w:rFonts w:ascii="Times New Roman" w:hAnsi="Times New Roman"/>
        </w:rPr>
        <w:t>collection</w:t>
      </w:r>
      <w:r>
        <w:rPr>
          <w:rFonts w:ascii="Times New Roman" w:hAnsi="Times New Roman"/>
        </w:rPr>
        <w:t>s</w:t>
      </w:r>
      <w:r w:rsidRPr="004E2E93">
        <w:rPr>
          <w:rFonts w:ascii="Times New Roman" w:hAnsi="Times New Roman"/>
        </w:rPr>
        <w:t xml:space="preserve"> and burden estimates.</w:t>
      </w:r>
    </w:p>
    <w:p w:rsidR="00F3670F" w:rsidRPr="00235B48" w:rsidRDefault="00F3670F" w:rsidP="006E2ADB">
      <w:pPr>
        <w:widowControl/>
        <w:ind w:left="720"/>
        <w:rPr>
          <w:rFonts w:ascii="Times New Roman" w:hAnsi="Times New Roman"/>
        </w:rPr>
      </w:pPr>
    </w:p>
    <w:p w:rsidR="00F3670F" w:rsidRPr="00235B48" w:rsidRDefault="00F3670F" w:rsidP="006E2ADB">
      <w:pPr>
        <w:pStyle w:val="Quick1"/>
        <w:widowControl/>
        <w:numPr>
          <w:ilvl w:val="0"/>
          <w:numId w:val="3"/>
        </w:numPr>
        <w:tabs>
          <w:tab w:val="left" w:pos="-1440"/>
          <w:tab w:val="num" w:pos="720"/>
        </w:tabs>
        <w:rPr>
          <w:rFonts w:ascii="Times New Roman" w:hAnsi="Times New Roman"/>
          <w:i/>
          <w:iCs/>
        </w:rPr>
      </w:pPr>
      <w:r w:rsidRPr="00235B48">
        <w:rPr>
          <w:rFonts w:ascii="Times New Roman" w:hAnsi="Times New Roman"/>
          <w:i/>
          <w:iCs/>
          <w:sz w:val="20"/>
          <w:szCs w:val="20"/>
        </w:rPr>
        <w:t>Explain any decision to provide any payment or gift to respondents, other than remuneration of contractors or grantees.</w:t>
      </w:r>
    </w:p>
    <w:p w:rsidR="00F3670F" w:rsidRPr="00235B48" w:rsidRDefault="00F3670F" w:rsidP="006E2ADB">
      <w:pPr>
        <w:widowControl/>
        <w:ind w:left="720"/>
        <w:rPr>
          <w:rFonts w:ascii="Times New Roman" w:hAnsi="Times New Roman"/>
        </w:rPr>
      </w:pPr>
    </w:p>
    <w:p w:rsidR="00F3670F" w:rsidRPr="00235B48" w:rsidRDefault="00F3670F" w:rsidP="006E2ADB">
      <w:pPr>
        <w:widowControl/>
        <w:ind w:left="720"/>
        <w:outlineLvl w:val="0"/>
        <w:rPr>
          <w:rFonts w:ascii="Times New Roman" w:hAnsi="Times New Roman"/>
        </w:rPr>
      </w:pPr>
      <w:r w:rsidRPr="00235B48">
        <w:rPr>
          <w:rFonts w:ascii="Times New Roman" w:hAnsi="Times New Roman"/>
        </w:rPr>
        <w:t>No payments or gifts are provided to respondents.</w:t>
      </w:r>
    </w:p>
    <w:p w:rsidR="00F3670F" w:rsidRPr="00235B48" w:rsidRDefault="00F3670F"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i/>
          <w:iCs/>
          <w:sz w:val="20"/>
          <w:szCs w:val="20"/>
        </w:rPr>
      </w:pPr>
      <w:r w:rsidRPr="00235B48">
        <w:rPr>
          <w:rFonts w:ascii="Times New Roman" w:hAnsi="Times New Roman"/>
        </w:rPr>
        <w:t>10.</w:t>
      </w:r>
      <w:r w:rsidRPr="00235B48">
        <w:rPr>
          <w:rFonts w:ascii="Times New Roman" w:hAnsi="Times New Roman"/>
        </w:rPr>
        <w:tab/>
      </w:r>
      <w:r w:rsidRPr="00235B48">
        <w:rPr>
          <w:rFonts w:ascii="Times New Roman" w:hAnsi="Times New Roman"/>
          <w:i/>
          <w:iCs/>
          <w:sz w:val="20"/>
          <w:szCs w:val="20"/>
        </w:rPr>
        <w:t>Describe any assurance of confidentiality provided to respondents and the basis for the assurance in statute, regulation, or agency policy.</w:t>
      </w:r>
    </w:p>
    <w:p w:rsidR="00F3670F" w:rsidRPr="00235B48" w:rsidRDefault="00F3670F" w:rsidP="006E2ADB">
      <w:pPr>
        <w:widowControl/>
        <w:ind w:left="720"/>
        <w:rPr>
          <w:rFonts w:ascii="Times New Roman" w:hAnsi="Times New Roman"/>
        </w:rPr>
      </w:pPr>
    </w:p>
    <w:p w:rsidR="00AF6A04" w:rsidRDefault="00AF6A04" w:rsidP="006E2ADB">
      <w:pPr>
        <w:widowControl/>
        <w:ind w:left="720"/>
        <w:rPr>
          <w:rFonts w:ascii="Times New Roman" w:hAnsi="Times New Roman"/>
        </w:rPr>
      </w:pPr>
      <w:r>
        <w:rPr>
          <w:rFonts w:ascii="Times New Roman" w:hAnsi="Times New Roman"/>
        </w:rPr>
        <w:t>No assurance of confidentiality was provided.</w:t>
      </w:r>
    </w:p>
    <w:p w:rsidR="00F3670F" w:rsidRPr="00235B48" w:rsidRDefault="00F3670F"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i/>
          <w:iCs/>
        </w:rPr>
      </w:pPr>
      <w:r w:rsidRPr="00235B48">
        <w:rPr>
          <w:rFonts w:ascii="Times New Roman" w:hAnsi="Times New Roman"/>
        </w:rPr>
        <w:t>11.</w:t>
      </w:r>
      <w:r w:rsidRPr="00235B48">
        <w:rPr>
          <w:rFonts w:ascii="Times New Roman" w:hAnsi="Times New Roman"/>
        </w:rPr>
        <w:tab/>
      </w:r>
      <w:r w:rsidRPr="00235B48">
        <w:rPr>
          <w:rFonts w:ascii="Times New Roman" w:hAnsi="Times New Roman"/>
          <w:i/>
          <w:iCs/>
          <w:sz w:val="20"/>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w:t>
      </w:r>
      <w:proofErr w:type="gramStart"/>
      <w:r w:rsidRPr="00235B48">
        <w:rPr>
          <w:rFonts w:ascii="Times New Roman" w:hAnsi="Times New Roman"/>
          <w:i/>
          <w:iCs/>
          <w:sz w:val="20"/>
          <w:szCs w:val="20"/>
        </w:rPr>
        <w:t>necessary,</w:t>
      </w:r>
      <w:proofErr w:type="gramEnd"/>
      <w:r w:rsidRPr="00235B48">
        <w:rPr>
          <w:rFonts w:ascii="Times New Roman" w:hAnsi="Times New Roman"/>
          <w:i/>
          <w:iCs/>
          <w:sz w:val="20"/>
          <w:szCs w:val="20"/>
        </w:rPr>
        <w:t xml:space="preserve"> the specific uses to be made of the information, the explanation to be given to persons from whom the information is requested, and any steps to be taken to obtain their consent.</w:t>
      </w:r>
    </w:p>
    <w:p w:rsidR="00F3670F" w:rsidRPr="00235B48" w:rsidRDefault="00F3670F" w:rsidP="006E2ADB">
      <w:pPr>
        <w:widowControl/>
        <w:ind w:left="720"/>
        <w:rPr>
          <w:rFonts w:ascii="Times New Roman" w:hAnsi="Times New Roman"/>
          <w:i/>
          <w:iCs/>
        </w:rPr>
      </w:pPr>
    </w:p>
    <w:p w:rsidR="00BE3D72" w:rsidRPr="00235B48" w:rsidRDefault="00B06B58" w:rsidP="006E2ADB">
      <w:pPr>
        <w:widowControl/>
        <w:ind w:left="720"/>
        <w:outlineLvl w:val="0"/>
        <w:rPr>
          <w:rFonts w:ascii="Times New Roman" w:hAnsi="Times New Roman"/>
          <w:i/>
          <w:iCs/>
        </w:rPr>
      </w:pPr>
      <w:r w:rsidRPr="00235B48">
        <w:rPr>
          <w:rFonts w:ascii="Times New Roman" w:hAnsi="Times New Roman"/>
          <w:iCs/>
        </w:rPr>
        <w:t>There are no questions of the nature described.</w:t>
      </w:r>
    </w:p>
    <w:p w:rsidR="00F3670F" w:rsidRPr="00235B48" w:rsidRDefault="00F3670F"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i/>
          <w:iCs/>
          <w:sz w:val="20"/>
          <w:szCs w:val="20"/>
        </w:rPr>
      </w:pPr>
      <w:r w:rsidRPr="00235B48">
        <w:rPr>
          <w:rFonts w:ascii="Times New Roman" w:hAnsi="Times New Roman"/>
        </w:rPr>
        <w:t>12.</w:t>
      </w:r>
      <w:r w:rsidRPr="00235B48">
        <w:rPr>
          <w:rFonts w:ascii="Times New Roman" w:hAnsi="Times New Roman"/>
        </w:rPr>
        <w:tab/>
      </w:r>
      <w:r w:rsidRPr="00235B48">
        <w:rPr>
          <w:rFonts w:ascii="Times New Roman" w:hAnsi="Times New Roman"/>
          <w:i/>
          <w:iCs/>
          <w:sz w:val="20"/>
          <w:szCs w:val="20"/>
        </w:rPr>
        <w:t>Provide estimates of the hour burden of the collection of information.  The statement should:</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r>
      <w:proofErr w:type="gramStart"/>
      <w:r w:rsidRPr="00235B48">
        <w:rPr>
          <w:rFonts w:ascii="Times New Roman" w:hAnsi="Times New Roman"/>
          <w:i/>
          <w:iCs/>
          <w:sz w:val="20"/>
          <w:szCs w:val="20"/>
        </w:rPr>
        <w:t>If</w:t>
      </w:r>
      <w:proofErr w:type="gramEnd"/>
      <w:r w:rsidRPr="00235B48">
        <w:rPr>
          <w:rFonts w:ascii="Times New Roman" w:hAnsi="Times New Roman"/>
          <w:i/>
          <w:iCs/>
          <w:sz w:val="20"/>
          <w:szCs w:val="20"/>
        </w:rPr>
        <w:t xml:space="preserve"> this request for approval covers more than one form, provide separate hour burden estimates for each form and aggregate the hour burdens</w:t>
      </w:r>
      <w:r w:rsidR="00C21EBA" w:rsidRPr="00235B48">
        <w:rPr>
          <w:rFonts w:ascii="Times New Roman" w:hAnsi="Times New Roman"/>
          <w:i/>
          <w:iCs/>
          <w:sz w:val="20"/>
          <w:szCs w:val="20"/>
        </w:rPr>
        <w:t xml:space="preserve">. </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rPr>
      </w:pPr>
      <w:r w:rsidRPr="00235B48">
        <w:rPr>
          <w:rFonts w:ascii="Times New Roman" w:hAnsi="Times New Roman"/>
          <w:i/>
          <w:iCs/>
          <w:sz w:val="20"/>
          <w:szCs w:val="20"/>
        </w:rPr>
        <w:t>•</w:t>
      </w:r>
      <w:r w:rsidRPr="00235B48">
        <w:rPr>
          <w:rFonts w:ascii="Times New Roman" w:hAnsi="Times New Roman"/>
          <w:i/>
          <w:iCs/>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3670F" w:rsidRPr="00235B48" w:rsidRDefault="00F3670F" w:rsidP="006E2ADB">
      <w:pPr>
        <w:widowControl/>
        <w:ind w:left="720"/>
        <w:rPr>
          <w:rFonts w:ascii="Times New Roman" w:hAnsi="Times New Roman"/>
          <w:i/>
          <w:iCs/>
        </w:rPr>
      </w:pPr>
    </w:p>
    <w:p w:rsidR="00081319" w:rsidRDefault="003C23D4" w:rsidP="006E2ADB">
      <w:pPr>
        <w:widowControl/>
        <w:ind w:left="720"/>
        <w:rPr>
          <w:rFonts w:ascii="Times New Roman" w:eastAsia="MS Mincho" w:hAnsi="Times New Roman"/>
        </w:rPr>
      </w:pPr>
      <w:r>
        <w:rPr>
          <w:rFonts w:ascii="Times New Roman" w:eastAsia="MS Mincho" w:hAnsi="Times New Roman"/>
        </w:rPr>
        <w:t>As in Item 1 above, the proposed</w:t>
      </w:r>
      <w:r w:rsidR="008C566B">
        <w:rPr>
          <w:rFonts w:ascii="Times New Roman" w:eastAsia="MS Mincho" w:hAnsi="Times New Roman"/>
        </w:rPr>
        <w:t xml:space="preserve"> rule includes three information collections:  the </w:t>
      </w:r>
      <w:r w:rsidR="00606C09">
        <w:rPr>
          <w:rFonts w:ascii="Times New Roman" w:eastAsia="MS Mincho" w:hAnsi="Times New Roman"/>
        </w:rPr>
        <w:t>seller’s carve-out</w:t>
      </w:r>
      <w:r w:rsidR="008C566B">
        <w:rPr>
          <w:rFonts w:ascii="Times New Roman" w:eastAsia="MS Mincho" w:hAnsi="Times New Roman"/>
        </w:rPr>
        <w:t xml:space="preserve">, the platform provider </w:t>
      </w:r>
      <w:r w:rsidR="00606C09">
        <w:rPr>
          <w:rFonts w:ascii="Times New Roman" w:eastAsia="MS Mincho" w:hAnsi="Times New Roman"/>
        </w:rPr>
        <w:t>carve-out</w:t>
      </w:r>
      <w:r w:rsidR="008C566B">
        <w:rPr>
          <w:rFonts w:ascii="Times New Roman" w:eastAsia="MS Mincho" w:hAnsi="Times New Roman"/>
        </w:rPr>
        <w:t xml:space="preserve">, and the investment education </w:t>
      </w:r>
      <w:r w:rsidR="00606C09">
        <w:rPr>
          <w:rFonts w:ascii="Times New Roman" w:eastAsia="MS Mincho" w:hAnsi="Times New Roman"/>
        </w:rPr>
        <w:t>carve-out</w:t>
      </w:r>
      <w:r w:rsidR="008C566B">
        <w:rPr>
          <w:rFonts w:ascii="Times New Roman" w:eastAsia="MS Mincho" w:hAnsi="Times New Roman"/>
        </w:rPr>
        <w:t>.</w:t>
      </w:r>
      <w:r w:rsidR="000E518E">
        <w:rPr>
          <w:rFonts w:ascii="Times New Roman" w:eastAsia="MS Mincho" w:hAnsi="Times New Roman"/>
        </w:rPr>
        <w:t xml:space="preserve"> </w:t>
      </w:r>
      <w:r w:rsidR="005359E3">
        <w:rPr>
          <w:rFonts w:ascii="Times New Roman" w:eastAsia="MS Mincho" w:hAnsi="Times New Roman"/>
        </w:rPr>
        <w:t xml:space="preserve"> </w:t>
      </w:r>
      <w:r w:rsidR="000E518E">
        <w:rPr>
          <w:rFonts w:ascii="Times New Roman" w:eastAsia="MS Mincho" w:hAnsi="Times New Roman"/>
        </w:rPr>
        <w:t>The hour burden associated with each of</w:t>
      </w:r>
      <w:r w:rsidR="005359E3">
        <w:rPr>
          <w:rFonts w:ascii="Times New Roman" w:eastAsia="MS Mincho" w:hAnsi="Times New Roman"/>
        </w:rPr>
        <w:t xml:space="preserve"> these ICRs is discussed below.</w:t>
      </w:r>
    </w:p>
    <w:p w:rsidR="008C566B" w:rsidRDefault="008C566B" w:rsidP="006E2ADB">
      <w:pPr>
        <w:widowControl/>
        <w:ind w:left="720"/>
        <w:rPr>
          <w:rFonts w:ascii="Times New Roman" w:eastAsia="MS Mincho" w:hAnsi="Times New Roman"/>
        </w:rPr>
      </w:pPr>
    </w:p>
    <w:p w:rsidR="00081319" w:rsidRDefault="00606C09" w:rsidP="006E2ADB">
      <w:pPr>
        <w:widowControl/>
        <w:ind w:left="720"/>
        <w:rPr>
          <w:rFonts w:ascii="Times New Roman" w:eastAsia="MS Mincho" w:hAnsi="Times New Roman"/>
          <w:u w:val="single"/>
        </w:rPr>
      </w:pPr>
      <w:r>
        <w:rPr>
          <w:rFonts w:ascii="Times New Roman" w:eastAsia="MS Mincho" w:hAnsi="Times New Roman"/>
          <w:u w:val="single"/>
        </w:rPr>
        <w:lastRenderedPageBreak/>
        <w:t>Seller’s Carve-Out</w:t>
      </w:r>
    </w:p>
    <w:p w:rsidR="005359E3" w:rsidRDefault="005359E3" w:rsidP="006E2ADB">
      <w:pPr>
        <w:widowControl/>
        <w:ind w:left="720"/>
        <w:rPr>
          <w:rFonts w:ascii="Times New Roman" w:eastAsia="MS Mincho" w:hAnsi="Times New Roman"/>
        </w:rPr>
      </w:pPr>
    </w:p>
    <w:p w:rsidR="00B71905" w:rsidRDefault="00B71905" w:rsidP="006E2ADB">
      <w:pPr>
        <w:widowControl/>
        <w:ind w:left="720"/>
        <w:rPr>
          <w:rFonts w:ascii="Times New Roman" w:eastAsia="MS Mincho" w:hAnsi="Times New Roman"/>
        </w:rPr>
      </w:pPr>
      <w:r w:rsidRPr="00B71905">
        <w:rPr>
          <w:rFonts w:ascii="Times New Roman" w:eastAsia="MS Mincho" w:hAnsi="Times New Roman"/>
        </w:rPr>
        <w:t>The Department estimates that 50 percent of the 85,863 retirement plans with 100 or more participants that filed a Form 5500 in 2012 will use th</w:t>
      </w:r>
      <w:r w:rsidR="004C65CE">
        <w:rPr>
          <w:rFonts w:ascii="Times New Roman" w:eastAsia="MS Mincho" w:hAnsi="Times New Roman"/>
        </w:rPr>
        <w:t xml:space="preserve">e </w:t>
      </w:r>
      <w:r w:rsidR="00826CC7">
        <w:rPr>
          <w:rFonts w:ascii="Times New Roman" w:eastAsia="MS Mincho" w:hAnsi="Times New Roman"/>
        </w:rPr>
        <w:t>seller’s carve-out</w:t>
      </w:r>
      <w:r w:rsidRPr="00B71905">
        <w:rPr>
          <w:rFonts w:ascii="Times New Roman" w:eastAsia="MS Mincho" w:hAnsi="Times New Roman"/>
        </w:rPr>
        <w:t>.</w:t>
      </w:r>
    </w:p>
    <w:p w:rsidR="00B71905" w:rsidRDefault="00B71905" w:rsidP="006E2ADB">
      <w:pPr>
        <w:widowControl/>
        <w:ind w:left="720"/>
        <w:rPr>
          <w:rFonts w:ascii="Times New Roman" w:eastAsia="MS Mincho" w:hAnsi="Times New Roman"/>
        </w:rPr>
      </w:pPr>
    </w:p>
    <w:p w:rsidR="009301AE" w:rsidRDefault="00AD0D61" w:rsidP="006E2ADB">
      <w:pPr>
        <w:widowControl/>
        <w:ind w:left="720"/>
        <w:rPr>
          <w:rFonts w:ascii="Times New Roman" w:eastAsia="MS Mincho" w:hAnsi="Times New Roman"/>
        </w:rPr>
      </w:pPr>
      <w:r w:rsidRPr="00AD0D61">
        <w:rPr>
          <w:rFonts w:ascii="Times New Roman" w:eastAsia="MS Mincho" w:hAnsi="Times New Roman"/>
        </w:rPr>
        <w:t xml:space="preserve">The Department estimates that each plan will require one hour of legal professional time </w:t>
      </w:r>
      <w:r w:rsidR="009301AE">
        <w:rPr>
          <w:rFonts w:ascii="Times New Roman" w:eastAsia="MS Mincho" w:hAnsi="Times New Roman"/>
        </w:rPr>
        <w:t>to produce the required disclosures</w:t>
      </w:r>
      <w:r w:rsidRPr="00AD0D61">
        <w:rPr>
          <w:rFonts w:ascii="Times New Roman" w:eastAsia="MS Mincho" w:hAnsi="Times New Roman"/>
        </w:rPr>
        <w:t>.  Therefore, the disclosures will result in approximately 43,000 hours of legal time</w:t>
      </w:r>
      <w:r w:rsidR="00B71905">
        <w:rPr>
          <w:rFonts w:ascii="Times New Roman" w:eastAsia="MS Mincho" w:hAnsi="Times New Roman"/>
        </w:rPr>
        <w:t>.</w:t>
      </w:r>
      <w:r w:rsidR="00F81CF5" w:rsidRPr="005D5F36">
        <w:rPr>
          <w:rStyle w:val="FootnoteReference"/>
          <w:rFonts w:ascii="Times New Roman" w:eastAsia="MS Mincho" w:hAnsi="Times New Roman"/>
          <w:vertAlign w:val="superscript"/>
        </w:rPr>
        <w:footnoteReference w:id="1"/>
      </w:r>
      <w:r w:rsidR="00B71905">
        <w:rPr>
          <w:rFonts w:ascii="Times New Roman" w:eastAsia="MS Mincho" w:hAnsi="Times New Roman"/>
        </w:rPr>
        <w:t xml:space="preserve">  At an hourly wage rage</w:t>
      </w:r>
      <w:r w:rsidR="00D6315A" w:rsidRPr="00C91A7C">
        <w:rPr>
          <w:rStyle w:val="FootnoteReference"/>
          <w:rFonts w:ascii="Times New Roman" w:eastAsia="MS Mincho" w:hAnsi="Times New Roman"/>
          <w:vertAlign w:val="superscript"/>
        </w:rPr>
        <w:footnoteReference w:id="2"/>
      </w:r>
      <w:r w:rsidR="00B71905">
        <w:rPr>
          <w:rFonts w:ascii="Times New Roman" w:eastAsia="MS Mincho" w:hAnsi="Times New Roman"/>
        </w:rPr>
        <w:t xml:space="preserve"> of $12</w:t>
      </w:r>
      <w:r w:rsidR="00423F2F">
        <w:rPr>
          <w:rFonts w:ascii="Times New Roman" w:eastAsia="MS Mincho" w:hAnsi="Times New Roman"/>
        </w:rPr>
        <w:t>9</w:t>
      </w:r>
      <w:r w:rsidR="00B71905">
        <w:rPr>
          <w:rFonts w:ascii="Times New Roman" w:eastAsia="MS Mincho" w:hAnsi="Times New Roman"/>
        </w:rPr>
        <w:t>.</w:t>
      </w:r>
      <w:r w:rsidR="00423F2F">
        <w:rPr>
          <w:rFonts w:ascii="Times New Roman" w:eastAsia="MS Mincho" w:hAnsi="Times New Roman"/>
        </w:rPr>
        <w:t>94</w:t>
      </w:r>
      <w:r w:rsidR="00262B40">
        <w:rPr>
          <w:rFonts w:ascii="Times New Roman" w:eastAsia="MS Mincho" w:hAnsi="Times New Roman"/>
        </w:rPr>
        <w:t xml:space="preserve"> for in-house legal staff</w:t>
      </w:r>
      <w:r w:rsidR="00B71905">
        <w:rPr>
          <w:rFonts w:ascii="Times New Roman" w:eastAsia="MS Mincho" w:hAnsi="Times New Roman"/>
        </w:rPr>
        <w:t>,</w:t>
      </w:r>
      <w:r w:rsidR="001C184A" w:rsidRPr="001C184A">
        <w:rPr>
          <w:rStyle w:val="FootnoteReference"/>
          <w:rFonts w:ascii="Times New Roman" w:eastAsia="MS Mincho" w:hAnsi="Times New Roman"/>
          <w:vertAlign w:val="superscript"/>
        </w:rPr>
        <w:footnoteReference w:id="3"/>
      </w:r>
      <w:r w:rsidR="00B71905">
        <w:rPr>
          <w:rFonts w:ascii="Times New Roman" w:eastAsia="MS Mincho" w:hAnsi="Times New Roman"/>
        </w:rPr>
        <w:t xml:space="preserve"> this results in </w:t>
      </w:r>
      <w:r w:rsidRPr="00AD0D61">
        <w:rPr>
          <w:rFonts w:ascii="Times New Roman" w:eastAsia="MS Mincho" w:hAnsi="Times New Roman"/>
        </w:rPr>
        <w:t>an equivalent cost of approximately $5.</w:t>
      </w:r>
      <w:r w:rsidR="00423F2F">
        <w:rPr>
          <w:rFonts w:ascii="Times New Roman" w:eastAsia="MS Mincho" w:hAnsi="Times New Roman"/>
        </w:rPr>
        <w:t>6</w:t>
      </w:r>
      <w:r w:rsidRPr="00AD0D61">
        <w:rPr>
          <w:rFonts w:ascii="Times New Roman" w:eastAsia="MS Mincho" w:hAnsi="Times New Roman"/>
        </w:rPr>
        <w:t xml:space="preserve"> million.</w:t>
      </w:r>
      <w:r w:rsidR="0069590B" w:rsidRPr="00DE0439">
        <w:rPr>
          <w:rStyle w:val="FootnoteReference"/>
          <w:rFonts w:ascii="Times New Roman" w:eastAsia="MS Mincho" w:hAnsi="Times New Roman"/>
          <w:vertAlign w:val="superscript"/>
        </w:rPr>
        <w:footnoteReference w:id="4"/>
      </w:r>
    </w:p>
    <w:p w:rsidR="009301AE" w:rsidRDefault="009301AE" w:rsidP="006E2ADB">
      <w:pPr>
        <w:widowControl/>
        <w:ind w:left="720"/>
        <w:rPr>
          <w:rFonts w:ascii="Times New Roman" w:eastAsia="MS Mincho" w:hAnsi="Times New Roman"/>
        </w:rPr>
      </w:pPr>
    </w:p>
    <w:p w:rsidR="00262B40" w:rsidRDefault="009301AE" w:rsidP="006E2ADB">
      <w:pPr>
        <w:widowControl/>
        <w:ind w:left="720"/>
        <w:rPr>
          <w:rFonts w:ascii="Times New Roman" w:eastAsia="MS Mincho" w:hAnsi="Times New Roman"/>
        </w:rPr>
      </w:pPr>
      <w:r>
        <w:rPr>
          <w:rFonts w:ascii="Times New Roman" w:eastAsia="MS Mincho" w:hAnsi="Times New Roman"/>
        </w:rPr>
        <w:t xml:space="preserve">The Department </w:t>
      </w:r>
      <w:r w:rsidR="00262B40">
        <w:rPr>
          <w:rFonts w:ascii="Times New Roman" w:eastAsia="MS Mincho" w:hAnsi="Times New Roman"/>
        </w:rPr>
        <w:t xml:space="preserve">also </w:t>
      </w:r>
      <w:r>
        <w:rPr>
          <w:rFonts w:ascii="Times New Roman" w:eastAsia="MS Mincho" w:hAnsi="Times New Roman"/>
        </w:rPr>
        <w:t>estimates that each plan will require 30 minutes of clerical time to produce the required disclosures.  Therefore, t</w:t>
      </w:r>
      <w:r w:rsidR="00AD0D61" w:rsidRPr="00AD0D61">
        <w:rPr>
          <w:rFonts w:ascii="Times New Roman" w:eastAsia="MS Mincho" w:hAnsi="Times New Roman"/>
        </w:rPr>
        <w:t>he disclosures will result in approximately 21,000 hours of clerical time</w:t>
      </w:r>
      <w:r w:rsidR="00262B40">
        <w:rPr>
          <w:rFonts w:ascii="Times New Roman" w:eastAsia="MS Mincho" w:hAnsi="Times New Roman"/>
        </w:rPr>
        <w:t>.</w:t>
      </w:r>
      <w:r w:rsidR="00C91A7C" w:rsidRPr="00F81CF5">
        <w:rPr>
          <w:rStyle w:val="FootnoteReference"/>
          <w:rFonts w:ascii="Times New Roman" w:eastAsia="MS Mincho" w:hAnsi="Times New Roman"/>
          <w:vertAlign w:val="superscript"/>
        </w:rPr>
        <w:footnoteReference w:id="5"/>
      </w:r>
      <w:r w:rsidR="00262B40" w:rsidRPr="00F81CF5">
        <w:rPr>
          <w:rFonts w:ascii="Times New Roman" w:eastAsia="MS Mincho" w:hAnsi="Times New Roman"/>
          <w:vertAlign w:val="superscript"/>
        </w:rPr>
        <w:t xml:space="preserve"> </w:t>
      </w:r>
      <w:r w:rsidR="00262B40">
        <w:rPr>
          <w:rFonts w:ascii="Times New Roman" w:eastAsia="MS Mincho" w:hAnsi="Times New Roman"/>
        </w:rPr>
        <w:t xml:space="preserve"> At an hourly wage rage of $</w:t>
      </w:r>
      <w:r w:rsidR="00E075CF">
        <w:rPr>
          <w:rFonts w:ascii="Times New Roman" w:eastAsia="MS Mincho" w:hAnsi="Times New Roman"/>
        </w:rPr>
        <w:t>30.42</w:t>
      </w:r>
      <w:r w:rsidR="00262B40">
        <w:rPr>
          <w:rFonts w:ascii="Times New Roman" w:eastAsia="MS Mincho" w:hAnsi="Times New Roman"/>
        </w:rPr>
        <w:t xml:space="preserve"> for clerical staff,</w:t>
      </w:r>
      <w:r w:rsidR="001C184A" w:rsidRPr="001C184A">
        <w:rPr>
          <w:rStyle w:val="FootnoteReference"/>
          <w:rFonts w:ascii="Times New Roman" w:eastAsia="MS Mincho" w:hAnsi="Times New Roman"/>
          <w:vertAlign w:val="superscript"/>
        </w:rPr>
        <w:footnoteReference w:id="6"/>
      </w:r>
      <w:r w:rsidR="00262B40">
        <w:rPr>
          <w:rFonts w:ascii="Times New Roman" w:eastAsia="MS Mincho" w:hAnsi="Times New Roman"/>
        </w:rPr>
        <w:t xml:space="preserve"> this results in </w:t>
      </w:r>
      <w:r w:rsidR="00AD0D61" w:rsidRPr="00AD0D61">
        <w:rPr>
          <w:rFonts w:ascii="Times New Roman" w:eastAsia="MS Mincho" w:hAnsi="Times New Roman"/>
        </w:rPr>
        <w:t xml:space="preserve">an equivalent cost of approximately </w:t>
      </w:r>
      <w:r w:rsidR="00262B40">
        <w:rPr>
          <w:rFonts w:ascii="Times New Roman" w:eastAsia="MS Mincho" w:hAnsi="Times New Roman"/>
        </w:rPr>
        <w:t>$6</w:t>
      </w:r>
      <w:r w:rsidR="00FA372F">
        <w:rPr>
          <w:rFonts w:ascii="Times New Roman" w:eastAsia="MS Mincho" w:hAnsi="Times New Roman"/>
        </w:rPr>
        <w:t>5</w:t>
      </w:r>
      <w:r w:rsidR="00262B40">
        <w:rPr>
          <w:rFonts w:ascii="Times New Roman" w:eastAsia="MS Mincho" w:hAnsi="Times New Roman"/>
        </w:rPr>
        <w:t>3,000.</w:t>
      </w:r>
      <w:r w:rsidR="0069590B" w:rsidRPr="00DE0439">
        <w:rPr>
          <w:rStyle w:val="FootnoteReference"/>
          <w:rFonts w:ascii="Times New Roman" w:eastAsia="MS Mincho" w:hAnsi="Times New Roman"/>
          <w:vertAlign w:val="superscript"/>
        </w:rPr>
        <w:footnoteReference w:id="7"/>
      </w:r>
    </w:p>
    <w:p w:rsidR="00262B40" w:rsidRDefault="00262B40" w:rsidP="006E2ADB">
      <w:pPr>
        <w:widowControl/>
        <w:ind w:left="720"/>
        <w:rPr>
          <w:rFonts w:ascii="Times New Roman" w:eastAsia="MS Mincho" w:hAnsi="Times New Roman"/>
        </w:rPr>
      </w:pPr>
    </w:p>
    <w:p w:rsidR="00AD0D61" w:rsidRDefault="00AD0D61" w:rsidP="006E2ADB">
      <w:pPr>
        <w:widowControl/>
        <w:ind w:left="720"/>
        <w:rPr>
          <w:rFonts w:ascii="Times New Roman" w:eastAsia="MS Mincho" w:hAnsi="Times New Roman"/>
        </w:rPr>
      </w:pPr>
      <w:r w:rsidRPr="00AD0D61">
        <w:rPr>
          <w:rFonts w:ascii="Times New Roman" w:eastAsia="MS Mincho" w:hAnsi="Times New Roman"/>
        </w:rPr>
        <w:t xml:space="preserve">In total, the burden associated with </w:t>
      </w:r>
      <w:r w:rsidR="00C552B6">
        <w:rPr>
          <w:rFonts w:ascii="Times New Roman" w:eastAsia="MS Mincho" w:hAnsi="Times New Roman"/>
        </w:rPr>
        <w:t>the counterparty limitation is</w:t>
      </w:r>
      <w:r w:rsidRPr="00AD0D61">
        <w:rPr>
          <w:rFonts w:ascii="Times New Roman" w:eastAsia="MS Mincho" w:hAnsi="Times New Roman"/>
        </w:rPr>
        <w:t xml:space="preserve"> approximately 64,000 hours at an equivalent cost of $6.</w:t>
      </w:r>
      <w:r w:rsidR="00FA372F">
        <w:rPr>
          <w:rFonts w:ascii="Times New Roman" w:eastAsia="MS Mincho" w:hAnsi="Times New Roman"/>
        </w:rPr>
        <w:t>2</w:t>
      </w:r>
      <w:r w:rsidRPr="00AD0D61">
        <w:rPr>
          <w:rFonts w:ascii="Times New Roman" w:eastAsia="MS Mincho" w:hAnsi="Times New Roman"/>
        </w:rPr>
        <w:t xml:space="preserve"> million.</w:t>
      </w:r>
    </w:p>
    <w:p w:rsidR="00C552B6" w:rsidRDefault="00C552B6" w:rsidP="006E2ADB">
      <w:pPr>
        <w:widowControl/>
        <w:ind w:left="720"/>
        <w:rPr>
          <w:rFonts w:ascii="Times New Roman" w:eastAsia="MS Mincho" w:hAnsi="Times New Roman"/>
        </w:rPr>
      </w:pPr>
    </w:p>
    <w:p w:rsidR="00C552B6" w:rsidRDefault="00C552B6" w:rsidP="006E2ADB">
      <w:pPr>
        <w:widowControl/>
        <w:ind w:left="720"/>
        <w:rPr>
          <w:rFonts w:ascii="Times New Roman" w:eastAsia="MS Mincho" w:hAnsi="Times New Roman"/>
          <w:u w:val="single"/>
        </w:rPr>
      </w:pPr>
      <w:r>
        <w:rPr>
          <w:rFonts w:ascii="Times New Roman" w:eastAsia="MS Mincho" w:hAnsi="Times New Roman"/>
          <w:u w:val="single"/>
        </w:rPr>
        <w:t xml:space="preserve">Platform Provider </w:t>
      </w:r>
      <w:r w:rsidR="005A567F">
        <w:rPr>
          <w:rFonts w:ascii="Times New Roman" w:eastAsia="MS Mincho" w:hAnsi="Times New Roman"/>
          <w:u w:val="single"/>
        </w:rPr>
        <w:t>Carve-Out</w:t>
      </w:r>
    </w:p>
    <w:p w:rsidR="00D958E5" w:rsidRDefault="00D958E5" w:rsidP="006E2ADB">
      <w:pPr>
        <w:widowControl/>
        <w:ind w:left="720"/>
        <w:rPr>
          <w:rFonts w:ascii="Times New Roman" w:eastAsia="MS Mincho" w:hAnsi="Times New Roman"/>
          <w:u w:val="single"/>
        </w:rPr>
      </w:pPr>
    </w:p>
    <w:p w:rsidR="00C552B6" w:rsidRDefault="00C552B6" w:rsidP="006E2ADB">
      <w:pPr>
        <w:widowControl/>
        <w:ind w:left="720"/>
        <w:rPr>
          <w:rFonts w:ascii="Times New Roman" w:eastAsia="MS Mincho" w:hAnsi="Times New Roman"/>
        </w:rPr>
      </w:pPr>
      <w:r>
        <w:rPr>
          <w:rFonts w:ascii="Times New Roman" w:eastAsia="MS Mincho" w:hAnsi="Times New Roman"/>
        </w:rPr>
        <w:t xml:space="preserve">The Department estimates that </w:t>
      </w:r>
      <w:r w:rsidR="00ED1652">
        <w:rPr>
          <w:rFonts w:ascii="Times New Roman" w:eastAsia="MS Mincho" w:hAnsi="Times New Roman"/>
        </w:rPr>
        <w:t>1,800 service providers</w:t>
      </w:r>
      <w:r w:rsidR="009F28A4" w:rsidRPr="004C15EE">
        <w:rPr>
          <w:rStyle w:val="FootnoteReference"/>
          <w:rFonts w:ascii="Times New Roman" w:eastAsia="MS Mincho" w:hAnsi="Times New Roman"/>
          <w:vertAlign w:val="superscript"/>
        </w:rPr>
        <w:footnoteReference w:id="8"/>
      </w:r>
      <w:r w:rsidR="00ED1652">
        <w:rPr>
          <w:rFonts w:ascii="Times New Roman" w:eastAsia="MS Mincho" w:hAnsi="Times New Roman"/>
        </w:rPr>
        <w:t xml:space="preserve"> will use the platform provider limitation.</w:t>
      </w:r>
    </w:p>
    <w:p w:rsidR="00ED1652" w:rsidRDefault="00ED1652" w:rsidP="006E2ADB">
      <w:pPr>
        <w:widowControl/>
        <w:ind w:left="720"/>
        <w:rPr>
          <w:rFonts w:ascii="Times New Roman" w:eastAsia="MS Mincho" w:hAnsi="Times New Roman"/>
        </w:rPr>
      </w:pPr>
    </w:p>
    <w:p w:rsidR="00ED1652" w:rsidRDefault="00ED1652" w:rsidP="006E2ADB">
      <w:pPr>
        <w:widowControl/>
        <w:ind w:left="720"/>
        <w:rPr>
          <w:rFonts w:ascii="Times New Roman" w:eastAsia="MS Mincho" w:hAnsi="Times New Roman"/>
        </w:rPr>
      </w:pPr>
      <w:r>
        <w:rPr>
          <w:rFonts w:ascii="Times New Roman" w:eastAsia="MS Mincho" w:hAnsi="Times New Roman"/>
        </w:rPr>
        <w:lastRenderedPageBreak/>
        <w:t>The Department estimates that each service provider will require ten minutes of legal professional time to adjust existing service provi</w:t>
      </w:r>
      <w:r w:rsidR="004004F7">
        <w:rPr>
          <w:rFonts w:ascii="Times New Roman" w:eastAsia="MS Mincho" w:hAnsi="Times New Roman"/>
        </w:rPr>
        <w:t>der contracts to include the required disclosure.  Therefore, the disclosure will result in approximately 300 hours of legal time.</w:t>
      </w:r>
      <w:r w:rsidR="004004F7" w:rsidRPr="00751E06">
        <w:rPr>
          <w:rStyle w:val="FootnoteReference"/>
          <w:rFonts w:ascii="Times New Roman" w:eastAsia="MS Mincho" w:hAnsi="Times New Roman"/>
          <w:vertAlign w:val="superscript"/>
        </w:rPr>
        <w:footnoteReference w:id="9"/>
      </w:r>
      <w:r w:rsidR="004004F7">
        <w:rPr>
          <w:rFonts w:ascii="Times New Roman" w:eastAsia="MS Mincho" w:hAnsi="Times New Roman"/>
        </w:rPr>
        <w:t xml:space="preserve"> </w:t>
      </w:r>
      <w:r w:rsidR="00751E06">
        <w:rPr>
          <w:rFonts w:ascii="Times New Roman" w:eastAsia="MS Mincho" w:hAnsi="Times New Roman"/>
        </w:rPr>
        <w:t xml:space="preserve"> At an hourly wage rate of $12</w:t>
      </w:r>
      <w:r w:rsidR="00595A80">
        <w:rPr>
          <w:rFonts w:ascii="Times New Roman" w:eastAsia="MS Mincho" w:hAnsi="Times New Roman"/>
        </w:rPr>
        <w:t>9.94</w:t>
      </w:r>
      <w:r w:rsidR="00751E06">
        <w:rPr>
          <w:rFonts w:ascii="Times New Roman" w:eastAsia="MS Mincho" w:hAnsi="Times New Roman"/>
        </w:rPr>
        <w:t xml:space="preserve"> for in-house legal staff, this results in an equivalent cost of $3</w:t>
      </w:r>
      <w:r w:rsidR="00595A80">
        <w:rPr>
          <w:rFonts w:ascii="Times New Roman" w:eastAsia="MS Mincho" w:hAnsi="Times New Roman"/>
        </w:rPr>
        <w:t>9</w:t>
      </w:r>
      <w:r w:rsidR="00751E06">
        <w:rPr>
          <w:rFonts w:ascii="Times New Roman" w:eastAsia="MS Mincho" w:hAnsi="Times New Roman"/>
        </w:rPr>
        <w:t>,000.</w:t>
      </w:r>
      <w:r w:rsidR="00DE0439" w:rsidRPr="00DE0439">
        <w:rPr>
          <w:rStyle w:val="FootnoteReference"/>
          <w:rFonts w:ascii="Times New Roman" w:eastAsia="MS Mincho" w:hAnsi="Times New Roman"/>
          <w:vertAlign w:val="superscript"/>
        </w:rPr>
        <w:footnoteReference w:id="10"/>
      </w:r>
    </w:p>
    <w:p w:rsidR="00751E06" w:rsidRDefault="00751E06" w:rsidP="006E2ADB">
      <w:pPr>
        <w:widowControl/>
        <w:ind w:left="720"/>
        <w:rPr>
          <w:rFonts w:ascii="Times New Roman" w:eastAsia="MS Mincho" w:hAnsi="Times New Roman"/>
        </w:rPr>
      </w:pPr>
    </w:p>
    <w:p w:rsidR="00EF3642" w:rsidRDefault="00EF3642" w:rsidP="006E2ADB">
      <w:pPr>
        <w:widowControl/>
        <w:ind w:left="720"/>
        <w:rPr>
          <w:rFonts w:ascii="Times New Roman" w:eastAsia="MS Mincho" w:hAnsi="Times New Roman"/>
        </w:rPr>
      </w:pPr>
    </w:p>
    <w:p w:rsidR="00751E06" w:rsidRDefault="00751E06" w:rsidP="006E2ADB">
      <w:pPr>
        <w:widowControl/>
        <w:ind w:left="720"/>
        <w:rPr>
          <w:rFonts w:ascii="Times New Roman" w:eastAsia="MS Mincho" w:hAnsi="Times New Roman"/>
          <w:u w:val="single"/>
        </w:rPr>
      </w:pPr>
      <w:r>
        <w:rPr>
          <w:rFonts w:ascii="Times New Roman" w:eastAsia="MS Mincho" w:hAnsi="Times New Roman"/>
          <w:u w:val="single"/>
        </w:rPr>
        <w:t>Investment Education Limitation</w:t>
      </w:r>
    </w:p>
    <w:p w:rsidR="0085090C" w:rsidRDefault="0085090C" w:rsidP="006E2ADB">
      <w:pPr>
        <w:widowControl/>
        <w:ind w:left="720"/>
        <w:rPr>
          <w:rFonts w:ascii="Times New Roman" w:eastAsia="MS Mincho" w:hAnsi="Times New Roman"/>
          <w:u w:val="single"/>
        </w:rPr>
      </w:pPr>
    </w:p>
    <w:p w:rsidR="00476D19" w:rsidRDefault="00751E06" w:rsidP="006E2ADB">
      <w:pPr>
        <w:widowControl/>
        <w:ind w:left="720"/>
        <w:rPr>
          <w:rFonts w:ascii="Times New Roman" w:eastAsia="MS Mincho" w:hAnsi="Times New Roman"/>
        </w:rPr>
      </w:pPr>
      <w:r>
        <w:rPr>
          <w:rFonts w:ascii="Times New Roman" w:eastAsia="MS Mincho" w:hAnsi="Times New Roman"/>
        </w:rPr>
        <w:t>The Department estimates that 2,800 financial institutions</w:t>
      </w:r>
      <w:r w:rsidR="006B433B" w:rsidRPr="0014357A">
        <w:rPr>
          <w:rStyle w:val="FootnoteReference"/>
          <w:rFonts w:ascii="Times New Roman" w:eastAsia="MS Mincho" w:hAnsi="Times New Roman"/>
          <w:vertAlign w:val="superscript"/>
        </w:rPr>
        <w:footnoteReference w:id="11"/>
      </w:r>
      <w:r>
        <w:rPr>
          <w:rFonts w:ascii="Times New Roman" w:eastAsia="MS Mincho" w:hAnsi="Times New Roman"/>
        </w:rPr>
        <w:t xml:space="preserve"> will use the</w:t>
      </w:r>
      <w:r w:rsidR="00476D19">
        <w:rPr>
          <w:rFonts w:ascii="Times New Roman" w:eastAsia="MS Mincho" w:hAnsi="Times New Roman"/>
        </w:rPr>
        <w:t xml:space="preserve"> investment education limitation.</w:t>
      </w:r>
      <w:r w:rsidR="000E518E">
        <w:rPr>
          <w:rFonts w:ascii="Times New Roman" w:eastAsia="MS Mincho" w:hAnsi="Times New Roman"/>
        </w:rPr>
        <w:t xml:space="preserve"> </w:t>
      </w:r>
      <w:r w:rsidR="00476D19">
        <w:rPr>
          <w:rFonts w:ascii="Times New Roman" w:eastAsia="MS Mincho" w:hAnsi="Times New Roman"/>
        </w:rPr>
        <w:t>The Department estimates that each financial institution will require 20 minutes of legal p</w:t>
      </w:r>
      <w:r w:rsidR="00AC2F6E">
        <w:rPr>
          <w:rFonts w:ascii="Times New Roman" w:eastAsia="MS Mincho" w:hAnsi="Times New Roman"/>
        </w:rPr>
        <w:t>rofessional time to adjust existing investment materials to include the required disclosure.  Therefore, the disclosure will result in approximately 900 hours of legal time.</w:t>
      </w:r>
      <w:r w:rsidR="00AC2F6E" w:rsidRPr="00AC2F6E">
        <w:rPr>
          <w:rStyle w:val="FootnoteReference"/>
          <w:rFonts w:ascii="Times New Roman" w:eastAsia="MS Mincho" w:hAnsi="Times New Roman"/>
          <w:vertAlign w:val="superscript"/>
        </w:rPr>
        <w:footnoteReference w:id="12"/>
      </w:r>
      <w:r w:rsidR="00AB533F">
        <w:rPr>
          <w:rFonts w:ascii="Times New Roman" w:eastAsia="MS Mincho" w:hAnsi="Times New Roman"/>
        </w:rPr>
        <w:t xml:space="preserve">  At an hourly wage rate of $12</w:t>
      </w:r>
      <w:r w:rsidR="001261E4">
        <w:rPr>
          <w:rFonts w:ascii="Times New Roman" w:eastAsia="MS Mincho" w:hAnsi="Times New Roman"/>
        </w:rPr>
        <w:t>9.94</w:t>
      </w:r>
      <w:r w:rsidR="00AB533F">
        <w:rPr>
          <w:rFonts w:ascii="Times New Roman" w:eastAsia="MS Mincho" w:hAnsi="Times New Roman"/>
        </w:rPr>
        <w:t xml:space="preserve"> for in-house legal staff, this results in an equivalent cost of $1</w:t>
      </w:r>
      <w:r w:rsidR="001261E4">
        <w:rPr>
          <w:rFonts w:ascii="Times New Roman" w:eastAsia="MS Mincho" w:hAnsi="Times New Roman"/>
        </w:rPr>
        <w:t>2</w:t>
      </w:r>
      <w:r w:rsidR="00AB533F">
        <w:rPr>
          <w:rFonts w:ascii="Times New Roman" w:eastAsia="MS Mincho" w:hAnsi="Times New Roman"/>
        </w:rPr>
        <w:t>1,000.</w:t>
      </w:r>
      <w:r w:rsidR="0014357A" w:rsidRPr="00277C52">
        <w:rPr>
          <w:rStyle w:val="FootnoteReference"/>
          <w:rFonts w:ascii="Times New Roman" w:eastAsia="MS Mincho" w:hAnsi="Times New Roman"/>
          <w:vertAlign w:val="superscript"/>
        </w:rPr>
        <w:footnoteReference w:id="13"/>
      </w:r>
    </w:p>
    <w:p w:rsidR="00AB533F" w:rsidRDefault="00AB533F" w:rsidP="006E2ADB">
      <w:pPr>
        <w:widowControl/>
        <w:ind w:left="720"/>
        <w:rPr>
          <w:rFonts w:ascii="Times New Roman" w:eastAsia="MS Mincho" w:hAnsi="Times New Roman"/>
        </w:rPr>
      </w:pPr>
    </w:p>
    <w:p w:rsidR="00AB533F" w:rsidRDefault="00AB533F" w:rsidP="006E2ADB">
      <w:pPr>
        <w:widowControl/>
        <w:ind w:left="720"/>
        <w:rPr>
          <w:rFonts w:ascii="Times New Roman" w:eastAsia="MS Mincho" w:hAnsi="Times New Roman"/>
          <w:u w:val="single"/>
        </w:rPr>
      </w:pPr>
      <w:r>
        <w:rPr>
          <w:rFonts w:ascii="Times New Roman" w:eastAsia="MS Mincho" w:hAnsi="Times New Roman"/>
          <w:u w:val="single"/>
        </w:rPr>
        <w:t>Summary</w:t>
      </w:r>
    </w:p>
    <w:p w:rsidR="0085090C" w:rsidRDefault="0085090C" w:rsidP="006E2ADB">
      <w:pPr>
        <w:widowControl/>
        <w:ind w:left="720"/>
        <w:rPr>
          <w:rFonts w:ascii="Times New Roman" w:eastAsia="MS Mincho" w:hAnsi="Times New Roman"/>
          <w:u w:val="single"/>
        </w:rPr>
      </w:pPr>
    </w:p>
    <w:p w:rsidR="00AB533F" w:rsidRDefault="00AB533F" w:rsidP="006E2ADB">
      <w:pPr>
        <w:widowControl/>
        <w:ind w:left="720"/>
        <w:rPr>
          <w:rFonts w:ascii="Times New Roman" w:eastAsia="MS Mincho" w:hAnsi="Times New Roman"/>
        </w:rPr>
      </w:pPr>
      <w:r>
        <w:rPr>
          <w:rFonts w:ascii="Times New Roman" w:eastAsia="MS Mincho" w:hAnsi="Times New Roman"/>
        </w:rPr>
        <w:t xml:space="preserve">In total, </w:t>
      </w:r>
      <w:r w:rsidR="007C539E">
        <w:rPr>
          <w:rFonts w:ascii="Times New Roman" w:eastAsia="MS Mincho" w:hAnsi="Times New Roman"/>
        </w:rPr>
        <w:t xml:space="preserve">as seen in the table below, </w:t>
      </w:r>
      <w:r>
        <w:rPr>
          <w:rFonts w:ascii="Times New Roman" w:eastAsia="MS Mincho" w:hAnsi="Times New Roman"/>
        </w:rPr>
        <w:t xml:space="preserve">the </w:t>
      </w:r>
      <w:r w:rsidR="000E518E">
        <w:rPr>
          <w:rFonts w:ascii="Times New Roman" w:eastAsia="MS Mincho" w:hAnsi="Times New Roman"/>
        </w:rPr>
        <w:t xml:space="preserve">Department estimates that the </w:t>
      </w:r>
      <w:r>
        <w:rPr>
          <w:rFonts w:ascii="Times New Roman" w:eastAsia="MS Mincho" w:hAnsi="Times New Roman"/>
        </w:rPr>
        <w:t xml:space="preserve">disclosures required by the three limitations will </w:t>
      </w:r>
      <w:r w:rsidR="000E518E">
        <w:rPr>
          <w:rFonts w:ascii="Times New Roman" w:eastAsia="MS Mincho" w:hAnsi="Times New Roman"/>
        </w:rPr>
        <w:t>require</w:t>
      </w:r>
      <w:r>
        <w:rPr>
          <w:rFonts w:ascii="Times New Roman" w:eastAsia="MS Mincho" w:hAnsi="Times New Roman"/>
        </w:rPr>
        <w:t xml:space="preserve"> 6</w:t>
      </w:r>
      <w:r w:rsidR="00611C84">
        <w:rPr>
          <w:rFonts w:ascii="Times New Roman" w:eastAsia="MS Mincho" w:hAnsi="Times New Roman"/>
        </w:rPr>
        <w:t>5</w:t>
      </w:r>
      <w:r>
        <w:rPr>
          <w:rFonts w:ascii="Times New Roman" w:eastAsia="MS Mincho" w:hAnsi="Times New Roman"/>
        </w:rPr>
        <w:t>,</w:t>
      </w:r>
      <w:r w:rsidR="00611C84">
        <w:rPr>
          <w:rFonts w:ascii="Times New Roman" w:eastAsia="MS Mincho" w:hAnsi="Times New Roman"/>
        </w:rPr>
        <w:t>2</w:t>
      </w:r>
      <w:r>
        <w:rPr>
          <w:rFonts w:ascii="Times New Roman" w:eastAsia="MS Mincho" w:hAnsi="Times New Roman"/>
        </w:rPr>
        <w:t>00 hours of burden annually at an equivalent cost of $6.</w:t>
      </w:r>
      <w:r w:rsidR="006B7E28">
        <w:rPr>
          <w:rFonts w:ascii="Times New Roman" w:eastAsia="MS Mincho" w:hAnsi="Times New Roman"/>
        </w:rPr>
        <w:t>4</w:t>
      </w:r>
      <w:r>
        <w:rPr>
          <w:rFonts w:ascii="Times New Roman" w:eastAsia="MS Mincho" w:hAnsi="Times New Roman"/>
        </w:rPr>
        <w:t xml:space="preserve"> million.</w:t>
      </w:r>
    </w:p>
    <w:p w:rsidR="007C539E" w:rsidRDefault="007C539E" w:rsidP="006E2ADB">
      <w:pPr>
        <w:widowControl/>
        <w:ind w:left="720"/>
        <w:rPr>
          <w:rFonts w:ascii="Times New Roman" w:eastAsia="MS Mincho" w:hAnsi="Times New Roman"/>
        </w:rPr>
      </w:pPr>
    </w:p>
    <w:tbl>
      <w:tblPr>
        <w:tblStyle w:val="TableGrid"/>
        <w:tblW w:w="0" w:type="auto"/>
        <w:tblInd w:w="828" w:type="dxa"/>
        <w:tblLook w:val="04A0" w:firstRow="1" w:lastRow="0" w:firstColumn="1" w:lastColumn="0" w:noHBand="0" w:noVBand="1"/>
        <w:tblCaption w:val="Burden Table"/>
        <w:tblDescription w:val="Table is a template for calculating burden within an information collection.  "/>
      </w:tblPr>
      <w:tblGrid>
        <w:gridCol w:w="3870"/>
        <w:gridCol w:w="1769"/>
        <w:gridCol w:w="1021"/>
        <w:gridCol w:w="2088"/>
      </w:tblGrid>
      <w:tr w:rsidR="00A306B1" w:rsidRPr="008F47CB" w:rsidTr="000731D3">
        <w:tc>
          <w:tcPr>
            <w:tcW w:w="3870" w:type="dxa"/>
            <w:shd w:val="clear" w:color="auto" w:fill="auto"/>
          </w:tcPr>
          <w:p w:rsidR="00F45A77" w:rsidRPr="00A306B1" w:rsidRDefault="00F45A77" w:rsidP="006E2ADB">
            <w:pPr>
              <w:widowControl/>
              <w:jc w:val="center"/>
              <w:rPr>
                <w:rFonts w:ascii="Times New Roman" w:hAnsi="Times New Roman"/>
                <w:b/>
                <w:sz w:val="22"/>
                <w:szCs w:val="22"/>
              </w:rPr>
            </w:pPr>
            <w:r w:rsidRPr="00A306B1">
              <w:rPr>
                <w:rFonts w:ascii="Times New Roman" w:hAnsi="Times New Roman"/>
                <w:b/>
                <w:sz w:val="22"/>
                <w:szCs w:val="22"/>
              </w:rPr>
              <w:t>Activity</w:t>
            </w:r>
          </w:p>
        </w:tc>
        <w:tc>
          <w:tcPr>
            <w:tcW w:w="1769" w:type="dxa"/>
            <w:shd w:val="clear" w:color="auto" w:fill="auto"/>
          </w:tcPr>
          <w:p w:rsidR="00F45A77" w:rsidRPr="000731D3" w:rsidRDefault="00F45A77" w:rsidP="006E2ADB">
            <w:pPr>
              <w:widowControl/>
              <w:jc w:val="center"/>
              <w:rPr>
                <w:rFonts w:ascii="Times New Roman" w:hAnsi="Times New Roman"/>
                <w:b/>
                <w:sz w:val="22"/>
                <w:szCs w:val="22"/>
              </w:rPr>
            </w:pPr>
            <w:r w:rsidRPr="000731D3">
              <w:rPr>
                <w:rFonts w:ascii="Times New Roman" w:hAnsi="Times New Roman"/>
                <w:b/>
                <w:sz w:val="22"/>
                <w:szCs w:val="22"/>
              </w:rPr>
              <w:t>Total Annual Burden (Hours)</w:t>
            </w:r>
          </w:p>
        </w:tc>
        <w:tc>
          <w:tcPr>
            <w:tcW w:w="1021" w:type="dxa"/>
            <w:shd w:val="clear" w:color="auto" w:fill="auto"/>
          </w:tcPr>
          <w:p w:rsidR="00F45A77" w:rsidRPr="000731D3" w:rsidRDefault="00F45A77" w:rsidP="006E2ADB">
            <w:pPr>
              <w:widowControl/>
              <w:jc w:val="center"/>
              <w:rPr>
                <w:rFonts w:ascii="Times New Roman" w:hAnsi="Times New Roman"/>
                <w:b/>
                <w:sz w:val="22"/>
                <w:szCs w:val="22"/>
              </w:rPr>
            </w:pPr>
            <w:r w:rsidRPr="000731D3">
              <w:rPr>
                <w:rFonts w:ascii="Times New Roman" w:hAnsi="Times New Roman"/>
                <w:b/>
                <w:sz w:val="22"/>
                <w:szCs w:val="22"/>
              </w:rPr>
              <w:t>Hourly Rate</w:t>
            </w:r>
          </w:p>
        </w:tc>
        <w:tc>
          <w:tcPr>
            <w:tcW w:w="2088" w:type="dxa"/>
            <w:shd w:val="clear" w:color="auto" w:fill="auto"/>
          </w:tcPr>
          <w:p w:rsidR="00F45A77" w:rsidRPr="000731D3" w:rsidRDefault="00F45A77" w:rsidP="006E2ADB">
            <w:pPr>
              <w:widowControl/>
              <w:jc w:val="center"/>
              <w:rPr>
                <w:rFonts w:ascii="Times New Roman" w:hAnsi="Times New Roman"/>
                <w:b/>
                <w:sz w:val="22"/>
                <w:szCs w:val="22"/>
              </w:rPr>
            </w:pPr>
            <w:r w:rsidRPr="000731D3">
              <w:rPr>
                <w:rFonts w:ascii="Times New Roman" w:hAnsi="Times New Roman"/>
                <w:b/>
                <w:sz w:val="22"/>
                <w:szCs w:val="22"/>
              </w:rPr>
              <w:t>Monetized Value of Respondent Time</w:t>
            </w:r>
          </w:p>
        </w:tc>
      </w:tr>
      <w:tr w:rsidR="00A306B1" w:rsidRPr="008F47CB" w:rsidTr="000731D3">
        <w:tc>
          <w:tcPr>
            <w:tcW w:w="3870" w:type="dxa"/>
            <w:vAlign w:val="bottom"/>
          </w:tcPr>
          <w:p w:rsidR="00F45A77" w:rsidRPr="008F47CB" w:rsidRDefault="00CD2C9F" w:rsidP="006E2ADB">
            <w:pPr>
              <w:widowControl/>
              <w:rPr>
                <w:rFonts w:ascii="Times New Roman" w:hAnsi="Times New Roman"/>
                <w:sz w:val="22"/>
                <w:szCs w:val="22"/>
              </w:rPr>
            </w:pPr>
            <w:r>
              <w:rPr>
                <w:rFonts w:ascii="Times New Roman" w:hAnsi="Times New Roman"/>
                <w:sz w:val="22"/>
                <w:szCs w:val="22"/>
              </w:rPr>
              <w:t>Seller’s Carve-Out Clerical</w:t>
            </w:r>
          </w:p>
        </w:tc>
        <w:tc>
          <w:tcPr>
            <w:tcW w:w="1769" w:type="dxa"/>
            <w:vAlign w:val="bottom"/>
          </w:tcPr>
          <w:p w:rsidR="00F45A77" w:rsidRPr="008F47CB" w:rsidRDefault="00FC71FF" w:rsidP="006E2ADB">
            <w:pPr>
              <w:widowControl/>
              <w:jc w:val="right"/>
              <w:rPr>
                <w:rFonts w:ascii="Times New Roman" w:hAnsi="Times New Roman"/>
                <w:sz w:val="22"/>
                <w:szCs w:val="22"/>
              </w:rPr>
            </w:pPr>
            <w:r>
              <w:rPr>
                <w:rFonts w:ascii="Times New Roman" w:hAnsi="Times New Roman"/>
                <w:sz w:val="22"/>
                <w:szCs w:val="22"/>
              </w:rPr>
              <w:t>21,000</w:t>
            </w:r>
          </w:p>
        </w:tc>
        <w:tc>
          <w:tcPr>
            <w:tcW w:w="1021" w:type="dxa"/>
            <w:vAlign w:val="bottom"/>
          </w:tcPr>
          <w:p w:rsidR="00F45A77" w:rsidRPr="008F47CB" w:rsidRDefault="00FC71FF" w:rsidP="006E2ADB">
            <w:pPr>
              <w:widowControl/>
              <w:jc w:val="right"/>
              <w:rPr>
                <w:rFonts w:ascii="Times New Roman" w:hAnsi="Times New Roman"/>
                <w:sz w:val="22"/>
                <w:szCs w:val="22"/>
              </w:rPr>
            </w:pPr>
            <w:r>
              <w:rPr>
                <w:rFonts w:ascii="Times New Roman" w:hAnsi="Times New Roman"/>
                <w:sz w:val="22"/>
                <w:szCs w:val="22"/>
              </w:rPr>
              <w:t>$30.42</w:t>
            </w:r>
          </w:p>
        </w:tc>
        <w:tc>
          <w:tcPr>
            <w:tcW w:w="2088" w:type="dxa"/>
            <w:vAlign w:val="bottom"/>
          </w:tcPr>
          <w:p w:rsidR="00F45A77" w:rsidRPr="008F47CB" w:rsidRDefault="00FC71FF" w:rsidP="006E2ADB">
            <w:pPr>
              <w:widowControl/>
              <w:jc w:val="right"/>
              <w:rPr>
                <w:rFonts w:ascii="Times New Roman" w:hAnsi="Times New Roman"/>
                <w:sz w:val="22"/>
                <w:szCs w:val="22"/>
              </w:rPr>
            </w:pPr>
            <w:r>
              <w:rPr>
                <w:rFonts w:ascii="Times New Roman" w:hAnsi="Times New Roman"/>
                <w:sz w:val="22"/>
                <w:szCs w:val="22"/>
              </w:rPr>
              <w:t>$653,000</w:t>
            </w:r>
          </w:p>
        </w:tc>
      </w:tr>
      <w:tr w:rsidR="00CD2C9F" w:rsidRPr="008F47CB" w:rsidTr="000731D3">
        <w:tc>
          <w:tcPr>
            <w:tcW w:w="3870" w:type="dxa"/>
            <w:vAlign w:val="bottom"/>
          </w:tcPr>
          <w:p w:rsidR="00CD2C9F" w:rsidRPr="008F47CB" w:rsidRDefault="00CD2C9F" w:rsidP="006E2ADB">
            <w:pPr>
              <w:widowControl/>
              <w:rPr>
                <w:rFonts w:ascii="Times New Roman" w:hAnsi="Times New Roman"/>
                <w:sz w:val="22"/>
                <w:szCs w:val="22"/>
              </w:rPr>
            </w:pPr>
            <w:r>
              <w:rPr>
                <w:rFonts w:ascii="Times New Roman" w:hAnsi="Times New Roman"/>
                <w:sz w:val="22"/>
                <w:szCs w:val="22"/>
              </w:rPr>
              <w:t>Seller’s Carve-Out Legal</w:t>
            </w:r>
          </w:p>
        </w:tc>
        <w:tc>
          <w:tcPr>
            <w:tcW w:w="1769" w:type="dxa"/>
            <w:vAlign w:val="bottom"/>
          </w:tcPr>
          <w:p w:rsidR="00CD2C9F" w:rsidRPr="008F47CB" w:rsidRDefault="00244B4F" w:rsidP="006E2ADB">
            <w:pPr>
              <w:widowControl/>
              <w:jc w:val="right"/>
              <w:rPr>
                <w:rFonts w:ascii="Times New Roman" w:hAnsi="Times New Roman"/>
                <w:sz w:val="22"/>
                <w:szCs w:val="22"/>
              </w:rPr>
            </w:pPr>
            <w:r>
              <w:rPr>
                <w:rFonts w:ascii="Times New Roman" w:hAnsi="Times New Roman"/>
                <w:sz w:val="22"/>
                <w:szCs w:val="22"/>
              </w:rPr>
              <w:t>43,000</w:t>
            </w:r>
          </w:p>
        </w:tc>
        <w:tc>
          <w:tcPr>
            <w:tcW w:w="1021" w:type="dxa"/>
            <w:vAlign w:val="bottom"/>
          </w:tcPr>
          <w:p w:rsidR="00CD2C9F" w:rsidRPr="008F47CB" w:rsidRDefault="00FC71FF" w:rsidP="006E2ADB">
            <w:pPr>
              <w:widowControl/>
              <w:jc w:val="right"/>
              <w:rPr>
                <w:rFonts w:ascii="Times New Roman" w:hAnsi="Times New Roman"/>
                <w:sz w:val="22"/>
                <w:szCs w:val="22"/>
              </w:rPr>
            </w:pPr>
            <w:r>
              <w:rPr>
                <w:rFonts w:ascii="Times New Roman" w:hAnsi="Times New Roman"/>
                <w:sz w:val="22"/>
                <w:szCs w:val="22"/>
              </w:rPr>
              <w:t>$129.94</w:t>
            </w:r>
          </w:p>
        </w:tc>
        <w:tc>
          <w:tcPr>
            <w:tcW w:w="2088" w:type="dxa"/>
            <w:vAlign w:val="bottom"/>
          </w:tcPr>
          <w:p w:rsidR="00CD2C9F" w:rsidRPr="008F47CB" w:rsidRDefault="00244B4F" w:rsidP="006E2ADB">
            <w:pPr>
              <w:widowControl/>
              <w:jc w:val="right"/>
              <w:rPr>
                <w:rFonts w:ascii="Times New Roman" w:hAnsi="Times New Roman"/>
                <w:sz w:val="22"/>
                <w:szCs w:val="22"/>
              </w:rPr>
            </w:pPr>
            <w:r>
              <w:rPr>
                <w:rFonts w:ascii="Times New Roman" w:hAnsi="Times New Roman"/>
                <w:sz w:val="22"/>
                <w:szCs w:val="22"/>
              </w:rPr>
              <w:t>$5.6 million</w:t>
            </w:r>
          </w:p>
        </w:tc>
      </w:tr>
      <w:tr w:rsidR="00A306B1" w:rsidRPr="008F47CB" w:rsidTr="000731D3">
        <w:tc>
          <w:tcPr>
            <w:tcW w:w="3870" w:type="dxa"/>
            <w:vAlign w:val="bottom"/>
          </w:tcPr>
          <w:p w:rsidR="00F45A77" w:rsidRPr="008F47CB" w:rsidRDefault="00CD2C9F" w:rsidP="006E2ADB">
            <w:pPr>
              <w:widowControl/>
              <w:rPr>
                <w:rFonts w:ascii="Times New Roman" w:hAnsi="Times New Roman"/>
                <w:sz w:val="22"/>
                <w:szCs w:val="22"/>
              </w:rPr>
            </w:pPr>
            <w:r>
              <w:rPr>
                <w:rFonts w:ascii="Times New Roman" w:hAnsi="Times New Roman"/>
                <w:sz w:val="22"/>
                <w:szCs w:val="22"/>
              </w:rPr>
              <w:t>Platform Provider Carve-Out Legal</w:t>
            </w:r>
          </w:p>
        </w:tc>
        <w:tc>
          <w:tcPr>
            <w:tcW w:w="1769" w:type="dxa"/>
            <w:vAlign w:val="bottom"/>
          </w:tcPr>
          <w:p w:rsidR="00F45A77" w:rsidRPr="008F47CB" w:rsidRDefault="00244B4F" w:rsidP="006E2ADB">
            <w:pPr>
              <w:widowControl/>
              <w:jc w:val="right"/>
              <w:rPr>
                <w:rFonts w:ascii="Times New Roman" w:hAnsi="Times New Roman"/>
                <w:sz w:val="22"/>
                <w:szCs w:val="22"/>
              </w:rPr>
            </w:pPr>
            <w:r>
              <w:rPr>
                <w:rFonts w:ascii="Times New Roman" w:hAnsi="Times New Roman"/>
                <w:sz w:val="22"/>
                <w:szCs w:val="22"/>
              </w:rPr>
              <w:t>300</w:t>
            </w:r>
          </w:p>
        </w:tc>
        <w:tc>
          <w:tcPr>
            <w:tcW w:w="1021" w:type="dxa"/>
            <w:vAlign w:val="bottom"/>
          </w:tcPr>
          <w:p w:rsidR="00F45A77" w:rsidRPr="008F47CB" w:rsidRDefault="00FC71FF" w:rsidP="006E2ADB">
            <w:pPr>
              <w:widowControl/>
              <w:jc w:val="right"/>
              <w:rPr>
                <w:rFonts w:ascii="Times New Roman" w:hAnsi="Times New Roman"/>
                <w:sz w:val="22"/>
                <w:szCs w:val="22"/>
              </w:rPr>
            </w:pPr>
            <w:r>
              <w:rPr>
                <w:rFonts w:ascii="Times New Roman" w:hAnsi="Times New Roman"/>
                <w:sz w:val="22"/>
                <w:szCs w:val="22"/>
              </w:rPr>
              <w:t>$129.94</w:t>
            </w:r>
          </w:p>
        </w:tc>
        <w:tc>
          <w:tcPr>
            <w:tcW w:w="2088" w:type="dxa"/>
            <w:vAlign w:val="bottom"/>
          </w:tcPr>
          <w:p w:rsidR="00F45A77" w:rsidRPr="008F47CB" w:rsidRDefault="00244B4F" w:rsidP="006E2ADB">
            <w:pPr>
              <w:widowControl/>
              <w:jc w:val="right"/>
              <w:rPr>
                <w:rFonts w:ascii="Times New Roman" w:hAnsi="Times New Roman"/>
                <w:sz w:val="22"/>
                <w:szCs w:val="22"/>
              </w:rPr>
            </w:pPr>
            <w:r>
              <w:rPr>
                <w:rFonts w:ascii="Times New Roman" w:hAnsi="Times New Roman"/>
                <w:sz w:val="22"/>
                <w:szCs w:val="22"/>
              </w:rPr>
              <w:t>$39,000</w:t>
            </w:r>
          </w:p>
        </w:tc>
      </w:tr>
      <w:tr w:rsidR="00A306B1" w:rsidRPr="008F47CB" w:rsidTr="000731D3">
        <w:tc>
          <w:tcPr>
            <w:tcW w:w="3870" w:type="dxa"/>
            <w:vAlign w:val="bottom"/>
          </w:tcPr>
          <w:p w:rsidR="00F45A77" w:rsidRPr="008F47CB" w:rsidRDefault="00CD2C9F" w:rsidP="006E2ADB">
            <w:pPr>
              <w:widowControl/>
              <w:rPr>
                <w:rFonts w:ascii="Times New Roman" w:hAnsi="Times New Roman"/>
                <w:sz w:val="22"/>
                <w:szCs w:val="22"/>
              </w:rPr>
            </w:pPr>
            <w:r>
              <w:rPr>
                <w:rFonts w:ascii="Times New Roman" w:hAnsi="Times New Roman"/>
                <w:sz w:val="22"/>
                <w:szCs w:val="22"/>
              </w:rPr>
              <w:t>Investment Education Carve-Out Legal</w:t>
            </w:r>
          </w:p>
        </w:tc>
        <w:tc>
          <w:tcPr>
            <w:tcW w:w="1769" w:type="dxa"/>
            <w:vAlign w:val="bottom"/>
          </w:tcPr>
          <w:p w:rsidR="00F45A77" w:rsidRPr="008F47CB" w:rsidRDefault="00244B4F" w:rsidP="006E2ADB">
            <w:pPr>
              <w:widowControl/>
              <w:jc w:val="right"/>
              <w:rPr>
                <w:rFonts w:ascii="Times New Roman" w:hAnsi="Times New Roman"/>
                <w:sz w:val="22"/>
                <w:szCs w:val="22"/>
              </w:rPr>
            </w:pPr>
            <w:r>
              <w:rPr>
                <w:rFonts w:ascii="Times New Roman" w:hAnsi="Times New Roman"/>
                <w:sz w:val="22"/>
                <w:szCs w:val="22"/>
              </w:rPr>
              <w:t>900</w:t>
            </w:r>
          </w:p>
        </w:tc>
        <w:tc>
          <w:tcPr>
            <w:tcW w:w="1021" w:type="dxa"/>
            <w:vAlign w:val="bottom"/>
          </w:tcPr>
          <w:p w:rsidR="00F45A77" w:rsidRPr="008F47CB" w:rsidRDefault="00FC71FF" w:rsidP="006E2ADB">
            <w:pPr>
              <w:widowControl/>
              <w:jc w:val="right"/>
              <w:rPr>
                <w:rFonts w:ascii="Times New Roman" w:hAnsi="Times New Roman"/>
                <w:sz w:val="22"/>
                <w:szCs w:val="22"/>
              </w:rPr>
            </w:pPr>
            <w:r>
              <w:rPr>
                <w:rFonts w:ascii="Times New Roman" w:hAnsi="Times New Roman"/>
                <w:sz w:val="22"/>
                <w:szCs w:val="22"/>
              </w:rPr>
              <w:t>$129.94</w:t>
            </w:r>
          </w:p>
        </w:tc>
        <w:tc>
          <w:tcPr>
            <w:tcW w:w="2088" w:type="dxa"/>
            <w:vAlign w:val="bottom"/>
          </w:tcPr>
          <w:p w:rsidR="00F45A77" w:rsidRPr="008F47CB" w:rsidRDefault="00244B4F" w:rsidP="006E2ADB">
            <w:pPr>
              <w:widowControl/>
              <w:jc w:val="right"/>
              <w:rPr>
                <w:rFonts w:ascii="Times New Roman" w:hAnsi="Times New Roman"/>
                <w:sz w:val="22"/>
                <w:szCs w:val="22"/>
              </w:rPr>
            </w:pPr>
            <w:r>
              <w:rPr>
                <w:rFonts w:ascii="Times New Roman" w:hAnsi="Times New Roman"/>
                <w:sz w:val="22"/>
                <w:szCs w:val="22"/>
              </w:rPr>
              <w:t>$121,000</w:t>
            </w:r>
          </w:p>
        </w:tc>
      </w:tr>
      <w:tr w:rsidR="00A306B1" w:rsidRPr="008F47CB" w:rsidTr="000731D3">
        <w:tc>
          <w:tcPr>
            <w:tcW w:w="3870" w:type="dxa"/>
          </w:tcPr>
          <w:p w:rsidR="00F45A77" w:rsidRPr="008F47CB" w:rsidRDefault="00F45A77" w:rsidP="006E2ADB">
            <w:pPr>
              <w:widowControl/>
              <w:rPr>
                <w:rFonts w:ascii="Times New Roman" w:hAnsi="Times New Roman"/>
                <w:b/>
                <w:i/>
                <w:sz w:val="22"/>
                <w:szCs w:val="22"/>
              </w:rPr>
            </w:pPr>
            <w:r w:rsidRPr="008F47CB">
              <w:rPr>
                <w:rFonts w:ascii="Times New Roman" w:hAnsi="Times New Roman"/>
                <w:b/>
                <w:i/>
                <w:sz w:val="22"/>
                <w:szCs w:val="22"/>
              </w:rPr>
              <w:t>Unduplicated Totals</w:t>
            </w:r>
          </w:p>
        </w:tc>
        <w:tc>
          <w:tcPr>
            <w:tcW w:w="1769" w:type="dxa"/>
            <w:vAlign w:val="bottom"/>
          </w:tcPr>
          <w:p w:rsidR="00F45A77" w:rsidRPr="008F47CB" w:rsidRDefault="00244B4F" w:rsidP="006E2ADB">
            <w:pPr>
              <w:widowControl/>
              <w:jc w:val="right"/>
              <w:rPr>
                <w:rFonts w:ascii="Times New Roman" w:hAnsi="Times New Roman"/>
                <w:b/>
                <w:i/>
                <w:sz w:val="22"/>
                <w:szCs w:val="22"/>
              </w:rPr>
            </w:pPr>
            <w:r>
              <w:rPr>
                <w:rFonts w:ascii="Times New Roman" w:hAnsi="Times New Roman"/>
                <w:b/>
                <w:i/>
                <w:sz w:val="22"/>
                <w:szCs w:val="22"/>
              </w:rPr>
              <w:t>6</w:t>
            </w:r>
            <w:r w:rsidR="00611C84">
              <w:rPr>
                <w:rFonts w:ascii="Times New Roman" w:hAnsi="Times New Roman"/>
                <w:b/>
                <w:i/>
                <w:sz w:val="22"/>
                <w:szCs w:val="22"/>
              </w:rPr>
              <w:t>5</w:t>
            </w:r>
            <w:r>
              <w:rPr>
                <w:rFonts w:ascii="Times New Roman" w:hAnsi="Times New Roman"/>
                <w:b/>
                <w:i/>
                <w:sz w:val="22"/>
                <w:szCs w:val="22"/>
              </w:rPr>
              <w:t>,</w:t>
            </w:r>
            <w:r w:rsidR="00611C84">
              <w:rPr>
                <w:rFonts w:ascii="Times New Roman" w:hAnsi="Times New Roman"/>
                <w:b/>
                <w:i/>
                <w:sz w:val="22"/>
                <w:szCs w:val="22"/>
              </w:rPr>
              <w:t>2</w:t>
            </w:r>
            <w:r>
              <w:rPr>
                <w:rFonts w:ascii="Times New Roman" w:hAnsi="Times New Roman"/>
                <w:b/>
                <w:i/>
                <w:sz w:val="22"/>
                <w:szCs w:val="22"/>
              </w:rPr>
              <w:t>00</w:t>
            </w:r>
          </w:p>
        </w:tc>
        <w:tc>
          <w:tcPr>
            <w:tcW w:w="1021" w:type="dxa"/>
            <w:vAlign w:val="bottom"/>
          </w:tcPr>
          <w:p w:rsidR="00F45A77" w:rsidRPr="008F47CB" w:rsidRDefault="00F45A77" w:rsidP="006E2ADB">
            <w:pPr>
              <w:widowControl/>
              <w:jc w:val="right"/>
              <w:rPr>
                <w:rFonts w:ascii="Times New Roman" w:hAnsi="Times New Roman"/>
                <w:b/>
                <w:i/>
                <w:sz w:val="22"/>
                <w:szCs w:val="22"/>
              </w:rPr>
            </w:pPr>
          </w:p>
        </w:tc>
        <w:tc>
          <w:tcPr>
            <w:tcW w:w="2088" w:type="dxa"/>
            <w:vAlign w:val="bottom"/>
          </w:tcPr>
          <w:p w:rsidR="00F45A77" w:rsidRPr="008F47CB" w:rsidRDefault="00881736" w:rsidP="006E2ADB">
            <w:pPr>
              <w:widowControl/>
              <w:jc w:val="right"/>
              <w:rPr>
                <w:rFonts w:ascii="Times New Roman" w:hAnsi="Times New Roman"/>
                <w:b/>
                <w:i/>
                <w:sz w:val="22"/>
                <w:szCs w:val="22"/>
              </w:rPr>
            </w:pPr>
            <w:r>
              <w:rPr>
                <w:rFonts w:ascii="Times New Roman" w:hAnsi="Times New Roman"/>
                <w:b/>
                <w:i/>
                <w:sz w:val="22"/>
                <w:szCs w:val="22"/>
              </w:rPr>
              <w:t>$6.4 million</w:t>
            </w:r>
          </w:p>
        </w:tc>
      </w:tr>
    </w:tbl>
    <w:p w:rsidR="00AD0D61" w:rsidRDefault="00AD0D61" w:rsidP="006E2ADB">
      <w:pPr>
        <w:widowControl/>
        <w:ind w:left="720"/>
        <w:rPr>
          <w:rFonts w:ascii="Times New Roman" w:hAnsi="Times New Roman"/>
        </w:rPr>
      </w:pPr>
    </w:p>
    <w:p w:rsidR="00F7495D" w:rsidRDefault="00F7495D" w:rsidP="006E2ADB">
      <w:pPr>
        <w:widowControl/>
        <w:ind w:left="720"/>
        <w:rPr>
          <w:rFonts w:ascii="Times New Roman" w:hAnsi="Times New Roman"/>
        </w:rPr>
      </w:pPr>
    </w:p>
    <w:p w:rsidR="00F7495D" w:rsidRDefault="00F7495D" w:rsidP="006E2ADB">
      <w:pPr>
        <w:widowControl/>
        <w:ind w:left="720"/>
        <w:rPr>
          <w:rFonts w:ascii="Times New Roman" w:hAnsi="Times New Roman"/>
        </w:rPr>
      </w:pPr>
    </w:p>
    <w:p w:rsidR="00F7495D" w:rsidRPr="00235B48" w:rsidRDefault="00F7495D" w:rsidP="006E2ADB">
      <w:pPr>
        <w:widowControl/>
        <w:ind w:left="720"/>
        <w:rPr>
          <w:rFonts w:ascii="Times New Roman" w:hAnsi="Times New Roman"/>
        </w:rPr>
      </w:pPr>
    </w:p>
    <w:p w:rsidR="00F3670F" w:rsidRPr="00235B48" w:rsidRDefault="00F3670F" w:rsidP="006E2ADB">
      <w:pPr>
        <w:pStyle w:val="Quick1"/>
        <w:widowControl/>
        <w:tabs>
          <w:tab w:val="left" w:pos="-1440"/>
          <w:tab w:val="num" w:pos="720"/>
        </w:tabs>
        <w:rPr>
          <w:rFonts w:ascii="Times New Roman" w:hAnsi="Times New Roman"/>
          <w:i/>
          <w:iCs/>
        </w:rPr>
      </w:pPr>
      <w:r w:rsidRPr="00235B48">
        <w:rPr>
          <w:rFonts w:ascii="Times New Roman" w:hAnsi="Times New Roman"/>
          <w:i/>
          <w:iCs/>
          <w:sz w:val="20"/>
          <w:szCs w:val="20"/>
        </w:rPr>
        <w:lastRenderedPageBreak/>
        <w:t xml:space="preserve">Provide an estimate of the total annual cost burden to respondents or </w:t>
      </w:r>
      <w:proofErr w:type="spellStart"/>
      <w:r w:rsidRPr="00235B48">
        <w:rPr>
          <w:rFonts w:ascii="Times New Roman" w:hAnsi="Times New Roman"/>
          <w:i/>
          <w:iCs/>
          <w:sz w:val="20"/>
          <w:szCs w:val="20"/>
        </w:rPr>
        <w:t>recordkeepers</w:t>
      </w:r>
      <w:proofErr w:type="spellEnd"/>
      <w:r w:rsidRPr="00235B48">
        <w:rPr>
          <w:rFonts w:ascii="Times New Roman" w:hAnsi="Times New Roman"/>
          <w:i/>
          <w:iCs/>
          <w:sz w:val="20"/>
          <w:szCs w:val="20"/>
        </w:rPr>
        <w:t xml:space="preserve"> resulting from the collection of information.  (Do not include the cost of any hour burden shown in Items 12 or 14).</w:t>
      </w:r>
    </w:p>
    <w:p w:rsidR="00F3670F" w:rsidRPr="00235B48" w:rsidRDefault="00F3670F" w:rsidP="006E2ADB">
      <w:pPr>
        <w:widowControl/>
        <w:ind w:left="720"/>
        <w:rPr>
          <w:rFonts w:ascii="Times New Roman" w:hAnsi="Times New Roman"/>
        </w:rPr>
      </w:pPr>
    </w:p>
    <w:p w:rsidR="00A246C4" w:rsidRDefault="00213639" w:rsidP="006E2ADB">
      <w:pPr>
        <w:widowControl/>
        <w:ind w:left="720"/>
        <w:rPr>
          <w:rFonts w:ascii="Times New Roman" w:hAnsi="Times New Roman"/>
        </w:rPr>
      </w:pPr>
      <w:r>
        <w:rPr>
          <w:rFonts w:ascii="Times New Roman" w:eastAsia="MS Mincho" w:hAnsi="Times New Roman"/>
        </w:rPr>
        <w:t xml:space="preserve">The Department estimates that </w:t>
      </w:r>
      <w:r w:rsidR="0063461F">
        <w:rPr>
          <w:rFonts w:ascii="Times New Roman" w:eastAsia="MS Mincho" w:hAnsi="Times New Roman"/>
        </w:rPr>
        <w:t xml:space="preserve">all </w:t>
      </w:r>
      <w:r w:rsidR="00783766">
        <w:rPr>
          <w:rFonts w:ascii="Times New Roman" w:eastAsia="MS Mincho" w:hAnsi="Times New Roman"/>
        </w:rPr>
        <w:t>disclosures</w:t>
      </w:r>
      <w:r w:rsidR="0063461F">
        <w:rPr>
          <w:rFonts w:ascii="Times New Roman" w:eastAsia="MS Mincho" w:hAnsi="Times New Roman"/>
        </w:rPr>
        <w:t xml:space="preserve"> will be transmitted electronically through regular means of communication</w:t>
      </w:r>
      <w:r w:rsidR="00A878B6">
        <w:rPr>
          <w:rFonts w:ascii="Times New Roman" w:eastAsia="MS Mincho" w:hAnsi="Times New Roman"/>
        </w:rPr>
        <w:t xml:space="preserve">, or else occupy </w:t>
      </w:r>
      <w:r w:rsidR="00783766">
        <w:rPr>
          <w:rFonts w:ascii="Times New Roman" w:eastAsia="MS Mincho" w:hAnsi="Times New Roman"/>
        </w:rPr>
        <w:t xml:space="preserve">very </w:t>
      </w:r>
      <w:r w:rsidR="00A878B6">
        <w:rPr>
          <w:rFonts w:ascii="Times New Roman" w:eastAsia="MS Mincho" w:hAnsi="Times New Roman"/>
        </w:rPr>
        <w:t>small amounts of space on existing paper document</w:t>
      </w:r>
      <w:r w:rsidR="00783766">
        <w:rPr>
          <w:rFonts w:ascii="Times New Roman" w:eastAsia="MS Mincho" w:hAnsi="Times New Roman"/>
        </w:rPr>
        <w:t>s</w:t>
      </w:r>
      <w:r w:rsidR="000E518E">
        <w:rPr>
          <w:rFonts w:ascii="Times New Roman" w:eastAsia="MS Mincho" w:hAnsi="Times New Roman"/>
        </w:rPr>
        <w:t xml:space="preserve">. </w:t>
      </w:r>
      <w:r w:rsidR="009E5302">
        <w:rPr>
          <w:rFonts w:ascii="Times New Roman" w:eastAsia="MS Mincho" w:hAnsi="Times New Roman"/>
        </w:rPr>
        <w:t xml:space="preserve"> </w:t>
      </w:r>
      <w:r w:rsidR="000E518E">
        <w:rPr>
          <w:rFonts w:ascii="Times New Roman" w:eastAsia="MS Mincho" w:hAnsi="Times New Roman"/>
        </w:rPr>
        <w:t xml:space="preserve">Therefore, </w:t>
      </w:r>
      <w:r w:rsidR="00A878B6">
        <w:rPr>
          <w:rFonts w:ascii="Times New Roman" w:eastAsia="MS Mincho" w:hAnsi="Times New Roman"/>
        </w:rPr>
        <w:t>the costs associated with these requirements are</w:t>
      </w:r>
      <w:r w:rsidR="0063461F">
        <w:rPr>
          <w:rFonts w:ascii="Times New Roman" w:eastAsia="MS Mincho" w:hAnsi="Times New Roman"/>
        </w:rPr>
        <w:t xml:space="preserve"> de </w:t>
      </w:r>
      <w:proofErr w:type="spellStart"/>
      <w:r w:rsidR="0063461F">
        <w:rPr>
          <w:rFonts w:ascii="Times New Roman" w:eastAsia="MS Mincho" w:hAnsi="Times New Roman"/>
        </w:rPr>
        <w:t>minimis</w:t>
      </w:r>
      <w:proofErr w:type="spellEnd"/>
      <w:r w:rsidR="0063461F">
        <w:rPr>
          <w:rFonts w:ascii="Times New Roman" w:eastAsia="MS Mincho" w:hAnsi="Times New Roman"/>
        </w:rPr>
        <w:t>.  No other cost burdens are associated with these information collections.</w:t>
      </w:r>
    </w:p>
    <w:p w:rsidR="00AF6A04" w:rsidRPr="00235B48" w:rsidRDefault="00AF6A04" w:rsidP="006E2ADB">
      <w:pPr>
        <w:widowControl/>
        <w:ind w:left="720"/>
        <w:rPr>
          <w:rFonts w:ascii="Times New Roman" w:hAnsi="Times New Roman"/>
        </w:rPr>
      </w:pPr>
    </w:p>
    <w:p w:rsidR="00F3670F" w:rsidRPr="00235B48" w:rsidRDefault="00F3670F" w:rsidP="006E2ADB">
      <w:pPr>
        <w:pStyle w:val="Quick1"/>
        <w:widowControl/>
        <w:tabs>
          <w:tab w:val="left" w:pos="-1440"/>
          <w:tab w:val="num" w:pos="720"/>
        </w:tabs>
        <w:rPr>
          <w:rFonts w:ascii="Times New Roman" w:hAnsi="Times New Roman"/>
          <w:i/>
          <w:iCs/>
          <w:sz w:val="20"/>
          <w:szCs w:val="20"/>
        </w:rPr>
      </w:pPr>
      <w:r w:rsidRPr="00235B48">
        <w:rPr>
          <w:rFonts w:ascii="Times New Roman" w:hAnsi="Times New Roman"/>
          <w:i/>
          <w:iCs/>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97C13" w:rsidRPr="00235B48" w:rsidRDefault="00C97C13" w:rsidP="006E2ADB">
      <w:pPr>
        <w:pStyle w:val="Quick1"/>
        <w:widowControl/>
        <w:numPr>
          <w:ilvl w:val="0"/>
          <w:numId w:val="0"/>
        </w:numPr>
        <w:tabs>
          <w:tab w:val="left" w:pos="-1440"/>
        </w:tabs>
        <w:ind w:left="720"/>
        <w:rPr>
          <w:rFonts w:ascii="Times New Roman" w:hAnsi="Times New Roman"/>
          <w:i/>
          <w:iCs/>
          <w:sz w:val="20"/>
          <w:szCs w:val="20"/>
        </w:rPr>
      </w:pPr>
    </w:p>
    <w:p w:rsidR="00BE3D72" w:rsidRDefault="00DD0EA7" w:rsidP="006E2ADB">
      <w:pPr>
        <w:widowControl/>
        <w:ind w:left="720"/>
        <w:rPr>
          <w:rFonts w:ascii="Times New Roman" w:hAnsi="Times New Roman"/>
        </w:rPr>
      </w:pPr>
      <w:r>
        <w:rPr>
          <w:rFonts w:ascii="Times New Roman" w:hAnsi="Times New Roman"/>
        </w:rPr>
        <w:t>No cost to the Federal Government.</w:t>
      </w:r>
    </w:p>
    <w:p w:rsidR="003D5BAC" w:rsidRPr="00235B48" w:rsidRDefault="003D5BAC"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i/>
          <w:iCs/>
          <w:sz w:val="20"/>
          <w:szCs w:val="20"/>
        </w:rPr>
      </w:pPr>
      <w:r w:rsidRPr="00235B48">
        <w:rPr>
          <w:rFonts w:ascii="Times New Roman" w:hAnsi="Times New Roman"/>
        </w:rPr>
        <w:t>15.</w:t>
      </w:r>
      <w:r w:rsidRPr="00235B48">
        <w:rPr>
          <w:rFonts w:ascii="Times New Roman" w:hAnsi="Times New Roman"/>
        </w:rPr>
        <w:tab/>
      </w:r>
      <w:r w:rsidRPr="00235B48">
        <w:rPr>
          <w:rFonts w:ascii="Times New Roman" w:hAnsi="Times New Roman"/>
          <w:i/>
          <w:iCs/>
          <w:sz w:val="20"/>
          <w:szCs w:val="20"/>
        </w:rPr>
        <w:t>Explain the reasons for any program changes or adjustments reported in Items 13 or 14.</w:t>
      </w:r>
    </w:p>
    <w:p w:rsidR="00F3670F" w:rsidRPr="00235B48" w:rsidRDefault="00F3670F" w:rsidP="006E2ADB">
      <w:pPr>
        <w:widowControl/>
        <w:ind w:left="720"/>
        <w:rPr>
          <w:rFonts w:ascii="Times New Roman" w:hAnsi="Times New Roman"/>
        </w:rPr>
      </w:pPr>
    </w:p>
    <w:p w:rsidR="00BE3D72" w:rsidRDefault="003D5BAC" w:rsidP="006E2ADB">
      <w:pPr>
        <w:widowControl/>
        <w:ind w:left="720"/>
        <w:rPr>
          <w:rFonts w:ascii="Times New Roman" w:hAnsi="Times New Roman"/>
        </w:rPr>
      </w:pPr>
      <w:r>
        <w:rPr>
          <w:rFonts w:ascii="Times New Roman" w:hAnsi="Times New Roman"/>
        </w:rPr>
        <w:t>Not applicable.</w:t>
      </w:r>
    </w:p>
    <w:p w:rsidR="003D5BAC" w:rsidRPr="00235B48" w:rsidRDefault="003D5BAC"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i/>
          <w:iCs/>
          <w:sz w:val="20"/>
          <w:szCs w:val="20"/>
        </w:rPr>
      </w:pPr>
      <w:r w:rsidRPr="00235B48">
        <w:rPr>
          <w:rFonts w:ascii="Times New Roman" w:hAnsi="Times New Roman"/>
        </w:rPr>
        <w:t>16.</w:t>
      </w:r>
      <w:r w:rsidRPr="00235B48">
        <w:rPr>
          <w:rFonts w:ascii="Times New Roman" w:hAnsi="Times New Roman"/>
        </w:rPr>
        <w:tab/>
      </w:r>
      <w:r w:rsidRPr="00235B48">
        <w:rPr>
          <w:rFonts w:ascii="Times New Roman" w:hAnsi="Times New Roman"/>
          <w:i/>
          <w:iCs/>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6B52" w:rsidRPr="00176829" w:rsidRDefault="00586B52" w:rsidP="006E2ADB">
      <w:pPr>
        <w:widowControl/>
        <w:ind w:left="720"/>
        <w:rPr>
          <w:rFonts w:ascii="Times New Roman" w:hAnsi="Times New Roman"/>
        </w:rPr>
      </w:pPr>
    </w:p>
    <w:p w:rsidR="00586B52" w:rsidRPr="00176829" w:rsidRDefault="00586B52" w:rsidP="006E2ADB">
      <w:pPr>
        <w:widowControl/>
        <w:ind w:left="720"/>
        <w:rPr>
          <w:rFonts w:ascii="Times New Roman" w:hAnsi="Times New Roman"/>
        </w:rPr>
      </w:pPr>
      <w:r w:rsidRPr="00176829">
        <w:rPr>
          <w:rFonts w:ascii="Times New Roman" w:hAnsi="Times New Roman"/>
        </w:rPr>
        <w:t>There are no plans to publish results of this information collection.</w:t>
      </w:r>
    </w:p>
    <w:p w:rsidR="00BE3D72" w:rsidRPr="00176829" w:rsidRDefault="00BE3D72" w:rsidP="006E2ADB">
      <w:pPr>
        <w:widowControl/>
        <w:ind w:left="720"/>
        <w:rPr>
          <w:rFonts w:ascii="Times New Roman" w:hAnsi="Times New Roman"/>
        </w:rPr>
      </w:pPr>
    </w:p>
    <w:p w:rsidR="00F3670F" w:rsidRPr="00235B48" w:rsidRDefault="00F3670F" w:rsidP="006E2ADB">
      <w:pPr>
        <w:widowControl/>
        <w:numPr>
          <w:ilvl w:val="0"/>
          <w:numId w:val="5"/>
        </w:numPr>
        <w:tabs>
          <w:tab w:val="clear" w:pos="720"/>
          <w:tab w:val="left" w:pos="-1440"/>
        </w:tabs>
        <w:ind w:hanging="630"/>
        <w:rPr>
          <w:rFonts w:ascii="Times New Roman" w:hAnsi="Times New Roman"/>
          <w:i/>
          <w:iCs/>
          <w:sz w:val="20"/>
          <w:szCs w:val="20"/>
        </w:rPr>
      </w:pPr>
      <w:r w:rsidRPr="00235B48">
        <w:rPr>
          <w:rFonts w:ascii="Times New Roman" w:hAnsi="Times New Roman"/>
          <w:i/>
          <w:iCs/>
          <w:sz w:val="20"/>
          <w:szCs w:val="20"/>
        </w:rPr>
        <w:t>If seeking approval to not display the expiration date for OMB approval of the information collection, explain the reasons that display would be inappropriate.</w:t>
      </w:r>
    </w:p>
    <w:p w:rsidR="00CC65B0" w:rsidRPr="00235B48" w:rsidRDefault="00CC65B0" w:rsidP="006E2ADB">
      <w:pPr>
        <w:widowControl/>
        <w:tabs>
          <w:tab w:val="left" w:pos="-1440"/>
        </w:tabs>
        <w:ind w:left="720"/>
        <w:rPr>
          <w:rFonts w:ascii="Times New Roman" w:hAnsi="Times New Roman"/>
          <w:i/>
          <w:iCs/>
          <w:sz w:val="20"/>
          <w:szCs w:val="20"/>
        </w:rPr>
      </w:pPr>
    </w:p>
    <w:p w:rsidR="0098013F" w:rsidRDefault="0098013F" w:rsidP="006E2ADB">
      <w:pPr>
        <w:widowControl/>
        <w:ind w:left="720"/>
        <w:rPr>
          <w:rFonts w:ascii="Times New Roman" w:hAnsi="Times New Roman"/>
        </w:rPr>
      </w:pPr>
      <w:r>
        <w:rPr>
          <w:rFonts w:ascii="Times New Roman" w:hAnsi="Times New Roman"/>
        </w:rPr>
        <w:t>The collection of information will display a currently valid OMB control number.</w:t>
      </w:r>
    </w:p>
    <w:p w:rsidR="00475204" w:rsidRPr="00235B48" w:rsidRDefault="00475204" w:rsidP="006E2ADB">
      <w:pPr>
        <w:widowControl/>
        <w:tabs>
          <w:tab w:val="left" w:pos="-1440"/>
        </w:tabs>
        <w:ind w:left="720"/>
        <w:rPr>
          <w:rFonts w:ascii="Times New Roman" w:hAnsi="Times New Roman"/>
          <w:i/>
          <w:iCs/>
          <w:sz w:val="20"/>
          <w:szCs w:val="20"/>
        </w:rPr>
      </w:pPr>
    </w:p>
    <w:p w:rsidR="00F3670F" w:rsidRPr="00235B48" w:rsidRDefault="00F3670F" w:rsidP="006E2ADB">
      <w:pPr>
        <w:widowControl/>
        <w:tabs>
          <w:tab w:val="left" w:pos="-1440"/>
        </w:tabs>
        <w:ind w:left="720" w:hanging="720"/>
        <w:rPr>
          <w:rFonts w:ascii="Times New Roman" w:hAnsi="Times New Roman"/>
          <w:i/>
          <w:iCs/>
        </w:rPr>
      </w:pPr>
      <w:r w:rsidRPr="00235B48">
        <w:rPr>
          <w:rFonts w:ascii="Times New Roman" w:hAnsi="Times New Roman"/>
        </w:rPr>
        <w:t>18.</w:t>
      </w:r>
      <w:r w:rsidRPr="00235B48">
        <w:rPr>
          <w:rFonts w:ascii="Times New Roman" w:hAnsi="Times New Roman"/>
        </w:rPr>
        <w:tab/>
      </w:r>
      <w:r w:rsidRPr="00235B48">
        <w:rPr>
          <w:rFonts w:ascii="Times New Roman" w:hAnsi="Times New Roman"/>
          <w:i/>
          <w:iCs/>
          <w:sz w:val="20"/>
          <w:szCs w:val="20"/>
        </w:rPr>
        <w:t>Explain each exception to the certification statement identified in Item 19, "Certification for Paperwork Reduction Act Submission</w:t>
      </w:r>
      <w:r w:rsidR="00390170">
        <w:rPr>
          <w:rFonts w:ascii="Times New Roman" w:hAnsi="Times New Roman"/>
          <w:i/>
          <w:iCs/>
          <w:sz w:val="20"/>
          <w:szCs w:val="20"/>
        </w:rPr>
        <w:t>.</w:t>
      </w:r>
      <w:r w:rsidRPr="00235B48">
        <w:rPr>
          <w:rFonts w:ascii="Times New Roman" w:hAnsi="Times New Roman"/>
          <w:i/>
          <w:iCs/>
          <w:sz w:val="20"/>
          <w:szCs w:val="20"/>
        </w:rPr>
        <w:t>"</w:t>
      </w:r>
    </w:p>
    <w:p w:rsidR="00F3670F" w:rsidRPr="00235B48" w:rsidRDefault="00F3670F" w:rsidP="006E2ADB">
      <w:pPr>
        <w:widowControl/>
        <w:ind w:left="720"/>
        <w:rPr>
          <w:rFonts w:ascii="Times New Roman" w:hAnsi="Times New Roman"/>
        </w:rPr>
      </w:pPr>
    </w:p>
    <w:p w:rsidR="00586B52" w:rsidRDefault="00586B52" w:rsidP="006E2ADB">
      <w:pPr>
        <w:widowControl/>
        <w:ind w:left="720"/>
        <w:rPr>
          <w:rFonts w:ascii="Times New Roman" w:hAnsi="Times New Roman"/>
        </w:rPr>
      </w:pPr>
      <w:r w:rsidRPr="00235B48">
        <w:rPr>
          <w:rFonts w:ascii="Times New Roman" w:hAnsi="Times New Roman"/>
        </w:rPr>
        <w:t>None.</w:t>
      </w:r>
    </w:p>
    <w:p w:rsidR="00475204" w:rsidRDefault="00475204" w:rsidP="006E2ADB">
      <w:pPr>
        <w:widowControl/>
        <w:ind w:left="720"/>
        <w:rPr>
          <w:rFonts w:ascii="Times New Roman" w:hAnsi="Times New Roman"/>
        </w:rPr>
      </w:pPr>
    </w:p>
    <w:p w:rsidR="00475204" w:rsidRDefault="00475204" w:rsidP="006E2ADB">
      <w:pPr>
        <w:widowControl/>
        <w:outlineLvl w:val="0"/>
        <w:rPr>
          <w:rFonts w:ascii="Times New Roman" w:hAnsi="Times New Roman"/>
          <w:bCs/>
        </w:rPr>
      </w:pPr>
      <w:r>
        <w:rPr>
          <w:rFonts w:ascii="Times New Roman" w:hAnsi="Times New Roman"/>
          <w:b/>
          <w:bCs/>
        </w:rPr>
        <w:t>B</w:t>
      </w:r>
      <w:r w:rsidRPr="00235B48">
        <w:rPr>
          <w:rFonts w:ascii="Times New Roman" w:hAnsi="Times New Roman"/>
          <w:b/>
          <w:bCs/>
        </w:rPr>
        <w:t xml:space="preserve">.  </w:t>
      </w:r>
      <w:r>
        <w:rPr>
          <w:rFonts w:ascii="Times New Roman" w:hAnsi="Times New Roman"/>
          <w:b/>
          <w:bCs/>
        </w:rPr>
        <w:t>Statistical Methods</w:t>
      </w:r>
    </w:p>
    <w:p w:rsidR="00475204" w:rsidRDefault="00475204" w:rsidP="006E2ADB">
      <w:pPr>
        <w:widowControl/>
        <w:ind w:left="720"/>
        <w:outlineLvl w:val="0"/>
        <w:rPr>
          <w:rFonts w:ascii="Times New Roman" w:hAnsi="Times New Roman"/>
          <w:bCs/>
        </w:rPr>
      </w:pPr>
    </w:p>
    <w:p w:rsidR="00475204" w:rsidRPr="00475204" w:rsidRDefault="00475204" w:rsidP="006E2ADB">
      <w:pPr>
        <w:widowControl/>
        <w:ind w:left="720"/>
        <w:outlineLvl w:val="0"/>
        <w:rPr>
          <w:rFonts w:ascii="Times New Roman" w:hAnsi="Times New Roman"/>
        </w:rPr>
      </w:pPr>
      <w:r>
        <w:rPr>
          <w:rFonts w:ascii="Times New Roman" w:hAnsi="Times New Roman"/>
          <w:bCs/>
        </w:rPr>
        <w:t>This information collection does not employ statistical methods.</w:t>
      </w:r>
    </w:p>
    <w:p w:rsidR="00475204" w:rsidRPr="00235B48" w:rsidRDefault="00475204" w:rsidP="006E2ADB">
      <w:pPr>
        <w:widowControl/>
        <w:ind w:left="720"/>
        <w:rPr>
          <w:rFonts w:ascii="Times New Roman" w:hAnsi="Times New Roman"/>
        </w:rPr>
      </w:pPr>
    </w:p>
    <w:sectPr w:rsidR="00475204" w:rsidRPr="00235B48">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354" w:right="1440" w:bottom="1440" w:left="1440" w:header="1354" w:footer="144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782" w:rsidRDefault="00A97782">
      <w:r>
        <w:separator/>
      </w:r>
    </w:p>
  </w:endnote>
  <w:endnote w:type="continuationSeparator" w:id="0">
    <w:p w:rsidR="00A97782" w:rsidRDefault="00A9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C4" w:rsidRDefault="00C941C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3D" w:rsidRDefault="0095653D" w:rsidP="00541F6D">
    <w:pPr>
      <w:pStyle w:val="Footer"/>
      <w:jc w:val="center"/>
    </w:pPr>
  </w:p>
  <w:p w:rsidR="00541F6D" w:rsidRDefault="00541F6D" w:rsidP="00541F6D">
    <w:pPr>
      <w:pStyle w:val="Footer"/>
      <w:jc w:val="center"/>
    </w:pPr>
    <w:r>
      <w:fldChar w:fldCharType="begin"/>
    </w:r>
    <w:r>
      <w:instrText xml:space="preserve"> PAGE   \* MERGEFORMAT </w:instrText>
    </w:r>
    <w:r>
      <w:fldChar w:fldCharType="separate"/>
    </w:r>
    <w:r w:rsidR="00DB3464">
      <w:rPr>
        <w:noProof/>
      </w:rPr>
      <w:t>4</w:t>
    </w:r>
    <w:r>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C4" w:rsidRDefault="00C941C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782" w:rsidRDefault="00A97782">
      <w:r>
        <w:separator/>
      </w:r>
    </w:p>
  </w:footnote>
  <w:footnote w:type="continuationSeparator" w:id="0">
    <w:p w:rsidR="00A97782" w:rsidRDefault="00A97782">
      <w:r>
        <w:continuationSeparator/>
      </w:r>
    </w:p>
  </w:footnote>
  <w:footnote w:id="1">
    <w:p w:rsidR="00F81CF5" w:rsidRPr="005D5F36" w:rsidRDefault="00F81CF5">
      <w:pPr>
        <w:pStyle w:val="FootnoteText"/>
        <w:rPr>
          <w:rFonts w:ascii="Times New Roman" w:hAnsi="Times New Roman"/>
        </w:rPr>
      </w:pPr>
      <w:r w:rsidRPr="00C246CC">
        <w:rPr>
          <w:rStyle w:val="FootnoteReference"/>
          <w:rFonts w:ascii="Times New Roman" w:hAnsi="Times New Roman"/>
          <w:vertAlign w:val="superscript"/>
        </w:rPr>
        <w:footnoteRef/>
      </w:r>
      <w:r w:rsidRPr="005D5F36">
        <w:rPr>
          <w:rFonts w:ascii="Times New Roman" w:hAnsi="Times New Roman"/>
        </w:rPr>
        <w:t xml:space="preserve"> 85,863 plans x 50 percent x 1 hour = 43,000 hours.</w:t>
      </w:r>
    </w:p>
  </w:footnote>
  <w:footnote w:id="2">
    <w:p w:rsidR="00D6315A" w:rsidRPr="005D5F36" w:rsidRDefault="00D6315A" w:rsidP="00D6315A">
      <w:pPr>
        <w:pStyle w:val="FootnoteText"/>
        <w:rPr>
          <w:rFonts w:ascii="Times New Roman" w:hAnsi="Times New Roman"/>
        </w:rPr>
      </w:pPr>
      <w:r w:rsidRPr="00C246CC">
        <w:rPr>
          <w:rStyle w:val="FootnoteReference"/>
          <w:rFonts w:ascii="Times New Roman" w:hAnsi="Times New Roman"/>
          <w:vertAlign w:val="superscript"/>
        </w:rPr>
        <w:footnoteRef/>
      </w:r>
      <w:r>
        <w:rPr>
          <w:rFonts w:ascii="Times New Roman" w:hAnsi="Times New Roman"/>
        </w:rPr>
        <w:t xml:space="preserve"> </w:t>
      </w:r>
      <w:r w:rsidR="00423F2F" w:rsidRPr="00423F2F">
        <w:rPr>
          <w:rFonts w:ascii="Times New Roman" w:hAnsi="Times New Roman"/>
        </w:rPr>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3">
    <w:p w:rsidR="001C184A" w:rsidRPr="001C184A" w:rsidRDefault="001C184A">
      <w:pPr>
        <w:pStyle w:val="FootnoteText"/>
        <w:rPr>
          <w:rFonts w:ascii="Times New Roman" w:hAnsi="Times New Roman"/>
        </w:rPr>
      </w:pPr>
      <w:r w:rsidRPr="00C246CC">
        <w:rPr>
          <w:rStyle w:val="FootnoteReference"/>
          <w:rFonts w:ascii="Times New Roman" w:hAnsi="Times New Roman"/>
          <w:vertAlign w:val="superscript"/>
        </w:rPr>
        <w:footnoteRef/>
      </w:r>
      <w:r w:rsidRPr="001C184A">
        <w:rPr>
          <w:rFonts w:ascii="Times New Roman" w:hAnsi="Times New Roman"/>
        </w:rPr>
        <w:t xml:space="preserve"> </w:t>
      </w:r>
      <w:r w:rsidR="00423F2F" w:rsidRPr="00423F2F">
        <w:rPr>
          <w:rFonts w:ascii="Times New Roman" w:hAnsi="Times New Roman"/>
        </w:rPr>
        <w:t>Legal Professional (23-1011): $63.46(2013 BLS Wage rate) /0.69(ECEC ratio) *1.35(Overhead Load Factor) *1.023(Inflation rate) ^2(Inflated 2 years from base year) = $129.94</w:t>
      </w:r>
    </w:p>
  </w:footnote>
  <w:footnote w:id="4">
    <w:p w:rsidR="0069590B" w:rsidRPr="00DE0439" w:rsidRDefault="0069590B">
      <w:pPr>
        <w:pStyle w:val="FootnoteText"/>
        <w:rPr>
          <w:rFonts w:ascii="Times New Roman" w:hAnsi="Times New Roman"/>
        </w:rPr>
      </w:pPr>
      <w:r w:rsidRPr="00C246CC">
        <w:rPr>
          <w:rStyle w:val="FootnoteReference"/>
          <w:rFonts w:ascii="Times New Roman" w:hAnsi="Times New Roman"/>
          <w:vertAlign w:val="superscript"/>
        </w:rPr>
        <w:footnoteRef/>
      </w:r>
      <w:r w:rsidRPr="00DE0439">
        <w:rPr>
          <w:rFonts w:ascii="Times New Roman" w:hAnsi="Times New Roman"/>
        </w:rPr>
        <w:t xml:space="preserve"> 43,000 hours x $12</w:t>
      </w:r>
      <w:r w:rsidR="00E075CF">
        <w:rPr>
          <w:rFonts w:ascii="Times New Roman" w:hAnsi="Times New Roman"/>
        </w:rPr>
        <w:t>9.94</w:t>
      </w:r>
      <w:r w:rsidRPr="00DE0439">
        <w:rPr>
          <w:rFonts w:ascii="Times New Roman" w:hAnsi="Times New Roman"/>
        </w:rPr>
        <w:t xml:space="preserve"> per hour = $5.</w:t>
      </w:r>
      <w:r w:rsidR="00E075CF">
        <w:rPr>
          <w:rFonts w:ascii="Times New Roman" w:hAnsi="Times New Roman"/>
        </w:rPr>
        <w:t>6</w:t>
      </w:r>
      <w:r w:rsidRPr="00DE0439">
        <w:rPr>
          <w:rFonts w:ascii="Times New Roman" w:hAnsi="Times New Roman"/>
        </w:rPr>
        <w:t xml:space="preserve"> million.</w:t>
      </w:r>
    </w:p>
  </w:footnote>
  <w:footnote w:id="5">
    <w:p w:rsidR="00C91A7C" w:rsidRPr="00DE0439" w:rsidRDefault="00C91A7C">
      <w:pPr>
        <w:pStyle w:val="FootnoteText"/>
        <w:rPr>
          <w:rFonts w:ascii="Times New Roman" w:hAnsi="Times New Roman"/>
        </w:rPr>
      </w:pPr>
      <w:r w:rsidRPr="00C246CC">
        <w:rPr>
          <w:rStyle w:val="FootnoteReference"/>
          <w:rFonts w:ascii="Times New Roman" w:hAnsi="Times New Roman"/>
          <w:vertAlign w:val="superscript"/>
        </w:rPr>
        <w:footnoteRef/>
      </w:r>
      <w:r w:rsidRPr="00DE0439">
        <w:rPr>
          <w:rFonts w:ascii="Times New Roman" w:hAnsi="Times New Roman"/>
        </w:rPr>
        <w:t xml:space="preserve"> </w:t>
      </w:r>
      <w:r w:rsidR="00F81CF5" w:rsidRPr="00DE0439">
        <w:rPr>
          <w:rFonts w:ascii="Times New Roman" w:hAnsi="Times New Roman"/>
        </w:rPr>
        <w:t>85,863 plans x 50 percent x 30 minutes = 21,000 hours</w:t>
      </w:r>
      <w:r w:rsidR="005D5F36" w:rsidRPr="00DE0439">
        <w:rPr>
          <w:rFonts w:ascii="Times New Roman" w:hAnsi="Times New Roman"/>
        </w:rPr>
        <w:t>.</w:t>
      </w:r>
    </w:p>
  </w:footnote>
  <w:footnote w:id="6">
    <w:p w:rsidR="001C184A" w:rsidRPr="00DE0439" w:rsidRDefault="001C184A">
      <w:pPr>
        <w:pStyle w:val="FootnoteText"/>
        <w:rPr>
          <w:rFonts w:ascii="Times New Roman" w:hAnsi="Times New Roman"/>
        </w:rPr>
      </w:pPr>
      <w:r w:rsidRPr="00C246CC">
        <w:rPr>
          <w:rStyle w:val="FootnoteReference"/>
          <w:rFonts w:ascii="Times New Roman" w:hAnsi="Times New Roman"/>
          <w:vertAlign w:val="superscript"/>
        </w:rPr>
        <w:footnoteRef/>
      </w:r>
      <w:r w:rsidRPr="00DE0439">
        <w:rPr>
          <w:rFonts w:ascii="Times New Roman" w:hAnsi="Times New Roman"/>
        </w:rPr>
        <w:t xml:space="preserve"> </w:t>
      </w:r>
      <w:r w:rsidR="00E075CF" w:rsidRPr="00E075CF">
        <w:rPr>
          <w:rFonts w:ascii="Times New Roman" w:hAnsi="Times New Roman"/>
        </w:rPr>
        <w:t>Secretaries, Except Legal, Medical, and Executive (43-6014): $16.35(2013 BLS Wage rate)/0.675(ECEC ratio) *1.2(Overhead Load Factor) *1.023(Inflation rate) ^2(Inflated 2 years from base year) = $30.42</w:t>
      </w:r>
    </w:p>
  </w:footnote>
  <w:footnote w:id="7">
    <w:p w:rsidR="0069590B" w:rsidRPr="00DE0439" w:rsidRDefault="0069590B">
      <w:pPr>
        <w:pStyle w:val="FootnoteText"/>
        <w:rPr>
          <w:rFonts w:ascii="Times New Roman" w:hAnsi="Times New Roman"/>
        </w:rPr>
      </w:pPr>
      <w:r w:rsidRPr="00C246CC">
        <w:rPr>
          <w:rStyle w:val="FootnoteReference"/>
          <w:rFonts w:ascii="Times New Roman" w:hAnsi="Times New Roman"/>
          <w:vertAlign w:val="superscript"/>
        </w:rPr>
        <w:footnoteRef/>
      </w:r>
      <w:r w:rsidRPr="00DE0439">
        <w:rPr>
          <w:rFonts w:ascii="Times New Roman" w:hAnsi="Times New Roman"/>
        </w:rPr>
        <w:t xml:space="preserve"> 21,000 hours x $</w:t>
      </w:r>
      <w:r w:rsidR="00FA372F">
        <w:rPr>
          <w:rFonts w:ascii="Times New Roman" w:hAnsi="Times New Roman"/>
        </w:rPr>
        <w:t>30.42</w:t>
      </w:r>
      <w:r w:rsidRPr="00DE0439">
        <w:rPr>
          <w:rFonts w:ascii="Times New Roman" w:hAnsi="Times New Roman"/>
        </w:rPr>
        <w:t xml:space="preserve"> per hour = $6</w:t>
      </w:r>
      <w:r w:rsidR="00FA372F">
        <w:rPr>
          <w:rFonts w:ascii="Times New Roman" w:hAnsi="Times New Roman"/>
        </w:rPr>
        <w:t>5</w:t>
      </w:r>
      <w:r w:rsidRPr="00DE0439">
        <w:rPr>
          <w:rFonts w:ascii="Times New Roman" w:hAnsi="Times New Roman"/>
        </w:rPr>
        <w:t>3,000.</w:t>
      </w:r>
    </w:p>
  </w:footnote>
  <w:footnote w:id="8">
    <w:p w:rsidR="009F28A4" w:rsidRPr="00DE0439" w:rsidRDefault="009F28A4">
      <w:pPr>
        <w:pStyle w:val="FootnoteText"/>
        <w:rPr>
          <w:rFonts w:ascii="Times New Roman" w:hAnsi="Times New Roman"/>
        </w:rPr>
      </w:pPr>
      <w:r w:rsidRPr="00C246CC">
        <w:rPr>
          <w:rStyle w:val="FootnoteReference"/>
          <w:rFonts w:ascii="Times New Roman" w:hAnsi="Times New Roman"/>
          <w:vertAlign w:val="superscript"/>
        </w:rPr>
        <w:footnoteRef/>
      </w:r>
      <w:r w:rsidRPr="00DE0439">
        <w:rPr>
          <w:rFonts w:ascii="Times New Roman" w:hAnsi="Times New Roman"/>
        </w:rPr>
        <w:t xml:space="preserve"> The Department assumes that </w:t>
      </w:r>
      <w:proofErr w:type="spellStart"/>
      <w:r w:rsidRPr="00DE0439">
        <w:rPr>
          <w:rFonts w:ascii="Times New Roman" w:hAnsi="Times New Roman"/>
        </w:rPr>
        <w:t>recordkeepers</w:t>
      </w:r>
      <w:proofErr w:type="spellEnd"/>
      <w:r w:rsidRPr="00DE0439">
        <w:rPr>
          <w:rFonts w:ascii="Times New Roman" w:hAnsi="Times New Roman"/>
        </w:rPr>
        <w:t xml:space="preserve"> will be the primary users of the limitation</w:t>
      </w:r>
      <w:r w:rsidR="00B06E5F">
        <w:rPr>
          <w:rFonts w:ascii="Times New Roman" w:hAnsi="Times New Roman"/>
        </w:rPr>
        <w:t xml:space="preserve"> and that nearly all </w:t>
      </w:r>
      <w:proofErr w:type="spellStart"/>
      <w:r w:rsidR="00B06E5F">
        <w:rPr>
          <w:rFonts w:ascii="Times New Roman" w:hAnsi="Times New Roman"/>
        </w:rPr>
        <w:t>recordkeepers</w:t>
      </w:r>
      <w:proofErr w:type="spellEnd"/>
      <w:r w:rsidR="00B06E5F">
        <w:rPr>
          <w:rFonts w:ascii="Times New Roman" w:hAnsi="Times New Roman"/>
        </w:rPr>
        <w:t xml:space="preserve"> will do so</w:t>
      </w:r>
      <w:r w:rsidRPr="00DE0439">
        <w:rPr>
          <w:rFonts w:ascii="Times New Roman" w:hAnsi="Times New Roman"/>
        </w:rPr>
        <w:t xml:space="preserve">.  In 2012, 1,780 </w:t>
      </w:r>
      <w:proofErr w:type="spellStart"/>
      <w:r w:rsidRPr="00DE0439">
        <w:rPr>
          <w:rFonts w:ascii="Times New Roman" w:hAnsi="Times New Roman"/>
        </w:rPr>
        <w:t>recordkeepers</w:t>
      </w:r>
      <w:proofErr w:type="spellEnd"/>
      <w:r w:rsidRPr="00DE0439">
        <w:rPr>
          <w:rFonts w:ascii="Times New Roman" w:hAnsi="Times New Roman"/>
        </w:rPr>
        <w:t xml:space="preserve"> were reported on the Form 5500 Schedule C.  The Department rounded up to 1,800 to reflect other possible types of service providers that could use the limitation in small numbers.</w:t>
      </w:r>
    </w:p>
  </w:footnote>
  <w:footnote w:id="9">
    <w:p w:rsidR="004004F7" w:rsidRPr="00DE0439" w:rsidRDefault="004004F7">
      <w:pPr>
        <w:pStyle w:val="FootnoteText"/>
        <w:rPr>
          <w:rFonts w:ascii="Times New Roman" w:hAnsi="Times New Roman"/>
        </w:rPr>
      </w:pPr>
      <w:r w:rsidRPr="00C246CC">
        <w:rPr>
          <w:rStyle w:val="FootnoteReference"/>
          <w:rFonts w:ascii="Times New Roman" w:hAnsi="Times New Roman"/>
          <w:vertAlign w:val="superscript"/>
        </w:rPr>
        <w:footnoteRef/>
      </w:r>
      <w:r w:rsidRPr="00DE0439">
        <w:rPr>
          <w:rFonts w:ascii="Times New Roman" w:hAnsi="Times New Roman"/>
        </w:rPr>
        <w:t xml:space="preserve"> 1,800 service providers x 10 minutes = 300 hours.</w:t>
      </w:r>
    </w:p>
  </w:footnote>
  <w:footnote w:id="10">
    <w:p w:rsidR="00DE0439" w:rsidRPr="00DE0439" w:rsidRDefault="00DE0439">
      <w:pPr>
        <w:pStyle w:val="FootnoteText"/>
        <w:rPr>
          <w:rFonts w:ascii="Times New Roman" w:hAnsi="Times New Roman"/>
        </w:rPr>
      </w:pPr>
      <w:r w:rsidRPr="00C246CC">
        <w:rPr>
          <w:rStyle w:val="FootnoteReference"/>
          <w:rFonts w:ascii="Times New Roman" w:hAnsi="Times New Roman"/>
          <w:vertAlign w:val="superscript"/>
        </w:rPr>
        <w:footnoteRef/>
      </w:r>
      <w:r w:rsidRPr="00DE0439">
        <w:rPr>
          <w:rFonts w:ascii="Times New Roman" w:hAnsi="Times New Roman"/>
        </w:rPr>
        <w:t xml:space="preserve"> 300 hours x $12</w:t>
      </w:r>
      <w:r w:rsidR="00595A80">
        <w:rPr>
          <w:rFonts w:ascii="Times New Roman" w:hAnsi="Times New Roman"/>
        </w:rPr>
        <w:t>9.94</w:t>
      </w:r>
      <w:r w:rsidRPr="00DE0439">
        <w:rPr>
          <w:rFonts w:ascii="Times New Roman" w:hAnsi="Times New Roman"/>
        </w:rPr>
        <w:t xml:space="preserve"> per hour = $3</w:t>
      </w:r>
      <w:r w:rsidR="00595A80">
        <w:rPr>
          <w:rFonts w:ascii="Times New Roman" w:hAnsi="Times New Roman"/>
        </w:rPr>
        <w:t>9</w:t>
      </w:r>
      <w:r w:rsidRPr="00DE0439">
        <w:rPr>
          <w:rFonts w:ascii="Times New Roman" w:hAnsi="Times New Roman"/>
        </w:rPr>
        <w:t>,000</w:t>
      </w:r>
    </w:p>
  </w:footnote>
  <w:footnote w:id="11">
    <w:p w:rsidR="006B433B" w:rsidRDefault="006B433B">
      <w:pPr>
        <w:pStyle w:val="FootnoteText"/>
      </w:pPr>
      <w:r w:rsidRPr="00C246CC">
        <w:rPr>
          <w:rStyle w:val="FootnoteReference"/>
          <w:rFonts w:ascii="Times New Roman" w:hAnsi="Times New Roman"/>
          <w:vertAlign w:val="superscript"/>
        </w:rPr>
        <w:footnoteRef/>
      </w:r>
      <w:r w:rsidRPr="005863A7">
        <w:rPr>
          <w:rFonts w:ascii="Times New Roman" w:hAnsi="Times New Roman"/>
        </w:rPr>
        <w:t xml:space="preserve"> </w:t>
      </w:r>
      <w:r w:rsidRPr="005B4716">
        <w:rPr>
          <w:rFonts w:ascii="Times New Roman" w:hAnsi="Times New Roman"/>
        </w:rPr>
        <w:t xml:space="preserve">The Department assumes that broker-dealers will be the primary users of the </w:t>
      </w:r>
      <w:r>
        <w:rPr>
          <w:rFonts w:ascii="Times New Roman" w:hAnsi="Times New Roman"/>
        </w:rPr>
        <w:t>limitation</w:t>
      </w:r>
      <w:r w:rsidRPr="005B4716">
        <w:rPr>
          <w:rFonts w:ascii="Times New Roman" w:hAnsi="Times New Roman"/>
        </w:rPr>
        <w:t xml:space="preserve">.  Internal estimates suggest that of the 4,410 broker-dealers registered with the SEC, 2,619 service ERISA plans or IRAs.  The Department rounded up to 2,800 to reflect other possible types of financial institutions that could use the </w:t>
      </w:r>
      <w:r>
        <w:rPr>
          <w:rFonts w:ascii="Times New Roman" w:hAnsi="Times New Roman"/>
        </w:rPr>
        <w:t>limitation</w:t>
      </w:r>
      <w:r w:rsidRPr="005B4716">
        <w:rPr>
          <w:rFonts w:ascii="Times New Roman" w:hAnsi="Times New Roman"/>
        </w:rPr>
        <w:t xml:space="preserve"> in small numbers.</w:t>
      </w:r>
    </w:p>
  </w:footnote>
  <w:footnote w:id="12">
    <w:p w:rsidR="00AC2F6E" w:rsidRPr="00AC2F6E" w:rsidRDefault="00AC2F6E">
      <w:pPr>
        <w:pStyle w:val="FootnoteText"/>
        <w:rPr>
          <w:rFonts w:ascii="Times New Roman" w:hAnsi="Times New Roman"/>
        </w:rPr>
      </w:pPr>
      <w:r w:rsidRPr="00C246CC">
        <w:rPr>
          <w:rStyle w:val="FootnoteReference"/>
          <w:rFonts w:ascii="Times New Roman" w:hAnsi="Times New Roman"/>
          <w:vertAlign w:val="superscript"/>
        </w:rPr>
        <w:footnoteRef/>
      </w:r>
      <w:r w:rsidRPr="00AC2F6E">
        <w:rPr>
          <w:rFonts w:ascii="Times New Roman" w:hAnsi="Times New Roman"/>
        </w:rPr>
        <w:t xml:space="preserve"> 2,800 financial institutions x 20 minutes = 900 hours.</w:t>
      </w:r>
    </w:p>
  </w:footnote>
  <w:footnote w:id="13">
    <w:p w:rsidR="0014357A" w:rsidRPr="0014357A" w:rsidRDefault="0014357A">
      <w:pPr>
        <w:pStyle w:val="FootnoteText"/>
        <w:rPr>
          <w:rFonts w:ascii="Times New Roman" w:hAnsi="Times New Roman"/>
        </w:rPr>
      </w:pPr>
      <w:r w:rsidRPr="00C246CC">
        <w:rPr>
          <w:rStyle w:val="FootnoteReference"/>
          <w:rFonts w:ascii="Times New Roman" w:hAnsi="Times New Roman"/>
          <w:vertAlign w:val="superscript"/>
        </w:rPr>
        <w:footnoteRef/>
      </w:r>
      <w:r w:rsidRPr="0014357A">
        <w:rPr>
          <w:rFonts w:ascii="Times New Roman" w:hAnsi="Times New Roman"/>
        </w:rPr>
        <w:t xml:space="preserve"> 900 hours x $12</w:t>
      </w:r>
      <w:r w:rsidR="001261E4">
        <w:rPr>
          <w:rFonts w:ascii="Times New Roman" w:hAnsi="Times New Roman"/>
        </w:rPr>
        <w:t>9.94</w:t>
      </w:r>
      <w:r w:rsidRPr="0014357A">
        <w:rPr>
          <w:rFonts w:ascii="Times New Roman" w:hAnsi="Times New Roman"/>
        </w:rPr>
        <w:t xml:space="preserve"> per hour = $1</w:t>
      </w:r>
      <w:r w:rsidR="001261E4">
        <w:rPr>
          <w:rFonts w:ascii="Times New Roman" w:hAnsi="Times New Roman"/>
        </w:rPr>
        <w:t>2</w:t>
      </w:r>
      <w:r w:rsidRPr="0014357A">
        <w:rPr>
          <w:rFonts w:ascii="Times New Roman" w:hAnsi="Times New Roman"/>
        </w:rPr>
        <w:t>1,000.</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C4" w:rsidRDefault="00C941C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80" w:rsidRDefault="00F777C8">
    <w:pPr>
      <w:jc w:val="right"/>
      <w:rPr>
        <w:rFonts w:ascii="CG Times" w:hAnsi="CG Times"/>
        <w:b/>
        <w:bCs/>
        <w:sz w:val="20"/>
        <w:szCs w:val="20"/>
      </w:rPr>
    </w:pPr>
    <w:r>
      <w:rPr>
        <w:rFonts w:ascii="CG Times" w:hAnsi="CG Times"/>
        <w:b/>
        <w:bCs/>
        <w:sz w:val="20"/>
        <w:szCs w:val="20"/>
      </w:rPr>
      <w:t>C</w:t>
    </w:r>
    <w:r w:rsidR="00D05005">
      <w:rPr>
        <w:rFonts w:ascii="CG Times" w:hAnsi="CG Times"/>
        <w:b/>
        <w:bCs/>
        <w:sz w:val="20"/>
        <w:szCs w:val="20"/>
      </w:rPr>
      <w:t>onflicted Investment Advice Rule</w:t>
    </w:r>
  </w:p>
  <w:p w:rsidR="008658D1" w:rsidRDefault="008658D1">
    <w:pPr>
      <w:jc w:val="right"/>
      <w:rPr>
        <w:rFonts w:ascii="Times New Roman" w:hAnsi="Times New Roman"/>
        <w:sz w:val="20"/>
        <w:szCs w:val="20"/>
      </w:rPr>
    </w:pPr>
    <w:r>
      <w:rPr>
        <w:rFonts w:ascii="CG Times" w:hAnsi="CG Times"/>
        <w:b/>
        <w:bCs/>
        <w:sz w:val="20"/>
        <w:szCs w:val="20"/>
      </w:rPr>
      <w:t>1210-</w:t>
    </w:r>
    <w:r w:rsidR="00BF1CD2">
      <w:rPr>
        <w:rFonts w:ascii="CG Times" w:hAnsi="CG Times"/>
        <w:b/>
        <w:bCs/>
        <w:sz w:val="20"/>
        <w:szCs w:val="20"/>
      </w:rPr>
      <w:t>NEW</w:t>
    </w:r>
  </w:p>
  <w:p w:rsidR="008658D1" w:rsidRDefault="00975067" w:rsidP="00D958E5">
    <w:pPr>
      <w:ind w:firstLine="7920"/>
      <w:jc w:val="right"/>
      <w:rPr>
        <w:rFonts w:ascii="Times New Roman" w:hAnsi="Times New Roman"/>
        <w:b/>
        <w:sz w:val="20"/>
        <w:szCs w:val="20"/>
      </w:rPr>
    </w:pPr>
    <w:r>
      <w:rPr>
        <w:rFonts w:ascii="Times New Roman" w:hAnsi="Times New Roman"/>
        <w:b/>
        <w:sz w:val="20"/>
        <w:szCs w:val="20"/>
      </w:rPr>
      <w:t xml:space="preserve">April </w:t>
    </w:r>
    <w:r w:rsidR="00D05005">
      <w:rPr>
        <w:rFonts w:ascii="Times New Roman" w:hAnsi="Times New Roman"/>
        <w:b/>
        <w:sz w:val="20"/>
        <w:szCs w:val="20"/>
      </w:rPr>
      <w:t>2015</w:t>
    </w:r>
  </w:p>
  <w:p w:rsidR="00EF3642" w:rsidRPr="00AC2A80" w:rsidRDefault="00EF3642" w:rsidP="00D958E5">
    <w:pPr>
      <w:ind w:firstLine="7920"/>
      <w:jc w:val="right"/>
      <w:rPr>
        <w:rFonts w:ascii="Times New Roman" w:hAnsi="Times New Roman"/>
        <w:b/>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C4" w:rsidRDefault="00C941C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61FB2B07"/>
    <w:multiLevelType w:val="hybridMultilevel"/>
    <w:tmpl w:val="16309C42"/>
    <w:lvl w:ilvl="0" w:tplc="C5283C0C">
      <w:start w:val="17"/>
      <w:numFmt w:val="decimal"/>
      <w:lvlText w:val="%1."/>
      <w:lvlJc w:val="left"/>
      <w:pPr>
        <w:tabs>
          <w:tab w:val="num" w:pos="720"/>
        </w:tabs>
        <w:ind w:left="72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7"/>
      <w:lvl w:ilvl="0">
        <w:start w:val="7"/>
        <w:numFmt w:val="decimal"/>
        <w:pStyle w:val="Quick1"/>
        <w:lvlText w:val="%1."/>
        <w:lvlJc w:val="left"/>
      </w:lvl>
    </w:lvlOverride>
  </w:num>
  <w:num w:numId="3">
    <w:abstractNumId w:val="0"/>
    <w:lvlOverride w:ilvl="0">
      <w:startOverride w:val="9"/>
      <w:lvl w:ilvl="0">
        <w:start w:val="9"/>
        <w:numFmt w:val="decimal"/>
        <w:pStyle w:val="Quick1"/>
        <w:lvlText w:val="%1."/>
        <w:lvlJc w:val="left"/>
      </w:lvl>
    </w:lvlOverride>
  </w:num>
  <w:num w:numId="4">
    <w:abstractNumId w:val="0"/>
    <w:lvlOverride w:ilvl="0">
      <w:startOverride w:val="13"/>
      <w:lvl w:ilvl="0">
        <w:start w:val="13"/>
        <w:numFmt w:val="decimal"/>
        <w:pStyle w:val="Quick1"/>
        <w:lvlText w:val="%1."/>
        <w:lvlJc w:val="left"/>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B2"/>
    <w:rsid w:val="00007B05"/>
    <w:rsid w:val="00011926"/>
    <w:rsid w:val="000119A5"/>
    <w:rsid w:val="00015266"/>
    <w:rsid w:val="00025932"/>
    <w:rsid w:val="00042AE8"/>
    <w:rsid w:val="00051F87"/>
    <w:rsid w:val="00056CFD"/>
    <w:rsid w:val="00060955"/>
    <w:rsid w:val="000731D3"/>
    <w:rsid w:val="000746C8"/>
    <w:rsid w:val="0007492B"/>
    <w:rsid w:val="00081319"/>
    <w:rsid w:val="00081718"/>
    <w:rsid w:val="00086E08"/>
    <w:rsid w:val="0009166F"/>
    <w:rsid w:val="000930A5"/>
    <w:rsid w:val="00094534"/>
    <w:rsid w:val="000A745A"/>
    <w:rsid w:val="000B2A59"/>
    <w:rsid w:val="000C6C76"/>
    <w:rsid w:val="000D4E21"/>
    <w:rsid w:val="000E1156"/>
    <w:rsid w:val="000E3E6A"/>
    <w:rsid w:val="000E518E"/>
    <w:rsid w:val="000F1E7F"/>
    <w:rsid w:val="000F27E6"/>
    <w:rsid w:val="000F7F3C"/>
    <w:rsid w:val="001002F4"/>
    <w:rsid w:val="001022EF"/>
    <w:rsid w:val="00104FD7"/>
    <w:rsid w:val="00115A07"/>
    <w:rsid w:val="00120F59"/>
    <w:rsid w:val="00122D70"/>
    <w:rsid w:val="001261E4"/>
    <w:rsid w:val="00130F98"/>
    <w:rsid w:val="00135D3F"/>
    <w:rsid w:val="0014357A"/>
    <w:rsid w:val="00176829"/>
    <w:rsid w:val="00181389"/>
    <w:rsid w:val="00184544"/>
    <w:rsid w:val="001845AE"/>
    <w:rsid w:val="00190A4A"/>
    <w:rsid w:val="001938A5"/>
    <w:rsid w:val="001A083E"/>
    <w:rsid w:val="001A241A"/>
    <w:rsid w:val="001B1D9C"/>
    <w:rsid w:val="001C0621"/>
    <w:rsid w:val="001C184A"/>
    <w:rsid w:val="001D11ED"/>
    <w:rsid w:val="001D2253"/>
    <w:rsid w:val="001D41B6"/>
    <w:rsid w:val="001D69A5"/>
    <w:rsid w:val="001F0F84"/>
    <w:rsid w:val="001F6BF2"/>
    <w:rsid w:val="002043DF"/>
    <w:rsid w:val="00213639"/>
    <w:rsid w:val="0021698D"/>
    <w:rsid w:val="002250F1"/>
    <w:rsid w:val="00227F73"/>
    <w:rsid w:val="002310DB"/>
    <w:rsid w:val="00231511"/>
    <w:rsid w:val="00234C7A"/>
    <w:rsid w:val="00235B48"/>
    <w:rsid w:val="0024351B"/>
    <w:rsid w:val="00244B4F"/>
    <w:rsid w:val="002545B7"/>
    <w:rsid w:val="00256A19"/>
    <w:rsid w:val="00262B40"/>
    <w:rsid w:val="00266850"/>
    <w:rsid w:val="0027458F"/>
    <w:rsid w:val="00274E41"/>
    <w:rsid w:val="00275929"/>
    <w:rsid w:val="00277C52"/>
    <w:rsid w:val="00281E9E"/>
    <w:rsid w:val="00283DF2"/>
    <w:rsid w:val="002A36A8"/>
    <w:rsid w:val="002A49B1"/>
    <w:rsid w:val="002B0A04"/>
    <w:rsid w:val="002B5479"/>
    <w:rsid w:val="002B65DD"/>
    <w:rsid w:val="002E0092"/>
    <w:rsid w:val="002E36D9"/>
    <w:rsid w:val="002E3719"/>
    <w:rsid w:val="002F68BF"/>
    <w:rsid w:val="00300D26"/>
    <w:rsid w:val="00307028"/>
    <w:rsid w:val="003079FF"/>
    <w:rsid w:val="00310B99"/>
    <w:rsid w:val="003173F9"/>
    <w:rsid w:val="00333A5F"/>
    <w:rsid w:val="00341105"/>
    <w:rsid w:val="00343898"/>
    <w:rsid w:val="00346D15"/>
    <w:rsid w:val="0034754B"/>
    <w:rsid w:val="0034785F"/>
    <w:rsid w:val="00356F63"/>
    <w:rsid w:val="00360DC4"/>
    <w:rsid w:val="00367BDB"/>
    <w:rsid w:val="003838AE"/>
    <w:rsid w:val="0038552B"/>
    <w:rsid w:val="00385CFC"/>
    <w:rsid w:val="00386949"/>
    <w:rsid w:val="00390170"/>
    <w:rsid w:val="00392ADD"/>
    <w:rsid w:val="00395E66"/>
    <w:rsid w:val="003A7E06"/>
    <w:rsid w:val="003B178A"/>
    <w:rsid w:val="003B35C2"/>
    <w:rsid w:val="003B3904"/>
    <w:rsid w:val="003B7337"/>
    <w:rsid w:val="003C23D4"/>
    <w:rsid w:val="003C6011"/>
    <w:rsid w:val="003D128F"/>
    <w:rsid w:val="003D5BAC"/>
    <w:rsid w:val="003E0C6E"/>
    <w:rsid w:val="003E0FAC"/>
    <w:rsid w:val="003E28F6"/>
    <w:rsid w:val="003F1813"/>
    <w:rsid w:val="003F3113"/>
    <w:rsid w:val="003F39BE"/>
    <w:rsid w:val="004004F7"/>
    <w:rsid w:val="00405086"/>
    <w:rsid w:val="00410C54"/>
    <w:rsid w:val="004158FF"/>
    <w:rsid w:val="00423F2F"/>
    <w:rsid w:val="004275D4"/>
    <w:rsid w:val="00431EE1"/>
    <w:rsid w:val="0043451E"/>
    <w:rsid w:val="004523CC"/>
    <w:rsid w:val="0046549A"/>
    <w:rsid w:val="00475204"/>
    <w:rsid w:val="00476D19"/>
    <w:rsid w:val="00484B84"/>
    <w:rsid w:val="00491F77"/>
    <w:rsid w:val="0049266B"/>
    <w:rsid w:val="004A4CA8"/>
    <w:rsid w:val="004A57CF"/>
    <w:rsid w:val="004A6561"/>
    <w:rsid w:val="004A7ED5"/>
    <w:rsid w:val="004B0755"/>
    <w:rsid w:val="004C15EE"/>
    <w:rsid w:val="004C3FC5"/>
    <w:rsid w:val="004C426A"/>
    <w:rsid w:val="004C65CE"/>
    <w:rsid w:val="004C7172"/>
    <w:rsid w:val="004D1676"/>
    <w:rsid w:val="004D4B58"/>
    <w:rsid w:val="004D6212"/>
    <w:rsid w:val="004E3994"/>
    <w:rsid w:val="004E3DC1"/>
    <w:rsid w:val="004E6238"/>
    <w:rsid w:val="004F0204"/>
    <w:rsid w:val="004F3568"/>
    <w:rsid w:val="00500B6C"/>
    <w:rsid w:val="0050232D"/>
    <w:rsid w:val="005077F2"/>
    <w:rsid w:val="005222C3"/>
    <w:rsid w:val="00532368"/>
    <w:rsid w:val="005359E3"/>
    <w:rsid w:val="0053789C"/>
    <w:rsid w:val="00540DA6"/>
    <w:rsid w:val="00541F6D"/>
    <w:rsid w:val="005438AF"/>
    <w:rsid w:val="00546544"/>
    <w:rsid w:val="0055084B"/>
    <w:rsid w:val="0055576B"/>
    <w:rsid w:val="00565446"/>
    <w:rsid w:val="005657B3"/>
    <w:rsid w:val="00580764"/>
    <w:rsid w:val="005833BA"/>
    <w:rsid w:val="005863A7"/>
    <w:rsid w:val="00586B52"/>
    <w:rsid w:val="00586F18"/>
    <w:rsid w:val="0058745F"/>
    <w:rsid w:val="00595A80"/>
    <w:rsid w:val="00596F84"/>
    <w:rsid w:val="005A0FA1"/>
    <w:rsid w:val="005A567F"/>
    <w:rsid w:val="005B346F"/>
    <w:rsid w:val="005C24D3"/>
    <w:rsid w:val="005C6D5B"/>
    <w:rsid w:val="005D5F36"/>
    <w:rsid w:val="005E2587"/>
    <w:rsid w:val="005F1F4C"/>
    <w:rsid w:val="005F33D3"/>
    <w:rsid w:val="005F4B8B"/>
    <w:rsid w:val="005F5FB4"/>
    <w:rsid w:val="00604BF2"/>
    <w:rsid w:val="00606C09"/>
    <w:rsid w:val="00611C84"/>
    <w:rsid w:val="00622521"/>
    <w:rsid w:val="0063461F"/>
    <w:rsid w:val="00636752"/>
    <w:rsid w:val="00643355"/>
    <w:rsid w:val="00643B92"/>
    <w:rsid w:val="006440F3"/>
    <w:rsid w:val="006464FA"/>
    <w:rsid w:val="00652808"/>
    <w:rsid w:val="00657E1F"/>
    <w:rsid w:val="00660CC0"/>
    <w:rsid w:val="006615E9"/>
    <w:rsid w:val="00675F93"/>
    <w:rsid w:val="00676AF1"/>
    <w:rsid w:val="00684362"/>
    <w:rsid w:val="00694421"/>
    <w:rsid w:val="0069590B"/>
    <w:rsid w:val="006A4D80"/>
    <w:rsid w:val="006B433B"/>
    <w:rsid w:val="006B7E28"/>
    <w:rsid w:val="006C4505"/>
    <w:rsid w:val="006D450E"/>
    <w:rsid w:val="006E2ADB"/>
    <w:rsid w:val="006E5AB3"/>
    <w:rsid w:val="006E6E49"/>
    <w:rsid w:val="0070488A"/>
    <w:rsid w:val="007055BE"/>
    <w:rsid w:val="00734BC2"/>
    <w:rsid w:val="0074170C"/>
    <w:rsid w:val="00741980"/>
    <w:rsid w:val="00746709"/>
    <w:rsid w:val="00747506"/>
    <w:rsid w:val="00747797"/>
    <w:rsid w:val="00751E06"/>
    <w:rsid w:val="00766E66"/>
    <w:rsid w:val="00767EF5"/>
    <w:rsid w:val="00780942"/>
    <w:rsid w:val="00783766"/>
    <w:rsid w:val="007A3257"/>
    <w:rsid w:val="007B525B"/>
    <w:rsid w:val="007C054E"/>
    <w:rsid w:val="007C2DF1"/>
    <w:rsid w:val="007C30F2"/>
    <w:rsid w:val="007C3945"/>
    <w:rsid w:val="007C539E"/>
    <w:rsid w:val="007D38E6"/>
    <w:rsid w:val="007D625F"/>
    <w:rsid w:val="007F2856"/>
    <w:rsid w:val="007F72A5"/>
    <w:rsid w:val="007F7B14"/>
    <w:rsid w:val="00803F5A"/>
    <w:rsid w:val="00811927"/>
    <w:rsid w:val="0081683B"/>
    <w:rsid w:val="00816F97"/>
    <w:rsid w:val="00817C13"/>
    <w:rsid w:val="0082305C"/>
    <w:rsid w:val="00826CC7"/>
    <w:rsid w:val="0085090C"/>
    <w:rsid w:val="008652FF"/>
    <w:rsid w:val="008658D1"/>
    <w:rsid w:val="00876A8A"/>
    <w:rsid w:val="00881736"/>
    <w:rsid w:val="00884E68"/>
    <w:rsid w:val="00892A6C"/>
    <w:rsid w:val="00895351"/>
    <w:rsid w:val="008A32B2"/>
    <w:rsid w:val="008A355B"/>
    <w:rsid w:val="008A3CC6"/>
    <w:rsid w:val="008A6DAD"/>
    <w:rsid w:val="008A7561"/>
    <w:rsid w:val="008B2372"/>
    <w:rsid w:val="008C331B"/>
    <w:rsid w:val="008C566B"/>
    <w:rsid w:val="008C7AA2"/>
    <w:rsid w:val="008D7ED8"/>
    <w:rsid w:val="008E6610"/>
    <w:rsid w:val="0090264B"/>
    <w:rsid w:val="009029D5"/>
    <w:rsid w:val="0090313C"/>
    <w:rsid w:val="009066F6"/>
    <w:rsid w:val="00911B00"/>
    <w:rsid w:val="00921DE7"/>
    <w:rsid w:val="009301AE"/>
    <w:rsid w:val="00930C60"/>
    <w:rsid w:val="00935F21"/>
    <w:rsid w:val="00936E77"/>
    <w:rsid w:val="00941BFC"/>
    <w:rsid w:val="00942A15"/>
    <w:rsid w:val="0095653D"/>
    <w:rsid w:val="009679A5"/>
    <w:rsid w:val="0097255B"/>
    <w:rsid w:val="00974027"/>
    <w:rsid w:val="00975067"/>
    <w:rsid w:val="0098013F"/>
    <w:rsid w:val="00984598"/>
    <w:rsid w:val="00996C89"/>
    <w:rsid w:val="009A67B0"/>
    <w:rsid w:val="009B385B"/>
    <w:rsid w:val="009C10CA"/>
    <w:rsid w:val="009E5302"/>
    <w:rsid w:val="009F04F5"/>
    <w:rsid w:val="009F28A4"/>
    <w:rsid w:val="009F6B2C"/>
    <w:rsid w:val="00A04B29"/>
    <w:rsid w:val="00A246C4"/>
    <w:rsid w:val="00A251C4"/>
    <w:rsid w:val="00A251EB"/>
    <w:rsid w:val="00A26D30"/>
    <w:rsid w:val="00A306B1"/>
    <w:rsid w:val="00A3143A"/>
    <w:rsid w:val="00A3211B"/>
    <w:rsid w:val="00A34400"/>
    <w:rsid w:val="00A44B96"/>
    <w:rsid w:val="00A553F7"/>
    <w:rsid w:val="00A57917"/>
    <w:rsid w:val="00A6617D"/>
    <w:rsid w:val="00A70462"/>
    <w:rsid w:val="00A7150D"/>
    <w:rsid w:val="00A72BCB"/>
    <w:rsid w:val="00A84520"/>
    <w:rsid w:val="00A878B6"/>
    <w:rsid w:val="00A97782"/>
    <w:rsid w:val="00AA0D37"/>
    <w:rsid w:val="00AA77B5"/>
    <w:rsid w:val="00AB25C5"/>
    <w:rsid w:val="00AB5080"/>
    <w:rsid w:val="00AB533F"/>
    <w:rsid w:val="00AC2A80"/>
    <w:rsid w:val="00AC2F6E"/>
    <w:rsid w:val="00AD0D61"/>
    <w:rsid w:val="00AD4CF8"/>
    <w:rsid w:val="00AD64BE"/>
    <w:rsid w:val="00AD7FB5"/>
    <w:rsid w:val="00AF04B6"/>
    <w:rsid w:val="00AF6A04"/>
    <w:rsid w:val="00B023CE"/>
    <w:rsid w:val="00B0424E"/>
    <w:rsid w:val="00B049D4"/>
    <w:rsid w:val="00B052DC"/>
    <w:rsid w:val="00B06B58"/>
    <w:rsid w:val="00B06E5F"/>
    <w:rsid w:val="00B12F80"/>
    <w:rsid w:val="00B16F95"/>
    <w:rsid w:val="00B212CF"/>
    <w:rsid w:val="00B30B53"/>
    <w:rsid w:val="00B30D8B"/>
    <w:rsid w:val="00B30F7E"/>
    <w:rsid w:val="00B32948"/>
    <w:rsid w:val="00B36996"/>
    <w:rsid w:val="00B4177A"/>
    <w:rsid w:val="00B41D75"/>
    <w:rsid w:val="00B41FAA"/>
    <w:rsid w:val="00B430C0"/>
    <w:rsid w:val="00B45447"/>
    <w:rsid w:val="00B478AB"/>
    <w:rsid w:val="00B60120"/>
    <w:rsid w:val="00B6305C"/>
    <w:rsid w:val="00B677AF"/>
    <w:rsid w:val="00B70530"/>
    <w:rsid w:val="00B716D8"/>
    <w:rsid w:val="00B71905"/>
    <w:rsid w:val="00B726EC"/>
    <w:rsid w:val="00B82B09"/>
    <w:rsid w:val="00B876B7"/>
    <w:rsid w:val="00B94333"/>
    <w:rsid w:val="00BB3E9A"/>
    <w:rsid w:val="00BB705E"/>
    <w:rsid w:val="00BB7EDC"/>
    <w:rsid w:val="00BC098D"/>
    <w:rsid w:val="00BC530F"/>
    <w:rsid w:val="00BE0F70"/>
    <w:rsid w:val="00BE3D72"/>
    <w:rsid w:val="00BF1CD2"/>
    <w:rsid w:val="00C21020"/>
    <w:rsid w:val="00C21EBA"/>
    <w:rsid w:val="00C246CC"/>
    <w:rsid w:val="00C26293"/>
    <w:rsid w:val="00C3144F"/>
    <w:rsid w:val="00C31E44"/>
    <w:rsid w:val="00C46C5B"/>
    <w:rsid w:val="00C4718C"/>
    <w:rsid w:val="00C552B6"/>
    <w:rsid w:val="00C63739"/>
    <w:rsid w:val="00C643A4"/>
    <w:rsid w:val="00C66585"/>
    <w:rsid w:val="00C72C15"/>
    <w:rsid w:val="00C766EF"/>
    <w:rsid w:val="00C908F6"/>
    <w:rsid w:val="00C91A7C"/>
    <w:rsid w:val="00C941C4"/>
    <w:rsid w:val="00C96110"/>
    <w:rsid w:val="00C97C13"/>
    <w:rsid w:val="00CA03AF"/>
    <w:rsid w:val="00CA27E7"/>
    <w:rsid w:val="00CA3C66"/>
    <w:rsid w:val="00CA45BD"/>
    <w:rsid w:val="00CB27E1"/>
    <w:rsid w:val="00CC1D7C"/>
    <w:rsid w:val="00CC1DEE"/>
    <w:rsid w:val="00CC4651"/>
    <w:rsid w:val="00CC65B0"/>
    <w:rsid w:val="00CD2C9F"/>
    <w:rsid w:val="00CD2D02"/>
    <w:rsid w:val="00CD50B2"/>
    <w:rsid w:val="00CE12F8"/>
    <w:rsid w:val="00CF303B"/>
    <w:rsid w:val="00D03332"/>
    <w:rsid w:val="00D03880"/>
    <w:rsid w:val="00D04E46"/>
    <w:rsid w:val="00D05005"/>
    <w:rsid w:val="00D07637"/>
    <w:rsid w:val="00D203BF"/>
    <w:rsid w:val="00D319C5"/>
    <w:rsid w:val="00D33206"/>
    <w:rsid w:val="00D51284"/>
    <w:rsid w:val="00D6315A"/>
    <w:rsid w:val="00D6678C"/>
    <w:rsid w:val="00D708CA"/>
    <w:rsid w:val="00D71EE1"/>
    <w:rsid w:val="00D80EE0"/>
    <w:rsid w:val="00D87BC0"/>
    <w:rsid w:val="00D901EB"/>
    <w:rsid w:val="00D958E5"/>
    <w:rsid w:val="00DA0512"/>
    <w:rsid w:val="00DA2152"/>
    <w:rsid w:val="00DB3464"/>
    <w:rsid w:val="00DC0931"/>
    <w:rsid w:val="00DC1D78"/>
    <w:rsid w:val="00DC5C00"/>
    <w:rsid w:val="00DD0EA7"/>
    <w:rsid w:val="00DE0439"/>
    <w:rsid w:val="00DE306F"/>
    <w:rsid w:val="00DF78C8"/>
    <w:rsid w:val="00E00958"/>
    <w:rsid w:val="00E0308C"/>
    <w:rsid w:val="00E075CF"/>
    <w:rsid w:val="00E07A95"/>
    <w:rsid w:val="00E12855"/>
    <w:rsid w:val="00E36C58"/>
    <w:rsid w:val="00E43F00"/>
    <w:rsid w:val="00E44A3F"/>
    <w:rsid w:val="00E44D06"/>
    <w:rsid w:val="00E45C97"/>
    <w:rsid w:val="00E60A1A"/>
    <w:rsid w:val="00E63497"/>
    <w:rsid w:val="00E640B0"/>
    <w:rsid w:val="00E6758C"/>
    <w:rsid w:val="00E67B4B"/>
    <w:rsid w:val="00E733BA"/>
    <w:rsid w:val="00E84A6C"/>
    <w:rsid w:val="00E90E57"/>
    <w:rsid w:val="00E97172"/>
    <w:rsid w:val="00E97EE1"/>
    <w:rsid w:val="00E97FA3"/>
    <w:rsid w:val="00EA6BD3"/>
    <w:rsid w:val="00EB2188"/>
    <w:rsid w:val="00EB4577"/>
    <w:rsid w:val="00EC69FC"/>
    <w:rsid w:val="00EC7FE6"/>
    <w:rsid w:val="00ED1652"/>
    <w:rsid w:val="00EE2131"/>
    <w:rsid w:val="00EF3642"/>
    <w:rsid w:val="00EF459B"/>
    <w:rsid w:val="00F00FBA"/>
    <w:rsid w:val="00F068D3"/>
    <w:rsid w:val="00F134A0"/>
    <w:rsid w:val="00F17AFA"/>
    <w:rsid w:val="00F21885"/>
    <w:rsid w:val="00F24122"/>
    <w:rsid w:val="00F2439E"/>
    <w:rsid w:val="00F24D6C"/>
    <w:rsid w:val="00F26EAE"/>
    <w:rsid w:val="00F3670F"/>
    <w:rsid w:val="00F370BB"/>
    <w:rsid w:val="00F45A77"/>
    <w:rsid w:val="00F50B19"/>
    <w:rsid w:val="00F621D9"/>
    <w:rsid w:val="00F657AC"/>
    <w:rsid w:val="00F72121"/>
    <w:rsid w:val="00F73043"/>
    <w:rsid w:val="00F7495D"/>
    <w:rsid w:val="00F777C8"/>
    <w:rsid w:val="00F81CF5"/>
    <w:rsid w:val="00F82B08"/>
    <w:rsid w:val="00F84482"/>
    <w:rsid w:val="00FA372F"/>
    <w:rsid w:val="00FA43FE"/>
    <w:rsid w:val="00FA48D8"/>
    <w:rsid w:val="00FC0F2B"/>
    <w:rsid w:val="00FC71FF"/>
    <w:rsid w:val="00FD3378"/>
    <w:rsid w:val="00FD388C"/>
    <w:rsid w:val="00FD44BA"/>
    <w:rsid w:val="00FD5245"/>
    <w:rsid w:val="00FE3018"/>
    <w:rsid w:val="00FF7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uiPriority w:val="99"/>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DocumentMap">
    <w:name w:val="Document Map"/>
    <w:basedOn w:val="Normal"/>
    <w:semiHidden/>
    <w:rsid w:val="00341105"/>
    <w:pPr>
      <w:shd w:val="clear" w:color="auto" w:fill="000080"/>
    </w:pPr>
    <w:rPr>
      <w:rFonts w:ascii="Tahoma" w:hAnsi="Tahoma" w:cs="Tahoma"/>
      <w:sz w:val="20"/>
      <w:szCs w:val="20"/>
    </w:rPr>
  </w:style>
  <w:style w:type="character" w:styleId="FollowedHyperlink">
    <w:name w:val="FollowedHyperlink"/>
    <w:rsid w:val="00B41D75"/>
    <w:rPr>
      <w:color w:val="800080"/>
      <w:u w:val="single"/>
    </w:rPr>
  </w:style>
  <w:style w:type="character" w:styleId="CommentReference">
    <w:name w:val="annotation reference"/>
    <w:rsid w:val="00E45C97"/>
    <w:rPr>
      <w:sz w:val="16"/>
      <w:szCs w:val="16"/>
    </w:rPr>
  </w:style>
  <w:style w:type="paragraph" w:styleId="CommentText">
    <w:name w:val="annotation text"/>
    <w:basedOn w:val="Normal"/>
    <w:link w:val="CommentTextChar"/>
    <w:rsid w:val="00E45C97"/>
    <w:rPr>
      <w:sz w:val="20"/>
      <w:szCs w:val="20"/>
    </w:rPr>
  </w:style>
  <w:style w:type="character" w:customStyle="1" w:styleId="CommentTextChar">
    <w:name w:val="Comment Text Char"/>
    <w:link w:val="CommentText"/>
    <w:rsid w:val="00E45C97"/>
    <w:rPr>
      <w:rFonts w:ascii="Courier" w:hAnsi="Courier"/>
    </w:rPr>
  </w:style>
  <w:style w:type="paragraph" w:styleId="CommentSubject">
    <w:name w:val="annotation subject"/>
    <w:basedOn w:val="CommentText"/>
    <w:next w:val="CommentText"/>
    <w:link w:val="CommentSubjectChar"/>
    <w:rsid w:val="00E45C97"/>
    <w:rPr>
      <w:b/>
      <w:bCs/>
    </w:rPr>
  </w:style>
  <w:style w:type="character" w:customStyle="1" w:styleId="CommentSubjectChar">
    <w:name w:val="Comment Subject Char"/>
    <w:link w:val="CommentSubject"/>
    <w:rsid w:val="00E45C97"/>
    <w:rPr>
      <w:rFonts w:ascii="Courier" w:hAnsi="Courier"/>
      <w:b/>
      <w:bCs/>
    </w:rPr>
  </w:style>
  <w:style w:type="character" w:customStyle="1" w:styleId="FooterChar">
    <w:name w:val="Footer Char"/>
    <w:link w:val="Footer"/>
    <w:uiPriority w:val="99"/>
    <w:rsid w:val="00541F6D"/>
    <w:rPr>
      <w:rFonts w:ascii="Courier" w:hAnsi="Courier"/>
      <w:sz w:val="24"/>
      <w:szCs w:val="24"/>
    </w:rPr>
  </w:style>
  <w:style w:type="character" w:customStyle="1" w:styleId="FootnoteTextChar">
    <w:name w:val="Footnote Text Char"/>
    <w:link w:val="FootnoteText"/>
    <w:uiPriority w:val="99"/>
    <w:semiHidden/>
    <w:rsid w:val="006B433B"/>
    <w:rPr>
      <w:rFonts w:ascii="Courier" w:hAnsi="Courier"/>
    </w:rPr>
  </w:style>
  <w:style w:type="table" w:styleId="TableGrid">
    <w:name w:val="Table Grid"/>
    <w:basedOn w:val="TableNormal"/>
    <w:uiPriority w:val="59"/>
    <w:rsid w:val="007C539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7495D"/>
    <w:rPr>
      <w:rFonts w:ascii="Courier" w:hAnsi="Courie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uiPriority w:val="99"/>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DocumentMap">
    <w:name w:val="Document Map"/>
    <w:basedOn w:val="Normal"/>
    <w:semiHidden/>
    <w:rsid w:val="00341105"/>
    <w:pPr>
      <w:shd w:val="clear" w:color="auto" w:fill="000080"/>
    </w:pPr>
    <w:rPr>
      <w:rFonts w:ascii="Tahoma" w:hAnsi="Tahoma" w:cs="Tahoma"/>
      <w:sz w:val="20"/>
      <w:szCs w:val="20"/>
    </w:rPr>
  </w:style>
  <w:style w:type="character" w:styleId="FollowedHyperlink">
    <w:name w:val="FollowedHyperlink"/>
    <w:rsid w:val="00B41D75"/>
    <w:rPr>
      <w:color w:val="800080"/>
      <w:u w:val="single"/>
    </w:rPr>
  </w:style>
  <w:style w:type="character" w:styleId="CommentReference">
    <w:name w:val="annotation reference"/>
    <w:rsid w:val="00E45C97"/>
    <w:rPr>
      <w:sz w:val="16"/>
      <w:szCs w:val="16"/>
    </w:rPr>
  </w:style>
  <w:style w:type="paragraph" w:styleId="CommentText">
    <w:name w:val="annotation text"/>
    <w:basedOn w:val="Normal"/>
    <w:link w:val="CommentTextChar"/>
    <w:rsid w:val="00E45C97"/>
    <w:rPr>
      <w:sz w:val="20"/>
      <w:szCs w:val="20"/>
    </w:rPr>
  </w:style>
  <w:style w:type="character" w:customStyle="1" w:styleId="CommentTextChar">
    <w:name w:val="Comment Text Char"/>
    <w:link w:val="CommentText"/>
    <w:rsid w:val="00E45C97"/>
    <w:rPr>
      <w:rFonts w:ascii="Courier" w:hAnsi="Courier"/>
    </w:rPr>
  </w:style>
  <w:style w:type="paragraph" w:styleId="CommentSubject">
    <w:name w:val="annotation subject"/>
    <w:basedOn w:val="CommentText"/>
    <w:next w:val="CommentText"/>
    <w:link w:val="CommentSubjectChar"/>
    <w:rsid w:val="00E45C97"/>
    <w:rPr>
      <w:b/>
      <w:bCs/>
    </w:rPr>
  </w:style>
  <w:style w:type="character" w:customStyle="1" w:styleId="CommentSubjectChar">
    <w:name w:val="Comment Subject Char"/>
    <w:link w:val="CommentSubject"/>
    <w:rsid w:val="00E45C97"/>
    <w:rPr>
      <w:rFonts w:ascii="Courier" w:hAnsi="Courier"/>
      <w:b/>
      <w:bCs/>
    </w:rPr>
  </w:style>
  <w:style w:type="character" w:customStyle="1" w:styleId="FooterChar">
    <w:name w:val="Footer Char"/>
    <w:link w:val="Footer"/>
    <w:uiPriority w:val="99"/>
    <w:rsid w:val="00541F6D"/>
    <w:rPr>
      <w:rFonts w:ascii="Courier" w:hAnsi="Courier"/>
      <w:sz w:val="24"/>
      <w:szCs w:val="24"/>
    </w:rPr>
  </w:style>
  <w:style w:type="character" w:customStyle="1" w:styleId="FootnoteTextChar">
    <w:name w:val="Footnote Text Char"/>
    <w:link w:val="FootnoteText"/>
    <w:uiPriority w:val="99"/>
    <w:semiHidden/>
    <w:rsid w:val="006B433B"/>
    <w:rPr>
      <w:rFonts w:ascii="Courier" w:hAnsi="Courier"/>
    </w:rPr>
  </w:style>
  <w:style w:type="table" w:styleId="TableGrid">
    <w:name w:val="Table Grid"/>
    <w:basedOn w:val="TableNormal"/>
    <w:uiPriority w:val="59"/>
    <w:rsid w:val="007C539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7495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5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2716</Words>
  <Characters>15483</Characters>
  <Application>Microsoft Macintosh Word</Application>
  <DocSecurity>0</DocSecurity>
  <Lines>129</Lines>
  <Paragraphs>36</Paragraphs>
  <ScaleCrop>false</ScaleCrop>
  <Company/>
  <LinksUpToDate>false</LinksUpToDate>
  <CharactersWithSpaces>18163</CharactersWithSpaces>
  <SharedDoc>false</SharedDoc>
  <HLinks>
    <vt:vector size="6" baseType="variant">
      <vt:variant>
        <vt:i4>6946908</vt:i4>
      </vt:variant>
      <vt:variant>
        <vt:i4>0</vt:i4>
      </vt:variant>
      <vt:variant>
        <vt:i4>0</vt:i4>
      </vt:variant>
      <vt:variant>
        <vt:i4>5</vt:i4>
      </vt:variant>
      <vt:variant>
        <vt:lpwstr>http://www.bls.gov/news.release/archives/empsit_07032014.pdf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2015-04-17T10:57:00Z</dcterms:created>
  <dcterms:modified xsi:type="dcterms:W3CDTF">2015-04-17T10:57:00Z</dcterms:modified>
</cp:coreProperties>
</file>