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F" w:rsidRPr="00235B48" w:rsidRDefault="00F3670F" w:rsidP="00235B48">
      <w:pPr>
        <w:pStyle w:val="Header"/>
        <w:widowControl/>
        <w:tabs>
          <w:tab w:val="clear" w:pos="4320"/>
          <w:tab w:val="clear" w:pos="8640"/>
        </w:tabs>
        <w:rPr>
          <w:rFonts w:ascii="Times New Roman" w:hAnsi="Times New Roman"/>
        </w:rPr>
      </w:pPr>
      <w:bookmarkStart w:id="0" w:name="_GoBack"/>
      <w:bookmarkEnd w:id="0"/>
    </w:p>
    <w:p w:rsidR="00F3670F" w:rsidRPr="00235B48" w:rsidRDefault="00F3670F" w:rsidP="00235B48">
      <w:pPr>
        <w:widowControl/>
        <w:outlineLvl w:val="0"/>
        <w:rPr>
          <w:rFonts w:ascii="Times New Roman" w:hAnsi="Times New Roman"/>
        </w:rPr>
      </w:pPr>
      <w:r w:rsidRPr="00235B48">
        <w:rPr>
          <w:rFonts w:ascii="Times New Roman" w:hAnsi="Times New Roman"/>
        </w:rPr>
        <w:t>SUPPORTING STATEMENT FOR PAPERWORK REDUCTION ACT 1995 SUBMISSIONS</w:t>
      </w:r>
    </w:p>
    <w:p w:rsidR="00747797" w:rsidRPr="00235B48" w:rsidRDefault="00747797" w:rsidP="00AA5E8B">
      <w:pPr>
        <w:widowControl/>
        <w:ind w:left="720" w:hanging="720"/>
        <w:rPr>
          <w:rFonts w:ascii="Times New Roman" w:hAnsi="Times New Roman"/>
        </w:rPr>
      </w:pPr>
    </w:p>
    <w:p w:rsidR="00F3670F" w:rsidRPr="00AA5E8B" w:rsidRDefault="00F3670F" w:rsidP="00AA5E8B">
      <w:pPr>
        <w:pStyle w:val="ListParagraph"/>
        <w:widowControl/>
        <w:numPr>
          <w:ilvl w:val="0"/>
          <w:numId w:val="10"/>
        </w:numPr>
        <w:ind w:hanging="720"/>
        <w:outlineLvl w:val="0"/>
        <w:rPr>
          <w:rFonts w:ascii="Times New Roman" w:hAnsi="Times New Roman"/>
        </w:rPr>
      </w:pPr>
      <w:r w:rsidRPr="00AA5E8B">
        <w:rPr>
          <w:rFonts w:ascii="Times New Roman" w:hAnsi="Times New Roman"/>
          <w:b/>
          <w:bCs/>
        </w:rPr>
        <w:t>Justification</w:t>
      </w:r>
    </w:p>
    <w:p w:rsidR="00F3670F" w:rsidRPr="00235B48" w:rsidRDefault="00F3670F" w:rsidP="00AA5E8B">
      <w:pPr>
        <w:widowControl/>
        <w:ind w:left="720" w:hanging="720"/>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670F" w:rsidRPr="00235B48" w:rsidRDefault="00F3670F" w:rsidP="00491F77">
      <w:pPr>
        <w:widowControl/>
        <w:ind w:left="720"/>
        <w:rPr>
          <w:rFonts w:ascii="Times New Roman" w:hAnsi="Times New Roman"/>
        </w:rPr>
      </w:pPr>
    </w:p>
    <w:p w:rsidR="004E2E93" w:rsidRPr="004E2E93" w:rsidRDefault="004E2E93" w:rsidP="004E2E93">
      <w:pPr>
        <w:widowControl/>
        <w:ind w:left="720"/>
        <w:rPr>
          <w:rFonts w:ascii="Times New Roman" w:hAnsi="Times New Roman"/>
        </w:rPr>
      </w:pPr>
      <w:r w:rsidRPr="004E2E93">
        <w:rPr>
          <w:rFonts w:ascii="Times New Roman" w:hAnsi="Times New Roman"/>
        </w:rPr>
        <w:t xml:space="preserve">The Department is proposing this </w:t>
      </w:r>
      <w:r w:rsidR="002661BF">
        <w:rPr>
          <w:rFonts w:ascii="Times New Roman" w:hAnsi="Times New Roman"/>
        </w:rPr>
        <w:t xml:space="preserve">prohibited transaction class </w:t>
      </w:r>
      <w:r w:rsidRPr="004E2E93">
        <w:rPr>
          <w:rFonts w:ascii="Times New Roman" w:hAnsi="Times New Roman"/>
        </w:rPr>
        <w:t xml:space="preserve">exemption in connection with its proposed regulation under </w:t>
      </w:r>
      <w:r w:rsidR="00DC3D7D">
        <w:rPr>
          <w:rFonts w:ascii="Times New Roman" w:hAnsi="Times New Roman"/>
        </w:rPr>
        <w:t>Employee Retirement Income Security Act (</w:t>
      </w:r>
      <w:r w:rsidRPr="004E2E93">
        <w:rPr>
          <w:rFonts w:ascii="Times New Roman" w:hAnsi="Times New Roman"/>
        </w:rPr>
        <w:t>ERISA</w:t>
      </w:r>
      <w:r w:rsidR="00DC3D7D">
        <w:rPr>
          <w:rFonts w:ascii="Times New Roman" w:hAnsi="Times New Roman"/>
        </w:rPr>
        <w:t>)</w:t>
      </w:r>
      <w:r w:rsidRPr="004E2E93">
        <w:rPr>
          <w:rFonts w:ascii="Times New Roman" w:hAnsi="Times New Roman"/>
        </w:rPr>
        <w:t xml:space="preserve"> section 3(21)(A)(ii) and </w:t>
      </w:r>
      <w:r w:rsidR="00DC3D7D">
        <w:rPr>
          <w:rFonts w:ascii="Times New Roman" w:hAnsi="Times New Roman"/>
        </w:rPr>
        <w:t>Internal Revenue Code (</w:t>
      </w:r>
      <w:r w:rsidRPr="004E2E93">
        <w:rPr>
          <w:rFonts w:ascii="Times New Roman" w:hAnsi="Times New Roman"/>
        </w:rPr>
        <w:t>Code</w:t>
      </w:r>
      <w:r w:rsidR="00DC3D7D">
        <w:rPr>
          <w:rFonts w:ascii="Times New Roman" w:hAnsi="Times New Roman"/>
        </w:rPr>
        <w:t>)</w:t>
      </w:r>
      <w:r w:rsidRPr="004E2E93">
        <w:rPr>
          <w:rFonts w:ascii="Times New Roman" w:hAnsi="Times New Roman"/>
        </w:rPr>
        <w:t xml:space="preserve"> section 4975(e)(3)(B) (</w:t>
      </w:r>
      <w:r w:rsidR="005204A9">
        <w:rPr>
          <w:rFonts w:ascii="Times New Roman" w:hAnsi="Times New Roman"/>
        </w:rPr>
        <w:t>P</w:t>
      </w:r>
      <w:r w:rsidRPr="004E2E93">
        <w:rPr>
          <w:rFonts w:ascii="Times New Roman" w:hAnsi="Times New Roman"/>
        </w:rPr>
        <w:t xml:space="preserve">roposed </w:t>
      </w:r>
      <w:r w:rsidR="005204A9">
        <w:rPr>
          <w:rFonts w:ascii="Times New Roman" w:hAnsi="Times New Roman"/>
        </w:rPr>
        <w:t>R</w:t>
      </w:r>
      <w:r w:rsidRPr="004E2E93">
        <w:rPr>
          <w:rFonts w:ascii="Times New Roman" w:hAnsi="Times New Roman"/>
        </w:rPr>
        <w:t>egulation)</w:t>
      </w:r>
      <w:r>
        <w:rPr>
          <w:rFonts w:ascii="Times New Roman" w:hAnsi="Times New Roman"/>
        </w:rPr>
        <w:t xml:space="preserve">. </w:t>
      </w:r>
      <w:r w:rsidR="00DD1D6A">
        <w:rPr>
          <w:rFonts w:ascii="Times New Roman" w:hAnsi="Times New Roman"/>
        </w:rPr>
        <w:t xml:space="preserve"> The </w:t>
      </w:r>
      <w:r w:rsidR="005204A9">
        <w:rPr>
          <w:rFonts w:ascii="Times New Roman" w:hAnsi="Times New Roman"/>
        </w:rPr>
        <w:t>P</w:t>
      </w:r>
      <w:r w:rsidRPr="004E2E93">
        <w:rPr>
          <w:rFonts w:ascii="Times New Roman" w:hAnsi="Times New Roman"/>
        </w:rPr>
        <w:t xml:space="preserve">roposed </w:t>
      </w:r>
      <w:r w:rsidR="005204A9">
        <w:rPr>
          <w:rFonts w:ascii="Times New Roman" w:hAnsi="Times New Roman"/>
        </w:rPr>
        <w:t>R</w:t>
      </w:r>
      <w:r w:rsidRPr="004E2E93">
        <w:rPr>
          <w:rFonts w:ascii="Times New Roman" w:hAnsi="Times New Roman"/>
        </w:rPr>
        <w:t xml:space="preserve">egulation specifies when an entity is a fiduciary by reason of the provision of investment advice for a fee or other compensation regarding assets of a plan or IRA.  If adopted, the </w:t>
      </w:r>
      <w:r w:rsidR="005204A9">
        <w:rPr>
          <w:rFonts w:ascii="Times New Roman" w:hAnsi="Times New Roman"/>
        </w:rPr>
        <w:t>P</w:t>
      </w:r>
      <w:r w:rsidRPr="004E2E93">
        <w:rPr>
          <w:rFonts w:ascii="Times New Roman" w:hAnsi="Times New Roman"/>
        </w:rPr>
        <w:t xml:space="preserve">roposed </w:t>
      </w:r>
      <w:r w:rsidR="005204A9">
        <w:rPr>
          <w:rFonts w:ascii="Times New Roman" w:hAnsi="Times New Roman"/>
        </w:rPr>
        <w:t>R</w:t>
      </w:r>
      <w:r w:rsidRPr="004E2E93">
        <w:rPr>
          <w:rFonts w:ascii="Times New Roman" w:hAnsi="Times New Roman"/>
        </w:rPr>
        <w:t>egulation would replace an existing regulation that was adopted in 1975 with one that more appropriately distinguishes between the sorts of advice relationships that should be treated as fiduciary in natur</w:t>
      </w:r>
      <w:r w:rsidR="00DD1D6A">
        <w:rPr>
          <w:rFonts w:ascii="Times New Roman" w:hAnsi="Times New Roman"/>
        </w:rPr>
        <w:t>e and those that should not.</w:t>
      </w:r>
    </w:p>
    <w:p w:rsidR="004E2E93" w:rsidRDefault="004E2E93" w:rsidP="004E2E93">
      <w:pPr>
        <w:widowControl/>
        <w:ind w:left="720"/>
        <w:rPr>
          <w:rFonts w:ascii="Times New Roman" w:hAnsi="Times New Roman"/>
        </w:rPr>
      </w:pPr>
    </w:p>
    <w:p w:rsidR="004E2E93" w:rsidRPr="004E2E93" w:rsidRDefault="004E2E93" w:rsidP="004E2E93">
      <w:pPr>
        <w:widowControl/>
        <w:ind w:left="720"/>
        <w:rPr>
          <w:rFonts w:ascii="Times New Roman" w:hAnsi="Times New Roman"/>
        </w:rPr>
      </w:pPr>
      <w:r w:rsidRPr="004E2E93">
        <w:rPr>
          <w:rFonts w:ascii="Times New Roman" w:hAnsi="Times New Roman"/>
        </w:rPr>
        <w:t xml:space="preserve">The </w:t>
      </w:r>
      <w:r w:rsidR="002661BF">
        <w:rPr>
          <w:rFonts w:ascii="Times New Roman" w:hAnsi="Times New Roman"/>
        </w:rPr>
        <w:t xml:space="preserve">proposed </w:t>
      </w:r>
      <w:r>
        <w:rPr>
          <w:rFonts w:ascii="Times New Roman" w:hAnsi="Times New Roman"/>
        </w:rPr>
        <w:t xml:space="preserve">Principal Transaction Exemption (the </w:t>
      </w:r>
      <w:r w:rsidR="005204A9">
        <w:rPr>
          <w:rFonts w:ascii="Times New Roman" w:hAnsi="Times New Roman"/>
        </w:rPr>
        <w:t>E</w:t>
      </w:r>
      <w:r w:rsidRPr="004E2E93">
        <w:rPr>
          <w:rFonts w:ascii="Times New Roman" w:hAnsi="Times New Roman"/>
        </w:rPr>
        <w:t>xemption</w:t>
      </w:r>
      <w:r>
        <w:rPr>
          <w:rFonts w:ascii="Times New Roman" w:hAnsi="Times New Roman"/>
        </w:rPr>
        <w:t>)</w:t>
      </w:r>
      <w:r w:rsidRPr="004E2E93">
        <w:rPr>
          <w:rFonts w:ascii="Times New Roman" w:hAnsi="Times New Roman"/>
        </w:rPr>
        <w:t xml:space="preserve"> would allow investment advice fiduciaries to engage in purchases and sales of certain debt securities out of their inventory (i.e., engage in principal transactions) with plans</w:t>
      </w:r>
      <w:r w:rsidR="00F07264">
        <w:rPr>
          <w:rFonts w:ascii="Times New Roman" w:hAnsi="Times New Roman"/>
        </w:rPr>
        <w:t>, participant and beneficiary accounts</w:t>
      </w:r>
      <w:r w:rsidRPr="004E2E93">
        <w:rPr>
          <w:rFonts w:ascii="Times New Roman" w:hAnsi="Times New Roman"/>
        </w:rPr>
        <w:t xml:space="preserve"> and </w:t>
      </w:r>
      <w:r>
        <w:rPr>
          <w:rFonts w:ascii="Times New Roman" w:hAnsi="Times New Roman"/>
        </w:rPr>
        <w:t>Individual Retirement Accounts (</w:t>
      </w:r>
      <w:r w:rsidRPr="004E2E93">
        <w:rPr>
          <w:rFonts w:ascii="Times New Roman" w:hAnsi="Times New Roman"/>
        </w:rPr>
        <w:t>IRAs</w:t>
      </w:r>
      <w:r>
        <w:rPr>
          <w:rFonts w:ascii="Times New Roman" w:hAnsi="Times New Roman"/>
        </w:rPr>
        <w:t>)</w:t>
      </w:r>
      <w:r w:rsidRPr="004E2E93">
        <w:rPr>
          <w:rFonts w:ascii="Times New Roman" w:hAnsi="Times New Roman"/>
        </w:rPr>
        <w:t xml:space="preserve">.  </w:t>
      </w:r>
      <w:r w:rsidR="00B15955">
        <w:rPr>
          <w:rFonts w:ascii="Times New Roman" w:hAnsi="Times New Roman"/>
        </w:rPr>
        <w:t xml:space="preserve">The </w:t>
      </w:r>
      <w:r w:rsidR="005204A9">
        <w:rPr>
          <w:rFonts w:ascii="Times New Roman" w:hAnsi="Times New Roman"/>
        </w:rPr>
        <w:t>E</w:t>
      </w:r>
      <w:r w:rsidR="00B15955">
        <w:rPr>
          <w:rFonts w:ascii="Times New Roman" w:hAnsi="Times New Roman"/>
        </w:rPr>
        <w:t xml:space="preserve">xemption is necessary because the Department anticipates that the proposed </w:t>
      </w:r>
      <w:r w:rsidR="00F07264">
        <w:rPr>
          <w:rFonts w:ascii="Times New Roman" w:hAnsi="Times New Roman"/>
        </w:rPr>
        <w:t xml:space="preserve">regulation </w:t>
      </w:r>
      <w:r w:rsidR="00B15955">
        <w:rPr>
          <w:rFonts w:ascii="Times New Roman" w:hAnsi="Times New Roman"/>
        </w:rPr>
        <w:t xml:space="preserve">will cover many investment professionals who do not currently consider </w:t>
      </w:r>
      <w:proofErr w:type="gramStart"/>
      <w:r w:rsidR="00B15955">
        <w:rPr>
          <w:rFonts w:ascii="Times New Roman" w:hAnsi="Times New Roman"/>
        </w:rPr>
        <w:t>themselves</w:t>
      </w:r>
      <w:proofErr w:type="gramEnd"/>
      <w:r w:rsidR="00B15955">
        <w:rPr>
          <w:rFonts w:ascii="Times New Roman" w:hAnsi="Times New Roman"/>
        </w:rPr>
        <w:t xml:space="preserve"> to be</w:t>
      </w:r>
      <w:r w:rsidR="00F07264">
        <w:rPr>
          <w:rFonts w:ascii="Times New Roman" w:hAnsi="Times New Roman"/>
        </w:rPr>
        <w:t xml:space="preserve"> investment advice </w:t>
      </w:r>
      <w:r w:rsidR="00B15955">
        <w:rPr>
          <w:rFonts w:ascii="Times New Roman" w:hAnsi="Times New Roman"/>
        </w:rPr>
        <w:t>fiduciaries.</w:t>
      </w:r>
      <w:r w:rsidR="0047771D">
        <w:rPr>
          <w:rFonts w:ascii="Times New Roman" w:hAnsi="Times New Roman"/>
        </w:rPr>
        <w:t xml:space="preserve"> </w:t>
      </w:r>
      <w:r w:rsidR="00B15955">
        <w:rPr>
          <w:rFonts w:ascii="Times New Roman" w:hAnsi="Times New Roman"/>
        </w:rPr>
        <w:t xml:space="preserve"> </w:t>
      </w:r>
      <w:r w:rsidRPr="004E2E93">
        <w:rPr>
          <w:rFonts w:ascii="Times New Roman" w:hAnsi="Times New Roman"/>
        </w:rPr>
        <w:t>ERISA and the Code generally prohibit fiduciaries with respect to plans</w:t>
      </w:r>
      <w:r w:rsidR="00F07264">
        <w:rPr>
          <w:rFonts w:ascii="Times New Roman" w:hAnsi="Times New Roman"/>
        </w:rPr>
        <w:t>, participant and beneficiary accounts</w:t>
      </w:r>
      <w:r w:rsidRPr="004E2E93">
        <w:rPr>
          <w:rFonts w:ascii="Times New Roman" w:hAnsi="Times New Roman"/>
        </w:rPr>
        <w:t xml:space="preserve"> and IRAs from purchasing or selling any property to the plans</w:t>
      </w:r>
      <w:r w:rsidR="00F07264">
        <w:rPr>
          <w:rFonts w:ascii="Times New Roman" w:hAnsi="Times New Roman"/>
        </w:rPr>
        <w:t>, participant and beneficiary accounts</w:t>
      </w:r>
      <w:r w:rsidRPr="004E2E93">
        <w:rPr>
          <w:rFonts w:ascii="Times New Roman" w:hAnsi="Times New Roman"/>
        </w:rPr>
        <w:t xml:space="preserve"> or IRAs.  </w:t>
      </w:r>
      <w:r w:rsidR="00F07264">
        <w:rPr>
          <w:rFonts w:ascii="Times New Roman" w:hAnsi="Times New Roman"/>
        </w:rPr>
        <w:t>F</w:t>
      </w:r>
      <w:r w:rsidRPr="004E2E93">
        <w:rPr>
          <w:rFonts w:ascii="Times New Roman" w:hAnsi="Times New Roman"/>
        </w:rPr>
        <w:t>iduciaries also may not engage in self-dealing or, under ERISA, act in any transaction involving the plan on behalf of a party whose interests are adverse to the interests of the plan or the interests of its participants and beneficiaries.  When a fiduciary sells</w:t>
      </w:r>
      <w:r w:rsidR="00F07264">
        <w:rPr>
          <w:rFonts w:ascii="Times New Roman" w:hAnsi="Times New Roman"/>
        </w:rPr>
        <w:t xml:space="preserve"> or purchases</w:t>
      </w:r>
      <w:r w:rsidRPr="004E2E93">
        <w:rPr>
          <w:rFonts w:ascii="Times New Roman" w:hAnsi="Times New Roman"/>
        </w:rPr>
        <w:t xml:space="preserve"> a </w:t>
      </w:r>
      <w:r w:rsidR="00F07264">
        <w:rPr>
          <w:rFonts w:ascii="Times New Roman" w:hAnsi="Times New Roman"/>
        </w:rPr>
        <w:t xml:space="preserve">debt </w:t>
      </w:r>
      <w:r w:rsidRPr="004E2E93">
        <w:rPr>
          <w:rFonts w:ascii="Times New Roman" w:hAnsi="Times New Roman"/>
        </w:rPr>
        <w:t>security out of its own inventory in a principal transaction, i</w:t>
      </w:r>
      <w:r w:rsidR="0047771D">
        <w:rPr>
          <w:rFonts w:ascii="Times New Roman" w:hAnsi="Times New Roman"/>
        </w:rPr>
        <w:t>t violates these prohibitions.</w:t>
      </w:r>
    </w:p>
    <w:p w:rsidR="004E2E93" w:rsidRPr="004E2E93" w:rsidRDefault="004E2E93" w:rsidP="004E2E93">
      <w:pPr>
        <w:widowControl/>
        <w:ind w:left="720"/>
        <w:rPr>
          <w:rFonts w:ascii="Times New Roman" w:hAnsi="Times New Roman"/>
        </w:rPr>
      </w:pPr>
    </w:p>
    <w:p w:rsidR="004E2E93" w:rsidRDefault="004E2E93" w:rsidP="00491F77">
      <w:pPr>
        <w:widowControl/>
        <w:ind w:left="720"/>
        <w:rPr>
          <w:rFonts w:ascii="Times New Roman" w:hAnsi="Times New Roman"/>
        </w:rPr>
      </w:pPr>
      <w:r w:rsidRPr="004E2E93">
        <w:rPr>
          <w:rFonts w:ascii="Times New Roman" w:hAnsi="Times New Roman"/>
        </w:rPr>
        <w:t>ERISA section 408(a) specifically authorizes the Secretary of Labor to grant administrative exemptions from ERISA’s prohibited transaction provisions.</w:t>
      </w:r>
      <w:r>
        <w:rPr>
          <w:rFonts w:ascii="Times New Roman" w:hAnsi="Times New Roman"/>
        </w:rPr>
        <w:t xml:space="preserve">  </w:t>
      </w:r>
      <w:r w:rsidRPr="004E2E93">
        <w:rPr>
          <w:rFonts w:ascii="Times New Roman" w:hAnsi="Times New Roman"/>
        </w:rPr>
        <w:t>Before granting an exemption, the Department must find that it is administratively feasible, in the interests of plans and their participants and beneficiaries and IRA owners, and protective of the rights of participants and beneficiaries of</w:t>
      </w:r>
      <w:r w:rsidR="0047771D">
        <w:rPr>
          <w:rFonts w:ascii="Times New Roman" w:hAnsi="Times New Roman"/>
        </w:rPr>
        <w:t xml:space="preserve"> such plans and IRA owners.</w:t>
      </w:r>
    </w:p>
    <w:p w:rsidR="00135D3F" w:rsidRPr="0034640D" w:rsidRDefault="00135D3F" w:rsidP="00491F77">
      <w:pPr>
        <w:ind w:left="720"/>
        <w:rPr>
          <w:rFonts w:ascii="Times New Roman" w:hAnsi="Times New Roman"/>
        </w:rPr>
      </w:pPr>
    </w:p>
    <w:p w:rsidR="00B15955" w:rsidRDefault="00B41FAA" w:rsidP="00491F77">
      <w:pPr>
        <w:widowControl/>
        <w:ind w:left="720"/>
        <w:rPr>
          <w:rFonts w:ascii="Times New Roman" w:hAnsi="Times New Roman"/>
        </w:rPr>
      </w:pPr>
      <w:r w:rsidRPr="00B41FAA">
        <w:rPr>
          <w:rFonts w:ascii="Times New Roman" w:hAnsi="Times New Roman"/>
        </w:rPr>
        <w:t>The proposed exemption would allow an individual investment advice fiduciary (</w:t>
      </w:r>
      <w:r w:rsidR="004A1994">
        <w:rPr>
          <w:rFonts w:ascii="Times New Roman" w:hAnsi="Times New Roman"/>
        </w:rPr>
        <w:t>A</w:t>
      </w:r>
      <w:r w:rsidRPr="00B41FAA">
        <w:rPr>
          <w:rFonts w:ascii="Times New Roman" w:hAnsi="Times New Roman"/>
        </w:rPr>
        <w:t xml:space="preserve">dviser) and the firm that employs or otherwise contracts with the </w:t>
      </w:r>
      <w:r w:rsidR="004A1994">
        <w:rPr>
          <w:rFonts w:ascii="Times New Roman" w:hAnsi="Times New Roman"/>
        </w:rPr>
        <w:t>A</w:t>
      </w:r>
      <w:r w:rsidRPr="00B41FAA">
        <w:rPr>
          <w:rFonts w:ascii="Times New Roman" w:hAnsi="Times New Roman"/>
        </w:rPr>
        <w:t>dviser (</w:t>
      </w:r>
      <w:r w:rsidR="004A1994">
        <w:rPr>
          <w:rFonts w:ascii="Times New Roman" w:hAnsi="Times New Roman"/>
        </w:rPr>
        <w:t>F</w:t>
      </w:r>
      <w:r w:rsidRPr="00B41FAA">
        <w:rPr>
          <w:rFonts w:ascii="Times New Roman" w:hAnsi="Times New Roman"/>
        </w:rPr>
        <w:t xml:space="preserve">inancial </w:t>
      </w:r>
      <w:r w:rsidR="004A1994">
        <w:rPr>
          <w:rFonts w:ascii="Times New Roman" w:hAnsi="Times New Roman"/>
        </w:rPr>
        <w:t>I</w:t>
      </w:r>
      <w:r w:rsidRPr="00B41FAA">
        <w:rPr>
          <w:rFonts w:ascii="Times New Roman" w:hAnsi="Times New Roman"/>
        </w:rPr>
        <w:t>nstitution) to engage in principal transactions involving certain debt securities with plan</w:t>
      </w:r>
      <w:r w:rsidR="00F07264">
        <w:rPr>
          <w:rFonts w:ascii="Times New Roman" w:hAnsi="Times New Roman"/>
        </w:rPr>
        <w:t>s, participant and beneficiary accounts</w:t>
      </w:r>
      <w:r w:rsidR="00DC3D7D">
        <w:rPr>
          <w:rFonts w:ascii="Times New Roman" w:hAnsi="Times New Roman"/>
        </w:rPr>
        <w:t xml:space="preserve"> </w:t>
      </w:r>
      <w:r w:rsidRPr="00B41FAA">
        <w:rPr>
          <w:rFonts w:ascii="Times New Roman" w:hAnsi="Times New Roman"/>
        </w:rPr>
        <w:t>and IRA</w:t>
      </w:r>
      <w:r w:rsidR="00F07264">
        <w:rPr>
          <w:rFonts w:ascii="Times New Roman" w:hAnsi="Times New Roman"/>
        </w:rPr>
        <w:t>s</w:t>
      </w:r>
      <w:r w:rsidRPr="00B41FAA">
        <w:rPr>
          <w:rFonts w:ascii="Times New Roman" w:hAnsi="Times New Roman"/>
        </w:rPr>
        <w:t xml:space="preserve">.  The proposed exemption limits the </w:t>
      </w:r>
      <w:r w:rsidRPr="00B41FAA">
        <w:rPr>
          <w:rFonts w:ascii="Times New Roman" w:hAnsi="Times New Roman"/>
        </w:rPr>
        <w:lastRenderedPageBreak/>
        <w:t xml:space="preserve">type of debt securities that may be purchased or sold and contains conditions which the </w:t>
      </w:r>
      <w:r w:rsidR="00CB67AA">
        <w:rPr>
          <w:rFonts w:ascii="Times New Roman" w:hAnsi="Times New Roman"/>
        </w:rPr>
        <w:t>A</w:t>
      </w:r>
      <w:r w:rsidRPr="00B41FAA">
        <w:rPr>
          <w:rFonts w:ascii="Times New Roman" w:hAnsi="Times New Roman"/>
        </w:rPr>
        <w:t xml:space="preserve">dviser and </w:t>
      </w:r>
      <w:r w:rsidR="00CB67AA">
        <w:rPr>
          <w:rFonts w:ascii="Times New Roman" w:hAnsi="Times New Roman"/>
        </w:rPr>
        <w:t>F</w:t>
      </w:r>
      <w:r w:rsidRPr="00B41FAA">
        <w:rPr>
          <w:rFonts w:ascii="Times New Roman" w:hAnsi="Times New Roman"/>
        </w:rPr>
        <w:t xml:space="preserve">inancial </w:t>
      </w:r>
      <w:r w:rsidR="00CB67AA">
        <w:rPr>
          <w:rFonts w:ascii="Times New Roman" w:hAnsi="Times New Roman"/>
        </w:rPr>
        <w:t>I</w:t>
      </w:r>
      <w:r w:rsidRPr="00B41FAA">
        <w:rPr>
          <w:rFonts w:ascii="Times New Roman" w:hAnsi="Times New Roman"/>
        </w:rPr>
        <w:t>nstitution must satisfy in order to rely on the exemption.</w:t>
      </w:r>
    </w:p>
    <w:p w:rsidR="00B15955" w:rsidRDefault="00B15955" w:rsidP="00491F77">
      <w:pPr>
        <w:widowControl/>
        <w:ind w:left="720"/>
        <w:rPr>
          <w:rFonts w:ascii="Times New Roman" w:hAnsi="Times New Roman"/>
        </w:rPr>
      </w:pPr>
    </w:p>
    <w:p w:rsidR="00C769C8" w:rsidRDefault="00DC3D7D" w:rsidP="00491F77">
      <w:pPr>
        <w:widowControl/>
        <w:ind w:left="720"/>
        <w:rPr>
          <w:rFonts w:ascii="Times New Roman" w:hAnsi="Times New Roman"/>
        </w:rPr>
      </w:pPr>
      <w:r>
        <w:rPr>
          <w:rFonts w:ascii="Times New Roman" w:hAnsi="Times New Roman"/>
        </w:rPr>
        <w:t>More</w:t>
      </w:r>
      <w:r w:rsidR="00B15955">
        <w:rPr>
          <w:rFonts w:ascii="Times New Roman" w:hAnsi="Times New Roman"/>
        </w:rPr>
        <w:t>over,</w:t>
      </w:r>
      <w:r w:rsidR="00CC6E29">
        <w:rPr>
          <w:rFonts w:ascii="Times New Roman" w:hAnsi="Times New Roman"/>
        </w:rPr>
        <w:t xml:space="preserve"> </w:t>
      </w:r>
      <w:r w:rsidR="00B15955">
        <w:rPr>
          <w:rFonts w:ascii="Times New Roman" w:hAnsi="Times New Roman"/>
        </w:rPr>
        <w:t>t</w:t>
      </w:r>
      <w:r w:rsidR="00B41FAA" w:rsidRPr="00B41FAA">
        <w:rPr>
          <w:rFonts w:ascii="Times New Roman" w:hAnsi="Times New Roman"/>
        </w:rPr>
        <w:t>o safeguard the interests of plans</w:t>
      </w:r>
      <w:r w:rsidR="00F07264">
        <w:rPr>
          <w:rFonts w:ascii="Times New Roman" w:hAnsi="Times New Roman"/>
        </w:rPr>
        <w:t>, participant</w:t>
      </w:r>
      <w:r w:rsidR="008B0FAE">
        <w:rPr>
          <w:rFonts w:ascii="Times New Roman" w:hAnsi="Times New Roman"/>
        </w:rPr>
        <w:t>s</w:t>
      </w:r>
      <w:r w:rsidR="00F07264">
        <w:rPr>
          <w:rFonts w:ascii="Times New Roman" w:hAnsi="Times New Roman"/>
        </w:rPr>
        <w:t xml:space="preserve"> and beneficiar</w:t>
      </w:r>
      <w:r w:rsidR="008B0FAE">
        <w:rPr>
          <w:rFonts w:ascii="Times New Roman" w:hAnsi="Times New Roman"/>
        </w:rPr>
        <w:t>ies</w:t>
      </w:r>
      <w:r w:rsidR="00B41FAA" w:rsidRPr="00B41FAA">
        <w:rPr>
          <w:rFonts w:ascii="Times New Roman" w:hAnsi="Times New Roman"/>
        </w:rPr>
        <w:t xml:space="preserve"> and IRA</w:t>
      </w:r>
      <w:r w:rsidR="008B0FAE">
        <w:rPr>
          <w:rFonts w:ascii="Times New Roman" w:hAnsi="Times New Roman"/>
        </w:rPr>
        <w:t xml:space="preserve"> owner</w:t>
      </w:r>
      <w:r w:rsidR="00B41FAA" w:rsidRPr="00B41FAA">
        <w:rPr>
          <w:rFonts w:ascii="Times New Roman" w:hAnsi="Times New Roman"/>
        </w:rPr>
        <w:t>s</w:t>
      </w:r>
      <w:r w:rsidR="008B0FAE">
        <w:rPr>
          <w:rFonts w:ascii="Times New Roman" w:hAnsi="Times New Roman"/>
        </w:rPr>
        <w:t xml:space="preserve"> (Retirement Investors)</w:t>
      </w:r>
      <w:r w:rsidR="00B41FAA" w:rsidRPr="00B41FAA">
        <w:rPr>
          <w:rFonts w:ascii="Times New Roman" w:hAnsi="Times New Roman"/>
        </w:rPr>
        <w:t>, the exemption would require</w:t>
      </w:r>
      <w:r w:rsidR="00C769C8">
        <w:rPr>
          <w:rFonts w:ascii="Times New Roman" w:hAnsi="Times New Roman"/>
        </w:rPr>
        <w:t>:</w:t>
      </w:r>
    </w:p>
    <w:p w:rsidR="00C769C8" w:rsidRDefault="00C769C8" w:rsidP="00491F77">
      <w:pPr>
        <w:widowControl/>
        <w:ind w:left="720"/>
        <w:rPr>
          <w:rFonts w:ascii="Times New Roman" w:hAnsi="Times New Roman"/>
        </w:rPr>
      </w:pPr>
    </w:p>
    <w:p w:rsidR="00C769C8" w:rsidRDefault="00C769C8" w:rsidP="00065593">
      <w:pPr>
        <w:widowControl/>
        <w:numPr>
          <w:ilvl w:val="0"/>
          <w:numId w:val="7"/>
        </w:numPr>
        <w:rPr>
          <w:rFonts w:ascii="Times New Roman" w:hAnsi="Times New Roman"/>
        </w:rPr>
      </w:pPr>
      <w:r>
        <w:rPr>
          <w:rFonts w:ascii="Times New Roman" w:hAnsi="Times New Roman"/>
        </w:rPr>
        <w:t>T</w:t>
      </w:r>
      <w:r w:rsidR="00B41FAA" w:rsidRPr="00B41FAA">
        <w:rPr>
          <w:rFonts w:ascii="Times New Roman" w:hAnsi="Times New Roman"/>
        </w:rPr>
        <w:t xml:space="preserve">he </w:t>
      </w:r>
      <w:r w:rsidR="00CB67AA">
        <w:rPr>
          <w:rFonts w:ascii="Times New Roman" w:eastAsia="MS Mincho" w:hAnsi="Times New Roman"/>
        </w:rPr>
        <w:t>F</w:t>
      </w:r>
      <w:r w:rsidR="00587693">
        <w:rPr>
          <w:rFonts w:ascii="Times New Roman" w:eastAsia="MS Mincho" w:hAnsi="Times New Roman"/>
        </w:rPr>
        <w:t xml:space="preserve">inancial </w:t>
      </w:r>
      <w:r w:rsidR="00CB67AA">
        <w:rPr>
          <w:rFonts w:ascii="Times New Roman" w:eastAsia="MS Mincho" w:hAnsi="Times New Roman"/>
        </w:rPr>
        <w:t>I</w:t>
      </w:r>
      <w:r w:rsidR="00587693">
        <w:rPr>
          <w:rFonts w:ascii="Times New Roman" w:eastAsia="MS Mincho" w:hAnsi="Times New Roman"/>
        </w:rPr>
        <w:t xml:space="preserve">nstitution and </w:t>
      </w:r>
      <w:r w:rsidR="00CB67AA">
        <w:rPr>
          <w:rFonts w:ascii="Times New Roman" w:eastAsia="MS Mincho" w:hAnsi="Times New Roman"/>
        </w:rPr>
        <w:t>A</w:t>
      </w:r>
      <w:r w:rsidR="00587693">
        <w:rPr>
          <w:rFonts w:ascii="Times New Roman" w:eastAsia="MS Mincho" w:hAnsi="Times New Roman"/>
        </w:rPr>
        <w:t>dviser</w:t>
      </w:r>
      <w:r w:rsidR="00587693" w:rsidRPr="00AA0F71">
        <w:rPr>
          <w:rFonts w:ascii="Times New Roman" w:eastAsia="MS Mincho" w:hAnsi="Times New Roman"/>
        </w:rPr>
        <w:t xml:space="preserve"> to ente</w:t>
      </w:r>
      <w:r w:rsidR="00587693">
        <w:rPr>
          <w:rFonts w:ascii="Times New Roman" w:eastAsia="MS Mincho" w:hAnsi="Times New Roman"/>
        </w:rPr>
        <w:t>r into a written contract with Retirement I</w:t>
      </w:r>
      <w:r w:rsidR="00587693" w:rsidRPr="00AA0F71">
        <w:rPr>
          <w:rFonts w:ascii="Times New Roman" w:eastAsia="MS Mincho" w:hAnsi="Times New Roman"/>
        </w:rPr>
        <w:t xml:space="preserve">nvestor </w:t>
      </w:r>
      <w:r w:rsidR="00587693">
        <w:rPr>
          <w:rFonts w:ascii="Times New Roman" w:eastAsia="MS Mincho" w:hAnsi="Times New Roman"/>
        </w:rPr>
        <w:t xml:space="preserve">that: </w:t>
      </w:r>
      <w:r w:rsidR="00CB67AA">
        <w:rPr>
          <w:rFonts w:ascii="Times New Roman" w:eastAsia="MS Mincho" w:hAnsi="Times New Roman"/>
        </w:rPr>
        <w:t xml:space="preserve"> </w:t>
      </w:r>
      <w:r w:rsidR="00587693">
        <w:rPr>
          <w:rFonts w:ascii="Times New Roman" w:eastAsia="MS Mincho" w:hAnsi="Times New Roman"/>
        </w:rPr>
        <w:t>affirmatively states</w:t>
      </w:r>
      <w:r w:rsidR="00587693" w:rsidRPr="00AA0F71">
        <w:rPr>
          <w:rFonts w:ascii="Times New Roman" w:eastAsia="MS Mincho" w:hAnsi="Times New Roman"/>
        </w:rPr>
        <w:t xml:space="preserve"> that the </w:t>
      </w:r>
      <w:r w:rsidR="00CB67AA">
        <w:rPr>
          <w:rFonts w:ascii="Times New Roman" w:eastAsia="MS Mincho" w:hAnsi="Times New Roman"/>
        </w:rPr>
        <w:t>F</w:t>
      </w:r>
      <w:r w:rsidR="00587693" w:rsidRPr="00AA0F71">
        <w:rPr>
          <w:rFonts w:ascii="Times New Roman" w:eastAsia="MS Mincho" w:hAnsi="Times New Roman"/>
        </w:rPr>
        <w:t xml:space="preserve">inancial </w:t>
      </w:r>
      <w:r w:rsidR="00CB67AA">
        <w:rPr>
          <w:rFonts w:ascii="Times New Roman" w:eastAsia="MS Mincho" w:hAnsi="Times New Roman"/>
        </w:rPr>
        <w:t>I</w:t>
      </w:r>
      <w:r w:rsidR="00587693" w:rsidRPr="00AA0F71">
        <w:rPr>
          <w:rFonts w:ascii="Times New Roman" w:eastAsia="MS Mincho" w:hAnsi="Times New Roman"/>
        </w:rPr>
        <w:t xml:space="preserve">nstitution and </w:t>
      </w:r>
      <w:r w:rsidR="00CB67AA">
        <w:rPr>
          <w:rFonts w:ascii="Times New Roman" w:eastAsia="MS Mincho" w:hAnsi="Times New Roman"/>
        </w:rPr>
        <w:t>A</w:t>
      </w:r>
      <w:r w:rsidR="00587693" w:rsidRPr="00AA0F71">
        <w:rPr>
          <w:rFonts w:ascii="Times New Roman" w:eastAsia="MS Mincho" w:hAnsi="Times New Roman"/>
        </w:rPr>
        <w:t>dviser are fiduciaries under ERISA or the Code</w:t>
      </w:r>
      <w:r w:rsidR="00587693">
        <w:rPr>
          <w:rFonts w:ascii="Times New Roman" w:eastAsia="MS Mincho" w:hAnsi="Times New Roman"/>
        </w:rPr>
        <w:t xml:space="preserve"> with respect to investment recommendations to the Retirement Investor regarding principal transactions</w:t>
      </w:r>
      <w:r w:rsidR="00B41FAA" w:rsidRPr="00B41FAA">
        <w:rPr>
          <w:rFonts w:ascii="Times New Roman" w:hAnsi="Times New Roman"/>
        </w:rPr>
        <w:t xml:space="preserve"> </w:t>
      </w:r>
      <w:r w:rsidR="00587693">
        <w:rPr>
          <w:rFonts w:ascii="Times New Roman" w:hAnsi="Times New Roman"/>
        </w:rPr>
        <w:t xml:space="preserve">; </w:t>
      </w:r>
      <w:r w:rsidR="00B41FAA" w:rsidRPr="00B41FAA">
        <w:rPr>
          <w:rFonts w:ascii="Times New Roman" w:hAnsi="Times New Roman"/>
        </w:rPr>
        <w:t>commit</w:t>
      </w:r>
      <w:r w:rsidR="00587693">
        <w:rPr>
          <w:rFonts w:ascii="Times New Roman" w:hAnsi="Times New Roman"/>
        </w:rPr>
        <w:t>s</w:t>
      </w:r>
      <w:r w:rsidR="00B41FAA" w:rsidRPr="00B41FAA">
        <w:rPr>
          <w:rFonts w:ascii="Times New Roman" w:hAnsi="Times New Roman"/>
        </w:rPr>
        <w:t xml:space="preserve"> to adhere to certain impartial conduct standards, including providing advice that is in the </w:t>
      </w:r>
      <w:r w:rsidR="00587693">
        <w:rPr>
          <w:rFonts w:ascii="Times New Roman" w:hAnsi="Times New Roman"/>
        </w:rPr>
        <w:t>Retirement Investor’s</w:t>
      </w:r>
      <w:r w:rsidR="00B41FAA" w:rsidRPr="00B41FAA">
        <w:rPr>
          <w:rFonts w:ascii="Times New Roman" w:hAnsi="Times New Roman"/>
        </w:rPr>
        <w:t xml:space="preserve"> </w:t>
      </w:r>
      <w:r>
        <w:rPr>
          <w:rFonts w:ascii="Times New Roman" w:hAnsi="Times New Roman"/>
        </w:rPr>
        <w:t>b</w:t>
      </w:r>
      <w:r w:rsidR="00B41FAA" w:rsidRPr="00B41FAA">
        <w:rPr>
          <w:rFonts w:ascii="Times New Roman" w:hAnsi="Times New Roman"/>
        </w:rPr>
        <w:t xml:space="preserve">est </w:t>
      </w:r>
      <w:r>
        <w:rPr>
          <w:rFonts w:ascii="Times New Roman" w:hAnsi="Times New Roman"/>
        </w:rPr>
        <w:t>i</w:t>
      </w:r>
      <w:r w:rsidR="00B41FAA" w:rsidRPr="00B41FAA">
        <w:rPr>
          <w:rFonts w:ascii="Times New Roman" w:hAnsi="Times New Roman"/>
        </w:rPr>
        <w:t>nterest</w:t>
      </w:r>
      <w:r w:rsidR="00587693">
        <w:rPr>
          <w:rFonts w:ascii="Times New Roman" w:hAnsi="Times New Roman"/>
        </w:rPr>
        <w:t>;</w:t>
      </w:r>
      <w:r>
        <w:rPr>
          <w:rFonts w:ascii="Times New Roman" w:hAnsi="Times New Roman"/>
        </w:rPr>
        <w:t xml:space="preserve"> and warrant</w:t>
      </w:r>
      <w:r w:rsidR="00664FF4">
        <w:rPr>
          <w:rFonts w:ascii="Times New Roman" w:hAnsi="Times New Roman"/>
        </w:rPr>
        <w:t xml:space="preserve"> </w:t>
      </w:r>
      <w:r>
        <w:rPr>
          <w:rFonts w:ascii="Times New Roman" w:hAnsi="Times New Roman"/>
        </w:rPr>
        <w:t xml:space="preserve">that they and their affiliates will comply with all applicable federal and state laws regarding the rendering of the investment advice and the purchase and sale of </w:t>
      </w:r>
      <w:r w:rsidR="00587693">
        <w:rPr>
          <w:rFonts w:ascii="Times New Roman" w:hAnsi="Times New Roman"/>
        </w:rPr>
        <w:t xml:space="preserve">the </w:t>
      </w:r>
      <w:r>
        <w:rPr>
          <w:rFonts w:ascii="Times New Roman" w:hAnsi="Times New Roman"/>
        </w:rPr>
        <w:t>debt securities</w:t>
      </w:r>
      <w:r w:rsidR="00B41FAA" w:rsidRPr="00B41FAA">
        <w:rPr>
          <w:rFonts w:ascii="Times New Roman" w:hAnsi="Times New Roman"/>
        </w:rPr>
        <w:t>.</w:t>
      </w:r>
    </w:p>
    <w:p w:rsidR="00C769C8" w:rsidRDefault="00C769C8" w:rsidP="00065593">
      <w:pPr>
        <w:widowControl/>
        <w:ind w:left="1440"/>
        <w:rPr>
          <w:rFonts w:ascii="Times New Roman" w:hAnsi="Times New Roman"/>
        </w:rPr>
      </w:pPr>
    </w:p>
    <w:p w:rsidR="00C769C8" w:rsidRDefault="00B41FAA" w:rsidP="00065593">
      <w:pPr>
        <w:widowControl/>
        <w:numPr>
          <w:ilvl w:val="0"/>
          <w:numId w:val="6"/>
        </w:numPr>
        <w:rPr>
          <w:rFonts w:ascii="Times New Roman" w:hAnsi="Times New Roman"/>
        </w:rPr>
      </w:pPr>
      <w:r w:rsidRPr="00B41FAA">
        <w:rPr>
          <w:rFonts w:ascii="Times New Roman" w:hAnsi="Times New Roman"/>
        </w:rPr>
        <w:t xml:space="preserve">The </w:t>
      </w:r>
      <w:r w:rsidR="008C104D">
        <w:rPr>
          <w:rFonts w:ascii="Times New Roman" w:hAnsi="Times New Roman"/>
        </w:rPr>
        <w:t>F</w:t>
      </w:r>
      <w:r w:rsidRPr="00B41FAA">
        <w:rPr>
          <w:rFonts w:ascii="Times New Roman" w:hAnsi="Times New Roman"/>
        </w:rPr>
        <w:t xml:space="preserve">inancial </w:t>
      </w:r>
      <w:r w:rsidR="008C104D">
        <w:rPr>
          <w:rFonts w:ascii="Times New Roman" w:hAnsi="Times New Roman"/>
        </w:rPr>
        <w:t>I</w:t>
      </w:r>
      <w:r w:rsidRPr="00B41FAA">
        <w:rPr>
          <w:rFonts w:ascii="Times New Roman" w:hAnsi="Times New Roman"/>
        </w:rPr>
        <w:t>nstitution</w:t>
      </w:r>
      <w:r w:rsidR="00587693">
        <w:rPr>
          <w:rFonts w:ascii="Times New Roman" w:hAnsi="Times New Roman"/>
        </w:rPr>
        <w:t xml:space="preserve"> and </w:t>
      </w:r>
      <w:r w:rsidR="008C104D">
        <w:rPr>
          <w:rFonts w:ascii="Times New Roman" w:hAnsi="Times New Roman"/>
        </w:rPr>
        <w:t>A</w:t>
      </w:r>
      <w:r w:rsidR="00587693">
        <w:rPr>
          <w:rFonts w:ascii="Times New Roman" w:hAnsi="Times New Roman"/>
        </w:rPr>
        <w:t>dviser</w:t>
      </w:r>
      <w:r w:rsidRPr="00B41FAA">
        <w:rPr>
          <w:rFonts w:ascii="Times New Roman" w:hAnsi="Times New Roman"/>
        </w:rPr>
        <w:t xml:space="preserve"> warrant </w:t>
      </w:r>
      <w:r w:rsidR="00664FF4">
        <w:rPr>
          <w:rFonts w:ascii="Times New Roman" w:hAnsi="Times New Roman"/>
        </w:rPr>
        <w:t xml:space="preserve">in the </w:t>
      </w:r>
      <w:r w:rsidR="00587693">
        <w:rPr>
          <w:rFonts w:ascii="Times New Roman" w:hAnsi="Times New Roman"/>
        </w:rPr>
        <w:t xml:space="preserve">written </w:t>
      </w:r>
      <w:r w:rsidR="00664FF4">
        <w:rPr>
          <w:rFonts w:ascii="Times New Roman" w:hAnsi="Times New Roman"/>
        </w:rPr>
        <w:t xml:space="preserve">contract </w:t>
      </w:r>
      <w:r w:rsidRPr="00B41FAA">
        <w:rPr>
          <w:rFonts w:ascii="Times New Roman" w:hAnsi="Times New Roman"/>
        </w:rPr>
        <w:t xml:space="preserve">that </w:t>
      </w:r>
      <w:r w:rsidR="00587693">
        <w:rPr>
          <w:rFonts w:ascii="Times New Roman" w:hAnsi="Times New Roman"/>
        </w:rPr>
        <w:t xml:space="preserve">the </w:t>
      </w:r>
      <w:r w:rsidR="008C104D">
        <w:rPr>
          <w:rFonts w:ascii="Times New Roman" w:hAnsi="Times New Roman"/>
        </w:rPr>
        <w:t>F</w:t>
      </w:r>
      <w:r w:rsidR="00587693">
        <w:rPr>
          <w:rFonts w:ascii="Times New Roman" w:hAnsi="Times New Roman"/>
        </w:rPr>
        <w:t xml:space="preserve">inancial </w:t>
      </w:r>
      <w:r w:rsidR="008C104D">
        <w:rPr>
          <w:rFonts w:ascii="Times New Roman" w:hAnsi="Times New Roman"/>
        </w:rPr>
        <w:t>I</w:t>
      </w:r>
      <w:r w:rsidR="00587693">
        <w:rPr>
          <w:rFonts w:ascii="Times New Roman" w:hAnsi="Times New Roman"/>
        </w:rPr>
        <w:t xml:space="preserve">nstitution </w:t>
      </w:r>
      <w:r w:rsidRPr="00B41FAA">
        <w:rPr>
          <w:rFonts w:ascii="Times New Roman" w:hAnsi="Times New Roman"/>
        </w:rPr>
        <w:t>has adopted policies and procedures</w:t>
      </w:r>
      <w:r w:rsidR="00587693">
        <w:rPr>
          <w:rFonts w:ascii="Times New Roman" w:hAnsi="Times New Roman"/>
        </w:rPr>
        <w:t xml:space="preserve"> reasonably</w:t>
      </w:r>
      <w:r w:rsidRPr="00B41FAA">
        <w:rPr>
          <w:rFonts w:ascii="Times New Roman" w:hAnsi="Times New Roman"/>
        </w:rPr>
        <w:t xml:space="preserve"> designed to mitigate the impact of </w:t>
      </w:r>
      <w:r w:rsidR="00587693">
        <w:rPr>
          <w:rFonts w:ascii="Times New Roman" w:hAnsi="Times New Roman"/>
        </w:rPr>
        <w:t xml:space="preserve">material </w:t>
      </w:r>
      <w:r w:rsidRPr="00B41FAA">
        <w:rPr>
          <w:rFonts w:ascii="Times New Roman" w:hAnsi="Times New Roman"/>
        </w:rPr>
        <w:t>conflicts of interest and</w:t>
      </w:r>
      <w:r w:rsidR="00587693">
        <w:rPr>
          <w:rFonts w:ascii="Times New Roman" w:hAnsi="Times New Roman"/>
        </w:rPr>
        <w:t xml:space="preserve"> to</w:t>
      </w:r>
      <w:r w:rsidRPr="00B41FAA">
        <w:rPr>
          <w:rFonts w:ascii="Times New Roman" w:hAnsi="Times New Roman"/>
        </w:rPr>
        <w:t xml:space="preserve"> ensure that </w:t>
      </w:r>
      <w:r w:rsidR="00587693">
        <w:rPr>
          <w:rFonts w:ascii="Times New Roman" w:hAnsi="Times New Roman"/>
        </w:rPr>
        <w:t>its</w:t>
      </w:r>
      <w:r w:rsidR="00587693" w:rsidRPr="00B41FAA">
        <w:rPr>
          <w:rFonts w:ascii="Times New Roman" w:hAnsi="Times New Roman"/>
        </w:rPr>
        <w:t xml:space="preserve"> </w:t>
      </w:r>
      <w:r w:rsidR="008C104D">
        <w:rPr>
          <w:rFonts w:ascii="Times New Roman" w:hAnsi="Times New Roman"/>
        </w:rPr>
        <w:t>A</w:t>
      </w:r>
      <w:r w:rsidRPr="00B41FAA">
        <w:rPr>
          <w:rFonts w:ascii="Times New Roman" w:hAnsi="Times New Roman"/>
        </w:rPr>
        <w:t>dvisers adhere to the impartial conduct standards</w:t>
      </w:r>
      <w:r w:rsidR="001B43C1">
        <w:rPr>
          <w:rFonts w:ascii="Times New Roman" w:hAnsi="Times New Roman"/>
        </w:rPr>
        <w:t>;</w:t>
      </w:r>
      <w:r w:rsidR="00587693">
        <w:rPr>
          <w:rFonts w:ascii="Times New Roman" w:hAnsi="Times New Roman"/>
        </w:rPr>
        <w:t xml:space="preserve"> that</w:t>
      </w:r>
      <w:r w:rsidR="001B43C1">
        <w:rPr>
          <w:rFonts w:ascii="Times New Roman" w:hAnsi="Times New Roman"/>
        </w:rPr>
        <w:t>, in formulating the policies and procedures,</w:t>
      </w:r>
      <w:r w:rsidR="00587693">
        <w:rPr>
          <w:rFonts w:ascii="Times New Roman" w:hAnsi="Times New Roman"/>
        </w:rPr>
        <w:t xml:space="preserve"> the </w:t>
      </w:r>
      <w:r w:rsidR="00CD3CF7">
        <w:rPr>
          <w:rFonts w:ascii="Times New Roman" w:hAnsi="Times New Roman"/>
        </w:rPr>
        <w:t>F</w:t>
      </w:r>
      <w:r w:rsidR="00587693">
        <w:rPr>
          <w:rFonts w:ascii="Times New Roman" w:hAnsi="Times New Roman"/>
        </w:rPr>
        <w:t xml:space="preserve">inancial </w:t>
      </w:r>
      <w:r w:rsidR="00CD3CF7">
        <w:rPr>
          <w:rFonts w:ascii="Times New Roman" w:hAnsi="Times New Roman"/>
        </w:rPr>
        <w:t>I</w:t>
      </w:r>
      <w:r w:rsidR="00587693">
        <w:rPr>
          <w:rFonts w:ascii="Times New Roman" w:hAnsi="Times New Roman"/>
        </w:rPr>
        <w:t>nstitution has specifically identified material conflicts of interest</w:t>
      </w:r>
      <w:r w:rsidR="001B43C1">
        <w:rPr>
          <w:rFonts w:ascii="Times New Roman" w:hAnsi="Times New Roman"/>
        </w:rPr>
        <w:t xml:space="preserve"> and adopted measures to prevent the material conflicts of interest from causing violations of the impartial conduct standards; and that the </w:t>
      </w:r>
      <w:r w:rsidR="00CD3CF7">
        <w:rPr>
          <w:rFonts w:ascii="Times New Roman" w:hAnsi="Times New Roman"/>
        </w:rPr>
        <w:t>F</w:t>
      </w:r>
      <w:r w:rsidR="001B43C1">
        <w:rPr>
          <w:rFonts w:ascii="Times New Roman" w:hAnsi="Times New Roman"/>
        </w:rPr>
        <w:t xml:space="preserve">inancial </w:t>
      </w:r>
      <w:r w:rsidR="00CD3CF7">
        <w:rPr>
          <w:rFonts w:ascii="Times New Roman" w:hAnsi="Times New Roman"/>
        </w:rPr>
        <w:t>I</w:t>
      </w:r>
      <w:r w:rsidR="001B43C1">
        <w:rPr>
          <w:rFonts w:ascii="Times New Roman" w:hAnsi="Times New Roman"/>
        </w:rPr>
        <w:t>nstitution or an affiliate won’t, to its best knowledge, use certain practices to encourage advisers to make recommendations regarding principal transactions that are not in the best interest of the Retirement Investor</w:t>
      </w:r>
      <w:r w:rsidRPr="00B41FAA">
        <w:rPr>
          <w:rFonts w:ascii="Times New Roman" w:hAnsi="Times New Roman"/>
        </w:rPr>
        <w:t xml:space="preserve">.  </w:t>
      </w:r>
      <w:r w:rsidR="00C769C8">
        <w:rPr>
          <w:rFonts w:ascii="Times New Roman" w:hAnsi="Times New Roman"/>
        </w:rPr>
        <w:t>The proposal does not mandate the specific content of the policies and procedures</w:t>
      </w:r>
      <w:r w:rsidR="00587693">
        <w:rPr>
          <w:rFonts w:ascii="Times New Roman" w:hAnsi="Times New Roman"/>
        </w:rPr>
        <w:t xml:space="preserve"> in order</w:t>
      </w:r>
      <w:r w:rsidR="00C769C8">
        <w:rPr>
          <w:rFonts w:ascii="Times New Roman" w:hAnsi="Times New Roman"/>
        </w:rPr>
        <w:t xml:space="preserve"> to allow </w:t>
      </w:r>
      <w:r w:rsidR="00587693">
        <w:rPr>
          <w:rFonts w:ascii="Times New Roman" w:hAnsi="Times New Roman"/>
        </w:rPr>
        <w:t>f</w:t>
      </w:r>
      <w:r w:rsidR="00C769C8">
        <w:rPr>
          <w:rFonts w:ascii="Times New Roman" w:hAnsi="Times New Roman"/>
        </w:rPr>
        <w:t xml:space="preserve">inancial </w:t>
      </w:r>
      <w:r w:rsidR="00587693">
        <w:rPr>
          <w:rFonts w:ascii="Times New Roman" w:hAnsi="Times New Roman"/>
        </w:rPr>
        <w:t>i</w:t>
      </w:r>
      <w:r w:rsidR="00C769C8">
        <w:rPr>
          <w:rFonts w:ascii="Times New Roman" w:hAnsi="Times New Roman"/>
        </w:rPr>
        <w:t>nstitutions to develop</w:t>
      </w:r>
      <w:r w:rsidR="00664FF4">
        <w:rPr>
          <w:rFonts w:ascii="Times New Roman" w:hAnsi="Times New Roman"/>
        </w:rPr>
        <w:t xml:space="preserve"> policies and procedures that are effective for their particular business model.</w:t>
      </w:r>
    </w:p>
    <w:p w:rsidR="00664FF4" w:rsidRDefault="00664FF4" w:rsidP="00065593">
      <w:pPr>
        <w:widowControl/>
        <w:ind w:left="1440"/>
        <w:rPr>
          <w:rFonts w:ascii="Times New Roman" w:hAnsi="Times New Roman"/>
        </w:rPr>
      </w:pPr>
    </w:p>
    <w:p w:rsidR="00664FF4" w:rsidRDefault="00664FF4" w:rsidP="00065593">
      <w:pPr>
        <w:widowControl/>
        <w:numPr>
          <w:ilvl w:val="0"/>
          <w:numId w:val="6"/>
        </w:numPr>
        <w:rPr>
          <w:rFonts w:ascii="Times New Roman" w:hAnsi="Times New Roman"/>
        </w:rPr>
      </w:pPr>
      <w:r>
        <w:rPr>
          <w:rFonts w:ascii="Times New Roman" w:hAnsi="Times New Roman"/>
        </w:rPr>
        <w:t xml:space="preserve">The </w:t>
      </w:r>
      <w:r w:rsidR="001B43C1">
        <w:rPr>
          <w:rFonts w:ascii="Times New Roman" w:hAnsi="Times New Roman"/>
        </w:rPr>
        <w:t xml:space="preserve">written </w:t>
      </w:r>
      <w:r>
        <w:rPr>
          <w:rFonts w:ascii="Times New Roman" w:hAnsi="Times New Roman"/>
        </w:rPr>
        <w:t xml:space="preserve">contract </w:t>
      </w:r>
      <w:r w:rsidR="00DC3D7D">
        <w:rPr>
          <w:rFonts w:ascii="Times New Roman" w:hAnsi="Times New Roman"/>
        </w:rPr>
        <w:t>to (i)</w:t>
      </w:r>
      <w:r w:rsidRPr="00664FF4">
        <w:rPr>
          <w:rFonts w:ascii="Times New Roman" w:hAnsi="Times New Roman"/>
        </w:rPr>
        <w:t xml:space="preserve"> set forth the circumstances under which the Adviser and Financial Institution may engage in principal transactions with the plan</w:t>
      </w:r>
      <w:r w:rsidR="001B43C1">
        <w:rPr>
          <w:rFonts w:ascii="Times New Roman" w:hAnsi="Times New Roman"/>
        </w:rPr>
        <w:t>, participant or beneficiary account</w:t>
      </w:r>
      <w:r w:rsidRPr="00664FF4">
        <w:rPr>
          <w:rFonts w:ascii="Times New Roman" w:hAnsi="Times New Roman"/>
        </w:rPr>
        <w:t xml:space="preserve"> or IRA and (ii) identify and disclose the material conflicts of interest associated with principal transactions.  The</w:t>
      </w:r>
      <w:r w:rsidR="001B43C1">
        <w:rPr>
          <w:rFonts w:ascii="Times New Roman" w:hAnsi="Times New Roman"/>
        </w:rPr>
        <w:t xml:space="preserve"> written</w:t>
      </w:r>
      <w:r w:rsidRPr="00664FF4">
        <w:rPr>
          <w:rFonts w:ascii="Times New Roman" w:hAnsi="Times New Roman"/>
        </w:rPr>
        <w:t xml:space="preserve"> contract must also document the Retirement Investor’s affirmative written consent, on a prospective basis, to principal transactions with the Adviser or Financial Institution.  Finally, the </w:t>
      </w:r>
      <w:r w:rsidR="001B43C1">
        <w:rPr>
          <w:rFonts w:ascii="Times New Roman" w:hAnsi="Times New Roman"/>
        </w:rPr>
        <w:t xml:space="preserve">written </w:t>
      </w:r>
      <w:r w:rsidRPr="00664FF4">
        <w:rPr>
          <w:rFonts w:ascii="Times New Roman" w:hAnsi="Times New Roman"/>
        </w:rPr>
        <w:t>contract must inform the Retirement Investor (i) that the consent to principal transactions is terminable at will by the Retirement Investor at any time, without penalty to the plan or IRA, and (ii) of the right to obtain complete information about all the fees and other payments currently associated with its investments.</w:t>
      </w:r>
    </w:p>
    <w:p w:rsidR="00C769C8" w:rsidRDefault="00C769C8" w:rsidP="00065593">
      <w:pPr>
        <w:pStyle w:val="ListParagraph"/>
        <w:rPr>
          <w:rFonts w:ascii="Times New Roman" w:hAnsi="Times New Roman"/>
        </w:rPr>
      </w:pPr>
    </w:p>
    <w:p w:rsidR="00664FF4" w:rsidRDefault="00664FF4" w:rsidP="00664FF4">
      <w:pPr>
        <w:widowControl/>
        <w:ind w:left="720"/>
        <w:rPr>
          <w:rFonts w:ascii="Times New Roman" w:hAnsi="Times New Roman"/>
        </w:rPr>
      </w:pPr>
      <w:r>
        <w:rPr>
          <w:rFonts w:ascii="Times New Roman" w:hAnsi="Times New Roman"/>
        </w:rPr>
        <w:lastRenderedPageBreak/>
        <w:t>In a</w:t>
      </w:r>
      <w:r w:rsidR="00DC3D7D">
        <w:rPr>
          <w:rFonts w:ascii="Times New Roman" w:hAnsi="Times New Roman"/>
        </w:rPr>
        <w:t>dditional to the contractual req</w:t>
      </w:r>
      <w:r>
        <w:rPr>
          <w:rFonts w:ascii="Times New Roman" w:hAnsi="Times New Roman"/>
        </w:rPr>
        <w:t>uirement, the proposed exemption includes the fol</w:t>
      </w:r>
      <w:r w:rsidR="00BA4E05">
        <w:rPr>
          <w:rFonts w:ascii="Times New Roman" w:hAnsi="Times New Roman"/>
        </w:rPr>
        <w:t>lowing disclosure requirements:</w:t>
      </w:r>
    </w:p>
    <w:p w:rsidR="00664FF4" w:rsidRDefault="00664FF4" w:rsidP="00664FF4">
      <w:pPr>
        <w:widowControl/>
        <w:ind w:left="720"/>
        <w:rPr>
          <w:rFonts w:ascii="Times New Roman" w:hAnsi="Times New Roman"/>
        </w:rPr>
      </w:pPr>
    </w:p>
    <w:p w:rsidR="00664FF4" w:rsidRDefault="00664FF4" w:rsidP="00065593">
      <w:pPr>
        <w:widowControl/>
        <w:numPr>
          <w:ilvl w:val="0"/>
          <w:numId w:val="8"/>
        </w:numPr>
        <w:rPr>
          <w:rFonts w:ascii="Times New Roman" w:hAnsi="Times New Roman"/>
        </w:rPr>
      </w:pPr>
      <w:r w:rsidRPr="00664FF4">
        <w:rPr>
          <w:rFonts w:ascii="Times New Roman" w:hAnsi="Times New Roman"/>
        </w:rPr>
        <w:t>Prior to engaging in a principal transaction, the Adviser or Financial Institution must provide a pre-transaction disclosure to the Retirement Investor, either orally or in writing.  The disclosure must notify the Retirement Investor that the purchase or sale of the debt security will be executed as a principal transaction between the Adviser or Financial Institution and the plan</w:t>
      </w:r>
      <w:r w:rsidR="008B2E07">
        <w:rPr>
          <w:rFonts w:ascii="Times New Roman" w:hAnsi="Times New Roman"/>
        </w:rPr>
        <w:t>, participant or beneficiary account,</w:t>
      </w:r>
      <w:r w:rsidRPr="00664FF4">
        <w:rPr>
          <w:rFonts w:ascii="Times New Roman" w:hAnsi="Times New Roman"/>
        </w:rPr>
        <w:t xml:space="preserve"> or the IRA.  Further, the disclosure must also provide the Retirement Investor with any available pricing information regarding the debt security, including two quotes obtained from </w:t>
      </w:r>
      <w:r w:rsidR="008B2E07">
        <w:rPr>
          <w:rFonts w:ascii="Times New Roman" w:hAnsi="Times New Roman"/>
        </w:rPr>
        <w:t xml:space="preserve">two ready and willing, </w:t>
      </w:r>
      <w:r w:rsidRPr="00664FF4">
        <w:rPr>
          <w:rFonts w:ascii="Times New Roman" w:hAnsi="Times New Roman"/>
        </w:rPr>
        <w:t xml:space="preserve">unaffiliated </w:t>
      </w:r>
      <w:r w:rsidR="008B2E07">
        <w:rPr>
          <w:rFonts w:ascii="Times New Roman" w:hAnsi="Times New Roman"/>
        </w:rPr>
        <w:t xml:space="preserve">counter </w:t>
      </w:r>
      <w:r w:rsidRPr="00664FF4">
        <w:rPr>
          <w:rFonts w:ascii="Times New Roman" w:hAnsi="Times New Roman"/>
        </w:rPr>
        <w:t xml:space="preserve">parties.  The mark-up or mark-down or other payment to be charged in connection with the transaction also must be disclosed.  </w:t>
      </w:r>
      <w:r w:rsidR="00C94150">
        <w:rPr>
          <w:rFonts w:ascii="Times New Roman" w:hAnsi="Times New Roman"/>
        </w:rPr>
        <w:t>.</w:t>
      </w:r>
    </w:p>
    <w:p w:rsidR="00C94150" w:rsidRDefault="00C94150" w:rsidP="00065593">
      <w:pPr>
        <w:widowControl/>
        <w:ind w:left="1440"/>
        <w:rPr>
          <w:rFonts w:ascii="Times New Roman" w:hAnsi="Times New Roman"/>
        </w:rPr>
      </w:pPr>
    </w:p>
    <w:p w:rsidR="00664FF4" w:rsidRDefault="00C94150" w:rsidP="00065593">
      <w:pPr>
        <w:widowControl/>
        <w:numPr>
          <w:ilvl w:val="0"/>
          <w:numId w:val="8"/>
        </w:numPr>
        <w:rPr>
          <w:rFonts w:ascii="Times New Roman" w:hAnsi="Times New Roman"/>
        </w:rPr>
      </w:pPr>
      <w:r>
        <w:rPr>
          <w:rFonts w:ascii="Times New Roman" w:hAnsi="Times New Roman"/>
        </w:rPr>
        <w:t>The Adviser and Financial Institution must provide a written confirmation of the principal transaction in accordance with Rule 10b-10 under the Securities Exchange Act of 1934</w:t>
      </w:r>
      <w:r w:rsidRPr="000D4E90">
        <w:rPr>
          <w:rStyle w:val="FootnoteReference"/>
          <w:rFonts w:ascii="Times New Roman" w:hAnsi="Times New Roman"/>
          <w:vertAlign w:val="superscript"/>
        </w:rPr>
        <w:footnoteReference w:id="1"/>
      </w:r>
      <w:r>
        <w:rPr>
          <w:rFonts w:ascii="Times New Roman" w:hAnsi="Times New Roman"/>
        </w:rPr>
        <w:t xml:space="preserve"> that also includes disclosure of the mark-up, mark-down, or other payment to the Adviser, Financial Institution or Affiliate in connection with the Principal Transaction.</w:t>
      </w:r>
    </w:p>
    <w:p w:rsidR="00C94150" w:rsidRDefault="00C94150" w:rsidP="00065593">
      <w:pPr>
        <w:pStyle w:val="ListParagraph"/>
        <w:rPr>
          <w:rFonts w:ascii="Times New Roman" w:hAnsi="Times New Roman"/>
        </w:rPr>
      </w:pPr>
    </w:p>
    <w:p w:rsidR="00C94150" w:rsidRDefault="008B2E07" w:rsidP="00065593">
      <w:pPr>
        <w:widowControl/>
        <w:numPr>
          <w:ilvl w:val="0"/>
          <w:numId w:val="8"/>
        </w:numPr>
        <w:rPr>
          <w:rFonts w:ascii="Times New Roman" w:hAnsi="Times New Roman"/>
        </w:rPr>
      </w:pPr>
      <w:r>
        <w:rPr>
          <w:rFonts w:ascii="Times New Roman" w:hAnsi="Times New Roman"/>
        </w:rPr>
        <w:t>T</w:t>
      </w:r>
      <w:r w:rsidR="00C94150" w:rsidRPr="00C94150">
        <w:rPr>
          <w:rFonts w:ascii="Times New Roman" w:hAnsi="Times New Roman"/>
        </w:rPr>
        <w:t>he Adviser or the Financial Institution must provide the Retirement Investor with an annual statement that lists the principal transactions engaged in during the year, provides the prevailing market price at which the debt security was purchased or sold, and provides the applicable mark-up or mark-down or other payment for each debt security.  The annual statement must also remind the Retirement Investor that it may withdraw its consent to principal transactions at any time, without penalty to the plan or IRA.  The annual statement may be provided in combination with other statements provided to the Retirement Investor by the Adviser or Financial Institution.</w:t>
      </w:r>
    </w:p>
    <w:p w:rsidR="00C94150" w:rsidRDefault="00C94150" w:rsidP="00065593">
      <w:pPr>
        <w:pStyle w:val="ListParagraph"/>
        <w:rPr>
          <w:rFonts w:ascii="Times New Roman" w:hAnsi="Times New Roman"/>
        </w:rPr>
      </w:pPr>
    </w:p>
    <w:p w:rsidR="00C94150" w:rsidRDefault="00C94150" w:rsidP="00065593">
      <w:pPr>
        <w:widowControl/>
        <w:numPr>
          <w:ilvl w:val="0"/>
          <w:numId w:val="8"/>
        </w:numPr>
        <w:rPr>
          <w:rFonts w:ascii="Times New Roman" w:hAnsi="Times New Roman"/>
        </w:rPr>
      </w:pPr>
      <w:r>
        <w:rPr>
          <w:rFonts w:ascii="Times New Roman" w:hAnsi="Times New Roman"/>
        </w:rPr>
        <w:t>U</w:t>
      </w:r>
      <w:r w:rsidRPr="00C94150">
        <w:rPr>
          <w:rFonts w:ascii="Times New Roman" w:hAnsi="Times New Roman"/>
        </w:rPr>
        <w:t xml:space="preserve">pon reasonable request, </w:t>
      </w:r>
      <w:r w:rsidR="00095D21">
        <w:rPr>
          <w:rFonts w:ascii="Times New Roman" w:hAnsi="Times New Roman"/>
        </w:rPr>
        <w:t xml:space="preserve">prior to or following the completion of a principal transaction, </w:t>
      </w:r>
      <w:r w:rsidRPr="00C94150">
        <w:rPr>
          <w:rFonts w:ascii="Times New Roman" w:hAnsi="Times New Roman"/>
        </w:rPr>
        <w:t>the Adviser or Financial Institution must provide the Retirement Investor with additional information regarding the debt security and the transaction for any principal transaction that has occurred within the past 6 years preceding the date of the request.</w:t>
      </w:r>
    </w:p>
    <w:p w:rsidR="00C94150" w:rsidRDefault="00C94150" w:rsidP="00065593">
      <w:pPr>
        <w:pStyle w:val="ListParagraph"/>
        <w:rPr>
          <w:rFonts w:ascii="Times New Roman" w:hAnsi="Times New Roman"/>
        </w:rPr>
      </w:pPr>
    </w:p>
    <w:p w:rsidR="00C94150" w:rsidRDefault="00C94150" w:rsidP="00E32E5D">
      <w:pPr>
        <w:widowControl/>
        <w:ind w:left="720"/>
        <w:rPr>
          <w:rFonts w:ascii="Times New Roman" w:hAnsi="Times New Roman"/>
        </w:rPr>
      </w:pPr>
      <w:r>
        <w:rPr>
          <w:rFonts w:ascii="Times New Roman" w:hAnsi="Times New Roman"/>
        </w:rPr>
        <w:t>The proposed exemption also requires the Financial Institution to maintain for a period of six years from the date of each principal transaction, to allow the Department or Internal Revenue Service, a plan or IRA fiduciary</w:t>
      </w:r>
      <w:r w:rsidR="00DC3D7D">
        <w:rPr>
          <w:rFonts w:ascii="Times New Roman" w:hAnsi="Times New Roman"/>
        </w:rPr>
        <w:t>, an employer of par</w:t>
      </w:r>
      <w:r>
        <w:rPr>
          <w:rFonts w:ascii="Times New Roman" w:hAnsi="Times New Roman"/>
        </w:rPr>
        <w:t xml:space="preserve">ticipants and beneficiaries </w:t>
      </w:r>
      <w:r>
        <w:rPr>
          <w:rFonts w:ascii="Times New Roman" w:hAnsi="Times New Roman"/>
        </w:rPr>
        <w:lastRenderedPageBreak/>
        <w:t>and employee organizations whose members are covered by the plan, and the IRA investor to determine whether the conditions of the exemption have been met.</w:t>
      </w:r>
    </w:p>
    <w:p w:rsidR="00B41FAA" w:rsidRPr="00235B48" w:rsidRDefault="00B41FAA" w:rsidP="00491F77">
      <w:pPr>
        <w:widowControl/>
        <w:ind w:left="720"/>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t>Indicate how, by whom, and for what purpose the information is to be used.  Except for a new collection, indicate the actual use the agency has made of the information received from the current collection.</w:t>
      </w:r>
    </w:p>
    <w:p w:rsidR="00B16F95" w:rsidRDefault="00B16F95" w:rsidP="000F7F3C">
      <w:pPr>
        <w:ind w:left="720"/>
        <w:rPr>
          <w:rFonts w:ascii="Times New Roman" w:hAnsi="Times New Roman"/>
        </w:rPr>
      </w:pPr>
    </w:p>
    <w:p w:rsidR="00B16F95" w:rsidRDefault="00B16F95" w:rsidP="000F7F3C">
      <w:pPr>
        <w:ind w:left="720"/>
        <w:rPr>
          <w:rFonts w:ascii="Times New Roman" w:hAnsi="Times New Roman"/>
        </w:rPr>
      </w:pPr>
      <w:r>
        <w:rPr>
          <w:rFonts w:ascii="Times New Roman" w:hAnsi="Times New Roman"/>
        </w:rPr>
        <w:t xml:space="preserve">These information collections are </w:t>
      </w:r>
      <w:r w:rsidR="00C94150">
        <w:rPr>
          <w:rFonts w:ascii="Times New Roman" w:hAnsi="Times New Roman"/>
        </w:rPr>
        <w:t xml:space="preserve">necessary to ensure that Retirement Investors make well informed investment decisions regarding principal transactions in order to protect their retirement income security. </w:t>
      </w:r>
      <w:r w:rsidR="009713B1">
        <w:rPr>
          <w:rFonts w:ascii="Times New Roman" w:hAnsi="Times New Roman"/>
        </w:rPr>
        <w:t xml:space="preserve"> </w:t>
      </w:r>
      <w:r w:rsidR="00C94150">
        <w:rPr>
          <w:rFonts w:ascii="Times New Roman" w:hAnsi="Times New Roman"/>
        </w:rPr>
        <w:t xml:space="preserve">The contractual </w:t>
      </w:r>
      <w:r w:rsidR="00CE1A6B">
        <w:rPr>
          <w:rFonts w:ascii="Times New Roman" w:hAnsi="Times New Roman"/>
        </w:rPr>
        <w:t>requirement is the cornerstone of the of the proposed exemption because it creates a mechanism by which a Retirement Investor can be al</w:t>
      </w:r>
      <w:r w:rsidR="00DC3D7D">
        <w:rPr>
          <w:rFonts w:ascii="Times New Roman" w:hAnsi="Times New Roman"/>
        </w:rPr>
        <w:t xml:space="preserve">erted </w:t>
      </w:r>
      <w:r w:rsidR="00CE1A6B">
        <w:rPr>
          <w:rFonts w:ascii="Times New Roman" w:hAnsi="Times New Roman"/>
        </w:rPr>
        <w:t>to the Adviser</w:t>
      </w:r>
      <w:r w:rsidR="00095D21">
        <w:rPr>
          <w:rFonts w:ascii="Times New Roman" w:hAnsi="Times New Roman"/>
        </w:rPr>
        <w:t>’s</w:t>
      </w:r>
      <w:r w:rsidR="00CE1A6B">
        <w:rPr>
          <w:rFonts w:ascii="Times New Roman" w:hAnsi="Times New Roman"/>
        </w:rPr>
        <w:t xml:space="preserve"> and Financial Institution</w:t>
      </w:r>
      <w:r w:rsidR="00095D21">
        <w:rPr>
          <w:rFonts w:ascii="Times New Roman" w:hAnsi="Times New Roman"/>
        </w:rPr>
        <w:t>’</w:t>
      </w:r>
      <w:r w:rsidR="00CE1A6B">
        <w:rPr>
          <w:rFonts w:ascii="Times New Roman" w:hAnsi="Times New Roman"/>
        </w:rPr>
        <w:t>s obligations</w:t>
      </w:r>
      <w:r w:rsidR="00433300">
        <w:rPr>
          <w:rFonts w:ascii="Times New Roman" w:hAnsi="Times New Roman"/>
        </w:rPr>
        <w:t xml:space="preserve"> and be provided with a basis</w:t>
      </w:r>
      <w:r w:rsidR="00CE1A6B">
        <w:rPr>
          <w:rFonts w:ascii="Times New Roman" w:hAnsi="Times New Roman"/>
        </w:rPr>
        <w:t xml:space="preserve"> upon which Retirement Investors can enforce their rights.</w:t>
      </w:r>
    </w:p>
    <w:p w:rsidR="00BE3D72" w:rsidRPr="00235B48" w:rsidRDefault="00BE3D72" w:rsidP="000F7F3C">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235B48" w:rsidRDefault="00F3670F" w:rsidP="008C7AA2">
      <w:pPr>
        <w:widowControl/>
        <w:ind w:left="720"/>
        <w:rPr>
          <w:rFonts w:ascii="Times New Roman" w:hAnsi="Times New Roman"/>
        </w:rPr>
      </w:pPr>
    </w:p>
    <w:p w:rsidR="00C526EA" w:rsidRPr="00747506" w:rsidRDefault="00C526EA" w:rsidP="00C526EA">
      <w:pPr>
        <w:widowControl/>
        <w:ind w:left="720"/>
        <w:rPr>
          <w:rFonts w:ascii="Times New Roman" w:hAnsi="Times New Roman"/>
        </w:rPr>
      </w:pPr>
      <w:r w:rsidRPr="00747506">
        <w:rPr>
          <w:rFonts w:ascii="Times New Roman" w:hAnsi="Times New Roman"/>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Pr>
          <w:rFonts w:ascii="Times New Roman" w:hAnsi="Times New Roman"/>
        </w:rPr>
        <w:t>ubject to specific safeguards.</w:t>
      </w:r>
    </w:p>
    <w:p w:rsidR="00C526EA" w:rsidRDefault="00C526EA"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rsidR="00F3670F" w:rsidRPr="00235B48" w:rsidRDefault="00F3670F" w:rsidP="008C7AA2">
      <w:pPr>
        <w:widowControl/>
        <w:ind w:left="720"/>
        <w:rPr>
          <w:rFonts w:ascii="Times New Roman" w:hAnsi="Times New Roman"/>
        </w:rPr>
      </w:pPr>
    </w:p>
    <w:p w:rsidR="00BE3D72" w:rsidRDefault="0016793C" w:rsidP="008C7AA2">
      <w:pPr>
        <w:widowControl/>
        <w:ind w:left="720"/>
        <w:rPr>
          <w:rFonts w:ascii="Times New Roman" w:hAnsi="Times New Roman"/>
        </w:rPr>
      </w:pPr>
      <w:r>
        <w:rPr>
          <w:rFonts w:ascii="Times New Roman" w:hAnsi="Times New Roman"/>
        </w:rPr>
        <w:t>T</w:t>
      </w:r>
      <w:r w:rsidR="004D1676" w:rsidRPr="004D1676">
        <w:rPr>
          <w:rFonts w:ascii="Times New Roman" w:hAnsi="Times New Roman"/>
        </w:rPr>
        <w:t xml:space="preserve">he requirements of this </w:t>
      </w:r>
      <w:r>
        <w:rPr>
          <w:rFonts w:ascii="Times New Roman" w:hAnsi="Times New Roman"/>
        </w:rPr>
        <w:t xml:space="preserve">proposed </w:t>
      </w:r>
      <w:r w:rsidR="004D1676" w:rsidRPr="004D1676">
        <w:rPr>
          <w:rFonts w:ascii="Times New Roman" w:hAnsi="Times New Roman"/>
        </w:rPr>
        <w:t>class exemption are not duplicative.</w:t>
      </w:r>
    </w:p>
    <w:p w:rsidR="004D1676" w:rsidRPr="00235B48" w:rsidRDefault="004D1676"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rsidR="00F3670F" w:rsidRPr="00235B48" w:rsidRDefault="00F3670F" w:rsidP="008C7AA2">
      <w:pPr>
        <w:widowControl/>
        <w:ind w:left="720"/>
        <w:rPr>
          <w:rFonts w:ascii="Times New Roman" w:hAnsi="Times New Roman"/>
        </w:rPr>
      </w:pPr>
    </w:p>
    <w:p w:rsidR="0016793C" w:rsidRDefault="0016793C" w:rsidP="0016793C">
      <w:pPr>
        <w:widowControl/>
        <w:ind w:left="720"/>
        <w:rPr>
          <w:rFonts w:ascii="Times New Roman" w:hAnsi="Times New Roman"/>
        </w:rPr>
      </w:pPr>
      <w:r>
        <w:rPr>
          <w:rFonts w:ascii="Times New Roman" w:hAnsi="Times New Roman"/>
        </w:rPr>
        <w:t xml:space="preserve">The Department has designed the information collection to impose the </w:t>
      </w:r>
      <w:r w:rsidR="00B6305C">
        <w:rPr>
          <w:rFonts w:ascii="Times New Roman" w:hAnsi="Times New Roman"/>
        </w:rPr>
        <w:t>minimal burden ne</w:t>
      </w:r>
      <w:r>
        <w:rPr>
          <w:rFonts w:ascii="Times New Roman" w:hAnsi="Times New Roman"/>
        </w:rPr>
        <w:t xml:space="preserve">cessary to insure that the </w:t>
      </w:r>
      <w:r w:rsidR="00B6305C">
        <w:rPr>
          <w:rFonts w:ascii="Times New Roman" w:hAnsi="Times New Roman"/>
        </w:rPr>
        <w:t xml:space="preserve">assets of </w:t>
      </w:r>
      <w:r>
        <w:rPr>
          <w:rFonts w:ascii="Times New Roman" w:hAnsi="Times New Roman"/>
        </w:rPr>
        <w:t>Retirement Investors are protected from harmful conflicts of interest when engaging in principal transaction</w:t>
      </w:r>
      <w:r w:rsidR="00B5494E">
        <w:rPr>
          <w:rFonts w:ascii="Times New Roman" w:hAnsi="Times New Roman"/>
        </w:rPr>
        <w:t>s</w:t>
      </w:r>
      <w:r w:rsidR="000015B7">
        <w:rPr>
          <w:rFonts w:ascii="Times New Roman" w:hAnsi="Times New Roman"/>
        </w:rPr>
        <w:t>.</w:t>
      </w:r>
    </w:p>
    <w:p w:rsidR="0049266B" w:rsidRPr="00235B48" w:rsidRDefault="0049266B"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rPr>
      </w:pPr>
      <w:r w:rsidRPr="00235B48">
        <w:rPr>
          <w:rFonts w:ascii="Times New Roman" w:hAnsi="Times New Roman"/>
        </w:rPr>
        <w:lastRenderedPageBreak/>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rsidR="00F3670F" w:rsidRPr="00235B48" w:rsidRDefault="00F3670F" w:rsidP="008C7AA2">
      <w:pPr>
        <w:widowControl/>
        <w:ind w:left="720"/>
        <w:rPr>
          <w:rFonts w:ascii="Times New Roman" w:hAnsi="Times New Roman"/>
        </w:rPr>
      </w:pPr>
    </w:p>
    <w:p w:rsidR="00F3670F" w:rsidRDefault="00B5494E" w:rsidP="008C7AA2">
      <w:pPr>
        <w:widowControl/>
        <w:ind w:left="720"/>
        <w:rPr>
          <w:rFonts w:ascii="Times New Roman" w:hAnsi="Times New Roman"/>
        </w:rPr>
      </w:pPr>
      <w:r>
        <w:rPr>
          <w:rFonts w:ascii="Times New Roman" w:hAnsi="Times New Roman"/>
        </w:rPr>
        <w:t>If the information collection were not required, principal transactions could not be conducted in a manner that the Department is confident would be protective of the rights of participants and beneficiaries</w:t>
      </w:r>
      <w:r w:rsidR="000015B7">
        <w:rPr>
          <w:rFonts w:ascii="Times New Roman" w:hAnsi="Times New Roman"/>
        </w:rPr>
        <w:t>.</w:t>
      </w:r>
    </w:p>
    <w:p w:rsidR="00360DC4" w:rsidRPr="00235B48" w:rsidRDefault="00360DC4" w:rsidP="008C7AA2">
      <w:pPr>
        <w:widowControl/>
        <w:ind w:left="720"/>
        <w:rPr>
          <w:rFonts w:ascii="Times New Roman" w:hAnsi="Times New Roman"/>
        </w:rPr>
      </w:pPr>
    </w:p>
    <w:p w:rsidR="00F3670F" w:rsidRPr="00235B48" w:rsidRDefault="00F3670F" w:rsidP="00235B48">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rsidR="00F3670F" w:rsidRPr="00235B48" w:rsidRDefault="00F3670F" w:rsidP="00235B48">
      <w:pPr>
        <w:widowControl/>
        <w:rPr>
          <w:rFonts w:ascii="Times New Roman" w:hAnsi="Times New Roman"/>
          <w:i/>
          <w:iCs/>
          <w:sz w:val="20"/>
          <w:szCs w:val="20"/>
        </w:rPr>
      </w:pPr>
    </w:p>
    <w:p w:rsidR="00F3670F"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report information to the agency more often than quarterly;</w:t>
      </w:r>
    </w:p>
    <w:p w:rsidR="00E306C6" w:rsidRPr="00235B48" w:rsidRDefault="00E306C6" w:rsidP="00235B48">
      <w:pPr>
        <w:widowControl/>
        <w:tabs>
          <w:tab w:val="left" w:pos="-1440"/>
        </w:tabs>
        <w:ind w:left="1440" w:hanging="720"/>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prepare a written response to a collection of information in fewer than 30 days after receipt of it;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more than an original and two copies of any document;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retain records, other than health, medical, government contract, grant-in-aid, or tax records for more than three years;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 connection with a statistical survey, that is not designed to produce valid and reliable results that can be generalized to the universe of study;</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the use of a statistical data classification that has not been reviewed and approved by OMB;</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pStyle w:val="BodyTextIndent2"/>
        <w:widowControl/>
      </w:pPr>
      <w:r w:rsidRPr="00235B48">
        <w:t>•</w:t>
      </w:r>
      <w:r w:rsidRPr="00235B4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F3670F" w:rsidRPr="00235B48" w:rsidRDefault="00F3670F" w:rsidP="008C7AA2">
      <w:pPr>
        <w:widowControl/>
        <w:ind w:left="720"/>
        <w:rPr>
          <w:rFonts w:ascii="Times New Roman" w:hAnsi="Times New Roman"/>
        </w:rPr>
      </w:pPr>
    </w:p>
    <w:p w:rsidR="008C3A3F" w:rsidRDefault="008C3A3F" w:rsidP="008C7AA2">
      <w:pPr>
        <w:widowControl/>
        <w:ind w:left="720"/>
        <w:rPr>
          <w:rFonts w:ascii="Times New Roman" w:hAnsi="Times New Roman"/>
        </w:rPr>
      </w:pPr>
      <w:r w:rsidRPr="008C3A3F">
        <w:rPr>
          <w:rFonts w:ascii="Times New Roman" w:hAnsi="Times New Roman"/>
        </w:rPr>
        <w:t>Because this exemption is granted under section 408(a) of ERISA and section 4975(c)(2)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rPr>
      </w:pPr>
      <w:r w:rsidRPr="00235B48">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670F" w:rsidRPr="00235B48" w:rsidRDefault="00F3670F" w:rsidP="008C7AA2">
      <w:pPr>
        <w:widowControl/>
        <w:ind w:left="720"/>
        <w:rPr>
          <w:rFonts w:ascii="Times New Roman" w:hAnsi="Times New Roman"/>
        </w:rPr>
      </w:pPr>
    </w:p>
    <w:p w:rsidR="004E2E93" w:rsidRDefault="004E2E93" w:rsidP="008C7AA2">
      <w:pPr>
        <w:widowControl/>
        <w:ind w:left="720"/>
        <w:rPr>
          <w:rFonts w:ascii="Times New Roman" w:hAnsi="Times New Roman"/>
        </w:rPr>
      </w:pPr>
      <w:r>
        <w:rPr>
          <w:rFonts w:ascii="Times New Roman" w:hAnsi="Times New Roman"/>
        </w:rPr>
        <w:t>I</w:t>
      </w:r>
      <w:r w:rsidRPr="004E2E93">
        <w:rPr>
          <w:rFonts w:ascii="Times New Roman" w:hAnsi="Times New Roman"/>
        </w:rPr>
        <w:t>n accordance with 5 CFR 1320.</w:t>
      </w:r>
      <w:r>
        <w:rPr>
          <w:rFonts w:ascii="Times New Roman" w:hAnsi="Times New Roman"/>
        </w:rPr>
        <w:t xml:space="preserve">11, the proposed exemption provides the public with </w:t>
      </w:r>
      <w:r w:rsidR="005B4A8D">
        <w:rPr>
          <w:rFonts w:ascii="Times New Roman" w:hAnsi="Times New Roman"/>
        </w:rPr>
        <w:t>3</w:t>
      </w:r>
      <w:r>
        <w:rPr>
          <w:rFonts w:ascii="Times New Roman" w:hAnsi="Times New Roman"/>
        </w:rPr>
        <w:t xml:space="preserve">0 days to </w:t>
      </w:r>
      <w:r w:rsidRPr="004E2E93">
        <w:rPr>
          <w:rFonts w:ascii="Times New Roman" w:hAnsi="Times New Roman"/>
        </w:rPr>
        <w:t xml:space="preserve">comment on the </w:t>
      </w:r>
      <w:r>
        <w:rPr>
          <w:rFonts w:ascii="Times New Roman" w:hAnsi="Times New Roman"/>
        </w:rPr>
        <w:t xml:space="preserve">information </w:t>
      </w:r>
      <w:r w:rsidRPr="004E2E93">
        <w:rPr>
          <w:rFonts w:ascii="Times New Roman" w:hAnsi="Times New Roman"/>
        </w:rPr>
        <w:t>collection and burden estimates.</w:t>
      </w:r>
    </w:p>
    <w:p w:rsidR="00F3670F" w:rsidRPr="00235B48" w:rsidRDefault="00F3670F" w:rsidP="008C7AA2">
      <w:pPr>
        <w:widowControl/>
        <w:ind w:left="720"/>
        <w:rPr>
          <w:rFonts w:ascii="Times New Roman" w:hAnsi="Times New Roman"/>
        </w:rPr>
      </w:pPr>
    </w:p>
    <w:p w:rsidR="00F3670F" w:rsidRPr="00235B48" w:rsidRDefault="00F3670F" w:rsidP="00235B48">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t>Explain any decision to provide any payment or gift to respondents, other than remuneration of contractors or grantees.</w:t>
      </w:r>
    </w:p>
    <w:p w:rsidR="00F3670F" w:rsidRPr="00235B48" w:rsidRDefault="00F3670F" w:rsidP="008C7AA2">
      <w:pPr>
        <w:widowControl/>
        <w:ind w:left="720"/>
        <w:rPr>
          <w:rFonts w:ascii="Times New Roman" w:hAnsi="Times New Roman"/>
        </w:rPr>
      </w:pPr>
    </w:p>
    <w:p w:rsidR="00F3670F" w:rsidRPr="00235B48" w:rsidRDefault="00F3670F" w:rsidP="008C7AA2">
      <w:pPr>
        <w:widowControl/>
        <w:ind w:left="720"/>
        <w:outlineLvl w:val="0"/>
        <w:rPr>
          <w:rFonts w:ascii="Times New Roman" w:hAnsi="Times New Roman"/>
        </w:rPr>
      </w:pPr>
      <w:r w:rsidRPr="00235B48">
        <w:rPr>
          <w:rFonts w:ascii="Times New Roman" w:hAnsi="Times New Roman"/>
        </w:rPr>
        <w:t>No payments or gifts are provided to respondents.</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rsidR="00F3670F" w:rsidRPr="00235B48" w:rsidRDefault="00F3670F" w:rsidP="008C7AA2">
      <w:pPr>
        <w:widowControl/>
        <w:ind w:left="720"/>
        <w:rPr>
          <w:rFonts w:ascii="Times New Roman" w:hAnsi="Times New Roman"/>
        </w:rPr>
      </w:pPr>
    </w:p>
    <w:p w:rsidR="00AF6A04" w:rsidRDefault="00AF6A04" w:rsidP="008C7AA2">
      <w:pPr>
        <w:ind w:left="720"/>
        <w:rPr>
          <w:rFonts w:ascii="Times New Roman" w:hAnsi="Times New Roman"/>
        </w:rPr>
      </w:pPr>
      <w:r>
        <w:rPr>
          <w:rFonts w:ascii="Times New Roman" w:hAnsi="Times New Roman"/>
        </w:rPr>
        <w:t>No assurance of confidentiality was provided.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670F" w:rsidRPr="00235B48" w:rsidRDefault="00F3670F" w:rsidP="008C7AA2">
      <w:pPr>
        <w:widowControl/>
        <w:ind w:left="720"/>
        <w:rPr>
          <w:rFonts w:ascii="Times New Roman" w:hAnsi="Times New Roman"/>
          <w:i/>
          <w:iCs/>
        </w:rPr>
      </w:pPr>
    </w:p>
    <w:p w:rsidR="00BE3D72" w:rsidRPr="00235B48" w:rsidRDefault="00B06B58" w:rsidP="008C7AA2">
      <w:pPr>
        <w:widowControl/>
        <w:ind w:left="720"/>
        <w:outlineLvl w:val="0"/>
        <w:rPr>
          <w:rFonts w:ascii="Times New Roman" w:hAnsi="Times New Roman"/>
          <w:i/>
          <w:iCs/>
        </w:rPr>
      </w:pPr>
      <w:r w:rsidRPr="00235B48">
        <w:rPr>
          <w:rFonts w:ascii="Times New Roman" w:hAnsi="Times New Roman"/>
          <w:iCs/>
        </w:rPr>
        <w:t>There are no questions of the nature described.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If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3670F" w:rsidRPr="00235B48" w:rsidRDefault="00F3670F" w:rsidP="008C7AA2">
      <w:pPr>
        <w:widowControl/>
        <w:ind w:left="720"/>
        <w:rPr>
          <w:rFonts w:ascii="Times New Roman" w:hAnsi="Times New Roman"/>
          <w:i/>
          <w:iCs/>
        </w:rPr>
      </w:pPr>
    </w:p>
    <w:p w:rsidR="002310DB" w:rsidRPr="00D80EE0" w:rsidRDefault="002310DB" w:rsidP="00F84482">
      <w:pPr>
        <w:ind w:left="720"/>
        <w:rPr>
          <w:rFonts w:ascii="Times New Roman" w:eastAsia="MS Mincho" w:hAnsi="Times New Roman"/>
        </w:rPr>
      </w:pPr>
      <w:r>
        <w:rPr>
          <w:rFonts w:ascii="Times New Roman" w:eastAsia="MS Mincho" w:hAnsi="Times New Roman"/>
        </w:rPr>
        <w:t xml:space="preserve">Based on </w:t>
      </w:r>
      <w:r w:rsidR="00E36C58">
        <w:rPr>
          <w:rFonts w:ascii="Times New Roman" w:eastAsia="MS Mincho" w:hAnsi="Times New Roman"/>
        </w:rPr>
        <w:t xml:space="preserve">2012 </w:t>
      </w:r>
      <w:r>
        <w:rPr>
          <w:rFonts w:ascii="Times New Roman" w:eastAsia="MS Mincho" w:hAnsi="Times New Roman"/>
        </w:rPr>
        <w:t>Form 5500 data</w:t>
      </w:r>
      <w:r w:rsidR="004A6561">
        <w:rPr>
          <w:rFonts w:ascii="Times New Roman" w:eastAsia="MS Mincho" w:hAnsi="Times New Roman"/>
        </w:rPr>
        <w:t xml:space="preserve"> and Internal Revenue Service Statistics of Income data</w:t>
      </w:r>
      <w:r>
        <w:rPr>
          <w:rFonts w:ascii="Times New Roman" w:eastAsia="MS Mincho" w:hAnsi="Times New Roman"/>
        </w:rPr>
        <w:t xml:space="preserve">, the Department estimates that </w:t>
      </w:r>
      <w:r w:rsidR="003F1813">
        <w:rPr>
          <w:rFonts w:ascii="Times New Roman" w:eastAsia="MS Mincho" w:hAnsi="Times New Roman"/>
        </w:rPr>
        <w:t xml:space="preserve">the retirement market consists of </w:t>
      </w:r>
      <w:r>
        <w:rPr>
          <w:rFonts w:ascii="Times New Roman" w:eastAsia="MS Mincho" w:hAnsi="Times New Roman"/>
        </w:rPr>
        <w:t>approximately 44,000 DB plans, 124,000 DC plans</w:t>
      </w:r>
      <w:r w:rsidR="004A6561">
        <w:rPr>
          <w:rFonts w:ascii="Times New Roman" w:eastAsia="MS Mincho" w:hAnsi="Times New Roman"/>
        </w:rPr>
        <w:t xml:space="preserve"> that do not allow participants to direct investments, 68 million DC plan participants, and 54.5 IRA </w:t>
      </w:r>
      <w:r w:rsidR="000015B7">
        <w:rPr>
          <w:rFonts w:ascii="Times New Roman" w:eastAsia="MS Mincho" w:hAnsi="Times New Roman"/>
        </w:rPr>
        <w:t>i</w:t>
      </w:r>
      <w:r w:rsidR="0016793C">
        <w:rPr>
          <w:rFonts w:ascii="Times New Roman" w:eastAsia="MS Mincho" w:hAnsi="Times New Roman"/>
        </w:rPr>
        <w:t>nvestors</w:t>
      </w:r>
      <w:r w:rsidR="004A6561">
        <w:rPr>
          <w:rFonts w:ascii="Times New Roman" w:eastAsia="MS Mincho" w:hAnsi="Times New Roman"/>
        </w:rPr>
        <w:t xml:space="preserve">.  </w:t>
      </w:r>
      <w:r w:rsidR="003F1813">
        <w:rPr>
          <w:rFonts w:ascii="Times New Roman" w:eastAsia="MS Mincho" w:hAnsi="Times New Roman"/>
        </w:rPr>
        <w:t>T</w:t>
      </w:r>
      <w:r w:rsidR="00E36C58">
        <w:rPr>
          <w:rFonts w:ascii="Times New Roman" w:hAnsi="Times New Roman"/>
        </w:rPr>
        <w:t xml:space="preserve">he Department estimates that 20 percent of DB plans, </w:t>
      </w:r>
      <w:r w:rsidR="008B1015">
        <w:rPr>
          <w:rFonts w:ascii="Times New Roman" w:hAnsi="Times New Roman"/>
        </w:rPr>
        <w:t>2</w:t>
      </w:r>
      <w:r w:rsidR="00E36C58">
        <w:rPr>
          <w:rFonts w:ascii="Times New Roman" w:hAnsi="Times New Roman"/>
        </w:rPr>
        <w:t>6 percent of DC plans,</w:t>
      </w:r>
      <w:r w:rsidR="00EE29BE" w:rsidRPr="00041FFB">
        <w:rPr>
          <w:rStyle w:val="FootnoteReference"/>
          <w:rFonts w:ascii="Times New Roman" w:hAnsi="Times New Roman"/>
          <w:vertAlign w:val="superscript"/>
        </w:rPr>
        <w:footnoteReference w:id="2"/>
      </w:r>
      <w:r w:rsidR="00E36C58">
        <w:rPr>
          <w:rFonts w:ascii="Times New Roman" w:hAnsi="Times New Roman"/>
        </w:rPr>
        <w:t xml:space="preserve"> and 3</w:t>
      </w:r>
      <w:r w:rsidR="00E56F96">
        <w:rPr>
          <w:rFonts w:ascii="Times New Roman" w:hAnsi="Times New Roman"/>
        </w:rPr>
        <w:t>7</w:t>
      </w:r>
      <w:r w:rsidR="00E36C58">
        <w:rPr>
          <w:rFonts w:ascii="Times New Roman" w:hAnsi="Times New Roman"/>
        </w:rPr>
        <w:t xml:space="preserve"> percent of IRAs</w:t>
      </w:r>
      <w:r w:rsidR="00041FFB" w:rsidRPr="00D6108E">
        <w:rPr>
          <w:rStyle w:val="FootnoteReference"/>
          <w:rFonts w:ascii="Times New Roman" w:hAnsi="Times New Roman"/>
          <w:vertAlign w:val="superscript"/>
        </w:rPr>
        <w:footnoteReference w:id="3"/>
      </w:r>
      <w:r w:rsidR="00E36C58">
        <w:rPr>
          <w:rFonts w:ascii="Times New Roman" w:hAnsi="Times New Roman"/>
        </w:rPr>
        <w:t xml:space="preserve"> have relationships with broker-dealers or other financial </w:t>
      </w:r>
      <w:r w:rsidR="003C3006">
        <w:rPr>
          <w:rFonts w:ascii="Times New Roman" w:hAnsi="Times New Roman"/>
        </w:rPr>
        <w:t>firms</w:t>
      </w:r>
      <w:r w:rsidR="00E36C58">
        <w:rPr>
          <w:rFonts w:ascii="Times New Roman" w:hAnsi="Times New Roman"/>
        </w:rPr>
        <w:t xml:space="preserve"> that </w:t>
      </w:r>
      <w:r w:rsidR="003F1813">
        <w:rPr>
          <w:rFonts w:ascii="Times New Roman" w:hAnsi="Times New Roman"/>
        </w:rPr>
        <w:t>might</w:t>
      </w:r>
      <w:r w:rsidR="00E36C58">
        <w:rPr>
          <w:rFonts w:ascii="Times New Roman" w:hAnsi="Times New Roman"/>
        </w:rPr>
        <w:t xml:space="preserve"> use this </w:t>
      </w:r>
      <w:r w:rsidR="00E306C6">
        <w:rPr>
          <w:rFonts w:ascii="Times New Roman" w:hAnsi="Times New Roman"/>
        </w:rPr>
        <w:t>exemption</w:t>
      </w:r>
      <w:r w:rsidR="00E36C58">
        <w:rPr>
          <w:rFonts w:ascii="Times New Roman" w:hAnsi="Times New Roman"/>
        </w:rPr>
        <w:t xml:space="preserve">.  </w:t>
      </w:r>
      <w:r w:rsidR="00730E1B">
        <w:rPr>
          <w:rFonts w:ascii="Times New Roman" w:hAnsi="Times New Roman"/>
        </w:rPr>
        <w:t>According to the Profit Sharing Council of America’s 56</w:t>
      </w:r>
      <w:r w:rsidR="00730E1B" w:rsidRPr="00730E1B">
        <w:rPr>
          <w:rFonts w:ascii="Times New Roman" w:hAnsi="Times New Roman"/>
          <w:vertAlign w:val="superscript"/>
        </w:rPr>
        <w:t>th</w:t>
      </w:r>
      <w:r w:rsidR="00730E1B">
        <w:rPr>
          <w:rFonts w:ascii="Times New Roman" w:hAnsi="Times New Roman"/>
        </w:rPr>
        <w:t xml:space="preserve"> Annual Survey, o</w:t>
      </w:r>
      <w:r w:rsidR="00C31E44">
        <w:rPr>
          <w:rFonts w:ascii="Times New Roman" w:hAnsi="Times New Roman"/>
        </w:rPr>
        <w:t xml:space="preserve">nly 6.16 percent of DC plan participants are offered and utilize investment advice through their plans.  </w:t>
      </w:r>
      <w:r w:rsidR="00B30B53">
        <w:rPr>
          <w:rFonts w:ascii="Times New Roman" w:hAnsi="Times New Roman"/>
        </w:rPr>
        <w:t xml:space="preserve">Further, </w:t>
      </w:r>
      <w:r w:rsidR="008A31BA">
        <w:rPr>
          <w:rFonts w:ascii="Times New Roman" w:hAnsi="Times New Roman"/>
        </w:rPr>
        <w:t xml:space="preserve">the Department assumes that </w:t>
      </w:r>
      <w:r w:rsidR="00B30B53">
        <w:rPr>
          <w:rFonts w:ascii="Times New Roman" w:hAnsi="Times New Roman"/>
        </w:rPr>
        <w:t xml:space="preserve">only 10 percent of DB plans, DC plans that do not allow participants to direct investments, and IRAs, and only 1 percent of DC plan participants will engage in principal transactions.  </w:t>
      </w:r>
      <w:r w:rsidR="00C31E44">
        <w:rPr>
          <w:rFonts w:ascii="Times New Roman" w:hAnsi="Times New Roman"/>
        </w:rPr>
        <w:t xml:space="preserve">Therefore, the Department estimates that approximately </w:t>
      </w:r>
      <w:r w:rsidR="006E5AB3">
        <w:rPr>
          <w:rFonts w:ascii="Times New Roman" w:hAnsi="Times New Roman"/>
        </w:rPr>
        <w:t>900</w:t>
      </w:r>
      <w:r w:rsidR="00C31E44">
        <w:rPr>
          <w:rFonts w:ascii="Times New Roman" w:hAnsi="Times New Roman"/>
        </w:rPr>
        <w:t xml:space="preserve"> DB plans,</w:t>
      </w:r>
      <w:r w:rsidR="00C31E44" w:rsidRPr="004D5A1F">
        <w:rPr>
          <w:rStyle w:val="FootnoteReference"/>
          <w:rFonts w:ascii="Times New Roman" w:hAnsi="Times New Roman"/>
          <w:vertAlign w:val="superscript"/>
        </w:rPr>
        <w:footnoteReference w:id="4"/>
      </w:r>
      <w:r w:rsidR="00C31E44">
        <w:rPr>
          <w:rFonts w:ascii="Times New Roman" w:hAnsi="Times New Roman"/>
        </w:rPr>
        <w:t xml:space="preserve"> </w:t>
      </w:r>
      <w:r w:rsidR="00B822C3">
        <w:rPr>
          <w:rFonts w:ascii="Times New Roman" w:hAnsi="Times New Roman"/>
        </w:rPr>
        <w:t>3</w:t>
      </w:r>
      <w:r w:rsidR="00C31E44">
        <w:rPr>
          <w:rFonts w:ascii="Times New Roman" w:hAnsi="Times New Roman"/>
        </w:rPr>
        <w:t>,000 DC plans that do not allow participants to direct investments,</w:t>
      </w:r>
      <w:r w:rsidR="00C31E44" w:rsidRPr="004D5A1F">
        <w:rPr>
          <w:rStyle w:val="FootnoteReference"/>
          <w:rFonts w:ascii="Times New Roman" w:hAnsi="Times New Roman"/>
          <w:vertAlign w:val="superscript"/>
        </w:rPr>
        <w:footnoteReference w:id="5"/>
      </w:r>
      <w:r w:rsidR="00C31E44">
        <w:rPr>
          <w:rFonts w:ascii="Times New Roman" w:hAnsi="Times New Roman"/>
        </w:rPr>
        <w:t xml:space="preserve"> </w:t>
      </w:r>
      <w:r w:rsidR="00734BC2">
        <w:rPr>
          <w:rFonts w:ascii="Times New Roman" w:hAnsi="Times New Roman"/>
        </w:rPr>
        <w:t>1</w:t>
      </w:r>
      <w:r w:rsidR="00B822C3">
        <w:rPr>
          <w:rFonts w:ascii="Times New Roman" w:hAnsi="Times New Roman"/>
        </w:rPr>
        <w:t>1</w:t>
      </w:r>
      <w:r w:rsidR="006E5AB3">
        <w:rPr>
          <w:rFonts w:ascii="Times New Roman" w:hAnsi="Times New Roman"/>
        </w:rPr>
        <w:t>,000</w:t>
      </w:r>
      <w:r w:rsidR="00C31E44">
        <w:rPr>
          <w:rFonts w:ascii="Times New Roman" w:hAnsi="Times New Roman"/>
        </w:rPr>
        <w:t xml:space="preserve"> DC plan participants,</w:t>
      </w:r>
      <w:r w:rsidR="00C31E44" w:rsidRPr="004D5A1F">
        <w:rPr>
          <w:rStyle w:val="FootnoteReference"/>
          <w:rFonts w:ascii="Times New Roman" w:hAnsi="Times New Roman"/>
          <w:vertAlign w:val="superscript"/>
        </w:rPr>
        <w:footnoteReference w:id="6"/>
      </w:r>
      <w:r w:rsidR="00C31E44">
        <w:rPr>
          <w:rFonts w:ascii="Times New Roman" w:hAnsi="Times New Roman"/>
        </w:rPr>
        <w:t xml:space="preserve"> and </w:t>
      </w:r>
      <w:r w:rsidR="00323523">
        <w:rPr>
          <w:rFonts w:ascii="Times New Roman" w:hAnsi="Times New Roman"/>
        </w:rPr>
        <w:t>2 million</w:t>
      </w:r>
      <w:r w:rsidR="00C31E44">
        <w:rPr>
          <w:rFonts w:ascii="Times New Roman" w:hAnsi="Times New Roman"/>
        </w:rPr>
        <w:t xml:space="preserve"> IRA </w:t>
      </w:r>
      <w:r w:rsidR="00433300">
        <w:rPr>
          <w:rFonts w:ascii="Times New Roman" w:hAnsi="Times New Roman"/>
        </w:rPr>
        <w:t>s</w:t>
      </w:r>
      <w:r w:rsidR="00C31E44" w:rsidRPr="004D5A1F">
        <w:rPr>
          <w:rStyle w:val="FootnoteReference"/>
          <w:rFonts w:ascii="Times New Roman" w:hAnsi="Times New Roman"/>
          <w:vertAlign w:val="superscript"/>
        </w:rPr>
        <w:footnoteReference w:id="7"/>
      </w:r>
      <w:r w:rsidR="00C31E44" w:rsidRPr="004D5A1F">
        <w:rPr>
          <w:rFonts w:ascii="Times New Roman" w:hAnsi="Times New Roman"/>
          <w:vertAlign w:val="superscript"/>
        </w:rPr>
        <w:t xml:space="preserve"> </w:t>
      </w:r>
      <w:r w:rsidR="00C31E44">
        <w:rPr>
          <w:rFonts w:ascii="Times New Roman" w:hAnsi="Times New Roman"/>
        </w:rPr>
        <w:t>will engage in transactions covered under this exemption.</w:t>
      </w:r>
    </w:p>
    <w:p w:rsidR="001A241A" w:rsidRDefault="001A241A" w:rsidP="001A241A">
      <w:pPr>
        <w:ind w:left="720"/>
        <w:rPr>
          <w:rFonts w:ascii="Times New Roman" w:eastAsia="MS Mincho" w:hAnsi="Times New Roman"/>
        </w:rPr>
      </w:pPr>
    </w:p>
    <w:p w:rsidR="001A241A" w:rsidRDefault="001A241A" w:rsidP="001A241A">
      <w:pPr>
        <w:ind w:left="720"/>
        <w:rPr>
          <w:rFonts w:ascii="Times New Roman" w:eastAsia="MS Mincho" w:hAnsi="Times New Roman"/>
        </w:rPr>
      </w:pPr>
      <w:r>
        <w:rPr>
          <w:rFonts w:ascii="Times New Roman" w:eastAsia="MS Mincho" w:hAnsi="Times New Roman"/>
        </w:rPr>
        <w:t xml:space="preserve">As described in more detail in question </w:t>
      </w:r>
      <w:r w:rsidR="00966838">
        <w:rPr>
          <w:rFonts w:ascii="Times New Roman" w:eastAsia="MS Mincho" w:hAnsi="Times New Roman"/>
        </w:rPr>
        <w:t>1</w:t>
      </w:r>
      <w:r>
        <w:rPr>
          <w:rFonts w:ascii="Times New Roman" w:eastAsia="MS Mincho" w:hAnsi="Times New Roman"/>
        </w:rPr>
        <w:t xml:space="preserve"> above, this </w:t>
      </w:r>
      <w:r w:rsidR="00E306C6">
        <w:rPr>
          <w:rFonts w:ascii="Times New Roman" w:eastAsia="MS Mincho" w:hAnsi="Times New Roman"/>
        </w:rPr>
        <w:t xml:space="preserve">exemption </w:t>
      </w:r>
      <w:r>
        <w:rPr>
          <w:rFonts w:ascii="Times New Roman" w:eastAsia="MS Mincho" w:hAnsi="Times New Roman"/>
        </w:rPr>
        <w:t xml:space="preserve">requires respondents to produce contracts, obtain </w:t>
      </w:r>
      <w:r w:rsidR="007528CB">
        <w:rPr>
          <w:rFonts w:ascii="Times New Roman" w:eastAsia="MS Mincho" w:hAnsi="Times New Roman"/>
        </w:rPr>
        <w:t xml:space="preserve">two </w:t>
      </w:r>
      <w:r>
        <w:rPr>
          <w:rFonts w:ascii="Times New Roman" w:eastAsia="MS Mincho" w:hAnsi="Times New Roman"/>
        </w:rPr>
        <w:t>price quotes, distribute price quotes,</w:t>
      </w:r>
      <w:r w:rsidR="007528CB">
        <w:rPr>
          <w:rFonts w:ascii="Times New Roman" w:eastAsia="MS Mincho" w:hAnsi="Times New Roman"/>
        </w:rPr>
        <w:t xml:space="preserve"> provide</w:t>
      </w:r>
      <w:r>
        <w:rPr>
          <w:rFonts w:ascii="Times New Roman" w:eastAsia="MS Mincho" w:hAnsi="Times New Roman"/>
        </w:rPr>
        <w:t xml:space="preserve"> a pre-transaction disclosure,</w:t>
      </w:r>
      <w:r w:rsidR="007528CB">
        <w:rPr>
          <w:rFonts w:ascii="Times New Roman" w:eastAsia="MS Mincho" w:hAnsi="Times New Roman"/>
        </w:rPr>
        <w:t xml:space="preserve"> provide</w:t>
      </w:r>
      <w:r>
        <w:rPr>
          <w:rFonts w:ascii="Times New Roman" w:eastAsia="MS Mincho" w:hAnsi="Times New Roman"/>
        </w:rPr>
        <w:t xml:space="preserve"> a confirmation notice, </w:t>
      </w:r>
      <w:r w:rsidR="007528CB">
        <w:rPr>
          <w:rFonts w:ascii="Times New Roman" w:eastAsia="MS Mincho" w:hAnsi="Times New Roman"/>
        </w:rPr>
        <w:t xml:space="preserve"> provide </w:t>
      </w:r>
      <w:r>
        <w:rPr>
          <w:rFonts w:ascii="Times New Roman" w:eastAsia="MS Mincho" w:hAnsi="Times New Roman"/>
        </w:rPr>
        <w:t>an annual statement, and share transaction history data.  Respondents are also required to maintain detailed records.</w:t>
      </w:r>
    </w:p>
    <w:p w:rsidR="00F84482" w:rsidRDefault="00F84482" w:rsidP="00F84482">
      <w:pPr>
        <w:ind w:left="720"/>
        <w:rPr>
          <w:rFonts w:ascii="Times New Roman" w:eastAsia="MS Mincho" w:hAnsi="Times New Roman"/>
        </w:rPr>
      </w:pPr>
    </w:p>
    <w:p w:rsidR="00F3670F" w:rsidRPr="00D04E46" w:rsidRDefault="00D04E46" w:rsidP="008C7AA2">
      <w:pPr>
        <w:widowControl/>
        <w:ind w:left="720"/>
        <w:rPr>
          <w:rFonts w:ascii="Times New Roman" w:hAnsi="Times New Roman"/>
          <w:u w:val="single"/>
        </w:rPr>
      </w:pPr>
      <w:r>
        <w:rPr>
          <w:rFonts w:ascii="Times New Roman" w:hAnsi="Times New Roman"/>
          <w:u w:val="single"/>
        </w:rPr>
        <w:t>Contract</w:t>
      </w:r>
    </w:p>
    <w:p w:rsidR="006440F3" w:rsidRDefault="00D04E46" w:rsidP="008C7AA2">
      <w:pPr>
        <w:widowControl/>
        <w:ind w:left="720"/>
        <w:rPr>
          <w:rFonts w:ascii="Times New Roman" w:hAnsi="Times New Roman"/>
        </w:rPr>
      </w:pPr>
      <w:r>
        <w:rPr>
          <w:rFonts w:ascii="Times New Roman" w:hAnsi="Times New Roman"/>
        </w:rPr>
        <w:t xml:space="preserve">The Department believes that </w:t>
      </w:r>
      <w:r w:rsidR="001C3781">
        <w:rPr>
          <w:rFonts w:ascii="Times New Roman" w:hAnsi="Times New Roman"/>
        </w:rPr>
        <w:t>F</w:t>
      </w:r>
      <w:r>
        <w:rPr>
          <w:rFonts w:ascii="Times New Roman" w:hAnsi="Times New Roman"/>
        </w:rPr>
        <w:t xml:space="preserve">inancial </w:t>
      </w:r>
      <w:r w:rsidR="001C3781">
        <w:rPr>
          <w:rFonts w:ascii="Times New Roman" w:hAnsi="Times New Roman"/>
        </w:rPr>
        <w:t>I</w:t>
      </w:r>
      <w:r>
        <w:rPr>
          <w:rFonts w:ascii="Times New Roman" w:hAnsi="Times New Roman"/>
        </w:rPr>
        <w:t xml:space="preserve">nstitutions already maintain contracts with their clients.  Therefore, the only burden associated with this requirement is legal review to adjust the existing contracts to conform to the </w:t>
      </w:r>
      <w:r w:rsidR="00E306C6">
        <w:rPr>
          <w:rFonts w:ascii="Times New Roman" w:hAnsi="Times New Roman"/>
        </w:rPr>
        <w:t xml:space="preserve">exemption’s </w:t>
      </w:r>
      <w:r>
        <w:rPr>
          <w:rFonts w:ascii="Times New Roman" w:hAnsi="Times New Roman"/>
        </w:rPr>
        <w:t>requirements.  This burden is discussed in the “Legal” section below.</w:t>
      </w:r>
    </w:p>
    <w:p w:rsidR="00EE2131" w:rsidRDefault="00EE2131" w:rsidP="008C7AA2">
      <w:pPr>
        <w:widowControl/>
        <w:ind w:left="720"/>
        <w:rPr>
          <w:rFonts w:ascii="Times New Roman" w:hAnsi="Times New Roman"/>
        </w:rPr>
      </w:pPr>
    </w:p>
    <w:p w:rsidR="00CA27E7" w:rsidRDefault="00CA27E7" w:rsidP="008C7AA2">
      <w:pPr>
        <w:widowControl/>
        <w:ind w:left="720"/>
        <w:rPr>
          <w:rFonts w:ascii="Times New Roman" w:hAnsi="Times New Roman"/>
          <w:u w:val="single"/>
        </w:rPr>
      </w:pPr>
      <w:r>
        <w:rPr>
          <w:rFonts w:ascii="Times New Roman" w:hAnsi="Times New Roman"/>
          <w:u w:val="single"/>
        </w:rPr>
        <w:t>Obtaining Price Quotes</w:t>
      </w:r>
    </w:p>
    <w:p w:rsidR="00CA27E7" w:rsidRDefault="00CA27E7" w:rsidP="008C7AA2">
      <w:pPr>
        <w:widowControl/>
        <w:ind w:left="720"/>
        <w:rPr>
          <w:rFonts w:ascii="Times New Roman" w:hAnsi="Times New Roman"/>
        </w:rPr>
      </w:pPr>
      <w:r>
        <w:rPr>
          <w:rFonts w:ascii="Times New Roman" w:hAnsi="Times New Roman"/>
        </w:rPr>
        <w:t>The Department assumes that obtaining</w:t>
      </w:r>
      <w:r w:rsidR="007528CB">
        <w:rPr>
          <w:rFonts w:ascii="Times New Roman" w:hAnsi="Times New Roman"/>
        </w:rPr>
        <w:t xml:space="preserve"> </w:t>
      </w:r>
      <w:r>
        <w:rPr>
          <w:rFonts w:ascii="Times New Roman" w:hAnsi="Times New Roman"/>
        </w:rPr>
        <w:t>price quotes is a regular and customary business practice, for which IT systems and protocols are already in place.  Therefore, the only burden associated with this requirement is</w:t>
      </w:r>
      <w:r w:rsidR="007528CB">
        <w:rPr>
          <w:rFonts w:ascii="Times New Roman" w:hAnsi="Times New Roman"/>
        </w:rPr>
        <w:t xml:space="preserve"> the</w:t>
      </w:r>
      <w:r w:rsidR="00C15213">
        <w:rPr>
          <w:rFonts w:ascii="Times New Roman" w:hAnsi="Times New Roman"/>
        </w:rPr>
        <w:t xml:space="preserve"> time necessary for </w:t>
      </w:r>
      <w:r>
        <w:rPr>
          <w:rFonts w:ascii="Times New Roman" w:hAnsi="Times New Roman"/>
        </w:rPr>
        <w:t>the financial manager to obtain the required two quotes per principal transaction.</w:t>
      </w:r>
    </w:p>
    <w:p w:rsidR="00676AF1" w:rsidRDefault="00676AF1" w:rsidP="008C7AA2">
      <w:pPr>
        <w:widowControl/>
        <w:ind w:left="720"/>
        <w:rPr>
          <w:rFonts w:ascii="Times New Roman" w:hAnsi="Times New Roman"/>
        </w:rPr>
      </w:pPr>
    </w:p>
    <w:p w:rsidR="00676AF1" w:rsidRPr="00CA27E7" w:rsidRDefault="00676AF1" w:rsidP="008C7AA2">
      <w:pPr>
        <w:widowControl/>
        <w:ind w:left="720"/>
        <w:rPr>
          <w:rFonts w:ascii="Times New Roman" w:hAnsi="Times New Roman"/>
        </w:rPr>
      </w:pPr>
      <w:r w:rsidRPr="00676AF1">
        <w:rPr>
          <w:rFonts w:ascii="Times New Roman" w:hAnsi="Times New Roman"/>
        </w:rPr>
        <w:t xml:space="preserve">The Department estimates that </w:t>
      </w:r>
      <w:r w:rsidR="001A241A">
        <w:rPr>
          <w:rFonts w:ascii="Times New Roman" w:hAnsi="Times New Roman"/>
        </w:rPr>
        <w:t>of plans</w:t>
      </w:r>
      <w:r w:rsidR="007528CB">
        <w:rPr>
          <w:rFonts w:ascii="Times New Roman" w:hAnsi="Times New Roman"/>
        </w:rPr>
        <w:t>, participant and beneficiary accounts</w:t>
      </w:r>
      <w:r w:rsidR="001A241A">
        <w:rPr>
          <w:rFonts w:ascii="Times New Roman" w:hAnsi="Times New Roman"/>
        </w:rPr>
        <w:t xml:space="preserve"> and IRAs that engage in principal transactions, </w:t>
      </w:r>
      <w:r w:rsidR="00C96110">
        <w:rPr>
          <w:rFonts w:ascii="Times New Roman" w:hAnsi="Times New Roman"/>
        </w:rPr>
        <w:t>DB plans, DC plans that do not allow participants to direct investments, and</w:t>
      </w:r>
      <w:r w:rsidR="00C643A4">
        <w:rPr>
          <w:rFonts w:ascii="Times New Roman" w:hAnsi="Times New Roman"/>
        </w:rPr>
        <w:t xml:space="preserve"> IRA</w:t>
      </w:r>
      <w:r w:rsidR="007528CB">
        <w:rPr>
          <w:rFonts w:ascii="Times New Roman" w:hAnsi="Times New Roman"/>
        </w:rPr>
        <w:t>s</w:t>
      </w:r>
      <w:r w:rsidR="00C643A4">
        <w:rPr>
          <w:rFonts w:ascii="Times New Roman" w:hAnsi="Times New Roman"/>
        </w:rPr>
        <w:t xml:space="preserve"> will engage in one principal transaction per year, requiring </w:t>
      </w:r>
      <w:r w:rsidRPr="00676AF1">
        <w:rPr>
          <w:rFonts w:ascii="Times New Roman" w:hAnsi="Times New Roman"/>
        </w:rPr>
        <w:t>a total of approximately 2,000 quotes annually</w:t>
      </w:r>
      <w:r w:rsidR="00C643A4">
        <w:rPr>
          <w:rFonts w:ascii="Times New Roman" w:hAnsi="Times New Roman"/>
        </w:rPr>
        <w:t xml:space="preserve"> for DB plans,</w:t>
      </w:r>
      <w:r w:rsidRPr="004D5A1F">
        <w:rPr>
          <w:rStyle w:val="FootnoteReference"/>
          <w:rFonts w:ascii="Times New Roman" w:hAnsi="Times New Roman"/>
          <w:vertAlign w:val="superscript"/>
        </w:rPr>
        <w:footnoteReference w:id="8"/>
      </w:r>
      <w:r w:rsidRPr="00676AF1">
        <w:rPr>
          <w:rFonts w:ascii="Times New Roman" w:hAnsi="Times New Roman"/>
        </w:rPr>
        <w:t xml:space="preserve"> </w:t>
      </w:r>
      <w:r w:rsidR="001B2F9D">
        <w:rPr>
          <w:rFonts w:ascii="Times New Roman" w:hAnsi="Times New Roman"/>
        </w:rPr>
        <w:t>6</w:t>
      </w:r>
      <w:r w:rsidR="00694421">
        <w:rPr>
          <w:rFonts w:ascii="Times New Roman" w:hAnsi="Times New Roman"/>
        </w:rPr>
        <w:t>,000 quotes annually for DC plans that do not allow participants to direct investments,</w:t>
      </w:r>
      <w:r w:rsidR="0046549A" w:rsidRPr="004D5A1F">
        <w:rPr>
          <w:rStyle w:val="FootnoteReference"/>
          <w:rFonts w:ascii="Times New Roman" w:hAnsi="Times New Roman"/>
          <w:vertAlign w:val="superscript"/>
        </w:rPr>
        <w:footnoteReference w:id="9"/>
      </w:r>
      <w:r w:rsidR="00694421">
        <w:rPr>
          <w:rFonts w:ascii="Times New Roman" w:hAnsi="Times New Roman"/>
        </w:rPr>
        <w:t xml:space="preserve"> and </w:t>
      </w:r>
      <w:r w:rsidR="00323523">
        <w:rPr>
          <w:rFonts w:ascii="Times New Roman" w:hAnsi="Times New Roman"/>
        </w:rPr>
        <w:t>4</w:t>
      </w:r>
      <w:r w:rsidR="00694421">
        <w:rPr>
          <w:rFonts w:ascii="Times New Roman" w:hAnsi="Times New Roman"/>
        </w:rPr>
        <w:t xml:space="preserve"> million quotes for IRA</w:t>
      </w:r>
      <w:r w:rsidR="0007492B">
        <w:rPr>
          <w:rFonts w:ascii="Times New Roman" w:hAnsi="Times New Roman"/>
        </w:rPr>
        <w:t>s</w:t>
      </w:r>
      <w:r w:rsidR="00694421">
        <w:rPr>
          <w:rFonts w:ascii="Times New Roman" w:hAnsi="Times New Roman"/>
        </w:rPr>
        <w:t>.</w:t>
      </w:r>
      <w:r w:rsidR="0007492B" w:rsidRPr="004D5A1F">
        <w:rPr>
          <w:rStyle w:val="FootnoteReference"/>
          <w:rFonts w:ascii="Times New Roman" w:hAnsi="Times New Roman"/>
          <w:vertAlign w:val="superscript"/>
        </w:rPr>
        <w:footnoteReference w:id="10"/>
      </w:r>
      <w:r w:rsidRPr="00676AF1">
        <w:rPr>
          <w:rFonts w:ascii="Times New Roman" w:hAnsi="Times New Roman"/>
        </w:rPr>
        <w:t xml:space="preserve">  The Department estimates that DC plan participants, who direct their own investments and obtain investment advice from fiduciaries, will engage in 12 principal transactions annually (one per month) requiring approximately </w:t>
      </w:r>
      <w:r w:rsidR="0028468D">
        <w:rPr>
          <w:rFonts w:ascii="Times New Roman" w:hAnsi="Times New Roman"/>
        </w:rPr>
        <w:t>261</w:t>
      </w:r>
      <w:r w:rsidRPr="00676AF1">
        <w:rPr>
          <w:rFonts w:ascii="Times New Roman" w:hAnsi="Times New Roman"/>
        </w:rPr>
        <w:t>,000 quotes.</w:t>
      </w:r>
      <w:r w:rsidR="0007492B" w:rsidRPr="004D5A1F">
        <w:rPr>
          <w:rStyle w:val="FootnoteReference"/>
          <w:rFonts w:ascii="Times New Roman" w:hAnsi="Times New Roman"/>
          <w:vertAlign w:val="superscript"/>
        </w:rPr>
        <w:footnoteReference w:id="11"/>
      </w:r>
      <w:r w:rsidR="003D128F">
        <w:rPr>
          <w:rFonts w:ascii="Times New Roman" w:hAnsi="Times New Roman"/>
        </w:rPr>
        <w:t xml:space="preserve">  In total, </w:t>
      </w:r>
      <w:r w:rsidR="001C3781">
        <w:rPr>
          <w:rFonts w:ascii="Times New Roman" w:hAnsi="Times New Roman"/>
        </w:rPr>
        <w:t>F</w:t>
      </w:r>
      <w:r w:rsidR="003D128F">
        <w:rPr>
          <w:rFonts w:ascii="Times New Roman" w:hAnsi="Times New Roman"/>
        </w:rPr>
        <w:t xml:space="preserve">inancial </w:t>
      </w:r>
      <w:r w:rsidR="001C3781">
        <w:rPr>
          <w:rFonts w:ascii="Times New Roman" w:hAnsi="Times New Roman"/>
        </w:rPr>
        <w:t>I</w:t>
      </w:r>
      <w:r w:rsidR="003D128F">
        <w:rPr>
          <w:rFonts w:ascii="Times New Roman" w:hAnsi="Times New Roman"/>
        </w:rPr>
        <w:t xml:space="preserve">nstitutions will obtain </w:t>
      </w:r>
      <w:r w:rsidR="00B87BEC">
        <w:rPr>
          <w:rFonts w:ascii="Times New Roman" w:hAnsi="Times New Roman"/>
        </w:rPr>
        <w:t>4.</w:t>
      </w:r>
      <w:r w:rsidR="0028468D">
        <w:rPr>
          <w:rFonts w:ascii="Times New Roman" w:hAnsi="Times New Roman"/>
        </w:rPr>
        <w:t>3</w:t>
      </w:r>
      <w:r w:rsidR="003D128F">
        <w:rPr>
          <w:rFonts w:ascii="Times New Roman" w:hAnsi="Times New Roman"/>
        </w:rPr>
        <w:t xml:space="preserve"> million quotes on behalf of their clients.  The </w:t>
      </w:r>
      <w:r w:rsidR="004C426A">
        <w:rPr>
          <w:rFonts w:ascii="Times New Roman" w:hAnsi="Times New Roman"/>
        </w:rPr>
        <w:t xml:space="preserve">Department estimates that it will take 5 minutes of a financial manager’s time to obtain each quote.  Therefore, the total annual burden for obtaining price quotes is </w:t>
      </w:r>
      <w:r w:rsidR="00B87BEC">
        <w:rPr>
          <w:rFonts w:ascii="Times New Roman" w:hAnsi="Times New Roman"/>
        </w:rPr>
        <w:t>3</w:t>
      </w:r>
      <w:r w:rsidR="008C6970">
        <w:rPr>
          <w:rFonts w:ascii="Times New Roman" w:hAnsi="Times New Roman"/>
        </w:rPr>
        <w:t>59</w:t>
      </w:r>
      <w:r w:rsidR="004C426A">
        <w:rPr>
          <w:rFonts w:ascii="Times New Roman" w:hAnsi="Times New Roman"/>
        </w:rPr>
        <w:t>,000 hours.</w:t>
      </w:r>
      <w:r w:rsidR="00FE2A5A" w:rsidRPr="004D5A1F">
        <w:rPr>
          <w:rStyle w:val="FootnoteReference"/>
          <w:rFonts w:ascii="Times New Roman" w:hAnsi="Times New Roman"/>
          <w:vertAlign w:val="superscript"/>
        </w:rPr>
        <w:footnoteReference w:id="12"/>
      </w:r>
      <w:r w:rsidR="004C426A">
        <w:rPr>
          <w:rFonts w:ascii="Times New Roman" w:hAnsi="Times New Roman"/>
        </w:rPr>
        <w:t xml:space="preserve">  At an hourly wage rate of $12</w:t>
      </w:r>
      <w:r w:rsidR="008C6970">
        <w:rPr>
          <w:rFonts w:ascii="Times New Roman" w:hAnsi="Times New Roman"/>
        </w:rPr>
        <w:t>5.95</w:t>
      </w:r>
      <w:r w:rsidR="002C22D7" w:rsidRPr="004D5A1F">
        <w:rPr>
          <w:rStyle w:val="FootnoteReference"/>
          <w:rFonts w:ascii="Times New Roman" w:hAnsi="Times New Roman"/>
          <w:vertAlign w:val="superscript"/>
        </w:rPr>
        <w:footnoteReference w:id="13"/>
      </w:r>
      <w:r w:rsidR="004C426A">
        <w:rPr>
          <w:rFonts w:ascii="Times New Roman" w:hAnsi="Times New Roman"/>
        </w:rPr>
        <w:t xml:space="preserve"> this result in an equivalent cost of $</w:t>
      </w:r>
      <w:r w:rsidR="003C301A">
        <w:rPr>
          <w:rFonts w:ascii="Times New Roman" w:hAnsi="Times New Roman"/>
        </w:rPr>
        <w:t>45.</w:t>
      </w:r>
      <w:r w:rsidR="00B93CE2">
        <w:rPr>
          <w:rFonts w:ascii="Times New Roman" w:hAnsi="Times New Roman"/>
        </w:rPr>
        <w:t>2</w:t>
      </w:r>
      <w:r w:rsidR="004C426A">
        <w:rPr>
          <w:rFonts w:ascii="Times New Roman" w:hAnsi="Times New Roman"/>
        </w:rPr>
        <w:t xml:space="preserve"> million annually.</w:t>
      </w:r>
      <w:r w:rsidR="00D52364" w:rsidRPr="004D5A1F">
        <w:rPr>
          <w:rStyle w:val="FootnoteReference"/>
          <w:rFonts w:ascii="Times New Roman" w:hAnsi="Times New Roman"/>
          <w:vertAlign w:val="superscript"/>
        </w:rPr>
        <w:footnoteReference w:id="14"/>
      </w:r>
    </w:p>
    <w:p w:rsidR="00CA27E7" w:rsidRDefault="00CA27E7" w:rsidP="008C7AA2">
      <w:pPr>
        <w:widowControl/>
        <w:ind w:left="720"/>
        <w:rPr>
          <w:rFonts w:ascii="Times New Roman" w:hAnsi="Times New Roman"/>
          <w:u w:val="single"/>
        </w:rPr>
      </w:pPr>
    </w:p>
    <w:p w:rsidR="00EE2131" w:rsidRDefault="00256A19" w:rsidP="008C7AA2">
      <w:pPr>
        <w:widowControl/>
        <w:ind w:left="720"/>
        <w:rPr>
          <w:rFonts w:ascii="Times New Roman" w:hAnsi="Times New Roman"/>
          <w:u w:val="single"/>
        </w:rPr>
      </w:pPr>
      <w:r>
        <w:rPr>
          <w:rFonts w:ascii="Times New Roman" w:hAnsi="Times New Roman"/>
          <w:u w:val="single"/>
        </w:rPr>
        <w:t>Disclosures</w:t>
      </w:r>
    </w:p>
    <w:p w:rsidR="00256A19" w:rsidRDefault="00FA43FE" w:rsidP="008C7AA2">
      <w:pPr>
        <w:widowControl/>
        <w:ind w:left="720"/>
        <w:rPr>
          <w:rFonts w:ascii="Times New Roman" w:hAnsi="Times New Roman"/>
        </w:rPr>
      </w:pPr>
      <w:r>
        <w:rPr>
          <w:rFonts w:ascii="Times New Roman" w:hAnsi="Times New Roman"/>
        </w:rPr>
        <w:t xml:space="preserve">The Department believes that </w:t>
      </w:r>
      <w:r w:rsidR="00256A19">
        <w:rPr>
          <w:rFonts w:ascii="Times New Roman" w:hAnsi="Times New Roman"/>
        </w:rPr>
        <w:t xml:space="preserve">all </w:t>
      </w:r>
      <w:r w:rsidR="001C3781">
        <w:rPr>
          <w:rFonts w:ascii="Times New Roman" w:hAnsi="Times New Roman"/>
        </w:rPr>
        <w:t>F</w:t>
      </w:r>
      <w:r w:rsidR="00256A19">
        <w:rPr>
          <w:rFonts w:ascii="Times New Roman" w:hAnsi="Times New Roman"/>
        </w:rPr>
        <w:t xml:space="preserve">inancial </w:t>
      </w:r>
      <w:r w:rsidR="001C3781">
        <w:rPr>
          <w:rFonts w:ascii="Times New Roman" w:hAnsi="Times New Roman"/>
        </w:rPr>
        <w:t>I</w:t>
      </w:r>
      <w:r w:rsidR="00256A19">
        <w:rPr>
          <w:rFonts w:ascii="Times New Roman" w:hAnsi="Times New Roman"/>
        </w:rPr>
        <w:t>nstitutions will opt to give the required price quote</w:t>
      </w:r>
      <w:r w:rsidR="000119A5">
        <w:rPr>
          <w:rFonts w:ascii="Times New Roman" w:hAnsi="Times New Roman"/>
        </w:rPr>
        <w:t>,</w:t>
      </w:r>
      <w:r w:rsidR="00256A19">
        <w:rPr>
          <w:rFonts w:ascii="Times New Roman" w:hAnsi="Times New Roman"/>
        </w:rPr>
        <w:t xml:space="preserve"> pre-transaction</w:t>
      </w:r>
      <w:r w:rsidR="000119A5">
        <w:rPr>
          <w:rFonts w:ascii="Times New Roman" w:hAnsi="Times New Roman"/>
        </w:rPr>
        <w:t>, and on-demand transaction history</w:t>
      </w:r>
      <w:r w:rsidR="00256A19">
        <w:rPr>
          <w:rFonts w:ascii="Times New Roman" w:hAnsi="Times New Roman"/>
        </w:rPr>
        <w:t xml:space="preserve"> disclosures orally.  This will result in </w:t>
      </w:r>
      <w:r w:rsidR="00FC5AF1">
        <w:rPr>
          <w:rFonts w:ascii="Times New Roman" w:hAnsi="Times New Roman"/>
        </w:rPr>
        <w:t>no additional</w:t>
      </w:r>
      <w:r w:rsidR="00256A19">
        <w:rPr>
          <w:rFonts w:ascii="Times New Roman" w:hAnsi="Times New Roman"/>
        </w:rPr>
        <w:t xml:space="preserve"> burden.</w:t>
      </w:r>
    </w:p>
    <w:p w:rsidR="000119A5" w:rsidRDefault="000119A5" w:rsidP="008C7AA2">
      <w:pPr>
        <w:widowControl/>
        <w:ind w:left="720"/>
        <w:rPr>
          <w:rFonts w:ascii="Times New Roman" w:hAnsi="Times New Roman"/>
        </w:rPr>
      </w:pPr>
    </w:p>
    <w:p w:rsidR="00C15213" w:rsidRDefault="00C15213" w:rsidP="008C7AA2">
      <w:pPr>
        <w:widowControl/>
        <w:ind w:left="720"/>
        <w:rPr>
          <w:rFonts w:ascii="Times New Roman" w:hAnsi="Times New Roman"/>
          <w:u w:val="single"/>
        </w:rPr>
      </w:pPr>
      <w:r>
        <w:rPr>
          <w:rFonts w:ascii="Times New Roman" w:hAnsi="Times New Roman"/>
          <w:u w:val="single"/>
        </w:rPr>
        <w:t>Confirmation</w:t>
      </w:r>
    </w:p>
    <w:p w:rsidR="000119A5" w:rsidRDefault="0009166F" w:rsidP="008C7AA2">
      <w:pPr>
        <w:widowControl/>
        <w:ind w:left="720"/>
        <w:rPr>
          <w:rFonts w:ascii="Times New Roman" w:hAnsi="Times New Roman"/>
        </w:rPr>
      </w:pPr>
      <w:r>
        <w:rPr>
          <w:rFonts w:ascii="Times New Roman" w:hAnsi="Times New Roman"/>
        </w:rPr>
        <w:t>The Department believes that providing confirmation notices upon completion of transactions is a regular and customary business practice.  Therefore, no burden is assessed in connection with the confirmation notice requirement.</w:t>
      </w:r>
    </w:p>
    <w:p w:rsidR="0009166F" w:rsidRDefault="0009166F" w:rsidP="008C7AA2">
      <w:pPr>
        <w:widowControl/>
        <w:ind w:left="720"/>
        <w:rPr>
          <w:rFonts w:ascii="Times New Roman" w:hAnsi="Times New Roman"/>
        </w:rPr>
      </w:pPr>
    </w:p>
    <w:p w:rsidR="00657E1F" w:rsidRDefault="00FF7350" w:rsidP="008C7AA2">
      <w:pPr>
        <w:widowControl/>
        <w:ind w:left="720"/>
        <w:rPr>
          <w:rFonts w:ascii="Times New Roman" w:hAnsi="Times New Roman"/>
        </w:rPr>
      </w:pPr>
      <w:r>
        <w:rPr>
          <w:rFonts w:ascii="Times New Roman" w:hAnsi="Times New Roman"/>
          <w:u w:val="single"/>
        </w:rPr>
        <w:t>Annual Statement</w:t>
      </w:r>
    </w:p>
    <w:p w:rsidR="00283DF2" w:rsidRDefault="00283DF2" w:rsidP="00283DF2">
      <w:pPr>
        <w:widowControl/>
        <w:ind w:left="720"/>
        <w:rPr>
          <w:rFonts w:ascii="Times New Roman" w:hAnsi="Times New Roman"/>
        </w:rPr>
      </w:pPr>
      <w:r>
        <w:rPr>
          <w:rFonts w:ascii="Times New Roman" w:hAnsi="Times New Roman"/>
        </w:rPr>
        <w:t>The Department believes that th</w:t>
      </w:r>
      <w:r w:rsidR="00181389">
        <w:rPr>
          <w:rFonts w:ascii="Times New Roman" w:hAnsi="Times New Roman"/>
        </w:rPr>
        <w:t>e only burden resulting from this requirement is clerical staff time to produce and distribute the statements</w:t>
      </w:r>
      <w:r>
        <w:rPr>
          <w:rFonts w:ascii="Times New Roman" w:hAnsi="Times New Roman"/>
        </w:rPr>
        <w:t>.</w:t>
      </w:r>
    </w:p>
    <w:p w:rsidR="00FF7350" w:rsidRDefault="00FF7350" w:rsidP="008C7AA2">
      <w:pPr>
        <w:widowControl/>
        <w:ind w:left="720"/>
        <w:rPr>
          <w:rFonts w:ascii="Times New Roman" w:hAnsi="Times New Roman"/>
        </w:rPr>
      </w:pPr>
    </w:p>
    <w:p w:rsidR="00BC098D" w:rsidRDefault="00BC098D" w:rsidP="0082305C">
      <w:pPr>
        <w:ind w:left="720"/>
        <w:rPr>
          <w:rFonts w:ascii="Times New Roman" w:hAnsi="Times New Roman"/>
        </w:rPr>
      </w:pPr>
      <w:r>
        <w:rPr>
          <w:rFonts w:ascii="Times New Roman" w:hAnsi="Times New Roman"/>
        </w:rPr>
        <w:t xml:space="preserve">As discussed previously, </w:t>
      </w:r>
      <w:r w:rsidR="00181389">
        <w:rPr>
          <w:rFonts w:ascii="Times New Roman" w:hAnsi="Times New Roman"/>
        </w:rPr>
        <w:t xml:space="preserve">the Department estimates that approximately 900 DB plans, </w:t>
      </w:r>
      <w:r w:rsidR="00B93CE2">
        <w:rPr>
          <w:rFonts w:ascii="Times New Roman" w:hAnsi="Times New Roman"/>
        </w:rPr>
        <w:t>3</w:t>
      </w:r>
      <w:r w:rsidR="00181389">
        <w:rPr>
          <w:rFonts w:ascii="Times New Roman" w:hAnsi="Times New Roman"/>
        </w:rPr>
        <w:t>,000 DC plans that do not allow participants to direct investments, 1</w:t>
      </w:r>
      <w:r w:rsidR="00B93CE2">
        <w:rPr>
          <w:rFonts w:ascii="Times New Roman" w:hAnsi="Times New Roman"/>
        </w:rPr>
        <w:t>1</w:t>
      </w:r>
      <w:r w:rsidR="00181389">
        <w:rPr>
          <w:rFonts w:ascii="Times New Roman" w:hAnsi="Times New Roman"/>
        </w:rPr>
        <w:t xml:space="preserve">,000 DC plan participants, and </w:t>
      </w:r>
      <w:r w:rsidR="003C301A">
        <w:rPr>
          <w:rFonts w:ascii="Times New Roman" w:hAnsi="Times New Roman"/>
        </w:rPr>
        <w:t>2 million</w:t>
      </w:r>
      <w:r w:rsidR="00181389">
        <w:rPr>
          <w:rFonts w:ascii="Times New Roman" w:hAnsi="Times New Roman"/>
        </w:rPr>
        <w:t xml:space="preserve"> IRA holders will engage in transactions covered under this exemption.</w:t>
      </w:r>
    </w:p>
    <w:p w:rsidR="007D625F" w:rsidRDefault="007D625F" w:rsidP="008C7AA2">
      <w:pPr>
        <w:widowControl/>
        <w:ind w:left="720"/>
        <w:rPr>
          <w:rFonts w:ascii="Times New Roman" w:hAnsi="Times New Roman"/>
        </w:rPr>
      </w:pPr>
    </w:p>
    <w:p w:rsidR="007D625F" w:rsidRDefault="007D625F" w:rsidP="008C7AA2">
      <w:pPr>
        <w:widowControl/>
        <w:ind w:left="720"/>
        <w:rPr>
          <w:rFonts w:ascii="Times New Roman" w:hAnsi="Times New Roman"/>
        </w:rPr>
      </w:pPr>
      <w:r>
        <w:rPr>
          <w:rFonts w:ascii="Times New Roman" w:hAnsi="Times New Roman"/>
        </w:rPr>
        <w:t>The Department assumes that annual statements for DB plans and DC plans that do not allow participants to direct investments will be produced and disseminated all electronically at no additional burden.</w:t>
      </w:r>
    </w:p>
    <w:p w:rsidR="00622521" w:rsidRDefault="00622521" w:rsidP="008C7AA2">
      <w:pPr>
        <w:widowControl/>
        <w:ind w:left="720"/>
        <w:rPr>
          <w:rFonts w:ascii="Times New Roman" w:hAnsi="Times New Roman"/>
        </w:rPr>
      </w:pPr>
    </w:p>
    <w:p w:rsidR="00622521" w:rsidRDefault="00622521" w:rsidP="008C7AA2">
      <w:pPr>
        <w:widowControl/>
        <w:ind w:left="720"/>
        <w:rPr>
          <w:rFonts w:ascii="Times New Roman" w:hAnsi="Times New Roman"/>
        </w:rPr>
      </w:pPr>
      <w:r>
        <w:rPr>
          <w:rFonts w:ascii="Times New Roman" w:hAnsi="Times New Roman"/>
        </w:rPr>
        <w:t xml:space="preserve">The Department estimates that 38 percent of the </w:t>
      </w:r>
      <w:r w:rsidR="0082305C">
        <w:rPr>
          <w:rFonts w:ascii="Times New Roman" w:hAnsi="Times New Roman"/>
        </w:rPr>
        <w:t>1</w:t>
      </w:r>
      <w:r w:rsidR="00B93CE2">
        <w:rPr>
          <w:rFonts w:ascii="Times New Roman" w:hAnsi="Times New Roman"/>
        </w:rPr>
        <w:t>1</w:t>
      </w:r>
      <w:r w:rsidR="0082305C">
        <w:rPr>
          <w:rFonts w:ascii="Times New Roman" w:hAnsi="Times New Roman"/>
        </w:rPr>
        <w:t>,000</w:t>
      </w:r>
      <w:r>
        <w:rPr>
          <w:rFonts w:ascii="Times New Roman" w:hAnsi="Times New Roman"/>
        </w:rPr>
        <w:t xml:space="preserve"> DC plan participant annual statements will be distributed electronically at no additional burden and the remaining 62 percent </w:t>
      </w:r>
      <w:r w:rsidR="00984598">
        <w:rPr>
          <w:rFonts w:ascii="Times New Roman" w:hAnsi="Times New Roman"/>
        </w:rPr>
        <w:t>(</w:t>
      </w:r>
      <w:r w:rsidR="005869AC">
        <w:rPr>
          <w:rFonts w:ascii="Times New Roman" w:hAnsi="Times New Roman"/>
        </w:rPr>
        <w:t>7</w:t>
      </w:r>
      <w:r w:rsidR="00984598">
        <w:rPr>
          <w:rFonts w:ascii="Times New Roman" w:hAnsi="Times New Roman"/>
        </w:rPr>
        <w:t xml:space="preserve">,000) </w:t>
      </w:r>
      <w:r>
        <w:rPr>
          <w:rFonts w:ascii="Times New Roman" w:hAnsi="Times New Roman"/>
        </w:rPr>
        <w:t>will be mailed</w:t>
      </w:r>
      <w:r w:rsidR="00B212CF">
        <w:rPr>
          <w:rFonts w:ascii="Times New Roman" w:hAnsi="Times New Roman"/>
        </w:rPr>
        <w:t>, requiring two minutes of clerical time</w:t>
      </w:r>
      <w:r>
        <w:rPr>
          <w:rFonts w:ascii="Times New Roman" w:hAnsi="Times New Roman"/>
        </w:rPr>
        <w:t xml:space="preserve"> per disclosure.  For the </w:t>
      </w:r>
      <w:r w:rsidR="003C301A">
        <w:rPr>
          <w:rFonts w:ascii="Times New Roman" w:hAnsi="Times New Roman"/>
        </w:rPr>
        <w:t>2 million</w:t>
      </w:r>
      <w:r>
        <w:rPr>
          <w:rFonts w:ascii="Times New Roman" w:hAnsi="Times New Roman"/>
        </w:rPr>
        <w:t xml:space="preserve"> IRA annual statements, the Department e</w:t>
      </w:r>
      <w:r w:rsidR="00B212CF">
        <w:rPr>
          <w:rFonts w:ascii="Times New Roman" w:hAnsi="Times New Roman"/>
        </w:rPr>
        <w:t xml:space="preserve">stimates that 50 percent will be distributed electronically at no additional burden and the remaining 50 percent </w:t>
      </w:r>
      <w:r w:rsidR="00984598">
        <w:rPr>
          <w:rFonts w:ascii="Times New Roman" w:hAnsi="Times New Roman"/>
        </w:rPr>
        <w:t>(</w:t>
      </w:r>
      <w:r w:rsidR="003C301A">
        <w:rPr>
          <w:rFonts w:ascii="Times New Roman" w:hAnsi="Times New Roman"/>
        </w:rPr>
        <w:t>1 million</w:t>
      </w:r>
      <w:r w:rsidR="00984598">
        <w:rPr>
          <w:rFonts w:ascii="Times New Roman" w:hAnsi="Times New Roman"/>
        </w:rPr>
        <w:t xml:space="preserve">) </w:t>
      </w:r>
      <w:r w:rsidR="00B212CF">
        <w:rPr>
          <w:rFonts w:ascii="Times New Roman" w:hAnsi="Times New Roman"/>
        </w:rPr>
        <w:t>will be mailed, requiring two minutes of clerical time per disclosure.</w:t>
      </w:r>
    </w:p>
    <w:p w:rsidR="00984598" w:rsidRDefault="00984598" w:rsidP="008C7AA2">
      <w:pPr>
        <w:widowControl/>
        <w:ind w:left="720"/>
        <w:rPr>
          <w:rFonts w:ascii="Times New Roman" w:hAnsi="Times New Roman"/>
        </w:rPr>
      </w:pPr>
    </w:p>
    <w:p w:rsidR="00984598" w:rsidRDefault="00984598" w:rsidP="008C7AA2">
      <w:pPr>
        <w:widowControl/>
        <w:ind w:left="720"/>
        <w:rPr>
          <w:rFonts w:ascii="Times New Roman" w:hAnsi="Times New Roman"/>
        </w:rPr>
      </w:pPr>
      <w:r>
        <w:rPr>
          <w:rFonts w:ascii="Times New Roman" w:hAnsi="Times New Roman"/>
        </w:rPr>
        <w:t xml:space="preserve">In total, printing and mailing these paper </w:t>
      </w:r>
      <w:r w:rsidR="00234C7A">
        <w:rPr>
          <w:rFonts w:ascii="Times New Roman" w:hAnsi="Times New Roman"/>
        </w:rPr>
        <w:t>statements</w:t>
      </w:r>
      <w:r>
        <w:rPr>
          <w:rFonts w:ascii="Times New Roman" w:hAnsi="Times New Roman"/>
        </w:rPr>
        <w:t xml:space="preserve"> will produce approximately </w:t>
      </w:r>
      <w:r w:rsidR="005459DF">
        <w:rPr>
          <w:rFonts w:ascii="Times New Roman" w:hAnsi="Times New Roman"/>
        </w:rPr>
        <w:t>3</w:t>
      </w:r>
      <w:r w:rsidR="005869AC">
        <w:rPr>
          <w:rFonts w:ascii="Times New Roman" w:hAnsi="Times New Roman"/>
        </w:rPr>
        <w:t>4</w:t>
      </w:r>
      <w:r>
        <w:rPr>
          <w:rFonts w:ascii="Times New Roman" w:hAnsi="Times New Roman"/>
        </w:rPr>
        <w:t>,000 hours of clerical burden.</w:t>
      </w:r>
      <w:r w:rsidR="00A8441D" w:rsidRPr="004D5A1F">
        <w:rPr>
          <w:rStyle w:val="FootnoteReference"/>
          <w:rFonts w:ascii="Times New Roman" w:hAnsi="Times New Roman"/>
          <w:vertAlign w:val="superscript"/>
        </w:rPr>
        <w:footnoteReference w:id="15"/>
      </w:r>
      <w:r>
        <w:rPr>
          <w:rFonts w:ascii="Times New Roman" w:hAnsi="Times New Roman"/>
        </w:rPr>
        <w:t xml:space="preserve">  At an hourly wage rate of $</w:t>
      </w:r>
      <w:r w:rsidR="005869AC">
        <w:rPr>
          <w:rFonts w:ascii="Times New Roman" w:hAnsi="Times New Roman"/>
        </w:rPr>
        <w:t>30.42</w:t>
      </w:r>
      <w:r>
        <w:rPr>
          <w:rFonts w:ascii="Times New Roman" w:hAnsi="Times New Roman"/>
        </w:rPr>
        <w:t>,</w:t>
      </w:r>
      <w:r w:rsidR="00F90C32" w:rsidRPr="004D5A1F">
        <w:rPr>
          <w:rStyle w:val="FootnoteReference"/>
          <w:rFonts w:ascii="Times New Roman" w:hAnsi="Times New Roman"/>
          <w:vertAlign w:val="superscript"/>
        </w:rPr>
        <w:footnoteReference w:id="16"/>
      </w:r>
      <w:r>
        <w:rPr>
          <w:rFonts w:ascii="Times New Roman" w:hAnsi="Times New Roman"/>
        </w:rPr>
        <w:t xml:space="preserve"> this produces an equivalent cost of $</w:t>
      </w:r>
      <w:r w:rsidR="005459DF">
        <w:rPr>
          <w:rFonts w:ascii="Times New Roman" w:hAnsi="Times New Roman"/>
        </w:rPr>
        <w:t>1 million</w:t>
      </w:r>
      <w:r>
        <w:rPr>
          <w:rFonts w:ascii="Times New Roman" w:hAnsi="Times New Roman"/>
        </w:rPr>
        <w:t>.</w:t>
      </w:r>
      <w:r w:rsidR="003E2DF5" w:rsidRPr="004D5A1F">
        <w:rPr>
          <w:rStyle w:val="FootnoteReference"/>
          <w:rFonts w:ascii="Times New Roman" w:hAnsi="Times New Roman"/>
          <w:vertAlign w:val="superscript"/>
        </w:rPr>
        <w:footnoteReference w:id="17"/>
      </w:r>
    </w:p>
    <w:p w:rsidR="008D7ED8" w:rsidRDefault="008D7ED8" w:rsidP="00E97FA3">
      <w:pPr>
        <w:widowControl/>
        <w:ind w:left="720"/>
        <w:rPr>
          <w:rFonts w:ascii="Times New Roman" w:hAnsi="Times New Roman"/>
        </w:rPr>
      </w:pPr>
    </w:p>
    <w:p w:rsidR="008D7ED8" w:rsidRDefault="008D7ED8" w:rsidP="00E97FA3">
      <w:pPr>
        <w:widowControl/>
        <w:ind w:left="720"/>
        <w:rPr>
          <w:rFonts w:ascii="Times New Roman" w:hAnsi="Times New Roman"/>
          <w:u w:val="single"/>
        </w:rPr>
      </w:pPr>
      <w:r>
        <w:rPr>
          <w:rFonts w:ascii="Times New Roman" w:hAnsi="Times New Roman"/>
          <w:u w:val="single"/>
        </w:rPr>
        <w:t>Recordkeeping</w:t>
      </w:r>
    </w:p>
    <w:p w:rsidR="0021698D" w:rsidRDefault="002A36A8" w:rsidP="005F33D3">
      <w:pPr>
        <w:widowControl/>
        <w:ind w:left="720"/>
        <w:rPr>
          <w:rFonts w:ascii="Times New Roman" w:hAnsi="Times New Roman"/>
        </w:rPr>
      </w:pPr>
      <w:r>
        <w:rPr>
          <w:rFonts w:ascii="Times New Roman" w:hAnsi="Times New Roman"/>
        </w:rPr>
        <w:t xml:space="preserve">Financial </w:t>
      </w:r>
      <w:r w:rsidR="000F6241">
        <w:rPr>
          <w:rFonts w:ascii="Times New Roman" w:hAnsi="Times New Roman"/>
        </w:rPr>
        <w:t>I</w:t>
      </w:r>
      <w:r>
        <w:rPr>
          <w:rFonts w:ascii="Times New Roman" w:hAnsi="Times New Roman"/>
        </w:rPr>
        <w:t>nstitutions are required to maintain records to demonstrate compliance with the exemption.</w:t>
      </w:r>
      <w:r w:rsidR="00B30F7E">
        <w:rPr>
          <w:rFonts w:ascii="Times New Roman" w:hAnsi="Times New Roman"/>
        </w:rPr>
        <w:t xml:space="preserve">  The Department assumes that maintaining records is a regular and customary business practice</w:t>
      </w:r>
      <w:r w:rsidR="00604BF2">
        <w:rPr>
          <w:rFonts w:ascii="Times New Roman" w:hAnsi="Times New Roman"/>
        </w:rPr>
        <w:t>.</w:t>
      </w:r>
      <w:r w:rsidR="00B30F7E">
        <w:rPr>
          <w:rFonts w:ascii="Times New Roman" w:hAnsi="Times New Roman"/>
        </w:rPr>
        <w:t xml:space="preserve">  </w:t>
      </w:r>
      <w:r w:rsidR="005F33D3" w:rsidRPr="002A36A8">
        <w:rPr>
          <w:rFonts w:ascii="Times New Roman" w:hAnsi="Times New Roman"/>
        </w:rPr>
        <w:t>Therefore, the Department has estimated that the additional time needed to maintain records consistent with the exemption will only require about one-half hour, on average, annually for a financial manager to organize and collate the documents, and an additional 15 minutes of clerical time to make the documents available for inspection</w:t>
      </w:r>
      <w:r w:rsidR="00B902DD">
        <w:rPr>
          <w:rFonts w:ascii="Times New Roman" w:hAnsi="Times New Roman"/>
        </w:rPr>
        <w:t xml:space="preserve"> during normal business hours.</w:t>
      </w:r>
    </w:p>
    <w:p w:rsidR="0021698D" w:rsidRDefault="0021698D" w:rsidP="005F33D3">
      <w:pPr>
        <w:widowControl/>
        <w:ind w:left="720"/>
        <w:rPr>
          <w:rFonts w:ascii="Times New Roman" w:hAnsi="Times New Roman"/>
        </w:rPr>
      </w:pPr>
    </w:p>
    <w:p w:rsidR="008D7ED8" w:rsidRPr="002A36A8" w:rsidRDefault="00370538" w:rsidP="005F33D3">
      <w:pPr>
        <w:widowControl/>
        <w:ind w:left="720"/>
        <w:rPr>
          <w:rFonts w:ascii="Times New Roman" w:hAnsi="Times New Roman"/>
        </w:rPr>
      </w:pPr>
      <w:r>
        <w:rPr>
          <w:rFonts w:ascii="Times New Roman" w:hAnsi="Times New Roman"/>
        </w:rPr>
        <w:t>Th</w:t>
      </w:r>
      <w:r w:rsidR="0021698D">
        <w:rPr>
          <w:rFonts w:ascii="Times New Roman" w:hAnsi="Times New Roman"/>
        </w:rPr>
        <w:t xml:space="preserve">e Department estimates that approximately 2,800 </w:t>
      </w:r>
      <w:r w:rsidR="00AA783F">
        <w:rPr>
          <w:rFonts w:ascii="Times New Roman" w:hAnsi="Times New Roman"/>
        </w:rPr>
        <w:t>F</w:t>
      </w:r>
      <w:r w:rsidR="0021698D">
        <w:rPr>
          <w:rFonts w:ascii="Times New Roman" w:hAnsi="Times New Roman"/>
        </w:rPr>
        <w:t xml:space="preserve">inancial </w:t>
      </w:r>
      <w:r w:rsidR="00AA783F">
        <w:rPr>
          <w:rFonts w:ascii="Times New Roman" w:hAnsi="Times New Roman"/>
        </w:rPr>
        <w:t>I</w:t>
      </w:r>
      <w:r w:rsidR="0021698D">
        <w:rPr>
          <w:rFonts w:ascii="Times New Roman" w:hAnsi="Times New Roman"/>
        </w:rPr>
        <w:t xml:space="preserve">nstitutions will utilize the exemption and be required to maintain records.  </w:t>
      </w:r>
      <w:r w:rsidR="005F33D3" w:rsidRPr="002A36A8">
        <w:rPr>
          <w:rFonts w:ascii="Times New Roman" w:hAnsi="Times New Roman"/>
        </w:rPr>
        <w:t xml:space="preserve">Thus, the Department estimates that a total of </w:t>
      </w:r>
      <w:r w:rsidR="003F39BE">
        <w:rPr>
          <w:rFonts w:ascii="Times New Roman" w:hAnsi="Times New Roman"/>
        </w:rPr>
        <w:t>approximately 700 hours of clerical time</w:t>
      </w:r>
      <w:r w:rsidR="00DF78C8" w:rsidRPr="004D5A1F">
        <w:rPr>
          <w:rStyle w:val="FootnoteReference"/>
          <w:rFonts w:ascii="Times New Roman" w:hAnsi="Times New Roman"/>
          <w:vertAlign w:val="superscript"/>
        </w:rPr>
        <w:footnoteReference w:id="18"/>
      </w:r>
      <w:r w:rsidR="003F39BE">
        <w:rPr>
          <w:rFonts w:ascii="Times New Roman" w:hAnsi="Times New Roman"/>
        </w:rPr>
        <w:t xml:space="preserve"> and 1,400 </w:t>
      </w:r>
      <w:r w:rsidR="00D71EE1">
        <w:rPr>
          <w:rFonts w:ascii="Times New Roman" w:hAnsi="Times New Roman"/>
        </w:rPr>
        <w:t>hours of financial manager time</w:t>
      </w:r>
      <w:r w:rsidR="00DF78C8" w:rsidRPr="004D5A1F">
        <w:rPr>
          <w:rStyle w:val="FootnoteReference"/>
          <w:rFonts w:ascii="Times New Roman" w:hAnsi="Times New Roman"/>
          <w:vertAlign w:val="superscript"/>
        </w:rPr>
        <w:footnoteReference w:id="19"/>
      </w:r>
      <w:r w:rsidR="00D71EE1">
        <w:rPr>
          <w:rFonts w:ascii="Times New Roman" w:hAnsi="Times New Roman"/>
        </w:rPr>
        <w:t xml:space="preserve"> result from this requirement.  At an hourly wage rate of $</w:t>
      </w:r>
      <w:r w:rsidR="008A6413">
        <w:rPr>
          <w:rFonts w:ascii="Times New Roman" w:hAnsi="Times New Roman"/>
        </w:rPr>
        <w:t>30.42</w:t>
      </w:r>
      <w:r w:rsidR="00D71EE1">
        <w:rPr>
          <w:rFonts w:ascii="Times New Roman" w:hAnsi="Times New Roman"/>
        </w:rPr>
        <w:t xml:space="preserve"> for clerical staff and $12</w:t>
      </w:r>
      <w:r w:rsidR="008A6413">
        <w:rPr>
          <w:rFonts w:ascii="Times New Roman" w:hAnsi="Times New Roman"/>
        </w:rPr>
        <w:t>5.95</w:t>
      </w:r>
      <w:r w:rsidR="00D71EE1">
        <w:rPr>
          <w:rFonts w:ascii="Times New Roman" w:hAnsi="Times New Roman"/>
        </w:rPr>
        <w:t xml:space="preserve"> for a financial manager, this results in an equivalent cost of $1</w:t>
      </w:r>
      <w:r w:rsidR="005F33D3" w:rsidRPr="002A36A8">
        <w:rPr>
          <w:rFonts w:ascii="Times New Roman" w:hAnsi="Times New Roman"/>
        </w:rPr>
        <w:t>9</w:t>
      </w:r>
      <w:r w:rsidR="00EB26F3">
        <w:rPr>
          <w:rFonts w:ascii="Times New Roman" w:hAnsi="Times New Roman"/>
        </w:rPr>
        <w:t>8</w:t>
      </w:r>
      <w:r w:rsidR="005F33D3" w:rsidRPr="002A36A8">
        <w:rPr>
          <w:rFonts w:ascii="Times New Roman" w:hAnsi="Times New Roman"/>
        </w:rPr>
        <w:t>,000.</w:t>
      </w:r>
      <w:r w:rsidR="00735804" w:rsidRPr="004D5A1F">
        <w:rPr>
          <w:rStyle w:val="FootnoteReference"/>
          <w:rFonts w:ascii="Times New Roman" w:hAnsi="Times New Roman"/>
          <w:vertAlign w:val="superscript"/>
        </w:rPr>
        <w:footnoteReference w:id="20"/>
      </w:r>
    </w:p>
    <w:p w:rsidR="00E97FA3" w:rsidRDefault="00E97FA3" w:rsidP="004B0755">
      <w:pPr>
        <w:widowControl/>
        <w:ind w:left="720"/>
        <w:rPr>
          <w:rFonts w:ascii="Times New Roman" w:hAnsi="Times New Roman"/>
        </w:rPr>
      </w:pPr>
    </w:p>
    <w:p w:rsidR="000D4E21" w:rsidRPr="000D4E21" w:rsidRDefault="000D4E21" w:rsidP="004B0755">
      <w:pPr>
        <w:widowControl/>
        <w:ind w:left="720"/>
        <w:rPr>
          <w:rFonts w:ascii="Times New Roman" w:hAnsi="Times New Roman"/>
          <w:u w:val="single"/>
        </w:rPr>
      </w:pPr>
      <w:r>
        <w:rPr>
          <w:rFonts w:ascii="Times New Roman" w:hAnsi="Times New Roman"/>
          <w:u w:val="single"/>
        </w:rPr>
        <w:t>Legal Burden</w:t>
      </w:r>
    </w:p>
    <w:p w:rsidR="00F82B08" w:rsidRDefault="000D4E21" w:rsidP="008C7AA2">
      <w:pPr>
        <w:widowControl/>
        <w:ind w:left="720"/>
        <w:rPr>
          <w:rFonts w:ascii="Times New Roman" w:hAnsi="Times New Roman"/>
        </w:rPr>
      </w:pPr>
      <w:r>
        <w:rPr>
          <w:rFonts w:ascii="Times New Roman" w:hAnsi="Times New Roman"/>
        </w:rPr>
        <w:t xml:space="preserve">As described previously, the Department estimates that approximately 2,800 </w:t>
      </w:r>
      <w:r w:rsidR="00AA783F">
        <w:rPr>
          <w:rFonts w:ascii="Times New Roman" w:hAnsi="Times New Roman"/>
        </w:rPr>
        <w:t>F</w:t>
      </w:r>
      <w:r>
        <w:rPr>
          <w:rFonts w:ascii="Times New Roman" w:hAnsi="Times New Roman"/>
        </w:rPr>
        <w:t xml:space="preserve">inancial </w:t>
      </w:r>
      <w:r w:rsidR="00AA783F">
        <w:rPr>
          <w:rFonts w:ascii="Times New Roman" w:hAnsi="Times New Roman"/>
        </w:rPr>
        <w:t>I</w:t>
      </w:r>
      <w:r>
        <w:rPr>
          <w:rFonts w:ascii="Times New Roman" w:hAnsi="Times New Roman"/>
        </w:rPr>
        <w:t xml:space="preserve">nstitutions will use the exemption and 224 new </w:t>
      </w:r>
      <w:r w:rsidR="00AA783F">
        <w:rPr>
          <w:rFonts w:ascii="Times New Roman" w:hAnsi="Times New Roman"/>
        </w:rPr>
        <w:t>F</w:t>
      </w:r>
      <w:r>
        <w:rPr>
          <w:rFonts w:ascii="Times New Roman" w:hAnsi="Times New Roman"/>
        </w:rPr>
        <w:t xml:space="preserve">inancial </w:t>
      </w:r>
      <w:r w:rsidR="00AA783F">
        <w:rPr>
          <w:rFonts w:ascii="Times New Roman" w:hAnsi="Times New Roman"/>
        </w:rPr>
        <w:t>I</w:t>
      </w:r>
      <w:r>
        <w:rPr>
          <w:rFonts w:ascii="Times New Roman" w:hAnsi="Times New Roman"/>
        </w:rPr>
        <w:t>nstitutions will begin using the exemption in future years.</w:t>
      </w:r>
      <w:r w:rsidR="00884E68">
        <w:rPr>
          <w:rFonts w:ascii="Times New Roman" w:hAnsi="Times New Roman"/>
        </w:rPr>
        <w:t xml:space="preserve">  Each of these </w:t>
      </w:r>
      <w:r w:rsidR="00AA783F">
        <w:rPr>
          <w:rFonts w:ascii="Times New Roman" w:hAnsi="Times New Roman"/>
        </w:rPr>
        <w:t>F</w:t>
      </w:r>
      <w:r w:rsidR="00884E68">
        <w:rPr>
          <w:rFonts w:ascii="Times New Roman" w:hAnsi="Times New Roman"/>
        </w:rPr>
        <w:t xml:space="preserve">inancial </w:t>
      </w:r>
      <w:r w:rsidR="00AA783F">
        <w:rPr>
          <w:rFonts w:ascii="Times New Roman" w:hAnsi="Times New Roman"/>
        </w:rPr>
        <w:t>I</w:t>
      </w:r>
      <w:r w:rsidR="00884E68">
        <w:rPr>
          <w:rFonts w:ascii="Times New Roman" w:hAnsi="Times New Roman"/>
        </w:rPr>
        <w:t xml:space="preserve">nstitutions will require in-house attorneys to expend </w:t>
      </w:r>
      <w:r w:rsidR="00EB26F3">
        <w:rPr>
          <w:rFonts w:ascii="Times New Roman" w:hAnsi="Times New Roman"/>
        </w:rPr>
        <w:t>24</w:t>
      </w:r>
      <w:r w:rsidR="00884E68">
        <w:rPr>
          <w:rFonts w:ascii="Times New Roman" w:hAnsi="Times New Roman"/>
        </w:rPr>
        <w:t xml:space="preserve"> hours of time revising the existing contracts</w:t>
      </w:r>
      <w:r w:rsidR="00780942">
        <w:rPr>
          <w:rFonts w:ascii="Times New Roman" w:hAnsi="Times New Roman"/>
        </w:rPr>
        <w:t xml:space="preserve"> during the first year </w:t>
      </w:r>
      <w:r w:rsidR="00780942">
        <w:rPr>
          <w:rFonts w:ascii="Times New Roman" w:hAnsi="Times New Roman"/>
        </w:rPr>
        <w:lastRenderedPageBreak/>
        <w:t>they use the exemption</w:t>
      </w:r>
      <w:r w:rsidR="00884E68">
        <w:rPr>
          <w:rFonts w:ascii="Times New Roman" w:hAnsi="Times New Roman"/>
        </w:rPr>
        <w:t>.</w:t>
      </w:r>
      <w:r w:rsidR="00C72C15">
        <w:rPr>
          <w:rFonts w:ascii="Times New Roman" w:hAnsi="Times New Roman"/>
        </w:rPr>
        <w:t xml:space="preserve">  This will result in </w:t>
      </w:r>
      <w:r w:rsidR="008541F9">
        <w:rPr>
          <w:rFonts w:ascii="Times New Roman" w:hAnsi="Times New Roman"/>
        </w:rPr>
        <w:t>67</w:t>
      </w:r>
      <w:r w:rsidR="00C72C15">
        <w:rPr>
          <w:rFonts w:ascii="Times New Roman" w:hAnsi="Times New Roman"/>
        </w:rPr>
        <w:t>,000 hours of legal burden</w:t>
      </w:r>
      <w:r w:rsidR="00B023CE" w:rsidRPr="004D5A1F">
        <w:rPr>
          <w:rStyle w:val="FootnoteReference"/>
          <w:rFonts w:ascii="Times New Roman" w:hAnsi="Times New Roman"/>
          <w:vertAlign w:val="superscript"/>
        </w:rPr>
        <w:footnoteReference w:id="21"/>
      </w:r>
      <w:r w:rsidR="00C72C15">
        <w:rPr>
          <w:rFonts w:ascii="Times New Roman" w:hAnsi="Times New Roman"/>
        </w:rPr>
        <w:t xml:space="preserve"> during the first year and </w:t>
      </w:r>
      <w:r w:rsidR="008541F9">
        <w:rPr>
          <w:rFonts w:ascii="Times New Roman" w:hAnsi="Times New Roman"/>
        </w:rPr>
        <w:t>5</w:t>
      </w:r>
      <w:r w:rsidR="00C72C15">
        <w:rPr>
          <w:rFonts w:ascii="Times New Roman" w:hAnsi="Times New Roman"/>
        </w:rPr>
        <w:t>,</w:t>
      </w:r>
      <w:r w:rsidR="0055576B">
        <w:rPr>
          <w:rFonts w:ascii="Times New Roman" w:hAnsi="Times New Roman"/>
        </w:rPr>
        <w:t>0</w:t>
      </w:r>
      <w:r w:rsidR="00C72C15">
        <w:rPr>
          <w:rFonts w:ascii="Times New Roman" w:hAnsi="Times New Roman"/>
        </w:rPr>
        <w:t>00 hours of legal burden</w:t>
      </w:r>
      <w:r w:rsidR="00B023CE" w:rsidRPr="004D5A1F">
        <w:rPr>
          <w:rStyle w:val="FootnoteReference"/>
          <w:rFonts w:ascii="Times New Roman" w:hAnsi="Times New Roman"/>
          <w:vertAlign w:val="superscript"/>
        </w:rPr>
        <w:footnoteReference w:id="22"/>
      </w:r>
      <w:r w:rsidR="00C72C15">
        <w:rPr>
          <w:rFonts w:ascii="Times New Roman" w:hAnsi="Times New Roman"/>
        </w:rPr>
        <w:t xml:space="preserve"> during subsequent years.  At an hourly wage rate of $12</w:t>
      </w:r>
      <w:r w:rsidR="008541F9">
        <w:rPr>
          <w:rFonts w:ascii="Times New Roman" w:hAnsi="Times New Roman"/>
        </w:rPr>
        <w:t>9.94</w:t>
      </w:r>
      <w:r w:rsidR="00C72C15">
        <w:rPr>
          <w:rFonts w:ascii="Times New Roman" w:hAnsi="Times New Roman"/>
        </w:rPr>
        <w:t>,</w:t>
      </w:r>
      <w:r w:rsidR="00F90C32" w:rsidRPr="004D5A1F">
        <w:rPr>
          <w:rStyle w:val="FootnoteReference"/>
          <w:rFonts w:ascii="Times New Roman" w:hAnsi="Times New Roman"/>
          <w:vertAlign w:val="superscript"/>
        </w:rPr>
        <w:footnoteReference w:id="23"/>
      </w:r>
      <w:r w:rsidR="00C72C15">
        <w:rPr>
          <w:rFonts w:ascii="Times New Roman" w:hAnsi="Times New Roman"/>
        </w:rPr>
        <w:t xml:space="preserve"> this results in an equivalent cost of $</w:t>
      </w:r>
      <w:r w:rsidR="008541F9">
        <w:rPr>
          <w:rFonts w:ascii="Times New Roman" w:hAnsi="Times New Roman"/>
        </w:rPr>
        <w:t>8.7</w:t>
      </w:r>
      <w:r w:rsidR="00C72C15">
        <w:rPr>
          <w:rFonts w:ascii="Times New Roman" w:hAnsi="Times New Roman"/>
        </w:rPr>
        <w:t xml:space="preserve"> milli</w:t>
      </w:r>
      <w:r w:rsidR="00E43F00">
        <w:rPr>
          <w:rFonts w:ascii="Times New Roman" w:hAnsi="Times New Roman"/>
        </w:rPr>
        <w:t>on during the first year</w:t>
      </w:r>
      <w:r w:rsidR="004C4E6D" w:rsidRPr="004D5A1F">
        <w:rPr>
          <w:rStyle w:val="FootnoteReference"/>
          <w:rFonts w:ascii="Times New Roman" w:hAnsi="Times New Roman"/>
          <w:vertAlign w:val="superscript"/>
        </w:rPr>
        <w:footnoteReference w:id="24"/>
      </w:r>
      <w:r w:rsidR="00E43F00">
        <w:rPr>
          <w:rFonts w:ascii="Times New Roman" w:hAnsi="Times New Roman"/>
        </w:rPr>
        <w:t xml:space="preserve"> and $</w:t>
      </w:r>
      <w:r w:rsidR="008541F9">
        <w:rPr>
          <w:rFonts w:ascii="Times New Roman" w:hAnsi="Times New Roman"/>
        </w:rPr>
        <w:t>699</w:t>
      </w:r>
      <w:r w:rsidR="00C72C15">
        <w:rPr>
          <w:rFonts w:ascii="Times New Roman" w:hAnsi="Times New Roman"/>
        </w:rPr>
        <w:t>,000 in subsequent years.</w:t>
      </w:r>
      <w:r w:rsidR="004C4E6D" w:rsidRPr="004D5A1F">
        <w:rPr>
          <w:rStyle w:val="FootnoteReference"/>
          <w:rFonts w:ascii="Times New Roman" w:hAnsi="Times New Roman"/>
          <w:vertAlign w:val="superscript"/>
        </w:rPr>
        <w:footnoteReference w:id="25"/>
      </w:r>
    </w:p>
    <w:p w:rsidR="00D5010A" w:rsidRDefault="00D5010A" w:rsidP="008C7AA2">
      <w:pPr>
        <w:widowControl/>
        <w:ind w:left="720"/>
        <w:rPr>
          <w:rFonts w:ascii="Times New Roman" w:hAnsi="Times New Roman"/>
        </w:rPr>
      </w:pPr>
    </w:p>
    <w:p w:rsidR="00D5010A" w:rsidRPr="00FC13C9" w:rsidRDefault="00D5010A" w:rsidP="00D5010A">
      <w:pPr>
        <w:widowControl/>
        <w:ind w:left="720"/>
        <w:rPr>
          <w:rFonts w:ascii="Times New Roman" w:hAnsi="Times New Roman"/>
          <w:u w:val="single"/>
        </w:rPr>
      </w:pPr>
      <w:r w:rsidRPr="00FC13C9">
        <w:rPr>
          <w:rFonts w:ascii="Times New Roman" w:hAnsi="Times New Roman"/>
          <w:u w:val="single"/>
        </w:rPr>
        <w:t>IT Costs</w:t>
      </w:r>
    </w:p>
    <w:p w:rsidR="00D5010A" w:rsidRDefault="00DC2CF5" w:rsidP="00D5010A">
      <w:pPr>
        <w:widowControl/>
        <w:ind w:left="720"/>
        <w:rPr>
          <w:rFonts w:ascii="Times New Roman" w:hAnsi="Times New Roman"/>
        </w:rPr>
      </w:pPr>
      <w:r>
        <w:rPr>
          <w:rFonts w:ascii="Times New Roman" w:hAnsi="Times New Roman"/>
        </w:rPr>
        <w:t xml:space="preserve">As described previously, the Department estimates that approximately 2,800 Financial Institutions will use the exemption and 224 new Financial Institutions will begin using the exemption in future years.  </w:t>
      </w:r>
      <w:r w:rsidR="00D5010A" w:rsidRPr="00D5010A">
        <w:rPr>
          <w:rFonts w:ascii="Times New Roman" w:hAnsi="Times New Roman"/>
        </w:rPr>
        <w:t>The Department estimates that updating computer systems to insert the contract provisions into existing contracts, maintain the required records, and insert the required markup information into existing confirmation notices will require eight hours of IT staff time during the first year that the financial institution uses the PTE.  This IT work results in approximately 22,000 hours of burden</w:t>
      </w:r>
      <w:r w:rsidR="005D5497" w:rsidRPr="00FC13C9">
        <w:rPr>
          <w:rStyle w:val="FootnoteReference"/>
          <w:rFonts w:ascii="Times New Roman" w:hAnsi="Times New Roman"/>
          <w:vertAlign w:val="superscript"/>
        </w:rPr>
        <w:footnoteReference w:id="26"/>
      </w:r>
      <w:r w:rsidR="00D5010A" w:rsidRPr="00D5010A">
        <w:rPr>
          <w:rFonts w:ascii="Times New Roman" w:hAnsi="Times New Roman"/>
        </w:rPr>
        <w:t xml:space="preserve"> during the first year and approximately </w:t>
      </w:r>
      <w:r>
        <w:rPr>
          <w:rFonts w:ascii="Times New Roman" w:hAnsi="Times New Roman"/>
        </w:rPr>
        <w:t>2</w:t>
      </w:r>
      <w:r w:rsidR="00D5010A" w:rsidRPr="00D5010A">
        <w:rPr>
          <w:rFonts w:ascii="Times New Roman" w:hAnsi="Times New Roman"/>
        </w:rPr>
        <w:t>,</w:t>
      </w:r>
      <w:r>
        <w:rPr>
          <w:rFonts w:ascii="Times New Roman" w:hAnsi="Times New Roman"/>
        </w:rPr>
        <w:t>0</w:t>
      </w:r>
      <w:r w:rsidR="00D5010A" w:rsidRPr="00D5010A">
        <w:rPr>
          <w:rFonts w:ascii="Times New Roman" w:hAnsi="Times New Roman"/>
        </w:rPr>
        <w:t>00 hours of burden</w:t>
      </w:r>
      <w:r w:rsidR="00FF0A51" w:rsidRPr="00FC13C9">
        <w:rPr>
          <w:rStyle w:val="FootnoteReference"/>
          <w:rFonts w:ascii="Times New Roman" w:hAnsi="Times New Roman"/>
          <w:vertAlign w:val="superscript"/>
        </w:rPr>
        <w:footnoteReference w:id="27"/>
      </w:r>
      <w:r w:rsidR="00D5010A" w:rsidRPr="00D5010A">
        <w:rPr>
          <w:rFonts w:ascii="Times New Roman" w:hAnsi="Times New Roman"/>
        </w:rPr>
        <w:t xml:space="preserve"> during subsequent years</w:t>
      </w:r>
      <w:r w:rsidR="005D5497">
        <w:rPr>
          <w:rFonts w:ascii="Times New Roman" w:hAnsi="Times New Roman"/>
        </w:rPr>
        <w:t>.  At an hourly wage rate of $79.67,</w:t>
      </w:r>
      <w:r w:rsidR="00FF0A51" w:rsidRPr="00FC13C9">
        <w:rPr>
          <w:rStyle w:val="FootnoteReference"/>
          <w:rFonts w:ascii="Times New Roman" w:hAnsi="Times New Roman"/>
          <w:vertAlign w:val="superscript"/>
        </w:rPr>
        <w:footnoteReference w:id="28"/>
      </w:r>
      <w:r w:rsidR="005D5497">
        <w:rPr>
          <w:rFonts w:ascii="Times New Roman" w:hAnsi="Times New Roman"/>
        </w:rPr>
        <w:t xml:space="preserve"> this results in an </w:t>
      </w:r>
      <w:r w:rsidR="00D5010A" w:rsidRPr="00D5010A">
        <w:rPr>
          <w:rFonts w:ascii="Times New Roman" w:hAnsi="Times New Roman"/>
        </w:rPr>
        <w:t>equivalent cost of $1.8 million</w:t>
      </w:r>
      <w:r w:rsidR="005D5497">
        <w:rPr>
          <w:rFonts w:ascii="Times New Roman" w:hAnsi="Times New Roman"/>
        </w:rPr>
        <w:t xml:space="preserve"> during the first year</w:t>
      </w:r>
      <w:r w:rsidR="002B0F51" w:rsidRPr="00FC13C9">
        <w:rPr>
          <w:rStyle w:val="FootnoteReference"/>
          <w:rFonts w:ascii="Times New Roman" w:hAnsi="Times New Roman"/>
          <w:vertAlign w:val="superscript"/>
        </w:rPr>
        <w:footnoteReference w:id="29"/>
      </w:r>
      <w:r w:rsidR="00D5010A" w:rsidRPr="00D5010A">
        <w:rPr>
          <w:rFonts w:ascii="Times New Roman" w:hAnsi="Times New Roman"/>
        </w:rPr>
        <w:t xml:space="preserve"> and $142,000 </w:t>
      </w:r>
      <w:r w:rsidR="005D5497">
        <w:rPr>
          <w:rFonts w:ascii="Times New Roman" w:hAnsi="Times New Roman"/>
        </w:rPr>
        <w:t>in subsequent years</w:t>
      </w:r>
      <w:r w:rsidR="00D5010A" w:rsidRPr="00D5010A">
        <w:rPr>
          <w:rFonts w:ascii="Times New Roman" w:hAnsi="Times New Roman"/>
        </w:rPr>
        <w:t>.</w:t>
      </w:r>
      <w:r w:rsidR="002B0F51" w:rsidRPr="00FC13C9">
        <w:rPr>
          <w:rStyle w:val="FootnoteReference"/>
          <w:rFonts w:ascii="Times New Roman" w:hAnsi="Times New Roman"/>
          <w:vertAlign w:val="superscript"/>
        </w:rPr>
        <w:footnoteReference w:id="30"/>
      </w:r>
    </w:p>
    <w:p w:rsidR="00780942" w:rsidRDefault="00780942" w:rsidP="008C7AA2">
      <w:pPr>
        <w:widowControl/>
        <w:ind w:left="720"/>
        <w:rPr>
          <w:rFonts w:ascii="Times New Roman" w:hAnsi="Times New Roman"/>
          <w:u w:val="single"/>
        </w:rPr>
      </w:pPr>
    </w:p>
    <w:p w:rsidR="002E36D9" w:rsidRPr="002E36D9" w:rsidRDefault="002E36D9" w:rsidP="008C7AA2">
      <w:pPr>
        <w:widowControl/>
        <w:ind w:left="720"/>
        <w:rPr>
          <w:rFonts w:ascii="Times New Roman" w:hAnsi="Times New Roman"/>
          <w:u w:val="single"/>
        </w:rPr>
      </w:pPr>
      <w:r>
        <w:rPr>
          <w:rFonts w:ascii="Times New Roman" w:hAnsi="Times New Roman"/>
          <w:u w:val="single"/>
        </w:rPr>
        <w:t>Summary</w:t>
      </w:r>
    </w:p>
    <w:p w:rsidR="000D4E21" w:rsidRDefault="00BE4C4D" w:rsidP="008C7AA2">
      <w:pPr>
        <w:widowControl/>
        <w:ind w:left="720"/>
        <w:rPr>
          <w:rFonts w:ascii="Times New Roman" w:hAnsi="Times New Roman"/>
        </w:rPr>
      </w:pPr>
      <w:r>
        <w:rPr>
          <w:rFonts w:ascii="Times New Roman" w:hAnsi="Times New Roman"/>
        </w:rPr>
        <w:t>As seen in the table</w:t>
      </w:r>
      <w:r w:rsidR="00E878C9">
        <w:rPr>
          <w:rFonts w:ascii="Times New Roman" w:hAnsi="Times New Roman"/>
        </w:rPr>
        <w:t>s</w:t>
      </w:r>
      <w:r>
        <w:rPr>
          <w:rFonts w:ascii="Times New Roman" w:hAnsi="Times New Roman"/>
        </w:rPr>
        <w:t xml:space="preserve"> below, t</w:t>
      </w:r>
      <w:r w:rsidR="002E36D9">
        <w:rPr>
          <w:rFonts w:ascii="Times New Roman" w:hAnsi="Times New Roman"/>
        </w:rPr>
        <w:t xml:space="preserve">he overall burden associated with this </w:t>
      </w:r>
      <w:r w:rsidR="00711A8C">
        <w:rPr>
          <w:rFonts w:ascii="Times New Roman" w:hAnsi="Times New Roman"/>
        </w:rPr>
        <w:t xml:space="preserve">exemption </w:t>
      </w:r>
      <w:r w:rsidR="002E36D9">
        <w:rPr>
          <w:rFonts w:ascii="Times New Roman" w:hAnsi="Times New Roman"/>
        </w:rPr>
        <w:t xml:space="preserve">totals </w:t>
      </w:r>
      <w:r w:rsidR="005459DF">
        <w:rPr>
          <w:rFonts w:ascii="Times New Roman" w:hAnsi="Times New Roman"/>
        </w:rPr>
        <w:t>4</w:t>
      </w:r>
      <w:r w:rsidR="004E7FEE">
        <w:rPr>
          <w:rFonts w:ascii="Times New Roman" w:hAnsi="Times New Roman"/>
        </w:rPr>
        <w:t>84</w:t>
      </w:r>
      <w:r w:rsidR="002E36D9">
        <w:rPr>
          <w:rFonts w:ascii="Times New Roman" w:hAnsi="Times New Roman"/>
        </w:rPr>
        <w:t xml:space="preserve">,000 hours during the first year and </w:t>
      </w:r>
      <w:r w:rsidR="005459DF">
        <w:rPr>
          <w:rFonts w:ascii="Times New Roman" w:hAnsi="Times New Roman"/>
        </w:rPr>
        <w:t>4</w:t>
      </w:r>
      <w:r w:rsidR="004E7FEE">
        <w:rPr>
          <w:rFonts w:ascii="Times New Roman" w:hAnsi="Times New Roman"/>
        </w:rPr>
        <w:t>02</w:t>
      </w:r>
      <w:r w:rsidR="002E36D9">
        <w:rPr>
          <w:rFonts w:ascii="Times New Roman" w:hAnsi="Times New Roman"/>
        </w:rPr>
        <w:t>,000 hours in subsequent years.  The equivalent costs are $</w:t>
      </w:r>
      <w:r w:rsidR="004E7FEE">
        <w:rPr>
          <w:rFonts w:ascii="Times New Roman" w:hAnsi="Times New Roman"/>
        </w:rPr>
        <w:t>56.9</w:t>
      </w:r>
      <w:r w:rsidR="002E36D9">
        <w:rPr>
          <w:rFonts w:ascii="Times New Roman" w:hAnsi="Times New Roman"/>
        </w:rPr>
        <w:t xml:space="preserve"> million during the first year and $</w:t>
      </w:r>
      <w:r w:rsidR="005459DF">
        <w:rPr>
          <w:rFonts w:ascii="Times New Roman" w:hAnsi="Times New Roman"/>
        </w:rPr>
        <w:t>4</w:t>
      </w:r>
      <w:r w:rsidR="004E7FEE">
        <w:rPr>
          <w:rFonts w:ascii="Times New Roman" w:hAnsi="Times New Roman"/>
        </w:rPr>
        <w:t>7.2</w:t>
      </w:r>
      <w:r w:rsidR="00E43F00">
        <w:rPr>
          <w:rFonts w:ascii="Times New Roman" w:hAnsi="Times New Roman"/>
        </w:rPr>
        <w:t xml:space="preserve"> million</w:t>
      </w:r>
      <w:r w:rsidR="002E36D9">
        <w:rPr>
          <w:rFonts w:ascii="Times New Roman" w:hAnsi="Times New Roman"/>
        </w:rPr>
        <w:t xml:space="preserve"> in subsequent years.</w:t>
      </w:r>
    </w:p>
    <w:p w:rsidR="00BE4C4D" w:rsidRDefault="00BE4C4D" w:rsidP="008C7AA2">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BE4C4D" w:rsidRPr="008F47CB" w:rsidTr="002170D5">
        <w:tc>
          <w:tcPr>
            <w:tcW w:w="3870" w:type="dxa"/>
            <w:shd w:val="clear" w:color="auto" w:fill="auto"/>
          </w:tcPr>
          <w:p w:rsidR="00BE4C4D" w:rsidRPr="00A306B1" w:rsidRDefault="00E878C9" w:rsidP="002170D5">
            <w:pPr>
              <w:jc w:val="center"/>
              <w:rPr>
                <w:rFonts w:ascii="Times New Roman" w:hAnsi="Times New Roman"/>
                <w:b/>
                <w:sz w:val="22"/>
                <w:szCs w:val="22"/>
              </w:rPr>
            </w:pPr>
            <w:r>
              <w:rPr>
                <w:rFonts w:ascii="Times New Roman" w:hAnsi="Times New Roman"/>
                <w:b/>
                <w:sz w:val="22"/>
                <w:szCs w:val="22"/>
              </w:rPr>
              <w:t xml:space="preserve">First Year </w:t>
            </w:r>
            <w:r w:rsidR="00BE4C4D" w:rsidRPr="00A306B1">
              <w:rPr>
                <w:rFonts w:ascii="Times New Roman" w:hAnsi="Times New Roman"/>
                <w:b/>
                <w:sz w:val="22"/>
                <w:szCs w:val="22"/>
              </w:rPr>
              <w:t>Activity</w:t>
            </w:r>
          </w:p>
        </w:tc>
        <w:tc>
          <w:tcPr>
            <w:tcW w:w="1769" w:type="dxa"/>
            <w:shd w:val="clear" w:color="auto" w:fill="auto"/>
          </w:tcPr>
          <w:p w:rsidR="00BE4C4D" w:rsidRPr="000731D3" w:rsidRDefault="00BE4C4D" w:rsidP="002170D5">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BE4C4D" w:rsidRPr="000731D3" w:rsidRDefault="00BE4C4D" w:rsidP="002170D5">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BE4C4D" w:rsidRPr="000731D3" w:rsidRDefault="00BE4C4D" w:rsidP="002170D5">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BE4C4D" w:rsidRPr="008F47CB" w:rsidTr="002170D5">
        <w:tc>
          <w:tcPr>
            <w:tcW w:w="3870" w:type="dxa"/>
            <w:vAlign w:val="bottom"/>
          </w:tcPr>
          <w:p w:rsidR="00BE4C4D" w:rsidRPr="008F47CB" w:rsidRDefault="00496D3E" w:rsidP="002170D5">
            <w:pPr>
              <w:rPr>
                <w:rFonts w:ascii="Times New Roman" w:hAnsi="Times New Roman"/>
                <w:sz w:val="22"/>
                <w:szCs w:val="22"/>
              </w:rPr>
            </w:pPr>
            <w:r>
              <w:rPr>
                <w:rFonts w:ascii="Times New Roman" w:hAnsi="Times New Roman"/>
                <w:sz w:val="22"/>
                <w:szCs w:val="22"/>
              </w:rPr>
              <w:t>Obtaining Price Quotes</w:t>
            </w:r>
          </w:p>
        </w:tc>
        <w:tc>
          <w:tcPr>
            <w:tcW w:w="1769" w:type="dxa"/>
            <w:vAlign w:val="bottom"/>
          </w:tcPr>
          <w:p w:rsidR="00BE4C4D" w:rsidRPr="008F47CB" w:rsidRDefault="00496D3E" w:rsidP="002170D5">
            <w:pPr>
              <w:jc w:val="right"/>
              <w:rPr>
                <w:rFonts w:ascii="Times New Roman" w:hAnsi="Times New Roman"/>
                <w:sz w:val="22"/>
                <w:szCs w:val="22"/>
              </w:rPr>
            </w:pPr>
            <w:r>
              <w:rPr>
                <w:rFonts w:ascii="Times New Roman" w:hAnsi="Times New Roman"/>
                <w:sz w:val="22"/>
                <w:szCs w:val="22"/>
              </w:rPr>
              <w:t>359,000</w:t>
            </w:r>
          </w:p>
        </w:tc>
        <w:tc>
          <w:tcPr>
            <w:tcW w:w="1021" w:type="dxa"/>
            <w:vAlign w:val="bottom"/>
          </w:tcPr>
          <w:p w:rsidR="00BE4C4D" w:rsidRPr="008F47CB" w:rsidRDefault="00496D3E" w:rsidP="002170D5">
            <w:pPr>
              <w:jc w:val="right"/>
              <w:rPr>
                <w:rFonts w:ascii="Times New Roman" w:hAnsi="Times New Roman"/>
                <w:sz w:val="22"/>
                <w:szCs w:val="22"/>
              </w:rPr>
            </w:pPr>
            <w:r>
              <w:rPr>
                <w:rFonts w:ascii="Times New Roman" w:hAnsi="Times New Roman"/>
                <w:sz w:val="22"/>
                <w:szCs w:val="22"/>
              </w:rPr>
              <w:t>$125.95</w:t>
            </w:r>
          </w:p>
        </w:tc>
        <w:tc>
          <w:tcPr>
            <w:tcW w:w="2088" w:type="dxa"/>
            <w:vAlign w:val="bottom"/>
          </w:tcPr>
          <w:p w:rsidR="00BE4C4D" w:rsidRPr="008F47CB" w:rsidRDefault="00E836C9" w:rsidP="002170D5">
            <w:pPr>
              <w:jc w:val="right"/>
              <w:rPr>
                <w:rFonts w:ascii="Times New Roman" w:hAnsi="Times New Roman"/>
                <w:sz w:val="22"/>
                <w:szCs w:val="22"/>
              </w:rPr>
            </w:pPr>
            <w:r>
              <w:rPr>
                <w:rFonts w:ascii="Times New Roman" w:hAnsi="Times New Roman"/>
                <w:sz w:val="22"/>
                <w:szCs w:val="22"/>
              </w:rPr>
              <w:t>$45.2 million</w:t>
            </w:r>
          </w:p>
        </w:tc>
      </w:tr>
      <w:tr w:rsidR="00BE4C4D" w:rsidRPr="008F47CB" w:rsidTr="002170D5">
        <w:tc>
          <w:tcPr>
            <w:tcW w:w="3870" w:type="dxa"/>
            <w:vAlign w:val="bottom"/>
          </w:tcPr>
          <w:p w:rsidR="00BE4C4D" w:rsidRPr="008F47CB" w:rsidRDefault="00E836C9" w:rsidP="002170D5">
            <w:pPr>
              <w:rPr>
                <w:rFonts w:ascii="Times New Roman" w:hAnsi="Times New Roman"/>
                <w:sz w:val="22"/>
                <w:szCs w:val="22"/>
              </w:rPr>
            </w:pPr>
            <w:r>
              <w:rPr>
                <w:rFonts w:ascii="Times New Roman" w:hAnsi="Times New Roman"/>
                <w:sz w:val="22"/>
                <w:szCs w:val="22"/>
              </w:rPr>
              <w:t>Production and Distribution of Annual Statements</w:t>
            </w:r>
          </w:p>
        </w:tc>
        <w:tc>
          <w:tcPr>
            <w:tcW w:w="1769" w:type="dxa"/>
            <w:vAlign w:val="bottom"/>
          </w:tcPr>
          <w:p w:rsidR="00BE4C4D" w:rsidRPr="008F47CB" w:rsidRDefault="00E836C9" w:rsidP="002170D5">
            <w:pPr>
              <w:jc w:val="right"/>
              <w:rPr>
                <w:rFonts w:ascii="Times New Roman" w:hAnsi="Times New Roman"/>
                <w:sz w:val="22"/>
                <w:szCs w:val="22"/>
              </w:rPr>
            </w:pPr>
            <w:r>
              <w:rPr>
                <w:rFonts w:ascii="Times New Roman" w:hAnsi="Times New Roman"/>
                <w:sz w:val="22"/>
                <w:szCs w:val="22"/>
              </w:rPr>
              <w:t>34,000</w:t>
            </w:r>
          </w:p>
        </w:tc>
        <w:tc>
          <w:tcPr>
            <w:tcW w:w="1021" w:type="dxa"/>
            <w:vAlign w:val="bottom"/>
          </w:tcPr>
          <w:p w:rsidR="00BE4C4D" w:rsidRPr="008F47CB" w:rsidRDefault="00E836C9" w:rsidP="002170D5">
            <w:pPr>
              <w:jc w:val="right"/>
              <w:rPr>
                <w:rFonts w:ascii="Times New Roman" w:hAnsi="Times New Roman"/>
                <w:sz w:val="22"/>
                <w:szCs w:val="22"/>
              </w:rPr>
            </w:pPr>
            <w:r>
              <w:rPr>
                <w:rFonts w:ascii="Times New Roman" w:hAnsi="Times New Roman"/>
                <w:sz w:val="22"/>
                <w:szCs w:val="22"/>
              </w:rPr>
              <w:t>$30.42</w:t>
            </w:r>
          </w:p>
        </w:tc>
        <w:tc>
          <w:tcPr>
            <w:tcW w:w="2088" w:type="dxa"/>
            <w:vAlign w:val="bottom"/>
          </w:tcPr>
          <w:p w:rsidR="00BE4C4D" w:rsidRPr="008F47CB" w:rsidRDefault="00E836C9" w:rsidP="00650AEF">
            <w:pPr>
              <w:jc w:val="right"/>
              <w:rPr>
                <w:rFonts w:ascii="Times New Roman" w:hAnsi="Times New Roman"/>
                <w:sz w:val="22"/>
                <w:szCs w:val="22"/>
              </w:rPr>
            </w:pPr>
            <w:r>
              <w:rPr>
                <w:rFonts w:ascii="Times New Roman" w:hAnsi="Times New Roman"/>
                <w:sz w:val="22"/>
                <w:szCs w:val="22"/>
              </w:rPr>
              <w:t>$1</w:t>
            </w:r>
            <w:r w:rsidR="00650AEF">
              <w:rPr>
                <w:rFonts w:ascii="Times New Roman" w:hAnsi="Times New Roman"/>
                <w:sz w:val="22"/>
                <w:szCs w:val="22"/>
              </w:rPr>
              <w:t xml:space="preserve"> million</w:t>
            </w:r>
          </w:p>
        </w:tc>
      </w:tr>
      <w:tr w:rsidR="00650AEF" w:rsidRPr="008F47CB" w:rsidTr="002170D5">
        <w:tc>
          <w:tcPr>
            <w:tcW w:w="3870" w:type="dxa"/>
            <w:vAlign w:val="bottom"/>
          </w:tcPr>
          <w:p w:rsidR="00650AEF" w:rsidRDefault="00650AEF" w:rsidP="002170D5">
            <w:pPr>
              <w:rPr>
                <w:rFonts w:ascii="Times New Roman" w:hAnsi="Times New Roman"/>
                <w:sz w:val="22"/>
                <w:szCs w:val="22"/>
              </w:rPr>
            </w:pPr>
            <w:r>
              <w:rPr>
                <w:rFonts w:ascii="Times New Roman" w:hAnsi="Times New Roman"/>
                <w:sz w:val="22"/>
                <w:szCs w:val="22"/>
              </w:rPr>
              <w:t>Recordkeeping Clerical</w:t>
            </w:r>
          </w:p>
        </w:tc>
        <w:tc>
          <w:tcPr>
            <w:tcW w:w="1769" w:type="dxa"/>
            <w:vAlign w:val="bottom"/>
          </w:tcPr>
          <w:p w:rsidR="00650AEF" w:rsidRPr="008F47CB" w:rsidRDefault="00650AEF" w:rsidP="002170D5">
            <w:pPr>
              <w:jc w:val="right"/>
              <w:rPr>
                <w:rFonts w:ascii="Times New Roman" w:hAnsi="Times New Roman"/>
                <w:sz w:val="22"/>
                <w:szCs w:val="22"/>
              </w:rPr>
            </w:pPr>
            <w:r>
              <w:rPr>
                <w:rFonts w:ascii="Times New Roman" w:hAnsi="Times New Roman"/>
                <w:sz w:val="22"/>
                <w:szCs w:val="22"/>
              </w:rPr>
              <w:t>700</w:t>
            </w:r>
          </w:p>
        </w:tc>
        <w:tc>
          <w:tcPr>
            <w:tcW w:w="1021" w:type="dxa"/>
            <w:vAlign w:val="bottom"/>
          </w:tcPr>
          <w:p w:rsidR="00650AEF" w:rsidRPr="008F47CB" w:rsidRDefault="00650AEF" w:rsidP="002170D5">
            <w:pPr>
              <w:jc w:val="right"/>
              <w:rPr>
                <w:rFonts w:ascii="Times New Roman" w:hAnsi="Times New Roman"/>
                <w:sz w:val="22"/>
                <w:szCs w:val="22"/>
              </w:rPr>
            </w:pPr>
            <w:r>
              <w:rPr>
                <w:rFonts w:ascii="Times New Roman" w:hAnsi="Times New Roman"/>
                <w:sz w:val="22"/>
                <w:szCs w:val="22"/>
              </w:rPr>
              <w:t>$30.42</w:t>
            </w:r>
          </w:p>
        </w:tc>
        <w:tc>
          <w:tcPr>
            <w:tcW w:w="2088" w:type="dxa"/>
            <w:vAlign w:val="bottom"/>
          </w:tcPr>
          <w:p w:rsidR="00650AEF" w:rsidRPr="008F47CB" w:rsidRDefault="00E878C9" w:rsidP="002170D5">
            <w:pPr>
              <w:jc w:val="right"/>
              <w:rPr>
                <w:rFonts w:ascii="Times New Roman" w:hAnsi="Times New Roman"/>
                <w:sz w:val="22"/>
                <w:szCs w:val="22"/>
              </w:rPr>
            </w:pPr>
            <w:r>
              <w:rPr>
                <w:rFonts w:ascii="Times New Roman" w:hAnsi="Times New Roman"/>
                <w:sz w:val="22"/>
                <w:szCs w:val="22"/>
              </w:rPr>
              <w:t>$21,000</w:t>
            </w:r>
          </w:p>
        </w:tc>
      </w:tr>
      <w:tr w:rsidR="00650AEF" w:rsidRPr="008F47CB" w:rsidTr="002170D5">
        <w:tc>
          <w:tcPr>
            <w:tcW w:w="3870" w:type="dxa"/>
            <w:vAlign w:val="bottom"/>
          </w:tcPr>
          <w:p w:rsidR="00650AEF" w:rsidRDefault="00650AEF" w:rsidP="002170D5">
            <w:pPr>
              <w:rPr>
                <w:rFonts w:ascii="Times New Roman" w:hAnsi="Times New Roman"/>
                <w:sz w:val="22"/>
                <w:szCs w:val="22"/>
              </w:rPr>
            </w:pPr>
            <w:r>
              <w:rPr>
                <w:rFonts w:ascii="Times New Roman" w:hAnsi="Times New Roman"/>
                <w:sz w:val="22"/>
                <w:szCs w:val="22"/>
              </w:rPr>
              <w:t>Recordkeeping Financial Manager</w:t>
            </w:r>
          </w:p>
        </w:tc>
        <w:tc>
          <w:tcPr>
            <w:tcW w:w="1769" w:type="dxa"/>
            <w:vAlign w:val="bottom"/>
          </w:tcPr>
          <w:p w:rsidR="00650AEF" w:rsidRPr="008F47CB" w:rsidRDefault="00650AEF" w:rsidP="002170D5">
            <w:pPr>
              <w:jc w:val="right"/>
              <w:rPr>
                <w:rFonts w:ascii="Times New Roman" w:hAnsi="Times New Roman"/>
                <w:sz w:val="22"/>
                <w:szCs w:val="22"/>
              </w:rPr>
            </w:pPr>
            <w:r>
              <w:rPr>
                <w:rFonts w:ascii="Times New Roman" w:hAnsi="Times New Roman"/>
                <w:sz w:val="22"/>
                <w:szCs w:val="22"/>
              </w:rPr>
              <w:t>1,400</w:t>
            </w:r>
          </w:p>
        </w:tc>
        <w:tc>
          <w:tcPr>
            <w:tcW w:w="1021" w:type="dxa"/>
            <w:vAlign w:val="bottom"/>
          </w:tcPr>
          <w:p w:rsidR="00650AEF" w:rsidRPr="008F47CB" w:rsidRDefault="00650AEF" w:rsidP="002170D5">
            <w:pPr>
              <w:jc w:val="right"/>
              <w:rPr>
                <w:rFonts w:ascii="Times New Roman" w:hAnsi="Times New Roman"/>
                <w:sz w:val="22"/>
                <w:szCs w:val="22"/>
              </w:rPr>
            </w:pPr>
            <w:r>
              <w:rPr>
                <w:rFonts w:ascii="Times New Roman" w:hAnsi="Times New Roman"/>
                <w:sz w:val="22"/>
                <w:szCs w:val="22"/>
              </w:rPr>
              <w:t>$125.95</w:t>
            </w:r>
          </w:p>
        </w:tc>
        <w:tc>
          <w:tcPr>
            <w:tcW w:w="2088" w:type="dxa"/>
            <w:vAlign w:val="bottom"/>
          </w:tcPr>
          <w:p w:rsidR="00650AEF" w:rsidRPr="008F47CB" w:rsidRDefault="00E878C9" w:rsidP="002170D5">
            <w:pPr>
              <w:jc w:val="right"/>
              <w:rPr>
                <w:rFonts w:ascii="Times New Roman" w:hAnsi="Times New Roman"/>
                <w:sz w:val="22"/>
                <w:szCs w:val="22"/>
              </w:rPr>
            </w:pPr>
            <w:r>
              <w:rPr>
                <w:rFonts w:ascii="Times New Roman" w:hAnsi="Times New Roman"/>
                <w:sz w:val="22"/>
                <w:szCs w:val="22"/>
              </w:rPr>
              <w:t>$176,000</w:t>
            </w:r>
          </w:p>
        </w:tc>
      </w:tr>
      <w:tr w:rsidR="00BE4C4D" w:rsidRPr="008F47CB" w:rsidTr="002170D5">
        <w:tc>
          <w:tcPr>
            <w:tcW w:w="3870" w:type="dxa"/>
            <w:vAlign w:val="bottom"/>
          </w:tcPr>
          <w:p w:rsidR="00BE4C4D" w:rsidRPr="008F47CB" w:rsidRDefault="00E878C9" w:rsidP="002170D5">
            <w:pPr>
              <w:rPr>
                <w:rFonts w:ascii="Times New Roman" w:hAnsi="Times New Roman"/>
                <w:sz w:val="22"/>
                <w:szCs w:val="22"/>
              </w:rPr>
            </w:pPr>
            <w:r>
              <w:rPr>
                <w:rFonts w:ascii="Times New Roman" w:hAnsi="Times New Roman"/>
                <w:sz w:val="22"/>
                <w:szCs w:val="22"/>
              </w:rPr>
              <w:t>Legal Review</w:t>
            </w:r>
          </w:p>
        </w:tc>
        <w:tc>
          <w:tcPr>
            <w:tcW w:w="1769" w:type="dxa"/>
            <w:vAlign w:val="bottom"/>
          </w:tcPr>
          <w:p w:rsidR="00BE4C4D" w:rsidRPr="008F47CB" w:rsidRDefault="007F3BC7" w:rsidP="002170D5">
            <w:pPr>
              <w:jc w:val="right"/>
              <w:rPr>
                <w:rFonts w:ascii="Times New Roman" w:hAnsi="Times New Roman"/>
                <w:sz w:val="22"/>
                <w:szCs w:val="22"/>
              </w:rPr>
            </w:pPr>
            <w:r>
              <w:rPr>
                <w:rFonts w:ascii="Times New Roman" w:hAnsi="Times New Roman"/>
                <w:sz w:val="22"/>
                <w:szCs w:val="22"/>
              </w:rPr>
              <w:t>67,000</w:t>
            </w:r>
          </w:p>
        </w:tc>
        <w:tc>
          <w:tcPr>
            <w:tcW w:w="1021" w:type="dxa"/>
            <w:vAlign w:val="bottom"/>
          </w:tcPr>
          <w:p w:rsidR="00BE4C4D" w:rsidRPr="008F47CB" w:rsidRDefault="007F3BC7" w:rsidP="002170D5">
            <w:pPr>
              <w:jc w:val="right"/>
              <w:rPr>
                <w:rFonts w:ascii="Times New Roman" w:hAnsi="Times New Roman"/>
                <w:sz w:val="22"/>
                <w:szCs w:val="22"/>
              </w:rPr>
            </w:pPr>
            <w:r>
              <w:rPr>
                <w:rFonts w:ascii="Times New Roman" w:hAnsi="Times New Roman"/>
                <w:sz w:val="22"/>
                <w:szCs w:val="22"/>
              </w:rPr>
              <w:t>$129.94</w:t>
            </w:r>
          </w:p>
        </w:tc>
        <w:tc>
          <w:tcPr>
            <w:tcW w:w="2088" w:type="dxa"/>
            <w:vAlign w:val="bottom"/>
          </w:tcPr>
          <w:p w:rsidR="00BE4C4D" w:rsidRPr="008F47CB" w:rsidRDefault="007F3BC7" w:rsidP="002170D5">
            <w:pPr>
              <w:jc w:val="right"/>
              <w:rPr>
                <w:rFonts w:ascii="Times New Roman" w:hAnsi="Times New Roman"/>
                <w:sz w:val="22"/>
                <w:szCs w:val="22"/>
              </w:rPr>
            </w:pPr>
            <w:r>
              <w:rPr>
                <w:rFonts w:ascii="Times New Roman" w:hAnsi="Times New Roman"/>
                <w:sz w:val="22"/>
                <w:szCs w:val="22"/>
              </w:rPr>
              <w:t>$8.7 million</w:t>
            </w:r>
          </w:p>
        </w:tc>
      </w:tr>
      <w:tr w:rsidR="00BE4C4D" w:rsidRPr="008F47CB" w:rsidTr="002170D5">
        <w:tc>
          <w:tcPr>
            <w:tcW w:w="3870" w:type="dxa"/>
            <w:vAlign w:val="bottom"/>
          </w:tcPr>
          <w:p w:rsidR="00BE4C4D" w:rsidRPr="008F47CB" w:rsidRDefault="00E878C9" w:rsidP="002170D5">
            <w:pPr>
              <w:rPr>
                <w:rFonts w:ascii="Times New Roman" w:hAnsi="Times New Roman"/>
                <w:sz w:val="22"/>
                <w:szCs w:val="22"/>
              </w:rPr>
            </w:pPr>
            <w:r>
              <w:rPr>
                <w:rFonts w:ascii="Times New Roman" w:hAnsi="Times New Roman"/>
                <w:sz w:val="22"/>
                <w:szCs w:val="22"/>
              </w:rPr>
              <w:t>Updating IT Systems</w:t>
            </w:r>
          </w:p>
        </w:tc>
        <w:tc>
          <w:tcPr>
            <w:tcW w:w="1769" w:type="dxa"/>
            <w:vAlign w:val="bottom"/>
          </w:tcPr>
          <w:p w:rsidR="00BE4C4D" w:rsidRPr="008F47CB" w:rsidRDefault="007F3BC7" w:rsidP="002170D5">
            <w:pPr>
              <w:jc w:val="right"/>
              <w:rPr>
                <w:rFonts w:ascii="Times New Roman" w:hAnsi="Times New Roman"/>
                <w:sz w:val="22"/>
                <w:szCs w:val="22"/>
              </w:rPr>
            </w:pPr>
            <w:r>
              <w:rPr>
                <w:rFonts w:ascii="Times New Roman" w:hAnsi="Times New Roman"/>
                <w:sz w:val="22"/>
                <w:szCs w:val="22"/>
              </w:rPr>
              <w:t>22,000</w:t>
            </w:r>
          </w:p>
        </w:tc>
        <w:tc>
          <w:tcPr>
            <w:tcW w:w="1021" w:type="dxa"/>
            <w:vAlign w:val="bottom"/>
          </w:tcPr>
          <w:p w:rsidR="00BE4C4D" w:rsidRPr="008F47CB" w:rsidRDefault="007F3BC7" w:rsidP="002170D5">
            <w:pPr>
              <w:jc w:val="right"/>
              <w:rPr>
                <w:rFonts w:ascii="Times New Roman" w:hAnsi="Times New Roman"/>
                <w:sz w:val="22"/>
                <w:szCs w:val="22"/>
              </w:rPr>
            </w:pPr>
            <w:r>
              <w:rPr>
                <w:rFonts w:ascii="Times New Roman" w:hAnsi="Times New Roman"/>
                <w:sz w:val="22"/>
                <w:szCs w:val="22"/>
              </w:rPr>
              <w:t>$79.67</w:t>
            </w:r>
          </w:p>
        </w:tc>
        <w:tc>
          <w:tcPr>
            <w:tcW w:w="2088" w:type="dxa"/>
            <w:vAlign w:val="bottom"/>
          </w:tcPr>
          <w:p w:rsidR="00BE4C4D" w:rsidRPr="008F47CB" w:rsidRDefault="007F3BC7" w:rsidP="002170D5">
            <w:pPr>
              <w:jc w:val="right"/>
              <w:rPr>
                <w:rFonts w:ascii="Times New Roman" w:hAnsi="Times New Roman"/>
                <w:sz w:val="22"/>
                <w:szCs w:val="22"/>
              </w:rPr>
            </w:pPr>
            <w:r>
              <w:rPr>
                <w:rFonts w:ascii="Times New Roman" w:hAnsi="Times New Roman"/>
                <w:sz w:val="22"/>
                <w:szCs w:val="22"/>
              </w:rPr>
              <w:t>$1.8 million</w:t>
            </w:r>
          </w:p>
        </w:tc>
      </w:tr>
      <w:tr w:rsidR="00BE4C4D" w:rsidRPr="008F47CB" w:rsidTr="002170D5">
        <w:tc>
          <w:tcPr>
            <w:tcW w:w="3870" w:type="dxa"/>
          </w:tcPr>
          <w:p w:rsidR="00BE4C4D" w:rsidRPr="008F47CB" w:rsidRDefault="00BE4C4D" w:rsidP="002170D5">
            <w:pPr>
              <w:rPr>
                <w:rFonts w:ascii="Times New Roman" w:hAnsi="Times New Roman"/>
                <w:b/>
                <w:i/>
                <w:sz w:val="22"/>
                <w:szCs w:val="22"/>
              </w:rPr>
            </w:pPr>
            <w:r w:rsidRPr="008F47CB">
              <w:rPr>
                <w:rFonts w:ascii="Times New Roman" w:hAnsi="Times New Roman"/>
                <w:b/>
                <w:i/>
                <w:sz w:val="22"/>
                <w:szCs w:val="22"/>
              </w:rPr>
              <w:lastRenderedPageBreak/>
              <w:t>Unduplicated Totals</w:t>
            </w:r>
            <w:r w:rsidR="007F3BC7">
              <w:rPr>
                <w:rFonts w:ascii="Times New Roman" w:hAnsi="Times New Roman"/>
                <w:b/>
                <w:i/>
                <w:sz w:val="22"/>
                <w:szCs w:val="22"/>
              </w:rPr>
              <w:t xml:space="preserve"> for First Year</w:t>
            </w:r>
          </w:p>
        </w:tc>
        <w:tc>
          <w:tcPr>
            <w:tcW w:w="1769" w:type="dxa"/>
            <w:vAlign w:val="bottom"/>
          </w:tcPr>
          <w:p w:rsidR="00BE4C4D" w:rsidRPr="008F47CB" w:rsidRDefault="007F3BC7" w:rsidP="002170D5">
            <w:pPr>
              <w:jc w:val="right"/>
              <w:rPr>
                <w:rFonts w:ascii="Times New Roman" w:hAnsi="Times New Roman"/>
                <w:b/>
                <w:i/>
                <w:sz w:val="22"/>
                <w:szCs w:val="22"/>
              </w:rPr>
            </w:pPr>
            <w:r>
              <w:rPr>
                <w:rFonts w:ascii="Times New Roman" w:hAnsi="Times New Roman"/>
                <w:b/>
                <w:i/>
                <w:sz w:val="22"/>
                <w:szCs w:val="22"/>
              </w:rPr>
              <w:t>484,000</w:t>
            </w:r>
          </w:p>
        </w:tc>
        <w:tc>
          <w:tcPr>
            <w:tcW w:w="1021" w:type="dxa"/>
            <w:vAlign w:val="bottom"/>
          </w:tcPr>
          <w:p w:rsidR="00BE4C4D" w:rsidRPr="008F47CB" w:rsidRDefault="00BE4C4D" w:rsidP="002170D5">
            <w:pPr>
              <w:jc w:val="right"/>
              <w:rPr>
                <w:rFonts w:ascii="Times New Roman" w:hAnsi="Times New Roman"/>
                <w:b/>
                <w:i/>
                <w:sz w:val="22"/>
                <w:szCs w:val="22"/>
              </w:rPr>
            </w:pPr>
          </w:p>
        </w:tc>
        <w:tc>
          <w:tcPr>
            <w:tcW w:w="2088" w:type="dxa"/>
            <w:vAlign w:val="bottom"/>
          </w:tcPr>
          <w:p w:rsidR="00BE4C4D" w:rsidRPr="008F47CB" w:rsidRDefault="00A834CA" w:rsidP="002170D5">
            <w:pPr>
              <w:jc w:val="right"/>
              <w:rPr>
                <w:rFonts w:ascii="Times New Roman" w:hAnsi="Times New Roman"/>
                <w:b/>
                <w:i/>
                <w:sz w:val="22"/>
                <w:szCs w:val="22"/>
              </w:rPr>
            </w:pPr>
            <w:r>
              <w:rPr>
                <w:rFonts w:ascii="Times New Roman" w:hAnsi="Times New Roman"/>
                <w:b/>
                <w:i/>
                <w:sz w:val="22"/>
                <w:szCs w:val="22"/>
              </w:rPr>
              <w:t>$56.9 million</w:t>
            </w:r>
          </w:p>
        </w:tc>
      </w:tr>
    </w:tbl>
    <w:p w:rsidR="00BE4C4D" w:rsidRDefault="00BE4C4D" w:rsidP="008C7AA2">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E878C9" w:rsidRPr="008F47CB" w:rsidTr="002170D5">
        <w:tc>
          <w:tcPr>
            <w:tcW w:w="3870" w:type="dxa"/>
            <w:shd w:val="clear" w:color="auto" w:fill="auto"/>
          </w:tcPr>
          <w:p w:rsidR="00E878C9" w:rsidRPr="00A306B1" w:rsidRDefault="00E878C9" w:rsidP="00E878C9">
            <w:pPr>
              <w:jc w:val="center"/>
              <w:rPr>
                <w:rFonts w:ascii="Times New Roman" w:hAnsi="Times New Roman"/>
                <w:b/>
                <w:sz w:val="22"/>
                <w:szCs w:val="22"/>
              </w:rPr>
            </w:pPr>
            <w:r>
              <w:rPr>
                <w:rFonts w:ascii="Times New Roman" w:hAnsi="Times New Roman"/>
                <w:b/>
                <w:sz w:val="22"/>
                <w:szCs w:val="22"/>
              </w:rPr>
              <w:t xml:space="preserve">Subsequent Year </w:t>
            </w:r>
            <w:r w:rsidRPr="00A306B1">
              <w:rPr>
                <w:rFonts w:ascii="Times New Roman" w:hAnsi="Times New Roman"/>
                <w:b/>
                <w:sz w:val="22"/>
                <w:szCs w:val="22"/>
              </w:rPr>
              <w:t>Activity</w:t>
            </w:r>
          </w:p>
        </w:tc>
        <w:tc>
          <w:tcPr>
            <w:tcW w:w="1769" w:type="dxa"/>
            <w:shd w:val="clear" w:color="auto" w:fill="auto"/>
          </w:tcPr>
          <w:p w:rsidR="00E878C9" w:rsidRPr="000731D3" w:rsidRDefault="00E878C9" w:rsidP="002170D5">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E878C9" w:rsidRPr="000731D3" w:rsidRDefault="00E878C9" w:rsidP="002170D5">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E878C9" w:rsidRPr="000731D3" w:rsidRDefault="00E878C9" w:rsidP="002170D5">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E878C9" w:rsidRPr="008F47CB" w:rsidTr="002170D5">
        <w:tc>
          <w:tcPr>
            <w:tcW w:w="3870" w:type="dxa"/>
            <w:vAlign w:val="bottom"/>
          </w:tcPr>
          <w:p w:rsidR="00E878C9" w:rsidRPr="008F47CB" w:rsidRDefault="00E878C9" w:rsidP="002170D5">
            <w:pPr>
              <w:rPr>
                <w:rFonts w:ascii="Times New Roman" w:hAnsi="Times New Roman"/>
                <w:sz w:val="22"/>
                <w:szCs w:val="22"/>
              </w:rPr>
            </w:pPr>
            <w:r>
              <w:rPr>
                <w:rFonts w:ascii="Times New Roman" w:hAnsi="Times New Roman"/>
                <w:sz w:val="22"/>
                <w:szCs w:val="22"/>
              </w:rPr>
              <w:t>Obtaining Price Quotes</w:t>
            </w:r>
          </w:p>
        </w:tc>
        <w:tc>
          <w:tcPr>
            <w:tcW w:w="1769"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359,000</w:t>
            </w:r>
          </w:p>
        </w:tc>
        <w:tc>
          <w:tcPr>
            <w:tcW w:w="1021"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$125.95</w:t>
            </w:r>
          </w:p>
        </w:tc>
        <w:tc>
          <w:tcPr>
            <w:tcW w:w="2088"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$45.2 million</w:t>
            </w:r>
          </w:p>
        </w:tc>
      </w:tr>
      <w:tr w:rsidR="00E878C9" w:rsidRPr="008F47CB" w:rsidTr="002170D5">
        <w:tc>
          <w:tcPr>
            <w:tcW w:w="3870" w:type="dxa"/>
            <w:vAlign w:val="bottom"/>
          </w:tcPr>
          <w:p w:rsidR="00E878C9" w:rsidRPr="008F47CB" w:rsidRDefault="00E878C9" w:rsidP="002170D5">
            <w:pPr>
              <w:rPr>
                <w:rFonts w:ascii="Times New Roman" w:hAnsi="Times New Roman"/>
                <w:sz w:val="22"/>
                <w:szCs w:val="22"/>
              </w:rPr>
            </w:pPr>
            <w:r>
              <w:rPr>
                <w:rFonts w:ascii="Times New Roman" w:hAnsi="Times New Roman"/>
                <w:sz w:val="22"/>
                <w:szCs w:val="22"/>
              </w:rPr>
              <w:t>Production and Distribution of Annual Statements</w:t>
            </w:r>
          </w:p>
        </w:tc>
        <w:tc>
          <w:tcPr>
            <w:tcW w:w="1769"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34,000</w:t>
            </w:r>
          </w:p>
        </w:tc>
        <w:tc>
          <w:tcPr>
            <w:tcW w:w="1021"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$30.42</w:t>
            </w:r>
          </w:p>
        </w:tc>
        <w:tc>
          <w:tcPr>
            <w:tcW w:w="2088"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$1 million</w:t>
            </w:r>
          </w:p>
        </w:tc>
      </w:tr>
      <w:tr w:rsidR="00E878C9" w:rsidRPr="008F47CB" w:rsidTr="002170D5">
        <w:tc>
          <w:tcPr>
            <w:tcW w:w="3870" w:type="dxa"/>
            <w:vAlign w:val="bottom"/>
          </w:tcPr>
          <w:p w:rsidR="00E878C9" w:rsidRDefault="00E878C9" w:rsidP="002170D5">
            <w:pPr>
              <w:rPr>
                <w:rFonts w:ascii="Times New Roman" w:hAnsi="Times New Roman"/>
                <w:sz w:val="22"/>
                <w:szCs w:val="22"/>
              </w:rPr>
            </w:pPr>
            <w:r>
              <w:rPr>
                <w:rFonts w:ascii="Times New Roman" w:hAnsi="Times New Roman"/>
                <w:sz w:val="22"/>
                <w:szCs w:val="22"/>
              </w:rPr>
              <w:t>Recordkeeping Clerical</w:t>
            </w:r>
          </w:p>
        </w:tc>
        <w:tc>
          <w:tcPr>
            <w:tcW w:w="1769"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700</w:t>
            </w:r>
          </w:p>
        </w:tc>
        <w:tc>
          <w:tcPr>
            <w:tcW w:w="1021"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$30.42</w:t>
            </w:r>
          </w:p>
        </w:tc>
        <w:tc>
          <w:tcPr>
            <w:tcW w:w="2088"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$21,000</w:t>
            </w:r>
          </w:p>
        </w:tc>
      </w:tr>
      <w:tr w:rsidR="00E878C9" w:rsidRPr="008F47CB" w:rsidTr="002170D5">
        <w:tc>
          <w:tcPr>
            <w:tcW w:w="3870" w:type="dxa"/>
            <w:vAlign w:val="bottom"/>
          </w:tcPr>
          <w:p w:rsidR="00E878C9" w:rsidRDefault="00E878C9" w:rsidP="002170D5">
            <w:pPr>
              <w:rPr>
                <w:rFonts w:ascii="Times New Roman" w:hAnsi="Times New Roman"/>
                <w:sz w:val="22"/>
                <w:szCs w:val="22"/>
              </w:rPr>
            </w:pPr>
            <w:r>
              <w:rPr>
                <w:rFonts w:ascii="Times New Roman" w:hAnsi="Times New Roman"/>
                <w:sz w:val="22"/>
                <w:szCs w:val="22"/>
              </w:rPr>
              <w:t>Recordkeeping Financial Manager</w:t>
            </w:r>
          </w:p>
        </w:tc>
        <w:tc>
          <w:tcPr>
            <w:tcW w:w="1769"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1,400</w:t>
            </w:r>
          </w:p>
        </w:tc>
        <w:tc>
          <w:tcPr>
            <w:tcW w:w="1021"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$125.95</w:t>
            </w:r>
          </w:p>
        </w:tc>
        <w:tc>
          <w:tcPr>
            <w:tcW w:w="2088" w:type="dxa"/>
            <w:vAlign w:val="bottom"/>
          </w:tcPr>
          <w:p w:rsidR="00E878C9" w:rsidRPr="008F47CB" w:rsidRDefault="00E878C9" w:rsidP="002170D5">
            <w:pPr>
              <w:jc w:val="right"/>
              <w:rPr>
                <w:rFonts w:ascii="Times New Roman" w:hAnsi="Times New Roman"/>
                <w:sz w:val="22"/>
                <w:szCs w:val="22"/>
              </w:rPr>
            </w:pPr>
            <w:r>
              <w:rPr>
                <w:rFonts w:ascii="Times New Roman" w:hAnsi="Times New Roman"/>
                <w:sz w:val="22"/>
                <w:szCs w:val="22"/>
              </w:rPr>
              <w:t>$176,000</w:t>
            </w:r>
          </w:p>
        </w:tc>
      </w:tr>
      <w:tr w:rsidR="00E878C9" w:rsidRPr="008F47CB" w:rsidTr="002170D5">
        <w:tc>
          <w:tcPr>
            <w:tcW w:w="3870" w:type="dxa"/>
            <w:vAlign w:val="bottom"/>
          </w:tcPr>
          <w:p w:rsidR="00E878C9" w:rsidRPr="008F47CB" w:rsidRDefault="00E878C9" w:rsidP="002170D5">
            <w:pPr>
              <w:rPr>
                <w:rFonts w:ascii="Times New Roman" w:hAnsi="Times New Roman"/>
                <w:sz w:val="22"/>
                <w:szCs w:val="22"/>
              </w:rPr>
            </w:pPr>
            <w:r>
              <w:rPr>
                <w:rFonts w:ascii="Times New Roman" w:hAnsi="Times New Roman"/>
                <w:sz w:val="22"/>
                <w:szCs w:val="22"/>
              </w:rPr>
              <w:t>Legal Review</w:t>
            </w:r>
          </w:p>
        </w:tc>
        <w:tc>
          <w:tcPr>
            <w:tcW w:w="1769" w:type="dxa"/>
            <w:vAlign w:val="bottom"/>
          </w:tcPr>
          <w:p w:rsidR="00E878C9" w:rsidRPr="008F47CB" w:rsidRDefault="00A834CA" w:rsidP="002170D5">
            <w:pPr>
              <w:jc w:val="right"/>
              <w:rPr>
                <w:rFonts w:ascii="Times New Roman" w:hAnsi="Times New Roman"/>
                <w:sz w:val="22"/>
                <w:szCs w:val="22"/>
              </w:rPr>
            </w:pPr>
            <w:r>
              <w:rPr>
                <w:rFonts w:ascii="Times New Roman" w:hAnsi="Times New Roman"/>
                <w:sz w:val="22"/>
                <w:szCs w:val="22"/>
              </w:rPr>
              <w:t>5,000</w:t>
            </w:r>
          </w:p>
        </w:tc>
        <w:tc>
          <w:tcPr>
            <w:tcW w:w="1021" w:type="dxa"/>
            <w:vAlign w:val="bottom"/>
          </w:tcPr>
          <w:p w:rsidR="00E878C9" w:rsidRPr="008F47CB" w:rsidRDefault="00A834CA" w:rsidP="002170D5">
            <w:pPr>
              <w:jc w:val="right"/>
              <w:rPr>
                <w:rFonts w:ascii="Times New Roman" w:hAnsi="Times New Roman"/>
                <w:sz w:val="22"/>
                <w:szCs w:val="22"/>
              </w:rPr>
            </w:pPr>
            <w:r>
              <w:rPr>
                <w:rFonts w:ascii="Times New Roman" w:hAnsi="Times New Roman"/>
                <w:sz w:val="22"/>
                <w:szCs w:val="22"/>
              </w:rPr>
              <w:t>$129.94</w:t>
            </w:r>
          </w:p>
        </w:tc>
        <w:tc>
          <w:tcPr>
            <w:tcW w:w="2088" w:type="dxa"/>
            <w:vAlign w:val="bottom"/>
          </w:tcPr>
          <w:p w:rsidR="00E878C9" w:rsidRPr="008F47CB" w:rsidRDefault="00A834CA" w:rsidP="002170D5">
            <w:pPr>
              <w:jc w:val="right"/>
              <w:rPr>
                <w:rFonts w:ascii="Times New Roman" w:hAnsi="Times New Roman"/>
                <w:sz w:val="22"/>
                <w:szCs w:val="22"/>
              </w:rPr>
            </w:pPr>
            <w:r>
              <w:rPr>
                <w:rFonts w:ascii="Times New Roman" w:hAnsi="Times New Roman"/>
                <w:sz w:val="22"/>
                <w:szCs w:val="22"/>
              </w:rPr>
              <w:t>$699,000</w:t>
            </w:r>
          </w:p>
        </w:tc>
      </w:tr>
      <w:tr w:rsidR="00E878C9" w:rsidRPr="008F47CB" w:rsidTr="002170D5">
        <w:tc>
          <w:tcPr>
            <w:tcW w:w="3870" w:type="dxa"/>
            <w:vAlign w:val="bottom"/>
          </w:tcPr>
          <w:p w:rsidR="00E878C9" w:rsidRPr="008F47CB" w:rsidRDefault="00E878C9" w:rsidP="002170D5">
            <w:pPr>
              <w:rPr>
                <w:rFonts w:ascii="Times New Roman" w:hAnsi="Times New Roman"/>
                <w:sz w:val="22"/>
                <w:szCs w:val="22"/>
              </w:rPr>
            </w:pPr>
            <w:r>
              <w:rPr>
                <w:rFonts w:ascii="Times New Roman" w:hAnsi="Times New Roman"/>
                <w:sz w:val="22"/>
                <w:szCs w:val="22"/>
              </w:rPr>
              <w:t>Updating IT Systems</w:t>
            </w:r>
          </w:p>
        </w:tc>
        <w:tc>
          <w:tcPr>
            <w:tcW w:w="1769" w:type="dxa"/>
            <w:vAlign w:val="bottom"/>
          </w:tcPr>
          <w:p w:rsidR="00E878C9" w:rsidRPr="008F47CB" w:rsidRDefault="00A834CA" w:rsidP="002170D5">
            <w:pPr>
              <w:jc w:val="right"/>
              <w:rPr>
                <w:rFonts w:ascii="Times New Roman" w:hAnsi="Times New Roman"/>
                <w:sz w:val="22"/>
                <w:szCs w:val="22"/>
              </w:rPr>
            </w:pPr>
            <w:r>
              <w:rPr>
                <w:rFonts w:ascii="Times New Roman" w:hAnsi="Times New Roman"/>
                <w:sz w:val="22"/>
                <w:szCs w:val="22"/>
              </w:rPr>
              <w:t>2,000</w:t>
            </w:r>
          </w:p>
        </w:tc>
        <w:tc>
          <w:tcPr>
            <w:tcW w:w="1021" w:type="dxa"/>
            <w:vAlign w:val="bottom"/>
          </w:tcPr>
          <w:p w:rsidR="00E878C9" w:rsidRPr="008F47CB" w:rsidRDefault="00A834CA" w:rsidP="002170D5">
            <w:pPr>
              <w:jc w:val="right"/>
              <w:rPr>
                <w:rFonts w:ascii="Times New Roman" w:hAnsi="Times New Roman"/>
                <w:sz w:val="22"/>
                <w:szCs w:val="22"/>
              </w:rPr>
            </w:pPr>
            <w:r>
              <w:rPr>
                <w:rFonts w:ascii="Times New Roman" w:hAnsi="Times New Roman"/>
                <w:sz w:val="22"/>
                <w:szCs w:val="22"/>
              </w:rPr>
              <w:t>$79.67</w:t>
            </w:r>
          </w:p>
        </w:tc>
        <w:tc>
          <w:tcPr>
            <w:tcW w:w="2088" w:type="dxa"/>
            <w:vAlign w:val="bottom"/>
          </w:tcPr>
          <w:p w:rsidR="00E878C9" w:rsidRPr="008F47CB" w:rsidRDefault="00A834CA" w:rsidP="002170D5">
            <w:pPr>
              <w:jc w:val="right"/>
              <w:rPr>
                <w:rFonts w:ascii="Times New Roman" w:hAnsi="Times New Roman"/>
                <w:sz w:val="22"/>
                <w:szCs w:val="22"/>
              </w:rPr>
            </w:pPr>
            <w:r>
              <w:rPr>
                <w:rFonts w:ascii="Times New Roman" w:hAnsi="Times New Roman"/>
                <w:sz w:val="22"/>
                <w:szCs w:val="22"/>
              </w:rPr>
              <w:t>$142,000</w:t>
            </w:r>
          </w:p>
        </w:tc>
      </w:tr>
      <w:tr w:rsidR="00E878C9" w:rsidRPr="008F47CB" w:rsidTr="002170D5">
        <w:tc>
          <w:tcPr>
            <w:tcW w:w="3870" w:type="dxa"/>
          </w:tcPr>
          <w:p w:rsidR="00E878C9" w:rsidRPr="008F47CB" w:rsidRDefault="00E878C9" w:rsidP="002170D5">
            <w:pPr>
              <w:rPr>
                <w:rFonts w:ascii="Times New Roman" w:hAnsi="Times New Roman"/>
                <w:b/>
                <w:i/>
                <w:sz w:val="22"/>
                <w:szCs w:val="22"/>
              </w:rPr>
            </w:pPr>
            <w:r w:rsidRPr="008F47CB">
              <w:rPr>
                <w:rFonts w:ascii="Times New Roman" w:hAnsi="Times New Roman"/>
                <w:b/>
                <w:i/>
                <w:sz w:val="22"/>
                <w:szCs w:val="22"/>
              </w:rPr>
              <w:t>Unduplicated Totals</w:t>
            </w:r>
            <w:r w:rsidR="007F3BC7">
              <w:rPr>
                <w:rFonts w:ascii="Times New Roman" w:hAnsi="Times New Roman"/>
                <w:b/>
                <w:i/>
                <w:sz w:val="22"/>
                <w:szCs w:val="22"/>
              </w:rPr>
              <w:t xml:space="preserve"> for Subsequent Years</w:t>
            </w:r>
          </w:p>
        </w:tc>
        <w:tc>
          <w:tcPr>
            <w:tcW w:w="1769" w:type="dxa"/>
            <w:vAlign w:val="bottom"/>
          </w:tcPr>
          <w:p w:rsidR="00E878C9" w:rsidRPr="008F47CB" w:rsidRDefault="00837B42" w:rsidP="002170D5">
            <w:pPr>
              <w:jc w:val="right"/>
              <w:rPr>
                <w:rFonts w:ascii="Times New Roman" w:hAnsi="Times New Roman"/>
                <w:b/>
                <w:i/>
                <w:sz w:val="22"/>
                <w:szCs w:val="22"/>
              </w:rPr>
            </w:pPr>
            <w:r>
              <w:rPr>
                <w:rFonts w:ascii="Times New Roman" w:hAnsi="Times New Roman"/>
                <w:b/>
                <w:i/>
                <w:sz w:val="22"/>
                <w:szCs w:val="22"/>
              </w:rPr>
              <w:t>402,000</w:t>
            </w:r>
          </w:p>
        </w:tc>
        <w:tc>
          <w:tcPr>
            <w:tcW w:w="1021" w:type="dxa"/>
            <w:vAlign w:val="bottom"/>
          </w:tcPr>
          <w:p w:rsidR="00E878C9" w:rsidRPr="008F47CB" w:rsidRDefault="00E878C9" w:rsidP="002170D5">
            <w:pPr>
              <w:jc w:val="right"/>
              <w:rPr>
                <w:rFonts w:ascii="Times New Roman" w:hAnsi="Times New Roman"/>
                <w:b/>
                <w:i/>
                <w:sz w:val="22"/>
                <w:szCs w:val="22"/>
              </w:rPr>
            </w:pPr>
          </w:p>
        </w:tc>
        <w:tc>
          <w:tcPr>
            <w:tcW w:w="2088" w:type="dxa"/>
            <w:vAlign w:val="bottom"/>
          </w:tcPr>
          <w:p w:rsidR="00E878C9" w:rsidRPr="008F47CB" w:rsidRDefault="00837B42" w:rsidP="002170D5">
            <w:pPr>
              <w:jc w:val="right"/>
              <w:rPr>
                <w:rFonts w:ascii="Times New Roman" w:hAnsi="Times New Roman"/>
                <w:b/>
                <w:i/>
                <w:sz w:val="22"/>
                <w:szCs w:val="22"/>
              </w:rPr>
            </w:pPr>
            <w:r>
              <w:rPr>
                <w:rFonts w:ascii="Times New Roman" w:hAnsi="Times New Roman"/>
                <w:b/>
                <w:i/>
                <w:sz w:val="22"/>
                <w:szCs w:val="22"/>
              </w:rPr>
              <w:t>$47.2 million</w:t>
            </w:r>
          </w:p>
        </w:tc>
      </w:tr>
    </w:tbl>
    <w:p w:rsidR="002E36D9" w:rsidRDefault="002E36D9" w:rsidP="008C7AA2">
      <w:pPr>
        <w:widowControl/>
        <w:ind w:left="720"/>
        <w:rPr>
          <w:rFonts w:ascii="Times New Roman" w:hAnsi="Times New Roman"/>
        </w:rPr>
      </w:pPr>
    </w:p>
    <w:p w:rsidR="00DA764F" w:rsidRDefault="002417AA" w:rsidP="008C7AA2">
      <w:pPr>
        <w:widowControl/>
        <w:ind w:left="720"/>
        <w:rPr>
          <w:rFonts w:ascii="Times New Roman" w:hAnsi="Times New Roman"/>
        </w:rPr>
      </w:pPr>
      <w:r>
        <w:rPr>
          <w:rFonts w:ascii="Times New Roman" w:hAnsi="Times New Roman"/>
        </w:rPr>
        <w:t>For purposes of reginfo.gov database entries the burden has been a</w:t>
      </w:r>
      <w:r w:rsidR="00DA764F">
        <w:rPr>
          <w:rFonts w:ascii="Times New Roman" w:hAnsi="Times New Roman"/>
        </w:rPr>
        <w:t>nnualized over the three-year approval the DOL seeks</w:t>
      </w:r>
      <w:r>
        <w:rPr>
          <w:rFonts w:ascii="Times New Roman" w:hAnsi="Times New Roman"/>
        </w:rPr>
        <w:t>—</w:t>
      </w:r>
      <w:r w:rsidR="00F22C0B">
        <w:rPr>
          <w:rFonts w:ascii="Times New Roman" w:hAnsi="Times New Roman"/>
        </w:rPr>
        <w:t xml:space="preserve">429,000 </w:t>
      </w:r>
      <w:r>
        <w:rPr>
          <w:rFonts w:ascii="Times New Roman" w:hAnsi="Times New Roman"/>
        </w:rPr>
        <w:t xml:space="preserve">hours </w:t>
      </w:r>
      <w:r w:rsidR="00F849EE">
        <w:rPr>
          <w:rFonts w:ascii="Times New Roman" w:hAnsi="Times New Roman"/>
        </w:rPr>
        <w:t xml:space="preserve">(rounded) </w:t>
      </w:r>
      <w:r w:rsidR="00F22C0B">
        <w:rPr>
          <w:rFonts w:ascii="Times New Roman" w:hAnsi="Times New Roman"/>
        </w:rPr>
        <w:t xml:space="preserve">per year </w:t>
      </w:r>
    </w:p>
    <w:p w:rsidR="00DA764F" w:rsidRPr="00235B48" w:rsidRDefault="00DA764F" w:rsidP="008C7AA2">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t>Provide an estimate of the total annual cost burden to respondents or recordkeepers resulting from the collection of information.  (Do not include the cost of any hour burden shown in Items 12 or 14).</w:t>
      </w:r>
    </w:p>
    <w:p w:rsidR="00F3670F" w:rsidRPr="00235B48" w:rsidRDefault="00F3670F" w:rsidP="008C7AA2">
      <w:pPr>
        <w:widowControl/>
        <w:ind w:left="720"/>
        <w:rPr>
          <w:rFonts w:ascii="Times New Roman" w:hAnsi="Times New Roman"/>
        </w:rPr>
      </w:pPr>
    </w:p>
    <w:p w:rsidR="00213639" w:rsidRDefault="00213639" w:rsidP="00213639">
      <w:pPr>
        <w:ind w:left="720"/>
        <w:rPr>
          <w:rFonts w:ascii="Times New Roman" w:eastAsia="MS Mincho" w:hAnsi="Times New Roman"/>
        </w:rPr>
      </w:pPr>
      <w:r>
        <w:rPr>
          <w:rFonts w:ascii="Times New Roman" w:eastAsia="MS Mincho" w:hAnsi="Times New Roman"/>
        </w:rPr>
        <w:t xml:space="preserve">The Department estimates that the information collections in this </w:t>
      </w:r>
      <w:r w:rsidR="00711A8C">
        <w:rPr>
          <w:rFonts w:ascii="Times New Roman" w:eastAsia="MS Mincho" w:hAnsi="Times New Roman"/>
        </w:rPr>
        <w:t>exemption</w:t>
      </w:r>
      <w:r w:rsidR="00FE6BC3">
        <w:rPr>
          <w:rFonts w:ascii="Times New Roman" w:eastAsia="MS Mincho" w:hAnsi="Times New Roman"/>
        </w:rPr>
        <w:t xml:space="preserve"> </w:t>
      </w:r>
      <w:r>
        <w:rPr>
          <w:rFonts w:ascii="Times New Roman" w:eastAsia="MS Mincho" w:hAnsi="Times New Roman"/>
        </w:rPr>
        <w:t>will result in approximately $</w:t>
      </w:r>
      <w:r w:rsidR="00517936">
        <w:rPr>
          <w:rFonts w:ascii="Times New Roman" w:eastAsia="MS Mincho" w:hAnsi="Times New Roman"/>
        </w:rPr>
        <w:t>5</w:t>
      </w:r>
      <w:r w:rsidR="00837B42">
        <w:rPr>
          <w:rFonts w:ascii="Times New Roman" w:eastAsia="MS Mincho" w:hAnsi="Times New Roman"/>
        </w:rPr>
        <w:t>48</w:t>
      </w:r>
      <w:r w:rsidR="00A7150D">
        <w:rPr>
          <w:rFonts w:ascii="Times New Roman" w:eastAsia="MS Mincho" w:hAnsi="Times New Roman"/>
        </w:rPr>
        <w:t>,000</w:t>
      </w:r>
      <w:r>
        <w:rPr>
          <w:rFonts w:ascii="Times New Roman" w:eastAsia="MS Mincho" w:hAnsi="Times New Roman"/>
        </w:rPr>
        <w:t xml:space="preserve"> of</w:t>
      </w:r>
      <w:r w:rsidR="00C15213">
        <w:rPr>
          <w:rFonts w:ascii="Times New Roman" w:eastAsia="MS Mincho" w:hAnsi="Times New Roman"/>
        </w:rPr>
        <w:t xml:space="preserve"> cost</w:t>
      </w:r>
      <w:r>
        <w:rPr>
          <w:rFonts w:ascii="Times New Roman" w:eastAsia="MS Mincho" w:hAnsi="Times New Roman"/>
        </w:rPr>
        <w:t xml:space="preserve"> burden </w:t>
      </w:r>
      <w:r w:rsidR="00A7150D">
        <w:rPr>
          <w:rFonts w:ascii="Times New Roman" w:eastAsia="MS Mincho" w:hAnsi="Times New Roman"/>
        </w:rPr>
        <w:t>annually</w:t>
      </w:r>
      <w:r>
        <w:rPr>
          <w:rFonts w:ascii="Times New Roman" w:eastAsia="MS Mincho" w:hAnsi="Times New Roman"/>
        </w:rPr>
        <w:t xml:space="preserve">.  </w:t>
      </w:r>
      <w:r w:rsidR="00DF22B6">
        <w:rPr>
          <w:rFonts w:ascii="Times New Roman" w:eastAsia="MS Mincho" w:hAnsi="Times New Roman"/>
        </w:rPr>
        <w:t>Th</w:t>
      </w:r>
      <w:r w:rsidR="00C15213">
        <w:rPr>
          <w:rFonts w:ascii="Times New Roman" w:eastAsia="MS Mincho" w:hAnsi="Times New Roman"/>
        </w:rPr>
        <w:t>is</w:t>
      </w:r>
      <w:r w:rsidR="00B12F80">
        <w:rPr>
          <w:rFonts w:ascii="Times New Roman" w:eastAsia="MS Mincho" w:hAnsi="Times New Roman"/>
        </w:rPr>
        <w:t xml:space="preserve"> </w:t>
      </w:r>
      <w:r w:rsidR="00DF22B6">
        <w:rPr>
          <w:rFonts w:ascii="Times New Roman" w:eastAsia="MS Mincho" w:hAnsi="Times New Roman"/>
        </w:rPr>
        <w:t xml:space="preserve">entire </w:t>
      </w:r>
      <w:r w:rsidR="00B12F80">
        <w:rPr>
          <w:rFonts w:ascii="Times New Roman" w:eastAsia="MS Mincho" w:hAnsi="Times New Roman"/>
        </w:rPr>
        <w:t xml:space="preserve">burden is </w:t>
      </w:r>
      <w:r w:rsidR="00C15213">
        <w:rPr>
          <w:rFonts w:ascii="Times New Roman" w:eastAsia="MS Mincho" w:hAnsi="Times New Roman"/>
        </w:rPr>
        <w:t xml:space="preserve">associated with </w:t>
      </w:r>
      <w:r w:rsidR="00B12F80">
        <w:rPr>
          <w:rFonts w:ascii="Times New Roman" w:eastAsia="MS Mincho" w:hAnsi="Times New Roman"/>
        </w:rPr>
        <w:t xml:space="preserve">materials and postage costs </w:t>
      </w:r>
      <w:r w:rsidR="00C15213">
        <w:rPr>
          <w:rFonts w:ascii="Times New Roman" w:eastAsia="MS Mincho" w:hAnsi="Times New Roman"/>
        </w:rPr>
        <w:t xml:space="preserve">to print and mail </w:t>
      </w:r>
      <w:r w:rsidR="00B12F80">
        <w:rPr>
          <w:rFonts w:ascii="Times New Roman" w:eastAsia="MS Mincho" w:hAnsi="Times New Roman"/>
        </w:rPr>
        <w:t xml:space="preserve">paper copies of </w:t>
      </w:r>
      <w:r w:rsidR="00A7150D">
        <w:rPr>
          <w:rFonts w:ascii="Times New Roman" w:eastAsia="MS Mincho" w:hAnsi="Times New Roman"/>
        </w:rPr>
        <w:t>annual statements</w:t>
      </w:r>
      <w:r w:rsidR="00B12F80">
        <w:rPr>
          <w:rFonts w:ascii="Times New Roman" w:eastAsia="MS Mincho" w:hAnsi="Times New Roman"/>
        </w:rPr>
        <w:t xml:space="preserve">.  </w:t>
      </w:r>
      <w:r w:rsidR="00B4177A">
        <w:rPr>
          <w:rFonts w:ascii="Times New Roman" w:eastAsia="MS Mincho" w:hAnsi="Times New Roman"/>
        </w:rPr>
        <w:t>Electronic distribution and hand delivery are both assume</w:t>
      </w:r>
      <w:r w:rsidR="00A7150D">
        <w:rPr>
          <w:rFonts w:ascii="Times New Roman" w:eastAsia="MS Mincho" w:hAnsi="Times New Roman"/>
        </w:rPr>
        <w:t>d</w:t>
      </w:r>
      <w:r w:rsidR="00B4177A">
        <w:rPr>
          <w:rFonts w:ascii="Times New Roman" w:eastAsia="MS Mincho" w:hAnsi="Times New Roman"/>
        </w:rPr>
        <w:t xml:space="preserve"> to result in a de minimis cost.  All other burden associated with these information collections is reflected</w:t>
      </w:r>
      <w:r w:rsidR="00C15213">
        <w:rPr>
          <w:rFonts w:ascii="Times New Roman" w:eastAsia="MS Mincho" w:hAnsi="Times New Roman"/>
        </w:rPr>
        <w:t xml:space="preserve"> as hour burden</w:t>
      </w:r>
      <w:r w:rsidR="00B4177A">
        <w:rPr>
          <w:rFonts w:ascii="Times New Roman" w:eastAsia="MS Mincho" w:hAnsi="Times New Roman"/>
        </w:rPr>
        <w:t xml:space="preserve"> in question 12.</w:t>
      </w:r>
    </w:p>
    <w:p w:rsidR="00213639" w:rsidRDefault="00213639" w:rsidP="00213639">
      <w:pPr>
        <w:ind w:left="720"/>
        <w:rPr>
          <w:rFonts w:ascii="Times New Roman" w:eastAsia="MS Mincho" w:hAnsi="Times New Roman"/>
        </w:rPr>
      </w:pPr>
    </w:p>
    <w:p w:rsidR="00A246C4" w:rsidRDefault="004E6238" w:rsidP="008C7AA2">
      <w:pPr>
        <w:widowControl/>
        <w:ind w:left="720"/>
        <w:rPr>
          <w:rFonts w:ascii="Times New Roman" w:hAnsi="Times New Roman"/>
        </w:rPr>
      </w:pPr>
      <w:r>
        <w:rPr>
          <w:rFonts w:ascii="Times New Roman" w:hAnsi="Times New Roman"/>
        </w:rPr>
        <w:t xml:space="preserve">As discussed in question 12, the Department estimates that </w:t>
      </w:r>
      <w:r w:rsidR="00C21020">
        <w:rPr>
          <w:rFonts w:ascii="Times New Roman" w:hAnsi="Times New Roman"/>
        </w:rPr>
        <w:t xml:space="preserve">respondents will </w:t>
      </w:r>
      <w:r w:rsidR="00F73043">
        <w:rPr>
          <w:rFonts w:ascii="Times New Roman" w:hAnsi="Times New Roman"/>
        </w:rPr>
        <w:t xml:space="preserve">mail </w:t>
      </w:r>
      <w:r w:rsidR="00C15213">
        <w:rPr>
          <w:rFonts w:ascii="Times New Roman" w:hAnsi="Times New Roman"/>
        </w:rPr>
        <w:t>one</w:t>
      </w:r>
      <w:r w:rsidR="00517936">
        <w:rPr>
          <w:rFonts w:ascii="Times New Roman" w:hAnsi="Times New Roman"/>
        </w:rPr>
        <w:t xml:space="preserve"> million</w:t>
      </w:r>
      <w:r w:rsidR="00F73043">
        <w:rPr>
          <w:rFonts w:ascii="Times New Roman" w:hAnsi="Times New Roman"/>
        </w:rPr>
        <w:t xml:space="preserve"> paper one-page </w:t>
      </w:r>
      <w:r w:rsidR="00DD0EA7">
        <w:rPr>
          <w:rFonts w:ascii="Times New Roman" w:hAnsi="Times New Roman"/>
        </w:rPr>
        <w:t xml:space="preserve">annual </w:t>
      </w:r>
      <w:r w:rsidR="00F73043">
        <w:rPr>
          <w:rFonts w:ascii="Times New Roman" w:hAnsi="Times New Roman"/>
        </w:rPr>
        <w:t>statements</w:t>
      </w:r>
      <w:r w:rsidR="004A57CF">
        <w:rPr>
          <w:rFonts w:ascii="Times New Roman" w:hAnsi="Times New Roman"/>
        </w:rPr>
        <w:t>.</w:t>
      </w:r>
      <w:r w:rsidR="00F73043">
        <w:rPr>
          <w:rFonts w:ascii="Times New Roman" w:hAnsi="Times New Roman"/>
        </w:rPr>
        <w:t xml:space="preserve">  </w:t>
      </w:r>
      <w:r w:rsidR="00EF459B">
        <w:rPr>
          <w:rFonts w:ascii="Times New Roman" w:hAnsi="Times New Roman"/>
        </w:rPr>
        <w:t>The Department estimates that respondents will incur a $0.05 materials cost per page and a $0.49 postage cost per mailed disclosure.</w:t>
      </w:r>
      <w:r w:rsidR="005C6D5B">
        <w:rPr>
          <w:rFonts w:ascii="Times New Roman" w:hAnsi="Times New Roman"/>
        </w:rPr>
        <w:t xml:space="preserve">  Therefore, respondents will incur a materials and postage cost of $</w:t>
      </w:r>
      <w:r w:rsidR="00E82ED7">
        <w:rPr>
          <w:rFonts w:ascii="Times New Roman" w:hAnsi="Times New Roman"/>
        </w:rPr>
        <w:t>5</w:t>
      </w:r>
      <w:r w:rsidR="00FF3CCB">
        <w:rPr>
          <w:rFonts w:ascii="Times New Roman" w:hAnsi="Times New Roman"/>
        </w:rPr>
        <w:t>48</w:t>
      </w:r>
      <w:r w:rsidR="00F73043">
        <w:rPr>
          <w:rFonts w:ascii="Times New Roman" w:hAnsi="Times New Roman"/>
        </w:rPr>
        <w:t>,000 for annual statements</w:t>
      </w:r>
      <w:r w:rsidR="008B2372">
        <w:rPr>
          <w:rFonts w:ascii="Times New Roman" w:hAnsi="Times New Roman"/>
        </w:rPr>
        <w:t>.</w:t>
      </w:r>
      <w:r w:rsidR="005222C3" w:rsidRPr="004D5A1F">
        <w:rPr>
          <w:rStyle w:val="FootnoteReference"/>
          <w:rFonts w:ascii="Times New Roman" w:hAnsi="Times New Roman"/>
          <w:vertAlign w:val="superscript"/>
        </w:rPr>
        <w:footnoteReference w:id="31"/>
      </w:r>
    </w:p>
    <w:p w:rsidR="00AF6A04" w:rsidRPr="00235B48" w:rsidRDefault="00AF6A04" w:rsidP="008C7AA2">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C13" w:rsidRPr="00235B48" w:rsidRDefault="00C97C13" w:rsidP="008C7AA2">
      <w:pPr>
        <w:pStyle w:val="Quick1"/>
        <w:widowControl/>
        <w:numPr>
          <w:ilvl w:val="0"/>
          <w:numId w:val="0"/>
        </w:numPr>
        <w:tabs>
          <w:tab w:val="left" w:pos="-1440"/>
        </w:tabs>
        <w:ind w:left="720"/>
        <w:rPr>
          <w:rFonts w:ascii="Times New Roman" w:hAnsi="Times New Roman"/>
          <w:i/>
          <w:iCs/>
          <w:sz w:val="20"/>
          <w:szCs w:val="20"/>
        </w:rPr>
      </w:pPr>
    </w:p>
    <w:p w:rsidR="00BE3D72" w:rsidRDefault="00DD0EA7" w:rsidP="008C7AA2">
      <w:pPr>
        <w:widowControl/>
        <w:ind w:left="720"/>
        <w:rPr>
          <w:rFonts w:ascii="Times New Roman" w:hAnsi="Times New Roman"/>
        </w:rPr>
      </w:pPr>
      <w:r>
        <w:rPr>
          <w:rFonts w:ascii="Times New Roman" w:hAnsi="Times New Roman"/>
        </w:rPr>
        <w:t>No cost to the Federal Government.</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rsidR="00F3670F" w:rsidRPr="00235B48" w:rsidRDefault="00F3670F" w:rsidP="008C7AA2">
      <w:pPr>
        <w:widowControl/>
        <w:ind w:left="720"/>
        <w:rPr>
          <w:rFonts w:ascii="Times New Roman" w:hAnsi="Times New Roman"/>
        </w:rPr>
      </w:pPr>
    </w:p>
    <w:p w:rsidR="00BE3D72" w:rsidRDefault="003D5BAC" w:rsidP="008C7AA2">
      <w:pPr>
        <w:widowControl/>
        <w:ind w:left="720"/>
        <w:rPr>
          <w:rFonts w:ascii="Times New Roman" w:hAnsi="Times New Roman"/>
        </w:rPr>
      </w:pPr>
      <w:r>
        <w:rPr>
          <w:rFonts w:ascii="Times New Roman" w:hAnsi="Times New Roman"/>
        </w:rPr>
        <w:t>Not applicable.</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6B52" w:rsidRPr="00176829" w:rsidRDefault="00586B52" w:rsidP="00176829">
      <w:pPr>
        <w:ind w:left="720"/>
        <w:rPr>
          <w:rFonts w:ascii="Times New Roman" w:hAnsi="Times New Roman"/>
        </w:rPr>
      </w:pPr>
    </w:p>
    <w:p w:rsidR="00586B52" w:rsidRPr="00176829" w:rsidRDefault="00586B52" w:rsidP="00176829">
      <w:pPr>
        <w:ind w:left="720"/>
        <w:rPr>
          <w:rFonts w:ascii="Times New Roman" w:hAnsi="Times New Roman"/>
        </w:rPr>
      </w:pPr>
      <w:r w:rsidRPr="00176829">
        <w:rPr>
          <w:rFonts w:ascii="Times New Roman" w:hAnsi="Times New Roman"/>
        </w:rPr>
        <w:t>There are no plans to publish results of this information collection.</w:t>
      </w:r>
    </w:p>
    <w:p w:rsidR="00BE3D72" w:rsidRPr="00176829" w:rsidRDefault="00BE3D72" w:rsidP="00176829">
      <w:pPr>
        <w:ind w:left="720"/>
        <w:rPr>
          <w:rFonts w:ascii="Times New Roman" w:hAnsi="Times New Roman"/>
        </w:rPr>
      </w:pPr>
    </w:p>
    <w:p w:rsidR="00F3670F" w:rsidRPr="00235B48" w:rsidRDefault="00F3670F" w:rsidP="00235B48">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rsidR="00CC65B0" w:rsidRPr="00235B48" w:rsidRDefault="00CC65B0" w:rsidP="00176829">
      <w:pPr>
        <w:widowControl/>
        <w:tabs>
          <w:tab w:val="left" w:pos="-1440"/>
        </w:tabs>
        <w:ind w:left="720"/>
        <w:rPr>
          <w:rFonts w:ascii="Times New Roman" w:hAnsi="Times New Roman"/>
          <w:i/>
          <w:iCs/>
          <w:sz w:val="20"/>
          <w:szCs w:val="20"/>
        </w:rPr>
      </w:pPr>
    </w:p>
    <w:p w:rsidR="0098013F" w:rsidRDefault="0098013F" w:rsidP="00176829">
      <w:pPr>
        <w:ind w:left="720"/>
        <w:rPr>
          <w:rFonts w:ascii="Times New Roman" w:hAnsi="Times New Roman"/>
        </w:rPr>
      </w:pPr>
      <w:r>
        <w:rPr>
          <w:rFonts w:ascii="Times New Roman" w:hAnsi="Times New Roman"/>
        </w:rPr>
        <w:t>The collection of information will display a currently valid OMB control number.</w:t>
      </w:r>
    </w:p>
    <w:p w:rsidR="00475204" w:rsidRPr="00235B48" w:rsidRDefault="00475204" w:rsidP="00176829">
      <w:pPr>
        <w:widowControl/>
        <w:tabs>
          <w:tab w:val="left" w:pos="-1440"/>
        </w:tabs>
        <w:ind w:left="720"/>
        <w:rPr>
          <w:rFonts w:ascii="Times New Roman" w:hAnsi="Times New Roman"/>
          <w:i/>
          <w:iCs/>
          <w:sz w:val="20"/>
          <w:szCs w:val="20"/>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w:t>
      </w:r>
      <w:r w:rsidR="008963C3">
        <w:rPr>
          <w:rFonts w:ascii="Times New Roman" w:hAnsi="Times New Roman"/>
          <w:i/>
          <w:iCs/>
          <w:sz w:val="20"/>
          <w:szCs w:val="20"/>
        </w:rPr>
        <w:t>.</w:t>
      </w:r>
      <w:r w:rsidRPr="00235B48">
        <w:rPr>
          <w:rFonts w:ascii="Times New Roman" w:hAnsi="Times New Roman"/>
          <w:i/>
          <w:iCs/>
          <w:sz w:val="20"/>
          <w:szCs w:val="20"/>
        </w:rPr>
        <w:t>"</w:t>
      </w:r>
    </w:p>
    <w:p w:rsidR="00F3670F" w:rsidRPr="00235B48" w:rsidRDefault="00F3670F" w:rsidP="00176829">
      <w:pPr>
        <w:widowControl/>
        <w:ind w:left="720"/>
        <w:rPr>
          <w:rFonts w:ascii="Times New Roman" w:hAnsi="Times New Roman"/>
        </w:rPr>
      </w:pPr>
    </w:p>
    <w:p w:rsidR="00586B52" w:rsidRDefault="00586B52" w:rsidP="00176829">
      <w:pPr>
        <w:widowControl/>
        <w:ind w:left="720"/>
        <w:rPr>
          <w:rFonts w:ascii="Times New Roman" w:hAnsi="Times New Roman"/>
        </w:rPr>
      </w:pPr>
      <w:r w:rsidRPr="00235B48">
        <w:rPr>
          <w:rFonts w:ascii="Times New Roman" w:hAnsi="Times New Roman"/>
        </w:rPr>
        <w:t>None.</w:t>
      </w:r>
    </w:p>
    <w:p w:rsidR="00475204" w:rsidRDefault="00475204" w:rsidP="00176829">
      <w:pPr>
        <w:widowControl/>
        <w:ind w:left="720"/>
        <w:rPr>
          <w:rFonts w:ascii="Times New Roman" w:hAnsi="Times New Roman"/>
        </w:rPr>
      </w:pPr>
    </w:p>
    <w:p w:rsidR="00475204" w:rsidRDefault="00475204" w:rsidP="00475204">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rsidR="00475204" w:rsidRDefault="00475204" w:rsidP="00176829">
      <w:pPr>
        <w:widowControl/>
        <w:ind w:left="720"/>
        <w:outlineLvl w:val="0"/>
        <w:rPr>
          <w:rFonts w:ascii="Times New Roman" w:hAnsi="Times New Roman"/>
          <w:bCs/>
        </w:rPr>
      </w:pPr>
    </w:p>
    <w:p w:rsidR="00475204" w:rsidRPr="00475204" w:rsidRDefault="00475204" w:rsidP="00176829">
      <w:pPr>
        <w:widowControl/>
        <w:ind w:left="720"/>
        <w:outlineLvl w:val="0"/>
        <w:rPr>
          <w:rFonts w:ascii="Times New Roman" w:hAnsi="Times New Roman"/>
        </w:rPr>
      </w:pPr>
      <w:r>
        <w:rPr>
          <w:rFonts w:ascii="Times New Roman" w:hAnsi="Times New Roman"/>
          <w:bCs/>
        </w:rPr>
        <w:t>This information collection does not employ statistical methods.</w:t>
      </w:r>
    </w:p>
    <w:p w:rsidR="00475204" w:rsidRPr="00235B48" w:rsidRDefault="00475204" w:rsidP="00176829">
      <w:pPr>
        <w:widowControl/>
        <w:ind w:left="720"/>
        <w:rPr>
          <w:rFonts w:ascii="Times New Roman" w:hAnsi="Times New Roman"/>
        </w:rPr>
      </w:pPr>
    </w:p>
    <w:sectPr w:rsidR="00475204" w:rsidRPr="00235B4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354" w:right="1440" w:bottom="1440" w:left="1440" w:header="1354"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6EB493" w15:done="0"/>
  <w15:commentEx w15:paraId="28126DC8" w15:done="0"/>
  <w15:commentEx w15:paraId="660A473A" w15:done="0"/>
  <w15:commentEx w15:paraId="335B7767" w15:done="0"/>
  <w15:commentEx w15:paraId="5340DE0A" w15:done="0"/>
  <w15:commentEx w15:paraId="74A45E97" w15:done="0"/>
  <w15:commentEx w15:paraId="6A47E908" w15:done="0"/>
  <w15:commentEx w15:paraId="57008382" w15:done="0"/>
  <w15:commentEx w15:paraId="061DE999" w15:done="0"/>
  <w15:commentEx w15:paraId="7C44F3F6" w15:done="0"/>
  <w15:commentEx w15:paraId="1D8CE9F9" w15:done="0"/>
  <w15:commentEx w15:paraId="16209BBF" w15:done="0"/>
  <w15:commentEx w15:paraId="29AAC51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97" w:rsidRDefault="00F10C97">
      <w:r>
        <w:separator/>
      </w:r>
    </w:p>
  </w:endnote>
  <w:endnote w:type="continuationSeparator" w:id="0">
    <w:p w:rsidR="00F10C97" w:rsidRDefault="00F1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7F" w:rsidRDefault="00054E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3D" w:rsidRDefault="0095653D" w:rsidP="00541F6D">
    <w:pPr>
      <w:pStyle w:val="Footer"/>
      <w:jc w:val="center"/>
    </w:pPr>
  </w:p>
  <w:p w:rsidR="00541F6D" w:rsidRDefault="00541F6D" w:rsidP="00541F6D">
    <w:pPr>
      <w:pStyle w:val="Footer"/>
      <w:jc w:val="center"/>
    </w:pPr>
    <w:r>
      <w:fldChar w:fldCharType="begin"/>
    </w:r>
    <w:r>
      <w:instrText xml:space="preserve"> PAGE   \* MERGEFORMAT </w:instrText>
    </w:r>
    <w:r>
      <w:fldChar w:fldCharType="separate"/>
    </w:r>
    <w:r w:rsidR="00A80E41">
      <w:rPr>
        <w:noProof/>
      </w:rPr>
      <w:t>4</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7F" w:rsidRDefault="00054E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97" w:rsidRDefault="00F10C97">
      <w:r>
        <w:separator/>
      </w:r>
    </w:p>
  </w:footnote>
  <w:footnote w:type="continuationSeparator" w:id="0">
    <w:p w:rsidR="00F10C97" w:rsidRDefault="00F10C97">
      <w:r>
        <w:continuationSeparator/>
      </w:r>
    </w:p>
  </w:footnote>
  <w:footnote w:id="1">
    <w:p w:rsidR="00C94150" w:rsidRPr="008B4B49" w:rsidRDefault="00C94150" w:rsidP="00C94150">
      <w:pPr>
        <w:pStyle w:val="FootnoteText"/>
        <w:rPr>
          <w:rFonts w:ascii="Times New Roman" w:hAnsi="Times New Roman"/>
          <w:sz w:val="24"/>
          <w:szCs w:val="24"/>
        </w:rPr>
      </w:pPr>
      <w:r w:rsidRPr="000D4E90">
        <w:rPr>
          <w:rStyle w:val="FootnoteReference"/>
          <w:vertAlign w:val="superscript"/>
        </w:rPr>
        <w:footnoteRef/>
      </w:r>
      <w:r>
        <w:t xml:space="preserve"> </w:t>
      </w:r>
      <w:r w:rsidRPr="008B4B49">
        <w:rPr>
          <w:rFonts w:ascii="Times New Roman" w:hAnsi="Times New Roman"/>
          <w:sz w:val="24"/>
          <w:szCs w:val="24"/>
        </w:rPr>
        <w:t>17 CFR section 240.10b-10.</w:t>
      </w:r>
    </w:p>
  </w:footnote>
  <w:footnote w:id="2">
    <w:p w:rsidR="00EE29BE" w:rsidRPr="00041FFB" w:rsidRDefault="00EE29BE">
      <w:pPr>
        <w:pStyle w:val="FootnoteText"/>
        <w:rPr>
          <w:rFonts w:ascii="Times New Roman" w:hAnsi="Times New Roman"/>
        </w:rPr>
      </w:pPr>
      <w:r w:rsidRPr="00041FFB">
        <w:rPr>
          <w:rStyle w:val="FootnoteReference"/>
          <w:rFonts w:ascii="Times New Roman" w:hAnsi="Times New Roman"/>
          <w:vertAlign w:val="superscript"/>
        </w:rPr>
        <w:footnoteRef/>
      </w:r>
      <w:r w:rsidRPr="00041FFB">
        <w:rPr>
          <w:rFonts w:ascii="Times New Roman" w:hAnsi="Times New Roman"/>
        </w:rPr>
        <w:t xml:space="preserve"> </w:t>
      </w:r>
      <w:r w:rsidR="008B1015" w:rsidRPr="008B1015">
        <w:rPr>
          <w:rFonts w:ascii="Times New Roman" w:hAnsi="Times New Roman"/>
        </w:rPr>
        <w:t>This number is calculated by adding the 14% of load mutual funds in 401(k) plans according to Figure A2 and the 12% of 12b-1 fees in &gt;.0 to 0.25 of 401(k) Stock Mutual Fund Assets in Figure A6 both of ICI Research Perspective, Vol. 20 No.3 of July 2014.</w:t>
      </w:r>
    </w:p>
  </w:footnote>
  <w:footnote w:id="3">
    <w:p w:rsidR="00041FFB" w:rsidRPr="00D6108E" w:rsidRDefault="00041FFB">
      <w:pPr>
        <w:pStyle w:val="FootnoteText"/>
        <w:rPr>
          <w:rFonts w:ascii="Times New Roman" w:hAnsi="Times New Roman"/>
        </w:rPr>
      </w:pPr>
      <w:r w:rsidRPr="00D6108E">
        <w:rPr>
          <w:rStyle w:val="FootnoteReference"/>
          <w:rFonts w:ascii="Times New Roman" w:hAnsi="Times New Roman"/>
          <w:vertAlign w:val="superscript"/>
        </w:rPr>
        <w:footnoteRef/>
      </w:r>
      <w:r w:rsidRPr="00D6108E">
        <w:rPr>
          <w:rFonts w:ascii="Times New Roman" w:hAnsi="Times New Roman"/>
        </w:rPr>
        <w:t xml:space="preserve"> </w:t>
      </w:r>
      <w:r w:rsidR="00E56F96" w:rsidRPr="00E56F96">
        <w:rPr>
          <w:rFonts w:ascii="Times New Roman" w:hAnsi="Times New Roman"/>
        </w:rPr>
        <w:t>Figure A15 of ICI's January 2015 Appendix:  Additional Data on IRA Ownership in 2014 states that 37 percent of traditional IRAs with rollovers are held by full-service brokerages.</w:t>
      </w:r>
    </w:p>
  </w:footnote>
  <w:footnote w:id="4">
    <w:p w:rsidR="00C31E44" w:rsidRPr="00E60A1A" w:rsidRDefault="00C31E44"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sidR="004D6212">
        <w:rPr>
          <w:rFonts w:ascii="Times New Roman" w:hAnsi="Times New Roman"/>
        </w:rPr>
        <w:t>44</w:t>
      </w:r>
      <w:r w:rsidRPr="00E60A1A">
        <w:rPr>
          <w:rFonts w:ascii="Times New Roman" w:hAnsi="Times New Roman"/>
        </w:rPr>
        <w:t xml:space="preserve">,000 DB plans x 20 percent </w:t>
      </w:r>
      <w:r w:rsidR="004D6212">
        <w:rPr>
          <w:rFonts w:ascii="Times New Roman" w:hAnsi="Times New Roman"/>
        </w:rPr>
        <w:t xml:space="preserve">x 10 percent </w:t>
      </w:r>
      <w:r w:rsidRPr="00E60A1A">
        <w:rPr>
          <w:rFonts w:ascii="Times New Roman" w:hAnsi="Times New Roman"/>
        </w:rPr>
        <w:t xml:space="preserve">= </w:t>
      </w:r>
      <w:r w:rsidR="004D6212">
        <w:rPr>
          <w:rFonts w:ascii="Times New Roman" w:hAnsi="Times New Roman"/>
        </w:rPr>
        <w:t>900</w:t>
      </w:r>
      <w:r w:rsidRPr="00E60A1A">
        <w:rPr>
          <w:rFonts w:ascii="Times New Roman" w:hAnsi="Times New Roman"/>
        </w:rPr>
        <w:t xml:space="preserve"> DB plans engaging in transactions.</w:t>
      </w:r>
    </w:p>
  </w:footnote>
  <w:footnote w:id="5">
    <w:p w:rsidR="00C31E44" w:rsidRPr="00E60A1A" w:rsidRDefault="00C31E44"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sidRPr="00E60A1A">
        <w:rPr>
          <w:rFonts w:ascii="Times New Roman" w:hAnsi="Times New Roman"/>
        </w:rPr>
        <w:t>1</w:t>
      </w:r>
      <w:r w:rsidR="004D6212">
        <w:rPr>
          <w:rFonts w:ascii="Times New Roman" w:hAnsi="Times New Roman"/>
        </w:rPr>
        <w:t>24</w:t>
      </w:r>
      <w:r w:rsidRPr="00E60A1A">
        <w:rPr>
          <w:rFonts w:ascii="Times New Roman" w:hAnsi="Times New Roman"/>
        </w:rPr>
        <w:t xml:space="preserve">,000 DC plans x </w:t>
      </w:r>
      <w:r w:rsidR="00B822C3">
        <w:rPr>
          <w:rFonts w:ascii="Times New Roman" w:hAnsi="Times New Roman"/>
        </w:rPr>
        <w:t>2</w:t>
      </w:r>
      <w:r w:rsidRPr="00E60A1A">
        <w:rPr>
          <w:rFonts w:ascii="Times New Roman" w:hAnsi="Times New Roman"/>
        </w:rPr>
        <w:t>6 percent</w:t>
      </w:r>
      <w:r w:rsidR="004D6212">
        <w:rPr>
          <w:rFonts w:ascii="Times New Roman" w:hAnsi="Times New Roman"/>
        </w:rPr>
        <w:t xml:space="preserve"> x 10 percent </w:t>
      </w:r>
      <w:r w:rsidRPr="00E60A1A">
        <w:rPr>
          <w:rFonts w:ascii="Times New Roman" w:hAnsi="Times New Roman"/>
        </w:rPr>
        <w:t xml:space="preserve"> = </w:t>
      </w:r>
      <w:r w:rsidR="00B822C3">
        <w:rPr>
          <w:rFonts w:ascii="Times New Roman" w:hAnsi="Times New Roman"/>
        </w:rPr>
        <w:t>3</w:t>
      </w:r>
      <w:r w:rsidRPr="00E60A1A">
        <w:rPr>
          <w:rFonts w:ascii="Times New Roman" w:hAnsi="Times New Roman"/>
        </w:rPr>
        <w:t>,000 DC plans engaging in transactions.</w:t>
      </w:r>
    </w:p>
  </w:footnote>
  <w:footnote w:id="6">
    <w:p w:rsidR="00C31E44" w:rsidRPr="00E60A1A" w:rsidRDefault="00C31E44"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E60A1A">
        <w:rPr>
          <w:rFonts w:ascii="Times New Roman" w:hAnsi="Times New Roman"/>
        </w:rPr>
        <w:t xml:space="preserve"> 68 million DC plan participants x </w:t>
      </w:r>
      <w:r w:rsidR="00FE0E11">
        <w:rPr>
          <w:rFonts w:ascii="Times New Roman" w:hAnsi="Times New Roman"/>
        </w:rPr>
        <w:t>2</w:t>
      </w:r>
      <w:r w:rsidRPr="00E60A1A">
        <w:rPr>
          <w:rFonts w:ascii="Times New Roman" w:hAnsi="Times New Roman"/>
        </w:rPr>
        <w:t xml:space="preserve">6 percent x 6.16 percent </w:t>
      </w:r>
      <w:r w:rsidR="00734BC2">
        <w:rPr>
          <w:rFonts w:ascii="Times New Roman" w:hAnsi="Times New Roman"/>
        </w:rPr>
        <w:t xml:space="preserve">x 1 percent </w:t>
      </w:r>
      <w:r w:rsidRPr="00E60A1A">
        <w:rPr>
          <w:rFonts w:ascii="Times New Roman" w:hAnsi="Times New Roman"/>
        </w:rPr>
        <w:t>= 1</w:t>
      </w:r>
      <w:r w:rsidR="00FE0E11">
        <w:rPr>
          <w:rFonts w:ascii="Times New Roman" w:hAnsi="Times New Roman"/>
        </w:rPr>
        <w:t>1</w:t>
      </w:r>
      <w:r w:rsidR="00734BC2">
        <w:rPr>
          <w:rFonts w:ascii="Times New Roman" w:hAnsi="Times New Roman"/>
        </w:rPr>
        <w:t>,000</w:t>
      </w:r>
      <w:r w:rsidRPr="00E60A1A">
        <w:rPr>
          <w:rFonts w:ascii="Times New Roman" w:hAnsi="Times New Roman"/>
        </w:rPr>
        <w:t xml:space="preserve"> DC plan participants engaging in transactions.</w:t>
      </w:r>
    </w:p>
  </w:footnote>
  <w:footnote w:id="7">
    <w:p w:rsidR="00C31E44" w:rsidRPr="00E60A1A" w:rsidRDefault="00C31E44"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E60A1A">
        <w:rPr>
          <w:rFonts w:ascii="Times New Roman" w:hAnsi="Times New Roman"/>
        </w:rPr>
        <w:t xml:space="preserve"> </w:t>
      </w:r>
      <w:r>
        <w:rPr>
          <w:rFonts w:ascii="Times New Roman" w:hAnsi="Times New Roman"/>
        </w:rPr>
        <w:t>54.5 million IRAs x 3</w:t>
      </w:r>
      <w:r w:rsidR="00FE0E11">
        <w:rPr>
          <w:rFonts w:ascii="Times New Roman" w:hAnsi="Times New Roman"/>
        </w:rPr>
        <w:t>7</w:t>
      </w:r>
      <w:r>
        <w:rPr>
          <w:rFonts w:ascii="Times New Roman" w:hAnsi="Times New Roman"/>
        </w:rPr>
        <w:t xml:space="preserve"> percent </w:t>
      </w:r>
      <w:r w:rsidR="00803F5A">
        <w:rPr>
          <w:rFonts w:ascii="Times New Roman" w:hAnsi="Times New Roman"/>
        </w:rPr>
        <w:t>x 10 percent</w:t>
      </w:r>
      <w:r>
        <w:rPr>
          <w:rFonts w:ascii="Times New Roman" w:hAnsi="Times New Roman"/>
        </w:rPr>
        <w:t xml:space="preserve"> = </w:t>
      </w:r>
      <w:r w:rsidR="00323523">
        <w:rPr>
          <w:rFonts w:ascii="Times New Roman" w:hAnsi="Times New Roman"/>
        </w:rPr>
        <w:t>2.1 million</w:t>
      </w:r>
      <w:r>
        <w:rPr>
          <w:rFonts w:ascii="Times New Roman" w:hAnsi="Times New Roman"/>
        </w:rPr>
        <w:t xml:space="preserve"> IRAs engaging in transactions.</w:t>
      </w:r>
    </w:p>
  </w:footnote>
  <w:footnote w:id="8">
    <w:p w:rsidR="00676AF1" w:rsidRPr="0004199C" w:rsidRDefault="00676AF1">
      <w:pPr>
        <w:pStyle w:val="FootnoteText"/>
        <w:rPr>
          <w:rFonts w:ascii="Times New Roman" w:hAnsi="Times New Roman"/>
        </w:rPr>
      </w:pPr>
      <w:r w:rsidRPr="004D5A1F">
        <w:rPr>
          <w:rStyle w:val="FootnoteReference"/>
          <w:rFonts w:ascii="Times New Roman" w:hAnsi="Times New Roman"/>
          <w:vertAlign w:val="superscript"/>
        </w:rPr>
        <w:footnoteRef/>
      </w:r>
      <w:r w:rsidRPr="004C4E6D">
        <w:rPr>
          <w:rFonts w:ascii="Times New Roman" w:hAnsi="Times New Roman"/>
        </w:rPr>
        <w:t xml:space="preserve"> </w:t>
      </w:r>
      <w:r w:rsidR="009029D5" w:rsidRPr="004C4E6D">
        <w:rPr>
          <w:rFonts w:ascii="Times New Roman" w:hAnsi="Times New Roman"/>
        </w:rPr>
        <w:t>900 DB plans engaging in principal transactions x 2 quotes/transaction = 2,000 quotes</w:t>
      </w:r>
      <w:r w:rsidR="0046549A" w:rsidRPr="0004199C">
        <w:rPr>
          <w:rFonts w:ascii="Times New Roman" w:hAnsi="Times New Roman"/>
        </w:rPr>
        <w:t>.</w:t>
      </w:r>
    </w:p>
  </w:footnote>
  <w:footnote w:id="9">
    <w:p w:rsidR="0046549A" w:rsidRPr="004C4E6D" w:rsidRDefault="0046549A">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sidR="0028468D">
        <w:rPr>
          <w:rFonts w:ascii="Times New Roman" w:hAnsi="Times New Roman"/>
        </w:rPr>
        <w:t>3</w:t>
      </w:r>
      <w:r w:rsidRPr="0004199C">
        <w:rPr>
          <w:rFonts w:ascii="Times New Roman" w:hAnsi="Times New Roman"/>
        </w:rPr>
        <w:t xml:space="preserve">,000 DC plans that do not allow participants to direct investments engaging in principal transactions x 2 quotes/transaction = </w:t>
      </w:r>
      <w:r w:rsidR="0028468D">
        <w:rPr>
          <w:rFonts w:ascii="Times New Roman" w:hAnsi="Times New Roman"/>
        </w:rPr>
        <w:t>6</w:t>
      </w:r>
      <w:r w:rsidRPr="0004199C">
        <w:rPr>
          <w:rFonts w:ascii="Times New Roman" w:hAnsi="Times New Roman"/>
        </w:rPr>
        <w:t>,000 quotes.</w:t>
      </w:r>
    </w:p>
  </w:footnote>
  <w:footnote w:id="10">
    <w:p w:rsidR="0007492B" w:rsidRPr="004C4E6D" w:rsidRDefault="0007492B">
      <w:pPr>
        <w:pStyle w:val="FootnoteText"/>
        <w:rPr>
          <w:rFonts w:ascii="Times New Roman" w:hAnsi="Times New Roman"/>
        </w:rPr>
      </w:pPr>
      <w:r w:rsidRPr="004D5A1F">
        <w:rPr>
          <w:rStyle w:val="FootnoteReference"/>
          <w:rFonts w:ascii="Times New Roman" w:hAnsi="Times New Roman"/>
          <w:vertAlign w:val="superscript"/>
        </w:rPr>
        <w:footnoteRef/>
      </w:r>
      <w:r w:rsidRPr="0004199C">
        <w:rPr>
          <w:rFonts w:ascii="Times New Roman" w:hAnsi="Times New Roman"/>
        </w:rPr>
        <w:t xml:space="preserve"> </w:t>
      </w:r>
      <w:r w:rsidR="00B87BEC" w:rsidRPr="0004199C">
        <w:rPr>
          <w:rFonts w:ascii="Times New Roman" w:hAnsi="Times New Roman"/>
        </w:rPr>
        <w:t>2 million</w:t>
      </w:r>
      <w:r w:rsidRPr="0004199C">
        <w:rPr>
          <w:rFonts w:ascii="Times New Roman" w:hAnsi="Times New Roman"/>
        </w:rPr>
        <w:t xml:space="preserve"> IRAs engaging in principal transactions x 2 quotes/transaction = </w:t>
      </w:r>
      <w:r w:rsidR="00B87BEC" w:rsidRPr="00376BB9">
        <w:rPr>
          <w:rFonts w:ascii="Times New Roman" w:hAnsi="Times New Roman"/>
        </w:rPr>
        <w:t>4</w:t>
      </w:r>
      <w:r w:rsidRPr="004C4E6D">
        <w:rPr>
          <w:rFonts w:ascii="Times New Roman" w:hAnsi="Times New Roman"/>
        </w:rPr>
        <w:t xml:space="preserve"> million quotes.</w:t>
      </w:r>
    </w:p>
  </w:footnote>
  <w:footnote w:id="11">
    <w:p w:rsidR="0007492B" w:rsidRPr="0004199C" w:rsidRDefault="0007492B">
      <w:pPr>
        <w:pStyle w:val="FootnoteText"/>
        <w:rPr>
          <w:rFonts w:ascii="Times New Roman" w:hAnsi="Times New Roman"/>
        </w:rPr>
      </w:pPr>
      <w:r w:rsidRPr="004D5A1F">
        <w:rPr>
          <w:rStyle w:val="FootnoteReference"/>
          <w:rFonts w:ascii="Times New Roman" w:hAnsi="Times New Roman"/>
          <w:vertAlign w:val="superscript"/>
        </w:rPr>
        <w:footnoteRef/>
      </w:r>
      <w:r w:rsidRPr="0004199C">
        <w:rPr>
          <w:rFonts w:ascii="Times New Roman" w:hAnsi="Times New Roman"/>
        </w:rPr>
        <w:t xml:space="preserve"> 1</w:t>
      </w:r>
      <w:r w:rsidR="0028468D">
        <w:rPr>
          <w:rFonts w:ascii="Times New Roman" w:hAnsi="Times New Roman"/>
        </w:rPr>
        <w:t>1</w:t>
      </w:r>
      <w:r w:rsidRPr="0004199C">
        <w:rPr>
          <w:rFonts w:ascii="Times New Roman" w:hAnsi="Times New Roman"/>
        </w:rPr>
        <w:t xml:space="preserve">,000 plan participants engaging in principal transactions x 12 transactions x 2 quotes/transaction = </w:t>
      </w:r>
      <w:r w:rsidR="0028468D">
        <w:rPr>
          <w:rFonts w:ascii="Times New Roman" w:hAnsi="Times New Roman"/>
        </w:rPr>
        <w:t>261</w:t>
      </w:r>
      <w:r w:rsidRPr="0004199C">
        <w:rPr>
          <w:rFonts w:ascii="Times New Roman" w:hAnsi="Times New Roman"/>
        </w:rPr>
        <w:t>,000 quotes.</w:t>
      </w:r>
    </w:p>
  </w:footnote>
  <w:footnote w:id="12">
    <w:p w:rsidR="00FE2A5A" w:rsidRPr="004D5A1F" w:rsidRDefault="00FE2A5A">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2333CB" w:rsidRPr="004D5A1F">
        <w:rPr>
          <w:rFonts w:ascii="Times New Roman" w:hAnsi="Times New Roman"/>
        </w:rPr>
        <w:t>4.</w:t>
      </w:r>
      <w:r w:rsidR="008C6970">
        <w:rPr>
          <w:rFonts w:ascii="Times New Roman" w:hAnsi="Times New Roman"/>
        </w:rPr>
        <w:t>3</w:t>
      </w:r>
      <w:r w:rsidR="002333CB" w:rsidRPr="004D5A1F">
        <w:rPr>
          <w:rFonts w:ascii="Times New Roman" w:hAnsi="Times New Roman"/>
        </w:rPr>
        <w:t xml:space="preserve"> million quotes x 5 minutes = 3</w:t>
      </w:r>
      <w:r w:rsidR="008C6970">
        <w:rPr>
          <w:rFonts w:ascii="Times New Roman" w:hAnsi="Times New Roman"/>
        </w:rPr>
        <w:t>59</w:t>
      </w:r>
      <w:r w:rsidR="002333CB" w:rsidRPr="004D5A1F">
        <w:rPr>
          <w:rFonts w:ascii="Times New Roman" w:hAnsi="Times New Roman"/>
        </w:rPr>
        <w:t>,000 hours</w:t>
      </w:r>
    </w:p>
  </w:footnote>
  <w:footnote w:id="13">
    <w:p w:rsidR="002C22D7" w:rsidRPr="004D5A1F" w:rsidRDefault="002C22D7">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8C6970" w:rsidRPr="008C6970">
        <w:rPr>
          <w:rFonts w:ascii="Times New Roman" w:hAnsi="Times New Roman"/>
        </w:rPr>
        <w:t>Financial Managers (11-3031): $60.89(2013 BLS Wage rate) /0.683(ECEC ratio) *1.35(Overhead Load Factor) *1.023(Inflation rate) ^2(Inflated 2 years from base year) = $125.95</w:t>
      </w:r>
    </w:p>
  </w:footnote>
  <w:footnote w:id="14">
    <w:p w:rsidR="00D52364" w:rsidRDefault="00D52364">
      <w:pPr>
        <w:pStyle w:val="FootnoteText"/>
      </w:pPr>
      <w:r w:rsidRPr="004D5A1F">
        <w:rPr>
          <w:rStyle w:val="FootnoteReference"/>
          <w:rFonts w:ascii="Times New Roman" w:hAnsi="Times New Roman"/>
          <w:vertAlign w:val="superscript"/>
        </w:rPr>
        <w:footnoteRef/>
      </w:r>
      <w:r w:rsidRPr="004D5A1F">
        <w:rPr>
          <w:rFonts w:ascii="Times New Roman" w:hAnsi="Times New Roman"/>
        </w:rPr>
        <w:t xml:space="preserve"> 3</w:t>
      </w:r>
      <w:r w:rsidR="00B93CE2">
        <w:rPr>
          <w:rFonts w:ascii="Times New Roman" w:hAnsi="Times New Roman"/>
        </w:rPr>
        <w:t>59</w:t>
      </w:r>
      <w:r w:rsidRPr="004D5A1F">
        <w:rPr>
          <w:rFonts w:ascii="Times New Roman" w:hAnsi="Times New Roman"/>
        </w:rPr>
        <w:t>,000 hours x $12</w:t>
      </w:r>
      <w:r w:rsidR="00B93CE2">
        <w:rPr>
          <w:rFonts w:ascii="Times New Roman" w:hAnsi="Times New Roman"/>
        </w:rPr>
        <w:t>5.95</w:t>
      </w:r>
      <w:r w:rsidRPr="004D5A1F">
        <w:rPr>
          <w:rFonts w:ascii="Times New Roman" w:hAnsi="Times New Roman"/>
        </w:rPr>
        <w:t xml:space="preserve"> per hour = $45.</w:t>
      </w:r>
      <w:r w:rsidR="00B93CE2">
        <w:rPr>
          <w:rFonts w:ascii="Times New Roman" w:hAnsi="Times New Roman"/>
        </w:rPr>
        <w:t>2</w:t>
      </w:r>
      <w:r w:rsidRPr="004D5A1F">
        <w:rPr>
          <w:rFonts w:ascii="Times New Roman" w:hAnsi="Times New Roman"/>
        </w:rPr>
        <w:t xml:space="preserve"> million</w:t>
      </w:r>
    </w:p>
  </w:footnote>
  <w:footnote w:id="15">
    <w:p w:rsidR="00A8441D" w:rsidRPr="004D5A1F" w:rsidRDefault="00A8441D">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3E2DF5" w:rsidRPr="004D5A1F">
        <w:rPr>
          <w:rFonts w:ascii="Times New Roman" w:hAnsi="Times New Roman"/>
        </w:rPr>
        <w:t>(</w:t>
      </w:r>
      <w:r w:rsidR="005869AC">
        <w:rPr>
          <w:rFonts w:ascii="Times New Roman" w:hAnsi="Times New Roman"/>
        </w:rPr>
        <w:t>7</w:t>
      </w:r>
      <w:r w:rsidR="00C15213">
        <w:rPr>
          <w:rFonts w:ascii="Times New Roman" w:hAnsi="Times New Roman"/>
        </w:rPr>
        <w:t>,</w:t>
      </w:r>
      <w:r w:rsidR="003E2DF5" w:rsidRPr="004D5A1F">
        <w:rPr>
          <w:rFonts w:ascii="Times New Roman" w:hAnsi="Times New Roman"/>
        </w:rPr>
        <w:t>000 paper DC statements + 1 million paper IRA statements) x 2 minutes per statement = 3</w:t>
      </w:r>
      <w:r w:rsidR="005869AC">
        <w:rPr>
          <w:rFonts w:ascii="Times New Roman" w:hAnsi="Times New Roman"/>
        </w:rPr>
        <w:t>4</w:t>
      </w:r>
      <w:r w:rsidR="003E2DF5" w:rsidRPr="004D5A1F">
        <w:rPr>
          <w:rFonts w:ascii="Times New Roman" w:hAnsi="Times New Roman"/>
        </w:rPr>
        <w:t>,000 hours</w:t>
      </w:r>
    </w:p>
  </w:footnote>
  <w:footnote w:id="16">
    <w:p w:rsidR="00F90C32" w:rsidRPr="004D5A1F" w:rsidRDefault="00F90C32">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8A6413" w:rsidRPr="008A6413">
        <w:rPr>
          <w:rFonts w:ascii="Times New Roman" w:hAnsi="Times New Roman"/>
        </w:rPr>
        <w:t>Secretaries, Except Legal, Medical, and Executive (43-6014): $16.35(2013 BLS Wage rate)/0.675(ECEC ratio) *1.2(Overhead Load Factor) *1.023(Inflation rate) ^2(Inflated 2 years from base year) = $30.42</w:t>
      </w:r>
    </w:p>
  </w:footnote>
  <w:footnote w:id="17">
    <w:p w:rsidR="003E2DF5" w:rsidRDefault="003E2DF5">
      <w:pPr>
        <w:pStyle w:val="FootnoteText"/>
      </w:pPr>
      <w:r w:rsidRPr="004D5A1F">
        <w:rPr>
          <w:rStyle w:val="FootnoteReference"/>
          <w:rFonts w:ascii="Times New Roman" w:hAnsi="Times New Roman"/>
          <w:vertAlign w:val="superscript"/>
        </w:rPr>
        <w:footnoteRef/>
      </w:r>
      <w:r w:rsidRPr="004D5A1F">
        <w:rPr>
          <w:rFonts w:ascii="Times New Roman" w:hAnsi="Times New Roman"/>
        </w:rPr>
        <w:t xml:space="preserve"> 3</w:t>
      </w:r>
      <w:r w:rsidR="008A6413">
        <w:rPr>
          <w:rFonts w:ascii="Times New Roman" w:hAnsi="Times New Roman"/>
        </w:rPr>
        <w:t>4</w:t>
      </w:r>
      <w:r w:rsidRPr="004D5A1F">
        <w:rPr>
          <w:rFonts w:ascii="Times New Roman" w:hAnsi="Times New Roman"/>
        </w:rPr>
        <w:t>,000 hours x $</w:t>
      </w:r>
      <w:r w:rsidR="008A6413">
        <w:rPr>
          <w:rFonts w:ascii="Times New Roman" w:hAnsi="Times New Roman"/>
        </w:rPr>
        <w:t>30.42</w:t>
      </w:r>
      <w:r w:rsidRPr="004D5A1F">
        <w:rPr>
          <w:rFonts w:ascii="Times New Roman" w:hAnsi="Times New Roman"/>
        </w:rPr>
        <w:t xml:space="preserve"> per hour = $1 million</w:t>
      </w:r>
    </w:p>
  </w:footnote>
  <w:footnote w:id="18">
    <w:p w:rsidR="00DF78C8" w:rsidRPr="004C4E6D" w:rsidRDefault="00DF78C8">
      <w:pPr>
        <w:pStyle w:val="FootnoteText"/>
        <w:rPr>
          <w:rFonts w:ascii="Times New Roman" w:hAnsi="Times New Roman"/>
        </w:rPr>
      </w:pPr>
      <w:r w:rsidRPr="004D5A1F">
        <w:rPr>
          <w:rStyle w:val="FootnoteReference"/>
          <w:rFonts w:ascii="Times New Roman" w:hAnsi="Times New Roman"/>
          <w:vertAlign w:val="superscript"/>
        </w:rPr>
        <w:footnoteRef/>
      </w:r>
      <w:r w:rsidRPr="004C4E6D">
        <w:rPr>
          <w:rFonts w:ascii="Times New Roman" w:hAnsi="Times New Roman"/>
        </w:rPr>
        <w:t xml:space="preserve"> 15 minutes x 2,800 </w:t>
      </w:r>
      <w:r w:rsidR="000F6241">
        <w:rPr>
          <w:rFonts w:ascii="Times New Roman" w:hAnsi="Times New Roman"/>
        </w:rPr>
        <w:t>F</w:t>
      </w:r>
      <w:r w:rsidRPr="004C4E6D">
        <w:rPr>
          <w:rFonts w:ascii="Times New Roman" w:hAnsi="Times New Roman"/>
        </w:rPr>
        <w:t xml:space="preserve">inancial </w:t>
      </w:r>
      <w:r w:rsidR="000F6241">
        <w:rPr>
          <w:rFonts w:ascii="Times New Roman" w:hAnsi="Times New Roman"/>
        </w:rPr>
        <w:t>I</w:t>
      </w:r>
      <w:r w:rsidRPr="004C4E6D">
        <w:rPr>
          <w:rFonts w:ascii="Times New Roman" w:hAnsi="Times New Roman"/>
        </w:rPr>
        <w:t>nstitutions = 700 hours.</w:t>
      </w:r>
    </w:p>
  </w:footnote>
  <w:footnote w:id="19">
    <w:p w:rsidR="00DF78C8" w:rsidRPr="0004199C" w:rsidRDefault="00DF78C8">
      <w:pPr>
        <w:pStyle w:val="FootnoteText"/>
        <w:rPr>
          <w:rFonts w:ascii="Times New Roman" w:hAnsi="Times New Roman"/>
        </w:rPr>
      </w:pPr>
      <w:r w:rsidRPr="004D5A1F">
        <w:rPr>
          <w:rStyle w:val="FootnoteReference"/>
          <w:rFonts w:ascii="Times New Roman" w:hAnsi="Times New Roman"/>
          <w:vertAlign w:val="superscript"/>
        </w:rPr>
        <w:footnoteRef/>
      </w:r>
      <w:r w:rsidRPr="0004199C">
        <w:rPr>
          <w:rFonts w:ascii="Times New Roman" w:hAnsi="Times New Roman"/>
        </w:rPr>
        <w:t xml:space="preserve"> 30 minutes x 2,800 </w:t>
      </w:r>
      <w:r w:rsidR="000F6241">
        <w:rPr>
          <w:rFonts w:ascii="Times New Roman" w:hAnsi="Times New Roman"/>
        </w:rPr>
        <w:t>F</w:t>
      </w:r>
      <w:r w:rsidRPr="0004199C">
        <w:rPr>
          <w:rFonts w:ascii="Times New Roman" w:hAnsi="Times New Roman"/>
        </w:rPr>
        <w:t xml:space="preserve">inancial </w:t>
      </w:r>
      <w:r w:rsidR="000F6241">
        <w:rPr>
          <w:rFonts w:ascii="Times New Roman" w:hAnsi="Times New Roman"/>
        </w:rPr>
        <w:t>I</w:t>
      </w:r>
      <w:r w:rsidRPr="0004199C">
        <w:rPr>
          <w:rFonts w:ascii="Times New Roman" w:hAnsi="Times New Roman"/>
        </w:rPr>
        <w:t>nstitutions = 1,400 hours.</w:t>
      </w:r>
    </w:p>
  </w:footnote>
  <w:footnote w:id="20">
    <w:p w:rsidR="00735804" w:rsidRPr="004D5A1F" w:rsidRDefault="00735804">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(1,400 hours x $12</w:t>
      </w:r>
      <w:r w:rsidR="00EB26F3">
        <w:rPr>
          <w:rFonts w:ascii="Times New Roman" w:hAnsi="Times New Roman"/>
        </w:rPr>
        <w:t>5.95</w:t>
      </w:r>
      <w:r w:rsidRPr="004D5A1F">
        <w:rPr>
          <w:rFonts w:ascii="Times New Roman" w:hAnsi="Times New Roman"/>
        </w:rPr>
        <w:t xml:space="preserve"> per hour) + (700 hours x $</w:t>
      </w:r>
      <w:r w:rsidR="00EB26F3">
        <w:rPr>
          <w:rFonts w:ascii="Times New Roman" w:hAnsi="Times New Roman"/>
        </w:rPr>
        <w:t>30.42</w:t>
      </w:r>
      <w:r w:rsidRPr="004D5A1F">
        <w:rPr>
          <w:rFonts w:ascii="Times New Roman" w:hAnsi="Times New Roman"/>
        </w:rPr>
        <w:t xml:space="preserve"> per hour) = $19</w:t>
      </w:r>
      <w:r w:rsidR="00EB26F3">
        <w:rPr>
          <w:rFonts w:ascii="Times New Roman" w:hAnsi="Times New Roman"/>
        </w:rPr>
        <w:t>8</w:t>
      </w:r>
      <w:r w:rsidRPr="004D5A1F">
        <w:rPr>
          <w:rFonts w:ascii="Times New Roman" w:hAnsi="Times New Roman"/>
        </w:rPr>
        <w:t>,000</w:t>
      </w:r>
    </w:p>
  </w:footnote>
  <w:footnote w:id="21">
    <w:p w:rsidR="00B023CE" w:rsidRPr="00112080" w:rsidRDefault="00B023CE">
      <w:pPr>
        <w:pStyle w:val="FootnoteText"/>
        <w:rPr>
          <w:rFonts w:ascii="Times New Roman" w:hAnsi="Times New Roman"/>
        </w:rPr>
      </w:pPr>
      <w:r w:rsidRPr="004D5A1F">
        <w:rPr>
          <w:rStyle w:val="FootnoteReference"/>
          <w:rFonts w:ascii="Times New Roman" w:hAnsi="Times New Roman"/>
          <w:vertAlign w:val="superscript"/>
        </w:rPr>
        <w:footnoteRef/>
      </w:r>
      <w:r w:rsidRPr="004C4E6D">
        <w:rPr>
          <w:rFonts w:ascii="Times New Roman" w:hAnsi="Times New Roman"/>
        </w:rPr>
        <w:t xml:space="preserve"> </w:t>
      </w:r>
      <w:r w:rsidR="00EB26F3">
        <w:rPr>
          <w:rFonts w:ascii="Times New Roman" w:hAnsi="Times New Roman"/>
        </w:rPr>
        <w:t>24</w:t>
      </w:r>
      <w:r w:rsidRPr="004C4E6D">
        <w:rPr>
          <w:rFonts w:ascii="Times New Roman" w:hAnsi="Times New Roman"/>
        </w:rPr>
        <w:t xml:space="preserve"> hours x 2,800 </w:t>
      </w:r>
      <w:r w:rsidR="00925978">
        <w:rPr>
          <w:rFonts w:ascii="Times New Roman" w:hAnsi="Times New Roman"/>
        </w:rPr>
        <w:t>F</w:t>
      </w:r>
      <w:r w:rsidRPr="004C4E6D">
        <w:rPr>
          <w:rFonts w:ascii="Times New Roman" w:hAnsi="Times New Roman"/>
        </w:rPr>
        <w:t xml:space="preserve">inancial </w:t>
      </w:r>
      <w:r w:rsidR="00925978">
        <w:rPr>
          <w:rFonts w:ascii="Times New Roman" w:hAnsi="Times New Roman"/>
        </w:rPr>
        <w:t>I</w:t>
      </w:r>
      <w:r w:rsidRPr="004C4E6D">
        <w:rPr>
          <w:rFonts w:ascii="Times New Roman" w:hAnsi="Times New Roman"/>
        </w:rPr>
        <w:t xml:space="preserve">nstitutions = </w:t>
      </w:r>
      <w:r w:rsidR="008541F9">
        <w:rPr>
          <w:rFonts w:ascii="Times New Roman" w:hAnsi="Times New Roman"/>
        </w:rPr>
        <w:t>67</w:t>
      </w:r>
      <w:r w:rsidRPr="00112080">
        <w:rPr>
          <w:rFonts w:ascii="Times New Roman" w:hAnsi="Times New Roman"/>
        </w:rPr>
        <w:t>,000 hours.</w:t>
      </w:r>
    </w:p>
  </w:footnote>
  <w:footnote w:id="22">
    <w:p w:rsidR="00B023CE" w:rsidRPr="004C4E6D" w:rsidRDefault="00B023CE">
      <w:pPr>
        <w:pStyle w:val="FootnoteText"/>
        <w:rPr>
          <w:rFonts w:ascii="Times New Roman" w:hAnsi="Times New Roman"/>
        </w:rPr>
      </w:pPr>
      <w:r w:rsidRPr="004D5A1F">
        <w:rPr>
          <w:rStyle w:val="FootnoteReference"/>
          <w:rFonts w:ascii="Times New Roman" w:hAnsi="Times New Roman"/>
          <w:vertAlign w:val="superscript"/>
        </w:rPr>
        <w:footnoteRef/>
      </w:r>
      <w:r w:rsidRPr="0004199C">
        <w:rPr>
          <w:rFonts w:ascii="Times New Roman" w:hAnsi="Times New Roman"/>
        </w:rPr>
        <w:t xml:space="preserve"> </w:t>
      </w:r>
      <w:r w:rsidR="00EB26F3">
        <w:rPr>
          <w:rFonts w:ascii="Times New Roman" w:hAnsi="Times New Roman"/>
        </w:rPr>
        <w:t>24</w:t>
      </w:r>
      <w:r w:rsidRPr="00376BB9">
        <w:rPr>
          <w:rFonts w:ascii="Times New Roman" w:hAnsi="Times New Roman"/>
        </w:rPr>
        <w:t xml:space="preserve"> hours </w:t>
      </w:r>
      <w:r w:rsidR="0055576B" w:rsidRPr="00376BB9">
        <w:rPr>
          <w:rFonts w:ascii="Times New Roman" w:hAnsi="Times New Roman"/>
        </w:rPr>
        <w:t xml:space="preserve">x 224 </w:t>
      </w:r>
      <w:r w:rsidR="00925978">
        <w:rPr>
          <w:rFonts w:ascii="Times New Roman" w:hAnsi="Times New Roman"/>
        </w:rPr>
        <w:t>F</w:t>
      </w:r>
      <w:r w:rsidR="0055576B" w:rsidRPr="00376BB9">
        <w:rPr>
          <w:rFonts w:ascii="Times New Roman" w:hAnsi="Times New Roman"/>
        </w:rPr>
        <w:t xml:space="preserve">inancial </w:t>
      </w:r>
      <w:r w:rsidR="00925978">
        <w:rPr>
          <w:rFonts w:ascii="Times New Roman" w:hAnsi="Times New Roman"/>
        </w:rPr>
        <w:t>I</w:t>
      </w:r>
      <w:r w:rsidR="0055576B" w:rsidRPr="00376BB9">
        <w:rPr>
          <w:rFonts w:ascii="Times New Roman" w:hAnsi="Times New Roman"/>
        </w:rPr>
        <w:t xml:space="preserve">nstitutions = </w:t>
      </w:r>
      <w:r w:rsidR="008541F9">
        <w:rPr>
          <w:rFonts w:ascii="Times New Roman" w:hAnsi="Times New Roman"/>
        </w:rPr>
        <w:t>5</w:t>
      </w:r>
      <w:r w:rsidRPr="004C4E6D">
        <w:rPr>
          <w:rFonts w:ascii="Times New Roman" w:hAnsi="Times New Roman"/>
        </w:rPr>
        <w:t>,</w:t>
      </w:r>
      <w:r w:rsidR="0055576B" w:rsidRPr="004C4E6D">
        <w:rPr>
          <w:rFonts w:ascii="Times New Roman" w:hAnsi="Times New Roman"/>
        </w:rPr>
        <w:t>0</w:t>
      </w:r>
      <w:r w:rsidRPr="004C4E6D">
        <w:rPr>
          <w:rFonts w:ascii="Times New Roman" w:hAnsi="Times New Roman"/>
        </w:rPr>
        <w:t>00 hours.</w:t>
      </w:r>
    </w:p>
  </w:footnote>
  <w:footnote w:id="23">
    <w:p w:rsidR="00F90C32" w:rsidRPr="004D5A1F" w:rsidRDefault="00F90C32">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8541F9" w:rsidRPr="008541F9">
        <w:rPr>
          <w:rFonts w:ascii="Times New Roman" w:hAnsi="Times New Roman"/>
        </w:rPr>
        <w:t>Legal Professional (23-1011): $63.46(2013 BLS Wage rate) /0.69(ECEC ratio) *1.35(Overhead Load Factor) *1.023(Inflation rate) ^2(Inflated 2 years from base year) = $129.94</w:t>
      </w:r>
    </w:p>
  </w:footnote>
  <w:footnote w:id="24">
    <w:p w:rsidR="004C4E6D" w:rsidRPr="004D5A1F" w:rsidRDefault="004C4E6D">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F34871">
        <w:rPr>
          <w:rFonts w:ascii="Times New Roman" w:hAnsi="Times New Roman"/>
        </w:rPr>
        <w:t>67</w:t>
      </w:r>
      <w:r w:rsidRPr="004D5A1F">
        <w:rPr>
          <w:rFonts w:ascii="Times New Roman" w:hAnsi="Times New Roman"/>
        </w:rPr>
        <w:t>,000 hours x $12</w:t>
      </w:r>
      <w:r w:rsidR="00F34871">
        <w:rPr>
          <w:rFonts w:ascii="Times New Roman" w:hAnsi="Times New Roman"/>
        </w:rPr>
        <w:t>9.94</w:t>
      </w:r>
      <w:r w:rsidRPr="004D5A1F">
        <w:rPr>
          <w:rFonts w:ascii="Times New Roman" w:hAnsi="Times New Roman"/>
        </w:rPr>
        <w:t xml:space="preserve"> per hour = $</w:t>
      </w:r>
      <w:r w:rsidR="00F34871">
        <w:rPr>
          <w:rFonts w:ascii="Times New Roman" w:hAnsi="Times New Roman"/>
        </w:rPr>
        <w:t>8.7</w:t>
      </w:r>
      <w:r w:rsidRPr="004D5A1F">
        <w:rPr>
          <w:rFonts w:ascii="Times New Roman" w:hAnsi="Times New Roman"/>
        </w:rPr>
        <w:t xml:space="preserve"> million</w:t>
      </w:r>
    </w:p>
  </w:footnote>
  <w:footnote w:id="25">
    <w:p w:rsidR="004C4E6D" w:rsidRDefault="004C4E6D">
      <w:pPr>
        <w:pStyle w:val="FootnoteText"/>
      </w:pPr>
      <w:r w:rsidRPr="004D5A1F">
        <w:rPr>
          <w:rStyle w:val="FootnoteReference"/>
          <w:rFonts w:ascii="Times New Roman" w:hAnsi="Times New Roman"/>
          <w:vertAlign w:val="superscript"/>
        </w:rPr>
        <w:footnoteRef/>
      </w:r>
      <w:r w:rsidRPr="004D5A1F">
        <w:rPr>
          <w:rFonts w:ascii="Times New Roman" w:hAnsi="Times New Roman"/>
        </w:rPr>
        <w:t xml:space="preserve"> </w:t>
      </w:r>
      <w:r w:rsidR="00F34871">
        <w:rPr>
          <w:rFonts w:ascii="Times New Roman" w:hAnsi="Times New Roman"/>
        </w:rPr>
        <w:t>5</w:t>
      </w:r>
      <w:r w:rsidRPr="004D5A1F">
        <w:rPr>
          <w:rFonts w:ascii="Times New Roman" w:hAnsi="Times New Roman"/>
        </w:rPr>
        <w:t>,000 hours x $12</w:t>
      </w:r>
      <w:r w:rsidR="00F34871">
        <w:rPr>
          <w:rFonts w:ascii="Times New Roman" w:hAnsi="Times New Roman"/>
        </w:rPr>
        <w:t>9.94</w:t>
      </w:r>
      <w:r w:rsidRPr="004D5A1F">
        <w:rPr>
          <w:rFonts w:ascii="Times New Roman" w:hAnsi="Times New Roman"/>
        </w:rPr>
        <w:t xml:space="preserve"> per hour = $</w:t>
      </w:r>
      <w:r w:rsidR="00F34871">
        <w:rPr>
          <w:rFonts w:ascii="Times New Roman" w:hAnsi="Times New Roman"/>
        </w:rPr>
        <w:t>699</w:t>
      </w:r>
      <w:r w:rsidRPr="004D5A1F">
        <w:rPr>
          <w:rFonts w:ascii="Times New Roman" w:hAnsi="Times New Roman"/>
        </w:rPr>
        <w:t>,000</w:t>
      </w:r>
    </w:p>
  </w:footnote>
  <w:footnote w:id="26">
    <w:p w:rsidR="005D5497" w:rsidRPr="00FC13C9" w:rsidRDefault="005D5497">
      <w:pPr>
        <w:pStyle w:val="FootnoteText"/>
        <w:rPr>
          <w:rFonts w:ascii="Times New Roman" w:hAnsi="Times New Roman"/>
        </w:rPr>
      </w:pPr>
      <w:r w:rsidRPr="00FC13C9">
        <w:rPr>
          <w:rStyle w:val="FootnoteReference"/>
          <w:rFonts w:ascii="Times New Roman" w:hAnsi="Times New Roman"/>
          <w:vertAlign w:val="superscript"/>
        </w:rPr>
        <w:footnoteRef/>
      </w:r>
      <w:r w:rsidRPr="00FC13C9">
        <w:rPr>
          <w:rFonts w:ascii="Times New Roman" w:hAnsi="Times New Roman"/>
        </w:rPr>
        <w:t xml:space="preserve"> </w:t>
      </w:r>
      <w:r w:rsidR="00FF0A51" w:rsidRPr="00FC13C9">
        <w:rPr>
          <w:rFonts w:ascii="Times New Roman" w:hAnsi="Times New Roman"/>
        </w:rPr>
        <w:t>8 hours x 2,800 financial institutions = 22,000 hours</w:t>
      </w:r>
    </w:p>
  </w:footnote>
  <w:footnote w:id="27">
    <w:p w:rsidR="00FF0A51" w:rsidRPr="00FC13C9" w:rsidRDefault="00FF0A51">
      <w:pPr>
        <w:pStyle w:val="FootnoteText"/>
        <w:rPr>
          <w:rFonts w:ascii="Times New Roman" w:hAnsi="Times New Roman"/>
        </w:rPr>
      </w:pPr>
      <w:r w:rsidRPr="00FC13C9">
        <w:rPr>
          <w:rStyle w:val="FootnoteReference"/>
          <w:rFonts w:ascii="Times New Roman" w:hAnsi="Times New Roman"/>
          <w:vertAlign w:val="superscript"/>
        </w:rPr>
        <w:footnoteRef/>
      </w:r>
      <w:r w:rsidRPr="00FC13C9">
        <w:rPr>
          <w:rFonts w:ascii="Times New Roman" w:hAnsi="Times New Roman"/>
        </w:rPr>
        <w:t xml:space="preserve"> 8 hours x 224 financial institutions = 2,000 hours</w:t>
      </w:r>
    </w:p>
  </w:footnote>
  <w:footnote w:id="28">
    <w:p w:rsidR="00FF0A51" w:rsidRPr="00FC13C9" w:rsidRDefault="00FF0A51">
      <w:pPr>
        <w:pStyle w:val="FootnoteText"/>
        <w:rPr>
          <w:rFonts w:ascii="Times New Roman" w:hAnsi="Times New Roman"/>
        </w:rPr>
      </w:pPr>
      <w:r w:rsidRPr="00FC13C9">
        <w:rPr>
          <w:rStyle w:val="FootnoteReference"/>
          <w:rFonts w:ascii="Times New Roman" w:hAnsi="Times New Roman"/>
          <w:vertAlign w:val="superscript"/>
        </w:rPr>
        <w:footnoteRef/>
      </w:r>
      <w:r w:rsidRPr="00FC13C9">
        <w:rPr>
          <w:rFonts w:ascii="Times New Roman" w:hAnsi="Times New Roman"/>
        </w:rPr>
        <w:t xml:space="preserve"> Computer Programmer (15-1131): $38.91(2013 BLS Wage rate) /0.69(ECEC ratio) *1.35(Overhead Load Factor) *1.023(Inflation rate) ^2(Inflated 2 years from base year) = $79.67</w:t>
      </w:r>
    </w:p>
  </w:footnote>
  <w:footnote w:id="29">
    <w:p w:rsidR="002B0F51" w:rsidRPr="00FC13C9" w:rsidRDefault="002B0F51">
      <w:pPr>
        <w:pStyle w:val="FootnoteText"/>
        <w:rPr>
          <w:rFonts w:ascii="Times New Roman" w:hAnsi="Times New Roman"/>
        </w:rPr>
      </w:pPr>
      <w:r w:rsidRPr="00FC13C9">
        <w:rPr>
          <w:rStyle w:val="FootnoteReference"/>
          <w:rFonts w:ascii="Times New Roman" w:hAnsi="Times New Roman"/>
          <w:vertAlign w:val="superscript"/>
        </w:rPr>
        <w:footnoteRef/>
      </w:r>
      <w:r w:rsidRPr="00FC13C9">
        <w:rPr>
          <w:rFonts w:ascii="Times New Roman" w:hAnsi="Times New Roman"/>
        </w:rPr>
        <w:t xml:space="preserve"> 22,000 hours x $79.67 per hour= $1.8 million</w:t>
      </w:r>
    </w:p>
  </w:footnote>
  <w:footnote w:id="30">
    <w:p w:rsidR="002B0F51" w:rsidRPr="00FC13C9" w:rsidRDefault="002B0F51">
      <w:pPr>
        <w:pStyle w:val="FootnoteText"/>
        <w:rPr>
          <w:rFonts w:ascii="Times New Roman" w:hAnsi="Times New Roman"/>
        </w:rPr>
      </w:pPr>
      <w:r w:rsidRPr="00FC13C9">
        <w:rPr>
          <w:rStyle w:val="FootnoteReference"/>
          <w:rFonts w:ascii="Times New Roman" w:hAnsi="Times New Roman"/>
          <w:vertAlign w:val="superscript"/>
        </w:rPr>
        <w:footnoteRef/>
      </w:r>
      <w:r w:rsidRPr="00FC13C9">
        <w:rPr>
          <w:rFonts w:ascii="Times New Roman" w:hAnsi="Times New Roman"/>
        </w:rPr>
        <w:t xml:space="preserve"> 2,000 hours x $79.67 per hour = $142,000</w:t>
      </w:r>
    </w:p>
  </w:footnote>
  <w:footnote w:id="31">
    <w:p w:rsidR="005222C3" w:rsidRPr="00E63497" w:rsidRDefault="005222C3">
      <w:pPr>
        <w:pStyle w:val="FootnoteText"/>
        <w:rPr>
          <w:rFonts w:ascii="Times New Roman" w:hAnsi="Times New Roman"/>
        </w:rPr>
      </w:pPr>
      <w:r w:rsidRPr="004D5A1F">
        <w:rPr>
          <w:rStyle w:val="FootnoteReference"/>
          <w:rFonts w:ascii="Times New Roman" w:hAnsi="Times New Roman"/>
          <w:vertAlign w:val="superscript"/>
        </w:rPr>
        <w:footnoteRef/>
      </w:r>
      <w:r w:rsidRPr="00E63497">
        <w:rPr>
          <w:rFonts w:ascii="Times New Roman" w:hAnsi="Times New Roman"/>
        </w:rPr>
        <w:t xml:space="preserve"> (</w:t>
      </w:r>
      <w:r w:rsidR="00155909">
        <w:rPr>
          <w:rFonts w:ascii="Times New Roman" w:hAnsi="Times New Roman"/>
        </w:rPr>
        <w:t>1 million</w:t>
      </w:r>
      <w:r w:rsidRPr="00E63497">
        <w:rPr>
          <w:rFonts w:ascii="Times New Roman" w:hAnsi="Times New Roman"/>
        </w:rPr>
        <w:t xml:space="preserve"> paper </w:t>
      </w:r>
      <w:r w:rsidR="002F68BF">
        <w:rPr>
          <w:rFonts w:ascii="Times New Roman" w:hAnsi="Times New Roman"/>
        </w:rPr>
        <w:t>statements</w:t>
      </w:r>
      <w:r w:rsidRPr="00E63497">
        <w:rPr>
          <w:rFonts w:ascii="Times New Roman" w:hAnsi="Times New Roman"/>
        </w:rPr>
        <w:t xml:space="preserve"> x </w:t>
      </w:r>
      <w:r w:rsidR="001D11ED" w:rsidRPr="00E63497">
        <w:rPr>
          <w:rFonts w:ascii="Times New Roman" w:hAnsi="Times New Roman"/>
        </w:rPr>
        <w:t xml:space="preserve">1 page x </w:t>
      </w:r>
      <w:r w:rsidRPr="00E63497">
        <w:rPr>
          <w:rFonts w:ascii="Times New Roman" w:hAnsi="Times New Roman"/>
        </w:rPr>
        <w:t>$</w:t>
      </w:r>
      <w:r w:rsidR="00E0308C" w:rsidRPr="00E63497">
        <w:rPr>
          <w:rFonts w:ascii="Times New Roman" w:hAnsi="Times New Roman"/>
        </w:rPr>
        <w:t>0</w:t>
      </w:r>
      <w:r w:rsidRPr="00E63497">
        <w:rPr>
          <w:rFonts w:ascii="Times New Roman" w:hAnsi="Times New Roman"/>
        </w:rPr>
        <w:t xml:space="preserve">.05 per </w:t>
      </w:r>
      <w:r w:rsidR="001D11ED" w:rsidRPr="00E63497">
        <w:rPr>
          <w:rFonts w:ascii="Times New Roman" w:hAnsi="Times New Roman"/>
        </w:rPr>
        <w:t>page</w:t>
      </w:r>
      <w:r w:rsidRPr="00E63497">
        <w:rPr>
          <w:rFonts w:ascii="Times New Roman" w:hAnsi="Times New Roman"/>
        </w:rPr>
        <w:t>) + (</w:t>
      </w:r>
      <w:r w:rsidR="00155909">
        <w:rPr>
          <w:rFonts w:ascii="Times New Roman" w:hAnsi="Times New Roman"/>
        </w:rPr>
        <w:t>1 million</w:t>
      </w:r>
      <w:r w:rsidRPr="00E63497">
        <w:rPr>
          <w:rFonts w:ascii="Times New Roman" w:hAnsi="Times New Roman"/>
        </w:rPr>
        <w:t xml:space="preserve"> mailed disclosures x $0.49 postage) = $</w:t>
      </w:r>
      <w:r w:rsidR="00155909">
        <w:rPr>
          <w:rFonts w:ascii="Times New Roman" w:hAnsi="Times New Roman"/>
        </w:rPr>
        <w:t>5</w:t>
      </w:r>
      <w:r w:rsidR="00FF3CCB">
        <w:rPr>
          <w:rFonts w:ascii="Times New Roman" w:hAnsi="Times New Roman"/>
        </w:rPr>
        <w:t>48</w:t>
      </w:r>
      <w:r w:rsidRPr="00E63497">
        <w:rPr>
          <w:rFonts w:ascii="Times New Roman" w:hAnsi="Times New Roman"/>
        </w:rPr>
        <w:t>,000.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7F" w:rsidRDefault="00054E7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80" w:rsidRPr="005E3C47" w:rsidRDefault="00741980" w:rsidP="005E3C47">
    <w:pPr>
      <w:pStyle w:val="Heading1"/>
      <w:spacing w:before="0"/>
      <w:jc w:val="right"/>
      <w:rPr>
        <w:rFonts w:ascii="Times New Roman" w:hAnsi="Times New Roman" w:cs="Times New Roman"/>
        <w:color w:val="auto"/>
        <w:sz w:val="20"/>
        <w:szCs w:val="20"/>
      </w:rPr>
    </w:pPr>
    <w:r w:rsidRPr="005E3C47">
      <w:rPr>
        <w:rFonts w:ascii="Times New Roman" w:hAnsi="Times New Roman" w:cs="Times New Roman"/>
        <w:color w:val="auto"/>
        <w:sz w:val="20"/>
        <w:szCs w:val="20"/>
      </w:rPr>
      <w:t>Proposed Class Exemption for Principal Transactions</w:t>
    </w:r>
  </w:p>
  <w:p w:rsidR="008658D1" w:rsidRPr="005E3C47" w:rsidRDefault="008658D1" w:rsidP="005E3C47">
    <w:pPr>
      <w:pStyle w:val="Heading1"/>
      <w:spacing w:before="0"/>
      <w:jc w:val="right"/>
      <w:rPr>
        <w:rFonts w:ascii="Times New Roman" w:hAnsi="Times New Roman" w:cs="Times New Roman"/>
        <w:color w:val="auto"/>
        <w:sz w:val="20"/>
        <w:szCs w:val="20"/>
      </w:rPr>
    </w:pPr>
    <w:r w:rsidRPr="005E3C47">
      <w:rPr>
        <w:rFonts w:ascii="Times New Roman" w:hAnsi="Times New Roman" w:cs="Times New Roman"/>
        <w:color w:val="auto"/>
        <w:sz w:val="20"/>
        <w:szCs w:val="20"/>
      </w:rPr>
      <w:t>1210-</w:t>
    </w:r>
    <w:r w:rsidR="00BF1CD2" w:rsidRPr="005E3C47">
      <w:rPr>
        <w:rFonts w:ascii="Times New Roman" w:hAnsi="Times New Roman" w:cs="Times New Roman"/>
        <w:color w:val="auto"/>
        <w:sz w:val="20"/>
        <w:szCs w:val="20"/>
      </w:rPr>
      <w:t>NEW</w:t>
    </w:r>
  </w:p>
  <w:p w:rsidR="008658D1" w:rsidRPr="00AC2A80" w:rsidRDefault="00FA2D27" w:rsidP="005E3C47">
    <w:pPr>
      <w:pStyle w:val="Heading1"/>
      <w:spacing w:before="0"/>
      <w:jc w:val="right"/>
      <w:rPr>
        <w:rFonts w:ascii="Times New Roman" w:hAnsi="Times New Roman"/>
        <w:b w:val="0"/>
        <w:sz w:val="20"/>
        <w:szCs w:val="20"/>
      </w:rPr>
    </w:pPr>
    <w:r>
      <w:rPr>
        <w:rFonts w:ascii="Times New Roman" w:hAnsi="Times New Roman" w:cs="Times New Roman"/>
        <w:color w:val="auto"/>
        <w:sz w:val="20"/>
        <w:szCs w:val="20"/>
      </w:rPr>
      <w:t>April</w:t>
    </w:r>
    <w:r w:rsidR="00F21BF0" w:rsidRPr="005E3C47">
      <w:rPr>
        <w:rFonts w:ascii="Times New Roman" w:hAnsi="Times New Roman" w:cs="Times New Roman"/>
        <w:color w:val="auto"/>
        <w:sz w:val="20"/>
        <w:szCs w:val="20"/>
      </w:rPr>
      <w:t xml:space="preserve"> 2015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7F" w:rsidRDefault="00054E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14E3576"/>
    <w:multiLevelType w:val="hybridMultilevel"/>
    <w:tmpl w:val="36E8B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ED41FC"/>
    <w:multiLevelType w:val="hybridMultilevel"/>
    <w:tmpl w:val="5D54F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306455"/>
    <w:multiLevelType w:val="hybridMultilevel"/>
    <w:tmpl w:val="8524549C"/>
    <w:lvl w:ilvl="0" w:tplc="7ECCDB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F52F4"/>
    <w:multiLevelType w:val="hybridMultilevel"/>
    <w:tmpl w:val="5EEC0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D800A9"/>
    <w:multiLevelType w:val="hybridMultilevel"/>
    <w:tmpl w:val="D69C9702"/>
    <w:lvl w:ilvl="0" w:tplc="33909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3"/>
  </w:num>
  <w:num w:numId="6">
    <w:abstractNumId w:val="1"/>
  </w:num>
  <w:num w:numId="7">
    <w:abstractNumId w:val="2"/>
  </w:num>
  <w:num w:numId="8">
    <w:abstractNumId w:val="5"/>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Shiker">
    <w15:presenceInfo w15:providerId="Windows Live" w15:userId="26acb1c50ba28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015B7"/>
    <w:rsid w:val="00011926"/>
    <w:rsid w:val="000119A5"/>
    <w:rsid w:val="00025932"/>
    <w:rsid w:val="0004199C"/>
    <w:rsid w:val="00041FFB"/>
    <w:rsid w:val="00042AE8"/>
    <w:rsid w:val="00043E2A"/>
    <w:rsid w:val="00051F87"/>
    <w:rsid w:val="00054E7F"/>
    <w:rsid w:val="00056CFD"/>
    <w:rsid w:val="00060955"/>
    <w:rsid w:val="00065593"/>
    <w:rsid w:val="000746C8"/>
    <w:rsid w:val="0007492B"/>
    <w:rsid w:val="00081718"/>
    <w:rsid w:val="00086E08"/>
    <w:rsid w:val="0009166F"/>
    <w:rsid w:val="000930A5"/>
    <w:rsid w:val="00094534"/>
    <w:rsid w:val="00095D21"/>
    <w:rsid w:val="000A745A"/>
    <w:rsid w:val="000B2A59"/>
    <w:rsid w:val="000C6C76"/>
    <w:rsid w:val="000D4E21"/>
    <w:rsid w:val="000D4E90"/>
    <w:rsid w:val="000E1156"/>
    <w:rsid w:val="000E3E6A"/>
    <w:rsid w:val="000F1E7F"/>
    <w:rsid w:val="000F27E6"/>
    <w:rsid w:val="000F6241"/>
    <w:rsid w:val="000F7F3C"/>
    <w:rsid w:val="001002F4"/>
    <w:rsid w:val="001022EF"/>
    <w:rsid w:val="00104FD7"/>
    <w:rsid w:val="00112080"/>
    <w:rsid w:val="00115A07"/>
    <w:rsid w:val="00120F59"/>
    <w:rsid w:val="00122D70"/>
    <w:rsid w:val="00130F98"/>
    <w:rsid w:val="00135D3F"/>
    <w:rsid w:val="0013799A"/>
    <w:rsid w:val="00144D89"/>
    <w:rsid w:val="00155909"/>
    <w:rsid w:val="0016793C"/>
    <w:rsid w:val="00176315"/>
    <w:rsid w:val="00176829"/>
    <w:rsid w:val="00181389"/>
    <w:rsid w:val="001839F6"/>
    <w:rsid w:val="00184544"/>
    <w:rsid w:val="001845AE"/>
    <w:rsid w:val="00190A4A"/>
    <w:rsid w:val="001938A5"/>
    <w:rsid w:val="00197DFC"/>
    <w:rsid w:val="001A083E"/>
    <w:rsid w:val="001A241A"/>
    <w:rsid w:val="001B1D9C"/>
    <w:rsid w:val="001B2F9D"/>
    <w:rsid w:val="001B43C1"/>
    <w:rsid w:val="001C0621"/>
    <w:rsid w:val="001C3781"/>
    <w:rsid w:val="001D11ED"/>
    <w:rsid w:val="001D2253"/>
    <w:rsid w:val="001D69A5"/>
    <w:rsid w:val="001F6BF2"/>
    <w:rsid w:val="00201863"/>
    <w:rsid w:val="002043DF"/>
    <w:rsid w:val="00213639"/>
    <w:rsid w:val="0021698D"/>
    <w:rsid w:val="002250F1"/>
    <w:rsid w:val="002310DB"/>
    <w:rsid w:val="00231511"/>
    <w:rsid w:val="002333CB"/>
    <w:rsid w:val="00234C7A"/>
    <w:rsid w:val="00235B48"/>
    <w:rsid w:val="002417AA"/>
    <w:rsid w:val="0024351B"/>
    <w:rsid w:val="002545B7"/>
    <w:rsid w:val="00256A19"/>
    <w:rsid w:val="0026076E"/>
    <w:rsid w:val="002661BF"/>
    <w:rsid w:val="00266850"/>
    <w:rsid w:val="0027458F"/>
    <w:rsid w:val="00274E41"/>
    <w:rsid w:val="00281E9E"/>
    <w:rsid w:val="00283DF2"/>
    <w:rsid w:val="00284261"/>
    <w:rsid w:val="0028468D"/>
    <w:rsid w:val="002A36A8"/>
    <w:rsid w:val="002A49B1"/>
    <w:rsid w:val="002B0A04"/>
    <w:rsid w:val="002B0F51"/>
    <w:rsid w:val="002B5479"/>
    <w:rsid w:val="002C22D7"/>
    <w:rsid w:val="002D55FC"/>
    <w:rsid w:val="002E0092"/>
    <w:rsid w:val="002E36D9"/>
    <w:rsid w:val="002E3719"/>
    <w:rsid w:val="002F68BF"/>
    <w:rsid w:val="00300D26"/>
    <w:rsid w:val="003079FF"/>
    <w:rsid w:val="00310B99"/>
    <w:rsid w:val="003173F9"/>
    <w:rsid w:val="00323523"/>
    <w:rsid w:val="00333A5F"/>
    <w:rsid w:val="00341105"/>
    <w:rsid w:val="00343898"/>
    <w:rsid w:val="00346D15"/>
    <w:rsid w:val="0034754B"/>
    <w:rsid w:val="0034785F"/>
    <w:rsid w:val="00360DC4"/>
    <w:rsid w:val="00367BDB"/>
    <w:rsid w:val="00370538"/>
    <w:rsid w:val="00376BB9"/>
    <w:rsid w:val="003838AE"/>
    <w:rsid w:val="0038552B"/>
    <w:rsid w:val="00385CFC"/>
    <w:rsid w:val="00386949"/>
    <w:rsid w:val="00392ADD"/>
    <w:rsid w:val="00395E66"/>
    <w:rsid w:val="003A7E06"/>
    <w:rsid w:val="003B178A"/>
    <w:rsid w:val="003B35C2"/>
    <w:rsid w:val="003B3904"/>
    <w:rsid w:val="003B7337"/>
    <w:rsid w:val="003C3006"/>
    <w:rsid w:val="003C301A"/>
    <w:rsid w:val="003C6011"/>
    <w:rsid w:val="003D128F"/>
    <w:rsid w:val="003D5BAC"/>
    <w:rsid w:val="003E0FAC"/>
    <w:rsid w:val="003E28F6"/>
    <w:rsid w:val="003E2DF5"/>
    <w:rsid w:val="003F1813"/>
    <w:rsid w:val="003F3113"/>
    <w:rsid w:val="003F39BE"/>
    <w:rsid w:val="00404CB3"/>
    <w:rsid w:val="00405086"/>
    <w:rsid w:val="00410C54"/>
    <w:rsid w:val="004158FF"/>
    <w:rsid w:val="004275D4"/>
    <w:rsid w:val="00431EE1"/>
    <w:rsid w:val="00433300"/>
    <w:rsid w:val="0043451E"/>
    <w:rsid w:val="00460B26"/>
    <w:rsid w:val="0046549A"/>
    <w:rsid w:val="00475204"/>
    <w:rsid w:val="0047771D"/>
    <w:rsid w:val="00484B84"/>
    <w:rsid w:val="00485586"/>
    <w:rsid w:val="00491F77"/>
    <w:rsid w:val="0049266B"/>
    <w:rsid w:val="00496D3E"/>
    <w:rsid w:val="004A1994"/>
    <w:rsid w:val="004A57CF"/>
    <w:rsid w:val="004A6561"/>
    <w:rsid w:val="004A7ED5"/>
    <w:rsid w:val="004B0755"/>
    <w:rsid w:val="004B2862"/>
    <w:rsid w:val="004C426A"/>
    <w:rsid w:val="004C4E6D"/>
    <w:rsid w:val="004C7172"/>
    <w:rsid w:val="004D1676"/>
    <w:rsid w:val="004D4B58"/>
    <w:rsid w:val="004D5A1F"/>
    <w:rsid w:val="004D6212"/>
    <w:rsid w:val="004E2E93"/>
    <w:rsid w:val="004E3994"/>
    <w:rsid w:val="004E3DC1"/>
    <w:rsid w:val="004E6238"/>
    <w:rsid w:val="004E7FEE"/>
    <w:rsid w:val="004F0204"/>
    <w:rsid w:val="004F0BF2"/>
    <w:rsid w:val="004F3568"/>
    <w:rsid w:val="00500B6C"/>
    <w:rsid w:val="005020A4"/>
    <w:rsid w:val="0050232D"/>
    <w:rsid w:val="005077F2"/>
    <w:rsid w:val="005168C3"/>
    <w:rsid w:val="00517936"/>
    <w:rsid w:val="005204A9"/>
    <w:rsid w:val="005222C3"/>
    <w:rsid w:val="005251EF"/>
    <w:rsid w:val="00532368"/>
    <w:rsid w:val="0053789C"/>
    <w:rsid w:val="00540DA6"/>
    <w:rsid w:val="00541F6D"/>
    <w:rsid w:val="005438AF"/>
    <w:rsid w:val="005459DF"/>
    <w:rsid w:val="00546544"/>
    <w:rsid w:val="0055576B"/>
    <w:rsid w:val="00565446"/>
    <w:rsid w:val="005657B3"/>
    <w:rsid w:val="005869AC"/>
    <w:rsid w:val="00586B52"/>
    <w:rsid w:val="00586F18"/>
    <w:rsid w:val="0058745F"/>
    <w:rsid w:val="00587693"/>
    <w:rsid w:val="005954F9"/>
    <w:rsid w:val="00596F84"/>
    <w:rsid w:val="005A0FA1"/>
    <w:rsid w:val="005B4A8D"/>
    <w:rsid w:val="005C24D3"/>
    <w:rsid w:val="005C6D5B"/>
    <w:rsid w:val="005D5497"/>
    <w:rsid w:val="005E2587"/>
    <w:rsid w:val="005E3C47"/>
    <w:rsid w:val="005F1F4C"/>
    <w:rsid w:val="005F33D3"/>
    <w:rsid w:val="005F5FB4"/>
    <w:rsid w:val="00604BF2"/>
    <w:rsid w:val="00622521"/>
    <w:rsid w:val="00636752"/>
    <w:rsid w:val="00643355"/>
    <w:rsid w:val="00643B92"/>
    <w:rsid w:val="006440F3"/>
    <w:rsid w:val="006464FA"/>
    <w:rsid w:val="00650AEF"/>
    <w:rsid w:val="00652808"/>
    <w:rsid w:val="00657E1F"/>
    <w:rsid w:val="006615E9"/>
    <w:rsid w:val="00664FF4"/>
    <w:rsid w:val="00674C2D"/>
    <w:rsid w:val="00675F93"/>
    <w:rsid w:val="00676AF1"/>
    <w:rsid w:val="00694421"/>
    <w:rsid w:val="006A4D80"/>
    <w:rsid w:val="006B016A"/>
    <w:rsid w:val="006C4505"/>
    <w:rsid w:val="006D450E"/>
    <w:rsid w:val="006E5AB3"/>
    <w:rsid w:val="006E6E49"/>
    <w:rsid w:val="0070488A"/>
    <w:rsid w:val="00710C3E"/>
    <w:rsid w:val="00711A8C"/>
    <w:rsid w:val="0072794F"/>
    <w:rsid w:val="00727E16"/>
    <w:rsid w:val="00730E1B"/>
    <w:rsid w:val="00734BC2"/>
    <w:rsid w:val="00735804"/>
    <w:rsid w:val="00741980"/>
    <w:rsid w:val="00745E4A"/>
    <w:rsid w:val="00746709"/>
    <w:rsid w:val="00747506"/>
    <w:rsid w:val="00747797"/>
    <w:rsid w:val="007528CB"/>
    <w:rsid w:val="007564B8"/>
    <w:rsid w:val="00766E59"/>
    <w:rsid w:val="00766E66"/>
    <w:rsid w:val="00780942"/>
    <w:rsid w:val="007A3257"/>
    <w:rsid w:val="007C054E"/>
    <w:rsid w:val="007C274F"/>
    <w:rsid w:val="007C30F2"/>
    <w:rsid w:val="007C3945"/>
    <w:rsid w:val="007D38E6"/>
    <w:rsid w:val="007D625F"/>
    <w:rsid w:val="007F2856"/>
    <w:rsid w:val="007F3BC7"/>
    <w:rsid w:val="007F4287"/>
    <w:rsid w:val="007F72A5"/>
    <w:rsid w:val="007F7B14"/>
    <w:rsid w:val="00803F5A"/>
    <w:rsid w:val="0081683B"/>
    <w:rsid w:val="00816F97"/>
    <w:rsid w:val="00817C13"/>
    <w:rsid w:val="0082305C"/>
    <w:rsid w:val="008323C7"/>
    <w:rsid w:val="00837B42"/>
    <w:rsid w:val="0084733D"/>
    <w:rsid w:val="008541F9"/>
    <w:rsid w:val="008652FF"/>
    <w:rsid w:val="008658D1"/>
    <w:rsid w:val="00884E68"/>
    <w:rsid w:val="008928DE"/>
    <w:rsid w:val="00892A6C"/>
    <w:rsid w:val="008963C3"/>
    <w:rsid w:val="008A31BA"/>
    <w:rsid w:val="008A32B2"/>
    <w:rsid w:val="008A355B"/>
    <w:rsid w:val="008A3CC6"/>
    <w:rsid w:val="008A6413"/>
    <w:rsid w:val="008A7561"/>
    <w:rsid w:val="008B0FAE"/>
    <w:rsid w:val="008B1015"/>
    <w:rsid w:val="008B2372"/>
    <w:rsid w:val="008B2E07"/>
    <w:rsid w:val="008C104D"/>
    <w:rsid w:val="008C331B"/>
    <w:rsid w:val="008C3A3F"/>
    <w:rsid w:val="008C6970"/>
    <w:rsid w:val="008C7AA2"/>
    <w:rsid w:val="008D7ED8"/>
    <w:rsid w:val="0090264B"/>
    <w:rsid w:val="009029D5"/>
    <w:rsid w:val="0090313C"/>
    <w:rsid w:val="00911B00"/>
    <w:rsid w:val="00925978"/>
    <w:rsid w:val="00930C60"/>
    <w:rsid w:val="00935F21"/>
    <w:rsid w:val="00936E77"/>
    <w:rsid w:val="00941BFC"/>
    <w:rsid w:val="0095653D"/>
    <w:rsid w:val="00966838"/>
    <w:rsid w:val="009713B1"/>
    <w:rsid w:val="0097255B"/>
    <w:rsid w:val="00974027"/>
    <w:rsid w:val="0098013F"/>
    <w:rsid w:val="0098061F"/>
    <w:rsid w:val="00984598"/>
    <w:rsid w:val="00996C89"/>
    <w:rsid w:val="009B385B"/>
    <w:rsid w:val="009C10CA"/>
    <w:rsid w:val="009C1E77"/>
    <w:rsid w:val="009E586B"/>
    <w:rsid w:val="009F04F5"/>
    <w:rsid w:val="009F6B2C"/>
    <w:rsid w:val="00A01E12"/>
    <w:rsid w:val="00A246C4"/>
    <w:rsid w:val="00A251C4"/>
    <w:rsid w:val="00A251EB"/>
    <w:rsid w:val="00A26D30"/>
    <w:rsid w:val="00A3143A"/>
    <w:rsid w:val="00A3211B"/>
    <w:rsid w:val="00A34400"/>
    <w:rsid w:val="00A44B96"/>
    <w:rsid w:val="00A553F7"/>
    <w:rsid w:val="00A57917"/>
    <w:rsid w:val="00A6617D"/>
    <w:rsid w:val="00A70462"/>
    <w:rsid w:val="00A7150D"/>
    <w:rsid w:val="00A72BCB"/>
    <w:rsid w:val="00A80E41"/>
    <w:rsid w:val="00A834CA"/>
    <w:rsid w:val="00A8441D"/>
    <w:rsid w:val="00A84520"/>
    <w:rsid w:val="00A963F4"/>
    <w:rsid w:val="00AA0D37"/>
    <w:rsid w:val="00AA5E8B"/>
    <w:rsid w:val="00AA783F"/>
    <w:rsid w:val="00AB25C5"/>
    <w:rsid w:val="00AB5080"/>
    <w:rsid w:val="00AC2A80"/>
    <w:rsid w:val="00AD4CF8"/>
    <w:rsid w:val="00AD64BE"/>
    <w:rsid w:val="00AD7FB5"/>
    <w:rsid w:val="00AF2FF3"/>
    <w:rsid w:val="00AF6A04"/>
    <w:rsid w:val="00B023CE"/>
    <w:rsid w:val="00B0424E"/>
    <w:rsid w:val="00B049D4"/>
    <w:rsid w:val="00B052DC"/>
    <w:rsid w:val="00B06B58"/>
    <w:rsid w:val="00B12F80"/>
    <w:rsid w:val="00B15955"/>
    <w:rsid w:val="00B16F95"/>
    <w:rsid w:val="00B212CF"/>
    <w:rsid w:val="00B30B53"/>
    <w:rsid w:val="00B30D8B"/>
    <w:rsid w:val="00B30F7E"/>
    <w:rsid w:val="00B32948"/>
    <w:rsid w:val="00B36996"/>
    <w:rsid w:val="00B4177A"/>
    <w:rsid w:val="00B41D75"/>
    <w:rsid w:val="00B41FAA"/>
    <w:rsid w:val="00B430C0"/>
    <w:rsid w:val="00B45447"/>
    <w:rsid w:val="00B478AB"/>
    <w:rsid w:val="00B5494E"/>
    <w:rsid w:val="00B567A5"/>
    <w:rsid w:val="00B6305C"/>
    <w:rsid w:val="00B66FEA"/>
    <w:rsid w:val="00B677AF"/>
    <w:rsid w:val="00B70530"/>
    <w:rsid w:val="00B716D8"/>
    <w:rsid w:val="00B726EC"/>
    <w:rsid w:val="00B822C3"/>
    <w:rsid w:val="00B82B09"/>
    <w:rsid w:val="00B876B7"/>
    <w:rsid w:val="00B87BEC"/>
    <w:rsid w:val="00B902DD"/>
    <w:rsid w:val="00B93CE2"/>
    <w:rsid w:val="00B940F4"/>
    <w:rsid w:val="00B94333"/>
    <w:rsid w:val="00BA4E05"/>
    <w:rsid w:val="00BB3E9A"/>
    <w:rsid w:val="00BB705E"/>
    <w:rsid w:val="00BB7EDC"/>
    <w:rsid w:val="00BC098D"/>
    <w:rsid w:val="00BC5224"/>
    <w:rsid w:val="00BE0F70"/>
    <w:rsid w:val="00BE3D72"/>
    <w:rsid w:val="00BE4C4D"/>
    <w:rsid w:val="00BF1CD2"/>
    <w:rsid w:val="00C15213"/>
    <w:rsid w:val="00C21020"/>
    <w:rsid w:val="00C21EBA"/>
    <w:rsid w:val="00C26293"/>
    <w:rsid w:val="00C3144F"/>
    <w:rsid w:val="00C31E44"/>
    <w:rsid w:val="00C46C5B"/>
    <w:rsid w:val="00C4718C"/>
    <w:rsid w:val="00C526EA"/>
    <w:rsid w:val="00C63739"/>
    <w:rsid w:val="00C643A4"/>
    <w:rsid w:val="00C72C15"/>
    <w:rsid w:val="00C766EF"/>
    <w:rsid w:val="00C769C8"/>
    <w:rsid w:val="00C94150"/>
    <w:rsid w:val="00C96110"/>
    <w:rsid w:val="00C97C13"/>
    <w:rsid w:val="00CA03AF"/>
    <w:rsid w:val="00CA27E7"/>
    <w:rsid w:val="00CA3C66"/>
    <w:rsid w:val="00CA45BD"/>
    <w:rsid w:val="00CB67AA"/>
    <w:rsid w:val="00CC1D7C"/>
    <w:rsid w:val="00CC1DEE"/>
    <w:rsid w:val="00CC4651"/>
    <w:rsid w:val="00CC65B0"/>
    <w:rsid w:val="00CC6E29"/>
    <w:rsid w:val="00CD2D02"/>
    <w:rsid w:val="00CD3CF7"/>
    <w:rsid w:val="00CD50B2"/>
    <w:rsid w:val="00CE1A6B"/>
    <w:rsid w:val="00CF303B"/>
    <w:rsid w:val="00D03332"/>
    <w:rsid w:val="00D03880"/>
    <w:rsid w:val="00D04E46"/>
    <w:rsid w:val="00D07637"/>
    <w:rsid w:val="00D203BF"/>
    <w:rsid w:val="00D319C5"/>
    <w:rsid w:val="00D5010A"/>
    <w:rsid w:val="00D51284"/>
    <w:rsid w:val="00D52364"/>
    <w:rsid w:val="00D6108E"/>
    <w:rsid w:val="00D6678C"/>
    <w:rsid w:val="00D708CA"/>
    <w:rsid w:val="00D71EE1"/>
    <w:rsid w:val="00D80EE0"/>
    <w:rsid w:val="00D867A7"/>
    <w:rsid w:val="00D901EB"/>
    <w:rsid w:val="00DA0512"/>
    <w:rsid w:val="00DA2152"/>
    <w:rsid w:val="00DA764F"/>
    <w:rsid w:val="00DC0931"/>
    <w:rsid w:val="00DC1D78"/>
    <w:rsid w:val="00DC2CF5"/>
    <w:rsid w:val="00DC3D7D"/>
    <w:rsid w:val="00DD0EA7"/>
    <w:rsid w:val="00DD1D6A"/>
    <w:rsid w:val="00DE306F"/>
    <w:rsid w:val="00DF22B6"/>
    <w:rsid w:val="00DF78C8"/>
    <w:rsid w:val="00E00958"/>
    <w:rsid w:val="00E0308C"/>
    <w:rsid w:val="00E07A95"/>
    <w:rsid w:val="00E12855"/>
    <w:rsid w:val="00E306C6"/>
    <w:rsid w:val="00E32E5D"/>
    <w:rsid w:val="00E36C58"/>
    <w:rsid w:val="00E43F00"/>
    <w:rsid w:val="00E44A3F"/>
    <w:rsid w:val="00E44D06"/>
    <w:rsid w:val="00E45C97"/>
    <w:rsid w:val="00E56F96"/>
    <w:rsid w:val="00E60A1A"/>
    <w:rsid w:val="00E63497"/>
    <w:rsid w:val="00E640B0"/>
    <w:rsid w:val="00E6758C"/>
    <w:rsid w:val="00E67B4B"/>
    <w:rsid w:val="00E733BA"/>
    <w:rsid w:val="00E82ED7"/>
    <w:rsid w:val="00E836C9"/>
    <w:rsid w:val="00E878C9"/>
    <w:rsid w:val="00E90EEB"/>
    <w:rsid w:val="00E97172"/>
    <w:rsid w:val="00E97EE1"/>
    <w:rsid w:val="00E97FA3"/>
    <w:rsid w:val="00EA6BD3"/>
    <w:rsid w:val="00EB26F3"/>
    <w:rsid w:val="00EB4577"/>
    <w:rsid w:val="00EB5B3C"/>
    <w:rsid w:val="00EC69FC"/>
    <w:rsid w:val="00EC7FE6"/>
    <w:rsid w:val="00EE2131"/>
    <w:rsid w:val="00EE29BE"/>
    <w:rsid w:val="00EF459B"/>
    <w:rsid w:val="00F00FBA"/>
    <w:rsid w:val="00F068D3"/>
    <w:rsid w:val="00F07264"/>
    <w:rsid w:val="00F10C97"/>
    <w:rsid w:val="00F134A0"/>
    <w:rsid w:val="00F17AFA"/>
    <w:rsid w:val="00F21885"/>
    <w:rsid w:val="00F21BF0"/>
    <w:rsid w:val="00F22C0B"/>
    <w:rsid w:val="00F2439E"/>
    <w:rsid w:val="00F24D6C"/>
    <w:rsid w:val="00F26EAE"/>
    <w:rsid w:val="00F34871"/>
    <w:rsid w:val="00F3670F"/>
    <w:rsid w:val="00F370BB"/>
    <w:rsid w:val="00F50B19"/>
    <w:rsid w:val="00F621D9"/>
    <w:rsid w:val="00F657AC"/>
    <w:rsid w:val="00F72121"/>
    <w:rsid w:val="00F73043"/>
    <w:rsid w:val="00F82B08"/>
    <w:rsid w:val="00F84482"/>
    <w:rsid w:val="00F849EE"/>
    <w:rsid w:val="00F90C32"/>
    <w:rsid w:val="00FA2D27"/>
    <w:rsid w:val="00FA43FE"/>
    <w:rsid w:val="00FC0F2B"/>
    <w:rsid w:val="00FC13C9"/>
    <w:rsid w:val="00FC5AF1"/>
    <w:rsid w:val="00FD3378"/>
    <w:rsid w:val="00FD5245"/>
    <w:rsid w:val="00FE0E11"/>
    <w:rsid w:val="00FE2A5A"/>
    <w:rsid w:val="00FE3018"/>
    <w:rsid w:val="00FE6BC3"/>
    <w:rsid w:val="00FF0A51"/>
    <w:rsid w:val="00FF3CCB"/>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E3C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ListParagraph">
    <w:name w:val="List Paragraph"/>
    <w:basedOn w:val="Normal"/>
    <w:uiPriority w:val="34"/>
    <w:qFormat/>
    <w:rsid w:val="00C769C8"/>
    <w:pPr>
      <w:ind w:left="720"/>
    </w:pPr>
  </w:style>
  <w:style w:type="character" w:customStyle="1" w:styleId="FootnoteTextChar">
    <w:name w:val="Footnote Text Char"/>
    <w:link w:val="FootnoteText"/>
    <w:uiPriority w:val="99"/>
    <w:semiHidden/>
    <w:rsid w:val="00C94150"/>
    <w:rPr>
      <w:rFonts w:ascii="Courier" w:hAnsi="Courier"/>
    </w:rPr>
  </w:style>
  <w:style w:type="character" w:customStyle="1" w:styleId="Heading1Char">
    <w:name w:val="Heading 1 Char"/>
    <w:basedOn w:val="DefaultParagraphFont"/>
    <w:link w:val="Heading1"/>
    <w:rsid w:val="005E3C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E4C4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E3C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ListParagraph">
    <w:name w:val="List Paragraph"/>
    <w:basedOn w:val="Normal"/>
    <w:uiPriority w:val="34"/>
    <w:qFormat/>
    <w:rsid w:val="00C769C8"/>
    <w:pPr>
      <w:ind w:left="720"/>
    </w:pPr>
  </w:style>
  <w:style w:type="character" w:customStyle="1" w:styleId="FootnoteTextChar">
    <w:name w:val="Footnote Text Char"/>
    <w:link w:val="FootnoteText"/>
    <w:uiPriority w:val="99"/>
    <w:semiHidden/>
    <w:rsid w:val="00C94150"/>
    <w:rPr>
      <w:rFonts w:ascii="Courier" w:hAnsi="Courier"/>
    </w:rPr>
  </w:style>
  <w:style w:type="character" w:customStyle="1" w:styleId="Heading1Char">
    <w:name w:val="Heading 1 Char"/>
    <w:basedOn w:val="DefaultParagraphFont"/>
    <w:link w:val="Heading1"/>
    <w:rsid w:val="005E3C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E4C4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D1F35-598A-2D48-BBFC-6CA3561E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4225</Words>
  <Characters>24089</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28258</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2015-04-17T10:58:00Z</dcterms:created>
  <dcterms:modified xsi:type="dcterms:W3CDTF">2015-04-17T10:58:00Z</dcterms:modified>
</cp:coreProperties>
</file>