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D7" w:rsidRDefault="002310D7" w:rsidP="00EB4006">
      <w:pPr>
        <w:widowControl/>
        <w:rPr>
          <w:rFonts w:ascii="Times New Roman" w:hAnsi="Times New Roman"/>
        </w:rPr>
      </w:pPr>
      <w:r>
        <w:rPr>
          <w:rFonts w:ascii="Times New Roman" w:hAnsi="Times New Roman"/>
        </w:rPr>
        <w:t>SUPPORTING STATEMENT FOR PAPERWORK REDUCTION ACT 1995 SUBMISSIONS</w:t>
      </w:r>
    </w:p>
    <w:p w:rsidR="002310D7" w:rsidRDefault="002310D7" w:rsidP="00EB4006">
      <w:pPr>
        <w:widowControl/>
        <w:rPr>
          <w:rFonts w:ascii="Times New Roman" w:hAnsi="Times New Roman"/>
        </w:rPr>
      </w:pPr>
    </w:p>
    <w:p w:rsidR="002310D7" w:rsidRPr="00365B36" w:rsidRDefault="002310D7" w:rsidP="008B1965">
      <w:pPr>
        <w:pStyle w:val="Level1"/>
        <w:widowControl/>
        <w:rPr>
          <w:rFonts w:ascii="Times New Roman" w:hAnsi="Times New Roman"/>
          <w:u w:val="single"/>
        </w:rPr>
      </w:pPr>
      <w:r w:rsidRPr="00365B36">
        <w:rPr>
          <w:rFonts w:ascii="Times New Roman" w:hAnsi="Times New Roman"/>
          <w:u w:val="single"/>
        </w:rPr>
        <w:t>Justification</w:t>
      </w:r>
    </w:p>
    <w:p w:rsidR="002310D7" w:rsidRDefault="002310D7" w:rsidP="008B1965">
      <w:pPr>
        <w:widowControl/>
        <w:rPr>
          <w:rFonts w:ascii="Times New Roman" w:hAnsi="Times New Roman"/>
        </w:rPr>
      </w:pPr>
    </w:p>
    <w:p w:rsidR="002310D7" w:rsidRDefault="002310D7" w:rsidP="008B1965">
      <w:pPr>
        <w:pStyle w:val="Quick1"/>
        <w:widowControl/>
        <w:numPr>
          <w:ilvl w:val="0"/>
          <w:numId w:val="2"/>
        </w:numPr>
        <w:tabs>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 xml:space="preserve">Section 110 of ERISA </w:t>
      </w:r>
      <w:r w:rsidR="00365B36">
        <w:rPr>
          <w:rFonts w:ascii="Times New Roman" w:hAnsi="Times New Roman"/>
        </w:rPr>
        <w:t xml:space="preserve">(29 U.S.C. § 1030) </w:t>
      </w:r>
      <w:r>
        <w:rPr>
          <w:rFonts w:ascii="Times New Roman" w:hAnsi="Times New Roman"/>
        </w:rPr>
        <w:t xml:space="preserve">authorizes the Secretary to prescribe alternative methods of compliance with the reporting and disclosure requirements of Title I of the Employee Retirement Income Security Act of 1974 (ERISA) for pension plans.  Simplified Employee Pensions (SEPs) are established in section 408(k) of the Internal Revenue Code of 1986 (the Code).  Although SEPs are primarily a development of the Code subject to its requirements, SEPs are also pension plans subject to the reporting and disclosure requirements of Title I of ERISA.  </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 xml:space="preserve">The regulation containing the ICR (29 CFR 2520.104-49) was issued January 6, 1981, under the authority of section 110 of ERISA and intends to relieve sponsors of certain SEPs from ERISA’s Title I reporting and disclosure requirements by prescribing an alternative method of compliance.  These SEPs are, for purposes of this information collection, referred to as "non-model SEPs” because they exclude those SEPs which are created through use of Internal Revenue Service (IRS) Form 5305-SEP, and those SEPs in which the employer influences the employees as to their choice of IRAs to which employer contributions will be made, and that also prohibits withdrawals by participants.  The disclosure requirements in this regulation were developed in conjunction with the IRS (IRS Notice 81-1).  Accordingly, sponsors of non-model SEPs who satisfy the limited disclosure requirements of the regulation are relieved from otherwise applicable reporting and disclosure requirements under Title I of ERISA, including the requirements to file annual reports (Form 5500 Series) with the Department, and to furnish summary plan descriptions (SPDs) and summary annual reports (SARs) to participants and beneficiaries.      </w:t>
      </w:r>
    </w:p>
    <w:p w:rsidR="0037566C" w:rsidRDefault="002310D7" w:rsidP="008B1965">
      <w:pPr>
        <w:widowControl/>
        <w:ind w:left="720"/>
        <w:rPr>
          <w:rFonts w:ascii="Times New Roman" w:hAnsi="Times New Roman"/>
        </w:rPr>
      </w:pPr>
      <w:r>
        <w:rPr>
          <w:rFonts w:ascii="Times New Roman" w:hAnsi="Times New Roman"/>
        </w:rPr>
        <w:t>Code § 408(k) was amended pursuant to the Small Business Job Protection Act of 1996 (SBJPA) which repealed elective or salary reduction SEPs (SAR-SEPs).  The SBJPA provides that employers cannot establish new SAR-SEPs for tax years beginning after December 31, 1996.  However, SAR-SEPs established prior to January 1, 1997</w:t>
      </w:r>
      <w:r w:rsidR="004D65D5">
        <w:rPr>
          <w:rFonts w:ascii="Times New Roman" w:hAnsi="Times New Roman"/>
        </w:rPr>
        <w:t>,</w:t>
      </w:r>
      <w:r>
        <w:rPr>
          <w:rFonts w:ascii="Times New Roman" w:hAnsi="Times New Roman"/>
        </w:rPr>
        <w:t xml:space="preserve"> can continue to receive contributions under present-law rules, and new employees of an </w:t>
      </w:r>
    </w:p>
    <w:p w:rsidR="002310D7" w:rsidRDefault="004D65D5" w:rsidP="008B1965">
      <w:pPr>
        <w:widowControl/>
        <w:ind w:left="720"/>
        <w:rPr>
          <w:rFonts w:ascii="Times New Roman" w:hAnsi="Times New Roman"/>
        </w:rPr>
      </w:pPr>
      <w:r>
        <w:rPr>
          <w:rFonts w:ascii="Times New Roman" w:hAnsi="Times New Roman"/>
        </w:rPr>
        <w:t xml:space="preserve">employer </w:t>
      </w:r>
      <w:r w:rsidR="002310D7">
        <w:rPr>
          <w:rFonts w:ascii="Times New Roman" w:hAnsi="Times New Roman"/>
        </w:rPr>
        <w:t>with a pre-existing (prior to January 1, 1997) SAR-SEP hired after December 31, 1996</w:t>
      </w:r>
      <w:r>
        <w:rPr>
          <w:rFonts w:ascii="Times New Roman" w:hAnsi="Times New Roman"/>
        </w:rPr>
        <w:t>,</w:t>
      </w:r>
      <w:r w:rsidR="002310D7">
        <w:rPr>
          <w:rFonts w:ascii="Times New Roman" w:hAnsi="Times New Roman"/>
        </w:rPr>
        <w:t xml:space="preserve"> can participate in the SAR-SEP in accordance with such rules.  The ICR </w:t>
      </w:r>
      <w:r>
        <w:rPr>
          <w:rFonts w:ascii="Times New Roman" w:hAnsi="Times New Roman"/>
        </w:rPr>
        <w:t xml:space="preserve"> </w:t>
      </w:r>
      <w:r w:rsidR="002310D7">
        <w:rPr>
          <w:rFonts w:ascii="Times New Roman" w:hAnsi="Times New Roman"/>
        </w:rPr>
        <w:t xml:space="preserve">applies, therefore, to on-going SAR-SEPs, new  participants in these SAR-SEPs, and to current and new non-model SEPs and their participants.  Because only a small number of </w:t>
      </w:r>
      <w:r w:rsidR="002310D7">
        <w:rPr>
          <w:rFonts w:ascii="Times New Roman" w:hAnsi="Times New Roman"/>
        </w:rPr>
        <w:lastRenderedPageBreak/>
        <w:t>SEPs are SAR-SEPs, all SEPs and S</w:t>
      </w:r>
      <w:r w:rsidR="0091435E">
        <w:rPr>
          <w:rFonts w:ascii="Times New Roman" w:hAnsi="Times New Roman"/>
        </w:rPr>
        <w:t>EP</w:t>
      </w:r>
      <w:r w:rsidR="002310D7">
        <w:rPr>
          <w:rFonts w:ascii="Times New Roman" w:hAnsi="Times New Roman"/>
        </w:rPr>
        <w:t xml:space="preserve"> participants are referred to as non-model SEPs for purposes of this ICR.          </w:t>
      </w:r>
    </w:p>
    <w:p w:rsidR="002310D7" w:rsidRDefault="002310D7" w:rsidP="008B1965">
      <w:pPr>
        <w:widowControl/>
        <w:rPr>
          <w:rFonts w:ascii="Times New Roman" w:hAnsi="Times New Roman"/>
        </w:rPr>
      </w:pPr>
    </w:p>
    <w:p w:rsidR="002310D7" w:rsidRDefault="002310D7" w:rsidP="008B1965">
      <w:pPr>
        <w:pStyle w:val="Quick1"/>
        <w:widowControl/>
        <w:numPr>
          <w:ilvl w:val="0"/>
          <w:numId w:val="2"/>
        </w:numPr>
        <w:rPr>
          <w:rFonts w:ascii="Times New Roman" w:hAnsi="Times New Roman"/>
          <w:i/>
          <w:iCs/>
        </w:rPr>
      </w:pP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2310D7" w:rsidRDefault="002310D7" w:rsidP="008B1965">
      <w:pPr>
        <w:widowControl/>
        <w:rPr>
          <w:rFonts w:ascii="Times New Roman" w:hAnsi="Times New Roman"/>
        </w:rPr>
      </w:pPr>
    </w:p>
    <w:p w:rsidR="002310D7" w:rsidRDefault="002310D7" w:rsidP="008B1965">
      <w:pPr>
        <w:pStyle w:val="BodyTextIndent"/>
        <w:widowControl/>
        <w:tabs>
          <w:tab w:val="clear" w:pos="-1440"/>
        </w:tabs>
      </w:pPr>
      <w:r>
        <w:t xml:space="preserve">The alternative disclosure arrangement provided through this regulation relieves sponsors of non-model SEPs of most of the reporting and disclosure requirements under Title I of ERISA.  Also, the disclosure requirements set forth in the regulation ensure that administrators of non-model SEPs provide participants with specific written information concerning SEPs.  This information collection requirement generally requires timely written disclosure to employees eligible to participate in non-model SEPs, including specific information concerning: participation requirements; allocation formulas for employer contributions; designated contact persons for further information; and, for employer recommended IRAs, specific terms of the IRAs such as rates of return and any restrictions on withdrawals.  Moreover, general information is required that provides a clear explanation of: the operation of the non-model SEP; participation requirements and any withdrawal restrictions; and the tax treatment of the SEP-related IRA.  Furthermore, statements must be provided that inform participants of: any other IRAs under the non-model SEP other than that to which employer contributions are made; any options regarding rollovers and contributions to other IRAs; descriptions of IRS disclosure requirements to participants and information regarding social security integration (if applicable); and timely notification of any amendments to the terms of the non-model SEP.    </w:t>
      </w:r>
      <w:r>
        <w:tab/>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2310D7" w:rsidRDefault="002310D7" w:rsidP="008B1965">
      <w:pPr>
        <w:widowControl/>
        <w:rPr>
          <w:rFonts w:ascii="Times New Roman" w:hAnsi="Times New Roman"/>
        </w:rPr>
      </w:pPr>
    </w:p>
    <w:p w:rsidR="002310D7" w:rsidRDefault="002310D7" w:rsidP="008B1965">
      <w:pPr>
        <w:pStyle w:val="BodyTextIndent"/>
        <w:widowControl/>
        <w:tabs>
          <w:tab w:val="clear" w:pos="-1440"/>
        </w:tabs>
      </w:pPr>
      <w:r>
        <w:t xml:space="preserve">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w:t>
      </w:r>
      <w:r>
        <w:lastRenderedPageBreak/>
        <w:t>all pension and welfare plans covered under Title I of ERISA may use electronic media to satisfy disclosure and recordkeeping obligations, subject to specific safeguards.</w:t>
      </w:r>
      <w:r w:rsidR="00347F46">
        <w:t xml:space="preserve">  </w:t>
      </w:r>
      <w:r w:rsidR="007B669A">
        <w:t>The Department estimates that 38 percent of the disclosures will be done electronically.</w:t>
      </w:r>
      <w:r w:rsidR="00347F46">
        <w:t xml:space="preserve"> </w:t>
      </w:r>
    </w:p>
    <w:p w:rsidR="002310D7" w:rsidRDefault="002310D7" w:rsidP="008B1965">
      <w:pPr>
        <w:widowControl/>
        <w:ind w:left="720"/>
        <w:rPr>
          <w:rFonts w:ascii="Times New Roman" w:hAnsi="Times New Roman"/>
        </w:rPr>
      </w:pPr>
    </w:p>
    <w:p w:rsidR="002310D7" w:rsidRDefault="002310D7" w:rsidP="008B1965">
      <w:pPr>
        <w:widowControl/>
        <w:ind w:left="720" w:hanging="720"/>
        <w:rPr>
          <w:rFonts w:ascii="Times New Roman" w:hAnsi="Times New Roman"/>
        </w:rPr>
      </w:pPr>
      <w:r>
        <w:rPr>
          <w:rFonts w:ascii="Times New Roman" w:hAnsi="Times New Roman"/>
        </w:rPr>
        <w:t>4.</w:t>
      </w:r>
      <w:r>
        <w:rPr>
          <w:rFonts w:ascii="Times New Roman" w:hAnsi="Times New Roman"/>
          <w:i/>
          <w:iCs/>
        </w:rPr>
        <w:tab/>
        <w:t xml:space="preserve">Describe efforts to identify duplication.  Show specifically why any similar information already available cannot be used or modified for use for the purposes described in Item 2 above.  </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 xml:space="preserve">The disclosure requirement set forth in this regulation is not duplicated in any other Federal statute or regulation.  Also, this disclosure requirement is the only method of insuring that administrators of non-model SEPs provide participating employees with specific written information concerning SEPs.  </w:t>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w:t>
      </w:r>
      <w:r w:rsidR="00454BD3">
        <w:rPr>
          <w:rFonts w:ascii="Times New Roman" w:hAnsi="Times New Roman"/>
          <w:i/>
          <w:iCs/>
        </w:rPr>
        <w:t xml:space="preserve"> </w:t>
      </w:r>
      <w:r>
        <w:rPr>
          <w:rFonts w:ascii="Times New Roman" w:hAnsi="Times New Roman"/>
          <w:i/>
          <w:iCs/>
        </w:rPr>
        <w:t>describe any methods used to minimize burden.</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 xml:space="preserve">The alternative disclosure arrangement provided through this regulation is an effort on the part of the Department to assure that small businesses receive the most extensive relief consistent with ERISA.   This regulation will minimize the impact of existing reporting and disclosure requirements on these businesses.   </w:t>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 xml:space="preserve">This is not applicable because this information is not collected by the Federal government. </w:t>
      </w:r>
    </w:p>
    <w:p w:rsidR="002310D7" w:rsidRDefault="002310D7" w:rsidP="008B1965">
      <w:pPr>
        <w:widowControl/>
        <w:rPr>
          <w:rFonts w:ascii="Times New Roman" w:hAnsi="Times New Roman"/>
        </w:rPr>
      </w:pPr>
    </w:p>
    <w:p w:rsidR="002310D7" w:rsidRDefault="00D46F94" w:rsidP="008B1965">
      <w:pPr>
        <w:pStyle w:val="Quick1"/>
        <w:widowControl/>
        <w:numPr>
          <w:ilvl w:val="0"/>
          <w:numId w:val="0"/>
        </w:numPr>
        <w:tabs>
          <w:tab w:val="left" w:pos="-1440"/>
        </w:tabs>
        <w:ind w:left="720" w:hanging="720"/>
        <w:rPr>
          <w:rFonts w:ascii="Times New Roman" w:hAnsi="Times New Roman"/>
          <w:i/>
          <w:iCs/>
        </w:rPr>
      </w:pPr>
      <w:r>
        <w:rPr>
          <w:rFonts w:ascii="Times New Roman" w:hAnsi="Times New Roman"/>
          <w:iCs/>
        </w:rPr>
        <w:t>7.</w:t>
      </w:r>
      <w:r>
        <w:rPr>
          <w:rFonts w:ascii="Times New Roman" w:hAnsi="Times New Roman"/>
          <w:iCs/>
        </w:rPr>
        <w:tab/>
      </w:r>
      <w:r w:rsidR="002310D7">
        <w:rPr>
          <w:rFonts w:ascii="Times New Roman" w:hAnsi="Times New Roman"/>
          <w:i/>
          <w:iCs/>
        </w:rPr>
        <w:t>Explain any special circumstances that would cause an information collection to be conducted in a manner:</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report information to the agency more often than quarterly;</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2310D7" w:rsidRDefault="002310D7" w:rsidP="008B1965">
      <w:pPr>
        <w:widowControl/>
        <w:rPr>
          <w:rFonts w:ascii="Times New Roman" w:hAnsi="Times New Roman"/>
          <w:i/>
          <w:iCs/>
        </w:rPr>
      </w:pPr>
    </w:p>
    <w:p w:rsidR="002310D7" w:rsidRDefault="002310D7" w:rsidP="008B1965">
      <w:pPr>
        <w:pStyle w:val="BodyTextIndent2"/>
        <w:widowControl/>
        <w:tabs>
          <w:tab w:val="clear" w:pos="-1440"/>
        </w:tabs>
      </w:pPr>
      <w:r>
        <w:t>•</w:t>
      </w:r>
      <w: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There are no special circumstances that require the collection to be conducted in a manner inconsistent with the above.</w:t>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10D7" w:rsidRDefault="002310D7" w:rsidP="008B1965">
      <w:pPr>
        <w:widowControl/>
        <w:rPr>
          <w:rFonts w:ascii="Times New Roman" w:hAnsi="Times New Roman"/>
          <w:i/>
          <w:iCs/>
        </w:rPr>
      </w:pPr>
    </w:p>
    <w:p w:rsidR="002310D7" w:rsidRDefault="002310D7" w:rsidP="008B1965">
      <w:pPr>
        <w:widowControl/>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310D7" w:rsidRDefault="002310D7" w:rsidP="008B1965">
      <w:pPr>
        <w:widowControl/>
        <w:rPr>
          <w:rFonts w:ascii="Times New Roman" w:hAnsi="Times New Roman"/>
          <w:i/>
          <w:iCs/>
        </w:rPr>
      </w:pPr>
    </w:p>
    <w:p w:rsidR="002310D7" w:rsidRDefault="002310D7" w:rsidP="008B1965">
      <w:pPr>
        <w:widowControl/>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310D7" w:rsidRDefault="002310D7" w:rsidP="008B1965">
      <w:pPr>
        <w:widowControl/>
        <w:rPr>
          <w:rFonts w:ascii="Times New Roman" w:hAnsi="Times New Roman"/>
        </w:rPr>
      </w:pPr>
    </w:p>
    <w:p w:rsidR="00EA605D" w:rsidRDefault="00EA605D" w:rsidP="008B1965">
      <w:pPr>
        <w:widowControl/>
        <w:ind w:left="720"/>
        <w:rPr>
          <w:rFonts w:ascii="Times New Roman" w:hAnsi="Times New Roman"/>
        </w:rPr>
      </w:pPr>
      <w:r>
        <w:rPr>
          <w:rFonts w:ascii="Times New Roman" w:hAnsi="Times New Roman"/>
        </w:rPr>
        <w:t xml:space="preserve">The Department’s </w:t>
      </w:r>
      <w:r>
        <w:rPr>
          <w:rFonts w:ascii="Times New Roman" w:hAnsi="Times New Roman"/>
          <w:u w:val="single"/>
        </w:rPr>
        <w:t>Federal Register</w:t>
      </w:r>
      <w:r>
        <w:rPr>
          <w:rFonts w:ascii="Times New Roman" w:hAnsi="Times New Roman"/>
        </w:rPr>
        <w:t xml:space="preserve"> notice, as required by 5 CFR 1320.8(d), soliciting comments on the information collection was published in the </w:t>
      </w:r>
      <w:r>
        <w:rPr>
          <w:rFonts w:ascii="Times New Roman" w:hAnsi="Times New Roman"/>
          <w:u w:val="single"/>
        </w:rPr>
        <w:t>Federal Register</w:t>
      </w:r>
      <w:r>
        <w:rPr>
          <w:rFonts w:ascii="Times New Roman" w:hAnsi="Times New Roman"/>
        </w:rPr>
        <w:t xml:space="preserve"> on </w:t>
      </w:r>
      <w:r w:rsidR="00454BD3">
        <w:rPr>
          <w:rFonts w:ascii="Times New Roman" w:hAnsi="Times New Roman"/>
        </w:rPr>
        <w:t>May 21, 2014</w:t>
      </w:r>
      <w:r>
        <w:rPr>
          <w:rFonts w:ascii="Times New Roman" w:hAnsi="Times New Roman"/>
        </w:rPr>
        <w:t>, (7</w:t>
      </w:r>
      <w:r w:rsidR="00454BD3">
        <w:rPr>
          <w:rFonts w:ascii="Times New Roman" w:hAnsi="Times New Roman"/>
        </w:rPr>
        <w:t>9</w:t>
      </w:r>
      <w:r>
        <w:rPr>
          <w:rFonts w:ascii="Times New Roman" w:hAnsi="Times New Roman"/>
        </w:rPr>
        <w:t xml:space="preserve"> FR </w:t>
      </w:r>
      <w:r w:rsidR="00454BD3">
        <w:rPr>
          <w:rFonts w:ascii="Times New Roman" w:hAnsi="Times New Roman"/>
        </w:rPr>
        <w:t>292</w:t>
      </w:r>
      <w:r w:rsidR="008913EF">
        <w:rPr>
          <w:rFonts w:ascii="Times New Roman" w:hAnsi="Times New Roman"/>
        </w:rPr>
        <w:t>08</w:t>
      </w:r>
      <w:r>
        <w:rPr>
          <w:rFonts w:ascii="Times New Roman" w:hAnsi="Times New Roman"/>
        </w:rPr>
        <w:t>), providing the public 60 days to comment on the submission.  No comments were received.</w:t>
      </w:r>
    </w:p>
    <w:p w:rsidR="002310D7" w:rsidRDefault="002310D7" w:rsidP="008B1965">
      <w:pPr>
        <w:widowControl/>
        <w:rPr>
          <w:rFonts w:ascii="Times New Roman" w:hAnsi="Times New Roman"/>
        </w:rPr>
      </w:pPr>
    </w:p>
    <w:p w:rsidR="002310D7" w:rsidRDefault="00F37345" w:rsidP="008B1965">
      <w:pPr>
        <w:pStyle w:val="Quick1"/>
        <w:widowControl/>
        <w:numPr>
          <w:ilvl w:val="0"/>
          <w:numId w:val="0"/>
        </w:numPr>
        <w:tabs>
          <w:tab w:val="left" w:pos="-1440"/>
          <w:tab w:val="num" w:pos="720"/>
        </w:tabs>
        <w:ind w:left="720" w:hanging="720"/>
        <w:rPr>
          <w:rFonts w:ascii="Times New Roman" w:hAnsi="Times New Roman"/>
          <w:i/>
          <w:iCs/>
        </w:rPr>
      </w:pPr>
      <w:r>
        <w:rPr>
          <w:rFonts w:ascii="Times New Roman" w:hAnsi="Times New Roman"/>
          <w:iCs/>
        </w:rPr>
        <w:t>9</w:t>
      </w:r>
      <w:r>
        <w:rPr>
          <w:rFonts w:ascii="Times New Roman" w:hAnsi="Times New Roman"/>
          <w:iCs/>
        </w:rPr>
        <w:tab/>
      </w:r>
      <w:r w:rsidR="002310D7" w:rsidRPr="00C511CD">
        <w:rPr>
          <w:rFonts w:ascii="Times New Roman" w:hAnsi="Times New Roman"/>
          <w:i/>
          <w:iCs/>
        </w:rPr>
        <w:t xml:space="preserve">Explain any decision to provide any payment or gift to respondents, other than </w:t>
      </w:r>
      <w:r w:rsidR="002310D7">
        <w:rPr>
          <w:rFonts w:ascii="Times New Roman" w:hAnsi="Times New Roman"/>
          <w:i/>
          <w:iCs/>
        </w:rPr>
        <w:t>remuneration of contractors or grantees.</w:t>
      </w:r>
    </w:p>
    <w:p w:rsidR="002310D7" w:rsidRDefault="002310D7" w:rsidP="008B1965">
      <w:pPr>
        <w:widowControl/>
        <w:rPr>
          <w:rFonts w:ascii="Times New Roman" w:hAnsi="Times New Roman"/>
        </w:rPr>
      </w:pPr>
    </w:p>
    <w:p w:rsidR="002310D7" w:rsidRDefault="002310D7" w:rsidP="008B1965">
      <w:pPr>
        <w:widowControl/>
        <w:ind w:firstLine="720"/>
        <w:rPr>
          <w:rFonts w:ascii="Times New Roman" w:hAnsi="Times New Roman"/>
        </w:rPr>
      </w:pPr>
      <w:r>
        <w:rPr>
          <w:rFonts w:ascii="Times New Roman" w:hAnsi="Times New Roman"/>
        </w:rPr>
        <w:t>No payments or gifts are provided to respondents.</w:t>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The information collection is a third-party disclosure and as such is not intended to be confidential.</w:t>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10D7" w:rsidRDefault="002310D7" w:rsidP="008B1965">
      <w:pPr>
        <w:widowControl/>
        <w:rPr>
          <w:rFonts w:ascii="Times New Roman" w:hAnsi="Times New Roman"/>
          <w:i/>
          <w:iCs/>
        </w:rPr>
      </w:pPr>
    </w:p>
    <w:p w:rsidR="002310D7" w:rsidRDefault="002310D7" w:rsidP="008B1965">
      <w:pPr>
        <w:widowControl/>
        <w:ind w:left="720"/>
        <w:rPr>
          <w:rFonts w:ascii="Times New Roman" w:hAnsi="Times New Roman"/>
        </w:rPr>
      </w:pPr>
      <w:r>
        <w:rPr>
          <w:rFonts w:ascii="Times New Roman" w:hAnsi="Times New Roman"/>
        </w:rPr>
        <w:t xml:space="preserve">There are no questions of a sensitive nature pertaining to sexual behavior and attitudes, religious beliefs, or other matters that are commonly considered private.  </w:t>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w:t>
      </w:r>
      <w:r w:rsidR="00454BD3">
        <w:rPr>
          <w:rFonts w:ascii="Times New Roman" w:hAnsi="Times New Roman"/>
          <w:i/>
          <w:iCs/>
        </w:rPr>
        <w:t xml:space="preserve">. </w:t>
      </w:r>
    </w:p>
    <w:p w:rsidR="002310D7" w:rsidRDefault="002310D7" w:rsidP="008B1965">
      <w:pPr>
        <w:widowControl/>
        <w:rPr>
          <w:rFonts w:ascii="Times New Roman" w:hAnsi="Times New Roman"/>
          <w:i/>
          <w:iCs/>
        </w:rPr>
      </w:pPr>
    </w:p>
    <w:p w:rsidR="002310D7" w:rsidRDefault="002310D7" w:rsidP="008B1965">
      <w:pPr>
        <w:widowControl/>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B70197" w:rsidRDefault="00B70197" w:rsidP="008B1965">
      <w:pPr>
        <w:pStyle w:val="BlockText"/>
        <w:widowControl/>
      </w:pPr>
    </w:p>
    <w:p w:rsidR="002310D7" w:rsidRDefault="002310D7" w:rsidP="008B1965">
      <w:pPr>
        <w:pStyle w:val="BlockText"/>
        <w:widowControl/>
      </w:pPr>
      <w:r>
        <w:t>The Department estimates the total annual hour burden required to complete this disclosure is 21,227.  Every SEP must prepare a disclosure and distribute copies of the disclosure to its participants.  The Department assumes that the employer will perform these services themselves, so this work will be measured in burden hours.  The cost of materials, copying, and postage is presented in Item 13.</w:t>
      </w:r>
    </w:p>
    <w:p w:rsidR="002310D7" w:rsidRDefault="002310D7" w:rsidP="008B1965">
      <w:pPr>
        <w:widowControl/>
        <w:ind w:right="-90"/>
        <w:rPr>
          <w:rFonts w:ascii="Times New Roman" w:hAnsi="Times New Roman"/>
        </w:rPr>
      </w:pPr>
    </w:p>
    <w:p w:rsidR="002310D7" w:rsidRDefault="00B209A7" w:rsidP="008B1965">
      <w:pPr>
        <w:pStyle w:val="BlockText"/>
        <w:widowControl/>
      </w:pPr>
      <w:r>
        <w:t>For the paper work renewal in 2005, t</w:t>
      </w:r>
      <w:r w:rsidR="002310D7">
        <w:t>he Securities Industry Association (</w:t>
      </w:r>
      <w:r w:rsidR="004D00A9">
        <w:t>SIA),</w:t>
      </w:r>
      <w:r w:rsidR="002310D7">
        <w:t xml:space="preserve"> provided the Department with the results of an informal survey of a number of their members, regarding the number of SEP accounts, and the number of participants in those accounts.</w:t>
      </w:r>
      <w:r w:rsidR="004D00A9" w:rsidRPr="00EA605D">
        <w:rPr>
          <w:rStyle w:val="FootnoteReference"/>
          <w:vertAlign w:val="superscript"/>
        </w:rPr>
        <w:footnoteReference w:id="1"/>
      </w:r>
      <w:r w:rsidR="002310D7">
        <w:t xml:space="preserve">  The data provided by SIA</w:t>
      </w:r>
      <w:r w:rsidR="00415C14">
        <w:t xml:space="preserve"> (now called SIFMA)</w:t>
      </w:r>
      <w:r w:rsidR="002310D7">
        <w:t xml:space="preserve"> indicates that in 2004, there were approximately 356,600 employers sponsoring non-model SEPs, and approximately 679,300 participants in those SEPs.</w:t>
      </w:r>
      <w:r>
        <w:t xml:space="preserve">  No update of this</w:t>
      </w:r>
      <w:r w:rsidR="002310D7">
        <w:t xml:space="preserve"> </w:t>
      </w:r>
      <w:r>
        <w:t>information is available.</w:t>
      </w:r>
    </w:p>
    <w:p w:rsidR="002310D7" w:rsidRDefault="002310D7" w:rsidP="008B1965">
      <w:pPr>
        <w:pStyle w:val="BlockText"/>
        <w:widowControl/>
      </w:pPr>
    </w:p>
    <w:p w:rsidR="002310D7" w:rsidRDefault="002310D7" w:rsidP="008B1965">
      <w:pPr>
        <w:pStyle w:val="BlockText"/>
        <w:widowControl/>
      </w:pPr>
      <w:r>
        <w:t xml:space="preserve">Since the alternate method of compliance, which is the subject of this ICR, has been in effect for </w:t>
      </w:r>
      <w:r w:rsidR="00171BD3">
        <w:t>over 30</w:t>
      </w:r>
      <w:r>
        <w:t xml:space="preserve"> years, the Department believes that the most SEP sponsors have already compiled the disclosures that they are required to distribute to plan participants.  The Department estimates that each disclosure statement takes 30 minutes to prepare, and will only be prepared by administrators of new SEPs.  The Department does not collect information regarding the number of new SEPs, and has </w:t>
      </w:r>
      <w:r w:rsidR="00B209A7">
        <w:t xml:space="preserve">estimated that about 36,000 </w:t>
      </w:r>
      <w:r w:rsidR="00C27018">
        <w:t xml:space="preserve">new </w:t>
      </w:r>
      <w:r w:rsidR="00B209A7">
        <w:t>SEP</w:t>
      </w:r>
      <w:r w:rsidR="00EA5A90">
        <w:t xml:space="preserve"> plans</w:t>
      </w:r>
      <w:r w:rsidR="00C27018">
        <w:t xml:space="preserve"> are created each year</w:t>
      </w:r>
      <w:r>
        <w:t xml:space="preserve">. </w:t>
      </w:r>
      <w:r w:rsidR="00B209A7">
        <w:t xml:space="preserve"> </w:t>
      </w:r>
      <w:r>
        <w:t>The total preparation burden is estimated to be 1</w:t>
      </w:r>
      <w:r w:rsidR="00B209A7">
        <w:t>8,000</w:t>
      </w:r>
      <w:r>
        <w:t xml:space="preserve"> hours (35,660 x 1/2 hour</w:t>
      </w:r>
      <w:r w:rsidR="00B209A7">
        <w:t xml:space="preserve"> = 17,830</w:t>
      </w:r>
      <w:r>
        <w:t xml:space="preserve">). </w:t>
      </w:r>
    </w:p>
    <w:p w:rsidR="002310D7" w:rsidRDefault="002310D7" w:rsidP="008B1965">
      <w:pPr>
        <w:widowControl/>
        <w:ind w:right="-90"/>
        <w:rPr>
          <w:rFonts w:ascii="Times New Roman" w:hAnsi="Times New Roman"/>
        </w:rPr>
      </w:pPr>
    </w:p>
    <w:p w:rsidR="002310D7" w:rsidRDefault="002310D7" w:rsidP="008B1965">
      <w:pPr>
        <w:widowControl/>
        <w:ind w:left="720" w:right="-90"/>
        <w:rPr>
          <w:rFonts w:ascii="Times New Roman" w:hAnsi="Times New Roman"/>
        </w:rPr>
      </w:pPr>
      <w:r>
        <w:rPr>
          <w:rFonts w:ascii="Times New Roman" w:hAnsi="Times New Roman"/>
        </w:rPr>
        <w:t>The Department estimates that each year, there are approximately 6</w:t>
      </w:r>
      <w:r w:rsidR="00B209A7">
        <w:rPr>
          <w:rFonts w:ascii="Times New Roman" w:hAnsi="Times New Roman"/>
        </w:rPr>
        <w:t>8,000</w:t>
      </w:r>
      <w:r>
        <w:rPr>
          <w:rFonts w:ascii="Times New Roman" w:hAnsi="Times New Roman"/>
        </w:rPr>
        <w:t xml:space="preserve"> new SEP</w:t>
      </w:r>
      <w:r w:rsidR="00415C14">
        <w:rPr>
          <w:rFonts w:ascii="Times New Roman" w:hAnsi="Times New Roman"/>
        </w:rPr>
        <w:t xml:space="preserve"> </w:t>
      </w:r>
      <w:r>
        <w:rPr>
          <w:rFonts w:ascii="Times New Roman" w:hAnsi="Times New Roman"/>
        </w:rPr>
        <w:t xml:space="preserve"> participants who must receive a disclosure statement.</w:t>
      </w:r>
      <w:r w:rsidR="00415C14" w:rsidRPr="00EA605D">
        <w:rPr>
          <w:rStyle w:val="FootnoteReference"/>
          <w:rFonts w:ascii="Times New Roman" w:hAnsi="Times New Roman"/>
          <w:vertAlign w:val="superscript"/>
        </w:rPr>
        <w:footnoteReference w:id="2"/>
      </w:r>
      <w:r w:rsidRPr="00EA605D">
        <w:rPr>
          <w:rFonts w:ascii="Times New Roman" w:hAnsi="Times New Roman"/>
          <w:vertAlign w:val="superscript"/>
        </w:rPr>
        <w:t xml:space="preserve"> </w:t>
      </w:r>
      <w:r>
        <w:rPr>
          <w:rFonts w:ascii="Times New Roman" w:hAnsi="Times New Roman"/>
        </w:rPr>
        <w:t xml:space="preserve"> The Department estimates that it takes 3 minutes per participant to distribute the disclosure statements.  The distribution burden is estimated to be </w:t>
      </w:r>
      <w:r w:rsidR="00B209A7">
        <w:rPr>
          <w:rFonts w:ascii="Times New Roman" w:hAnsi="Times New Roman"/>
        </w:rPr>
        <w:t>3,400</w:t>
      </w:r>
      <w:r>
        <w:rPr>
          <w:rFonts w:ascii="Times New Roman" w:hAnsi="Times New Roman"/>
        </w:rPr>
        <w:t xml:space="preserve"> hours (67,930 participants x 1/20 hour</w:t>
      </w:r>
      <w:r w:rsidR="00B209A7">
        <w:rPr>
          <w:rFonts w:ascii="Times New Roman" w:hAnsi="Times New Roman"/>
        </w:rPr>
        <w:t xml:space="preserve"> = 3,397</w:t>
      </w:r>
      <w:r>
        <w:rPr>
          <w:rFonts w:ascii="Times New Roman" w:hAnsi="Times New Roman"/>
        </w:rPr>
        <w:t xml:space="preserve">).  </w:t>
      </w:r>
    </w:p>
    <w:p w:rsidR="002310D7" w:rsidRDefault="002310D7" w:rsidP="008B1965">
      <w:pPr>
        <w:widowControl/>
        <w:ind w:right="-90"/>
        <w:rPr>
          <w:rFonts w:ascii="Times New Roman" w:hAnsi="Times New Roman"/>
        </w:rPr>
      </w:pPr>
    </w:p>
    <w:p w:rsidR="002310D7" w:rsidRDefault="002310D7" w:rsidP="008B1965">
      <w:pPr>
        <w:pStyle w:val="BlockText"/>
        <w:widowControl/>
      </w:pPr>
      <w:r>
        <w:t xml:space="preserve">The total hour burden to prepare and distribute the disclosures is estimated to be </w:t>
      </w:r>
      <w:r w:rsidR="001E720B">
        <w:t xml:space="preserve">approximately </w:t>
      </w:r>
      <w:r w:rsidR="00EA5A90">
        <w:t xml:space="preserve">about </w:t>
      </w:r>
      <w:r>
        <w:t>2</w:t>
      </w:r>
      <w:r w:rsidR="00EA5A90">
        <w:t>1</w:t>
      </w:r>
      <w:r>
        <w:t>,</w:t>
      </w:r>
      <w:r w:rsidR="00EA5A90">
        <w:t>000</w:t>
      </w:r>
      <w:r>
        <w:t xml:space="preserve"> hours.</w:t>
      </w:r>
    </w:p>
    <w:p w:rsidR="002310D7" w:rsidRDefault="002310D7" w:rsidP="008B1965">
      <w:pPr>
        <w:widowControl/>
        <w:ind w:right="-90"/>
        <w:rPr>
          <w:rFonts w:ascii="Times New Roman" w:hAnsi="Times New Roman"/>
        </w:rPr>
      </w:pPr>
    </w:p>
    <w:p w:rsidR="002310D7" w:rsidRDefault="002310D7" w:rsidP="008B1965">
      <w:pPr>
        <w:widowControl/>
        <w:ind w:left="720" w:right="-90"/>
        <w:rPr>
          <w:rFonts w:ascii="Times New Roman" w:hAnsi="Times New Roman"/>
        </w:rPr>
      </w:pPr>
      <w:r>
        <w:rPr>
          <w:rFonts w:ascii="Times New Roman" w:hAnsi="Times New Roman"/>
        </w:rPr>
        <w:t xml:space="preserve">The </w:t>
      </w:r>
      <w:r w:rsidR="008E1E18">
        <w:rPr>
          <w:rFonts w:ascii="Times New Roman" w:hAnsi="Times New Roman"/>
        </w:rPr>
        <w:t xml:space="preserve">equivalent </w:t>
      </w:r>
      <w:r>
        <w:rPr>
          <w:rFonts w:ascii="Times New Roman" w:hAnsi="Times New Roman"/>
        </w:rPr>
        <w:t>cost of the hour burden would be approximately $ 1</w:t>
      </w:r>
      <w:r w:rsidR="008E1E18">
        <w:rPr>
          <w:rFonts w:ascii="Times New Roman" w:hAnsi="Times New Roman"/>
        </w:rPr>
        <w:t>.9 million</w:t>
      </w:r>
      <w:r>
        <w:rPr>
          <w:rFonts w:ascii="Times New Roman" w:hAnsi="Times New Roman"/>
        </w:rPr>
        <w:t>.</w:t>
      </w:r>
      <w:r w:rsidR="00133178" w:rsidRPr="0053673F">
        <w:rPr>
          <w:rStyle w:val="FootnoteReference"/>
          <w:rFonts w:ascii="Times New Roman" w:hAnsi="Times New Roman"/>
          <w:vertAlign w:val="superscript"/>
        </w:rPr>
        <w:footnoteReference w:id="3"/>
      </w:r>
      <w:r>
        <w:rPr>
          <w:rFonts w:ascii="Times New Roman" w:hAnsi="Times New Roman"/>
        </w:rPr>
        <w:t xml:space="preserve">  The Department assumes that the preparation would be done by a </w:t>
      </w:r>
      <w:r w:rsidR="00415C14">
        <w:rPr>
          <w:rFonts w:ascii="Times New Roman" w:hAnsi="Times New Roman"/>
        </w:rPr>
        <w:t>benefits manager</w:t>
      </w:r>
      <w:r>
        <w:rPr>
          <w:rFonts w:ascii="Times New Roman" w:hAnsi="Times New Roman"/>
        </w:rPr>
        <w:t xml:space="preserve"> at $</w:t>
      </w:r>
      <w:r w:rsidR="008E1E18">
        <w:rPr>
          <w:rFonts w:ascii="Times New Roman" w:hAnsi="Times New Roman"/>
        </w:rPr>
        <w:t>102.41</w:t>
      </w:r>
      <w:r>
        <w:rPr>
          <w:rFonts w:ascii="Times New Roman" w:hAnsi="Times New Roman"/>
        </w:rPr>
        <w:t>/hour,</w:t>
      </w:r>
      <w:r w:rsidR="00667651">
        <w:rPr>
          <w:rStyle w:val="FootnoteReference"/>
          <w:rFonts w:ascii="Times New Roman" w:hAnsi="Times New Roman"/>
          <w:vertAlign w:val="superscript"/>
        </w:rPr>
        <w:footnoteReference w:id="4"/>
      </w:r>
      <w:r>
        <w:rPr>
          <w:rFonts w:ascii="Times New Roman" w:hAnsi="Times New Roman"/>
        </w:rPr>
        <w:t xml:space="preserve"> for a total of $1,</w:t>
      </w:r>
      <w:r w:rsidR="008E1E18">
        <w:rPr>
          <w:rFonts w:ascii="Times New Roman" w:hAnsi="Times New Roman"/>
        </w:rPr>
        <w:t>8</w:t>
      </w:r>
      <w:r w:rsidR="00083422">
        <w:rPr>
          <w:rFonts w:ascii="Times New Roman" w:hAnsi="Times New Roman"/>
        </w:rPr>
        <w:t>26</w:t>
      </w:r>
      <w:r w:rsidR="00EA5A90">
        <w:rPr>
          <w:rFonts w:ascii="Times New Roman" w:hAnsi="Times New Roman"/>
        </w:rPr>
        <w:t>,000</w:t>
      </w:r>
      <w:r>
        <w:rPr>
          <w:rFonts w:ascii="Times New Roman" w:hAnsi="Times New Roman"/>
        </w:rPr>
        <w:t xml:space="preserve"> (17,830 hours x $</w:t>
      </w:r>
      <w:r w:rsidR="008E1E18">
        <w:rPr>
          <w:rFonts w:ascii="Times New Roman" w:hAnsi="Times New Roman"/>
        </w:rPr>
        <w:t>102.41</w:t>
      </w:r>
      <w:r>
        <w:rPr>
          <w:rFonts w:ascii="Times New Roman" w:hAnsi="Times New Roman"/>
        </w:rPr>
        <w:t>/hour</w:t>
      </w:r>
      <w:r w:rsidR="00EA5A90">
        <w:rPr>
          <w:rFonts w:ascii="Times New Roman" w:hAnsi="Times New Roman"/>
        </w:rPr>
        <w:t xml:space="preserve"> = 1,</w:t>
      </w:r>
      <w:r w:rsidR="008E1E18">
        <w:rPr>
          <w:rFonts w:ascii="Times New Roman" w:hAnsi="Times New Roman"/>
        </w:rPr>
        <w:t>8</w:t>
      </w:r>
      <w:r w:rsidR="00083422">
        <w:rPr>
          <w:rFonts w:ascii="Times New Roman" w:hAnsi="Times New Roman"/>
        </w:rPr>
        <w:t>2</w:t>
      </w:r>
      <w:r w:rsidR="008E1E18">
        <w:rPr>
          <w:rFonts w:ascii="Times New Roman" w:hAnsi="Times New Roman"/>
        </w:rPr>
        <w:t>5</w:t>
      </w:r>
      <w:r w:rsidR="00EA5A90">
        <w:rPr>
          <w:rFonts w:ascii="Times New Roman" w:hAnsi="Times New Roman"/>
        </w:rPr>
        <w:t>,</w:t>
      </w:r>
      <w:r w:rsidR="008E1E18">
        <w:rPr>
          <w:rFonts w:ascii="Times New Roman" w:hAnsi="Times New Roman"/>
        </w:rPr>
        <w:t>970</w:t>
      </w:r>
      <w:r>
        <w:rPr>
          <w:rFonts w:ascii="Times New Roman" w:hAnsi="Times New Roman"/>
        </w:rPr>
        <w:t>).  The Department assumes that the distribution would be done by a clerical staff member at $</w:t>
      </w:r>
      <w:r w:rsidR="00EA5A90">
        <w:rPr>
          <w:rFonts w:ascii="Times New Roman" w:hAnsi="Times New Roman"/>
        </w:rPr>
        <w:t>2</w:t>
      </w:r>
      <w:r w:rsidR="00B140D3">
        <w:rPr>
          <w:rFonts w:ascii="Times New Roman" w:hAnsi="Times New Roman"/>
        </w:rPr>
        <w:t>9.60</w:t>
      </w:r>
      <w:r>
        <w:rPr>
          <w:rFonts w:ascii="Times New Roman" w:hAnsi="Times New Roman"/>
        </w:rPr>
        <w:t>/hour,</w:t>
      </w:r>
      <w:r w:rsidR="001645DA" w:rsidRPr="0053673F">
        <w:rPr>
          <w:rStyle w:val="FootnoteReference"/>
          <w:rFonts w:ascii="Times New Roman" w:hAnsi="Times New Roman"/>
          <w:vertAlign w:val="superscript"/>
        </w:rPr>
        <w:footnoteReference w:id="5"/>
      </w:r>
      <w:r w:rsidRPr="0053673F">
        <w:rPr>
          <w:rFonts w:ascii="Times New Roman" w:hAnsi="Times New Roman"/>
          <w:vertAlign w:val="superscript"/>
        </w:rPr>
        <w:t xml:space="preserve"> </w:t>
      </w:r>
      <w:r>
        <w:rPr>
          <w:rFonts w:ascii="Times New Roman" w:hAnsi="Times New Roman"/>
        </w:rPr>
        <w:t xml:space="preserve">for a total of </w:t>
      </w:r>
      <w:r w:rsidR="00EA5A90">
        <w:rPr>
          <w:rFonts w:ascii="Times New Roman" w:hAnsi="Times New Roman"/>
        </w:rPr>
        <w:t xml:space="preserve">about </w:t>
      </w:r>
      <w:r>
        <w:rPr>
          <w:rFonts w:ascii="Times New Roman" w:hAnsi="Times New Roman"/>
        </w:rPr>
        <w:t>$</w:t>
      </w:r>
      <w:r w:rsidR="00B140D3">
        <w:rPr>
          <w:rFonts w:ascii="Times New Roman" w:hAnsi="Times New Roman"/>
        </w:rPr>
        <w:t>101</w:t>
      </w:r>
      <w:r w:rsidR="00EA5A90">
        <w:rPr>
          <w:rFonts w:ascii="Times New Roman" w:hAnsi="Times New Roman"/>
        </w:rPr>
        <w:t>,</w:t>
      </w:r>
      <w:r w:rsidR="00083422">
        <w:rPr>
          <w:rFonts w:ascii="Times New Roman" w:hAnsi="Times New Roman"/>
        </w:rPr>
        <w:t>000</w:t>
      </w:r>
      <w:r>
        <w:rPr>
          <w:rFonts w:ascii="Times New Roman" w:hAnsi="Times New Roman"/>
        </w:rPr>
        <w:t xml:space="preserve"> (3,397 hours x $</w:t>
      </w:r>
      <w:r w:rsidR="00EA5A90">
        <w:rPr>
          <w:rFonts w:ascii="Times New Roman" w:hAnsi="Times New Roman"/>
        </w:rPr>
        <w:t>2</w:t>
      </w:r>
      <w:r w:rsidR="00B140D3">
        <w:rPr>
          <w:rFonts w:ascii="Times New Roman" w:hAnsi="Times New Roman"/>
        </w:rPr>
        <w:t>9.60</w:t>
      </w:r>
      <w:r>
        <w:rPr>
          <w:rFonts w:ascii="Times New Roman" w:hAnsi="Times New Roman"/>
        </w:rPr>
        <w:t>/hour</w:t>
      </w:r>
      <w:r w:rsidR="00EA5A90">
        <w:rPr>
          <w:rFonts w:ascii="Times New Roman" w:hAnsi="Times New Roman"/>
        </w:rPr>
        <w:t xml:space="preserve"> = $</w:t>
      </w:r>
      <w:r w:rsidR="00B140D3">
        <w:rPr>
          <w:rFonts w:ascii="Times New Roman" w:hAnsi="Times New Roman"/>
        </w:rPr>
        <w:t>100</w:t>
      </w:r>
      <w:r w:rsidR="00083422">
        <w:rPr>
          <w:rFonts w:ascii="Times New Roman" w:hAnsi="Times New Roman"/>
        </w:rPr>
        <w:t>,</w:t>
      </w:r>
      <w:r w:rsidR="00B140D3">
        <w:rPr>
          <w:rFonts w:ascii="Times New Roman" w:hAnsi="Times New Roman"/>
        </w:rPr>
        <w:t>551</w:t>
      </w:r>
      <w:r>
        <w:rPr>
          <w:rFonts w:ascii="Times New Roman" w:hAnsi="Times New Roman"/>
        </w:rPr>
        <w:t>).</w:t>
      </w:r>
    </w:p>
    <w:p w:rsidR="00CD1814" w:rsidRDefault="00CD1814" w:rsidP="008B1965">
      <w:pPr>
        <w:pStyle w:val="Quick1"/>
        <w:widowControl/>
        <w:numPr>
          <w:ilvl w:val="0"/>
          <w:numId w:val="0"/>
        </w:numPr>
        <w:ind w:left="720" w:right="-90" w:hanging="720"/>
        <w:rPr>
          <w:rFonts w:ascii="Times New Roman" w:hAnsi="Times New Roman"/>
          <w:iCs/>
        </w:rPr>
      </w:pPr>
      <w:bookmarkStart w:id="0" w:name="_GoBack"/>
      <w:bookmarkEnd w:id="0"/>
    </w:p>
    <w:p w:rsidR="002310D7" w:rsidRDefault="0006696D" w:rsidP="008B1965">
      <w:pPr>
        <w:pStyle w:val="Quick1"/>
        <w:widowControl/>
        <w:numPr>
          <w:ilvl w:val="0"/>
          <w:numId w:val="0"/>
        </w:numPr>
        <w:ind w:left="720" w:right="-90" w:hanging="720"/>
        <w:rPr>
          <w:rFonts w:ascii="Times New Roman" w:hAnsi="Times New Roman"/>
          <w:i/>
          <w:iCs/>
        </w:rPr>
      </w:pPr>
      <w:r>
        <w:rPr>
          <w:rFonts w:ascii="Times New Roman" w:hAnsi="Times New Roman"/>
          <w:iCs/>
        </w:rPr>
        <w:t>13.</w:t>
      </w:r>
      <w:r>
        <w:rPr>
          <w:rFonts w:ascii="Times New Roman" w:hAnsi="Times New Roman"/>
          <w:iCs/>
        </w:rPr>
        <w:tab/>
      </w:r>
      <w:r w:rsidR="002310D7">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2310D7" w:rsidRDefault="002310D7" w:rsidP="008B1965">
      <w:pPr>
        <w:widowControl/>
        <w:ind w:left="720" w:right="-90"/>
        <w:rPr>
          <w:rFonts w:ascii="Times New Roman" w:hAnsi="Times New Roman"/>
        </w:rPr>
      </w:pPr>
    </w:p>
    <w:p w:rsidR="002310D7" w:rsidRDefault="002310D7" w:rsidP="008B1965">
      <w:pPr>
        <w:widowControl/>
        <w:ind w:left="720"/>
        <w:rPr>
          <w:rFonts w:ascii="Times New Roman" w:hAnsi="Times New Roman"/>
          <w:i/>
          <w:iCs/>
        </w:rPr>
      </w:pPr>
      <w:r>
        <w:rPr>
          <w:rFonts w:ascii="Times New Roman" w:hAnsi="Times New Roman"/>
        </w:rPr>
        <w:t xml:space="preserve">The total cost burden </w:t>
      </w:r>
      <w:r w:rsidR="006C0E52">
        <w:rPr>
          <w:rFonts w:ascii="Times New Roman" w:hAnsi="Times New Roman"/>
        </w:rPr>
        <w:t>results from</w:t>
      </w:r>
      <w:r>
        <w:rPr>
          <w:rFonts w:ascii="Times New Roman" w:hAnsi="Times New Roman"/>
        </w:rPr>
        <w:t xml:space="preserve"> </w:t>
      </w:r>
      <w:r w:rsidR="00C27018">
        <w:rPr>
          <w:rFonts w:ascii="Times New Roman" w:hAnsi="Times New Roman"/>
        </w:rPr>
        <w:t xml:space="preserve">paper, </w:t>
      </w:r>
      <w:r>
        <w:rPr>
          <w:rFonts w:ascii="Times New Roman" w:hAnsi="Times New Roman"/>
        </w:rPr>
        <w:t>copying and mailing costs.</w:t>
      </w:r>
      <w:r w:rsidR="00083422">
        <w:rPr>
          <w:rFonts w:ascii="Times New Roman" w:hAnsi="Times New Roman"/>
        </w:rPr>
        <w:t xml:space="preserve"> </w:t>
      </w:r>
      <w:r w:rsidR="00CD1814">
        <w:rPr>
          <w:rFonts w:ascii="Times New Roman" w:hAnsi="Times New Roman"/>
        </w:rPr>
        <w:t xml:space="preserve"> </w:t>
      </w:r>
      <w:r w:rsidR="00083422">
        <w:rPr>
          <w:rFonts w:ascii="Times New Roman" w:hAnsi="Times New Roman"/>
        </w:rPr>
        <w:t xml:space="preserve">The Department estimates that 38 percent of the disclosures will be done electronically </w:t>
      </w:r>
      <w:r w:rsidR="00083422" w:rsidRPr="00F810D4">
        <w:rPr>
          <w:rFonts w:ascii="Times New Roman" w:hAnsi="Times New Roman"/>
        </w:rPr>
        <w:t xml:space="preserve">at </w:t>
      </w:r>
      <w:r w:rsidR="00F810D4" w:rsidRPr="00BD11CA">
        <w:rPr>
          <w:rFonts w:ascii="Times New Roman" w:hAnsi="Times New Roman"/>
        </w:rPr>
        <w:t>no</w:t>
      </w:r>
      <w:r w:rsidR="00083422" w:rsidRPr="00F810D4">
        <w:rPr>
          <w:rFonts w:ascii="Times New Roman" w:hAnsi="Times New Roman"/>
        </w:rPr>
        <w:t xml:space="preserve"> cost</w:t>
      </w:r>
      <w:r w:rsidR="00712A36">
        <w:rPr>
          <w:rFonts w:ascii="Times New Roman" w:hAnsi="Times New Roman"/>
        </w:rPr>
        <w:t>.</w:t>
      </w:r>
      <w:r>
        <w:rPr>
          <w:rFonts w:ascii="Times New Roman" w:hAnsi="Times New Roman"/>
        </w:rPr>
        <w:t xml:space="preserve"> The Department estimates</w:t>
      </w:r>
      <w:r w:rsidR="00C27018">
        <w:rPr>
          <w:rFonts w:ascii="Times New Roman" w:hAnsi="Times New Roman"/>
        </w:rPr>
        <w:t xml:space="preserve"> that</w:t>
      </w:r>
      <w:r w:rsidR="00D8684A">
        <w:rPr>
          <w:rFonts w:ascii="Times New Roman" w:hAnsi="Times New Roman"/>
        </w:rPr>
        <w:t xml:space="preserve"> the remaining 62 percent of</w:t>
      </w:r>
      <w:r w:rsidR="00C27018">
        <w:rPr>
          <w:rFonts w:ascii="Times New Roman" w:hAnsi="Times New Roman"/>
        </w:rPr>
        <w:t xml:space="preserve"> disclosure</w:t>
      </w:r>
      <w:r w:rsidR="00D8684A">
        <w:rPr>
          <w:rFonts w:ascii="Times New Roman" w:hAnsi="Times New Roman"/>
        </w:rPr>
        <w:t>s</w:t>
      </w:r>
      <w:r w:rsidR="00C27018">
        <w:rPr>
          <w:rFonts w:ascii="Times New Roman" w:hAnsi="Times New Roman"/>
        </w:rPr>
        <w:t xml:space="preserve"> cost $0.</w:t>
      </w:r>
      <w:r w:rsidR="00D8684A">
        <w:rPr>
          <w:rFonts w:ascii="Times New Roman" w:hAnsi="Times New Roman"/>
        </w:rPr>
        <w:t>10</w:t>
      </w:r>
      <w:r w:rsidR="00C27018">
        <w:rPr>
          <w:rFonts w:ascii="Times New Roman" w:hAnsi="Times New Roman"/>
        </w:rPr>
        <w:t xml:space="preserve"> for copying and paper and </w:t>
      </w:r>
      <w:r>
        <w:rPr>
          <w:rFonts w:ascii="Times New Roman" w:hAnsi="Times New Roman"/>
        </w:rPr>
        <w:t>$0.</w:t>
      </w:r>
      <w:r w:rsidR="00C27018">
        <w:rPr>
          <w:rFonts w:ascii="Times New Roman" w:hAnsi="Times New Roman"/>
        </w:rPr>
        <w:t>4</w:t>
      </w:r>
      <w:r w:rsidR="00B140D3">
        <w:rPr>
          <w:rFonts w:ascii="Times New Roman" w:hAnsi="Times New Roman"/>
        </w:rPr>
        <w:t>9</w:t>
      </w:r>
      <w:r>
        <w:rPr>
          <w:rFonts w:ascii="Times New Roman" w:hAnsi="Times New Roman"/>
        </w:rPr>
        <w:t xml:space="preserve"> </w:t>
      </w:r>
      <w:r w:rsidR="00C27018">
        <w:rPr>
          <w:rFonts w:ascii="Times New Roman" w:hAnsi="Times New Roman"/>
        </w:rPr>
        <w:t>to</w:t>
      </w:r>
      <w:r>
        <w:rPr>
          <w:rFonts w:ascii="Times New Roman" w:hAnsi="Times New Roman"/>
        </w:rPr>
        <w:t xml:space="preserve"> mail for an annual total of </w:t>
      </w:r>
      <w:r w:rsidR="001E720B">
        <w:rPr>
          <w:rFonts w:ascii="Times New Roman" w:hAnsi="Times New Roman"/>
        </w:rPr>
        <w:t xml:space="preserve">approximately </w:t>
      </w:r>
      <w:r>
        <w:rPr>
          <w:rFonts w:ascii="Times New Roman" w:hAnsi="Times New Roman"/>
        </w:rPr>
        <w:t>$</w:t>
      </w:r>
      <w:r w:rsidR="00D8684A">
        <w:rPr>
          <w:rFonts w:ascii="Times New Roman" w:hAnsi="Times New Roman"/>
        </w:rPr>
        <w:t>2</w:t>
      </w:r>
      <w:r w:rsidR="00B140D3">
        <w:rPr>
          <w:rFonts w:ascii="Times New Roman" w:hAnsi="Times New Roman"/>
        </w:rPr>
        <w:t>5</w:t>
      </w:r>
      <w:r w:rsidR="006C0E52">
        <w:rPr>
          <w:rFonts w:ascii="Times New Roman" w:hAnsi="Times New Roman"/>
        </w:rPr>
        <w:t>,000 (</w:t>
      </w:r>
      <w:r>
        <w:rPr>
          <w:rFonts w:ascii="Times New Roman" w:hAnsi="Times New Roman"/>
        </w:rPr>
        <w:t xml:space="preserve">67,930 </w:t>
      </w:r>
      <w:r w:rsidR="006C0E52">
        <w:rPr>
          <w:rFonts w:ascii="Times New Roman" w:hAnsi="Times New Roman"/>
        </w:rPr>
        <w:t>disclosures</w:t>
      </w:r>
      <w:r w:rsidR="00D8684A">
        <w:rPr>
          <w:rFonts w:ascii="Times New Roman" w:hAnsi="Times New Roman"/>
        </w:rPr>
        <w:t xml:space="preserve"> x 0.62</w:t>
      </w:r>
      <w:r>
        <w:rPr>
          <w:rFonts w:ascii="Times New Roman" w:hAnsi="Times New Roman"/>
        </w:rPr>
        <w:t xml:space="preserve"> x </w:t>
      </w:r>
      <w:r w:rsidR="006C0E52">
        <w:rPr>
          <w:rFonts w:ascii="Times New Roman" w:hAnsi="Times New Roman"/>
        </w:rPr>
        <w:t>(</w:t>
      </w:r>
      <w:r>
        <w:rPr>
          <w:rFonts w:ascii="Times New Roman" w:hAnsi="Times New Roman"/>
        </w:rPr>
        <w:t>$0.</w:t>
      </w:r>
      <w:r w:rsidR="006C0E52">
        <w:rPr>
          <w:rFonts w:ascii="Times New Roman" w:hAnsi="Times New Roman"/>
        </w:rPr>
        <w:t>4</w:t>
      </w:r>
      <w:r w:rsidR="00B140D3">
        <w:rPr>
          <w:rFonts w:ascii="Times New Roman" w:hAnsi="Times New Roman"/>
        </w:rPr>
        <w:t>9</w:t>
      </w:r>
      <w:r w:rsidR="006C0E52">
        <w:rPr>
          <w:rFonts w:ascii="Times New Roman" w:hAnsi="Times New Roman"/>
        </w:rPr>
        <w:t xml:space="preserve"> + $0.</w:t>
      </w:r>
      <w:r w:rsidR="00D8684A">
        <w:rPr>
          <w:rFonts w:ascii="Times New Roman" w:hAnsi="Times New Roman"/>
        </w:rPr>
        <w:t>10</w:t>
      </w:r>
      <w:r w:rsidR="006C0E52">
        <w:rPr>
          <w:rFonts w:ascii="Times New Roman" w:hAnsi="Times New Roman"/>
        </w:rPr>
        <w:t>)</w:t>
      </w:r>
      <w:r w:rsidR="00643AD3">
        <w:rPr>
          <w:rFonts w:ascii="Times New Roman" w:hAnsi="Times New Roman"/>
        </w:rPr>
        <w:t>=$2</w:t>
      </w:r>
      <w:r w:rsidR="00724F33">
        <w:rPr>
          <w:rFonts w:ascii="Times New Roman" w:hAnsi="Times New Roman"/>
        </w:rPr>
        <w:t>4</w:t>
      </w:r>
      <w:r w:rsidR="00643AD3">
        <w:rPr>
          <w:rFonts w:ascii="Times New Roman" w:hAnsi="Times New Roman"/>
        </w:rPr>
        <w:t>,</w:t>
      </w:r>
      <w:r w:rsidR="00724F33">
        <w:rPr>
          <w:rFonts w:ascii="Times New Roman" w:hAnsi="Times New Roman"/>
        </w:rPr>
        <w:t>849</w:t>
      </w:r>
      <w:r>
        <w:rPr>
          <w:rFonts w:ascii="Times New Roman" w:hAnsi="Times New Roman"/>
        </w:rPr>
        <w:t xml:space="preserve">). </w:t>
      </w:r>
    </w:p>
    <w:p w:rsidR="002310D7" w:rsidRDefault="002310D7" w:rsidP="008B1965">
      <w:pPr>
        <w:widowControl/>
        <w:ind w:left="720"/>
        <w:rPr>
          <w:rFonts w:ascii="Times New Roman" w:hAnsi="Times New Roman"/>
        </w:rPr>
      </w:pPr>
    </w:p>
    <w:p w:rsidR="002310D7" w:rsidRDefault="0006696D" w:rsidP="008B1965">
      <w:pPr>
        <w:pStyle w:val="Quick1"/>
        <w:widowControl/>
        <w:numPr>
          <w:ilvl w:val="0"/>
          <w:numId w:val="0"/>
        </w:numPr>
        <w:ind w:left="720" w:hanging="720"/>
        <w:rPr>
          <w:rFonts w:ascii="Times New Roman" w:hAnsi="Times New Roman"/>
          <w:i/>
          <w:iCs/>
        </w:rPr>
      </w:pPr>
      <w:r w:rsidRPr="0006696D">
        <w:rPr>
          <w:rFonts w:ascii="Times New Roman" w:hAnsi="Times New Roman"/>
          <w:iCs/>
        </w:rPr>
        <w:t>14.</w:t>
      </w:r>
      <w:r>
        <w:rPr>
          <w:rFonts w:ascii="Times New Roman" w:hAnsi="Times New Roman"/>
          <w:i/>
          <w:iCs/>
        </w:rPr>
        <w:tab/>
      </w:r>
      <w:r w:rsidR="002310D7">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There is no reporting to the Federal government and consequently no cost to the government.</w:t>
      </w:r>
    </w:p>
    <w:p w:rsidR="002310D7" w:rsidRDefault="002310D7" w:rsidP="008B1965">
      <w:pPr>
        <w:widowControl/>
        <w:ind w:firstLine="720"/>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w:t>
      </w:r>
      <w:r w:rsidR="00B70197">
        <w:rPr>
          <w:rFonts w:ascii="Times New Roman" w:hAnsi="Times New Roman"/>
          <w:i/>
          <w:iCs/>
        </w:rPr>
        <w:t>2</w:t>
      </w:r>
      <w:r>
        <w:rPr>
          <w:rFonts w:ascii="Times New Roman" w:hAnsi="Times New Roman"/>
          <w:i/>
          <w:iCs/>
        </w:rPr>
        <w:t xml:space="preserve"> or 1</w:t>
      </w:r>
      <w:r w:rsidR="00B70197">
        <w:rPr>
          <w:rFonts w:ascii="Times New Roman" w:hAnsi="Times New Roman"/>
          <w:i/>
          <w:iCs/>
        </w:rPr>
        <w:t>3</w:t>
      </w:r>
      <w:r>
        <w:rPr>
          <w:rFonts w:ascii="Times New Roman" w:hAnsi="Times New Roman"/>
          <w:i/>
          <w:iCs/>
        </w:rPr>
        <w:t>.</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 xml:space="preserve">The changes in </w:t>
      </w:r>
      <w:r w:rsidR="00415C14">
        <w:rPr>
          <w:rFonts w:ascii="Times New Roman" w:hAnsi="Times New Roman"/>
        </w:rPr>
        <w:t>the estimated hourly cost burden</w:t>
      </w:r>
      <w:r>
        <w:rPr>
          <w:rFonts w:ascii="Times New Roman" w:hAnsi="Times New Roman"/>
        </w:rPr>
        <w:t xml:space="preserve"> are due t</w:t>
      </w:r>
      <w:r w:rsidR="004D183F">
        <w:rPr>
          <w:rFonts w:ascii="Times New Roman" w:hAnsi="Times New Roman"/>
        </w:rPr>
        <w:t xml:space="preserve">o </w:t>
      </w:r>
      <w:r w:rsidR="006C0E52">
        <w:rPr>
          <w:rFonts w:ascii="Times New Roman" w:hAnsi="Times New Roman"/>
        </w:rPr>
        <w:t>increase</w:t>
      </w:r>
      <w:r w:rsidR="004D183F">
        <w:rPr>
          <w:rFonts w:ascii="Times New Roman" w:hAnsi="Times New Roman"/>
        </w:rPr>
        <w:t>s</w:t>
      </w:r>
      <w:r w:rsidR="006C0E52">
        <w:rPr>
          <w:rFonts w:ascii="Times New Roman" w:hAnsi="Times New Roman"/>
        </w:rPr>
        <w:t xml:space="preserve"> in hourly</w:t>
      </w:r>
      <w:r w:rsidR="00415C14">
        <w:rPr>
          <w:rFonts w:ascii="Times New Roman" w:hAnsi="Times New Roman"/>
        </w:rPr>
        <w:t xml:space="preserve"> wage</w:t>
      </w:r>
      <w:r w:rsidR="006C0E52">
        <w:rPr>
          <w:rFonts w:ascii="Times New Roman" w:hAnsi="Times New Roman"/>
        </w:rPr>
        <w:t xml:space="preserve"> rates</w:t>
      </w:r>
      <w:r w:rsidR="00415C14">
        <w:rPr>
          <w:rFonts w:ascii="Times New Roman" w:hAnsi="Times New Roman"/>
        </w:rPr>
        <w:t xml:space="preserve"> as well as adjustments to the estimated cost of benefits and overhead</w:t>
      </w:r>
      <w:r w:rsidR="006C0E52">
        <w:rPr>
          <w:rFonts w:ascii="Times New Roman" w:hAnsi="Times New Roman"/>
        </w:rPr>
        <w:t>.</w:t>
      </w:r>
      <w:r>
        <w:rPr>
          <w:rFonts w:ascii="Times New Roman" w:hAnsi="Times New Roman"/>
        </w:rPr>
        <w:t xml:space="preserve">  Changes in the costs reflect the changes </w:t>
      </w:r>
      <w:r w:rsidR="006C0E52">
        <w:rPr>
          <w:rFonts w:ascii="Times New Roman" w:hAnsi="Times New Roman"/>
        </w:rPr>
        <w:t>in the postage</w:t>
      </w:r>
      <w:r>
        <w:rPr>
          <w:rFonts w:ascii="Times New Roman" w:hAnsi="Times New Roman"/>
        </w:rPr>
        <w:t xml:space="preserve">.  </w:t>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This is not a collection of information for statistical use.</w:t>
      </w:r>
    </w:p>
    <w:p w:rsidR="002310D7" w:rsidRDefault="002310D7" w:rsidP="008B1965">
      <w:pPr>
        <w:widowControl/>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2310D7" w:rsidRDefault="002310D7" w:rsidP="008B1965">
      <w:pPr>
        <w:widowControl/>
        <w:rPr>
          <w:rFonts w:ascii="Times New Roman" w:hAnsi="Times New Roman"/>
        </w:rPr>
      </w:pPr>
    </w:p>
    <w:p w:rsidR="002310D7" w:rsidRDefault="002310D7" w:rsidP="008B1965">
      <w:pPr>
        <w:widowControl/>
        <w:ind w:left="720"/>
        <w:rPr>
          <w:rFonts w:ascii="Times New Roman" w:hAnsi="Times New Roman"/>
        </w:rPr>
      </w:pPr>
      <w:r>
        <w:rPr>
          <w:rFonts w:ascii="Times New Roman" w:hAnsi="Times New Roman"/>
        </w:rPr>
        <w:t>The collection of information will display a currently valid OMB control number.</w:t>
      </w:r>
    </w:p>
    <w:p w:rsidR="00B70197" w:rsidRDefault="00B70197" w:rsidP="008B1965">
      <w:pPr>
        <w:widowControl/>
        <w:ind w:firstLine="720"/>
        <w:rPr>
          <w:rFonts w:ascii="Times New Roman" w:hAnsi="Times New Roman"/>
        </w:rPr>
      </w:pPr>
    </w:p>
    <w:p w:rsidR="002310D7" w:rsidRDefault="002310D7" w:rsidP="008B1965">
      <w:pPr>
        <w:widowControl/>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 xml:space="preserve">Explain each exception to the certification statement identified in </w:t>
      </w:r>
      <w:r w:rsidR="00591A60">
        <w:rPr>
          <w:rFonts w:ascii="Times New Roman" w:hAnsi="Times New Roman"/>
          <w:i/>
          <w:iCs/>
        </w:rPr>
        <w:t>the</w:t>
      </w:r>
      <w:r>
        <w:rPr>
          <w:rFonts w:ascii="Times New Roman" w:hAnsi="Times New Roman"/>
          <w:i/>
          <w:iCs/>
        </w:rPr>
        <w:t xml:space="preserve"> "Certification for Paperwork Reduct</w:t>
      </w:r>
      <w:r w:rsidR="00591A60">
        <w:rPr>
          <w:rFonts w:ascii="Times New Roman" w:hAnsi="Times New Roman"/>
          <w:i/>
          <w:iCs/>
        </w:rPr>
        <w:t>ion Act Submission.”</w:t>
      </w:r>
      <w:r>
        <w:rPr>
          <w:rFonts w:ascii="Times New Roman" w:hAnsi="Times New Roman"/>
          <w:i/>
          <w:iCs/>
        </w:rPr>
        <w:t>.</w:t>
      </w:r>
    </w:p>
    <w:p w:rsidR="002310D7" w:rsidRDefault="002310D7" w:rsidP="008B1965">
      <w:pPr>
        <w:widowControl/>
        <w:rPr>
          <w:rFonts w:ascii="Times New Roman" w:hAnsi="Times New Roman"/>
        </w:rPr>
      </w:pPr>
    </w:p>
    <w:p w:rsidR="002310D7" w:rsidRDefault="002310D7" w:rsidP="008B1965">
      <w:pPr>
        <w:widowControl/>
        <w:ind w:firstLine="720"/>
        <w:rPr>
          <w:rFonts w:ascii="Times New Roman" w:hAnsi="Times New Roman"/>
        </w:rPr>
      </w:pPr>
      <w:r>
        <w:rPr>
          <w:rFonts w:ascii="Times New Roman" w:hAnsi="Times New Roman"/>
        </w:rPr>
        <w:t>Not applicable; no exceptions to the certification statement.</w:t>
      </w:r>
    </w:p>
    <w:p w:rsidR="00D048FB" w:rsidRDefault="00D048FB" w:rsidP="008B1965">
      <w:pPr>
        <w:widowControl/>
        <w:ind w:firstLine="720"/>
        <w:rPr>
          <w:rFonts w:ascii="Times New Roman" w:hAnsi="Times New Roman"/>
        </w:rPr>
      </w:pPr>
    </w:p>
    <w:p w:rsidR="00D048FB" w:rsidRPr="00002F11" w:rsidRDefault="00D048FB" w:rsidP="008B1965">
      <w:pPr>
        <w:pStyle w:val="Level1"/>
        <w:widowControl/>
        <w:rPr>
          <w:rFonts w:ascii="Times New Roman" w:hAnsi="Times New Roman"/>
          <w:u w:val="single"/>
        </w:rPr>
      </w:pPr>
      <w:r w:rsidRPr="00002F11">
        <w:rPr>
          <w:rFonts w:ascii="Times New Roman" w:hAnsi="Times New Roman"/>
          <w:u w:val="single"/>
        </w:rPr>
        <w:t>Collections of Information Employing Statistical Methods</w:t>
      </w:r>
    </w:p>
    <w:p w:rsidR="00D048FB" w:rsidRDefault="00D048FB" w:rsidP="008B1965">
      <w:pPr>
        <w:pStyle w:val="Level1"/>
        <w:widowControl/>
        <w:numPr>
          <w:ilvl w:val="0"/>
          <w:numId w:val="0"/>
        </w:numPr>
        <w:rPr>
          <w:rFonts w:ascii="Times New Roman" w:hAnsi="Times New Roman"/>
        </w:rPr>
      </w:pPr>
      <w:r>
        <w:rPr>
          <w:rFonts w:ascii="Times New Roman" w:hAnsi="Times New Roman"/>
        </w:rPr>
        <w:tab/>
      </w:r>
    </w:p>
    <w:p w:rsidR="002310D7" w:rsidRDefault="00D048FB" w:rsidP="008B1965">
      <w:pPr>
        <w:pStyle w:val="Level1"/>
        <w:widowControl/>
        <w:numPr>
          <w:ilvl w:val="0"/>
          <w:numId w:val="0"/>
        </w:numPr>
        <w:rPr>
          <w:rFonts w:ascii="Times New Roman" w:hAnsi="Times New Roman"/>
        </w:rPr>
      </w:pPr>
      <w:r>
        <w:rPr>
          <w:rFonts w:ascii="Times New Roman" w:hAnsi="Times New Roman"/>
        </w:rPr>
        <w:tab/>
      </w:r>
      <w:r w:rsidRPr="00002F11">
        <w:rPr>
          <w:rFonts w:ascii="Times New Roman" w:hAnsi="Times New Roman"/>
        </w:rPr>
        <w:t>Statistical methods are not used in these collections of information.</w:t>
      </w:r>
    </w:p>
    <w:sectPr w:rsidR="002310D7">
      <w:headerReference w:type="default" r:id="rId9"/>
      <w:footerReference w:type="default" r:id="rId10"/>
      <w:endnotePr>
        <w:numFmt w:val="decimal"/>
      </w:endnotePr>
      <w:type w:val="continuous"/>
      <w:pgSz w:w="12240" w:h="15840"/>
      <w:pgMar w:top="1350" w:right="135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28D" w:rsidRDefault="00CE428D">
      <w:r>
        <w:separator/>
      </w:r>
    </w:p>
  </w:endnote>
  <w:endnote w:type="continuationSeparator" w:id="0">
    <w:p w:rsidR="00CE428D" w:rsidRDefault="00CE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197" w:rsidRDefault="00B70197">
    <w:pPr>
      <w:pStyle w:val="Footer"/>
      <w:jc w:val="center"/>
    </w:pPr>
    <w:r>
      <w:fldChar w:fldCharType="begin"/>
    </w:r>
    <w:r>
      <w:instrText xml:space="preserve"> PAGE   \* MERGEFORMAT </w:instrText>
    </w:r>
    <w:r>
      <w:fldChar w:fldCharType="separate"/>
    </w:r>
    <w:r w:rsidR="00045BD1">
      <w:rPr>
        <w:noProof/>
      </w:rPr>
      <w:t>7</w:t>
    </w:r>
    <w:r>
      <w:rPr>
        <w:noProof/>
      </w:rPr>
      <w:fldChar w:fldCharType="end"/>
    </w:r>
  </w:p>
  <w:p w:rsidR="00B70197" w:rsidRDefault="00B70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28D" w:rsidRDefault="00CE428D">
      <w:r>
        <w:separator/>
      </w:r>
    </w:p>
  </w:footnote>
  <w:footnote w:type="continuationSeparator" w:id="0">
    <w:p w:rsidR="00CE428D" w:rsidRDefault="00CE428D">
      <w:r>
        <w:continuationSeparator/>
      </w:r>
    </w:p>
  </w:footnote>
  <w:footnote w:id="1">
    <w:p w:rsidR="003F2132" w:rsidRPr="00EA605D" w:rsidRDefault="003F2132">
      <w:pPr>
        <w:pStyle w:val="FootnoteText"/>
        <w:rPr>
          <w:rFonts w:ascii="Times New Roman" w:hAnsi="Times New Roman"/>
        </w:rPr>
      </w:pPr>
      <w:r w:rsidRPr="00EA605D">
        <w:rPr>
          <w:rStyle w:val="FootnoteReference"/>
          <w:rFonts w:ascii="Times New Roman" w:hAnsi="Times New Roman"/>
          <w:vertAlign w:val="superscript"/>
        </w:rPr>
        <w:footnoteRef/>
      </w:r>
      <w:r w:rsidRPr="00EA605D">
        <w:rPr>
          <w:rFonts w:ascii="Times New Roman" w:hAnsi="Times New Roman"/>
        </w:rPr>
        <w:t>S</w:t>
      </w:r>
      <w:r>
        <w:rPr>
          <w:rFonts w:ascii="Times New Roman" w:hAnsi="Times New Roman"/>
        </w:rPr>
        <w:t>IA is now part of the</w:t>
      </w:r>
      <w:r w:rsidRPr="00EA605D">
        <w:rPr>
          <w:rFonts w:ascii="Times New Roman" w:hAnsi="Times New Roman"/>
        </w:rPr>
        <w:t xml:space="preserve"> </w:t>
      </w:r>
      <w:r w:rsidRPr="00EA605D">
        <w:rPr>
          <w:rFonts w:ascii="Times New Roman" w:hAnsi="Times New Roman"/>
          <w:bCs/>
          <w:lang w:val="en"/>
        </w:rPr>
        <w:t>Securities Industry and Financial Markets Association</w:t>
      </w:r>
      <w:r>
        <w:rPr>
          <w:rFonts w:ascii="Times New Roman" w:hAnsi="Times New Roman"/>
          <w:bCs/>
          <w:lang w:val="en"/>
        </w:rPr>
        <w:t xml:space="preserve"> (SIFMA)</w:t>
      </w:r>
    </w:p>
  </w:footnote>
  <w:footnote w:id="2">
    <w:p w:rsidR="003F2132" w:rsidRDefault="003F2132">
      <w:pPr>
        <w:pStyle w:val="FootnoteText"/>
      </w:pPr>
      <w:r w:rsidRPr="00EA605D">
        <w:rPr>
          <w:rStyle w:val="FootnoteReference"/>
          <w:rFonts w:ascii="Times New Roman" w:hAnsi="Times New Roman"/>
          <w:vertAlign w:val="superscript"/>
        </w:rPr>
        <w:footnoteRef/>
      </w:r>
      <w:r w:rsidRPr="00EA605D">
        <w:rPr>
          <w:rFonts w:ascii="Times New Roman" w:hAnsi="Times New Roman"/>
        </w:rPr>
        <w:t xml:space="preserve">The Department estimates that </w:t>
      </w:r>
      <w:r>
        <w:rPr>
          <w:rFonts w:ascii="Times New Roman" w:hAnsi="Times New Roman"/>
        </w:rPr>
        <w:t>approximately 10 percent of SEP participants began investing in their SEP</w:t>
      </w:r>
      <w:r w:rsidRPr="00EA605D">
        <w:rPr>
          <w:rFonts w:ascii="Times New Roman" w:hAnsi="Times New Roman"/>
        </w:rPr>
        <w:t xml:space="preserve"> within the last year</w:t>
      </w:r>
      <w:r>
        <w:rPr>
          <w:rFonts w:ascii="Times New Roman" w:hAnsi="Times New Roman"/>
        </w:rPr>
        <w:t xml:space="preserve"> 679,300*.1=67,930</w:t>
      </w:r>
      <w:r>
        <w:t>.</w:t>
      </w:r>
    </w:p>
  </w:footnote>
  <w:footnote w:id="3">
    <w:p w:rsidR="00133178" w:rsidRPr="003E5DB1" w:rsidRDefault="00133178">
      <w:pPr>
        <w:pStyle w:val="FootnoteText"/>
        <w:rPr>
          <w:rFonts w:ascii="Times New Roman" w:hAnsi="Times New Roman"/>
        </w:rPr>
      </w:pPr>
      <w:r w:rsidRPr="003E5DB1">
        <w:rPr>
          <w:rStyle w:val="FootnoteReference"/>
          <w:rFonts w:ascii="Times New Roman" w:hAnsi="Times New Roman"/>
          <w:vertAlign w:val="superscript"/>
        </w:rPr>
        <w:footnoteRef/>
      </w:r>
      <w:r w:rsidRPr="003E5DB1">
        <w:rPr>
          <w:rFonts w:ascii="Times New Roman" w:hAnsi="Times New Roman"/>
        </w:rPr>
        <w:t>The Department's estimated 2014 hourly labor rates include wages, other benefits, and overhead are calculated as follows: mean wage from the 2012 National Occupational Employment Survey (March 2013, Bureau of Labor Statistics http://www.bls.gov/oes/2012/may/oes_nat.htm); wages as a percent of total compensation from the Employer Cost for Employee Compensation (June 2013, Bureau of Labor Statistics http://www.bls.gov/news.release/archives/ecec_09112013.pdf); overhead as a multiple of compensation is assumed to be 25 percent of total compensation for paraprofessionals, 20 percent of compensation for clerical, and 35 percent of compensation for professional; annual inflation assumed to be 1.9 percent annual growth of total labor cost since 2012 (Employment Costs Index data for private industry, September 2013 http://www.bls.gov/news.release/archives/eci_11192013.pdf).</w:t>
      </w:r>
    </w:p>
  </w:footnote>
  <w:footnote w:id="4">
    <w:p w:rsidR="00667651" w:rsidRPr="003E5DB1" w:rsidRDefault="00667651" w:rsidP="00667651">
      <w:pPr>
        <w:pStyle w:val="FootnoteText"/>
        <w:rPr>
          <w:rFonts w:ascii="Times New Roman" w:hAnsi="Times New Roman"/>
        </w:rPr>
      </w:pPr>
      <w:r w:rsidRPr="003E5DB1">
        <w:rPr>
          <w:rStyle w:val="FootnoteReference"/>
          <w:rFonts w:ascii="Times New Roman" w:hAnsi="Times New Roman"/>
          <w:vertAlign w:val="superscript"/>
        </w:rPr>
        <w:footnoteRef/>
      </w:r>
      <w:r w:rsidR="00133178" w:rsidRPr="003E5DB1">
        <w:rPr>
          <w:rFonts w:ascii="Times New Roman" w:hAnsi="Times New Roman"/>
        </w:rPr>
        <w:t>Compensation and Benefits Manager (11-3041): $50.92(2012 BLS Wage rate) /0.697(ECEC ratio) *1.35(Overhead Load Factor) *1.019(Inflation rate) ^2(Inflated 2 years from base year) = $102.41</w:t>
      </w:r>
      <w:r w:rsidR="001645DA" w:rsidRPr="003E5DB1">
        <w:rPr>
          <w:rFonts w:ascii="Times New Roman" w:hAnsi="Times New Roman"/>
        </w:rPr>
        <w:t>.</w:t>
      </w:r>
    </w:p>
  </w:footnote>
  <w:footnote w:id="5">
    <w:p w:rsidR="001645DA" w:rsidRPr="003E5DB1" w:rsidRDefault="001645DA">
      <w:pPr>
        <w:pStyle w:val="FootnoteText"/>
        <w:rPr>
          <w:rFonts w:ascii="Times New Roman" w:hAnsi="Times New Roman"/>
        </w:rPr>
      </w:pPr>
      <w:r w:rsidRPr="003E5DB1">
        <w:rPr>
          <w:rStyle w:val="FootnoteReference"/>
          <w:rFonts w:ascii="Times New Roman" w:hAnsi="Times New Roman"/>
          <w:vertAlign w:val="superscript"/>
        </w:rPr>
        <w:footnoteRef/>
      </w:r>
      <w:r w:rsidR="003E5DB1" w:rsidRPr="003E5DB1">
        <w:rPr>
          <w:rFonts w:ascii="Times New Roman" w:hAnsi="Times New Roman"/>
        </w:rPr>
        <w:t>Secretaries, Except Legal, Medical, and Executive (43-6014): $16.13(2012 BLS Wage rate)/0.679(ECEC ratio) *1.2(Overhead Load Factor) *1.019(Inflation rate) ^2(Inflated 2 years from base year) = $29.60</w:t>
      </w:r>
      <w:r w:rsidR="002452CC" w:rsidRPr="003E5DB1">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132" w:rsidRDefault="003F2132">
    <w:pPr>
      <w:jc w:val="right"/>
      <w:rPr>
        <w:rFonts w:ascii="CG Times" w:hAnsi="CG Times"/>
        <w:b/>
        <w:bCs/>
        <w:sz w:val="20"/>
        <w:szCs w:val="20"/>
      </w:rPr>
    </w:pPr>
    <w:r>
      <w:rPr>
        <w:rFonts w:ascii="CG Times" w:hAnsi="CG Times"/>
        <w:b/>
        <w:bCs/>
        <w:sz w:val="20"/>
        <w:szCs w:val="20"/>
      </w:rPr>
      <w:t xml:space="preserve">Proposed Extension of Collection of Information for: </w:t>
    </w:r>
  </w:p>
  <w:p w:rsidR="003F2132" w:rsidRDefault="003F2132">
    <w:pPr>
      <w:jc w:val="right"/>
      <w:rPr>
        <w:rFonts w:ascii="CG Times" w:hAnsi="CG Times"/>
        <w:b/>
        <w:bCs/>
        <w:sz w:val="20"/>
        <w:szCs w:val="20"/>
      </w:rPr>
    </w:pPr>
    <w:r>
      <w:rPr>
        <w:rFonts w:ascii="CG Times" w:hAnsi="CG Times"/>
        <w:b/>
        <w:bCs/>
        <w:sz w:val="20"/>
        <w:szCs w:val="20"/>
      </w:rPr>
      <w:t>Alternative Compliance for Certain SEPs Pursuant to 29 CFR § 2520.104-49</w:t>
    </w:r>
    <w:r>
      <w:rPr>
        <w:rFonts w:ascii="CG Times" w:hAnsi="CG Times"/>
        <w:b/>
        <w:bCs/>
        <w:i/>
        <w:iCs/>
        <w:sz w:val="20"/>
        <w:szCs w:val="20"/>
      </w:rPr>
      <w:t>.</w:t>
    </w:r>
    <w:r>
      <w:rPr>
        <w:rFonts w:ascii="CG Times" w:hAnsi="CG Times"/>
        <w:b/>
        <w:bCs/>
        <w:sz w:val="20"/>
        <w:szCs w:val="20"/>
      </w:rPr>
      <w:t xml:space="preserve"> </w:t>
    </w:r>
  </w:p>
  <w:p w:rsidR="003F2132" w:rsidRDefault="003F2132">
    <w:pPr>
      <w:jc w:val="right"/>
      <w:rPr>
        <w:rFonts w:ascii="CG Times" w:hAnsi="CG Times"/>
        <w:b/>
        <w:bCs/>
        <w:sz w:val="20"/>
        <w:szCs w:val="20"/>
      </w:rPr>
    </w:pPr>
    <w:r>
      <w:rPr>
        <w:rFonts w:ascii="CG Times" w:hAnsi="CG Times"/>
        <w:b/>
        <w:bCs/>
        <w:sz w:val="20"/>
        <w:szCs w:val="20"/>
      </w:rPr>
      <w:t>OMB Number 1210-0034</w:t>
    </w:r>
  </w:p>
  <w:p w:rsidR="003F2132" w:rsidRDefault="003F2132" w:rsidP="00EB4006">
    <w:pPr>
      <w:tabs>
        <w:tab w:val="right" w:pos="9450"/>
      </w:tabs>
      <w:spacing w:line="235" w:lineRule="exact"/>
      <w:rPr>
        <w:rFonts w:ascii="CG Times" w:hAnsi="CG Times"/>
        <w:b/>
        <w:bCs/>
        <w:sz w:val="20"/>
        <w:szCs w:val="20"/>
      </w:rPr>
    </w:pPr>
    <w:r>
      <w:rPr>
        <w:rFonts w:ascii="CG Times" w:hAnsi="CG Times"/>
        <w:b/>
        <w:bCs/>
        <w:sz w:val="20"/>
        <w:szCs w:val="20"/>
      </w:rPr>
      <w:tab/>
    </w:r>
    <w:r w:rsidR="000B0DBB">
      <w:rPr>
        <w:rFonts w:ascii="CG Times" w:hAnsi="CG Times"/>
        <w:b/>
        <w:bCs/>
        <w:sz w:val="20"/>
        <w:szCs w:val="20"/>
      </w:rPr>
      <w:t>December</w:t>
    </w:r>
    <w:r w:rsidR="008450EC">
      <w:rPr>
        <w:rFonts w:ascii="CG Times" w:hAnsi="CG Times"/>
        <w:b/>
        <w:bCs/>
        <w:sz w:val="20"/>
        <w:szCs w:val="20"/>
      </w:rPr>
      <w:t xml:space="preserve"> 2014</w:t>
    </w:r>
  </w:p>
  <w:p w:rsidR="00EB4006" w:rsidRDefault="00EB4006" w:rsidP="00EB4006">
    <w:pPr>
      <w:tabs>
        <w:tab w:val="right" w:pos="9450"/>
      </w:tabs>
      <w:spacing w:line="235"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Letter"/>
      <w:pStyle w:val="Level1"/>
      <w:lvlText w:val="%1."/>
      <w:lvlJc w:val="left"/>
      <w:pPr>
        <w:tabs>
          <w:tab w:val="num" w:pos="900"/>
        </w:tabs>
        <w:ind w:left="900" w:hanging="720"/>
      </w:pPr>
      <w:rPr>
        <w:rFonts w:ascii="Times New Roman" w:hAnsi="Times New Roman" w:cs="Times New Roman"/>
        <w:b/>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singleLevel"/>
    <w:tmpl w:val="00000000"/>
    <w:lvl w:ilvl="0">
      <w:start w:val="1"/>
      <w:numFmt w:val="decimal"/>
      <w:pStyle w:val="Quick1"/>
      <w:lvlText w:val="%1."/>
      <w:lvlJc w:val="left"/>
      <w:pPr>
        <w:tabs>
          <w:tab w:val="num" w:pos="720"/>
        </w:tabs>
      </w:pPr>
    </w:lvl>
  </w:abstractNum>
  <w:num w:numId="1">
    <w:abstractNumId w:val="0"/>
    <w:lvlOverride w:ilvl="0">
      <w:lvl w:ilvl="0">
        <w:start w:val="780"/>
        <w:numFmt w:val="upperLetter"/>
        <w:pStyle w:val="Level1"/>
        <w:lvlText w:val="%1."/>
        <w:lvlJc w:val="left"/>
        <w:pPr>
          <w:ind w:left="0" w:firstLine="0"/>
        </w:pPr>
        <w:rPr>
          <w:rFonts w:hint="default"/>
        </w:rPr>
      </w:lvl>
    </w:lvlOverride>
    <w:lvlOverride w:ilvl="1">
      <w:lvl w:ilvl="1">
        <w:start w:val="64613280"/>
        <w:numFmt w:val="decimal"/>
        <w:lvlText w:val="%2"/>
        <w:lvlJc w:val="left"/>
        <w:pPr>
          <w:ind w:left="0" w:firstLine="0"/>
        </w:pPr>
        <w:rPr>
          <w:rFonts w:hint="default"/>
        </w:rPr>
      </w:lvl>
    </w:lvlOverride>
    <w:lvlOverride w:ilvl="2">
      <w:lvl w:ilvl="2">
        <w:start w:val="64613520"/>
        <w:numFmt w:val="decimal"/>
        <w:lvlText w:val="%3"/>
        <w:lvlJc w:val="left"/>
        <w:pPr>
          <w:ind w:left="0" w:firstLine="0"/>
        </w:pPr>
        <w:rPr>
          <w:rFonts w:hint="default"/>
        </w:rPr>
      </w:lvl>
    </w:lvlOverride>
    <w:lvlOverride w:ilvl="3">
      <w:lvl w:ilvl="3">
        <w:start w:val="64612848"/>
        <w:numFmt w:val="decimal"/>
        <w:lvlText w:val="%4"/>
        <w:lvlJc w:val="left"/>
        <w:pPr>
          <w:ind w:left="0" w:firstLine="0"/>
        </w:pPr>
        <w:rPr>
          <w:rFonts w:hint="default"/>
        </w:rPr>
      </w:lvl>
    </w:lvlOverride>
    <w:lvlOverride w:ilvl="4">
      <w:lvl w:ilvl="4">
        <w:start w:val="64612704"/>
        <w:numFmt w:val="decimal"/>
        <w:lvlText w:val="%5"/>
        <w:lvlJc w:val="left"/>
        <w:pPr>
          <w:ind w:left="0" w:firstLine="0"/>
        </w:pPr>
        <w:rPr>
          <w:rFonts w:hint="default"/>
        </w:rPr>
      </w:lvl>
    </w:lvlOverride>
    <w:lvlOverride w:ilvl="5">
      <w:lvl w:ilvl="5">
        <w:start w:val="64612800"/>
        <w:numFmt w:val="decimal"/>
        <w:lvlText w:val="%6"/>
        <w:lvlJc w:val="left"/>
        <w:pPr>
          <w:ind w:left="0" w:firstLine="0"/>
        </w:pPr>
        <w:rPr>
          <w:rFonts w:hint="default"/>
        </w:rPr>
      </w:lvl>
    </w:lvlOverride>
    <w:lvlOverride w:ilvl="6">
      <w:lvl w:ilvl="6">
        <w:start w:val="61585664"/>
        <w:numFmt w:val="decimal"/>
        <w:lvlText w:val="%7"/>
        <w:lvlJc w:val="left"/>
        <w:pPr>
          <w:ind w:left="0" w:firstLine="0"/>
        </w:pPr>
        <w:rPr>
          <w:rFonts w:hint="default"/>
        </w:rPr>
      </w:lvl>
    </w:lvlOverride>
    <w:lvlOverride w:ilvl="7">
      <w:lvl w:ilvl="7">
        <w:start w:val="64611840"/>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abstractNumId w:val="1"/>
    <w:lvlOverride w:ilvl="0">
      <w:lvl w:ilvl="0">
        <w:start w:val="1"/>
        <w:numFmt w:val="decimal"/>
        <w:pStyle w:val="Quick1"/>
        <w:lvlText w:val="%1."/>
        <w:lvlJc w:val="left"/>
      </w:lvl>
    </w:lvlOverride>
  </w:num>
  <w:num w:numId="3">
    <w:abstractNumId w:val="1"/>
    <w:lvlOverride w:ilvl="0">
      <w:startOverride w:val="7"/>
      <w:lvl w:ilvl="0">
        <w:start w:val="7"/>
        <w:numFmt w:val="decimal"/>
        <w:pStyle w:val="Quick1"/>
        <w:lvlText w:val="%1."/>
        <w:lvlJc w:val="left"/>
      </w:lvl>
    </w:lvlOverride>
  </w:num>
  <w:num w:numId="4">
    <w:abstractNumId w:val="1"/>
    <w:lvlOverride w:ilvl="0">
      <w:startOverride w:val="9"/>
      <w:lvl w:ilvl="0">
        <w:start w:val="9"/>
        <w:numFmt w:val="decimal"/>
        <w:pStyle w:val="Quick1"/>
        <w:lvlText w:val="%1."/>
        <w:lvlJc w:val="left"/>
      </w:lvl>
    </w:lvlOverride>
  </w:num>
  <w:num w:numId="5">
    <w:abstractNumId w:val="1"/>
    <w:lvlOverride w:ilvl="0">
      <w:startOverride w:val="13"/>
      <w:lvl w:ilvl="0">
        <w:start w:val="13"/>
        <w:numFmt w:val="decimal"/>
        <w:pStyle w:val="Quick1"/>
        <w:lvlText w:val="%1."/>
        <w:lvlJc w:val="left"/>
      </w:lvl>
    </w:lvlOverride>
  </w:num>
  <w:num w:numId="6">
    <w:abstractNumId w:val="0"/>
    <w:lvlOverride w:ilvl="0">
      <w:lvl w:ilvl="0">
        <w:start w:val="780"/>
        <w:numFmt w:val="upperLetter"/>
        <w:pStyle w:val="Level1"/>
        <w:lvlText w:val="%1."/>
        <w:lvlJc w:val="left"/>
        <w:pPr>
          <w:ind w:left="0" w:firstLine="0"/>
        </w:pPr>
        <w:rPr>
          <w:rFonts w:hint="default"/>
        </w:rPr>
      </w:lvl>
    </w:lvlOverride>
    <w:lvlOverride w:ilvl="1">
      <w:lvl w:ilvl="1">
        <w:start w:val="64613280"/>
        <w:numFmt w:val="decimal"/>
        <w:lvlText w:val="%2"/>
        <w:lvlJc w:val="left"/>
        <w:pPr>
          <w:ind w:left="0" w:firstLine="0"/>
        </w:pPr>
        <w:rPr>
          <w:rFonts w:hint="default"/>
        </w:rPr>
      </w:lvl>
    </w:lvlOverride>
    <w:lvlOverride w:ilvl="2">
      <w:lvl w:ilvl="2">
        <w:start w:val="64613520"/>
        <w:numFmt w:val="decimal"/>
        <w:lvlText w:val="%3"/>
        <w:lvlJc w:val="left"/>
        <w:pPr>
          <w:ind w:left="0" w:firstLine="0"/>
        </w:pPr>
        <w:rPr>
          <w:rFonts w:hint="default"/>
        </w:rPr>
      </w:lvl>
    </w:lvlOverride>
    <w:lvlOverride w:ilvl="3">
      <w:lvl w:ilvl="3">
        <w:start w:val="64612848"/>
        <w:numFmt w:val="decimal"/>
        <w:lvlText w:val="%4"/>
        <w:lvlJc w:val="left"/>
        <w:pPr>
          <w:ind w:left="0" w:firstLine="0"/>
        </w:pPr>
        <w:rPr>
          <w:rFonts w:hint="default"/>
        </w:rPr>
      </w:lvl>
    </w:lvlOverride>
    <w:lvlOverride w:ilvl="4">
      <w:lvl w:ilvl="4">
        <w:start w:val="64612704"/>
        <w:numFmt w:val="decimal"/>
        <w:lvlText w:val="%5"/>
        <w:lvlJc w:val="left"/>
        <w:pPr>
          <w:ind w:left="0" w:firstLine="0"/>
        </w:pPr>
        <w:rPr>
          <w:rFonts w:hint="default"/>
        </w:rPr>
      </w:lvl>
    </w:lvlOverride>
    <w:lvlOverride w:ilvl="5">
      <w:lvl w:ilvl="5">
        <w:start w:val="64612800"/>
        <w:numFmt w:val="decimal"/>
        <w:lvlText w:val="%6"/>
        <w:lvlJc w:val="left"/>
        <w:pPr>
          <w:ind w:left="0" w:firstLine="0"/>
        </w:pPr>
        <w:rPr>
          <w:rFonts w:hint="default"/>
        </w:rPr>
      </w:lvl>
    </w:lvlOverride>
    <w:lvlOverride w:ilvl="6">
      <w:lvl w:ilvl="6">
        <w:start w:val="61585664"/>
        <w:numFmt w:val="decimal"/>
        <w:lvlText w:val="%7"/>
        <w:lvlJc w:val="left"/>
        <w:pPr>
          <w:ind w:left="0" w:firstLine="0"/>
        </w:pPr>
        <w:rPr>
          <w:rFonts w:hint="default"/>
        </w:rPr>
      </w:lvl>
    </w:lvlOverride>
    <w:lvlOverride w:ilvl="7">
      <w:lvl w:ilvl="7">
        <w:start w:val="64611840"/>
        <w:numFmt w:val="decimal"/>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45"/>
    <w:rsid w:val="00002F11"/>
    <w:rsid w:val="0004392D"/>
    <w:rsid w:val="00045BD1"/>
    <w:rsid w:val="0006696D"/>
    <w:rsid w:val="00083422"/>
    <w:rsid w:val="000866F0"/>
    <w:rsid w:val="000B0DBB"/>
    <w:rsid w:val="00133178"/>
    <w:rsid w:val="001645DA"/>
    <w:rsid w:val="00171BD3"/>
    <w:rsid w:val="001739B6"/>
    <w:rsid w:val="001E720B"/>
    <w:rsid w:val="001F1D82"/>
    <w:rsid w:val="002310D7"/>
    <w:rsid w:val="002452CC"/>
    <w:rsid w:val="00282043"/>
    <w:rsid w:val="00295F41"/>
    <w:rsid w:val="00347F46"/>
    <w:rsid w:val="00365B36"/>
    <w:rsid w:val="0037566C"/>
    <w:rsid w:val="003A3990"/>
    <w:rsid w:val="003B0FBF"/>
    <w:rsid w:val="003D598A"/>
    <w:rsid w:val="003E5DB1"/>
    <w:rsid w:val="003F2132"/>
    <w:rsid w:val="00405DFE"/>
    <w:rsid w:val="00415C14"/>
    <w:rsid w:val="00454BD3"/>
    <w:rsid w:val="0045756A"/>
    <w:rsid w:val="00472015"/>
    <w:rsid w:val="004D00A9"/>
    <w:rsid w:val="004D183F"/>
    <w:rsid w:val="004D65D5"/>
    <w:rsid w:val="004E6BD6"/>
    <w:rsid w:val="0053673F"/>
    <w:rsid w:val="00591A60"/>
    <w:rsid w:val="005C0B51"/>
    <w:rsid w:val="0060483D"/>
    <w:rsid w:val="00643AD3"/>
    <w:rsid w:val="006557DE"/>
    <w:rsid w:val="00667651"/>
    <w:rsid w:val="006B2019"/>
    <w:rsid w:val="006C0E52"/>
    <w:rsid w:val="006D5EBE"/>
    <w:rsid w:val="00712A36"/>
    <w:rsid w:val="00724F33"/>
    <w:rsid w:val="00774D50"/>
    <w:rsid w:val="00796CEA"/>
    <w:rsid w:val="007B669A"/>
    <w:rsid w:val="008450EC"/>
    <w:rsid w:val="008779C2"/>
    <w:rsid w:val="008913EF"/>
    <w:rsid w:val="008B1965"/>
    <w:rsid w:val="008E1E18"/>
    <w:rsid w:val="008E76EC"/>
    <w:rsid w:val="008F5C45"/>
    <w:rsid w:val="008F68E7"/>
    <w:rsid w:val="0091435E"/>
    <w:rsid w:val="009A7FDE"/>
    <w:rsid w:val="009B593B"/>
    <w:rsid w:val="009B79B0"/>
    <w:rsid w:val="00A161D1"/>
    <w:rsid w:val="00AC6C1D"/>
    <w:rsid w:val="00B131CB"/>
    <w:rsid w:val="00B140D3"/>
    <w:rsid w:val="00B209A7"/>
    <w:rsid w:val="00B24D8B"/>
    <w:rsid w:val="00B53D2E"/>
    <w:rsid w:val="00B70197"/>
    <w:rsid w:val="00BD11CA"/>
    <w:rsid w:val="00BF7F20"/>
    <w:rsid w:val="00C27018"/>
    <w:rsid w:val="00C511CD"/>
    <w:rsid w:val="00C632CE"/>
    <w:rsid w:val="00CB1934"/>
    <w:rsid w:val="00CD1814"/>
    <w:rsid w:val="00CE428D"/>
    <w:rsid w:val="00D048FB"/>
    <w:rsid w:val="00D46F94"/>
    <w:rsid w:val="00D7444C"/>
    <w:rsid w:val="00D8684A"/>
    <w:rsid w:val="00D97CD7"/>
    <w:rsid w:val="00E0131F"/>
    <w:rsid w:val="00E2092B"/>
    <w:rsid w:val="00E20CEE"/>
    <w:rsid w:val="00E75FDC"/>
    <w:rsid w:val="00EA5A90"/>
    <w:rsid w:val="00EA605D"/>
    <w:rsid w:val="00EB4006"/>
    <w:rsid w:val="00F26599"/>
    <w:rsid w:val="00F37345"/>
    <w:rsid w:val="00F810D4"/>
    <w:rsid w:val="00F90AAF"/>
    <w:rsid w:val="00FC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customStyle="1" w:styleId="Quick1">
    <w:name w:val="Quick 1."/>
    <w:basedOn w:val="Normal"/>
    <w:pPr>
      <w:numPr>
        <w:numId w:val="5"/>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FootnoteText">
    <w:name w:val="footnote text"/>
    <w:basedOn w:val="Normal"/>
    <w:semiHidden/>
    <w:rPr>
      <w:sz w:val="20"/>
      <w:szCs w:val="20"/>
    </w:rPr>
  </w:style>
  <w:style w:type="paragraph" w:styleId="BlockText">
    <w:name w:val="Block Text"/>
    <w:basedOn w:val="Normal"/>
    <w:pPr>
      <w:ind w:left="720" w:right="-90"/>
    </w:pPr>
    <w:rPr>
      <w:rFonts w:ascii="Times New Roman" w:hAnsi="Times New Roman"/>
    </w:rPr>
  </w:style>
  <w:style w:type="paragraph" w:styleId="Header">
    <w:name w:val="header"/>
    <w:basedOn w:val="Normal"/>
    <w:rsid w:val="0091435E"/>
    <w:pPr>
      <w:tabs>
        <w:tab w:val="center" w:pos="4320"/>
        <w:tab w:val="right" w:pos="8640"/>
      </w:tabs>
    </w:pPr>
  </w:style>
  <w:style w:type="paragraph" w:styleId="Footer">
    <w:name w:val="footer"/>
    <w:basedOn w:val="Normal"/>
    <w:link w:val="FooterChar"/>
    <w:uiPriority w:val="99"/>
    <w:rsid w:val="0091435E"/>
    <w:pPr>
      <w:tabs>
        <w:tab w:val="center" w:pos="4320"/>
        <w:tab w:val="right" w:pos="8640"/>
      </w:tabs>
    </w:pPr>
  </w:style>
  <w:style w:type="paragraph" w:styleId="BalloonText">
    <w:name w:val="Balloon Text"/>
    <w:basedOn w:val="Normal"/>
    <w:semiHidden/>
    <w:rsid w:val="00B209A7"/>
    <w:rPr>
      <w:rFonts w:ascii="Tahoma" w:hAnsi="Tahoma" w:cs="Tahoma"/>
      <w:sz w:val="16"/>
      <w:szCs w:val="16"/>
    </w:rPr>
  </w:style>
  <w:style w:type="character" w:styleId="CommentReference">
    <w:name w:val="annotation reference"/>
    <w:semiHidden/>
    <w:rsid w:val="006D5EBE"/>
    <w:rPr>
      <w:sz w:val="16"/>
      <w:szCs w:val="16"/>
    </w:rPr>
  </w:style>
  <w:style w:type="paragraph" w:styleId="CommentText">
    <w:name w:val="annotation text"/>
    <w:basedOn w:val="Normal"/>
    <w:semiHidden/>
    <w:rsid w:val="006D5EBE"/>
    <w:rPr>
      <w:sz w:val="20"/>
      <w:szCs w:val="20"/>
    </w:rPr>
  </w:style>
  <w:style w:type="paragraph" w:styleId="CommentSubject">
    <w:name w:val="annotation subject"/>
    <w:basedOn w:val="CommentText"/>
    <w:next w:val="CommentText"/>
    <w:semiHidden/>
    <w:rsid w:val="006D5EBE"/>
    <w:rPr>
      <w:b/>
      <w:bCs/>
    </w:rPr>
  </w:style>
  <w:style w:type="paragraph" w:styleId="Revision">
    <w:name w:val="Revision"/>
    <w:hidden/>
    <w:uiPriority w:val="99"/>
    <w:semiHidden/>
    <w:rsid w:val="00E75FDC"/>
    <w:rPr>
      <w:rFonts w:ascii="Courier" w:hAnsi="Courier"/>
      <w:sz w:val="24"/>
      <w:szCs w:val="24"/>
    </w:rPr>
  </w:style>
  <w:style w:type="character" w:customStyle="1" w:styleId="FooterChar">
    <w:name w:val="Footer Char"/>
    <w:link w:val="Footer"/>
    <w:uiPriority w:val="99"/>
    <w:rsid w:val="00B70197"/>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outlineLvl w:val="0"/>
    </w:pPr>
  </w:style>
  <w:style w:type="paragraph" w:customStyle="1" w:styleId="Quick1">
    <w:name w:val="Quick 1."/>
    <w:basedOn w:val="Normal"/>
    <w:pPr>
      <w:numPr>
        <w:numId w:val="5"/>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FootnoteText">
    <w:name w:val="footnote text"/>
    <w:basedOn w:val="Normal"/>
    <w:semiHidden/>
    <w:rPr>
      <w:sz w:val="20"/>
      <w:szCs w:val="20"/>
    </w:rPr>
  </w:style>
  <w:style w:type="paragraph" w:styleId="BlockText">
    <w:name w:val="Block Text"/>
    <w:basedOn w:val="Normal"/>
    <w:pPr>
      <w:ind w:left="720" w:right="-90"/>
    </w:pPr>
    <w:rPr>
      <w:rFonts w:ascii="Times New Roman" w:hAnsi="Times New Roman"/>
    </w:rPr>
  </w:style>
  <w:style w:type="paragraph" w:styleId="Header">
    <w:name w:val="header"/>
    <w:basedOn w:val="Normal"/>
    <w:rsid w:val="0091435E"/>
    <w:pPr>
      <w:tabs>
        <w:tab w:val="center" w:pos="4320"/>
        <w:tab w:val="right" w:pos="8640"/>
      </w:tabs>
    </w:pPr>
  </w:style>
  <w:style w:type="paragraph" w:styleId="Footer">
    <w:name w:val="footer"/>
    <w:basedOn w:val="Normal"/>
    <w:link w:val="FooterChar"/>
    <w:uiPriority w:val="99"/>
    <w:rsid w:val="0091435E"/>
    <w:pPr>
      <w:tabs>
        <w:tab w:val="center" w:pos="4320"/>
        <w:tab w:val="right" w:pos="8640"/>
      </w:tabs>
    </w:pPr>
  </w:style>
  <w:style w:type="paragraph" w:styleId="BalloonText">
    <w:name w:val="Balloon Text"/>
    <w:basedOn w:val="Normal"/>
    <w:semiHidden/>
    <w:rsid w:val="00B209A7"/>
    <w:rPr>
      <w:rFonts w:ascii="Tahoma" w:hAnsi="Tahoma" w:cs="Tahoma"/>
      <w:sz w:val="16"/>
      <w:szCs w:val="16"/>
    </w:rPr>
  </w:style>
  <w:style w:type="character" w:styleId="CommentReference">
    <w:name w:val="annotation reference"/>
    <w:semiHidden/>
    <w:rsid w:val="006D5EBE"/>
    <w:rPr>
      <w:sz w:val="16"/>
      <w:szCs w:val="16"/>
    </w:rPr>
  </w:style>
  <w:style w:type="paragraph" w:styleId="CommentText">
    <w:name w:val="annotation text"/>
    <w:basedOn w:val="Normal"/>
    <w:semiHidden/>
    <w:rsid w:val="006D5EBE"/>
    <w:rPr>
      <w:sz w:val="20"/>
      <w:szCs w:val="20"/>
    </w:rPr>
  </w:style>
  <w:style w:type="paragraph" w:styleId="CommentSubject">
    <w:name w:val="annotation subject"/>
    <w:basedOn w:val="CommentText"/>
    <w:next w:val="CommentText"/>
    <w:semiHidden/>
    <w:rsid w:val="006D5EBE"/>
    <w:rPr>
      <w:b/>
      <w:bCs/>
    </w:rPr>
  </w:style>
  <w:style w:type="paragraph" w:styleId="Revision">
    <w:name w:val="Revision"/>
    <w:hidden/>
    <w:uiPriority w:val="99"/>
    <w:semiHidden/>
    <w:rsid w:val="00E75FDC"/>
    <w:rPr>
      <w:rFonts w:ascii="Courier" w:hAnsi="Courier"/>
      <w:sz w:val="24"/>
      <w:szCs w:val="24"/>
    </w:rPr>
  </w:style>
  <w:style w:type="character" w:customStyle="1" w:styleId="FooterChar">
    <w:name w:val="Footer Char"/>
    <w:link w:val="Footer"/>
    <w:uiPriority w:val="99"/>
    <w:rsid w:val="00B7019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1F753-2B7C-4788-A82A-30764414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2594</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altman.laurie</dc:creator>
  <cp:lastModifiedBy>Beckmann, Allan - EBSA</cp:lastModifiedBy>
  <cp:revision>2</cp:revision>
  <cp:lastPrinted>2014-11-05T18:53:00Z</cp:lastPrinted>
  <dcterms:created xsi:type="dcterms:W3CDTF">2014-12-16T18:25:00Z</dcterms:created>
  <dcterms:modified xsi:type="dcterms:W3CDTF">2014-12-16T18:25:00Z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-1613532977</vt:i4>
  </property>
</Properties>
</file>