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059" w:rsidRPr="00BF3DF5" w:rsidRDefault="00AB0059" w:rsidP="00AB0059">
      <w:pPr>
        <w:ind w:left="90"/>
        <w:jc w:val="center"/>
        <w:rPr>
          <w:rFonts w:asciiTheme="majorBidi" w:hAnsiTheme="majorBidi" w:cstheme="majorBidi"/>
          <w:b/>
          <w:bCs/>
          <w:sz w:val="24"/>
          <w:szCs w:val="24"/>
        </w:rPr>
      </w:pPr>
      <w:r w:rsidRPr="00BF3DF5">
        <w:rPr>
          <w:rFonts w:asciiTheme="majorBidi" w:hAnsiTheme="majorBidi" w:cstheme="majorBidi"/>
          <w:b/>
          <w:bCs/>
          <w:sz w:val="24"/>
          <w:szCs w:val="24"/>
        </w:rPr>
        <w:t>Statement B for</w:t>
      </w:r>
    </w:p>
    <w:p w:rsidR="00AB0059" w:rsidRPr="00BF3DF5" w:rsidRDefault="00AB0059" w:rsidP="00AB0059">
      <w:pPr>
        <w:ind w:left="90"/>
        <w:jc w:val="center"/>
        <w:rPr>
          <w:rFonts w:asciiTheme="majorBidi" w:hAnsiTheme="majorBidi" w:cstheme="majorBidi"/>
          <w:b/>
          <w:bCs/>
          <w:sz w:val="28"/>
          <w:szCs w:val="28"/>
        </w:rPr>
      </w:pPr>
    </w:p>
    <w:p w:rsidR="00AB0059" w:rsidRPr="00BF3DF5" w:rsidRDefault="00AB0059" w:rsidP="00AB0059">
      <w:pPr>
        <w:ind w:left="90"/>
        <w:jc w:val="center"/>
        <w:rPr>
          <w:rFonts w:asciiTheme="majorBidi" w:hAnsiTheme="majorBidi" w:cstheme="majorBidi"/>
          <w:b/>
          <w:bCs/>
          <w:sz w:val="24"/>
          <w:szCs w:val="24"/>
        </w:rPr>
      </w:pPr>
      <w:r w:rsidRPr="00BF3DF5">
        <w:rPr>
          <w:rFonts w:asciiTheme="majorBidi" w:hAnsiTheme="majorBidi" w:cstheme="majorBidi"/>
          <w:b/>
          <w:bCs/>
          <w:sz w:val="24"/>
          <w:szCs w:val="24"/>
        </w:rPr>
        <w:t xml:space="preserve">Tissue </w:t>
      </w:r>
      <w:r w:rsidR="00D2015C">
        <w:rPr>
          <w:rFonts w:asciiTheme="majorBidi" w:hAnsiTheme="majorBidi" w:cstheme="majorBidi"/>
          <w:b/>
          <w:bCs/>
          <w:sz w:val="24"/>
          <w:szCs w:val="24"/>
        </w:rPr>
        <w:t xml:space="preserve">and </w:t>
      </w:r>
      <w:r w:rsidRPr="00BF3DF5">
        <w:rPr>
          <w:rFonts w:asciiTheme="majorBidi" w:hAnsiTheme="majorBidi" w:cstheme="majorBidi"/>
          <w:b/>
          <w:bCs/>
          <w:sz w:val="24"/>
          <w:szCs w:val="24"/>
        </w:rPr>
        <w:t>Organ Donor Epidemiology Study (TODES)</w:t>
      </w:r>
    </w:p>
    <w:p w:rsidR="00AB0059" w:rsidRPr="00BF3DF5" w:rsidRDefault="00AB0059" w:rsidP="00AB0059">
      <w:pPr>
        <w:ind w:left="90"/>
        <w:jc w:val="center"/>
        <w:rPr>
          <w:rFonts w:asciiTheme="majorBidi" w:hAnsiTheme="majorBidi" w:cstheme="majorBidi"/>
          <w:b/>
          <w:bCs/>
          <w:sz w:val="24"/>
          <w:szCs w:val="24"/>
        </w:rPr>
      </w:pPr>
      <w:r w:rsidRPr="00BF3DF5">
        <w:rPr>
          <w:rFonts w:asciiTheme="majorBidi" w:hAnsiTheme="majorBidi" w:cstheme="majorBidi"/>
          <w:b/>
          <w:bCs/>
          <w:sz w:val="24"/>
          <w:szCs w:val="24"/>
        </w:rPr>
        <w:t xml:space="preserve">OMB Number: </w:t>
      </w:r>
      <w:r w:rsidR="00363D84">
        <w:rPr>
          <w:rFonts w:asciiTheme="majorBidi" w:hAnsiTheme="majorBidi" w:cstheme="majorBidi"/>
          <w:b/>
          <w:bCs/>
          <w:sz w:val="24"/>
          <w:szCs w:val="24"/>
        </w:rPr>
        <w:t>XXXX-XXXX</w:t>
      </w:r>
    </w:p>
    <w:p w:rsidR="00BF3DF5" w:rsidRDefault="00BF3DF5" w:rsidP="00AB0059">
      <w:pPr>
        <w:ind w:left="90"/>
        <w:jc w:val="center"/>
        <w:rPr>
          <w:rFonts w:asciiTheme="majorBidi" w:hAnsiTheme="majorBidi" w:cstheme="majorBidi"/>
          <w:sz w:val="24"/>
          <w:szCs w:val="24"/>
        </w:rPr>
      </w:pPr>
    </w:p>
    <w:p w:rsidR="00BF3DF5" w:rsidRDefault="00BF3DF5" w:rsidP="00AB0059">
      <w:pPr>
        <w:ind w:left="90"/>
        <w:jc w:val="center"/>
        <w:rPr>
          <w:rFonts w:asciiTheme="majorBidi" w:hAnsiTheme="majorBidi" w:cstheme="majorBidi"/>
          <w:sz w:val="24"/>
          <w:szCs w:val="24"/>
        </w:rPr>
      </w:pPr>
    </w:p>
    <w:p w:rsidR="00BF3DF5" w:rsidRDefault="00BF3DF5" w:rsidP="00AB0059">
      <w:pPr>
        <w:ind w:left="90"/>
        <w:jc w:val="center"/>
        <w:rPr>
          <w:rFonts w:asciiTheme="majorBidi" w:hAnsiTheme="majorBidi" w:cstheme="majorBidi"/>
          <w:sz w:val="24"/>
          <w:szCs w:val="24"/>
        </w:rPr>
      </w:pPr>
    </w:p>
    <w:p w:rsidR="00BF3DF5" w:rsidRDefault="00BF3DF5" w:rsidP="00AB0059">
      <w:pPr>
        <w:ind w:left="90"/>
        <w:jc w:val="center"/>
        <w:rPr>
          <w:rFonts w:asciiTheme="majorBidi" w:hAnsiTheme="majorBidi" w:cstheme="majorBidi"/>
          <w:sz w:val="24"/>
          <w:szCs w:val="24"/>
        </w:rPr>
      </w:pPr>
    </w:p>
    <w:p w:rsidR="00AB0059" w:rsidRPr="00D60CA3" w:rsidRDefault="00C11E43" w:rsidP="00881B7F">
      <w:pPr>
        <w:ind w:left="90"/>
        <w:jc w:val="center"/>
        <w:rPr>
          <w:rFonts w:asciiTheme="majorBidi" w:hAnsiTheme="majorBidi" w:cstheme="majorBidi"/>
          <w:sz w:val="24"/>
          <w:szCs w:val="24"/>
        </w:rPr>
      </w:pPr>
      <w:r>
        <w:rPr>
          <w:rFonts w:asciiTheme="majorBidi" w:hAnsiTheme="majorBidi" w:cstheme="majorBidi"/>
          <w:sz w:val="24"/>
          <w:szCs w:val="24"/>
        </w:rPr>
        <w:t>March 2015</w:t>
      </w:r>
      <w:bookmarkStart w:id="0" w:name="_GoBack"/>
      <w:bookmarkEnd w:id="0"/>
    </w:p>
    <w:p w:rsidR="00AB0059" w:rsidRPr="00D60CA3" w:rsidRDefault="00AB0059" w:rsidP="00AB0059">
      <w:pPr>
        <w:ind w:left="90"/>
        <w:jc w:val="center"/>
        <w:rPr>
          <w:rFonts w:asciiTheme="majorBidi" w:hAnsiTheme="majorBidi" w:cstheme="majorBidi"/>
          <w:color w:val="FF0000"/>
          <w:sz w:val="24"/>
          <w:szCs w:val="24"/>
        </w:rPr>
      </w:pPr>
    </w:p>
    <w:p w:rsidR="00AB0059" w:rsidRPr="00D60CA3" w:rsidRDefault="00AB0059" w:rsidP="00AB0059">
      <w:pPr>
        <w:widowControl w:val="0"/>
        <w:adjustRightInd w:val="0"/>
        <w:snapToGrid w:val="0"/>
        <w:ind w:left="90"/>
        <w:jc w:val="center"/>
        <w:rPr>
          <w:rFonts w:asciiTheme="majorBidi" w:hAnsiTheme="majorBidi" w:cstheme="majorBidi"/>
          <w:sz w:val="24"/>
          <w:szCs w:val="24"/>
        </w:rPr>
      </w:pPr>
      <w:r w:rsidRPr="00D60CA3">
        <w:rPr>
          <w:rFonts w:asciiTheme="majorBidi" w:hAnsiTheme="majorBidi" w:cstheme="majorBidi"/>
          <w:sz w:val="24"/>
          <w:szCs w:val="24"/>
        </w:rPr>
        <w:t>Sponsored by:</w:t>
      </w:r>
    </w:p>
    <w:p w:rsidR="00EC3B35" w:rsidRPr="00D60CA3" w:rsidRDefault="00EC3B35" w:rsidP="00D60CA3">
      <w:pPr>
        <w:widowControl w:val="0"/>
        <w:adjustRightInd w:val="0"/>
        <w:snapToGrid w:val="0"/>
        <w:ind w:left="90"/>
        <w:jc w:val="right"/>
        <w:rPr>
          <w:rFonts w:asciiTheme="majorBidi" w:hAnsiTheme="majorBidi" w:cstheme="majorBidi"/>
          <w:sz w:val="24"/>
          <w:szCs w:val="24"/>
        </w:rPr>
      </w:pPr>
      <w:r w:rsidRPr="00D60CA3">
        <w:rPr>
          <w:rFonts w:asciiTheme="majorBidi" w:hAnsiTheme="majorBidi" w:cstheme="majorBidi"/>
          <w:sz w:val="24"/>
          <w:szCs w:val="24"/>
        </w:rPr>
        <w:t>U.S. Department of Health and Human Services</w:t>
      </w:r>
    </w:p>
    <w:p w:rsidR="00D60CA3" w:rsidRPr="00D60CA3" w:rsidRDefault="00D60CA3" w:rsidP="00D60CA3">
      <w:pPr>
        <w:widowControl w:val="0"/>
        <w:adjustRightInd w:val="0"/>
        <w:snapToGrid w:val="0"/>
        <w:spacing w:after="0" w:line="240" w:lineRule="auto"/>
        <w:rPr>
          <w:rFonts w:asciiTheme="majorBidi" w:hAnsiTheme="majorBidi" w:cstheme="majorBidi"/>
          <w:sz w:val="24"/>
          <w:szCs w:val="24"/>
        </w:rPr>
      </w:pPr>
    </w:p>
    <w:p w:rsidR="00D60CA3" w:rsidRPr="00D60CA3" w:rsidRDefault="00D60CA3" w:rsidP="00D60CA3">
      <w:pPr>
        <w:widowControl w:val="0"/>
        <w:adjustRightInd w:val="0"/>
        <w:snapToGrid w:val="0"/>
        <w:spacing w:after="0" w:line="240" w:lineRule="auto"/>
        <w:rPr>
          <w:rFonts w:asciiTheme="majorBidi" w:hAnsiTheme="majorBidi" w:cstheme="majorBidi"/>
          <w:sz w:val="24"/>
          <w:szCs w:val="24"/>
        </w:rPr>
      </w:pPr>
    </w:p>
    <w:p w:rsidR="00D60CA3" w:rsidRPr="00D60CA3" w:rsidRDefault="00D60CA3" w:rsidP="00D60CA3">
      <w:pPr>
        <w:widowControl w:val="0"/>
        <w:adjustRightInd w:val="0"/>
        <w:snapToGrid w:val="0"/>
        <w:spacing w:after="0" w:line="240" w:lineRule="auto"/>
        <w:rPr>
          <w:rFonts w:asciiTheme="majorBidi" w:hAnsiTheme="majorBidi" w:cstheme="majorBidi"/>
          <w:sz w:val="24"/>
          <w:szCs w:val="24"/>
        </w:rPr>
      </w:pPr>
    </w:p>
    <w:p w:rsidR="00AB0059" w:rsidRPr="00D60CA3" w:rsidRDefault="00AB0059" w:rsidP="00D60CA3">
      <w:pPr>
        <w:widowControl w:val="0"/>
        <w:adjustRightInd w:val="0"/>
        <w:snapToGrid w:val="0"/>
        <w:spacing w:after="0" w:line="240" w:lineRule="auto"/>
        <w:rPr>
          <w:rFonts w:asciiTheme="majorBidi" w:hAnsiTheme="majorBidi" w:cstheme="majorBidi"/>
          <w:sz w:val="24"/>
          <w:szCs w:val="24"/>
        </w:rPr>
      </w:pPr>
      <w:r w:rsidRPr="00D60CA3">
        <w:rPr>
          <w:rFonts w:asciiTheme="majorBidi" w:hAnsiTheme="majorBidi" w:cstheme="majorBidi"/>
          <w:sz w:val="24"/>
          <w:szCs w:val="24"/>
        </w:rPr>
        <w:t xml:space="preserve">Project Officer/ICD Contact: </w:t>
      </w:r>
      <w:r w:rsidRPr="00D60CA3">
        <w:rPr>
          <w:rFonts w:asciiTheme="majorBidi" w:hAnsiTheme="majorBidi" w:cstheme="majorBidi"/>
          <w:sz w:val="24"/>
          <w:szCs w:val="24"/>
        </w:rPr>
        <w:tab/>
      </w:r>
      <w:r w:rsidRPr="00D60CA3">
        <w:rPr>
          <w:rFonts w:asciiTheme="majorBidi" w:hAnsiTheme="majorBidi" w:cstheme="majorBidi"/>
          <w:sz w:val="24"/>
          <w:szCs w:val="24"/>
        </w:rPr>
        <w:tab/>
      </w:r>
      <w:r w:rsidR="00EC3B35" w:rsidRPr="00D60CA3">
        <w:rPr>
          <w:rFonts w:asciiTheme="majorBidi" w:hAnsiTheme="majorBidi" w:cstheme="majorBidi"/>
          <w:sz w:val="24"/>
          <w:szCs w:val="24"/>
        </w:rPr>
        <w:t xml:space="preserve"> Richard Henry, M.L., M.P.H.</w:t>
      </w:r>
    </w:p>
    <w:p w:rsidR="00D60CA3" w:rsidRDefault="00AB0059" w:rsidP="00D60CA3">
      <w:pPr>
        <w:widowControl w:val="0"/>
        <w:adjustRightInd w:val="0"/>
        <w:snapToGrid w:val="0"/>
        <w:spacing w:after="0" w:line="240" w:lineRule="auto"/>
        <w:ind w:hanging="3600"/>
        <w:rPr>
          <w:rFonts w:asciiTheme="majorBidi" w:hAnsiTheme="majorBidi" w:cstheme="majorBidi"/>
          <w:sz w:val="24"/>
          <w:szCs w:val="24"/>
        </w:rPr>
      </w:pPr>
      <w:r w:rsidRPr="00D60CA3">
        <w:rPr>
          <w:rFonts w:asciiTheme="majorBidi" w:hAnsiTheme="majorBidi" w:cstheme="majorBidi"/>
          <w:sz w:val="24"/>
          <w:szCs w:val="24"/>
        </w:rPr>
        <w:t>Branch</w:t>
      </w:r>
      <w:r w:rsidR="00EC3B35" w:rsidRPr="00D60CA3">
        <w:rPr>
          <w:rFonts w:asciiTheme="majorBidi" w:hAnsiTheme="majorBidi" w:cstheme="majorBidi"/>
          <w:sz w:val="24"/>
          <w:szCs w:val="24"/>
        </w:rPr>
        <w:t>:</w:t>
      </w:r>
      <w:r w:rsidR="00EC3B35" w:rsidRPr="00D60CA3">
        <w:rPr>
          <w:rFonts w:asciiTheme="majorBidi" w:hAnsiTheme="majorBidi" w:cstheme="majorBidi"/>
          <w:sz w:val="24"/>
          <w:szCs w:val="24"/>
        </w:rPr>
        <w:tab/>
      </w:r>
    </w:p>
    <w:p w:rsidR="00D60CA3" w:rsidRPr="00D60CA3" w:rsidRDefault="00D60CA3" w:rsidP="00D60CA3">
      <w:pPr>
        <w:widowControl w:val="0"/>
        <w:adjustRightInd w:val="0"/>
        <w:snapToGrid w:val="0"/>
        <w:spacing w:after="0" w:line="240" w:lineRule="auto"/>
        <w:ind w:hanging="3600"/>
        <w:rPr>
          <w:rFonts w:asciiTheme="majorBidi" w:hAnsiTheme="majorBidi" w:cstheme="majorBidi"/>
          <w:sz w:val="24"/>
          <w:szCs w:val="24"/>
        </w:rPr>
      </w:pPr>
      <w:r>
        <w:rPr>
          <w:rFonts w:asciiTheme="majorBidi" w:hAnsiTheme="majorBidi" w:cstheme="majorBidi"/>
          <w:sz w:val="24"/>
          <w:szCs w:val="24"/>
        </w:rPr>
        <w:t>Bb</w:t>
      </w:r>
      <w:r>
        <w:rPr>
          <w:rFonts w:asciiTheme="majorBidi" w:hAnsiTheme="majorBidi" w:cstheme="majorBidi"/>
          <w:sz w:val="24"/>
          <w:szCs w:val="24"/>
        </w:rPr>
        <w:tab/>
        <w:t>Branch: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EC3B35" w:rsidRPr="00D60CA3">
        <w:rPr>
          <w:rFonts w:asciiTheme="majorBidi" w:hAnsiTheme="majorBidi" w:cstheme="majorBidi"/>
          <w:sz w:val="24"/>
          <w:szCs w:val="24"/>
        </w:rPr>
        <w:t>Division of Blood and Tissue Safety and Availability</w:t>
      </w:r>
    </w:p>
    <w:p w:rsidR="00D60CA3" w:rsidRDefault="00EC3B35" w:rsidP="00D60CA3">
      <w:pPr>
        <w:widowControl w:val="0"/>
        <w:adjustRightInd w:val="0"/>
        <w:snapToGrid w:val="0"/>
        <w:spacing w:after="0" w:line="240" w:lineRule="auto"/>
        <w:ind w:left="2880" w:firstLine="720"/>
        <w:rPr>
          <w:rFonts w:asciiTheme="majorBidi" w:hAnsiTheme="majorBidi" w:cstheme="majorBidi"/>
          <w:sz w:val="24"/>
          <w:szCs w:val="24"/>
        </w:rPr>
      </w:pPr>
      <w:r w:rsidRPr="00D60CA3">
        <w:rPr>
          <w:rFonts w:asciiTheme="majorBidi" w:hAnsiTheme="majorBidi" w:cstheme="majorBidi"/>
          <w:sz w:val="24"/>
          <w:szCs w:val="24"/>
        </w:rPr>
        <w:t xml:space="preserve">Office of HIV/AIDS and Infectious Disease Policy </w:t>
      </w:r>
    </w:p>
    <w:p w:rsidR="00AB0059" w:rsidRPr="00D60CA3" w:rsidRDefault="00AB0059" w:rsidP="00D60CA3">
      <w:pPr>
        <w:widowControl w:val="0"/>
        <w:adjustRightInd w:val="0"/>
        <w:snapToGrid w:val="0"/>
        <w:spacing w:after="0" w:line="240" w:lineRule="auto"/>
        <w:ind w:left="2880" w:firstLine="720"/>
        <w:rPr>
          <w:rFonts w:asciiTheme="majorBidi" w:hAnsiTheme="majorBidi" w:cstheme="majorBidi"/>
          <w:sz w:val="24"/>
          <w:szCs w:val="24"/>
        </w:rPr>
      </w:pPr>
      <w:r w:rsidRPr="00D60CA3">
        <w:rPr>
          <w:rFonts w:asciiTheme="majorBidi" w:hAnsiTheme="majorBidi" w:cstheme="majorBidi"/>
          <w:sz w:val="24"/>
          <w:szCs w:val="24"/>
        </w:rPr>
        <w:t xml:space="preserve">Office of </w:t>
      </w:r>
      <w:r w:rsidR="00EC3B35" w:rsidRPr="00D60CA3">
        <w:rPr>
          <w:rFonts w:asciiTheme="majorBidi" w:hAnsiTheme="majorBidi" w:cstheme="majorBidi"/>
          <w:sz w:val="24"/>
          <w:szCs w:val="24"/>
        </w:rPr>
        <w:t>the Assistant Secretary for Health (OASH)</w:t>
      </w:r>
    </w:p>
    <w:p w:rsidR="00EC3B35" w:rsidRPr="00D60CA3" w:rsidRDefault="00EC3B35" w:rsidP="00D60CA3">
      <w:pPr>
        <w:widowControl w:val="0"/>
        <w:adjustRightInd w:val="0"/>
        <w:snapToGrid w:val="0"/>
        <w:spacing w:after="0" w:line="240" w:lineRule="auto"/>
        <w:ind w:left="2880" w:firstLine="720"/>
        <w:rPr>
          <w:rFonts w:asciiTheme="majorBidi" w:hAnsiTheme="majorBidi" w:cstheme="majorBidi"/>
          <w:sz w:val="24"/>
          <w:szCs w:val="24"/>
        </w:rPr>
      </w:pPr>
      <w:r w:rsidRPr="00D60CA3">
        <w:rPr>
          <w:rFonts w:asciiTheme="majorBidi" w:hAnsiTheme="majorBidi" w:cstheme="majorBidi"/>
          <w:sz w:val="24"/>
          <w:szCs w:val="24"/>
        </w:rPr>
        <w:t xml:space="preserve">1101 </w:t>
      </w:r>
      <w:proofErr w:type="spellStart"/>
      <w:r w:rsidRPr="00D60CA3">
        <w:rPr>
          <w:rFonts w:asciiTheme="majorBidi" w:hAnsiTheme="majorBidi" w:cstheme="majorBidi"/>
          <w:sz w:val="24"/>
          <w:szCs w:val="24"/>
        </w:rPr>
        <w:t>Wootton</w:t>
      </w:r>
      <w:proofErr w:type="spellEnd"/>
      <w:r w:rsidRPr="00D60CA3">
        <w:rPr>
          <w:rFonts w:asciiTheme="majorBidi" w:hAnsiTheme="majorBidi" w:cstheme="majorBidi"/>
          <w:sz w:val="24"/>
          <w:szCs w:val="24"/>
        </w:rPr>
        <w:t xml:space="preserve"> Parkway, Suite 250</w:t>
      </w:r>
    </w:p>
    <w:p w:rsidR="00D60CA3" w:rsidRDefault="00EC3B35" w:rsidP="00D60CA3">
      <w:pPr>
        <w:widowControl w:val="0"/>
        <w:adjustRightInd w:val="0"/>
        <w:snapToGrid w:val="0"/>
        <w:spacing w:after="0" w:line="240" w:lineRule="auto"/>
        <w:ind w:left="2880" w:firstLine="720"/>
        <w:rPr>
          <w:rFonts w:asciiTheme="majorBidi" w:hAnsiTheme="majorBidi" w:cstheme="majorBidi"/>
          <w:sz w:val="24"/>
          <w:szCs w:val="24"/>
        </w:rPr>
      </w:pPr>
      <w:r w:rsidRPr="00D60CA3">
        <w:rPr>
          <w:rFonts w:asciiTheme="majorBidi" w:hAnsiTheme="majorBidi" w:cstheme="majorBidi"/>
          <w:sz w:val="24"/>
          <w:szCs w:val="24"/>
        </w:rPr>
        <w:t>Rockville, MD 20852</w:t>
      </w:r>
    </w:p>
    <w:p w:rsidR="00BF3DF5" w:rsidRDefault="00AB0059" w:rsidP="00BF3DF5">
      <w:pPr>
        <w:widowControl w:val="0"/>
        <w:adjustRightInd w:val="0"/>
        <w:snapToGrid w:val="0"/>
        <w:spacing w:after="0" w:line="240" w:lineRule="auto"/>
        <w:ind w:left="2880" w:firstLine="720"/>
        <w:rPr>
          <w:rFonts w:asciiTheme="majorBidi" w:hAnsiTheme="majorBidi" w:cstheme="majorBidi"/>
          <w:sz w:val="24"/>
          <w:szCs w:val="24"/>
        </w:rPr>
      </w:pPr>
      <w:r w:rsidRPr="00D60CA3">
        <w:rPr>
          <w:rFonts w:asciiTheme="majorBidi" w:hAnsiTheme="majorBidi" w:cstheme="majorBidi"/>
          <w:sz w:val="24"/>
          <w:szCs w:val="24"/>
        </w:rPr>
        <w:t xml:space="preserve">Phone: </w:t>
      </w:r>
      <w:r w:rsidR="00EC3B35" w:rsidRPr="00D60CA3">
        <w:rPr>
          <w:rFonts w:asciiTheme="majorBidi" w:hAnsiTheme="majorBidi" w:cstheme="majorBidi"/>
          <w:sz w:val="24"/>
          <w:szCs w:val="24"/>
        </w:rPr>
        <w:t xml:space="preserve"> (240) 453-8803</w:t>
      </w:r>
      <w:r w:rsidRPr="00D60CA3">
        <w:rPr>
          <w:rFonts w:asciiTheme="majorBidi" w:hAnsiTheme="majorBidi" w:cstheme="majorBidi"/>
          <w:sz w:val="24"/>
          <w:szCs w:val="24"/>
        </w:rPr>
        <w:tab/>
      </w:r>
      <w:r w:rsidRPr="00D60CA3">
        <w:rPr>
          <w:rFonts w:asciiTheme="majorBidi" w:hAnsiTheme="majorBidi" w:cstheme="majorBidi"/>
          <w:sz w:val="24"/>
          <w:szCs w:val="24"/>
        </w:rPr>
        <w:tab/>
      </w:r>
      <w:r w:rsidRPr="00D60CA3">
        <w:rPr>
          <w:rFonts w:asciiTheme="majorBidi" w:hAnsiTheme="majorBidi" w:cstheme="majorBidi"/>
          <w:sz w:val="24"/>
          <w:szCs w:val="24"/>
        </w:rPr>
        <w:tab/>
      </w:r>
      <w:r w:rsidRPr="00D60CA3">
        <w:rPr>
          <w:rFonts w:asciiTheme="majorBidi" w:hAnsiTheme="majorBidi" w:cstheme="majorBidi"/>
          <w:sz w:val="24"/>
          <w:szCs w:val="24"/>
        </w:rPr>
        <w:tab/>
      </w:r>
      <w:r w:rsidRPr="00D60CA3">
        <w:rPr>
          <w:rFonts w:asciiTheme="majorBidi" w:hAnsiTheme="majorBidi" w:cstheme="majorBidi"/>
          <w:sz w:val="24"/>
          <w:szCs w:val="24"/>
        </w:rPr>
        <w:tab/>
        <w:t>Fax:</w:t>
      </w:r>
      <w:r w:rsidR="00EC3B35" w:rsidRPr="00D60CA3">
        <w:rPr>
          <w:rFonts w:asciiTheme="majorBidi" w:hAnsiTheme="majorBidi" w:cstheme="majorBidi"/>
          <w:sz w:val="24"/>
          <w:szCs w:val="24"/>
        </w:rPr>
        <w:t xml:space="preserve"> (240) 453-8456</w:t>
      </w:r>
    </w:p>
    <w:p w:rsidR="00AB0059" w:rsidRDefault="00BF3DF5" w:rsidP="00BF3DF5">
      <w:pPr>
        <w:widowControl w:val="0"/>
        <w:adjustRightInd w:val="0"/>
        <w:snapToGrid w:val="0"/>
        <w:spacing w:after="0" w:line="240" w:lineRule="auto"/>
        <w:ind w:left="2880" w:firstLine="720"/>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063254">
          <w:rPr>
            <w:rStyle w:val="Hyperlink"/>
            <w:rFonts w:asciiTheme="majorBidi" w:hAnsiTheme="majorBidi" w:cstheme="majorBidi"/>
            <w:sz w:val="24"/>
            <w:szCs w:val="24"/>
          </w:rPr>
          <w:t>Richard.Henry@hhs.gov</w:t>
        </w:r>
      </w:hyperlink>
    </w:p>
    <w:p w:rsidR="00BF3DF5" w:rsidRPr="00D60CA3" w:rsidRDefault="00BF3DF5" w:rsidP="00BF3DF5">
      <w:pPr>
        <w:widowControl w:val="0"/>
        <w:adjustRightInd w:val="0"/>
        <w:snapToGrid w:val="0"/>
        <w:spacing w:after="0" w:line="240" w:lineRule="auto"/>
        <w:ind w:left="2880" w:firstLine="720"/>
        <w:rPr>
          <w:rFonts w:asciiTheme="majorBidi" w:hAnsiTheme="majorBidi" w:cstheme="majorBidi"/>
          <w:b/>
          <w:sz w:val="24"/>
          <w:szCs w:val="24"/>
        </w:rPr>
      </w:pPr>
    </w:p>
    <w:p w:rsidR="00AB0059" w:rsidRPr="00D60CA3" w:rsidRDefault="00AB0059" w:rsidP="00D60CA3">
      <w:pPr>
        <w:jc w:val="right"/>
        <w:rPr>
          <w:rFonts w:asciiTheme="majorBidi" w:hAnsiTheme="majorBidi" w:cstheme="majorBidi"/>
          <w:color w:val="0000FF"/>
          <w:sz w:val="24"/>
          <w:szCs w:val="24"/>
        </w:rPr>
      </w:pPr>
    </w:p>
    <w:p w:rsidR="00D60CA3" w:rsidRPr="00D60CA3" w:rsidRDefault="00D60CA3" w:rsidP="00D60CA3">
      <w:pPr>
        <w:jc w:val="right"/>
        <w:rPr>
          <w:rFonts w:asciiTheme="majorBidi" w:hAnsiTheme="majorBidi" w:cstheme="majorBidi"/>
          <w:color w:val="0000FF"/>
          <w:sz w:val="24"/>
          <w:szCs w:val="24"/>
        </w:rPr>
      </w:pPr>
    </w:p>
    <w:p w:rsidR="00D60CA3" w:rsidRPr="00D60CA3" w:rsidRDefault="00D60CA3" w:rsidP="00AB0059">
      <w:pPr>
        <w:jc w:val="right"/>
        <w:rPr>
          <w:rFonts w:asciiTheme="majorBidi" w:hAnsiTheme="majorBidi" w:cstheme="majorBidi"/>
          <w:color w:val="0000FF"/>
          <w:sz w:val="32"/>
          <w:szCs w:val="32"/>
        </w:rPr>
      </w:pPr>
    </w:p>
    <w:p w:rsidR="00AB0059" w:rsidRDefault="00AB0059">
      <w:pPr>
        <w:rPr>
          <w:rFonts w:asciiTheme="majorBidi" w:hAnsiTheme="majorBidi" w:cstheme="majorBidi"/>
          <w:b/>
        </w:rPr>
      </w:pPr>
    </w:p>
    <w:p w:rsidR="00D60CA3" w:rsidRDefault="00D60CA3">
      <w:pPr>
        <w:rPr>
          <w:rFonts w:asciiTheme="majorBidi" w:hAnsiTheme="majorBidi" w:cstheme="majorBidi"/>
          <w:b/>
        </w:rPr>
      </w:pPr>
    </w:p>
    <w:p w:rsidR="00EC4735" w:rsidRPr="00D60CA3" w:rsidRDefault="00EC4735">
      <w:pPr>
        <w:rPr>
          <w:rFonts w:asciiTheme="majorBidi" w:hAnsiTheme="majorBidi" w:cstheme="majorBidi"/>
          <w:b/>
        </w:rPr>
      </w:pPr>
    </w:p>
    <w:p w:rsidR="004B71ED" w:rsidRPr="0006480E" w:rsidRDefault="00E9345F" w:rsidP="004B71ED">
      <w:pPr>
        <w:autoSpaceDE w:val="0"/>
        <w:autoSpaceDN w:val="0"/>
        <w:adjustRightInd w:val="0"/>
        <w:spacing w:after="0" w:line="240" w:lineRule="auto"/>
        <w:rPr>
          <w:rFonts w:ascii="Arial" w:hAnsi="Arial" w:cs="Arial"/>
          <w:b/>
        </w:rPr>
      </w:pPr>
      <w:r>
        <w:rPr>
          <w:rFonts w:ascii="Arial" w:hAnsi="Arial" w:cs="Arial"/>
          <w:b/>
        </w:rPr>
        <w:t>B. Statistical Methods</w:t>
      </w:r>
    </w:p>
    <w:p w:rsidR="004B71ED" w:rsidRPr="0006480E" w:rsidRDefault="004B71ED" w:rsidP="004B71ED">
      <w:pPr>
        <w:autoSpaceDE w:val="0"/>
        <w:autoSpaceDN w:val="0"/>
        <w:adjustRightInd w:val="0"/>
        <w:spacing w:after="0" w:line="240" w:lineRule="auto"/>
        <w:rPr>
          <w:rFonts w:ascii="Arial" w:hAnsi="Arial" w:cs="Arial"/>
          <w:b/>
        </w:rPr>
      </w:pPr>
    </w:p>
    <w:p w:rsidR="004B71ED" w:rsidRPr="0006480E" w:rsidRDefault="004B71ED" w:rsidP="004B71ED">
      <w:pPr>
        <w:autoSpaceDE w:val="0"/>
        <w:autoSpaceDN w:val="0"/>
        <w:adjustRightInd w:val="0"/>
        <w:spacing w:after="0" w:line="240" w:lineRule="auto"/>
        <w:rPr>
          <w:rFonts w:ascii="Arial" w:hAnsi="Arial" w:cs="Arial"/>
        </w:rPr>
      </w:pPr>
    </w:p>
    <w:p w:rsidR="004B71ED" w:rsidRPr="00664F4F" w:rsidRDefault="00951C88" w:rsidP="00951C88">
      <w:pPr>
        <w:pStyle w:val="ListParagraph"/>
        <w:autoSpaceDE w:val="0"/>
        <w:autoSpaceDN w:val="0"/>
        <w:adjustRightInd w:val="0"/>
        <w:spacing w:after="0" w:line="240" w:lineRule="auto"/>
        <w:ind w:left="0"/>
        <w:rPr>
          <w:rFonts w:ascii="Arial" w:hAnsi="Arial" w:cs="Arial"/>
          <w:b/>
        </w:rPr>
      </w:pPr>
      <w:r>
        <w:rPr>
          <w:rFonts w:ascii="Arial" w:hAnsi="Arial" w:cs="Arial"/>
          <w:b/>
        </w:rPr>
        <w:t xml:space="preserve">B.1. </w:t>
      </w:r>
      <w:r w:rsidR="004B71ED" w:rsidRPr="00664F4F">
        <w:rPr>
          <w:rFonts w:ascii="Arial" w:hAnsi="Arial" w:cs="Arial"/>
          <w:b/>
        </w:rPr>
        <w:t>Respondent Universe and Sampling Methods</w:t>
      </w:r>
    </w:p>
    <w:p w:rsidR="00664F4F" w:rsidRPr="00E9345F" w:rsidRDefault="00664F4F" w:rsidP="00E9345F">
      <w:pPr>
        <w:autoSpaceDE w:val="0"/>
        <w:autoSpaceDN w:val="0"/>
        <w:adjustRightInd w:val="0"/>
        <w:spacing w:after="0" w:line="240" w:lineRule="auto"/>
        <w:ind w:left="360"/>
        <w:rPr>
          <w:rFonts w:ascii="Arial" w:hAnsi="Arial" w:cs="Arial"/>
          <w:b/>
        </w:rPr>
      </w:pPr>
    </w:p>
    <w:p w:rsidR="00F87ED6" w:rsidRDefault="00F87ED6" w:rsidP="000051BE">
      <w:pPr>
        <w:autoSpaceDE w:val="0"/>
        <w:autoSpaceDN w:val="0"/>
        <w:rPr>
          <w:rFonts w:asciiTheme="majorBidi" w:hAnsiTheme="majorBidi" w:cstheme="majorBidi"/>
          <w:sz w:val="24"/>
          <w:szCs w:val="24"/>
        </w:rPr>
      </w:pPr>
      <w:r>
        <w:rPr>
          <w:rFonts w:asciiTheme="majorBidi" w:hAnsiTheme="majorBidi" w:cstheme="majorBidi"/>
          <w:sz w:val="24"/>
          <w:szCs w:val="24"/>
        </w:rPr>
        <w:t xml:space="preserve">With guidance from the project/s Working Group, RTI decided to select a purposeful sample of OPOs to participate in TODES.  RTI selected </w:t>
      </w:r>
      <w:r w:rsidR="004E004E" w:rsidRPr="001B78D3">
        <w:rPr>
          <w:rFonts w:asciiTheme="majorBidi" w:hAnsiTheme="majorBidi" w:cstheme="majorBidi"/>
          <w:sz w:val="24"/>
          <w:szCs w:val="24"/>
        </w:rPr>
        <w:t xml:space="preserve">Twenty-four </w:t>
      </w:r>
      <w:r w:rsidR="007D478A">
        <w:rPr>
          <w:rFonts w:asciiTheme="majorBidi" w:hAnsiTheme="majorBidi" w:cstheme="majorBidi"/>
          <w:sz w:val="24"/>
          <w:szCs w:val="24"/>
        </w:rPr>
        <w:t xml:space="preserve">(24) </w:t>
      </w:r>
      <w:r w:rsidR="00D2015C">
        <w:rPr>
          <w:rFonts w:asciiTheme="majorBidi" w:hAnsiTheme="majorBidi" w:cstheme="majorBidi"/>
          <w:sz w:val="24"/>
          <w:szCs w:val="24"/>
        </w:rPr>
        <w:t>Organ Procurement Organizations (</w:t>
      </w:r>
      <w:r w:rsidR="004E004E" w:rsidRPr="001B78D3">
        <w:rPr>
          <w:rFonts w:asciiTheme="majorBidi" w:hAnsiTheme="majorBidi" w:cstheme="majorBidi"/>
          <w:sz w:val="24"/>
          <w:szCs w:val="24"/>
        </w:rPr>
        <w:t>OPO</w:t>
      </w:r>
      <w:r w:rsidR="00D2015C">
        <w:rPr>
          <w:rFonts w:asciiTheme="majorBidi" w:hAnsiTheme="majorBidi" w:cstheme="majorBidi"/>
          <w:sz w:val="24"/>
          <w:szCs w:val="24"/>
        </w:rPr>
        <w:t>s)</w:t>
      </w:r>
      <w:r w:rsidR="004E004E" w:rsidRPr="001B78D3">
        <w:rPr>
          <w:rFonts w:asciiTheme="majorBidi" w:hAnsiTheme="majorBidi" w:cstheme="majorBidi"/>
          <w:sz w:val="24"/>
          <w:szCs w:val="24"/>
        </w:rPr>
        <w:t xml:space="preserve"> and </w:t>
      </w:r>
      <w:r w:rsidR="000051BE">
        <w:rPr>
          <w:rFonts w:asciiTheme="majorBidi" w:hAnsiTheme="majorBidi" w:cstheme="majorBidi"/>
          <w:sz w:val="24"/>
          <w:szCs w:val="24"/>
        </w:rPr>
        <w:t>e</w:t>
      </w:r>
      <w:r w:rsidR="004E004E" w:rsidRPr="001B78D3">
        <w:rPr>
          <w:rFonts w:asciiTheme="majorBidi" w:hAnsiTheme="majorBidi" w:cstheme="majorBidi"/>
          <w:sz w:val="24"/>
          <w:szCs w:val="24"/>
        </w:rPr>
        <w:t xml:space="preserve">ye </w:t>
      </w:r>
      <w:r w:rsidR="000051BE">
        <w:rPr>
          <w:rFonts w:asciiTheme="majorBidi" w:hAnsiTheme="majorBidi" w:cstheme="majorBidi"/>
          <w:sz w:val="24"/>
          <w:szCs w:val="24"/>
        </w:rPr>
        <w:t>b</w:t>
      </w:r>
      <w:r w:rsidR="004E004E" w:rsidRPr="001B78D3">
        <w:rPr>
          <w:rFonts w:asciiTheme="majorBidi" w:hAnsiTheme="majorBidi" w:cstheme="majorBidi"/>
          <w:sz w:val="24"/>
          <w:szCs w:val="24"/>
        </w:rPr>
        <w:t xml:space="preserve">anks </w:t>
      </w:r>
      <w:r>
        <w:rPr>
          <w:rFonts w:asciiTheme="majorBidi" w:hAnsiTheme="majorBidi" w:cstheme="majorBidi"/>
          <w:sz w:val="24"/>
          <w:szCs w:val="24"/>
        </w:rPr>
        <w:t xml:space="preserve">with a mix of donation volume and geography to represent areas with higher and lower rates of the infectious disease markers of interest and included at least one OPO from each of the 11 Organ Procurement Transplantation Network (OPTN) –defined regions.  The U.S. is divided into these regions to facilitate communication and transparency of policy development related to organ procurement and transplantation. The population of the total catchment areas for the OPOs invited to participate in TODES is greater than 150 million which represents about 50% of the U.S. population. RTI also worked with the American Association of Tissue Banks (AATB) to develop a strategy for soliciting participation by tissue banks. After discussion with several of the large tissue processors, it was determined that the most efficient method for collection of data from tissue donors is to target the same OPOs that plan to provide organ data which represents about 50% of all tissue donors recovered.  </w:t>
      </w:r>
    </w:p>
    <w:p w:rsidR="00F87ED6" w:rsidRDefault="00F87ED6" w:rsidP="00F87ED6">
      <w:pPr>
        <w:autoSpaceDE w:val="0"/>
        <w:autoSpaceDN w:val="0"/>
        <w:rPr>
          <w:rFonts w:asciiTheme="majorBidi" w:hAnsiTheme="majorBidi" w:cstheme="majorBidi"/>
          <w:sz w:val="24"/>
          <w:szCs w:val="24"/>
        </w:rPr>
      </w:pPr>
      <w:r>
        <w:rPr>
          <w:rFonts w:asciiTheme="majorBidi" w:hAnsiTheme="majorBidi" w:cstheme="majorBidi"/>
          <w:sz w:val="24"/>
          <w:szCs w:val="24"/>
        </w:rPr>
        <w:t>For ocular donors, RTI worked with the Eye Bank Association of America (EBAA) to identify the seven eye banks with the highest volume of donors. These eye banks are included in the TODES Participation Plan of 24 facilities. RTI will be able to determine reliability by comparing the study results from the eye banks with reports produced by the EBAA for the years represented in the study: 2009-2013.</w:t>
      </w:r>
    </w:p>
    <w:p w:rsidR="00F87ED6" w:rsidRDefault="00F87ED6" w:rsidP="00F87ED6">
      <w:pPr>
        <w:autoSpaceDE w:val="0"/>
        <w:autoSpaceDN w:val="0"/>
        <w:rPr>
          <w:rFonts w:asciiTheme="majorBidi" w:hAnsiTheme="majorBidi" w:cstheme="majorBidi"/>
          <w:sz w:val="24"/>
          <w:szCs w:val="24"/>
        </w:rPr>
      </w:pPr>
      <w:r>
        <w:rPr>
          <w:rFonts w:asciiTheme="majorBidi" w:hAnsiTheme="majorBidi" w:cstheme="majorBidi"/>
          <w:sz w:val="24"/>
          <w:szCs w:val="24"/>
        </w:rPr>
        <w:t>RTI will obtain data directly from the United Network for Organ Sharing (UNOS) and invite the targeted OPOs and eye banks to participate in TODES by extracting and providing non-identifying donor-specific retrospective data from their donor records for calendar years 2009-2013. RTI had held initial communications with the 24 donor facilities to describe TODES.  We do not expect all of them to participate. There may be donor facilities that do not participate and RTI may obtain data from another donor facility as a replacement. It is expected that 24 facilities, total, will participate in TODES.</w:t>
      </w:r>
    </w:p>
    <w:p w:rsidR="004E004E" w:rsidRPr="001B78D3" w:rsidRDefault="00F87ED6" w:rsidP="00E77C20">
      <w:pPr>
        <w:autoSpaceDE w:val="0"/>
        <w:autoSpaceDN w:val="0"/>
        <w:rPr>
          <w:rFonts w:asciiTheme="majorBidi" w:hAnsiTheme="majorBidi" w:cstheme="majorBidi"/>
          <w:sz w:val="24"/>
          <w:szCs w:val="24"/>
        </w:rPr>
      </w:pPr>
      <w:r>
        <w:rPr>
          <w:rFonts w:asciiTheme="majorBidi" w:hAnsiTheme="majorBidi" w:cstheme="majorBidi"/>
          <w:sz w:val="24"/>
          <w:szCs w:val="24"/>
        </w:rPr>
        <w:t>Specifically, the</w:t>
      </w:r>
      <w:r w:rsidR="009E7610">
        <w:rPr>
          <w:rFonts w:asciiTheme="majorBidi" w:hAnsiTheme="majorBidi" w:cstheme="majorBidi"/>
          <w:sz w:val="24"/>
          <w:szCs w:val="24"/>
        </w:rPr>
        <w:t xml:space="preserve"> 24 facilities </w:t>
      </w:r>
      <w:r w:rsidR="004E004E" w:rsidRPr="001B78D3">
        <w:rPr>
          <w:rFonts w:asciiTheme="majorBidi" w:hAnsiTheme="majorBidi" w:cstheme="majorBidi"/>
          <w:sz w:val="24"/>
          <w:szCs w:val="24"/>
        </w:rPr>
        <w:t>have been recruited to provide demographic, organ, tissue, and eye donation information as well as infectious disease test results f</w:t>
      </w:r>
      <w:r w:rsidR="00D2015C">
        <w:rPr>
          <w:rFonts w:asciiTheme="majorBidi" w:hAnsiTheme="majorBidi" w:cstheme="majorBidi"/>
          <w:sz w:val="24"/>
          <w:szCs w:val="24"/>
        </w:rPr>
        <w:t>or</w:t>
      </w:r>
      <w:r w:rsidR="004E004E" w:rsidRPr="001B78D3">
        <w:rPr>
          <w:rFonts w:asciiTheme="majorBidi" w:hAnsiTheme="majorBidi" w:cstheme="majorBidi"/>
          <w:sz w:val="24"/>
          <w:szCs w:val="24"/>
        </w:rPr>
        <w:t xml:space="preserve"> deceased donors</w:t>
      </w:r>
      <w:r w:rsidR="000021B5" w:rsidRPr="001B78D3">
        <w:rPr>
          <w:rFonts w:asciiTheme="majorBidi" w:hAnsiTheme="majorBidi" w:cstheme="majorBidi"/>
          <w:sz w:val="24"/>
          <w:szCs w:val="24"/>
        </w:rPr>
        <w:t xml:space="preserve"> </w:t>
      </w:r>
      <w:r w:rsidR="00D2015C">
        <w:rPr>
          <w:rFonts w:asciiTheme="majorBidi" w:hAnsiTheme="majorBidi" w:cstheme="majorBidi"/>
          <w:sz w:val="24"/>
          <w:szCs w:val="24"/>
        </w:rPr>
        <w:t xml:space="preserve">and referrals </w:t>
      </w:r>
      <w:r w:rsidR="000021B5" w:rsidRPr="001B78D3">
        <w:rPr>
          <w:rFonts w:asciiTheme="majorBidi" w:hAnsiTheme="majorBidi" w:cstheme="majorBidi"/>
          <w:sz w:val="24"/>
          <w:szCs w:val="24"/>
        </w:rPr>
        <w:t>entered into the organizational databases between 2009 and 2013</w:t>
      </w:r>
      <w:r w:rsidR="00E77C20">
        <w:rPr>
          <w:rFonts w:asciiTheme="majorBidi" w:hAnsiTheme="majorBidi" w:cstheme="majorBidi"/>
          <w:sz w:val="24"/>
          <w:szCs w:val="24"/>
        </w:rPr>
        <w:t xml:space="preserve">. </w:t>
      </w:r>
      <w:r w:rsidR="00D2015C">
        <w:rPr>
          <w:rFonts w:asciiTheme="majorBidi" w:hAnsiTheme="majorBidi" w:cstheme="majorBidi"/>
          <w:sz w:val="24"/>
          <w:szCs w:val="24"/>
        </w:rPr>
        <w:t>TODES</w:t>
      </w:r>
      <w:r w:rsidR="000051BE">
        <w:rPr>
          <w:rFonts w:asciiTheme="majorBidi" w:hAnsiTheme="majorBidi" w:cstheme="majorBidi"/>
          <w:sz w:val="24"/>
          <w:szCs w:val="24"/>
        </w:rPr>
        <w:t xml:space="preserve"> requires participating </w:t>
      </w:r>
      <w:r w:rsidR="004E004E" w:rsidRPr="001B78D3">
        <w:rPr>
          <w:rFonts w:asciiTheme="majorBidi" w:hAnsiTheme="majorBidi" w:cstheme="majorBidi"/>
          <w:sz w:val="24"/>
          <w:szCs w:val="24"/>
        </w:rPr>
        <w:t xml:space="preserve">organizations </w:t>
      </w:r>
      <w:r w:rsidR="000051BE">
        <w:rPr>
          <w:rFonts w:asciiTheme="majorBidi" w:hAnsiTheme="majorBidi" w:cstheme="majorBidi"/>
          <w:sz w:val="24"/>
          <w:szCs w:val="24"/>
        </w:rPr>
        <w:t xml:space="preserve">to </w:t>
      </w:r>
      <w:r w:rsidR="004E004E" w:rsidRPr="00A57C57">
        <w:rPr>
          <w:rFonts w:ascii="Times New Roman" w:hAnsi="Times New Roman" w:cs="Times New Roman"/>
          <w:sz w:val="24"/>
          <w:szCs w:val="24"/>
        </w:rPr>
        <w:t xml:space="preserve">extract </w:t>
      </w:r>
      <w:r w:rsidR="00A57C57" w:rsidRPr="00A57C57">
        <w:rPr>
          <w:rFonts w:ascii="Times New Roman" w:hAnsi="Times New Roman" w:cs="Times New Roman"/>
          <w:sz w:val="24"/>
          <w:szCs w:val="24"/>
        </w:rPr>
        <w:t>the relevant data from their existing records</w:t>
      </w:r>
      <w:r w:rsidR="00A57C57" w:rsidRPr="00A57C57" w:rsidDel="00A57C57">
        <w:rPr>
          <w:rFonts w:asciiTheme="majorBidi" w:hAnsiTheme="majorBidi" w:cstheme="majorBidi"/>
          <w:sz w:val="24"/>
          <w:szCs w:val="24"/>
        </w:rPr>
        <w:t xml:space="preserve"> </w:t>
      </w:r>
      <w:r w:rsidR="004E004E" w:rsidRPr="001B78D3">
        <w:rPr>
          <w:rFonts w:asciiTheme="majorBidi" w:hAnsiTheme="majorBidi" w:cstheme="majorBidi"/>
          <w:sz w:val="24"/>
          <w:szCs w:val="24"/>
        </w:rPr>
        <w:t>of deceased donors</w:t>
      </w:r>
      <w:r w:rsidR="000051BE">
        <w:rPr>
          <w:rFonts w:asciiTheme="majorBidi" w:hAnsiTheme="majorBidi" w:cstheme="majorBidi"/>
          <w:sz w:val="24"/>
          <w:szCs w:val="24"/>
        </w:rPr>
        <w:t xml:space="preserve"> and potential donors (referrals).</w:t>
      </w:r>
      <w:r w:rsidR="004E004E" w:rsidRPr="001B78D3">
        <w:rPr>
          <w:rFonts w:asciiTheme="majorBidi" w:hAnsiTheme="majorBidi" w:cstheme="majorBidi"/>
          <w:sz w:val="24"/>
          <w:szCs w:val="24"/>
        </w:rPr>
        <w:t xml:space="preserve"> </w:t>
      </w:r>
      <w:r w:rsidR="000051BE">
        <w:rPr>
          <w:rFonts w:asciiTheme="majorBidi" w:hAnsiTheme="majorBidi" w:cstheme="majorBidi"/>
          <w:sz w:val="24"/>
          <w:szCs w:val="24"/>
        </w:rPr>
        <w:t xml:space="preserve"> Therefore, </w:t>
      </w:r>
      <w:r w:rsidR="004E004E" w:rsidRPr="001B78D3">
        <w:rPr>
          <w:rFonts w:asciiTheme="majorBidi" w:hAnsiTheme="majorBidi" w:cstheme="majorBidi"/>
          <w:sz w:val="24"/>
          <w:szCs w:val="24"/>
        </w:rPr>
        <w:t>the burden will rest on the participating organization</w:t>
      </w:r>
      <w:r w:rsidR="000051BE">
        <w:rPr>
          <w:rFonts w:asciiTheme="majorBidi" w:hAnsiTheme="majorBidi" w:cstheme="majorBidi"/>
          <w:sz w:val="24"/>
          <w:szCs w:val="24"/>
        </w:rPr>
        <w:t>s</w:t>
      </w:r>
      <w:r w:rsidR="004E004E" w:rsidRPr="001B78D3">
        <w:rPr>
          <w:rFonts w:asciiTheme="majorBidi" w:hAnsiTheme="majorBidi" w:cstheme="majorBidi"/>
          <w:sz w:val="24"/>
          <w:szCs w:val="24"/>
        </w:rPr>
        <w:t xml:space="preserve"> and not individual</w:t>
      </w:r>
      <w:r w:rsidR="000051BE">
        <w:rPr>
          <w:rFonts w:asciiTheme="majorBidi" w:hAnsiTheme="majorBidi" w:cstheme="majorBidi"/>
          <w:sz w:val="24"/>
          <w:szCs w:val="24"/>
        </w:rPr>
        <w:t xml:space="preserve"> members of the public</w:t>
      </w:r>
      <w:r w:rsidR="004E004E" w:rsidRPr="001B78D3">
        <w:rPr>
          <w:rFonts w:asciiTheme="majorBidi" w:hAnsiTheme="majorBidi" w:cstheme="majorBidi"/>
          <w:sz w:val="24"/>
          <w:szCs w:val="24"/>
        </w:rPr>
        <w:t xml:space="preserve"> associated with </w:t>
      </w:r>
      <w:r w:rsidR="000051BE">
        <w:rPr>
          <w:rFonts w:asciiTheme="majorBidi" w:hAnsiTheme="majorBidi" w:cstheme="majorBidi"/>
          <w:sz w:val="24"/>
          <w:szCs w:val="24"/>
        </w:rPr>
        <w:t xml:space="preserve">the </w:t>
      </w:r>
      <w:r w:rsidR="004E004E" w:rsidRPr="001B78D3">
        <w:rPr>
          <w:rFonts w:asciiTheme="majorBidi" w:hAnsiTheme="majorBidi" w:cstheme="majorBidi"/>
          <w:sz w:val="24"/>
          <w:szCs w:val="24"/>
        </w:rPr>
        <w:t xml:space="preserve">data.  </w:t>
      </w:r>
      <w:r w:rsidR="000051BE">
        <w:rPr>
          <w:rFonts w:asciiTheme="majorBidi" w:hAnsiTheme="majorBidi" w:cstheme="majorBidi"/>
          <w:sz w:val="24"/>
          <w:szCs w:val="24"/>
        </w:rPr>
        <w:t xml:space="preserve">It is important to note that </w:t>
      </w:r>
      <w:r w:rsidR="004E004E" w:rsidRPr="001B78D3">
        <w:rPr>
          <w:rFonts w:asciiTheme="majorBidi" w:hAnsiTheme="majorBidi" w:cstheme="majorBidi"/>
          <w:sz w:val="24"/>
          <w:szCs w:val="24"/>
        </w:rPr>
        <w:t xml:space="preserve">although the basic unit of analysis is a donor, the basic unit of study participation is the </w:t>
      </w:r>
      <w:r w:rsidR="000051BE">
        <w:rPr>
          <w:rFonts w:asciiTheme="majorBidi" w:hAnsiTheme="majorBidi" w:cstheme="majorBidi"/>
          <w:sz w:val="24"/>
          <w:szCs w:val="24"/>
        </w:rPr>
        <w:t>responding organ procurement</w:t>
      </w:r>
      <w:r w:rsidR="004E004E" w:rsidRPr="001B78D3">
        <w:rPr>
          <w:rFonts w:asciiTheme="majorBidi" w:hAnsiTheme="majorBidi" w:cstheme="majorBidi"/>
          <w:sz w:val="24"/>
          <w:szCs w:val="24"/>
        </w:rPr>
        <w:t xml:space="preserve"> or eye </w:t>
      </w:r>
      <w:r w:rsidR="000051BE">
        <w:rPr>
          <w:rFonts w:asciiTheme="majorBidi" w:hAnsiTheme="majorBidi" w:cstheme="majorBidi"/>
          <w:sz w:val="24"/>
          <w:szCs w:val="24"/>
        </w:rPr>
        <w:t>bank organization.  It is estimate</w:t>
      </w:r>
      <w:r w:rsidR="004E004E" w:rsidRPr="001B78D3">
        <w:rPr>
          <w:rFonts w:asciiTheme="majorBidi" w:hAnsiTheme="majorBidi" w:cstheme="majorBidi"/>
          <w:sz w:val="24"/>
          <w:szCs w:val="24"/>
        </w:rPr>
        <w:t xml:space="preserve">d that each participating </w:t>
      </w:r>
      <w:r w:rsidR="004E004E" w:rsidRPr="001B78D3">
        <w:rPr>
          <w:rFonts w:asciiTheme="majorBidi" w:hAnsiTheme="majorBidi" w:cstheme="majorBidi"/>
          <w:sz w:val="24"/>
          <w:szCs w:val="24"/>
        </w:rPr>
        <w:lastRenderedPageBreak/>
        <w:t>organization will contribute</w:t>
      </w:r>
      <w:r w:rsidR="000051BE">
        <w:rPr>
          <w:rFonts w:asciiTheme="majorBidi" w:hAnsiTheme="majorBidi" w:cstheme="majorBidi"/>
          <w:sz w:val="24"/>
          <w:szCs w:val="24"/>
        </w:rPr>
        <w:t>,</w:t>
      </w:r>
      <w:r w:rsidR="004E004E" w:rsidRPr="001B78D3">
        <w:rPr>
          <w:rFonts w:asciiTheme="majorBidi" w:hAnsiTheme="majorBidi" w:cstheme="majorBidi"/>
          <w:sz w:val="24"/>
          <w:szCs w:val="24"/>
        </w:rPr>
        <w:t xml:space="preserve"> on average</w:t>
      </w:r>
      <w:r w:rsidR="000051BE">
        <w:rPr>
          <w:rFonts w:asciiTheme="majorBidi" w:hAnsiTheme="majorBidi" w:cstheme="majorBidi"/>
          <w:sz w:val="24"/>
          <w:szCs w:val="24"/>
        </w:rPr>
        <w:t>,</w:t>
      </w:r>
      <w:r w:rsidR="004E004E" w:rsidRPr="001B78D3">
        <w:rPr>
          <w:rFonts w:asciiTheme="majorBidi" w:hAnsiTheme="majorBidi" w:cstheme="majorBidi"/>
          <w:sz w:val="24"/>
          <w:szCs w:val="24"/>
        </w:rPr>
        <w:t xml:space="preserve"> 1000 records </w:t>
      </w:r>
      <w:r w:rsidR="000051BE">
        <w:rPr>
          <w:rFonts w:asciiTheme="majorBidi" w:hAnsiTheme="majorBidi" w:cstheme="majorBidi"/>
          <w:sz w:val="24"/>
          <w:szCs w:val="24"/>
        </w:rPr>
        <w:t xml:space="preserve">per year </w:t>
      </w:r>
      <w:r w:rsidR="004E004E" w:rsidRPr="001B78D3">
        <w:rPr>
          <w:rFonts w:asciiTheme="majorBidi" w:hAnsiTheme="majorBidi" w:cstheme="majorBidi"/>
          <w:sz w:val="24"/>
          <w:szCs w:val="24"/>
        </w:rPr>
        <w:t xml:space="preserve">from authorized donors </w:t>
      </w:r>
      <w:r w:rsidR="000051BE">
        <w:rPr>
          <w:rFonts w:asciiTheme="majorBidi" w:hAnsiTheme="majorBidi" w:cstheme="majorBidi"/>
          <w:sz w:val="24"/>
          <w:szCs w:val="24"/>
        </w:rPr>
        <w:t xml:space="preserve">and referrals </w:t>
      </w:r>
      <w:r w:rsidR="004E004E" w:rsidRPr="001B78D3">
        <w:rPr>
          <w:rFonts w:asciiTheme="majorBidi" w:hAnsiTheme="majorBidi" w:cstheme="majorBidi"/>
          <w:sz w:val="24"/>
          <w:szCs w:val="24"/>
        </w:rPr>
        <w:t xml:space="preserve">with </w:t>
      </w:r>
      <w:r w:rsidR="000051BE">
        <w:rPr>
          <w:rFonts w:asciiTheme="majorBidi" w:hAnsiTheme="majorBidi" w:cstheme="majorBidi"/>
          <w:sz w:val="24"/>
          <w:szCs w:val="24"/>
        </w:rPr>
        <w:t xml:space="preserve">infectious disease test </w:t>
      </w:r>
      <w:r w:rsidR="004E004E" w:rsidRPr="001B78D3">
        <w:rPr>
          <w:rFonts w:asciiTheme="majorBidi" w:hAnsiTheme="majorBidi" w:cstheme="majorBidi"/>
          <w:sz w:val="24"/>
          <w:szCs w:val="24"/>
        </w:rPr>
        <w:t xml:space="preserve">results.  </w:t>
      </w:r>
    </w:p>
    <w:p w:rsidR="004E004E" w:rsidRDefault="004E004E" w:rsidP="00B110B9">
      <w:pPr>
        <w:autoSpaceDE w:val="0"/>
        <w:autoSpaceDN w:val="0"/>
        <w:rPr>
          <w:rFonts w:asciiTheme="majorBidi" w:hAnsiTheme="majorBidi" w:cstheme="majorBidi"/>
          <w:sz w:val="24"/>
          <w:szCs w:val="24"/>
        </w:rPr>
      </w:pPr>
      <w:r w:rsidRPr="001B78D3">
        <w:rPr>
          <w:rFonts w:asciiTheme="majorBidi" w:hAnsiTheme="majorBidi" w:cstheme="majorBidi"/>
          <w:sz w:val="24"/>
          <w:szCs w:val="24"/>
        </w:rPr>
        <w:t xml:space="preserve">As this is not a survey, but an early investigation into </w:t>
      </w:r>
      <w:r w:rsidR="00B110B9">
        <w:rPr>
          <w:rFonts w:asciiTheme="majorBidi" w:hAnsiTheme="majorBidi" w:cstheme="majorBidi"/>
          <w:sz w:val="24"/>
          <w:szCs w:val="24"/>
        </w:rPr>
        <w:t xml:space="preserve">infection rates in </w:t>
      </w:r>
      <w:r w:rsidRPr="001B78D3">
        <w:rPr>
          <w:rFonts w:asciiTheme="majorBidi" w:hAnsiTheme="majorBidi" w:cstheme="majorBidi"/>
          <w:sz w:val="24"/>
          <w:szCs w:val="24"/>
        </w:rPr>
        <w:t>a</w:t>
      </w:r>
      <w:r w:rsidR="000021B5" w:rsidRPr="001B78D3">
        <w:rPr>
          <w:rFonts w:asciiTheme="majorBidi" w:hAnsiTheme="majorBidi" w:cstheme="majorBidi"/>
          <w:sz w:val="24"/>
          <w:szCs w:val="24"/>
        </w:rPr>
        <w:t xml:space="preserve"> </w:t>
      </w:r>
      <w:r w:rsidR="00B110B9">
        <w:rPr>
          <w:rFonts w:asciiTheme="majorBidi" w:hAnsiTheme="majorBidi" w:cstheme="majorBidi"/>
          <w:sz w:val="24"/>
          <w:szCs w:val="24"/>
        </w:rPr>
        <w:t>poorly-</w:t>
      </w:r>
      <w:r w:rsidR="000021B5" w:rsidRPr="001B78D3">
        <w:rPr>
          <w:rFonts w:asciiTheme="majorBidi" w:hAnsiTheme="majorBidi" w:cstheme="majorBidi"/>
          <w:sz w:val="24"/>
          <w:szCs w:val="24"/>
        </w:rPr>
        <w:t xml:space="preserve">studied population, sample size and </w:t>
      </w:r>
      <w:r w:rsidRPr="001B78D3">
        <w:rPr>
          <w:rFonts w:asciiTheme="majorBidi" w:hAnsiTheme="majorBidi" w:cstheme="majorBidi"/>
          <w:sz w:val="24"/>
          <w:szCs w:val="24"/>
        </w:rPr>
        <w:t>p</w:t>
      </w:r>
      <w:r w:rsidR="000021B5" w:rsidRPr="001B78D3">
        <w:rPr>
          <w:rFonts w:asciiTheme="majorBidi" w:hAnsiTheme="majorBidi" w:cstheme="majorBidi"/>
          <w:sz w:val="24"/>
          <w:szCs w:val="24"/>
        </w:rPr>
        <w:t>ower calculations for a priori hypothes</w:t>
      </w:r>
      <w:r w:rsidR="00B110B9">
        <w:rPr>
          <w:rFonts w:asciiTheme="majorBidi" w:hAnsiTheme="majorBidi" w:cstheme="majorBidi"/>
          <w:sz w:val="24"/>
          <w:szCs w:val="24"/>
        </w:rPr>
        <w:t xml:space="preserve">is testing is less of a concern. </w:t>
      </w:r>
      <w:r w:rsidR="000021B5" w:rsidRPr="001B78D3">
        <w:rPr>
          <w:rFonts w:asciiTheme="majorBidi" w:hAnsiTheme="majorBidi" w:cstheme="majorBidi"/>
          <w:sz w:val="24"/>
          <w:szCs w:val="24"/>
        </w:rPr>
        <w:t xml:space="preserve"> </w:t>
      </w:r>
      <w:r w:rsidR="00B110B9">
        <w:rPr>
          <w:rFonts w:asciiTheme="majorBidi" w:hAnsiTheme="majorBidi" w:cstheme="majorBidi"/>
          <w:sz w:val="24"/>
          <w:szCs w:val="24"/>
        </w:rPr>
        <w:t>H</w:t>
      </w:r>
      <w:r w:rsidR="000021B5" w:rsidRPr="001B78D3">
        <w:rPr>
          <w:rFonts w:asciiTheme="majorBidi" w:hAnsiTheme="majorBidi" w:cstheme="majorBidi"/>
          <w:sz w:val="24"/>
          <w:szCs w:val="24"/>
        </w:rPr>
        <w:t xml:space="preserve">owever, </w:t>
      </w:r>
      <w:r w:rsidR="0015233E" w:rsidRPr="001B78D3">
        <w:rPr>
          <w:rFonts w:asciiTheme="majorBidi" w:hAnsiTheme="majorBidi" w:cstheme="majorBidi"/>
          <w:sz w:val="24"/>
          <w:szCs w:val="24"/>
        </w:rPr>
        <w:t>with each organization submitting</w:t>
      </w:r>
      <w:r w:rsidR="00B110B9">
        <w:rPr>
          <w:rFonts w:asciiTheme="majorBidi" w:hAnsiTheme="majorBidi" w:cstheme="majorBidi"/>
          <w:sz w:val="24"/>
          <w:szCs w:val="24"/>
        </w:rPr>
        <w:t>,</w:t>
      </w:r>
      <w:r w:rsidR="0015233E" w:rsidRPr="001B78D3">
        <w:rPr>
          <w:rFonts w:asciiTheme="majorBidi" w:hAnsiTheme="majorBidi" w:cstheme="majorBidi"/>
          <w:sz w:val="24"/>
          <w:szCs w:val="24"/>
        </w:rPr>
        <w:t xml:space="preserve"> on average</w:t>
      </w:r>
      <w:r w:rsidR="00B110B9">
        <w:rPr>
          <w:rFonts w:asciiTheme="majorBidi" w:hAnsiTheme="majorBidi" w:cstheme="majorBidi"/>
          <w:sz w:val="24"/>
          <w:szCs w:val="24"/>
        </w:rPr>
        <w:t>,</w:t>
      </w:r>
      <w:r w:rsidR="0015233E" w:rsidRPr="001B78D3">
        <w:rPr>
          <w:rFonts w:asciiTheme="majorBidi" w:hAnsiTheme="majorBidi" w:cstheme="majorBidi"/>
          <w:sz w:val="24"/>
          <w:szCs w:val="24"/>
        </w:rPr>
        <w:t xml:space="preserve"> </w:t>
      </w:r>
      <w:r w:rsidR="00B110B9">
        <w:rPr>
          <w:rFonts w:asciiTheme="majorBidi" w:hAnsiTheme="majorBidi" w:cstheme="majorBidi"/>
          <w:sz w:val="24"/>
          <w:szCs w:val="24"/>
        </w:rPr>
        <w:t>5</w:t>
      </w:r>
      <w:r w:rsidR="0015233E" w:rsidRPr="001B78D3">
        <w:rPr>
          <w:rFonts w:asciiTheme="majorBidi" w:hAnsiTheme="majorBidi" w:cstheme="majorBidi"/>
          <w:sz w:val="24"/>
          <w:szCs w:val="24"/>
        </w:rPr>
        <w:t>000 records</w:t>
      </w:r>
      <w:r w:rsidR="00B110B9">
        <w:rPr>
          <w:rFonts w:asciiTheme="majorBidi" w:hAnsiTheme="majorBidi" w:cstheme="majorBidi"/>
          <w:sz w:val="24"/>
          <w:szCs w:val="24"/>
        </w:rPr>
        <w:t>,</w:t>
      </w:r>
      <w:r w:rsidR="0015233E" w:rsidRPr="001B78D3">
        <w:rPr>
          <w:rFonts w:asciiTheme="majorBidi" w:hAnsiTheme="majorBidi" w:cstheme="majorBidi"/>
          <w:sz w:val="24"/>
          <w:szCs w:val="24"/>
        </w:rPr>
        <w:t xml:space="preserve"> we expect the aggregate </w:t>
      </w:r>
      <w:r w:rsidR="00B110B9">
        <w:rPr>
          <w:rFonts w:asciiTheme="majorBidi" w:hAnsiTheme="majorBidi" w:cstheme="majorBidi"/>
          <w:sz w:val="24"/>
          <w:szCs w:val="24"/>
        </w:rPr>
        <w:t xml:space="preserve">study </w:t>
      </w:r>
      <w:r w:rsidR="0015233E" w:rsidRPr="001B78D3">
        <w:rPr>
          <w:rFonts w:asciiTheme="majorBidi" w:hAnsiTheme="majorBidi" w:cstheme="majorBidi"/>
          <w:sz w:val="24"/>
          <w:szCs w:val="24"/>
        </w:rPr>
        <w:t xml:space="preserve">database to contain between 200 and </w:t>
      </w:r>
      <w:r w:rsidR="00B110B9">
        <w:rPr>
          <w:rFonts w:asciiTheme="majorBidi" w:hAnsiTheme="majorBidi" w:cstheme="majorBidi"/>
          <w:sz w:val="24"/>
          <w:szCs w:val="24"/>
        </w:rPr>
        <w:t>1</w:t>
      </w:r>
      <w:r w:rsidR="0015233E" w:rsidRPr="001B78D3">
        <w:rPr>
          <w:rFonts w:asciiTheme="majorBidi" w:hAnsiTheme="majorBidi" w:cstheme="majorBidi"/>
          <w:sz w:val="24"/>
          <w:szCs w:val="24"/>
        </w:rPr>
        <w:t>2</w:t>
      </w:r>
      <w:r w:rsidR="00B110B9">
        <w:rPr>
          <w:rFonts w:asciiTheme="majorBidi" w:hAnsiTheme="majorBidi" w:cstheme="majorBidi"/>
          <w:sz w:val="24"/>
          <w:szCs w:val="24"/>
        </w:rPr>
        <w:t>0</w:t>
      </w:r>
      <w:r w:rsidR="0015233E" w:rsidRPr="001B78D3">
        <w:rPr>
          <w:rFonts w:asciiTheme="majorBidi" w:hAnsiTheme="majorBidi" w:cstheme="majorBidi"/>
          <w:sz w:val="24"/>
          <w:szCs w:val="24"/>
        </w:rPr>
        <w:t xml:space="preserve">,000 records </w:t>
      </w:r>
      <w:r w:rsidR="00B110B9">
        <w:rPr>
          <w:rFonts w:asciiTheme="majorBidi" w:hAnsiTheme="majorBidi" w:cstheme="majorBidi"/>
          <w:sz w:val="24"/>
          <w:szCs w:val="24"/>
        </w:rPr>
        <w:t>for</w:t>
      </w:r>
      <w:r w:rsidR="0015233E" w:rsidRPr="001B78D3">
        <w:rPr>
          <w:rFonts w:asciiTheme="majorBidi" w:hAnsiTheme="majorBidi" w:cstheme="majorBidi"/>
          <w:sz w:val="24"/>
          <w:szCs w:val="24"/>
        </w:rPr>
        <w:t xml:space="preserve"> each infectious disease test</w:t>
      </w:r>
      <w:r w:rsidRPr="001B78D3">
        <w:rPr>
          <w:rFonts w:asciiTheme="majorBidi" w:hAnsiTheme="majorBidi" w:cstheme="majorBidi"/>
          <w:sz w:val="24"/>
          <w:szCs w:val="24"/>
        </w:rPr>
        <w:t xml:space="preserve">.  </w:t>
      </w:r>
      <w:r w:rsidR="0015233E" w:rsidRPr="001B78D3">
        <w:rPr>
          <w:rFonts w:asciiTheme="majorBidi" w:hAnsiTheme="majorBidi" w:cstheme="majorBidi"/>
          <w:sz w:val="24"/>
          <w:szCs w:val="24"/>
        </w:rPr>
        <w:t xml:space="preserve">In order to understand the expected widths for 95% confidence intervals of prevalence using the </w:t>
      </w:r>
      <w:proofErr w:type="spellStart"/>
      <w:r w:rsidR="0015233E" w:rsidRPr="001B78D3">
        <w:rPr>
          <w:rFonts w:asciiTheme="majorBidi" w:hAnsiTheme="majorBidi" w:cstheme="majorBidi"/>
          <w:sz w:val="24"/>
          <w:szCs w:val="24"/>
        </w:rPr>
        <w:t>Clopper</w:t>
      </w:r>
      <w:proofErr w:type="spellEnd"/>
      <w:r w:rsidR="0015233E" w:rsidRPr="001B78D3">
        <w:rPr>
          <w:rFonts w:asciiTheme="majorBidi" w:hAnsiTheme="majorBidi" w:cstheme="majorBidi"/>
          <w:sz w:val="24"/>
          <w:szCs w:val="24"/>
        </w:rPr>
        <w:t xml:space="preserve">-Pearson method, simulations involving 10,000 replications were used to calculate the average 95% confidence interval width for a variety of samples sizes and proportions, Table 1.  Table 1 </w:t>
      </w:r>
      <w:proofErr w:type="gramStart"/>
      <w:r w:rsidR="0015233E" w:rsidRPr="001B78D3">
        <w:rPr>
          <w:rFonts w:asciiTheme="majorBidi" w:hAnsiTheme="majorBidi" w:cstheme="majorBidi"/>
          <w:sz w:val="24"/>
          <w:szCs w:val="24"/>
        </w:rPr>
        <w:t>shows</w:t>
      </w:r>
      <w:proofErr w:type="gramEnd"/>
      <w:r w:rsidR="0015233E" w:rsidRPr="001B78D3">
        <w:rPr>
          <w:rFonts w:asciiTheme="majorBidi" w:hAnsiTheme="majorBidi" w:cstheme="majorBidi"/>
          <w:sz w:val="24"/>
          <w:szCs w:val="24"/>
        </w:rPr>
        <w:t xml:space="preserve"> that for any test that has at least 10,000 records, as long as the prevalence is less than 0.3, the expected width will be less than 2 percentage points.</w:t>
      </w:r>
      <w:r w:rsidR="00CD59C1" w:rsidRPr="001B78D3">
        <w:rPr>
          <w:rFonts w:asciiTheme="majorBidi" w:hAnsiTheme="majorBidi" w:cstheme="majorBidi"/>
          <w:sz w:val="24"/>
          <w:szCs w:val="24"/>
        </w:rPr>
        <w:t xml:space="preserve">  </w:t>
      </w:r>
      <w:r w:rsidR="001B78D3" w:rsidRPr="001B78D3">
        <w:rPr>
          <w:rFonts w:asciiTheme="majorBidi" w:hAnsiTheme="majorBidi" w:cstheme="majorBidi"/>
          <w:sz w:val="24"/>
          <w:szCs w:val="24"/>
        </w:rPr>
        <w:t>Similarly</w:t>
      </w:r>
      <w:r w:rsidR="00CD59C1" w:rsidRPr="001B78D3">
        <w:rPr>
          <w:rFonts w:asciiTheme="majorBidi" w:hAnsiTheme="majorBidi" w:cstheme="majorBidi"/>
          <w:sz w:val="24"/>
          <w:szCs w:val="24"/>
        </w:rPr>
        <w:t>, for a prevalence estimate as low as 0.001, the expected 95% CI will be 2 percentage points for a test tha</w:t>
      </w:r>
      <w:r w:rsidR="001B78D3">
        <w:rPr>
          <w:rFonts w:asciiTheme="majorBidi" w:hAnsiTheme="majorBidi" w:cstheme="majorBidi"/>
          <w:sz w:val="24"/>
          <w:szCs w:val="24"/>
        </w:rPr>
        <w:t xml:space="preserve">t only contained 200 records.  Table 1 </w:t>
      </w:r>
      <w:r w:rsidR="00B110B9">
        <w:rPr>
          <w:rFonts w:asciiTheme="majorBidi" w:hAnsiTheme="majorBidi" w:cstheme="majorBidi"/>
          <w:sz w:val="24"/>
          <w:szCs w:val="24"/>
        </w:rPr>
        <w:t>illustrate</w:t>
      </w:r>
      <w:r w:rsidR="001B78D3">
        <w:rPr>
          <w:rFonts w:asciiTheme="majorBidi" w:hAnsiTheme="majorBidi" w:cstheme="majorBidi"/>
          <w:sz w:val="24"/>
          <w:szCs w:val="24"/>
        </w:rPr>
        <w:t xml:space="preserve">s </w:t>
      </w:r>
      <w:r w:rsidR="00CD59C1" w:rsidRPr="001B78D3">
        <w:rPr>
          <w:rFonts w:asciiTheme="majorBidi" w:hAnsiTheme="majorBidi" w:cstheme="majorBidi"/>
          <w:sz w:val="24"/>
          <w:szCs w:val="24"/>
        </w:rPr>
        <w:t xml:space="preserve">that the present study will collect sufficient data to estimate </w:t>
      </w:r>
      <w:r w:rsidR="001B78D3">
        <w:rPr>
          <w:rFonts w:asciiTheme="majorBidi" w:hAnsiTheme="majorBidi" w:cstheme="majorBidi"/>
          <w:sz w:val="24"/>
          <w:szCs w:val="24"/>
        </w:rPr>
        <w:t xml:space="preserve">initial </w:t>
      </w:r>
      <w:r w:rsidR="00CD59C1" w:rsidRPr="001B78D3">
        <w:rPr>
          <w:rFonts w:asciiTheme="majorBidi" w:hAnsiTheme="majorBidi" w:cstheme="majorBidi"/>
          <w:sz w:val="24"/>
          <w:szCs w:val="24"/>
        </w:rPr>
        <w:t>prevalence</w:t>
      </w:r>
      <w:r w:rsidR="001B78D3">
        <w:rPr>
          <w:rFonts w:asciiTheme="majorBidi" w:hAnsiTheme="majorBidi" w:cstheme="majorBidi"/>
          <w:sz w:val="24"/>
          <w:szCs w:val="24"/>
        </w:rPr>
        <w:t xml:space="preserve"> estimates with a sufficiently tight </w:t>
      </w:r>
      <w:r w:rsidR="00CD59C1" w:rsidRPr="001B78D3">
        <w:rPr>
          <w:rFonts w:asciiTheme="majorBidi" w:hAnsiTheme="majorBidi" w:cstheme="majorBidi"/>
          <w:sz w:val="24"/>
          <w:szCs w:val="24"/>
        </w:rPr>
        <w:t xml:space="preserve">95% CI for </w:t>
      </w:r>
      <w:r w:rsidR="001B78D3">
        <w:rPr>
          <w:rFonts w:asciiTheme="majorBidi" w:hAnsiTheme="majorBidi" w:cstheme="majorBidi"/>
          <w:sz w:val="24"/>
          <w:szCs w:val="24"/>
        </w:rPr>
        <w:t xml:space="preserve">infectious disease </w:t>
      </w:r>
      <w:r w:rsidR="00CD59C1" w:rsidRPr="001B78D3">
        <w:rPr>
          <w:rFonts w:asciiTheme="majorBidi" w:hAnsiTheme="majorBidi" w:cstheme="majorBidi"/>
          <w:sz w:val="24"/>
          <w:szCs w:val="24"/>
        </w:rPr>
        <w:t>tests that contribute at least 1000 records.</w:t>
      </w:r>
    </w:p>
    <w:p w:rsidR="0059661E" w:rsidRPr="0059661E" w:rsidRDefault="0059661E" w:rsidP="00B110B9">
      <w:pPr>
        <w:autoSpaceDE w:val="0"/>
        <w:autoSpaceDN w:val="0"/>
        <w:rPr>
          <w:rFonts w:asciiTheme="majorBidi" w:hAnsiTheme="majorBidi" w:cstheme="majorBidi"/>
          <w:b/>
          <w:bCs/>
          <w:sz w:val="24"/>
          <w:szCs w:val="24"/>
        </w:rPr>
      </w:pPr>
      <w:r w:rsidRPr="0059661E">
        <w:rPr>
          <w:b/>
          <w:bCs/>
        </w:rPr>
        <w:t xml:space="preserve">Table </w:t>
      </w:r>
      <w:r w:rsidRPr="0059661E">
        <w:rPr>
          <w:b/>
          <w:bCs/>
        </w:rPr>
        <w:fldChar w:fldCharType="begin"/>
      </w:r>
      <w:r w:rsidRPr="0059661E">
        <w:rPr>
          <w:b/>
          <w:bCs/>
        </w:rPr>
        <w:instrText xml:space="preserve"> SEQ Table \* ARABIC </w:instrText>
      </w:r>
      <w:r w:rsidRPr="0059661E">
        <w:rPr>
          <w:b/>
          <w:bCs/>
        </w:rPr>
        <w:fldChar w:fldCharType="separate"/>
      </w:r>
      <w:r w:rsidRPr="0059661E">
        <w:rPr>
          <w:b/>
          <w:bCs/>
          <w:noProof/>
        </w:rPr>
        <w:t>1</w:t>
      </w:r>
      <w:r w:rsidRPr="0059661E">
        <w:rPr>
          <w:b/>
          <w:bCs/>
        </w:rPr>
        <w:fldChar w:fldCharType="end"/>
      </w:r>
      <w:r w:rsidRPr="0059661E">
        <w:rPr>
          <w:b/>
          <w:bCs/>
          <w:noProof/>
        </w:rPr>
        <w:t>: Expected Clopper-Pearson Confidence Interval width</w:t>
      </w:r>
    </w:p>
    <w:tbl>
      <w:tblPr>
        <w:tblW w:w="0" w:type="auto"/>
        <w:tblInd w:w="93" w:type="dxa"/>
        <w:tblLook w:val="04A0" w:firstRow="1" w:lastRow="0" w:firstColumn="1" w:lastColumn="0" w:noHBand="0" w:noVBand="1"/>
      </w:tblPr>
      <w:tblGrid>
        <w:gridCol w:w="891"/>
        <w:gridCol w:w="940"/>
        <w:gridCol w:w="941"/>
        <w:gridCol w:w="941"/>
        <w:gridCol w:w="941"/>
        <w:gridCol w:w="941"/>
        <w:gridCol w:w="941"/>
        <w:gridCol w:w="941"/>
        <w:gridCol w:w="941"/>
        <w:gridCol w:w="941"/>
      </w:tblGrid>
      <w:tr w:rsidR="0059661E" w:rsidRPr="0059661E" w:rsidTr="00881B7F">
        <w:trPr>
          <w:trHeight w:val="288"/>
        </w:trPr>
        <w:tc>
          <w:tcPr>
            <w:tcW w:w="0" w:type="auto"/>
            <w:gridSpan w:val="2"/>
            <w:vMerge w:val="restart"/>
            <w:tcBorders>
              <w:top w:val="nil"/>
              <w:left w:val="nil"/>
              <w:bottom w:val="single" w:sz="4" w:space="0" w:color="000000"/>
              <w:right w:val="single" w:sz="4" w:space="0" w:color="000000"/>
            </w:tcBorders>
            <w:shd w:val="clear" w:color="auto" w:fill="auto"/>
            <w:vAlign w:val="center"/>
            <w:hideMark/>
          </w:tcPr>
          <w:p w:rsidR="0059661E" w:rsidRPr="0059661E" w:rsidRDefault="0059661E" w:rsidP="0059661E">
            <w:pPr>
              <w:spacing w:after="0" w:line="240" w:lineRule="auto"/>
              <w:jc w:val="center"/>
              <w:rPr>
                <w:rFonts w:ascii="Calibri" w:eastAsia="Times New Roman" w:hAnsi="Calibri" w:cs="Times New Roman"/>
                <w:b/>
                <w:bCs/>
                <w:color w:val="000000"/>
              </w:rPr>
            </w:pPr>
            <w:r w:rsidRPr="0059661E">
              <w:rPr>
                <w:rFonts w:ascii="Calibri" w:eastAsia="Times New Roman" w:hAnsi="Calibri" w:cs="Times New Roman"/>
                <w:b/>
                <w:bCs/>
                <w:color w:val="000000"/>
              </w:rPr>
              <w:t xml:space="preserve">Average </w:t>
            </w:r>
            <w:r w:rsidRPr="0059661E">
              <w:rPr>
                <w:rFonts w:ascii="Calibri" w:eastAsia="Times New Roman" w:hAnsi="Calibri" w:cs="Times New Roman"/>
                <w:b/>
                <w:bCs/>
                <w:color w:val="000000"/>
              </w:rPr>
              <w:br/>
              <w:t>95% CI Width</w:t>
            </w:r>
          </w:p>
        </w:tc>
        <w:tc>
          <w:tcPr>
            <w:tcW w:w="0" w:type="auto"/>
            <w:gridSpan w:val="8"/>
            <w:tcBorders>
              <w:top w:val="nil"/>
              <w:left w:val="nil"/>
              <w:bottom w:val="nil"/>
              <w:right w:val="nil"/>
            </w:tcBorders>
            <w:shd w:val="clear" w:color="auto" w:fill="auto"/>
            <w:noWrap/>
            <w:vAlign w:val="center"/>
            <w:hideMark/>
          </w:tcPr>
          <w:p w:rsidR="0059661E" w:rsidRPr="0059661E" w:rsidRDefault="0059661E" w:rsidP="0059661E">
            <w:pPr>
              <w:spacing w:after="0" w:line="240" w:lineRule="auto"/>
              <w:jc w:val="center"/>
              <w:rPr>
                <w:rFonts w:ascii="Calibri" w:eastAsia="Times New Roman" w:hAnsi="Calibri" w:cs="Times New Roman"/>
                <w:b/>
                <w:bCs/>
                <w:color w:val="000000"/>
              </w:rPr>
            </w:pPr>
            <w:r w:rsidRPr="0059661E">
              <w:rPr>
                <w:rFonts w:ascii="Calibri" w:eastAsia="Times New Roman" w:hAnsi="Calibri" w:cs="Times New Roman"/>
                <w:b/>
                <w:bCs/>
                <w:color w:val="000000"/>
              </w:rPr>
              <w:t>Observed Prevalence</w:t>
            </w:r>
          </w:p>
        </w:tc>
      </w:tr>
      <w:tr w:rsidR="0059661E" w:rsidRPr="0059661E" w:rsidTr="00881B7F">
        <w:trPr>
          <w:trHeight w:val="288"/>
        </w:trPr>
        <w:tc>
          <w:tcPr>
            <w:tcW w:w="0" w:type="auto"/>
            <w:gridSpan w:val="2"/>
            <w:vMerge/>
            <w:tcBorders>
              <w:top w:val="nil"/>
              <w:left w:val="nil"/>
              <w:bottom w:val="single" w:sz="4" w:space="0" w:color="000000"/>
              <w:right w:val="single" w:sz="4" w:space="0" w:color="000000"/>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single" w:sz="4" w:space="0" w:color="auto"/>
              <w:right w:val="nil"/>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0</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0.0001</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0.001</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0.01</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0.05</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0.1</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0.2</w:t>
            </w:r>
          </w:p>
        </w:tc>
        <w:tc>
          <w:tcPr>
            <w:tcW w:w="0" w:type="auto"/>
            <w:tcBorders>
              <w:top w:val="nil"/>
              <w:left w:val="nil"/>
              <w:bottom w:val="single" w:sz="4" w:space="0" w:color="auto"/>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0.3</w:t>
            </w:r>
          </w:p>
        </w:tc>
      </w:tr>
      <w:tr w:rsidR="0059661E" w:rsidRPr="0059661E" w:rsidTr="00881B7F">
        <w:trPr>
          <w:trHeight w:val="288"/>
        </w:trPr>
        <w:tc>
          <w:tcPr>
            <w:tcW w:w="0" w:type="auto"/>
            <w:vMerge w:val="restart"/>
            <w:tcBorders>
              <w:top w:val="nil"/>
              <w:left w:val="nil"/>
              <w:bottom w:val="nil"/>
              <w:right w:val="nil"/>
            </w:tcBorders>
            <w:shd w:val="clear" w:color="auto" w:fill="auto"/>
            <w:vAlign w:val="center"/>
            <w:hideMark/>
          </w:tcPr>
          <w:p w:rsidR="00881B7F" w:rsidRDefault="00881B7F" w:rsidP="00881B7F">
            <w:pPr>
              <w:spacing w:after="0" w:line="240" w:lineRule="auto"/>
              <w:jc w:val="right"/>
              <w:rPr>
                <w:rFonts w:ascii="Calibri" w:eastAsia="Times New Roman" w:hAnsi="Calibri" w:cs="Times New Roman"/>
                <w:b/>
                <w:bCs/>
                <w:color w:val="000000"/>
              </w:rPr>
            </w:pPr>
          </w:p>
          <w:p w:rsidR="00881B7F" w:rsidRDefault="00881B7F" w:rsidP="00881B7F">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S</w:t>
            </w:r>
            <w:r w:rsidR="0059661E" w:rsidRPr="0059661E">
              <w:rPr>
                <w:rFonts w:ascii="Calibri" w:eastAsia="Times New Roman" w:hAnsi="Calibri" w:cs="Times New Roman"/>
                <w:b/>
                <w:bCs/>
                <w:color w:val="000000"/>
              </w:rPr>
              <w:t>ample</w:t>
            </w:r>
          </w:p>
          <w:p w:rsidR="0059661E" w:rsidRPr="0059661E" w:rsidRDefault="0059661E" w:rsidP="00881B7F">
            <w:pPr>
              <w:spacing w:after="0" w:line="240" w:lineRule="auto"/>
              <w:jc w:val="right"/>
              <w:rPr>
                <w:rFonts w:ascii="Calibri" w:eastAsia="Times New Roman" w:hAnsi="Calibri" w:cs="Times New Roman"/>
                <w:b/>
                <w:bCs/>
                <w:color w:val="000000"/>
              </w:rPr>
            </w:pPr>
            <w:r w:rsidRPr="0059661E">
              <w:rPr>
                <w:rFonts w:ascii="Calibri" w:eastAsia="Times New Roman" w:hAnsi="Calibri" w:cs="Times New Roman"/>
                <w:b/>
                <w:bCs/>
                <w:color w:val="000000"/>
              </w:rPr>
              <w:t>Size</w:t>
            </w: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200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0.018</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0.018</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0.027</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0.045</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0.076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0.096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0.122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0.135</w:t>
            </w:r>
          </w:p>
        </w:tc>
      </w:tr>
      <w:tr w:rsidR="0059661E" w:rsidRPr="0059661E" w:rsidTr="00881B7F">
        <w:trPr>
          <w:trHeight w:val="288"/>
        </w:trPr>
        <w:tc>
          <w:tcPr>
            <w:tcW w:w="0" w:type="auto"/>
            <w:vMerge/>
            <w:tcBorders>
              <w:top w:val="nil"/>
              <w:left w:val="nil"/>
              <w:bottom w:val="nil"/>
              <w:right w:val="nil"/>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1000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0.004</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0.004</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0.007</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0.030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0.040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0.052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0.059</w:t>
            </w:r>
          </w:p>
        </w:tc>
      </w:tr>
      <w:tr w:rsidR="0059661E" w:rsidRPr="0059661E" w:rsidTr="00881B7F">
        <w:trPr>
          <w:trHeight w:val="288"/>
        </w:trPr>
        <w:tc>
          <w:tcPr>
            <w:tcW w:w="0" w:type="auto"/>
            <w:vMerge/>
            <w:tcBorders>
              <w:top w:val="nil"/>
              <w:left w:val="nil"/>
              <w:bottom w:val="nil"/>
              <w:right w:val="nil"/>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10000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0.0004</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0.0007</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0.0016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0.0042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0.0089</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0.0121</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0.0159</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0.0182</w:t>
            </w:r>
          </w:p>
        </w:tc>
      </w:tr>
      <w:tr w:rsidR="0059661E" w:rsidRPr="0059661E" w:rsidTr="00881B7F">
        <w:trPr>
          <w:trHeight w:val="288"/>
        </w:trPr>
        <w:tc>
          <w:tcPr>
            <w:tcW w:w="0" w:type="auto"/>
            <w:vMerge/>
            <w:tcBorders>
              <w:top w:val="nil"/>
              <w:left w:val="nil"/>
              <w:bottom w:val="nil"/>
              <w:right w:val="nil"/>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20000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0.0005</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0.0011</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0.0029</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0.0062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0.0085</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0.0112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0.0128</w:t>
            </w:r>
          </w:p>
        </w:tc>
      </w:tr>
      <w:tr w:rsidR="0059661E" w:rsidRPr="0059661E" w:rsidTr="00881B7F">
        <w:trPr>
          <w:trHeight w:val="288"/>
        </w:trPr>
        <w:tc>
          <w:tcPr>
            <w:tcW w:w="0" w:type="auto"/>
            <w:vMerge/>
            <w:tcBorders>
              <w:top w:val="nil"/>
              <w:left w:val="nil"/>
              <w:bottom w:val="nil"/>
              <w:right w:val="nil"/>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50000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0.00007</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0.00025</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0.00062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0.00181</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0.00388</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0.00532</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0.00706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0.00807</w:t>
            </w:r>
          </w:p>
        </w:tc>
      </w:tr>
      <w:tr w:rsidR="0059661E" w:rsidRPr="0059661E" w:rsidTr="00881B7F">
        <w:trPr>
          <w:trHeight w:val="288"/>
        </w:trPr>
        <w:tc>
          <w:tcPr>
            <w:tcW w:w="0" w:type="auto"/>
            <w:vMerge/>
            <w:tcBorders>
              <w:top w:val="nil"/>
              <w:left w:val="nil"/>
              <w:bottom w:val="nil"/>
              <w:right w:val="nil"/>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75000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0.00005</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0.00019</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0.00050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0.00147</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0.00316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0.00433</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0.00576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0.00659</w:t>
            </w:r>
          </w:p>
        </w:tc>
      </w:tr>
      <w:tr w:rsidR="0059661E" w:rsidRPr="0059661E" w:rsidTr="00881B7F">
        <w:trPr>
          <w:trHeight w:val="288"/>
        </w:trPr>
        <w:tc>
          <w:tcPr>
            <w:tcW w:w="0" w:type="auto"/>
            <w:vMerge/>
            <w:tcBorders>
              <w:top w:val="nil"/>
              <w:left w:val="nil"/>
              <w:bottom w:val="nil"/>
              <w:right w:val="nil"/>
            </w:tcBorders>
            <w:vAlign w:val="center"/>
            <w:hideMark/>
          </w:tcPr>
          <w:p w:rsidR="0059661E" w:rsidRPr="0059661E" w:rsidRDefault="0059661E" w:rsidP="0059661E">
            <w:pPr>
              <w:spacing w:after="0" w:line="240" w:lineRule="auto"/>
              <w:rPr>
                <w:rFonts w:ascii="Calibri" w:eastAsia="Times New Roman" w:hAnsi="Calibri" w:cs="Times New Roman"/>
                <w:b/>
                <w:bCs/>
                <w:color w:val="000000"/>
              </w:rPr>
            </w:pPr>
          </w:p>
        </w:tc>
        <w:tc>
          <w:tcPr>
            <w:tcW w:w="0" w:type="auto"/>
            <w:tcBorders>
              <w:top w:val="nil"/>
              <w:left w:val="nil"/>
              <w:bottom w:val="nil"/>
              <w:right w:val="single" w:sz="4" w:space="0" w:color="auto"/>
            </w:tcBorders>
            <w:shd w:val="clear" w:color="auto" w:fill="auto"/>
            <w:noWrap/>
            <w:vAlign w:val="center"/>
            <w:hideMark/>
          </w:tcPr>
          <w:p w:rsidR="0059661E" w:rsidRPr="0059661E" w:rsidRDefault="0059661E" w:rsidP="0059661E">
            <w:pPr>
              <w:spacing w:after="0" w:line="240" w:lineRule="auto"/>
              <w:jc w:val="right"/>
              <w:rPr>
                <w:rFonts w:ascii="Lucida Console" w:eastAsia="Times New Roman" w:hAnsi="Lucida Console" w:cs="Times New Roman"/>
                <w:b/>
                <w:bCs/>
                <w:color w:val="000000"/>
                <w:sz w:val="20"/>
                <w:szCs w:val="20"/>
              </w:rPr>
            </w:pPr>
            <w:r w:rsidRPr="0059661E">
              <w:rPr>
                <w:rFonts w:ascii="Lucida Console" w:eastAsia="Times New Roman" w:hAnsi="Lucida Console" w:cs="Times New Roman"/>
                <w:b/>
                <w:bCs/>
                <w:color w:val="000000"/>
                <w:sz w:val="20"/>
                <w:szCs w:val="20"/>
              </w:rPr>
              <w:t>100000</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0.00004</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0.00016</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0.00043</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0.00127</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0.00273</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0.00375</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0.00498</w:t>
            </w:r>
          </w:p>
        </w:tc>
        <w:tc>
          <w:tcPr>
            <w:tcW w:w="0" w:type="auto"/>
            <w:tcBorders>
              <w:top w:val="nil"/>
              <w:left w:val="nil"/>
              <w:bottom w:val="nil"/>
              <w:right w:val="nil"/>
            </w:tcBorders>
            <w:shd w:val="clear" w:color="auto" w:fill="auto"/>
            <w:noWrap/>
            <w:vAlign w:val="bottom"/>
            <w:hideMark/>
          </w:tcPr>
          <w:p w:rsidR="0059661E" w:rsidRPr="0059661E" w:rsidRDefault="0059661E" w:rsidP="0059661E">
            <w:pPr>
              <w:spacing w:after="0" w:line="240" w:lineRule="auto"/>
              <w:jc w:val="right"/>
              <w:rPr>
                <w:rFonts w:ascii="Calibri" w:eastAsia="Times New Roman" w:hAnsi="Calibri" w:cs="Times New Roman"/>
                <w:color w:val="000000"/>
              </w:rPr>
            </w:pPr>
            <w:r w:rsidRPr="0059661E">
              <w:rPr>
                <w:rFonts w:ascii="Calibri" w:eastAsia="Times New Roman" w:hAnsi="Calibri" w:cs="Times New Roman"/>
                <w:color w:val="000000"/>
              </w:rPr>
              <w:t>0.00570</w:t>
            </w:r>
          </w:p>
        </w:tc>
      </w:tr>
    </w:tbl>
    <w:p w:rsidR="007F756E" w:rsidRDefault="007F756E" w:rsidP="007F756E">
      <w:pPr>
        <w:autoSpaceDE w:val="0"/>
        <w:autoSpaceDN w:val="0"/>
        <w:adjustRightInd w:val="0"/>
        <w:spacing w:after="0" w:line="240" w:lineRule="auto"/>
        <w:rPr>
          <w:rFonts w:ascii="Arial" w:hAnsi="Arial" w:cs="Arial"/>
          <w:b/>
        </w:rPr>
      </w:pPr>
      <w:r>
        <w:rPr>
          <w:rFonts w:ascii="Arial" w:hAnsi="Arial" w:cs="Arial"/>
          <w:b/>
        </w:rPr>
        <w:t>B.2. Procedures for the Collection of Information</w:t>
      </w:r>
    </w:p>
    <w:p w:rsidR="007F756E" w:rsidRDefault="007F756E" w:rsidP="007F756E">
      <w:pPr>
        <w:autoSpaceDE w:val="0"/>
        <w:autoSpaceDN w:val="0"/>
        <w:adjustRightInd w:val="0"/>
        <w:spacing w:after="0" w:line="240" w:lineRule="auto"/>
        <w:rPr>
          <w:b/>
          <w:bCs/>
        </w:rPr>
      </w:pPr>
    </w:p>
    <w:p w:rsidR="007F756E" w:rsidRDefault="007F756E" w:rsidP="004611D9">
      <w:pPr>
        <w:rPr>
          <w:rFonts w:asciiTheme="majorBidi" w:hAnsiTheme="majorBidi" w:cstheme="majorBidi"/>
          <w:sz w:val="24"/>
          <w:szCs w:val="24"/>
        </w:rPr>
      </w:pPr>
      <w:r>
        <w:rPr>
          <w:rFonts w:asciiTheme="majorBidi" w:hAnsiTheme="majorBidi" w:cstheme="majorBidi"/>
          <w:sz w:val="24"/>
          <w:szCs w:val="24"/>
        </w:rPr>
        <w:t>This study will engage in secondary analyses of extant data from organ</w:t>
      </w:r>
      <w:r w:rsidR="004611D9">
        <w:rPr>
          <w:rFonts w:asciiTheme="majorBidi" w:hAnsiTheme="majorBidi" w:cstheme="majorBidi"/>
          <w:sz w:val="24"/>
          <w:szCs w:val="24"/>
        </w:rPr>
        <w:t xml:space="preserve"> procurement organizations and eye banks</w:t>
      </w:r>
      <w:r>
        <w:rPr>
          <w:rFonts w:asciiTheme="majorBidi" w:hAnsiTheme="majorBidi" w:cstheme="majorBidi"/>
          <w:sz w:val="24"/>
          <w:szCs w:val="24"/>
        </w:rPr>
        <w:t xml:space="preserve">.  The extant data were collected at the time that the deceased organ </w:t>
      </w:r>
      <w:r w:rsidR="004611D9">
        <w:rPr>
          <w:rFonts w:asciiTheme="majorBidi" w:hAnsiTheme="majorBidi" w:cstheme="majorBidi"/>
          <w:sz w:val="24"/>
          <w:szCs w:val="24"/>
        </w:rPr>
        <w:t>and/</w:t>
      </w:r>
      <w:r>
        <w:rPr>
          <w:rFonts w:asciiTheme="majorBidi" w:hAnsiTheme="majorBidi" w:cstheme="majorBidi"/>
          <w:sz w:val="24"/>
          <w:szCs w:val="24"/>
        </w:rPr>
        <w:t xml:space="preserve">or tissue donor was identified by these organizations.  The data requested </w:t>
      </w:r>
      <w:r w:rsidR="004611D9">
        <w:rPr>
          <w:rFonts w:asciiTheme="majorBidi" w:hAnsiTheme="majorBidi" w:cstheme="majorBidi"/>
          <w:sz w:val="24"/>
          <w:szCs w:val="24"/>
        </w:rPr>
        <w:t xml:space="preserve">by TODES </w:t>
      </w:r>
      <w:r>
        <w:rPr>
          <w:rFonts w:asciiTheme="majorBidi" w:hAnsiTheme="majorBidi" w:cstheme="majorBidi"/>
          <w:sz w:val="24"/>
          <w:szCs w:val="24"/>
        </w:rPr>
        <w:t>will not be identifiable to any individual person</w:t>
      </w:r>
      <w:r w:rsidR="004611D9">
        <w:rPr>
          <w:rFonts w:asciiTheme="majorBidi" w:hAnsiTheme="majorBidi" w:cstheme="majorBidi"/>
          <w:sz w:val="24"/>
          <w:szCs w:val="24"/>
        </w:rPr>
        <w:t xml:space="preserve">; </w:t>
      </w:r>
      <w:r>
        <w:rPr>
          <w:rFonts w:asciiTheme="majorBidi" w:hAnsiTheme="majorBidi" w:cstheme="majorBidi"/>
          <w:sz w:val="24"/>
          <w:szCs w:val="24"/>
        </w:rPr>
        <w:t>rather</w:t>
      </w:r>
      <w:r w:rsidR="004611D9">
        <w:rPr>
          <w:rFonts w:asciiTheme="majorBidi" w:hAnsiTheme="majorBidi" w:cstheme="majorBidi"/>
          <w:sz w:val="24"/>
          <w:szCs w:val="24"/>
        </w:rPr>
        <w:t>,</w:t>
      </w:r>
      <w:r>
        <w:rPr>
          <w:rFonts w:asciiTheme="majorBidi" w:hAnsiTheme="majorBidi" w:cstheme="majorBidi"/>
          <w:sz w:val="24"/>
          <w:szCs w:val="24"/>
        </w:rPr>
        <w:t xml:space="preserve"> all organs and tissues are assigned an ID code(s) allowing tracking of multiple tissues and organs </w:t>
      </w:r>
      <w:r w:rsidR="004611D9">
        <w:rPr>
          <w:rFonts w:asciiTheme="majorBidi" w:hAnsiTheme="majorBidi" w:cstheme="majorBidi"/>
          <w:sz w:val="24"/>
          <w:szCs w:val="24"/>
        </w:rPr>
        <w:t xml:space="preserve">from one facility to another along </w:t>
      </w:r>
      <w:r>
        <w:rPr>
          <w:rFonts w:asciiTheme="majorBidi" w:hAnsiTheme="majorBidi" w:cstheme="majorBidi"/>
          <w:sz w:val="24"/>
          <w:szCs w:val="24"/>
        </w:rPr>
        <w:t xml:space="preserve">with information about the donor relevant to eligibility and donation status.  The data that will be </w:t>
      </w:r>
      <w:r w:rsidRPr="00A57C57">
        <w:rPr>
          <w:rFonts w:asciiTheme="majorBidi" w:hAnsiTheme="majorBidi" w:cstheme="majorBidi"/>
          <w:sz w:val="24"/>
          <w:szCs w:val="24"/>
        </w:rPr>
        <w:t xml:space="preserve">extracted from existing </w:t>
      </w:r>
      <w:r w:rsidR="00A57C57">
        <w:rPr>
          <w:rFonts w:asciiTheme="majorBidi" w:hAnsiTheme="majorBidi" w:cstheme="majorBidi"/>
          <w:sz w:val="24"/>
          <w:szCs w:val="24"/>
        </w:rPr>
        <w:t xml:space="preserve">donor records </w:t>
      </w:r>
      <w:r>
        <w:rPr>
          <w:rFonts w:asciiTheme="majorBidi" w:hAnsiTheme="majorBidi" w:cstheme="majorBidi"/>
          <w:sz w:val="24"/>
          <w:szCs w:val="24"/>
        </w:rPr>
        <w:t xml:space="preserve">at participating organizations for TODES will not </w:t>
      </w:r>
      <w:r w:rsidR="004611D9">
        <w:rPr>
          <w:rFonts w:asciiTheme="majorBidi" w:hAnsiTheme="majorBidi" w:cstheme="majorBidi"/>
          <w:sz w:val="24"/>
          <w:szCs w:val="24"/>
        </w:rPr>
        <w:t xml:space="preserve">permit </w:t>
      </w:r>
      <w:r>
        <w:rPr>
          <w:rFonts w:asciiTheme="majorBidi" w:hAnsiTheme="majorBidi" w:cstheme="majorBidi"/>
          <w:sz w:val="24"/>
          <w:szCs w:val="24"/>
        </w:rPr>
        <w:t xml:space="preserve">RTI or HHS to </w:t>
      </w:r>
      <w:r w:rsidR="004611D9">
        <w:rPr>
          <w:rFonts w:asciiTheme="majorBidi" w:hAnsiTheme="majorBidi" w:cstheme="majorBidi"/>
          <w:sz w:val="24"/>
          <w:szCs w:val="24"/>
        </w:rPr>
        <w:t xml:space="preserve">link </w:t>
      </w:r>
      <w:r>
        <w:rPr>
          <w:rFonts w:asciiTheme="majorBidi" w:hAnsiTheme="majorBidi" w:cstheme="majorBidi"/>
          <w:sz w:val="24"/>
          <w:szCs w:val="24"/>
        </w:rPr>
        <w:t>information back to individual persons either as donors or recipients of transplanted organs and tissues.  The sharing of data for research purposes under TODES will be covered by Data Use Agreements executed between each participating organization and RTI.</w:t>
      </w:r>
    </w:p>
    <w:p w:rsidR="007F756E" w:rsidRDefault="007F756E" w:rsidP="007F756E">
      <w:pPr>
        <w:spacing w:after="0" w:line="240" w:lineRule="auto"/>
        <w:rPr>
          <w:rFonts w:asciiTheme="majorBidi" w:hAnsiTheme="majorBidi" w:cstheme="majorBidi"/>
          <w:sz w:val="24"/>
          <w:szCs w:val="24"/>
        </w:rPr>
      </w:pPr>
      <w:r>
        <w:rPr>
          <w:rFonts w:asciiTheme="majorBidi" w:hAnsiTheme="majorBidi" w:cstheme="majorBidi"/>
          <w:sz w:val="24"/>
          <w:szCs w:val="24"/>
        </w:rPr>
        <w:t>The specific data to be obtained from the participating organizations include the following categories of information:</w:t>
      </w:r>
    </w:p>
    <w:p w:rsidR="007F756E" w:rsidRDefault="007F756E" w:rsidP="007F756E">
      <w:pPr>
        <w:spacing w:after="0" w:line="240" w:lineRule="auto"/>
        <w:rPr>
          <w:rFonts w:asciiTheme="majorBidi" w:hAnsiTheme="majorBidi" w:cstheme="majorBidi"/>
          <w:sz w:val="24"/>
          <w:szCs w:val="24"/>
        </w:rPr>
      </w:pPr>
    </w:p>
    <w:p w:rsidR="007F756E" w:rsidRDefault="007F756E" w:rsidP="007F756E">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Donor demographics and death information;</w:t>
      </w:r>
    </w:p>
    <w:p w:rsidR="007F756E" w:rsidRDefault="007F756E" w:rsidP="004611D9">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Donor infectious disease test results for HIV, HBV, and HCV; including </w:t>
      </w:r>
      <w:r w:rsidR="004611D9">
        <w:rPr>
          <w:rFonts w:asciiTheme="majorBidi" w:hAnsiTheme="majorBidi" w:cstheme="majorBidi"/>
          <w:sz w:val="24"/>
          <w:szCs w:val="24"/>
        </w:rPr>
        <w:t>serological assays</w:t>
      </w:r>
      <w:r>
        <w:rPr>
          <w:rFonts w:asciiTheme="majorBidi" w:hAnsiTheme="majorBidi" w:cstheme="majorBidi"/>
          <w:sz w:val="24"/>
          <w:szCs w:val="24"/>
        </w:rPr>
        <w:t xml:space="preserve"> and nucleic acid testing when available; and</w:t>
      </w:r>
    </w:p>
    <w:p w:rsidR="007F756E" w:rsidRDefault="007F756E" w:rsidP="004611D9">
      <w:pPr>
        <w:pStyle w:val="ListParagraph"/>
        <w:numPr>
          <w:ilvl w:val="0"/>
          <w:numId w:val="4"/>
        </w:numPr>
        <w:rPr>
          <w:rFonts w:asciiTheme="majorBidi" w:hAnsiTheme="majorBidi" w:cstheme="majorBidi"/>
          <w:sz w:val="24"/>
          <w:szCs w:val="24"/>
        </w:rPr>
      </w:pPr>
      <w:r>
        <w:rPr>
          <w:rFonts w:asciiTheme="majorBidi" w:hAnsiTheme="majorBidi" w:cstheme="majorBidi"/>
          <w:sz w:val="24"/>
          <w:szCs w:val="24"/>
        </w:rPr>
        <w:t xml:space="preserve">Basic donation </w:t>
      </w:r>
      <w:r w:rsidR="004611D9">
        <w:rPr>
          <w:rFonts w:asciiTheme="majorBidi" w:hAnsiTheme="majorBidi" w:cstheme="majorBidi"/>
          <w:sz w:val="24"/>
          <w:szCs w:val="24"/>
        </w:rPr>
        <w:t xml:space="preserve">and disposition </w:t>
      </w:r>
      <w:r>
        <w:rPr>
          <w:rFonts w:asciiTheme="majorBidi" w:hAnsiTheme="majorBidi" w:cstheme="majorBidi"/>
          <w:sz w:val="24"/>
          <w:szCs w:val="24"/>
        </w:rPr>
        <w:t>information regarding organs, tissues, and/or eyes.</w:t>
      </w:r>
    </w:p>
    <w:p w:rsidR="007F756E" w:rsidRDefault="007F756E" w:rsidP="004611D9">
      <w:pPr>
        <w:rPr>
          <w:rFonts w:asciiTheme="majorBidi" w:hAnsiTheme="majorBidi" w:cstheme="majorBidi"/>
          <w:sz w:val="24"/>
          <w:szCs w:val="24"/>
        </w:rPr>
      </w:pPr>
      <w:r>
        <w:rPr>
          <w:rFonts w:asciiTheme="majorBidi" w:hAnsiTheme="majorBidi" w:cstheme="majorBidi"/>
          <w:sz w:val="24"/>
          <w:szCs w:val="24"/>
        </w:rPr>
        <w:t xml:space="preserve">The participating organizations will </w:t>
      </w:r>
      <w:r w:rsidRPr="00A57C57">
        <w:rPr>
          <w:rFonts w:asciiTheme="majorBidi" w:hAnsiTheme="majorBidi" w:cstheme="majorBidi"/>
          <w:sz w:val="24"/>
          <w:szCs w:val="24"/>
        </w:rPr>
        <w:t>extract the relevant data from their existing donor records</w:t>
      </w:r>
      <w:r w:rsidR="004611D9">
        <w:rPr>
          <w:rFonts w:asciiTheme="majorBidi" w:hAnsiTheme="majorBidi" w:cstheme="majorBidi"/>
          <w:sz w:val="24"/>
          <w:szCs w:val="24"/>
        </w:rPr>
        <w:t xml:space="preserve"> for calendar years 2009 – 2013 and </w:t>
      </w:r>
      <w:r>
        <w:rPr>
          <w:rFonts w:asciiTheme="majorBidi" w:hAnsiTheme="majorBidi" w:cstheme="majorBidi"/>
          <w:sz w:val="24"/>
          <w:szCs w:val="24"/>
        </w:rPr>
        <w:t>the data will be transmitted securely to RTI as line data (one record per donor).  Data requested for TODES will not require additional processing, mathematical manipulations, or summarization on the part of the participating organizations.</w:t>
      </w:r>
    </w:p>
    <w:p w:rsidR="009E7610" w:rsidRDefault="009E7610" w:rsidP="004611D9">
      <w:pPr>
        <w:rPr>
          <w:rFonts w:asciiTheme="majorBidi" w:hAnsiTheme="majorBidi" w:cstheme="majorBidi"/>
          <w:sz w:val="24"/>
          <w:szCs w:val="24"/>
        </w:rPr>
      </w:pPr>
      <w:r>
        <w:rPr>
          <w:rFonts w:asciiTheme="majorBidi" w:hAnsiTheme="majorBidi" w:cstheme="majorBidi"/>
          <w:sz w:val="24"/>
          <w:szCs w:val="24"/>
        </w:rPr>
        <w:t>The infection rates calculated from the selected OPOs will not be generalizable to all OPOs but will provide a valuable estimate of the prevalence ranges for the viral markers of inter</w:t>
      </w:r>
      <w:r w:rsidR="002A36D4">
        <w:rPr>
          <w:rFonts w:asciiTheme="majorBidi" w:hAnsiTheme="majorBidi" w:cstheme="majorBidi"/>
          <w:sz w:val="24"/>
          <w:szCs w:val="24"/>
        </w:rPr>
        <w:t>e</w:t>
      </w:r>
      <w:r>
        <w:rPr>
          <w:rFonts w:asciiTheme="majorBidi" w:hAnsiTheme="majorBidi" w:cstheme="majorBidi"/>
          <w:sz w:val="24"/>
          <w:szCs w:val="24"/>
        </w:rPr>
        <w:t>st. RTI will analyze trends over time, as well as the rates based on antibody screening, screening plus confirmatory testing, and nucleic acid testing (NAT) where available. The data and additional (verbal) information resulting from TODES will allow better characterization of these facilities by describing the data systems utilized, both manual and electronic, the extent of data collection and data storage, as well as the level of detail that is captured for organ, tissue, and eye donors and referrals; an understanding of the referral and screening process including reasons for elimination of potential donors and the order of screening steps during the referral process; and use of the testing results to estimate risk of infection associated with organ and tissue transplantation. This study will lay the groundwork for conducting future, prospective epidemiologic studies of organ and tissue donors that could inform policy decisions related to donor eligibility and qualification, and potentially, increase the donor pool.</w:t>
      </w:r>
    </w:p>
    <w:p w:rsidR="004611D9" w:rsidRDefault="004611D9" w:rsidP="004611D9">
      <w:pPr>
        <w:rPr>
          <w:rFonts w:asciiTheme="majorBidi" w:hAnsiTheme="majorBidi" w:cstheme="majorBidi"/>
          <w:sz w:val="24"/>
          <w:szCs w:val="24"/>
        </w:rPr>
      </w:pPr>
    </w:p>
    <w:p w:rsidR="007F756E" w:rsidRDefault="007F756E" w:rsidP="007F756E">
      <w:pPr>
        <w:autoSpaceDE w:val="0"/>
        <w:autoSpaceDN w:val="0"/>
        <w:adjustRightInd w:val="0"/>
        <w:spacing w:after="0" w:line="240" w:lineRule="auto"/>
        <w:rPr>
          <w:rFonts w:ascii="Arial" w:hAnsi="Arial" w:cs="Arial"/>
          <w:b/>
        </w:rPr>
      </w:pPr>
      <w:r>
        <w:rPr>
          <w:rFonts w:ascii="Arial" w:hAnsi="Arial" w:cs="Arial"/>
          <w:b/>
        </w:rPr>
        <w:t>B.3. Methods to Maximize Response Rates and Deal with Nonresponse</w:t>
      </w:r>
    </w:p>
    <w:p w:rsidR="007F756E" w:rsidRDefault="007F756E" w:rsidP="007F756E">
      <w:pPr>
        <w:autoSpaceDE w:val="0"/>
        <w:autoSpaceDN w:val="0"/>
        <w:adjustRightInd w:val="0"/>
        <w:spacing w:after="0" w:line="240" w:lineRule="auto"/>
        <w:rPr>
          <w:rFonts w:ascii="Arial" w:hAnsi="Arial" w:cs="Arial"/>
        </w:rPr>
      </w:pPr>
    </w:p>
    <w:p w:rsidR="00693B97" w:rsidRDefault="007F756E" w:rsidP="00693B97">
      <w:pPr>
        <w:rPr>
          <w:rFonts w:asciiTheme="majorBidi" w:hAnsiTheme="majorBidi" w:cstheme="majorBidi"/>
          <w:sz w:val="24"/>
          <w:szCs w:val="24"/>
        </w:rPr>
      </w:pPr>
      <w:r>
        <w:rPr>
          <w:rFonts w:asciiTheme="majorBidi" w:hAnsiTheme="majorBidi" w:cstheme="majorBidi"/>
          <w:sz w:val="24"/>
          <w:szCs w:val="24"/>
        </w:rPr>
        <w:t>OPOs and eye banks were selected for inclusion</w:t>
      </w:r>
      <w:r w:rsidR="00E17140">
        <w:rPr>
          <w:rFonts w:asciiTheme="majorBidi" w:hAnsiTheme="majorBidi" w:cstheme="majorBidi"/>
          <w:sz w:val="24"/>
          <w:szCs w:val="24"/>
        </w:rPr>
        <w:t xml:space="preserve"> in the study </w:t>
      </w:r>
      <w:r>
        <w:rPr>
          <w:rFonts w:asciiTheme="majorBidi" w:hAnsiTheme="majorBidi" w:cstheme="majorBidi"/>
          <w:sz w:val="24"/>
          <w:szCs w:val="24"/>
        </w:rPr>
        <w:t>based on geographic region, donor volume, and infectious disease</w:t>
      </w:r>
      <w:r w:rsidR="00E17140">
        <w:rPr>
          <w:rFonts w:asciiTheme="majorBidi" w:hAnsiTheme="majorBidi" w:cstheme="majorBidi"/>
          <w:sz w:val="24"/>
          <w:szCs w:val="24"/>
        </w:rPr>
        <w:t xml:space="preserve"> prevalence estimates for their catchment areas.</w:t>
      </w:r>
      <w:r>
        <w:rPr>
          <w:rFonts w:asciiTheme="majorBidi" w:hAnsiTheme="majorBidi" w:cstheme="majorBidi"/>
          <w:sz w:val="24"/>
          <w:szCs w:val="24"/>
        </w:rPr>
        <w:t xml:space="preserve">  To </w:t>
      </w:r>
      <w:r w:rsidR="00E17140">
        <w:rPr>
          <w:rFonts w:asciiTheme="majorBidi" w:hAnsiTheme="majorBidi" w:cstheme="majorBidi"/>
          <w:sz w:val="24"/>
          <w:szCs w:val="24"/>
        </w:rPr>
        <w:t xml:space="preserve">maximize </w:t>
      </w:r>
      <w:r>
        <w:rPr>
          <w:rFonts w:asciiTheme="majorBidi" w:hAnsiTheme="majorBidi" w:cstheme="majorBidi"/>
          <w:sz w:val="24"/>
          <w:szCs w:val="24"/>
        </w:rPr>
        <w:t xml:space="preserve">participation, RTI </w:t>
      </w:r>
      <w:r w:rsidR="00E17140">
        <w:rPr>
          <w:rFonts w:asciiTheme="majorBidi" w:hAnsiTheme="majorBidi" w:cstheme="majorBidi"/>
          <w:sz w:val="24"/>
          <w:szCs w:val="24"/>
        </w:rPr>
        <w:t xml:space="preserve">conducted </w:t>
      </w:r>
      <w:r>
        <w:rPr>
          <w:rFonts w:asciiTheme="majorBidi" w:hAnsiTheme="majorBidi" w:cstheme="majorBidi"/>
          <w:sz w:val="24"/>
          <w:szCs w:val="24"/>
        </w:rPr>
        <w:t>initial teleconferences with the United Network for Organ Sharing (UNOS), selected OPOs</w:t>
      </w:r>
      <w:r w:rsidR="00E17140">
        <w:rPr>
          <w:rFonts w:asciiTheme="majorBidi" w:hAnsiTheme="majorBidi" w:cstheme="majorBidi"/>
          <w:sz w:val="24"/>
          <w:szCs w:val="24"/>
        </w:rPr>
        <w:t>,</w:t>
      </w:r>
      <w:r>
        <w:rPr>
          <w:rFonts w:asciiTheme="majorBidi" w:hAnsiTheme="majorBidi" w:cstheme="majorBidi"/>
          <w:sz w:val="24"/>
          <w:szCs w:val="24"/>
        </w:rPr>
        <w:t xml:space="preserve"> </w:t>
      </w:r>
      <w:r w:rsidR="00251176">
        <w:rPr>
          <w:rFonts w:asciiTheme="majorBidi" w:hAnsiTheme="majorBidi" w:cstheme="majorBidi"/>
          <w:sz w:val="24"/>
          <w:szCs w:val="24"/>
        </w:rPr>
        <w:t xml:space="preserve">the American Association of Tissue Banks, </w:t>
      </w:r>
      <w:r w:rsidR="00E17140">
        <w:rPr>
          <w:rFonts w:asciiTheme="majorBidi" w:hAnsiTheme="majorBidi" w:cstheme="majorBidi"/>
          <w:sz w:val="24"/>
          <w:szCs w:val="24"/>
        </w:rPr>
        <w:t xml:space="preserve">and </w:t>
      </w:r>
      <w:r>
        <w:rPr>
          <w:rFonts w:asciiTheme="majorBidi" w:hAnsiTheme="majorBidi" w:cstheme="majorBidi"/>
          <w:sz w:val="24"/>
          <w:szCs w:val="24"/>
        </w:rPr>
        <w:t xml:space="preserve">the Eye Bank Association of America to better understand donor referral </w:t>
      </w:r>
      <w:r w:rsidR="00E17140">
        <w:rPr>
          <w:rFonts w:asciiTheme="majorBidi" w:hAnsiTheme="majorBidi" w:cstheme="majorBidi"/>
          <w:sz w:val="24"/>
          <w:szCs w:val="24"/>
        </w:rPr>
        <w:t xml:space="preserve">and screening </w:t>
      </w:r>
      <w:r>
        <w:rPr>
          <w:rFonts w:asciiTheme="majorBidi" w:hAnsiTheme="majorBidi" w:cstheme="majorBidi"/>
          <w:sz w:val="24"/>
          <w:szCs w:val="24"/>
        </w:rPr>
        <w:t xml:space="preserve">processes, </w:t>
      </w:r>
      <w:r w:rsidR="00E17140">
        <w:rPr>
          <w:rFonts w:asciiTheme="majorBidi" w:hAnsiTheme="majorBidi" w:cstheme="majorBidi"/>
          <w:sz w:val="24"/>
          <w:szCs w:val="24"/>
        </w:rPr>
        <w:t xml:space="preserve">the various </w:t>
      </w:r>
      <w:r>
        <w:rPr>
          <w:rFonts w:asciiTheme="majorBidi" w:hAnsiTheme="majorBidi" w:cstheme="majorBidi"/>
          <w:sz w:val="24"/>
          <w:szCs w:val="24"/>
        </w:rPr>
        <w:t xml:space="preserve">data management systems used by organ, tissue, and eye </w:t>
      </w:r>
      <w:r w:rsidR="00E17140">
        <w:rPr>
          <w:rFonts w:asciiTheme="majorBidi" w:hAnsiTheme="majorBidi" w:cstheme="majorBidi"/>
          <w:sz w:val="24"/>
          <w:szCs w:val="24"/>
        </w:rPr>
        <w:t xml:space="preserve">banking </w:t>
      </w:r>
      <w:r>
        <w:rPr>
          <w:rFonts w:asciiTheme="majorBidi" w:hAnsiTheme="majorBidi" w:cstheme="majorBidi"/>
          <w:sz w:val="24"/>
          <w:szCs w:val="24"/>
        </w:rPr>
        <w:t>organizations, and</w:t>
      </w:r>
      <w:r w:rsidR="00E17140">
        <w:rPr>
          <w:rFonts w:asciiTheme="majorBidi" w:hAnsiTheme="majorBidi" w:cstheme="majorBidi"/>
          <w:sz w:val="24"/>
          <w:szCs w:val="24"/>
        </w:rPr>
        <w:t xml:space="preserve"> the variations in data collection procedures between organizations</w:t>
      </w:r>
      <w:r>
        <w:rPr>
          <w:rFonts w:asciiTheme="majorBidi" w:hAnsiTheme="majorBidi" w:cstheme="majorBidi"/>
          <w:sz w:val="24"/>
          <w:szCs w:val="24"/>
        </w:rPr>
        <w:t xml:space="preserve">.  </w:t>
      </w:r>
      <w:r w:rsidR="00251176">
        <w:rPr>
          <w:rFonts w:asciiTheme="majorBidi" w:hAnsiTheme="majorBidi" w:cstheme="majorBidi"/>
          <w:sz w:val="24"/>
          <w:szCs w:val="24"/>
        </w:rPr>
        <w:t>B</w:t>
      </w:r>
      <w:r w:rsidR="00E17140" w:rsidRPr="00E17140">
        <w:rPr>
          <w:rFonts w:asciiTheme="majorBidi" w:hAnsiTheme="majorBidi" w:cstheme="majorBidi"/>
          <w:sz w:val="24"/>
          <w:szCs w:val="24"/>
        </w:rPr>
        <w:t xml:space="preserve">asic information was </w:t>
      </w:r>
      <w:r w:rsidR="00251176">
        <w:rPr>
          <w:rFonts w:asciiTheme="majorBidi" w:hAnsiTheme="majorBidi" w:cstheme="majorBidi"/>
          <w:sz w:val="24"/>
          <w:szCs w:val="24"/>
        </w:rPr>
        <w:t>share</w:t>
      </w:r>
      <w:r w:rsidR="00E17140" w:rsidRPr="00E17140">
        <w:rPr>
          <w:rFonts w:asciiTheme="majorBidi" w:hAnsiTheme="majorBidi" w:cstheme="majorBidi"/>
          <w:sz w:val="24"/>
          <w:szCs w:val="24"/>
        </w:rPr>
        <w:t>d regarding</w:t>
      </w:r>
      <w:r w:rsidR="00251176">
        <w:rPr>
          <w:rFonts w:asciiTheme="majorBidi" w:hAnsiTheme="majorBidi" w:cstheme="majorBidi"/>
          <w:sz w:val="24"/>
          <w:szCs w:val="24"/>
        </w:rPr>
        <w:t xml:space="preserve"> geographic region</w:t>
      </w:r>
      <w:r w:rsidR="00E17140" w:rsidRPr="00E17140">
        <w:rPr>
          <w:rFonts w:asciiTheme="majorBidi" w:hAnsiTheme="majorBidi" w:cstheme="majorBidi"/>
          <w:sz w:val="24"/>
          <w:szCs w:val="24"/>
        </w:rPr>
        <w:t xml:space="preserve">, service area, population size, </w:t>
      </w:r>
      <w:r w:rsidR="00251176">
        <w:rPr>
          <w:rFonts w:asciiTheme="majorBidi" w:hAnsiTheme="majorBidi" w:cstheme="majorBidi"/>
          <w:sz w:val="24"/>
          <w:szCs w:val="24"/>
        </w:rPr>
        <w:t xml:space="preserve">referrals, </w:t>
      </w:r>
      <w:r w:rsidR="00E17140" w:rsidRPr="00E17140">
        <w:rPr>
          <w:rFonts w:asciiTheme="majorBidi" w:hAnsiTheme="majorBidi" w:cstheme="majorBidi"/>
          <w:sz w:val="24"/>
          <w:szCs w:val="24"/>
        </w:rPr>
        <w:t>don</w:t>
      </w:r>
      <w:r w:rsidR="00251176">
        <w:rPr>
          <w:rFonts w:asciiTheme="majorBidi" w:hAnsiTheme="majorBidi" w:cstheme="majorBidi"/>
          <w:sz w:val="24"/>
          <w:szCs w:val="24"/>
        </w:rPr>
        <w:t>ation</w:t>
      </w:r>
      <w:r w:rsidR="00E17140" w:rsidRPr="00E17140">
        <w:rPr>
          <w:rFonts w:asciiTheme="majorBidi" w:hAnsiTheme="majorBidi" w:cstheme="majorBidi"/>
          <w:sz w:val="24"/>
          <w:szCs w:val="24"/>
        </w:rPr>
        <w:t xml:space="preserve"> volume, data systems/features/resources, and willingness to participate. </w:t>
      </w:r>
      <w:r>
        <w:rPr>
          <w:rFonts w:asciiTheme="majorBidi" w:hAnsiTheme="majorBidi" w:cstheme="majorBidi"/>
          <w:sz w:val="24"/>
          <w:szCs w:val="24"/>
        </w:rPr>
        <w:t xml:space="preserve">The OPOs involved in these initial </w:t>
      </w:r>
      <w:r w:rsidR="00251176">
        <w:rPr>
          <w:rFonts w:asciiTheme="majorBidi" w:hAnsiTheme="majorBidi" w:cstheme="majorBidi"/>
          <w:sz w:val="24"/>
          <w:szCs w:val="24"/>
        </w:rPr>
        <w:t>discussion</w:t>
      </w:r>
      <w:r>
        <w:rPr>
          <w:rFonts w:asciiTheme="majorBidi" w:hAnsiTheme="majorBidi" w:cstheme="majorBidi"/>
          <w:sz w:val="24"/>
          <w:szCs w:val="24"/>
        </w:rPr>
        <w:t xml:space="preserve">s were identified in collaboration with HHS and the TODES Working Group, which </w:t>
      </w:r>
      <w:r w:rsidR="00E17140">
        <w:rPr>
          <w:rFonts w:asciiTheme="majorBidi" w:hAnsiTheme="majorBidi" w:cstheme="majorBidi"/>
          <w:sz w:val="24"/>
          <w:szCs w:val="24"/>
        </w:rPr>
        <w:t xml:space="preserve">included </w:t>
      </w:r>
      <w:r>
        <w:rPr>
          <w:rFonts w:asciiTheme="majorBidi" w:hAnsiTheme="majorBidi" w:cstheme="majorBidi"/>
          <w:sz w:val="24"/>
          <w:szCs w:val="24"/>
        </w:rPr>
        <w:t>OPO representation</w:t>
      </w:r>
      <w:r w:rsidR="00E17140">
        <w:rPr>
          <w:rFonts w:asciiTheme="majorBidi" w:hAnsiTheme="majorBidi" w:cstheme="majorBidi"/>
          <w:sz w:val="24"/>
          <w:szCs w:val="24"/>
        </w:rPr>
        <w:t xml:space="preserve">, </w:t>
      </w:r>
      <w:r>
        <w:rPr>
          <w:rFonts w:asciiTheme="majorBidi" w:hAnsiTheme="majorBidi" w:cstheme="majorBidi"/>
          <w:sz w:val="24"/>
          <w:szCs w:val="24"/>
        </w:rPr>
        <w:t xml:space="preserve">Federal </w:t>
      </w:r>
      <w:r w:rsidR="00E17140">
        <w:rPr>
          <w:rFonts w:asciiTheme="majorBidi" w:hAnsiTheme="majorBidi" w:cstheme="majorBidi"/>
          <w:sz w:val="24"/>
          <w:szCs w:val="24"/>
        </w:rPr>
        <w:t xml:space="preserve">partners, and clinical </w:t>
      </w:r>
      <w:r>
        <w:rPr>
          <w:rFonts w:asciiTheme="majorBidi" w:hAnsiTheme="majorBidi" w:cstheme="majorBidi"/>
          <w:sz w:val="24"/>
          <w:szCs w:val="24"/>
        </w:rPr>
        <w:t>advisors.  </w:t>
      </w:r>
      <w:r w:rsidR="00E17140">
        <w:rPr>
          <w:rFonts w:asciiTheme="majorBidi" w:hAnsiTheme="majorBidi" w:cstheme="majorBidi"/>
          <w:sz w:val="24"/>
          <w:szCs w:val="24"/>
        </w:rPr>
        <w:t xml:space="preserve">The Working Group </w:t>
      </w:r>
      <w:r w:rsidR="00251176">
        <w:rPr>
          <w:rFonts w:asciiTheme="majorBidi" w:hAnsiTheme="majorBidi" w:cstheme="majorBidi"/>
          <w:sz w:val="24"/>
          <w:szCs w:val="24"/>
        </w:rPr>
        <w:t xml:space="preserve">also </w:t>
      </w:r>
      <w:r w:rsidR="00E17140">
        <w:rPr>
          <w:rFonts w:asciiTheme="majorBidi" w:hAnsiTheme="majorBidi" w:cstheme="majorBidi"/>
          <w:sz w:val="24"/>
          <w:szCs w:val="24"/>
        </w:rPr>
        <w:t>provided input on the</w:t>
      </w:r>
      <w:r>
        <w:rPr>
          <w:rFonts w:asciiTheme="majorBidi" w:hAnsiTheme="majorBidi" w:cstheme="majorBidi"/>
          <w:sz w:val="24"/>
          <w:szCs w:val="24"/>
        </w:rPr>
        <w:t xml:space="preserve"> study aims </w:t>
      </w:r>
      <w:r w:rsidR="00E17140">
        <w:rPr>
          <w:rFonts w:asciiTheme="majorBidi" w:hAnsiTheme="majorBidi" w:cstheme="majorBidi"/>
          <w:sz w:val="24"/>
          <w:szCs w:val="24"/>
        </w:rPr>
        <w:t xml:space="preserve">and </w:t>
      </w:r>
      <w:r w:rsidR="00251176">
        <w:rPr>
          <w:rFonts w:asciiTheme="majorBidi" w:hAnsiTheme="majorBidi" w:cstheme="majorBidi"/>
          <w:sz w:val="24"/>
          <w:szCs w:val="24"/>
        </w:rPr>
        <w:t xml:space="preserve">data </w:t>
      </w:r>
      <w:r>
        <w:rPr>
          <w:rFonts w:asciiTheme="majorBidi" w:hAnsiTheme="majorBidi" w:cstheme="majorBidi"/>
          <w:sz w:val="24"/>
          <w:szCs w:val="24"/>
        </w:rPr>
        <w:t xml:space="preserve">variables </w:t>
      </w:r>
      <w:r w:rsidR="00E17140">
        <w:rPr>
          <w:rFonts w:asciiTheme="majorBidi" w:hAnsiTheme="majorBidi" w:cstheme="majorBidi"/>
          <w:sz w:val="24"/>
          <w:szCs w:val="24"/>
        </w:rPr>
        <w:t>of interest</w:t>
      </w:r>
      <w:r>
        <w:rPr>
          <w:rFonts w:asciiTheme="majorBidi" w:hAnsiTheme="majorBidi" w:cstheme="majorBidi"/>
          <w:sz w:val="24"/>
          <w:szCs w:val="24"/>
        </w:rPr>
        <w:t xml:space="preserve">.  </w:t>
      </w:r>
      <w:r w:rsidR="00251176">
        <w:rPr>
          <w:rFonts w:asciiTheme="majorBidi" w:hAnsiTheme="majorBidi" w:cstheme="majorBidi"/>
          <w:sz w:val="24"/>
          <w:szCs w:val="24"/>
        </w:rPr>
        <w:t>These discussions provided</w:t>
      </w:r>
      <w:r>
        <w:rPr>
          <w:rFonts w:asciiTheme="majorBidi" w:hAnsiTheme="majorBidi" w:cstheme="majorBidi"/>
          <w:sz w:val="24"/>
          <w:szCs w:val="24"/>
        </w:rPr>
        <w:t xml:space="preserve"> RTI </w:t>
      </w:r>
      <w:r w:rsidR="00251176">
        <w:rPr>
          <w:rFonts w:asciiTheme="majorBidi" w:hAnsiTheme="majorBidi" w:cstheme="majorBidi"/>
          <w:sz w:val="24"/>
          <w:szCs w:val="24"/>
        </w:rPr>
        <w:lastRenderedPageBreak/>
        <w:t xml:space="preserve">with </w:t>
      </w:r>
      <w:r>
        <w:rPr>
          <w:rFonts w:asciiTheme="majorBidi" w:hAnsiTheme="majorBidi" w:cstheme="majorBidi"/>
          <w:sz w:val="24"/>
          <w:szCs w:val="24"/>
        </w:rPr>
        <w:t>a bette</w:t>
      </w:r>
      <w:r w:rsidR="00251176">
        <w:rPr>
          <w:rFonts w:asciiTheme="majorBidi" w:hAnsiTheme="majorBidi" w:cstheme="majorBidi"/>
          <w:sz w:val="24"/>
          <w:szCs w:val="24"/>
        </w:rPr>
        <w:t xml:space="preserve">r understanding of the donor selection process, </w:t>
      </w:r>
      <w:r>
        <w:rPr>
          <w:rFonts w:asciiTheme="majorBidi" w:hAnsiTheme="majorBidi" w:cstheme="majorBidi"/>
          <w:sz w:val="24"/>
          <w:szCs w:val="24"/>
        </w:rPr>
        <w:t xml:space="preserve">as well as the </w:t>
      </w:r>
      <w:r w:rsidR="00251176">
        <w:rPr>
          <w:rFonts w:asciiTheme="majorBidi" w:hAnsiTheme="majorBidi" w:cstheme="majorBidi"/>
          <w:sz w:val="24"/>
          <w:szCs w:val="24"/>
        </w:rPr>
        <w:t xml:space="preserve">resulting data records generated and stored by </w:t>
      </w:r>
      <w:r>
        <w:rPr>
          <w:rFonts w:asciiTheme="majorBidi" w:hAnsiTheme="majorBidi" w:cstheme="majorBidi"/>
          <w:sz w:val="24"/>
          <w:szCs w:val="24"/>
        </w:rPr>
        <w:t>organ, tissu</w:t>
      </w:r>
      <w:r w:rsidR="00693B97">
        <w:rPr>
          <w:rFonts w:asciiTheme="majorBidi" w:hAnsiTheme="majorBidi" w:cstheme="majorBidi"/>
          <w:sz w:val="24"/>
          <w:szCs w:val="24"/>
        </w:rPr>
        <w:t>e, and eye donor organizations.</w:t>
      </w:r>
    </w:p>
    <w:p w:rsidR="007F756E" w:rsidRDefault="007F756E" w:rsidP="00247293">
      <w:pPr>
        <w:rPr>
          <w:rFonts w:asciiTheme="majorBidi" w:hAnsiTheme="majorBidi" w:cstheme="majorBidi"/>
          <w:sz w:val="24"/>
          <w:szCs w:val="24"/>
          <w:highlight w:val="cyan"/>
        </w:rPr>
      </w:pPr>
      <w:r>
        <w:rPr>
          <w:rFonts w:asciiTheme="majorBidi" w:hAnsiTheme="majorBidi" w:cstheme="majorBidi"/>
          <w:sz w:val="24"/>
          <w:szCs w:val="24"/>
        </w:rPr>
        <w:t>In March of 2014, RTI held an in-person meeting with representatives of four regional OPOs to review the study objectives and discuss the data variables</w:t>
      </w:r>
      <w:r w:rsidR="00693B97">
        <w:rPr>
          <w:rFonts w:asciiTheme="majorBidi" w:hAnsiTheme="majorBidi" w:cstheme="majorBidi"/>
          <w:sz w:val="24"/>
          <w:szCs w:val="24"/>
        </w:rPr>
        <w:t xml:space="preserve"> under consideration</w:t>
      </w:r>
      <w:r>
        <w:rPr>
          <w:rFonts w:asciiTheme="majorBidi" w:hAnsiTheme="majorBidi" w:cstheme="majorBidi"/>
          <w:sz w:val="24"/>
          <w:szCs w:val="24"/>
        </w:rPr>
        <w:t xml:space="preserve">.  This face-to-face discussion informed the </w:t>
      </w:r>
      <w:r w:rsidR="00693B97">
        <w:rPr>
          <w:rFonts w:asciiTheme="majorBidi" w:hAnsiTheme="majorBidi" w:cstheme="majorBidi"/>
          <w:sz w:val="24"/>
          <w:szCs w:val="24"/>
        </w:rPr>
        <w:t xml:space="preserve">final </w:t>
      </w:r>
      <w:r>
        <w:rPr>
          <w:rFonts w:asciiTheme="majorBidi" w:hAnsiTheme="majorBidi" w:cstheme="majorBidi"/>
          <w:sz w:val="24"/>
          <w:szCs w:val="24"/>
        </w:rPr>
        <w:t xml:space="preserve">data variables list, </w:t>
      </w:r>
      <w:r w:rsidR="00693B97">
        <w:rPr>
          <w:rFonts w:asciiTheme="majorBidi" w:hAnsiTheme="majorBidi" w:cstheme="majorBidi"/>
          <w:sz w:val="24"/>
          <w:szCs w:val="24"/>
        </w:rPr>
        <w:t xml:space="preserve">and, </w:t>
      </w:r>
      <w:r>
        <w:rPr>
          <w:rFonts w:asciiTheme="majorBidi" w:hAnsiTheme="majorBidi" w:cstheme="majorBidi"/>
          <w:sz w:val="24"/>
          <w:szCs w:val="24"/>
        </w:rPr>
        <w:t xml:space="preserve">due to </w:t>
      </w:r>
      <w:r w:rsidR="00693B97">
        <w:rPr>
          <w:rFonts w:asciiTheme="majorBidi" w:hAnsiTheme="majorBidi" w:cstheme="majorBidi"/>
          <w:sz w:val="24"/>
          <w:szCs w:val="24"/>
        </w:rPr>
        <w:t xml:space="preserve">direct </w:t>
      </w:r>
      <w:r>
        <w:rPr>
          <w:rFonts w:asciiTheme="majorBidi" w:hAnsiTheme="majorBidi" w:cstheme="majorBidi"/>
          <w:sz w:val="24"/>
          <w:szCs w:val="24"/>
        </w:rPr>
        <w:t>OPO participation</w:t>
      </w:r>
      <w:r w:rsidR="00693B97">
        <w:rPr>
          <w:rFonts w:asciiTheme="majorBidi" w:hAnsiTheme="majorBidi" w:cstheme="majorBidi"/>
          <w:sz w:val="24"/>
          <w:szCs w:val="24"/>
        </w:rPr>
        <w:t xml:space="preserve">, will </w:t>
      </w:r>
      <w:r>
        <w:rPr>
          <w:rFonts w:asciiTheme="majorBidi" w:hAnsiTheme="majorBidi" w:cstheme="majorBidi"/>
          <w:sz w:val="24"/>
          <w:szCs w:val="24"/>
        </w:rPr>
        <w:t>encourage</w:t>
      </w:r>
      <w:r w:rsidR="00693B97">
        <w:rPr>
          <w:rFonts w:asciiTheme="majorBidi" w:hAnsiTheme="majorBidi" w:cstheme="majorBidi"/>
          <w:sz w:val="24"/>
          <w:szCs w:val="24"/>
        </w:rPr>
        <w:t xml:space="preserve"> study participation</w:t>
      </w:r>
      <w:r>
        <w:rPr>
          <w:rFonts w:asciiTheme="majorBidi" w:hAnsiTheme="majorBidi" w:cstheme="majorBidi"/>
          <w:sz w:val="24"/>
          <w:szCs w:val="24"/>
        </w:rPr>
        <w:t>.  The extensive planning</w:t>
      </w:r>
      <w:r w:rsidR="00247293">
        <w:rPr>
          <w:rFonts w:asciiTheme="majorBidi" w:hAnsiTheme="majorBidi" w:cstheme="majorBidi"/>
          <w:sz w:val="24"/>
          <w:szCs w:val="24"/>
        </w:rPr>
        <w:t xml:space="preserve"> discussions</w:t>
      </w:r>
      <w:r>
        <w:rPr>
          <w:rFonts w:asciiTheme="majorBidi" w:hAnsiTheme="majorBidi" w:cstheme="majorBidi"/>
          <w:sz w:val="24"/>
          <w:szCs w:val="24"/>
        </w:rPr>
        <w:t xml:space="preserve">, the involvement of UNOS, and additional </w:t>
      </w:r>
      <w:r w:rsidR="00247293">
        <w:rPr>
          <w:rFonts w:asciiTheme="majorBidi" w:hAnsiTheme="majorBidi" w:cstheme="majorBidi"/>
          <w:sz w:val="24"/>
          <w:szCs w:val="24"/>
        </w:rPr>
        <w:t>technical assistance and support to the participants</w:t>
      </w:r>
      <w:r>
        <w:rPr>
          <w:rFonts w:asciiTheme="majorBidi" w:hAnsiTheme="majorBidi" w:cstheme="majorBidi"/>
          <w:sz w:val="24"/>
          <w:szCs w:val="24"/>
        </w:rPr>
        <w:t xml:space="preserve"> will greatly reduce t</w:t>
      </w:r>
      <w:r w:rsidR="00247293">
        <w:rPr>
          <w:rFonts w:asciiTheme="majorBidi" w:hAnsiTheme="majorBidi" w:cstheme="majorBidi"/>
          <w:sz w:val="24"/>
          <w:szCs w:val="24"/>
        </w:rPr>
        <w:t>he</w:t>
      </w:r>
      <w:r>
        <w:rPr>
          <w:rFonts w:asciiTheme="majorBidi" w:hAnsiTheme="majorBidi" w:cstheme="majorBidi"/>
          <w:sz w:val="24"/>
          <w:szCs w:val="24"/>
        </w:rPr>
        <w:t xml:space="preserve"> burden o</w:t>
      </w:r>
      <w:r w:rsidR="00247293">
        <w:rPr>
          <w:rFonts w:asciiTheme="majorBidi" w:hAnsiTheme="majorBidi" w:cstheme="majorBidi"/>
          <w:sz w:val="24"/>
          <w:szCs w:val="24"/>
        </w:rPr>
        <w:t>f data extraction on the participants</w:t>
      </w:r>
      <w:r>
        <w:rPr>
          <w:rFonts w:asciiTheme="majorBidi" w:hAnsiTheme="majorBidi" w:cstheme="majorBidi"/>
          <w:sz w:val="24"/>
          <w:szCs w:val="24"/>
        </w:rPr>
        <w:t xml:space="preserve">.  </w:t>
      </w:r>
      <w:r w:rsidR="00E17140" w:rsidRPr="00E17140">
        <w:rPr>
          <w:rFonts w:asciiTheme="majorBidi" w:hAnsiTheme="majorBidi" w:cstheme="majorBidi"/>
          <w:sz w:val="24"/>
          <w:szCs w:val="24"/>
        </w:rPr>
        <w:t xml:space="preserve">TODES will </w:t>
      </w:r>
      <w:r w:rsidR="00247293">
        <w:rPr>
          <w:rFonts w:asciiTheme="majorBidi" w:hAnsiTheme="majorBidi" w:cstheme="majorBidi"/>
          <w:sz w:val="24"/>
          <w:szCs w:val="24"/>
        </w:rPr>
        <w:t xml:space="preserve">directly </w:t>
      </w:r>
      <w:r w:rsidR="00E17140" w:rsidRPr="00E17140">
        <w:rPr>
          <w:rFonts w:asciiTheme="majorBidi" w:hAnsiTheme="majorBidi" w:cstheme="majorBidi"/>
          <w:sz w:val="24"/>
          <w:szCs w:val="24"/>
        </w:rPr>
        <w:t>obtain some of the organ donor/donation data from the United Network for Organ Sharing (UNOS) which operates a centralized national Organ Procurement and Transplantation Network (OPTN) for the purpose of managing the nation’s organ transplantation system under contract with the U.S. Department of Health and Human Services</w:t>
      </w:r>
      <w:r w:rsidR="00251176">
        <w:rPr>
          <w:rFonts w:asciiTheme="majorBidi" w:hAnsiTheme="majorBidi" w:cstheme="majorBidi"/>
          <w:sz w:val="24"/>
          <w:szCs w:val="24"/>
        </w:rPr>
        <w:t xml:space="preserve">. </w:t>
      </w:r>
      <w:r w:rsidR="00E17140" w:rsidRPr="00E17140">
        <w:rPr>
          <w:rFonts w:asciiTheme="majorBidi" w:hAnsiTheme="majorBidi" w:cstheme="majorBidi"/>
          <w:sz w:val="24"/>
          <w:szCs w:val="24"/>
        </w:rPr>
        <w:t xml:space="preserve"> </w:t>
      </w:r>
      <w:r w:rsidR="00251176">
        <w:rPr>
          <w:rFonts w:asciiTheme="majorBidi" w:hAnsiTheme="majorBidi" w:cstheme="majorBidi"/>
          <w:sz w:val="24"/>
          <w:szCs w:val="24"/>
        </w:rPr>
        <w:t xml:space="preserve">This will </w:t>
      </w:r>
      <w:r w:rsidR="00247293">
        <w:rPr>
          <w:rFonts w:asciiTheme="majorBidi" w:hAnsiTheme="majorBidi" w:cstheme="majorBidi"/>
          <w:sz w:val="24"/>
          <w:szCs w:val="24"/>
        </w:rPr>
        <w:t xml:space="preserve">further </w:t>
      </w:r>
      <w:r w:rsidR="00251176">
        <w:rPr>
          <w:rFonts w:asciiTheme="majorBidi" w:hAnsiTheme="majorBidi" w:cstheme="majorBidi"/>
          <w:sz w:val="24"/>
          <w:szCs w:val="24"/>
        </w:rPr>
        <w:t>reduce the burden on the participating organizations and</w:t>
      </w:r>
      <w:r>
        <w:rPr>
          <w:rFonts w:asciiTheme="majorBidi" w:hAnsiTheme="majorBidi" w:cstheme="majorBidi"/>
          <w:sz w:val="24"/>
          <w:szCs w:val="24"/>
        </w:rPr>
        <w:t xml:space="preserve"> result </w:t>
      </w:r>
      <w:r w:rsidR="00251176">
        <w:rPr>
          <w:rFonts w:asciiTheme="majorBidi" w:hAnsiTheme="majorBidi" w:cstheme="majorBidi"/>
          <w:sz w:val="24"/>
          <w:szCs w:val="24"/>
        </w:rPr>
        <w:t xml:space="preserve">in </w:t>
      </w:r>
      <w:r>
        <w:rPr>
          <w:rFonts w:asciiTheme="majorBidi" w:hAnsiTheme="majorBidi" w:cstheme="majorBidi"/>
          <w:sz w:val="24"/>
          <w:szCs w:val="24"/>
        </w:rPr>
        <w:t xml:space="preserve">a high degree of study cooperation and completion among those organizations </w:t>
      </w:r>
      <w:r w:rsidR="00C17E03">
        <w:rPr>
          <w:rFonts w:asciiTheme="majorBidi" w:hAnsiTheme="majorBidi" w:cstheme="majorBidi"/>
          <w:sz w:val="24"/>
          <w:szCs w:val="24"/>
        </w:rPr>
        <w:t xml:space="preserve">that </w:t>
      </w:r>
      <w:r>
        <w:rPr>
          <w:rFonts w:asciiTheme="majorBidi" w:hAnsiTheme="majorBidi" w:cstheme="majorBidi"/>
          <w:sz w:val="24"/>
          <w:szCs w:val="24"/>
        </w:rPr>
        <w:t>agreed to participate in the study.</w:t>
      </w:r>
    </w:p>
    <w:p w:rsidR="007F756E" w:rsidRDefault="007F756E" w:rsidP="007F756E">
      <w:pPr>
        <w:autoSpaceDE w:val="0"/>
        <w:autoSpaceDN w:val="0"/>
        <w:adjustRightInd w:val="0"/>
        <w:spacing w:after="0" w:line="240" w:lineRule="auto"/>
        <w:rPr>
          <w:rFonts w:ascii="Arial" w:hAnsi="Arial" w:cs="Arial"/>
        </w:rPr>
      </w:pPr>
    </w:p>
    <w:p w:rsidR="007F756E" w:rsidRDefault="007F756E" w:rsidP="007F756E">
      <w:pPr>
        <w:autoSpaceDE w:val="0"/>
        <w:autoSpaceDN w:val="0"/>
        <w:adjustRightInd w:val="0"/>
        <w:spacing w:after="0" w:line="240" w:lineRule="auto"/>
        <w:rPr>
          <w:rFonts w:ascii="Arial" w:hAnsi="Arial" w:cs="Arial"/>
          <w:b/>
        </w:rPr>
      </w:pPr>
      <w:r>
        <w:rPr>
          <w:rFonts w:ascii="Arial" w:hAnsi="Arial" w:cs="Arial"/>
          <w:b/>
        </w:rPr>
        <w:t xml:space="preserve">B.4. Test of Procedures or Methods to be </w:t>
      </w:r>
      <w:proofErr w:type="gramStart"/>
      <w:r>
        <w:rPr>
          <w:rFonts w:ascii="Arial" w:hAnsi="Arial" w:cs="Arial"/>
          <w:b/>
        </w:rPr>
        <w:t>Undertaken</w:t>
      </w:r>
      <w:proofErr w:type="gramEnd"/>
    </w:p>
    <w:p w:rsidR="007F756E" w:rsidRDefault="007F756E" w:rsidP="007F756E">
      <w:pPr>
        <w:autoSpaceDE w:val="0"/>
        <w:autoSpaceDN w:val="0"/>
        <w:adjustRightInd w:val="0"/>
        <w:spacing w:after="0" w:line="240" w:lineRule="auto"/>
        <w:rPr>
          <w:rFonts w:ascii="Arial" w:hAnsi="Arial" w:cs="Arial"/>
          <w:b/>
        </w:rPr>
      </w:pPr>
    </w:p>
    <w:p w:rsidR="007F756E" w:rsidRDefault="007F756E" w:rsidP="007F756E">
      <w:pPr>
        <w:rPr>
          <w:rFonts w:asciiTheme="minorBidi" w:hAnsiTheme="minorBidi"/>
          <w:b/>
          <w:bCs/>
        </w:rPr>
      </w:pPr>
      <w:r>
        <w:rPr>
          <w:rFonts w:asciiTheme="minorBidi" w:hAnsiTheme="minorBidi"/>
          <w:b/>
          <w:bCs/>
        </w:rPr>
        <w:t>Viral Prevalence</w:t>
      </w:r>
    </w:p>
    <w:p w:rsidR="007F756E" w:rsidRDefault="007F756E" w:rsidP="00693B97">
      <w:pPr>
        <w:rPr>
          <w:rFonts w:asciiTheme="majorBidi" w:hAnsiTheme="majorBidi" w:cstheme="majorBidi"/>
          <w:sz w:val="24"/>
          <w:szCs w:val="24"/>
        </w:rPr>
      </w:pPr>
      <w:r>
        <w:rPr>
          <w:rFonts w:asciiTheme="majorBidi" w:hAnsiTheme="majorBidi" w:cstheme="majorBidi"/>
          <w:sz w:val="24"/>
          <w:szCs w:val="24"/>
        </w:rPr>
        <w:t>Serological assay results will be used to calculate unadjusted prevalence estimates f</w:t>
      </w:r>
      <w:r w:rsidR="00C17E03">
        <w:rPr>
          <w:rFonts w:asciiTheme="majorBidi" w:hAnsiTheme="majorBidi" w:cstheme="majorBidi"/>
          <w:sz w:val="24"/>
          <w:szCs w:val="24"/>
        </w:rPr>
        <w:t>or</w:t>
      </w:r>
      <w:r>
        <w:rPr>
          <w:rFonts w:asciiTheme="majorBidi" w:hAnsiTheme="majorBidi" w:cstheme="majorBidi"/>
          <w:sz w:val="24"/>
          <w:szCs w:val="24"/>
        </w:rPr>
        <w:t xml:space="preserve"> HIV, as well as </w:t>
      </w:r>
      <w:r w:rsidR="00C17E03">
        <w:rPr>
          <w:rFonts w:asciiTheme="majorBidi" w:hAnsiTheme="majorBidi" w:cstheme="majorBidi"/>
          <w:sz w:val="24"/>
          <w:szCs w:val="24"/>
        </w:rPr>
        <w:t xml:space="preserve">the </w:t>
      </w:r>
      <w:r>
        <w:rPr>
          <w:rFonts w:asciiTheme="majorBidi" w:hAnsiTheme="majorBidi" w:cstheme="majorBidi"/>
          <w:sz w:val="24"/>
          <w:szCs w:val="24"/>
        </w:rPr>
        <w:t>prevalence of HBV and HCV</w:t>
      </w:r>
      <w:r w:rsidR="00286BFA">
        <w:rPr>
          <w:rFonts w:asciiTheme="majorBidi" w:hAnsiTheme="majorBidi" w:cstheme="majorBidi"/>
          <w:sz w:val="24"/>
          <w:szCs w:val="24"/>
        </w:rPr>
        <w:t xml:space="preserve"> </w:t>
      </w:r>
      <w:proofErr w:type="spellStart"/>
      <w:r w:rsidR="00693B97">
        <w:rPr>
          <w:rFonts w:asciiTheme="majorBidi" w:hAnsiTheme="majorBidi" w:cstheme="majorBidi"/>
          <w:sz w:val="24"/>
          <w:szCs w:val="24"/>
        </w:rPr>
        <w:t>seropositivity</w:t>
      </w:r>
      <w:proofErr w:type="spellEnd"/>
      <w:r>
        <w:rPr>
          <w:rFonts w:asciiTheme="majorBidi" w:hAnsiTheme="majorBidi" w:cstheme="majorBidi"/>
          <w:sz w:val="24"/>
          <w:szCs w:val="24"/>
        </w:rPr>
        <w:t xml:space="preserve">. </w:t>
      </w:r>
      <w:r w:rsidR="00C17E03">
        <w:rPr>
          <w:rFonts w:asciiTheme="majorBidi" w:hAnsiTheme="majorBidi" w:cstheme="majorBidi"/>
          <w:sz w:val="24"/>
          <w:szCs w:val="24"/>
        </w:rPr>
        <w:t>S</w:t>
      </w:r>
      <w:r>
        <w:rPr>
          <w:rFonts w:asciiTheme="majorBidi" w:hAnsiTheme="majorBidi" w:cstheme="majorBidi"/>
          <w:sz w:val="24"/>
          <w:szCs w:val="24"/>
        </w:rPr>
        <w:t xml:space="preserve">erological results </w:t>
      </w:r>
      <w:r w:rsidR="00C17E03">
        <w:rPr>
          <w:rFonts w:asciiTheme="majorBidi" w:hAnsiTheme="majorBidi" w:cstheme="majorBidi"/>
          <w:sz w:val="24"/>
          <w:szCs w:val="24"/>
        </w:rPr>
        <w:t xml:space="preserve">will be available for all donors, </w:t>
      </w:r>
      <w:r>
        <w:rPr>
          <w:rFonts w:asciiTheme="majorBidi" w:hAnsiTheme="majorBidi" w:cstheme="majorBidi"/>
          <w:sz w:val="24"/>
          <w:szCs w:val="24"/>
        </w:rPr>
        <w:t xml:space="preserve">and </w:t>
      </w:r>
      <w:r w:rsidR="00C17E03">
        <w:rPr>
          <w:rFonts w:asciiTheme="majorBidi" w:hAnsiTheme="majorBidi" w:cstheme="majorBidi"/>
          <w:sz w:val="24"/>
          <w:szCs w:val="24"/>
        </w:rPr>
        <w:t>some OPOs will provide nucleic acid test (</w:t>
      </w:r>
      <w:r>
        <w:rPr>
          <w:rFonts w:asciiTheme="majorBidi" w:hAnsiTheme="majorBidi" w:cstheme="majorBidi"/>
          <w:sz w:val="24"/>
          <w:szCs w:val="24"/>
        </w:rPr>
        <w:t>NAT</w:t>
      </w:r>
      <w:r w:rsidR="00C17E03">
        <w:rPr>
          <w:rFonts w:asciiTheme="majorBidi" w:hAnsiTheme="majorBidi" w:cstheme="majorBidi"/>
          <w:sz w:val="24"/>
          <w:szCs w:val="24"/>
        </w:rPr>
        <w:t>)</w:t>
      </w:r>
      <w:r>
        <w:rPr>
          <w:rFonts w:asciiTheme="majorBidi" w:hAnsiTheme="majorBidi" w:cstheme="majorBidi"/>
          <w:sz w:val="24"/>
          <w:szCs w:val="24"/>
        </w:rPr>
        <w:t xml:space="preserve"> results</w:t>
      </w:r>
      <w:r w:rsidR="00C17E03">
        <w:rPr>
          <w:rFonts w:asciiTheme="majorBidi" w:hAnsiTheme="majorBidi" w:cstheme="majorBidi"/>
          <w:sz w:val="24"/>
          <w:szCs w:val="24"/>
        </w:rPr>
        <w:t>.</w:t>
      </w:r>
    </w:p>
    <w:p w:rsidR="007F756E" w:rsidRDefault="007F756E" w:rsidP="007F756E">
      <w:pPr>
        <w:rPr>
          <w:rFonts w:asciiTheme="majorBidi" w:hAnsiTheme="majorBidi" w:cstheme="majorBidi"/>
          <w:sz w:val="24"/>
          <w:szCs w:val="24"/>
        </w:rPr>
      </w:pPr>
      <w:r>
        <w:rPr>
          <w:rFonts w:asciiTheme="majorBidi" w:hAnsiTheme="majorBidi" w:cstheme="majorBidi"/>
          <w:sz w:val="24"/>
          <w:szCs w:val="24"/>
        </w:rPr>
        <w:t>In addition to estimating prevalence, the PROC FREQ procedure in SAS</w:t>
      </w:r>
      <w:r w:rsidR="00C17E03">
        <w:rPr>
          <w:rFonts w:asciiTheme="majorBidi" w:hAnsiTheme="majorBidi" w:cstheme="majorBidi"/>
          <w:sz w:val="24"/>
          <w:szCs w:val="24"/>
        </w:rPr>
        <w:t>™ (Cary, NC)</w:t>
      </w:r>
      <w:r>
        <w:rPr>
          <w:rFonts w:asciiTheme="majorBidi" w:hAnsiTheme="majorBidi" w:cstheme="majorBidi"/>
          <w:sz w:val="24"/>
          <w:szCs w:val="24"/>
        </w:rPr>
        <w:t xml:space="preserve"> and the </w:t>
      </w:r>
      <w:proofErr w:type="spellStart"/>
      <w:r>
        <w:rPr>
          <w:rFonts w:asciiTheme="majorBidi" w:hAnsiTheme="majorBidi" w:cstheme="majorBidi"/>
          <w:sz w:val="24"/>
          <w:szCs w:val="24"/>
        </w:rPr>
        <w:t>Clopper</w:t>
      </w:r>
      <w:proofErr w:type="spellEnd"/>
      <w:r>
        <w:rPr>
          <w:rFonts w:asciiTheme="majorBidi" w:hAnsiTheme="majorBidi" w:cstheme="majorBidi"/>
          <w:sz w:val="24"/>
          <w:szCs w:val="24"/>
        </w:rPr>
        <w:t>-Pearson method will be used to calculate exact confidence intervals for the prevalence. If the observed prevalence is zero, then an upper limit will be estimated and the lower limit will be set to 0. The target Type I error for the exact confidence intervals will be 0.05.</w:t>
      </w:r>
    </w:p>
    <w:p w:rsidR="007F756E" w:rsidRDefault="007F756E" w:rsidP="007F756E">
      <w:pPr>
        <w:rPr>
          <w:rFonts w:asciiTheme="majorBidi" w:hAnsiTheme="majorBidi" w:cstheme="majorBidi"/>
          <w:sz w:val="24"/>
          <w:szCs w:val="24"/>
        </w:rPr>
      </w:pPr>
      <w:r>
        <w:rPr>
          <w:rFonts w:asciiTheme="majorBidi" w:hAnsiTheme="majorBidi" w:cstheme="majorBidi"/>
          <w:sz w:val="24"/>
          <w:szCs w:val="24"/>
        </w:rPr>
        <w:t>Fisher’s exact test will be used to compare prevalence by binary variables such as sex or high risk status. Logistic regression models will be used to model prevalence as a function of multiple donor characteristics such as sex, high risk, age at death, cause of death, etc. Where possible, these logistic models will be estimated using exact methods available in PROC LOGISTIC.</w:t>
      </w:r>
    </w:p>
    <w:p w:rsidR="007F756E" w:rsidRDefault="007F756E" w:rsidP="007F756E">
      <w:pPr>
        <w:rPr>
          <w:rFonts w:asciiTheme="minorBidi" w:hAnsiTheme="minorBidi"/>
          <w:b/>
          <w:bCs/>
        </w:rPr>
      </w:pPr>
      <w:r>
        <w:rPr>
          <w:rFonts w:asciiTheme="minorBidi" w:hAnsiTheme="minorBidi"/>
          <w:b/>
          <w:bCs/>
        </w:rPr>
        <w:t>Viral Incidence</w:t>
      </w:r>
    </w:p>
    <w:p w:rsidR="007F756E" w:rsidRDefault="007F756E" w:rsidP="007F756E">
      <w:pPr>
        <w:rPr>
          <w:rFonts w:asciiTheme="majorBidi" w:hAnsiTheme="majorBidi" w:cstheme="majorBidi"/>
          <w:sz w:val="24"/>
          <w:szCs w:val="24"/>
        </w:rPr>
      </w:pPr>
      <w:r>
        <w:rPr>
          <w:rFonts w:asciiTheme="majorBidi" w:hAnsiTheme="majorBidi" w:cstheme="majorBidi"/>
          <w:sz w:val="24"/>
          <w:szCs w:val="24"/>
        </w:rPr>
        <w:t xml:space="preserve">Because the data available for this study are cross-sectional, direct incidence estimation is not possible; however, the method of Zou et al (2004) will be used to indirectly estimate viral incidence.  The method used by Zou estimated the incidence of HBV, HCV, HIV, and HTLV by applying estimates of age- and sex-specific incidence rates for first-time blood donors to tissue donors. The incidence rates in blood donors were adjusted to tissue donors using the ratio of the prevalence rates in blood and tissue donors. We will use a similar approach by utilizing prevalence and incidence data from blood donors obtained from an appropriate </w:t>
      </w:r>
      <w:r w:rsidR="00C17E03">
        <w:rPr>
          <w:rFonts w:asciiTheme="majorBidi" w:hAnsiTheme="majorBidi" w:cstheme="majorBidi"/>
          <w:sz w:val="24"/>
          <w:szCs w:val="24"/>
        </w:rPr>
        <w:t xml:space="preserve">existing </w:t>
      </w:r>
      <w:r>
        <w:rPr>
          <w:rFonts w:asciiTheme="majorBidi" w:hAnsiTheme="majorBidi" w:cstheme="majorBidi"/>
          <w:sz w:val="24"/>
          <w:szCs w:val="24"/>
        </w:rPr>
        <w:t xml:space="preserve">blood </w:t>
      </w:r>
      <w:r>
        <w:rPr>
          <w:rFonts w:asciiTheme="majorBidi" w:hAnsiTheme="majorBidi" w:cstheme="majorBidi"/>
          <w:sz w:val="24"/>
          <w:szCs w:val="24"/>
        </w:rPr>
        <w:lastRenderedPageBreak/>
        <w:t xml:space="preserve">donor database. In addition to the indirect estimate of viral incidence, we will utilize NAT-yield results to estimate incidence to the extent possible, and compare the results of both methods.   </w:t>
      </w:r>
    </w:p>
    <w:p w:rsidR="007F756E" w:rsidRDefault="007F756E" w:rsidP="007F756E">
      <w:pPr>
        <w:autoSpaceDE w:val="0"/>
        <w:autoSpaceDN w:val="0"/>
        <w:adjustRightInd w:val="0"/>
        <w:spacing w:after="0" w:line="240" w:lineRule="auto"/>
        <w:rPr>
          <w:rFonts w:ascii="Arial" w:hAnsi="Arial" w:cs="Arial"/>
        </w:rPr>
      </w:pPr>
    </w:p>
    <w:p w:rsidR="007F756E" w:rsidRDefault="007F756E" w:rsidP="007F756E">
      <w:pPr>
        <w:autoSpaceDE w:val="0"/>
        <w:autoSpaceDN w:val="0"/>
        <w:adjustRightInd w:val="0"/>
        <w:spacing w:after="0" w:line="240" w:lineRule="auto"/>
        <w:rPr>
          <w:rFonts w:ascii="Arial" w:hAnsi="Arial" w:cs="Arial"/>
          <w:b/>
        </w:rPr>
      </w:pPr>
    </w:p>
    <w:p w:rsidR="007F756E" w:rsidRDefault="007F756E" w:rsidP="007F756E">
      <w:pPr>
        <w:autoSpaceDE w:val="0"/>
        <w:autoSpaceDN w:val="0"/>
        <w:adjustRightInd w:val="0"/>
        <w:spacing w:after="0" w:line="240" w:lineRule="auto"/>
        <w:rPr>
          <w:rFonts w:ascii="Arial" w:hAnsi="Arial" w:cs="Arial"/>
          <w:b/>
        </w:rPr>
      </w:pPr>
      <w:r>
        <w:rPr>
          <w:rFonts w:ascii="Arial" w:hAnsi="Arial" w:cs="Arial"/>
          <w:b/>
        </w:rPr>
        <w:t>B.5. Individuals Consulted on Statistical Aspects and Individuals Collecting and/or Analyzing Data</w:t>
      </w:r>
    </w:p>
    <w:p w:rsidR="007F756E" w:rsidRDefault="007F756E" w:rsidP="007F756E">
      <w:pPr>
        <w:autoSpaceDE w:val="0"/>
        <w:autoSpaceDN w:val="0"/>
        <w:adjustRightInd w:val="0"/>
        <w:spacing w:after="0" w:line="240" w:lineRule="auto"/>
        <w:rPr>
          <w:rFonts w:asciiTheme="majorBidi" w:hAnsiTheme="majorBidi" w:cstheme="majorBidi"/>
          <w:sz w:val="24"/>
          <w:szCs w:val="24"/>
        </w:rPr>
      </w:pPr>
    </w:p>
    <w:p w:rsidR="007F756E" w:rsidRDefault="007F756E" w:rsidP="00693B97">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Members of the research team are qua</w:t>
      </w:r>
      <w:r w:rsidR="00C17E03">
        <w:rPr>
          <w:rFonts w:ascii="Times New Roman" w:hAnsi="Times New Roman" w:cs="Times New Roman"/>
          <w:color w:val="000000" w:themeColor="text1"/>
          <w:sz w:val="24"/>
          <w:szCs w:val="24"/>
        </w:rPr>
        <w:t>ntit</w:t>
      </w:r>
      <w:r>
        <w:rPr>
          <w:rFonts w:ascii="Times New Roman" w:hAnsi="Times New Roman" w:cs="Times New Roman"/>
          <w:color w:val="000000" w:themeColor="text1"/>
          <w:sz w:val="24"/>
          <w:szCs w:val="24"/>
        </w:rPr>
        <w:t xml:space="preserve">ative </w:t>
      </w:r>
      <w:r w:rsidR="00C17E03">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experts, epidemiologists and biostatisticians. W</w:t>
      </w:r>
      <w:r>
        <w:rPr>
          <w:rFonts w:ascii="Times New Roman" w:hAnsi="Times New Roman" w:cs="Times New Roman"/>
          <w:sz w:val="24"/>
          <w:szCs w:val="24"/>
        </w:rPr>
        <w:t xml:space="preserve">e have consulted </w:t>
      </w:r>
      <w:r>
        <w:rPr>
          <w:rFonts w:ascii="Times New Roman" w:hAnsi="Times New Roman" w:cs="Times New Roman"/>
          <w:bCs/>
          <w:sz w:val="24"/>
          <w:szCs w:val="24"/>
        </w:rPr>
        <w:t xml:space="preserve">with UNOS, OPOs, </w:t>
      </w:r>
      <w:r w:rsidR="00C17E03">
        <w:rPr>
          <w:rFonts w:ascii="Times New Roman" w:hAnsi="Times New Roman" w:cs="Times New Roman"/>
          <w:bCs/>
          <w:sz w:val="24"/>
          <w:szCs w:val="24"/>
        </w:rPr>
        <w:t xml:space="preserve">AATB, </w:t>
      </w:r>
      <w:r>
        <w:rPr>
          <w:rFonts w:ascii="Times New Roman" w:hAnsi="Times New Roman" w:cs="Times New Roman"/>
          <w:bCs/>
          <w:sz w:val="24"/>
          <w:szCs w:val="24"/>
        </w:rPr>
        <w:t xml:space="preserve">and </w:t>
      </w:r>
      <w:r w:rsidR="00C17E03">
        <w:rPr>
          <w:rFonts w:ascii="Times New Roman" w:hAnsi="Times New Roman" w:cs="Times New Roman"/>
          <w:bCs/>
          <w:sz w:val="24"/>
          <w:szCs w:val="24"/>
        </w:rPr>
        <w:t>eye transplant</w:t>
      </w:r>
      <w:r>
        <w:rPr>
          <w:rFonts w:ascii="Times New Roman" w:hAnsi="Times New Roman" w:cs="Times New Roman"/>
          <w:bCs/>
          <w:sz w:val="24"/>
          <w:szCs w:val="24"/>
        </w:rPr>
        <w:t xml:space="preserve"> </w:t>
      </w:r>
      <w:r w:rsidR="00693B97">
        <w:rPr>
          <w:rFonts w:ascii="Times New Roman" w:hAnsi="Times New Roman" w:cs="Times New Roman"/>
          <w:bCs/>
          <w:sz w:val="24"/>
          <w:szCs w:val="24"/>
        </w:rPr>
        <w:t xml:space="preserve">specialists, </w:t>
      </w:r>
      <w:r>
        <w:rPr>
          <w:rFonts w:ascii="Times New Roman" w:hAnsi="Times New Roman" w:cs="Times New Roman"/>
          <w:sz w:val="24"/>
          <w:szCs w:val="24"/>
        </w:rPr>
        <w:t>as well as receiv</w:t>
      </w:r>
      <w:r w:rsidR="00693B97">
        <w:rPr>
          <w:rFonts w:ascii="Times New Roman" w:hAnsi="Times New Roman" w:cs="Times New Roman"/>
          <w:sz w:val="24"/>
          <w:szCs w:val="24"/>
        </w:rPr>
        <w:t>ed</w:t>
      </w:r>
      <w:r>
        <w:rPr>
          <w:rFonts w:ascii="Times New Roman" w:hAnsi="Times New Roman" w:cs="Times New Roman"/>
          <w:sz w:val="24"/>
          <w:szCs w:val="24"/>
        </w:rPr>
        <w:t xml:space="preserve"> </w:t>
      </w:r>
      <w:r w:rsidR="00693B97">
        <w:rPr>
          <w:rFonts w:ascii="Times New Roman" w:hAnsi="Times New Roman" w:cs="Times New Roman"/>
          <w:sz w:val="24"/>
          <w:szCs w:val="24"/>
        </w:rPr>
        <w:t xml:space="preserve">input from </w:t>
      </w:r>
      <w:r>
        <w:rPr>
          <w:rFonts w:ascii="Times New Roman" w:hAnsi="Times New Roman" w:cs="Times New Roman"/>
          <w:sz w:val="24"/>
          <w:szCs w:val="24"/>
        </w:rPr>
        <w:t xml:space="preserve">the TODES Working Group (Attachment 4) </w:t>
      </w:r>
      <w:r w:rsidR="00693B97">
        <w:rPr>
          <w:rFonts w:ascii="Times New Roman" w:hAnsi="Times New Roman" w:cs="Times New Roman"/>
          <w:sz w:val="24"/>
          <w:szCs w:val="24"/>
        </w:rPr>
        <w:t xml:space="preserve">regarding study design, </w:t>
      </w:r>
      <w:r>
        <w:rPr>
          <w:rFonts w:ascii="Times New Roman" w:hAnsi="Times New Roman" w:cs="Times New Roman"/>
          <w:sz w:val="24"/>
          <w:szCs w:val="24"/>
        </w:rPr>
        <w:t xml:space="preserve">protocol development, and data </w:t>
      </w:r>
      <w:r w:rsidR="00693B97">
        <w:rPr>
          <w:rFonts w:ascii="Times New Roman" w:hAnsi="Times New Roman" w:cs="Times New Roman"/>
          <w:sz w:val="24"/>
          <w:szCs w:val="24"/>
        </w:rPr>
        <w:t xml:space="preserve">collection and </w:t>
      </w:r>
      <w:r>
        <w:rPr>
          <w:rFonts w:ascii="Times New Roman" w:hAnsi="Times New Roman" w:cs="Times New Roman"/>
          <w:sz w:val="24"/>
          <w:szCs w:val="24"/>
        </w:rPr>
        <w:t xml:space="preserve">management. Data analysis will be performed by the </w:t>
      </w:r>
      <w:proofErr w:type="spellStart"/>
      <w:r w:rsidR="00693B97">
        <w:rPr>
          <w:rFonts w:ascii="Times New Roman" w:hAnsi="Times New Roman" w:cs="Times New Roman"/>
          <w:sz w:val="24"/>
          <w:szCs w:val="24"/>
        </w:rPr>
        <w:t>biostatistical</w:t>
      </w:r>
      <w:proofErr w:type="spellEnd"/>
      <w:r w:rsidR="00693B97">
        <w:rPr>
          <w:rFonts w:ascii="Times New Roman" w:hAnsi="Times New Roman" w:cs="Times New Roman"/>
          <w:sz w:val="24"/>
          <w:szCs w:val="24"/>
        </w:rPr>
        <w:t xml:space="preserve"> </w:t>
      </w:r>
      <w:r>
        <w:rPr>
          <w:rFonts w:ascii="Times New Roman" w:hAnsi="Times New Roman" w:cs="Times New Roman"/>
          <w:sz w:val="24"/>
          <w:szCs w:val="24"/>
        </w:rPr>
        <w:t>staff at RTI International.</w:t>
      </w:r>
    </w:p>
    <w:p w:rsidR="007F756E" w:rsidRDefault="007F756E" w:rsidP="007F756E">
      <w:pPr>
        <w:spacing w:after="0"/>
      </w:pPr>
    </w:p>
    <w:p w:rsidR="007F756E" w:rsidRDefault="007F756E" w:rsidP="007F756E">
      <w:pPr>
        <w:spacing w:after="0"/>
        <w:rPr>
          <w:rFonts w:asciiTheme="minorBidi" w:hAnsiTheme="minorBidi"/>
          <w:b/>
          <w:bCs/>
        </w:rPr>
      </w:pPr>
      <w:r>
        <w:rPr>
          <w:rFonts w:asciiTheme="minorBidi" w:hAnsiTheme="minorBidi"/>
          <w:b/>
          <w:bCs/>
        </w:rPr>
        <w:t>REFERENCES</w:t>
      </w:r>
    </w:p>
    <w:p w:rsidR="007F756E" w:rsidRDefault="007F756E" w:rsidP="007F756E">
      <w:pPr>
        <w:spacing w:after="0"/>
      </w:pPr>
    </w:p>
    <w:p w:rsidR="007F756E" w:rsidRDefault="00A57C57" w:rsidP="007F756E">
      <w:r>
        <w:t xml:space="preserve">Zou S, Dodd RY, </w:t>
      </w:r>
      <w:proofErr w:type="spellStart"/>
      <w:r>
        <w:t>Stramer</w:t>
      </w:r>
      <w:proofErr w:type="spellEnd"/>
      <w:r>
        <w:t xml:space="preserve"> SL, Strong DM. Probability of </w:t>
      </w:r>
      <w:proofErr w:type="spellStart"/>
      <w:r>
        <w:t>viremia</w:t>
      </w:r>
      <w:proofErr w:type="spellEnd"/>
      <w:r>
        <w:t xml:space="preserve"> with HBV, HCV, HIV, and HTLV among tissue donors in the United States. </w:t>
      </w:r>
      <w:proofErr w:type="gramStart"/>
      <w:r>
        <w:t>NEJM.</w:t>
      </w:r>
      <w:proofErr w:type="gramEnd"/>
      <w:r>
        <w:t xml:space="preserve"> 2004</w:t>
      </w:r>
      <w:proofErr w:type="gramStart"/>
      <w:r>
        <w:t>;351:751</w:t>
      </w:r>
      <w:proofErr w:type="gramEnd"/>
      <w:r>
        <w:t>–9</w:t>
      </w:r>
      <w:r w:rsidR="007F756E" w:rsidRPr="00A57C57">
        <w:t>.</w:t>
      </w:r>
      <w:r w:rsidR="004777A6">
        <w:t xml:space="preserve"> </w:t>
      </w:r>
    </w:p>
    <w:p w:rsidR="007F756E" w:rsidRDefault="007F756E" w:rsidP="007F756E">
      <w:pPr>
        <w:rPr>
          <w:szCs w:val="20"/>
        </w:rPr>
      </w:pPr>
    </w:p>
    <w:p w:rsidR="004B71ED" w:rsidRPr="0006480E" w:rsidRDefault="004B71ED" w:rsidP="00B65D99">
      <w:pPr>
        <w:ind w:left="1440" w:hanging="1440"/>
        <w:jc w:val="both"/>
        <w:rPr>
          <w:rFonts w:ascii="Arial" w:hAnsi="Arial" w:cs="Arial"/>
        </w:rPr>
      </w:pPr>
    </w:p>
    <w:sectPr w:rsidR="004B71ED" w:rsidRPr="0006480E" w:rsidSect="00D60C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E91" w:rsidRDefault="008D2E91" w:rsidP="00B65D99">
      <w:pPr>
        <w:spacing w:after="0" w:line="240" w:lineRule="auto"/>
      </w:pPr>
      <w:r>
        <w:separator/>
      </w:r>
    </w:p>
  </w:endnote>
  <w:endnote w:type="continuationSeparator" w:id="0">
    <w:p w:rsidR="008D2E91" w:rsidRDefault="008D2E91" w:rsidP="00B6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E91" w:rsidRDefault="008D2E91" w:rsidP="00B65D99">
      <w:pPr>
        <w:spacing w:after="0" w:line="240" w:lineRule="auto"/>
      </w:pPr>
      <w:r>
        <w:separator/>
      </w:r>
    </w:p>
  </w:footnote>
  <w:footnote w:type="continuationSeparator" w:id="0">
    <w:p w:rsidR="008D2E91" w:rsidRDefault="008D2E91" w:rsidP="00B65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E4C"/>
    <w:multiLevelType w:val="hybridMultilevel"/>
    <w:tmpl w:val="1DCC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736D70"/>
    <w:multiLevelType w:val="hybridMultilevel"/>
    <w:tmpl w:val="41782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C0A9F"/>
    <w:multiLevelType w:val="hybridMultilevel"/>
    <w:tmpl w:val="43F69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6C046A"/>
    <w:multiLevelType w:val="hybridMultilevel"/>
    <w:tmpl w:val="2B4449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59B381F"/>
    <w:multiLevelType w:val="hybridMultilevel"/>
    <w:tmpl w:val="7E5C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26414"/>
    <w:multiLevelType w:val="hybridMultilevel"/>
    <w:tmpl w:val="79CC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90D9D"/>
    <w:multiLevelType w:val="hybridMultilevel"/>
    <w:tmpl w:val="F320A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wman, Lisa">
    <w15:presenceInfo w15:providerId="AD" w15:userId="S-1-5-21-2101533902-423532799-1776743176-5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48"/>
    <w:rsid w:val="000013AE"/>
    <w:rsid w:val="000021B5"/>
    <w:rsid w:val="000051BE"/>
    <w:rsid w:val="00087EEA"/>
    <w:rsid w:val="00092541"/>
    <w:rsid w:val="000B4783"/>
    <w:rsid w:val="000D0F93"/>
    <w:rsid w:val="00126ED0"/>
    <w:rsid w:val="0015233E"/>
    <w:rsid w:val="00164536"/>
    <w:rsid w:val="00166C21"/>
    <w:rsid w:val="001A1588"/>
    <w:rsid w:val="001B78D3"/>
    <w:rsid w:val="00247293"/>
    <w:rsid w:val="00251176"/>
    <w:rsid w:val="00286BFA"/>
    <w:rsid w:val="002A36D4"/>
    <w:rsid w:val="002D0689"/>
    <w:rsid w:val="002F1A6C"/>
    <w:rsid w:val="002F482B"/>
    <w:rsid w:val="002F6377"/>
    <w:rsid w:val="00363D84"/>
    <w:rsid w:val="00382CB3"/>
    <w:rsid w:val="003C7872"/>
    <w:rsid w:val="004611D9"/>
    <w:rsid w:val="0047750C"/>
    <w:rsid w:val="004777A6"/>
    <w:rsid w:val="004B71ED"/>
    <w:rsid w:val="004C030D"/>
    <w:rsid w:val="004C1841"/>
    <w:rsid w:val="004E004E"/>
    <w:rsid w:val="00535383"/>
    <w:rsid w:val="00550F48"/>
    <w:rsid w:val="0059661E"/>
    <w:rsid w:val="005C45F1"/>
    <w:rsid w:val="005E34CA"/>
    <w:rsid w:val="006065B0"/>
    <w:rsid w:val="00646CE8"/>
    <w:rsid w:val="00660D35"/>
    <w:rsid w:val="00664F4F"/>
    <w:rsid w:val="00667026"/>
    <w:rsid w:val="00693B97"/>
    <w:rsid w:val="006D754D"/>
    <w:rsid w:val="007801D4"/>
    <w:rsid w:val="007B4370"/>
    <w:rsid w:val="007C1E18"/>
    <w:rsid w:val="007C6C70"/>
    <w:rsid w:val="007D478A"/>
    <w:rsid w:val="007F1C7C"/>
    <w:rsid w:val="007F756E"/>
    <w:rsid w:val="00862CDB"/>
    <w:rsid w:val="00881B7F"/>
    <w:rsid w:val="008D2E91"/>
    <w:rsid w:val="008E6B73"/>
    <w:rsid w:val="00905DF5"/>
    <w:rsid w:val="00951C88"/>
    <w:rsid w:val="00974205"/>
    <w:rsid w:val="009E7610"/>
    <w:rsid w:val="00A57C57"/>
    <w:rsid w:val="00AB0059"/>
    <w:rsid w:val="00B07A76"/>
    <w:rsid w:val="00B110B9"/>
    <w:rsid w:val="00B65D99"/>
    <w:rsid w:val="00B71DB9"/>
    <w:rsid w:val="00BF28B0"/>
    <w:rsid w:val="00BF3DF5"/>
    <w:rsid w:val="00C04EFA"/>
    <w:rsid w:val="00C11E43"/>
    <w:rsid w:val="00C17E03"/>
    <w:rsid w:val="00C87607"/>
    <w:rsid w:val="00CB4095"/>
    <w:rsid w:val="00CD3E2C"/>
    <w:rsid w:val="00CD59C1"/>
    <w:rsid w:val="00D17095"/>
    <w:rsid w:val="00D2015C"/>
    <w:rsid w:val="00D551C5"/>
    <w:rsid w:val="00D60CA3"/>
    <w:rsid w:val="00DD5BFC"/>
    <w:rsid w:val="00E050AE"/>
    <w:rsid w:val="00E17140"/>
    <w:rsid w:val="00E43C40"/>
    <w:rsid w:val="00E51AAA"/>
    <w:rsid w:val="00E77C20"/>
    <w:rsid w:val="00E9345F"/>
    <w:rsid w:val="00EA6B9B"/>
    <w:rsid w:val="00EC2AA3"/>
    <w:rsid w:val="00EC3B35"/>
    <w:rsid w:val="00EC4735"/>
    <w:rsid w:val="00EE050E"/>
    <w:rsid w:val="00F57864"/>
    <w:rsid w:val="00F73A22"/>
    <w:rsid w:val="00F87ED6"/>
    <w:rsid w:val="00F93B8E"/>
    <w:rsid w:val="00FE6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205"/>
    <w:pPr>
      <w:ind w:left="720"/>
    </w:pPr>
  </w:style>
  <w:style w:type="paragraph" w:customStyle="1" w:styleId="Address2">
    <w:name w:val="Address2"/>
    <w:basedOn w:val="Normal"/>
    <w:qFormat/>
    <w:rsid w:val="00EC3B35"/>
    <w:pPr>
      <w:spacing w:after="0" w:line="240" w:lineRule="auto"/>
      <w:jc w:val="center"/>
    </w:pPr>
    <w:rPr>
      <w:rFonts w:ascii="Times New Roman" w:eastAsia="Calibri" w:hAnsi="Times New Roman" w:cs="Times New Roman"/>
      <w:sz w:val="28"/>
      <w:szCs w:val="28"/>
    </w:rPr>
  </w:style>
  <w:style w:type="paragraph" w:styleId="Caption">
    <w:name w:val="caption"/>
    <w:basedOn w:val="Normal"/>
    <w:next w:val="Normal"/>
    <w:uiPriority w:val="35"/>
    <w:unhideWhenUsed/>
    <w:qFormat/>
    <w:rsid w:val="0015233E"/>
    <w:pPr>
      <w:spacing w:line="240" w:lineRule="auto"/>
    </w:pPr>
    <w:rPr>
      <w:b/>
      <w:bCs/>
      <w:color w:val="4F81BD" w:themeColor="accent1"/>
      <w:sz w:val="18"/>
      <w:szCs w:val="18"/>
    </w:rPr>
  </w:style>
  <w:style w:type="paragraph" w:styleId="NoSpacing">
    <w:name w:val="No Spacing"/>
    <w:basedOn w:val="Normal"/>
    <w:uiPriority w:val="1"/>
    <w:qFormat/>
    <w:rsid w:val="001B78D3"/>
    <w:pPr>
      <w:spacing w:after="0" w:line="240" w:lineRule="auto"/>
    </w:pPr>
    <w:rPr>
      <w:rFonts w:ascii="Calibri" w:eastAsiaTheme="minorHAnsi" w:hAnsi="Calibri" w:cs="Times New Roman"/>
    </w:rPr>
  </w:style>
  <w:style w:type="character" w:styleId="CommentReference">
    <w:name w:val="annotation reference"/>
    <w:basedOn w:val="DefaultParagraphFont"/>
    <w:uiPriority w:val="99"/>
    <w:semiHidden/>
    <w:unhideWhenUsed/>
    <w:rsid w:val="001B78D3"/>
    <w:rPr>
      <w:sz w:val="16"/>
      <w:szCs w:val="16"/>
    </w:rPr>
  </w:style>
  <w:style w:type="paragraph" w:styleId="CommentText">
    <w:name w:val="annotation text"/>
    <w:basedOn w:val="Normal"/>
    <w:link w:val="CommentTextChar"/>
    <w:uiPriority w:val="99"/>
    <w:semiHidden/>
    <w:unhideWhenUsed/>
    <w:rsid w:val="001B78D3"/>
    <w:pPr>
      <w:spacing w:after="0" w:line="240" w:lineRule="auto"/>
    </w:pPr>
    <w:rPr>
      <w:rFonts w:ascii="Calibri" w:eastAsiaTheme="minorHAnsi" w:hAnsi="Calibri" w:cs="Times New Roman"/>
      <w:sz w:val="20"/>
      <w:szCs w:val="20"/>
    </w:rPr>
  </w:style>
  <w:style w:type="character" w:customStyle="1" w:styleId="CommentTextChar">
    <w:name w:val="Comment Text Char"/>
    <w:basedOn w:val="DefaultParagraphFont"/>
    <w:link w:val="CommentText"/>
    <w:uiPriority w:val="99"/>
    <w:semiHidden/>
    <w:rsid w:val="001B78D3"/>
    <w:rPr>
      <w:rFonts w:ascii="Calibri" w:eastAsiaTheme="minorHAnsi" w:hAnsi="Calibri" w:cs="Times New Roman"/>
      <w:sz w:val="20"/>
      <w:szCs w:val="20"/>
    </w:rPr>
  </w:style>
  <w:style w:type="paragraph" w:styleId="BalloonText">
    <w:name w:val="Balloon Text"/>
    <w:basedOn w:val="Normal"/>
    <w:link w:val="BalloonTextChar"/>
    <w:uiPriority w:val="99"/>
    <w:semiHidden/>
    <w:unhideWhenUsed/>
    <w:rsid w:val="001B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3"/>
    <w:rPr>
      <w:rFonts w:ascii="Tahoma" w:hAnsi="Tahoma" w:cs="Tahoma"/>
      <w:sz w:val="16"/>
      <w:szCs w:val="16"/>
    </w:rPr>
  </w:style>
  <w:style w:type="character" w:styleId="Hyperlink">
    <w:name w:val="Hyperlink"/>
    <w:basedOn w:val="DefaultParagraphFont"/>
    <w:uiPriority w:val="99"/>
    <w:unhideWhenUsed/>
    <w:rsid w:val="00BF3DF5"/>
    <w:rPr>
      <w:color w:val="0000FF" w:themeColor="hyperlink"/>
      <w:u w:val="single"/>
    </w:rPr>
  </w:style>
  <w:style w:type="paragraph" w:styleId="Header">
    <w:name w:val="header"/>
    <w:basedOn w:val="Normal"/>
    <w:link w:val="HeaderChar"/>
    <w:uiPriority w:val="99"/>
    <w:unhideWhenUsed/>
    <w:rsid w:val="00B65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99"/>
  </w:style>
  <w:style w:type="paragraph" w:styleId="Footer">
    <w:name w:val="footer"/>
    <w:basedOn w:val="Normal"/>
    <w:link w:val="FooterChar"/>
    <w:uiPriority w:val="99"/>
    <w:unhideWhenUsed/>
    <w:rsid w:val="00B6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99"/>
  </w:style>
  <w:style w:type="paragraph" w:styleId="CommentSubject">
    <w:name w:val="annotation subject"/>
    <w:basedOn w:val="CommentText"/>
    <w:next w:val="CommentText"/>
    <w:link w:val="CommentSubjectChar"/>
    <w:uiPriority w:val="99"/>
    <w:semiHidden/>
    <w:unhideWhenUsed/>
    <w:rsid w:val="00164536"/>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64536"/>
    <w:rPr>
      <w:rFonts w:ascii="Calibri" w:eastAsiaTheme="minorHAns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205"/>
    <w:pPr>
      <w:ind w:left="720"/>
    </w:pPr>
  </w:style>
  <w:style w:type="paragraph" w:customStyle="1" w:styleId="Address2">
    <w:name w:val="Address2"/>
    <w:basedOn w:val="Normal"/>
    <w:qFormat/>
    <w:rsid w:val="00EC3B35"/>
    <w:pPr>
      <w:spacing w:after="0" w:line="240" w:lineRule="auto"/>
      <w:jc w:val="center"/>
    </w:pPr>
    <w:rPr>
      <w:rFonts w:ascii="Times New Roman" w:eastAsia="Calibri" w:hAnsi="Times New Roman" w:cs="Times New Roman"/>
      <w:sz w:val="28"/>
      <w:szCs w:val="28"/>
    </w:rPr>
  </w:style>
  <w:style w:type="paragraph" w:styleId="Caption">
    <w:name w:val="caption"/>
    <w:basedOn w:val="Normal"/>
    <w:next w:val="Normal"/>
    <w:uiPriority w:val="35"/>
    <w:unhideWhenUsed/>
    <w:qFormat/>
    <w:rsid w:val="0015233E"/>
    <w:pPr>
      <w:spacing w:line="240" w:lineRule="auto"/>
    </w:pPr>
    <w:rPr>
      <w:b/>
      <w:bCs/>
      <w:color w:val="4F81BD" w:themeColor="accent1"/>
      <w:sz w:val="18"/>
      <w:szCs w:val="18"/>
    </w:rPr>
  </w:style>
  <w:style w:type="paragraph" w:styleId="NoSpacing">
    <w:name w:val="No Spacing"/>
    <w:basedOn w:val="Normal"/>
    <w:uiPriority w:val="1"/>
    <w:qFormat/>
    <w:rsid w:val="001B78D3"/>
    <w:pPr>
      <w:spacing w:after="0" w:line="240" w:lineRule="auto"/>
    </w:pPr>
    <w:rPr>
      <w:rFonts w:ascii="Calibri" w:eastAsiaTheme="minorHAnsi" w:hAnsi="Calibri" w:cs="Times New Roman"/>
    </w:rPr>
  </w:style>
  <w:style w:type="character" w:styleId="CommentReference">
    <w:name w:val="annotation reference"/>
    <w:basedOn w:val="DefaultParagraphFont"/>
    <w:uiPriority w:val="99"/>
    <w:semiHidden/>
    <w:unhideWhenUsed/>
    <w:rsid w:val="001B78D3"/>
    <w:rPr>
      <w:sz w:val="16"/>
      <w:szCs w:val="16"/>
    </w:rPr>
  </w:style>
  <w:style w:type="paragraph" w:styleId="CommentText">
    <w:name w:val="annotation text"/>
    <w:basedOn w:val="Normal"/>
    <w:link w:val="CommentTextChar"/>
    <w:uiPriority w:val="99"/>
    <w:semiHidden/>
    <w:unhideWhenUsed/>
    <w:rsid w:val="001B78D3"/>
    <w:pPr>
      <w:spacing w:after="0" w:line="240" w:lineRule="auto"/>
    </w:pPr>
    <w:rPr>
      <w:rFonts w:ascii="Calibri" w:eastAsiaTheme="minorHAnsi" w:hAnsi="Calibri" w:cs="Times New Roman"/>
      <w:sz w:val="20"/>
      <w:szCs w:val="20"/>
    </w:rPr>
  </w:style>
  <w:style w:type="character" w:customStyle="1" w:styleId="CommentTextChar">
    <w:name w:val="Comment Text Char"/>
    <w:basedOn w:val="DefaultParagraphFont"/>
    <w:link w:val="CommentText"/>
    <w:uiPriority w:val="99"/>
    <w:semiHidden/>
    <w:rsid w:val="001B78D3"/>
    <w:rPr>
      <w:rFonts w:ascii="Calibri" w:eastAsiaTheme="minorHAnsi" w:hAnsi="Calibri" w:cs="Times New Roman"/>
      <w:sz w:val="20"/>
      <w:szCs w:val="20"/>
    </w:rPr>
  </w:style>
  <w:style w:type="paragraph" w:styleId="BalloonText">
    <w:name w:val="Balloon Text"/>
    <w:basedOn w:val="Normal"/>
    <w:link w:val="BalloonTextChar"/>
    <w:uiPriority w:val="99"/>
    <w:semiHidden/>
    <w:unhideWhenUsed/>
    <w:rsid w:val="001B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D3"/>
    <w:rPr>
      <w:rFonts w:ascii="Tahoma" w:hAnsi="Tahoma" w:cs="Tahoma"/>
      <w:sz w:val="16"/>
      <w:szCs w:val="16"/>
    </w:rPr>
  </w:style>
  <w:style w:type="character" w:styleId="Hyperlink">
    <w:name w:val="Hyperlink"/>
    <w:basedOn w:val="DefaultParagraphFont"/>
    <w:uiPriority w:val="99"/>
    <w:unhideWhenUsed/>
    <w:rsid w:val="00BF3DF5"/>
    <w:rPr>
      <w:color w:val="0000FF" w:themeColor="hyperlink"/>
      <w:u w:val="single"/>
    </w:rPr>
  </w:style>
  <w:style w:type="paragraph" w:styleId="Header">
    <w:name w:val="header"/>
    <w:basedOn w:val="Normal"/>
    <w:link w:val="HeaderChar"/>
    <w:uiPriority w:val="99"/>
    <w:unhideWhenUsed/>
    <w:rsid w:val="00B65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99"/>
  </w:style>
  <w:style w:type="paragraph" w:styleId="Footer">
    <w:name w:val="footer"/>
    <w:basedOn w:val="Normal"/>
    <w:link w:val="FooterChar"/>
    <w:uiPriority w:val="99"/>
    <w:unhideWhenUsed/>
    <w:rsid w:val="00B65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99"/>
  </w:style>
  <w:style w:type="paragraph" w:styleId="CommentSubject">
    <w:name w:val="annotation subject"/>
    <w:basedOn w:val="CommentText"/>
    <w:next w:val="CommentText"/>
    <w:link w:val="CommentSubjectChar"/>
    <w:uiPriority w:val="99"/>
    <w:semiHidden/>
    <w:unhideWhenUsed/>
    <w:rsid w:val="00164536"/>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64536"/>
    <w:rPr>
      <w:rFonts w:ascii="Calibri" w:eastAsiaTheme="minorHAns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259">
      <w:bodyDiv w:val="1"/>
      <w:marLeft w:val="0"/>
      <w:marRight w:val="0"/>
      <w:marTop w:val="0"/>
      <w:marBottom w:val="0"/>
      <w:divBdr>
        <w:top w:val="none" w:sz="0" w:space="0" w:color="auto"/>
        <w:left w:val="none" w:sz="0" w:space="0" w:color="auto"/>
        <w:bottom w:val="none" w:sz="0" w:space="0" w:color="auto"/>
        <w:right w:val="none" w:sz="0" w:space="0" w:color="auto"/>
      </w:divBdr>
    </w:div>
    <w:div w:id="823666024">
      <w:bodyDiv w:val="1"/>
      <w:marLeft w:val="0"/>
      <w:marRight w:val="0"/>
      <w:marTop w:val="0"/>
      <w:marBottom w:val="0"/>
      <w:divBdr>
        <w:top w:val="none" w:sz="0" w:space="0" w:color="auto"/>
        <w:left w:val="none" w:sz="0" w:space="0" w:color="auto"/>
        <w:bottom w:val="none" w:sz="0" w:space="0" w:color="auto"/>
        <w:right w:val="none" w:sz="0" w:space="0" w:color="auto"/>
      </w:divBdr>
    </w:div>
    <w:div w:id="1758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Henry@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2028</Words>
  <Characters>11565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dcreel</dc:creator>
  <cp:lastModifiedBy>Funn, Sherrette (OS/ASA/OCIO/OEA)</cp:lastModifiedBy>
  <cp:revision>2</cp:revision>
  <dcterms:created xsi:type="dcterms:W3CDTF">2015-03-27T19:55:00Z</dcterms:created>
  <dcterms:modified xsi:type="dcterms:W3CDTF">2015-03-27T19:55:00Z</dcterms:modified>
</cp:coreProperties>
</file>