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Default="005C3DC2" w:rsidP="005C3DC2">
      <w:pPr>
        <w:ind w:left="1440" w:firstLine="720"/>
      </w:pPr>
    </w:p>
    <w:p w:rsidR="005C3DC2" w:rsidRDefault="005C3DC2" w:rsidP="005C3DC2">
      <w:pPr>
        <w:ind w:left="1440" w:firstLine="720"/>
      </w:pPr>
    </w:p>
    <w:p w:rsidR="005C3DC2" w:rsidRDefault="005C3DC2" w:rsidP="005C3DC2">
      <w:pPr>
        <w:ind w:left="1440" w:firstLine="720"/>
      </w:pPr>
    </w:p>
    <w:p w:rsidR="00590662" w:rsidRPr="00590662" w:rsidRDefault="00590662" w:rsidP="00590662">
      <w:pPr>
        <w:spacing w:after="200" w:line="276" w:lineRule="auto"/>
        <w:ind w:left="90"/>
        <w:jc w:val="center"/>
        <w:rPr>
          <w:rFonts w:asciiTheme="majorBidi" w:eastAsiaTheme="minorEastAsia" w:hAnsiTheme="majorBidi" w:cstheme="majorBidi"/>
          <w:b/>
          <w:bCs/>
        </w:rPr>
      </w:pPr>
      <w:r>
        <w:rPr>
          <w:rFonts w:asciiTheme="majorBidi" w:eastAsiaTheme="minorEastAsia" w:hAnsiTheme="majorBidi" w:cstheme="majorBidi"/>
          <w:b/>
          <w:bCs/>
        </w:rPr>
        <w:t>Supporting Statement A</w:t>
      </w:r>
      <w:r w:rsidRPr="00590662">
        <w:rPr>
          <w:rFonts w:asciiTheme="majorBidi" w:eastAsiaTheme="minorEastAsia" w:hAnsiTheme="majorBidi" w:cstheme="majorBidi"/>
          <w:b/>
          <w:bCs/>
        </w:rPr>
        <w:t xml:space="preserve"> for</w:t>
      </w:r>
    </w:p>
    <w:p w:rsidR="00590662" w:rsidRPr="00590662" w:rsidRDefault="00590662" w:rsidP="00590662">
      <w:pPr>
        <w:spacing w:after="200" w:line="276" w:lineRule="auto"/>
        <w:ind w:left="90"/>
        <w:jc w:val="center"/>
        <w:rPr>
          <w:rFonts w:asciiTheme="majorBidi" w:eastAsiaTheme="minorEastAsia" w:hAnsiTheme="majorBidi" w:cstheme="majorBidi"/>
          <w:b/>
          <w:bCs/>
          <w:sz w:val="28"/>
          <w:szCs w:val="28"/>
        </w:rPr>
      </w:pPr>
    </w:p>
    <w:p w:rsidR="00590662" w:rsidRPr="00590662" w:rsidRDefault="00590662" w:rsidP="00590662">
      <w:pPr>
        <w:spacing w:after="200" w:line="276" w:lineRule="auto"/>
        <w:ind w:left="90"/>
        <w:jc w:val="center"/>
        <w:rPr>
          <w:rFonts w:asciiTheme="majorBidi" w:eastAsiaTheme="minorEastAsia" w:hAnsiTheme="majorBidi" w:cstheme="majorBidi"/>
          <w:b/>
          <w:bCs/>
        </w:rPr>
      </w:pPr>
      <w:r w:rsidRPr="00590662">
        <w:rPr>
          <w:rFonts w:asciiTheme="majorBidi" w:eastAsiaTheme="minorEastAsia" w:hAnsiTheme="majorBidi" w:cstheme="majorBidi"/>
          <w:b/>
          <w:bCs/>
        </w:rPr>
        <w:t xml:space="preserve">Tissue </w:t>
      </w:r>
      <w:r w:rsidR="00D10E55">
        <w:rPr>
          <w:rFonts w:asciiTheme="majorBidi" w:eastAsiaTheme="minorEastAsia" w:hAnsiTheme="majorBidi" w:cstheme="majorBidi"/>
          <w:b/>
          <w:bCs/>
        </w:rPr>
        <w:t xml:space="preserve">and </w:t>
      </w:r>
      <w:r w:rsidRPr="00590662">
        <w:rPr>
          <w:rFonts w:asciiTheme="majorBidi" w:eastAsiaTheme="minorEastAsia" w:hAnsiTheme="majorBidi" w:cstheme="majorBidi"/>
          <w:b/>
          <w:bCs/>
        </w:rPr>
        <w:t>Organ Donor Epidemiology Study (TODES)</w:t>
      </w:r>
    </w:p>
    <w:p w:rsidR="00590662" w:rsidRPr="00590662" w:rsidRDefault="00590662" w:rsidP="00590662">
      <w:pPr>
        <w:spacing w:after="200" w:line="276" w:lineRule="auto"/>
        <w:ind w:left="90"/>
        <w:jc w:val="center"/>
        <w:rPr>
          <w:rFonts w:asciiTheme="majorBidi" w:eastAsiaTheme="minorEastAsia" w:hAnsiTheme="majorBidi" w:cstheme="majorBidi"/>
          <w:b/>
          <w:bCs/>
        </w:rPr>
      </w:pPr>
      <w:r w:rsidRPr="00590662">
        <w:rPr>
          <w:rFonts w:asciiTheme="majorBidi" w:eastAsiaTheme="minorEastAsia" w:hAnsiTheme="majorBidi" w:cstheme="majorBidi"/>
          <w:b/>
          <w:bCs/>
        </w:rPr>
        <w:t>OMB Number: TBD</w:t>
      </w:r>
    </w:p>
    <w:p w:rsidR="00590662" w:rsidRPr="00590662" w:rsidRDefault="00590662" w:rsidP="00590662">
      <w:pPr>
        <w:spacing w:after="200" w:line="276" w:lineRule="auto"/>
        <w:ind w:left="90"/>
        <w:jc w:val="center"/>
        <w:rPr>
          <w:rFonts w:asciiTheme="majorBidi" w:eastAsiaTheme="minorEastAsia" w:hAnsiTheme="majorBidi" w:cstheme="majorBidi"/>
        </w:rPr>
      </w:pPr>
    </w:p>
    <w:p w:rsidR="00590662" w:rsidRPr="00590662" w:rsidRDefault="00590662" w:rsidP="00590662">
      <w:pPr>
        <w:spacing w:after="200" w:line="276" w:lineRule="auto"/>
        <w:ind w:left="90"/>
        <w:jc w:val="center"/>
        <w:rPr>
          <w:rFonts w:asciiTheme="majorBidi" w:eastAsiaTheme="minorEastAsia" w:hAnsiTheme="majorBidi" w:cstheme="majorBidi"/>
        </w:rPr>
      </w:pPr>
      <w:bookmarkStart w:id="0" w:name="_GoBack"/>
      <w:bookmarkEnd w:id="0"/>
    </w:p>
    <w:p w:rsidR="00590662" w:rsidRDefault="00A07B01" w:rsidP="00A07B01">
      <w:pPr>
        <w:tabs>
          <w:tab w:val="left" w:pos="3600"/>
        </w:tabs>
        <w:spacing w:after="200" w:line="276" w:lineRule="auto"/>
        <w:ind w:left="90"/>
        <w:jc w:val="center"/>
        <w:rPr>
          <w:rFonts w:asciiTheme="majorBidi" w:eastAsiaTheme="minorEastAsia" w:hAnsiTheme="majorBidi" w:cstheme="majorBidi"/>
        </w:rPr>
        <w:pPrChange w:id="1" w:author="Funn, Sherrette (OS/ASA/OCIO/OEA)" w:date="2015-03-27T15:53:00Z">
          <w:pPr>
            <w:tabs>
              <w:tab w:val="left" w:pos="3600"/>
            </w:tabs>
            <w:spacing w:after="200" w:line="276" w:lineRule="auto"/>
            <w:ind w:left="90"/>
          </w:pPr>
        </w:pPrChange>
      </w:pPr>
      <w:r>
        <w:rPr>
          <w:rFonts w:asciiTheme="majorBidi" w:eastAsiaTheme="minorEastAsia" w:hAnsiTheme="majorBidi" w:cstheme="majorBidi"/>
        </w:rPr>
        <w:t>March 27, 2015</w:t>
      </w:r>
    </w:p>
    <w:p w:rsidR="009A7CFF" w:rsidRPr="00590662" w:rsidRDefault="009A7CFF" w:rsidP="00985668">
      <w:pPr>
        <w:tabs>
          <w:tab w:val="left" w:pos="3600"/>
        </w:tabs>
        <w:spacing w:after="200" w:line="276" w:lineRule="auto"/>
        <w:ind w:left="90"/>
        <w:rPr>
          <w:rFonts w:asciiTheme="majorBidi" w:eastAsiaTheme="minorEastAsia" w:hAnsiTheme="majorBidi" w:cstheme="majorBidi"/>
        </w:rPr>
      </w:pPr>
    </w:p>
    <w:p w:rsidR="00590662" w:rsidRPr="00590662" w:rsidRDefault="00590662" w:rsidP="00985668">
      <w:pPr>
        <w:widowControl w:val="0"/>
        <w:tabs>
          <w:tab w:val="left" w:pos="3600"/>
        </w:tabs>
        <w:adjustRightInd w:val="0"/>
        <w:snapToGrid w:val="0"/>
        <w:spacing w:after="200" w:line="276" w:lineRule="auto"/>
        <w:ind w:left="90"/>
        <w:rPr>
          <w:rFonts w:asciiTheme="majorBidi" w:eastAsiaTheme="minorEastAsia" w:hAnsiTheme="majorBidi" w:cstheme="majorBidi"/>
        </w:rPr>
      </w:pPr>
      <w:r w:rsidRPr="00590662">
        <w:rPr>
          <w:rFonts w:asciiTheme="majorBidi" w:eastAsiaTheme="minorEastAsia" w:hAnsiTheme="majorBidi" w:cstheme="majorBidi"/>
        </w:rPr>
        <w:t>Sponsored by:</w:t>
      </w:r>
      <w:r w:rsidR="00985668">
        <w:rPr>
          <w:rFonts w:asciiTheme="majorBidi" w:eastAsiaTheme="minorEastAsia" w:hAnsiTheme="majorBidi" w:cstheme="majorBidi"/>
        </w:rPr>
        <w:tab/>
      </w:r>
      <w:r w:rsidRPr="00590662">
        <w:rPr>
          <w:rFonts w:asciiTheme="majorBidi" w:eastAsiaTheme="minorEastAsia" w:hAnsiTheme="majorBidi" w:cstheme="majorBidi"/>
        </w:rPr>
        <w:t>U.S. Department of Health and Human Services</w:t>
      </w:r>
    </w:p>
    <w:p w:rsidR="00590662" w:rsidRPr="00590662" w:rsidRDefault="00590662" w:rsidP="00590662">
      <w:pPr>
        <w:widowControl w:val="0"/>
        <w:adjustRightInd w:val="0"/>
        <w:snapToGrid w:val="0"/>
        <w:rPr>
          <w:rFonts w:asciiTheme="majorBidi" w:eastAsiaTheme="minorEastAsia" w:hAnsiTheme="majorBidi" w:cstheme="majorBidi"/>
        </w:rPr>
      </w:pPr>
    </w:p>
    <w:p w:rsidR="00590662" w:rsidRPr="00590662" w:rsidRDefault="00590662" w:rsidP="00590662">
      <w:pPr>
        <w:widowControl w:val="0"/>
        <w:adjustRightInd w:val="0"/>
        <w:snapToGrid w:val="0"/>
        <w:rPr>
          <w:rFonts w:asciiTheme="majorBidi" w:eastAsiaTheme="minorEastAsia" w:hAnsiTheme="majorBidi" w:cstheme="majorBidi"/>
        </w:rPr>
      </w:pPr>
    </w:p>
    <w:p w:rsidR="00590662" w:rsidRPr="00590662" w:rsidRDefault="00590662" w:rsidP="00590662">
      <w:pPr>
        <w:widowControl w:val="0"/>
        <w:adjustRightInd w:val="0"/>
        <w:snapToGrid w:val="0"/>
        <w:rPr>
          <w:rFonts w:asciiTheme="majorBidi" w:eastAsiaTheme="minorEastAsia" w:hAnsiTheme="majorBidi" w:cstheme="majorBidi"/>
        </w:rPr>
      </w:pPr>
    </w:p>
    <w:p w:rsidR="00590662" w:rsidRPr="00590662" w:rsidRDefault="00590662" w:rsidP="00590662">
      <w:pPr>
        <w:widowControl w:val="0"/>
        <w:adjustRightInd w:val="0"/>
        <w:snapToGrid w:val="0"/>
        <w:rPr>
          <w:rFonts w:asciiTheme="majorBidi" w:eastAsiaTheme="minorEastAsia" w:hAnsiTheme="majorBidi" w:cstheme="majorBidi"/>
        </w:rPr>
      </w:pPr>
      <w:r w:rsidRPr="00590662">
        <w:rPr>
          <w:rFonts w:asciiTheme="majorBidi" w:eastAsiaTheme="minorEastAsia" w:hAnsiTheme="majorBidi" w:cstheme="majorBidi"/>
        </w:rPr>
        <w:t xml:space="preserve">Project Officer/ICD Contact: </w:t>
      </w:r>
      <w:r w:rsidRPr="00590662">
        <w:rPr>
          <w:rFonts w:asciiTheme="majorBidi" w:eastAsiaTheme="minorEastAsia" w:hAnsiTheme="majorBidi" w:cstheme="majorBidi"/>
        </w:rPr>
        <w:tab/>
      </w:r>
      <w:r w:rsidRPr="00590662">
        <w:rPr>
          <w:rFonts w:asciiTheme="majorBidi" w:eastAsiaTheme="minorEastAsia" w:hAnsiTheme="majorBidi" w:cstheme="majorBidi"/>
        </w:rPr>
        <w:tab/>
        <w:t>Richard Henry, M.L., M.P.H.</w:t>
      </w:r>
    </w:p>
    <w:p w:rsidR="00590662" w:rsidRPr="00590662" w:rsidRDefault="00985668" w:rsidP="00590662">
      <w:pPr>
        <w:widowControl w:val="0"/>
        <w:adjustRightInd w:val="0"/>
        <w:snapToGrid w:val="0"/>
        <w:ind w:hanging="3600"/>
        <w:rPr>
          <w:rFonts w:asciiTheme="majorBidi" w:eastAsiaTheme="minorEastAsia" w:hAnsiTheme="majorBidi" w:cstheme="majorBidi"/>
        </w:rPr>
      </w:pPr>
      <w:r>
        <w:rPr>
          <w:rFonts w:asciiTheme="majorBidi" w:eastAsiaTheme="minorEastAsia" w:hAnsiTheme="majorBidi" w:cstheme="majorBidi"/>
        </w:rPr>
        <w:t>Branch:</w:t>
      </w:r>
    </w:p>
    <w:p w:rsidR="00590662" w:rsidRPr="00590662" w:rsidRDefault="00590662" w:rsidP="00590662">
      <w:pPr>
        <w:widowControl w:val="0"/>
        <w:adjustRightInd w:val="0"/>
        <w:snapToGrid w:val="0"/>
        <w:ind w:left="3600" w:hanging="3600"/>
        <w:rPr>
          <w:rFonts w:asciiTheme="majorBidi" w:eastAsiaTheme="minorEastAsia" w:hAnsiTheme="majorBidi" w:cstheme="majorBidi"/>
        </w:rPr>
      </w:pPr>
      <w:r w:rsidRPr="00590662">
        <w:rPr>
          <w:rFonts w:asciiTheme="majorBidi" w:eastAsiaTheme="minorEastAsia" w:hAnsiTheme="majorBidi" w:cstheme="majorBidi"/>
        </w:rPr>
        <w:t>Branch:</w:t>
      </w:r>
      <w:r w:rsidRPr="00590662">
        <w:rPr>
          <w:rFonts w:asciiTheme="majorBidi" w:eastAsiaTheme="minorEastAsia" w:hAnsiTheme="majorBidi" w:cstheme="majorBidi"/>
        </w:rPr>
        <w:tab/>
        <w:t xml:space="preserve">Division of Blood and Tissue Safety </w:t>
      </w:r>
      <w:r>
        <w:rPr>
          <w:rFonts w:asciiTheme="majorBidi" w:eastAsiaTheme="minorEastAsia" w:hAnsiTheme="majorBidi" w:cstheme="majorBidi"/>
        </w:rPr>
        <w:t xml:space="preserve">and </w:t>
      </w:r>
      <w:r w:rsidRPr="00590662">
        <w:rPr>
          <w:rFonts w:asciiTheme="majorBidi" w:eastAsiaTheme="minorEastAsia" w:hAnsiTheme="majorBidi" w:cstheme="majorBidi"/>
        </w:rPr>
        <w:t>Availability</w:t>
      </w:r>
    </w:p>
    <w:p w:rsidR="00590662" w:rsidRPr="00590662" w:rsidRDefault="00590662" w:rsidP="00590662">
      <w:pPr>
        <w:widowControl w:val="0"/>
        <w:adjustRightInd w:val="0"/>
        <w:snapToGrid w:val="0"/>
        <w:ind w:left="2880" w:firstLine="720"/>
        <w:rPr>
          <w:rFonts w:asciiTheme="majorBidi" w:eastAsiaTheme="minorEastAsia" w:hAnsiTheme="majorBidi" w:cstheme="majorBidi"/>
        </w:rPr>
      </w:pPr>
      <w:r w:rsidRPr="00590662">
        <w:rPr>
          <w:rFonts w:asciiTheme="majorBidi" w:eastAsiaTheme="minorEastAsia" w:hAnsiTheme="majorBidi" w:cstheme="majorBidi"/>
        </w:rPr>
        <w:t xml:space="preserve">Office of HIV/AIDS and Infectious Disease Policy </w:t>
      </w:r>
    </w:p>
    <w:p w:rsidR="00590662" w:rsidRDefault="00590662" w:rsidP="00590662">
      <w:pPr>
        <w:widowControl w:val="0"/>
        <w:adjustRightInd w:val="0"/>
        <w:snapToGrid w:val="0"/>
        <w:ind w:left="2880" w:firstLine="720"/>
        <w:rPr>
          <w:rFonts w:asciiTheme="majorBidi" w:eastAsiaTheme="minorEastAsia" w:hAnsiTheme="majorBidi" w:cstheme="majorBidi"/>
        </w:rPr>
      </w:pPr>
      <w:r w:rsidRPr="00590662">
        <w:rPr>
          <w:rFonts w:asciiTheme="majorBidi" w:eastAsiaTheme="minorEastAsia" w:hAnsiTheme="majorBidi" w:cstheme="majorBidi"/>
        </w:rPr>
        <w:t>Office of the Assistant Secretary for Health</w:t>
      </w:r>
    </w:p>
    <w:p w:rsidR="00E12AD6" w:rsidRDefault="00590662" w:rsidP="00E12AD6">
      <w:pPr>
        <w:widowControl w:val="0"/>
        <w:adjustRightInd w:val="0"/>
        <w:snapToGrid w:val="0"/>
        <w:ind w:left="2880" w:firstLine="720"/>
        <w:rPr>
          <w:rFonts w:asciiTheme="majorBidi" w:eastAsiaTheme="minorEastAsia" w:hAnsiTheme="majorBidi" w:cstheme="majorBidi"/>
        </w:rPr>
      </w:pPr>
      <w:r w:rsidRPr="00590662">
        <w:rPr>
          <w:rFonts w:asciiTheme="majorBidi" w:eastAsiaTheme="minorEastAsia" w:hAnsiTheme="majorBidi" w:cstheme="majorBidi"/>
        </w:rPr>
        <w:t>(OASH)</w:t>
      </w:r>
    </w:p>
    <w:p w:rsidR="00E12AD6" w:rsidRDefault="00590662" w:rsidP="00E12AD6">
      <w:pPr>
        <w:widowControl w:val="0"/>
        <w:adjustRightInd w:val="0"/>
        <w:snapToGrid w:val="0"/>
        <w:ind w:left="2880" w:firstLine="720"/>
        <w:rPr>
          <w:rFonts w:asciiTheme="majorBidi" w:eastAsiaTheme="minorEastAsia" w:hAnsiTheme="majorBidi" w:cstheme="majorBidi"/>
        </w:rPr>
      </w:pPr>
      <w:r w:rsidRPr="00590662">
        <w:rPr>
          <w:rFonts w:asciiTheme="majorBidi" w:eastAsiaTheme="minorEastAsia" w:hAnsiTheme="majorBidi" w:cstheme="majorBidi"/>
        </w:rPr>
        <w:t xml:space="preserve">1101 </w:t>
      </w:r>
      <w:proofErr w:type="spellStart"/>
      <w:r w:rsidRPr="00590662">
        <w:rPr>
          <w:rFonts w:asciiTheme="majorBidi" w:eastAsiaTheme="minorEastAsia" w:hAnsiTheme="majorBidi" w:cstheme="majorBidi"/>
        </w:rPr>
        <w:t>Wootton</w:t>
      </w:r>
      <w:proofErr w:type="spellEnd"/>
      <w:r w:rsidRPr="00590662">
        <w:rPr>
          <w:rFonts w:asciiTheme="majorBidi" w:eastAsiaTheme="minorEastAsia" w:hAnsiTheme="majorBidi" w:cstheme="majorBidi"/>
        </w:rPr>
        <w:t xml:space="preserve"> Parkway, Suite 250</w:t>
      </w:r>
    </w:p>
    <w:p w:rsidR="00590662" w:rsidRPr="00590662" w:rsidRDefault="00590662" w:rsidP="00E12AD6">
      <w:pPr>
        <w:widowControl w:val="0"/>
        <w:adjustRightInd w:val="0"/>
        <w:snapToGrid w:val="0"/>
        <w:ind w:left="2880" w:firstLine="720"/>
        <w:rPr>
          <w:rFonts w:asciiTheme="majorBidi" w:eastAsiaTheme="minorEastAsia" w:hAnsiTheme="majorBidi" w:cstheme="majorBidi"/>
        </w:rPr>
      </w:pPr>
      <w:r w:rsidRPr="00590662">
        <w:rPr>
          <w:rFonts w:asciiTheme="majorBidi" w:eastAsiaTheme="minorEastAsia" w:hAnsiTheme="majorBidi" w:cstheme="majorBidi"/>
        </w:rPr>
        <w:t>Rockville, MD 20852</w:t>
      </w:r>
    </w:p>
    <w:p w:rsidR="00985668" w:rsidRDefault="00590662" w:rsidP="00590662">
      <w:pPr>
        <w:widowControl w:val="0"/>
        <w:adjustRightInd w:val="0"/>
        <w:snapToGrid w:val="0"/>
        <w:ind w:left="2880" w:firstLine="720"/>
        <w:rPr>
          <w:rFonts w:asciiTheme="majorBidi" w:eastAsiaTheme="minorEastAsia" w:hAnsiTheme="majorBidi" w:cstheme="majorBidi"/>
        </w:rPr>
      </w:pPr>
      <w:r w:rsidRPr="00590662">
        <w:rPr>
          <w:rFonts w:asciiTheme="majorBidi" w:eastAsiaTheme="minorEastAsia" w:hAnsiTheme="majorBidi" w:cstheme="majorBidi"/>
        </w:rPr>
        <w:t>Phone:  (240) 453-8803</w:t>
      </w:r>
    </w:p>
    <w:p w:rsidR="00590662" w:rsidRPr="00590662" w:rsidRDefault="00590662" w:rsidP="00590662">
      <w:pPr>
        <w:widowControl w:val="0"/>
        <w:adjustRightInd w:val="0"/>
        <w:snapToGrid w:val="0"/>
        <w:ind w:left="2880" w:firstLine="720"/>
        <w:rPr>
          <w:rFonts w:asciiTheme="majorBidi" w:eastAsiaTheme="minorEastAsia" w:hAnsiTheme="majorBidi" w:cstheme="majorBidi"/>
        </w:rPr>
      </w:pPr>
      <w:r w:rsidRPr="00590662">
        <w:rPr>
          <w:rFonts w:asciiTheme="majorBidi" w:eastAsiaTheme="minorEastAsia" w:hAnsiTheme="majorBidi" w:cstheme="majorBidi"/>
        </w:rPr>
        <w:t>Fax: (240) 453-8456</w:t>
      </w:r>
    </w:p>
    <w:p w:rsidR="00590662" w:rsidRPr="00590662" w:rsidRDefault="00590662" w:rsidP="00590662">
      <w:pPr>
        <w:widowControl w:val="0"/>
        <w:adjustRightInd w:val="0"/>
        <w:snapToGrid w:val="0"/>
        <w:ind w:left="2880" w:firstLine="720"/>
        <w:rPr>
          <w:rFonts w:asciiTheme="majorBidi" w:eastAsiaTheme="minorEastAsia" w:hAnsiTheme="majorBidi" w:cstheme="majorBidi"/>
        </w:rPr>
      </w:pPr>
      <w:r w:rsidRPr="00590662">
        <w:rPr>
          <w:rFonts w:asciiTheme="majorBidi" w:eastAsiaTheme="minorEastAsia" w:hAnsiTheme="majorBidi" w:cstheme="majorBidi"/>
        </w:rPr>
        <w:t xml:space="preserve">Email: </w:t>
      </w:r>
      <w:hyperlink r:id="rId9" w:history="1">
        <w:r w:rsidRPr="00590662">
          <w:rPr>
            <w:rFonts w:asciiTheme="majorBidi" w:eastAsiaTheme="minorEastAsia" w:hAnsiTheme="majorBidi" w:cstheme="majorBidi"/>
            <w:color w:val="0000FF" w:themeColor="hyperlink"/>
            <w:u w:val="single"/>
          </w:rPr>
          <w:t>Richard.Henry@hhs.gov</w:t>
        </w:r>
      </w:hyperlink>
    </w:p>
    <w:p w:rsidR="00590662" w:rsidRPr="00590662" w:rsidRDefault="00590662" w:rsidP="00590662">
      <w:pPr>
        <w:widowControl w:val="0"/>
        <w:adjustRightInd w:val="0"/>
        <w:snapToGrid w:val="0"/>
        <w:ind w:left="2880" w:firstLine="720"/>
        <w:rPr>
          <w:rFonts w:asciiTheme="majorBidi" w:eastAsiaTheme="minorEastAsia" w:hAnsiTheme="majorBidi" w:cstheme="majorBidi"/>
          <w:b/>
        </w:rPr>
      </w:pPr>
    </w:p>
    <w:p w:rsidR="00CF6C08" w:rsidRDefault="00CF6C08" w:rsidP="005C3DC2">
      <w:pPr>
        <w:rPr>
          <w:sz w:val="32"/>
          <w:szCs w:val="32"/>
        </w:rPr>
        <w:sectPr w:rsidR="00CF6C08" w:rsidSect="00985668">
          <w:footerReference w:type="even" r:id="rId10"/>
          <w:footerReference w:type="default" r:id="rId11"/>
          <w:footerReference w:type="first" r:id="rId12"/>
          <w:pgSz w:w="12240" w:h="15840"/>
          <w:pgMar w:top="990" w:right="1800" w:bottom="810" w:left="1800" w:header="720" w:footer="720" w:gutter="0"/>
          <w:pgNumType w:fmt="lowerRoman" w:start="1"/>
          <w:cols w:space="720"/>
          <w:docGrid w:linePitch="360"/>
        </w:sectPr>
      </w:pPr>
    </w:p>
    <w:p w:rsidR="005C3DC2" w:rsidRDefault="005C3DC2" w:rsidP="005C3DC2">
      <w:pPr>
        <w:rPr>
          <w:sz w:val="32"/>
          <w:szCs w:val="32"/>
        </w:rPr>
      </w:pPr>
    </w:p>
    <w:p w:rsidR="00EF5CAC" w:rsidRDefault="00EF5CAC" w:rsidP="00253C78">
      <w:pPr>
        <w:tabs>
          <w:tab w:val="left" w:pos="3510"/>
        </w:tabs>
        <w:jc w:val="center"/>
      </w:pPr>
    </w:p>
    <w:p w:rsidR="00EF5CAC" w:rsidRDefault="00EF5CAC" w:rsidP="00253C78">
      <w:pPr>
        <w:tabs>
          <w:tab w:val="left" w:pos="3510"/>
        </w:tabs>
        <w:jc w:val="center"/>
      </w:pPr>
    </w:p>
    <w:p w:rsidR="00EF5CAC" w:rsidRDefault="00EF5CAC" w:rsidP="00253C78">
      <w:pPr>
        <w:tabs>
          <w:tab w:val="left" w:pos="3510"/>
        </w:tabs>
        <w:jc w:val="center"/>
      </w:pPr>
    </w:p>
    <w:p w:rsidR="00253C78" w:rsidRPr="00C37610" w:rsidRDefault="00253C78" w:rsidP="00253C78">
      <w:pPr>
        <w:tabs>
          <w:tab w:val="left" w:pos="3510"/>
        </w:tabs>
        <w:jc w:val="center"/>
      </w:pPr>
      <w:r w:rsidRPr="00C37610">
        <w:t xml:space="preserve">Table of </w:t>
      </w:r>
      <w:r w:rsidR="009A7CFF">
        <w:t>C</w:t>
      </w:r>
      <w:r w:rsidRPr="00C37610">
        <w:t>ontents</w:t>
      </w:r>
    </w:p>
    <w:p w:rsidR="00C0082B" w:rsidRPr="007309DF" w:rsidRDefault="00AF3EDD">
      <w:pPr>
        <w:pStyle w:val="TOC1"/>
        <w:rPr>
          <w:rFonts w:asciiTheme="majorBidi" w:eastAsiaTheme="minorEastAsia" w:hAnsiTheme="majorBidi" w:cstheme="majorBidi"/>
          <w:b w:val="0"/>
          <w:caps w:val="0"/>
          <w:sz w:val="22"/>
          <w:szCs w:val="22"/>
        </w:rPr>
      </w:pPr>
      <w:r w:rsidRPr="007309DF">
        <w:rPr>
          <w:rFonts w:asciiTheme="majorBidi" w:hAnsiTheme="majorBidi" w:cstheme="majorBidi"/>
          <w:sz w:val="22"/>
          <w:szCs w:val="22"/>
        </w:rPr>
        <w:fldChar w:fldCharType="begin"/>
      </w:r>
      <w:r w:rsidR="00253C78" w:rsidRPr="007309DF">
        <w:rPr>
          <w:rFonts w:asciiTheme="majorBidi" w:hAnsiTheme="majorBidi" w:cstheme="majorBidi"/>
          <w:sz w:val="22"/>
          <w:szCs w:val="22"/>
        </w:rPr>
        <w:instrText xml:space="preserve"> TOC \o "1-2" \u </w:instrText>
      </w:r>
      <w:r w:rsidRPr="007309DF">
        <w:rPr>
          <w:rFonts w:asciiTheme="majorBidi" w:hAnsiTheme="majorBidi" w:cstheme="majorBidi"/>
          <w:sz w:val="22"/>
          <w:szCs w:val="22"/>
        </w:rPr>
        <w:fldChar w:fldCharType="separate"/>
      </w:r>
      <w:r w:rsidR="00C0082B" w:rsidRPr="007309DF">
        <w:rPr>
          <w:rFonts w:asciiTheme="majorBidi" w:hAnsiTheme="majorBidi" w:cstheme="majorBidi"/>
          <w:sz w:val="22"/>
          <w:szCs w:val="22"/>
        </w:rPr>
        <w:t>References</w:t>
      </w:r>
      <w:r w:rsidR="00C0082B" w:rsidRPr="007309DF">
        <w:rPr>
          <w:rFonts w:asciiTheme="majorBidi" w:hAnsiTheme="majorBidi" w:cstheme="majorBidi"/>
          <w:sz w:val="22"/>
          <w:szCs w:val="22"/>
        </w:rPr>
        <w:tab/>
      </w:r>
      <w:r w:rsidR="00C0082B" w:rsidRPr="007309DF">
        <w:rPr>
          <w:rFonts w:asciiTheme="majorBidi" w:hAnsiTheme="majorBidi" w:cstheme="majorBidi"/>
          <w:sz w:val="22"/>
          <w:szCs w:val="22"/>
        </w:rPr>
        <w:fldChar w:fldCharType="begin"/>
      </w:r>
      <w:r w:rsidR="00C0082B" w:rsidRPr="007309DF">
        <w:rPr>
          <w:rFonts w:asciiTheme="majorBidi" w:hAnsiTheme="majorBidi" w:cstheme="majorBidi"/>
          <w:sz w:val="22"/>
          <w:szCs w:val="22"/>
        </w:rPr>
        <w:instrText xml:space="preserve"> PAGEREF _Toc395694456 \h </w:instrText>
      </w:r>
      <w:r w:rsidR="00C0082B" w:rsidRPr="007309DF">
        <w:rPr>
          <w:rFonts w:asciiTheme="majorBidi" w:hAnsiTheme="majorBidi" w:cstheme="majorBidi"/>
          <w:sz w:val="22"/>
          <w:szCs w:val="22"/>
        </w:rPr>
      </w:r>
      <w:r w:rsidR="00C0082B" w:rsidRPr="007309DF">
        <w:rPr>
          <w:rFonts w:asciiTheme="majorBidi" w:hAnsiTheme="majorBidi" w:cstheme="majorBidi"/>
          <w:sz w:val="22"/>
          <w:szCs w:val="22"/>
        </w:rPr>
        <w:fldChar w:fldCharType="separate"/>
      </w:r>
      <w:r w:rsidR="00861463">
        <w:rPr>
          <w:rFonts w:asciiTheme="majorBidi" w:hAnsiTheme="majorBidi" w:cstheme="majorBidi"/>
          <w:sz w:val="22"/>
          <w:szCs w:val="22"/>
        </w:rPr>
        <w:t>2</w:t>
      </w:r>
      <w:r w:rsidR="00C0082B" w:rsidRPr="007309DF">
        <w:rPr>
          <w:rFonts w:asciiTheme="majorBidi" w:hAnsiTheme="majorBidi" w:cstheme="majorBidi"/>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A.2    Purpose and Use of the Information Collection</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_Toc395694457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3</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A.3     Use of Information Technology and Burden Reduction</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_Toc395694458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3</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A.4</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Efforts to Identify Duplication and Use of Similar Information</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_Toc395694459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5</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A.5</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Impact on Small Businesses or Other Small Entities</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_Toc395694460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6</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A.6</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Consequences of Collecting the Information Less Frequently</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_Toc395694461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6</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A.7</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 xml:space="preserve"> Special Circumstances Relating to the Guidelines of 5 CFR 1320.5</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_Toc395694462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6</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A.8</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Comments in Response to the Federal Register Notice and Efforts to Consult Outside Agency</w:t>
      </w:r>
      <w:r w:rsidRPr="007309DF">
        <w:rPr>
          <w:rFonts w:asciiTheme="majorBidi" w:hAnsiTheme="majorBidi" w:cstheme="majorBidi"/>
          <w:noProof/>
          <w:sz w:val="22"/>
          <w:szCs w:val="22"/>
        </w:rPr>
        <w:tab/>
      </w:r>
      <w:r w:rsidR="007A0875">
        <w:rPr>
          <w:rFonts w:asciiTheme="majorBidi" w:hAnsiTheme="majorBidi" w:cstheme="majorBidi"/>
          <w:noProof/>
          <w:sz w:val="22"/>
          <w:szCs w:val="22"/>
        </w:rPr>
        <w:t>5</w:t>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A.9</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Explanation of Any Payment or Gift to Respondents</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_Toc395694464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6</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A.10</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Assurance of Confidentiality Provided to Respondents</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_Toc395694465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7</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A.11</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Justification for Sensitive Questions</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_Toc395694466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7</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A.12</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Estimates of Hours Burden Including Annualized Hourly Costs</w:t>
      </w:r>
      <w:r w:rsidRPr="007309DF">
        <w:rPr>
          <w:rFonts w:asciiTheme="majorBidi" w:hAnsiTheme="majorBidi" w:cstheme="majorBidi"/>
          <w:noProof/>
          <w:sz w:val="22"/>
          <w:szCs w:val="22"/>
        </w:rPr>
        <w:tab/>
      </w:r>
      <w:r w:rsidR="007A0875">
        <w:rPr>
          <w:rFonts w:asciiTheme="majorBidi" w:hAnsiTheme="majorBidi" w:cstheme="majorBidi"/>
          <w:noProof/>
          <w:sz w:val="22"/>
          <w:szCs w:val="22"/>
        </w:rPr>
        <w:t>6</w:t>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A.13</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Estimate of Other Total Annual Cost Burden to Respondents or Record Keepers</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_Toc395694468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8</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A.14</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Annualized Cost to the Federal Government</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_Toc395694469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8</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A.15</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Explanation for Program Changes or Adjustments</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_Toc395694470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9</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A.16</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Plans for Tabulation and Publication and Project Time Schedule</w:t>
      </w:r>
      <w:r w:rsidRPr="007309DF">
        <w:rPr>
          <w:rFonts w:asciiTheme="majorBidi" w:hAnsiTheme="majorBidi" w:cstheme="majorBidi"/>
          <w:noProof/>
          <w:sz w:val="22"/>
          <w:szCs w:val="22"/>
        </w:rPr>
        <w:tab/>
      </w:r>
      <w:r w:rsidRPr="007309DF">
        <w:rPr>
          <w:rFonts w:asciiTheme="majorBidi" w:hAnsiTheme="majorBidi" w:cstheme="majorBidi"/>
          <w:noProof/>
          <w:sz w:val="22"/>
          <w:szCs w:val="22"/>
        </w:rPr>
        <w:fldChar w:fldCharType="begin"/>
      </w:r>
      <w:r w:rsidRPr="007309DF">
        <w:rPr>
          <w:rFonts w:asciiTheme="majorBidi" w:hAnsiTheme="majorBidi" w:cstheme="majorBidi"/>
          <w:noProof/>
          <w:sz w:val="22"/>
          <w:szCs w:val="22"/>
        </w:rPr>
        <w:instrText xml:space="preserve"> PAGEREF _Toc395694471 \h </w:instrText>
      </w:r>
      <w:r w:rsidRPr="007309DF">
        <w:rPr>
          <w:rFonts w:asciiTheme="majorBidi" w:hAnsiTheme="majorBidi" w:cstheme="majorBidi"/>
          <w:noProof/>
          <w:sz w:val="22"/>
          <w:szCs w:val="22"/>
        </w:rPr>
      </w:r>
      <w:r w:rsidRPr="007309DF">
        <w:rPr>
          <w:rFonts w:asciiTheme="majorBidi" w:hAnsiTheme="majorBidi" w:cstheme="majorBidi"/>
          <w:noProof/>
          <w:sz w:val="22"/>
          <w:szCs w:val="22"/>
        </w:rPr>
        <w:fldChar w:fldCharType="separate"/>
      </w:r>
      <w:r w:rsidR="00861463">
        <w:rPr>
          <w:rFonts w:asciiTheme="majorBidi" w:hAnsiTheme="majorBidi" w:cstheme="majorBidi"/>
          <w:noProof/>
          <w:sz w:val="22"/>
          <w:szCs w:val="22"/>
        </w:rPr>
        <w:t>9</w:t>
      </w:r>
      <w:r w:rsidRPr="007309DF">
        <w:rPr>
          <w:rFonts w:asciiTheme="majorBidi" w:hAnsiTheme="majorBidi" w:cstheme="majorBidi"/>
          <w:noProof/>
          <w:sz w:val="22"/>
          <w:szCs w:val="22"/>
        </w:rPr>
        <w:fldChar w:fldCharType="end"/>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A.17</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Reason(s) Display of OMB Expiration Date is Inappropriate</w:t>
      </w:r>
      <w:r w:rsidRPr="007309DF">
        <w:rPr>
          <w:rFonts w:asciiTheme="majorBidi" w:hAnsiTheme="majorBidi" w:cstheme="majorBidi"/>
          <w:noProof/>
          <w:sz w:val="22"/>
          <w:szCs w:val="22"/>
        </w:rPr>
        <w:tab/>
      </w:r>
      <w:r w:rsidR="009A7CFF">
        <w:rPr>
          <w:rFonts w:asciiTheme="majorBidi" w:hAnsiTheme="majorBidi" w:cstheme="majorBidi"/>
          <w:noProof/>
          <w:sz w:val="22"/>
          <w:szCs w:val="22"/>
        </w:rPr>
        <w:t>8</w:t>
      </w:r>
    </w:p>
    <w:p w:rsidR="00C0082B" w:rsidRPr="007309DF" w:rsidRDefault="00C0082B">
      <w:pPr>
        <w:pStyle w:val="TOC2"/>
        <w:rPr>
          <w:rFonts w:asciiTheme="majorBidi" w:eastAsiaTheme="minorEastAsia" w:hAnsiTheme="majorBidi" w:cstheme="majorBidi"/>
          <w:smallCaps w:val="0"/>
          <w:noProof/>
          <w:sz w:val="22"/>
          <w:szCs w:val="22"/>
        </w:rPr>
      </w:pPr>
      <w:r w:rsidRPr="007309DF">
        <w:rPr>
          <w:rFonts w:asciiTheme="majorBidi" w:hAnsiTheme="majorBidi" w:cstheme="majorBidi"/>
          <w:noProof/>
          <w:sz w:val="22"/>
          <w:szCs w:val="22"/>
        </w:rPr>
        <w:t>A.18</w:t>
      </w:r>
      <w:r w:rsidRPr="007309DF">
        <w:rPr>
          <w:rFonts w:asciiTheme="majorBidi" w:eastAsiaTheme="minorEastAsia" w:hAnsiTheme="majorBidi" w:cstheme="majorBidi"/>
          <w:smallCaps w:val="0"/>
          <w:noProof/>
          <w:sz w:val="22"/>
          <w:szCs w:val="22"/>
        </w:rPr>
        <w:tab/>
      </w:r>
      <w:r w:rsidRPr="007309DF">
        <w:rPr>
          <w:rFonts w:asciiTheme="majorBidi" w:hAnsiTheme="majorBidi" w:cstheme="majorBidi"/>
          <w:noProof/>
          <w:sz w:val="22"/>
          <w:szCs w:val="22"/>
        </w:rPr>
        <w:t>Exceptions to Certification for Paperwork Reduction Act Submissions</w:t>
      </w:r>
      <w:r w:rsidRPr="007309DF">
        <w:rPr>
          <w:rFonts w:asciiTheme="majorBidi" w:hAnsiTheme="majorBidi" w:cstheme="majorBidi"/>
          <w:noProof/>
          <w:sz w:val="22"/>
          <w:szCs w:val="22"/>
        </w:rPr>
        <w:tab/>
      </w:r>
      <w:r w:rsidR="009A7CFF">
        <w:rPr>
          <w:rFonts w:asciiTheme="majorBidi" w:hAnsiTheme="majorBidi" w:cstheme="majorBidi"/>
          <w:noProof/>
          <w:sz w:val="22"/>
          <w:szCs w:val="22"/>
        </w:rPr>
        <w:t>8</w:t>
      </w:r>
    </w:p>
    <w:p w:rsidR="00680E77" w:rsidRDefault="00AF3EDD" w:rsidP="00253C78">
      <w:pPr>
        <w:rPr>
          <w:caps/>
          <w:noProof/>
        </w:rPr>
      </w:pPr>
      <w:r w:rsidRPr="007309DF">
        <w:rPr>
          <w:rFonts w:asciiTheme="majorBidi" w:hAnsiTheme="majorBidi" w:cstheme="majorBidi"/>
          <w:caps/>
          <w:noProof/>
          <w:sz w:val="22"/>
          <w:szCs w:val="22"/>
        </w:rPr>
        <w:fldChar w:fldCharType="end"/>
      </w:r>
    </w:p>
    <w:p w:rsidR="00680E77" w:rsidRDefault="00680E77" w:rsidP="00253C78">
      <w:pPr>
        <w:rPr>
          <w:caps/>
          <w:noProof/>
        </w:rPr>
      </w:pPr>
    </w:p>
    <w:p w:rsidR="00680E77" w:rsidRDefault="007E5DF5" w:rsidP="00253C78">
      <w:pPr>
        <w:rPr>
          <w:b/>
          <w:caps/>
          <w:noProof/>
        </w:rPr>
      </w:pPr>
      <w:r>
        <w:rPr>
          <w:b/>
          <w:caps/>
          <w:noProof/>
        </w:rPr>
        <w:t>ATTACHMENTs</w:t>
      </w:r>
    </w:p>
    <w:p w:rsidR="007E5DF5" w:rsidRDefault="007E5DF5" w:rsidP="00253C78">
      <w:pPr>
        <w:rPr>
          <w:b/>
          <w:caps/>
          <w:noProof/>
        </w:rPr>
      </w:pPr>
    </w:p>
    <w:p w:rsidR="008B3C28" w:rsidRDefault="007E5DF5" w:rsidP="007E5DF5">
      <w:r>
        <w:t xml:space="preserve">Attachment </w:t>
      </w:r>
      <w:r w:rsidR="008B3C28">
        <w:t>1</w:t>
      </w:r>
      <w:r>
        <w:t xml:space="preserve">: </w:t>
      </w:r>
      <w:r w:rsidR="008B3C28">
        <w:t>List of Participating Organizations</w:t>
      </w:r>
    </w:p>
    <w:p w:rsidR="007E5DF5" w:rsidRDefault="008B3C28" w:rsidP="005D7D1B">
      <w:r>
        <w:t xml:space="preserve">Attachment 2: </w:t>
      </w:r>
      <w:r w:rsidR="005D7D1B">
        <w:t>Organ</w:t>
      </w:r>
      <w:r w:rsidR="00D10E55">
        <w:t xml:space="preserve"> and </w:t>
      </w:r>
      <w:r w:rsidR="005D7D1B">
        <w:t xml:space="preserve">Tissue Participants </w:t>
      </w:r>
      <w:r w:rsidR="007E5DF5">
        <w:t xml:space="preserve">Data Variables </w:t>
      </w:r>
      <w:r w:rsidR="005D7D1B">
        <w:t>Reques</w:t>
      </w:r>
      <w:r w:rsidR="007E5DF5">
        <w:t>ted</w:t>
      </w:r>
    </w:p>
    <w:p w:rsidR="007E5DF5" w:rsidRDefault="008B3C28" w:rsidP="005D7D1B">
      <w:r>
        <w:t xml:space="preserve">Attachment 3: </w:t>
      </w:r>
      <w:r w:rsidR="007E5DF5">
        <w:t xml:space="preserve">Eye </w:t>
      </w:r>
      <w:r w:rsidR="005D7D1B">
        <w:t xml:space="preserve">Bank Participants </w:t>
      </w:r>
      <w:r w:rsidR="007E5DF5">
        <w:t xml:space="preserve">Data Variables </w:t>
      </w:r>
      <w:r w:rsidR="005D7D1B">
        <w:t>Request</w:t>
      </w:r>
      <w:r w:rsidR="007E5DF5">
        <w:t>ed</w:t>
      </w:r>
    </w:p>
    <w:p w:rsidR="007E5DF5" w:rsidRPr="007E5DF5" w:rsidRDefault="007E5DF5" w:rsidP="008B3C28">
      <w:r>
        <w:t xml:space="preserve">Attachment </w:t>
      </w:r>
      <w:r w:rsidR="008B3C28">
        <w:t>4</w:t>
      </w:r>
      <w:r>
        <w:t>: TODES Working Group</w:t>
      </w:r>
    </w:p>
    <w:p w:rsidR="00680E77" w:rsidRDefault="00680E77" w:rsidP="00253C78">
      <w:pPr>
        <w:rPr>
          <w:caps/>
          <w:noProof/>
        </w:rPr>
      </w:pPr>
    </w:p>
    <w:p w:rsidR="00680E77" w:rsidRDefault="00680E77" w:rsidP="00253C78">
      <w:pPr>
        <w:rPr>
          <w:caps/>
          <w:noProof/>
        </w:rPr>
      </w:pPr>
    </w:p>
    <w:p w:rsidR="00CF6C08" w:rsidRDefault="00CF6C08" w:rsidP="004A70E1">
      <w:pPr>
        <w:pStyle w:val="P1-StandPara"/>
        <w:ind w:right="-216" w:firstLine="0"/>
        <w:jc w:val="center"/>
        <w:rPr>
          <w:b/>
          <w:caps/>
          <w:noProof/>
          <w:color w:val="FF0000"/>
          <w:sz w:val="24"/>
          <w:szCs w:val="24"/>
        </w:rPr>
        <w:sectPr w:rsidR="00CF6C08" w:rsidSect="009A7CFF">
          <w:pgSz w:w="12240" w:h="15840"/>
          <w:pgMar w:top="990" w:right="1800" w:bottom="810" w:left="1800" w:header="720" w:footer="720" w:gutter="0"/>
          <w:cols w:space="720"/>
          <w:titlePg/>
          <w:docGrid w:linePitch="360"/>
        </w:sectPr>
      </w:pPr>
    </w:p>
    <w:p w:rsidR="00BF4042" w:rsidRPr="006E7289" w:rsidRDefault="00BF4042" w:rsidP="00BF4042">
      <w:pPr>
        <w:pStyle w:val="P1-StandPara"/>
        <w:tabs>
          <w:tab w:val="left" w:pos="720"/>
          <w:tab w:val="right" w:leader="dot" w:pos="9504"/>
        </w:tabs>
        <w:spacing w:before="120" w:after="120"/>
        <w:ind w:firstLine="0"/>
        <w:rPr>
          <w:rFonts w:ascii="Arial" w:hAnsi="Arial" w:cs="Arial"/>
          <w:b/>
          <w:sz w:val="24"/>
          <w:szCs w:val="24"/>
        </w:rPr>
      </w:pPr>
      <w:r w:rsidRPr="006E7289">
        <w:rPr>
          <w:rFonts w:ascii="Arial" w:hAnsi="Arial" w:cs="Arial"/>
          <w:b/>
          <w:sz w:val="24"/>
          <w:szCs w:val="24"/>
        </w:rPr>
        <w:lastRenderedPageBreak/>
        <w:t>A.1</w:t>
      </w:r>
      <w:r w:rsidRPr="006E7289">
        <w:rPr>
          <w:rFonts w:ascii="Arial" w:hAnsi="Arial" w:cs="Arial"/>
          <w:b/>
          <w:sz w:val="24"/>
          <w:szCs w:val="24"/>
        </w:rPr>
        <w:tab/>
        <w:t>Circumstances Making the Collection of Information Necessary</w:t>
      </w:r>
    </w:p>
    <w:p w:rsidR="00E6301A" w:rsidRPr="004D3DAA" w:rsidRDefault="00C16CB5" w:rsidP="00E6301A">
      <w:pPr>
        <w:tabs>
          <w:tab w:val="left" w:pos="720"/>
          <w:tab w:val="left" w:pos="6732"/>
        </w:tabs>
        <w:jc w:val="both"/>
        <w:rPr>
          <w:lang w:eastAsia="zh-CN"/>
        </w:rPr>
      </w:pPr>
      <w:r w:rsidRPr="00300674">
        <w:rPr>
          <w:rFonts w:asciiTheme="majorBidi" w:hAnsiTheme="majorBidi" w:cstheme="majorBidi"/>
        </w:rPr>
        <w:t>HHS and its Operating Divisions (e.g., FDA) regulates human cells, tissues, and cellular and tissue</w:t>
      </w:r>
      <w:r w:rsidRPr="00300674">
        <w:rPr>
          <w:rFonts w:ascii="Cambria Math" w:hAnsi="Cambria Math" w:cs="Cambria Math"/>
        </w:rPr>
        <w:t>‐</w:t>
      </w:r>
      <w:r w:rsidRPr="00300674">
        <w:rPr>
          <w:rFonts w:asciiTheme="majorBidi" w:hAnsiTheme="majorBidi" w:cstheme="majorBidi"/>
        </w:rPr>
        <w:t xml:space="preserve">based  products (HCT/Ps)—defined as articles containing or consisting of human cells or tissues that are intended for implantation, transplantation, infusion, or transfer into a human recipient. Examples of HCT/Ps include bone, ligament, skin, </w:t>
      </w:r>
      <w:proofErr w:type="spellStart"/>
      <w:r w:rsidRPr="00300674">
        <w:rPr>
          <w:rFonts w:asciiTheme="majorBidi" w:hAnsiTheme="majorBidi" w:cstheme="majorBidi"/>
        </w:rPr>
        <w:t>dura</w:t>
      </w:r>
      <w:proofErr w:type="spellEnd"/>
      <w:r w:rsidRPr="00300674">
        <w:rPr>
          <w:rFonts w:asciiTheme="majorBidi" w:hAnsiTheme="majorBidi" w:cstheme="majorBidi"/>
        </w:rPr>
        <w:t xml:space="preserve"> mater, heart valves, cornea, tendon, oocytes, semen, and hematopoietic progenitor cells (HPCs) derived from peripheral and umbilical cord blood (</w:t>
      </w:r>
      <w:r w:rsidR="002D2463">
        <w:rPr>
          <w:rFonts w:asciiTheme="majorBidi" w:hAnsiTheme="majorBidi" w:cstheme="majorBidi"/>
        </w:rPr>
        <w:t>U</w:t>
      </w:r>
      <w:r w:rsidRPr="00300674">
        <w:rPr>
          <w:rFonts w:asciiTheme="majorBidi" w:hAnsiTheme="majorBidi" w:cstheme="majorBidi"/>
        </w:rPr>
        <w:t xml:space="preserve">CB). All HCT/Ps are regulated under Section 361 of the Public Health Service Act to prevent the introduction, transmission, and spread of communicable disease; some HCT/Ps </w:t>
      </w:r>
      <w:proofErr w:type="gramStart"/>
      <w:r w:rsidRPr="00300674">
        <w:rPr>
          <w:rFonts w:asciiTheme="majorBidi" w:hAnsiTheme="majorBidi" w:cstheme="majorBidi"/>
        </w:rPr>
        <w:t>are</w:t>
      </w:r>
      <w:proofErr w:type="gramEnd"/>
      <w:r w:rsidRPr="00300674">
        <w:rPr>
          <w:rFonts w:asciiTheme="majorBidi" w:hAnsiTheme="majorBidi" w:cstheme="majorBidi"/>
        </w:rPr>
        <w:t xml:space="preserve"> also regulated as biologic, device, or combination products. In order to minimize the risk of infectious disease transmission, donors must be screened (including a donor medical history interview and medical records review) and tested to evaluate for either the risk or presence of communicable diseases</w:t>
      </w:r>
      <w:r>
        <w:t xml:space="preserve">. </w:t>
      </w:r>
      <w:r w:rsidR="00E6301A" w:rsidRPr="004D3DAA">
        <w:t xml:space="preserve">The proposed study, </w:t>
      </w:r>
      <w:r w:rsidR="00E6301A" w:rsidRPr="00E6301A">
        <w:rPr>
          <w:lang w:eastAsia="zh-CN"/>
        </w:rPr>
        <w:t>Tissue</w:t>
      </w:r>
      <w:r w:rsidR="005D7D1B">
        <w:rPr>
          <w:lang w:eastAsia="zh-CN"/>
        </w:rPr>
        <w:t xml:space="preserve"> and</w:t>
      </w:r>
      <w:r w:rsidR="00E6301A" w:rsidRPr="00E6301A">
        <w:rPr>
          <w:lang w:eastAsia="zh-CN"/>
        </w:rPr>
        <w:t xml:space="preserve"> Organ Donor Epidemiology Study (TODES</w:t>
      </w:r>
      <w:r w:rsidR="005D7D1B">
        <w:rPr>
          <w:lang w:eastAsia="zh-CN"/>
        </w:rPr>
        <w:t>)</w:t>
      </w:r>
      <w:r w:rsidR="00E6301A" w:rsidRPr="004D3DAA">
        <w:t xml:space="preserve">, fits within </w:t>
      </w:r>
      <w:r w:rsidR="00E6301A">
        <w:t>the HHS public health</w:t>
      </w:r>
      <w:r w:rsidR="00E6301A" w:rsidRPr="004D3DAA">
        <w:t xml:space="preserve"> research agenda as described here and in the other supporting documents. </w:t>
      </w:r>
    </w:p>
    <w:p w:rsidR="00C16CB5" w:rsidRDefault="00C16CB5" w:rsidP="00C16CB5"/>
    <w:p w:rsidR="002C2EDF" w:rsidRDefault="002C2EDF" w:rsidP="007E5DF5">
      <w:r w:rsidRPr="002C2EDF">
        <w:t>A workshop in June 2005 (“Preventing Organ and Tissue Allograft-Transmitted Infection: Priorities for Public Health Intervention”) identified gaps in organ and tissue safety in the United States.</w:t>
      </w:r>
      <w:r w:rsidRPr="00216E1C">
        <w:rPr>
          <w:vertAlign w:val="superscript"/>
        </w:rPr>
        <w:t>1</w:t>
      </w:r>
      <w:r w:rsidRPr="002C2EDF">
        <w:t xml:space="preserve"> Participants developed a series of allograft safety initiatives, assessed progress, and identified priorities for future interventions. Despite progress, improved recognition and prevention of donor-derived transmission events is needed. It was concluded that this requires systems integration across the organ and tissue transplantation communities including organ procurement organizations, eye and tissue banks, and transplant infectious disease experts.  Commitment of resources and improved coordination of efforts are required to develop essential tools to enhance safety for transplant recipients.</w:t>
      </w:r>
    </w:p>
    <w:p w:rsidR="00700697" w:rsidRDefault="00700697" w:rsidP="00EE0BF2"/>
    <w:p w:rsidR="00EE0BF2" w:rsidRDefault="00EE0BF2" w:rsidP="00EE0BF2">
      <w:r>
        <w:t xml:space="preserve">In May 2010, the U.S. Food and Drug Administration (FDA) held a workshop entitled Emerging Infectious Diseases: Evaluation to Implementation for Transfusion and Transplantation Safety. The goal of this meeting was to identify a research agenda to characterize the risk for transmission of donor-derived infections and to inform the development of guidelines for emerging infectious </w:t>
      </w:r>
      <w:r w:rsidR="002D309B">
        <w:t>diseases.</w:t>
      </w:r>
      <w:r w:rsidR="002D309B" w:rsidRPr="00216E1C">
        <w:rPr>
          <w:vertAlign w:val="superscript"/>
        </w:rPr>
        <w:t>2</w:t>
      </w:r>
      <w:r w:rsidR="002D309B">
        <w:t xml:space="preserve"> With</w:t>
      </w:r>
      <w:r>
        <w:t xml:space="preserve"> respect to the evaluation of donors, the participants discussed knowledge gaps in current </w:t>
      </w:r>
      <w:r w:rsidR="00776FD2">
        <w:t xml:space="preserve">evaluation </w:t>
      </w:r>
      <w:r>
        <w:t xml:space="preserve">practices (i.e., screening and testing donors for infectious agents). The sensitivity and specificity of current approaches are largely unknown. Serologic assays detect chronic or persistent infections but are less useful for diagnosing more recent infections. Some cases of donor-derived infection in organ transplantation </w:t>
      </w:r>
      <w:r w:rsidR="001B750B">
        <w:t>occur due to the limitations of</w:t>
      </w:r>
      <w:r>
        <w:t xml:space="preserve"> serologic testing (e.g., window-period cases before </w:t>
      </w:r>
      <w:proofErr w:type="spellStart"/>
      <w:r>
        <w:t>seroconversion</w:t>
      </w:r>
      <w:proofErr w:type="spellEnd"/>
      <w:r>
        <w:t xml:space="preserve">). Nucleic acid testing (NAT) is useful for detecting infection only in blood samples of </w:t>
      </w:r>
      <w:proofErr w:type="spellStart"/>
      <w:r>
        <w:t>viremic</w:t>
      </w:r>
      <w:proofErr w:type="spellEnd"/>
      <w:r>
        <w:t xml:space="preserve"> donors and is not available for every potential organism. Variability in performance </w:t>
      </w:r>
      <w:r w:rsidR="00776FD2">
        <w:t xml:space="preserve">and practice </w:t>
      </w:r>
      <w:r>
        <w:t xml:space="preserve">limits the ability to compare and interpret existing testing data derived from donor populations that could, in turn, inform decisions regarding optimal assay selection. For example, </w:t>
      </w:r>
      <w:r w:rsidR="0080360D">
        <w:t>almost all</w:t>
      </w:r>
      <w:r w:rsidR="001B750B">
        <w:t xml:space="preserve"> </w:t>
      </w:r>
      <w:r>
        <w:t xml:space="preserve">organ-procurement organizations use assays indicated for donor </w:t>
      </w:r>
      <w:r w:rsidR="001B750B">
        <w:t>screening, but a few may use</w:t>
      </w:r>
      <w:r>
        <w:t xml:space="preserve"> diagnostic tests. Programs use antibody assays from different manufacturers (resulting in differing performance characteristics), and </w:t>
      </w:r>
      <w:r w:rsidR="001B750B">
        <w:t>while all tissue banks an</w:t>
      </w:r>
      <w:r w:rsidR="0080360D">
        <w:t>d</w:t>
      </w:r>
      <w:r w:rsidR="001B750B">
        <w:t xml:space="preserve"> many OPOs </w:t>
      </w:r>
      <w:r>
        <w:t>use NAT routinely</w:t>
      </w:r>
      <w:r w:rsidR="001B750B">
        <w:t xml:space="preserve">, some OPOs only perform NAT </w:t>
      </w:r>
      <w:r>
        <w:t xml:space="preserve">in special </w:t>
      </w:r>
      <w:r>
        <w:lastRenderedPageBreak/>
        <w:t>circumstances (e.g., on the basis of donor characteristics). There are few data regarding the clinical performance of these assays in donor populations.</w:t>
      </w:r>
    </w:p>
    <w:p w:rsidR="00743DDD" w:rsidRDefault="00743DDD" w:rsidP="00EE0BF2"/>
    <w:p w:rsidR="00EE0BF2" w:rsidRDefault="00DF1AD6" w:rsidP="001915B8">
      <w:r>
        <w:t>Be</w:t>
      </w:r>
      <w:r w:rsidR="00CC6E3C">
        <w:t xml:space="preserve">cause of </w:t>
      </w:r>
      <w:r>
        <w:t xml:space="preserve">the </w:t>
      </w:r>
      <w:r w:rsidR="00CC6E3C">
        <w:t>lack of standardization of donor evaluation procedures and data collection, pathogen characteristics, and recipient surveillance</w:t>
      </w:r>
      <w:r>
        <w:t>,</w:t>
      </w:r>
      <w:r w:rsidRPr="00DF1AD6">
        <w:t xml:space="preserve"> </w:t>
      </w:r>
      <w:r>
        <w:t>recognizing emerging infectious diseases in organ and tissue transplantation remains challenging</w:t>
      </w:r>
      <w:r w:rsidR="00CC6E3C">
        <w:t xml:space="preserve">. </w:t>
      </w:r>
      <w:r w:rsidR="0053066B">
        <w:t>G</w:t>
      </w:r>
      <w:r w:rsidR="00CC6E3C">
        <w:t xml:space="preserve">aps in systematic identification and characterization of the scope and magnitude of donor-derived infectious disease transmissions through organ and tissue transplantation remain a challenge to improvements in assessing risk and in developing more effective donor screening and testing strategies. </w:t>
      </w:r>
      <w:r w:rsidR="00EE0BF2">
        <w:t xml:space="preserve"> Studies of blood and organ donors suggest that the probability of </w:t>
      </w:r>
      <w:proofErr w:type="spellStart"/>
      <w:r w:rsidR="00EE0BF2">
        <w:t>viremia</w:t>
      </w:r>
      <w:proofErr w:type="spellEnd"/>
      <w:r w:rsidR="00EE0BF2">
        <w:t xml:space="preserve"> for HIV, HCV, HBV, and human T-cell </w:t>
      </w:r>
      <w:proofErr w:type="spellStart"/>
      <w:r w:rsidR="00EE0BF2">
        <w:t>lymphotropic</w:t>
      </w:r>
      <w:proofErr w:type="spellEnd"/>
      <w:r w:rsidR="00EE0BF2">
        <w:t xml:space="preserve"> virus in the United States is higher in tissue and organ donors than in first-time blood donors</w:t>
      </w:r>
      <w:r w:rsidR="00EE0BF2" w:rsidRPr="00216E1C">
        <w:rPr>
          <w:vertAlign w:val="superscript"/>
        </w:rPr>
        <w:t>.3</w:t>
      </w:r>
      <w:r w:rsidR="00EE0BF2">
        <w:t xml:space="preserve">  </w:t>
      </w:r>
      <w:r w:rsidR="001915B8">
        <w:t>However, p</w:t>
      </w:r>
      <w:r w:rsidR="00EE0BF2">
        <w:t xml:space="preserve">rospective data collection is needed to define baseline </w:t>
      </w:r>
      <w:proofErr w:type="spellStart"/>
      <w:r w:rsidR="00EE0BF2">
        <w:t>seroprevalence</w:t>
      </w:r>
      <w:proofErr w:type="spellEnd"/>
      <w:r w:rsidR="00EE0BF2">
        <w:t xml:space="preserve"> in different donor populations, particularly since the more recent implementation of NAT; these data could be used to develop enhanced strategies for donor screening and testing to prevent disease transmission.</w:t>
      </w:r>
    </w:p>
    <w:p w:rsidR="005D7D1B" w:rsidRDefault="005D7D1B" w:rsidP="001915B8"/>
    <w:p w:rsidR="005D7D1B" w:rsidRDefault="005D7D1B" w:rsidP="001915B8">
      <w:r w:rsidRPr="005D7D1B">
        <w:t>TODES is being conducted in order to better understand the impact of donor screening and selection procedures, and to determine the extent of donor-donation level data that are collected for organ and tissue (including ocular) donors.  The data that are obtained from Organ Procurement Organizations (OPOs) and Eye Banks will provide a better characterization of the deceased donor pool; information regarding data management and storage practices; and a measure of the degree of standardization of data collected by various organizations across the U.S.  TODES may provide better estimates of the risk of</w:t>
      </w:r>
      <w:r w:rsidR="0053066B">
        <w:t xml:space="preserve"> HIV, HBV and HCV</w:t>
      </w:r>
      <w:r w:rsidRPr="005D7D1B">
        <w:t xml:space="preserve"> infections associated with organ and tissue transplantation and the potential for disease transmission; illustrate differences in laboratory screening methods and the impact of protocol variations; and serve as a pilot for future studies.  This retrospective study will provide a framework for future, prospective studies of organ and tissue donors that could inform policy decisions regarding donor qualification procedures and, potentially, increase the donor pool.  </w:t>
      </w:r>
    </w:p>
    <w:p w:rsidR="00CC6E3C" w:rsidRDefault="00CC6E3C" w:rsidP="00EE0BF2"/>
    <w:p w:rsidR="00321074" w:rsidRPr="00321074" w:rsidRDefault="00321074" w:rsidP="00321074">
      <w:pPr>
        <w:pStyle w:val="Heading1"/>
        <w:rPr>
          <w:rFonts w:asciiTheme="majorBidi" w:hAnsiTheme="majorBidi" w:cstheme="majorBidi"/>
          <w:sz w:val="24"/>
          <w:szCs w:val="24"/>
        </w:rPr>
      </w:pPr>
      <w:bookmarkStart w:id="2" w:name="_Toc335657149"/>
      <w:bookmarkStart w:id="3" w:name="_Toc395694456"/>
      <w:bookmarkStart w:id="4" w:name="_Toc443881743"/>
      <w:bookmarkStart w:id="5" w:name="_Toc451592232"/>
      <w:bookmarkStart w:id="6" w:name="_Toc5610273"/>
      <w:bookmarkStart w:id="7" w:name="_Toc99178779"/>
      <w:r w:rsidRPr="00321074">
        <w:rPr>
          <w:rFonts w:asciiTheme="majorBidi" w:hAnsiTheme="majorBidi" w:cstheme="majorBidi"/>
          <w:sz w:val="24"/>
          <w:szCs w:val="24"/>
        </w:rPr>
        <w:t>References</w:t>
      </w:r>
      <w:bookmarkEnd w:id="2"/>
      <w:bookmarkEnd w:id="3"/>
    </w:p>
    <w:p w:rsidR="002D309B" w:rsidRDefault="00321074" w:rsidP="00321074">
      <w:pPr>
        <w:pStyle w:val="biblio"/>
      </w:pPr>
      <w:r>
        <w:rPr>
          <w:color w:val="000000" w:themeColor="text1"/>
        </w:rPr>
        <w:t xml:space="preserve">1. </w:t>
      </w:r>
      <w:r>
        <w:rPr>
          <w:color w:val="000000" w:themeColor="text1"/>
        </w:rPr>
        <w:tab/>
      </w:r>
      <w:r>
        <w:t>Organ</w:t>
      </w:r>
      <w:r>
        <w:rPr>
          <w:color w:val="000000" w:themeColor="text1"/>
        </w:rPr>
        <w:t xml:space="preserve"> and Tissue Safety Workshop 2007: Advances and Challenges. </w:t>
      </w:r>
      <w:proofErr w:type="gramStart"/>
      <w:r>
        <w:t xml:space="preserve">Jay A. Fishman, D. Michael Strong and Matthew J. </w:t>
      </w:r>
      <w:proofErr w:type="spellStart"/>
      <w:r>
        <w:t>Kuehnert</w:t>
      </w:r>
      <w:proofErr w:type="spellEnd"/>
      <w:r>
        <w:t>.</w:t>
      </w:r>
      <w:proofErr w:type="gramEnd"/>
      <w:r>
        <w:t xml:space="preserve"> </w:t>
      </w:r>
      <w:proofErr w:type="gramStart"/>
      <w:r>
        <w:t>CELL AND TISSUE BANKING.</w:t>
      </w:r>
      <w:proofErr w:type="gramEnd"/>
      <w:r>
        <w:t xml:space="preserve"> Volume 10, Number 3 (2009), 271-280</w:t>
      </w:r>
      <w:r w:rsidR="00904982">
        <w:t>.</w:t>
      </w:r>
    </w:p>
    <w:p w:rsidR="00321074" w:rsidRDefault="00321074" w:rsidP="00321074">
      <w:pPr>
        <w:pStyle w:val="biblio"/>
      </w:pPr>
      <w:r>
        <w:t xml:space="preserve">2. </w:t>
      </w:r>
      <w:r>
        <w:tab/>
        <w:t xml:space="preserve">Food and Drug Administration Emerging infectious diseases: evaluation to implementation for transfusion and transplantation safety public workshop [cited 2011 Feb 13]. </w:t>
      </w:r>
      <w:hyperlink r:id="rId13" w:history="1">
        <w:r>
          <w:rPr>
            <w:rStyle w:val="Hyperlink"/>
          </w:rPr>
          <w:t>http://www.fda.gov/BiologicsBloodVaccines/NewsEvents/WorkshopsMeetingsConferences/ucm206773.htm</w:t>
        </w:r>
      </w:hyperlink>
      <w:r>
        <w:t>.</w:t>
      </w:r>
    </w:p>
    <w:p w:rsidR="00321074" w:rsidRDefault="00321074" w:rsidP="002D309B">
      <w:pPr>
        <w:pStyle w:val="biblio"/>
      </w:pPr>
      <w:r>
        <w:t xml:space="preserve">3. </w:t>
      </w:r>
      <w:r>
        <w:tab/>
        <w:t xml:space="preserve">Zou S, Dodd RY, </w:t>
      </w:r>
      <w:proofErr w:type="spellStart"/>
      <w:r>
        <w:t>Stramer</w:t>
      </w:r>
      <w:proofErr w:type="spellEnd"/>
      <w:r>
        <w:t xml:space="preserve"> SL, Strong DM</w:t>
      </w:r>
      <w:r w:rsidR="00904982">
        <w:t>.</w:t>
      </w:r>
      <w:r>
        <w:t xml:space="preserve"> Probability of </w:t>
      </w:r>
      <w:proofErr w:type="spellStart"/>
      <w:r>
        <w:t>viremia</w:t>
      </w:r>
      <w:proofErr w:type="spellEnd"/>
      <w:r>
        <w:t xml:space="preserve"> with HBV, HCV, HIV, and HTLV among tissue donors in the United States. </w:t>
      </w:r>
      <w:proofErr w:type="gramStart"/>
      <w:r w:rsidR="005C2F92">
        <w:t>NEJM</w:t>
      </w:r>
      <w:r>
        <w:t>.</w:t>
      </w:r>
      <w:proofErr w:type="gramEnd"/>
      <w:r>
        <w:t xml:space="preserve"> 2004</w:t>
      </w:r>
      <w:proofErr w:type="gramStart"/>
      <w:r>
        <w:t>;351:751</w:t>
      </w:r>
      <w:proofErr w:type="gramEnd"/>
      <w:r>
        <w:t xml:space="preserve">–9. </w:t>
      </w:r>
    </w:p>
    <w:p w:rsidR="00321074" w:rsidRDefault="00321074" w:rsidP="00321074">
      <w:pPr>
        <w:pStyle w:val="biblio"/>
      </w:pPr>
    </w:p>
    <w:p w:rsidR="006E557B" w:rsidRPr="006E7289" w:rsidRDefault="006E557B" w:rsidP="006E557B">
      <w:pPr>
        <w:pStyle w:val="Heading2"/>
        <w:spacing w:after="0" w:line="480" w:lineRule="auto"/>
        <w:ind w:left="0" w:firstLine="0"/>
        <w:rPr>
          <w:rFonts w:ascii="Arial" w:hAnsi="Arial" w:cs="Arial"/>
          <w:sz w:val="24"/>
          <w:szCs w:val="24"/>
        </w:rPr>
      </w:pPr>
      <w:bookmarkStart w:id="8" w:name="_Toc395694457"/>
      <w:r w:rsidRPr="006E7289">
        <w:rPr>
          <w:rFonts w:ascii="Arial" w:hAnsi="Arial" w:cs="Arial"/>
          <w:sz w:val="24"/>
          <w:szCs w:val="24"/>
        </w:rPr>
        <w:lastRenderedPageBreak/>
        <w:t>A.2    Purpose and Use of the Information</w:t>
      </w:r>
      <w:bookmarkEnd w:id="4"/>
      <w:bookmarkEnd w:id="5"/>
      <w:bookmarkEnd w:id="6"/>
      <w:bookmarkEnd w:id="7"/>
      <w:r w:rsidRPr="006E7289">
        <w:rPr>
          <w:rFonts w:ascii="Arial" w:hAnsi="Arial" w:cs="Arial"/>
          <w:sz w:val="24"/>
          <w:szCs w:val="24"/>
        </w:rPr>
        <w:t xml:space="preserve"> Collection</w:t>
      </w:r>
      <w:bookmarkEnd w:id="8"/>
    </w:p>
    <w:p w:rsidR="002A027D" w:rsidRDefault="002A027D" w:rsidP="002A027D">
      <w:pPr>
        <w:jc w:val="center"/>
      </w:pPr>
    </w:p>
    <w:p w:rsidR="002A027D" w:rsidRDefault="002A027D" w:rsidP="002A027D">
      <w:r>
        <w:t xml:space="preserve">Currently, infectious disease transmission rates associated with organ and tissue transplants are unknown and are believed to have a high potential for underreporting.  The lack of comprehensive data on infectious disease prevalence and incidence in potential donors corresponding to donor demographics, particularly for tissues, limits our ability to create accurate data-driven risk profiles for donors, and impedes improvements to the screening process.  As an important first step in addressing this issue, the HHS Office of the Assistant Secretary for Health Office of HIV/AIDS &amp; Infectious Disease Policy awarded a contract to RTI International (RTI) in September 2012 for the design and conduct of a Tissue and Organ Donor Epidemiology Study (TODES).  </w:t>
      </w:r>
    </w:p>
    <w:p w:rsidR="002A027D" w:rsidRDefault="002A027D" w:rsidP="005D7D1B">
      <w:r>
        <w:t>TODES will capture extant data on infectious disease testing results for HIV, HBV, and HCV, as well as other characterizing information about potential organ and tissue donors, from participating o</w:t>
      </w:r>
      <w:r w:rsidR="005D7D1B">
        <w:t>rgan procurement organizations</w:t>
      </w:r>
      <w:r>
        <w:t xml:space="preserve"> and eye banks.   RTI will request that these organizations extract specific information on all deceased donors </w:t>
      </w:r>
      <w:r w:rsidR="005D7D1B">
        <w:t xml:space="preserve">and eligible referrals </w:t>
      </w:r>
      <w:r>
        <w:t>from their operational databases (for the period 2009-2013) and provide the data extract to RTI for secondary analysis.  The results of the analyses, including infectious disease prevalence and incidence estimates and donor characterizations, will be compiled in a TODES final report and submitted to HHS.  The report will also provide an assessment of the general availability and quality of the retrospective data requested from the organ and tissue communities, which will inform the design of future organ and tissue safety studies.</w:t>
      </w:r>
    </w:p>
    <w:p w:rsidR="002A027D" w:rsidRDefault="002A027D" w:rsidP="002A027D"/>
    <w:p w:rsidR="00B12C29" w:rsidRDefault="00B12C29" w:rsidP="00192DC5">
      <w:r w:rsidRPr="00B12C29">
        <w:t xml:space="preserve">This study will engage in secondary analyses of extant data from organ and tissue procurement and processing facilities.  The extant data were collected at the time that the deceased organ and/or tissue donor was identified and entered into a tracking database maintained by the organization for this purpose.  In order to reduce the burden on the participants, TODES will obtain some of the organ donor/donation data from the United Network for Organ Sharing (UNOS) which operates a centralized national Organ Procurement and Transplantation Network (OPTN) for the purpose of managing the nation’s organ transplantation system under contract with the U.S. Department of Health and </w:t>
      </w:r>
      <w:r w:rsidRPr="00192DC5">
        <w:t>Human Services (</w:t>
      </w:r>
      <w:r w:rsidR="00192DC5" w:rsidRPr="00192DC5">
        <w:t>Contract No. HHSP23320095651WC</w:t>
      </w:r>
      <w:r w:rsidRPr="00192DC5">
        <w:t xml:space="preserve">).  </w:t>
      </w:r>
    </w:p>
    <w:p w:rsidR="00B12C29" w:rsidRDefault="00B12C29" w:rsidP="002A027D"/>
    <w:p w:rsidR="00B12C29" w:rsidRPr="00B12C29" w:rsidRDefault="00B12C29" w:rsidP="00B12C29">
      <w:pPr>
        <w:pStyle w:val="P1-StandPara"/>
      </w:pPr>
      <w:bookmarkStart w:id="9" w:name="_Toc443881744"/>
      <w:bookmarkStart w:id="10" w:name="_Toc451592233"/>
      <w:bookmarkStart w:id="11" w:name="_Toc5610274"/>
      <w:bookmarkStart w:id="12" w:name="_Toc99178780"/>
    </w:p>
    <w:p w:rsidR="006E557B" w:rsidRPr="006E7289" w:rsidRDefault="006E557B" w:rsidP="006E557B">
      <w:pPr>
        <w:pStyle w:val="Heading2"/>
        <w:spacing w:after="0" w:line="480" w:lineRule="auto"/>
        <w:ind w:left="0" w:firstLine="0"/>
        <w:rPr>
          <w:rFonts w:ascii="Arial" w:hAnsi="Arial" w:cs="Arial"/>
          <w:sz w:val="24"/>
          <w:szCs w:val="24"/>
        </w:rPr>
      </w:pPr>
      <w:bookmarkStart w:id="13" w:name="_Toc395694458"/>
      <w:r w:rsidRPr="006E7289">
        <w:rPr>
          <w:rFonts w:ascii="Arial" w:hAnsi="Arial" w:cs="Arial"/>
          <w:sz w:val="24"/>
          <w:szCs w:val="24"/>
        </w:rPr>
        <w:t>A.3     Use of Information Technology and Burden Reduction</w:t>
      </w:r>
      <w:bookmarkEnd w:id="9"/>
      <w:bookmarkEnd w:id="10"/>
      <w:bookmarkEnd w:id="11"/>
      <w:bookmarkEnd w:id="12"/>
      <w:bookmarkEnd w:id="13"/>
    </w:p>
    <w:p w:rsidR="001915B8" w:rsidRDefault="001915B8" w:rsidP="001915B8">
      <w:r w:rsidRPr="001915B8">
        <w:t>The specific data to be obtained from the participating organizations include the following categories of information:</w:t>
      </w:r>
    </w:p>
    <w:p w:rsidR="00B12C29" w:rsidRDefault="00B12C29" w:rsidP="001915B8"/>
    <w:p w:rsidR="00B12C29" w:rsidRPr="00B12C29" w:rsidRDefault="00B12C29" w:rsidP="00B12C29">
      <w:r>
        <w:t>1.</w:t>
      </w:r>
      <w:r>
        <w:tab/>
      </w:r>
      <w:r w:rsidRPr="00B12C29">
        <w:t>Donor demographics and death information;</w:t>
      </w:r>
    </w:p>
    <w:p w:rsidR="00B12C29" w:rsidRPr="00B12C29" w:rsidRDefault="00B12C29" w:rsidP="009A7CFF">
      <w:pPr>
        <w:ind w:left="720" w:hanging="720"/>
      </w:pPr>
      <w:r w:rsidRPr="00B12C29">
        <w:t>2.</w:t>
      </w:r>
      <w:r w:rsidRPr="00B12C29">
        <w:tab/>
        <w:t>Donor infectious disease test results for HIV, HBV, and HCV; including serological assays and nucleic acid testing when available; and</w:t>
      </w:r>
    </w:p>
    <w:p w:rsidR="00B12C29" w:rsidRPr="00B12C29" w:rsidRDefault="00B12C29" w:rsidP="00B12C29">
      <w:r w:rsidRPr="00B12C29">
        <w:t>3.</w:t>
      </w:r>
      <w:r w:rsidRPr="00B12C29">
        <w:tab/>
        <w:t>Basic donation and disposition information regarding organs, tissues, and/or eyes.</w:t>
      </w:r>
    </w:p>
    <w:p w:rsidR="001915B8" w:rsidRPr="00B12C29" w:rsidRDefault="001915B8" w:rsidP="001915B8">
      <w:pPr>
        <w:spacing w:after="120"/>
        <w:ind w:left="360"/>
        <w:contextualSpacing/>
        <w:rPr>
          <w:sz w:val="22"/>
          <w:szCs w:val="22"/>
        </w:rPr>
      </w:pPr>
    </w:p>
    <w:p w:rsidR="00B12C29" w:rsidRPr="00DE2B2B" w:rsidRDefault="00D067FE" w:rsidP="00D05892">
      <w:pPr>
        <w:pStyle w:val="P1-StandPara"/>
        <w:spacing w:line="240" w:lineRule="auto"/>
        <w:ind w:firstLine="0"/>
        <w:rPr>
          <w:sz w:val="24"/>
          <w:szCs w:val="24"/>
        </w:rPr>
      </w:pPr>
      <w:proofErr w:type="gramStart"/>
      <w:r w:rsidRPr="00DE2B2B">
        <w:rPr>
          <w:color w:val="FF0000"/>
          <w:sz w:val="24"/>
          <w:szCs w:val="24"/>
        </w:rPr>
        <w:t>A list of requested variables in Attachments 2 and 3, from which RTI created a master data dictionary.</w:t>
      </w:r>
      <w:proofErr w:type="gramEnd"/>
      <w:r w:rsidRPr="00DE2B2B">
        <w:rPr>
          <w:color w:val="FF0000"/>
          <w:sz w:val="24"/>
          <w:szCs w:val="24"/>
        </w:rPr>
        <w:t xml:space="preserve">  </w:t>
      </w:r>
      <w:r w:rsidR="001915B8" w:rsidRPr="00B12C29">
        <w:rPr>
          <w:sz w:val="24"/>
          <w:szCs w:val="24"/>
        </w:rPr>
        <w:t xml:space="preserve">The participating organizations will extract the relevant data from their existing donor records for calendar years 2009 – 2013; the data will be transmitted </w:t>
      </w:r>
      <w:r w:rsidR="001915B8" w:rsidRPr="00B12C29">
        <w:rPr>
          <w:sz w:val="24"/>
          <w:szCs w:val="24"/>
        </w:rPr>
        <w:lastRenderedPageBreak/>
        <w:t>securely to RTI as line data (one record per donor)</w:t>
      </w:r>
      <w:r w:rsidR="006537FF">
        <w:rPr>
          <w:sz w:val="24"/>
          <w:szCs w:val="24"/>
        </w:rPr>
        <w:t xml:space="preserve">, </w:t>
      </w:r>
      <w:r w:rsidR="006537FF" w:rsidRPr="00DE2B2B">
        <w:rPr>
          <w:color w:val="FF0000"/>
          <w:sz w:val="24"/>
          <w:szCs w:val="24"/>
        </w:rPr>
        <w:t>and RTI will merge all participating organization data into a common TODES database</w:t>
      </w:r>
      <w:r w:rsidR="00DE2B2B">
        <w:rPr>
          <w:color w:val="FF0000"/>
          <w:sz w:val="24"/>
          <w:szCs w:val="24"/>
        </w:rPr>
        <w:t xml:space="preserve">. </w:t>
      </w:r>
    </w:p>
    <w:p w:rsidR="00B12C29" w:rsidRPr="006537FF" w:rsidRDefault="00B12C29" w:rsidP="006537FF">
      <w:pPr>
        <w:pStyle w:val="P1-StandPara"/>
        <w:spacing w:line="240" w:lineRule="auto"/>
        <w:ind w:firstLine="0"/>
        <w:rPr>
          <w:sz w:val="24"/>
          <w:szCs w:val="24"/>
        </w:rPr>
      </w:pPr>
    </w:p>
    <w:p w:rsidR="006537FF" w:rsidRPr="00DE2B2B" w:rsidRDefault="006537FF" w:rsidP="00D067FE">
      <w:pPr>
        <w:pStyle w:val="P1-StandPara"/>
        <w:spacing w:line="240" w:lineRule="auto"/>
        <w:ind w:firstLine="0"/>
        <w:rPr>
          <w:color w:val="FF0000"/>
          <w:sz w:val="24"/>
          <w:szCs w:val="24"/>
        </w:rPr>
      </w:pPr>
      <w:r w:rsidRPr="00DE2B2B">
        <w:rPr>
          <w:color w:val="FF0000"/>
          <w:sz w:val="24"/>
          <w:szCs w:val="24"/>
        </w:rPr>
        <w:t xml:space="preserve">RTI will construct this TODES database within the context of all participating organizations operating under their data policies and procedures.  Databases are built for specific purposes, and not all participating organizations have built their databases with multi-organization research in mind.  One of the goals for TODES is to identify and document such differences and the resulting limitations on analysis and interpretation.  This information will be used to design a future prospective study.  In an effort to control organizational variation in final TODES database, </w:t>
      </w:r>
      <w:r w:rsidR="00D067FE" w:rsidRPr="00DE2B2B">
        <w:rPr>
          <w:color w:val="FF0000"/>
          <w:sz w:val="24"/>
          <w:szCs w:val="24"/>
        </w:rPr>
        <w:t>RTI d</w:t>
      </w:r>
      <w:r w:rsidRPr="00DE2B2B">
        <w:rPr>
          <w:color w:val="FF0000"/>
          <w:sz w:val="24"/>
          <w:szCs w:val="24"/>
        </w:rPr>
        <w:t xml:space="preserve">eveloped </w:t>
      </w:r>
      <w:r w:rsidR="00D067FE" w:rsidRPr="00DE2B2B">
        <w:rPr>
          <w:color w:val="FF0000"/>
          <w:sz w:val="24"/>
          <w:szCs w:val="24"/>
        </w:rPr>
        <w:t>the</w:t>
      </w:r>
      <w:r w:rsidRPr="00DE2B2B">
        <w:rPr>
          <w:color w:val="FF0000"/>
          <w:sz w:val="24"/>
          <w:szCs w:val="24"/>
        </w:rPr>
        <w:t xml:space="preserve"> master data dictionary </w:t>
      </w:r>
      <w:r w:rsidR="00D067FE" w:rsidRPr="00DE2B2B">
        <w:rPr>
          <w:color w:val="FF0000"/>
          <w:sz w:val="24"/>
          <w:szCs w:val="24"/>
        </w:rPr>
        <w:t xml:space="preserve">mentioned earlier </w:t>
      </w:r>
      <w:r w:rsidRPr="00DE2B2B">
        <w:rPr>
          <w:color w:val="FF0000"/>
          <w:sz w:val="24"/>
          <w:szCs w:val="24"/>
        </w:rPr>
        <w:t xml:space="preserve">as a guide for all participating organizations.  </w:t>
      </w:r>
    </w:p>
    <w:p w:rsidR="00F52450" w:rsidRPr="00DE2B2B" w:rsidRDefault="00F52450" w:rsidP="006537FF">
      <w:pPr>
        <w:pStyle w:val="P1-StandPara"/>
        <w:spacing w:line="240" w:lineRule="auto"/>
        <w:ind w:firstLine="0"/>
        <w:rPr>
          <w:color w:val="FF0000"/>
          <w:sz w:val="24"/>
          <w:szCs w:val="24"/>
        </w:rPr>
      </w:pPr>
    </w:p>
    <w:p w:rsidR="006537FF" w:rsidRPr="00DE2B2B" w:rsidRDefault="00D067FE" w:rsidP="00853A89">
      <w:pPr>
        <w:rPr>
          <w:color w:val="FF0000"/>
        </w:rPr>
      </w:pPr>
      <w:r w:rsidRPr="00DE2B2B">
        <w:rPr>
          <w:color w:val="FF0000"/>
        </w:rPr>
        <w:t xml:space="preserve">RTI </w:t>
      </w:r>
      <w:r w:rsidR="006537FF" w:rsidRPr="00DE2B2B">
        <w:rPr>
          <w:color w:val="FF0000"/>
        </w:rPr>
        <w:t xml:space="preserve">will ask each participating organization to extract the data in the format and structure defined in this master data dictionary.  Ideally, the data requested for the TODES project will require </w:t>
      </w:r>
      <w:r w:rsidR="00853A89" w:rsidRPr="00DE2B2B">
        <w:rPr>
          <w:color w:val="FF0000"/>
        </w:rPr>
        <w:t xml:space="preserve">a minimum amount of </w:t>
      </w:r>
      <w:r w:rsidR="006537FF" w:rsidRPr="00DE2B2B">
        <w:rPr>
          <w:color w:val="FF0000"/>
        </w:rPr>
        <w:t>additional processing, mathematical manipulations, or summarization by the submitting organizations. To account for circumstances where the organization’s data cannot be easily extracted into the format required by the master data dictionary</w:t>
      </w:r>
      <w:r w:rsidR="00853A89" w:rsidRPr="00DE2B2B">
        <w:rPr>
          <w:color w:val="FF0000"/>
        </w:rPr>
        <w:t xml:space="preserve"> and is delivered in a format/structure not in agreement with the master data dictionary</w:t>
      </w:r>
      <w:r w:rsidR="006537FF" w:rsidRPr="00DE2B2B">
        <w:rPr>
          <w:color w:val="FF0000"/>
        </w:rPr>
        <w:t xml:space="preserve">, RTI </w:t>
      </w:r>
      <w:r w:rsidRPr="00DE2B2B">
        <w:rPr>
          <w:color w:val="FF0000"/>
        </w:rPr>
        <w:t>w</w:t>
      </w:r>
      <w:r w:rsidR="006537FF" w:rsidRPr="00DE2B2B">
        <w:rPr>
          <w:color w:val="FF0000"/>
        </w:rPr>
        <w:t xml:space="preserve">ill complete a data review of all extracted and delivered data.  Since TODES will merge datasets collected from each participating organization with UNOS data, the data review </w:t>
      </w:r>
      <w:r w:rsidRPr="00DE2B2B">
        <w:rPr>
          <w:color w:val="FF0000"/>
        </w:rPr>
        <w:t xml:space="preserve">will </w:t>
      </w:r>
      <w:r w:rsidR="006537FF" w:rsidRPr="00DE2B2B">
        <w:rPr>
          <w:color w:val="FF0000"/>
        </w:rPr>
        <w:t>involve a study of the fidelity between delivered dataset and the UNOS data, as well as a study of the dataset’s contents.</w:t>
      </w:r>
    </w:p>
    <w:p w:rsidR="006537FF" w:rsidRPr="00DE2B2B" w:rsidRDefault="006537FF" w:rsidP="006537FF">
      <w:pPr>
        <w:rPr>
          <w:color w:val="FF0000"/>
        </w:rPr>
      </w:pPr>
    </w:p>
    <w:p w:rsidR="006537FF" w:rsidRDefault="006537FF" w:rsidP="00D067FE">
      <w:pPr>
        <w:rPr>
          <w:color w:val="FF0000"/>
        </w:rPr>
      </w:pPr>
      <w:r w:rsidRPr="00DE2B2B">
        <w:rPr>
          <w:color w:val="FF0000"/>
        </w:rPr>
        <w:t xml:space="preserve">First, the data review process </w:t>
      </w:r>
      <w:r w:rsidR="00D067FE" w:rsidRPr="00DE2B2B">
        <w:rPr>
          <w:color w:val="FF0000"/>
        </w:rPr>
        <w:t xml:space="preserve">will </w:t>
      </w:r>
      <w:r w:rsidRPr="00DE2B2B">
        <w:rPr>
          <w:color w:val="FF0000"/>
        </w:rPr>
        <w:t>involve reviewing the variables contained in the data and the contents of each variable in comparison with the master data dictionary.  This data review will identify variables that do not match the variable names in the master data dictionary, as well as identify variables that contain information not in correspondence with the variable contents required by the master variable dictionary.  Second, the dataset will be merged with the UNOS data to assess fidelity between the two datasets.  The assessment of fidelity is an attempt to ensure records in UNOS do in fact represent the subjects represented in the participating organization’s dataset.</w:t>
      </w:r>
    </w:p>
    <w:p w:rsidR="00DE2B2B" w:rsidRDefault="00DE2B2B" w:rsidP="00D067FE">
      <w:pPr>
        <w:rPr>
          <w:color w:val="FF0000"/>
        </w:rPr>
      </w:pPr>
    </w:p>
    <w:p w:rsidR="006537FF" w:rsidRPr="00DE2B2B" w:rsidRDefault="006537FF" w:rsidP="00853A89">
      <w:pPr>
        <w:rPr>
          <w:color w:val="FF0000"/>
        </w:rPr>
      </w:pPr>
      <w:r w:rsidRPr="00DE2B2B">
        <w:rPr>
          <w:color w:val="FF0000"/>
        </w:rPr>
        <w:t xml:space="preserve">Once </w:t>
      </w:r>
      <w:r w:rsidR="00853A89" w:rsidRPr="00DE2B2B">
        <w:rPr>
          <w:color w:val="FF0000"/>
        </w:rPr>
        <w:t>RTI a</w:t>
      </w:r>
      <w:r w:rsidRPr="00DE2B2B">
        <w:rPr>
          <w:color w:val="FF0000"/>
        </w:rPr>
        <w:t xml:space="preserve">ssesses the delivered data, </w:t>
      </w:r>
      <w:r w:rsidR="00853A89" w:rsidRPr="00DE2B2B">
        <w:rPr>
          <w:color w:val="FF0000"/>
        </w:rPr>
        <w:t xml:space="preserve">RTI </w:t>
      </w:r>
      <w:r w:rsidRPr="00DE2B2B">
        <w:rPr>
          <w:color w:val="FF0000"/>
        </w:rPr>
        <w:t>will write up a set of data related questions for delivery to the participating organization.  The answers to these questions will help RTI understand the data better and enable RTI to incorporate the data into the TODES database with improved accuracy.</w:t>
      </w:r>
    </w:p>
    <w:p w:rsidR="006537FF" w:rsidRPr="00DE2B2B" w:rsidRDefault="006537FF" w:rsidP="006537FF">
      <w:pPr>
        <w:rPr>
          <w:color w:val="FF0000"/>
        </w:rPr>
      </w:pPr>
    </w:p>
    <w:p w:rsidR="006537FF" w:rsidRPr="00DE2B2B" w:rsidRDefault="006537FF" w:rsidP="00853A89">
      <w:pPr>
        <w:rPr>
          <w:color w:val="FF0000"/>
        </w:rPr>
      </w:pPr>
      <w:r w:rsidRPr="00DE2B2B">
        <w:rPr>
          <w:color w:val="FF0000"/>
        </w:rPr>
        <w:t xml:space="preserve">Once the participating organization that delivered the data has answered the questions, </w:t>
      </w:r>
      <w:r w:rsidR="00853A89" w:rsidRPr="00DE2B2B">
        <w:rPr>
          <w:color w:val="FF0000"/>
        </w:rPr>
        <w:t xml:space="preserve">RTI will incorporate </w:t>
      </w:r>
      <w:r w:rsidRPr="00DE2B2B">
        <w:rPr>
          <w:color w:val="FF0000"/>
        </w:rPr>
        <w:t xml:space="preserve">the </w:t>
      </w:r>
      <w:r w:rsidR="00853A89" w:rsidRPr="00DE2B2B">
        <w:rPr>
          <w:color w:val="FF0000"/>
        </w:rPr>
        <w:t xml:space="preserve">organization’s </w:t>
      </w:r>
      <w:r w:rsidRPr="00DE2B2B">
        <w:rPr>
          <w:color w:val="FF0000"/>
        </w:rPr>
        <w:t xml:space="preserve">dataset into the TODES database using an operational data dictionary and SAS programming.  </w:t>
      </w:r>
      <w:r w:rsidR="00853A89" w:rsidRPr="00DE2B2B">
        <w:rPr>
          <w:color w:val="FF0000"/>
        </w:rPr>
        <w:t xml:space="preserve">Ideally the </w:t>
      </w:r>
      <w:r w:rsidRPr="00DE2B2B">
        <w:rPr>
          <w:color w:val="FF0000"/>
        </w:rPr>
        <w:t xml:space="preserve">delivered datasets will be in agreement with the master data dictionary; however, </w:t>
      </w:r>
      <w:r w:rsidR="00853A89" w:rsidRPr="00DE2B2B">
        <w:rPr>
          <w:color w:val="FF0000"/>
        </w:rPr>
        <w:t xml:space="preserve">RTI </w:t>
      </w:r>
      <w:r w:rsidRPr="00DE2B2B">
        <w:rPr>
          <w:color w:val="FF0000"/>
        </w:rPr>
        <w:t>anticipate</w:t>
      </w:r>
      <w:r w:rsidR="00853A89" w:rsidRPr="00DE2B2B">
        <w:rPr>
          <w:color w:val="FF0000"/>
        </w:rPr>
        <w:t>s</w:t>
      </w:r>
      <w:r w:rsidRPr="00DE2B2B">
        <w:rPr>
          <w:color w:val="FF0000"/>
        </w:rPr>
        <w:t xml:space="preserve"> some delivered datasets to require additional processing to make them compatible with the master data dictionary.  Instead of asking the participating organization to redo the delivery, </w:t>
      </w:r>
      <w:r w:rsidR="00853A89" w:rsidRPr="00DE2B2B">
        <w:rPr>
          <w:color w:val="FF0000"/>
        </w:rPr>
        <w:t>RTI</w:t>
      </w:r>
      <w:r w:rsidRPr="00DE2B2B">
        <w:rPr>
          <w:color w:val="FF0000"/>
        </w:rPr>
        <w:t xml:space="preserve"> will process the data in a consistent manner</w:t>
      </w:r>
      <w:r w:rsidR="00853A89" w:rsidRPr="00DE2B2B">
        <w:rPr>
          <w:color w:val="FF0000"/>
        </w:rPr>
        <w:t xml:space="preserve"> utilizing the answers received from the participating organization regarding their data</w:t>
      </w:r>
      <w:r w:rsidRPr="00DE2B2B">
        <w:rPr>
          <w:color w:val="FF0000"/>
        </w:rPr>
        <w:t xml:space="preserve">.  In order to incorporate data into the TODES database, some variables will simply need copying over, but other variables will need at least a variable name change, while others may need derivation.  Each participating organization’s operational data dictionary will document all of these decisions and operations.  The operational data dictionary will contain information on </w:t>
      </w:r>
      <w:r w:rsidRPr="00DE2B2B">
        <w:rPr>
          <w:color w:val="FF0000"/>
        </w:rPr>
        <w:lastRenderedPageBreak/>
        <w:t xml:space="preserve">TODES variable name, description, length and format, as well as a definition.  The variable name and structure of each variable listed in the operational data dictionary will be controlled by the master data dictionary.  The definition will contain the information necessary to identify which variables were simply copied over, which variables were renamed, and which variables were derived.  For derived variables, the definition column will also contain the instructions to derive the variable from source data.  Once </w:t>
      </w:r>
      <w:r w:rsidR="00853A89" w:rsidRPr="00DE2B2B">
        <w:rPr>
          <w:color w:val="FF0000"/>
        </w:rPr>
        <w:t xml:space="preserve">RTI </w:t>
      </w:r>
      <w:r w:rsidRPr="00DE2B2B">
        <w:rPr>
          <w:color w:val="FF0000"/>
        </w:rPr>
        <w:t>has constructed a TODES compliant version of the participating organization’s dataset and completed the operational data dictionary, the TODES study team will incorporate the dataset into the overall TODES database.</w:t>
      </w:r>
    </w:p>
    <w:p w:rsidR="006537FF" w:rsidRPr="00DE2B2B" w:rsidRDefault="006537FF" w:rsidP="006537FF">
      <w:pPr>
        <w:rPr>
          <w:color w:val="FF0000"/>
        </w:rPr>
      </w:pPr>
    </w:p>
    <w:p w:rsidR="007C79D9" w:rsidRPr="00DE2B2B" w:rsidRDefault="006537FF" w:rsidP="00861463">
      <w:pPr>
        <w:pStyle w:val="P1-StandPara"/>
        <w:spacing w:after="120" w:line="240" w:lineRule="auto"/>
        <w:ind w:firstLine="0"/>
        <w:rPr>
          <w:color w:val="FF0000"/>
          <w:sz w:val="24"/>
          <w:szCs w:val="24"/>
        </w:rPr>
      </w:pPr>
      <w:r w:rsidRPr="00DE2B2B">
        <w:rPr>
          <w:color w:val="FF0000"/>
          <w:sz w:val="24"/>
          <w:szCs w:val="24"/>
        </w:rPr>
        <w:t xml:space="preserve">As noted above, one TODES goal is to </w:t>
      </w:r>
      <w:r w:rsidR="00861463">
        <w:rPr>
          <w:color w:val="FF0000"/>
          <w:sz w:val="24"/>
          <w:szCs w:val="24"/>
        </w:rPr>
        <w:t>inform the design of a</w:t>
      </w:r>
      <w:r w:rsidRPr="00DE2B2B">
        <w:rPr>
          <w:color w:val="FF0000"/>
          <w:sz w:val="24"/>
          <w:szCs w:val="24"/>
        </w:rPr>
        <w:t xml:space="preserve"> prospective study of infection prevalence and incidence within the organ</w:t>
      </w:r>
      <w:r w:rsidR="00861463">
        <w:rPr>
          <w:color w:val="FF0000"/>
          <w:sz w:val="24"/>
          <w:szCs w:val="24"/>
        </w:rPr>
        <w:t xml:space="preserve"> procurement</w:t>
      </w:r>
      <w:r w:rsidRPr="00DE2B2B">
        <w:rPr>
          <w:color w:val="FF0000"/>
          <w:sz w:val="24"/>
          <w:szCs w:val="24"/>
        </w:rPr>
        <w:t>/tissue</w:t>
      </w:r>
      <w:r w:rsidR="00861463">
        <w:rPr>
          <w:color w:val="FF0000"/>
          <w:sz w:val="24"/>
          <w:szCs w:val="24"/>
        </w:rPr>
        <w:t xml:space="preserve"> banking community</w:t>
      </w:r>
      <w:r w:rsidRPr="00DE2B2B">
        <w:rPr>
          <w:color w:val="FF0000"/>
          <w:sz w:val="24"/>
          <w:szCs w:val="24"/>
        </w:rPr>
        <w:t xml:space="preserve">.  Before a prospective study is </w:t>
      </w:r>
      <w:r w:rsidR="00861463">
        <w:rPr>
          <w:color w:val="FF0000"/>
          <w:sz w:val="24"/>
          <w:szCs w:val="24"/>
        </w:rPr>
        <w:t>implemented</w:t>
      </w:r>
      <w:r w:rsidRPr="00DE2B2B">
        <w:rPr>
          <w:color w:val="FF0000"/>
          <w:sz w:val="24"/>
          <w:szCs w:val="24"/>
        </w:rPr>
        <w:t>, many of the unknowns which could contribute to uncontrolled variation in infection measures need to be identified and documented.  During the construction of TODES database, the TODES study team will attempt to standardize the data to a certain degree, but some inconsistencies will be unavoidable.  The TODES study team will document decisions and observations made about the data that influence accuracy, utility, and generalizability of the TODES database for infection prevalence/incidence estimation.</w:t>
      </w:r>
      <w:r w:rsidR="00853A89" w:rsidRPr="00DE2B2B">
        <w:rPr>
          <w:color w:val="FF0000"/>
          <w:sz w:val="24"/>
          <w:szCs w:val="24"/>
        </w:rPr>
        <w:t xml:space="preserve">  All final analysis interpretations will acknowledge these decisions and observations and the resulting limitations.</w:t>
      </w:r>
    </w:p>
    <w:p w:rsidR="007C79D9" w:rsidRDefault="007C79D9" w:rsidP="007C79D9">
      <w:pPr>
        <w:pStyle w:val="P1-StandPara"/>
        <w:spacing w:after="120" w:line="240" w:lineRule="auto"/>
        <w:ind w:firstLine="0"/>
        <w:rPr>
          <w:sz w:val="24"/>
          <w:szCs w:val="24"/>
        </w:rPr>
      </w:pPr>
    </w:p>
    <w:p w:rsidR="006E557B" w:rsidRPr="00023F3F" w:rsidRDefault="006E557B" w:rsidP="006E557B">
      <w:pPr>
        <w:pStyle w:val="Heading2"/>
        <w:spacing w:after="0" w:line="480" w:lineRule="auto"/>
        <w:ind w:left="720" w:hanging="720"/>
        <w:rPr>
          <w:rFonts w:ascii="Arial" w:hAnsi="Arial" w:cs="Arial"/>
          <w:sz w:val="24"/>
          <w:szCs w:val="24"/>
        </w:rPr>
      </w:pPr>
      <w:bookmarkStart w:id="14" w:name="_Toc443881745"/>
      <w:bookmarkStart w:id="15" w:name="_Toc451592234"/>
      <w:bookmarkStart w:id="16" w:name="_Toc5610275"/>
      <w:bookmarkStart w:id="17" w:name="_Toc99178781"/>
      <w:bookmarkStart w:id="18" w:name="_Toc395694459"/>
      <w:r w:rsidRPr="00023F3F">
        <w:rPr>
          <w:rFonts w:ascii="Arial" w:hAnsi="Arial" w:cs="Arial"/>
          <w:sz w:val="24"/>
          <w:szCs w:val="24"/>
        </w:rPr>
        <w:t>A.4</w:t>
      </w:r>
      <w:r w:rsidRPr="00023F3F">
        <w:rPr>
          <w:rFonts w:ascii="Arial" w:hAnsi="Arial" w:cs="Arial"/>
          <w:sz w:val="24"/>
          <w:szCs w:val="24"/>
        </w:rPr>
        <w:tab/>
        <w:t>Efforts to Identify Duplication and Use of Similar Information</w:t>
      </w:r>
      <w:bookmarkEnd w:id="14"/>
      <w:bookmarkEnd w:id="15"/>
      <w:bookmarkEnd w:id="16"/>
      <w:bookmarkEnd w:id="17"/>
      <w:bookmarkEnd w:id="18"/>
    </w:p>
    <w:p w:rsidR="00EE2F66" w:rsidRPr="00261472" w:rsidRDefault="00157765" w:rsidP="00071010">
      <w:pPr>
        <w:rPr>
          <w:rFonts w:ascii="Calibri" w:hAnsi="Calibri"/>
          <w:bCs/>
          <w:sz w:val="22"/>
          <w:szCs w:val="22"/>
        </w:rPr>
      </w:pPr>
      <w:r w:rsidRPr="00023F3F">
        <w:t xml:space="preserve">The research agenda represented by this study’s goals includes developing a process of </w:t>
      </w:r>
      <w:r w:rsidR="00EE2F66" w:rsidRPr="00023F3F">
        <w:t>collaboration between government (i.e., regulatory, public health, policy), industry (e.g., tissue manufacturing, supply, test manufacturers), and the allograft transplant provider community (clinicians, hospitals, professional organizations, OPO</w:t>
      </w:r>
      <w:r w:rsidRPr="00023F3F">
        <w:t xml:space="preserve">s, </w:t>
      </w:r>
      <w:r w:rsidR="000665E7">
        <w:t xml:space="preserve">and </w:t>
      </w:r>
      <w:r w:rsidRPr="00023F3F">
        <w:t xml:space="preserve">tissue </w:t>
      </w:r>
      <w:r w:rsidR="000665E7">
        <w:t xml:space="preserve">recovery </w:t>
      </w:r>
      <w:r w:rsidRPr="00023F3F">
        <w:t>banks). Through this collaboration, the existing gaps in information about organ and tissue don</w:t>
      </w:r>
      <w:r w:rsidR="00071010">
        <w:t>ors</w:t>
      </w:r>
      <w:r w:rsidRPr="00023F3F">
        <w:t xml:space="preserve"> and </w:t>
      </w:r>
      <w:r w:rsidR="00071010">
        <w:t>infection rates can begin to be filled in.</w:t>
      </w:r>
      <w:r w:rsidRPr="00023F3F">
        <w:t xml:space="preserve"> </w:t>
      </w:r>
      <w:r w:rsidR="00071010">
        <w:t>W</w:t>
      </w:r>
      <w:r w:rsidRPr="00023F3F">
        <w:t xml:space="preserve">ithout this collaboration; there is </w:t>
      </w:r>
      <w:r w:rsidR="00071010">
        <w:t xml:space="preserve">currently </w:t>
      </w:r>
      <w:r w:rsidRPr="00023F3F">
        <w:t xml:space="preserve">no other study that seeks to </w:t>
      </w:r>
      <w:r w:rsidR="00071010">
        <w:t>provide prevalence and incidence estimates and correlate them with donor characteristics for these donors.</w:t>
      </w:r>
    </w:p>
    <w:p w:rsidR="00B41EC6" w:rsidRPr="005F6EAF" w:rsidRDefault="00B41EC6" w:rsidP="006E557B"/>
    <w:p w:rsidR="00B41EC6" w:rsidRPr="005F6EAF" w:rsidRDefault="00B41EC6" w:rsidP="006E557B"/>
    <w:p w:rsidR="00B41EC6" w:rsidRPr="005F6EAF" w:rsidRDefault="00B41EC6" w:rsidP="00B41EC6">
      <w:pPr>
        <w:pStyle w:val="Heading2"/>
        <w:spacing w:after="0" w:line="480" w:lineRule="auto"/>
        <w:ind w:left="720" w:hanging="720"/>
        <w:rPr>
          <w:rFonts w:ascii="Arial" w:hAnsi="Arial" w:cs="Arial"/>
          <w:sz w:val="24"/>
          <w:szCs w:val="24"/>
        </w:rPr>
      </w:pPr>
      <w:bookmarkStart w:id="19" w:name="_Toc443881746"/>
      <w:bookmarkStart w:id="20" w:name="_Toc451592235"/>
      <w:bookmarkStart w:id="21" w:name="_Toc5610276"/>
      <w:bookmarkStart w:id="22" w:name="_Toc99178782"/>
      <w:bookmarkStart w:id="23" w:name="_Toc395694460"/>
      <w:r w:rsidRPr="005F6EAF">
        <w:rPr>
          <w:rFonts w:ascii="Arial" w:hAnsi="Arial" w:cs="Arial"/>
          <w:sz w:val="24"/>
          <w:szCs w:val="24"/>
        </w:rPr>
        <w:t>A.5</w:t>
      </w:r>
      <w:r w:rsidRPr="005F6EAF">
        <w:rPr>
          <w:rFonts w:ascii="Arial" w:hAnsi="Arial" w:cs="Arial"/>
          <w:sz w:val="24"/>
          <w:szCs w:val="24"/>
        </w:rPr>
        <w:tab/>
        <w:t>Impact on Small Businesses or Other Small Entities</w:t>
      </w:r>
      <w:bookmarkEnd w:id="19"/>
      <w:bookmarkEnd w:id="20"/>
      <w:bookmarkEnd w:id="21"/>
      <w:bookmarkEnd w:id="22"/>
      <w:bookmarkEnd w:id="23"/>
    </w:p>
    <w:p w:rsidR="00B41EC6" w:rsidRPr="005F6EAF" w:rsidRDefault="005F6EAF" w:rsidP="000B0A82">
      <w:r w:rsidRPr="005F6EAF">
        <w:t>Small businesses or entities are not involved. All res</w:t>
      </w:r>
      <w:r>
        <w:t xml:space="preserve">pondents are tissue and eye </w:t>
      </w:r>
      <w:r w:rsidR="00071010">
        <w:t xml:space="preserve">procurement </w:t>
      </w:r>
      <w:r>
        <w:t>organizations</w:t>
      </w:r>
      <w:r w:rsidR="002D309B">
        <w:t xml:space="preserve"> of which some serve several states, one state, partial states, or </w:t>
      </w:r>
      <w:r w:rsidR="000B0A82">
        <w:t>parts of several states.</w:t>
      </w:r>
    </w:p>
    <w:p w:rsidR="00B41EC6" w:rsidRPr="005F6EAF" w:rsidRDefault="00B41EC6" w:rsidP="00B41EC6"/>
    <w:p w:rsidR="00B41EC6" w:rsidRPr="005F6EAF" w:rsidRDefault="00B41EC6" w:rsidP="006E557B"/>
    <w:p w:rsidR="00B41EC6" w:rsidRPr="005F6EAF" w:rsidRDefault="00B41EC6" w:rsidP="00B41EC6">
      <w:pPr>
        <w:pStyle w:val="Heading2"/>
        <w:spacing w:after="0" w:line="480" w:lineRule="auto"/>
        <w:ind w:left="720" w:hanging="720"/>
        <w:rPr>
          <w:rFonts w:ascii="Arial" w:hAnsi="Arial" w:cs="Arial"/>
          <w:sz w:val="24"/>
          <w:szCs w:val="24"/>
        </w:rPr>
      </w:pPr>
      <w:bookmarkStart w:id="24" w:name="_Toc443881747"/>
      <w:bookmarkStart w:id="25" w:name="_Toc451592236"/>
      <w:bookmarkStart w:id="26" w:name="_Toc5610277"/>
      <w:bookmarkStart w:id="27" w:name="_Toc99178783"/>
      <w:bookmarkStart w:id="28" w:name="_Toc395694461"/>
      <w:r w:rsidRPr="005F6EAF">
        <w:rPr>
          <w:rFonts w:ascii="Arial" w:hAnsi="Arial" w:cs="Arial"/>
          <w:sz w:val="24"/>
          <w:szCs w:val="24"/>
        </w:rPr>
        <w:t>A.6</w:t>
      </w:r>
      <w:r w:rsidRPr="005F6EAF">
        <w:rPr>
          <w:rFonts w:ascii="Arial" w:hAnsi="Arial" w:cs="Arial"/>
          <w:sz w:val="24"/>
          <w:szCs w:val="24"/>
        </w:rPr>
        <w:tab/>
        <w:t>Consequences of Collecting the Information Less Frequently</w:t>
      </w:r>
      <w:bookmarkEnd w:id="24"/>
      <w:bookmarkEnd w:id="25"/>
      <w:bookmarkEnd w:id="26"/>
      <w:bookmarkEnd w:id="27"/>
      <w:bookmarkEnd w:id="28"/>
    </w:p>
    <w:p w:rsidR="00B41EC6" w:rsidRDefault="006E7903" w:rsidP="00071010">
      <w:r>
        <w:t xml:space="preserve">Each </w:t>
      </w:r>
      <w:r w:rsidR="00071010">
        <w:t xml:space="preserve">organ procurement </w:t>
      </w:r>
      <w:r>
        <w:t xml:space="preserve">and eye </w:t>
      </w:r>
      <w:r w:rsidR="00071010">
        <w:t xml:space="preserve">bank </w:t>
      </w:r>
      <w:r>
        <w:t xml:space="preserve">organization is being asked to provide their data only once. </w:t>
      </w:r>
    </w:p>
    <w:p w:rsidR="00B41EC6" w:rsidRDefault="00B41EC6" w:rsidP="006E557B"/>
    <w:p w:rsidR="00B41EC6" w:rsidRPr="005F6EAF" w:rsidRDefault="00B41EC6" w:rsidP="006E557B"/>
    <w:p w:rsidR="00B41EC6" w:rsidRPr="005F6EAF" w:rsidRDefault="00B41EC6" w:rsidP="00023F3F">
      <w:pPr>
        <w:pStyle w:val="Heading2"/>
        <w:tabs>
          <w:tab w:val="left" w:pos="540"/>
          <w:tab w:val="left" w:pos="720"/>
          <w:tab w:val="left" w:pos="900"/>
        </w:tabs>
        <w:spacing w:after="0" w:line="480" w:lineRule="auto"/>
        <w:ind w:left="0" w:firstLine="0"/>
        <w:rPr>
          <w:rFonts w:ascii="Arial" w:hAnsi="Arial" w:cs="Arial"/>
          <w:sz w:val="24"/>
          <w:szCs w:val="24"/>
        </w:rPr>
      </w:pPr>
      <w:bookmarkStart w:id="29" w:name="_Toc443881748"/>
      <w:bookmarkStart w:id="30" w:name="_Toc451592237"/>
      <w:bookmarkStart w:id="31" w:name="_Toc5610278"/>
      <w:bookmarkStart w:id="32" w:name="_Toc99178784"/>
      <w:bookmarkStart w:id="33" w:name="_Toc395694462"/>
      <w:r w:rsidRPr="005F6EAF">
        <w:rPr>
          <w:rFonts w:ascii="Arial" w:hAnsi="Arial" w:cs="Arial"/>
          <w:sz w:val="24"/>
          <w:szCs w:val="24"/>
        </w:rPr>
        <w:lastRenderedPageBreak/>
        <w:t>A.7</w:t>
      </w:r>
      <w:r w:rsidR="00023F3F">
        <w:rPr>
          <w:rFonts w:ascii="Arial" w:hAnsi="Arial" w:cs="Arial"/>
          <w:sz w:val="24"/>
          <w:szCs w:val="24"/>
        </w:rPr>
        <w:tab/>
      </w:r>
      <w:r w:rsidR="00023F3F">
        <w:rPr>
          <w:rFonts w:ascii="Arial" w:hAnsi="Arial" w:cs="Arial"/>
          <w:sz w:val="24"/>
          <w:szCs w:val="24"/>
        </w:rPr>
        <w:tab/>
      </w:r>
      <w:r w:rsidRPr="005F6EAF">
        <w:rPr>
          <w:rFonts w:ascii="Arial" w:hAnsi="Arial" w:cs="Arial"/>
          <w:sz w:val="24"/>
          <w:szCs w:val="24"/>
        </w:rPr>
        <w:t>Special Circumstances Relating to the Guidelines of 5 CFR 1320.5</w:t>
      </w:r>
      <w:bookmarkEnd w:id="29"/>
      <w:bookmarkEnd w:id="30"/>
      <w:bookmarkEnd w:id="31"/>
      <w:bookmarkEnd w:id="32"/>
      <w:bookmarkEnd w:id="33"/>
    </w:p>
    <w:p w:rsidR="005F6EAF" w:rsidRPr="005F6EAF" w:rsidRDefault="005F6EAF" w:rsidP="005F6EAF">
      <w:pPr>
        <w:widowControl w:val="0"/>
        <w:adjustRightInd w:val="0"/>
        <w:snapToGrid w:val="0"/>
        <w:jc w:val="both"/>
      </w:pPr>
      <w:r w:rsidRPr="005F6EAF">
        <w:t>The proposed data collection is consistent with 5 CFR 1320.5.</w:t>
      </w:r>
    </w:p>
    <w:p w:rsidR="00B41EC6" w:rsidRPr="005F6EAF" w:rsidRDefault="00B41EC6" w:rsidP="006E557B"/>
    <w:p w:rsidR="00C94EE3" w:rsidRPr="005F6EAF" w:rsidRDefault="00C94EE3" w:rsidP="00C94EE3"/>
    <w:p w:rsidR="007A0875" w:rsidRDefault="0005035B" w:rsidP="007A0875">
      <w:pPr>
        <w:pStyle w:val="Heading2"/>
        <w:spacing w:after="0" w:line="240" w:lineRule="auto"/>
        <w:ind w:left="720" w:hanging="720"/>
        <w:rPr>
          <w:rFonts w:ascii="Arial" w:hAnsi="Arial" w:cs="Arial"/>
          <w:sz w:val="24"/>
          <w:szCs w:val="24"/>
        </w:rPr>
      </w:pPr>
      <w:bookmarkStart w:id="34" w:name="_Toc443881749"/>
      <w:bookmarkStart w:id="35" w:name="_Toc451592238"/>
      <w:bookmarkStart w:id="36" w:name="_Toc5610279"/>
      <w:bookmarkStart w:id="37" w:name="_Toc99178785"/>
      <w:bookmarkStart w:id="38" w:name="_Toc395694463"/>
      <w:r w:rsidRPr="005F6EAF">
        <w:rPr>
          <w:rFonts w:ascii="Arial" w:hAnsi="Arial" w:cs="Arial"/>
          <w:sz w:val="24"/>
          <w:szCs w:val="24"/>
        </w:rPr>
        <w:t>A.8</w:t>
      </w:r>
      <w:r w:rsidRPr="005F6EAF">
        <w:rPr>
          <w:rFonts w:ascii="Arial" w:hAnsi="Arial" w:cs="Arial"/>
          <w:sz w:val="24"/>
          <w:szCs w:val="24"/>
        </w:rPr>
        <w:tab/>
        <w:t xml:space="preserve">Comments in Response to the Federal Register Notice and Efforts to </w:t>
      </w:r>
      <w:r w:rsidRPr="00C97991">
        <w:rPr>
          <w:rFonts w:ascii="Arial" w:hAnsi="Arial" w:cs="Arial"/>
          <w:sz w:val="24"/>
          <w:szCs w:val="24"/>
        </w:rPr>
        <w:t>Consult Outside Agency</w:t>
      </w:r>
      <w:bookmarkStart w:id="39" w:name="_Toc443881750"/>
      <w:bookmarkStart w:id="40" w:name="_Toc451592239"/>
      <w:bookmarkStart w:id="41" w:name="_Toc5610280"/>
      <w:bookmarkStart w:id="42" w:name="_Toc99178786"/>
      <w:bookmarkStart w:id="43" w:name="_Toc395694464"/>
      <w:bookmarkEnd w:id="34"/>
      <w:bookmarkEnd w:id="35"/>
      <w:bookmarkEnd w:id="36"/>
      <w:bookmarkEnd w:id="37"/>
      <w:bookmarkEnd w:id="38"/>
    </w:p>
    <w:p w:rsidR="007A0875" w:rsidRPr="007A0875" w:rsidRDefault="007A0875" w:rsidP="007A0875">
      <w:pPr>
        <w:pStyle w:val="Heading2"/>
        <w:spacing w:after="0" w:line="240" w:lineRule="auto"/>
        <w:rPr>
          <w:rFonts w:ascii="Arial" w:hAnsi="Arial" w:cs="Arial"/>
          <w:b w:val="0"/>
          <w:sz w:val="24"/>
          <w:szCs w:val="24"/>
        </w:rPr>
      </w:pPr>
    </w:p>
    <w:p w:rsidR="00347FF9" w:rsidRPr="007A0875" w:rsidRDefault="00347FF9" w:rsidP="007A0875">
      <w:pPr>
        <w:pStyle w:val="Heading2"/>
        <w:tabs>
          <w:tab w:val="clear" w:pos="1152"/>
        </w:tabs>
        <w:spacing w:after="0" w:line="240" w:lineRule="auto"/>
        <w:ind w:left="0" w:firstLine="0"/>
        <w:rPr>
          <w:rFonts w:ascii="Arial" w:hAnsi="Arial" w:cs="Arial"/>
          <w:sz w:val="24"/>
          <w:szCs w:val="24"/>
        </w:rPr>
      </w:pPr>
      <w:r w:rsidRPr="00347FF9">
        <w:rPr>
          <w:b w:val="0"/>
          <w:sz w:val="24"/>
          <w:szCs w:val="24"/>
        </w:rPr>
        <w:t xml:space="preserve">As required by 5 CFR 1320.8(d), the 60-day Federal Register notice was published on </w:t>
      </w:r>
      <w:r w:rsidR="007A0875">
        <w:rPr>
          <w:b w:val="0"/>
          <w:sz w:val="24"/>
          <w:szCs w:val="24"/>
        </w:rPr>
        <w:t>August 28, 2014</w:t>
      </w:r>
      <w:r w:rsidRPr="00347FF9">
        <w:rPr>
          <w:b w:val="0"/>
          <w:sz w:val="24"/>
          <w:szCs w:val="24"/>
        </w:rPr>
        <w:t>, Vol. 7</w:t>
      </w:r>
      <w:r w:rsidR="007A0875">
        <w:rPr>
          <w:b w:val="0"/>
          <w:sz w:val="24"/>
          <w:szCs w:val="24"/>
        </w:rPr>
        <w:t>9</w:t>
      </w:r>
      <w:r w:rsidRPr="00347FF9">
        <w:rPr>
          <w:b w:val="0"/>
          <w:sz w:val="24"/>
          <w:szCs w:val="24"/>
        </w:rPr>
        <w:t xml:space="preserve">, pp </w:t>
      </w:r>
      <w:r w:rsidR="007A0875">
        <w:rPr>
          <w:b w:val="0"/>
          <w:sz w:val="24"/>
          <w:szCs w:val="24"/>
        </w:rPr>
        <w:t>51333-4</w:t>
      </w:r>
      <w:r w:rsidRPr="00347FF9">
        <w:rPr>
          <w:b w:val="0"/>
          <w:sz w:val="24"/>
          <w:szCs w:val="24"/>
        </w:rPr>
        <w:t>. No comments were received in response to this notice.</w:t>
      </w:r>
    </w:p>
    <w:p w:rsidR="007A0875" w:rsidRDefault="007A0875" w:rsidP="007A0875">
      <w:pPr>
        <w:pStyle w:val="Heading2"/>
        <w:spacing w:after="0" w:line="360" w:lineRule="auto"/>
        <w:ind w:left="720" w:hanging="720"/>
        <w:rPr>
          <w:rFonts w:ascii="Arial" w:hAnsi="Arial" w:cs="Arial"/>
          <w:sz w:val="24"/>
          <w:szCs w:val="24"/>
        </w:rPr>
      </w:pPr>
    </w:p>
    <w:p w:rsidR="0005035B" w:rsidRPr="00C97991" w:rsidRDefault="0005035B" w:rsidP="0005035B">
      <w:pPr>
        <w:pStyle w:val="Heading2"/>
        <w:spacing w:after="0" w:line="480" w:lineRule="auto"/>
        <w:ind w:left="720" w:hanging="720"/>
        <w:rPr>
          <w:rFonts w:ascii="Arial" w:hAnsi="Arial" w:cs="Arial"/>
          <w:sz w:val="24"/>
          <w:szCs w:val="24"/>
        </w:rPr>
      </w:pPr>
      <w:r w:rsidRPr="00C97991">
        <w:rPr>
          <w:rFonts w:ascii="Arial" w:hAnsi="Arial" w:cs="Arial"/>
          <w:sz w:val="24"/>
          <w:szCs w:val="24"/>
        </w:rPr>
        <w:t>A</w:t>
      </w:r>
      <w:r w:rsidR="00071010">
        <w:rPr>
          <w:rFonts w:ascii="Arial" w:hAnsi="Arial" w:cs="Arial"/>
          <w:sz w:val="24"/>
          <w:szCs w:val="24"/>
        </w:rPr>
        <w:t>.9</w:t>
      </w:r>
      <w:r w:rsidR="00071010">
        <w:rPr>
          <w:rFonts w:ascii="Arial" w:hAnsi="Arial" w:cs="Arial"/>
          <w:sz w:val="24"/>
          <w:szCs w:val="24"/>
        </w:rPr>
        <w:tab/>
        <w:t>Explanation of Any Payment or</w:t>
      </w:r>
      <w:r w:rsidRPr="00C97991">
        <w:rPr>
          <w:rFonts w:ascii="Arial" w:hAnsi="Arial" w:cs="Arial"/>
          <w:sz w:val="24"/>
          <w:szCs w:val="24"/>
        </w:rPr>
        <w:t xml:space="preserve"> Gift to Respondents</w:t>
      </w:r>
      <w:bookmarkEnd w:id="39"/>
      <w:bookmarkEnd w:id="40"/>
      <w:bookmarkEnd w:id="41"/>
      <w:bookmarkEnd w:id="42"/>
      <w:bookmarkEnd w:id="43"/>
    </w:p>
    <w:p w:rsidR="0005035B" w:rsidRPr="00C97991" w:rsidRDefault="00587D43" w:rsidP="00D05892">
      <w:r w:rsidRPr="00C97991">
        <w:t>The respondents, OPOs and eye banks, will be ex</w:t>
      </w:r>
      <w:r w:rsidR="00071010">
        <w:t>tracting data for TODES that have</w:t>
      </w:r>
      <w:r w:rsidRPr="00C97991">
        <w:t xml:space="preserve"> already been collected</w:t>
      </w:r>
      <w:r w:rsidR="0070264D">
        <w:t xml:space="preserve"> by those organizations</w:t>
      </w:r>
      <w:r w:rsidRPr="00C97991">
        <w:t xml:space="preserve">.  Some of the data requested by RTI </w:t>
      </w:r>
      <w:r w:rsidR="00E06C9B">
        <w:t xml:space="preserve">were previously </w:t>
      </w:r>
      <w:r w:rsidRPr="00C97991">
        <w:t xml:space="preserve">extracted and provided to the United Network for Organ Sharing (UNOS), the American Association of Tissue Banks (AATB), </w:t>
      </w:r>
      <w:r w:rsidR="00E06C9B">
        <w:t xml:space="preserve">or </w:t>
      </w:r>
      <w:r w:rsidRPr="00C97991">
        <w:t>the Eye Bank Association of America (EBAA) for</w:t>
      </w:r>
      <w:r w:rsidR="00071010">
        <w:t xml:space="preserve"> required</w:t>
      </w:r>
      <w:r w:rsidRPr="00C97991">
        <w:t xml:space="preserve"> reporting </w:t>
      </w:r>
      <w:r w:rsidR="00D93B62">
        <w:t xml:space="preserve">and transplant matching </w:t>
      </w:r>
      <w:r w:rsidRPr="00C97991">
        <w:t>purposes. RTI has communicated with the respondents</w:t>
      </w:r>
      <w:r w:rsidR="0070264D">
        <w:t xml:space="preserve"> and several</w:t>
      </w:r>
      <w:r w:rsidRPr="00C97991">
        <w:t xml:space="preserve"> have reported that </w:t>
      </w:r>
      <w:r w:rsidR="0070264D">
        <w:t xml:space="preserve">their database administrators </w:t>
      </w:r>
      <w:r w:rsidRPr="00C97991">
        <w:t xml:space="preserve">on staff can </w:t>
      </w:r>
      <w:r w:rsidR="0070264D">
        <w:t xml:space="preserve">more </w:t>
      </w:r>
      <w:r w:rsidRPr="00C97991">
        <w:t>easily extract the requested data</w:t>
      </w:r>
      <w:r w:rsidR="0070264D">
        <w:t xml:space="preserve"> while other organizations have estimated that more time will be necessary due to fewer organizational resources</w:t>
      </w:r>
      <w:r w:rsidR="002B58F0">
        <w:t xml:space="preserve"> and/or the need to extract data from multiple data systems</w:t>
      </w:r>
      <w:r w:rsidRPr="00C97991">
        <w:t xml:space="preserve">.  </w:t>
      </w:r>
      <w:r w:rsidR="0070264D">
        <w:t xml:space="preserve">Our estimated respondent burden hours shown in Table 12-1 reflect our best estimate of the time to extract data as averaged across all of the respondent organizations. </w:t>
      </w:r>
      <w:r w:rsidR="00715D86" w:rsidRPr="00C97991">
        <w:t xml:space="preserve">For </w:t>
      </w:r>
      <w:r w:rsidRPr="00C97991">
        <w:t xml:space="preserve">OPOs and eye banks </w:t>
      </w:r>
      <w:r w:rsidR="0070264D">
        <w:t xml:space="preserve">with </w:t>
      </w:r>
      <w:r w:rsidRPr="00C97991">
        <w:t>limited resources</w:t>
      </w:r>
      <w:r w:rsidR="00D05892">
        <w:t xml:space="preserve"> that </w:t>
      </w:r>
      <w:r w:rsidR="0070264D">
        <w:t xml:space="preserve">request </w:t>
      </w:r>
      <w:r w:rsidR="00715D86" w:rsidRPr="00C97991">
        <w:t>compensation for the</w:t>
      </w:r>
      <w:r w:rsidR="0070264D">
        <w:t xml:space="preserve">ir TODES extraction efforts, RTI will offer those organizations $37.06 per hour of staff time required in appreciation of their efforts. </w:t>
      </w:r>
    </w:p>
    <w:p w:rsidR="006E7903" w:rsidRPr="00C97991" w:rsidRDefault="006E7903" w:rsidP="006E7903">
      <w:pPr>
        <w:rPr>
          <w:rFonts w:ascii="Arial" w:hAnsi="Arial" w:cs="Arial"/>
          <w:sz w:val="32"/>
          <w:szCs w:val="32"/>
        </w:rPr>
      </w:pPr>
    </w:p>
    <w:p w:rsidR="0005035B" w:rsidRPr="00C97991" w:rsidRDefault="0005035B" w:rsidP="0005035B">
      <w:pPr>
        <w:pStyle w:val="Heading2"/>
        <w:spacing w:after="0" w:line="480" w:lineRule="auto"/>
        <w:ind w:left="720" w:hanging="720"/>
        <w:rPr>
          <w:rFonts w:ascii="Arial" w:hAnsi="Arial" w:cs="Arial"/>
          <w:sz w:val="24"/>
          <w:szCs w:val="24"/>
        </w:rPr>
      </w:pPr>
      <w:bookmarkStart w:id="44" w:name="_Toc443881751"/>
      <w:bookmarkStart w:id="45" w:name="_Toc451592240"/>
      <w:bookmarkStart w:id="46" w:name="_Toc5610281"/>
      <w:bookmarkStart w:id="47" w:name="_Toc99178787"/>
      <w:bookmarkStart w:id="48" w:name="_Toc395694465"/>
      <w:r w:rsidRPr="00C97991">
        <w:rPr>
          <w:rFonts w:ascii="Arial" w:hAnsi="Arial" w:cs="Arial"/>
          <w:sz w:val="24"/>
          <w:szCs w:val="24"/>
        </w:rPr>
        <w:t>A.10</w:t>
      </w:r>
      <w:r w:rsidRPr="00C97991">
        <w:rPr>
          <w:rFonts w:ascii="Arial" w:hAnsi="Arial" w:cs="Arial"/>
          <w:sz w:val="24"/>
          <w:szCs w:val="24"/>
        </w:rPr>
        <w:tab/>
        <w:t>Assurance of Confidentiality Provided to Respondents</w:t>
      </w:r>
      <w:bookmarkEnd w:id="44"/>
      <w:bookmarkEnd w:id="45"/>
      <w:bookmarkEnd w:id="46"/>
      <w:bookmarkEnd w:id="47"/>
      <w:bookmarkEnd w:id="48"/>
    </w:p>
    <w:p w:rsidR="00882883" w:rsidRDefault="00882883" w:rsidP="00882883">
      <w:r w:rsidRPr="00C97991">
        <w:t>TODES project will not allow RTI or HHS to track information</w:t>
      </w:r>
      <w:r w:rsidRPr="001915B8">
        <w:t xml:space="preserve"> back to individual persons either as donors or recipients of transplanted organs and tissues.  The sharing of data for research purposes under TODES will be covered by Data Use Agreements executed between each participating organization and RTI.</w:t>
      </w:r>
      <w:r w:rsidR="00C0612C">
        <w:t xml:space="preserve"> </w:t>
      </w:r>
    </w:p>
    <w:p w:rsidR="0005035B" w:rsidRPr="005F6EAF" w:rsidRDefault="0005035B" w:rsidP="0005035B"/>
    <w:p w:rsidR="0005035B" w:rsidRPr="005F6EAF" w:rsidRDefault="0005035B" w:rsidP="0005035B">
      <w:pPr>
        <w:rPr>
          <w:rFonts w:ascii="Arial" w:hAnsi="Arial" w:cs="Arial"/>
        </w:rPr>
      </w:pPr>
    </w:p>
    <w:p w:rsidR="0005035B" w:rsidRPr="006E7289" w:rsidRDefault="0005035B" w:rsidP="001C142B">
      <w:pPr>
        <w:pStyle w:val="Heading2"/>
        <w:spacing w:after="0" w:line="480" w:lineRule="auto"/>
        <w:ind w:left="0" w:firstLine="0"/>
        <w:rPr>
          <w:rFonts w:ascii="Arial" w:hAnsi="Arial" w:cs="Arial"/>
          <w:sz w:val="24"/>
          <w:szCs w:val="24"/>
        </w:rPr>
      </w:pPr>
      <w:bookmarkStart w:id="49" w:name="_Toc443881752"/>
      <w:bookmarkStart w:id="50" w:name="_Toc451592241"/>
      <w:bookmarkStart w:id="51" w:name="_Toc5610282"/>
      <w:bookmarkStart w:id="52" w:name="_Toc99178788"/>
      <w:bookmarkStart w:id="53" w:name="_Toc395694466"/>
      <w:r w:rsidRPr="005F6EAF">
        <w:rPr>
          <w:rFonts w:ascii="Arial" w:hAnsi="Arial" w:cs="Arial"/>
          <w:sz w:val="24"/>
          <w:szCs w:val="24"/>
        </w:rPr>
        <w:t>A.11</w:t>
      </w:r>
      <w:r w:rsidRPr="005F6EAF">
        <w:rPr>
          <w:rFonts w:ascii="Arial" w:hAnsi="Arial" w:cs="Arial"/>
          <w:sz w:val="24"/>
          <w:szCs w:val="24"/>
        </w:rPr>
        <w:tab/>
        <w:t>Justification for Sensitive Questions</w:t>
      </w:r>
      <w:bookmarkEnd w:id="49"/>
      <w:bookmarkEnd w:id="50"/>
      <w:bookmarkEnd w:id="51"/>
      <w:bookmarkEnd w:id="52"/>
      <w:bookmarkEnd w:id="53"/>
    </w:p>
    <w:p w:rsidR="0005035B" w:rsidRDefault="00E06C9B" w:rsidP="00B81A16">
      <w:r w:rsidRPr="006D54BA">
        <w:t>Based on</w:t>
      </w:r>
      <w:r w:rsidR="00104185" w:rsidRPr="006D54BA">
        <w:t xml:space="preserve"> the protocols for this study, there are no sensitive questions </w:t>
      </w:r>
      <w:r w:rsidR="006D54BA" w:rsidRPr="006D54BA">
        <w:t xml:space="preserve">being asked </w:t>
      </w:r>
      <w:r w:rsidR="00104185" w:rsidRPr="006D54BA">
        <w:t xml:space="preserve">for </w:t>
      </w:r>
      <w:r w:rsidR="006D54BA" w:rsidRPr="006D54BA">
        <w:t xml:space="preserve">the purpose of </w:t>
      </w:r>
      <w:r w:rsidR="00104185" w:rsidRPr="006D54BA">
        <w:t xml:space="preserve">this data collection. </w:t>
      </w:r>
      <w:r w:rsidRPr="006D54BA">
        <w:t>V</w:t>
      </w:r>
      <w:r w:rsidR="007354EB" w:rsidRPr="006D54BA">
        <w:t xml:space="preserve">ariables extracted by respondent organizations are associated with deceased </w:t>
      </w:r>
      <w:r w:rsidRPr="006D54BA">
        <w:t xml:space="preserve">organ, tissue, </w:t>
      </w:r>
      <w:r w:rsidR="007354EB" w:rsidRPr="006D54BA">
        <w:t>and eye donors</w:t>
      </w:r>
      <w:r w:rsidR="00104185" w:rsidRPr="006D54BA">
        <w:t xml:space="preserve">, with no selection criteria associated with a deceased donor’s identity. </w:t>
      </w:r>
      <w:r w:rsidRPr="006D54BA">
        <w:t xml:space="preserve">Furthermore, </w:t>
      </w:r>
      <w:r w:rsidR="00104185" w:rsidRPr="006D54BA">
        <w:t xml:space="preserve">no contact </w:t>
      </w:r>
      <w:r w:rsidRPr="006D54BA">
        <w:t xml:space="preserve">will be </w:t>
      </w:r>
      <w:r w:rsidR="00104185" w:rsidRPr="006D54BA">
        <w:t xml:space="preserve">made with any person or organization </w:t>
      </w:r>
      <w:r w:rsidRPr="006D54BA">
        <w:t xml:space="preserve">with </w:t>
      </w:r>
      <w:r w:rsidR="00104185" w:rsidRPr="006D54BA">
        <w:t xml:space="preserve">contact with any deceased donor </w:t>
      </w:r>
      <w:r w:rsidR="00B81A16">
        <w:t xml:space="preserve">eligible for </w:t>
      </w:r>
      <w:r w:rsidRPr="006D54BA">
        <w:t>inclu</w:t>
      </w:r>
      <w:r w:rsidR="00B81A16">
        <w:t>sion</w:t>
      </w:r>
      <w:r w:rsidR="00104185" w:rsidRPr="006D54BA">
        <w:t xml:space="preserve">. </w:t>
      </w:r>
    </w:p>
    <w:p w:rsidR="006D54BA" w:rsidRDefault="006D54BA" w:rsidP="007C16BD">
      <w:pPr>
        <w:pStyle w:val="Heading2"/>
        <w:tabs>
          <w:tab w:val="clear" w:pos="1152"/>
          <w:tab w:val="left" w:pos="450"/>
        </w:tabs>
        <w:spacing w:after="0" w:line="480" w:lineRule="auto"/>
        <w:ind w:left="720" w:hanging="720"/>
        <w:jc w:val="left"/>
        <w:rPr>
          <w:rFonts w:ascii="Arial" w:hAnsi="Arial" w:cs="Arial"/>
          <w:sz w:val="24"/>
          <w:szCs w:val="24"/>
        </w:rPr>
      </w:pPr>
    </w:p>
    <w:p w:rsidR="007A0875" w:rsidRDefault="007A0875" w:rsidP="007A0875">
      <w:pPr>
        <w:pStyle w:val="P1-StandPara"/>
      </w:pPr>
    </w:p>
    <w:p w:rsidR="007A0875" w:rsidRDefault="007A0875" w:rsidP="007A0875">
      <w:pPr>
        <w:pStyle w:val="P1-StandPara"/>
      </w:pPr>
    </w:p>
    <w:p w:rsidR="007A0875" w:rsidRDefault="007A0875" w:rsidP="007A0875">
      <w:pPr>
        <w:pStyle w:val="P1-StandPara"/>
      </w:pPr>
    </w:p>
    <w:p w:rsidR="007A0875" w:rsidRPr="007A0875" w:rsidRDefault="007A0875" w:rsidP="007A0875">
      <w:pPr>
        <w:pStyle w:val="P1-StandPara"/>
      </w:pPr>
    </w:p>
    <w:p w:rsidR="007C16BD" w:rsidRPr="006E7289" w:rsidRDefault="007C16BD" w:rsidP="007C16BD">
      <w:pPr>
        <w:pStyle w:val="Heading2"/>
        <w:tabs>
          <w:tab w:val="clear" w:pos="1152"/>
          <w:tab w:val="left" w:pos="450"/>
        </w:tabs>
        <w:spacing w:after="0" w:line="480" w:lineRule="auto"/>
        <w:ind w:left="720" w:hanging="720"/>
        <w:jc w:val="left"/>
        <w:rPr>
          <w:rFonts w:ascii="Arial" w:hAnsi="Arial" w:cs="Arial"/>
        </w:rPr>
      </w:pPr>
      <w:bookmarkStart w:id="54" w:name="_Toc395694467"/>
      <w:r w:rsidRPr="006E7289">
        <w:rPr>
          <w:rFonts w:ascii="Arial" w:hAnsi="Arial" w:cs="Arial"/>
          <w:sz w:val="24"/>
          <w:szCs w:val="24"/>
        </w:rPr>
        <w:t>A.12</w:t>
      </w:r>
      <w:r w:rsidRPr="006E7289">
        <w:rPr>
          <w:rFonts w:ascii="Arial" w:hAnsi="Arial" w:cs="Arial"/>
          <w:sz w:val="24"/>
          <w:szCs w:val="24"/>
        </w:rPr>
        <w:tab/>
        <w:t>Estimates of Hour</w:t>
      </w:r>
      <w:r w:rsidR="006E7289">
        <w:rPr>
          <w:rFonts w:ascii="Arial" w:hAnsi="Arial" w:cs="Arial"/>
          <w:sz w:val="24"/>
          <w:szCs w:val="24"/>
        </w:rPr>
        <w:t>s</w:t>
      </w:r>
      <w:r w:rsidRPr="006E7289">
        <w:rPr>
          <w:rFonts w:ascii="Arial" w:hAnsi="Arial" w:cs="Arial"/>
          <w:sz w:val="24"/>
          <w:szCs w:val="24"/>
        </w:rPr>
        <w:t xml:space="preserve"> Burden Including Annualized Hourly Costs</w:t>
      </w:r>
      <w:bookmarkEnd w:id="54"/>
      <w:r w:rsidRPr="006E7289">
        <w:rPr>
          <w:rFonts w:ascii="Arial" w:hAnsi="Arial" w:cs="Arial"/>
        </w:rPr>
        <w:t xml:space="preserve"> </w:t>
      </w:r>
    </w:p>
    <w:p w:rsidR="003A4D4F" w:rsidRDefault="003A4D4F" w:rsidP="003A4D4F">
      <w:pPr>
        <w:jc w:val="both"/>
        <w:rPr>
          <w:rFonts w:asciiTheme="majorBidi" w:hAnsiTheme="majorBidi" w:cstheme="majorBidi"/>
          <w:b/>
        </w:rPr>
      </w:pPr>
      <w:r w:rsidRPr="00187FF4">
        <w:rPr>
          <w:rFonts w:asciiTheme="majorBidi" w:hAnsiTheme="majorBidi" w:cstheme="majorBidi"/>
          <w:b/>
        </w:rPr>
        <w:t>Table A.12-1: Estimated Annualized Burden Hours</w:t>
      </w:r>
    </w:p>
    <w:p w:rsidR="0070264D" w:rsidRDefault="0070264D" w:rsidP="003A4D4F">
      <w:pPr>
        <w:jc w:val="both"/>
        <w:rPr>
          <w:rFonts w:asciiTheme="majorBidi" w:hAnsiTheme="majorBidi" w:cstheme="majorBidi"/>
          <w:b/>
        </w:rPr>
      </w:pPr>
    </w:p>
    <w:p w:rsidR="0070264D" w:rsidRPr="0070264D" w:rsidRDefault="0070264D" w:rsidP="003A4D4F">
      <w:pPr>
        <w:jc w:val="both"/>
        <w:rPr>
          <w:rFonts w:asciiTheme="majorBidi" w:hAnsiTheme="majorBidi" w:cstheme="majorBidi"/>
          <w:bCs/>
        </w:rPr>
      </w:pPr>
      <w:r>
        <w:rPr>
          <w:rFonts w:asciiTheme="majorBidi" w:hAnsiTheme="majorBidi" w:cstheme="majorBidi"/>
          <w:bCs/>
        </w:rPr>
        <w:t>It is estimated that the OPO respondents will spend on average 85 minutes extracting the requested study data, which Eye Bank respondents will spend on average 55 minutes extracting requested study data. Both sets of respondents are best characterized as database administrators per the U.S. Bureau of Labor Statistics, with average hourly rates of $37.06. The annualized cost to these respondents is estimated at $1133.29 based on that $3</w:t>
      </w:r>
      <w:r w:rsidR="00663318">
        <w:rPr>
          <w:rFonts w:asciiTheme="majorBidi" w:hAnsiTheme="majorBidi" w:cstheme="majorBidi"/>
          <w:bCs/>
        </w:rPr>
        <w:t>7</w:t>
      </w:r>
      <w:r>
        <w:rPr>
          <w:rFonts w:asciiTheme="majorBidi" w:hAnsiTheme="majorBidi" w:cstheme="majorBidi"/>
          <w:bCs/>
        </w:rPr>
        <w:t xml:space="preserve">.06 per hour with only one data collection cycle in total to occur within a one year timeframe upon OMB approval. </w:t>
      </w:r>
    </w:p>
    <w:p w:rsidR="003A4D4F" w:rsidRDefault="003A4D4F" w:rsidP="003A4D4F">
      <w:pPr>
        <w:jc w:val="both"/>
        <w:rPr>
          <w:rFonts w:asciiTheme="majorBidi" w:hAnsiTheme="majorBidi" w:cstheme="majorBidi"/>
          <w:b/>
        </w:rPr>
      </w:pPr>
    </w:p>
    <w:tbl>
      <w:tblPr>
        <w:tblW w:w="7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2367"/>
        <w:gridCol w:w="1395"/>
        <w:gridCol w:w="17"/>
        <w:gridCol w:w="1210"/>
        <w:gridCol w:w="17"/>
        <w:gridCol w:w="1306"/>
      </w:tblGrid>
      <w:tr w:rsidR="003A4D4F" w:rsidRPr="00F95C68" w:rsidTr="00AF1F06">
        <w:trPr>
          <w:trHeight w:val="1490"/>
        </w:trPr>
        <w:tc>
          <w:tcPr>
            <w:tcW w:w="1578" w:type="dxa"/>
          </w:tcPr>
          <w:p w:rsidR="003A4D4F" w:rsidRPr="00F95C68" w:rsidRDefault="003A4D4F" w:rsidP="00AF1F06">
            <w:pPr>
              <w:jc w:val="both"/>
            </w:pPr>
            <w:r w:rsidRPr="00F95C68">
              <w:t>Type of Respondents</w:t>
            </w:r>
          </w:p>
        </w:tc>
        <w:tc>
          <w:tcPr>
            <w:tcW w:w="2367" w:type="dxa"/>
          </w:tcPr>
          <w:p w:rsidR="003A4D4F" w:rsidRPr="00F95C68" w:rsidRDefault="003A4D4F" w:rsidP="00AF1F06">
            <w:pPr>
              <w:jc w:val="both"/>
            </w:pPr>
            <w:r w:rsidRPr="00F95C68">
              <w:t>Number of Respondents</w:t>
            </w:r>
          </w:p>
          <w:p w:rsidR="003A4D4F" w:rsidRPr="00F95C68" w:rsidRDefault="003A4D4F" w:rsidP="00AF1F06">
            <w:pPr>
              <w:jc w:val="both"/>
            </w:pPr>
          </w:p>
        </w:tc>
        <w:tc>
          <w:tcPr>
            <w:tcW w:w="1412" w:type="dxa"/>
            <w:gridSpan w:val="2"/>
          </w:tcPr>
          <w:p w:rsidR="003A4D4F" w:rsidRPr="00F95C68" w:rsidRDefault="003A4D4F" w:rsidP="00AF1F06">
            <w:pPr>
              <w:jc w:val="both"/>
            </w:pPr>
            <w:r w:rsidRPr="00F95C68">
              <w:t>Number of Responses per Respondent</w:t>
            </w:r>
          </w:p>
        </w:tc>
        <w:tc>
          <w:tcPr>
            <w:tcW w:w="1227" w:type="dxa"/>
            <w:gridSpan w:val="2"/>
          </w:tcPr>
          <w:p w:rsidR="003A4D4F" w:rsidRPr="00F95C68" w:rsidRDefault="003A4D4F" w:rsidP="00AF1F06">
            <w:pPr>
              <w:jc w:val="both"/>
            </w:pPr>
            <w:r w:rsidRPr="00F95C68">
              <w:t>Average Burden Per Response (in hours)</w:t>
            </w:r>
          </w:p>
        </w:tc>
        <w:tc>
          <w:tcPr>
            <w:tcW w:w="1305" w:type="dxa"/>
          </w:tcPr>
          <w:p w:rsidR="003A4D4F" w:rsidRPr="00F95C68" w:rsidRDefault="003A4D4F" w:rsidP="00AF1F06">
            <w:pPr>
              <w:jc w:val="both"/>
            </w:pPr>
            <w:r w:rsidRPr="00F95C68">
              <w:t>Total Annual Burden Hours</w:t>
            </w:r>
          </w:p>
        </w:tc>
      </w:tr>
      <w:tr w:rsidR="007E2D38" w:rsidRPr="00F95C68" w:rsidTr="00AF1F06">
        <w:trPr>
          <w:trHeight w:val="253"/>
        </w:trPr>
        <w:tc>
          <w:tcPr>
            <w:tcW w:w="1578" w:type="dxa"/>
          </w:tcPr>
          <w:p w:rsidR="007E2D38" w:rsidRPr="00F95C68" w:rsidRDefault="007E2D38" w:rsidP="00AF1F06">
            <w:pPr>
              <w:jc w:val="both"/>
            </w:pPr>
            <w:r w:rsidRPr="00F95C68">
              <w:t>OPOs</w:t>
            </w:r>
          </w:p>
        </w:tc>
        <w:tc>
          <w:tcPr>
            <w:tcW w:w="2367" w:type="dxa"/>
          </w:tcPr>
          <w:p w:rsidR="007E2D38" w:rsidRPr="00F95C68" w:rsidRDefault="00CA7BA6" w:rsidP="00AF1F06">
            <w:pPr>
              <w:jc w:val="both"/>
            </w:pPr>
            <w:r w:rsidRPr="00F95C68">
              <w:t>17</w:t>
            </w:r>
          </w:p>
        </w:tc>
        <w:tc>
          <w:tcPr>
            <w:tcW w:w="1395" w:type="dxa"/>
          </w:tcPr>
          <w:p w:rsidR="007E2D38" w:rsidRPr="00F95C68" w:rsidRDefault="00B81A16" w:rsidP="00AF1F06">
            <w:pPr>
              <w:jc w:val="both"/>
            </w:pPr>
            <w:r>
              <w:t>1</w:t>
            </w:r>
          </w:p>
        </w:tc>
        <w:tc>
          <w:tcPr>
            <w:tcW w:w="1227" w:type="dxa"/>
            <w:gridSpan w:val="2"/>
          </w:tcPr>
          <w:p w:rsidR="007E2D38" w:rsidRPr="00F95C68" w:rsidRDefault="00B81A16" w:rsidP="00AF1F06">
            <w:pPr>
              <w:jc w:val="both"/>
            </w:pPr>
            <w:r>
              <w:t>85</w:t>
            </w:r>
            <w:r w:rsidR="00CA7BA6" w:rsidRPr="00F95C68">
              <w:t>/</w:t>
            </w:r>
            <w:r w:rsidR="007E2D38" w:rsidRPr="00F95C68">
              <w:t>60</w:t>
            </w:r>
          </w:p>
        </w:tc>
        <w:tc>
          <w:tcPr>
            <w:tcW w:w="1323" w:type="dxa"/>
            <w:gridSpan w:val="2"/>
            <w:vAlign w:val="center"/>
          </w:tcPr>
          <w:p w:rsidR="007E2D38" w:rsidRPr="00F95C68" w:rsidRDefault="00B81A16" w:rsidP="00AF1F06">
            <w:pPr>
              <w:jc w:val="both"/>
            </w:pPr>
            <w:r>
              <w:t>24.1</w:t>
            </w:r>
          </w:p>
        </w:tc>
      </w:tr>
      <w:tr w:rsidR="007E2D38" w:rsidRPr="00F95C68" w:rsidTr="00AF1F06">
        <w:trPr>
          <w:trHeight w:val="253"/>
        </w:trPr>
        <w:tc>
          <w:tcPr>
            <w:tcW w:w="1578" w:type="dxa"/>
          </w:tcPr>
          <w:p w:rsidR="007E2D38" w:rsidRPr="00F95C68" w:rsidRDefault="007E2D38" w:rsidP="00AF1F06">
            <w:pPr>
              <w:jc w:val="both"/>
            </w:pPr>
            <w:r w:rsidRPr="00F95C68">
              <w:t>Eye Bank</w:t>
            </w:r>
            <w:r w:rsidR="00F95C68">
              <w:t>s</w:t>
            </w:r>
          </w:p>
        </w:tc>
        <w:tc>
          <w:tcPr>
            <w:tcW w:w="2367" w:type="dxa"/>
          </w:tcPr>
          <w:p w:rsidR="007E2D38" w:rsidRPr="00F95C68" w:rsidRDefault="007E2D38" w:rsidP="00AF1F06">
            <w:pPr>
              <w:jc w:val="both"/>
            </w:pPr>
            <w:r w:rsidRPr="00F95C68">
              <w:t>7</w:t>
            </w:r>
          </w:p>
        </w:tc>
        <w:tc>
          <w:tcPr>
            <w:tcW w:w="1395" w:type="dxa"/>
          </w:tcPr>
          <w:p w:rsidR="007E2D38" w:rsidRPr="00F95C68" w:rsidRDefault="00B81A16" w:rsidP="00AF1F06">
            <w:pPr>
              <w:jc w:val="both"/>
            </w:pPr>
            <w:r>
              <w:t>1</w:t>
            </w:r>
          </w:p>
        </w:tc>
        <w:tc>
          <w:tcPr>
            <w:tcW w:w="1227" w:type="dxa"/>
            <w:gridSpan w:val="2"/>
          </w:tcPr>
          <w:p w:rsidR="007E2D38" w:rsidRPr="00F95C68" w:rsidRDefault="00B81A16" w:rsidP="00AF1F06">
            <w:pPr>
              <w:jc w:val="both"/>
            </w:pPr>
            <w:r>
              <w:t>55</w:t>
            </w:r>
            <w:r w:rsidR="007E2D38" w:rsidRPr="00F95C68">
              <w:t>/60</w:t>
            </w:r>
          </w:p>
        </w:tc>
        <w:tc>
          <w:tcPr>
            <w:tcW w:w="1323" w:type="dxa"/>
            <w:gridSpan w:val="2"/>
            <w:vAlign w:val="center"/>
          </w:tcPr>
          <w:p w:rsidR="007E2D38" w:rsidRPr="00F95C68" w:rsidRDefault="00B81A16" w:rsidP="00AF1F06">
            <w:pPr>
              <w:jc w:val="both"/>
            </w:pPr>
            <w:r>
              <w:t>6.4</w:t>
            </w:r>
          </w:p>
        </w:tc>
      </w:tr>
      <w:tr w:rsidR="003A4D4F" w:rsidRPr="00F95C68" w:rsidTr="00AF1F06">
        <w:trPr>
          <w:trHeight w:val="786"/>
        </w:trPr>
        <w:tc>
          <w:tcPr>
            <w:tcW w:w="1578" w:type="dxa"/>
          </w:tcPr>
          <w:p w:rsidR="003A4D4F" w:rsidRPr="00F95C68" w:rsidRDefault="007E2D38" w:rsidP="00AF1F06">
            <w:pPr>
              <w:jc w:val="both"/>
            </w:pPr>
            <w:r w:rsidRPr="00F95C68">
              <w:t>T</w:t>
            </w:r>
            <w:r w:rsidR="003A4D4F" w:rsidRPr="00F95C68">
              <w:t>otal</w:t>
            </w:r>
          </w:p>
        </w:tc>
        <w:tc>
          <w:tcPr>
            <w:tcW w:w="2367" w:type="dxa"/>
          </w:tcPr>
          <w:p w:rsidR="003A4D4F" w:rsidRPr="00F95C68" w:rsidRDefault="00A3152D" w:rsidP="00AF1F06">
            <w:pPr>
              <w:jc w:val="both"/>
            </w:pPr>
            <w:r w:rsidRPr="00F95C68">
              <w:t>24</w:t>
            </w:r>
          </w:p>
          <w:p w:rsidR="003A4D4F" w:rsidRPr="00F95C68" w:rsidRDefault="003A4D4F" w:rsidP="00AF1F06">
            <w:pPr>
              <w:jc w:val="both"/>
            </w:pPr>
          </w:p>
          <w:p w:rsidR="003A4D4F" w:rsidRPr="00F95C68" w:rsidRDefault="003A4D4F" w:rsidP="00AF1F06">
            <w:pPr>
              <w:jc w:val="both"/>
            </w:pPr>
          </w:p>
        </w:tc>
        <w:tc>
          <w:tcPr>
            <w:tcW w:w="1395" w:type="dxa"/>
          </w:tcPr>
          <w:p w:rsidR="003A4D4F" w:rsidRPr="00F95C68" w:rsidRDefault="00A3152D" w:rsidP="00AF1F06">
            <w:pPr>
              <w:jc w:val="both"/>
            </w:pPr>
            <w:r w:rsidRPr="00F95C68">
              <w:t>2</w:t>
            </w:r>
          </w:p>
        </w:tc>
        <w:tc>
          <w:tcPr>
            <w:tcW w:w="1227" w:type="dxa"/>
            <w:gridSpan w:val="2"/>
          </w:tcPr>
          <w:p w:rsidR="003A4D4F" w:rsidRPr="00F95C68" w:rsidRDefault="003A4D4F" w:rsidP="00AF1F06">
            <w:pPr>
              <w:jc w:val="both"/>
            </w:pPr>
          </w:p>
          <w:p w:rsidR="003A4D4F" w:rsidRPr="00F95C68" w:rsidRDefault="003A4D4F" w:rsidP="00AF1F06">
            <w:pPr>
              <w:jc w:val="both"/>
            </w:pPr>
          </w:p>
        </w:tc>
        <w:tc>
          <w:tcPr>
            <w:tcW w:w="1323" w:type="dxa"/>
            <w:gridSpan w:val="2"/>
            <w:vAlign w:val="center"/>
          </w:tcPr>
          <w:p w:rsidR="003A4D4F" w:rsidRPr="00F95C68" w:rsidRDefault="00B81A16" w:rsidP="00AF1F06">
            <w:pPr>
              <w:jc w:val="both"/>
            </w:pPr>
            <w:r>
              <w:t>30.5</w:t>
            </w:r>
          </w:p>
        </w:tc>
      </w:tr>
    </w:tbl>
    <w:p w:rsidR="007C16BD" w:rsidRDefault="007C16BD" w:rsidP="007C16BD"/>
    <w:p w:rsidR="00B81A16" w:rsidRPr="00F95C68" w:rsidRDefault="00B81A16" w:rsidP="007C16BD"/>
    <w:p w:rsidR="007C16BD" w:rsidRPr="00F95C68" w:rsidRDefault="007C16BD" w:rsidP="007C16BD"/>
    <w:p w:rsidR="00967AAE" w:rsidRPr="00F95C68" w:rsidRDefault="00967AAE" w:rsidP="00680502">
      <w:pPr>
        <w:rPr>
          <w:b/>
          <w:smallCaps/>
        </w:rPr>
      </w:pPr>
      <w:r w:rsidRPr="00F95C68">
        <w:rPr>
          <w:b/>
          <w:smallCaps/>
        </w:rPr>
        <w:t>A.12 - 2   Annualized Cost To Respondents</w:t>
      </w:r>
    </w:p>
    <w:p w:rsidR="00967AAE" w:rsidRPr="00F95C68" w:rsidRDefault="00967AAE" w:rsidP="00967AAE"/>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619"/>
        <w:gridCol w:w="1250"/>
        <w:gridCol w:w="1619"/>
        <w:gridCol w:w="1401"/>
        <w:gridCol w:w="1603"/>
      </w:tblGrid>
      <w:tr w:rsidR="001628AB" w:rsidRPr="00F95C68" w:rsidTr="00C7426C">
        <w:tc>
          <w:tcPr>
            <w:tcW w:w="9378" w:type="dxa"/>
            <w:gridSpan w:val="6"/>
          </w:tcPr>
          <w:p w:rsidR="001628AB" w:rsidRPr="00F95C68" w:rsidRDefault="001628AB" w:rsidP="001628AB">
            <w:pPr>
              <w:rPr>
                <w:b/>
                <w:smallCaps/>
              </w:rPr>
            </w:pPr>
            <w:r w:rsidRPr="00F95C68">
              <w:rPr>
                <w:b/>
                <w:smallCaps/>
              </w:rPr>
              <w:t>A.12. 2   Annualized Cost To Respondents</w:t>
            </w:r>
            <w:r w:rsidR="003A4D4F" w:rsidRPr="00F95C68">
              <w:rPr>
                <w:b/>
                <w:smallCaps/>
              </w:rPr>
              <w:t xml:space="preserve"> </w:t>
            </w:r>
          </w:p>
          <w:p w:rsidR="001628AB" w:rsidRPr="00F95C68" w:rsidRDefault="001628AB" w:rsidP="001628AB">
            <w:pPr>
              <w:jc w:val="center"/>
              <w:rPr>
                <w:b/>
                <w:smallCaps/>
                <w:color w:val="FF0000"/>
              </w:rPr>
            </w:pPr>
          </w:p>
        </w:tc>
      </w:tr>
      <w:tr w:rsidR="009C2538" w:rsidRPr="00F95C68" w:rsidTr="00C7426C">
        <w:tc>
          <w:tcPr>
            <w:tcW w:w="1886" w:type="dxa"/>
          </w:tcPr>
          <w:p w:rsidR="009C2538" w:rsidRPr="00F95C68" w:rsidRDefault="009C2538" w:rsidP="00B06047">
            <w:r w:rsidRPr="00F95C68">
              <w:t>Type of Respondents</w:t>
            </w:r>
          </w:p>
        </w:tc>
        <w:tc>
          <w:tcPr>
            <w:tcW w:w="1619" w:type="dxa"/>
          </w:tcPr>
          <w:p w:rsidR="009C2538" w:rsidRPr="00F95C68" w:rsidRDefault="009C2538" w:rsidP="00B06047">
            <w:r w:rsidRPr="00F95C68">
              <w:t>Number of Respondents</w:t>
            </w:r>
          </w:p>
        </w:tc>
        <w:tc>
          <w:tcPr>
            <w:tcW w:w="1250" w:type="dxa"/>
          </w:tcPr>
          <w:p w:rsidR="009C2538" w:rsidRPr="00F95C68" w:rsidRDefault="009C2538" w:rsidP="00B06047">
            <w:r w:rsidRPr="00F95C68">
              <w:t>Frequency of Response</w:t>
            </w:r>
          </w:p>
        </w:tc>
        <w:tc>
          <w:tcPr>
            <w:tcW w:w="1619" w:type="dxa"/>
          </w:tcPr>
          <w:p w:rsidR="009C2538" w:rsidRPr="00F95C68" w:rsidRDefault="009C2538" w:rsidP="00B06047">
            <w:r w:rsidRPr="00F95C68">
              <w:t>Average Time per Respondents</w:t>
            </w:r>
          </w:p>
        </w:tc>
        <w:tc>
          <w:tcPr>
            <w:tcW w:w="1401" w:type="dxa"/>
          </w:tcPr>
          <w:p w:rsidR="009C2538" w:rsidRPr="00F95C68" w:rsidRDefault="009C2538" w:rsidP="00B06047">
            <w:r w:rsidRPr="00F95C68">
              <w:t>Hourly Wage Rate</w:t>
            </w:r>
            <w:r w:rsidR="00C7426C" w:rsidRPr="00F95C68">
              <w:t>*</w:t>
            </w:r>
          </w:p>
        </w:tc>
        <w:tc>
          <w:tcPr>
            <w:tcW w:w="1603" w:type="dxa"/>
          </w:tcPr>
          <w:p w:rsidR="009C2538" w:rsidRPr="00F95C68" w:rsidRDefault="009C2538" w:rsidP="00B06047">
            <w:r w:rsidRPr="00F95C68">
              <w:t>Respondent</w:t>
            </w:r>
          </w:p>
          <w:p w:rsidR="009C2538" w:rsidRPr="00F95C68" w:rsidRDefault="009C2538" w:rsidP="00B06047">
            <w:r w:rsidRPr="00F95C68">
              <w:t>Cost</w:t>
            </w:r>
          </w:p>
        </w:tc>
      </w:tr>
      <w:tr w:rsidR="009C2538" w:rsidRPr="00F95C68" w:rsidTr="00C7426C">
        <w:tc>
          <w:tcPr>
            <w:tcW w:w="1886" w:type="dxa"/>
          </w:tcPr>
          <w:p w:rsidR="009C2538" w:rsidRPr="00F95C68" w:rsidRDefault="009C2538" w:rsidP="00B06047"/>
          <w:p w:rsidR="009C2538" w:rsidRPr="00F95C68" w:rsidRDefault="003A4D4F" w:rsidP="00B06047">
            <w:r w:rsidRPr="00F95C68">
              <w:t>OPOs</w:t>
            </w:r>
          </w:p>
        </w:tc>
        <w:tc>
          <w:tcPr>
            <w:tcW w:w="1619" w:type="dxa"/>
          </w:tcPr>
          <w:p w:rsidR="009C2538" w:rsidRPr="00F95C68" w:rsidRDefault="008B3C28" w:rsidP="00B06047">
            <w:r w:rsidRPr="00F95C68">
              <w:t>17</w:t>
            </w:r>
          </w:p>
        </w:tc>
        <w:tc>
          <w:tcPr>
            <w:tcW w:w="1250" w:type="dxa"/>
          </w:tcPr>
          <w:p w:rsidR="009C2538" w:rsidRPr="00F95C68" w:rsidRDefault="00B81A16" w:rsidP="00B06047">
            <w:r>
              <w:t>1</w:t>
            </w:r>
          </w:p>
        </w:tc>
        <w:tc>
          <w:tcPr>
            <w:tcW w:w="1619" w:type="dxa"/>
          </w:tcPr>
          <w:p w:rsidR="009C2538" w:rsidRPr="00F95C68" w:rsidRDefault="00B81A16" w:rsidP="00B06047">
            <w:r>
              <w:t>85</w:t>
            </w:r>
            <w:r w:rsidR="00785588" w:rsidRPr="00F95C68">
              <w:t>/60</w:t>
            </w:r>
          </w:p>
        </w:tc>
        <w:tc>
          <w:tcPr>
            <w:tcW w:w="1401" w:type="dxa"/>
          </w:tcPr>
          <w:p w:rsidR="009C2538" w:rsidRPr="00F95C68" w:rsidRDefault="009C2538" w:rsidP="00C7426C">
            <w:r w:rsidRPr="00F95C68">
              <w:t>$</w:t>
            </w:r>
            <w:r w:rsidR="00C7426C" w:rsidRPr="00F95C68">
              <w:t>37.06</w:t>
            </w:r>
          </w:p>
        </w:tc>
        <w:tc>
          <w:tcPr>
            <w:tcW w:w="1603" w:type="dxa"/>
          </w:tcPr>
          <w:p w:rsidR="009C2538" w:rsidRPr="00F95C68" w:rsidRDefault="00F95C68" w:rsidP="00B81A16">
            <w:r>
              <w:t>$</w:t>
            </w:r>
            <w:r w:rsidR="00B81A16">
              <w:t>894.62</w:t>
            </w:r>
          </w:p>
        </w:tc>
      </w:tr>
      <w:tr w:rsidR="009C2538" w:rsidRPr="00F95C68" w:rsidTr="00C7426C">
        <w:tc>
          <w:tcPr>
            <w:tcW w:w="1886" w:type="dxa"/>
          </w:tcPr>
          <w:p w:rsidR="009C2538" w:rsidRPr="00F95C68" w:rsidRDefault="003A4D4F" w:rsidP="00B06047">
            <w:r w:rsidRPr="00F95C68">
              <w:t>Eye Bank</w:t>
            </w:r>
            <w:r w:rsidR="00F95C68">
              <w:t>s</w:t>
            </w:r>
          </w:p>
        </w:tc>
        <w:tc>
          <w:tcPr>
            <w:tcW w:w="1619" w:type="dxa"/>
          </w:tcPr>
          <w:p w:rsidR="009C2538" w:rsidRPr="00F95C68" w:rsidRDefault="003A4D4F" w:rsidP="00B06047">
            <w:r w:rsidRPr="00F95C68">
              <w:t>7</w:t>
            </w:r>
          </w:p>
        </w:tc>
        <w:tc>
          <w:tcPr>
            <w:tcW w:w="1250" w:type="dxa"/>
          </w:tcPr>
          <w:p w:rsidR="009C2538" w:rsidRPr="00F95C68" w:rsidRDefault="00B81A16" w:rsidP="00B06047">
            <w:r>
              <w:t>1</w:t>
            </w:r>
          </w:p>
        </w:tc>
        <w:tc>
          <w:tcPr>
            <w:tcW w:w="1619" w:type="dxa"/>
          </w:tcPr>
          <w:p w:rsidR="009C2538" w:rsidRPr="00F95C68" w:rsidRDefault="00B81A16" w:rsidP="00B06047">
            <w:r>
              <w:t>55</w:t>
            </w:r>
            <w:r w:rsidR="00785588" w:rsidRPr="00F95C68">
              <w:t>/60</w:t>
            </w:r>
          </w:p>
        </w:tc>
        <w:tc>
          <w:tcPr>
            <w:tcW w:w="1401" w:type="dxa"/>
          </w:tcPr>
          <w:p w:rsidR="009C2538" w:rsidRPr="00F95C68" w:rsidRDefault="009C2538" w:rsidP="00C7426C">
            <w:r w:rsidRPr="00F95C68">
              <w:t>$</w:t>
            </w:r>
            <w:r w:rsidR="00C7426C" w:rsidRPr="00F95C68">
              <w:t>37.06</w:t>
            </w:r>
          </w:p>
        </w:tc>
        <w:tc>
          <w:tcPr>
            <w:tcW w:w="1603" w:type="dxa"/>
          </w:tcPr>
          <w:p w:rsidR="009C2538" w:rsidRPr="00F95C68" w:rsidRDefault="00F95C68" w:rsidP="00B81A16">
            <w:r>
              <w:t>$</w:t>
            </w:r>
            <w:r w:rsidR="00B81A16">
              <w:t>238.67</w:t>
            </w:r>
          </w:p>
        </w:tc>
      </w:tr>
      <w:tr w:rsidR="009C2538" w:rsidRPr="001628AB" w:rsidTr="00C7426C">
        <w:tc>
          <w:tcPr>
            <w:tcW w:w="1886" w:type="dxa"/>
          </w:tcPr>
          <w:p w:rsidR="009C2538" w:rsidRPr="00F95C68" w:rsidRDefault="009C2538" w:rsidP="00B06047">
            <w:r w:rsidRPr="00F95C68">
              <w:t>Totals</w:t>
            </w:r>
          </w:p>
        </w:tc>
        <w:tc>
          <w:tcPr>
            <w:tcW w:w="1619" w:type="dxa"/>
          </w:tcPr>
          <w:p w:rsidR="009C2538" w:rsidRPr="00F95C68" w:rsidRDefault="003A4D4F" w:rsidP="00B06047">
            <w:r w:rsidRPr="00F95C68">
              <w:t>2</w:t>
            </w:r>
            <w:r w:rsidR="008B3C28" w:rsidRPr="00F95C68">
              <w:t>4</w:t>
            </w:r>
          </w:p>
        </w:tc>
        <w:tc>
          <w:tcPr>
            <w:tcW w:w="1250" w:type="dxa"/>
          </w:tcPr>
          <w:p w:rsidR="009C2538" w:rsidRPr="00F95C68" w:rsidRDefault="00B81A16" w:rsidP="00B06047">
            <w:r>
              <w:t>2</w:t>
            </w:r>
          </w:p>
        </w:tc>
        <w:tc>
          <w:tcPr>
            <w:tcW w:w="1619" w:type="dxa"/>
          </w:tcPr>
          <w:p w:rsidR="009C2538" w:rsidRPr="00F95C68" w:rsidRDefault="009C2538" w:rsidP="00B06047"/>
        </w:tc>
        <w:tc>
          <w:tcPr>
            <w:tcW w:w="1401" w:type="dxa"/>
          </w:tcPr>
          <w:p w:rsidR="009C2538" w:rsidRPr="00F95C68" w:rsidRDefault="009C2538" w:rsidP="00B06047"/>
        </w:tc>
        <w:tc>
          <w:tcPr>
            <w:tcW w:w="1603" w:type="dxa"/>
          </w:tcPr>
          <w:p w:rsidR="009C2538" w:rsidRPr="00F95C68" w:rsidRDefault="00F95C68" w:rsidP="00B81A16">
            <w:r>
              <w:t>$</w:t>
            </w:r>
            <w:r w:rsidR="00B81A16">
              <w:t>1133.29</w:t>
            </w:r>
          </w:p>
        </w:tc>
      </w:tr>
    </w:tbl>
    <w:p w:rsidR="00F95C68" w:rsidRDefault="00F95C68" w:rsidP="00F95C68">
      <w:pPr>
        <w:ind w:left="450"/>
      </w:pPr>
      <w:r>
        <w:t>*</w:t>
      </w:r>
      <w:hyperlink r:id="rId14" w:history="1">
        <w:r w:rsidRPr="00F1456A">
          <w:rPr>
            <w:rStyle w:val="Hyperlink"/>
          </w:rPr>
          <w:t>http://www.bls.gov/ooh/computer-and-information-technology/database-administrators.htm</w:t>
        </w:r>
      </w:hyperlink>
      <w:r>
        <w:t xml:space="preserve"> </w:t>
      </w:r>
    </w:p>
    <w:p w:rsidR="005F05A0" w:rsidRDefault="005F05A0" w:rsidP="006E7289">
      <w:pPr>
        <w:pStyle w:val="Heading2"/>
        <w:tabs>
          <w:tab w:val="clear" w:pos="1152"/>
          <w:tab w:val="left" w:pos="720"/>
        </w:tabs>
        <w:spacing w:after="0" w:line="240" w:lineRule="auto"/>
        <w:ind w:left="0" w:firstLine="0"/>
        <w:rPr>
          <w:rFonts w:ascii="Arial" w:hAnsi="Arial" w:cs="Arial"/>
          <w:sz w:val="24"/>
          <w:szCs w:val="24"/>
        </w:rPr>
      </w:pPr>
      <w:bookmarkStart w:id="55" w:name="_Toc443881756"/>
      <w:bookmarkStart w:id="56" w:name="_Toc451592243"/>
      <w:bookmarkStart w:id="57" w:name="_Toc5610284"/>
      <w:bookmarkStart w:id="58" w:name="_Toc99178790"/>
    </w:p>
    <w:p w:rsidR="005F05A0" w:rsidRDefault="005F05A0" w:rsidP="006E7289">
      <w:pPr>
        <w:pStyle w:val="Heading2"/>
        <w:tabs>
          <w:tab w:val="clear" w:pos="1152"/>
          <w:tab w:val="left" w:pos="720"/>
        </w:tabs>
        <w:spacing w:after="0" w:line="240" w:lineRule="auto"/>
        <w:ind w:left="0" w:firstLine="0"/>
        <w:rPr>
          <w:rFonts w:ascii="Arial" w:hAnsi="Arial" w:cs="Arial"/>
          <w:sz w:val="24"/>
          <w:szCs w:val="24"/>
        </w:rPr>
      </w:pPr>
    </w:p>
    <w:p w:rsidR="0093431F" w:rsidRPr="006E7289" w:rsidRDefault="0093431F" w:rsidP="006E7289">
      <w:pPr>
        <w:pStyle w:val="Heading2"/>
        <w:tabs>
          <w:tab w:val="clear" w:pos="1152"/>
          <w:tab w:val="left" w:pos="720"/>
        </w:tabs>
        <w:spacing w:after="0" w:line="240" w:lineRule="auto"/>
        <w:ind w:left="0" w:firstLine="0"/>
        <w:rPr>
          <w:rFonts w:ascii="Arial" w:hAnsi="Arial" w:cs="Arial"/>
          <w:sz w:val="24"/>
          <w:szCs w:val="24"/>
        </w:rPr>
      </w:pPr>
      <w:bookmarkStart w:id="59" w:name="_Toc395694468"/>
      <w:r w:rsidRPr="006E7289">
        <w:rPr>
          <w:rFonts w:ascii="Arial" w:hAnsi="Arial" w:cs="Arial"/>
          <w:sz w:val="24"/>
          <w:szCs w:val="24"/>
        </w:rPr>
        <w:t>A.13</w:t>
      </w:r>
      <w:r w:rsidRPr="006E7289">
        <w:rPr>
          <w:rFonts w:ascii="Arial" w:hAnsi="Arial" w:cs="Arial"/>
          <w:sz w:val="24"/>
          <w:szCs w:val="24"/>
        </w:rPr>
        <w:tab/>
        <w:t>Estimate of Other Total Annual Cost</w:t>
      </w:r>
      <w:r w:rsidR="00BC4E67" w:rsidRPr="006E7289">
        <w:rPr>
          <w:rFonts w:ascii="Arial" w:hAnsi="Arial" w:cs="Arial"/>
          <w:sz w:val="24"/>
          <w:szCs w:val="24"/>
        </w:rPr>
        <w:t xml:space="preserve"> Burden to Respondents or Record </w:t>
      </w:r>
      <w:r w:rsidRPr="006E7289">
        <w:rPr>
          <w:rFonts w:ascii="Arial" w:hAnsi="Arial" w:cs="Arial"/>
          <w:sz w:val="24"/>
          <w:szCs w:val="24"/>
        </w:rPr>
        <w:t>Keepers</w:t>
      </w:r>
      <w:bookmarkEnd w:id="55"/>
      <w:bookmarkEnd w:id="56"/>
      <w:bookmarkEnd w:id="57"/>
      <w:bookmarkEnd w:id="58"/>
      <w:bookmarkEnd w:id="59"/>
    </w:p>
    <w:p w:rsidR="006E7289" w:rsidRPr="006E7289" w:rsidRDefault="006E7289" w:rsidP="006E7289">
      <w:pPr>
        <w:pStyle w:val="P1-StandPara"/>
      </w:pPr>
    </w:p>
    <w:p w:rsidR="004C1851" w:rsidRPr="00F242AE" w:rsidRDefault="00F242AE" w:rsidP="00F242AE">
      <w:pPr>
        <w:widowControl w:val="0"/>
        <w:adjustRightInd w:val="0"/>
        <w:snapToGrid w:val="0"/>
        <w:jc w:val="both"/>
        <w:rPr>
          <w:bCs/>
        </w:rPr>
      </w:pPr>
      <w:bookmarkStart w:id="60" w:name="_Toc443881757"/>
      <w:bookmarkStart w:id="61" w:name="_Toc451592244"/>
      <w:bookmarkStart w:id="62" w:name="_Toc5610285"/>
      <w:bookmarkStart w:id="63" w:name="_Toc99178791"/>
      <w:r w:rsidRPr="00F242AE">
        <w:rPr>
          <w:bCs/>
        </w:rPr>
        <w:t>Th</w:t>
      </w:r>
      <w:r w:rsidR="004C1851" w:rsidRPr="00F242AE">
        <w:rPr>
          <w:bCs/>
        </w:rPr>
        <w:t xml:space="preserve">ere are no capital or start-up costs, and no maintenance or service cost components to </w:t>
      </w:r>
      <w:r w:rsidR="004C1851" w:rsidRPr="00F242AE">
        <w:rPr>
          <w:bCs/>
        </w:rPr>
        <w:lastRenderedPageBreak/>
        <w:t>report.</w:t>
      </w:r>
    </w:p>
    <w:p w:rsidR="005F05A0" w:rsidRDefault="005F05A0" w:rsidP="00E36A07">
      <w:pPr>
        <w:pStyle w:val="Heading2"/>
        <w:tabs>
          <w:tab w:val="clear" w:pos="1152"/>
          <w:tab w:val="left" w:pos="720"/>
        </w:tabs>
        <w:spacing w:after="0" w:line="480" w:lineRule="auto"/>
        <w:ind w:left="0" w:firstLine="0"/>
        <w:rPr>
          <w:rFonts w:ascii="Arial" w:hAnsi="Arial" w:cs="Arial"/>
          <w:sz w:val="24"/>
          <w:szCs w:val="24"/>
        </w:rPr>
      </w:pPr>
    </w:p>
    <w:p w:rsidR="00E36A07" w:rsidRPr="006E7289" w:rsidRDefault="00E36A07" w:rsidP="00E36A07">
      <w:pPr>
        <w:pStyle w:val="Heading2"/>
        <w:tabs>
          <w:tab w:val="clear" w:pos="1152"/>
          <w:tab w:val="left" w:pos="720"/>
        </w:tabs>
        <w:spacing w:after="0" w:line="480" w:lineRule="auto"/>
        <w:ind w:left="0" w:firstLine="0"/>
        <w:rPr>
          <w:rFonts w:ascii="Arial" w:hAnsi="Arial" w:cs="Arial"/>
          <w:sz w:val="24"/>
          <w:szCs w:val="24"/>
        </w:rPr>
      </w:pPr>
      <w:bookmarkStart w:id="64" w:name="_Toc395694469"/>
      <w:r w:rsidRPr="006E7289">
        <w:rPr>
          <w:rFonts w:ascii="Arial" w:hAnsi="Arial" w:cs="Arial"/>
          <w:sz w:val="24"/>
          <w:szCs w:val="24"/>
        </w:rPr>
        <w:t>A.14</w:t>
      </w:r>
      <w:r w:rsidRPr="006E7289">
        <w:rPr>
          <w:rFonts w:ascii="Arial" w:hAnsi="Arial" w:cs="Arial"/>
          <w:sz w:val="24"/>
          <w:szCs w:val="24"/>
        </w:rPr>
        <w:tab/>
        <w:t>Annualized Cost to the Federal Government</w:t>
      </w:r>
      <w:bookmarkEnd w:id="60"/>
      <w:bookmarkEnd w:id="61"/>
      <w:bookmarkEnd w:id="62"/>
      <w:bookmarkEnd w:id="63"/>
      <w:bookmarkEnd w:id="64"/>
      <w:r w:rsidRPr="006E7289">
        <w:rPr>
          <w:rFonts w:ascii="Arial" w:hAnsi="Arial" w:cs="Arial"/>
          <w:sz w:val="24"/>
          <w:szCs w:val="24"/>
        </w:rPr>
        <w:t xml:space="preserve">  </w:t>
      </w:r>
    </w:p>
    <w:p w:rsidR="001363CB" w:rsidRPr="00F242AE" w:rsidRDefault="001363CB" w:rsidP="00F242AE">
      <w:pPr>
        <w:widowControl w:val="0"/>
        <w:adjustRightInd w:val="0"/>
        <w:snapToGrid w:val="0"/>
        <w:jc w:val="both"/>
      </w:pPr>
      <w:r w:rsidRPr="00F242AE">
        <w:t>The annual total cost to the Federal Government for the proposed study is estimated to be approximately $</w:t>
      </w:r>
      <w:r w:rsidR="00386FC0">
        <w:t>259,512.</w:t>
      </w:r>
      <w:r w:rsidRPr="00F242AE">
        <w:t xml:space="preserve"> The costs of planned activities for this study are provided in table 14-1 according to the phase of the project. The total costs in each part of the study includes personnel time (salaries) for the investigators and research staff, and Activity specific items such as provision of the incentive amounts for participants during the Participant Enrollment and Data Collection phase of the study. </w:t>
      </w:r>
    </w:p>
    <w:p w:rsidR="00E36A07" w:rsidRPr="00F242AE" w:rsidRDefault="00F242AE" w:rsidP="00F242AE">
      <w:pPr>
        <w:ind w:firstLine="720"/>
        <w:rPr>
          <w:b/>
          <w:bCs/>
        </w:rPr>
      </w:pPr>
      <w:r w:rsidRPr="00F242AE">
        <w:rPr>
          <w:b/>
          <w:bCs/>
        </w:rPr>
        <w:t>Table 14.1 Annualized Costs to the Federal Government</w:t>
      </w:r>
    </w:p>
    <w:p w:rsidR="00F242AE" w:rsidRPr="001363CB" w:rsidRDefault="00F242AE" w:rsidP="00E36A07">
      <w:pPr>
        <w:rPr>
          <w:color w:val="FF0000"/>
        </w:rPr>
      </w:pPr>
    </w:p>
    <w:tbl>
      <w:tblPr>
        <w:tblW w:w="0" w:type="auto"/>
        <w:tblInd w:w="708" w:type="dxa"/>
        <w:tblCellMar>
          <w:left w:w="0" w:type="dxa"/>
          <w:right w:w="0" w:type="dxa"/>
        </w:tblCellMar>
        <w:tblLook w:val="04A0" w:firstRow="1" w:lastRow="0" w:firstColumn="1" w:lastColumn="0" w:noHBand="0" w:noVBand="1"/>
      </w:tblPr>
      <w:tblGrid>
        <w:gridCol w:w="2820"/>
        <w:gridCol w:w="1080"/>
        <w:gridCol w:w="905"/>
        <w:gridCol w:w="1138"/>
        <w:gridCol w:w="1377"/>
      </w:tblGrid>
      <w:tr w:rsidR="00F242AE" w:rsidTr="00E6741B">
        <w:tc>
          <w:tcPr>
            <w:tcW w:w="2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42AE" w:rsidRPr="0091787E" w:rsidRDefault="00F242AE">
            <w:pPr>
              <w:jc w:val="center"/>
              <w:rPr>
                <w:rFonts w:eastAsiaTheme="minorHAnsi"/>
                <w:sz w:val="20"/>
                <w:szCs w:val="20"/>
              </w:rPr>
            </w:pPr>
          </w:p>
          <w:p w:rsidR="00F242AE" w:rsidRPr="0091787E" w:rsidRDefault="00F242AE">
            <w:pPr>
              <w:jc w:val="center"/>
              <w:rPr>
                <w:sz w:val="20"/>
                <w:szCs w:val="20"/>
              </w:rPr>
            </w:pPr>
            <w:r w:rsidRPr="0091787E">
              <w:rPr>
                <w:sz w:val="20"/>
                <w:szCs w:val="20"/>
              </w:rPr>
              <w:t>Item</w:t>
            </w:r>
          </w:p>
          <w:p w:rsidR="00F242AE" w:rsidRPr="0091787E" w:rsidRDefault="00F242AE">
            <w:pPr>
              <w:jc w:val="center"/>
              <w:rPr>
                <w:rFonts w:eastAsiaTheme="minorHAnsi"/>
                <w:sz w:val="20"/>
                <w:szCs w:val="20"/>
              </w:rPr>
            </w:pP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42AE" w:rsidRPr="0091787E" w:rsidRDefault="00F242AE">
            <w:pPr>
              <w:jc w:val="both"/>
              <w:rPr>
                <w:rFonts w:eastAsiaTheme="minorHAnsi"/>
                <w:sz w:val="20"/>
                <w:szCs w:val="20"/>
              </w:rPr>
            </w:pPr>
          </w:p>
          <w:p w:rsidR="00F242AE" w:rsidRPr="0091787E" w:rsidRDefault="005F05A0" w:rsidP="005F05A0">
            <w:pPr>
              <w:jc w:val="both"/>
              <w:rPr>
                <w:rFonts w:eastAsiaTheme="minorHAnsi"/>
                <w:sz w:val="20"/>
                <w:szCs w:val="20"/>
              </w:rPr>
            </w:pPr>
            <w:r>
              <w:rPr>
                <w:sz w:val="20"/>
                <w:szCs w:val="20"/>
              </w:rPr>
              <w:t>Avg. S</w:t>
            </w:r>
            <w:r w:rsidR="00F242AE" w:rsidRPr="0091787E">
              <w:rPr>
                <w:sz w:val="20"/>
                <w:szCs w:val="20"/>
              </w:rPr>
              <w:t>alary</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42AE" w:rsidRPr="0091787E" w:rsidRDefault="00F242AE">
            <w:pPr>
              <w:jc w:val="both"/>
              <w:rPr>
                <w:rFonts w:eastAsiaTheme="minorHAnsi"/>
                <w:sz w:val="20"/>
                <w:szCs w:val="20"/>
              </w:rPr>
            </w:pPr>
          </w:p>
          <w:p w:rsidR="00F242AE" w:rsidRPr="0091787E" w:rsidRDefault="00F242AE">
            <w:pPr>
              <w:jc w:val="both"/>
              <w:rPr>
                <w:rFonts w:eastAsiaTheme="minorHAnsi"/>
                <w:sz w:val="20"/>
                <w:szCs w:val="20"/>
              </w:rPr>
            </w:pPr>
            <w:r w:rsidRPr="0091787E">
              <w:rPr>
                <w:sz w:val="20"/>
                <w:szCs w:val="20"/>
              </w:rPr>
              <w:t>Fringe Rate</w:t>
            </w:r>
          </w:p>
        </w:tc>
        <w:tc>
          <w:tcPr>
            <w:tcW w:w="11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42AE" w:rsidRPr="0091787E" w:rsidRDefault="00F242AE">
            <w:pPr>
              <w:jc w:val="both"/>
              <w:rPr>
                <w:rFonts w:eastAsiaTheme="minorHAnsi"/>
                <w:sz w:val="20"/>
                <w:szCs w:val="20"/>
              </w:rPr>
            </w:pPr>
          </w:p>
          <w:p w:rsidR="00F242AE" w:rsidRPr="0091787E" w:rsidRDefault="00F242AE">
            <w:pPr>
              <w:jc w:val="both"/>
              <w:rPr>
                <w:rFonts w:eastAsiaTheme="minorHAnsi"/>
                <w:sz w:val="20"/>
                <w:szCs w:val="20"/>
              </w:rPr>
            </w:pPr>
            <w:r w:rsidRPr="0091787E">
              <w:rPr>
                <w:sz w:val="20"/>
                <w:szCs w:val="20"/>
              </w:rPr>
              <w:t>% Effort</w:t>
            </w:r>
          </w:p>
        </w:tc>
        <w:tc>
          <w:tcPr>
            <w:tcW w:w="13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42AE" w:rsidRPr="0091787E" w:rsidRDefault="00F242AE" w:rsidP="0091787E">
            <w:pPr>
              <w:jc w:val="center"/>
              <w:rPr>
                <w:rFonts w:eastAsiaTheme="minorHAnsi"/>
                <w:sz w:val="20"/>
                <w:szCs w:val="20"/>
              </w:rPr>
            </w:pPr>
          </w:p>
          <w:p w:rsidR="00F242AE" w:rsidRPr="0091787E" w:rsidRDefault="00F242AE" w:rsidP="0091787E">
            <w:pPr>
              <w:jc w:val="center"/>
              <w:rPr>
                <w:rFonts w:eastAsiaTheme="minorHAnsi"/>
                <w:sz w:val="20"/>
                <w:szCs w:val="20"/>
              </w:rPr>
            </w:pPr>
            <w:r w:rsidRPr="0091787E">
              <w:rPr>
                <w:sz w:val="20"/>
                <w:szCs w:val="20"/>
              </w:rPr>
              <w:t>Annualized Cost</w:t>
            </w:r>
          </w:p>
        </w:tc>
      </w:tr>
      <w:tr w:rsidR="00F242AE" w:rsidTr="00E6741B">
        <w:trPr>
          <w:trHeight w:val="341"/>
        </w:trPr>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2AE" w:rsidRPr="006F244D" w:rsidRDefault="006F244D" w:rsidP="00386FC0">
            <w:pPr>
              <w:rPr>
                <w:rFonts w:eastAsiaTheme="minorHAnsi"/>
                <w:sz w:val="20"/>
                <w:szCs w:val="20"/>
                <w:highlight w:val="cyan"/>
              </w:rPr>
            </w:pPr>
            <w:r w:rsidRPr="00386FC0">
              <w:rPr>
                <w:sz w:val="20"/>
                <w:szCs w:val="20"/>
              </w:rPr>
              <w:t>OASH</w:t>
            </w:r>
            <w:r w:rsidR="00F242AE" w:rsidRPr="00386FC0">
              <w:rPr>
                <w:sz w:val="20"/>
                <w:szCs w:val="20"/>
              </w:rPr>
              <w:t xml:space="preserve"> Project </w:t>
            </w:r>
            <w:r w:rsidR="00386FC0">
              <w:rPr>
                <w:sz w:val="20"/>
                <w:szCs w:val="20"/>
              </w:rPr>
              <w:t xml:space="preserve">Manager </w:t>
            </w:r>
            <w:r w:rsidR="00F242AE" w:rsidRPr="00386FC0">
              <w:rPr>
                <w:sz w:val="20"/>
                <w:szCs w:val="20"/>
              </w:rPr>
              <w:t>Officer GS</w:t>
            </w:r>
            <w:r w:rsidR="00386FC0" w:rsidRPr="00386FC0">
              <w:rPr>
                <w:sz w:val="20"/>
                <w:szCs w:val="20"/>
              </w:rPr>
              <w:t>13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86FC0" w:rsidRDefault="00386FC0">
            <w:pPr>
              <w:rPr>
                <w:sz w:val="20"/>
                <w:szCs w:val="20"/>
                <w:highlight w:val="cyan"/>
              </w:rPr>
            </w:pPr>
          </w:p>
          <w:p w:rsidR="00F242AE" w:rsidRPr="006F244D" w:rsidRDefault="00386FC0">
            <w:pPr>
              <w:rPr>
                <w:sz w:val="20"/>
                <w:szCs w:val="20"/>
                <w:highlight w:val="cyan"/>
              </w:rPr>
            </w:pPr>
            <w:r w:rsidRPr="00386FC0">
              <w:rPr>
                <w:sz w:val="20"/>
                <w:szCs w:val="20"/>
              </w:rPr>
              <w:t>$109,000</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386FC0" w:rsidRDefault="00386FC0">
            <w:pPr>
              <w:jc w:val="right"/>
              <w:rPr>
                <w:sz w:val="20"/>
                <w:szCs w:val="20"/>
              </w:rPr>
            </w:pPr>
          </w:p>
          <w:p w:rsidR="00F242AE" w:rsidRPr="00A93CB3" w:rsidRDefault="00386FC0">
            <w:pPr>
              <w:jc w:val="right"/>
              <w:rPr>
                <w:rFonts w:eastAsiaTheme="minorHAnsi"/>
                <w:sz w:val="20"/>
                <w:szCs w:val="20"/>
              </w:rPr>
            </w:pPr>
            <w:r>
              <w:rPr>
                <w:sz w:val="20"/>
                <w:szCs w:val="20"/>
              </w:rPr>
              <w:t>30</w:t>
            </w:r>
            <w:r w:rsidR="00F242AE" w:rsidRPr="00A93CB3">
              <w:rPr>
                <w:sz w:val="20"/>
                <w:szCs w:val="20"/>
              </w:rPr>
              <w:t>%</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386FC0" w:rsidRDefault="00386FC0">
            <w:pPr>
              <w:jc w:val="center"/>
              <w:rPr>
                <w:sz w:val="20"/>
                <w:szCs w:val="20"/>
              </w:rPr>
            </w:pPr>
          </w:p>
          <w:p w:rsidR="00F242AE" w:rsidRPr="00A93CB3" w:rsidRDefault="00386FC0">
            <w:pPr>
              <w:jc w:val="center"/>
              <w:rPr>
                <w:rFonts w:eastAsiaTheme="minorHAnsi"/>
                <w:sz w:val="20"/>
                <w:szCs w:val="20"/>
              </w:rPr>
            </w:pPr>
            <w:r>
              <w:rPr>
                <w:sz w:val="20"/>
                <w:szCs w:val="20"/>
              </w:rPr>
              <w:t>20</w:t>
            </w:r>
            <w:r w:rsidR="00F242AE" w:rsidRPr="00A93CB3">
              <w:rPr>
                <w:sz w:val="20"/>
                <w:szCs w:val="20"/>
              </w:rPr>
              <w:t>%</w:t>
            </w: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rsidR="00F242AE" w:rsidRDefault="00F242AE" w:rsidP="0091787E">
            <w:pPr>
              <w:jc w:val="center"/>
              <w:rPr>
                <w:sz w:val="20"/>
                <w:szCs w:val="20"/>
                <w:highlight w:val="cyan"/>
              </w:rPr>
            </w:pPr>
          </w:p>
          <w:p w:rsidR="00386FC0" w:rsidRPr="006F244D" w:rsidRDefault="00386FC0" w:rsidP="0091787E">
            <w:pPr>
              <w:jc w:val="center"/>
              <w:rPr>
                <w:sz w:val="20"/>
                <w:szCs w:val="20"/>
                <w:highlight w:val="cyan"/>
              </w:rPr>
            </w:pPr>
            <w:r w:rsidRPr="00386FC0">
              <w:rPr>
                <w:sz w:val="20"/>
                <w:szCs w:val="20"/>
              </w:rPr>
              <w:t>$28,400</w:t>
            </w:r>
          </w:p>
        </w:tc>
      </w:tr>
      <w:tr w:rsidR="00F242AE" w:rsidTr="00E6741B">
        <w:trPr>
          <w:trHeight w:val="341"/>
        </w:trPr>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FC0" w:rsidRDefault="00386FC0" w:rsidP="005F05A0">
            <w:pPr>
              <w:rPr>
                <w:sz w:val="20"/>
                <w:szCs w:val="20"/>
              </w:rPr>
            </w:pPr>
          </w:p>
          <w:p w:rsidR="00F242AE" w:rsidRPr="0091787E" w:rsidRDefault="005F05A0" w:rsidP="005F05A0">
            <w:pPr>
              <w:rPr>
                <w:rFonts w:eastAsiaTheme="minorHAnsi"/>
                <w:sz w:val="20"/>
                <w:szCs w:val="20"/>
              </w:rPr>
            </w:pPr>
            <w:r>
              <w:rPr>
                <w:sz w:val="20"/>
                <w:szCs w:val="20"/>
              </w:rPr>
              <w:t>3</w:t>
            </w:r>
            <w:r w:rsidR="00F242AE" w:rsidRPr="0091787E">
              <w:rPr>
                <w:sz w:val="20"/>
                <w:szCs w:val="20"/>
              </w:rPr>
              <w:t xml:space="preserve"> contractor staff </w:t>
            </w:r>
            <w:r>
              <w:rPr>
                <w:sz w:val="20"/>
                <w:szCs w:val="20"/>
              </w:rPr>
              <w:t xml:space="preserve"> at RTI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86FC0" w:rsidRDefault="00386FC0" w:rsidP="005F05A0">
            <w:pPr>
              <w:rPr>
                <w:sz w:val="20"/>
                <w:szCs w:val="20"/>
              </w:rPr>
            </w:pPr>
          </w:p>
          <w:p w:rsidR="00F242AE" w:rsidRPr="0091787E" w:rsidRDefault="0091787E" w:rsidP="005F05A0">
            <w:pPr>
              <w:rPr>
                <w:sz w:val="20"/>
                <w:szCs w:val="20"/>
              </w:rPr>
            </w:pPr>
            <w:r>
              <w:rPr>
                <w:sz w:val="20"/>
                <w:szCs w:val="20"/>
              </w:rPr>
              <w:t>$</w:t>
            </w:r>
            <w:r w:rsidR="005F05A0">
              <w:rPr>
                <w:sz w:val="20"/>
                <w:szCs w:val="20"/>
              </w:rPr>
              <w:t>339,991</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386FC0" w:rsidRDefault="00386FC0">
            <w:pPr>
              <w:jc w:val="right"/>
              <w:rPr>
                <w:rFonts w:eastAsiaTheme="minorHAnsi"/>
                <w:sz w:val="20"/>
                <w:szCs w:val="20"/>
              </w:rPr>
            </w:pPr>
          </w:p>
          <w:p w:rsidR="00F242AE" w:rsidRPr="0091787E" w:rsidRDefault="005F05A0">
            <w:pPr>
              <w:jc w:val="right"/>
              <w:rPr>
                <w:rFonts w:eastAsiaTheme="minorHAnsi"/>
                <w:sz w:val="20"/>
                <w:szCs w:val="20"/>
              </w:rPr>
            </w:pPr>
            <w:r>
              <w:rPr>
                <w:rFonts w:eastAsiaTheme="minorHAnsi"/>
                <w:sz w:val="20"/>
                <w:szCs w:val="20"/>
              </w:rPr>
              <w:t>included</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F242AE" w:rsidRPr="0091787E" w:rsidRDefault="005F05A0">
            <w:pPr>
              <w:jc w:val="center"/>
              <w:rPr>
                <w:rFonts w:eastAsiaTheme="minorHAnsi"/>
                <w:sz w:val="20"/>
                <w:szCs w:val="20"/>
              </w:rPr>
            </w:pPr>
            <w:r>
              <w:rPr>
                <w:rFonts w:eastAsiaTheme="minorHAnsi"/>
                <w:sz w:val="20"/>
                <w:szCs w:val="20"/>
              </w:rPr>
              <w:t>65% (combined)</w:t>
            </w: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rsidR="00386FC0" w:rsidRDefault="00386FC0" w:rsidP="005F05A0">
            <w:pPr>
              <w:jc w:val="center"/>
              <w:rPr>
                <w:sz w:val="20"/>
                <w:szCs w:val="20"/>
              </w:rPr>
            </w:pPr>
          </w:p>
          <w:p w:rsidR="00F242AE" w:rsidRPr="0091787E" w:rsidRDefault="006F244D" w:rsidP="005F05A0">
            <w:pPr>
              <w:jc w:val="center"/>
              <w:rPr>
                <w:sz w:val="20"/>
                <w:szCs w:val="20"/>
              </w:rPr>
            </w:pPr>
            <w:r>
              <w:rPr>
                <w:sz w:val="20"/>
                <w:szCs w:val="20"/>
              </w:rPr>
              <w:t>$</w:t>
            </w:r>
            <w:r w:rsidR="000D5F5C">
              <w:rPr>
                <w:sz w:val="20"/>
                <w:szCs w:val="20"/>
              </w:rPr>
              <w:t>220,994</w:t>
            </w:r>
          </w:p>
        </w:tc>
      </w:tr>
      <w:tr w:rsidR="00F242AE" w:rsidTr="00E6741B">
        <w:trPr>
          <w:trHeight w:val="413"/>
        </w:trPr>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FC0" w:rsidRDefault="00386FC0">
            <w:pPr>
              <w:rPr>
                <w:sz w:val="20"/>
                <w:szCs w:val="20"/>
              </w:rPr>
            </w:pPr>
          </w:p>
          <w:p w:rsidR="00F242AE" w:rsidRPr="00E6741B" w:rsidRDefault="00386FC0">
            <w:pPr>
              <w:rPr>
                <w:rFonts w:eastAsiaTheme="minorHAnsi"/>
                <w:sz w:val="20"/>
                <w:szCs w:val="20"/>
              </w:rPr>
            </w:pPr>
            <w:r>
              <w:rPr>
                <w:sz w:val="20"/>
                <w:szCs w:val="20"/>
              </w:rPr>
              <w:t xml:space="preserve">RTI Contract </w:t>
            </w:r>
            <w:r w:rsidR="00A37139" w:rsidRPr="00E6741B">
              <w:rPr>
                <w:sz w:val="20"/>
                <w:szCs w:val="20"/>
              </w:rPr>
              <w:t>Consultants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86FC0" w:rsidRDefault="00386FC0" w:rsidP="000D5F5C">
            <w:pPr>
              <w:rPr>
                <w:sz w:val="20"/>
                <w:szCs w:val="20"/>
              </w:rPr>
            </w:pPr>
          </w:p>
          <w:p w:rsidR="00F242AE" w:rsidRPr="00E6741B" w:rsidRDefault="00E6741B" w:rsidP="000D5F5C">
            <w:pPr>
              <w:rPr>
                <w:sz w:val="20"/>
                <w:szCs w:val="20"/>
              </w:rPr>
            </w:pPr>
            <w:r w:rsidRPr="00E6741B">
              <w:rPr>
                <w:sz w:val="20"/>
                <w:szCs w:val="20"/>
              </w:rPr>
              <w:t>$100/</w:t>
            </w:r>
            <w:proofErr w:type="spellStart"/>
            <w:r w:rsidRPr="00E6741B">
              <w:rPr>
                <w:sz w:val="20"/>
                <w:szCs w:val="20"/>
              </w:rPr>
              <w:t>hr</w:t>
            </w:r>
            <w:proofErr w:type="spellEnd"/>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F242AE" w:rsidRPr="00E6741B" w:rsidRDefault="000D5F5C">
            <w:pPr>
              <w:jc w:val="right"/>
              <w:rPr>
                <w:rFonts w:eastAsiaTheme="minorHAnsi"/>
                <w:sz w:val="20"/>
                <w:szCs w:val="20"/>
              </w:rPr>
            </w:pPr>
            <w:r w:rsidRPr="00E6741B">
              <w:rPr>
                <w:rFonts w:eastAsiaTheme="minorHAnsi"/>
                <w:sz w:val="20"/>
                <w:szCs w:val="20"/>
              </w:rPr>
              <w:t>NA</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F242AE" w:rsidRPr="00E6741B" w:rsidRDefault="00E6741B" w:rsidP="00E6741B">
            <w:pPr>
              <w:jc w:val="center"/>
              <w:rPr>
                <w:rFonts w:eastAsiaTheme="minorHAnsi"/>
                <w:sz w:val="20"/>
                <w:szCs w:val="20"/>
              </w:rPr>
            </w:pPr>
            <w:r w:rsidRPr="00E6741B">
              <w:rPr>
                <w:sz w:val="20"/>
                <w:szCs w:val="20"/>
              </w:rPr>
              <w:t>2.8</w:t>
            </w:r>
            <w:r w:rsidR="00F242AE" w:rsidRPr="00E6741B">
              <w:rPr>
                <w:sz w:val="20"/>
                <w:szCs w:val="20"/>
              </w:rPr>
              <w:t>%</w:t>
            </w:r>
            <w:r w:rsidRPr="00E6741B">
              <w:rPr>
                <w:sz w:val="20"/>
                <w:szCs w:val="20"/>
              </w:rPr>
              <w:t xml:space="preserve"> (combined)</w:t>
            </w:r>
          </w:p>
        </w:tc>
        <w:tc>
          <w:tcPr>
            <w:tcW w:w="1377" w:type="dxa"/>
            <w:tcBorders>
              <w:top w:val="nil"/>
              <w:left w:val="nil"/>
              <w:bottom w:val="single" w:sz="8" w:space="0" w:color="auto"/>
              <w:right w:val="single" w:sz="8" w:space="0" w:color="auto"/>
            </w:tcBorders>
            <w:tcMar>
              <w:top w:w="0" w:type="dxa"/>
              <w:left w:w="108" w:type="dxa"/>
              <w:bottom w:w="0" w:type="dxa"/>
              <w:right w:w="108" w:type="dxa"/>
            </w:tcMar>
          </w:tcPr>
          <w:p w:rsidR="00386FC0" w:rsidRDefault="00386FC0" w:rsidP="000D5F5C">
            <w:pPr>
              <w:jc w:val="center"/>
              <w:rPr>
                <w:rFonts w:eastAsiaTheme="minorHAnsi"/>
                <w:sz w:val="20"/>
                <w:szCs w:val="20"/>
              </w:rPr>
            </w:pPr>
          </w:p>
          <w:p w:rsidR="00F242AE" w:rsidRPr="00E6741B" w:rsidRDefault="0091787E" w:rsidP="000D5F5C">
            <w:pPr>
              <w:jc w:val="center"/>
              <w:rPr>
                <w:rFonts w:eastAsiaTheme="minorHAnsi"/>
                <w:sz w:val="20"/>
                <w:szCs w:val="20"/>
              </w:rPr>
            </w:pPr>
            <w:r w:rsidRPr="00E6741B">
              <w:rPr>
                <w:rFonts w:eastAsiaTheme="minorHAnsi"/>
                <w:sz w:val="20"/>
                <w:szCs w:val="20"/>
              </w:rPr>
              <w:t>$</w:t>
            </w:r>
            <w:r w:rsidR="00E6741B" w:rsidRPr="00E6741B">
              <w:rPr>
                <w:rFonts w:eastAsiaTheme="minorHAnsi"/>
                <w:sz w:val="20"/>
                <w:szCs w:val="20"/>
              </w:rPr>
              <w:t>4918</w:t>
            </w:r>
          </w:p>
        </w:tc>
      </w:tr>
      <w:tr w:rsidR="00F242AE" w:rsidTr="00E6741B">
        <w:trPr>
          <w:trHeight w:val="845"/>
        </w:trPr>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2AE" w:rsidRPr="0091787E" w:rsidRDefault="00F242AE">
            <w:pPr>
              <w:rPr>
                <w:rFonts w:eastAsiaTheme="minorHAnsi"/>
                <w:sz w:val="20"/>
                <w:szCs w:val="20"/>
              </w:rPr>
            </w:pPr>
            <w:r w:rsidRPr="0091787E">
              <w:rPr>
                <w:sz w:val="20"/>
                <w:szCs w:val="20"/>
              </w:rPr>
              <w:t>Operational Costs for Data Collection Activities –Printing, equipment, overhead), non-labor</w:t>
            </w:r>
          </w:p>
        </w:tc>
        <w:tc>
          <w:tcPr>
            <w:tcW w:w="3123" w:type="dxa"/>
            <w:gridSpan w:val="3"/>
            <w:vMerge w:val="restart"/>
            <w:tcBorders>
              <w:top w:val="nil"/>
              <w:left w:val="nil"/>
              <w:bottom w:val="single" w:sz="8" w:space="0" w:color="auto"/>
              <w:right w:val="single" w:sz="8" w:space="0" w:color="auto"/>
            </w:tcBorders>
            <w:tcMar>
              <w:top w:w="0" w:type="dxa"/>
              <w:left w:w="108" w:type="dxa"/>
              <w:bottom w:w="0" w:type="dxa"/>
              <w:right w:w="108" w:type="dxa"/>
            </w:tcMar>
          </w:tcPr>
          <w:p w:rsidR="00F242AE" w:rsidRPr="0091787E" w:rsidRDefault="00F242AE">
            <w:pPr>
              <w:jc w:val="right"/>
              <w:rPr>
                <w:rFonts w:eastAsiaTheme="minorHAnsi"/>
                <w:sz w:val="20"/>
                <w:szCs w:val="20"/>
              </w:rPr>
            </w:pP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rsidR="00386FC0" w:rsidRDefault="00386FC0" w:rsidP="0091787E">
            <w:pPr>
              <w:jc w:val="center"/>
              <w:rPr>
                <w:sz w:val="20"/>
                <w:szCs w:val="20"/>
              </w:rPr>
            </w:pPr>
          </w:p>
          <w:p w:rsidR="00386FC0" w:rsidRDefault="00386FC0" w:rsidP="0091787E">
            <w:pPr>
              <w:jc w:val="center"/>
              <w:rPr>
                <w:sz w:val="20"/>
                <w:szCs w:val="20"/>
              </w:rPr>
            </w:pPr>
          </w:p>
          <w:p w:rsidR="00386FC0" w:rsidRDefault="00386FC0" w:rsidP="0091787E">
            <w:pPr>
              <w:jc w:val="center"/>
              <w:rPr>
                <w:sz w:val="20"/>
                <w:szCs w:val="20"/>
              </w:rPr>
            </w:pPr>
          </w:p>
          <w:p w:rsidR="00F242AE" w:rsidRPr="0091787E" w:rsidRDefault="0091787E" w:rsidP="0091787E">
            <w:pPr>
              <w:jc w:val="center"/>
              <w:rPr>
                <w:sz w:val="20"/>
                <w:szCs w:val="20"/>
              </w:rPr>
            </w:pPr>
            <w:r>
              <w:rPr>
                <w:sz w:val="20"/>
                <w:szCs w:val="20"/>
              </w:rPr>
              <w:t>$</w:t>
            </w:r>
            <w:r w:rsidR="00A37139" w:rsidRPr="0091787E">
              <w:rPr>
                <w:sz w:val="20"/>
                <w:szCs w:val="20"/>
              </w:rPr>
              <w:t>5,000</w:t>
            </w:r>
          </w:p>
        </w:tc>
      </w:tr>
      <w:tr w:rsidR="00F242AE" w:rsidTr="00E6741B">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2AE" w:rsidRPr="0091787E" w:rsidRDefault="00F242AE">
            <w:pPr>
              <w:rPr>
                <w:rFonts w:eastAsiaTheme="minorHAnsi"/>
                <w:sz w:val="20"/>
                <w:szCs w:val="20"/>
              </w:rPr>
            </w:pPr>
            <w:r w:rsidRPr="0091787E">
              <w:rPr>
                <w:sz w:val="20"/>
                <w:szCs w:val="20"/>
              </w:rPr>
              <w:t>Other Contractual costs for data collection, non-labor</w:t>
            </w:r>
          </w:p>
        </w:tc>
        <w:tc>
          <w:tcPr>
            <w:tcW w:w="0" w:type="auto"/>
            <w:gridSpan w:val="3"/>
            <w:vMerge/>
            <w:tcBorders>
              <w:top w:val="nil"/>
              <w:left w:val="single" w:sz="8" w:space="0" w:color="auto"/>
              <w:bottom w:val="single" w:sz="8" w:space="0" w:color="auto"/>
              <w:right w:val="single" w:sz="8" w:space="0" w:color="auto"/>
            </w:tcBorders>
            <w:vAlign w:val="center"/>
            <w:hideMark/>
          </w:tcPr>
          <w:p w:rsidR="00F242AE" w:rsidRPr="0091787E" w:rsidRDefault="00F242AE">
            <w:pPr>
              <w:rPr>
                <w:rFonts w:eastAsiaTheme="minorHAnsi"/>
                <w:sz w:val="20"/>
                <w:szCs w:val="20"/>
              </w:rPr>
            </w:pP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rsidR="00386FC0" w:rsidRDefault="00386FC0" w:rsidP="0091787E">
            <w:pPr>
              <w:jc w:val="center"/>
              <w:rPr>
                <w:sz w:val="20"/>
                <w:szCs w:val="20"/>
              </w:rPr>
            </w:pPr>
          </w:p>
          <w:p w:rsidR="00F242AE" w:rsidRPr="0091787E" w:rsidRDefault="000D5F5C" w:rsidP="0091787E">
            <w:pPr>
              <w:jc w:val="center"/>
              <w:rPr>
                <w:sz w:val="20"/>
                <w:szCs w:val="20"/>
              </w:rPr>
            </w:pPr>
            <w:r>
              <w:rPr>
                <w:sz w:val="20"/>
                <w:szCs w:val="20"/>
              </w:rPr>
              <w:t>0</w:t>
            </w:r>
          </w:p>
        </w:tc>
      </w:tr>
      <w:tr w:rsidR="00F242AE" w:rsidTr="00E6741B">
        <w:trPr>
          <w:trHeight w:val="538"/>
        </w:trPr>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2AE" w:rsidRPr="0091787E" w:rsidRDefault="00F242AE">
            <w:pPr>
              <w:rPr>
                <w:rFonts w:eastAsiaTheme="minorHAnsi"/>
                <w:sz w:val="20"/>
                <w:szCs w:val="20"/>
              </w:rPr>
            </w:pPr>
            <w:r w:rsidRPr="0091787E">
              <w:rPr>
                <w:sz w:val="20"/>
                <w:szCs w:val="20"/>
              </w:rPr>
              <w:t>Travel costs associated with data collection</w:t>
            </w:r>
          </w:p>
        </w:tc>
        <w:tc>
          <w:tcPr>
            <w:tcW w:w="0" w:type="auto"/>
            <w:gridSpan w:val="3"/>
            <w:vMerge/>
            <w:tcBorders>
              <w:top w:val="nil"/>
              <w:left w:val="single" w:sz="8" w:space="0" w:color="auto"/>
              <w:bottom w:val="single" w:sz="8" w:space="0" w:color="auto"/>
              <w:right w:val="single" w:sz="8" w:space="0" w:color="auto"/>
            </w:tcBorders>
            <w:vAlign w:val="center"/>
            <w:hideMark/>
          </w:tcPr>
          <w:p w:rsidR="00F242AE" w:rsidRPr="0091787E" w:rsidRDefault="00F242AE">
            <w:pPr>
              <w:rPr>
                <w:rFonts w:eastAsiaTheme="minorHAnsi"/>
                <w:sz w:val="20"/>
                <w:szCs w:val="20"/>
              </w:rPr>
            </w:pP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rsidR="00386FC0" w:rsidRDefault="00386FC0" w:rsidP="0091787E">
            <w:pPr>
              <w:jc w:val="center"/>
              <w:rPr>
                <w:sz w:val="20"/>
                <w:szCs w:val="20"/>
              </w:rPr>
            </w:pPr>
          </w:p>
          <w:p w:rsidR="00F242AE" w:rsidRPr="0091787E" w:rsidRDefault="005F05A0" w:rsidP="0091787E">
            <w:pPr>
              <w:jc w:val="center"/>
              <w:rPr>
                <w:sz w:val="20"/>
                <w:szCs w:val="20"/>
              </w:rPr>
            </w:pPr>
            <w:r>
              <w:rPr>
                <w:sz w:val="20"/>
                <w:szCs w:val="20"/>
              </w:rPr>
              <w:t>0</w:t>
            </w:r>
          </w:p>
        </w:tc>
      </w:tr>
      <w:tr w:rsidR="00F242AE" w:rsidTr="00E6741B">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2AE" w:rsidRPr="0091787E" w:rsidRDefault="00F242AE">
            <w:pPr>
              <w:rPr>
                <w:rFonts w:eastAsiaTheme="minorHAnsi"/>
                <w:sz w:val="20"/>
                <w:szCs w:val="20"/>
              </w:rPr>
            </w:pPr>
            <w:r w:rsidRPr="0091787E">
              <w:rPr>
                <w:sz w:val="20"/>
                <w:szCs w:val="20"/>
              </w:rPr>
              <w:t>Other costs, non-labor</w:t>
            </w:r>
          </w:p>
        </w:tc>
        <w:tc>
          <w:tcPr>
            <w:tcW w:w="0" w:type="auto"/>
            <w:gridSpan w:val="3"/>
            <w:vMerge/>
            <w:tcBorders>
              <w:top w:val="nil"/>
              <w:left w:val="single" w:sz="8" w:space="0" w:color="auto"/>
              <w:bottom w:val="single" w:sz="8" w:space="0" w:color="auto"/>
              <w:right w:val="single" w:sz="8" w:space="0" w:color="auto"/>
            </w:tcBorders>
            <w:vAlign w:val="center"/>
            <w:hideMark/>
          </w:tcPr>
          <w:p w:rsidR="00F242AE" w:rsidRPr="0091787E" w:rsidRDefault="00F242AE">
            <w:pPr>
              <w:rPr>
                <w:rFonts w:eastAsiaTheme="minorHAnsi"/>
                <w:sz w:val="20"/>
                <w:szCs w:val="20"/>
              </w:rPr>
            </w:pP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rsidR="00F242AE" w:rsidRPr="0091787E" w:rsidRDefault="00C47E00" w:rsidP="0091787E">
            <w:pPr>
              <w:jc w:val="center"/>
              <w:rPr>
                <w:sz w:val="20"/>
                <w:szCs w:val="20"/>
              </w:rPr>
            </w:pPr>
            <w:r>
              <w:rPr>
                <w:sz w:val="20"/>
                <w:szCs w:val="20"/>
              </w:rPr>
              <w:t>$</w:t>
            </w:r>
            <w:r w:rsidR="00A37139" w:rsidRPr="0091787E">
              <w:rPr>
                <w:sz w:val="20"/>
                <w:szCs w:val="20"/>
              </w:rPr>
              <w:t>200</w:t>
            </w:r>
          </w:p>
        </w:tc>
      </w:tr>
      <w:tr w:rsidR="00F242AE" w:rsidTr="00E6741B">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2AE" w:rsidRPr="0091787E" w:rsidRDefault="00F242AE">
            <w:pPr>
              <w:jc w:val="highKashida"/>
              <w:rPr>
                <w:rFonts w:eastAsiaTheme="minorHAnsi"/>
                <w:sz w:val="20"/>
                <w:szCs w:val="20"/>
              </w:rPr>
            </w:pPr>
            <w:r w:rsidRPr="00386FC0">
              <w:rPr>
                <w:sz w:val="20"/>
                <w:szCs w:val="20"/>
              </w:rPr>
              <w:t>Total</w:t>
            </w:r>
          </w:p>
        </w:tc>
        <w:tc>
          <w:tcPr>
            <w:tcW w:w="0" w:type="auto"/>
            <w:gridSpan w:val="3"/>
            <w:vMerge/>
            <w:tcBorders>
              <w:top w:val="nil"/>
              <w:left w:val="single" w:sz="8" w:space="0" w:color="auto"/>
              <w:bottom w:val="single" w:sz="8" w:space="0" w:color="auto"/>
              <w:right w:val="single" w:sz="8" w:space="0" w:color="auto"/>
            </w:tcBorders>
            <w:vAlign w:val="center"/>
            <w:hideMark/>
          </w:tcPr>
          <w:p w:rsidR="00F242AE" w:rsidRPr="0091787E" w:rsidRDefault="00F242AE">
            <w:pPr>
              <w:rPr>
                <w:rFonts w:eastAsiaTheme="minorHAnsi"/>
                <w:sz w:val="20"/>
                <w:szCs w:val="20"/>
              </w:rPr>
            </w:pP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rsidR="00F242AE" w:rsidRPr="00E6741B" w:rsidRDefault="00F242AE" w:rsidP="0091787E">
            <w:pPr>
              <w:jc w:val="center"/>
              <w:rPr>
                <w:sz w:val="20"/>
                <w:szCs w:val="20"/>
                <w:highlight w:val="cyan"/>
              </w:rPr>
            </w:pPr>
          </w:p>
        </w:tc>
      </w:tr>
    </w:tbl>
    <w:p w:rsidR="005F05A0" w:rsidRDefault="005F05A0" w:rsidP="00E36A07">
      <w:pPr>
        <w:pStyle w:val="Heading2"/>
        <w:tabs>
          <w:tab w:val="clear" w:pos="1152"/>
          <w:tab w:val="left" w:pos="720"/>
        </w:tabs>
        <w:spacing w:after="0" w:line="480" w:lineRule="auto"/>
        <w:ind w:left="0" w:firstLine="0"/>
        <w:rPr>
          <w:rFonts w:ascii="Arial" w:hAnsi="Arial" w:cs="Arial"/>
          <w:sz w:val="24"/>
          <w:szCs w:val="24"/>
        </w:rPr>
      </w:pPr>
      <w:bookmarkStart w:id="65" w:name="_Toc443881758"/>
      <w:bookmarkStart w:id="66" w:name="_Toc451592245"/>
      <w:bookmarkStart w:id="67" w:name="_Toc5610286"/>
      <w:bookmarkStart w:id="68" w:name="_Toc99178792"/>
    </w:p>
    <w:p w:rsidR="00E36A07" w:rsidRPr="006E7289" w:rsidRDefault="00E36A07" w:rsidP="00E36A07">
      <w:pPr>
        <w:pStyle w:val="Heading2"/>
        <w:tabs>
          <w:tab w:val="clear" w:pos="1152"/>
          <w:tab w:val="left" w:pos="720"/>
        </w:tabs>
        <w:spacing w:after="0" w:line="480" w:lineRule="auto"/>
        <w:ind w:left="0" w:firstLine="0"/>
        <w:rPr>
          <w:rFonts w:ascii="Arial" w:hAnsi="Arial" w:cs="Arial"/>
          <w:sz w:val="24"/>
          <w:szCs w:val="24"/>
        </w:rPr>
      </w:pPr>
      <w:bookmarkStart w:id="69" w:name="_Toc395694470"/>
      <w:r w:rsidRPr="006E7289">
        <w:rPr>
          <w:rFonts w:ascii="Arial" w:hAnsi="Arial" w:cs="Arial"/>
          <w:sz w:val="24"/>
          <w:szCs w:val="24"/>
        </w:rPr>
        <w:t>A.15</w:t>
      </w:r>
      <w:r w:rsidRPr="006E7289">
        <w:rPr>
          <w:rFonts w:ascii="Arial" w:hAnsi="Arial" w:cs="Arial"/>
          <w:sz w:val="24"/>
          <w:szCs w:val="24"/>
        </w:rPr>
        <w:tab/>
        <w:t>Explanation for Program Changes or Adjustments</w:t>
      </w:r>
      <w:bookmarkEnd w:id="65"/>
      <w:bookmarkEnd w:id="66"/>
      <w:bookmarkEnd w:id="67"/>
      <w:bookmarkEnd w:id="68"/>
      <w:bookmarkEnd w:id="69"/>
    </w:p>
    <w:p w:rsidR="001363CB" w:rsidRPr="006E50B5" w:rsidRDefault="0071526C" w:rsidP="001363CB">
      <w:pPr>
        <w:rPr>
          <w:bCs/>
        </w:rPr>
      </w:pPr>
      <w:r w:rsidRPr="006E50B5">
        <w:rPr>
          <w:bCs/>
        </w:rPr>
        <w:t>This is a new data collection</w:t>
      </w:r>
      <w:r w:rsidR="006F244D">
        <w:rPr>
          <w:bCs/>
        </w:rPr>
        <w:t>.</w:t>
      </w:r>
    </w:p>
    <w:p w:rsidR="00807E31" w:rsidRDefault="00807E31" w:rsidP="00807E31"/>
    <w:p w:rsidR="0093431F" w:rsidRPr="006E7289" w:rsidRDefault="0093431F" w:rsidP="0093431F">
      <w:pPr>
        <w:rPr>
          <w:rFonts w:ascii="Arial" w:hAnsi="Arial" w:cs="Arial"/>
        </w:rPr>
      </w:pPr>
    </w:p>
    <w:p w:rsidR="00807E31" w:rsidRPr="006E7289" w:rsidRDefault="00807E31" w:rsidP="00807E31">
      <w:pPr>
        <w:pStyle w:val="Heading2"/>
        <w:tabs>
          <w:tab w:val="clear" w:pos="1152"/>
          <w:tab w:val="left" w:pos="720"/>
        </w:tabs>
        <w:spacing w:after="0" w:line="480" w:lineRule="auto"/>
        <w:ind w:left="0" w:firstLine="0"/>
        <w:rPr>
          <w:rFonts w:ascii="Arial" w:hAnsi="Arial" w:cs="Arial"/>
          <w:sz w:val="24"/>
          <w:szCs w:val="24"/>
        </w:rPr>
      </w:pPr>
      <w:bookmarkStart w:id="70" w:name="_Toc443881759"/>
      <w:bookmarkStart w:id="71" w:name="_Toc451592246"/>
      <w:bookmarkStart w:id="72" w:name="_Toc5610287"/>
      <w:bookmarkStart w:id="73" w:name="_Toc99178793"/>
      <w:bookmarkStart w:id="74" w:name="_Toc395694471"/>
      <w:r w:rsidRPr="006E7289">
        <w:rPr>
          <w:rFonts w:ascii="Arial" w:hAnsi="Arial" w:cs="Arial"/>
          <w:sz w:val="24"/>
          <w:szCs w:val="24"/>
        </w:rPr>
        <w:t>A.16</w:t>
      </w:r>
      <w:r w:rsidRPr="006E7289">
        <w:rPr>
          <w:rFonts w:ascii="Arial" w:hAnsi="Arial" w:cs="Arial"/>
          <w:sz w:val="24"/>
          <w:szCs w:val="24"/>
        </w:rPr>
        <w:tab/>
        <w:t>Plans for Tabulation and Publication and Project Time Schedule</w:t>
      </w:r>
      <w:bookmarkEnd w:id="70"/>
      <w:bookmarkEnd w:id="71"/>
      <w:bookmarkEnd w:id="72"/>
      <w:bookmarkEnd w:id="73"/>
      <w:bookmarkEnd w:id="74"/>
    </w:p>
    <w:p w:rsidR="0093431F" w:rsidRPr="0093431F" w:rsidRDefault="0093431F" w:rsidP="00706CDB"/>
    <w:tbl>
      <w:tblPr>
        <w:tblW w:w="0" w:type="auto"/>
        <w:jc w:val="center"/>
        <w:tblLayout w:type="fixed"/>
        <w:tblCellMar>
          <w:left w:w="120" w:type="dxa"/>
          <w:right w:w="120" w:type="dxa"/>
        </w:tblCellMar>
        <w:tblLook w:val="0000" w:firstRow="0" w:lastRow="0" w:firstColumn="0" w:lastColumn="0" w:noHBand="0" w:noVBand="0"/>
      </w:tblPr>
      <w:tblGrid>
        <w:gridCol w:w="2430"/>
        <w:gridCol w:w="3195"/>
      </w:tblGrid>
      <w:tr w:rsidR="00807E31" w:rsidRPr="00321074" w:rsidTr="0080226D">
        <w:trPr>
          <w:cantSplit/>
          <w:trHeight w:val="403"/>
          <w:jc w:val="center"/>
        </w:trPr>
        <w:tc>
          <w:tcPr>
            <w:tcW w:w="5625" w:type="dxa"/>
            <w:gridSpan w:val="2"/>
            <w:tcBorders>
              <w:top w:val="single" w:sz="20" w:space="0" w:color="auto"/>
              <w:left w:val="single" w:sz="20" w:space="0" w:color="auto"/>
            </w:tcBorders>
            <w:shd w:val="pct20" w:color="auto" w:fill="FFFFFF"/>
          </w:tcPr>
          <w:p w:rsidR="00807E31" w:rsidRPr="00321074" w:rsidRDefault="00807E31" w:rsidP="00807E31">
            <w:pPr>
              <w:jc w:val="center"/>
              <w:rPr>
                <w:bCs/>
              </w:rPr>
            </w:pPr>
          </w:p>
          <w:p w:rsidR="00807E31" w:rsidRPr="00321074" w:rsidRDefault="00807E31" w:rsidP="00706CDB">
            <w:pPr>
              <w:jc w:val="center"/>
              <w:rPr>
                <w:bCs/>
              </w:rPr>
            </w:pPr>
            <w:r w:rsidRPr="00321074">
              <w:rPr>
                <w:bCs/>
              </w:rPr>
              <w:t>A.16 - 1  Project Time Schedule</w:t>
            </w:r>
          </w:p>
        </w:tc>
      </w:tr>
      <w:tr w:rsidR="00807E31" w:rsidRPr="00321074" w:rsidTr="0080226D">
        <w:trPr>
          <w:cantSplit/>
          <w:trHeight w:val="403"/>
          <w:jc w:val="center"/>
        </w:trPr>
        <w:tc>
          <w:tcPr>
            <w:tcW w:w="2430" w:type="dxa"/>
            <w:tcBorders>
              <w:top w:val="single" w:sz="6" w:space="0" w:color="auto"/>
              <w:left w:val="single" w:sz="20" w:space="0" w:color="auto"/>
            </w:tcBorders>
            <w:shd w:val="pct5" w:color="auto" w:fill="FFFFFF"/>
          </w:tcPr>
          <w:p w:rsidR="00807E31" w:rsidRPr="00321074" w:rsidRDefault="00807E31" w:rsidP="00807E31">
            <w:pPr>
              <w:rPr>
                <w:bCs/>
              </w:rPr>
            </w:pPr>
            <w:r w:rsidRPr="00321074">
              <w:rPr>
                <w:bCs/>
              </w:rPr>
              <w:tab/>
              <w:t>Activity</w:t>
            </w:r>
          </w:p>
        </w:tc>
        <w:tc>
          <w:tcPr>
            <w:tcW w:w="3195" w:type="dxa"/>
            <w:tcBorders>
              <w:top w:val="single" w:sz="6" w:space="0" w:color="auto"/>
              <w:left w:val="single" w:sz="6" w:space="0" w:color="auto"/>
              <w:right w:val="single" w:sz="20" w:space="0" w:color="auto"/>
            </w:tcBorders>
            <w:shd w:val="pct5" w:color="auto" w:fill="FFFFFF"/>
          </w:tcPr>
          <w:p w:rsidR="00807E31" w:rsidRPr="00321074" w:rsidRDefault="00807E31" w:rsidP="00807E31">
            <w:pPr>
              <w:rPr>
                <w:bCs/>
              </w:rPr>
            </w:pPr>
            <w:r w:rsidRPr="00321074">
              <w:rPr>
                <w:bCs/>
              </w:rPr>
              <w:tab/>
              <w:t>Time Schedule</w:t>
            </w:r>
          </w:p>
        </w:tc>
      </w:tr>
      <w:tr w:rsidR="006F244D" w:rsidRPr="00321074" w:rsidTr="0080226D">
        <w:trPr>
          <w:cantSplit/>
          <w:trHeight w:val="403"/>
          <w:jc w:val="center"/>
        </w:trPr>
        <w:tc>
          <w:tcPr>
            <w:tcW w:w="2430" w:type="dxa"/>
            <w:tcBorders>
              <w:top w:val="single" w:sz="6" w:space="0" w:color="auto"/>
              <w:left w:val="single" w:sz="20" w:space="0" w:color="auto"/>
            </w:tcBorders>
            <w:shd w:val="clear" w:color="auto" w:fill="FFFFFF"/>
            <w:vAlign w:val="center"/>
          </w:tcPr>
          <w:p w:rsidR="006F244D" w:rsidRPr="00321074" w:rsidRDefault="006F244D">
            <w:pPr>
              <w:rPr>
                <w:rFonts w:asciiTheme="majorBidi" w:hAnsiTheme="majorBidi" w:cstheme="majorBidi"/>
                <w:bCs/>
                <w:sz w:val="22"/>
                <w:szCs w:val="22"/>
              </w:rPr>
            </w:pPr>
            <w:r w:rsidRPr="00321074">
              <w:rPr>
                <w:rFonts w:asciiTheme="majorBidi" w:hAnsiTheme="majorBidi" w:cstheme="majorBidi"/>
                <w:bCs/>
                <w:sz w:val="22"/>
                <w:szCs w:val="22"/>
              </w:rPr>
              <w:t>Receive  OMB Approval</w:t>
            </w:r>
          </w:p>
        </w:tc>
        <w:tc>
          <w:tcPr>
            <w:tcW w:w="3195" w:type="dxa"/>
            <w:tcBorders>
              <w:top w:val="single" w:sz="6" w:space="0" w:color="auto"/>
              <w:left w:val="single" w:sz="6" w:space="0" w:color="auto"/>
              <w:right w:val="single" w:sz="20" w:space="0" w:color="auto"/>
            </w:tcBorders>
            <w:shd w:val="clear" w:color="auto" w:fill="FFFFFF"/>
          </w:tcPr>
          <w:p w:rsidR="006F244D" w:rsidRPr="00321074" w:rsidRDefault="00DE2B2B" w:rsidP="00807E31">
            <w:pPr>
              <w:rPr>
                <w:bCs/>
              </w:rPr>
            </w:pPr>
            <w:r>
              <w:rPr>
                <w:bCs/>
              </w:rPr>
              <w:t>March 2015</w:t>
            </w:r>
          </w:p>
        </w:tc>
      </w:tr>
      <w:tr w:rsidR="006F244D" w:rsidRPr="00321074" w:rsidTr="0080226D">
        <w:trPr>
          <w:cantSplit/>
          <w:trHeight w:val="403"/>
          <w:jc w:val="center"/>
        </w:trPr>
        <w:tc>
          <w:tcPr>
            <w:tcW w:w="2430" w:type="dxa"/>
            <w:tcBorders>
              <w:top w:val="single" w:sz="6" w:space="0" w:color="auto"/>
              <w:left w:val="single" w:sz="20" w:space="0" w:color="auto"/>
            </w:tcBorders>
            <w:shd w:val="clear" w:color="auto" w:fill="FFFFFF"/>
            <w:vAlign w:val="center"/>
          </w:tcPr>
          <w:p w:rsidR="006F244D" w:rsidRPr="00321074" w:rsidRDefault="006F244D">
            <w:pPr>
              <w:rPr>
                <w:rFonts w:asciiTheme="majorBidi" w:hAnsiTheme="majorBidi" w:cstheme="majorBidi"/>
                <w:bCs/>
                <w:sz w:val="22"/>
                <w:szCs w:val="22"/>
              </w:rPr>
            </w:pPr>
            <w:r w:rsidRPr="00321074">
              <w:rPr>
                <w:rFonts w:asciiTheme="majorBidi" w:hAnsiTheme="majorBidi" w:cstheme="majorBidi"/>
                <w:bCs/>
                <w:sz w:val="22"/>
                <w:szCs w:val="22"/>
              </w:rPr>
              <w:t>Execute DUAs with OPOs and other facilities</w:t>
            </w:r>
          </w:p>
        </w:tc>
        <w:tc>
          <w:tcPr>
            <w:tcW w:w="3195" w:type="dxa"/>
            <w:tcBorders>
              <w:top w:val="single" w:sz="6" w:space="0" w:color="auto"/>
              <w:left w:val="single" w:sz="6" w:space="0" w:color="auto"/>
              <w:right w:val="single" w:sz="20" w:space="0" w:color="auto"/>
            </w:tcBorders>
            <w:shd w:val="clear" w:color="auto" w:fill="FFFFFF"/>
          </w:tcPr>
          <w:p w:rsidR="006F244D" w:rsidRPr="00321074" w:rsidRDefault="00DE2B2B" w:rsidP="00706CDB">
            <w:pPr>
              <w:rPr>
                <w:bCs/>
              </w:rPr>
            </w:pPr>
            <w:r>
              <w:rPr>
                <w:bCs/>
              </w:rPr>
              <w:t>February 2015 – April 2015</w:t>
            </w:r>
          </w:p>
        </w:tc>
      </w:tr>
      <w:tr w:rsidR="006F244D" w:rsidRPr="00321074" w:rsidTr="0080226D">
        <w:trPr>
          <w:cantSplit/>
          <w:trHeight w:val="403"/>
          <w:jc w:val="center"/>
        </w:trPr>
        <w:tc>
          <w:tcPr>
            <w:tcW w:w="2430" w:type="dxa"/>
            <w:tcBorders>
              <w:top w:val="single" w:sz="6" w:space="0" w:color="auto"/>
              <w:left w:val="single" w:sz="20" w:space="0" w:color="auto"/>
            </w:tcBorders>
            <w:shd w:val="clear" w:color="auto" w:fill="FFFFFF"/>
            <w:vAlign w:val="center"/>
          </w:tcPr>
          <w:p w:rsidR="006F244D" w:rsidRPr="00321074" w:rsidRDefault="006F244D">
            <w:pPr>
              <w:rPr>
                <w:rFonts w:asciiTheme="majorBidi" w:hAnsiTheme="majorBidi" w:cstheme="majorBidi"/>
                <w:bCs/>
                <w:sz w:val="22"/>
                <w:szCs w:val="22"/>
              </w:rPr>
            </w:pPr>
            <w:r w:rsidRPr="00321074">
              <w:rPr>
                <w:rFonts w:asciiTheme="majorBidi" w:hAnsiTheme="majorBidi" w:cstheme="majorBidi"/>
                <w:bCs/>
                <w:sz w:val="22"/>
                <w:szCs w:val="22"/>
              </w:rPr>
              <w:lastRenderedPageBreak/>
              <w:t>Estimated implementation of data collection</w:t>
            </w:r>
          </w:p>
        </w:tc>
        <w:tc>
          <w:tcPr>
            <w:tcW w:w="3195" w:type="dxa"/>
            <w:tcBorders>
              <w:top w:val="single" w:sz="6" w:space="0" w:color="auto"/>
              <w:left w:val="single" w:sz="6" w:space="0" w:color="auto"/>
              <w:right w:val="single" w:sz="20" w:space="0" w:color="auto"/>
            </w:tcBorders>
            <w:shd w:val="clear" w:color="auto" w:fill="FFFFFF"/>
          </w:tcPr>
          <w:p w:rsidR="006F244D" w:rsidRPr="00321074" w:rsidRDefault="00DE2B2B" w:rsidP="00807E31">
            <w:pPr>
              <w:rPr>
                <w:bCs/>
              </w:rPr>
            </w:pPr>
            <w:r>
              <w:rPr>
                <w:bCs/>
              </w:rPr>
              <w:t>Upon OMB Approval</w:t>
            </w:r>
          </w:p>
        </w:tc>
      </w:tr>
      <w:tr w:rsidR="006F244D" w:rsidRPr="00321074" w:rsidTr="0080226D">
        <w:trPr>
          <w:cantSplit/>
          <w:trHeight w:val="403"/>
          <w:jc w:val="center"/>
        </w:trPr>
        <w:tc>
          <w:tcPr>
            <w:tcW w:w="2430" w:type="dxa"/>
            <w:tcBorders>
              <w:top w:val="single" w:sz="6" w:space="0" w:color="auto"/>
              <w:left w:val="single" w:sz="20" w:space="0" w:color="auto"/>
              <w:bottom w:val="single" w:sz="6" w:space="0" w:color="auto"/>
            </w:tcBorders>
            <w:shd w:val="clear" w:color="auto" w:fill="FFFFFF"/>
            <w:vAlign w:val="center"/>
          </w:tcPr>
          <w:p w:rsidR="006F244D" w:rsidRPr="00321074" w:rsidRDefault="006F244D">
            <w:pPr>
              <w:rPr>
                <w:rFonts w:asciiTheme="majorBidi" w:hAnsiTheme="majorBidi" w:cstheme="majorBidi"/>
                <w:bCs/>
                <w:sz w:val="22"/>
                <w:szCs w:val="22"/>
              </w:rPr>
            </w:pPr>
            <w:r w:rsidRPr="00321074">
              <w:rPr>
                <w:rFonts w:asciiTheme="majorBidi" w:hAnsiTheme="majorBidi" w:cstheme="majorBidi"/>
                <w:bCs/>
                <w:sz w:val="22"/>
                <w:szCs w:val="22"/>
              </w:rPr>
              <w:t>Data verification and final analysis</w:t>
            </w:r>
          </w:p>
        </w:tc>
        <w:tc>
          <w:tcPr>
            <w:tcW w:w="3195" w:type="dxa"/>
            <w:tcBorders>
              <w:top w:val="single" w:sz="6" w:space="0" w:color="auto"/>
              <w:left w:val="single" w:sz="6" w:space="0" w:color="auto"/>
              <w:bottom w:val="single" w:sz="6" w:space="0" w:color="auto"/>
              <w:right w:val="single" w:sz="20" w:space="0" w:color="auto"/>
            </w:tcBorders>
            <w:shd w:val="clear" w:color="auto" w:fill="FFFFFF"/>
          </w:tcPr>
          <w:p w:rsidR="006F244D" w:rsidRPr="00321074" w:rsidRDefault="00DE2B2B" w:rsidP="00807E31">
            <w:pPr>
              <w:rPr>
                <w:bCs/>
              </w:rPr>
            </w:pPr>
            <w:r>
              <w:rPr>
                <w:bCs/>
              </w:rPr>
              <w:t>April 2015- June 2015</w:t>
            </w:r>
          </w:p>
        </w:tc>
      </w:tr>
      <w:tr w:rsidR="006F244D" w:rsidRPr="00321074" w:rsidTr="0080226D">
        <w:trPr>
          <w:cantSplit/>
          <w:trHeight w:val="403"/>
          <w:jc w:val="center"/>
        </w:trPr>
        <w:tc>
          <w:tcPr>
            <w:tcW w:w="2430" w:type="dxa"/>
            <w:tcBorders>
              <w:top w:val="single" w:sz="6" w:space="0" w:color="auto"/>
              <w:left w:val="single" w:sz="20" w:space="0" w:color="auto"/>
              <w:bottom w:val="single" w:sz="6" w:space="0" w:color="auto"/>
            </w:tcBorders>
            <w:shd w:val="clear" w:color="auto" w:fill="FFFFFF"/>
            <w:vAlign w:val="center"/>
          </w:tcPr>
          <w:p w:rsidR="006F244D" w:rsidRPr="00321074" w:rsidRDefault="006F244D">
            <w:pPr>
              <w:rPr>
                <w:rFonts w:asciiTheme="majorBidi" w:hAnsiTheme="majorBidi" w:cstheme="majorBidi"/>
                <w:bCs/>
                <w:sz w:val="22"/>
                <w:szCs w:val="22"/>
              </w:rPr>
            </w:pPr>
            <w:r w:rsidRPr="00321074">
              <w:rPr>
                <w:rFonts w:asciiTheme="majorBidi" w:hAnsiTheme="majorBidi" w:cstheme="majorBidi"/>
                <w:bCs/>
                <w:sz w:val="22"/>
                <w:szCs w:val="22"/>
              </w:rPr>
              <w:t>Draft report</w:t>
            </w:r>
          </w:p>
        </w:tc>
        <w:tc>
          <w:tcPr>
            <w:tcW w:w="3195" w:type="dxa"/>
            <w:tcBorders>
              <w:top w:val="single" w:sz="6" w:space="0" w:color="auto"/>
              <w:left w:val="single" w:sz="6" w:space="0" w:color="auto"/>
              <w:bottom w:val="single" w:sz="6" w:space="0" w:color="auto"/>
              <w:right w:val="single" w:sz="20" w:space="0" w:color="auto"/>
            </w:tcBorders>
            <w:shd w:val="clear" w:color="auto" w:fill="FFFFFF"/>
          </w:tcPr>
          <w:p w:rsidR="006F244D" w:rsidRPr="00321074" w:rsidRDefault="00DE2B2B" w:rsidP="00DE2B2B">
            <w:pPr>
              <w:rPr>
                <w:bCs/>
              </w:rPr>
            </w:pPr>
            <w:r>
              <w:rPr>
                <w:bCs/>
              </w:rPr>
              <w:t>April 2015 – June 2015</w:t>
            </w:r>
          </w:p>
        </w:tc>
      </w:tr>
      <w:tr w:rsidR="006F244D" w:rsidRPr="00321074" w:rsidTr="0080226D">
        <w:trPr>
          <w:cantSplit/>
          <w:trHeight w:val="403"/>
          <w:jc w:val="center"/>
        </w:trPr>
        <w:tc>
          <w:tcPr>
            <w:tcW w:w="2430" w:type="dxa"/>
            <w:tcBorders>
              <w:top w:val="single" w:sz="6" w:space="0" w:color="auto"/>
              <w:left w:val="single" w:sz="20" w:space="0" w:color="auto"/>
              <w:bottom w:val="single" w:sz="20" w:space="0" w:color="auto"/>
            </w:tcBorders>
            <w:shd w:val="clear" w:color="auto" w:fill="FFFFFF"/>
          </w:tcPr>
          <w:p w:rsidR="006F244D" w:rsidRPr="00321074" w:rsidRDefault="006F244D" w:rsidP="00807E31">
            <w:pPr>
              <w:rPr>
                <w:rFonts w:asciiTheme="majorBidi" w:hAnsiTheme="majorBidi" w:cstheme="majorBidi"/>
                <w:bCs/>
                <w:sz w:val="22"/>
                <w:szCs w:val="22"/>
              </w:rPr>
            </w:pPr>
            <w:r w:rsidRPr="00321074">
              <w:rPr>
                <w:rFonts w:asciiTheme="majorBidi" w:hAnsiTheme="majorBidi" w:cstheme="majorBidi"/>
                <w:bCs/>
                <w:sz w:val="22"/>
                <w:szCs w:val="22"/>
              </w:rPr>
              <w:t>Final Report</w:t>
            </w:r>
          </w:p>
        </w:tc>
        <w:tc>
          <w:tcPr>
            <w:tcW w:w="3195" w:type="dxa"/>
            <w:tcBorders>
              <w:top w:val="single" w:sz="6" w:space="0" w:color="auto"/>
              <w:left w:val="single" w:sz="6" w:space="0" w:color="auto"/>
              <w:bottom w:val="single" w:sz="20" w:space="0" w:color="auto"/>
              <w:right w:val="single" w:sz="20" w:space="0" w:color="auto"/>
            </w:tcBorders>
            <w:shd w:val="clear" w:color="auto" w:fill="FFFFFF"/>
          </w:tcPr>
          <w:p w:rsidR="006F244D" w:rsidRPr="00321074" w:rsidRDefault="00DE2B2B" w:rsidP="00807E31">
            <w:pPr>
              <w:rPr>
                <w:bCs/>
              </w:rPr>
            </w:pPr>
            <w:r>
              <w:rPr>
                <w:bCs/>
              </w:rPr>
              <w:t>July 2015 – August 2015</w:t>
            </w:r>
          </w:p>
        </w:tc>
      </w:tr>
    </w:tbl>
    <w:p w:rsidR="006E7289" w:rsidRPr="00321074" w:rsidRDefault="006E7289" w:rsidP="00807E31">
      <w:pPr>
        <w:pStyle w:val="Heading2"/>
        <w:tabs>
          <w:tab w:val="clear" w:pos="1152"/>
          <w:tab w:val="left" w:pos="720"/>
        </w:tabs>
        <w:spacing w:after="0" w:line="480" w:lineRule="auto"/>
        <w:ind w:left="0" w:firstLine="0"/>
        <w:rPr>
          <w:rFonts w:ascii="Arial" w:hAnsi="Arial" w:cs="Arial"/>
          <w:b w:val="0"/>
          <w:bCs/>
          <w:sz w:val="24"/>
          <w:szCs w:val="24"/>
        </w:rPr>
      </w:pPr>
      <w:bookmarkStart w:id="75" w:name="_Toc443881760"/>
      <w:bookmarkStart w:id="76" w:name="_Toc451592247"/>
      <w:bookmarkStart w:id="77" w:name="_Toc5610288"/>
      <w:bookmarkStart w:id="78" w:name="_Toc99178794"/>
    </w:p>
    <w:p w:rsidR="00807E31" w:rsidRPr="006E7289" w:rsidRDefault="00807E31" w:rsidP="00807E31">
      <w:pPr>
        <w:pStyle w:val="Heading2"/>
        <w:tabs>
          <w:tab w:val="clear" w:pos="1152"/>
          <w:tab w:val="left" w:pos="720"/>
        </w:tabs>
        <w:spacing w:after="0" w:line="480" w:lineRule="auto"/>
        <w:ind w:left="0" w:firstLine="0"/>
        <w:rPr>
          <w:rFonts w:ascii="Arial" w:hAnsi="Arial" w:cs="Arial"/>
          <w:sz w:val="24"/>
          <w:szCs w:val="24"/>
        </w:rPr>
      </w:pPr>
      <w:bookmarkStart w:id="79" w:name="_Toc395694472"/>
      <w:r w:rsidRPr="006E7289">
        <w:rPr>
          <w:rFonts w:ascii="Arial" w:hAnsi="Arial" w:cs="Arial"/>
          <w:sz w:val="24"/>
          <w:szCs w:val="24"/>
        </w:rPr>
        <w:t>A.17</w:t>
      </w:r>
      <w:r w:rsidRPr="006E7289">
        <w:rPr>
          <w:rFonts w:ascii="Arial" w:hAnsi="Arial" w:cs="Arial"/>
          <w:sz w:val="24"/>
          <w:szCs w:val="24"/>
        </w:rPr>
        <w:tab/>
        <w:t>Reason(s) Display of OMB Expiration Date is Inappropriate</w:t>
      </w:r>
      <w:bookmarkEnd w:id="75"/>
      <w:bookmarkEnd w:id="76"/>
      <w:bookmarkEnd w:id="77"/>
      <w:bookmarkEnd w:id="78"/>
      <w:bookmarkEnd w:id="79"/>
    </w:p>
    <w:p w:rsidR="005112B2" w:rsidRPr="008173DB" w:rsidRDefault="005112B2" w:rsidP="005112B2">
      <w:r w:rsidRPr="008173DB">
        <w:t>The OMB expiration date will be displayed in the upper-right hand corner of the questionnaire.</w:t>
      </w:r>
      <w:r>
        <w:t>”</w:t>
      </w:r>
    </w:p>
    <w:p w:rsidR="000D5F5C" w:rsidRDefault="000D5F5C" w:rsidP="00B62E77">
      <w:pPr>
        <w:pStyle w:val="Heading2"/>
        <w:tabs>
          <w:tab w:val="clear" w:pos="1152"/>
          <w:tab w:val="left" w:pos="720"/>
        </w:tabs>
        <w:spacing w:after="0" w:line="240" w:lineRule="auto"/>
        <w:ind w:left="0" w:firstLine="0"/>
        <w:rPr>
          <w:rFonts w:ascii="Arial" w:hAnsi="Arial" w:cs="Arial"/>
          <w:sz w:val="24"/>
          <w:szCs w:val="24"/>
        </w:rPr>
      </w:pPr>
      <w:bookmarkStart w:id="80" w:name="_Toc443881761"/>
      <w:bookmarkStart w:id="81" w:name="_Toc451592248"/>
      <w:bookmarkStart w:id="82" w:name="_Toc5610289"/>
      <w:bookmarkStart w:id="83" w:name="_Toc99178795"/>
    </w:p>
    <w:p w:rsidR="000D5F5C" w:rsidRDefault="000D5F5C" w:rsidP="00B62E77">
      <w:pPr>
        <w:pStyle w:val="Heading2"/>
        <w:tabs>
          <w:tab w:val="clear" w:pos="1152"/>
          <w:tab w:val="left" w:pos="720"/>
        </w:tabs>
        <w:spacing w:after="0" w:line="240" w:lineRule="auto"/>
        <w:ind w:left="0" w:firstLine="0"/>
        <w:rPr>
          <w:rFonts w:ascii="Arial" w:hAnsi="Arial" w:cs="Arial"/>
          <w:sz w:val="24"/>
          <w:szCs w:val="24"/>
        </w:rPr>
      </w:pPr>
    </w:p>
    <w:p w:rsidR="006E7289" w:rsidRDefault="00807E31" w:rsidP="00B62E77">
      <w:pPr>
        <w:pStyle w:val="Heading2"/>
        <w:tabs>
          <w:tab w:val="clear" w:pos="1152"/>
          <w:tab w:val="left" w:pos="720"/>
        </w:tabs>
        <w:spacing w:after="0" w:line="240" w:lineRule="auto"/>
        <w:ind w:left="0" w:firstLine="0"/>
        <w:rPr>
          <w:rFonts w:ascii="Arial" w:hAnsi="Arial" w:cs="Arial"/>
          <w:sz w:val="24"/>
          <w:szCs w:val="24"/>
        </w:rPr>
      </w:pPr>
      <w:bookmarkStart w:id="84" w:name="_Toc395694473"/>
      <w:r w:rsidRPr="006E7289">
        <w:rPr>
          <w:rFonts w:ascii="Arial" w:hAnsi="Arial" w:cs="Arial"/>
          <w:sz w:val="24"/>
          <w:szCs w:val="24"/>
        </w:rPr>
        <w:t>A.18</w:t>
      </w:r>
      <w:r w:rsidRPr="006E7289">
        <w:rPr>
          <w:rFonts w:ascii="Arial" w:hAnsi="Arial" w:cs="Arial"/>
          <w:sz w:val="24"/>
          <w:szCs w:val="24"/>
        </w:rPr>
        <w:tab/>
        <w:t>Exceptions to Certification for Paperwork Reduction Act Submissions</w:t>
      </w:r>
      <w:bookmarkEnd w:id="80"/>
      <w:bookmarkEnd w:id="81"/>
      <w:bookmarkEnd w:id="82"/>
      <w:bookmarkEnd w:id="83"/>
      <w:bookmarkEnd w:id="84"/>
    </w:p>
    <w:p w:rsidR="000D5F5C" w:rsidRDefault="000D5F5C" w:rsidP="00B62E77">
      <w:pPr>
        <w:widowControl w:val="0"/>
        <w:adjustRightInd w:val="0"/>
        <w:snapToGrid w:val="0"/>
        <w:jc w:val="both"/>
        <w:rPr>
          <w:bCs/>
        </w:rPr>
      </w:pPr>
    </w:p>
    <w:p w:rsidR="00F219E0" w:rsidRPr="005112B2" w:rsidRDefault="00B62E77" w:rsidP="000B0A82">
      <w:pPr>
        <w:widowControl w:val="0"/>
        <w:adjustRightInd w:val="0"/>
        <w:snapToGrid w:val="0"/>
        <w:jc w:val="both"/>
        <w:rPr>
          <w:b/>
          <w:color w:val="FF0000"/>
        </w:rPr>
      </w:pPr>
      <w:r w:rsidRPr="007354EB">
        <w:rPr>
          <w:bCs/>
        </w:rPr>
        <w:t>There are no exceptions to the certification statement of OMB Form 83-I.</w:t>
      </w:r>
    </w:p>
    <w:sectPr w:rsidR="00F219E0" w:rsidRPr="005112B2" w:rsidSect="009A7CFF">
      <w:pgSz w:w="12240" w:h="15840"/>
      <w:pgMar w:top="990" w:right="1800" w:bottom="81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AF" w:rsidRDefault="00A349AF">
      <w:r>
        <w:separator/>
      </w:r>
    </w:p>
  </w:endnote>
  <w:endnote w:type="continuationSeparator" w:id="0">
    <w:p w:rsidR="00A349AF" w:rsidRDefault="00A3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55" w:rsidRDefault="00071155"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1155" w:rsidRDefault="000711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397608"/>
      <w:docPartObj>
        <w:docPartGallery w:val="Page Numbers (Bottom of Page)"/>
        <w:docPartUnique/>
      </w:docPartObj>
    </w:sdtPr>
    <w:sdtEndPr/>
    <w:sdtContent>
      <w:p w:rsidR="00071155" w:rsidRDefault="00071155">
        <w:pPr>
          <w:pStyle w:val="Footer"/>
          <w:jc w:val="center"/>
        </w:pPr>
        <w:r>
          <w:fldChar w:fldCharType="begin"/>
        </w:r>
        <w:r>
          <w:instrText xml:space="preserve"> PAGE   \* MERGEFORMAT </w:instrText>
        </w:r>
        <w:r>
          <w:fldChar w:fldCharType="separate"/>
        </w:r>
        <w:r w:rsidR="00A07B01">
          <w:rPr>
            <w:noProof/>
          </w:rPr>
          <w:t>i</w:t>
        </w:r>
        <w:r>
          <w:rPr>
            <w:noProof/>
          </w:rPr>
          <w:fldChar w:fldCharType="end"/>
        </w:r>
      </w:p>
    </w:sdtContent>
  </w:sdt>
  <w:p w:rsidR="00071155" w:rsidRDefault="00071155" w:rsidP="004A70E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CFF" w:rsidRDefault="009A7CFF">
    <w:pPr>
      <w:pStyle w:val="Footer"/>
    </w:pPr>
    <w:r>
      <w:ptab w:relativeTo="margin" w:alignment="center" w:leader="none"/>
    </w:r>
    <w:proofErr w:type="gramStart"/>
    <w:r>
      <w:t>ii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AF" w:rsidRDefault="00A349AF">
      <w:r>
        <w:separator/>
      </w:r>
    </w:p>
  </w:footnote>
  <w:footnote w:type="continuationSeparator" w:id="0">
    <w:p w:rsidR="00A349AF" w:rsidRDefault="00A34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733"/>
    <w:multiLevelType w:val="hybridMultilevel"/>
    <w:tmpl w:val="8C90F98A"/>
    <w:lvl w:ilvl="0" w:tplc="0DC480D2">
      <w:numFmt w:val="bullet"/>
      <w:lvlText w:val=""/>
      <w:lvlJc w:val="left"/>
      <w:pPr>
        <w:ind w:left="450" w:hanging="360"/>
      </w:pPr>
      <w:rPr>
        <w:rFonts w:ascii="Symbol" w:eastAsia="Calibri"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2FD4407"/>
    <w:multiLevelType w:val="hybridMultilevel"/>
    <w:tmpl w:val="E4508C04"/>
    <w:lvl w:ilvl="0" w:tplc="E4563336">
      <w:start w:val="1"/>
      <w:numFmt w:val="bullet"/>
      <w:lvlText w:val="•"/>
      <w:lvlJc w:val="left"/>
      <w:pPr>
        <w:tabs>
          <w:tab w:val="num" w:pos="720"/>
        </w:tabs>
        <w:ind w:left="720" w:hanging="360"/>
      </w:pPr>
      <w:rPr>
        <w:rFonts w:ascii="Times New Roman" w:hAnsi="Times New Roman" w:hint="default"/>
      </w:rPr>
    </w:lvl>
    <w:lvl w:ilvl="1" w:tplc="FB9E9B9A" w:tentative="1">
      <w:start w:val="1"/>
      <w:numFmt w:val="bullet"/>
      <w:lvlText w:val="•"/>
      <w:lvlJc w:val="left"/>
      <w:pPr>
        <w:tabs>
          <w:tab w:val="num" w:pos="1440"/>
        </w:tabs>
        <w:ind w:left="1440" w:hanging="360"/>
      </w:pPr>
      <w:rPr>
        <w:rFonts w:ascii="Times New Roman" w:hAnsi="Times New Roman" w:hint="default"/>
      </w:rPr>
    </w:lvl>
    <w:lvl w:ilvl="2" w:tplc="FC9EBCBA" w:tentative="1">
      <w:start w:val="1"/>
      <w:numFmt w:val="bullet"/>
      <w:lvlText w:val="•"/>
      <w:lvlJc w:val="left"/>
      <w:pPr>
        <w:tabs>
          <w:tab w:val="num" w:pos="2160"/>
        </w:tabs>
        <w:ind w:left="2160" w:hanging="360"/>
      </w:pPr>
      <w:rPr>
        <w:rFonts w:ascii="Times New Roman" w:hAnsi="Times New Roman" w:hint="default"/>
      </w:rPr>
    </w:lvl>
    <w:lvl w:ilvl="3" w:tplc="B3648144" w:tentative="1">
      <w:start w:val="1"/>
      <w:numFmt w:val="bullet"/>
      <w:lvlText w:val="•"/>
      <w:lvlJc w:val="left"/>
      <w:pPr>
        <w:tabs>
          <w:tab w:val="num" w:pos="2880"/>
        </w:tabs>
        <w:ind w:left="2880" w:hanging="360"/>
      </w:pPr>
      <w:rPr>
        <w:rFonts w:ascii="Times New Roman" w:hAnsi="Times New Roman" w:hint="default"/>
      </w:rPr>
    </w:lvl>
    <w:lvl w:ilvl="4" w:tplc="70BEBB2E" w:tentative="1">
      <w:start w:val="1"/>
      <w:numFmt w:val="bullet"/>
      <w:lvlText w:val="•"/>
      <w:lvlJc w:val="left"/>
      <w:pPr>
        <w:tabs>
          <w:tab w:val="num" w:pos="3600"/>
        </w:tabs>
        <w:ind w:left="3600" w:hanging="360"/>
      </w:pPr>
      <w:rPr>
        <w:rFonts w:ascii="Times New Roman" w:hAnsi="Times New Roman" w:hint="default"/>
      </w:rPr>
    </w:lvl>
    <w:lvl w:ilvl="5" w:tplc="4C524910" w:tentative="1">
      <w:start w:val="1"/>
      <w:numFmt w:val="bullet"/>
      <w:lvlText w:val="•"/>
      <w:lvlJc w:val="left"/>
      <w:pPr>
        <w:tabs>
          <w:tab w:val="num" w:pos="4320"/>
        </w:tabs>
        <w:ind w:left="4320" w:hanging="360"/>
      </w:pPr>
      <w:rPr>
        <w:rFonts w:ascii="Times New Roman" w:hAnsi="Times New Roman" w:hint="default"/>
      </w:rPr>
    </w:lvl>
    <w:lvl w:ilvl="6" w:tplc="7CDA5DA8" w:tentative="1">
      <w:start w:val="1"/>
      <w:numFmt w:val="bullet"/>
      <w:lvlText w:val="•"/>
      <w:lvlJc w:val="left"/>
      <w:pPr>
        <w:tabs>
          <w:tab w:val="num" w:pos="5040"/>
        </w:tabs>
        <w:ind w:left="5040" w:hanging="360"/>
      </w:pPr>
      <w:rPr>
        <w:rFonts w:ascii="Times New Roman" w:hAnsi="Times New Roman" w:hint="default"/>
      </w:rPr>
    </w:lvl>
    <w:lvl w:ilvl="7" w:tplc="919232B6" w:tentative="1">
      <w:start w:val="1"/>
      <w:numFmt w:val="bullet"/>
      <w:lvlText w:val="•"/>
      <w:lvlJc w:val="left"/>
      <w:pPr>
        <w:tabs>
          <w:tab w:val="num" w:pos="5760"/>
        </w:tabs>
        <w:ind w:left="5760" w:hanging="360"/>
      </w:pPr>
      <w:rPr>
        <w:rFonts w:ascii="Times New Roman" w:hAnsi="Times New Roman" w:hint="default"/>
      </w:rPr>
    </w:lvl>
    <w:lvl w:ilvl="8" w:tplc="BD68D14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6174F5"/>
    <w:multiLevelType w:val="hybridMultilevel"/>
    <w:tmpl w:val="144AD1DC"/>
    <w:lvl w:ilvl="0" w:tplc="68DE9964">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A2E3571"/>
    <w:multiLevelType w:val="hybridMultilevel"/>
    <w:tmpl w:val="F9F27974"/>
    <w:lvl w:ilvl="0" w:tplc="F424AB72">
      <w:start w:val="1"/>
      <w:numFmt w:val="bullet"/>
      <w:lvlText w:val="•"/>
      <w:lvlJc w:val="left"/>
      <w:pPr>
        <w:tabs>
          <w:tab w:val="num" w:pos="720"/>
        </w:tabs>
        <w:ind w:left="720" w:hanging="360"/>
      </w:pPr>
      <w:rPr>
        <w:rFonts w:ascii="Times New Roman" w:hAnsi="Times New Roman" w:hint="default"/>
      </w:rPr>
    </w:lvl>
    <w:lvl w:ilvl="1" w:tplc="D18A370C" w:tentative="1">
      <w:start w:val="1"/>
      <w:numFmt w:val="bullet"/>
      <w:lvlText w:val="•"/>
      <w:lvlJc w:val="left"/>
      <w:pPr>
        <w:tabs>
          <w:tab w:val="num" w:pos="1440"/>
        </w:tabs>
        <w:ind w:left="1440" w:hanging="360"/>
      </w:pPr>
      <w:rPr>
        <w:rFonts w:ascii="Times New Roman" w:hAnsi="Times New Roman" w:hint="default"/>
      </w:rPr>
    </w:lvl>
    <w:lvl w:ilvl="2" w:tplc="2D325972" w:tentative="1">
      <w:start w:val="1"/>
      <w:numFmt w:val="bullet"/>
      <w:lvlText w:val="•"/>
      <w:lvlJc w:val="left"/>
      <w:pPr>
        <w:tabs>
          <w:tab w:val="num" w:pos="2160"/>
        </w:tabs>
        <w:ind w:left="2160" w:hanging="360"/>
      </w:pPr>
      <w:rPr>
        <w:rFonts w:ascii="Times New Roman" w:hAnsi="Times New Roman" w:hint="default"/>
      </w:rPr>
    </w:lvl>
    <w:lvl w:ilvl="3" w:tplc="DF3EEEBE" w:tentative="1">
      <w:start w:val="1"/>
      <w:numFmt w:val="bullet"/>
      <w:lvlText w:val="•"/>
      <w:lvlJc w:val="left"/>
      <w:pPr>
        <w:tabs>
          <w:tab w:val="num" w:pos="2880"/>
        </w:tabs>
        <w:ind w:left="2880" w:hanging="360"/>
      </w:pPr>
      <w:rPr>
        <w:rFonts w:ascii="Times New Roman" w:hAnsi="Times New Roman" w:hint="default"/>
      </w:rPr>
    </w:lvl>
    <w:lvl w:ilvl="4" w:tplc="A686CEEA" w:tentative="1">
      <w:start w:val="1"/>
      <w:numFmt w:val="bullet"/>
      <w:lvlText w:val="•"/>
      <w:lvlJc w:val="left"/>
      <w:pPr>
        <w:tabs>
          <w:tab w:val="num" w:pos="3600"/>
        </w:tabs>
        <w:ind w:left="3600" w:hanging="360"/>
      </w:pPr>
      <w:rPr>
        <w:rFonts w:ascii="Times New Roman" w:hAnsi="Times New Roman" w:hint="default"/>
      </w:rPr>
    </w:lvl>
    <w:lvl w:ilvl="5" w:tplc="A234107C" w:tentative="1">
      <w:start w:val="1"/>
      <w:numFmt w:val="bullet"/>
      <w:lvlText w:val="•"/>
      <w:lvlJc w:val="left"/>
      <w:pPr>
        <w:tabs>
          <w:tab w:val="num" w:pos="4320"/>
        </w:tabs>
        <w:ind w:left="4320" w:hanging="360"/>
      </w:pPr>
      <w:rPr>
        <w:rFonts w:ascii="Times New Roman" w:hAnsi="Times New Roman" w:hint="default"/>
      </w:rPr>
    </w:lvl>
    <w:lvl w:ilvl="6" w:tplc="BFD602E2" w:tentative="1">
      <w:start w:val="1"/>
      <w:numFmt w:val="bullet"/>
      <w:lvlText w:val="•"/>
      <w:lvlJc w:val="left"/>
      <w:pPr>
        <w:tabs>
          <w:tab w:val="num" w:pos="5040"/>
        </w:tabs>
        <w:ind w:left="5040" w:hanging="360"/>
      </w:pPr>
      <w:rPr>
        <w:rFonts w:ascii="Times New Roman" w:hAnsi="Times New Roman" w:hint="default"/>
      </w:rPr>
    </w:lvl>
    <w:lvl w:ilvl="7" w:tplc="E01AC5E0" w:tentative="1">
      <w:start w:val="1"/>
      <w:numFmt w:val="bullet"/>
      <w:lvlText w:val="•"/>
      <w:lvlJc w:val="left"/>
      <w:pPr>
        <w:tabs>
          <w:tab w:val="num" w:pos="5760"/>
        </w:tabs>
        <w:ind w:left="5760" w:hanging="360"/>
      </w:pPr>
      <w:rPr>
        <w:rFonts w:ascii="Times New Roman" w:hAnsi="Times New Roman" w:hint="default"/>
      </w:rPr>
    </w:lvl>
    <w:lvl w:ilvl="8" w:tplc="BD027AA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B4F7A18"/>
    <w:multiLevelType w:val="hybridMultilevel"/>
    <w:tmpl w:val="6258361A"/>
    <w:lvl w:ilvl="0" w:tplc="E89EB724">
      <w:start w:val="1"/>
      <w:numFmt w:val="bullet"/>
      <w:lvlText w:val="•"/>
      <w:lvlJc w:val="left"/>
      <w:pPr>
        <w:tabs>
          <w:tab w:val="num" w:pos="720"/>
        </w:tabs>
        <w:ind w:left="720" w:hanging="360"/>
      </w:pPr>
      <w:rPr>
        <w:rFonts w:ascii="Times New Roman" w:hAnsi="Times New Roman" w:hint="default"/>
      </w:rPr>
    </w:lvl>
    <w:lvl w:ilvl="1" w:tplc="7422C3B6" w:tentative="1">
      <w:start w:val="1"/>
      <w:numFmt w:val="bullet"/>
      <w:lvlText w:val="•"/>
      <w:lvlJc w:val="left"/>
      <w:pPr>
        <w:tabs>
          <w:tab w:val="num" w:pos="1440"/>
        </w:tabs>
        <w:ind w:left="1440" w:hanging="360"/>
      </w:pPr>
      <w:rPr>
        <w:rFonts w:ascii="Times New Roman" w:hAnsi="Times New Roman" w:hint="default"/>
      </w:rPr>
    </w:lvl>
    <w:lvl w:ilvl="2" w:tplc="C39E1158" w:tentative="1">
      <w:start w:val="1"/>
      <w:numFmt w:val="bullet"/>
      <w:lvlText w:val="•"/>
      <w:lvlJc w:val="left"/>
      <w:pPr>
        <w:tabs>
          <w:tab w:val="num" w:pos="2160"/>
        </w:tabs>
        <w:ind w:left="2160" w:hanging="360"/>
      </w:pPr>
      <w:rPr>
        <w:rFonts w:ascii="Times New Roman" w:hAnsi="Times New Roman" w:hint="default"/>
      </w:rPr>
    </w:lvl>
    <w:lvl w:ilvl="3" w:tplc="E0E68656" w:tentative="1">
      <w:start w:val="1"/>
      <w:numFmt w:val="bullet"/>
      <w:lvlText w:val="•"/>
      <w:lvlJc w:val="left"/>
      <w:pPr>
        <w:tabs>
          <w:tab w:val="num" w:pos="2880"/>
        </w:tabs>
        <w:ind w:left="2880" w:hanging="360"/>
      </w:pPr>
      <w:rPr>
        <w:rFonts w:ascii="Times New Roman" w:hAnsi="Times New Roman" w:hint="default"/>
      </w:rPr>
    </w:lvl>
    <w:lvl w:ilvl="4" w:tplc="F034C06A" w:tentative="1">
      <w:start w:val="1"/>
      <w:numFmt w:val="bullet"/>
      <w:lvlText w:val="•"/>
      <w:lvlJc w:val="left"/>
      <w:pPr>
        <w:tabs>
          <w:tab w:val="num" w:pos="3600"/>
        </w:tabs>
        <w:ind w:left="3600" w:hanging="360"/>
      </w:pPr>
      <w:rPr>
        <w:rFonts w:ascii="Times New Roman" w:hAnsi="Times New Roman" w:hint="default"/>
      </w:rPr>
    </w:lvl>
    <w:lvl w:ilvl="5" w:tplc="200820C4" w:tentative="1">
      <w:start w:val="1"/>
      <w:numFmt w:val="bullet"/>
      <w:lvlText w:val="•"/>
      <w:lvlJc w:val="left"/>
      <w:pPr>
        <w:tabs>
          <w:tab w:val="num" w:pos="4320"/>
        </w:tabs>
        <w:ind w:left="4320" w:hanging="360"/>
      </w:pPr>
      <w:rPr>
        <w:rFonts w:ascii="Times New Roman" w:hAnsi="Times New Roman" w:hint="default"/>
      </w:rPr>
    </w:lvl>
    <w:lvl w:ilvl="6" w:tplc="8442448A" w:tentative="1">
      <w:start w:val="1"/>
      <w:numFmt w:val="bullet"/>
      <w:lvlText w:val="•"/>
      <w:lvlJc w:val="left"/>
      <w:pPr>
        <w:tabs>
          <w:tab w:val="num" w:pos="5040"/>
        </w:tabs>
        <w:ind w:left="5040" w:hanging="360"/>
      </w:pPr>
      <w:rPr>
        <w:rFonts w:ascii="Times New Roman" w:hAnsi="Times New Roman" w:hint="default"/>
      </w:rPr>
    </w:lvl>
    <w:lvl w:ilvl="7" w:tplc="F682A534" w:tentative="1">
      <w:start w:val="1"/>
      <w:numFmt w:val="bullet"/>
      <w:lvlText w:val="•"/>
      <w:lvlJc w:val="left"/>
      <w:pPr>
        <w:tabs>
          <w:tab w:val="num" w:pos="5760"/>
        </w:tabs>
        <w:ind w:left="5760" w:hanging="360"/>
      </w:pPr>
      <w:rPr>
        <w:rFonts w:ascii="Times New Roman" w:hAnsi="Times New Roman" w:hint="default"/>
      </w:rPr>
    </w:lvl>
    <w:lvl w:ilvl="8" w:tplc="4AA8A500" w:tentative="1">
      <w:start w:val="1"/>
      <w:numFmt w:val="bullet"/>
      <w:lvlText w:val="•"/>
      <w:lvlJc w:val="left"/>
      <w:pPr>
        <w:tabs>
          <w:tab w:val="num" w:pos="6480"/>
        </w:tabs>
        <w:ind w:left="6480" w:hanging="360"/>
      </w:pPr>
      <w:rPr>
        <w:rFonts w:ascii="Times New Roman" w:hAnsi="Times New Roman" w:hint="default"/>
      </w:rPr>
    </w:lvl>
  </w:abstractNum>
  <w:abstractNum w:abstractNumId="5">
    <w:nsid w:val="0D6C0A9F"/>
    <w:multiLevelType w:val="hybridMultilevel"/>
    <w:tmpl w:val="43F69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E4E05A1"/>
    <w:multiLevelType w:val="hybridMultilevel"/>
    <w:tmpl w:val="265046A2"/>
    <w:lvl w:ilvl="0" w:tplc="21BA5BF4">
      <w:start w:val="1"/>
      <w:numFmt w:val="bullet"/>
      <w:lvlText w:val="•"/>
      <w:lvlJc w:val="left"/>
      <w:pPr>
        <w:tabs>
          <w:tab w:val="num" w:pos="720"/>
        </w:tabs>
        <w:ind w:left="720" w:hanging="360"/>
      </w:pPr>
      <w:rPr>
        <w:rFonts w:ascii="Times New Roman" w:hAnsi="Times New Roman" w:hint="default"/>
      </w:rPr>
    </w:lvl>
    <w:lvl w:ilvl="1" w:tplc="367EDA56">
      <w:start w:val="1536"/>
      <w:numFmt w:val="bullet"/>
      <w:lvlText w:val="─"/>
      <w:lvlJc w:val="left"/>
      <w:pPr>
        <w:tabs>
          <w:tab w:val="num" w:pos="1440"/>
        </w:tabs>
        <w:ind w:left="1440" w:hanging="360"/>
      </w:pPr>
      <w:rPr>
        <w:rFonts w:ascii="Arial" w:hAnsi="Arial" w:hint="default"/>
      </w:rPr>
    </w:lvl>
    <w:lvl w:ilvl="2" w:tplc="9D2AE4A8">
      <w:start w:val="1536"/>
      <w:numFmt w:val="bullet"/>
      <w:lvlText w:val="•"/>
      <w:lvlJc w:val="left"/>
      <w:pPr>
        <w:tabs>
          <w:tab w:val="num" w:pos="2160"/>
        </w:tabs>
        <w:ind w:left="2160" w:hanging="360"/>
      </w:pPr>
      <w:rPr>
        <w:rFonts w:ascii="Times New Roman" w:hAnsi="Times New Roman" w:hint="default"/>
      </w:rPr>
    </w:lvl>
    <w:lvl w:ilvl="3" w:tplc="828826E0" w:tentative="1">
      <w:start w:val="1"/>
      <w:numFmt w:val="bullet"/>
      <w:lvlText w:val="•"/>
      <w:lvlJc w:val="left"/>
      <w:pPr>
        <w:tabs>
          <w:tab w:val="num" w:pos="2880"/>
        </w:tabs>
        <w:ind w:left="2880" w:hanging="360"/>
      </w:pPr>
      <w:rPr>
        <w:rFonts w:ascii="Times New Roman" w:hAnsi="Times New Roman" w:hint="default"/>
      </w:rPr>
    </w:lvl>
    <w:lvl w:ilvl="4" w:tplc="E12A87F4" w:tentative="1">
      <w:start w:val="1"/>
      <w:numFmt w:val="bullet"/>
      <w:lvlText w:val="•"/>
      <w:lvlJc w:val="left"/>
      <w:pPr>
        <w:tabs>
          <w:tab w:val="num" w:pos="3600"/>
        </w:tabs>
        <w:ind w:left="3600" w:hanging="360"/>
      </w:pPr>
      <w:rPr>
        <w:rFonts w:ascii="Times New Roman" w:hAnsi="Times New Roman" w:hint="default"/>
      </w:rPr>
    </w:lvl>
    <w:lvl w:ilvl="5" w:tplc="292CDB02" w:tentative="1">
      <w:start w:val="1"/>
      <w:numFmt w:val="bullet"/>
      <w:lvlText w:val="•"/>
      <w:lvlJc w:val="left"/>
      <w:pPr>
        <w:tabs>
          <w:tab w:val="num" w:pos="4320"/>
        </w:tabs>
        <w:ind w:left="4320" w:hanging="360"/>
      </w:pPr>
      <w:rPr>
        <w:rFonts w:ascii="Times New Roman" w:hAnsi="Times New Roman" w:hint="default"/>
      </w:rPr>
    </w:lvl>
    <w:lvl w:ilvl="6" w:tplc="797AD8B0" w:tentative="1">
      <w:start w:val="1"/>
      <w:numFmt w:val="bullet"/>
      <w:lvlText w:val="•"/>
      <w:lvlJc w:val="left"/>
      <w:pPr>
        <w:tabs>
          <w:tab w:val="num" w:pos="5040"/>
        </w:tabs>
        <w:ind w:left="5040" w:hanging="360"/>
      </w:pPr>
      <w:rPr>
        <w:rFonts w:ascii="Times New Roman" w:hAnsi="Times New Roman" w:hint="default"/>
      </w:rPr>
    </w:lvl>
    <w:lvl w:ilvl="7" w:tplc="855809C0" w:tentative="1">
      <w:start w:val="1"/>
      <w:numFmt w:val="bullet"/>
      <w:lvlText w:val="•"/>
      <w:lvlJc w:val="left"/>
      <w:pPr>
        <w:tabs>
          <w:tab w:val="num" w:pos="5760"/>
        </w:tabs>
        <w:ind w:left="5760" w:hanging="360"/>
      </w:pPr>
      <w:rPr>
        <w:rFonts w:ascii="Times New Roman" w:hAnsi="Times New Roman" w:hint="default"/>
      </w:rPr>
    </w:lvl>
    <w:lvl w:ilvl="8" w:tplc="5080C554" w:tentative="1">
      <w:start w:val="1"/>
      <w:numFmt w:val="bullet"/>
      <w:lvlText w:val="•"/>
      <w:lvlJc w:val="left"/>
      <w:pPr>
        <w:tabs>
          <w:tab w:val="num" w:pos="6480"/>
        </w:tabs>
        <w:ind w:left="6480" w:hanging="360"/>
      </w:pPr>
      <w:rPr>
        <w:rFonts w:ascii="Times New Roman" w:hAnsi="Times New Roman" w:hint="default"/>
      </w:rPr>
    </w:lvl>
  </w:abstractNum>
  <w:abstractNum w:abstractNumId="7">
    <w:nsid w:val="16A85E57"/>
    <w:multiLevelType w:val="hybridMultilevel"/>
    <w:tmpl w:val="FF8EA774"/>
    <w:lvl w:ilvl="0" w:tplc="AE522BA8">
      <w:start w:val="1"/>
      <w:numFmt w:val="bullet"/>
      <w:lvlText w:val="•"/>
      <w:lvlJc w:val="left"/>
      <w:pPr>
        <w:tabs>
          <w:tab w:val="num" w:pos="720"/>
        </w:tabs>
        <w:ind w:left="720" w:hanging="360"/>
      </w:pPr>
      <w:rPr>
        <w:rFonts w:ascii="Times New Roman" w:hAnsi="Times New Roman" w:hint="default"/>
      </w:rPr>
    </w:lvl>
    <w:lvl w:ilvl="1" w:tplc="3982937E" w:tentative="1">
      <w:start w:val="1"/>
      <w:numFmt w:val="bullet"/>
      <w:lvlText w:val="•"/>
      <w:lvlJc w:val="left"/>
      <w:pPr>
        <w:tabs>
          <w:tab w:val="num" w:pos="1440"/>
        </w:tabs>
        <w:ind w:left="1440" w:hanging="360"/>
      </w:pPr>
      <w:rPr>
        <w:rFonts w:ascii="Times New Roman" w:hAnsi="Times New Roman" w:hint="default"/>
      </w:rPr>
    </w:lvl>
    <w:lvl w:ilvl="2" w:tplc="B7CC8E44" w:tentative="1">
      <w:start w:val="1"/>
      <w:numFmt w:val="bullet"/>
      <w:lvlText w:val="•"/>
      <w:lvlJc w:val="left"/>
      <w:pPr>
        <w:tabs>
          <w:tab w:val="num" w:pos="2160"/>
        </w:tabs>
        <w:ind w:left="2160" w:hanging="360"/>
      </w:pPr>
      <w:rPr>
        <w:rFonts w:ascii="Times New Roman" w:hAnsi="Times New Roman" w:hint="default"/>
      </w:rPr>
    </w:lvl>
    <w:lvl w:ilvl="3" w:tplc="4F165B70" w:tentative="1">
      <w:start w:val="1"/>
      <w:numFmt w:val="bullet"/>
      <w:lvlText w:val="•"/>
      <w:lvlJc w:val="left"/>
      <w:pPr>
        <w:tabs>
          <w:tab w:val="num" w:pos="2880"/>
        </w:tabs>
        <w:ind w:left="2880" w:hanging="360"/>
      </w:pPr>
      <w:rPr>
        <w:rFonts w:ascii="Times New Roman" w:hAnsi="Times New Roman" w:hint="default"/>
      </w:rPr>
    </w:lvl>
    <w:lvl w:ilvl="4" w:tplc="5FB04F8A" w:tentative="1">
      <w:start w:val="1"/>
      <w:numFmt w:val="bullet"/>
      <w:lvlText w:val="•"/>
      <w:lvlJc w:val="left"/>
      <w:pPr>
        <w:tabs>
          <w:tab w:val="num" w:pos="3600"/>
        </w:tabs>
        <w:ind w:left="3600" w:hanging="360"/>
      </w:pPr>
      <w:rPr>
        <w:rFonts w:ascii="Times New Roman" w:hAnsi="Times New Roman" w:hint="default"/>
      </w:rPr>
    </w:lvl>
    <w:lvl w:ilvl="5" w:tplc="E61669E6" w:tentative="1">
      <w:start w:val="1"/>
      <w:numFmt w:val="bullet"/>
      <w:lvlText w:val="•"/>
      <w:lvlJc w:val="left"/>
      <w:pPr>
        <w:tabs>
          <w:tab w:val="num" w:pos="4320"/>
        </w:tabs>
        <w:ind w:left="4320" w:hanging="360"/>
      </w:pPr>
      <w:rPr>
        <w:rFonts w:ascii="Times New Roman" w:hAnsi="Times New Roman" w:hint="default"/>
      </w:rPr>
    </w:lvl>
    <w:lvl w:ilvl="6" w:tplc="28B89C9A" w:tentative="1">
      <w:start w:val="1"/>
      <w:numFmt w:val="bullet"/>
      <w:lvlText w:val="•"/>
      <w:lvlJc w:val="left"/>
      <w:pPr>
        <w:tabs>
          <w:tab w:val="num" w:pos="5040"/>
        </w:tabs>
        <w:ind w:left="5040" w:hanging="360"/>
      </w:pPr>
      <w:rPr>
        <w:rFonts w:ascii="Times New Roman" w:hAnsi="Times New Roman" w:hint="default"/>
      </w:rPr>
    </w:lvl>
    <w:lvl w:ilvl="7" w:tplc="36FCD04A" w:tentative="1">
      <w:start w:val="1"/>
      <w:numFmt w:val="bullet"/>
      <w:lvlText w:val="•"/>
      <w:lvlJc w:val="left"/>
      <w:pPr>
        <w:tabs>
          <w:tab w:val="num" w:pos="5760"/>
        </w:tabs>
        <w:ind w:left="5760" w:hanging="360"/>
      </w:pPr>
      <w:rPr>
        <w:rFonts w:ascii="Times New Roman" w:hAnsi="Times New Roman" w:hint="default"/>
      </w:rPr>
    </w:lvl>
    <w:lvl w:ilvl="8" w:tplc="3290488A" w:tentative="1">
      <w:start w:val="1"/>
      <w:numFmt w:val="bullet"/>
      <w:lvlText w:val="•"/>
      <w:lvlJc w:val="left"/>
      <w:pPr>
        <w:tabs>
          <w:tab w:val="num" w:pos="6480"/>
        </w:tabs>
        <w:ind w:left="6480" w:hanging="360"/>
      </w:pPr>
      <w:rPr>
        <w:rFonts w:ascii="Times New Roman" w:hAnsi="Times New Roman" w:hint="default"/>
      </w:rPr>
    </w:lvl>
  </w:abstractNum>
  <w:abstractNum w:abstractNumId="8">
    <w:nsid w:val="381B2A6C"/>
    <w:multiLevelType w:val="hybridMultilevel"/>
    <w:tmpl w:val="E6F290AA"/>
    <w:lvl w:ilvl="0" w:tplc="E6DE6C7A">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0">
    <w:nsid w:val="57104B1D"/>
    <w:multiLevelType w:val="hybridMultilevel"/>
    <w:tmpl w:val="94FE72E8"/>
    <w:lvl w:ilvl="0" w:tplc="90080A9A">
      <w:start w:val="1"/>
      <w:numFmt w:val="bullet"/>
      <w:lvlText w:val="•"/>
      <w:lvlJc w:val="left"/>
      <w:pPr>
        <w:tabs>
          <w:tab w:val="num" w:pos="720"/>
        </w:tabs>
        <w:ind w:left="720" w:hanging="360"/>
      </w:pPr>
      <w:rPr>
        <w:rFonts w:ascii="Times New Roman" w:hAnsi="Times New Roman" w:hint="default"/>
      </w:rPr>
    </w:lvl>
    <w:lvl w:ilvl="1" w:tplc="13AC044C">
      <w:start w:val="1"/>
      <w:numFmt w:val="bullet"/>
      <w:lvlText w:val="•"/>
      <w:lvlJc w:val="left"/>
      <w:pPr>
        <w:tabs>
          <w:tab w:val="num" w:pos="1440"/>
        </w:tabs>
        <w:ind w:left="1440" w:hanging="360"/>
      </w:pPr>
      <w:rPr>
        <w:rFonts w:ascii="Times New Roman" w:hAnsi="Times New Roman" w:hint="default"/>
      </w:rPr>
    </w:lvl>
    <w:lvl w:ilvl="2" w:tplc="212E25D0">
      <w:start w:val="1"/>
      <w:numFmt w:val="bullet"/>
      <w:lvlText w:val="•"/>
      <w:lvlJc w:val="left"/>
      <w:pPr>
        <w:tabs>
          <w:tab w:val="num" w:pos="2160"/>
        </w:tabs>
        <w:ind w:left="2160" w:hanging="360"/>
      </w:pPr>
      <w:rPr>
        <w:rFonts w:ascii="Times New Roman" w:hAnsi="Times New Roman" w:hint="default"/>
      </w:rPr>
    </w:lvl>
    <w:lvl w:ilvl="3" w:tplc="F872CC8C" w:tentative="1">
      <w:start w:val="1"/>
      <w:numFmt w:val="bullet"/>
      <w:lvlText w:val="•"/>
      <w:lvlJc w:val="left"/>
      <w:pPr>
        <w:tabs>
          <w:tab w:val="num" w:pos="2880"/>
        </w:tabs>
        <w:ind w:left="2880" w:hanging="360"/>
      </w:pPr>
      <w:rPr>
        <w:rFonts w:ascii="Times New Roman" w:hAnsi="Times New Roman" w:hint="default"/>
      </w:rPr>
    </w:lvl>
    <w:lvl w:ilvl="4" w:tplc="A0542C66" w:tentative="1">
      <w:start w:val="1"/>
      <w:numFmt w:val="bullet"/>
      <w:lvlText w:val="•"/>
      <w:lvlJc w:val="left"/>
      <w:pPr>
        <w:tabs>
          <w:tab w:val="num" w:pos="3600"/>
        </w:tabs>
        <w:ind w:left="3600" w:hanging="360"/>
      </w:pPr>
      <w:rPr>
        <w:rFonts w:ascii="Times New Roman" w:hAnsi="Times New Roman" w:hint="default"/>
      </w:rPr>
    </w:lvl>
    <w:lvl w:ilvl="5" w:tplc="A7CEF638" w:tentative="1">
      <w:start w:val="1"/>
      <w:numFmt w:val="bullet"/>
      <w:lvlText w:val="•"/>
      <w:lvlJc w:val="left"/>
      <w:pPr>
        <w:tabs>
          <w:tab w:val="num" w:pos="4320"/>
        </w:tabs>
        <w:ind w:left="4320" w:hanging="360"/>
      </w:pPr>
      <w:rPr>
        <w:rFonts w:ascii="Times New Roman" w:hAnsi="Times New Roman" w:hint="default"/>
      </w:rPr>
    </w:lvl>
    <w:lvl w:ilvl="6" w:tplc="718A1B4C" w:tentative="1">
      <w:start w:val="1"/>
      <w:numFmt w:val="bullet"/>
      <w:lvlText w:val="•"/>
      <w:lvlJc w:val="left"/>
      <w:pPr>
        <w:tabs>
          <w:tab w:val="num" w:pos="5040"/>
        </w:tabs>
        <w:ind w:left="5040" w:hanging="360"/>
      </w:pPr>
      <w:rPr>
        <w:rFonts w:ascii="Times New Roman" w:hAnsi="Times New Roman" w:hint="default"/>
      </w:rPr>
    </w:lvl>
    <w:lvl w:ilvl="7" w:tplc="A170CE7A" w:tentative="1">
      <w:start w:val="1"/>
      <w:numFmt w:val="bullet"/>
      <w:lvlText w:val="•"/>
      <w:lvlJc w:val="left"/>
      <w:pPr>
        <w:tabs>
          <w:tab w:val="num" w:pos="5760"/>
        </w:tabs>
        <w:ind w:left="5760" w:hanging="360"/>
      </w:pPr>
      <w:rPr>
        <w:rFonts w:ascii="Times New Roman" w:hAnsi="Times New Roman" w:hint="default"/>
      </w:rPr>
    </w:lvl>
    <w:lvl w:ilvl="8" w:tplc="C1CA091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EB927B0"/>
    <w:multiLevelType w:val="hybridMultilevel"/>
    <w:tmpl w:val="64EE9C32"/>
    <w:lvl w:ilvl="0" w:tplc="BC8276EA">
      <w:start w:val="1"/>
      <w:numFmt w:val="bullet"/>
      <w:lvlText w:val="•"/>
      <w:lvlJc w:val="left"/>
      <w:pPr>
        <w:tabs>
          <w:tab w:val="num" w:pos="720"/>
        </w:tabs>
        <w:ind w:left="720" w:hanging="360"/>
      </w:pPr>
      <w:rPr>
        <w:rFonts w:ascii="Times New Roman" w:hAnsi="Times New Roman" w:hint="default"/>
      </w:rPr>
    </w:lvl>
    <w:lvl w:ilvl="1" w:tplc="4F60A20A">
      <w:start w:val="1235"/>
      <w:numFmt w:val="bullet"/>
      <w:lvlText w:val="─"/>
      <w:lvlJc w:val="left"/>
      <w:pPr>
        <w:tabs>
          <w:tab w:val="num" w:pos="1440"/>
        </w:tabs>
        <w:ind w:left="1440" w:hanging="360"/>
      </w:pPr>
      <w:rPr>
        <w:rFonts w:ascii="Arial" w:hAnsi="Arial" w:hint="default"/>
      </w:rPr>
    </w:lvl>
    <w:lvl w:ilvl="2" w:tplc="F2DA4D3A" w:tentative="1">
      <w:start w:val="1"/>
      <w:numFmt w:val="bullet"/>
      <w:lvlText w:val="•"/>
      <w:lvlJc w:val="left"/>
      <w:pPr>
        <w:tabs>
          <w:tab w:val="num" w:pos="2160"/>
        </w:tabs>
        <w:ind w:left="2160" w:hanging="360"/>
      </w:pPr>
      <w:rPr>
        <w:rFonts w:ascii="Times New Roman" w:hAnsi="Times New Roman" w:hint="default"/>
      </w:rPr>
    </w:lvl>
    <w:lvl w:ilvl="3" w:tplc="2BEC59AC" w:tentative="1">
      <w:start w:val="1"/>
      <w:numFmt w:val="bullet"/>
      <w:lvlText w:val="•"/>
      <w:lvlJc w:val="left"/>
      <w:pPr>
        <w:tabs>
          <w:tab w:val="num" w:pos="2880"/>
        </w:tabs>
        <w:ind w:left="2880" w:hanging="360"/>
      </w:pPr>
      <w:rPr>
        <w:rFonts w:ascii="Times New Roman" w:hAnsi="Times New Roman" w:hint="default"/>
      </w:rPr>
    </w:lvl>
    <w:lvl w:ilvl="4" w:tplc="9D6CC36A" w:tentative="1">
      <w:start w:val="1"/>
      <w:numFmt w:val="bullet"/>
      <w:lvlText w:val="•"/>
      <w:lvlJc w:val="left"/>
      <w:pPr>
        <w:tabs>
          <w:tab w:val="num" w:pos="3600"/>
        </w:tabs>
        <w:ind w:left="3600" w:hanging="360"/>
      </w:pPr>
      <w:rPr>
        <w:rFonts w:ascii="Times New Roman" w:hAnsi="Times New Roman" w:hint="default"/>
      </w:rPr>
    </w:lvl>
    <w:lvl w:ilvl="5" w:tplc="72F838F6" w:tentative="1">
      <w:start w:val="1"/>
      <w:numFmt w:val="bullet"/>
      <w:lvlText w:val="•"/>
      <w:lvlJc w:val="left"/>
      <w:pPr>
        <w:tabs>
          <w:tab w:val="num" w:pos="4320"/>
        </w:tabs>
        <w:ind w:left="4320" w:hanging="360"/>
      </w:pPr>
      <w:rPr>
        <w:rFonts w:ascii="Times New Roman" w:hAnsi="Times New Roman" w:hint="default"/>
      </w:rPr>
    </w:lvl>
    <w:lvl w:ilvl="6" w:tplc="7D9066C0" w:tentative="1">
      <w:start w:val="1"/>
      <w:numFmt w:val="bullet"/>
      <w:lvlText w:val="•"/>
      <w:lvlJc w:val="left"/>
      <w:pPr>
        <w:tabs>
          <w:tab w:val="num" w:pos="5040"/>
        </w:tabs>
        <w:ind w:left="5040" w:hanging="360"/>
      </w:pPr>
      <w:rPr>
        <w:rFonts w:ascii="Times New Roman" w:hAnsi="Times New Roman" w:hint="default"/>
      </w:rPr>
    </w:lvl>
    <w:lvl w:ilvl="7" w:tplc="47701D32" w:tentative="1">
      <w:start w:val="1"/>
      <w:numFmt w:val="bullet"/>
      <w:lvlText w:val="•"/>
      <w:lvlJc w:val="left"/>
      <w:pPr>
        <w:tabs>
          <w:tab w:val="num" w:pos="5760"/>
        </w:tabs>
        <w:ind w:left="5760" w:hanging="360"/>
      </w:pPr>
      <w:rPr>
        <w:rFonts w:ascii="Times New Roman" w:hAnsi="Times New Roman" w:hint="default"/>
      </w:rPr>
    </w:lvl>
    <w:lvl w:ilvl="8" w:tplc="4DCCF24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2FD57EC"/>
    <w:multiLevelType w:val="hybridMultilevel"/>
    <w:tmpl w:val="22348A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82B1982"/>
    <w:multiLevelType w:val="hybridMultilevel"/>
    <w:tmpl w:val="9410BF04"/>
    <w:lvl w:ilvl="0" w:tplc="72CA28C0">
      <w:start w:val="1"/>
      <w:numFmt w:val="bullet"/>
      <w:lvlText w:val="•"/>
      <w:lvlJc w:val="left"/>
      <w:pPr>
        <w:tabs>
          <w:tab w:val="num" w:pos="720"/>
        </w:tabs>
        <w:ind w:left="720" w:hanging="360"/>
      </w:pPr>
      <w:rPr>
        <w:rFonts w:ascii="Times New Roman" w:hAnsi="Times New Roman" w:hint="default"/>
      </w:rPr>
    </w:lvl>
    <w:lvl w:ilvl="1" w:tplc="C46033E6" w:tentative="1">
      <w:start w:val="1"/>
      <w:numFmt w:val="bullet"/>
      <w:lvlText w:val="•"/>
      <w:lvlJc w:val="left"/>
      <w:pPr>
        <w:tabs>
          <w:tab w:val="num" w:pos="1440"/>
        </w:tabs>
        <w:ind w:left="1440" w:hanging="360"/>
      </w:pPr>
      <w:rPr>
        <w:rFonts w:ascii="Times New Roman" w:hAnsi="Times New Roman" w:hint="default"/>
      </w:rPr>
    </w:lvl>
    <w:lvl w:ilvl="2" w:tplc="7BCA50DE" w:tentative="1">
      <w:start w:val="1"/>
      <w:numFmt w:val="bullet"/>
      <w:lvlText w:val="•"/>
      <w:lvlJc w:val="left"/>
      <w:pPr>
        <w:tabs>
          <w:tab w:val="num" w:pos="2160"/>
        </w:tabs>
        <w:ind w:left="2160" w:hanging="360"/>
      </w:pPr>
      <w:rPr>
        <w:rFonts w:ascii="Times New Roman" w:hAnsi="Times New Roman" w:hint="default"/>
      </w:rPr>
    </w:lvl>
    <w:lvl w:ilvl="3" w:tplc="D2A0FB2C" w:tentative="1">
      <w:start w:val="1"/>
      <w:numFmt w:val="bullet"/>
      <w:lvlText w:val="•"/>
      <w:lvlJc w:val="left"/>
      <w:pPr>
        <w:tabs>
          <w:tab w:val="num" w:pos="2880"/>
        </w:tabs>
        <w:ind w:left="2880" w:hanging="360"/>
      </w:pPr>
      <w:rPr>
        <w:rFonts w:ascii="Times New Roman" w:hAnsi="Times New Roman" w:hint="default"/>
      </w:rPr>
    </w:lvl>
    <w:lvl w:ilvl="4" w:tplc="7DFA8224" w:tentative="1">
      <w:start w:val="1"/>
      <w:numFmt w:val="bullet"/>
      <w:lvlText w:val="•"/>
      <w:lvlJc w:val="left"/>
      <w:pPr>
        <w:tabs>
          <w:tab w:val="num" w:pos="3600"/>
        </w:tabs>
        <w:ind w:left="3600" w:hanging="360"/>
      </w:pPr>
      <w:rPr>
        <w:rFonts w:ascii="Times New Roman" w:hAnsi="Times New Roman" w:hint="default"/>
      </w:rPr>
    </w:lvl>
    <w:lvl w:ilvl="5" w:tplc="01E27A6A" w:tentative="1">
      <w:start w:val="1"/>
      <w:numFmt w:val="bullet"/>
      <w:lvlText w:val="•"/>
      <w:lvlJc w:val="left"/>
      <w:pPr>
        <w:tabs>
          <w:tab w:val="num" w:pos="4320"/>
        </w:tabs>
        <w:ind w:left="4320" w:hanging="360"/>
      </w:pPr>
      <w:rPr>
        <w:rFonts w:ascii="Times New Roman" w:hAnsi="Times New Roman" w:hint="default"/>
      </w:rPr>
    </w:lvl>
    <w:lvl w:ilvl="6" w:tplc="AE881182" w:tentative="1">
      <w:start w:val="1"/>
      <w:numFmt w:val="bullet"/>
      <w:lvlText w:val="•"/>
      <w:lvlJc w:val="left"/>
      <w:pPr>
        <w:tabs>
          <w:tab w:val="num" w:pos="5040"/>
        </w:tabs>
        <w:ind w:left="5040" w:hanging="360"/>
      </w:pPr>
      <w:rPr>
        <w:rFonts w:ascii="Times New Roman" w:hAnsi="Times New Roman" w:hint="default"/>
      </w:rPr>
    </w:lvl>
    <w:lvl w:ilvl="7" w:tplc="1400B11E" w:tentative="1">
      <w:start w:val="1"/>
      <w:numFmt w:val="bullet"/>
      <w:lvlText w:val="•"/>
      <w:lvlJc w:val="left"/>
      <w:pPr>
        <w:tabs>
          <w:tab w:val="num" w:pos="5760"/>
        </w:tabs>
        <w:ind w:left="5760" w:hanging="360"/>
      </w:pPr>
      <w:rPr>
        <w:rFonts w:ascii="Times New Roman" w:hAnsi="Times New Roman" w:hint="default"/>
      </w:rPr>
    </w:lvl>
    <w:lvl w:ilvl="8" w:tplc="64C2EDA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0E126D1"/>
    <w:multiLevelType w:val="hybridMultilevel"/>
    <w:tmpl w:val="294EF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0"/>
  </w:num>
  <w:num w:numId="5">
    <w:abstractNumId w:val="14"/>
  </w:num>
  <w:num w:numId="6">
    <w:abstractNumId w:val="7"/>
  </w:num>
  <w:num w:numId="7">
    <w:abstractNumId w:val="6"/>
  </w:num>
  <w:num w:numId="8">
    <w:abstractNumId w:val="11"/>
  </w:num>
  <w:num w:numId="9">
    <w:abstractNumId w:val="4"/>
  </w:num>
  <w:num w:numId="10">
    <w:abstractNumId w:val="1"/>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2"/>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wman, Lisa">
    <w15:presenceInfo w15:providerId="AD" w15:userId="S-1-5-21-2101533902-423532799-1776743176-5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791C"/>
    <w:rsid w:val="00023F3F"/>
    <w:rsid w:val="00041715"/>
    <w:rsid w:val="0005035B"/>
    <w:rsid w:val="00053D8D"/>
    <w:rsid w:val="000665E7"/>
    <w:rsid w:val="00067402"/>
    <w:rsid w:val="00071010"/>
    <w:rsid w:val="00071155"/>
    <w:rsid w:val="000B0A82"/>
    <w:rsid w:val="000D0F5A"/>
    <w:rsid w:val="000D5F5C"/>
    <w:rsid w:val="001023FD"/>
    <w:rsid w:val="00104185"/>
    <w:rsid w:val="00107FC3"/>
    <w:rsid w:val="001122DD"/>
    <w:rsid w:val="001363CB"/>
    <w:rsid w:val="00156022"/>
    <w:rsid w:val="00157765"/>
    <w:rsid w:val="0016182C"/>
    <w:rsid w:val="001628AB"/>
    <w:rsid w:val="001915B8"/>
    <w:rsid w:val="00192DC5"/>
    <w:rsid w:val="001B750B"/>
    <w:rsid w:val="001C142B"/>
    <w:rsid w:val="001E2C04"/>
    <w:rsid w:val="001F79A0"/>
    <w:rsid w:val="002032B5"/>
    <w:rsid w:val="00215843"/>
    <w:rsid w:val="00216E1C"/>
    <w:rsid w:val="002325A1"/>
    <w:rsid w:val="00232D42"/>
    <w:rsid w:val="0024029C"/>
    <w:rsid w:val="00241EC9"/>
    <w:rsid w:val="00253C78"/>
    <w:rsid w:val="0026021E"/>
    <w:rsid w:val="002A027D"/>
    <w:rsid w:val="002A5B21"/>
    <w:rsid w:val="002B58F0"/>
    <w:rsid w:val="002B705F"/>
    <w:rsid w:val="002C2EDF"/>
    <w:rsid w:val="002D2463"/>
    <w:rsid w:val="002D2CA0"/>
    <w:rsid w:val="002D309B"/>
    <w:rsid w:val="002D6196"/>
    <w:rsid w:val="002E1650"/>
    <w:rsid w:val="0030232B"/>
    <w:rsid w:val="003209BA"/>
    <w:rsid w:val="00321074"/>
    <w:rsid w:val="00326840"/>
    <w:rsid w:val="003353F4"/>
    <w:rsid w:val="00347FF9"/>
    <w:rsid w:val="00371EE3"/>
    <w:rsid w:val="0038046F"/>
    <w:rsid w:val="0038462D"/>
    <w:rsid w:val="00386FC0"/>
    <w:rsid w:val="003A4D4F"/>
    <w:rsid w:val="003B3547"/>
    <w:rsid w:val="003D1B39"/>
    <w:rsid w:val="003E5D3E"/>
    <w:rsid w:val="003E5D45"/>
    <w:rsid w:val="003F0097"/>
    <w:rsid w:val="00460BCD"/>
    <w:rsid w:val="004A70E1"/>
    <w:rsid w:val="004B2555"/>
    <w:rsid w:val="004C16AD"/>
    <w:rsid w:val="004C1851"/>
    <w:rsid w:val="004E6D3D"/>
    <w:rsid w:val="004F057D"/>
    <w:rsid w:val="00504AAB"/>
    <w:rsid w:val="005112B2"/>
    <w:rsid w:val="0053066B"/>
    <w:rsid w:val="0054407D"/>
    <w:rsid w:val="00563174"/>
    <w:rsid w:val="00587D43"/>
    <w:rsid w:val="00590662"/>
    <w:rsid w:val="005974BD"/>
    <w:rsid w:val="005B6B9B"/>
    <w:rsid w:val="005C2F92"/>
    <w:rsid w:val="005C33A8"/>
    <w:rsid w:val="005C3DC2"/>
    <w:rsid w:val="005D3103"/>
    <w:rsid w:val="005D35D3"/>
    <w:rsid w:val="005D7AD1"/>
    <w:rsid w:val="005D7D1B"/>
    <w:rsid w:val="005E35D6"/>
    <w:rsid w:val="005F05A0"/>
    <w:rsid w:val="005F6EAF"/>
    <w:rsid w:val="0060536B"/>
    <w:rsid w:val="006105F5"/>
    <w:rsid w:val="00642232"/>
    <w:rsid w:val="006537FF"/>
    <w:rsid w:val="00663318"/>
    <w:rsid w:val="00680502"/>
    <w:rsid w:val="00680E77"/>
    <w:rsid w:val="006A62BB"/>
    <w:rsid w:val="006B25E9"/>
    <w:rsid w:val="006C177D"/>
    <w:rsid w:val="006D1216"/>
    <w:rsid w:val="006D54BA"/>
    <w:rsid w:val="006E50B5"/>
    <w:rsid w:val="006E557B"/>
    <w:rsid w:val="006E7289"/>
    <w:rsid w:val="006E7903"/>
    <w:rsid w:val="006F244D"/>
    <w:rsid w:val="00700697"/>
    <w:rsid w:val="0070264D"/>
    <w:rsid w:val="00706CDB"/>
    <w:rsid w:val="0071526C"/>
    <w:rsid w:val="00715D86"/>
    <w:rsid w:val="007275C2"/>
    <w:rsid w:val="007309DF"/>
    <w:rsid w:val="007354EB"/>
    <w:rsid w:val="00741EE3"/>
    <w:rsid w:val="00743DDD"/>
    <w:rsid w:val="00757765"/>
    <w:rsid w:val="0077435F"/>
    <w:rsid w:val="00776FD2"/>
    <w:rsid w:val="00785588"/>
    <w:rsid w:val="007A0875"/>
    <w:rsid w:val="007C16BD"/>
    <w:rsid w:val="007C79D9"/>
    <w:rsid w:val="007E10FF"/>
    <w:rsid w:val="007E2311"/>
    <w:rsid w:val="007E265E"/>
    <w:rsid w:val="007E2D38"/>
    <w:rsid w:val="007E5DF5"/>
    <w:rsid w:val="0080226D"/>
    <w:rsid w:val="0080360D"/>
    <w:rsid w:val="00807E31"/>
    <w:rsid w:val="00835A43"/>
    <w:rsid w:val="00853A89"/>
    <w:rsid w:val="00854474"/>
    <w:rsid w:val="0085671F"/>
    <w:rsid w:val="00856E5B"/>
    <w:rsid w:val="00861463"/>
    <w:rsid w:val="00873E09"/>
    <w:rsid w:val="00882883"/>
    <w:rsid w:val="008B3C28"/>
    <w:rsid w:val="008C310E"/>
    <w:rsid w:val="008F048F"/>
    <w:rsid w:val="00904982"/>
    <w:rsid w:val="0091787E"/>
    <w:rsid w:val="0093431F"/>
    <w:rsid w:val="00946C63"/>
    <w:rsid w:val="00955CFE"/>
    <w:rsid w:val="009624FA"/>
    <w:rsid w:val="00967AAE"/>
    <w:rsid w:val="009814EE"/>
    <w:rsid w:val="00985668"/>
    <w:rsid w:val="009873FE"/>
    <w:rsid w:val="009900D2"/>
    <w:rsid w:val="009965F7"/>
    <w:rsid w:val="009A7CFF"/>
    <w:rsid w:val="009B01FB"/>
    <w:rsid w:val="009C2538"/>
    <w:rsid w:val="009D70F7"/>
    <w:rsid w:val="00A043EC"/>
    <w:rsid w:val="00A07B01"/>
    <w:rsid w:val="00A10AC6"/>
    <w:rsid w:val="00A3152D"/>
    <w:rsid w:val="00A349AF"/>
    <w:rsid w:val="00A37139"/>
    <w:rsid w:val="00A5170A"/>
    <w:rsid w:val="00A71760"/>
    <w:rsid w:val="00A93CB3"/>
    <w:rsid w:val="00AA0A3B"/>
    <w:rsid w:val="00AC5F21"/>
    <w:rsid w:val="00AE604E"/>
    <w:rsid w:val="00AF1F06"/>
    <w:rsid w:val="00AF3EDD"/>
    <w:rsid w:val="00B038CC"/>
    <w:rsid w:val="00B05B50"/>
    <w:rsid w:val="00B06047"/>
    <w:rsid w:val="00B079F2"/>
    <w:rsid w:val="00B12C29"/>
    <w:rsid w:val="00B27162"/>
    <w:rsid w:val="00B350FF"/>
    <w:rsid w:val="00B41EC6"/>
    <w:rsid w:val="00B56401"/>
    <w:rsid w:val="00B62E77"/>
    <w:rsid w:val="00B7329C"/>
    <w:rsid w:val="00B7621E"/>
    <w:rsid w:val="00B7788D"/>
    <w:rsid w:val="00B77946"/>
    <w:rsid w:val="00B81A16"/>
    <w:rsid w:val="00B9611B"/>
    <w:rsid w:val="00BC4E67"/>
    <w:rsid w:val="00BD36C4"/>
    <w:rsid w:val="00BD6179"/>
    <w:rsid w:val="00BE40A5"/>
    <w:rsid w:val="00BF4042"/>
    <w:rsid w:val="00BF4ED9"/>
    <w:rsid w:val="00C0082B"/>
    <w:rsid w:val="00C0612C"/>
    <w:rsid w:val="00C12E5B"/>
    <w:rsid w:val="00C16CB5"/>
    <w:rsid w:val="00C23F95"/>
    <w:rsid w:val="00C44CA5"/>
    <w:rsid w:val="00C47E00"/>
    <w:rsid w:val="00C50836"/>
    <w:rsid w:val="00C54EC4"/>
    <w:rsid w:val="00C72A82"/>
    <w:rsid w:val="00C7426C"/>
    <w:rsid w:val="00C94EE3"/>
    <w:rsid w:val="00C97991"/>
    <w:rsid w:val="00CA02BF"/>
    <w:rsid w:val="00CA5E71"/>
    <w:rsid w:val="00CA7BA6"/>
    <w:rsid w:val="00CC6E3C"/>
    <w:rsid w:val="00CD51A6"/>
    <w:rsid w:val="00CD679B"/>
    <w:rsid w:val="00CF55FF"/>
    <w:rsid w:val="00CF6C08"/>
    <w:rsid w:val="00D05880"/>
    <w:rsid w:val="00D05892"/>
    <w:rsid w:val="00D067FE"/>
    <w:rsid w:val="00D10E55"/>
    <w:rsid w:val="00D23882"/>
    <w:rsid w:val="00D40A92"/>
    <w:rsid w:val="00D5053E"/>
    <w:rsid w:val="00D517CA"/>
    <w:rsid w:val="00D57649"/>
    <w:rsid w:val="00D576BA"/>
    <w:rsid w:val="00D85D12"/>
    <w:rsid w:val="00D86911"/>
    <w:rsid w:val="00D93B62"/>
    <w:rsid w:val="00DE2B2B"/>
    <w:rsid w:val="00DF0C00"/>
    <w:rsid w:val="00DF1AD6"/>
    <w:rsid w:val="00E06C9B"/>
    <w:rsid w:val="00E12AD6"/>
    <w:rsid w:val="00E1360C"/>
    <w:rsid w:val="00E34B48"/>
    <w:rsid w:val="00E36A07"/>
    <w:rsid w:val="00E6301A"/>
    <w:rsid w:val="00E6741B"/>
    <w:rsid w:val="00E7414B"/>
    <w:rsid w:val="00EE0BE7"/>
    <w:rsid w:val="00EE0BF2"/>
    <w:rsid w:val="00EE2F66"/>
    <w:rsid w:val="00EF5CAC"/>
    <w:rsid w:val="00EF6909"/>
    <w:rsid w:val="00F142BB"/>
    <w:rsid w:val="00F219E0"/>
    <w:rsid w:val="00F23A50"/>
    <w:rsid w:val="00F2423A"/>
    <w:rsid w:val="00F242AE"/>
    <w:rsid w:val="00F460A8"/>
    <w:rsid w:val="00F52450"/>
    <w:rsid w:val="00F62334"/>
    <w:rsid w:val="00F95C68"/>
    <w:rsid w:val="00FD11FD"/>
    <w:rsid w:val="00FE5652"/>
    <w:rsid w:val="00FF6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55"/>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character" w:styleId="FollowedHyperlink">
    <w:name w:val="FollowedHyperlink"/>
    <w:basedOn w:val="DefaultParagraphFont"/>
    <w:rsid w:val="006B25E9"/>
    <w:rPr>
      <w:color w:val="800080" w:themeColor="followedHyperlink"/>
      <w:u w:val="single"/>
    </w:rPr>
  </w:style>
  <w:style w:type="paragraph" w:styleId="Header">
    <w:name w:val="header"/>
    <w:basedOn w:val="Normal"/>
    <w:link w:val="HeaderChar"/>
    <w:rsid w:val="00CF6C08"/>
    <w:pPr>
      <w:tabs>
        <w:tab w:val="center" w:pos="4680"/>
        <w:tab w:val="right" w:pos="9360"/>
      </w:tabs>
    </w:pPr>
  </w:style>
  <w:style w:type="character" w:customStyle="1" w:styleId="HeaderChar">
    <w:name w:val="Header Char"/>
    <w:basedOn w:val="DefaultParagraphFont"/>
    <w:link w:val="Header"/>
    <w:rsid w:val="00CF6C08"/>
    <w:rPr>
      <w:sz w:val="24"/>
      <w:szCs w:val="24"/>
    </w:rPr>
  </w:style>
  <w:style w:type="character" w:customStyle="1" w:styleId="FooterChar">
    <w:name w:val="Footer Char"/>
    <w:basedOn w:val="DefaultParagraphFont"/>
    <w:link w:val="Footer"/>
    <w:uiPriority w:val="99"/>
    <w:rsid w:val="00CF6C08"/>
    <w:rPr>
      <w:sz w:val="22"/>
    </w:rPr>
  </w:style>
  <w:style w:type="paragraph" w:styleId="ListParagraph">
    <w:name w:val="List Paragraph"/>
    <w:basedOn w:val="Normal"/>
    <w:uiPriority w:val="34"/>
    <w:qFormat/>
    <w:rsid w:val="001628AB"/>
    <w:pPr>
      <w:ind w:left="720"/>
    </w:pPr>
    <w:rPr>
      <w:rFonts w:eastAsia="Calibri"/>
      <w:color w:val="FF0000"/>
      <w:szCs w:val="22"/>
    </w:rPr>
  </w:style>
  <w:style w:type="character" w:styleId="CommentReference">
    <w:name w:val="annotation reference"/>
    <w:basedOn w:val="DefaultParagraphFont"/>
    <w:rsid w:val="005D35D3"/>
    <w:rPr>
      <w:sz w:val="16"/>
      <w:szCs w:val="16"/>
    </w:rPr>
  </w:style>
  <w:style w:type="paragraph" w:styleId="CommentText">
    <w:name w:val="annotation text"/>
    <w:basedOn w:val="Normal"/>
    <w:link w:val="CommentTextChar"/>
    <w:rsid w:val="005D35D3"/>
    <w:rPr>
      <w:sz w:val="20"/>
      <w:szCs w:val="20"/>
    </w:rPr>
  </w:style>
  <w:style w:type="character" w:customStyle="1" w:styleId="CommentTextChar">
    <w:name w:val="Comment Text Char"/>
    <w:basedOn w:val="DefaultParagraphFont"/>
    <w:link w:val="CommentText"/>
    <w:rsid w:val="005D35D3"/>
  </w:style>
  <w:style w:type="paragraph" w:styleId="CommentSubject">
    <w:name w:val="annotation subject"/>
    <w:basedOn w:val="CommentText"/>
    <w:next w:val="CommentText"/>
    <w:link w:val="CommentSubjectChar"/>
    <w:rsid w:val="005D35D3"/>
    <w:rPr>
      <w:b/>
      <w:bCs/>
    </w:rPr>
  </w:style>
  <w:style w:type="character" w:customStyle="1" w:styleId="CommentSubjectChar">
    <w:name w:val="Comment Subject Char"/>
    <w:basedOn w:val="CommentTextChar"/>
    <w:link w:val="CommentSubject"/>
    <w:rsid w:val="005D35D3"/>
    <w:rPr>
      <w:b/>
      <w:bCs/>
    </w:rPr>
  </w:style>
  <w:style w:type="paragraph" w:styleId="BalloonText">
    <w:name w:val="Balloon Text"/>
    <w:basedOn w:val="Normal"/>
    <w:link w:val="BalloonTextChar"/>
    <w:uiPriority w:val="99"/>
    <w:rsid w:val="005D35D3"/>
    <w:rPr>
      <w:rFonts w:ascii="Tahoma" w:hAnsi="Tahoma" w:cs="Tahoma"/>
      <w:sz w:val="16"/>
      <w:szCs w:val="16"/>
    </w:rPr>
  </w:style>
  <w:style w:type="character" w:customStyle="1" w:styleId="BalloonTextChar">
    <w:name w:val="Balloon Text Char"/>
    <w:basedOn w:val="DefaultParagraphFont"/>
    <w:link w:val="BalloonText"/>
    <w:uiPriority w:val="99"/>
    <w:rsid w:val="005D35D3"/>
    <w:rPr>
      <w:rFonts w:ascii="Tahoma" w:hAnsi="Tahoma" w:cs="Tahoma"/>
      <w:sz w:val="16"/>
      <w:szCs w:val="16"/>
    </w:rPr>
  </w:style>
  <w:style w:type="paragraph" w:customStyle="1" w:styleId="biblio">
    <w:name w:val="biblio"/>
    <w:basedOn w:val="Normal"/>
    <w:rsid w:val="00F219E0"/>
    <w:pPr>
      <w:keepLines/>
      <w:spacing w:after="240"/>
      <w:ind w:left="72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55"/>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character" w:styleId="FollowedHyperlink">
    <w:name w:val="FollowedHyperlink"/>
    <w:basedOn w:val="DefaultParagraphFont"/>
    <w:rsid w:val="006B25E9"/>
    <w:rPr>
      <w:color w:val="800080" w:themeColor="followedHyperlink"/>
      <w:u w:val="single"/>
    </w:rPr>
  </w:style>
  <w:style w:type="paragraph" w:styleId="Header">
    <w:name w:val="header"/>
    <w:basedOn w:val="Normal"/>
    <w:link w:val="HeaderChar"/>
    <w:rsid w:val="00CF6C08"/>
    <w:pPr>
      <w:tabs>
        <w:tab w:val="center" w:pos="4680"/>
        <w:tab w:val="right" w:pos="9360"/>
      </w:tabs>
    </w:pPr>
  </w:style>
  <w:style w:type="character" w:customStyle="1" w:styleId="HeaderChar">
    <w:name w:val="Header Char"/>
    <w:basedOn w:val="DefaultParagraphFont"/>
    <w:link w:val="Header"/>
    <w:rsid w:val="00CF6C08"/>
    <w:rPr>
      <w:sz w:val="24"/>
      <w:szCs w:val="24"/>
    </w:rPr>
  </w:style>
  <w:style w:type="character" w:customStyle="1" w:styleId="FooterChar">
    <w:name w:val="Footer Char"/>
    <w:basedOn w:val="DefaultParagraphFont"/>
    <w:link w:val="Footer"/>
    <w:uiPriority w:val="99"/>
    <w:rsid w:val="00CF6C08"/>
    <w:rPr>
      <w:sz w:val="22"/>
    </w:rPr>
  </w:style>
  <w:style w:type="paragraph" w:styleId="ListParagraph">
    <w:name w:val="List Paragraph"/>
    <w:basedOn w:val="Normal"/>
    <w:uiPriority w:val="34"/>
    <w:qFormat/>
    <w:rsid w:val="001628AB"/>
    <w:pPr>
      <w:ind w:left="720"/>
    </w:pPr>
    <w:rPr>
      <w:rFonts w:eastAsia="Calibri"/>
      <w:color w:val="FF0000"/>
      <w:szCs w:val="22"/>
    </w:rPr>
  </w:style>
  <w:style w:type="character" w:styleId="CommentReference">
    <w:name w:val="annotation reference"/>
    <w:basedOn w:val="DefaultParagraphFont"/>
    <w:rsid w:val="005D35D3"/>
    <w:rPr>
      <w:sz w:val="16"/>
      <w:szCs w:val="16"/>
    </w:rPr>
  </w:style>
  <w:style w:type="paragraph" w:styleId="CommentText">
    <w:name w:val="annotation text"/>
    <w:basedOn w:val="Normal"/>
    <w:link w:val="CommentTextChar"/>
    <w:rsid w:val="005D35D3"/>
    <w:rPr>
      <w:sz w:val="20"/>
      <w:szCs w:val="20"/>
    </w:rPr>
  </w:style>
  <w:style w:type="character" w:customStyle="1" w:styleId="CommentTextChar">
    <w:name w:val="Comment Text Char"/>
    <w:basedOn w:val="DefaultParagraphFont"/>
    <w:link w:val="CommentText"/>
    <w:rsid w:val="005D35D3"/>
  </w:style>
  <w:style w:type="paragraph" w:styleId="CommentSubject">
    <w:name w:val="annotation subject"/>
    <w:basedOn w:val="CommentText"/>
    <w:next w:val="CommentText"/>
    <w:link w:val="CommentSubjectChar"/>
    <w:rsid w:val="005D35D3"/>
    <w:rPr>
      <w:b/>
      <w:bCs/>
    </w:rPr>
  </w:style>
  <w:style w:type="character" w:customStyle="1" w:styleId="CommentSubjectChar">
    <w:name w:val="Comment Subject Char"/>
    <w:basedOn w:val="CommentTextChar"/>
    <w:link w:val="CommentSubject"/>
    <w:rsid w:val="005D35D3"/>
    <w:rPr>
      <w:b/>
      <w:bCs/>
    </w:rPr>
  </w:style>
  <w:style w:type="paragraph" w:styleId="BalloonText">
    <w:name w:val="Balloon Text"/>
    <w:basedOn w:val="Normal"/>
    <w:link w:val="BalloonTextChar"/>
    <w:uiPriority w:val="99"/>
    <w:rsid w:val="005D35D3"/>
    <w:rPr>
      <w:rFonts w:ascii="Tahoma" w:hAnsi="Tahoma" w:cs="Tahoma"/>
      <w:sz w:val="16"/>
      <w:szCs w:val="16"/>
    </w:rPr>
  </w:style>
  <w:style w:type="character" w:customStyle="1" w:styleId="BalloonTextChar">
    <w:name w:val="Balloon Text Char"/>
    <w:basedOn w:val="DefaultParagraphFont"/>
    <w:link w:val="BalloonText"/>
    <w:uiPriority w:val="99"/>
    <w:rsid w:val="005D35D3"/>
    <w:rPr>
      <w:rFonts w:ascii="Tahoma" w:hAnsi="Tahoma" w:cs="Tahoma"/>
      <w:sz w:val="16"/>
      <w:szCs w:val="16"/>
    </w:rPr>
  </w:style>
  <w:style w:type="paragraph" w:customStyle="1" w:styleId="biblio">
    <w:name w:val="biblio"/>
    <w:basedOn w:val="Normal"/>
    <w:rsid w:val="00F219E0"/>
    <w:pPr>
      <w:keepLines/>
      <w:spacing w:after="240"/>
      <w:ind w:left="72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2960">
      <w:bodyDiv w:val="1"/>
      <w:marLeft w:val="0"/>
      <w:marRight w:val="0"/>
      <w:marTop w:val="0"/>
      <w:marBottom w:val="0"/>
      <w:divBdr>
        <w:top w:val="none" w:sz="0" w:space="0" w:color="auto"/>
        <w:left w:val="none" w:sz="0" w:space="0" w:color="auto"/>
        <w:bottom w:val="none" w:sz="0" w:space="0" w:color="auto"/>
        <w:right w:val="none" w:sz="0" w:space="0" w:color="auto"/>
      </w:divBdr>
    </w:div>
    <w:div w:id="111900752">
      <w:bodyDiv w:val="1"/>
      <w:marLeft w:val="0"/>
      <w:marRight w:val="0"/>
      <w:marTop w:val="0"/>
      <w:marBottom w:val="0"/>
      <w:divBdr>
        <w:top w:val="none" w:sz="0" w:space="0" w:color="auto"/>
        <w:left w:val="none" w:sz="0" w:space="0" w:color="auto"/>
        <w:bottom w:val="none" w:sz="0" w:space="0" w:color="auto"/>
        <w:right w:val="none" w:sz="0" w:space="0" w:color="auto"/>
      </w:divBdr>
      <w:divsChild>
        <w:div w:id="581835704">
          <w:marLeft w:val="360"/>
          <w:marRight w:val="0"/>
          <w:marTop w:val="115"/>
          <w:marBottom w:val="120"/>
          <w:divBdr>
            <w:top w:val="none" w:sz="0" w:space="0" w:color="auto"/>
            <w:left w:val="none" w:sz="0" w:space="0" w:color="auto"/>
            <w:bottom w:val="none" w:sz="0" w:space="0" w:color="auto"/>
            <w:right w:val="none" w:sz="0" w:space="0" w:color="auto"/>
          </w:divBdr>
        </w:div>
        <w:div w:id="1133332365">
          <w:marLeft w:val="1080"/>
          <w:marRight w:val="0"/>
          <w:marTop w:val="106"/>
          <w:marBottom w:val="120"/>
          <w:divBdr>
            <w:top w:val="none" w:sz="0" w:space="0" w:color="auto"/>
            <w:left w:val="none" w:sz="0" w:space="0" w:color="auto"/>
            <w:bottom w:val="none" w:sz="0" w:space="0" w:color="auto"/>
            <w:right w:val="none" w:sz="0" w:space="0" w:color="auto"/>
          </w:divBdr>
        </w:div>
        <w:div w:id="1324162350">
          <w:marLeft w:val="1080"/>
          <w:marRight w:val="0"/>
          <w:marTop w:val="106"/>
          <w:marBottom w:val="120"/>
          <w:divBdr>
            <w:top w:val="none" w:sz="0" w:space="0" w:color="auto"/>
            <w:left w:val="none" w:sz="0" w:space="0" w:color="auto"/>
            <w:bottom w:val="none" w:sz="0" w:space="0" w:color="auto"/>
            <w:right w:val="none" w:sz="0" w:space="0" w:color="auto"/>
          </w:divBdr>
        </w:div>
        <w:div w:id="1924605708">
          <w:marLeft w:val="1627"/>
          <w:marRight w:val="0"/>
          <w:marTop w:val="96"/>
          <w:marBottom w:val="120"/>
          <w:divBdr>
            <w:top w:val="none" w:sz="0" w:space="0" w:color="auto"/>
            <w:left w:val="none" w:sz="0" w:space="0" w:color="auto"/>
            <w:bottom w:val="none" w:sz="0" w:space="0" w:color="auto"/>
            <w:right w:val="none" w:sz="0" w:space="0" w:color="auto"/>
          </w:divBdr>
        </w:div>
      </w:divsChild>
    </w:div>
    <w:div w:id="421990972">
      <w:bodyDiv w:val="1"/>
      <w:marLeft w:val="0"/>
      <w:marRight w:val="0"/>
      <w:marTop w:val="0"/>
      <w:marBottom w:val="0"/>
      <w:divBdr>
        <w:top w:val="none" w:sz="0" w:space="0" w:color="auto"/>
        <w:left w:val="none" w:sz="0" w:space="0" w:color="auto"/>
        <w:bottom w:val="none" w:sz="0" w:space="0" w:color="auto"/>
        <w:right w:val="none" w:sz="0" w:space="0" w:color="auto"/>
      </w:divBdr>
      <w:divsChild>
        <w:div w:id="203250800">
          <w:marLeft w:val="360"/>
          <w:marRight w:val="0"/>
          <w:marTop w:val="96"/>
          <w:marBottom w:val="120"/>
          <w:divBdr>
            <w:top w:val="none" w:sz="0" w:space="0" w:color="auto"/>
            <w:left w:val="none" w:sz="0" w:space="0" w:color="auto"/>
            <w:bottom w:val="none" w:sz="0" w:space="0" w:color="auto"/>
            <w:right w:val="none" w:sz="0" w:space="0" w:color="auto"/>
          </w:divBdr>
        </w:div>
        <w:div w:id="568854603">
          <w:marLeft w:val="360"/>
          <w:marRight w:val="0"/>
          <w:marTop w:val="96"/>
          <w:marBottom w:val="120"/>
          <w:divBdr>
            <w:top w:val="none" w:sz="0" w:space="0" w:color="auto"/>
            <w:left w:val="none" w:sz="0" w:space="0" w:color="auto"/>
            <w:bottom w:val="none" w:sz="0" w:space="0" w:color="auto"/>
            <w:right w:val="none" w:sz="0" w:space="0" w:color="auto"/>
          </w:divBdr>
        </w:div>
        <w:div w:id="751045479">
          <w:marLeft w:val="360"/>
          <w:marRight w:val="0"/>
          <w:marTop w:val="96"/>
          <w:marBottom w:val="120"/>
          <w:divBdr>
            <w:top w:val="none" w:sz="0" w:space="0" w:color="auto"/>
            <w:left w:val="none" w:sz="0" w:space="0" w:color="auto"/>
            <w:bottom w:val="none" w:sz="0" w:space="0" w:color="auto"/>
            <w:right w:val="none" w:sz="0" w:space="0" w:color="auto"/>
          </w:divBdr>
        </w:div>
        <w:div w:id="1297176545">
          <w:marLeft w:val="360"/>
          <w:marRight w:val="0"/>
          <w:marTop w:val="96"/>
          <w:marBottom w:val="120"/>
          <w:divBdr>
            <w:top w:val="none" w:sz="0" w:space="0" w:color="auto"/>
            <w:left w:val="none" w:sz="0" w:space="0" w:color="auto"/>
            <w:bottom w:val="none" w:sz="0" w:space="0" w:color="auto"/>
            <w:right w:val="none" w:sz="0" w:space="0" w:color="auto"/>
          </w:divBdr>
        </w:div>
        <w:div w:id="1686056467">
          <w:marLeft w:val="360"/>
          <w:marRight w:val="0"/>
          <w:marTop w:val="96"/>
          <w:marBottom w:val="120"/>
          <w:divBdr>
            <w:top w:val="none" w:sz="0" w:space="0" w:color="auto"/>
            <w:left w:val="none" w:sz="0" w:space="0" w:color="auto"/>
            <w:bottom w:val="none" w:sz="0" w:space="0" w:color="auto"/>
            <w:right w:val="none" w:sz="0" w:space="0" w:color="auto"/>
          </w:divBdr>
        </w:div>
        <w:div w:id="1765301151">
          <w:marLeft w:val="360"/>
          <w:marRight w:val="0"/>
          <w:marTop w:val="96"/>
          <w:marBottom w:val="0"/>
          <w:divBdr>
            <w:top w:val="none" w:sz="0" w:space="0" w:color="auto"/>
            <w:left w:val="none" w:sz="0" w:space="0" w:color="auto"/>
            <w:bottom w:val="none" w:sz="0" w:space="0" w:color="auto"/>
            <w:right w:val="none" w:sz="0" w:space="0" w:color="auto"/>
          </w:divBdr>
        </w:div>
        <w:div w:id="2141262326">
          <w:marLeft w:val="360"/>
          <w:marRight w:val="0"/>
          <w:marTop w:val="96"/>
          <w:marBottom w:val="120"/>
          <w:divBdr>
            <w:top w:val="none" w:sz="0" w:space="0" w:color="auto"/>
            <w:left w:val="none" w:sz="0" w:space="0" w:color="auto"/>
            <w:bottom w:val="none" w:sz="0" w:space="0" w:color="auto"/>
            <w:right w:val="none" w:sz="0" w:space="0" w:color="auto"/>
          </w:divBdr>
        </w:div>
      </w:divsChild>
    </w:div>
    <w:div w:id="792752458">
      <w:bodyDiv w:val="1"/>
      <w:marLeft w:val="0"/>
      <w:marRight w:val="0"/>
      <w:marTop w:val="0"/>
      <w:marBottom w:val="0"/>
      <w:divBdr>
        <w:top w:val="none" w:sz="0" w:space="0" w:color="auto"/>
        <w:left w:val="none" w:sz="0" w:space="0" w:color="auto"/>
        <w:bottom w:val="none" w:sz="0" w:space="0" w:color="auto"/>
        <w:right w:val="none" w:sz="0" w:space="0" w:color="auto"/>
      </w:divBdr>
    </w:div>
    <w:div w:id="940063801">
      <w:bodyDiv w:val="1"/>
      <w:marLeft w:val="0"/>
      <w:marRight w:val="0"/>
      <w:marTop w:val="0"/>
      <w:marBottom w:val="0"/>
      <w:divBdr>
        <w:top w:val="none" w:sz="0" w:space="0" w:color="auto"/>
        <w:left w:val="none" w:sz="0" w:space="0" w:color="auto"/>
        <w:bottom w:val="none" w:sz="0" w:space="0" w:color="auto"/>
        <w:right w:val="none" w:sz="0" w:space="0" w:color="auto"/>
      </w:divBdr>
      <w:divsChild>
        <w:div w:id="997879657">
          <w:marLeft w:val="360"/>
          <w:marRight w:val="0"/>
          <w:marTop w:val="115"/>
          <w:marBottom w:val="120"/>
          <w:divBdr>
            <w:top w:val="none" w:sz="0" w:space="0" w:color="auto"/>
            <w:left w:val="none" w:sz="0" w:space="0" w:color="auto"/>
            <w:bottom w:val="none" w:sz="0" w:space="0" w:color="auto"/>
            <w:right w:val="none" w:sz="0" w:space="0" w:color="auto"/>
          </w:divBdr>
        </w:div>
        <w:div w:id="1668746149">
          <w:marLeft w:val="360"/>
          <w:marRight w:val="0"/>
          <w:marTop w:val="115"/>
          <w:marBottom w:val="120"/>
          <w:divBdr>
            <w:top w:val="none" w:sz="0" w:space="0" w:color="auto"/>
            <w:left w:val="none" w:sz="0" w:space="0" w:color="auto"/>
            <w:bottom w:val="none" w:sz="0" w:space="0" w:color="auto"/>
            <w:right w:val="none" w:sz="0" w:space="0" w:color="auto"/>
          </w:divBdr>
        </w:div>
        <w:div w:id="1709452777">
          <w:marLeft w:val="360"/>
          <w:marRight w:val="0"/>
          <w:marTop w:val="115"/>
          <w:marBottom w:val="120"/>
          <w:divBdr>
            <w:top w:val="none" w:sz="0" w:space="0" w:color="auto"/>
            <w:left w:val="none" w:sz="0" w:space="0" w:color="auto"/>
            <w:bottom w:val="none" w:sz="0" w:space="0" w:color="auto"/>
            <w:right w:val="none" w:sz="0" w:space="0" w:color="auto"/>
          </w:divBdr>
        </w:div>
        <w:div w:id="1910459478">
          <w:marLeft w:val="360"/>
          <w:marRight w:val="0"/>
          <w:marTop w:val="115"/>
          <w:marBottom w:val="120"/>
          <w:divBdr>
            <w:top w:val="none" w:sz="0" w:space="0" w:color="auto"/>
            <w:left w:val="none" w:sz="0" w:space="0" w:color="auto"/>
            <w:bottom w:val="none" w:sz="0" w:space="0" w:color="auto"/>
            <w:right w:val="none" w:sz="0" w:space="0" w:color="auto"/>
          </w:divBdr>
        </w:div>
      </w:divsChild>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154684737">
      <w:bodyDiv w:val="1"/>
      <w:marLeft w:val="0"/>
      <w:marRight w:val="0"/>
      <w:marTop w:val="0"/>
      <w:marBottom w:val="0"/>
      <w:divBdr>
        <w:top w:val="none" w:sz="0" w:space="0" w:color="auto"/>
        <w:left w:val="none" w:sz="0" w:space="0" w:color="auto"/>
        <w:bottom w:val="none" w:sz="0" w:space="0" w:color="auto"/>
        <w:right w:val="none" w:sz="0" w:space="0" w:color="auto"/>
      </w:divBdr>
      <w:divsChild>
        <w:div w:id="513107105">
          <w:marLeft w:val="360"/>
          <w:marRight w:val="0"/>
          <w:marTop w:val="106"/>
          <w:marBottom w:val="120"/>
          <w:divBdr>
            <w:top w:val="none" w:sz="0" w:space="0" w:color="auto"/>
            <w:left w:val="none" w:sz="0" w:space="0" w:color="auto"/>
            <w:bottom w:val="none" w:sz="0" w:space="0" w:color="auto"/>
            <w:right w:val="none" w:sz="0" w:space="0" w:color="auto"/>
          </w:divBdr>
        </w:div>
        <w:div w:id="652636747">
          <w:marLeft w:val="360"/>
          <w:marRight w:val="0"/>
          <w:marTop w:val="106"/>
          <w:marBottom w:val="120"/>
          <w:divBdr>
            <w:top w:val="none" w:sz="0" w:space="0" w:color="auto"/>
            <w:left w:val="none" w:sz="0" w:space="0" w:color="auto"/>
            <w:bottom w:val="none" w:sz="0" w:space="0" w:color="auto"/>
            <w:right w:val="none" w:sz="0" w:space="0" w:color="auto"/>
          </w:divBdr>
        </w:div>
        <w:div w:id="1123502788">
          <w:marLeft w:val="360"/>
          <w:marRight w:val="0"/>
          <w:marTop w:val="106"/>
          <w:marBottom w:val="120"/>
          <w:divBdr>
            <w:top w:val="none" w:sz="0" w:space="0" w:color="auto"/>
            <w:left w:val="none" w:sz="0" w:space="0" w:color="auto"/>
            <w:bottom w:val="none" w:sz="0" w:space="0" w:color="auto"/>
            <w:right w:val="none" w:sz="0" w:space="0" w:color="auto"/>
          </w:divBdr>
        </w:div>
        <w:div w:id="1542479588">
          <w:marLeft w:val="360"/>
          <w:marRight w:val="0"/>
          <w:marTop w:val="106"/>
          <w:marBottom w:val="120"/>
          <w:divBdr>
            <w:top w:val="none" w:sz="0" w:space="0" w:color="auto"/>
            <w:left w:val="none" w:sz="0" w:space="0" w:color="auto"/>
            <w:bottom w:val="none" w:sz="0" w:space="0" w:color="auto"/>
            <w:right w:val="none" w:sz="0" w:space="0" w:color="auto"/>
          </w:divBdr>
        </w:div>
        <w:div w:id="2085910128">
          <w:marLeft w:val="360"/>
          <w:marRight w:val="0"/>
          <w:marTop w:val="106"/>
          <w:marBottom w:val="120"/>
          <w:divBdr>
            <w:top w:val="none" w:sz="0" w:space="0" w:color="auto"/>
            <w:left w:val="none" w:sz="0" w:space="0" w:color="auto"/>
            <w:bottom w:val="none" w:sz="0" w:space="0" w:color="auto"/>
            <w:right w:val="none" w:sz="0" w:space="0" w:color="auto"/>
          </w:divBdr>
        </w:div>
      </w:divsChild>
    </w:div>
    <w:div w:id="1220480065">
      <w:bodyDiv w:val="1"/>
      <w:marLeft w:val="0"/>
      <w:marRight w:val="0"/>
      <w:marTop w:val="0"/>
      <w:marBottom w:val="0"/>
      <w:divBdr>
        <w:top w:val="none" w:sz="0" w:space="0" w:color="auto"/>
        <w:left w:val="none" w:sz="0" w:space="0" w:color="auto"/>
        <w:bottom w:val="none" w:sz="0" w:space="0" w:color="auto"/>
        <w:right w:val="none" w:sz="0" w:space="0" w:color="auto"/>
      </w:divBdr>
    </w:div>
    <w:div w:id="1500997976">
      <w:bodyDiv w:val="1"/>
      <w:marLeft w:val="0"/>
      <w:marRight w:val="0"/>
      <w:marTop w:val="0"/>
      <w:marBottom w:val="0"/>
      <w:divBdr>
        <w:top w:val="none" w:sz="0" w:space="0" w:color="auto"/>
        <w:left w:val="none" w:sz="0" w:space="0" w:color="auto"/>
        <w:bottom w:val="none" w:sz="0" w:space="0" w:color="auto"/>
        <w:right w:val="none" w:sz="0" w:space="0" w:color="auto"/>
      </w:divBdr>
      <w:divsChild>
        <w:div w:id="502472715">
          <w:marLeft w:val="360"/>
          <w:marRight w:val="0"/>
          <w:marTop w:val="115"/>
          <w:marBottom w:val="120"/>
          <w:divBdr>
            <w:top w:val="none" w:sz="0" w:space="0" w:color="auto"/>
            <w:left w:val="none" w:sz="0" w:space="0" w:color="auto"/>
            <w:bottom w:val="none" w:sz="0" w:space="0" w:color="auto"/>
            <w:right w:val="none" w:sz="0" w:space="0" w:color="auto"/>
          </w:divBdr>
        </w:div>
        <w:div w:id="953243600">
          <w:marLeft w:val="360"/>
          <w:marRight w:val="0"/>
          <w:marTop w:val="115"/>
          <w:marBottom w:val="120"/>
          <w:divBdr>
            <w:top w:val="none" w:sz="0" w:space="0" w:color="auto"/>
            <w:left w:val="none" w:sz="0" w:space="0" w:color="auto"/>
            <w:bottom w:val="none" w:sz="0" w:space="0" w:color="auto"/>
            <w:right w:val="none" w:sz="0" w:space="0" w:color="auto"/>
          </w:divBdr>
        </w:div>
        <w:div w:id="1287664733">
          <w:marLeft w:val="360"/>
          <w:marRight w:val="0"/>
          <w:marTop w:val="115"/>
          <w:marBottom w:val="120"/>
          <w:divBdr>
            <w:top w:val="none" w:sz="0" w:space="0" w:color="auto"/>
            <w:left w:val="none" w:sz="0" w:space="0" w:color="auto"/>
            <w:bottom w:val="none" w:sz="0" w:space="0" w:color="auto"/>
            <w:right w:val="none" w:sz="0" w:space="0" w:color="auto"/>
          </w:divBdr>
        </w:div>
        <w:div w:id="1482770578">
          <w:marLeft w:val="360"/>
          <w:marRight w:val="0"/>
          <w:marTop w:val="115"/>
          <w:marBottom w:val="120"/>
          <w:divBdr>
            <w:top w:val="none" w:sz="0" w:space="0" w:color="auto"/>
            <w:left w:val="none" w:sz="0" w:space="0" w:color="auto"/>
            <w:bottom w:val="none" w:sz="0" w:space="0" w:color="auto"/>
            <w:right w:val="none" w:sz="0" w:space="0" w:color="auto"/>
          </w:divBdr>
        </w:div>
      </w:divsChild>
    </w:div>
    <w:div w:id="1695184200">
      <w:bodyDiv w:val="1"/>
      <w:marLeft w:val="0"/>
      <w:marRight w:val="0"/>
      <w:marTop w:val="0"/>
      <w:marBottom w:val="0"/>
      <w:divBdr>
        <w:top w:val="none" w:sz="0" w:space="0" w:color="auto"/>
        <w:left w:val="none" w:sz="0" w:space="0" w:color="auto"/>
        <w:bottom w:val="none" w:sz="0" w:space="0" w:color="auto"/>
        <w:right w:val="none" w:sz="0" w:space="0" w:color="auto"/>
      </w:divBdr>
      <w:divsChild>
        <w:div w:id="429938393">
          <w:marLeft w:val="1080"/>
          <w:marRight w:val="0"/>
          <w:marTop w:val="106"/>
          <w:marBottom w:val="120"/>
          <w:divBdr>
            <w:top w:val="none" w:sz="0" w:space="0" w:color="auto"/>
            <w:left w:val="none" w:sz="0" w:space="0" w:color="auto"/>
            <w:bottom w:val="none" w:sz="0" w:space="0" w:color="auto"/>
            <w:right w:val="none" w:sz="0" w:space="0" w:color="auto"/>
          </w:divBdr>
        </w:div>
        <w:div w:id="645936496">
          <w:marLeft w:val="360"/>
          <w:marRight w:val="0"/>
          <w:marTop w:val="115"/>
          <w:marBottom w:val="120"/>
          <w:divBdr>
            <w:top w:val="none" w:sz="0" w:space="0" w:color="auto"/>
            <w:left w:val="none" w:sz="0" w:space="0" w:color="auto"/>
            <w:bottom w:val="none" w:sz="0" w:space="0" w:color="auto"/>
            <w:right w:val="none" w:sz="0" w:space="0" w:color="auto"/>
          </w:divBdr>
        </w:div>
        <w:div w:id="672609656">
          <w:marLeft w:val="1080"/>
          <w:marRight w:val="0"/>
          <w:marTop w:val="106"/>
          <w:marBottom w:val="120"/>
          <w:divBdr>
            <w:top w:val="none" w:sz="0" w:space="0" w:color="auto"/>
            <w:left w:val="none" w:sz="0" w:space="0" w:color="auto"/>
            <w:bottom w:val="none" w:sz="0" w:space="0" w:color="auto"/>
            <w:right w:val="none" w:sz="0" w:space="0" w:color="auto"/>
          </w:divBdr>
        </w:div>
        <w:div w:id="1329214804">
          <w:marLeft w:val="1080"/>
          <w:marRight w:val="0"/>
          <w:marTop w:val="106"/>
          <w:marBottom w:val="120"/>
          <w:divBdr>
            <w:top w:val="none" w:sz="0" w:space="0" w:color="auto"/>
            <w:left w:val="none" w:sz="0" w:space="0" w:color="auto"/>
            <w:bottom w:val="none" w:sz="0" w:space="0" w:color="auto"/>
            <w:right w:val="none" w:sz="0" w:space="0" w:color="auto"/>
          </w:divBdr>
        </w:div>
      </w:divsChild>
    </w:div>
    <w:div w:id="1700155584">
      <w:bodyDiv w:val="1"/>
      <w:marLeft w:val="0"/>
      <w:marRight w:val="0"/>
      <w:marTop w:val="0"/>
      <w:marBottom w:val="0"/>
      <w:divBdr>
        <w:top w:val="none" w:sz="0" w:space="0" w:color="auto"/>
        <w:left w:val="none" w:sz="0" w:space="0" w:color="auto"/>
        <w:bottom w:val="none" w:sz="0" w:space="0" w:color="auto"/>
        <w:right w:val="none" w:sz="0" w:space="0" w:color="auto"/>
      </w:divBdr>
      <w:divsChild>
        <w:div w:id="888537699">
          <w:marLeft w:val="360"/>
          <w:marRight w:val="0"/>
          <w:marTop w:val="115"/>
          <w:marBottom w:val="240"/>
          <w:divBdr>
            <w:top w:val="none" w:sz="0" w:space="0" w:color="auto"/>
            <w:left w:val="none" w:sz="0" w:space="0" w:color="auto"/>
            <w:bottom w:val="none" w:sz="0" w:space="0" w:color="auto"/>
            <w:right w:val="none" w:sz="0" w:space="0" w:color="auto"/>
          </w:divBdr>
        </w:div>
        <w:div w:id="2028829384">
          <w:marLeft w:val="360"/>
          <w:marRight w:val="0"/>
          <w:marTop w:val="115"/>
          <w:marBottom w:val="240"/>
          <w:divBdr>
            <w:top w:val="none" w:sz="0" w:space="0" w:color="auto"/>
            <w:left w:val="none" w:sz="0" w:space="0" w:color="auto"/>
            <w:bottom w:val="none" w:sz="0" w:space="0" w:color="auto"/>
            <w:right w:val="none" w:sz="0" w:space="0" w:color="auto"/>
          </w:divBdr>
        </w:div>
      </w:divsChild>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sChild>
        <w:div w:id="612594509">
          <w:marLeft w:val="360"/>
          <w:marRight w:val="0"/>
          <w:marTop w:val="106"/>
          <w:marBottom w:val="120"/>
          <w:divBdr>
            <w:top w:val="none" w:sz="0" w:space="0" w:color="auto"/>
            <w:left w:val="none" w:sz="0" w:space="0" w:color="auto"/>
            <w:bottom w:val="none" w:sz="0" w:space="0" w:color="auto"/>
            <w:right w:val="none" w:sz="0" w:space="0" w:color="auto"/>
          </w:divBdr>
        </w:div>
        <w:div w:id="862019579">
          <w:marLeft w:val="360"/>
          <w:marRight w:val="0"/>
          <w:marTop w:val="106"/>
          <w:marBottom w:val="120"/>
          <w:divBdr>
            <w:top w:val="none" w:sz="0" w:space="0" w:color="auto"/>
            <w:left w:val="none" w:sz="0" w:space="0" w:color="auto"/>
            <w:bottom w:val="none" w:sz="0" w:space="0" w:color="auto"/>
            <w:right w:val="none" w:sz="0" w:space="0" w:color="auto"/>
          </w:divBdr>
        </w:div>
        <w:div w:id="965769592">
          <w:marLeft w:val="360"/>
          <w:marRight w:val="0"/>
          <w:marTop w:val="106"/>
          <w:marBottom w:val="120"/>
          <w:divBdr>
            <w:top w:val="none" w:sz="0" w:space="0" w:color="auto"/>
            <w:left w:val="none" w:sz="0" w:space="0" w:color="auto"/>
            <w:bottom w:val="none" w:sz="0" w:space="0" w:color="auto"/>
            <w:right w:val="none" w:sz="0" w:space="0" w:color="auto"/>
          </w:divBdr>
        </w:div>
        <w:div w:id="1440416247">
          <w:marLeft w:val="360"/>
          <w:marRight w:val="0"/>
          <w:marTop w:val="106"/>
          <w:marBottom w:val="120"/>
          <w:divBdr>
            <w:top w:val="none" w:sz="0" w:space="0" w:color="auto"/>
            <w:left w:val="none" w:sz="0" w:space="0" w:color="auto"/>
            <w:bottom w:val="none" w:sz="0" w:space="0" w:color="auto"/>
            <w:right w:val="none" w:sz="0" w:space="0" w:color="auto"/>
          </w:divBdr>
        </w:div>
        <w:div w:id="1888714502">
          <w:marLeft w:val="360"/>
          <w:marRight w:val="0"/>
          <w:marTop w:val="106"/>
          <w:marBottom w:val="120"/>
          <w:divBdr>
            <w:top w:val="none" w:sz="0" w:space="0" w:color="auto"/>
            <w:left w:val="none" w:sz="0" w:space="0" w:color="auto"/>
            <w:bottom w:val="none" w:sz="0" w:space="0" w:color="auto"/>
            <w:right w:val="none" w:sz="0" w:space="0" w:color="auto"/>
          </w:divBdr>
        </w:div>
      </w:divsChild>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BiologicsBloodVaccines/NewsEvents/WorkshopsMeetingsConferences/ucm206773.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ichard.Henry@hhs.gov" TargetMode="External"/><Relationship Id="rId14" Type="http://schemas.openxmlformats.org/officeDocument/2006/relationships/hyperlink" Target="http://www.bls.gov/ooh/computer-and-information-technology/database-administra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D8F6-F8DC-42AD-AE03-80C24F05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3475</Words>
  <Characters>21174</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RTI International</Company>
  <LinksUpToDate>false</LinksUpToDate>
  <CharactersWithSpaces>24600</CharactersWithSpaces>
  <SharedDoc>false</SharedDoc>
  <HLinks>
    <vt:vector size="36" baseType="variant">
      <vt:variant>
        <vt:i4>8060995</vt:i4>
      </vt:variant>
      <vt:variant>
        <vt:i4>18</vt:i4>
      </vt:variant>
      <vt:variant>
        <vt:i4>0</vt:i4>
      </vt:variant>
      <vt:variant>
        <vt:i4>5</vt:i4>
      </vt:variant>
      <vt:variant>
        <vt:lpwstr>http://www.law.cornell.edu/uscode/html/uscode42/usc_sup_01_42_10_6A_20_III_30_E.html</vt:lpwstr>
      </vt:variant>
      <vt:variant>
        <vt:lpwstr/>
      </vt:variant>
      <vt:variant>
        <vt:i4>917630</vt:i4>
      </vt:variant>
      <vt:variant>
        <vt:i4>15</vt:i4>
      </vt:variant>
      <vt:variant>
        <vt:i4>0</vt:i4>
      </vt:variant>
      <vt:variant>
        <vt:i4>5</vt:i4>
      </vt:variant>
      <vt:variant>
        <vt:lpwstr>http://www.law.cornell.edu/uscode/html/uscode42/usc_sec_42_00000286----000-.html</vt:lpwstr>
      </vt:variant>
      <vt:variant>
        <vt:lpwstr/>
      </vt:variant>
      <vt:variant>
        <vt:i4>8060997</vt:i4>
      </vt:variant>
      <vt:variant>
        <vt:i4>12</vt:i4>
      </vt:variant>
      <vt:variant>
        <vt:i4>0</vt:i4>
      </vt:variant>
      <vt:variant>
        <vt:i4>5</vt:i4>
      </vt:variant>
      <vt:variant>
        <vt:lpwstr>http://www.law.cornell.edu/uscode/html/uscode42/usc_sup_01_42_10_6A_20_III_30_C.html</vt:lpwstr>
      </vt:variant>
      <vt:variant>
        <vt:lpwstr/>
      </vt:variant>
      <vt:variant>
        <vt:i4>8060996</vt:i4>
      </vt:variant>
      <vt:variant>
        <vt:i4>9</vt:i4>
      </vt:variant>
      <vt:variant>
        <vt:i4>0</vt:i4>
      </vt:variant>
      <vt:variant>
        <vt:i4>5</vt:i4>
      </vt:variant>
      <vt:variant>
        <vt:lpwstr>http://www.law.cornell.edu/uscode/html/uscode42/usc_sup_01_42_10_6A_20_III_30_B.html</vt:lpwstr>
      </vt:variant>
      <vt:variant>
        <vt:lpwstr/>
      </vt:variant>
      <vt:variant>
        <vt:i4>131193</vt:i4>
      </vt:variant>
      <vt:variant>
        <vt:i4>6</vt:i4>
      </vt:variant>
      <vt:variant>
        <vt:i4>0</vt:i4>
      </vt:variant>
      <vt:variant>
        <vt:i4>5</vt:i4>
      </vt:variant>
      <vt:variant>
        <vt:lpwstr>http://www.law.cornell.edu/uscode/html/uscode42/usc_sec_42_00000241----000-.html</vt:lpwstr>
      </vt:variant>
      <vt:variant>
        <vt:lpwstr/>
      </vt:variant>
      <vt:variant>
        <vt:i4>6619246</vt:i4>
      </vt:variant>
      <vt:variant>
        <vt:i4>3</vt:i4>
      </vt:variant>
      <vt:variant>
        <vt:i4>0</vt:i4>
      </vt:variant>
      <vt:variant>
        <vt:i4>5</vt:i4>
      </vt:variant>
      <vt:variant>
        <vt:lpwstr>http://www.law.cornell.edu/uscode/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Funn, Sherrette (OS/ASA/OCIO/OEA)</cp:lastModifiedBy>
  <cp:revision>2</cp:revision>
  <cp:lastPrinted>2015-02-27T15:03:00Z</cp:lastPrinted>
  <dcterms:created xsi:type="dcterms:W3CDTF">2015-03-27T19:54:00Z</dcterms:created>
  <dcterms:modified xsi:type="dcterms:W3CDTF">2015-03-27T19:54:00Z</dcterms:modified>
</cp:coreProperties>
</file>